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30F23" w14:textId="77777777" w:rsidR="00C55DC1" w:rsidRPr="00682C93" w:rsidRDefault="00C55DC1" w:rsidP="003C48CF">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1C0885B6" w14:textId="77777777" w:rsidR="00C55DC1" w:rsidRDefault="00C55DC1" w:rsidP="003C48CF">
      <w:pPr>
        <w:spacing w:after="0" w:line="240" w:lineRule="auto"/>
        <w:jc w:val="both"/>
        <w:rPr>
          <w:rFonts w:ascii="Verdana" w:hAnsi="Verdana" w:cs="Arial"/>
          <w:b/>
          <w:lang w:val="es-MX" w:eastAsia="es-ES_tradnl"/>
        </w:rPr>
      </w:pPr>
    </w:p>
    <w:p w14:paraId="0DFE6259" w14:textId="77777777" w:rsidR="00C55DC1" w:rsidRDefault="00C55DC1" w:rsidP="003C48C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30FB1E4" w14:textId="77777777" w:rsidR="00C55DC1" w:rsidRPr="00682C93" w:rsidRDefault="00C55DC1" w:rsidP="003C48CF">
      <w:pPr>
        <w:spacing w:after="0" w:line="240" w:lineRule="auto"/>
        <w:jc w:val="both"/>
        <w:rPr>
          <w:rFonts w:ascii="Verdana" w:hAnsi="Verdana" w:cs="Arial"/>
          <w:b/>
          <w:sz w:val="20"/>
          <w:lang w:val="es-MX" w:eastAsia="es-ES_tradnl"/>
        </w:rPr>
      </w:pPr>
    </w:p>
    <w:p w14:paraId="3C28758F" w14:textId="4141BEC4" w:rsidR="00C55DC1" w:rsidRPr="00682C93" w:rsidRDefault="00C55DC1" w:rsidP="003C48C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2D69BF">
        <w:rPr>
          <w:rFonts w:ascii="Verdana" w:hAnsi="Verdana" w:cs="Arial"/>
          <w:b/>
          <w:lang w:val="es-MX" w:eastAsia="es-ES_tradnl"/>
        </w:rPr>
        <w:t>C</w:t>
      </w:r>
      <w:r w:rsidRPr="00682C93">
        <w:rPr>
          <w:rFonts w:ascii="Verdana" w:hAnsi="Verdana" w:cs="Arial"/>
          <w:b/>
          <w:lang w:val="es-MX" w:eastAsia="es-ES_tradnl"/>
        </w:rPr>
        <w:t>elebración</w:t>
      </w:r>
      <w:r w:rsidR="002D69BF">
        <w:rPr>
          <w:rFonts w:ascii="Verdana" w:hAnsi="Verdana" w:cs="Arial"/>
          <w:b/>
          <w:lang w:val="es-MX" w:eastAsia="es-ES_tradnl"/>
        </w:rPr>
        <w:t xml:space="preserve"> </w:t>
      </w:r>
      <w:r w:rsidR="002D69BF" w:rsidRPr="002D69BF">
        <w:rPr>
          <w:rFonts w:ascii="Verdana" w:hAnsi="Verdana" w:cs="Arial"/>
          <w:b/>
          <w:bCs/>
          <w:lang w:val="es-ES" w:eastAsia="es-ES_tradnl"/>
        </w:rPr>
        <w:t>–</w:t>
      </w:r>
      <w:r w:rsidRPr="00682C93">
        <w:rPr>
          <w:rFonts w:ascii="Verdana" w:hAnsi="Verdana" w:cs="Arial"/>
          <w:b/>
          <w:lang w:val="es-MX" w:eastAsia="es-ES_tradnl"/>
        </w:rPr>
        <w:t xml:space="preserve"> </w:t>
      </w:r>
      <w:r w:rsidR="002D69BF">
        <w:rPr>
          <w:rFonts w:ascii="Verdana" w:hAnsi="Verdana" w:cs="Arial"/>
          <w:b/>
          <w:lang w:val="es-MX" w:eastAsia="es-ES_tradnl"/>
        </w:rPr>
        <w:t>L</w:t>
      </w:r>
      <w:r w:rsidRPr="00682C93">
        <w:rPr>
          <w:rFonts w:ascii="Verdana" w:hAnsi="Verdana" w:cs="Arial"/>
          <w:b/>
          <w:lang w:val="es-MX" w:eastAsia="es-ES_tradnl"/>
        </w:rPr>
        <w:t>ímite</w:t>
      </w:r>
    </w:p>
    <w:p w14:paraId="7732C0FE" w14:textId="77777777" w:rsidR="00C55DC1" w:rsidRDefault="00C55DC1" w:rsidP="003C48CF">
      <w:pPr>
        <w:spacing w:after="0" w:line="240" w:lineRule="auto"/>
        <w:jc w:val="both"/>
        <w:rPr>
          <w:rFonts w:ascii="Verdana" w:hAnsi="Verdana" w:cs="Arial"/>
          <w:b/>
          <w:lang w:val="es-MX" w:eastAsia="es-ES_tradnl"/>
        </w:rPr>
      </w:pPr>
    </w:p>
    <w:p w14:paraId="7122CC80" w14:textId="77777777" w:rsidR="00C55DC1" w:rsidRPr="00E41F23" w:rsidRDefault="00C55DC1" w:rsidP="003C48CF">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F0C50FF" w14:textId="77777777" w:rsidR="00C55DC1" w:rsidRPr="00E41F23" w:rsidRDefault="00C55DC1" w:rsidP="003C48CF">
      <w:pPr>
        <w:spacing w:after="0" w:line="240" w:lineRule="auto"/>
        <w:jc w:val="both"/>
        <w:rPr>
          <w:rFonts w:ascii="Verdana" w:eastAsia="Calibri" w:hAnsi="Verdana" w:cs="Arial"/>
          <w:sz w:val="20"/>
        </w:rPr>
      </w:pPr>
    </w:p>
    <w:p w14:paraId="768C2245" w14:textId="77777777" w:rsidR="00C55DC1" w:rsidRDefault="00C55DC1" w:rsidP="003C48CF">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790BB6E3" w14:textId="77777777" w:rsidR="00C55DC1" w:rsidRPr="00E41F23" w:rsidRDefault="00C55DC1" w:rsidP="003C48CF">
      <w:pPr>
        <w:widowControl w:val="0"/>
        <w:autoSpaceDE w:val="0"/>
        <w:autoSpaceDN w:val="0"/>
        <w:spacing w:after="0" w:line="240" w:lineRule="auto"/>
        <w:ind w:right="113"/>
        <w:jc w:val="both"/>
        <w:rPr>
          <w:rFonts w:ascii="Verdana" w:eastAsia="Arial" w:hAnsi="Verdana" w:cs="Arial"/>
          <w:sz w:val="20"/>
          <w:lang w:val="es-ES" w:eastAsia="es-ES" w:bidi="es-ES"/>
        </w:rPr>
      </w:pPr>
    </w:p>
    <w:p w14:paraId="51740C30" w14:textId="77777777" w:rsidR="00C55DC1" w:rsidRPr="00E41F23" w:rsidRDefault="00C55DC1" w:rsidP="003C48CF">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C0472AA" w14:textId="77777777" w:rsidR="00C55DC1" w:rsidRPr="003F2A9C" w:rsidRDefault="00C55DC1" w:rsidP="003C48CF">
      <w:pPr>
        <w:spacing w:after="0" w:line="240" w:lineRule="auto"/>
        <w:jc w:val="both"/>
        <w:rPr>
          <w:rFonts w:ascii="Verdana" w:hAnsi="Verdana" w:cs="Arial"/>
          <w:b/>
          <w:sz w:val="20"/>
          <w:lang w:val="es-MX" w:eastAsia="es-ES_tradnl"/>
        </w:rPr>
      </w:pPr>
    </w:p>
    <w:p w14:paraId="01AFCCD0" w14:textId="77777777" w:rsidR="00C55DC1" w:rsidRPr="00682C93" w:rsidRDefault="00C55DC1" w:rsidP="003C48CF">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5050EE26" w14:textId="77777777" w:rsidR="00C55DC1" w:rsidRDefault="00C55DC1" w:rsidP="003C48CF">
      <w:pPr>
        <w:spacing w:after="0" w:line="240" w:lineRule="auto"/>
        <w:jc w:val="both"/>
        <w:rPr>
          <w:rFonts w:ascii="Verdana" w:hAnsi="Verdana" w:cs="Arial"/>
          <w:b/>
          <w:lang w:val="es-MX" w:eastAsia="es-ES_tradnl"/>
        </w:rPr>
      </w:pPr>
    </w:p>
    <w:p w14:paraId="4BCD168D" w14:textId="77777777" w:rsidR="00C55DC1" w:rsidRPr="00E41F23" w:rsidRDefault="00C55DC1" w:rsidP="003C48CF">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5E6FB8A" w14:textId="77777777" w:rsidR="00C55DC1" w:rsidRPr="00E41F23" w:rsidRDefault="00C55DC1" w:rsidP="003C48CF">
      <w:pPr>
        <w:spacing w:after="0" w:line="240" w:lineRule="auto"/>
        <w:jc w:val="both"/>
        <w:rPr>
          <w:rFonts w:ascii="Verdana" w:hAnsi="Verdana" w:cs="Arial"/>
          <w:b/>
          <w:lang w:eastAsia="es-ES_tradnl"/>
        </w:rPr>
      </w:pPr>
    </w:p>
    <w:p w14:paraId="594C8837" w14:textId="77777777" w:rsidR="00C55DC1" w:rsidRPr="00682C93" w:rsidRDefault="00C55DC1" w:rsidP="003C48CF">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681290D3" w14:textId="77777777" w:rsidR="00C55DC1" w:rsidRPr="00E41F23" w:rsidRDefault="00C55DC1" w:rsidP="003C48CF">
      <w:pPr>
        <w:spacing w:after="0" w:line="240" w:lineRule="auto"/>
        <w:jc w:val="both"/>
        <w:rPr>
          <w:rFonts w:ascii="Verdana" w:hAnsi="Verdana" w:cs="Arial"/>
          <w:b/>
          <w:sz w:val="20"/>
          <w:lang w:val="es-MX" w:eastAsia="es-ES_tradnl"/>
        </w:rPr>
      </w:pPr>
    </w:p>
    <w:p w14:paraId="2B4AEF9B" w14:textId="77777777" w:rsidR="00C55DC1" w:rsidRPr="00E41F23" w:rsidRDefault="00C55DC1" w:rsidP="003C48CF">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4D6D7EF" w14:textId="77777777" w:rsidR="00C55DC1" w:rsidRPr="00682C93" w:rsidRDefault="00C55DC1" w:rsidP="003C48CF">
      <w:pPr>
        <w:spacing w:after="0" w:line="240" w:lineRule="auto"/>
        <w:jc w:val="both"/>
        <w:rPr>
          <w:rFonts w:ascii="Verdana" w:hAnsi="Verdana" w:cs="Arial"/>
          <w:b/>
          <w:lang w:val="es-MX" w:eastAsia="es-ES_tradnl"/>
        </w:rPr>
      </w:pPr>
    </w:p>
    <w:p w14:paraId="7126E8BA" w14:textId="77777777" w:rsidR="00C55DC1" w:rsidRPr="00682C93" w:rsidRDefault="00C55DC1" w:rsidP="003C48C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7CBB1FFA" w14:textId="77777777" w:rsidR="00C55DC1" w:rsidRDefault="00C55DC1" w:rsidP="003C48CF">
      <w:pPr>
        <w:spacing w:after="0" w:line="240" w:lineRule="auto"/>
        <w:rPr>
          <w:rFonts w:ascii="Verdana" w:hAnsi="Verdana" w:cs="Arial"/>
          <w:lang w:val="es-MX" w:eastAsia="es-ES_tradnl"/>
        </w:rPr>
      </w:pPr>
    </w:p>
    <w:p w14:paraId="31C6B621" w14:textId="77777777" w:rsidR="00C55DC1" w:rsidRDefault="00C55DC1" w:rsidP="003C48CF">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2F45D0A7" w14:textId="77777777" w:rsidR="00C55DC1" w:rsidRPr="008835B4" w:rsidRDefault="00C55DC1" w:rsidP="003C48CF">
      <w:pPr>
        <w:spacing w:after="0" w:line="240" w:lineRule="auto"/>
        <w:jc w:val="both"/>
        <w:rPr>
          <w:rFonts w:ascii="Verdana" w:hAnsi="Verdana" w:cs="Arial"/>
          <w:sz w:val="20"/>
          <w:lang w:val="es-MX" w:eastAsia="es-ES_tradnl"/>
        </w:rPr>
      </w:pPr>
    </w:p>
    <w:p w14:paraId="24626725" w14:textId="77777777" w:rsidR="00C55DC1" w:rsidRPr="008835B4" w:rsidRDefault="00C55DC1" w:rsidP="003C48CF">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 xml:space="preserve">LEY DE GARANTÍAS ELECTORALES – Contratos y convenios interadministrativos – Criterio orgánico </w:t>
      </w:r>
    </w:p>
    <w:p w14:paraId="6E1BAD10" w14:textId="77777777" w:rsidR="00C55DC1" w:rsidRDefault="00C55DC1" w:rsidP="003C48CF">
      <w:pPr>
        <w:spacing w:after="0" w:line="240" w:lineRule="auto"/>
        <w:jc w:val="both"/>
        <w:rPr>
          <w:rFonts w:ascii="Verdana" w:eastAsia="Calibri" w:hAnsi="Verdana" w:cs="Arial"/>
          <w:color w:val="000000"/>
          <w:lang w:val="es-MX"/>
        </w:rPr>
      </w:pPr>
    </w:p>
    <w:p w14:paraId="36CB289D" w14:textId="77777777" w:rsidR="00C55DC1" w:rsidRDefault="00C55DC1" w:rsidP="003C48CF">
      <w:pPr>
        <w:spacing w:after="0" w:line="240" w:lineRule="auto"/>
        <w:jc w:val="both"/>
        <w:rPr>
          <w:rFonts w:ascii="Verdana" w:eastAsia="Calibri" w:hAnsi="Verdana" w:cs="Arial"/>
          <w:color w:val="000000"/>
          <w:sz w:val="20"/>
        </w:rPr>
      </w:pPr>
      <w:r w:rsidRPr="008835B4">
        <w:rPr>
          <w:rFonts w:ascii="Verdana" w:eastAsia="Calibri" w:hAnsi="Verdana" w:cs="Arial"/>
          <w:color w:val="000000"/>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8835B4">
        <w:rPr>
          <w:rFonts w:ascii="Verdana" w:eastAsia="Calibri" w:hAnsi="Verdana" w:cs="Arial"/>
          <w:color w:val="000000"/>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2AE1D4CC" w14:textId="77777777" w:rsidR="00C55DC1" w:rsidRPr="008835B4" w:rsidRDefault="00C55DC1" w:rsidP="003C48CF">
      <w:pPr>
        <w:spacing w:after="0" w:line="240" w:lineRule="auto"/>
        <w:jc w:val="both"/>
        <w:rPr>
          <w:rFonts w:ascii="Verdana" w:eastAsia="Calibri" w:hAnsi="Verdana" w:cs="Arial"/>
          <w:color w:val="000000"/>
          <w:sz w:val="20"/>
        </w:rPr>
      </w:pPr>
    </w:p>
    <w:p w14:paraId="34AD4DB5" w14:textId="77777777" w:rsidR="00C55DC1" w:rsidRDefault="00C55DC1" w:rsidP="003C48CF">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78AEA0C" w14:textId="77777777" w:rsidR="00C55DC1" w:rsidRPr="008835B4" w:rsidRDefault="00C55DC1" w:rsidP="003C48CF">
      <w:pPr>
        <w:spacing w:after="0" w:line="240" w:lineRule="auto"/>
        <w:jc w:val="both"/>
        <w:rPr>
          <w:rFonts w:ascii="Verdana" w:eastAsia="Calibri" w:hAnsi="Verdana" w:cs="Arial"/>
          <w:color w:val="000000"/>
          <w:sz w:val="20"/>
          <w:lang w:val="es-ES_tradnl"/>
        </w:rPr>
      </w:pPr>
    </w:p>
    <w:p w14:paraId="2741D1A3" w14:textId="77777777" w:rsidR="00C55DC1" w:rsidRPr="008835B4" w:rsidRDefault="00C55DC1" w:rsidP="003C48CF">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231416AF" w14:textId="77777777" w:rsidR="00C55DC1" w:rsidRPr="008835B4" w:rsidRDefault="00C55DC1" w:rsidP="003C48CF">
      <w:pPr>
        <w:spacing w:after="0" w:line="240" w:lineRule="auto"/>
        <w:jc w:val="both"/>
        <w:rPr>
          <w:rFonts w:ascii="Verdana" w:eastAsia="Calibri" w:hAnsi="Verdana" w:cs="Arial"/>
          <w:color w:val="000000"/>
          <w:lang w:val="es-ES_tradnl"/>
        </w:rPr>
      </w:pPr>
    </w:p>
    <w:p w14:paraId="54B70174" w14:textId="2C932715" w:rsidR="00C55DC1" w:rsidRPr="008835B4" w:rsidRDefault="00C55DC1" w:rsidP="003C48CF">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LEY DE GARANTÍAS ELECTORALES –</w:t>
      </w:r>
      <w:r w:rsidR="002D69BF">
        <w:rPr>
          <w:rFonts w:ascii="Verdana" w:eastAsia="Calibri" w:hAnsi="Verdana" w:cs="Arial"/>
          <w:b/>
          <w:color w:val="000000"/>
          <w:lang w:val="es-MX"/>
        </w:rPr>
        <w:t xml:space="preserve"> </w:t>
      </w:r>
      <w:r w:rsidRPr="008835B4">
        <w:rPr>
          <w:rFonts w:ascii="Verdana" w:eastAsia="Calibri" w:hAnsi="Verdana" w:cs="Arial"/>
          <w:b/>
          <w:color w:val="000000"/>
          <w:lang w:val="es-MX"/>
        </w:rPr>
        <w:t>Restricción</w:t>
      </w:r>
      <w:r w:rsidR="002D69BF">
        <w:rPr>
          <w:rFonts w:ascii="Verdana" w:eastAsia="Calibri" w:hAnsi="Verdana" w:cs="Arial"/>
          <w:b/>
          <w:color w:val="000000"/>
          <w:lang w:val="es-MX"/>
        </w:rPr>
        <w:t xml:space="preserve"> </w:t>
      </w:r>
      <w:r w:rsidR="002D69BF" w:rsidRPr="002D69BF">
        <w:rPr>
          <w:rFonts w:ascii="Verdana" w:eastAsia="Calibri" w:hAnsi="Verdana" w:cs="Arial"/>
          <w:b/>
          <w:bCs/>
          <w:color w:val="000000"/>
          <w:lang w:val="es-ES"/>
        </w:rPr>
        <w:t>–</w:t>
      </w:r>
      <w:r w:rsidRPr="008835B4">
        <w:rPr>
          <w:rFonts w:ascii="Verdana" w:eastAsia="Calibri" w:hAnsi="Verdana" w:cs="Arial"/>
          <w:b/>
          <w:color w:val="000000"/>
          <w:lang w:val="es-MX"/>
        </w:rPr>
        <w:t xml:space="preserve"> Convenios interadministrativos – Postura del Consejo de Estado</w:t>
      </w:r>
    </w:p>
    <w:p w14:paraId="0BBF9CBB" w14:textId="77777777" w:rsidR="00C55DC1" w:rsidRDefault="00C55DC1" w:rsidP="003C48CF">
      <w:pPr>
        <w:spacing w:after="0" w:line="240" w:lineRule="auto"/>
        <w:jc w:val="both"/>
        <w:rPr>
          <w:rFonts w:ascii="Verdana" w:eastAsia="Calibri" w:hAnsi="Verdana" w:cs="Arial"/>
          <w:color w:val="000000"/>
        </w:rPr>
      </w:pPr>
    </w:p>
    <w:p w14:paraId="50EC6063" w14:textId="77777777" w:rsidR="00C55DC1" w:rsidRPr="00A07EBF" w:rsidRDefault="00C55DC1" w:rsidP="003C48CF">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173AA77C" w14:textId="77777777" w:rsidR="00C55DC1" w:rsidRPr="00A07EBF" w:rsidRDefault="00C55DC1" w:rsidP="003C48CF">
      <w:pPr>
        <w:spacing w:after="0" w:line="240" w:lineRule="auto"/>
        <w:jc w:val="both"/>
        <w:rPr>
          <w:rFonts w:ascii="Verdana" w:eastAsia="Calibri" w:hAnsi="Verdana" w:cs="Arial"/>
          <w:color w:val="000000"/>
          <w:sz w:val="20"/>
        </w:rPr>
      </w:pPr>
    </w:p>
    <w:p w14:paraId="4037FAA4" w14:textId="77777777" w:rsidR="00C55DC1" w:rsidRPr="00A07EBF" w:rsidRDefault="00C55DC1" w:rsidP="003C48CF">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w:t>
      </w:r>
      <w:r w:rsidRPr="00A07EBF">
        <w:rPr>
          <w:rFonts w:ascii="Verdana" w:eastAsia="Calibri" w:hAnsi="Verdana" w:cs="Arial"/>
          <w:color w:val="000000"/>
          <w:sz w:val="20"/>
        </w:rPr>
        <w:lastRenderedPageBreak/>
        <w:t xml:space="preserve">convenios se basan en cooperación sin ánimo económico. Por ello, la restricción legal no podía aplicarse extensivamente a los contratos. </w:t>
      </w:r>
    </w:p>
    <w:p w14:paraId="3E974111" w14:textId="77777777" w:rsidR="00C55DC1" w:rsidRPr="00A07EBF" w:rsidRDefault="00C55DC1" w:rsidP="003C48CF">
      <w:pPr>
        <w:spacing w:after="0" w:line="240" w:lineRule="auto"/>
        <w:jc w:val="both"/>
        <w:rPr>
          <w:rFonts w:ascii="Verdana" w:eastAsia="Calibri" w:hAnsi="Verdana" w:cs="Arial"/>
          <w:color w:val="000000"/>
          <w:sz w:val="20"/>
        </w:rPr>
      </w:pPr>
    </w:p>
    <w:p w14:paraId="4BA7FAB3" w14:textId="77777777" w:rsidR="00C55DC1" w:rsidRPr="00A07EBF" w:rsidRDefault="00C55DC1" w:rsidP="003C48CF">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07EBF">
        <w:rPr>
          <w:rFonts w:ascii="Verdana" w:eastAsia="Calibri" w:hAnsi="Verdana" w:cs="Arial"/>
          <w:i/>
          <w:iCs/>
          <w:color w:val="000000"/>
          <w:sz w:val="20"/>
        </w:rPr>
        <w:t>contratos interadministrativos</w:t>
      </w:r>
      <w:r w:rsidRPr="00A07EBF">
        <w:rPr>
          <w:rFonts w:ascii="Verdana" w:eastAsia="Calibri" w:hAnsi="Verdana" w:cs="Arial"/>
          <w:color w:val="000000"/>
          <w:sz w:val="20"/>
        </w:rPr>
        <w:t xml:space="preserve">, esta prohibición solo aplicaría a los convenios interadministrativos que impliquen la ejecución de recursos públicos. Conforme a lo señalado por el Consejo de Estado, cuando dos entidades públicas celebren un </w:t>
      </w:r>
      <w:r w:rsidRPr="00A07EBF">
        <w:rPr>
          <w:rFonts w:ascii="Verdana" w:eastAsia="Calibri" w:hAnsi="Verdana" w:cs="Arial"/>
          <w:i/>
          <w:iCs/>
          <w:color w:val="000000"/>
          <w:sz w:val="20"/>
        </w:rPr>
        <w:t>contrato interadministrativo,</w:t>
      </w:r>
      <w:r w:rsidRPr="00A07EBF">
        <w:rPr>
          <w:rFonts w:ascii="Verdana" w:eastAsia="Calibri" w:hAnsi="Verdana" w:cs="Arial"/>
          <w:color w:val="000000"/>
          <w:sz w:val="20"/>
        </w:rPr>
        <w:t xml:space="preserve"> independientemente del objeto, dicho contrato puede suscribirse durante el periodo preelectoral.</w:t>
      </w:r>
    </w:p>
    <w:p w14:paraId="5B633D87" w14:textId="4267E83D" w:rsidR="00C55DC1" w:rsidRDefault="00C55DC1" w:rsidP="003C48CF">
      <w:pPr>
        <w:spacing w:after="0" w:line="240" w:lineRule="auto"/>
        <w:rPr>
          <w:rFonts w:ascii="Verdana" w:eastAsia="Verdana" w:hAnsi="Verdana" w:cs="Verdana"/>
        </w:rPr>
      </w:pPr>
    </w:p>
    <w:p w14:paraId="378E9C27" w14:textId="36C8EF0E" w:rsidR="00C55DC1" w:rsidRPr="00C55DC1" w:rsidRDefault="00C55DC1" w:rsidP="003C48CF">
      <w:pPr>
        <w:spacing w:after="0" w:line="240" w:lineRule="auto"/>
        <w:jc w:val="both"/>
        <w:rPr>
          <w:rFonts w:ascii="Verdana" w:eastAsia="Verdana" w:hAnsi="Verdana" w:cs="Verdana"/>
          <w:b/>
        </w:rPr>
      </w:pPr>
      <w:r w:rsidRPr="00C55DC1">
        <w:rPr>
          <w:rFonts w:ascii="Verdana" w:eastAsia="Verdana" w:hAnsi="Verdana" w:cs="Verdana"/>
          <w:b/>
          <w:lang w:val="es-MX"/>
        </w:rPr>
        <w:t>CONTRATACIÓN DIRECTA – Causal – Adquisición de bienes inmuebles – Restricción – Ley de Garantías Electorales</w:t>
      </w:r>
    </w:p>
    <w:p w14:paraId="27454999" w14:textId="106057BD" w:rsidR="00C55DC1" w:rsidRPr="00C55DC1" w:rsidRDefault="00C55DC1" w:rsidP="003C48CF">
      <w:pPr>
        <w:spacing w:after="0" w:line="240" w:lineRule="auto"/>
        <w:jc w:val="both"/>
        <w:rPr>
          <w:rFonts w:ascii="Verdana" w:eastAsia="Verdana" w:hAnsi="Verdana" w:cs="Verdana"/>
          <w:sz w:val="20"/>
        </w:rPr>
      </w:pPr>
    </w:p>
    <w:p w14:paraId="2DFEC820" w14:textId="77777777" w:rsidR="00C55DC1" w:rsidRPr="00C55DC1" w:rsidRDefault="00C55DC1" w:rsidP="003C48CF">
      <w:pPr>
        <w:spacing w:after="0" w:line="240" w:lineRule="auto"/>
        <w:jc w:val="both"/>
        <w:rPr>
          <w:rFonts w:ascii="Verdana" w:eastAsia="Verdana" w:hAnsi="Verdana" w:cs="Verdana"/>
          <w:sz w:val="20"/>
          <w:lang w:val="es-MX"/>
        </w:rPr>
      </w:pPr>
      <w:r w:rsidRPr="00C55DC1">
        <w:rPr>
          <w:rFonts w:ascii="Verdana" w:eastAsia="Verdana" w:hAnsi="Verdana" w:cs="Verdana"/>
          <w:sz w:val="20"/>
          <w:lang w:val="es-ES"/>
        </w:rPr>
        <w:t xml:space="preserve">En virtud de lo expuesto, la adquisición de bienes inmuebles –predios- trata de un causal de la contratación directa regulada en </w:t>
      </w:r>
      <w:r w:rsidRPr="00C55DC1">
        <w:rPr>
          <w:rFonts w:ascii="Verdana" w:eastAsia="Verdana" w:hAnsi="Verdana" w:cs="Verdana"/>
          <w:sz w:val="20"/>
          <w:lang w:val="es-ES_tradnl"/>
        </w:rPr>
        <w:t>el literal i) del numeral 4 del artículo 2º de la Ley 1150 de 2007</w:t>
      </w:r>
      <w:r w:rsidRPr="00C55DC1">
        <w:rPr>
          <w:rFonts w:ascii="Verdana" w:eastAsia="Verdana" w:hAnsi="Verdana" w:cs="Verdana"/>
          <w:sz w:val="20"/>
          <w:lang w:val="es-ES"/>
        </w:rPr>
        <w:t>, esto es, un procedimiento de contratación estatal no competitivo que está restringido por la prohibición establecida en el artículo 33 de la Ley 996 de 2005 que aplica a todas las entidades del Estado</w:t>
      </w:r>
      <w:r w:rsidRPr="00C55DC1">
        <w:rPr>
          <w:rFonts w:ascii="Verdana" w:eastAsia="Verdana" w:hAnsi="Verdana" w:cs="Verdana"/>
          <w:bCs/>
          <w:sz w:val="20"/>
          <w:lang w:val="es-MX"/>
        </w:rPr>
        <w:t xml:space="preserve"> dentro de los cuatro (4) meses anteriores a la celebración de los comicios presidenciales</w:t>
      </w:r>
      <w:r w:rsidRPr="00C55DC1">
        <w:rPr>
          <w:rFonts w:ascii="Verdana" w:eastAsia="Verdana" w:hAnsi="Verdana" w:cs="Verdana"/>
          <w:sz w:val="20"/>
          <w:lang w:val="es-ES"/>
        </w:rPr>
        <w:t xml:space="preserve">. </w:t>
      </w:r>
      <w:r w:rsidRPr="00C55DC1">
        <w:rPr>
          <w:rFonts w:ascii="Verdana" w:eastAsia="Verdana" w:hAnsi="Verdana" w:cs="Verdana"/>
          <w:bCs/>
          <w:sz w:val="20"/>
          <w:lang w:val="es-MX"/>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p w14:paraId="36740877" w14:textId="7D6E9AB9" w:rsidR="00C55DC1" w:rsidRPr="00C55DC1" w:rsidRDefault="00C55DC1" w:rsidP="003C48CF">
      <w:pPr>
        <w:spacing w:after="0" w:line="240" w:lineRule="auto"/>
        <w:jc w:val="both"/>
        <w:rPr>
          <w:rFonts w:ascii="Verdana" w:eastAsia="Verdana" w:hAnsi="Verdana" w:cs="Verdana"/>
          <w:bCs/>
          <w:sz w:val="20"/>
          <w:lang w:val="es-MX"/>
        </w:rPr>
      </w:pPr>
      <w:r w:rsidRPr="00C55DC1">
        <w:rPr>
          <w:rFonts w:ascii="Verdana" w:eastAsia="Verdana" w:hAnsi="Verdana" w:cs="Verdana"/>
          <w:bCs/>
          <w:sz w:val="20"/>
          <w:lang w:val="es-MX"/>
        </w:rPr>
        <w:t>[…]</w:t>
      </w:r>
    </w:p>
    <w:p w14:paraId="798B5002" w14:textId="129445AD" w:rsidR="00C55DC1" w:rsidRDefault="00C55DC1" w:rsidP="003C48CF">
      <w:pPr>
        <w:spacing w:after="0" w:line="240" w:lineRule="auto"/>
        <w:jc w:val="both"/>
        <w:rPr>
          <w:rFonts w:ascii="Verdana" w:eastAsia="Verdana" w:hAnsi="Verdana" w:cs="Verdana"/>
          <w:sz w:val="20"/>
        </w:rPr>
      </w:pPr>
      <w:r w:rsidRPr="00C55DC1">
        <w:rPr>
          <w:rFonts w:ascii="Verdana" w:eastAsia="Verdana" w:hAnsi="Verdana" w:cs="Verdana"/>
          <w:sz w:val="20"/>
          <w:lang w:bidi="es-ES"/>
        </w:rPr>
        <w:t xml:space="preserve">Por otro lado, la prohibición impuesta por el inciso primero del parágrafo del artículo 38 a los gobernadores, alcaldes municipales y/o distritales, secretarios, gerentes y directores de entidades descentralizadas del orden municipal, departamental o distrital,  debe aplicarse respecto de cualquier tipo de contienda electoral, y prohíbe la celebración de convenios interadministrativos que impliquen la ejecución de recursos públicos dentro de los cuatro (4) meses anteriores a la respectiva jornada de votaciones. En este aspecto, se señala que esta restricción no aplica en contratos interadministrativos, teniendo en cuenta </w:t>
      </w:r>
      <w:r w:rsidRPr="00C55DC1">
        <w:rPr>
          <w:rFonts w:ascii="Verdana" w:eastAsia="Verdana" w:hAnsi="Verdana" w:cs="Verdana"/>
          <w:sz w:val="20"/>
        </w:rPr>
        <w:t xml:space="preserve">lo expuesto en la sentencia expedida por la Sección Tercera de la Sala de lo Contencioso Administrativo del 17 de octubre de 2025, en los autos del 4 de octubre de 2024 y 6 de noviembre de 2025, puesto que esta prohibición solo aplicaría a los convenios interadministrativos que impliquen la ejecución de recursos públicos. </w:t>
      </w:r>
    </w:p>
    <w:p w14:paraId="5D41A855" w14:textId="77777777" w:rsidR="00C55DC1" w:rsidRPr="00C55DC1" w:rsidRDefault="00C55DC1" w:rsidP="003C48CF">
      <w:pPr>
        <w:spacing w:after="0" w:line="240" w:lineRule="auto"/>
        <w:jc w:val="both"/>
        <w:rPr>
          <w:rFonts w:ascii="Verdana" w:eastAsia="Verdana" w:hAnsi="Verdana" w:cs="Verdana"/>
          <w:sz w:val="20"/>
        </w:rPr>
      </w:pPr>
    </w:p>
    <w:p w14:paraId="70895AFA" w14:textId="77777777" w:rsidR="00C55DC1" w:rsidRPr="00C55DC1" w:rsidRDefault="00C55DC1" w:rsidP="003C48CF">
      <w:pPr>
        <w:spacing w:after="0" w:line="240" w:lineRule="auto"/>
        <w:jc w:val="both"/>
        <w:rPr>
          <w:rFonts w:ascii="Verdana" w:eastAsia="Verdana" w:hAnsi="Verdana" w:cs="Verdana"/>
          <w:bCs/>
          <w:sz w:val="20"/>
          <w:lang w:val="es-ES_tradnl"/>
        </w:rPr>
      </w:pPr>
      <w:r w:rsidRPr="00C55DC1">
        <w:rPr>
          <w:rFonts w:ascii="Verdana" w:eastAsia="Verdana" w:hAnsi="Verdana" w:cs="Verdana"/>
          <w:sz w:val="20"/>
          <w:lang w:val="es-ES_tradnl"/>
        </w:rPr>
        <w:lastRenderedPageBreak/>
        <w:t xml:space="preserve">Es dable concluir que, la adquisición de bienes inmuebles, </w:t>
      </w:r>
      <w:r w:rsidRPr="00C55DC1">
        <w:rPr>
          <w:rFonts w:ascii="Verdana" w:eastAsia="Verdana" w:hAnsi="Verdana" w:cs="Verdana"/>
          <w:i/>
          <w:iCs/>
          <w:sz w:val="20"/>
          <w:lang w:val="es-ES_tradnl"/>
        </w:rPr>
        <w:t>per se,</w:t>
      </w:r>
      <w:r w:rsidRPr="00C55DC1">
        <w:rPr>
          <w:rFonts w:ascii="Verdana" w:eastAsia="Verdana" w:hAnsi="Verdana" w:cs="Verdana"/>
          <w:sz w:val="20"/>
          <w:lang w:val="es-ES_tradnl"/>
        </w:rPr>
        <w:t xml:space="preserve"> no está prohibida por la restricción del parágrafo del artículo 38 de la Ley 996 de 2005, la cual solo es aplicable a convenios interadministrativos.</w:t>
      </w:r>
      <w:r w:rsidRPr="00C55DC1">
        <w:rPr>
          <w:rFonts w:ascii="Verdana" w:eastAsia="Verdana" w:hAnsi="Verdana" w:cs="Verdana"/>
          <w:bCs/>
          <w:sz w:val="20"/>
          <w:lang w:val="es-ES_tradnl"/>
        </w:rPr>
        <w:t xml:space="preserve"> No obstante, respecto de contratos interadministrativos que se celebran de forma directa en el artículo 2, numeral 4, literal c de la Ley 1150 de 2007 estaría sujeta a la restricción del artículo 33 que aplica a toda entidad y a todo procedimiento que no tenga un carácter competitivo. </w:t>
      </w:r>
    </w:p>
    <w:p w14:paraId="5B129BF7" w14:textId="2CD6E02B" w:rsidR="00C55DC1" w:rsidRDefault="00C55DC1" w:rsidP="00A14D98">
      <w:pPr>
        <w:spacing w:after="0"/>
        <w:rPr>
          <w:rFonts w:ascii="Verdana" w:eastAsia="Verdana" w:hAnsi="Verdana" w:cs="Verdana"/>
          <w:lang w:val="es-ES_tradnl"/>
        </w:rPr>
      </w:pPr>
    </w:p>
    <w:p w14:paraId="4A62ABB9" w14:textId="7829C3D6" w:rsidR="00C55DC1" w:rsidRDefault="00C55DC1" w:rsidP="00A14D98">
      <w:pPr>
        <w:spacing w:after="0"/>
        <w:rPr>
          <w:rFonts w:ascii="Verdana" w:eastAsia="Verdana" w:hAnsi="Verdana" w:cs="Verdana"/>
          <w:lang w:val="es-ES_tradnl"/>
        </w:rPr>
      </w:pPr>
    </w:p>
    <w:p w14:paraId="754ADE01" w14:textId="42E49437" w:rsidR="00C55DC1" w:rsidRDefault="00C55DC1" w:rsidP="00A14D98">
      <w:pPr>
        <w:spacing w:after="0"/>
        <w:rPr>
          <w:rFonts w:ascii="Verdana" w:eastAsia="Verdana" w:hAnsi="Verdana" w:cs="Verdana"/>
          <w:lang w:val="es-ES_tradnl"/>
        </w:rPr>
      </w:pPr>
    </w:p>
    <w:p w14:paraId="5616DF91" w14:textId="2BBEFA84" w:rsidR="00C55DC1" w:rsidRDefault="00C55DC1" w:rsidP="00A14D98">
      <w:pPr>
        <w:spacing w:after="0"/>
        <w:rPr>
          <w:rFonts w:ascii="Verdana" w:eastAsia="Verdana" w:hAnsi="Verdana" w:cs="Verdana"/>
          <w:lang w:val="es-ES_tradnl"/>
        </w:rPr>
      </w:pPr>
    </w:p>
    <w:p w14:paraId="589D66D4" w14:textId="119E07A7" w:rsidR="00C55DC1" w:rsidRDefault="00C55DC1" w:rsidP="00A14D98">
      <w:pPr>
        <w:spacing w:after="0"/>
        <w:rPr>
          <w:rFonts w:ascii="Verdana" w:eastAsia="Verdana" w:hAnsi="Verdana" w:cs="Verdana"/>
          <w:lang w:val="es-ES_tradnl"/>
        </w:rPr>
      </w:pPr>
    </w:p>
    <w:p w14:paraId="769859E5" w14:textId="0DE2BB1A" w:rsidR="00C55DC1" w:rsidRDefault="00C55DC1" w:rsidP="00A14D98">
      <w:pPr>
        <w:spacing w:after="0"/>
        <w:rPr>
          <w:rFonts w:ascii="Verdana" w:eastAsia="Verdana" w:hAnsi="Verdana" w:cs="Verdana"/>
          <w:lang w:val="es-ES_tradnl"/>
        </w:rPr>
      </w:pPr>
    </w:p>
    <w:p w14:paraId="4E30940F" w14:textId="671F54E4" w:rsidR="00C55DC1" w:rsidRDefault="00C55DC1" w:rsidP="00A14D98">
      <w:pPr>
        <w:spacing w:after="0"/>
        <w:rPr>
          <w:rFonts w:ascii="Verdana" w:eastAsia="Verdana" w:hAnsi="Verdana" w:cs="Verdana"/>
          <w:lang w:val="es-ES_tradnl"/>
        </w:rPr>
      </w:pPr>
    </w:p>
    <w:p w14:paraId="38089BC6" w14:textId="596DBDAA" w:rsidR="00C55DC1" w:rsidRDefault="00C55DC1" w:rsidP="00A14D98">
      <w:pPr>
        <w:spacing w:after="0"/>
        <w:rPr>
          <w:rFonts w:ascii="Verdana" w:eastAsia="Verdana" w:hAnsi="Verdana" w:cs="Verdana"/>
          <w:lang w:val="es-ES_tradnl"/>
        </w:rPr>
      </w:pPr>
    </w:p>
    <w:p w14:paraId="62120E94" w14:textId="4FB7FF35" w:rsidR="00C55DC1" w:rsidRDefault="00C55DC1" w:rsidP="00A14D98">
      <w:pPr>
        <w:spacing w:after="0"/>
        <w:rPr>
          <w:rFonts w:ascii="Verdana" w:eastAsia="Verdana" w:hAnsi="Verdana" w:cs="Verdana"/>
          <w:lang w:val="es-ES_tradnl"/>
        </w:rPr>
      </w:pPr>
    </w:p>
    <w:p w14:paraId="60C6683F" w14:textId="376C0010" w:rsidR="00C55DC1" w:rsidRDefault="00C55DC1" w:rsidP="00A14D98">
      <w:pPr>
        <w:spacing w:after="0"/>
        <w:rPr>
          <w:rFonts w:ascii="Verdana" w:eastAsia="Verdana" w:hAnsi="Verdana" w:cs="Verdana"/>
          <w:lang w:val="es-ES_tradnl"/>
        </w:rPr>
      </w:pPr>
    </w:p>
    <w:p w14:paraId="454B280D" w14:textId="43D385F2" w:rsidR="00C55DC1" w:rsidRDefault="00C55DC1" w:rsidP="00A14D98">
      <w:pPr>
        <w:spacing w:after="0"/>
        <w:rPr>
          <w:rFonts w:ascii="Verdana" w:eastAsia="Verdana" w:hAnsi="Verdana" w:cs="Verdana"/>
          <w:lang w:val="es-ES_tradnl"/>
        </w:rPr>
      </w:pPr>
    </w:p>
    <w:p w14:paraId="24C66A8F" w14:textId="6CD30D44" w:rsidR="00C55DC1" w:rsidRDefault="00C55DC1" w:rsidP="00A14D98">
      <w:pPr>
        <w:spacing w:after="0"/>
        <w:rPr>
          <w:rFonts w:ascii="Verdana" w:eastAsia="Verdana" w:hAnsi="Verdana" w:cs="Verdana"/>
          <w:lang w:val="es-ES_tradnl"/>
        </w:rPr>
      </w:pPr>
    </w:p>
    <w:p w14:paraId="77B0D49F" w14:textId="47875835" w:rsidR="00C55DC1" w:rsidRDefault="00C55DC1" w:rsidP="00A14D98">
      <w:pPr>
        <w:spacing w:after="0"/>
        <w:rPr>
          <w:rFonts w:ascii="Verdana" w:eastAsia="Verdana" w:hAnsi="Verdana" w:cs="Verdana"/>
          <w:lang w:val="es-ES_tradnl"/>
        </w:rPr>
      </w:pPr>
    </w:p>
    <w:p w14:paraId="2E4FCA70" w14:textId="4DEAA129" w:rsidR="00C55DC1" w:rsidRDefault="00C55DC1" w:rsidP="00A14D98">
      <w:pPr>
        <w:spacing w:after="0"/>
        <w:rPr>
          <w:rFonts w:ascii="Verdana" w:eastAsia="Verdana" w:hAnsi="Verdana" w:cs="Verdana"/>
          <w:lang w:val="es-ES_tradnl"/>
        </w:rPr>
      </w:pPr>
    </w:p>
    <w:p w14:paraId="3D3582ED" w14:textId="7FC04B4F" w:rsidR="00C55DC1" w:rsidRDefault="00C55DC1" w:rsidP="00A14D98">
      <w:pPr>
        <w:spacing w:after="0"/>
        <w:rPr>
          <w:rFonts w:ascii="Verdana" w:eastAsia="Verdana" w:hAnsi="Verdana" w:cs="Verdana"/>
          <w:lang w:val="es-ES_tradnl"/>
        </w:rPr>
      </w:pPr>
    </w:p>
    <w:p w14:paraId="0F1615D4" w14:textId="02945A3F" w:rsidR="00C55DC1" w:rsidRDefault="00C55DC1" w:rsidP="00A14D98">
      <w:pPr>
        <w:spacing w:after="0"/>
        <w:rPr>
          <w:rFonts w:ascii="Verdana" w:eastAsia="Verdana" w:hAnsi="Verdana" w:cs="Verdana"/>
          <w:lang w:val="es-ES_tradnl"/>
        </w:rPr>
      </w:pPr>
    </w:p>
    <w:p w14:paraId="1056CA14" w14:textId="5A995591" w:rsidR="00C55DC1" w:rsidRDefault="00C55DC1" w:rsidP="00A14D98">
      <w:pPr>
        <w:spacing w:after="0"/>
        <w:rPr>
          <w:rFonts w:ascii="Verdana" w:eastAsia="Verdana" w:hAnsi="Verdana" w:cs="Verdana"/>
          <w:lang w:val="es-ES_tradnl"/>
        </w:rPr>
      </w:pPr>
    </w:p>
    <w:p w14:paraId="477494C3" w14:textId="48E008BE" w:rsidR="00C55DC1" w:rsidRDefault="00C55DC1" w:rsidP="00A14D98">
      <w:pPr>
        <w:spacing w:after="0"/>
        <w:rPr>
          <w:rFonts w:ascii="Verdana" w:eastAsia="Verdana" w:hAnsi="Verdana" w:cs="Verdana"/>
          <w:lang w:val="es-ES_tradnl"/>
        </w:rPr>
      </w:pPr>
    </w:p>
    <w:p w14:paraId="55BC32EB" w14:textId="21A3851C" w:rsidR="00C55DC1" w:rsidRDefault="00C55DC1" w:rsidP="00A14D98">
      <w:pPr>
        <w:spacing w:after="0"/>
        <w:rPr>
          <w:rFonts w:ascii="Verdana" w:eastAsia="Verdana" w:hAnsi="Verdana" w:cs="Verdana"/>
          <w:lang w:val="es-ES_tradnl"/>
        </w:rPr>
      </w:pPr>
    </w:p>
    <w:p w14:paraId="19365645" w14:textId="36513B27" w:rsidR="00C55DC1" w:rsidRDefault="00C55DC1" w:rsidP="00A14D98">
      <w:pPr>
        <w:spacing w:after="0"/>
        <w:rPr>
          <w:rFonts w:ascii="Verdana" w:eastAsia="Verdana" w:hAnsi="Verdana" w:cs="Verdana"/>
          <w:lang w:val="es-ES_tradnl"/>
        </w:rPr>
      </w:pPr>
    </w:p>
    <w:p w14:paraId="655717DD" w14:textId="52AC0F52" w:rsidR="00C55DC1" w:rsidRDefault="00C55DC1" w:rsidP="00A14D98">
      <w:pPr>
        <w:spacing w:after="0"/>
        <w:rPr>
          <w:rFonts w:ascii="Verdana" w:eastAsia="Verdana" w:hAnsi="Verdana" w:cs="Verdana"/>
          <w:lang w:val="es-ES_tradnl"/>
        </w:rPr>
      </w:pPr>
    </w:p>
    <w:p w14:paraId="2DD49249" w14:textId="244F31D5" w:rsidR="00C55DC1" w:rsidRDefault="00C55DC1" w:rsidP="00A14D98">
      <w:pPr>
        <w:spacing w:after="0"/>
        <w:rPr>
          <w:rFonts w:ascii="Verdana" w:eastAsia="Verdana" w:hAnsi="Verdana" w:cs="Verdana"/>
          <w:lang w:val="es-ES_tradnl"/>
        </w:rPr>
      </w:pPr>
    </w:p>
    <w:p w14:paraId="0D377B38" w14:textId="2C89F909" w:rsidR="00C55DC1" w:rsidRDefault="00C55DC1" w:rsidP="00A14D98">
      <w:pPr>
        <w:spacing w:after="0"/>
        <w:rPr>
          <w:rFonts w:ascii="Verdana" w:eastAsia="Verdana" w:hAnsi="Verdana" w:cs="Verdana"/>
          <w:lang w:val="es-ES_tradnl"/>
        </w:rPr>
      </w:pPr>
    </w:p>
    <w:p w14:paraId="4423A363" w14:textId="7B5C4D40" w:rsidR="00C55DC1" w:rsidRDefault="00C55DC1" w:rsidP="00A14D98">
      <w:pPr>
        <w:spacing w:after="0"/>
        <w:rPr>
          <w:rFonts w:ascii="Verdana" w:eastAsia="Verdana" w:hAnsi="Verdana" w:cs="Verdana"/>
          <w:lang w:val="es-ES_tradnl"/>
        </w:rPr>
      </w:pPr>
    </w:p>
    <w:p w14:paraId="1F0C909B" w14:textId="1A447615" w:rsidR="00C55DC1" w:rsidRDefault="00C55DC1" w:rsidP="00A14D98">
      <w:pPr>
        <w:spacing w:after="0"/>
        <w:rPr>
          <w:rFonts w:ascii="Verdana" w:eastAsia="Verdana" w:hAnsi="Verdana" w:cs="Verdana"/>
          <w:lang w:val="es-ES_tradnl"/>
        </w:rPr>
      </w:pPr>
    </w:p>
    <w:p w14:paraId="4F72CF9B" w14:textId="191D6394" w:rsidR="00C55DC1" w:rsidRDefault="00C55DC1" w:rsidP="00A14D98">
      <w:pPr>
        <w:spacing w:after="0"/>
        <w:rPr>
          <w:rFonts w:ascii="Verdana" w:eastAsia="Verdana" w:hAnsi="Verdana" w:cs="Verdana"/>
          <w:lang w:val="es-ES_tradnl"/>
        </w:rPr>
      </w:pPr>
    </w:p>
    <w:p w14:paraId="1781F4B8" w14:textId="28EB97F2" w:rsidR="00C55DC1" w:rsidRDefault="00C55DC1" w:rsidP="00A14D98">
      <w:pPr>
        <w:spacing w:after="0"/>
        <w:rPr>
          <w:rFonts w:ascii="Verdana" w:eastAsia="Verdana" w:hAnsi="Verdana" w:cs="Verdana"/>
          <w:lang w:val="es-ES_tradnl"/>
        </w:rPr>
      </w:pPr>
    </w:p>
    <w:p w14:paraId="7130DC94" w14:textId="61A26634" w:rsidR="00C55DC1" w:rsidRDefault="00C55DC1" w:rsidP="00A14D98">
      <w:pPr>
        <w:spacing w:after="0"/>
        <w:rPr>
          <w:rFonts w:ascii="Verdana" w:eastAsia="Verdana" w:hAnsi="Verdana" w:cs="Verdana"/>
          <w:lang w:val="es-ES_tradnl"/>
        </w:rPr>
      </w:pPr>
    </w:p>
    <w:p w14:paraId="2E37B6ED" w14:textId="109D1F2F" w:rsidR="00C55DC1" w:rsidRDefault="00C55DC1" w:rsidP="00A14D98">
      <w:pPr>
        <w:spacing w:after="0"/>
        <w:rPr>
          <w:rFonts w:ascii="Verdana" w:eastAsia="Verdana" w:hAnsi="Verdana" w:cs="Verdana"/>
          <w:lang w:val="es-ES_tradnl"/>
        </w:rPr>
      </w:pPr>
    </w:p>
    <w:p w14:paraId="76C20C7D" w14:textId="0F0BD9A4" w:rsidR="00C55DC1" w:rsidRDefault="00C55DC1" w:rsidP="00A14D98">
      <w:pPr>
        <w:spacing w:after="0"/>
        <w:rPr>
          <w:rFonts w:ascii="Verdana" w:eastAsia="Verdana" w:hAnsi="Verdana" w:cs="Verdana"/>
          <w:lang w:val="es-ES_tradnl"/>
        </w:rPr>
      </w:pPr>
    </w:p>
    <w:p w14:paraId="54A914C9" w14:textId="7EF5250E" w:rsidR="00C55DC1" w:rsidRDefault="00C55DC1" w:rsidP="00A14D98">
      <w:pPr>
        <w:spacing w:after="0"/>
        <w:rPr>
          <w:rFonts w:ascii="Verdana" w:eastAsia="Verdana" w:hAnsi="Verdana" w:cs="Verdana"/>
          <w:lang w:val="es-ES_tradnl"/>
        </w:rPr>
      </w:pPr>
    </w:p>
    <w:p w14:paraId="1D9B7B9B" w14:textId="20F97DA7" w:rsidR="00C55DC1" w:rsidRDefault="00C55DC1" w:rsidP="00A14D98">
      <w:pPr>
        <w:spacing w:after="0"/>
        <w:rPr>
          <w:rFonts w:ascii="Verdana" w:eastAsia="Verdana" w:hAnsi="Verdana" w:cs="Verdana"/>
          <w:lang w:val="es-ES_tradnl"/>
        </w:rPr>
      </w:pPr>
    </w:p>
    <w:p w14:paraId="043D3052" w14:textId="4C944F6C" w:rsidR="00C55DC1" w:rsidRPr="00C55DC1" w:rsidRDefault="00C55DC1" w:rsidP="00A14D98">
      <w:pPr>
        <w:spacing w:after="0"/>
        <w:rPr>
          <w:rFonts w:ascii="Verdana" w:eastAsia="Verdana" w:hAnsi="Verdana" w:cs="Verdana"/>
          <w:lang w:val="es-ES_tradnl"/>
        </w:rPr>
      </w:pPr>
    </w:p>
    <w:p w14:paraId="2F4AA792" w14:textId="62B57484" w:rsidR="00A14D98" w:rsidRPr="00A14D98" w:rsidRDefault="0094528C" w:rsidP="00A14D98">
      <w:pPr>
        <w:spacing w:after="0"/>
        <w:rPr>
          <w:rFonts w:ascii="Verdana" w:hAnsi="Verdana"/>
        </w:rPr>
      </w:pPr>
      <w:r w:rsidRPr="0094528C">
        <w:rPr>
          <w:noProof/>
          <w:lang w:val="en-US"/>
        </w:rPr>
        <w:lastRenderedPageBreak/>
        <w:drawing>
          <wp:anchor distT="0" distB="0" distL="114300" distR="114300" simplePos="0" relativeHeight="251658240" behindDoc="0" locked="0" layoutInCell="1" allowOverlap="1" wp14:anchorId="3EC3B357" wp14:editId="036E1DCA">
            <wp:simplePos x="0" y="0"/>
            <wp:positionH relativeFrom="margin">
              <wp:align>right</wp:align>
            </wp:positionH>
            <wp:positionV relativeFrom="paragraph">
              <wp:posOffset>14321</wp:posOffset>
            </wp:positionV>
            <wp:extent cx="2774315" cy="765810"/>
            <wp:effectExtent l="0" t="0" r="698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74315" cy="765810"/>
                    </a:xfrm>
                    <a:prstGeom prst="rect">
                      <a:avLst/>
                    </a:prstGeom>
                    <a:noFill/>
                    <a:ln>
                      <a:noFill/>
                    </a:ln>
                  </pic:spPr>
                </pic:pic>
              </a:graphicData>
            </a:graphic>
          </wp:anchor>
        </w:drawing>
      </w:r>
      <w:r w:rsidR="00C55DC1">
        <w:rPr>
          <w:rFonts w:ascii="Verdana" w:eastAsia="Verdana" w:hAnsi="Verdana" w:cs="Verdana"/>
        </w:rPr>
        <w:t>Bogotá D.C., 17 de febrero de 2026</w:t>
      </w:r>
      <w:r w:rsidR="00A14D98" w:rsidRPr="00A14D98">
        <w:tab/>
      </w:r>
    </w:p>
    <w:p w14:paraId="5E0B667A" w14:textId="77777777" w:rsidR="00A14D98" w:rsidRPr="00A14D98" w:rsidRDefault="00A14D98" w:rsidP="00A14D98">
      <w:pPr>
        <w:spacing w:after="0" w:line="240" w:lineRule="auto"/>
        <w:rPr>
          <w:rFonts w:ascii="Verdana" w:hAnsi="Verdana"/>
        </w:rPr>
      </w:pPr>
    </w:p>
    <w:p w14:paraId="7667395F" w14:textId="77777777" w:rsidR="00A14D98" w:rsidRPr="00A14D98" w:rsidRDefault="00A14D98" w:rsidP="00A14D98">
      <w:pPr>
        <w:spacing w:after="0" w:line="240" w:lineRule="auto"/>
        <w:rPr>
          <w:rFonts w:ascii="Verdana" w:hAnsi="Verdana"/>
        </w:rPr>
      </w:pPr>
    </w:p>
    <w:p w14:paraId="7110F6A8" w14:textId="77777777" w:rsidR="00A14D98" w:rsidRPr="00A14D98" w:rsidRDefault="00A14D98" w:rsidP="00A14D98">
      <w:pPr>
        <w:spacing w:after="0" w:line="240" w:lineRule="auto"/>
        <w:rPr>
          <w:rFonts w:ascii="Verdana" w:eastAsia="Calibri" w:hAnsi="Verdana" w:cs="Times New Roman"/>
          <w:lang w:val="es-MX"/>
        </w:rPr>
      </w:pPr>
      <w:r w:rsidRPr="00A14D98">
        <w:rPr>
          <w:rFonts w:ascii="Verdana" w:eastAsia="Calibri" w:hAnsi="Verdana" w:cs="Times New Roman"/>
          <w:lang w:val="es-MX"/>
        </w:rPr>
        <w:t>Señora</w:t>
      </w:r>
    </w:p>
    <w:p w14:paraId="32D382B1" w14:textId="77777777" w:rsidR="00A14D98" w:rsidRPr="00A14D98" w:rsidRDefault="00A14D98" w:rsidP="00A14D98">
      <w:pPr>
        <w:spacing w:after="0" w:line="240" w:lineRule="auto"/>
        <w:rPr>
          <w:rFonts w:ascii="Verdana" w:eastAsia="Calibri" w:hAnsi="Verdana" w:cs="Times New Roman"/>
          <w:b/>
        </w:rPr>
      </w:pPr>
      <w:proofErr w:type="spellStart"/>
      <w:r w:rsidRPr="00A14D98">
        <w:rPr>
          <w:rFonts w:ascii="Verdana" w:eastAsia="Calibri" w:hAnsi="Verdana" w:cs="Times New Roman"/>
          <w:b/>
        </w:rPr>
        <w:t>Maria</w:t>
      </w:r>
      <w:proofErr w:type="spellEnd"/>
      <w:r w:rsidRPr="00A14D98">
        <w:rPr>
          <w:rFonts w:ascii="Verdana" w:eastAsia="Calibri" w:hAnsi="Verdana" w:cs="Times New Roman"/>
          <w:b/>
        </w:rPr>
        <w:t xml:space="preserve"> Enoe Aguirre Hernández</w:t>
      </w:r>
    </w:p>
    <w:p w14:paraId="77499D49" w14:textId="77777777" w:rsidR="00A14D98" w:rsidRPr="00A14D98" w:rsidRDefault="00A14D98" w:rsidP="00A14D98">
      <w:pPr>
        <w:spacing w:after="0" w:line="240" w:lineRule="auto"/>
        <w:rPr>
          <w:rFonts w:ascii="Verdana" w:eastAsia="Calibri" w:hAnsi="Verdana" w:cs="Times New Roman"/>
        </w:rPr>
      </w:pPr>
      <w:hyperlink r:id="rId11" w:history="1">
        <w:r w:rsidRPr="00A14D98">
          <w:rPr>
            <w:rFonts w:ascii="Verdana" w:eastAsia="Calibri" w:hAnsi="Verdana" w:cs="Times New Roman"/>
            <w:color w:val="0000FF"/>
            <w:u w:val="single"/>
          </w:rPr>
          <w:t>contactenos@metrodebogota.gov.co;enoeaguirre42@gmail.com</w:t>
        </w:r>
      </w:hyperlink>
      <w:r w:rsidRPr="00A14D98">
        <w:rPr>
          <w:rFonts w:ascii="Verdana" w:eastAsia="Calibri" w:hAnsi="Verdana" w:cs="Times New Roman"/>
        </w:rPr>
        <w:t xml:space="preserve"> </w:t>
      </w:r>
    </w:p>
    <w:p w14:paraId="5E23E351" w14:textId="77777777" w:rsidR="00A14D98" w:rsidRPr="00A14D98" w:rsidRDefault="00A14D98" w:rsidP="00A14D98">
      <w:pPr>
        <w:spacing w:after="0" w:line="240" w:lineRule="auto"/>
        <w:rPr>
          <w:rFonts w:ascii="Verdana" w:eastAsia="Calibri" w:hAnsi="Verdana" w:cs="Times New Roman"/>
        </w:rPr>
      </w:pPr>
      <w:r w:rsidRPr="00A14D98">
        <w:rPr>
          <w:rFonts w:ascii="Verdana" w:eastAsia="Calibri" w:hAnsi="Verdana" w:cs="Times New Roman"/>
        </w:rPr>
        <w:t>Bogotá D.C.</w:t>
      </w:r>
    </w:p>
    <w:p w14:paraId="21D4868D" w14:textId="77777777" w:rsidR="00A14D98" w:rsidRPr="00A14D98" w:rsidRDefault="00A14D98" w:rsidP="00A14D98">
      <w:pPr>
        <w:spacing w:after="0" w:line="240" w:lineRule="auto"/>
        <w:rPr>
          <w:rFonts w:ascii="Verdana" w:eastAsia="Calibri" w:hAnsi="Verdana" w:cs="Times New Roman"/>
        </w:rPr>
      </w:pPr>
    </w:p>
    <w:p w14:paraId="713A86D1" w14:textId="77777777" w:rsidR="00A14D98" w:rsidRPr="00A14D98" w:rsidRDefault="00A14D98" w:rsidP="00A14D98">
      <w:pPr>
        <w:spacing w:after="0" w:line="256" w:lineRule="auto"/>
        <w:rPr>
          <w:rFonts w:ascii="Verdana" w:eastAsia="Calibri" w:hAnsi="Verdana" w:cs="Times New Roman"/>
        </w:rPr>
      </w:pPr>
    </w:p>
    <w:p w14:paraId="6D52F795" w14:textId="77777777" w:rsidR="00A14D98" w:rsidRPr="00A14D98" w:rsidRDefault="00A14D98" w:rsidP="00A14D98">
      <w:pPr>
        <w:spacing w:after="0" w:line="256" w:lineRule="auto"/>
        <w:rPr>
          <w:rFonts w:ascii="Verdana" w:eastAsia="Calibri" w:hAnsi="Verdana" w:cs="Times New Roman"/>
          <w:b/>
          <w:bCs/>
          <w:lang w:val="es-ES"/>
        </w:rPr>
      </w:pPr>
      <w:r w:rsidRPr="00A14D98">
        <w:rPr>
          <w:rFonts w:ascii="Verdana" w:eastAsia="Calibri" w:hAnsi="Verdana" w:cs="Times New Roman"/>
          <w:b/>
          <w:bCs/>
          <w:lang w:val="es-ES"/>
        </w:rPr>
        <w:t xml:space="preserve">                                    Concepto C- 137 de 2026</w:t>
      </w:r>
    </w:p>
    <w:p w14:paraId="22F1127B" w14:textId="77777777" w:rsidR="00A14D98" w:rsidRPr="00A14D98" w:rsidRDefault="00A14D98" w:rsidP="00A14D9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14D98" w:rsidRPr="00A14D98" w14:paraId="4B1CABDE" w14:textId="77777777" w:rsidTr="00191AA4">
        <w:trPr>
          <w:trHeight w:val="645"/>
        </w:trPr>
        <w:tc>
          <w:tcPr>
            <w:tcW w:w="2685" w:type="dxa"/>
            <w:hideMark/>
          </w:tcPr>
          <w:p w14:paraId="155EBC32" w14:textId="77777777" w:rsidR="00A14D98" w:rsidRPr="00A14D98" w:rsidRDefault="00A14D98" w:rsidP="00A14D98">
            <w:pPr>
              <w:spacing w:line="256" w:lineRule="auto"/>
              <w:rPr>
                <w:rFonts w:ascii="Verdana" w:hAnsi="Verdana"/>
                <w:b/>
                <w:bCs/>
                <w:lang w:val="es-ES_tradnl"/>
              </w:rPr>
            </w:pPr>
            <w:r w:rsidRPr="00A14D98">
              <w:rPr>
                <w:rFonts w:ascii="Verdana" w:hAnsi="Verdana"/>
                <w:b/>
                <w:bCs/>
                <w:lang w:val="es-ES_tradnl"/>
              </w:rPr>
              <w:t xml:space="preserve">Temas:                   </w:t>
            </w:r>
          </w:p>
        </w:tc>
        <w:tc>
          <w:tcPr>
            <w:tcW w:w="6241" w:type="dxa"/>
            <w:hideMark/>
          </w:tcPr>
          <w:p w14:paraId="6E6696E3" w14:textId="5587C420" w:rsidR="00A14D98" w:rsidRPr="00A14D98" w:rsidRDefault="00A14D98" w:rsidP="00A14D98">
            <w:pPr>
              <w:spacing w:line="276" w:lineRule="auto"/>
              <w:jc w:val="both"/>
              <w:rPr>
                <w:rFonts w:ascii="Verdana" w:hAnsi="Verdana" w:cs="Arial"/>
                <w:lang w:val="es-ES" w:eastAsia="es-ES"/>
              </w:rPr>
            </w:pPr>
            <w:r w:rsidRPr="00A14D98">
              <w:rPr>
                <w:rFonts w:ascii="Verdana" w:hAnsi="Verdana" w:cs="Arial"/>
                <w:lang w:val="es-MX" w:eastAsia="es-ES_tradnl"/>
              </w:rPr>
              <w:t xml:space="preserve">LEY DE GARANTÍAS ELECTORALES </w:t>
            </w:r>
            <w:r w:rsidRPr="00A14D98">
              <w:rPr>
                <w:rFonts w:ascii="Verdana" w:hAnsi="Verdana" w:cs="Arial"/>
                <w:bCs/>
                <w:lang w:val="es-MX" w:eastAsia="es-ES_tradnl"/>
              </w:rPr>
              <w:t>‒</w:t>
            </w:r>
            <w:r w:rsidRPr="00A14D98">
              <w:rPr>
                <w:rFonts w:ascii="Verdana" w:hAnsi="Verdana" w:cs="Arial"/>
                <w:lang w:val="es-MX" w:eastAsia="es-ES_tradnl"/>
              </w:rPr>
              <w:t xml:space="preserve"> Finalidad / LEY DE GARANTÍAS ELECTORALES </w:t>
            </w:r>
            <w:r w:rsidRPr="00A14D98">
              <w:rPr>
                <w:rFonts w:ascii="Verdana" w:hAnsi="Verdana" w:cs="Arial"/>
                <w:bCs/>
                <w:lang w:val="es-MX" w:eastAsia="es-ES_tradnl"/>
              </w:rPr>
              <w:t>‒</w:t>
            </w:r>
            <w:r w:rsidRPr="00A14D98">
              <w:rPr>
                <w:rFonts w:ascii="Verdana" w:hAnsi="Verdana" w:cs="Arial"/>
                <w:lang w:val="es-MX" w:eastAsia="es-ES_tradnl"/>
              </w:rPr>
              <w:t xml:space="preserve"> Tipos de restricciones </w:t>
            </w:r>
            <w:r w:rsidRPr="00A14D98">
              <w:rPr>
                <w:rFonts w:ascii="Verdana" w:hAnsi="Verdana" w:cs="Arial"/>
                <w:bCs/>
                <w:lang w:val="es-MX" w:eastAsia="es-ES_tradnl"/>
              </w:rPr>
              <w:t>‒</w:t>
            </w:r>
            <w:r w:rsidRPr="00A14D98">
              <w:rPr>
                <w:rFonts w:ascii="Verdana" w:hAnsi="Verdana" w:cs="Arial"/>
                <w:lang w:val="es-MX" w:eastAsia="es-ES_tradnl"/>
              </w:rPr>
              <w:t xml:space="preserve">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LEY DE GARANTÍAS ELECTORALES – Contratos y convenios interadministrativos – Criterio orgánico / LEY DE GARANTÍAS ELECTORALES –Restricción- Convenios interadministrativos – Postura del Consejo de Estado / CONTRATACIÓN DIRECTA – Causal – Adquisición de Bienes Inmuebles – Restricción – Ley de Garantías Electorales </w:t>
            </w:r>
          </w:p>
        </w:tc>
        <w:tc>
          <w:tcPr>
            <w:tcW w:w="6237" w:type="dxa"/>
          </w:tcPr>
          <w:p w14:paraId="70B782AA" w14:textId="77777777" w:rsidR="00A14D98" w:rsidRPr="00A14D98" w:rsidRDefault="00A14D98" w:rsidP="00A14D98">
            <w:pPr>
              <w:spacing w:line="256" w:lineRule="auto"/>
              <w:rPr>
                <w:rFonts w:ascii="Verdana" w:hAnsi="Verdana"/>
              </w:rPr>
            </w:pPr>
          </w:p>
        </w:tc>
      </w:tr>
      <w:tr w:rsidR="00A14D98" w:rsidRPr="00A14D98" w14:paraId="387DDC8C" w14:textId="77777777" w:rsidTr="00191AA4">
        <w:tc>
          <w:tcPr>
            <w:tcW w:w="2685" w:type="dxa"/>
          </w:tcPr>
          <w:p w14:paraId="25FA4415" w14:textId="77777777" w:rsidR="00A14D98" w:rsidRPr="00A14D98" w:rsidRDefault="00A14D98" w:rsidP="00A14D98">
            <w:pPr>
              <w:rPr>
                <w:rFonts w:ascii="Verdana" w:hAnsi="Verdana"/>
                <w:b/>
                <w:bCs/>
                <w:lang w:val="es-ES_tradnl"/>
              </w:rPr>
            </w:pPr>
          </w:p>
          <w:p w14:paraId="0D12AAB4" w14:textId="77777777" w:rsidR="00A14D98" w:rsidRPr="00A14D98" w:rsidRDefault="00A14D98" w:rsidP="00A14D98">
            <w:pPr>
              <w:rPr>
                <w:rFonts w:ascii="Verdana" w:hAnsi="Verdana"/>
                <w:b/>
                <w:bCs/>
                <w:lang w:val="es-ES_tradnl"/>
              </w:rPr>
            </w:pPr>
          </w:p>
          <w:p w14:paraId="202B8366" w14:textId="77777777" w:rsidR="00A14D98" w:rsidRPr="00A14D98" w:rsidRDefault="00A14D98" w:rsidP="00A14D98">
            <w:pPr>
              <w:rPr>
                <w:rFonts w:ascii="Verdana" w:hAnsi="Verdana"/>
                <w:b/>
                <w:bCs/>
                <w:lang w:val="es-ES_tradnl"/>
              </w:rPr>
            </w:pPr>
            <w:r w:rsidRPr="00A14D98">
              <w:rPr>
                <w:rFonts w:ascii="Verdana" w:hAnsi="Verdana"/>
                <w:b/>
                <w:bCs/>
                <w:lang w:val="es-ES_tradnl"/>
              </w:rPr>
              <w:t xml:space="preserve">Radicación:               </w:t>
            </w:r>
          </w:p>
        </w:tc>
        <w:tc>
          <w:tcPr>
            <w:tcW w:w="6241" w:type="dxa"/>
          </w:tcPr>
          <w:p w14:paraId="405CA8E3" w14:textId="77777777" w:rsidR="00A14D98" w:rsidRPr="00A14D98" w:rsidRDefault="00A14D98" w:rsidP="00A14D98">
            <w:pPr>
              <w:jc w:val="both"/>
              <w:rPr>
                <w:rFonts w:ascii="Verdana" w:hAnsi="Verdana"/>
                <w:lang w:val="es-ES_tradnl"/>
              </w:rPr>
            </w:pPr>
          </w:p>
          <w:p w14:paraId="3DC7D538" w14:textId="77777777" w:rsidR="00A14D98" w:rsidRPr="00A14D98" w:rsidRDefault="00A14D98" w:rsidP="00A14D98">
            <w:pPr>
              <w:jc w:val="both"/>
              <w:rPr>
                <w:rFonts w:ascii="Verdana" w:hAnsi="Verdana"/>
                <w:lang w:val="es-ES_tradnl"/>
              </w:rPr>
            </w:pPr>
          </w:p>
          <w:p w14:paraId="364BAD7F" w14:textId="77777777" w:rsidR="00A14D98" w:rsidRPr="00A14D98" w:rsidRDefault="00A14D98" w:rsidP="00A14D98">
            <w:pPr>
              <w:jc w:val="both"/>
              <w:rPr>
                <w:rFonts w:ascii="Verdana" w:hAnsi="Verdana"/>
                <w:lang w:val="es-ES_tradnl"/>
              </w:rPr>
            </w:pPr>
            <w:r w:rsidRPr="00A14D98">
              <w:rPr>
                <w:rFonts w:ascii="Verdana" w:hAnsi="Verdana"/>
                <w:lang w:val="es-ES_tradnl"/>
              </w:rPr>
              <w:t>Respuesta a consulta con radicado No.</w:t>
            </w:r>
            <w:r w:rsidRPr="00A14D98">
              <w:rPr>
                <w:rFonts w:ascii="Verdana" w:hAnsi="Verdana" w:cs="Segoe UI"/>
                <w:shd w:val="clear" w:color="auto" w:fill="FFFFFF"/>
              </w:rPr>
              <w:t xml:space="preserve"> 1_2026_02_02_001168</w:t>
            </w:r>
          </w:p>
          <w:p w14:paraId="104BA70C" w14:textId="77777777" w:rsidR="00A14D98" w:rsidRPr="00A14D98" w:rsidRDefault="00A14D98" w:rsidP="00A14D98">
            <w:pPr>
              <w:jc w:val="both"/>
              <w:rPr>
                <w:rFonts w:ascii="Verdana" w:hAnsi="Verdana"/>
              </w:rPr>
            </w:pPr>
          </w:p>
          <w:p w14:paraId="41543CE5" w14:textId="77777777" w:rsidR="00A14D98" w:rsidRPr="00A14D98" w:rsidRDefault="00A14D98" w:rsidP="00A14D98">
            <w:pPr>
              <w:jc w:val="both"/>
              <w:rPr>
                <w:rFonts w:ascii="Verdana" w:hAnsi="Verdana"/>
              </w:rPr>
            </w:pPr>
          </w:p>
        </w:tc>
        <w:tc>
          <w:tcPr>
            <w:tcW w:w="6237" w:type="dxa"/>
          </w:tcPr>
          <w:p w14:paraId="57B0E63F" w14:textId="77777777" w:rsidR="00A14D98" w:rsidRPr="00A14D98" w:rsidRDefault="00A14D98" w:rsidP="00A14D98">
            <w:pPr>
              <w:spacing w:line="256" w:lineRule="auto"/>
              <w:rPr>
                <w:rFonts w:ascii="Verdana" w:hAnsi="Verdana"/>
                <w:lang w:val="es-ES_tradnl"/>
              </w:rPr>
            </w:pPr>
          </w:p>
        </w:tc>
      </w:tr>
    </w:tbl>
    <w:p w14:paraId="4F82C2A5" w14:textId="77777777" w:rsidR="00A14D98" w:rsidRPr="00A14D98" w:rsidRDefault="00A14D98" w:rsidP="00A14D98">
      <w:pPr>
        <w:spacing w:after="0" w:line="256" w:lineRule="auto"/>
        <w:rPr>
          <w:rFonts w:ascii="Verdana" w:eastAsia="Calibri" w:hAnsi="Verdana" w:cs="Times New Roman"/>
          <w:lang w:val="es-ES"/>
        </w:rPr>
      </w:pPr>
      <w:r w:rsidRPr="00A14D98">
        <w:rPr>
          <w:rFonts w:ascii="Verdana" w:eastAsia="Calibri" w:hAnsi="Verdana" w:cs="Times New Roman"/>
          <w:lang w:val="es-ES"/>
        </w:rPr>
        <w:t xml:space="preserve">Estimada Señora Aguirre: </w:t>
      </w:r>
    </w:p>
    <w:p w14:paraId="66722156" w14:textId="77777777" w:rsidR="00A14D98" w:rsidRPr="00A14D98" w:rsidRDefault="00A14D98" w:rsidP="00A14D98">
      <w:pPr>
        <w:spacing w:after="0" w:line="256" w:lineRule="auto"/>
        <w:rPr>
          <w:rFonts w:ascii="Verdana" w:eastAsia="Calibri" w:hAnsi="Verdana" w:cs="Times New Roman"/>
          <w:lang w:val="es-ES"/>
        </w:rPr>
      </w:pPr>
    </w:p>
    <w:p w14:paraId="4375C193" w14:textId="77777777" w:rsidR="00A14D98" w:rsidRPr="00A14D98" w:rsidRDefault="00A14D98" w:rsidP="00A14D98">
      <w:pPr>
        <w:spacing w:after="0" w:line="276" w:lineRule="auto"/>
        <w:jc w:val="both"/>
        <w:rPr>
          <w:rFonts w:ascii="Verdana" w:eastAsia="Calibri" w:hAnsi="Verdana" w:cs="Times New Roman"/>
        </w:rPr>
      </w:pPr>
      <w:r w:rsidRPr="00A14D98">
        <w:rPr>
          <w:rFonts w:ascii="Verdana" w:eastAsia="Calibri" w:hAnsi="Verdana" w:cs="Times New Roman"/>
          <w:bCs/>
          <w:lang w:val="es-ES" w:bidi="es-ES"/>
        </w:rPr>
        <w:t xml:space="preserve">En ejercicio de la competencia otorgada por los artículos 3, numeral 5º, y 11, numeral 8º, del Decreto Ley 4170 de 2011, </w:t>
      </w:r>
      <w:r w:rsidRPr="00A14D98">
        <w:rPr>
          <w:rFonts w:ascii="Verdana" w:eastAsia="Calibri" w:hAnsi="Verdana" w:cs="Times New Roman"/>
          <w:bCs/>
        </w:rPr>
        <w:t xml:space="preserve">así como lo establecido por la Resolución 469 de 2025 expedida por esta Entidad, </w:t>
      </w:r>
      <w:r w:rsidRPr="00A14D98">
        <w:rPr>
          <w:rFonts w:ascii="Verdana" w:eastAsia="Calibri" w:hAnsi="Verdana" w:cs="Times New Roman"/>
          <w:bCs/>
          <w:lang w:val="es-ES" w:bidi="es-ES"/>
        </w:rPr>
        <w:t xml:space="preserve">la Agencia Nacional de </w:t>
      </w:r>
      <w:r w:rsidRPr="00A14D98">
        <w:rPr>
          <w:rFonts w:ascii="Verdana" w:eastAsia="Calibri" w:hAnsi="Verdana" w:cs="Times New Roman"/>
          <w:bCs/>
          <w:lang w:val="es-ES" w:bidi="es-ES"/>
        </w:rPr>
        <w:lastRenderedPageBreak/>
        <w:t>Contratación Pública – Colombia Compra Eficiente–</w:t>
      </w:r>
      <w:r w:rsidRPr="00A14D98">
        <w:rPr>
          <w:rFonts w:ascii="Verdana" w:eastAsia="Calibri" w:hAnsi="Verdana" w:cs="Times New Roman"/>
          <w:lang w:val="es-ES"/>
        </w:rPr>
        <w:t xml:space="preserve"> responde la solicitud de consulta presentada el 2 de febrero de 2026, en la cual manifiesta:</w:t>
      </w:r>
      <w:r w:rsidRPr="00A14D98">
        <w:rPr>
          <w:rFonts w:ascii="Verdana" w:eastAsia="Calibri" w:hAnsi="Verdana" w:cs="Times New Roman"/>
        </w:rPr>
        <w:t xml:space="preserve"> </w:t>
      </w:r>
    </w:p>
    <w:p w14:paraId="178FFC5F" w14:textId="77777777" w:rsidR="00A14D98" w:rsidRPr="00A14D98" w:rsidRDefault="00A14D98" w:rsidP="00A14D98">
      <w:pPr>
        <w:spacing w:after="0" w:line="240" w:lineRule="auto"/>
        <w:ind w:right="709"/>
        <w:jc w:val="both"/>
        <w:rPr>
          <w:rFonts w:ascii="Verdana" w:eastAsia="Calibri" w:hAnsi="Verdana" w:cs="Times New Roman"/>
          <w:iCs/>
          <w:sz w:val="20"/>
        </w:rPr>
      </w:pPr>
    </w:p>
    <w:p w14:paraId="09D1856F" w14:textId="77777777" w:rsidR="00A14D98" w:rsidRPr="00A14D98" w:rsidRDefault="00A14D98" w:rsidP="00A14D98">
      <w:pPr>
        <w:spacing w:after="0" w:line="240" w:lineRule="auto"/>
        <w:ind w:left="709" w:right="709"/>
        <w:jc w:val="both"/>
        <w:rPr>
          <w:rFonts w:ascii="Verdana" w:eastAsia="Calibri" w:hAnsi="Verdana" w:cs="Times New Roman"/>
          <w:iCs/>
          <w:sz w:val="20"/>
        </w:rPr>
      </w:pPr>
      <w:r w:rsidRPr="00A14D98">
        <w:rPr>
          <w:rFonts w:ascii="Verdana" w:eastAsia="Calibri" w:hAnsi="Verdana" w:cs="Times New Roman"/>
          <w:iCs/>
          <w:sz w:val="20"/>
        </w:rPr>
        <w:t>“1. La procedencia legal de la compra de predios durante el periodo de restricciones electorales.</w:t>
      </w:r>
    </w:p>
    <w:p w14:paraId="45F89A49" w14:textId="77777777" w:rsidR="00A14D98" w:rsidRPr="00A14D98" w:rsidRDefault="00A14D98" w:rsidP="00A14D98">
      <w:pPr>
        <w:spacing w:after="0" w:line="240" w:lineRule="auto"/>
        <w:ind w:left="709" w:right="709"/>
        <w:jc w:val="both"/>
        <w:rPr>
          <w:rFonts w:ascii="Verdana" w:eastAsia="Calibri" w:hAnsi="Verdana" w:cs="Times New Roman"/>
          <w:iCs/>
          <w:sz w:val="20"/>
        </w:rPr>
      </w:pPr>
      <w:r w:rsidRPr="00A14D98">
        <w:rPr>
          <w:rFonts w:ascii="Verdana" w:eastAsia="Calibri" w:hAnsi="Verdana" w:cs="Times New Roman"/>
          <w:iCs/>
          <w:sz w:val="20"/>
        </w:rPr>
        <w:t>2. La aplicación de las excepciones previstas para proyectos de interés público, infraestructura y continuidad administrativa.</w:t>
      </w:r>
    </w:p>
    <w:p w14:paraId="6D43CDBD" w14:textId="77777777" w:rsidR="00A14D98" w:rsidRPr="00A14D98" w:rsidRDefault="00A14D98" w:rsidP="00A14D98">
      <w:pPr>
        <w:spacing w:after="0" w:line="240" w:lineRule="auto"/>
        <w:ind w:left="709" w:right="709"/>
        <w:jc w:val="both"/>
        <w:rPr>
          <w:rFonts w:ascii="Verdana" w:eastAsia="Calibri" w:hAnsi="Verdana" w:cs="Times New Roman"/>
          <w:iCs/>
          <w:sz w:val="20"/>
        </w:rPr>
      </w:pPr>
      <w:r w:rsidRPr="00A14D98">
        <w:rPr>
          <w:rFonts w:ascii="Verdana" w:eastAsia="Calibri" w:hAnsi="Verdana" w:cs="Times New Roman"/>
          <w:iCs/>
          <w:sz w:val="20"/>
        </w:rPr>
        <w:t>3. El tratamiento jurídico de los procesos de gestión predial iniciados con anterioridad a la vigencia de la Ley de Garantías.</w:t>
      </w:r>
    </w:p>
    <w:p w14:paraId="5D38C917" w14:textId="77777777" w:rsidR="00A14D98" w:rsidRPr="00A14D98" w:rsidRDefault="00A14D98" w:rsidP="00A14D98">
      <w:pPr>
        <w:spacing w:after="0" w:line="240" w:lineRule="auto"/>
        <w:ind w:left="709" w:right="709"/>
        <w:jc w:val="both"/>
        <w:rPr>
          <w:rFonts w:ascii="Verdana" w:eastAsia="Calibri" w:hAnsi="Verdana" w:cs="Times New Roman"/>
          <w:iCs/>
          <w:sz w:val="20"/>
        </w:rPr>
      </w:pPr>
      <w:r w:rsidRPr="00A14D98">
        <w:rPr>
          <w:rFonts w:ascii="Verdana" w:eastAsia="Calibri" w:hAnsi="Verdana" w:cs="Times New Roman"/>
          <w:iCs/>
          <w:sz w:val="20"/>
        </w:rPr>
        <w:t>4. Lineamientos o buenas prácticas adoptadas por esa entidad frente a escenarios similares”</w:t>
      </w:r>
    </w:p>
    <w:p w14:paraId="668753E4" w14:textId="77777777" w:rsidR="00A14D98" w:rsidRPr="00A14D98" w:rsidRDefault="00A14D98" w:rsidP="00A14D98">
      <w:pPr>
        <w:spacing w:after="0" w:line="240" w:lineRule="auto"/>
        <w:ind w:right="709"/>
        <w:jc w:val="both"/>
        <w:rPr>
          <w:rFonts w:ascii="Verdana" w:eastAsia="Calibri" w:hAnsi="Verdana" w:cs="Times New Roman"/>
          <w:i/>
          <w:iCs/>
          <w:sz w:val="20"/>
        </w:rPr>
      </w:pPr>
    </w:p>
    <w:p w14:paraId="70AA382D" w14:textId="77777777" w:rsidR="00A14D98" w:rsidRPr="00A14D98" w:rsidRDefault="00A14D98" w:rsidP="00A14D98">
      <w:pPr>
        <w:spacing w:after="120" w:line="276" w:lineRule="auto"/>
        <w:ind w:firstLine="709"/>
        <w:jc w:val="both"/>
        <w:rPr>
          <w:rFonts w:ascii="Verdana" w:eastAsia="Calibri" w:hAnsi="Verdana" w:cs="Times New Roman"/>
          <w:lang w:val="es-ES"/>
        </w:rPr>
      </w:pPr>
      <w:r w:rsidRPr="00A14D98">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D3A1B32" w14:textId="77777777" w:rsidR="00A14D98" w:rsidRPr="00A14D98" w:rsidRDefault="00A14D98" w:rsidP="00A14D98">
      <w:pPr>
        <w:spacing w:after="0" w:line="276" w:lineRule="auto"/>
        <w:ind w:firstLine="708"/>
        <w:jc w:val="both"/>
        <w:rPr>
          <w:rFonts w:ascii="Verdana" w:eastAsia="Calibri" w:hAnsi="Verdana" w:cs="Times New Roman"/>
          <w:lang w:val="es-ES"/>
        </w:rPr>
      </w:pPr>
      <w:r w:rsidRPr="00A14D9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3228F3" w14:textId="77777777" w:rsidR="00A14D98" w:rsidRPr="00A14D98" w:rsidRDefault="00A14D98" w:rsidP="00A14D98">
      <w:pPr>
        <w:spacing w:after="0" w:line="276" w:lineRule="auto"/>
        <w:rPr>
          <w:rFonts w:ascii="Verdana" w:eastAsia="Calibri" w:hAnsi="Verdana" w:cs="Times New Roman"/>
          <w:lang w:val="es-ES"/>
        </w:rPr>
      </w:pPr>
    </w:p>
    <w:p w14:paraId="2459DFAD" w14:textId="77777777" w:rsidR="00A14D98" w:rsidRPr="00A14D98" w:rsidRDefault="00A14D98" w:rsidP="00A14D98">
      <w:pPr>
        <w:numPr>
          <w:ilvl w:val="0"/>
          <w:numId w:val="19"/>
        </w:numPr>
        <w:spacing w:after="0" w:line="276" w:lineRule="auto"/>
        <w:contextualSpacing/>
        <w:rPr>
          <w:rFonts w:ascii="Verdana" w:eastAsia="Calibri" w:hAnsi="Verdana" w:cs="Times New Roman"/>
          <w:b/>
          <w:bCs/>
          <w:lang w:val="es-ES"/>
        </w:rPr>
      </w:pPr>
      <w:r w:rsidRPr="00A14D98">
        <w:rPr>
          <w:rFonts w:ascii="Verdana" w:eastAsia="Calibri" w:hAnsi="Verdana" w:cs="Times New Roman"/>
          <w:b/>
          <w:bCs/>
          <w:lang w:val="es-ES"/>
        </w:rPr>
        <w:t>Problema planteado:</w:t>
      </w:r>
    </w:p>
    <w:p w14:paraId="26E6AAD1" w14:textId="77777777" w:rsidR="00A14D98" w:rsidRPr="00A14D98" w:rsidRDefault="00A14D98" w:rsidP="00A14D98">
      <w:pPr>
        <w:spacing w:after="0" w:line="276" w:lineRule="auto"/>
        <w:rPr>
          <w:rFonts w:ascii="Verdana" w:eastAsia="Calibri" w:hAnsi="Verdana" w:cs="Times New Roman"/>
        </w:rPr>
      </w:pPr>
    </w:p>
    <w:p w14:paraId="7A33EBE3" w14:textId="77777777" w:rsidR="00A14D98" w:rsidRPr="00A14D98" w:rsidRDefault="00A14D98" w:rsidP="00A14D98">
      <w:pPr>
        <w:spacing w:after="0" w:line="276" w:lineRule="auto"/>
        <w:jc w:val="both"/>
        <w:rPr>
          <w:rFonts w:ascii="Verdana" w:eastAsia="Calibri" w:hAnsi="Verdana" w:cs="Times New Roman"/>
          <w:iCs/>
        </w:rPr>
      </w:pPr>
      <w:r w:rsidRPr="00A14D98">
        <w:rPr>
          <w:rFonts w:ascii="Verdana" w:eastAsia="Calibri" w:hAnsi="Verdana" w:cs="Times New Roman"/>
        </w:rPr>
        <w:t>De acuerdo con el contenido de sus solicitudes, esta Agencia procede a resolver el siguiente problema jurídico:</w:t>
      </w:r>
      <w:r w:rsidRPr="00A14D98">
        <w:rPr>
          <w:rFonts w:ascii="Verdana" w:eastAsia="Calibri" w:hAnsi="Verdana" w:cs="Times New Roman"/>
          <w:iCs/>
          <w:lang w:val="es-ES"/>
        </w:rPr>
        <w:t xml:space="preserve"> ¿La celebración de contratos mediante escrituras públicas por parte de una entidad estatal para la adquisición de bienes inmuebles –predios- está restringida durante la Ley de Garantías Electorales?</w:t>
      </w:r>
    </w:p>
    <w:p w14:paraId="34ED6D1C" w14:textId="77777777" w:rsidR="00A14D98" w:rsidRPr="00A14D98" w:rsidRDefault="00A14D98" w:rsidP="00A14D98">
      <w:pPr>
        <w:spacing w:after="0" w:line="276" w:lineRule="auto"/>
        <w:jc w:val="both"/>
        <w:rPr>
          <w:rFonts w:ascii="Verdana" w:eastAsia="Calibri" w:hAnsi="Verdana" w:cs="Times New Roman"/>
          <w:i/>
          <w:iCs/>
        </w:rPr>
      </w:pPr>
    </w:p>
    <w:p w14:paraId="137F9893" w14:textId="77777777" w:rsidR="00A14D98" w:rsidRPr="00A14D98" w:rsidRDefault="00A14D98" w:rsidP="00A14D98">
      <w:pPr>
        <w:numPr>
          <w:ilvl w:val="0"/>
          <w:numId w:val="19"/>
        </w:numPr>
        <w:spacing w:after="0" w:line="276" w:lineRule="auto"/>
        <w:contextualSpacing/>
        <w:rPr>
          <w:rFonts w:ascii="Verdana" w:eastAsia="Calibri" w:hAnsi="Verdana" w:cs="Times New Roman"/>
          <w:b/>
          <w:bCs/>
          <w:lang w:val="es-ES"/>
        </w:rPr>
      </w:pPr>
      <w:r w:rsidRPr="00A14D98">
        <w:rPr>
          <w:rFonts w:ascii="Verdana" w:eastAsia="Calibri" w:hAnsi="Verdana" w:cs="Times New Roman"/>
          <w:b/>
          <w:bCs/>
          <w:lang w:val="es-ES"/>
        </w:rPr>
        <w:t>Respuesta:</w:t>
      </w:r>
    </w:p>
    <w:p w14:paraId="210D0B3B" w14:textId="77777777" w:rsidR="00A14D98" w:rsidRPr="00A14D98" w:rsidRDefault="00A14D98" w:rsidP="00A14D98">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14D98" w:rsidRPr="00A14D98" w14:paraId="56A66113" w14:textId="77777777" w:rsidTr="00191AA4">
        <w:trPr>
          <w:trHeight w:val="345"/>
          <w:jc w:val="center"/>
        </w:trPr>
        <w:tc>
          <w:tcPr>
            <w:tcW w:w="8784" w:type="dxa"/>
            <w:tcBorders>
              <w:bottom w:val="single" w:sz="4" w:space="0" w:color="auto"/>
            </w:tcBorders>
          </w:tcPr>
          <w:p w14:paraId="0C74A962" w14:textId="77777777" w:rsidR="00A14D98" w:rsidRPr="00A14D98" w:rsidRDefault="00A14D98" w:rsidP="00A14D98">
            <w:pPr>
              <w:spacing w:after="120" w:line="276" w:lineRule="auto"/>
              <w:jc w:val="both"/>
              <w:rPr>
                <w:rFonts w:ascii="Verdana" w:eastAsia="Calibri" w:hAnsi="Verdana" w:cs="Arial"/>
                <w:color w:val="000000"/>
                <w:bdr w:val="none" w:sz="0" w:space="0" w:color="auto" w:frame="1"/>
                <w:lang w:val="es-MX" w:eastAsia="es-ES_tradnl"/>
              </w:rPr>
            </w:pPr>
            <w:r w:rsidRPr="00A14D98">
              <w:rPr>
                <w:rFonts w:ascii="Verdana" w:eastAsia="Times New Roman" w:hAnsi="Verdana" w:cs="Arial"/>
                <w:lang w:val="es-ES" w:eastAsia="es-ES_tradnl"/>
              </w:rPr>
              <w:t xml:space="preserve">De acuerdo, al problema jurídico, objeto de consulta, se precisa la adquisición de bienes inmuebles –predios- trata de un causal de la contratación directa regulada en </w:t>
            </w:r>
            <w:r w:rsidRPr="00A14D98">
              <w:rPr>
                <w:rFonts w:ascii="Verdana" w:eastAsia="Times New Roman" w:hAnsi="Verdana" w:cs="Arial"/>
                <w:lang w:val="es-ES_tradnl" w:eastAsia="es-ES_tradnl"/>
              </w:rPr>
              <w:t>el literal i) del numeral 4 del artículo 2º de la Ley 1150 de 2007</w:t>
            </w:r>
            <w:r w:rsidRPr="00A14D98">
              <w:rPr>
                <w:rFonts w:ascii="Verdana" w:eastAsia="Times New Roman" w:hAnsi="Verdana" w:cs="Arial"/>
                <w:lang w:val="es-ES" w:eastAsia="es-ES_tradnl"/>
              </w:rPr>
              <w:t>, esto es, un procedimiento de contratación estatal no competitivo que está restringido por la prohibición establecida en el artículo 33 de la Ley 996 de 2005 que aplica a todas las entidades del Estado</w:t>
            </w:r>
            <w:r w:rsidRPr="00A14D98">
              <w:rPr>
                <w:rFonts w:ascii="Verdana" w:eastAsia="Times New Roman" w:hAnsi="Verdana" w:cs="Arial"/>
                <w:bCs/>
                <w:lang w:val="es-MX" w:eastAsia="x-none"/>
              </w:rPr>
              <w:t xml:space="preserve"> </w:t>
            </w:r>
            <w:r w:rsidRPr="00A14D98">
              <w:rPr>
                <w:rFonts w:ascii="Verdana" w:eastAsia="Times New Roman" w:hAnsi="Verdana" w:cs="Arial"/>
                <w:bCs/>
                <w:lang w:val="es-MX" w:eastAsia="es-ES_tradnl"/>
              </w:rPr>
              <w:t>dentro de los cuatro (4) meses anteriores a la celebración de los comicios presidenciales</w:t>
            </w:r>
            <w:r w:rsidRPr="00A14D98">
              <w:rPr>
                <w:rFonts w:ascii="Verdana" w:eastAsia="Times New Roman" w:hAnsi="Verdana" w:cs="Arial"/>
                <w:lang w:val="es-ES" w:eastAsia="es-ES_tradnl"/>
              </w:rPr>
              <w:t xml:space="preserve">. </w:t>
            </w:r>
            <w:r w:rsidRPr="00A14D98">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p w14:paraId="7292CAFF" w14:textId="77777777" w:rsidR="00A14D98" w:rsidRPr="00A14D98" w:rsidRDefault="00A14D98" w:rsidP="00A14D98">
            <w:pPr>
              <w:spacing w:after="120" w:line="276" w:lineRule="auto"/>
              <w:ind w:firstLine="709"/>
              <w:jc w:val="both"/>
              <w:rPr>
                <w:rFonts w:ascii="Verdana" w:eastAsia="Times New Roman" w:hAnsi="Verdana" w:cs="Arial"/>
                <w:bCs/>
                <w:lang w:val="es-MX" w:eastAsia="x-none"/>
              </w:rPr>
            </w:pPr>
            <w:r w:rsidRPr="00A14D98">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A14D98">
              <w:rPr>
                <w:rFonts w:ascii="Verdana" w:eastAsia="Times New Roman" w:hAnsi="Verdana" w:cs="Arial"/>
                <w:bCs/>
                <w:lang w:val="es-MX" w:eastAsia="x-none"/>
              </w:rPr>
              <w:t>ii</w:t>
            </w:r>
            <w:proofErr w:type="spellEnd"/>
            <w:r w:rsidRPr="00A14D98">
              <w:rPr>
                <w:rFonts w:ascii="Verdana" w:eastAsia="Times New Roman" w:hAnsi="Verdana" w:cs="Arial"/>
                <w:bCs/>
                <w:lang w:val="es-MX" w:eastAsia="x-none"/>
              </w:rPr>
              <w:t xml:space="preserve">) los contratos de crédito público; </w:t>
            </w:r>
            <w:proofErr w:type="spellStart"/>
            <w:r w:rsidRPr="00A14D98">
              <w:rPr>
                <w:rFonts w:ascii="Verdana" w:eastAsia="Times New Roman" w:hAnsi="Verdana" w:cs="Arial"/>
                <w:bCs/>
                <w:lang w:val="es-MX" w:eastAsia="x-none"/>
              </w:rPr>
              <w:t>iii</w:t>
            </w:r>
            <w:proofErr w:type="spellEnd"/>
            <w:r w:rsidRPr="00A14D98">
              <w:rPr>
                <w:rFonts w:ascii="Verdana" w:eastAsia="Times New Roman" w:hAnsi="Verdana" w:cs="Arial"/>
                <w:bCs/>
                <w:lang w:val="es-MX" w:eastAsia="x-none"/>
              </w:rPr>
              <w:t xml:space="preserve">) los requeridos para cubrir las emergencias educativas, sanitarias y desastres; </w:t>
            </w:r>
            <w:proofErr w:type="spellStart"/>
            <w:r w:rsidRPr="00A14D98">
              <w:rPr>
                <w:rFonts w:ascii="Verdana" w:eastAsia="Times New Roman" w:hAnsi="Verdana" w:cs="Arial"/>
                <w:bCs/>
                <w:lang w:val="es-MX" w:eastAsia="x-none"/>
              </w:rPr>
              <w:t>iv</w:t>
            </w:r>
            <w:proofErr w:type="spellEnd"/>
            <w:r w:rsidRPr="00A14D98">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48293E6" w14:textId="77777777" w:rsidR="00A14D98" w:rsidRPr="00A14D98" w:rsidRDefault="00A14D98" w:rsidP="00A14D98">
            <w:pPr>
              <w:spacing w:after="120" w:line="276" w:lineRule="auto"/>
              <w:ind w:firstLine="708"/>
              <w:jc w:val="both"/>
              <w:rPr>
                <w:rFonts w:ascii="Verdana" w:eastAsia="Times New Roman" w:hAnsi="Verdana" w:cs="Arial"/>
                <w:lang w:eastAsia="es-CO"/>
              </w:rPr>
            </w:pPr>
            <w:r w:rsidRPr="00A14D98">
              <w:rPr>
                <w:rFonts w:ascii="Verdana" w:eastAsia="Arial" w:hAnsi="Verdana" w:cs="Arial"/>
                <w:lang w:val="es-ES" w:eastAsia="es-ES" w:bidi="es-ES"/>
              </w:rPr>
              <w:t xml:space="preserve">Por otro lado, la prohibición impuesta por el inciso primero del parágrafo del artículo 38 a los gobernadores, alcaldes municipales y/o distritales, secretarios, gerentes y directores de entidades descentralizadas del orden municipal, departamental o distrital,  debe aplicarse respecto de cualquier tipo de contienda electoral, y prohíbe la celebración de convenios interadministrativos que impliquen la ejecución de recursos públicos dentro </w:t>
            </w:r>
            <w:r w:rsidRPr="00A14D98">
              <w:rPr>
                <w:rFonts w:ascii="Verdana" w:eastAsia="Arial" w:hAnsi="Verdana" w:cs="Arial"/>
                <w:lang w:val="es-ES" w:eastAsia="es-ES" w:bidi="es-ES"/>
              </w:rPr>
              <w:lastRenderedPageBreak/>
              <w:t xml:space="preserve">de los cuatro (4) meses anteriores a la respectiva jornada de votaciones. En este aspecto, se señala que esta restricción no aplica en contratos interadministrativos, teniendo en cuenta </w:t>
            </w:r>
            <w:r w:rsidRPr="00A14D98">
              <w:rPr>
                <w:rFonts w:ascii="Verdana" w:eastAsia="Times New Roman" w:hAnsi="Verdana" w:cs="Arial"/>
                <w:lang w:eastAsia="es-CO"/>
              </w:rPr>
              <w:t xml:space="preserve">lo expuesto en la sentencia expedida por la Sección Tercera de la Sala de lo Contencioso Administrativo del 17 de octubre de 2025, en los autos del 4 de octubre de 2024 y 6 de noviembre de 2025, puesto que esta prohibición solo aplicaría a los convenios interadministrativos que impliquen la ejecución de recursos públicos. </w:t>
            </w:r>
          </w:p>
          <w:p w14:paraId="20708A64" w14:textId="77777777" w:rsidR="00A14D98" w:rsidRPr="00A14D98" w:rsidRDefault="00A14D98" w:rsidP="00A14D98">
            <w:pPr>
              <w:spacing w:after="120" w:line="276" w:lineRule="auto"/>
              <w:ind w:firstLine="708"/>
              <w:jc w:val="both"/>
              <w:rPr>
                <w:rFonts w:ascii="Verdana" w:eastAsia="Calibri" w:hAnsi="Verdana" w:cs="Arial"/>
                <w:bCs/>
                <w:lang w:val="es-ES_tradnl"/>
              </w:rPr>
            </w:pPr>
            <w:r w:rsidRPr="00A14D98">
              <w:rPr>
                <w:rFonts w:ascii="Verdana" w:eastAsia="Calibri" w:hAnsi="Verdana" w:cs="Arial"/>
                <w:lang w:val="es-ES_tradnl"/>
              </w:rPr>
              <w:t xml:space="preserve">Es dable concluir que, la adquisición de bienes inmuebles, </w:t>
            </w:r>
            <w:r w:rsidRPr="00A14D98">
              <w:rPr>
                <w:rFonts w:ascii="Verdana" w:eastAsia="Calibri" w:hAnsi="Verdana" w:cs="Arial"/>
                <w:i/>
                <w:iCs/>
                <w:lang w:val="es-ES_tradnl"/>
              </w:rPr>
              <w:t>per se,</w:t>
            </w:r>
            <w:r w:rsidRPr="00A14D98">
              <w:rPr>
                <w:rFonts w:ascii="Verdana" w:eastAsia="Calibri" w:hAnsi="Verdana" w:cs="Arial"/>
                <w:lang w:val="es-ES_tradnl"/>
              </w:rPr>
              <w:t xml:space="preserve"> no está prohibida por la restricción del parágrafo del artículo 38 de la Ley 996 de 2005, la cual solo es aplicable a convenios interadministrativos.</w:t>
            </w:r>
            <w:r w:rsidRPr="00A14D98">
              <w:rPr>
                <w:rFonts w:ascii="Verdana" w:eastAsia="Calibri" w:hAnsi="Verdana" w:cs="Arial"/>
                <w:bCs/>
                <w:lang w:val="es-ES_tradnl"/>
              </w:rPr>
              <w:t xml:space="preserve"> No obstante, respecto de contratos interadministrativos que se celebran de forma directa en el artículo 2, numeral 4, literal c de la Ley 1150 de 2007 estaría sujeto a la restricción del artículo 33 que aplica a toda entidad y a todo procedimiento que no tenga un carácter competitivo. </w:t>
            </w:r>
          </w:p>
          <w:p w14:paraId="1879DBC6" w14:textId="77777777" w:rsidR="00A14D98" w:rsidRPr="00A14D98" w:rsidRDefault="00A14D98" w:rsidP="00A14D98">
            <w:pPr>
              <w:spacing w:after="120" w:line="276" w:lineRule="auto"/>
              <w:ind w:firstLine="709"/>
              <w:jc w:val="both"/>
              <w:rPr>
                <w:rFonts w:ascii="Verdana" w:eastAsia="Times New Roman" w:hAnsi="Verdana" w:cs="Arial"/>
                <w:bCs/>
                <w:lang w:val="es-MX" w:eastAsia="es-CO"/>
              </w:rPr>
            </w:pPr>
            <w:r w:rsidRPr="00A14D98">
              <w:rPr>
                <w:rFonts w:ascii="Verdana" w:eastAsia="Times New Roman" w:hAnsi="Verdana" w:cs="Arial"/>
                <w:bCs/>
                <w:lang w:val="es-ES_tradnl" w:eastAsia="x-none"/>
              </w:rPr>
              <w:t>En tal sentido</w:t>
            </w:r>
            <w:r w:rsidRPr="00A14D98">
              <w:rPr>
                <w:rFonts w:ascii="Verdana" w:eastAsia="Times New Roman" w:hAnsi="Verdana" w:cs="Arial"/>
                <w:bCs/>
                <w:lang w:val="es-MX" w:eastAsia="x-none"/>
              </w:rPr>
              <w:t>, se reitera, c</w:t>
            </w:r>
            <w:r w:rsidRPr="00A14D98">
              <w:rPr>
                <w:rFonts w:ascii="Verdana" w:eastAsia="Times New Roman" w:hAnsi="Verdana" w:cs="Arial"/>
                <w:bCs/>
                <w:lang w:val="es-MX" w:eastAsia="es-CO"/>
              </w:rPr>
              <w:t xml:space="preserve">omo en otras oportunidades lo ha manifestado esta Agencia, que las prórrogas, modificaciones o adiciones de los contratos suscritos antes de la </w:t>
            </w:r>
            <w:proofErr w:type="gramStart"/>
            <w:r w:rsidRPr="00A14D98">
              <w:rPr>
                <w:rFonts w:ascii="Verdana" w:eastAsia="Times New Roman" w:hAnsi="Verdana" w:cs="Arial"/>
                <w:bCs/>
                <w:lang w:val="es-MX" w:eastAsia="es-CO"/>
              </w:rPr>
              <w:t>entrada en vigencia</w:t>
            </w:r>
            <w:proofErr w:type="gramEnd"/>
            <w:r w:rsidRPr="00A14D98">
              <w:rPr>
                <w:rFonts w:ascii="Verdana" w:eastAsia="Times New Roman" w:hAnsi="Verdana" w:cs="Arial"/>
                <w:bCs/>
                <w:lang w:val="es-MX" w:eastAsia="es-CO"/>
              </w:rPr>
              <w:t xml:space="preserve"> de las prohibiciones anotadas, así como la cesión de </w:t>
            </w:r>
            <w:proofErr w:type="gramStart"/>
            <w:r w:rsidRPr="00A14D98">
              <w:rPr>
                <w:rFonts w:ascii="Verdana" w:eastAsia="Times New Roman" w:hAnsi="Verdana" w:cs="Arial"/>
                <w:bCs/>
                <w:lang w:val="es-MX" w:eastAsia="es-CO"/>
              </w:rPr>
              <w:t>los mismos</w:t>
            </w:r>
            <w:proofErr w:type="gramEnd"/>
            <w:r w:rsidRPr="00A14D98">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p w14:paraId="15F0EC4F" w14:textId="77777777" w:rsidR="00A14D98" w:rsidRPr="00A14D98" w:rsidRDefault="00A14D98" w:rsidP="00A14D98">
            <w:pPr>
              <w:spacing w:after="120" w:line="276" w:lineRule="auto"/>
              <w:ind w:firstLine="708"/>
              <w:jc w:val="both"/>
              <w:rPr>
                <w:rFonts w:ascii="Verdana" w:eastAsia="Calibri" w:hAnsi="Verdana" w:cs="Arial"/>
                <w:lang w:val="es-ES"/>
              </w:rPr>
            </w:pPr>
            <w:r w:rsidRPr="00A14D98">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47E6EF97" w14:textId="77777777" w:rsidR="00A14D98" w:rsidRPr="00A14D98" w:rsidRDefault="00A14D98" w:rsidP="00A14D98">
      <w:pPr>
        <w:spacing w:after="0" w:line="276" w:lineRule="auto"/>
        <w:jc w:val="both"/>
        <w:rPr>
          <w:rFonts w:ascii="Verdana" w:eastAsia="Calibri" w:hAnsi="Verdana" w:cs="Arial"/>
          <w:bCs/>
          <w:color w:val="000000" w:themeColor="text1"/>
        </w:rPr>
      </w:pPr>
    </w:p>
    <w:p w14:paraId="01825DF5" w14:textId="77777777" w:rsidR="00A14D98" w:rsidRPr="00A14D98" w:rsidRDefault="00A14D98" w:rsidP="00A14D98">
      <w:pPr>
        <w:numPr>
          <w:ilvl w:val="0"/>
          <w:numId w:val="19"/>
        </w:numPr>
        <w:tabs>
          <w:tab w:val="left" w:pos="2268"/>
        </w:tabs>
        <w:spacing w:after="0" w:line="276" w:lineRule="auto"/>
        <w:rPr>
          <w:rFonts w:ascii="Verdana" w:eastAsia="Calibri" w:hAnsi="Verdana" w:cs="Times New Roman"/>
          <w:b/>
          <w:bCs/>
          <w:lang w:val="es-ES"/>
        </w:rPr>
      </w:pPr>
      <w:r w:rsidRPr="00A14D98">
        <w:rPr>
          <w:rFonts w:ascii="Verdana" w:eastAsia="Calibri" w:hAnsi="Verdana" w:cs="Times New Roman"/>
          <w:b/>
          <w:bCs/>
          <w:lang w:val="es-ES"/>
        </w:rPr>
        <w:t>Razones de la respuesta:</w:t>
      </w:r>
    </w:p>
    <w:p w14:paraId="015B3B47" w14:textId="77777777" w:rsidR="00A14D98" w:rsidRPr="00A14D98" w:rsidRDefault="00A14D98" w:rsidP="00A14D98">
      <w:pPr>
        <w:spacing w:after="0" w:line="276" w:lineRule="auto"/>
        <w:rPr>
          <w:rFonts w:ascii="Verdana" w:eastAsia="Calibri" w:hAnsi="Verdana" w:cs="Times New Roman"/>
          <w:b/>
          <w:bCs/>
          <w:lang w:val="es-ES"/>
        </w:rPr>
      </w:pPr>
    </w:p>
    <w:p w14:paraId="23FDB9E9" w14:textId="77777777" w:rsidR="00A14D98" w:rsidRPr="00A14D98" w:rsidRDefault="00A14D98" w:rsidP="00A14D98">
      <w:pPr>
        <w:spacing w:after="0" w:line="276" w:lineRule="auto"/>
        <w:jc w:val="both"/>
        <w:rPr>
          <w:rFonts w:ascii="Verdana" w:eastAsia="Calibri" w:hAnsi="Verdana" w:cs="Arial"/>
          <w:lang w:val="es-ES"/>
        </w:rPr>
      </w:pPr>
      <w:r w:rsidRPr="00A14D98">
        <w:rPr>
          <w:rFonts w:ascii="Verdana" w:eastAsia="Calibri" w:hAnsi="Verdana" w:cs="Arial"/>
          <w:lang w:val="es-ES"/>
        </w:rPr>
        <w:t xml:space="preserve">Lo anterior se sustenta en las siguientes consideraciones: </w:t>
      </w:r>
    </w:p>
    <w:p w14:paraId="57D1D793" w14:textId="77777777" w:rsidR="00A14D98" w:rsidRPr="00A14D98" w:rsidRDefault="00A14D98" w:rsidP="00A14D98">
      <w:pPr>
        <w:spacing w:after="0" w:line="276" w:lineRule="auto"/>
        <w:jc w:val="both"/>
        <w:rPr>
          <w:rFonts w:ascii="Verdana" w:eastAsia="Calibri" w:hAnsi="Verdana" w:cs="Arial"/>
          <w:color w:val="000000" w:themeColor="text1"/>
        </w:rPr>
      </w:pPr>
    </w:p>
    <w:p w14:paraId="28480F3D" w14:textId="77777777" w:rsidR="00A14D98" w:rsidRPr="00A14D98" w:rsidRDefault="00A14D98" w:rsidP="00A14D98">
      <w:pPr>
        <w:tabs>
          <w:tab w:val="left" w:pos="426"/>
        </w:tabs>
        <w:spacing w:after="120" w:line="276" w:lineRule="auto"/>
        <w:jc w:val="both"/>
        <w:rPr>
          <w:rFonts w:ascii="Verdana" w:eastAsia="Times New Roman" w:hAnsi="Verdana" w:cs="Arial"/>
          <w:lang w:eastAsia="es-CO"/>
        </w:rPr>
      </w:pPr>
      <w:r w:rsidRPr="00A14D98">
        <w:rPr>
          <w:rFonts w:ascii="Verdana" w:eastAsia="Calibri" w:hAnsi="Verdana" w:cs="Arial"/>
        </w:rPr>
        <w:t>i. El ordenamiento jurídico colombiano contempla previsiones claras para evitar la obtención de beneficios personales en asuntos propios de la administración pública</w:t>
      </w:r>
      <w:r w:rsidRPr="00A14D98">
        <w:rPr>
          <w:rFonts w:ascii="Verdana" w:eastAsia="Calibri" w:hAnsi="Verdana" w:cs="Arial"/>
          <w:i/>
        </w:rPr>
        <w:t xml:space="preserve">. </w:t>
      </w:r>
      <w:r w:rsidRPr="00A14D98">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A14D98">
        <w:rPr>
          <w:rFonts w:ascii="Verdana" w:hAnsi="Verdana"/>
          <w:vertAlign w:val="superscript"/>
        </w:rPr>
        <w:footnoteReference w:id="2"/>
      </w:r>
      <w:r w:rsidRPr="00A14D98">
        <w:rPr>
          <w:rFonts w:ascii="Verdana" w:eastAsia="Calibri" w:hAnsi="Verdana" w:cs="Arial"/>
        </w:rPr>
        <w:t xml:space="preserve">. </w:t>
      </w:r>
    </w:p>
    <w:p w14:paraId="6F7D5772" w14:textId="77777777" w:rsidR="00A14D98" w:rsidRPr="00A14D98" w:rsidRDefault="00A14D98" w:rsidP="00A14D98">
      <w:pPr>
        <w:tabs>
          <w:tab w:val="left" w:pos="426"/>
        </w:tabs>
        <w:spacing w:after="0" w:line="276" w:lineRule="auto"/>
        <w:ind w:firstLine="709"/>
        <w:jc w:val="both"/>
        <w:rPr>
          <w:rFonts w:ascii="Verdana" w:eastAsia="Calibri" w:hAnsi="Verdana" w:cs="Arial"/>
          <w:lang w:val="es-ES_tradnl"/>
        </w:rPr>
      </w:pPr>
      <w:r w:rsidRPr="00A14D98">
        <w:rPr>
          <w:rFonts w:ascii="Verdana" w:eastAsia="Times New Roman" w:hAnsi="Verdana" w:cs="Arial"/>
          <w:lang w:eastAsia="es-CO"/>
        </w:rPr>
        <w:t>En el mismo sentido</w:t>
      </w:r>
      <w:r w:rsidRPr="00A14D98">
        <w:rPr>
          <w:rFonts w:ascii="Verdana" w:eastAsia="Times New Roman" w:hAnsi="Verdana" w:cs="Arial"/>
          <w:lang w:val="es-MX" w:eastAsia="es-CO"/>
        </w:rPr>
        <w:t xml:space="preserve">, </w:t>
      </w:r>
      <w:bookmarkStart w:id="1" w:name="_Hlk99576829"/>
      <w:r w:rsidRPr="00A14D98">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A14D98">
        <w:rPr>
          <w:rFonts w:ascii="Verdana" w:eastAsia="Times New Roman" w:hAnsi="Verdana" w:cs="Arial"/>
          <w:vertAlign w:val="superscript"/>
          <w:lang w:val="es-MX" w:eastAsia="es-CO"/>
        </w:rPr>
        <w:footnoteReference w:id="3"/>
      </w:r>
      <w:r w:rsidRPr="00A14D98">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A14D98">
        <w:rPr>
          <w:rFonts w:ascii="Verdana" w:eastAsia="Calibri" w:hAnsi="Verdana" w:cs="Arial"/>
          <w:lang w:val="es-ES_tradnl"/>
        </w:rPr>
        <w:t xml:space="preserve"> </w:t>
      </w:r>
      <w:bookmarkEnd w:id="1"/>
      <w:r w:rsidRPr="00A14D98">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690AAC6" w14:textId="77777777" w:rsidR="00A14D98" w:rsidRPr="00A14D98" w:rsidRDefault="00A14D98" w:rsidP="00A14D98">
      <w:pPr>
        <w:spacing w:after="0" w:line="276" w:lineRule="auto"/>
        <w:ind w:right="709"/>
        <w:contextualSpacing/>
        <w:jc w:val="both"/>
        <w:rPr>
          <w:rFonts w:ascii="Verdana" w:eastAsia="Times New Roman" w:hAnsi="Verdana" w:cs="Arial"/>
          <w:lang w:val="es-ES" w:eastAsia="es-CO"/>
        </w:rPr>
      </w:pPr>
    </w:p>
    <w:p w14:paraId="66F4393B" w14:textId="77777777" w:rsidR="00A14D98" w:rsidRPr="00A14D98" w:rsidRDefault="00A14D98" w:rsidP="00A14D98">
      <w:pPr>
        <w:spacing w:after="0" w:line="240" w:lineRule="auto"/>
        <w:ind w:left="709" w:right="709"/>
        <w:contextualSpacing/>
        <w:jc w:val="both"/>
        <w:rPr>
          <w:rFonts w:ascii="Verdana" w:eastAsia="Times New Roman" w:hAnsi="Verdana" w:cs="Arial"/>
          <w:sz w:val="20"/>
          <w:szCs w:val="20"/>
          <w:lang w:val="es-MX" w:eastAsia="es-CO"/>
        </w:rPr>
      </w:pPr>
      <w:r w:rsidRPr="00A14D98">
        <w:rPr>
          <w:rFonts w:ascii="Verdana" w:eastAsia="Times New Roman" w:hAnsi="Verdana" w:cs="Arial"/>
          <w:sz w:val="20"/>
          <w:szCs w:val="20"/>
          <w:lang w:val="es-ES" w:eastAsia="es-CO"/>
        </w:rPr>
        <w:t xml:space="preserve">“[…] </w:t>
      </w:r>
      <w:r w:rsidRPr="00A14D98">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2447B54" w14:textId="77777777" w:rsidR="00A14D98" w:rsidRPr="00A14D98" w:rsidRDefault="00A14D98" w:rsidP="00A14D98">
      <w:pPr>
        <w:spacing w:after="0" w:line="240" w:lineRule="auto"/>
        <w:ind w:left="709" w:right="709"/>
        <w:contextualSpacing/>
        <w:jc w:val="both"/>
        <w:rPr>
          <w:rFonts w:ascii="Verdana" w:eastAsia="Times New Roman" w:hAnsi="Verdana" w:cs="Arial"/>
          <w:sz w:val="20"/>
          <w:szCs w:val="20"/>
          <w:lang w:val="es-MX" w:eastAsia="es-CO"/>
        </w:rPr>
      </w:pPr>
      <w:r w:rsidRPr="00A14D98">
        <w:rPr>
          <w:rFonts w:ascii="Verdana" w:eastAsia="Times New Roman" w:hAnsi="Verdana" w:cs="Arial"/>
          <w:sz w:val="20"/>
          <w:szCs w:val="20"/>
          <w:lang w:val="es-MX" w:eastAsia="es-CO"/>
        </w:rPr>
        <w:t xml:space="preserve">[…] </w:t>
      </w:r>
    </w:p>
    <w:p w14:paraId="583C18C3" w14:textId="77777777" w:rsidR="00A14D98" w:rsidRPr="00A14D98" w:rsidRDefault="00A14D98" w:rsidP="00A14D98">
      <w:pPr>
        <w:spacing w:after="0" w:line="240" w:lineRule="auto"/>
        <w:ind w:left="709" w:right="709"/>
        <w:contextualSpacing/>
        <w:jc w:val="both"/>
        <w:rPr>
          <w:rFonts w:ascii="Verdana" w:eastAsia="Times New Roman" w:hAnsi="Verdana" w:cs="Arial"/>
          <w:sz w:val="20"/>
          <w:szCs w:val="20"/>
          <w:lang w:val="es-MX" w:eastAsia="es-CO"/>
        </w:rPr>
      </w:pPr>
      <w:r w:rsidRPr="00A14D98">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A14D98">
        <w:rPr>
          <w:rFonts w:ascii="Verdana" w:eastAsia="Times New Roman" w:hAnsi="Verdana" w:cs="Arial"/>
          <w:sz w:val="20"/>
          <w:szCs w:val="20"/>
          <w:lang w:val="es-MX" w:eastAsia="es-CO"/>
        </w:rPr>
        <w:lastRenderedPageBreak/>
        <w:t>las ideas y las propuestas las que definan el ascenso al poder, y no el músculo económico de los que se lo disputan”.</w:t>
      </w:r>
      <w:r w:rsidRPr="00A14D98">
        <w:rPr>
          <w:rFonts w:ascii="Verdana" w:eastAsia="Calibri" w:hAnsi="Verdana" w:cs="Arial"/>
          <w:sz w:val="20"/>
          <w:szCs w:val="20"/>
          <w:vertAlign w:val="superscript"/>
          <w:lang w:val="es-MX"/>
        </w:rPr>
        <w:footnoteReference w:id="4"/>
      </w:r>
    </w:p>
    <w:p w14:paraId="148EC31D" w14:textId="77777777" w:rsidR="00A14D98" w:rsidRPr="00A14D98" w:rsidRDefault="00A14D98" w:rsidP="00A14D98">
      <w:pPr>
        <w:spacing w:after="0" w:line="276" w:lineRule="auto"/>
        <w:ind w:firstLine="709"/>
        <w:jc w:val="both"/>
        <w:rPr>
          <w:rFonts w:ascii="Verdana" w:eastAsia="Times New Roman" w:hAnsi="Verdana" w:cs="Arial"/>
          <w:lang w:val="es-MX" w:eastAsia="es-CO"/>
        </w:rPr>
      </w:pPr>
      <w:bookmarkStart w:id="2" w:name="_Hlk78818186"/>
    </w:p>
    <w:p w14:paraId="43DFF3F2" w14:textId="77777777" w:rsidR="00A14D98" w:rsidRPr="00A14D98" w:rsidRDefault="00A14D98" w:rsidP="00A14D98">
      <w:pPr>
        <w:spacing w:after="0" w:line="276" w:lineRule="auto"/>
        <w:ind w:firstLine="709"/>
        <w:jc w:val="both"/>
        <w:rPr>
          <w:rFonts w:ascii="Verdana" w:eastAsia="Times New Roman" w:hAnsi="Verdana" w:cs="Arial"/>
          <w:lang w:val="es-MX" w:eastAsia="es-CO"/>
        </w:rPr>
      </w:pPr>
      <w:r w:rsidRPr="00A14D98">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sidRPr="00A14D98">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019E5E8A" w14:textId="77777777" w:rsidR="00A14D98" w:rsidRPr="00A14D98" w:rsidRDefault="00A14D98" w:rsidP="00A14D98">
      <w:pPr>
        <w:spacing w:after="0" w:line="276" w:lineRule="auto"/>
        <w:ind w:firstLine="709"/>
        <w:jc w:val="both"/>
        <w:rPr>
          <w:rFonts w:ascii="Verdana" w:eastAsia="Times New Roman" w:hAnsi="Verdana" w:cs="Arial"/>
          <w:lang w:val="es-MX" w:eastAsia="es-CO"/>
        </w:rPr>
      </w:pPr>
    </w:p>
    <w:p w14:paraId="339D7C85" w14:textId="77777777" w:rsidR="00A14D98" w:rsidRPr="00A14D98" w:rsidRDefault="00A14D98" w:rsidP="00A14D98">
      <w:pPr>
        <w:spacing w:after="0" w:line="240" w:lineRule="auto"/>
        <w:ind w:left="709" w:right="709"/>
        <w:contextualSpacing/>
        <w:jc w:val="both"/>
        <w:rPr>
          <w:rFonts w:ascii="Verdana" w:eastAsia="Times New Roman" w:hAnsi="Verdana" w:cs="Arial"/>
          <w:sz w:val="20"/>
          <w:szCs w:val="20"/>
          <w:lang w:val="es-MX" w:eastAsia="es-CO"/>
        </w:rPr>
      </w:pPr>
      <w:r w:rsidRPr="00A14D98">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A14D98">
        <w:rPr>
          <w:rFonts w:ascii="Verdana" w:eastAsia="Times New Roman" w:hAnsi="Verdana" w:cs="Arial"/>
          <w:sz w:val="20"/>
          <w:szCs w:val="20"/>
          <w:lang w:val="es-MX" w:eastAsia="es-CO"/>
        </w:rPr>
        <w:t>legis</w:t>
      </w:r>
      <w:proofErr w:type="spellEnd"/>
      <w:r w:rsidRPr="00A14D98">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BBED07C" w14:textId="77777777" w:rsidR="00A14D98" w:rsidRPr="00A14D98" w:rsidRDefault="00A14D98" w:rsidP="00A14D98">
      <w:pPr>
        <w:spacing w:after="0" w:line="240" w:lineRule="auto"/>
        <w:ind w:right="709"/>
        <w:contextualSpacing/>
        <w:jc w:val="both"/>
        <w:rPr>
          <w:rFonts w:ascii="Verdana" w:eastAsia="Times New Roman" w:hAnsi="Verdana" w:cs="Arial"/>
          <w:lang w:val="es-MX" w:eastAsia="es-CO"/>
        </w:rPr>
      </w:pPr>
    </w:p>
    <w:p w14:paraId="2251060B" w14:textId="77777777" w:rsidR="00A14D98" w:rsidRPr="00A14D98" w:rsidRDefault="00A14D98" w:rsidP="00A14D98">
      <w:pPr>
        <w:spacing w:after="0" w:line="240" w:lineRule="auto"/>
        <w:ind w:left="709" w:right="709"/>
        <w:contextualSpacing/>
        <w:jc w:val="both"/>
        <w:rPr>
          <w:rFonts w:ascii="Verdana" w:eastAsia="Times New Roman" w:hAnsi="Verdana" w:cs="Arial"/>
          <w:sz w:val="20"/>
          <w:szCs w:val="20"/>
          <w:lang w:val="es-MX" w:eastAsia="es-CO"/>
        </w:rPr>
      </w:pPr>
      <w:r w:rsidRPr="00A14D98">
        <w:rPr>
          <w:rFonts w:ascii="Verdana" w:eastAsia="Times New Roman" w:hAnsi="Verdana" w:cs="Arial"/>
          <w:sz w:val="20"/>
          <w:szCs w:val="20"/>
          <w:lang w:val="es-MX" w:eastAsia="es-CO"/>
        </w:rPr>
        <w:t>La jurisprudencia de la Corte Constitucional</w:t>
      </w:r>
      <w:r w:rsidRPr="00A14D98">
        <w:rPr>
          <w:rFonts w:ascii="Verdana" w:eastAsia="Times New Roman" w:hAnsi="Verdana" w:cs="Arial"/>
          <w:sz w:val="20"/>
          <w:szCs w:val="20"/>
          <w:vertAlign w:val="superscript"/>
          <w:lang w:val="es-MX" w:eastAsia="es-CO"/>
        </w:rPr>
        <w:footnoteReference w:id="5"/>
      </w:r>
      <w:r w:rsidRPr="00A14D98">
        <w:rPr>
          <w:rFonts w:ascii="Verdana" w:eastAsia="Times New Roman" w:hAnsi="Verdana" w:cs="Arial"/>
          <w:sz w:val="20"/>
          <w:szCs w:val="20"/>
          <w:lang w:val="es-MX" w:eastAsia="es-CO"/>
        </w:rPr>
        <w:t> y del Consejo de Estado</w:t>
      </w:r>
      <w:r w:rsidRPr="00A14D98">
        <w:rPr>
          <w:rFonts w:ascii="Verdana" w:eastAsia="Times New Roman" w:hAnsi="Verdana" w:cs="Arial"/>
          <w:sz w:val="20"/>
          <w:szCs w:val="20"/>
          <w:vertAlign w:val="superscript"/>
          <w:lang w:val="es-MX" w:eastAsia="es-CO"/>
        </w:rPr>
        <w:footnoteReference w:id="6"/>
      </w:r>
      <w:r w:rsidRPr="00A14D98">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A14D98">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A14D98">
        <w:rPr>
          <w:rFonts w:ascii="Verdana" w:eastAsia="Times New Roman" w:hAnsi="Verdana" w:cs="Arial"/>
          <w:sz w:val="20"/>
          <w:szCs w:val="20"/>
          <w:vertAlign w:val="superscript"/>
          <w:lang w:val="es-MX" w:eastAsia="es-CO"/>
        </w:rPr>
        <w:footnoteReference w:id="7"/>
      </w:r>
      <w:r w:rsidRPr="00A14D98">
        <w:rPr>
          <w:rFonts w:ascii="Verdana" w:eastAsia="Times New Roman" w:hAnsi="Verdana" w:cs="Arial"/>
          <w:sz w:val="20"/>
          <w:szCs w:val="20"/>
          <w:lang w:val="es-MX" w:eastAsia="es-CO"/>
        </w:rPr>
        <w:t>.</w:t>
      </w:r>
    </w:p>
    <w:p w14:paraId="19619FD4" w14:textId="77777777" w:rsidR="00A14D98" w:rsidRPr="00A14D98" w:rsidRDefault="00A14D98" w:rsidP="00A14D98">
      <w:pPr>
        <w:spacing w:after="0" w:line="276" w:lineRule="auto"/>
        <w:jc w:val="both"/>
        <w:rPr>
          <w:rFonts w:ascii="Verdana" w:eastAsia="Calibri" w:hAnsi="Verdana" w:cs="Arial"/>
          <w:bCs/>
          <w:lang w:val="es-ES_tradnl"/>
        </w:rPr>
      </w:pPr>
    </w:p>
    <w:p w14:paraId="513D3499" w14:textId="77777777" w:rsidR="00A14D98" w:rsidRPr="00A14D98" w:rsidRDefault="00A14D98" w:rsidP="00A14D98">
      <w:pPr>
        <w:spacing w:after="0" w:line="276" w:lineRule="auto"/>
        <w:ind w:firstLine="709"/>
        <w:jc w:val="both"/>
        <w:rPr>
          <w:rFonts w:ascii="Verdana" w:eastAsia="Arial" w:hAnsi="Verdana" w:cs="Arial"/>
          <w:lang w:val="es-ES" w:eastAsia="es-ES" w:bidi="es-ES"/>
        </w:rPr>
      </w:pPr>
      <w:r w:rsidRPr="00A14D98">
        <w:rPr>
          <w:rFonts w:ascii="Verdana" w:eastAsia="Times New Roman" w:hAnsi="Verdana" w:cs="Arial"/>
          <w:lang w:val="es-MX" w:eastAsia="es-CO"/>
        </w:rPr>
        <w:t>De</w:t>
      </w:r>
      <w:r w:rsidRPr="00A14D98">
        <w:rPr>
          <w:rFonts w:ascii="Verdana" w:eastAsia="Arial" w:hAnsi="Verdana" w:cs="Arial"/>
          <w:lang w:val="es-ES" w:eastAsia="es-ES" w:bidi="es-ES"/>
        </w:rPr>
        <w:t xml:space="preserve"> conformidad con lo anterior, </w:t>
      </w:r>
      <w:bookmarkStart w:id="3" w:name="_Hlk77236098"/>
      <w:bookmarkStart w:id="4" w:name="_Hlk100679383"/>
      <w:r w:rsidRPr="00A14D98">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417AE58" w14:textId="77777777" w:rsidR="00A14D98" w:rsidRPr="00A14D98" w:rsidRDefault="00A14D98" w:rsidP="00A14D98">
      <w:pPr>
        <w:spacing w:after="0" w:line="276" w:lineRule="auto"/>
        <w:ind w:firstLine="709"/>
        <w:jc w:val="both"/>
        <w:rPr>
          <w:rFonts w:ascii="Verdana" w:eastAsia="Arial" w:hAnsi="Verdana" w:cs="Arial"/>
          <w:lang w:val="es-ES" w:eastAsia="es-ES" w:bidi="es-ES"/>
        </w:rPr>
      </w:pPr>
    </w:p>
    <w:p w14:paraId="0B883ADE" w14:textId="77777777" w:rsidR="00A14D98" w:rsidRPr="00A14D98" w:rsidRDefault="00A14D98" w:rsidP="00A14D98">
      <w:pPr>
        <w:spacing w:after="120" w:line="276" w:lineRule="auto"/>
        <w:jc w:val="both"/>
        <w:rPr>
          <w:rFonts w:ascii="Verdana" w:eastAsia="Arial" w:hAnsi="Verdana" w:cs="Arial"/>
          <w:lang w:val="es-ES" w:eastAsia="es-ES" w:bidi="es-ES"/>
        </w:rPr>
      </w:pPr>
      <w:proofErr w:type="spellStart"/>
      <w:r w:rsidRPr="00A14D98">
        <w:rPr>
          <w:rFonts w:ascii="Verdana" w:eastAsia="Arial" w:hAnsi="Verdana" w:cs="Arial"/>
          <w:lang w:val="es-ES" w:eastAsia="es-ES" w:bidi="es-ES"/>
        </w:rPr>
        <w:t>ii</w:t>
      </w:r>
      <w:proofErr w:type="spellEnd"/>
      <w:r w:rsidRPr="00A14D98">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4470269" w14:textId="77777777" w:rsidR="00A14D98" w:rsidRPr="00A14D98" w:rsidRDefault="00A14D98" w:rsidP="00A14D98">
      <w:pPr>
        <w:spacing w:after="120" w:line="276" w:lineRule="auto"/>
        <w:ind w:firstLine="708"/>
        <w:jc w:val="both"/>
        <w:rPr>
          <w:rFonts w:ascii="Verdana" w:eastAsia="Calibri" w:hAnsi="Verdana" w:cs="Arial"/>
        </w:rPr>
      </w:pPr>
      <w:r w:rsidRPr="00A14D98">
        <w:rPr>
          <w:rFonts w:ascii="Verdana" w:eastAsia="Calibri" w:hAnsi="Verdana" w:cs="Arial"/>
        </w:rPr>
        <w:t xml:space="preserve">Por un lado, el </w:t>
      </w:r>
      <w:r w:rsidRPr="00A14D98">
        <w:rPr>
          <w:rFonts w:ascii="Verdana" w:eastAsia="Calibri" w:hAnsi="Verdana" w:cs="Arial"/>
          <w:i/>
          <w:iCs/>
        </w:rPr>
        <w:t>artículo 33 de la Ley 996 de 2005</w:t>
      </w:r>
      <w:r w:rsidRPr="00A14D98">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14D98">
        <w:rPr>
          <w:rFonts w:ascii="Verdana" w:eastAsia="Calibri" w:hAnsi="Verdana" w:cs="Arial"/>
          <w:vertAlign w:val="superscript"/>
        </w:rPr>
        <w:footnoteReference w:id="8"/>
      </w:r>
      <w:r w:rsidRPr="00A14D98">
        <w:rPr>
          <w:rFonts w:ascii="Verdana" w:eastAsia="Calibri" w:hAnsi="Verdana" w:cs="Arial"/>
        </w:rPr>
        <w:t>.</w:t>
      </w:r>
    </w:p>
    <w:p w14:paraId="33342C9E" w14:textId="77777777" w:rsidR="00A14D98" w:rsidRPr="00A14D98" w:rsidRDefault="00A14D98" w:rsidP="00A14D98">
      <w:pPr>
        <w:widowControl w:val="0"/>
        <w:autoSpaceDE w:val="0"/>
        <w:autoSpaceDN w:val="0"/>
        <w:spacing w:after="120" w:line="276" w:lineRule="auto"/>
        <w:ind w:right="113" w:firstLine="709"/>
        <w:jc w:val="both"/>
        <w:rPr>
          <w:rFonts w:ascii="Verdana" w:eastAsia="Arial" w:hAnsi="Verdana" w:cs="Arial"/>
          <w:lang w:val="es-ES" w:eastAsia="es-ES" w:bidi="es-ES"/>
        </w:rPr>
      </w:pPr>
      <w:r w:rsidRPr="00A14D98">
        <w:rPr>
          <w:rFonts w:ascii="Verdana" w:eastAsia="Calibri" w:hAnsi="Verdana" w:cs="Arial"/>
        </w:rPr>
        <w:t xml:space="preserve">Por otro lado, </w:t>
      </w:r>
      <w:r w:rsidRPr="00A14D98">
        <w:rPr>
          <w:rFonts w:ascii="Verdana" w:eastAsia="Calibri" w:hAnsi="Verdana" w:cs="Arial"/>
          <w:i/>
          <w:iCs/>
        </w:rPr>
        <w:t>el parágrafo del artículo 38 de la Ley 996 de 2005</w:t>
      </w:r>
      <w:r w:rsidRPr="00A14D98">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A14D98">
        <w:rPr>
          <w:rFonts w:ascii="Verdana" w:eastAsia="Calibri" w:hAnsi="Verdana" w:cs="Arial"/>
          <w:lang w:val="es-MX"/>
        </w:rPr>
        <w:t xml:space="preserve">celebrar convenios interadministrativos para la </w:t>
      </w:r>
      <w:r w:rsidRPr="00A14D98">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A14D98">
        <w:rPr>
          <w:rFonts w:ascii="Verdana" w:eastAsia="Calibri" w:hAnsi="Verdana" w:cs="Arial"/>
        </w:rPr>
        <w:t>”</w:t>
      </w:r>
      <w:bookmarkEnd w:id="4"/>
      <w:r w:rsidRPr="00A14D98">
        <w:rPr>
          <w:rFonts w:ascii="Verdana" w:eastAsia="Calibri" w:hAnsi="Verdana" w:cs="Arial"/>
          <w:vertAlign w:val="superscript"/>
        </w:rPr>
        <w:footnoteReference w:id="9"/>
      </w:r>
      <w:r w:rsidRPr="00A14D98">
        <w:rPr>
          <w:rFonts w:ascii="Verdana" w:eastAsia="Calibri" w:hAnsi="Verdana" w:cs="Arial"/>
          <w:lang w:val="es-MX"/>
        </w:rPr>
        <w:t>.</w:t>
      </w:r>
      <w:r w:rsidRPr="00A14D98">
        <w:rPr>
          <w:rFonts w:ascii="Verdana" w:eastAsia="Arial" w:hAnsi="Verdana" w:cs="Arial"/>
          <w:lang w:val="es-ES" w:eastAsia="es-ES" w:bidi="es-ES"/>
        </w:rPr>
        <w:t xml:space="preserve"> </w:t>
      </w:r>
    </w:p>
    <w:p w14:paraId="73A08542" w14:textId="77777777" w:rsidR="00A14D98" w:rsidRPr="00A14D98" w:rsidRDefault="00A14D98" w:rsidP="00A14D98">
      <w:pPr>
        <w:spacing w:after="120" w:line="276" w:lineRule="auto"/>
        <w:ind w:firstLine="708"/>
        <w:jc w:val="both"/>
        <w:rPr>
          <w:rFonts w:ascii="Verdana" w:eastAsia="Times New Roman" w:hAnsi="Verdana" w:cs="Arial"/>
          <w:bCs/>
          <w:lang w:eastAsia="es-CO"/>
        </w:rPr>
      </w:pPr>
      <w:r w:rsidRPr="00A14D98">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A14D98">
        <w:rPr>
          <w:rFonts w:ascii="Verdana" w:eastAsia="Times New Roman" w:hAnsi="Verdana" w:cs="Arial"/>
          <w:bCs/>
          <w:lang w:eastAsia="es-CO"/>
        </w:rPr>
        <w:t>1. </w:t>
      </w:r>
      <w:r w:rsidRPr="00A14D98">
        <w:rPr>
          <w:rFonts w:ascii="Verdana" w:eastAsia="Times New Roman" w:hAnsi="Verdana" w:cs="Arial"/>
          <w:bCs/>
          <w:i/>
          <w:iCs/>
          <w:lang w:eastAsia="es-CO"/>
        </w:rPr>
        <w:t>Gral.</w:t>
      </w:r>
      <w:r w:rsidRPr="00A14D98">
        <w:rPr>
          <w:rFonts w:ascii="Verdana" w:eastAsia="Times New Roman" w:hAnsi="Verdana" w:cs="Arial"/>
          <w:bCs/>
          <w:lang w:eastAsia="es-CO"/>
        </w:rPr>
        <w:t xml:space="preserve"> Otorgar o firmar un contrato. 2. </w:t>
      </w:r>
      <w:proofErr w:type="spellStart"/>
      <w:r w:rsidRPr="00A14D98">
        <w:rPr>
          <w:rFonts w:ascii="Verdana" w:eastAsia="Times New Roman" w:hAnsi="Verdana" w:cs="Arial"/>
          <w:bCs/>
          <w:i/>
          <w:iCs/>
          <w:lang w:eastAsia="es-CO"/>
        </w:rPr>
        <w:t>Proc</w:t>
      </w:r>
      <w:proofErr w:type="spellEnd"/>
      <w:r w:rsidRPr="00A14D98">
        <w:rPr>
          <w:rFonts w:ascii="Verdana" w:eastAsia="Times New Roman" w:hAnsi="Verdana" w:cs="Arial"/>
          <w:bCs/>
          <w:i/>
          <w:iCs/>
          <w:lang w:eastAsia="es-CO"/>
        </w:rPr>
        <w:t>.</w:t>
      </w:r>
      <w:r w:rsidRPr="00A14D98">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0252956" w14:textId="77777777" w:rsidR="00A14D98" w:rsidRPr="00A14D98" w:rsidRDefault="00A14D98" w:rsidP="00A14D98">
      <w:pPr>
        <w:spacing w:after="120" w:line="276" w:lineRule="auto"/>
        <w:ind w:firstLine="708"/>
        <w:jc w:val="both"/>
        <w:rPr>
          <w:rFonts w:ascii="Verdana" w:eastAsia="Times New Roman" w:hAnsi="Verdana" w:cs="Arial"/>
          <w:bCs/>
          <w:lang w:val="es-ES" w:eastAsia="es-CO"/>
        </w:rPr>
      </w:pPr>
      <w:r w:rsidRPr="00A14D98">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A14D98">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A14D98">
        <w:rPr>
          <w:rFonts w:ascii="Verdana" w:eastAsia="Times New Roman" w:hAnsi="Verdana" w:cs="Arial"/>
          <w:bCs/>
          <w:i/>
          <w:lang w:val="es-ES" w:eastAsia="es-CO"/>
        </w:rPr>
        <w:t>ibídem</w:t>
      </w:r>
      <w:proofErr w:type="spellEnd"/>
      <w:r w:rsidRPr="00A14D98">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CAFCBE4" w14:textId="77777777" w:rsidR="00A14D98" w:rsidRPr="00A14D98" w:rsidRDefault="00A14D98" w:rsidP="00A14D98">
      <w:pPr>
        <w:spacing w:after="120" w:line="276" w:lineRule="auto"/>
        <w:ind w:firstLine="708"/>
        <w:jc w:val="both"/>
        <w:rPr>
          <w:rFonts w:ascii="Verdana" w:eastAsia="Times New Roman" w:hAnsi="Verdana" w:cs="Arial"/>
          <w:bCs/>
          <w:lang w:val="es-ES" w:eastAsia="es-CO"/>
        </w:rPr>
      </w:pPr>
      <w:r w:rsidRPr="00A14D98">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sidRPr="00A14D98">
        <w:rPr>
          <w:rFonts w:ascii="Verdana" w:eastAsia="Times New Roman" w:hAnsi="Verdana" w:cs="Arial"/>
          <w:bCs/>
          <w:lang w:val="es-ES" w:eastAsia="es-CO"/>
        </w:rPr>
        <w:lastRenderedPageBreak/>
        <w:t xml:space="preserve">registro presupuestal, o en algunos casos, la firma del acta de inicio, si así se determinó. </w:t>
      </w:r>
    </w:p>
    <w:p w14:paraId="5F2DC936" w14:textId="77777777" w:rsidR="00A14D98" w:rsidRPr="00A14D98" w:rsidRDefault="00A14D98" w:rsidP="00A14D98">
      <w:pPr>
        <w:spacing w:after="120" w:line="276" w:lineRule="auto"/>
        <w:ind w:firstLine="708"/>
        <w:jc w:val="both"/>
        <w:rPr>
          <w:rFonts w:ascii="Verdana" w:eastAsia="Times New Roman" w:hAnsi="Verdana" w:cs="Arial"/>
          <w:bCs/>
          <w:lang w:val="es-ES" w:eastAsia="es-CO"/>
        </w:rPr>
      </w:pPr>
      <w:r w:rsidRPr="00A14D98">
        <w:rPr>
          <w:rFonts w:ascii="Verdana" w:eastAsia="Times New Roman" w:hAnsi="Verdana" w:cs="Arial"/>
          <w:bCs/>
          <w:lang w:val="es-ES" w:eastAsia="es-CO"/>
        </w:rPr>
        <w:t xml:space="preserve">Así mismo, </w:t>
      </w:r>
      <w:r w:rsidRPr="00A14D98">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A14D98">
        <w:rPr>
          <w:rFonts w:ascii="Verdana" w:eastAsia="Times New Roman" w:hAnsi="Verdana" w:cs="Arial"/>
          <w:bCs/>
          <w:lang w:val="es-MX" w:eastAsia="es-CO"/>
        </w:rPr>
        <w:t>entrada en vigencia</w:t>
      </w:r>
      <w:proofErr w:type="gramEnd"/>
      <w:r w:rsidRPr="00A14D98">
        <w:rPr>
          <w:rFonts w:ascii="Verdana" w:eastAsia="Times New Roman" w:hAnsi="Verdana" w:cs="Arial"/>
          <w:bCs/>
          <w:lang w:val="es-MX" w:eastAsia="es-CO"/>
        </w:rPr>
        <w:t xml:space="preserve"> de las prohibiciones anotadas, así como la cesión de </w:t>
      </w:r>
      <w:proofErr w:type="gramStart"/>
      <w:r w:rsidRPr="00A14D98">
        <w:rPr>
          <w:rFonts w:ascii="Verdana" w:eastAsia="Times New Roman" w:hAnsi="Verdana" w:cs="Arial"/>
          <w:bCs/>
          <w:lang w:val="es-MX" w:eastAsia="es-CO"/>
        </w:rPr>
        <w:t>los mismos</w:t>
      </w:r>
      <w:proofErr w:type="gramEnd"/>
      <w:r w:rsidRPr="00A14D98">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A14D98">
        <w:rPr>
          <w:rFonts w:ascii="Verdana" w:eastAsia="Times New Roman" w:hAnsi="Verdana" w:cs="Arial"/>
          <w:bCs/>
          <w:vertAlign w:val="superscript"/>
          <w:lang w:val="es-MX" w:eastAsia="es-CO"/>
        </w:rPr>
        <w:footnoteReference w:id="10"/>
      </w:r>
      <w:r w:rsidRPr="00A14D98">
        <w:rPr>
          <w:rFonts w:ascii="Verdana" w:eastAsia="Times New Roman" w:hAnsi="Verdana" w:cs="Arial"/>
          <w:bCs/>
          <w:lang w:val="es-MX" w:eastAsia="es-CO"/>
        </w:rPr>
        <w:t xml:space="preserve">. </w:t>
      </w:r>
    </w:p>
    <w:p w14:paraId="7A8CFF38" w14:textId="77777777" w:rsidR="00A14D98" w:rsidRPr="00A14D98" w:rsidRDefault="00A14D98" w:rsidP="00A14D9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A14D98">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0E28090C" w14:textId="77777777" w:rsidR="00A14D98" w:rsidRPr="00A14D98" w:rsidRDefault="00A14D98" w:rsidP="00A14D9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0EFD505" w14:textId="77777777" w:rsidR="00A14D98" w:rsidRPr="00A14D98" w:rsidRDefault="00A14D98" w:rsidP="00A14D9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A14D98">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A14D98">
        <w:rPr>
          <w:rFonts w:ascii="Verdana" w:eastAsia="Arial" w:hAnsi="Verdana" w:cs="Arial"/>
          <w:sz w:val="20"/>
          <w:szCs w:val="20"/>
          <w:lang w:eastAsia="es-ES" w:bidi="es-ES"/>
        </w:rPr>
        <w:t>se integran parcialmente</w:t>
      </w:r>
      <w:bookmarkEnd w:id="7"/>
      <w:r w:rsidRPr="00A14D98">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A14D98">
        <w:rPr>
          <w:rFonts w:ascii="Verdana" w:eastAsia="Arial" w:hAnsi="Verdana" w:cs="Arial"/>
          <w:sz w:val="20"/>
          <w:szCs w:val="20"/>
          <w:lang w:eastAsia="es-ES" w:bidi="es-ES"/>
        </w:rPr>
        <w:t>Presidente</w:t>
      </w:r>
      <w:proofErr w:type="gramEnd"/>
      <w:r w:rsidRPr="00A14D98">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A14D98">
        <w:rPr>
          <w:rFonts w:ascii="Verdana" w:eastAsia="Arial" w:hAnsi="Verdana" w:cs="Arial"/>
          <w:sz w:val="20"/>
          <w:szCs w:val="20"/>
          <w:vertAlign w:val="superscript"/>
          <w:lang w:eastAsia="es-ES" w:bidi="es-ES"/>
        </w:rPr>
        <w:footnoteReference w:id="11"/>
      </w:r>
    </w:p>
    <w:p w14:paraId="7BCBFB7A" w14:textId="77777777" w:rsidR="00A14D98" w:rsidRPr="00A14D98" w:rsidRDefault="00A14D98" w:rsidP="00A14D98">
      <w:pPr>
        <w:widowControl w:val="0"/>
        <w:autoSpaceDE w:val="0"/>
        <w:autoSpaceDN w:val="0"/>
        <w:spacing w:after="0" w:line="276" w:lineRule="auto"/>
        <w:contextualSpacing/>
        <w:rPr>
          <w:rFonts w:ascii="Verdana" w:eastAsia="Arial" w:hAnsi="Verdana" w:cs="Arial"/>
          <w:lang w:val="es-ES" w:eastAsia="es-ES" w:bidi="es-ES"/>
        </w:rPr>
      </w:pPr>
    </w:p>
    <w:p w14:paraId="5B7B6F47" w14:textId="77777777" w:rsidR="00A14D98" w:rsidRPr="00A14D98" w:rsidRDefault="00A14D98" w:rsidP="00A14D98">
      <w:pPr>
        <w:spacing w:after="120" w:line="276" w:lineRule="auto"/>
        <w:ind w:firstLine="709"/>
        <w:jc w:val="both"/>
        <w:rPr>
          <w:rFonts w:ascii="Verdana" w:eastAsia="Arial" w:hAnsi="Verdana" w:cs="Arial"/>
          <w:lang w:val="es-ES" w:eastAsia="es-ES" w:bidi="es-ES"/>
        </w:rPr>
      </w:pPr>
      <w:r w:rsidRPr="00A14D98">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A14D98">
        <w:rPr>
          <w:rFonts w:ascii="Verdana" w:eastAsia="Arial" w:hAnsi="Verdana" w:cs="Arial"/>
          <w:lang w:val="es-ES" w:eastAsia="es-ES" w:bidi="es-ES"/>
        </w:rPr>
        <w:t xml:space="preserve">la Ley 996 de 2005 establece dos (2) tipos de restricciones en materia de contratación, las cuales coinciden parcialmente. </w:t>
      </w:r>
      <w:r w:rsidRPr="00A14D98">
        <w:rPr>
          <w:rFonts w:ascii="Verdana" w:eastAsia="Arial" w:hAnsi="Verdana" w:cs="Arial"/>
          <w:i/>
          <w:lang w:val="es-ES" w:eastAsia="es-ES" w:bidi="es-ES"/>
        </w:rPr>
        <w:t>En primer lugar</w:t>
      </w:r>
      <w:r w:rsidRPr="00A14D98">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A14D98">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14D98">
        <w:rPr>
          <w:rFonts w:ascii="Verdana" w:eastAsia="Arial" w:hAnsi="Verdana" w:cs="Arial"/>
          <w:i/>
          <w:lang w:val="es-ES" w:eastAsia="es-ES" w:bidi="es-ES"/>
        </w:rPr>
        <w:t>En segundo lugar</w:t>
      </w:r>
      <w:r w:rsidRPr="00A14D98">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2968EFA7" w14:textId="77777777" w:rsidR="00A14D98" w:rsidRPr="00A14D98" w:rsidRDefault="00A14D98" w:rsidP="00A14D98">
      <w:pPr>
        <w:spacing w:after="120" w:line="276" w:lineRule="auto"/>
        <w:ind w:firstLine="709"/>
        <w:jc w:val="both"/>
        <w:rPr>
          <w:rFonts w:ascii="Verdana" w:eastAsia="Arial" w:hAnsi="Verdana" w:cs="Arial"/>
          <w:lang w:val="es-ES" w:eastAsia="es-ES" w:bidi="es-ES"/>
        </w:rPr>
      </w:pPr>
      <w:r w:rsidRPr="00A14D98">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A14D98">
        <w:rPr>
          <w:rFonts w:ascii="Verdana" w:eastAsia="Arial" w:hAnsi="Verdana" w:cs="Arial"/>
          <w:lang w:val="es-ES" w:eastAsia="es-ES" w:bidi="es-ES"/>
        </w:rPr>
        <w:t>Presidente</w:t>
      </w:r>
      <w:proofErr w:type="gramEnd"/>
      <w:r w:rsidRPr="00A14D98">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A14D98">
        <w:rPr>
          <w:rFonts w:ascii="Verdana" w:eastAsia="Arial" w:hAnsi="Verdana" w:cs="Arial"/>
          <w:lang w:val="es-ES" w:eastAsia="es-ES" w:bidi="es-ES"/>
        </w:rPr>
        <w:t>Presidente</w:t>
      </w:r>
      <w:proofErr w:type="gramEnd"/>
      <w:r w:rsidRPr="00A14D98">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39BEB2FC" w14:textId="77777777" w:rsidR="00A14D98" w:rsidRPr="00A14D98" w:rsidRDefault="00A14D98" w:rsidP="00A14D98">
      <w:pPr>
        <w:spacing w:after="0" w:line="276" w:lineRule="auto"/>
        <w:ind w:firstLine="709"/>
        <w:jc w:val="both"/>
        <w:rPr>
          <w:rFonts w:ascii="Verdana" w:eastAsia="Arial" w:hAnsi="Verdana" w:cs="Arial"/>
          <w:lang w:val="es-ES" w:eastAsia="es-ES" w:bidi="es-ES"/>
        </w:rPr>
      </w:pPr>
      <w:r w:rsidRPr="00A14D98">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A14D98">
        <w:rPr>
          <w:rFonts w:ascii="Verdana" w:eastAsia="Arial" w:hAnsi="Verdana" w:cs="Arial"/>
          <w:lang w:val="es-ES" w:eastAsia="es-ES" w:bidi="es-ES"/>
        </w:rPr>
        <w:t>Presidente</w:t>
      </w:r>
      <w:proofErr w:type="gramEnd"/>
      <w:r w:rsidRPr="00A14D98">
        <w:rPr>
          <w:rFonts w:ascii="Verdana" w:eastAsia="Arial" w:hAnsi="Verdana" w:cs="Arial"/>
          <w:lang w:val="es-ES" w:eastAsia="es-ES" w:bidi="es-ES"/>
        </w:rPr>
        <w:t xml:space="preserve"> o el </w:t>
      </w:r>
      <w:proofErr w:type="gramStart"/>
      <w:r w:rsidRPr="00A14D98">
        <w:rPr>
          <w:rFonts w:ascii="Verdana" w:eastAsia="Arial" w:hAnsi="Verdana" w:cs="Arial"/>
          <w:lang w:val="es-ES" w:eastAsia="es-ES" w:bidi="es-ES"/>
        </w:rPr>
        <w:t>Vicepresidente</w:t>
      </w:r>
      <w:proofErr w:type="gramEnd"/>
      <w:r w:rsidRPr="00A14D98">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A14D98">
        <w:rPr>
          <w:rFonts w:ascii="Verdana" w:eastAsia="Arial" w:hAnsi="Verdana" w:cs="Arial"/>
          <w:lang w:val="es-ES" w:eastAsia="es-ES" w:bidi="es-ES"/>
        </w:rPr>
        <w:t>Presidente</w:t>
      </w:r>
      <w:proofErr w:type="gramEnd"/>
      <w:r w:rsidRPr="00A14D98">
        <w:rPr>
          <w:rFonts w:ascii="Verdana" w:eastAsia="Arial" w:hAnsi="Verdana" w:cs="Arial"/>
          <w:lang w:val="es-ES" w:eastAsia="es-ES" w:bidi="es-ES"/>
        </w:rPr>
        <w:t xml:space="preserve"> y el </w:t>
      </w:r>
      <w:proofErr w:type="gramStart"/>
      <w:r w:rsidRPr="00A14D98">
        <w:rPr>
          <w:rFonts w:ascii="Verdana" w:eastAsia="Arial" w:hAnsi="Verdana" w:cs="Arial"/>
          <w:lang w:val="es-ES" w:eastAsia="es-ES" w:bidi="es-ES"/>
        </w:rPr>
        <w:t>Vicepresidente</w:t>
      </w:r>
      <w:proofErr w:type="gramEnd"/>
      <w:r w:rsidRPr="00A14D98">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A14D98">
        <w:rPr>
          <w:rFonts w:ascii="Verdana" w:eastAsia="Arial" w:hAnsi="Verdana" w:cs="Arial"/>
          <w:lang w:val="es-ES" w:eastAsia="es-ES" w:bidi="es-ES"/>
        </w:rPr>
        <w:t>Vicepresidente</w:t>
      </w:r>
      <w:proofErr w:type="gramEnd"/>
      <w:r w:rsidRPr="00A14D98">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3E534CD" w14:textId="77777777" w:rsidR="00A14D98" w:rsidRPr="00A14D98" w:rsidRDefault="00A14D98" w:rsidP="00A14D98">
      <w:pPr>
        <w:spacing w:after="120" w:line="276" w:lineRule="auto"/>
        <w:ind w:firstLine="708"/>
        <w:jc w:val="both"/>
        <w:rPr>
          <w:rFonts w:ascii="Verdana" w:eastAsia="Arial" w:hAnsi="Verdana" w:cs="Arial"/>
          <w:lang w:val="es-ES" w:eastAsia="es-ES" w:bidi="es-ES"/>
        </w:rPr>
      </w:pPr>
      <w:r w:rsidRPr="00A14D98">
        <w:rPr>
          <w:rFonts w:ascii="Verdana" w:eastAsia="Arial" w:hAnsi="Verdana" w:cs="Arial"/>
          <w:lang w:val="es-ES" w:eastAsia="es-ES" w:bidi="es-ES"/>
        </w:rPr>
        <w:t xml:space="preserve"> </w:t>
      </w:r>
      <w:bookmarkStart w:id="11" w:name="_Hlk78820161"/>
    </w:p>
    <w:p w14:paraId="6B2792B5" w14:textId="77777777" w:rsidR="00A14D98" w:rsidRPr="00A14D98" w:rsidRDefault="00A14D98" w:rsidP="00A14D98">
      <w:pPr>
        <w:spacing w:line="276" w:lineRule="auto"/>
        <w:jc w:val="both"/>
        <w:rPr>
          <w:rFonts w:ascii="Verdana" w:eastAsia="Times New Roman" w:hAnsi="Verdana" w:cs="Arial"/>
          <w:bCs/>
          <w:lang w:val="es-MX" w:eastAsia="es-CO"/>
        </w:rPr>
      </w:pPr>
      <w:proofErr w:type="spellStart"/>
      <w:r w:rsidRPr="00A14D98">
        <w:rPr>
          <w:rFonts w:ascii="Verdana" w:eastAsia="Arial" w:hAnsi="Verdana" w:cs="Arial"/>
          <w:lang w:val="es-ES" w:eastAsia="es-ES" w:bidi="es-ES"/>
        </w:rPr>
        <w:t>iii</w:t>
      </w:r>
      <w:proofErr w:type="spellEnd"/>
      <w:r w:rsidRPr="00A14D98">
        <w:rPr>
          <w:rFonts w:ascii="Verdana" w:eastAsia="Arial" w:hAnsi="Verdana" w:cs="Arial"/>
          <w:lang w:val="es-ES" w:eastAsia="es-ES" w:bidi="es-ES"/>
        </w:rPr>
        <w:t xml:space="preserve">. </w:t>
      </w:r>
      <w:r w:rsidRPr="00A14D98">
        <w:rPr>
          <w:rFonts w:ascii="Verdana" w:eastAsia="Times New Roman" w:hAnsi="Verdana" w:cs="Arial"/>
          <w:bCs/>
          <w:lang w:val="es-MX" w:eastAsia="x-none"/>
        </w:rPr>
        <w:t xml:space="preserve">El ámbito material de la prohibición contenida en el artículo 33 de la ley 996 de 2005 está delimitado por la expresión </w:t>
      </w:r>
      <w:r w:rsidRPr="00A14D98">
        <w:rPr>
          <w:rFonts w:ascii="Verdana" w:eastAsia="Calibri" w:hAnsi="Verdana" w:cs="Arial"/>
          <w:bCs/>
          <w:sz w:val="20"/>
          <w:szCs w:val="20"/>
          <w:lang w:val="es-MX"/>
        </w:rPr>
        <w:t>“</w:t>
      </w:r>
      <w:r w:rsidRPr="00A14D98">
        <w:rPr>
          <w:rFonts w:ascii="Verdana" w:eastAsia="Times New Roman" w:hAnsi="Verdana" w:cs="Arial"/>
          <w:bCs/>
          <w:lang w:val="es-MX" w:eastAsia="x-none"/>
        </w:rPr>
        <w:t>queda prohibida la contratación directa</w:t>
      </w:r>
      <w:r w:rsidRPr="00A14D98">
        <w:rPr>
          <w:rFonts w:ascii="Verdana" w:eastAsia="Calibri" w:hAnsi="Verdana" w:cs="Arial"/>
          <w:sz w:val="20"/>
          <w:szCs w:val="20"/>
          <w:lang w:val="es-MX"/>
        </w:rPr>
        <w:t>”</w:t>
      </w:r>
      <w:r w:rsidRPr="00A14D98">
        <w:rPr>
          <w:rFonts w:ascii="Verdana" w:eastAsia="Times New Roman" w:hAnsi="Verdana" w:cs="Arial"/>
          <w:bCs/>
          <w:lang w:val="es-MX" w:eastAsia="x-none"/>
        </w:rPr>
        <w:t xml:space="preserve">. </w:t>
      </w:r>
      <w:r w:rsidRPr="00A14D98">
        <w:rPr>
          <w:rFonts w:ascii="Verdana" w:eastAsia="Times New Roman" w:hAnsi="Verdana" w:cs="Arial"/>
          <w:lang w:val="es-MX" w:eastAsia="es-CO"/>
        </w:rPr>
        <w:t xml:space="preserve"> A propósito de </w:t>
      </w:r>
      <w:r w:rsidRPr="00A14D98">
        <w:rPr>
          <w:rFonts w:ascii="Verdana" w:eastAsia="Times New Roman" w:hAnsi="Verdana" w:cs="Arial"/>
          <w:lang w:eastAsia="es-CO"/>
        </w:rPr>
        <w:t>esta restricción de la Ley de Garantías Electorales, la Sala de Consulta y Servicio Civil del Consejo de Estado ha considerado que:</w:t>
      </w:r>
    </w:p>
    <w:p w14:paraId="68341BB8" w14:textId="77777777" w:rsidR="00A14D98" w:rsidRPr="00A14D98" w:rsidRDefault="00A14D98" w:rsidP="00A14D98">
      <w:pPr>
        <w:spacing w:after="0" w:line="240" w:lineRule="auto"/>
        <w:ind w:left="708" w:right="709"/>
        <w:jc w:val="both"/>
        <w:rPr>
          <w:rFonts w:ascii="Verdana" w:eastAsia="Calibri" w:hAnsi="Verdana" w:cs="Arial"/>
          <w:sz w:val="21"/>
          <w:szCs w:val="21"/>
          <w:lang w:val="es-MX"/>
        </w:rPr>
      </w:pPr>
    </w:p>
    <w:p w14:paraId="32184653" w14:textId="77777777" w:rsidR="00A14D98" w:rsidRPr="00A14D98" w:rsidRDefault="00A14D98" w:rsidP="00A14D98">
      <w:pPr>
        <w:spacing w:after="120" w:line="240" w:lineRule="auto"/>
        <w:ind w:left="709" w:right="709"/>
        <w:jc w:val="both"/>
        <w:rPr>
          <w:rFonts w:ascii="Verdana" w:eastAsia="Calibri" w:hAnsi="Verdana" w:cs="Arial"/>
          <w:sz w:val="20"/>
          <w:szCs w:val="20"/>
          <w:lang w:val="es-MX"/>
        </w:rPr>
      </w:pPr>
      <w:r w:rsidRPr="00A14D98">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A14D98">
        <w:rPr>
          <w:rFonts w:ascii="Verdana" w:eastAsia="Times New Roman" w:hAnsi="Verdana" w:cs="Arial"/>
          <w:sz w:val="20"/>
          <w:szCs w:val="20"/>
          <w:vertAlign w:val="superscript"/>
          <w:lang w:eastAsia="es-CO"/>
        </w:rPr>
        <w:footnoteReference w:id="12"/>
      </w:r>
      <w:r w:rsidRPr="00A14D98">
        <w:rPr>
          <w:rFonts w:ascii="Verdana" w:eastAsia="Calibri" w:hAnsi="Verdana" w:cs="Arial"/>
          <w:sz w:val="20"/>
          <w:szCs w:val="20"/>
          <w:lang w:val="es-MX"/>
        </w:rPr>
        <w:t>.</w:t>
      </w:r>
    </w:p>
    <w:p w14:paraId="684EA7E1" w14:textId="77777777" w:rsidR="00A14D98" w:rsidRPr="00A14D98" w:rsidRDefault="00A14D98" w:rsidP="00A14D98">
      <w:pPr>
        <w:spacing w:after="0" w:line="240" w:lineRule="auto"/>
        <w:ind w:left="708" w:right="709"/>
        <w:jc w:val="both"/>
        <w:rPr>
          <w:rFonts w:ascii="Verdana" w:eastAsia="Calibri" w:hAnsi="Verdana" w:cs="Arial"/>
          <w:sz w:val="20"/>
          <w:szCs w:val="20"/>
          <w:lang w:val="es-MX"/>
        </w:rPr>
      </w:pPr>
      <w:r w:rsidRPr="00A14D98">
        <w:rPr>
          <w:rFonts w:ascii="Verdana" w:eastAsia="Calibri" w:hAnsi="Verdana" w:cs="Arial"/>
          <w:sz w:val="20"/>
          <w:szCs w:val="20"/>
          <w:lang w:val="es-MX"/>
        </w:rPr>
        <w:t xml:space="preserve">Esta Sala ha entendido </w:t>
      </w:r>
      <w:proofErr w:type="gramStart"/>
      <w:r w:rsidRPr="00A14D98">
        <w:rPr>
          <w:rFonts w:ascii="Verdana" w:eastAsia="Calibri" w:hAnsi="Verdana" w:cs="Arial"/>
          <w:sz w:val="20"/>
          <w:szCs w:val="20"/>
          <w:lang w:val="es-MX"/>
        </w:rPr>
        <w:t>que</w:t>
      </w:r>
      <w:proofErr w:type="gramEnd"/>
      <w:r w:rsidRPr="00A14D98">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A14D98">
        <w:rPr>
          <w:rFonts w:ascii="Verdana" w:eastAsia="Times New Roman" w:hAnsi="Verdana" w:cs="Arial"/>
          <w:sz w:val="20"/>
          <w:szCs w:val="20"/>
          <w:vertAlign w:val="superscript"/>
          <w:lang w:val="es-MX"/>
        </w:rPr>
        <w:footnoteReference w:id="13"/>
      </w:r>
      <w:r w:rsidRPr="00A14D98">
        <w:rPr>
          <w:rFonts w:ascii="Verdana" w:eastAsia="Times New Roman" w:hAnsi="Verdana" w:cs="Arial"/>
          <w:sz w:val="20"/>
          <w:szCs w:val="20"/>
          <w:vertAlign w:val="superscript"/>
          <w:lang w:val="es-MX"/>
        </w:rPr>
        <w:t>.</w:t>
      </w:r>
      <w:r w:rsidRPr="00A14D98">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A14D98">
        <w:rPr>
          <w:rFonts w:ascii="Verdana" w:eastAsia="Times New Roman" w:hAnsi="Verdana" w:cs="Arial"/>
          <w:sz w:val="20"/>
          <w:szCs w:val="20"/>
          <w:vertAlign w:val="superscript"/>
          <w:lang w:eastAsia="es-CO"/>
        </w:rPr>
        <w:footnoteReference w:id="14"/>
      </w:r>
      <w:r w:rsidRPr="00A14D98">
        <w:rPr>
          <w:rFonts w:ascii="Verdana" w:eastAsia="Calibri" w:hAnsi="Verdana" w:cs="Arial"/>
          <w:sz w:val="20"/>
          <w:szCs w:val="20"/>
          <w:lang w:val="es-MX"/>
        </w:rPr>
        <w:t xml:space="preserve"> .</w:t>
      </w:r>
    </w:p>
    <w:p w14:paraId="2C8B58C0" w14:textId="77777777" w:rsidR="00A14D98" w:rsidRPr="00A14D98" w:rsidRDefault="00A14D98" w:rsidP="00A14D98">
      <w:pPr>
        <w:shd w:val="clear" w:color="auto" w:fill="FFFFFF"/>
        <w:spacing w:after="0" w:line="276" w:lineRule="auto"/>
        <w:ind w:firstLine="709"/>
        <w:jc w:val="both"/>
        <w:rPr>
          <w:rFonts w:ascii="Verdana" w:eastAsia="Times New Roman" w:hAnsi="Verdana" w:cs="Arial"/>
          <w:lang w:eastAsia="x-none"/>
        </w:rPr>
      </w:pPr>
    </w:p>
    <w:p w14:paraId="78D89ACF" w14:textId="77777777" w:rsidR="00A14D98" w:rsidRPr="00A14D98" w:rsidRDefault="00A14D98" w:rsidP="00A14D98">
      <w:pPr>
        <w:spacing w:after="120" w:line="276" w:lineRule="auto"/>
        <w:ind w:firstLine="708"/>
        <w:jc w:val="both"/>
        <w:rPr>
          <w:rFonts w:ascii="Verdana" w:eastAsia="Times New Roman" w:hAnsi="Verdana" w:cs="Arial"/>
          <w:bCs/>
          <w:lang w:eastAsia="x-none"/>
        </w:rPr>
      </w:pPr>
      <w:r w:rsidRPr="00A14D98">
        <w:rPr>
          <w:rFonts w:ascii="Verdana" w:eastAsia="Times New Roman" w:hAnsi="Verdana" w:cs="Arial"/>
          <w:lang w:eastAsia="x-none"/>
        </w:rPr>
        <w:t xml:space="preserve">De acuerdo con el citado concepto, la prohibición del artículo 33 de la Ley de Garantías Electorales se refiere a </w:t>
      </w:r>
      <w:r w:rsidRPr="00A14D98">
        <w:rPr>
          <w:rFonts w:ascii="Verdana" w:eastAsia="Times New Roman" w:hAnsi="Verdana" w:cs="Arial"/>
          <w:sz w:val="19"/>
          <w:szCs w:val="19"/>
          <w:lang w:eastAsia="en-GB"/>
        </w:rPr>
        <w:t>“</w:t>
      </w:r>
      <w:r w:rsidRPr="00A14D98">
        <w:rPr>
          <w:rFonts w:ascii="Verdana" w:eastAsia="Times New Roman" w:hAnsi="Verdana" w:cs="Arial"/>
          <w:lang w:eastAsia="x-none"/>
        </w:rPr>
        <w:t>cualquier sistema que no implique convocatoria pública y posibilidad de pluralidad de oferentes</w:t>
      </w:r>
      <w:r w:rsidRPr="00A14D98">
        <w:rPr>
          <w:rFonts w:ascii="Verdana" w:eastAsia="Times New Roman" w:hAnsi="Verdana" w:cs="Arial"/>
          <w:lang w:eastAsia="en-GB"/>
        </w:rPr>
        <w:t>”</w:t>
      </w:r>
      <w:r w:rsidRPr="00A14D98">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A14D98">
        <w:rPr>
          <w:rFonts w:ascii="Verdana" w:eastAsia="Times New Roman" w:hAnsi="Verdana" w:cs="Arial"/>
          <w:lang w:val="es-ES_tradnl" w:eastAsia="x-none"/>
        </w:rPr>
        <w:t>y la mínima cuantía</w:t>
      </w:r>
      <w:r w:rsidRPr="00A14D98" w:rsidDel="00A85D9F">
        <w:rPr>
          <w:rFonts w:ascii="Verdana" w:eastAsia="Times New Roman" w:hAnsi="Verdana" w:cs="Arial"/>
          <w:lang w:eastAsia="x-none"/>
        </w:rPr>
        <w:t xml:space="preserve"> </w:t>
      </w:r>
      <w:r w:rsidRPr="00A14D98">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A14D98">
        <w:rPr>
          <w:rFonts w:ascii="Verdana" w:eastAsia="Times New Roman" w:hAnsi="Verdana" w:cs="Arial"/>
          <w:vertAlign w:val="superscript"/>
          <w:lang w:val="en-GB" w:eastAsia="x-none"/>
        </w:rPr>
        <w:footnoteReference w:id="15"/>
      </w:r>
      <w:r w:rsidRPr="00A14D98">
        <w:rPr>
          <w:rFonts w:ascii="Verdana" w:eastAsia="Times New Roman" w:hAnsi="Verdana" w:cs="Arial"/>
          <w:lang w:eastAsia="x-none"/>
        </w:rPr>
        <w:t xml:space="preserve"> y sistematizó las causales de contratación directa</w:t>
      </w:r>
      <w:r w:rsidRPr="00A14D98">
        <w:rPr>
          <w:rFonts w:ascii="Verdana" w:eastAsia="Times New Roman" w:hAnsi="Verdana" w:cs="Arial"/>
          <w:vertAlign w:val="superscript"/>
          <w:lang w:val="en-GB" w:eastAsia="x-none"/>
        </w:rPr>
        <w:footnoteReference w:id="16"/>
      </w:r>
      <w:r w:rsidRPr="00A14D98">
        <w:rPr>
          <w:rFonts w:ascii="Verdana" w:eastAsia="Times New Roman" w:hAnsi="Verdana" w:cs="Arial"/>
          <w:lang w:eastAsia="x-none"/>
        </w:rPr>
        <w:t xml:space="preserve">, </w:t>
      </w:r>
      <w:r w:rsidRPr="00A14D98">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8B7E7F8" w14:textId="77777777" w:rsidR="00A14D98" w:rsidRPr="00A14D98" w:rsidRDefault="00A14D98" w:rsidP="00A14D98">
      <w:pPr>
        <w:spacing w:after="120" w:line="276" w:lineRule="auto"/>
        <w:ind w:firstLine="708"/>
        <w:jc w:val="both"/>
        <w:rPr>
          <w:rFonts w:ascii="Verdana" w:eastAsia="Times New Roman" w:hAnsi="Verdana" w:cs="Arial"/>
          <w:lang w:val="es-MX" w:eastAsia="x-none"/>
        </w:rPr>
      </w:pPr>
      <w:r w:rsidRPr="00A14D98">
        <w:rPr>
          <w:rFonts w:ascii="Verdana" w:eastAsia="Times New Roman" w:hAnsi="Verdana" w:cs="Arial"/>
          <w:lang w:eastAsia="x-none"/>
        </w:rPr>
        <w:lastRenderedPageBreak/>
        <w:t xml:space="preserve">De esta forma, con fundamento en la evolución de la normativa sobre la contratación pública, se ha depurado la noción de </w:t>
      </w:r>
      <w:r w:rsidRPr="00A14D98">
        <w:rPr>
          <w:rFonts w:ascii="Verdana" w:eastAsia="Times New Roman" w:hAnsi="Verdana" w:cs="Arial"/>
          <w:sz w:val="19"/>
          <w:szCs w:val="19"/>
          <w:lang w:eastAsia="en-GB"/>
        </w:rPr>
        <w:t>«</w:t>
      </w:r>
      <w:r w:rsidRPr="00A14D98">
        <w:rPr>
          <w:rFonts w:ascii="Verdana" w:eastAsia="Times New Roman" w:hAnsi="Verdana" w:cs="Arial"/>
          <w:lang w:eastAsia="x-none"/>
        </w:rPr>
        <w:t>contratación directa</w:t>
      </w:r>
      <w:r w:rsidRPr="00A14D98">
        <w:rPr>
          <w:rFonts w:ascii="Verdana" w:eastAsia="Times New Roman" w:hAnsi="Verdana" w:cs="Arial"/>
          <w:lang w:eastAsia="en-GB"/>
        </w:rPr>
        <w:t>»</w:t>
      </w:r>
      <w:r w:rsidRPr="00A14D98">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A14D98">
        <w:rPr>
          <w:rFonts w:ascii="Verdana" w:eastAsia="Times New Roman" w:hAnsi="Verdana" w:cs="Arial"/>
          <w:vertAlign w:val="superscript"/>
          <w:lang w:val="en-GB" w:eastAsia="x-none"/>
        </w:rPr>
        <w:footnoteReference w:id="17"/>
      </w:r>
      <w:r w:rsidRPr="00A14D98">
        <w:rPr>
          <w:rFonts w:ascii="Verdana" w:eastAsia="Times New Roman" w:hAnsi="Verdana" w:cs="Arial"/>
          <w:lang w:eastAsia="x-none"/>
        </w:rPr>
        <w:t>, han establecido sistemas de contratación que implican convocatoria pública y participación de varios oferentes</w:t>
      </w:r>
      <w:r w:rsidRPr="00A14D98">
        <w:rPr>
          <w:rFonts w:ascii="Verdana" w:eastAsia="Times New Roman" w:hAnsi="Verdana" w:cs="Arial"/>
          <w:lang w:eastAsia="en-GB"/>
        </w:rPr>
        <w:t>»</w:t>
      </w:r>
      <w:r w:rsidRPr="00A14D98">
        <w:rPr>
          <w:rFonts w:ascii="Verdana" w:eastAsia="Times New Roman" w:hAnsi="Verdana" w:cs="Arial"/>
          <w:lang w:eastAsia="x-none"/>
        </w:rPr>
        <w:t xml:space="preserve">. </w:t>
      </w:r>
    </w:p>
    <w:p w14:paraId="324AD6CF" w14:textId="77777777" w:rsidR="00A14D98" w:rsidRPr="00A14D98" w:rsidRDefault="00A14D98" w:rsidP="00A14D98">
      <w:pPr>
        <w:spacing w:after="120" w:line="276" w:lineRule="auto"/>
        <w:ind w:firstLine="708"/>
        <w:jc w:val="both"/>
        <w:rPr>
          <w:rFonts w:ascii="Verdana" w:eastAsia="Times New Roman" w:hAnsi="Verdana" w:cs="Arial"/>
          <w:bCs/>
          <w:lang w:val="es-MX" w:eastAsia="es-CO"/>
        </w:rPr>
      </w:pPr>
      <w:r w:rsidRPr="00A14D98">
        <w:rPr>
          <w:rFonts w:ascii="Verdana" w:eastAsia="Times New Roman" w:hAnsi="Verdana" w:cs="Arial"/>
          <w:bCs/>
          <w:lang w:val="es-MX" w:eastAsia="x-none"/>
        </w:rPr>
        <w:t>E</w:t>
      </w:r>
      <w:r w:rsidRPr="00A14D98">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A14D98">
        <w:rPr>
          <w:rFonts w:ascii="Verdana" w:eastAsia="Times New Roman" w:hAnsi="Verdana" w:cs="Arial"/>
          <w:vertAlign w:val="superscript"/>
          <w:lang w:eastAsia="x-none"/>
        </w:rPr>
        <w:footnoteReference w:id="18"/>
      </w:r>
      <w:r w:rsidRPr="00A14D98">
        <w:rPr>
          <w:rFonts w:ascii="Verdana" w:eastAsia="Times New Roman" w:hAnsi="Verdana" w:cs="Arial"/>
          <w:lang w:eastAsia="x-none"/>
        </w:rPr>
        <w:t xml:space="preserve">. </w:t>
      </w:r>
    </w:p>
    <w:p w14:paraId="7C1F8223" w14:textId="77777777" w:rsidR="00A14D98" w:rsidRPr="00A14D98" w:rsidRDefault="00A14D98" w:rsidP="00A14D98">
      <w:pPr>
        <w:spacing w:after="120" w:line="276" w:lineRule="auto"/>
        <w:ind w:firstLine="708"/>
        <w:jc w:val="both"/>
        <w:rPr>
          <w:rFonts w:ascii="Verdana" w:eastAsia="Times New Roman" w:hAnsi="Verdana" w:cs="Arial"/>
          <w:bCs/>
          <w:lang w:val="es-MX" w:eastAsia="es-CO"/>
        </w:rPr>
      </w:pPr>
      <w:r w:rsidRPr="00A14D98">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FD068BB" w14:textId="77777777" w:rsidR="00A14D98" w:rsidRPr="00A14D98" w:rsidRDefault="00A14D98" w:rsidP="00A14D98">
      <w:pPr>
        <w:spacing w:after="120" w:line="276" w:lineRule="auto"/>
        <w:ind w:firstLine="708"/>
        <w:jc w:val="both"/>
        <w:rPr>
          <w:rFonts w:ascii="Verdana" w:eastAsia="Times New Roman" w:hAnsi="Verdana" w:cs="Arial"/>
          <w:bCs/>
          <w:lang w:val="es-MX" w:eastAsia="x-none"/>
        </w:rPr>
      </w:pPr>
      <w:r w:rsidRPr="00A14D98">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A14D98">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A14D98">
        <w:rPr>
          <w:rFonts w:ascii="Verdana" w:eastAsia="Times New Roman" w:hAnsi="Verdana" w:cs="Arial"/>
          <w:vertAlign w:val="superscript"/>
          <w:lang w:eastAsia="x-none"/>
        </w:rPr>
        <w:footnoteReference w:id="19"/>
      </w:r>
      <w:r w:rsidRPr="00A14D98">
        <w:rPr>
          <w:rFonts w:ascii="Verdana" w:eastAsia="Times New Roman" w:hAnsi="Verdana" w:cs="Arial"/>
          <w:bCs/>
          <w:lang w:val="es-MX" w:eastAsia="x-none"/>
        </w:rPr>
        <w:t>.</w:t>
      </w:r>
      <w:r w:rsidRPr="00A14D98">
        <w:rPr>
          <w:rFonts w:ascii="Verdana" w:eastAsia="Times New Roman" w:hAnsi="Verdana" w:cs="Arial"/>
          <w:vertAlign w:val="superscript"/>
          <w:lang w:eastAsia="x-none"/>
        </w:rPr>
        <w:t xml:space="preserve"> </w:t>
      </w:r>
    </w:p>
    <w:p w14:paraId="594EBD0D" w14:textId="77777777" w:rsidR="00A14D98" w:rsidRPr="00A14D98" w:rsidRDefault="00A14D98" w:rsidP="00A14D98">
      <w:pPr>
        <w:spacing w:after="120" w:line="276" w:lineRule="auto"/>
        <w:ind w:firstLine="708"/>
        <w:jc w:val="both"/>
        <w:rPr>
          <w:rFonts w:ascii="Verdana" w:eastAsia="Times New Roman" w:hAnsi="Verdana" w:cs="Arial"/>
          <w:lang w:eastAsia="x-none"/>
        </w:rPr>
      </w:pPr>
      <w:r w:rsidRPr="00A14D98">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A14D98">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CB783E0" w14:textId="77777777" w:rsidR="00A14D98" w:rsidRPr="00A14D98" w:rsidRDefault="00A14D98" w:rsidP="00A14D98">
      <w:pPr>
        <w:spacing w:after="120" w:line="276" w:lineRule="auto"/>
        <w:ind w:firstLine="708"/>
        <w:jc w:val="both"/>
        <w:rPr>
          <w:rFonts w:ascii="Verdana" w:eastAsia="Times New Roman" w:hAnsi="Verdana" w:cs="Arial"/>
          <w:bCs/>
          <w:lang w:val="es-MX" w:eastAsia="es-CO"/>
        </w:rPr>
      </w:pPr>
      <w:r w:rsidRPr="00A14D98">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A14D98">
        <w:rPr>
          <w:rFonts w:ascii="Verdana" w:eastAsia="Times New Roman" w:hAnsi="Verdana" w:cs="Arial"/>
          <w:bCs/>
          <w:lang w:val="es-MX" w:eastAsia="es-CO"/>
        </w:rPr>
        <w:t>entrada en vigencia</w:t>
      </w:r>
      <w:proofErr w:type="gramEnd"/>
      <w:r w:rsidRPr="00A14D98">
        <w:rPr>
          <w:rFonts w:ascii="Verdana" w:eastAsia="Times New Roman" w:hAnsi="Verdana" w:cs="Arial"/>
          <w:bCs/>
          <w:lang w:val="es-MX" w:eastAsia="es-CO"/>
        </w:rPr>
        <w:t xml:space="preserve"> de las prohibiciones anotadas, así como la cesión de </w:t>
      </w:r>
      <w:proofErr w:type="gramStart"/>
      <w:r w:rsidRPr="00A14D98">
        <w:rPr>
          <w:rFonts w:ascii="Verdana" w:eastAsia="Times New Roman" w:hAnsi="Verdana" w:cs="Arial"/>
          <w:bCs/>
          <w:lang w:val="es-MX" w:eastAsia="es-CO"/>
        </w:rPr>
        <w:t>los mismos</w:t>
      </w:r>
      <w:proofErr w:type="gramEnd"/>
      <w:r w:rsidRPr="00A14D98">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A14D98">
        <w:rPr>
          <w:rFonts w:ascii="Verdana" w:eastAsia="Times New Roman" w:hAnsi="Verdana" w:cs="Arial"/>
          <w:bCs/>
          <w:vertAlign w:val="superscript"/>
          <w:lang w:val="es-MX" w:eastAsia="es-CO"/>
        </w:rPr>
        <w:footnoteReference w:id="20"/>
      </w:r>
      <w:r w:rsidRPr="00A14D98">
        <w:rPr>
          <w:rFonts w:ascii="Verdana" w:eastAsia="Times New Roman" w:hAnsi="Verdana" w:cs="Arial"/>
          <w:bCs/>
          <w:lang w:val="es-MX" w:eastAsia="es-CO"/>
        </w:rPr>
        <w:t xml:space="preserve">. Además, también es posible que contratos celebrados previamente se continúen ejecutando con normalidad. </w:t>
      </w:r>
    </w:p>
    <w:p w14:paraId="674AEE48" w14:textId="77777777" w:rsidR="00A14D98" w:rsidRPr="00A14D98" w:rsidRDefault="00A14D98" w:rsidP="00A14D98">
      <w:pPr>
        <w:spacing w:after="120" w:line="276" w:lineRule="auto"/>
        <w:ind w:firstLine="708"/>
        <w:jc w:val="both"/>
        <w:rPr>
          <w:rFonts w:ascii="Verdana" w:eastAsia="Times New Roman" w:hAnsi="Verdana" w:cs="Arial"/>
          <w:bCs/>
          <w:lang w:val="es-MX" w:eastAsia="es-CO"/>
        </w:rPr>
      </w:pPr>
      <w:r w:rsidRPr="00A14D98">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A14D98">
        <w:rPr>
          <w:rFonts w:ascii="Verdana" w:eastAsia="Times New Roman" w:hAnsi="Verdana" w:cs="Arial"/>
          <w:bCs/>
          <w:lang w:val="es-MX" w:eastAsia="x-none"/>
        </w:rPr>
        <w:t>ii</w:t>
      </w:r>
      <w:proofErr w:type="spellEnd"/>
      <w:r w:rsidRPr="00A14D98">
        <w:rPr>
          <w:rFonts w:ascii="Verdana" w:eastAsia="Times New Roman" w:hAnsi="Verdana" w:cs="Arial"/>
          <w:bCs/>
          <w:lang w:val="es-MX" w:eastAsia="x-none"/>
        </w:rPr>
        <w:t xml:space="preserve">) los contratos de crédito público; </w:t>
      </w:r>
      <w:proofErr w:type="spellStart"/>
      <w:r w:rsidRPr="00A14D98">
        <w:rPr>
          <w:rFonts w:ascii="Verdana" w:eastAsia="Times New Roman" w:hAnsi="Verdana" w:cs="Arial"/>
          <w:bCs/>
          <w:lang w:val="es-MX" w:eastAsia="x-none"/>
        </w:rPr>
        <w:t>iii</w:t>
      </w:r>
      <w:proofErr w:type="spellEnd"/>
      <w:r w:rsidRPr="00A14D98">
        <w:rPr>
          <w:rFonts w:ascii="Verdana" w:eastAsia="Times New Roman" w:hAnsi="Verdana" w:cs="Arial"/>
          <w:bCs/>
          <w:lang w:val="es-MX" w:eastAsia="x-none"/>
        </w:rPr>
        <w:t xml:space="preserve">) los requeridos para cubrir las emergencias educativas, sanitarias y desastres; </w:t>
      </w:r>
      <w:proofErr w:type="spellStart"/>
      <w:r w:rsidRPr="00A14D98">
        <w:rPr>
          <w:rFonts w:ascii="Verdana" w:eastAsia="Times New Roman" w:hAnsi="Verdana" w:cs="Arial"/>
          <w:bCs/>
          <w:lang w:val="es-MX" w:eastAsia="x-none"/>
        </w:rPr>
        <w:t>iv</w:t>
      </w:r>
      <w:proofErr w:type="spellEnd"/>
      <w:r w:rsidRPr="00A14D98">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A14D98">
        <w:rPr>
          <w:rFonts w:ascii="Verdana" w:eastAsia="Times New Roman" w:hAnsi="Verdana" w:cs="Arial"/>
          <w:bCs/>
          <w:lang w:val="es-MX" w:eastAsia="es-CO"/>
        </w:rPr>
        <w:t xml:space="preserve"> Es responsabilidad del respectivo ente del Estado, examinar en cada caso la naturaleza de las actividades que </w:t>
      </w:r>
      <w:r w:rsidRPr="00A14D98">
        <w:rPr>
          <w:rFonts w:ascii="Verdana" w:eastAsia="Times New Roman" w:hAnsi="Verdana" w:cs="Arial"/>
          <w:bCs/>
          <w:lang w:val="es-MX" w:eastAsia="es-CO"/>
        </w:rPr>
        <w:lastRenderedPageBreak/>
        <w:t>adelanta y determinar si las mismas se enmarcan en alguna de las mencionadas excepciones, de manera que se le permita realizar la contratación que necesite en forma directa.</w:t>
      </w:r>
    </w:p>
    <w:p w14:paraId="40A42C0E" w14:textId="77777777" w:rsidR="00A14D98" w:rsidRPr="00A14D98" w:rsidRDefault="00A14D98" w:rsidP="00A14D98">
      <w:pPr>
        <w:spacing w:after="120" w:line="276" w:lineRule="auto"/>
        <w:ind w:firstLine="709"/>
        <w:jc w:val="both"/>
        <w:rPr>
          <w:rFonts w:ascii="Verdana" w:eastAsia="Times New Roman" w:hAnsi="Verdana" w:cs="Arial"/>
          <w:bCs/>
          <w:lang w:val="es-MX" w:eastAsia="x-none"/>
        </w:rPr>
      </w:pPr>
      <w:r w:rsidRPr="00A14D98">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A14D98">
        <w:rPr>
          <w:rFonts w:ascii="Verdana" w:eastAsia="Calibri" w:hAnsi="Verdana" w:cs="Arial"/>
          <w:vertAlign w:val="superscript"/>
          <w:lang w:val="es-MX"/>
        </w:rPr>
        <w:footnoteReference w:id="21"/>
      </w:r>
      <w:r w:rsidRPr="00A14D98">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53ADE23" w14:textId="77777777" w:rsidR="00A14D98" w:rsidRPr="00A14D98" w:rsidRDefault="00A14D98" w:rsidP="00A14D98">
      <w:pPr>
        <w:spacing w:after="0" w:line="276" w:lineRule="auto"/>
        <w:ind w:firstLine="708"/>
        <w:jc w:val="both"/>
        <w:rPr>
          <w:rFonts w:ascii="Verdana" w:eastAsia="Times New Roman" w:hAnsi="Verdana" w:cs="Arial"/>
          <w:bCs/>
          <w:lang w:val="es-MX" w:eastAsia="x-none"/>
        </w:rPr>
      </w:pPr>
      <w:r w:rsidRPr="00A14D98">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A14D98">
        <w:rPr>
          <w:rFonts w:ascii="Verdana" w:eastAsia="Calibri" w:hAnsi="Verdana" w:cs="Arial"/>
          <w:sz w:val="24"/>
          <w:lang w:val="es-MX"/>
        </w:rPr>
        <w:t xml:space="preserve"> </w:t>
      </w:r>
      <w:r w:rsidRPr="00A14D98">
        <w:rPr>
          <w:rFonts w:ascii="Verdana" w:eastAsia="Times New Roman" w:hAnsi="Verdana" w:cs="Arial"/>
          <w:bCs/>
          <w:lang w:val="es-MX" w:eastAsia="x-none"/>
        </w:rPr>
        <w:t>En efecto, tal como lo ha sostenido el Consejo de Estado, el vocablo “todos” utilizado por el legislador comprende</w:t>
      </w:r>
      <w:r w:rsidRPr="00A14D98">
        <w:rPr>
          <w:rFonts w:ascii="Verdana" w:eastAsia="Calibri" w:hAnsi="Verdana" w:cs="Arial"/>
          <w:sz w:val="24"/>
          <w:lang w:val="es-MX"/>
        </w:rPr>
        <w:t xml:space="preserve"> </w:t>
      </w:r>
      <w:r w:rsidRPr="00A14D98">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A14D98">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6E68E8BC" w14:textId="77777777" w:rsidR="00A14D98" w:rsidRPr="00A14D98" w:rsidRDefault="00A14D98" w:rsidP="00A14D98">
      <w:pPr>
        <w:spacing w:after="0" w:line="276" w:lineRule="auto"/>
        <w:jc w:val="both"/>
        <w:rPr>
          <w:rFonts w:ascii="Verdana" w:eastAsia="Times New Roman" w:hAnsi="Verdana" w:cs="Arial"/>
          <w:bCs/>
          <w:lang w:val="es-MX" w:eastAsia="x-none"/>
        </w:rPr>
      </w:pPr>
    </w:p>
    <w:p w14:paraId="49B57699" w14:textId="77777777" w:rsidR="00A14D98" w:rsidRPr="00A14D98" w:rsidRDefault="00A14D98" w:rsidP="00A14D98">
      <w:pPr>
        <w:spacing w:after="0" w:line="240" w:lineRule="auto"/>
        <w:ind w:left="708" w:right="709"/>
        <w:jc w:val="both"/>
        <w:rPr>
          <w:rFonts w:ascii="Verdana" w:eastAsia="Times New Roman" w:hAnsi="Verdana" w:cs="Arial"/>
          <w:bCs/>
          <w:sz w:val="21"/>
          <w:szCs w:val="21"/>
          <w:lang w:val="es-MX" w:eastAsia="es-CO"/>
        </w:rPr>
      </w:pPr>
      <w:r w:rsidRPr="00A14D98">
        <w:rPr>
          <w:rFonts w:ascii="Verdana" w:eastAsia="Times New Roman" w:hAnsi="Verdana" w:cs="Arial"/>
          <w:bCs/>
          <w:sz w:val="21"/>
          <w:szCs w:val="21"/>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w:t>
      </w:r>
      <w:r w:rsidRPr="00A14D98">
        <w:rPr>
          <w:rFonts w:ascii="Verdana" w:eastAsia="Times New Roman" w:hAnsi="Verdana" w:cs="Arial"/>
          <w:bCs/>
          <w:sz w:val="21"/>
          <w:szCs w:val="21"/>
          <w:lang w:val="es-MX" w:eastAsia="x-none"/>
        </w:rPr>
        <w:lastRenderedPageBreak/>
        <w:t>a los municipios prestadores directos, incluyendo las excepciones contenidas en el segundo inciso de esta norma</w:t>
      </w:r>
      <w:r w:rsidRPr="00A14D98">
        <w:rPr>
          <w:rFonts w:ascii="Verdana" w:eastAsia="Times New Roman" w:hAnsi="Verdana" w:cs="Arial"/>
          <w:bCs/>
          <w:sz w:val="21"/>
          <w:szCs w:val="21"/>
          <w:vertAlign w:val="superscript"/>
          <w:lang w:val="es-MX" w:eastAsia="x-none"/>
        </w:rPr>
        <w:footnoteReference w:id="22"/>
      </w:r>
      <w:r w:rsidRPr="00A14D98">
        <w:rPr>
          <w:rFonts w:ascii="Verdana" w:eastAsia="Times New Roman" w:hAnsi="Verdana" w:cs="Arial"/>
          <w:bCs/>
          <w:sz w:val="21"/>
          <w:szCs w:val="21"/>
          <w:lang w:val="es-MX" w:eastAsia="x-none"/>
        </w:rPr>
        <w:t>.</w:t>
      </w:r>
      <w:r w:rsidRPr="00A14D98">
        <w:rPr>
          <w:rFonts w:ascii="Verdana" w:eastAsia="Times New Roman" w:hAnsi="Verdana" w:cs="Arial"/>
          <w:bCs/>
          <w:sz w:val="21"/>
          <w:szCs w:val="21"/>
          <w:lang w:val="es-MX" w:eastAsia="es-CO"/>
        </w:rPr>
        <w:t xml:space="preserve"> </w:t>
      </w:r>
    </w:p>
    <w:p w14:paraId="5193A0A0" w14:textId="77777777" w:rsidR="00A14D98" w:rsidRPr="00A14D98" w:rsidRDefault="00A14D98" w:rsidP="00A14D98">
      <w:pPr>
        <w:spacing w:after="0" w:line="276" w:lineRule="auto"/>
        <w:ind w:firstLine="708"/>
        <w:jc w:val="both"/>
        <w:rPr>
          <w:rFonts w:ascii="Verdana" w:eastAsia="Times New Roman" w:hAnsi="Verdana" w:cs="Arial"/>
          <w:bCs/>
          <w:lang w:val="es-MX" w:eastAsia="es-CO"/>
        </w:rPr>
      </w:pPr>
    </w:p>
    <w:p w14:paraId="2785FA2F" w14:textId="77777777" w:rsidR="00A14D98" w:rsidRPr="00A14D98" w:rsidRDefault="00A14D98" w:rsidP="00A14D98">
      <w:pPr>
        <w:spacing w:after="0" w:line="276" w:lineRule="auto"/>
        <w:ind w:firstLine="708"/>
        <w:jc w:val="both"/>
        <w:rPr>
          <w:rFonts w:ascii="Verdana" w:eastAsia="Calibri" w:hAnsi="Verdana" w:cs="Arial"/>
          <w:lang w:val="es-MX"/>
        </w:rPr>
      </w:pPr>
      <w:r w:rsidRPr="00A14D98">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A14D98">
        <w:rPr>
          <w:rFonts w:ascii="Verdana" w:eastAsia="Calibri" w:hAnsi="Verdana" w:cs="Arial"/>
          <w:sz w:val="24"/>
          <w:vertAlign w:val="superscript"/>
          <w:lang w:val="es-MX"/>
        </w:rPr>
        <w:footnoteReference w:id="23"/>
      </w:r>
      <w:r w:rsidRPr="00A14D98">
        <w:rPr>
          <w:rFonts w:ascii="Verdana" w:eastAsia="Times New Roman" w:hAnsi="Verdana" w:cs="Arial"/>
          <w:bCs/>
          <w:lang w:val="es-MX" w:eastAsia="x-none"/>
        </w:rPr>
        <w:t>.</w:t>
      </w:r>
      <w:r w:rsidRPr="00A14D98">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9DBB1AB" w14:textId="77777777" w:rsidR="00A14D98" w:rsidRPr="00A14D98" w:rsidRDefault="00A14D98" w:rsidP="00A14D98">
      <w:pPr>
        <w:spacing w:after="0" w:line="276" w:lineRule="auto"/>
        <w:jc w:val="both"/>
        <w:rPr>
          <w:rFonts w:ascii="Verdana" w:eastAsia="Calibri" w:hAnsi="Verdana" w:cs="Arial"/>
          <w:lang w:val="es-MX"/>
        </w:rPr>
      </w:pPr>
    </w:p>
    <w:p w14:paraId="5C3BC9BB" w14:textId="77777777" w:rsidR="00A14D98" w:rsidRPr="00A14D98" w:rsidRDefault="00A14D98" w:rsidP="00A14D98">
      <w:pPr>
        <w:spacing w:after="0" w:line="240" w:lineRule="auto"/>
        <w:ind w:left="708" w:right="709"/>
        <w:jc w:val="both"/>
        <w:rPr>
          <w:rFonts w:ascii="Verdana" w:eastAsia="Calibri" w:hAnsi="Verdana" w:cs="Arial"/>
          <w:sz w:val="20"/>
          <w:szCs w:val="20"/>
          <w:lang w:val="es-MX"/>
        </w:rPr>
      </w:pPr>
      <w:r w:rsidRPr="00A14D98">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CB6F840" w14:textId="77777777" w:rsidR="00A14D98" w:rsidRPr="00A14D98" w:rsidRDefault="00A14D98" w:rsidP="00A14D98">
      <w:pPr>
        <w:spacing w:after="0" w:line="240" w:lineRule="auto"/>
        <w:ind w:left="708" w:right="709"/>
        <w:jc w:val="both"/>
        <w:rPr>
          <w:rFonts w:ascii="Verdana" w:eastAsia="Calibri" w:hAnsi="Verdana" w:cs="Arial"/>
          <w:sz w:val="20"/>
          <w:szCs w:val="20"/>
          <w:lang w:val="es-MX"/>
        </w:rPr>
      </w:pPr>
    </w:p>
    <w:p w14:paraId="125EAFFB" w14:textId="77777777" w:rsidR="00A14D98" w:rsidRPr="00A14D98" w:rsidRDefault="00A14D98" w:rsidP="00A14D98">
      <w:pPr>
        <w:spacing w:after="0" w:line="240" w:lineRule="auto"/>
        <w:ind w:left="708" w:right="709"/>
        <w:jc w:val="both"/>
        <w:rPr>
          <w:rFonts w:ascii="Verdana" w:eastAsia="Calibri" w:hAnsi="Verdana" w:cs="Arial"/>
          <w:sz w:val="20"/>
          <w:szCs w:val="20"/>
          <w:lang w:val="es-MX"/>
        </w:rPr>
      </w:pPr>
      <w:r w:rsidRPr="00A14D98">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w:t>
      </w:r>
      <w:r w:rsidRPr="00A14D98">
        <w:rPr>
          <w:rFonts w:ascii="Verdana" w:eastAsia="Times New Roman" w:hAnsi="Verdana" w:cs="Arial"/>
          <w:bCs/>
          <w:sz w:val="20"/>
          <w:szCs w:val="20"/>
          <w:lang w:val="es-MX" w:eastAsia="x-none"/>
        </w:rPr>
        <w:lastRenderedPageBreak/>
        <w:t>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A14D98">
        <w:rPr>
          <w:rFonts w:ascii="Verdana" w:eastAsia="Calibri" w:hAnsi="Verdana" w:cs="Arial"/>
          <w:sz w:val="20"/>
          <w:szCs w:val="20"/>
          <w:vertAlign w:val="superscript"/>
          <w:lang w:val="es-MX"/>
        </w:rPr>
        <w:footnoteReference w:id="24"/>
      </w:r>
      <w:r w:rsidRPr="00A14D98">
        <w:rPr>
          <w:rFonts w:ascii="Verdana" w:eastAsia="Times New Roman" w:hAnsi="Verdana" w:cs="Arial"/>
          <w:bCs/>
          <w:sz w:val="20"/>
          <w:szCs w:val="20"/>
          <w:lang w:val="es-MX" w:eastAsia="x-none"/>
        </w:rPr>
        <w:t>.</w:t>
      </w:r>
    </w:p>
    <w:p w14:paraId="5591E60E" w14:textId="77777777" w:rsidR="00A14D98" w:rsidRPr="00A14D98" w:rsidRDefault="00A14D98" w:rsidP="00A14D98">
      <w:pPr>
        <w:spacing w:after="0" w:line="276" w:lineRule="auto"/>
        <w:jc w:val="both"/>
        <w:rPr>
          <w:rFonts w:ascii="Verdana" w:eastAsia="Calibri" w:hAnsi="Verdana" w:cs="Arial"/>
          <w:lang w:val="es-MX"/>
        </w:rPr>
      </w:pPr>
    </w:p>
    <w:p w14:paraId="593397ED" w14:textId="77777777" w:rsidR="00A14D98" w:rsidRPr="00A14D98" w:rsidRDefault="00A14D98" w:rsidP="00A14D98">
      <w:pPr>
        <w:spacing w:after="120" w:line="276" w:lineRule="auto"/>
        <w:ind w:firstLine="709"/>
        <w:jc w:val="both"/>
        <w:rPr>
          <w:rFonts w:ascii="Verdana" w:eastAsia="Times New Roman" w:hAnsi="Verdana" w:cs="Arial"/>
          <w:lang w:eastAsia="es-CO"/>
        </w:rPr>
      </w:pPr>
      <w:r w:rsidRPr="00A14D98">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A14D98">
        <w:rPr>
          <w:rFonts w:ascii="Verdana" w:eastAsia="Times New Roman" w:hAnsi="Verdana" w:cs="Arial"/>
          <w:bCs/>
          <w:lang w:val="es-MX" w:eastAsia="x-none"/>
        </w:rPr>
        <w:t>establecimientos de crédito, las sociedades de servicios financieros y las entidades aseguradoras</w:t>
      </w:r>
      <w:r w:rsidRPr="00A14D98">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A14D98">
        <w:rPr>
          <w:rFonts w:ascii="Verdana" w:eastAsia="Calibri" w:hAnsi="Verdana" w:cs="Arial"/>
          <w:vertAlign w:val="superscript"/>
          <w:lang w:val="es-MX"/>
        </w:rPr>
        <w:footnoteReference w:id="25"/>
      </w:r>
      <w:r w:rsidRPr="00A14D98">
        <w:rPr>
          <w:rFonts w:ascii="Verdana" w:eastAsia="Calibri" w:hAnsi="Verdana" w:cs="Arial"/>
          <w:lang w:val="es-MX"/>
        </w:rPr>
        <w:t>.</w:t>
      </w:r>
      <w:r w:rsidRPr="00A14D98">
        <w:rPr>
          <w:rFonts w:ascii="Verdana" w:eastAsia="Times New Roman" w:hAnsi="Verdana" w:cs="Arial"/>
          <w:lang w:eastAsia="es-CO"/>
        </w:rPr>
        <w:t xml:space="preserve"> </w:t>
      </w:r>
    </w:p>
    <w:p w14:paraId="2B584E11" w14:textId="77777777" w:rsidR="00A14D98" w:rsidRPr="00A14D98" w:rsidRDefault="00A14D98" w:rsidP="00A14D98">
      <w:pPr>
        <w:spacing w:after="120" w:line="276" w:lineRule="auto"/>
        <w:ind w:firstLine="709"/>
        <w:jc w:val="both"/>
        <w:rPr>
          <w:rFonts w:ascii="Verdana" w:eastAsia="Times New Roman" w:hAnsi="Verdana" w:cs="Arial"/>
          <w:bCs/>
          <w:lang w:val="es-MX" w:eastAsia="x-none"/>
        </w:rPr>
      </w:pPr>
      <w:r w:rsidRPr="00A14D98">
        <w:rPr>
          <w:rFonts w:ascii="Verdana" w:eastAsia="Times New Roman" w:hAnsi="Verdana" w:cs="Arial"/>
          <w:lang w:eastAsia="es-CO"/>
        </w:rPr>
        <w:t>Sin perjuicio de estos pronunciamientos de la Sala de Consulta y Servicio Civil</w:t>
      </w:r>
      <w:r w:rsidRPr="00A14D98">
        <w:rPr>
          <w:rFonts w:ascii="Verdana" w:eastAsia="Calibri" w:hAnsi="Verdana" w:cs="Arial"/>
          <w:lang w:val="es-MX"/>
        </w:rPr>
        <w:t xml:space="preserve">, como la ha señalado esa misma Corporación, la restricción prevista en la Ley 996 de 2005 </w:t>
      </w:r>
      <w:r w:rsidRPr="00A14D98">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w:t>
      </w:r>
      <w:r w:rsidRPr="00A14D98">
        <w:rPr>
          <w:rFonts w:ascii="Verdana" w:eastAsia="Times New Roman" w:hAnsi="Verdana" w:cs="Arial"/>
          <w:bCs/>
          <w:lang w:val="es-MX" w:eastAsia="x-none"/>
        </w:rPr>
        <w:lastRenderedPageBreak/>
        <w:t>tanto en la contratación regulada por la Ley 80 de 1993 como en la regida por normas especiales.</w:t>
      </w:r>
    </w:p>
    <w:p w14:paraId="75B7BC63" w14:textId="77777777" w:rsidR="00A14D98" w:rsidRPr="00A14D98" w:rsidRDefault="00A14D98" w:rsidP="00A14D98">
      <w:pPr>
        <w:spacing w:after="120" w:line="276" w:lineRule="auto"/>
        <w:ind w:firstLine="709"/>
        <w:jc w:val="both"/>
        <w:rPr>
          <w:rFonts w:ascii="Verdana" w:eastAsia="Times New Roman" w:hAnsi="Verdana" w:cs="Arial"/>
          <w:bCs/>
          <w:lang w:eastAsia="x-none"/>
        </w:rPr>
      </w:pPr>
      <w:r w:rsidRPr="00A14D98">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A14D98">
        <w:rPr>
          <w:rFonts w:ascii="Verdana" w:eastAsia="Times New Roman" w:hAnsi="Verdana" w:cs="Arial"/>
          <w:bCs/>
          <w:lang w:val="es-MX" w:eastAsia="x-none"/>
        </w:rPr>
        <w:t>ii</w:t>
      </w:r>
      <w:proofErr w:type="spellEnd"/>
      <w:r w:rsidRPr="00A14D98">
        <w:rPr>
          <w:rFonts w:ascii="Verdana" w:eastAsia="Times New Roman" w:hAnsi="Verdana" w:cs="Arial"/>
          <w:bCs/>
          <w:lang w:val="es-MX" w:eastAsia="x-none"/>
        </w:rPr>
        <w:t xml:space="preserve">) los contratos de crédito público; </w:t>
      </w:r>
      <w:proofErr w:type="spellStart"/>
      <w:r w:rsidRPr="00A14D98">
        <w:rPr>
          <w:rFonts w:ascii="Verdana" w:eastAsia="Times New Roman" w:hAnsi="Verdana" w:cs="Arial"/>
          <w:bCs/>
          <w:lang w:val="es-MX" w:eastAsia="x-none"/>
        </w:rPr>
        <w:t>iii</w:t>
      </w:r>
      <w:proofErr w:type="spellEnd"/>
      <w:r w:rsidRPr="00A14D98">
        <w:rPr>
          <w:rFonts w:ascii="Verdana" w:eastAsia="Times New Roman" w:hAnsi="Verdana" w:cs="Arial"/>
          <w:bCs/>
          <w:lang w:val="es-MX" w:eastAsia="x-none"/>
        </w:rPr>
        <w:t xml:space="preserve">) los requeridos para cubrir las emergencias educativas, sanitarias y desastres; </w:t>
      </w:r>
      <w:proofErr w:type="spellStart"/>
      <w:r w:rsidRPr="00A14D98">
        <w:rPr>
          <w:rFonts w:ascii="Verdana" w:eastAsia="Times New Roman" w:hAnsi="Verdana" w:cs="Arial"/>
          <w:bCs/>
          <w:lang w:val="es-MX" w:eastAsia="x-none"/>
        </w:rPr>
        <w:t>iv</w:t>
      </w:r>
      <w:proofErr w:type="spellEnd"/>
      <w:r w:rsidRPr="00A14D98">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4C3167B" w14:textId="77777777" w:rsidR="00A14D98" w:rsidRPr="00A14D98" w:rsidRDefault="00A14D98" w:rsidP="00A14D98">
      <w:pPr>
        <w:spacing w:after="120" w:line="276" w:lineRule="auto"/>
        <w:ind w:firstLine="709"/>
        <w:jc w:val="both"/>
        <w:rPr>
          <w:rFonts w:ascii="Verdana" w:eastAsia="Times New Roman" w:hAnsi="Verdana" w:cs="Arial"/>
          <w:bCs/>
          <w:lang w:eastAsia="x-none"/>
        </w:rPr>
      </w:pPr>
      <w:r w:rsidRPr="00A14D98">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Por tanto,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6B42318A" w14:textId="77777777" w:rsidR="00A14D98" w:rsidRPr="00A14D98" w:rsidRDefault="00A14D98" w:rsidP="00A14D98">
      <w:pPr>
        <w:spacing w:after="120" w:line="276" w:lineRule="auto"/>
        <w:ind w:firstLine="709"/>
        <w:jc w:val="both"/>
        <w:rPr>
          <w:rFonts w:ascii="Verdana" w:eastAsia="Times New Roman" w:hAnsi="Verdana" w:cs="Arial"/>
          <w:bCs/>
          <w:lang w:val="es-MX" w:eastAsia="x-none"/>
        </w:rPr>
      </w:pPr>
      <w:r w:rsidRPr="00A14D98">
        <w:rPr>
          <w:rFonts w:ascii="Verdana" w:eastAsia="Times New Roman" w:hAnsi="Verdana" w:cs="Arial"/>
          <w:bCs/>
          <w:lang w:val="es-MX" w:eastAsia="x-none"/>
        </w:rPr>
        <w:t>Finalmente, se reitera, c</w:t>
      </w:r>
      <w:r w:rsidRPr="00A14D98">
        <w:rPr>
          <w:rFonts w:ascii="Verdana" w:eastAsia="Times New Roman" w:hAnsi="Verdana" w:cs="Arial"/>
          <w:bCs/>
          <w:lang w:val="es-MX" w:eastAsia="es-CO"/>
        </w:rPr>
        <w:t xml:space="preserve">omo en otras oportunidades lo ha manifestado esta Agencia, que las prórrogas, modificaciones o adiciones de los contratos suscritos antes de la </w:t>
      </w:r>
      <w:proofErr w:type="gramStart"/>
      <w:r w:rsidRPr="00A14D98">
        <w:rPr>
          <w:rFonts w:ascii="Verdana" w:eastAsia="Times New Roman" w:hAnsi="Verdana" w:cs="Arial"/>
          <w:bCs/>
          <w:lang w:val="es-MX" w:eastAsia="es-CO"/>
        </w:rPr>
        <w:t>entrada en vigencia</w:t>
      </w:r>
      <w:proofErr w:type="gramEnd"/>
      <w:r w:rsidRPr="00A14D98">
        <w:rPr>
          <w:rFonts w:ascii="Verdana" w:eastAsia="Times New Roman" w:hAnsi="Verdana" w:cs="Arial"/>
          <w:bCs/>
          <w:lang w:val="es-MX" w:eastAsia="es-CO"/>
        </w:rPr>
        <w:t xml:space="preserve"> de las prohibiciones anotadas, así como la cesión de </w:t>
      </w:r>
      <w:proofErr w:type="gramStart"/>
      <w:r w:rsidRPr="00A14D98">
        <w:rPr>
          <w:rFonts w:ascii="Verdana" w:eastAsia="Times New Roman" w:hAnsi="Verdana" w:cs="Arial"/>
          <w:bCs/>
          <w:lang w:val="es-MX" w:eastAsia="es-CO"/>
        </w:rPr>
        <w:t>los mismos</w:t>
      </w:r>
      <w:proofErr w:type="gramEnd"/>
      <w:r w:rsidRPr="00A14D98">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A14D98">
        <w:rPr>
          <w:rFonts w:ascii="Verdana" w:eastAsia="Times New Roman" w:hAnsi="Verdana" w:cs="Arial"/>
          <w:bCs/>
          <w:vertAlign w:val="superscript"/>
          <w:lang w:val="es-MX" w:eastAsia="es-CO"/>
        </w:rPr>
        <w:footnoteReference w:id="26"/>
      </w:r>
      <w:r w:rsidRPr="00A14D98">
        <w:rPr>
          <w:rFonts w:ascii="Verdana" w:eastAsia="Times New Roman" w:hAnsi="Verdana" w:cs="Arial"/>
          <w:bCs/>
          <w:lang w:val="es-MX" w:eastAsia="es-CO"/>
        </w:rPr>
        <w:t>. Además, también es posible que contratos celebrados previamente se continúen ejecutando con normalidad.</w:t>
      </w:r>
      <w:bookmarkStart w:id="12" w:name="_Hlk79760844"/>
    </w:p>
    <w:p w14:paraId="65737890" w14:textId="77777777" w:rsidR="00A14D98" w:rsidRPr="00A14D98" w:rsidRDefault="00A14D98" w:rsidP="00A14D98">
      <w:pPr>
        <w:spacing w:after="0" w:line="276" w:lineRule="auto"/>
        <w:jc w:val="both"/>
        <w:rPr>
          <w:rFonts w:ascii="Verdana" w:eastAsia="Calibri" w:hAnsi="Verdana" w:cs="Arial"/>
        </w:rPr>
      </w:pPr>
    </w:p>
    <w:p w14:paraId="19E508DA" w14:textId="77777777" w:rsidR="00A14D98" w:rsidRPr="00A14D98" w:rsidRDefault="00A14D98" w:rsidP="00A14D98">
      <w:pPr>
        <w:spacing w:after="120" w:line="276" w:lineRule="auto"/>
        <w:jc w:val="both"/>
        <w:rPr>
          <w:rFonts w:ascii="Verdana" w:hAnsi="Verdana" w:cs="Arial"/>
          <w:lang w:val="es-ES"/>
        </w:rPr>
      </w:pPr>
      <w:proofErr w:type="spellStart"/>
      <w:r w:rsidRPr="00A14D98">
        <w:rPr>
          <w:rFonts w:ascii="Verdana" w:eastAsia="Arial" w:hAnsi="Verdana" w:cs="Arial"/>
          <w:lang w:val="es-ES" w:eastAsia="es-ES" w:bidi="es-ES"/>
        </w:rPr>
        <w:t>iv</w:t>
      </w:r>
      <w:proofErr w:type="spellEnd"/>
      <w:r w:rsidRPr="00A14D98">
        <w:rPr>
          <w:rFonts w:ascii="Verdana" w:eastAsia="Arial" w:hAnsi="Verdana" w:cs="Arial"/>
          <w:lang w:val="es-ES" w:eastAsia="es-ES" w:bidi="es-ES"/>
        </w:rPr>
        <w:t xml:space="preserve">. </w:t>
      </w:r>
      <w:r w:rsidRPr="00A14D98">
        <w:rPr>
          <w:rFonts w:ascii="Verdana" w:hAnsi="Verdana" w:cs="Arial"/>
          <w:lang w:val="es-ES"/>
        </w:rPr>
        <w:t xml:space="preserve">Ahora bien, respecto del alcance del parágrafo </w:t>
      </w:r>
      <w:r w:rsidRPr="00A14D98">
        <w:rPr>
          <w:rFonts w:ascii="Verdana" w:hAnsi="Verdana" w:cs="Arial"/>
        </w:rPr>
        <w:t xml:space="preserve">del artículo 38 de la Ley 996 de 2005, esta prohibición dispone en primera medida que: “[l]os Gobernadores, </w:t>
      </w:r>
      <w:proofErr w:type="gramStart"/>
      <w:r w:rsidRPr="00A14D98">
        <w:rPr>
          <w:rFonts w:ascii="Verdana" w:hAnsi="Verdana" w:cs="Arial"/>
        </w:rPr>
        <w:t>Alcaldes</w:t>
      </w:r>
      <w:proofErr w:type="gramEnd"/>
      <w:r w:rsidRPr="00A14D98">
        <w:rPr>
          <w:rFonts w:ascii="Verdana" w:hAnsi="Verdana" w:cs="Arial"/>
        </w:rPr>
        <w:t xml:space="preserve"> Municipales y/o Distritales, </w:t>
      </w:r>
      <w:proofErr w:type="gramStart"/>
      <w:r w:rsidRPr="00A14D98">
        <w:rPr>
          <w:rFonts w:ascii="Verdana" w:hAnsi="Verdana" w:cs="Arial"/>
        </w:rPr>
        <w:t>Secretarios</w:t>
      </w:r>
      <w:proofErr w:type="gramEnd"/>
      <w:r w:rsidRPr="00A14D98">
        <w:rPr>
          <w:rFonts w:ascii="Verdana" w:hAnsi="Verdana" w:cs="Arial"/>
        </w:rPr>
        <w:t xml:space="preserve">, Gerentes y directores de Entidades Descentralizadas del orden Municipal, Departamental o Distrital, dentro de los cuatro (4) meses anteriores a las elecciones, no podrán celebrar </w:t>
      </w:r>
      <w:r w:rsidRPr="00A14D98">
        <w:rPr>
          <w:rFonts w:ascii="Verdana" w:hAnsi="Verdana" w:cs="Arial"/>
          <w:i/>
          <w:iCs/>
        </w:rPr>
        <w:t>convenios interadministrativos</w:t>
      </w:r>
      <w:r w:rsidRPr="00A14D98">
        <w:rPr>
          <w:rFonts w:ascii="Verdana" w:hAnsi="Verdana" w:cs="Arial"/>
        </w:rPr>
        <w:t xml:space="preserve"> </w:t>
      </w:r>
      <w:r w:rsidRPr="00A14D98">
        <w:rPr>
          <w:rFonts w:ascii="Verdana" w:hAnsi="Verdana" w:cs="Arial"/>
          <w:i/>
          <w:iCs/>
        </w:rPr>
        <w:t>para la ejecución de recursos públicos</w:t>
      </w:r>
      <w:r w:rsidRPr="00A14D98">
        <w:rPr>
          <w:rFonts w:ascii="Verdana" w:hAnsi="Verdana" w:cs="Arial"/>
        </w:rPr>
        <w:t>”.</w:t>
      </w:r>
      <w:r w:rsidRPr="00A14D98">
        <w:rPr>
          <w:rFonts w:ascii="Verdana" w:eastAsia="Times New Roman" w:hAnsi="Verdana" w:cs="Arial"/>
          <w:lang w:val="es-MX" w:eastAsia="x-none"/>
        </w:rPr>
        <w:t xml:space="preserve"> [Énfasis fuera del texto original]</w:t>
      </w:r>
    </w:p>
    <w:p w14:paraId="02915330" w14:textId="77777777" w:rsidR="00A14D98" w:rsidRPr="00A14D98" w:rsidRDefault="00A14D98" w:rsidP="00A14D98">
      <w:pPr>
        <w:spacing w:after="120" w:line="276" w:lineRule="auto"/>
        <w:ind w:firstLine="709"/>
        <w:jc w:val="both"/>
        <w:rPr>
          <w:rFonts w:ascii="Verdana" w:hAnsi="Verdana" w:cs="Arial"/>
          <w:lang w:eastAsia="es-ES"/>
        </w:rPr>
      </w:pPr>
      <w:r w:rsidRPr="00A14D98">
        <w:rPr>
          <w:rFonts w:ascii="Verdana" w:eastAsia="Times New Roman" w:hAnsi="Verdana" w:cs="Arial"/>
          <w:lang w:val="es-ES" w:eastAsia="es-ES"/>
        </w:rPr>
        <w:t xml:space="preserve">Para tales efectos, debe precisarse que </w:t>
      </w:r>
      <w:r w:rsidRPr="00A14D98">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A14D98">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A14D98">
        <w:rPr>
          <w:rFonts w:ascii="Verdana" w:hAnsi="Verdana" w:cs="Arial"/>
          <w:vertAlign w:val="superscript"/>
          <w:lang w:eastAsia="es-ES"/>
        </w:rPr>
        <w:footnoteReference w:id="27"/>
      </w:r>
      <w:r w:rsidRPr="00A14D98">
        <w:rPr>
          <w:rFonts w:ascii="Verdana" w:hAnsi="Verdana" w:cs="Arial"/>
          <w:lang w:eastAsia="es-ES"/>
        </w:rPr>
        <w:t>.</w:t>
      </w:r>
    </w:p>
    <w:p w14:paraId="1C311090" w14:textId="77777777" w:rsidR="00A14D98" w:rsidRPr="00A14D98" w:rsidRDefault="00A14D98" w:rsidP="00A14D98">
      <w:pPr>
        <w:spacing w:after="120" w:line="276" w:lineRule="auto"/>
        <w:ind w:firstLine="709"/>
        <w:jc w:val="both"/>
        <w:rPr>
          <w:rFonts w:ascii="Verdana" w:hAnsi="Verdana" w:cs="Arial"/>
          <w:color w:val="000000" w:themeColor="text1"/>
          <w:lang w:val="es-ES_tradnl"/>
        </w:rPr>
      </w:pPr>
      <w:r w:rsidRPr="00A14D98">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15519AA" w14:textId="77777777" w:rsidR="00A14D98" w:rsidRPr="00A14D98" w:rsidRDefault="00A14D98" w:rsidP="00A14D98">
      <w:pPr>
        <w:spacing w:before="120" w:after="0" w:line="276" w:lineRule="auto"/>
        <w:ind w:firstLine="708"/>
        <w:jc w:val="both"/>
        <w:rPr>
          <w:rFonts w:ascii="Verdana" w:hAnsi="Verdana" w:cs="Arial"/>
          <w:lang w:val="es-ES_tradnl"/>
        </w:rPr>
      </w:pPr>
      <w:r w:rsidRPr="00A14D98">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A14D98">
        <w:rPr>
          <w:rFonts w:ascii="Verdana" w:hAnsi="Verdana" w:cs="Arial"/>
          <w:vertAlign w:val="superscript"/>
          <w:lang w:val="es-ES"/>
        </w:rPr>
        <w:footnoteReference w:id="28"/>
      </w:r>
      <w:r w:rsidRPr="00A14D98">
        <w:rPr>
          <w:rFonts w:ascii="Verdana" w:hAnsi="Verdana" w:cs="Arial"/>
          <w:lang w:val="es-ES"/>
        </w:rPr>
        <w:t>. Nótese que, en este caso, lo que cambia es la modalidad de selección y no la naturaleza de contrato interadministrativo.</w:t>
      </w:r>
    </w:p>
    <w:p w14:paraId="58C665D3" w14:textId="77777777" w:rsidR="00A14D98" w:rsidRPr="00A14D98" w:rsidRDefault="00A14D98" w:rsidP="00A14D98">
      <w:pPr>
        <w:spacing w:before="120" w:after="0" w:line="276" w:lineRule="auto"/>
        <w:ind w:firstLine="708"/>
        <w:jc w:val="both"/>
        <w:rPr>
          <w:rFonts w:ascii="Verdana" w:hAnsi="Verdana" w:cs="Arial"/>
          <w:lang w:val="es-ES_tradnl"/>
        </w:rPr>
      </w:pPr>
      <w:r w:rsidRPr="00A14D98">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A14D98">
        <w:rPr>
          <w:rFonts w:ascii="Verdana" w:hAnsi="Verdana" w:cs="Arial"/>
          <w:vertAlign w:val="superscript"/>
          <w:lang w:val="es-ES"/>
        </w:rPr>
        <w:footnoteReference w:id="29"/>
      </w:r>
      <w:r w:rsidRPr="00A14D98">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E3D2C0A" w14:textId="77777777" w:rsidR="00A14D98" w:rsidRPr="00A14D98" w:rsidRDefault="00A14D98" w:rsidP="00A14D98">
      <w:pPr>
        <w:spacing w:before="120" w:after="0" w:line="276" w:lineRule="auto"/>
        <w:ind w:firstLine="708"/>
        <w:jc w:val="both"/>
        <w:rPr>
          <w:rFonts w:ascii="Verdana" w:hAnsi="Verdana"/>
          <w:sz w:val="24"/>
          <w:szCs w:val="24"/>
          <w:lang w:eastAsia="es-CO"/>
        </w:rPr>
      </w:pPr>
      <w:r w:rsidRPr="00A14D98">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A14D98">
        <w:rPr>
          <w:rFonts w:ascii="Verdana" w:hAnsi="Verdana" w:cs="Arial"/>
          <w:vertAlign w:val="superscript"/>
          <w:lang w:val="es-ES"/>
        </w:rPr>
        <w:footnoteReference w:id="30"/>
      </w:r>
      <w:r w:rsidRPr="00A14D98">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A14D98">
        <w:rPr>
          <w:rFonts w:ascii="Verdana" w:hAnsi="Verdana"/>
          <w:sz w:val="24"/>
          <w:szCs w:val="24"/>
          <w:lang w:eastAsia="es-CO"/>
        </w:rPr>
        <w:t>.</w:t>
      </w:r>
    </w:p>
    <w:p w14:paraId="1BCF540D" w14:textId="77777777" w:rsidR="00A14D98" w:rsidRPr="00A14D98" w:rsidRDefault="00A14D98" w:rsidP="00A14D98">
      <w:pPr>
        <w:spacing w:before="120" w:after="0" w:line="276" w:lineRule="auto"/>
        <w:ind w:firstLine="708"/>
        <w:jc w:val="both"/>
        <w:rPr>
          <w:rFonts w:ascii="Verdana" w:eastAsia="Times New Roman" w:hAnsi="Verdana" w:cs="Arial"/>
          <w:lang w:val="es-MX" w:eastAsia="es-CO"/>
        </w:rPr>
      </w:pPr>
      <w:r w:rsidRPr="00A14D98">
        <w:rPr>
          <w:rFonts w:ascii="Verdana" w:eastAsia="Arial" w:hAnsi="Verdana" w:cs="Arial"/>
          <w:lang w:val="es-MX" w:eastAsia="es-ES" w:bidi="es-ES"/>
        </w:rPr>
        <w:t>De esta manera, se</w:t>
      </w:r>
      <w:r w:rsidRPr="00A14D98">
        <w:rPr>
          <w:rFonts w:ascii="Verdana" w:eastAsia="Times New Roman" w:hAnsi="Verdana" w:cs="Arial"/>
          <w:lang w:eastAsia="es-CO"/>
        </w:rPr>
        <w:t xml:space="preserve"> observa entonces que </w:t>
      </w:r>
      <w:r w:rsidRPr="00A14D98">
        <w:rPr>
          <w:rFonts w:ascii="Verdana" w:eastAsia="Times New Roman" w:hAnsi="Verdana" w:cs="Arial"/>
          <w:lang w:val="es-MX" w:eastAsia="es-CO"/>
        </w:rPr>
        <w:t xml:space="preserve">el parágrafo del artículo 38 de la Ley 996 de 2005 prohíbe a los </w:t>
      </w:r>
      <w:proofErr w:type="gramStart"/>
      <w:r w:rsidRPr="00A14D98">
        <w:rPr>
          <w:rFonts w:ascii="Verdana" w:eastAsia="Times New Roman" w:hAnsi="Verdana" w:cs="Arial"/>
          <w:lang w:val="es-MX" w:eastAsia="es-CO"/>
        </w:rPr>
        <w:t>Alcaldes</w:t>
      </w:r>
      <w:proofErr w:type="gramEnd"/>
      <w:r w:rsidRPr="00A14D98">
        <w:rPr>
          <w:rFonts w:ascii="Verdana" w:eastAsia="Times New Roman" w:hAnsi="Verdana" w:cs="Arial"/>
          <w:lang w:val="es-MX" w:eastAsia="es-CO"/>
        </w:rPr>
        <w:t xml:space="preserve">, Gobernadores, </w:t>
      </w:r>
      <w:proofErr w:type="gramStart"/>
      <w:r w:rsidRPr="00A14D98">
        <w:rPr>
          <w:rFonts w:ascii="Verdana" w:eastAsia="Times New Roman" w:hAnsi="Verdana" w:cs="Arial"/>
          <w:lang w:val="es-MX" w:eastAsia="es-CO"/>
        </w:rPr>
        <w:t>Secretarios</w:t>
      </w:r>
      <w:proofErr w:type="gramEnd"/>
      <w:r w:rsidRPr="00A14D98">
        <w:rPr>
          <w:rFonts w:ascii="Verdana" w:eastAsia="Times New Roman" w:hAnsi="Verdana" w:cs="Arial"/>
          <w:lang w:val="es-MX" w:eastAsia="es-CO"/>
        </w:rPr>
        <w:t xml:space="preserve">, Gerentes y </w:t>
      </w:r>
      <w:proofErr w:type="gramStart"/>
      <w:r w:rsidRPr="00A14D98">
        <w:rPr>
          <w:rFonts w:ascii="Verdana" w:eastAsia="Times New Roman" w:hAnsi="Verdana" w:cs="Arial"/>
          <w:lang w:val="es-MX" w:eastAsia="es-CO"/>
        </w:rPr>
        <w:t>Directores</w:t>
      </w:r>
      <w:proofErr w:type="gramEnd"/>
      <w:r w:rsidRPr="00A14D98">
        <w:rPr>
          <w:rFonts w:ascii="Verdana" w:eastAsia="Times New Roman" w:hAnsi="Verdana" w:cs="Arial"/>
          <w:lang w:val="es-MX" w:eastAsia="es-CO"/>
        </w:rPr>
        <w:t xml:space="preserve"> de las entidades del orden municipal, departamental o distrital celebrar </w:t>
      </w:r>
      <w:r w:rsidRPr="00A14D98">
        <w:rPr>
          <w:rFonts w:ascii="Verdana" w:eastAsia="Times New Roman" w:hAnsi="Verdana" w:cs="Arial"/>
          <w:i/>
          <w:iCs/>
          <w:lang w:val="es-MX" w:eastAsia="es-CO"/>
        </w:rPr>
        <w:t>convenios interadministrativos</w:t>
      </w:r>
      <w:r w:rsidRPr="00A14D98">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A14D98">
        <w:rPr>
          <w:rFonts w:ascii="Verdana" w:eastAsia="Times New Roman" w:hAnsi="Verdana" w:cs="Arial"/>
          <w:i/>
          <w:lang w:val="es-MX" w:eastAsia="es-CO"/>
        </w:rPr>
        <w:t>ibidem</w:t>
      </w:r>
      <w:r w:rsidRPr="00A14D98">
        <w:rPr>
          <w:rFonts w:ascii="Verdana" w:eastAsia="Times New Roman" w:hAnsi="Verdana" w:cs="Arial"/>
          <w:lang w:val="es-MX" w:eastAsia="es-CO"/>
        </w:rPr>
        <w:t xml:space="preserve">, es decir, </w:t>
      </w:r>
      <w:r w:rsidRPr="00A14D98">
        <w:rPr>
          <w:rFonts w:ascii="Verdana" w:eastAsia="Times New Roman" w:hAnsi="Verdana" w:cs="Arial"/>
          <w:lang w:eastAsia="es-CO"/>
        </w:rPr>
        <w:t xml:space="preserve">alcaldías, gobernaciones, secretarías de despacho, así como entidades descentralizadas por servicios del orden municipal, departamental o distrital </w:t>
      </w:r>
      <w:r w:rsidRPr="00A14D98">
        <w:rPr>
          <w:rFonts w:ascii="Verdana" w:eastAsia="Times New Roman" w:hAnsi="Verdana" w:cs="Arial"/>
          <w:lang w:val="es-MX" w:eastAsia="es-CO"/>
        </w:rPr>
        <w:t xml:space="preserve">no podrá celebrar tales </w:t>
      </w:r>
      <w:r w:rsidRPr="00A14D98">
        <w:rPr>
          <w:rFonts w:ascii="Verdana" w:eastAsia="Times New Roman" w:hAnsi="Verdana" w:cs="Arial"/>
          <w:i/>
          <w:iCs/>
          <w:lang w:val="es-MX" w:eastAsia="es-CO"/>
        </w:rPr>
        <w:t>convenios</w:t>
      </w:r>
      <w:r w:rsidRPr="00A14D98">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BD83715" w14:textId="77777777" w:rsidR="00A14D98" w:rsidRPr="00A14D98" w:rsidRDefault="00A14D98" w:rsidP="00A14D98">
      <w:pPr>
        <w:spacing w:before="120" w:after="0" w:line="276" w:lineRule="auto"/>
        <w:ind w:firstLine="708"/>
        <w:jc w:val="both"/>
        <w:rPr>
          <w:rFonts w:ascii="Verdana" w:eastAsia="Calibri" w:hAnsi="Verdana" w:cs="Arial"/>
          <w:color w:val="000000"/>
        </w:rPr>
      </w:pPr>
      <w:r w:rsidRPr="00A14D98">
        <w:rPr>
          <w:rFonts w:ascii="Verdana" w:eastAsia="Times New Roman" w:hAnsi="Verdana" w:cs="Arial"/>
          <w:lang w:val="es-MX" w:eastAsia="es-CO"/>
        </w:rPr>
        <w:lastRenderedPageBreak/>
        <w:t xml:space="preserve">En este aspecto, se destaca que uno de los sujetos de aplicación de dicha restricción son las entidades descentralizadas por servicios, </w:t>
      </w:r>
      <w:r w:rsidRPr="00A14D98">
        <w:rPr>
          <w:rFonts w:ascii="Verdana" w:eastAsia="Times New Roman" w:hAnsi="Verdana" w:cs="Arial"/>
          <w:lang w:eastAsia="es-CO"/>
        </w:rPr>
        <w:t xml:space="preserve">las cuales </w:t>
      </w:r>
      <w:r w:rsidRPr="00A14D98">
        <w:rPr>
          <w:rFonts w:ascii="Verdana" w:eastAsia="Calibri" w:hAnsi="Verdana" w:cs="Arial"/>
          <w:color w:val="000000"/>
        </w:rPr>
        <w:t>–sin perjuicio del control de tutela– tienen personería jurídica, autonomía administrativa y patrimonio propio.</w:t>
      </w:r>
      <w:r w:rsidRPr="00A14D98">
        <w:rPr>
          <w:rFonts w:ascii="Verdana" w:eastAsia="Calibri" w:hAnsi="Verdana" w:cs="Arial"/>
          <w:b/>
          <w:bCs/>
          <w:color w:val="000000"/>
        </w:rPr>
        <w:t xml:space="preserve"> </w:t>
      </w:r>
      <w:r w:rsidRPr="00A14D98">
        <w:rPr>
          <w:rFonts w:ascii="Verdana" w:eastAsia="Calibri" w:hAnsi="Verdana" w:cs="Arial"/>
          <w:color w:val="000000"/>
        </w:rPr>
        <w:t>Estas entidades, como su nombre lo indica, se caracterizan por desarrollar actividades de carácter industrial o comercial</w:t>
      </w:r>
      <w:r w:rsidRPr="00A14D98">
        <w:rPr>
          <w:rFonts w:ascii="Verdana" w:eastAsia="Calibri" w:hAnsi="Verdana" w:cs="Arial"/>
          <w:color w:val="000000"/>
          <w:vertAlign w:val="superscript"/>
        </w:rPr>
        <w:footnoteReference w:id="31"/>
      </w:r>
      <w:r w:rsidRPr="00A14D98">
        <w:rPr>
          <w:rFonts w:ascii="Verdana" w:eastAsia="Calibri" w:hAnsi="Verdana" w:cs="Arial"/>
          <w:color w:val="000000"/>
        </w:rPr>
        <w:t xml:space="preserve">. Dentro de la categoría amplia de entidades descentralizadas por servicios se encuentran las Empresas Industriales y Comerciales del Estado, los establecimientos públicos, las sociedades públicas, las sociedades de economía mixta. A partir de estas precisiones, se encuentran que las empresas industriales y comerciales del Estado del orden departamental, distrital o municipal están sujetas a la restricción del parágrafo del artículo 38 de la Ley 996 de 2005. </w:t>
      </w:r>
    </w:p>
    <w:p w14:paraId="30C621F5" w14:textId="77777777" w:rsidR="00A14D98" w:rsidRPr="00A14D98" w:rsidRDefault="00A14D98" w:rsidP="00A14D98">
      <w:pPr>
        <w:spacing w:before="120" w:after="0" w:line="276" w:lineRule="auto"/>
        <w:ind w:firstLine="708"/>
        <w:jc w:val="both"/>
        <w:rPr>
          <w:rFonts w:ascii="Verdana" w:eastAsia="Times New Roman" w:hAnsi="Verdana" w:cs="Arial"/>
          <w:lang w:eastAsia="es-CO"/>
        </w:rPr>
      </w:pPr>
      <w:r w:rsidRPr="00A14D98">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A14D98">
        <w:rPr>
          <w:rFonts w:ascii="Verdana" w:eastAsia="Times New Roman" w:hAnsi="Verdana" w:cs="Arial"/>
          <w:lang w:val="es-MX" w:eastAsia="es-CO"/>
        </w:rPr>
        <w:t>ii</w:t>
      </w:r>
      <w:proofErr w:type="spellEnd"/>
      <w:r w:rsidRPr="00A14D98">
        <w:rPr>
          <w:rFonts w:ascii="Verdana" w:eastAsia="Times New Roman" w:hAnsi="Verdana" w:cs="Arial"/>
          <w:lang w:val="es-MX" w:eastAsia="es-CO"/>
        </w:rPr>
        <w:t xml:space="preserve">) y </w:t>
      </w:r>
      <w:proofErr w:type="spellStart"/>
      <w:r w:rsidRPr="00A14D98">
        <w:rPr>
          <w:rFonts w:ascii="Verdana" w:eastAsia="Times New Roman" w:hAnsi="Verdana" w:cs="Arial"/>
          <w:lang w:val="es-MX" w:eastAsia="es-CO"/>
        </w:rPr>
        <w:t>iv</w:t>
      </w:r>
      <w:proofErr w:type="spellEnd"/>
      <w:r w:rsidRPr="00A14D98">
        <w:rPr>
          <w:rFonts w:ascii="Verdana" w:eastAsia="Times New Roman" w:hAnsi="Verdana" w:cs="Arial"/>
          <w:lang w:val="es-MX" w:eastAsia="es-CO"/>
        </w:rPr>
        <w:t>) del numeral 2</w:t>
      </w:r>
      <w:r w:rsidRPr="00A14D98">
        <w:rPr>
          <w:rFonts w:ascii="Verdana" w:eastAsia="Times New Roman" w:hAnsi="Verdana" w:cs="Arial"/>
          <w:lang w:eastAsia="es-CO"/>
        </w:rPr>
        <w:t>,</w:t>
      </w:r>
      <w:r w:rsidRPr="00A14D98">
        <w:rPr>
          <w:rFonts w:ascii="Verdana" w:eastAsia="Times New Roman" w:hAnsi="Verdana" w:cs="Arial"/>
          <w:lang w:val="es-MX" w:eastAsia="es-CO"/>
        </w:rPr>
        <w:t xml:space="preserve"> indica que el </w:t>
      </w:r>
      <w:r w:rsidRPr="00A14D98">
        <w:rPr>
          <w:rFonts w:ascii="Verdana" w:eastAsia="Times New Roman" w:hAnsi="Verdana" w:cs="Arial"/>
          <w:lang w:eastAsia="es-CO"/>
        </w:rPr>
        <w:t xml:space="preserve">parágrafo del artículo 38 de la Ley 996 de 2005 cobija expresamente a los </w:t>
      </w:r>
      <w:r w:rsidRPr="00A14D98">
        <w:rPr>
          <w:rFonts w:ascii="Verdana" w:eastAsia="Times New Roman" w:hAnsi="Verdana" w:cs="Arial"/>
          <w:i/>
          <w:iCs/>
          <w:lang w:eastAsia="es-CO"/>
        </w:rPr>
        <w:t>convenios interadministrativos</w:t>
      </w:r>
      <w:r w:rsidRPr="00A14D98">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A14D98">
        <w:rPr>
          <w:rFonts w:ascii="Verdana" w:eastAsia="Times New Roman" w:hAnsi="Verdana" w:cs="Arial"/>
          <w:i/>
          <w:iCs/>
          <w:lang w:eastAsia="es-CO"/>
        </w:rPr>
        <w:t>“aunque se configure alguno de los supuestos de excepción que señaló el inciso final del artículo 33”.</w:t>
      </w:r>
      <w:r w:rsidRPr="00A14D98">
        <w:rPr>
          <w:rFonts w:ascii="Verdana" w:eastAsia="Times New Roman" w:hAnsi="Verdana" w:cs="Arial"/>
          <w:lang w:eastAsia="es-CO"/>
        </w:rPr>
        <w:t xml:space="preserve"> </w:t>
      </w:r>
    </w:p>
    <w:p w14:paraId="3C117B43" w14:textId="77777777" w:rsidR="00A14D98" w:rsidRPr="00A14D98" w:rsidRDefault="00A14D98" w:rsidP="00A14D98">
      <w:pPr>
        <w:spacing w:before="120" w:after="0" w:line="276" w:lineRule="auto"/>
        <w:ind w:firstLine="708"/>
        <w:jc w:val="both"/>
        <w:rPr>
          <w:rFonts w:ascii="Verdana" w:eastAsia="Times New Roman" w:hAnsi="Verdana" w:cs="Arial"/>
          <w:lang w:eastAsia="es-CO"/>
        </w:rPr>
      </w:pPr>
      <w:r w:rsidRPr="00A14D98">
        <w:rPr>
          <w:rFonts w:ascii="Verdana" w:eastAsia="Times New Roman" w:hAnsi="Verdana" w:cs="Arial"/>
          <w:lang w:eastAsia="es-CO"/>
        </w:rPr>
        <w:t xml:space="preserve">Sin embargo, el ámbito de aplicación de la restricción prevista en el parágrafo del artículo 38 de la Ley 996 de 2005 comprende a los </w:t>
      </w:r>
      <w:r w:rsidRPr="00A14D98">
        <w:rPr>
          <w:rFonts w:ascii="Verdana" w:eastAsia="Times New Roman" w:hAnsi="Verdana" w:cs="Arial"/>
          <w:i/>
          <w:iCs/>
          <w:lang w:eastAsia="es-CO"/>
        </w:rPr>
        <w:t>convenios interadministrativos</w:t>
      </w:r>
      <w:r w:rsidRPr="00A14D98">
        <w:rPr>
          <w:rFonts w:ascii="Verdana" w:eastAsia="Times New Roman" w:hAnsi="Verdana" w:cs="Arial"/>
          <w:lang w:eastAsia="es-CO"/>
        </w:rPr>
        <w:t xml:space="preserve"> en los que exista </w:t>
      </w:r>
      <w:r w:rsidRPr="00A14D98">
        <w:rPr>
          <w:rFonts w:ascii="Verdana" w:eastAsia="Times New Roman" w:hAnsi="Verdana" w:cs="Arial"/>
          <w:i/>
          <w:iCs/>
          <w:lang w:eastAsia="es-CO"/>
        </w:rPr>
        <w:t>ejecución de recursos públicos</w:t>
      </w:r>
      <w:r w:rsidRPr="00A14D98">
        <w:rPr>
          <w:rFonts w:ascii="Verdana" w:eastAsia="Times New Roman" w:hAnsi="Verdana" w:cs="Arial"/>
          <w:lang w:eastAsia="es-CO"/>
        </w:rPr>
        <w:t xml:space="preserve">, sin importar de que estos sean en dinero o en especie, ya que la norma no distingue. </w:t>
      </w:r>
      <w:r w:rsidRPr="00A14D98">
        <w:rPr>
          <w:rFonts w:ascii="Verdana" w:eastAsia="Times New Roman" w:hAnsi="Verdana" w:cs="Arial"/>
          <w:lang w:val="es-ES" w:eastAsia="es-CO"/>
        </w:rPr>
        <w:lastRenderedPageBreak/>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A14D98">
        <w:rPr>
          <w:rFonts w:ascii="Verdana" w:hAnsi="Verdana" w:cs="Arial"/>
          <w:vertAlign w:val="superscript"/>
          <w:lang w:val="es-ES"/>
        </w:rPr>
        <w:footnoteReference w:id="32"/>
      </w:r>
      <w:r w:rsidRPr="00A14D98">
        <w:rPr>
          <w:rFonts w:ascii="Verdana" w:eastAsia="Times New Roman" w:hAnsi="Verdana" w:cs="Arial"/>
          <w:lang w:val="es-ES" w:eastAsia="es-CO"/>
        </w:rPr>
        <w:t>.</w:t>
      </w:r>
      <w:r w:rsidRPr="00A14D98">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05B28938" w14:textId="77777777" w:rsidR="00A14D98" w:rsidRPr="00A14D98" w:rsidRDefault="00A14D98" w:rsidP="00A14D98">
      <w:pPr>
        <w:spacing w:before="120" w:after="0" w:line="276" w:lineRule="auto"/>
        <w:ind w:firstLine="708"/>
        <w:jc w:val="both"/>
        <w:rPr>
          <w:rFonts w:ascii="Verdana" w:eastAsia="Times New Roman" w:hAnsi="Verdana" w:cs="Arial"/>
          <w:lang w:eastAsia="es-CO"/>
        </w:rPr>
      </w:pPr>
      <w:r w:rsidRPr="00A14D98">
        <w:rPr>
          <w:rFonts w:ascii="Verdana" w:eastAsia="Times New Roman" w:hAnsi="Verdana" w:cs="Arial"/>
          <w:lang w:eastAsia="es-CO"/>
        </w:rPr>
        <w:t xml:space="preserve">De esta manera, conforme a lo dispuesto en la Circular referida, si se suscriben </w:t>
      </w:r>
      <w:r w:rsidRPr="00A14D98">
        <w:rPr>
          <w:rFonts w:ascii="Verdana" w:eastAsia="Times New Roman" w:hAnsi="Verdana" w:cs="Arial"/>
          <w:i/>
          <w:iCs/>
          <w:lang w:eastAsia="es-CO"/>
        </w:rPr>
        <w:t>convenios interadministrativos para la ejecución de recursos públicos</w:t>
      </w:r>
      <w:r w:rsidRPr="00A14D98">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A14D98">
        <w:rPr>
          <w:rFonts w:ascii="Verdana" w:eastAsia="Times New Roman" w:hAnsi="Verdana" w:cs="Arial"/>
          <w:i/>
          <w:iCs/>
          <w:lang w:eastAsia="es-CO"/>
        </w:rPr>
        <w:t>ibidem</w:t>
      </w:r>
      <w:r w:rsidRPr="00A14D98">
        <w:rPr>
          <w:rFonts w:ascii="Verdana" w:eastAsia="Times New Roman" w:hAnsi="Verdana" w:cs="Arial"/>
          <w:lang w:eastAsia="es-CO"/>
        </w:rPr>
        <w:t>, independientemente de que se configure alguno de los supuestos de excepción que señaló el inciso final del artículo 33, es decir, que se trate de:</w:t>
      </w:r>
      <w:r w:rsidRPr="00A14D98">
        <w:rPr>
          <w:rFonts w:ascii="Verdana" w:hAnsi="Verdana" w:cs="Arial"/>
          <w:bCs/>
          <w:lang w:val="es-MX" w:eastAsia="x-none"/>
        </w:rPr>
        <w:t xml:space="preserve"> i) la defensa y seguridad del Estado; </w:t>
      </w:r>
      <w:proofErr w:type="spellStart"/>
      <w:r w:rsidRPr="00A14D98">
        <w:rPr>
          <w:rFonts w:ascii="Verdana" w:hAnsi="Verdana" w:cs="Arial"/>
          <w:bCs/>
          <w:lang w:val="es-MX" w:eastAsia="x-none"/>
        </w:rPr>
        <w:t>ii</w:t>
      </w:r>
      <w:proofErr w:type="spellEnd"/>
      <w:r w:rsidRPr="00A14D98">
        <w:rPr>
          <w:rFonts w:ascii="Verdana" w:hAnsi="Verdana" w:cs="Arial"/>
          <w:bCs/>
          <w:lang w:val="es-MX" w:eastAsia="x-none"/>
        </w:rPr>
        <w:t xml:space="preserve">) los contratos de crédito público; </w:t>
      </w:r>
      <w:proofErr w:type="spellStart"/>
      <w:r w:rsidRPr="00A14D98">
        <w:rPr>
          <w:rFonts w:ascii="Verdana" w:hAnsi="Verdana" w:cs="Arial"/>
          <w:bCs/>
          <w:lang w:val="es-MX" w:eastAsia="x-none"/>
        </w:rPr>
        <w:t>iii</w:t>
      </w:r>
      <w:proofErr w:type="spellEnd"/>
      <w:r w:rsidRPr="00A14D98">
        <w:rPr>
          <w:rFonts w:ascii="Verdana" w:hAnsi="Verdana" w:cs="Arial"/>
          <w:bCs/>
          <w:lang w:val="es-MX" w:eastAsia="x-none"/>
        </w:rPr>
        <w:t xml:space="preserve">) los requeridos para cubrir las emergencias educativas, sanitarias y desastres; </w:t>
      </w:r>
      <w:proofErr w:type="spellStart"/>
      <w:r w:rsidRPr="00A14D98">
        <w:rPr>
          <w:rFonts w:ascii="Verdana" w:hAnsi="Verdana" w:cs="Arial"/>
          <w:bCs/>
          <w:lang w:val="es-MX" w:eastAsia="x-none"/>
        </w:rPr>
        <w:t>iv</w:t>
      </w:r>
      <w:proofErr w:type="spellEnd"/>
      <w:r w:rsidRPr="00A14D98">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A14D98">
        <w:rPr>
          <w:rFonts w:ascii="Verdana" w:hAnsi="Verdana" w:cs="Arial"/>
          <w:bCs/>
          <w:lang w:val="es-MX" w:eastAsia="es-CO"/>
        </w:rPr>
        <w:t xml:space="preserve"> </w:t>
      </w:r>
      <w:r w:rsidRPr="00A14D98">
        <w:rPr>
          <w:rFonts w:ascii="Verdana" w:eastAsia="Times New Roman" w:hAnsi="Verdana" w:cs="Arial"/>
          <w:lang w:eastAsia="es-CO"/>
        </w:rPr>
        <w:t xml:space="preserve">  </w:t>
      </w:r>
    </w:p>
    <w:p w14:paraId="2D46CE96" w14:textId="77777777" w:rsidR="00A14D98" w:rsidRPr="00A14D98" w:rsidRDefault="00A14D98" w:rsidP="00A14D98">
      <w:pPr>
        <w:spacing w:before="120" w:after="0" w:line="276" w:lineRule="auto"/>
        <w:ind w:firstLine="708"/>
        <w:jc w:val="both"/>
        <w:rPr>
          <w:rFonts w:ascii="Verdana" w:eastAsia="Times New Roman" w:hAnsi="Verdana" w:cs="Arial"/>
          <w:lang w:eastAsia="es-CO"/>
        </w:rPr>
      </w:pPr>
      <w:r w:rsidRPr="00A14D98">
        <w:rPr>
          <w:rFonts w:ascii="Verdana" w:eastAsia="Times New Roman" w:hAnsi="Verdana" w:cs="Arial"/>
          <w:lang w:eastAsia="es-CO"/>
        </w:rPr>
        <w:t xml:space="preserve">En este punto, teniendo en cuenta lo señalado en el contenido de su petición, vale la pena destacar </w:t>
      </w:r>
      <w:proofErr w:type="gramStart"/>
      <w:r w:rsidRPr="00A14D98">
        <w:rPr>
          <w:rFonts w:ascii="Verdana" w:eastAsia="Times New Roman" w:hAnsi="Verdana" w:cs="Arial"/>
          <w:lang w:eastAsia="es-CO"/>
        </w:rPr>
        <w:t>que</w:t>
      </w:r>
      <w:proofErr w:type="gramEnd"/>
      <w:r w:rsidRPr="00A14D98">
        <w:rPr>
          <w:rFonts w:ascii="Verdana" w:eastAsia="Times New Roman" w:hAnsi="Verdana" w:cs="Arial"/>
          <w:lang w:eastAsia="es-CO"/>
        </w:rPr>
        <w:t xml:space="preserve"> </w:t>
      </w:r>
      <w:r w:rsidRPr="00A14D98">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A14D98">
        <w:rPr>
          <w:rFonts w:ascii="Verdana" w:hAnsi="Verdana" w:cs="Arial"/>
        </w:rPr>
        <w:t xml:space="preserve">numeral 16.2 de la Circular Externa Única de </w:t>
      </w:r>
      <w:r w:rsidRPr="00A14D98">
        <w:rPr>
          <w:rFonts w:ascii="Verdana" w:hAnsi="Verdana" w:cs="Arial"/>
        </w:rPr>
        <w:lastRenderedPageBreak/>
        <w:t>2022 expedida por la Agencia Nacional de Contratación Pública – Colombia Compra Eficiente, concretamente, respecto de los siguientes apartes normativos</w:t>
      </w:r>
      <w:r w:rsidRPr="00A14D98">
        <w:rPr>
          <w:rFonts w:ascii="Verdana" w:hAnsi="Verdana" w:cs="Arial"/>
          <w:vertAlign w:val="superscript"/>
        </w:rPr>
        <w:footnoteReference w:id="33"/>
      </w:r>
      <w:r w:rsidRPr="00A14D98">
        <w:rPr>
          <w:rFonts w:ascii="Verdana" w:hAnsi="Verdana" w:cs="Arial"/>
        </w:rPr>
        <w:t xml:space="preserve">: </w:t>
      </w:r>
    </w:p>
    <w:p w14:paraId="10700E89" w14:textId="77777777" w:rsidR="00A14D98" w:rsidRPr="00A14D98" w:rsidRDefault="00A14D98" w:rsidP="00A14D98">
      <w:pPr>
        <w:spacing w:after="0" w:line="276" w:lineRule="auto"/>
        <w:ind w:firstLine="709"/>
        <w:jc w:val="both"/>
        <w:rPr>
          <w:rFonts w:ascii="Verdana" w:hAnsi="Verdana" w:cs="Arial"/>
        </w:rPr>
      </w:pPr>
    </w:p>
    <w:p w14:paraId="35EA6088" w14:textId="77777777" w:rsidR="00A14D98" w:rsidRPr="00A14D98" w:rsidRDefault="00A14D98" w:rsidP="00A14D98">
      <w:pPr>
        <w:spacing w:after="120" w:line="240" w:lineRule="auto"/>
        <w:ind w:left="709" w:right="709"/>
        <w:jc w:val="both"/>
        <w:rPr>
          <w:rFonts w:ascii="Verdana" w:hAnsi="Verdana" w:cs="Arial"/>
          <w:sz w:val="20"/>
          <w:szCs w:val="20"/>
        </w:rPr>
      </w:pPr>
      <w:r w:rsidRPr="00A14D98">
        <w:rPr>
          <w:rFonts w:ascii="Verdana" w:hAnsi="Verdana" w:cs="Arial"/>
          <w:sz w:val="20"/>
          <w:szCs w:val="20"/>
          <w:lang w:val="es-MX"/>
        </w:rPr>
        <w:t>“i)</w:t>
      </w:r>
      <w:r w:rsidRPr="00A14D98">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B86152C" w14:textId="77777777" w:rsidR="00A14D98" w:rsidRPr="00A14D98" w:rsidRDefault="00A14D98" w:rsidP="00A14D98">
      <w:pPr>
        <w:spacing w:after="0" w:line="240" w:lineRule="auto"/>
        <w:ind w:left="709" w:right="709"/>
        <w:jc w:val="both"/>
        <w:rPr>
          <w:rFonts w:ascii="Verdana" w:hAnsi="Verdana" w:cs="Arial"/>
          <w:sz w:val="20"/>
          <w:szCs w:val="20"/>
        </w:rPr>
      </w:pPr>
      <w:proofErr w:type="spellStart"/>
      <w:r w:rsidRPr="00A14D98">
        <w:rPr>
          <w:rFonts w:ascii="Verdana" w:hAnsi="Verdana" w:cs="Arial"/>
          <w:sz w:val="20"/>
          <w:szCs w:val="20"/>
        </w:rPr>
        <w:t>ii</w:t>
      </w:r>
      <w:proofErr w:type="spellEnd"/>
      <w:r w:rsidRPr="00A14D98">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1E73C08" w14:textId="77777777" w:rsidR="00A14D98" w:rsidRPr="00A14D98" w:rsidRDefault="00A14D98" w:rsidP="00A14D98">
      <w:pPr>
        <w:spacing w:after="0" w:line="276" w:lineRule="auto"/>
        <w:ind w:left="709" w:right="709"/>
        <w:jc w:val="both"/>
        <w:rPr>
          <w:rFonts w:ascii="Verdana" w:hAnsi="Verdana" w:cs="Arial"/>
        </w:rPr>
      </w:pPr>
    </w:p>
    <w:p w14:paraId="7EF6F344" w14:textId="77777777" w:rsidR="00A14D98" w:rsidRPr="00A14D98" w:rsidRDefault="00A14D98" w:rsidP="00A14D98">
      <w:pPr>
        <w:spacing w:after="120" w:line="276" w:lineRule="auto"/>
        <w:ind w:firstLine="709"/>
        <w:jc w:val="both"/>
        <w:rPr>
          <w:rFonts w:ascii="Verdana" w:eastAsia="Arial" w:hAnsi="Verdana" w:cs="Arial"/>
          <w:i/>
          <w:iCs/>
          <w:lang w:eastAsia="es-ES" w:bidi="es-ES"/>
        </w:rPr>
      </w:pPr>
      <w:r w:rsidRPr="00A14D98">
        <w:rPr>
          <w:rFonts w:ascii="Verdana" w:eastAsia="Arial" w:hAnsi="Verdana" w:cs="Arial"/>
          <w:lang w:val="es-MX" w:eastAsia="es-ES" w:bidi="es-ES"/>
        </w:rPr>
        <w:t xml:space="preserve">De conformidad con los argumentos de dicha providencia, se parte de la distinción entre los conceptos </w:t>
      </w:r>
      <w:r w:rsidRPr="00A14D98">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A14D98">
        <w:rPr>
          <w:rFonts w:ascii="Verdana" w:hAnsi="Verdana"/>
          <w:sz w:val="24"/>
          <w:szCs w:val="24"/>
          <w:lang w:eastAsia="es-CO"/>
        </w:rPr>
        <w:t xml:space="preserve"> </w:t>
      </w:r>
      <w:r w:rsidRPr="00A14D98">
        <w:rPr>
          <w:rFonts w:ascii="Verdana" w:eastAsia="Arial" w:hAnsi="Verdana" w:cs="Arial"/>
          <w:lang w:eastAsia="es-ES" w:bidi="es-ES"/>
        </w:rPr>
        <w:t xml:space="preserve">En este sentido, en relación con el parágrafo del artículo 38 de la Ley 996 de 2005 concluyó que </w:t>
      </w:r>
      <w:r w:rsidRPr="00A14D98">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14D98">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A14D98">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A14D98">
        <w:rPr>
          <w:rFonts w:ascii="Verdana" w:eastAsia="Arial" w:hAnsi="Verdana" w:cs="Arial"/>
          <w:lang w:eastAsia="es-ES" w:bidi="es-ES"/>
        </w:rPr>
        <w:t>”</w:t>
      </w:r>
      <w:r w:rsidRPr="00A14D98">
        <w:rPr>
          <w:rFonts w:ascii="Verdana" w:eastAsia="Arial" w:hAnsi="Verdana" w:cs="Arial"/>
          <w:i/>
          <w:iCs/>
          <w:lang w:eastAsia="es-ES" w:bidi="es-ES"/>
        </w:rPr>
        <w:t xml:space="preserve">. </w:t>
      </w:r>
    </w:p>
    <w:p w14:paraId="62DF7B47" w14:textId="77777777" w:rsidR="00A14D98" w:rsidRPr="00A14D98" w:rsidRDefault="00A14D98" w:rsidP="00A14D98">
      <w:pPr>
        <w:spacing w:after="120" w:line="276" w:lineRule="auto"/>
        <w:ind w:firstLine="709"/>
        <w:jc w:val="both"/>
        <w:rPr>
          <w:rFonts w:ascii="Verdana" w:eastAsia="Arial" w:hAnsi="Verdana" w:cs="Arial"/>
          <w:lang w:eastAsia="es-ES" w:bidi="es-ES"/>
        </w:rPr>
      </w:pPr>
      <w:r w:rsidRPr="00A14D98">
        <w:rPr>
          <w:rFonts w:ascii="Verdana" w:eastAsia="Arial" w:hAnsi="Verdana" w:cs="Arial"/>
          <w:lang w:eastAsia="es-ES" w:bidi="es-ES"/>
        </w:rPr>
        <w:lastRenderedPageBreak/>
        <w:t>De igual manera, mediante auto del 6 de noviembre de 2025, el Consejo de Estado, Subsección A de la Sección Tercera, decretó</w:t>
      </w:r>
      <w:r w:rsidRPr="00A14D98">
        <w:rPr>
          <w:rFonts w:ascii="Verdana" w:eastAsia="Arial" w:hAnsi="Verdana" w:cs="Arial"/>
          <w:b/>
          <w:bCs/>
          <w:lang w:eastAsia="es-ES" w:bidi="es-ES"/>
        </w:rPr>
        <w:t xml:space="preserve"> </w:t>
      </w:r>
      <w:r w:rsidRPr="00A14D98">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A14D98">
        <w:rPr>
          <w:rFonts w:ascii="Verdana" w:eastAsia="Arial" w:hAnsi="Verdana" w:cs="Arial"/>
          <w:vertAlign w:val="superscript"/>
          <w:lang w:eastAsia="es-ES" w:bidi="es-ES"/>
        </w:rPr>
        <w:footnoteReference w:id="34"/>
      </w:r>
      <w:r w:rsidRPr="00A14D98">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A14D98">
        <w:rPr>
          <w:rFonts w:ascii="Verdana" w:eastAsia="Arial" w:hAnsi="Verdana" w:cs="Arial"/>
          <w:lang w:eastAsia="es-ES" w:bidi="es-ES"/>
        </w:rPr>
        <w:t>legis</w:t>
      </w:r>
      <w:proofErr w:type="spellEnd"/>
      <w:r w:rsidRPr="00A14D98">
        <w:rPr>
          <w:rFonts w:ascii="Verdana" w:eastAsia="Arial" w:hAnsi="Verdana" w:cs="Arial"/>
          <w:lang w:eastAsia="es-ES" w:bidi="es-ES"/>
        </w:rPr>
        <w:t xml:space="preserve"> o iuris y la interpretación extensiva y reiteró los argumentos sobre la diferencia entre contratos y convenios interadministrativos. </w:t>
      </w:r>
    </w:p>
    <w:p w14:paraId="32892B22" w14:textId="77777777" w:rsidR="00A14D98" w:rsidRPr="00A14D98" w:rsidRDefault="00A14D98" w:rsidP="00A14D98">
      <w:pPr>
        <w:spacing w:after="120" w:line="276" w:lineRule="auto"/>
        <w:ind w:firstLine="709"/>
        <w:jc w:val="both"/>
        <w:rPr>
          <w:rFonts w:ascii="Verdana" w:eastAsia="Times New Roman" w:hAnsi="Verdana" w:cs="Times New Roman"/>
          <w:lang w:eastAsia="es-ES"/>
        </w:rPr>
      </w:pPr>
      <w:r w:rsidRPr="00A14D98">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A14D98">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5348971C" w14:textId="77777777" w:rsidR="00A14D98" w:rsidRPr="00A14D98" w:rsidRDefault="00A14D98" w:rsidP="00A14D98">
      <w:pPr>
        <w:spacing w:after="120" w:line="276" w:lineRule="auto"/>
        <w:ind w:firstLine="709"/>
        <w:jc w:val="both"/>
        <w:rPr>
          <w:rFonts w:ascii="Verdana" w:eastAsia="Times New Roman" w:hAnsi="Verdana" w:cs="Times New Roman"/>
          <w:lang w:eastAsia="es-ES"/>
        </w:rPr>
      </w:pPr>
      <w:r w:rsidRPr="00A14D98">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A14D98">
        <w:rPr>
          <w:rFonts w:ascii="Verdana" w:eastAsia="Times New Roman" w:hAnsi="Verdana" w:cs="Times New Roman"/>
          <w:vertAlign w:val="superscript"/>
          <w:lang w:eastAsia="es-ES"/>
        </w:rPr>
        <w:footnoteReference w:id="35"/>
      </w:r>
      <w:r w:rsidRPr="00A14D98">
        <w:rPr>
          <w:rFonts w:ascii="Verdana" w:eastAsia="Times New Roman" w:hAnsi="Verdana" w:cs="Times New Roman"/>
          <w:lang w:eastAsia="es-ES"/>
        </w:rPr>
        <w:t xml:space="preserve">. Sobre el </w:t>
      </w:r>
      <w:r w:rsidRPr="00A14D98">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2D9EC42" w14:textId="77777777" w:rsidR="00A14D98" w:rsidRPr="00A14D98" w:rsidRDefault="00A14D98" w:rsidP="00A14D98">
      <w:pPr>
        <w:spacing w:after="120" w:line="276" w:lineRule="auto"/>
        <w:ind w:firstLine="709"/>
        <w:jc w:val="both"/>
        <w:rPr>
          <w:rFonts w:ascii="Verdana" w:eastAsia="Times New Roman" w:hAnsi="Verdana" w:cs="Arial"/>
          <w:lang w:eastAsia="es-CO"/>
        </w:rPr>
      </w:pPr>
      <w:r w:rsidRPr="00A14D98">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A14D98">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14D98">
        <w:rPr>
          <w:rFonts w:ascii="Verdana" w:eastAsia="Times New Roman" w:hAnsi="Verdana" w:cs="Arial"/>
          <w:i/>
          <w:iCs/>
          <w:lang w:eastAsia="es-CO"/>
        </w:rPr>
        <w:t>contratos interadministrativos</w:t>
      </w:r>
      <w:r w:rsidRPr="00A14D98">
        <w:rPr>
          <w:rFonts w:ascii="Verdana" w:eastAsia="Times New Roman" w:hAnsi="Verdana" w:cs="Arial"/>
          <w:lang w:eastAsia="es-CO"/>
        </w:rPr>
        <w:t>, esta prohibición solo aplicaría a los convenios interadministrativos que impliquen la ejecución de recursos públicos</w:t>
      </w:r>
      <w:r w:rsidRPr="00A14D98">
        <w:rPr>
          <w:rFonts w:ascii="Verdana" w:eastAsia="Times New Roman" w:hAnsi="Verdana" w:cs="Arial"/>
          <w:vertAlign w:val="superscript"/>
          <w:lang w:eastAsia="es-CO"/>
        </w:rPr>
        <w:footnoteReference w:id="36"/>
      </w:r>
      <w:r w:rsidRPr="00A14D98">
        <w:rPr>
          <w:rFonts w:ascii="Verdana" w:eastAsia="Times New Roman" w:hAnsi="Verdana" w:cs="Arial"/>
          <w:lang w:eastAsia="es-CO"/>
        </w:rPr>
        <w:t xml:space="preserve">. Conforme a lo señalado por el Consejo de Estado, cuando dos entidades públicas celebren un </w:t>
      </w:r>
      <w:r w:rsidRPr="00A14D98">
        <w:rPr>
          <w:rFonts w:ascii="Verdana" w:eastAsia="Times New Roman" w:hAnsi="Verdana" w:cs="Arial"/>
          <w:i/>
          <w:iCs/>
          <w:lang w:eastAsia="es-CO"/>
        </w:rPr>
        <w:t>contrato interadministrativo,</w:t>
      </w:r>
      <w:r w:rsidRPr="00A14D98">
        <w:rPr>
          <w:rFonts w:ascii="Verdana" w:eastAsia="Times New Roman" w:hAnsi="Verdana" w:cs="Arial"/>
          <w:lang w:eastAsia="es-CO"/>
        </w:rPr>
        <w:t xml:space="preserve"> independientemente del objeto, dicho contrato puede suscribirse durante el periodo preelectoral.</w:t>
      </w:r>
    </w:p>
    <w:p w14:paraId="1D4966B6" w14:textId="77777777" w:rsidR="00A14D98" w:rsidRPr="00A14D98" w:rsidRDefault="00A14D98" w:rsidP="00A14D98">
      <w:pPr>
        <w:spacing w:after="120" w:line="276" w:lineRule="auto"/>
        <w:ind w:firstLine="708"/>
        <w:jc w:val="both"/>
        <w:rPr>
          <w:rFonts w:ascii="Verdana" w:eastAsia="Times New Roman" w:hAnsi="Verdana" w:cs="Arial"/>
          <w:lang w:eastAsia="es-CO"/>
        </w:rPr>
      </w:pPr>
      <w:r w:rsidRPr="00A14D98">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A14D98">
        <w:rPr>
          <w:rFonts w:ascii="Verdana" w:eastAsia="Times New Roman" w:hAnsi="Verdana" w:cs="Arial"/>
          <w:bCs/>
          <w:lang w:val="es-MX" w:eastAsia="x-none"/>
        </w:rPr>
        <w:t xml:space="preserve"> aplica desde el 8 de noviembre de 2025, teniendo en cuenta que la Resolución 02580 del 5 de marzo de 2025 </w:t>
      </w:r>
      <w:r w:rsidRPr="00A14D98">
        <w:rPr>
          <w:rFonts w:ascii="Verdana" w:eastAsia="Times New Roman" w:hAnsi="Verdana" w:cs="Arial"/>
          <w:bCs/>
          <w:lang w:val="es-MX" w:eastAsia="x-none"/>
        </w:rPr>
        <w:lastRenderedPageBreak/>
        <w:t xml:space="preserve">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23F61994" w14:textId="77777777" w:rsidR="00A14D98" w:rsidRPr="00A14D98" w:rsidRDefault="00A14D98" w:rsidP="00A14D98">
      <w:pPr>
        <w:spacing w:after="120" w:line="276" w:lineRule="auto"/>
        <w:ind w:firstLine="708"/>
        <w:jc w:val="both"/>
        <w:rPr>
          <w:rFonts w:ascii="Verdana" w:eastAsia="Times New Roman" w:hAnsi="Verdana" w:cs="Arial"/>
          <w:lang w:eastAsia="es-CO"/>
        </w:rPr>
      </w:pPr>
      <w:r w:rsidRPr="00A14D98">
        <w:rPr>
          <w:rFonts w:ascii="Verdana" w:eastAsia="Times New Roman" w:hAnsi="Verdana" w:cs="Arial"/>
          <w:lang w:eastAsia="es-CO"/>
        </w:rPr>
        <w:t xml:space="preserve"> No obstante, es importante mencionar que aún se encuentra por definir la demanda </w:t>
      </w:r>
      <w:r w:rsidRPr="00A14D98">
        <w:rPr>
          <w:rFonts w:ascii="Verdana" w:eastAsia="Calibri" w:hAnsi="Verdana" w:cs="Arial"/>
          <w:lang w:val="es-ES" w:eastAsia="es-ES"/>
        </w:rPr>
        <w:t xml:space="preserve">de nulidad simple, identificada con el Radicado número 11001-03-26-000-2025-00016-00, en la cual se cuestiona </w:t>
      </w:r>
      <w:r w:rsidRPr="00A14D98">
        <w:rPr>
          <w:rFonts w:ascii="Verdana" w:eastAsia="Calibri" w:hAnsi="Verdana" w:cs="Arial"/>
          <w:lang w:eastAsia="es-ES"/>
        </w:rPr>
        <w:t>parcialmente el numeral 16.2 de la Circular Externa Única CCE-EICP-MA-06, Versión 03 del 27 de diciembre de 2023.</w:t>
      </w:r>
      <w:r w:rsidRPr="00A14D98">
        <w:rPr>
          <w:rFonts w:ascii="Verdana" w:eastAsia="Calibri" w:hAnsi="Verdana" w:cs="Arial"/>
          <w:lang w:val="es-ES" w:eastAsia="es-ES"/>
        </w:rPr>
        <w:t xml:space="preserve"> </w:t>
      </w:r>
      <w:r w:rsidRPr="00A14D98">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A14D98">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34004DA" w14:textId="77777777" w:rsidR="00A14D98" w:rsidRPr="00A14D98" w:rsidRDefault="00A14D98" w:rsidP="00A14D98">
      <w:pPr>
        <w:spacing w:after="0" w:line="276" w:lineRule="auto"/>
        <w:jc w:val="both"/>
        <w:rPr>
          <w:rFonts w:ascii="Verdana" w:eastAsia="Calibri" w:hAnsi="Verdana" w:cs="Arial"/>
        </w:rPr>
      </w:pPr>
    </w:p>
    <w:p w14:paraId="3A0700FA" w14:textId="77777777" w:rsidR="00A14D98" w:rsidRPr="00A14D98" w:rsidRDefault="00A14D98" w:rsidP="00A14D98">
      <w:pPr>
        <w:spacing w:after="0" w:line="276" w:lineRule="auto"/>
        <w:jc w:val="both"/>
        <w:rPr>
          <w:rFonts w:ascii="Verdana" w:eastAsia="Arial" w:hAnsi="Verdana" w:cs="Arial"/>
          <w:lang w:val="es-ES_tradnl" w:eastAsia="es-ES_tradnl"/>
        </w:rPr>
      </w:pPr>
      <w:r w:rsidRPr="00A14D98">
        <w:rPr>
          <w:rFonts w:ascii="Verdana" w:eastAsia="Calibri" w:hAnsi="Verdana" w:cs="Arial"/>
        </w:rPr>
        <w:t xml:space="preserve">v. </w:t>
      </w:r>
      <w:r w:rsidRPr="00A14D98">
        <w:rPr>
          <w:rFonts w:ascii="Verdana" w:eastAsia="Arial" w:hAnsi="Verdana" w:cs="Arial"/>
          <w:lang w:val="es-ES_tradnl" w:eastAsia="es-ES_tradnl"/>
        </w:rPr>
        <w:t>Según el literal i) del numeral 4 del artículo 2º de la Ley 1150 de 2007, las entidades estatales podrán adquirir los bienes inmuebles que requieran para la satisfacción de sus necesidades, mediante la modalidad de contratación directa</w:t>
      </w:r>
      <w:r w:rsidRPr="00A14D98">
        <w:rPr>
          <w:rFonts w:ascii="Verdana" w:eastAsia="Calibri" w:hAnsi="Verdana" w:cs="Arial"/>
          <w:vertAlign w:val="superscript"/>
          <w:lang w:val="es-ES_tradnl" w:eastAsia="es-ES_tradnl"/>
        </w:rPr>
        <w:footnoteReference w:id="37"/>
      </w:r>
      <w:r w:rsidRPr="00A14D98">
        <w:rPr>
          <w:rFonts w:ascii="Verdana" w:eastAsia="Arial" w:hAnsi="Verdana" w:cs="Arial"/>
          <w:lang w:val="es-ES_tradnl" w:eastAsia="es-ES_tradnl"/>
        </w:rPr>
        <w:t xml:space="preserve">. En efecto, la norma dispone: “4. Contratación directa. La modalidad de selección de contratación </w:t>
      </w:r>
      <w:proofErr w:type="gramStart"/>
      <w:r w:rsidRPr="00A14D98">
        <w:rPr>
          <w:rFonts w:ascii="Verdana" w:eastAsia="Arial" w:hAnsi="Verdana" w:cs="Arial"/>
          <w:lang w:val="es-ES_tradnl" w:eastAsia="es-ES_tradnl"/>
        </w:rPr>
        <w:t>directa,</w:t>
      </w:r>
      <w:proofErr w:type="gramEnd"/>
      <w:r w:rsidRPr="00A14D98">
        <w:rPr>
          <w:rFonts w:ascii="Verdana" w:eastAsia="Arial" w:hAnsi="Verdana" w:cs="Arial"/>
          <w:lang w:val="es-ES_tradnl" w:eastAsia="es-ES_tradnl"/>
        </w:rPr>
        <w:t xml:space="preserve"> solamente procederá en los siguientes casos: […] i) El arrendamiento o adquisición de inmuebles”. En el mismo sentido, el artículo 2.2.1.2.1.4.10. del Decreto 1082 de 2015 dispone que “Las Entidades Estatales pueden adquirir bienes inmuebles mediante contratación directa […]”.</w:t>
      </w:r>
    </w:p>
    <w:p w14:paraId="39BD523C" w14:textId="77777777" w:rsidR="00A14D98" w:rsidRPr="00A14D98" w:rsidRDefault="00A14D98" w:rsidP="00A14D98">
      <w:pPr>
        <w:spacing w:before="120" w:after="0" w:line="276" w:lineRule="auto"/>
        <w:ind w:firstLine="720"/>
        <w:jc w:val="both"/>
        <w:rPr>
          <w:rFonts w:ascii="Verdana" w:eastAsia="Arial" w:hAnsi="Verdana" w:cs="Arial"/>
          <w:lang w:val="es-ES" w:eastAsia="es-ES"/>
        </w:rPr>
      </w:pPr>
      <w:r w:rsidRPr="00A14D98">
        <w:rPr>
          <w:rFonts w:ascii="Verdana" w:eastAsia="Arial" w:hAnsi="Verdana" w:cs="Arial"/>
          <w:lang w:val="es-ES" w:eastAsia="es-ES"/>
        </w:rPr>
        <w:t xml:space="preserve">En relación con la contratación directa, hay que señalar que se trata de uno de los procedimientos excepcionales a la licitación pública, pero, </w:t>
      </w:r>
      <w:proofErr w:type="spellStart"/>
      <w:r w:rsidRPr="00A14D98">
        <w:rPr>
          <w:rFonts w:ascii="Verdana" w:eastAsia="Arial" w:hAnsi="Verdana" w:cs="Arial"/>
          <w:lang w:val="es-ES" w:eastAsia="es-ES"/>
        </w:rPr>
        <w:t>aún</w:t>
      </w:r>
      <w:proofErr w:type="spellEnd"/>
      <w:r w:rsidRPr="00A14D98">
        <w:rPr>
          <w:rFonts w:ascii="Verdana" w:eastAsia="Arial" w:hAnsi="Verdana" w:cs="Arial"/>
          <w:lang w:val="es-ES" w:eastAsia="es-ES"/>
        </w:rPr>
        <w:t xml:space="preserve"> así, se encuentra sometido a todos los principios que rigen la contratación pública y la función administrativa. Su excepcionalidad obedece a razones como la conveniencia, la necesidad, la competitividad, la reserva y exclusividad de </w:t>
      </w:r>
      <w:r w:rsidRPr="00A14D98">
        <w:rPr>
          <w:rFonts w:ascii="Verdana" w:eastAsia="Arial" w:hAnsi="Verdana" w:cs="Arial"/>
          <w:lang w:val="es-ES" w:eastAsia="es-ES"/>
        </w:rPr>
        <w:lastRenderedPageBreak/>
        <w:t>oferentes, que hacen más conveniente la selección directa del contratista, como ocurre en el caso de la adquisición de bienes inmuebles por las entidades estatales. Así lo indicó el Consejo de Estado en la sentencia del 16 de marzo de 2017, en la que expresó:</w:t>
      </w:r>
    </w:p>
    <w:p w14:paraId="2F08925A" w14:textId="77777777" w:rsidR="00A14D98" w:rsidRPr="00A14D98" w:rsidRDefault="00A14D98" w:rsidP="00A14D98">
      <w:pPr>
        <w:spacing w:after="0" w:line="276" w:lineRule="auto"/>
        <w:jc w:val="both"/>
        <w:rPr>
          <w:rFonts w:ascii="Verdana" w:eastAsia="Arial" w:hAnsi="Verdana" w:cs="Arial"/>
          <w:lang w:val="es-ES_tradnl" w:eastAsia="es-ES_tradnl"/>
        </w:rPr>
      </w:pPr>
    </w:p>
    <w:p w14:paraId="76E35644" w14:textId="77777777" w:rsidR="00A14D98" w:rsidRPr="00A14D98" w:rsidRDefault="00A14D98" w:rsidP="00A14D98">
      <w:pPr>
        <w:spacing w:after="0" w:line="240" w:lineRule="auto"/>
        <w:ind w:left="709" w:right="709"/>
        <w:jc w:val="both"/>
        <w:rPr>
          <w:rFonts w:ascii="Verdana" w:eastAsia="Calibri" w:hAnsi="Verdana" w:cs="Arial"/>
          <w:sz w:val="20"/>
          <w:lang w:val="es-ES_tradnl" w:eastAsia="es-ES_tradnl"/>
        </w:rPr>
      </w:pPr>
      <w:r w:rsidRPr="00A14D98">
        <w:rPr>
          <w:rFonts w:ascii="Verdana" w:eastAsia="Calibri" w:hAnsi="Verdana" w:cs="Arial"/>
          <w:sz w:val="20"/>
          <w:lang w:val="es-ES_tradnl" w:eastAsia="es-ES_tradnl"/>
        </w:rPr>
        <w:t>“[…] Sin duda, las diferentes excepciones a ese mecanismo general se fundan en razones de conveniencia, necesidad, competitividad, reserva, exclusividad de oferentes, entre otras, por virtud de las cuales no es posible que la administración pública escoja siempre a sus contratistas mediante un proceso de selección abierto y público. Es representativo de estos eventos el de la compra o arrendamiento de inmuebles por parte de las diferentes entidades, bajo el entendido de que cuando se procede a ello, la administración busca satisfacer una necesidad específica en la que pasan a segundo plano las condiciones objetivas del oferente, para dar paso a la búsqueda de la satisfacción de un requerimiento particular, al tiempo que la eventual propuesta, físicamente verificable, no es otra que el inmueble ofrecido y su aceptación está limitada sin duda por factores presupuestales con fundamento en los cuales es necesario que la administración pueda decidir de manera autónoma ”</w:t>
      </w:r>
      <w:r w:rsidRPr="00A14D98">
        <w:rPr>
          <w:rFonts w:ascii="Verdana" w:eastAsia="Calibri" w:hAnsi="Verdana" w:cs="Arial"/>
          <w:sz w:val="20"/>
          <w:vertAlign w:val="superscript"/>
          <w:lang w:val="es-ES_tradnl" w:eastAsia="es-ES_tradnl"/>
        </w:rPr>
        <w:footnoteReference w:id="38"/>
      </w:r>
    </w:p>
    <w:p w14:paraId="0A716B2A" w14:textId="77777777" w:rsidR="00A14D98" w:rsidRPr="00A14D98" w:rsidRDefault="00A14D98" w:rsidP="00A14D98">
      <w:pPr>
        <w:spacing w:after="0" w:line="240" w:lineRule="auto"/>
        <w:ind w:left="709" w:right="709"/>
        <w:jc w:val="both"/>
        <w:rPr>
          <w:rFonts w:ascii="Verdana" w:eastAsia="Calibri" w:hAnsi="Verdana" w:cs="Arial"/>
          <w:lang w:val="es-ES_tradnl" w:eastAsia="es-ES_tradnl"/>
        </w:rPr>
      </w:pPr>
    </w:p>
    <w:p w14:paraId="3C28D27F" w14:textId="77777777" w:rsidR="00A14D98" w:rsidRPr="00A14D98" w:rsidRDefault="00A14D98" w:rsidP="00A14D98">
      <w:pPr>
        <w:spacing w:after="120" w:line="276" w:lineRule="auto"/>
        <w:ind w:firstLine="720"/>
        <w:jc w:val="both"/>
        <w:rPr>
          <w:rFonts w:ascii="Verdana" w:eastAsia="Times New Roman" w:hAnsi="Verdana" w:cs="Arial"/>
          <w:color w:val="000000"/>
          <w:lang w:val="es-ES" w:eastAsia="es-ES"/>
        </w:rPr>
      </w:pPr>
      <w:r w:rsidRPr="00A14D98">
        <w:rPr>
          <w:rFonts w:ascii="Verdana" w:eastAsia="Arial" w:hAnsi="Verdana" w:cs="Arial"/>
          <w:lang w:val="es-ES" w:eastAsia="es-ES"/>
        </w:rPr>
        <w:t xml:space="preserve">Las reglas para la adquisición de inmuebles están enmarcadas dentro de la modalidad de selección de contratación directa, las cuales están definidas, precisamente, en el artículo 2.2.1.2.1.4.10 del Decreto 1082 de 2015.  </w:t>
      </w:r>
      <w:r w:rsidRPr="00A14D98">
        <w:rPr>
          <w:rFonts w:ascii="Verdana" w:eastAsia="Times New Roman" w:hAnsi="Verdana" w:cs="Arial"/>
          <w:color w:val="000000"/>
          <w:lang w:val="es-ES" w:eastAsia="es-ES"/>
        </w:rPr>
        <w:t xml:space="preserve">Este artículo establece los estudios específicos que las entidades estatales deben realizar antes de la suscripción del contrato. Dichos estudios son los siguientes: i) avalúo con una institución especializada de los bienes inmuebles identificados que satisfagan las necesidades de las entidades estatales; y </w:t>
      </w:r>
      <w:proofErr w:type="spellStart"/>
      <w:r w:rsidRPr="00A14D98">
        <w:rPr>
          <w:rFonts w:ascii="Verdana" w:eastAsia="Times New Roman" w:hAnsi="Verdana" w:cs="Arial"/>
          <w:color w:val="000000"/>
          <w:lang w:val="es-ES" w:eastAsia="es-ES"/>
        </w:rPr>
        <w:t>ii</w:t>
      </w:r>
      <w:proofErr w:type="spellEnd"/>
      <w:r w:rsidRPr="00A14D98">
        <w:rPr>
          <w:rFonts w:ascii="Verdana" w:eastAsia="Times New Roman" w:hAnsi="Verdana" w:cs="Arial"/>
          <w:color w:val="000000"/>
          <w:lang w:val="es-ES" w:eastAsia="es-ES"/>
        </w:rPr>
        <w:t xml:space="preserve">) el </w:t>
      </w:r>
      <w:r w:rsidRPr="00A14D98">
        <w:rPr>
          <w:rFonts w:ascii="Verdana" w:eastAsia="Times New Roman" w:hAnsi="Verdana" w:cs="Arial"/>
          <w:i/>
          <w:iCs/>
          <w:color w:val="000000"/>
          <w:lang w:val="es-ES" w:eastAsia="es-ES"/>
        </w:rPr>
        <w:t>análisis</w:t>
      </w:r>
      <w:r w:rsidRPr="00A14D98">
        <w:rPr>
          <w:rFonts w:ascii="Verdana" w:eastAsia="Times New Roman" w:hAnsi="Verdana" w:cs="Arial"/>
          <w:color w:val="000000"/>
          <w:lang w:val="es-ES" w:eastAsia="es-ES"/>
        </w:rPr>
        <w:t xml:space="preserve"> y </w:t>
      </w:r>
      <w:r w:rsidRPr="00A14D98">
        <w:rPr>
          <w:rFonts w:ascii="Verdana" w:eastAsia="Times New Roman" w:hAnsi="Verdana" w:cs="Arial"/>
          <w:i/>
          <w:iCs/>
          <w:color w:val="000000"/>
          <w:lang w:val="es-ES" w:eastAsia="es-ES"/>
        </w:rPr>
        <w:t>comparación</w:t>
      </w:r>
      <w:r w:rsidRPr="00A14D98">
        <w:rPr>
          <w:rFonts w:ascii="Verdana" w:eastAsia="Times New Roman" w:hAnsi="Verdana" w:cs="Arial"/>
          <w:color w:val="000000"/>
          <w:lang w:val="es-ES" w:eastAsia="es-ES"/>
        </w:rPr>
        <w:t xml:space="preserve"> de las condiciones de los inmuebles y las opciones de adquisición; </w:t>
      </w:r>
      <w:proofErr w:type="spellStart"/>
      <w:r w:rsidRPr="00A14D98">
        <w:rPr>
          <w:rFonts w:ascii="Verdana" w:eastAsia="Times New Roman" w:hAnsi="Verdana" w:cs="Arial"/>
          <w:color w:val="000000"/>
          <w:lang w:val="es-ES" w:eastAsia="es-ES"/>
        </w:rPr>
        <w:t>iii</w:t>
      </w:r>
      <w:proofErr w:type="spellEnd"/>
      <w:r w:rsidRPr="00A14D98">
        <w:rPr>
          <w:rFonts w:ascii="Verdana" w:eastAsia="Times New Roman" w:hAnsi="Verdana" w:cs="Arial"/>
          <w:color w:val="000000"/>
          <w:lang w:val="es-ES" w:eastAsia="es-ES"/>
        </w:rPr>
        <w:t xml:space="preserve">) la entidad puede formar parte de un proyecto inmobiliarios para la adquisición de un bien inmueble que satisfaga </w:t>
      </w:r>
      <w:r w:rsidRPr="00A14D98">
        <w:rPr>
          <w:rFonts w:ascii="Verdana" w:eastAsia="Calibri" w:hAnsi="Verdana" w:cs="Arial"/>
          <w:vertAlign w:val="superscript"/>
          <w:lang w:val="es-ES" w:eastAsia="es-ES"/>
        </w:rPr>
        <w:footnoteReference w:id="39"/>
      </w:r>
    </w:p>
    <w:p w14:paraId="05201A5F" w14:textId="77777777" w:rsidR="00A14D98" w:rsidRPr="00A14D98" w:rsidRDefault="00A14D98" w:rsidP="00A14D98">
      <w:pPr>
        <w:spacing w:before="120" w:after="120" w:line="276" w:lineRule="auto"/>
        <w:ind w:firstLine="708"/>
        <w:jc w:val="both"/>
        <w:rPr>
          <w:rFonts w:ascii="Verdana" w:eastAsia="Times New Roman" w:hAnsi="Verdana" w:cs="Arial"/>
          <w:color w:val="000000"/>
          <w:bdr w:val="none" w:sz="0" w:space="0" w:color="auto" w:frame="1"/>
          <w:lang w:val="es-ES_tradnl" w:eastAsia="es-CO"/>
        </w:rPr>
      </w:pPr>
      <w:r w:rsidRPr="00A14D98">
        <w:rPr>
          <w:rFonts w:ascii="Verdana" w:eastAsia="Times New Roman" w:hAnsi="Verdana" w:cs="Arial"/>
          <w:color w:val="000000"/>
          <w:bdr w:val="none" w:sz="0" w:space="0" w:color="auto" w:frame="1"/>
          <w:lang w:val="es-ES_tradnl" w:eastAsia="es-CO"/>
        </w:rPr>
        <w:lastRenderedPageBreak/>
        <w:t>En concordancia con lo anterior, el Decreto 1082 de 2015, en su artículo 2.2.1.2.1.4.1</w:t>
      </w:r>
      <w:r w:rsidRPr="00A14D98">
        <w:rPr>
          <w:rFonts w:ascii="Verdana" w:eastAsia="Times New Roman" w:hAnsi="Verdana" w:cs="Arial"/>
          <w:vertAlign w:val="superscript"/>
          <w:lang w:val="es-ES_tradnl" w:eastAsia="es-CO"/>
        </w:rPr>
        <w:footnoteReference w:id="40"/>
      </w:r>
      <w:r w:rsidRPr="00A14D98">
        <w:rPr>
          <w:rFonts w:ascii="Verdana" w:eastAsia="Times New Roman" w:hAnsi="Verdana" w:cs="Arial"/>
          <w:color w:val="000000"/>
          <w:bdr w:val="none" w:sz="0" w:space="0" w:color="auto" w:frame="1"/>
          <w:lang w:val="es-ES_tradnl" w:eastAsia="es-CO"/>
        </w:rPr>
        <w:t xml:space="preserve">, establece que la entidad estatal deberá justificar la causal de contratación directa mediante la expedición de un acto administrativo. Por estas razones cobra importancia la referencia al principio de planeación en la contratación estatal, ya que el desarrollo que realizó el decreto reglamentario de la causal contenida en el literal i) del numeral 4 del artículo 2 de la Ley 1150 de 2007, prevé la obligación de la entidad contratante de sustentar, con base en los estudios previos realizados, la adquisición de bienes inmuebles. </w:t>
      </w:r>
    </w:p>
    <w:p w14:paraId="3BA065E2" w14:textId="77777777" w:rsidR="00A14D98" w:rsidRPr="00A14D98" w:rsidRDefault="00A14D98" w:rsidP="00A14D98">
      <w:pPr>
        <w:spacing w:before="120" w:after="120" w:line="276" w:lineRule="auto"/>
        <w:ind w:firstLine="709"/>
        <w:jc w:val="both"/>
        <w:rPr>
          <w:rFonts w:ascii="Verdana" w:eastAsia="Cambria" w:hAnsi="Verdana" w:cs="Arial"/>
          <w:lang w:val="es-ES_tradnl" w:eastAsia="es-CO"/>
        </w:rPr>
      </w:pPr>
      <w:r w:rsidRPr="00A14D98">
        <w:rPr>
          <w:rFonts w:ascii="Verdana" w:eastAsia="Calibri" w:hAnsi="Verdana" w:cs="Arial"/>
          <w:bCs/>
          <w:lang w:val="es-ES_tradnl" w:eastAsia="es-ES_tradnl"/>
        </w:rPr>
        <w:t>La planeación contractual es una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para beneficiar los intereses y fines públicos inmersos en la contratación de las entidades estatales, buscando siempre la correcta ejecución del contrato</w:t>
      </w:r>
      <w:r w:rsidRPr="00A14D98">
        <w:rPr>
          <w:rFonts w:ascii="Verdana" w:eastAsia="Calibri" w:hAnsi="Verdana" w:cs="Arial"/>
          <w:vertAlign w:val="superscript"/>
          <w:lang w:val="es-ES_tradnl" w:eastAsia="es-ES_tradnl"/>
        </w:rPr>
        <w:footnoteReference w:id="41"/>
      </w:r>
      <w:r w:rsidRPr="00A14D98">
        <w:rPr>
          <w:rFonts w:ascii="Verdana" w:eastAsia="Calibri" w:hAnsi="Verdana" w:cs="Arial"/>
          <w:bCs/>
          <w:lang w:val="es-ES_tradnl" w:eastAsia="es-ES_tradnl"/>
        </w:rPr>
        <w:t>.</w:t>
      </w:r>
      <w:r w:rsidRPr="00A14D98">
        <w:rPr>
          <w:rFonts w:ascii="Verdana" w:eastAsia="Cambria" w:hAnsi="Verdana" w:cs="Arial"/>
          <w:lang w:val="es-ES_tradnl" w:eastAsia="es-CO"/>
        </w:rPr>
        <w:t xml:space="preserve"> </w:t>
      </w:r>
    </w:p>
    <w:p w14:paraId="137171DC" w14:textId="77777777" w:rsidR="00A14D98" w:rsidRPr="00A14D98" w:rsidRDefault="00A14D98" w:rsidP="00A14D98">
      <w:pPr>
        <w:spacing w:before="120" w:after="120" w:line="276" w:lineRule="auto"/>
        <w:ind w:firstLine="708"/>
        <w:jc w:val="both"/>
        <w:rPr>
          <w:rFonts w:ascii="Verdana" w:eastAsia="Calibri" w:hAnsi="Verdana" w:cs="Arial"/>
          <w:bCs/>
          <w:lang w:val="es-ES_tradnl" w:eastAsia="es-ES_tradnl"/>
        </w:rPr>
      </w:pPr>
      <w:r w:rsidRPr="00A14D98">
        <w:rPr>
          <w:rFonts w:ascii="Verdana" w:eastAsia="Calibri" w:hAnsi="Verdana" w:cs="Arial"/>
          <w:bCs/>
          <w:lang w:val="es-ES_tradnl" w:eastAsia="es-ES_tradnl"/>
        </w:rPr>
        <w:lastRenderedPageBreak/>
        <w:t>En armonía con lo ya expresado, el proceso de adquisición de inmuebles demanda de las entidades estatales el deber de planeación en la etapa precontractual. Esto con la finalidad de que el proceso de contratación satisfaga las necesidades de la Administración, que esta cumpla sus fines, y logre la continua y eficiente prestación de los servicios públicos</w:t>
      </w:r>
      <w:r w:rsidRPr="00A14D98">
        <w:rPr>
          <w:rFonts w:ascii="Verdana" w:eastAsia="Calibri" w:hAnsi="Verdana" w:cs="Arial"/>
          <w:vertAlign w:val="superscript"/>
          <w:lang w:val="es-ES_tradnl" w:eastAsia="es-ES_tradnl"/>
        </w:rPr>
        <w:footnoteReference w:id="42"/>
      </w:r>
      <w:r w:rsidRPr="00A14D98">
        <w:rPr>
          <w:rFonts w:ascii="Verdana" w:eastAsia="Calibri" w:hAnsi="Verdana" w:cs="Arial"/>
          <w:bCs/>
          <w:lang w:val="es-ES_tradnl" w:eastAsia="es-ES_tradnl"/>
        </w:rPr>
        <w:t xml:space="preserve">. Para cumplir este objetivo son necesarios los estudios señalados en el artículo </w:t>
      </w:r>
      <w:r w:rsidRPr="00A14D98">
        <w:rPr>
          <w:rFonts w:ascii="Verdana" w:eastAsia="Arial" w:hAnsi="Verdana" w:cs="Arial"/>
          <w:lang w:val="es-ES_tradnl" w:eastAsia="es-ES_tradnl"/>
        </w:rPr>
        <w:t xml:space="preserve">2.2.1.2.1.4.10 del Decreto 1082 de 2015 </w:t>
      </w:r>
      <w:r w:rsidRPr="00A14D98">
        <w:rPr>
          <w:rFonts w:ascii="Verdana" w:eastAsia="Calibri" w:hAnsi="Verdana" w:cs="Arial"/>
          <w:bCs/>
          <w:lang w:val="es-ES_tradnl" w:eastAsia="es-ES_tradnl"/>
        </w:rPr>
        <w:t>y el análisis del sector económico y de los oferentes, actividad de planeación previa que sirve para identificar aspectos concretos del mercado y</w:t>
      </w:r>
      <w:r w:rsidRPr="00A14D98">
        <w:rPr>
          <w:rFonts w:ascii="Verdana" w:eastAsia="Calibri" w:hAnsi="Verdana" w:cs="Arial"/>
          <w:color w:val="000000"/>
          <w:bdr w:val="none" w:sz="0" w:space="0" w:color="auto" w:frame="1"/>
          <w:lang w:val="es-ES_tradnl" w:eastAsia="es-ES_tradnl"/>
        </w:rPr>
        <w:t xml:space="preserve"> seleccionar la mejor opción para cumplir con la necesidad de la entidad pública.</w:t>
      </w:r>
    </w:p>
    <w:p w14:paraId="0229C7D6" w14:textId="77777777" w:rsidR="00A14D98" w:rsidRPr="00A14D98" w:rsidRDefault="00A14D98" w:rsidP="00A14D98">
      <w:pPr>
        <w:spacing w:after="120" w:line="276" w:lineRule="auto"/>
        <w:ind w:firstLine="708"/>
        <w:jc w:val="both"/>
        <w:rPr>
          <w:rFonts w:ascii="Verdana" w:eastAsia="Calibri" w:hAnsi="Verdana" w:cs="Arial"/>
          <w:color w:val="000000"/>
          <w:bdr w:val="none" w:sz="0" w:space="0" w:color="auto" w:frame="1"/>
          <w:lang w:val="es-MX" w:eastAsia="es-ES_tradnl"/>
        </w:rPr>
      </w:pPr>
      <w:r w:rsidRPr="00A14D98">
        <w:rPr>
          <w:rFonts w:ascii="Verdana" w:eastAsia="Times New Roman" w:hAnsi="Verdana" w:cs="Arial"/>
          <w:lang w:val="es-ES" w:eastAsia="es-ES_tradnl"/>
        </w:rPr>
        <w:t xml:space="preserve">En virtud de lo expuesto, la adquisición de bienes inmuebles –predios- trata de un causal de la contratación directa regulada en </w:t>
      </w:r>
      <w:r w:rsidRPr="00A14D98">
        <w:rPr>
          <w:rFonts w:ascii="Verdana" w:eastAsia="Times New Roman" w:hAnsi="Verdana" w:cs="Arial"/>
          <w:lang w:val="es-ES_tradnl" w:eastAsia="es-ES_tradnl"/>
        </w:rPr>
        <w:t>el literal i) del numeral 4 del artículo 2º de la Ley 1150 de 2007</w:t>
      </w:r>
      <w:r w:rsidRPr="00A14D98">
        <w:rPr>
          <w:rFonts w:ascii="Verdana" w:eastAsia="Times New Roman" w:hAnsi="Verdana" w:cs="Arial"/>
          <w:lang w:val="es-ES" w:eastAsia="es-ES_tradnl"/>
        </w:rPr>
        <w:t>, esto es, un procedimiento de contratación estatal no competitivo que está restringido por la prohibición establecida en el artículo 33 de la Ley 996 de 2005 que aplica a todas las entidades del Estado</w:t>
      </w:r>
      <w:r w:rsidRPr="00A14D98">
        <w:rPr>
          <w:rFonts w:ascii="Verdana" w:eastAsia="Times New Roman" w:hAnsi="Verdana" w:cs="Arial"/>
          <w:bCs/>
          <w:lang w:val="es-MX" w:eastAsia="x-none"/>
        </w:rPr>
        <w:t xml:space="preserve"> </w:t>
      </w:r>
      <w:r w:rsidRPr="00A14D98">
        <w:rPr>
          <w:rFonts w:ascii="Verdana" w:eastAsia="Times New Roman" w:hAnsi="Verdana" w:cs="Arial"/>
          <w:bCs/>
          <w:lang w:val="es-MX" w:eastAsia="es-ES_tradnl"/>
        </w:rPr>
        <w:t>dentro de los cuatro (4) meses anteriores a la celebración de los comicios presidenciales</w:t>
      </w:r>
      <w:r w:rsidRPr="00A14D98">
        <w:rPr>
          <w:rFonts w:ascii="Verdana" w:eastAsia="Times New Roman" w:hAnsi="Verdana" w:cs="Arial"/>
          <w:lang w:val="es-ES" w:eastAsia="es-ES_tradnl"/>
        </w:rPr>
        <w:t xml:space="preserve">. </w:t>
      </w:r>
      <w:r w:rsidRPr="00A14D98">
        <w:rPr>
          <w:rFonts w:ascii="Verdana" w:eastAsia="Times New Roman" w:hAnsi="Verdana" w:cs="Arial"/>
          <w:bCs/>
          <w:lang w:val="es-MX" w:eastAsia="x-none"/>
        </w:rPr>
        <w:t>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w:t>
      </w:r>
    </w:p>
    <w:bookmarkEnd w:id="11"/>
    <w:bookmarkEnd w:id="12"/>
    <w:p w14:paraId="17E41817" w14:textId="77777777" w:rsidR="00A14D98" w:rsidRPr="00A14D98" w:rsidRDefault="00A14D98" w:rsidP="00A14D98">
      <w:pPr>
        <w:spacing w:after="120" w:line="276" w:lineRule="auto"/>
        <w:ind w:firstLine="709"/>
        <w:jc w:val="both"/>
        <w:rPr>
          <w:rFonts w:ascii="Verdana" w:eastAsia="Times New Roman" w:hAnsi="Verdana" w:cs="Arial"/>
          <w:bCs/>
          <w:lang w:val="es-MX" w:eastAsia="x-none"/>
        </w:rPr>
      </w:pPr>
      <w:r w:rsidRPr="00A14D98">
        <w:rPr>
          <w:rFonts w:ascii="Verdana" w:eastAsia="Times New Roman" w:hAnsi="Verdana" w:cs="Arial"/>
          <w:bCs/>
          <w:lang w:val="es-MX" w:eastAsia="x-none"/>
        </w:rPr>
        <w:lastRenderedPageBreak/>
        <w:t xml:space="preserve">Esto, sin perjuicio de las excepciones a la prohibición establecidas en el inciso segundo del mismo artículo 33, como son: i) la defensa y seguridad del Estado; </w:t>
      </w:r>
      <w:proofErr w:type="spellStart"/>
      <w:r w:rsidRPr="00A14D98">
        <w:rPr>
          <w:rFonts w:ascii="Verdana" w:eastAsia="Times New Roman" w:hAnsi="Verdana" w:cs="Arial"/>
          <w:bCs/>
          <w:lang w:val="es-MX" w:eastAsia="x-none"/>
        </w:rPr>
        <w:t>ii</w:t>
      </w:r>
      <w:proofErr w:type="spellEnd"/>
      <w:r w:rsidRPr="00A14D98">
        <w:rPr>
          <w:rFonts w:ascii="Verdana" w:eastAsia="Times New Roman" w:hAnsi="Verdana" w:cs="Arial"/>
          <w:bCs/>
          <w:lang w:val="es-MX" w:eastAsia="x-none"/>
        </w:rPr>
        <w:t xml:space="preserve">) los contratos de crédito público; </w:t>
      </w:r>
      <w:proofErr w:type="spellStart"/>
      <w:r w:rsidRPr="00A14D98">
        <w:rPr>
          <w:rFonts w:ascii="Verdana" w:eastAsia="Times New Roman" w:hAnsi="Verdana" w:cs="Arial"/>
          <w:bCs/>
          <w:lang w:val="es-MX" w:eastAsia="x-none"/>
        </w:rPr>
        <w:t>iii</w:t>
      </w:r>
      <w:proofErr w:type="spellEnd"/>
      <w:r w:rsidRPr="00A14D98">
        <w:rPr>
          <w:rFonts w:ascii="Verdana" w:eastAsia="Times New Roman" w:hAnsi="Verdana" w:cs="Arial"/>
          <w:bCs/>
          <w:lang w:val="es-MX" w:eastAsia="x-none"/>
        </w:rPr>
        <w:t xml:space="preserve">) los requeridos para cubrir las emergencias educativas, sanitarias y desastres; </w:t>
      </w:r>
      <w:proofErr w:type="spellStart"/>
      <w:r w:rsidRPr="00A14D98">
        <w:rPr>
          <w:rFonts w:ascii="Verdana" w:eastAsia="Times New Roman" w:hAnsi="Verdana" w:cs="Arial"/>
          <w:bCs/>
          <w:lang w:val="es-MX" w:eastAsia="x-none"/>
        </w:rPr>
        <w:t>iv</w:t>
      </w:r>
      <w:proofErr w:type="spellEnd"/>
      <w:r w:rsidRPr="00A14D98">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47CD871" w14:textId="77777777" w:rsidR="00A14D98" w:rsidRPr="00A14D98" w:rsidRDefault="00A14D98" w:rsidP="00A14D98">
      <w:pPr>
        <w:spacing w:after="120" w:line="276" w:lineRule="auto"/>
        <w:ind w:firstLine="708"/>
        <w:jc w:val="both"/>
        <w:rPr>
          <w:rFonts w:ascii="Verdana" w:eastAsia="Times New Roman" w:hAnsi="Verdana" w:cs="Arial"/>
          <w:lang w:eastAsia="es-CO"/>
        </w:rPr>
      </w:pPr>
      <w:r w:rsidRPr="00A14D98">
        <w:rPr>
          <w:rFonts w:ascii="Verdana" w:eastAsia="Arial" w:hAnsi="Verdana" w:cs="Arial"/>
          <w:lang w:val="es-ES" w:eastAsia="es-ES" w:bidi="es-ES"/>
        </w:rPr>
        <w:t xml:space="preserve">Por otro lado, la prohibición impuesta por el inciso primero del parágrafo del artículo 38 a los gobernadores, alcaldes municipales y/o distritales, secretarios, gerentes y directores de entidades descentralizadas del orden municipal, departamental o distrital,  debe aplicarse respecto de cualquier tipo de contienda electoral, y prohíbe la celebración de convenios interadministrativos que impliquen la ejecución de recursos públicos dentro de los cuatro (4) meses anteriores a la respectiva jornada de votaciones. En este aspecto, se señala que esta restricción no aplica en contratos interadministrativos, teniendo en cuenta </w:t>
      </w:r>
      <w:r w:rsidRPr="00A14D98">
        <w:rPr>
          <w:rFonts w:ascii="Verdana" w:eastAsia="Times New Roman" w:hAnsi="Verdana" w:cs="Arial"/>
          <w:lang w:eastAsia="es-CO"/>
        </w:rPr>
        <w:t xml:space="preserve">lo expuesto en la sentencia expedida por la Sección Tercera de la Sala de lo Contencioso Administrativo del 17 de octubre de 2025, en los autos del 4 de octubre de 2024 y 6 de noviembre de 2025, puesto que esta prohibición solo aplicaría a los convenios interadministrativos que impliquen la ejecución de recursos públicos. </w:t>
      </w:r>
    </w:p>
    <w:p w14:paraId="6488265D" w14:textId="77777777" w:rsidR="00A14D98" w:rsidRPr="00A14D98" w:rsidRDefault="00A14D98" w:rsidP="00A14D98">
      <w:pPr>
        <w:spacing w:after="120" w:line="276" w:lineRule="auto"/>
        <w:ind w:firstLine="708"/>
        <w:jc w:val="both"/>
        <w:rPr>
          <w:rFonts w:ascii="Verdana" w:eastAsia="Calibri" w:hAnsi="Verdana" w:cs="Arial"/>
          <w:bCs/>
          <w:lang w:val="es-ES_tradnl"/>
        </w:rPr>
      </w:pPr>
      <w:r w:rsidRPr="00A14D98">
        <w:rPr>
          <w:rFonts w:ascii="Verdana" w:eastAsia="Calibri" w:hAnsi="Verdana" w:cs="Arial"/>
          <w:lang w:val="es-ES_tradnl"/>
        </w:rPr>
        <w:t xml:space="preserve">Es dable concluir que, la adquisición de bienes inmuebles, </w:t>
      </w:r>
      <w:r w:rsidRPr="00A14D98">
        <w:rPr>
          <w:rFonts w:ascii="Verdana" w:eastAsia="Calibri" w:hAnsi="Verdana" w:cs="Arial"/>
          <w:i/>
          <w:iCs/>
          <w:lang w:val="es-ES_tradnl"/>
        </w:rPr>
        <w:t>per se,</w:t>
      </w:r>
      <w:r w:rsidRPr="00A14D98">
        <w:rPr>
          <w:rFonts w:ascii="Verdana" w:eastAsia="Calibri" w:hAnsi="Verdana" w:cs="Arial"/>
          <w:lang w:val="es-ES_tradnl"/>
        </w:rPr>
        <w:t xml:space="preserve"> no está prohibida por la restricción del parágrafo del artículo 38 de la Ley 996 de 2005, la cual solo es aplicable a convenios interadministrativos.</w:t>
      </w:r>
      <w:r w:rsidRPr="00A14D98">
        <w:rPr>
          <w:rFonts w:ascii="Verdana" w:eastAsia="Calibri" w:hAnsi="Verdana" w:cs="Arial"/>
          <w:bCs/>
          <w:lang w:val="es-ES_tradnl"/>
        </w:rPr>
        <w:t xml:space="preserve"> No obstante, respecto de contratos interadministrativos que se celebran de forma directa en el artículo 2, numeral 4, literal c de la Ley 1150 de 2007 estaría sujeta a la restricción del artículo 33 que aplica a toda entidad y a todo procedimiento que no tenga un carácter competitivo. </w:t>
      </w:r>
    </w:p>
    <w:p w14:paraId="5634AA48" w14:textId="77777777" w:rsidR="00A14D98" w:rsidRPr="00A14D98" w:rsidRDefault="00A14D98" w:rsidP="00A14D98">
      <w:pPr>
        <w:spacing w:after="120" w:line="276" w:lineRule="auto"/>
        <w:ind w:firstLine="709"/>
        <w:jc w:val="both"/>
        <w:rPr>
          <w:rFonts w:ascii="Verdana" w:eastAsia="Times New Roman" w:hAnsi="Verdana" w:cs="Arial"/>
          <w:bCs/>
          <w:lang w:val="es-MX" w:eastAsia="es-CO"/>
        </w:rPr>
      </w:pPr>
      <w:r w:rsidRPr="00A14D98">
        <w:rPr>
          <w:rFonts w:ascii="Verdana" w:eastAsia="Times New Roman" w:hAnsi="Verdana" w:cs="Arial"/>
          <w:bCs/>
          <w:lang w:val="es-MX" w:eastAsia="x-none"/>
        </w:rPr>
        <w:t>Finalmente, se reitera, c</w:t>
      </w:r>
      <w:r w:rsidRPr="00A14D98">
        <w:rPr>
          <w:rFonts w:ascii="Verdana" w:eastAsia="Times New Roman" w:hAnsi="Verdana" w:cs="Arial"/>
          <w:bCs/>
          <w:lang w:val="es-MX" w:eastAsia="es-CO"/>
        </w:rPr>
        <w:t xml:space="preserve">omo en otras oportunidades lo ha manifestado esta Agencia, que las prórrogas, modificaciones o adiciones de los contratos suscritos antes de la </w:t>
      </w:r>
      <w:proofErr w:type="gramStart"/>
      <w:r w:rsidRPr="00A14D98">
        <w:rPr>
          <w:rFonts w:ascii="Verdana" w:eastAsia="Times New Roman" w:hAnsi="Verdana" w:cs="Arial"/>
          <w:bCs/>
          <w:lang w:val="es-MX" w:eastAsia="es-CO"/>
        </w:rPr>
        <w:t>entrada en vigencia</w:t>
      </w:r>
      <w:proofErr w:type="gramEnd"/>
      <w:r w:rsidRPr="00A14D98">
        <w:rPr>
          <w:rFonts w:ascii="Verdana" w:eastAsia="Times New Roman" w:hAnsi="Verdana" w:cs="Arial"/>
          <w:bCs/>
          <w:lang w:val="es-MX" w:eastAsia="es-CO"/>
        </w:rPr>
        <w:t xml:space="preserve"> de las prohibiciones anotadas, así como </w:t>
      </w:r>
      <w:r w:rsidRPr="00A14D98">
        <w:rPr>
          <w:rFonts w:ascii="Verdana" w:eastAsia="Times New Roman" w:hAnsi="Verdana" w:cs="Arial"/>
          <w:bCs/>
          <w:lang w:val="es-MX" w:eastAsia="es-CO"/>
        </w:rPr>
        <w:lastRenderedPageBreak/>
        <w:t xml:space="preserve">la cesión de </w:t>
      </w:r>
      <w:proofErr w:type="gramStart"/>
      <w:r w:rsidRPr="00A14D98">
        <w:rPr>
          <w:rFonts w:ascii="Verdana" w:eastAsia="Times New Roman" w:hAnsi="Verdana" w:cs="Arial"/>
          <w:bCs/>
          <w:lang w:val="es-MX" w:eastAsia="es-CO"/>
        </w:rPr>
        <w:t>los mismos</w:t>
      </w:r>
      <w:proofErr w:type="gramEnd"/>
      <w:r w:rsidRPr="00A14D98">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p w14:paraId="3D756698" w14:textId="77777777" w:rsidR="00A14D98" w:rsidRPr="00A14D98" w:rsidRDefault="00A14D98" w:rsidP="00A14D98">
      <w:pPr>
        <w:spacing w:after="120" w:line="276" w:lineRule="auto"/>
        <w:ind w:firstLine="709"/>
        <w:jc w:val="both"/>
        <w:rPr>
          <w:rFonts w:ascii="Verdana" w:eastAsia="Calibri" w:hAnsi="Verdana" w:cs="Arial"/>
          <w:bCs/>
          <w:lang w:val="es-MX"/>
        </w:rPr>
      </w:pPr>
    </w:p>
    <w:p w14:paraId="5BEDB846" w14:textId="77777777" w:rsidR="00A14D98" w:rsidRPr="00A14D98" w:rsidRDefault="00A14D98" w:rsidP="00A14D98">
      <w:pPr>
        <w:spacing w:after="120" w:line="276" w:lineRule="auto"/>
        <w:jc w:val="both"/>
        <w:rPr>
          <w:rFonts w:ascii="Verdana" w:eastAsia="Times New Roman" w:hAnsi="Verdana" w:cs="Arial"/>
          <w:iCs/>
          <w:color w:val="000000"/>
          <w:szCs w:val="24"/>
          <w:lang w:eastAsia="es-ES_tradnl"/>
        </w:rPr>
      </w:pPr>
      <w:r w:rsidRPr="00A14D98">
        <w:rPr>
          <w:rFonts w:ascii="Verdana" w:eastAsia="Calibri" w:hAnsi="Verdana" w:cs="Arial"/>
          <w:lang w:eastAsia="es-MX"/>
        </w:rPr>
        <w:t xml:space="preserve">vi. </w:t>
      </w:r>
      <w:r w:rsidRPr="00A14D98">
        <w:rPr>
          <w:rFonts w:ascii="Verdana" w:hAnsi="Verdana" w:cs="Arial"/>
          <w:lang w:val="es-ES_tradnl" w:eastAsia="es-ES"/>
        </w:rPr>
        <w:t>Al margen de la explicación precedente debe advertirse que el análisis requerido para resolver problemas específicos en torno a las restricciones de ley de garantías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C33437" w14:textId="77777777" w:rsidR="00A14D98" w:rsidRPr="00A14D98" w:rsidRDefault="00A14D98" w:rsidP="00A14D98">
      <w:pPr>
        <w:spacing w:after="120" w:line="276" w:lineRule="auto"/>
        <w:ind w:firstLine="708"/>
        <w:jc w:val="both"/>
        <w:rPr>
          <w:rFonts w:ascii="Verdana" w:eastAsia="Calibri" w:hAnsi="Verdana" w:cs="Arial"/>
          <w:lang w:val="es-ES"/>
        </w:rPr>
      </w:pPr>
      <w:r w:rsidRPr="00A14D98">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60B6F333" w14:textId="77777777" w:rsidR="00A14D98" w:rsidRPr="00A14D98" w:rsidRDefault="00A14D98" w:rsidP="00A14D98">
      <w:pPr>
        <w:spacing w:after="0" w:line="276" w:lineRule="auto"/>
        <w:jc w:val="both"/>
        <w:rPr>
          <w:rFonts w:ascii="Verdana" w:eastAsia="Calibri" w:hAnsi="Verdana" w:cs="Arial"/>
          <w:lang w:eastAsia="es-MX"/>
        </w:rPr>
      </w:pPr>
    </w:p>
    <w:p w14:paraId="659CE7D5" w14:textId="77777777" w:rsidR="00A14D98" w:rsidRPr="00A14D98" w:rsidRDefault="00A14D98" w:rsidP="00A14D98">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A14D98">
        <w:rPr>
          <w:rFonts w:ascii="Verdana" w:eastAsia="Century Gothic" w:hAnsi="Verdana" w:cs="Century Gothic"/>
          <w:b/>
          <w:bCs/>
          <w:lang w:val="es-ES"/>
        </w:rPr>
        <w:t>Referencias normativas, jurisprudenciales y otras fuentes</w:t>
      </w:r>
    </w:p>
    <w:p w14:paraId="4F76BD54" w14:textId="77777777" w:rsidR="00A14D98" w:rsidRPr="00A14D98" w:rsidRDefault="00A14D98" w:rsidP="00A14D9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14D98" w:rsidRPr="00A14D98" w14:paraId="1FC56D35" w14:textId="77777777" w:rsidTr="00191AA4">
        <w:trPr>
          <w:trHeight w:val="856"/>
          <w:jc w:val="center"/>
        </w:trPr>
        <w:tc>
          <w:tcPr>
            <w:tcW w:w="8647" w:type="dxa"/>
          </w:tcPr>
          <w:p w14:paraId="194A2F63" w14:textId="77777777" w:rsidR="00A14D98" w:rsidRPr="00A14D98" w:rsidRDefault="00A14D98" w:rsidP="00A14D9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14D98">
              <w:rPr>
                <w:rFonts w:ascii="Verdana" w:eastAsia="Arial MT" w:hAnsi="Verdana" w:cs="Arial"/>
                <w:lang w:eastAsia="es-ES" w:bidi="es-ES"/>
              </w:rPr>
              <w:t>Constitución Política: Artículo 127, 190 y 197.</w:t>
            </w:r>
          </w:p>
          <w:p w14:paraId="4E08A3B5" w14:textId="77777777" w:rsidR="00A14D98" w:rsidRPr="00A14D98" w:rsidRDefault="00A14D98" w:rsidP="00A14D9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14D98">
              <w:rPr>
                <w:rFonts w:ascii="Verdana" w:eastAsia="Arial MT" w:hAnsi="Verdana" w:cs="Arial"/>
                <w:lang w:eastAsia="es-ES" w:bidi="es-ES"/>
              </w:rPr>
              <w:t xml:space="preserve">Código Civil, artículos 27 y 1501. </w:t>
            </w:r>
          </w:p>
          <w:p w14:paraId="3C7D402E" w14:textId="77777777" w:rsidR="00A14D98" w:rsidRPr="00A14D98" w:rsidRDefault="00A14D98" w:rsidP="00A14D9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14D98">
              <w:rPr>
                <w:rFonts w:ascii="Verdana" w:eastAsia="Arial MT" w:hAnsi="Verdana" w:cs="Arial"/>
                <w:lang w:eastAsia="es-ES" w:bidi="es-ES"/>
              </w:rPr>
              <w:t>Ley 80 de 1992, artículos 39 y 41</w:t>
            </w:r>
          </w:p>
          <w:p w14:paraId="2C13EDFE" w14:textId="77777777" w:rsidR="00A14D98" w:rsidRPr="00A14D98" w:rsidRDefault="00A14D98" w:rsidP="00A14D98">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A14D98">
              <w:rPr>
                <w:rFonts w:ascii="Verdana" w:eastAsia="Arial MT" w:hAnsi="Verdana" w:cs="Arial"/>
                <w:bCs/>
                <w:lang w:val="es-ES" w:eastAsia="es-ES" w:bidi="es-ES"/>
              </w:rPr>
              <w:t>Ley 996 de 2005: artículos 33 y 38 parágrafo.</w:t>
            </w:r>
          </w:p>
          <w:p w14:paraId="139DF57B" w14:textId="77777777" w:rsidR="00A14D98" w:rsidRPr="00A14D98" w:rsidRDefault="00A14D98" w:rsidP="00A14D98">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A14D98">
              <w:rPr>
                <w:rFonts w:ascii="Verdana" w:eastAsia="Arial MT" w:hAnsi="Verdana" w:cs="Arial"/>
                <w:lang w:eastAsia="es-ES" w:bidi="es-ES"/>
              </w:rPr>
              <w:lastRenderedPageBreak/>
              <w:t xml:space="preserve">Ley 1150 de 2007, artículo 2. </w:t>
            </w:r>
          </w:p>
          <w:p w14:paraId="2DDF18BF"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r w:rsidRPr="00A14D98">
              <w:rPr>
                <w:rFonts w:ascii="Verdana" w:eastAsia="Calibri" w:hAnsi="Verdana" w:cs="Arial"/>
              </w:rPr>
              <w:t>Decreto 1082 de 2015, a</w:t>
            </w:r>
            <w:r w:rsidRPr="00A14D98">
              <w:rPr>
                <w:rFonts w:ascii="Verdana" w:eastAsia="Calibri" w:hAnsi="Verdana" w:cs="Arial"/>
                <w:bCs/>
              </w:rPr>
              <w:t>rtículo 2.2.1.2.1.4.10.</w:t>
            </w:r>
            <w:r w:rsidRPr="00A14D98">
              <w:rPr>
                <w:rFonts w:ascii="Verdana" w:eastAsia="Calibri" w:hAnsi="Verdana" w:cs="Arial"/>
                <w:b/>
                <w:bCs/>
              </w:rPr>
              <w:t xml:space="preserve">, </w:t>
            </w:r>
            <w:r w:rsidRPr="00A14D98">
              <w:rPr>
                <w:rFonts w:ascii="Verdana" w:eastAsia="Calibri" w:hAnsi="Verdana" w:cs="Arial"/>
                <w:bCs/>
              </w:rPr>
              <w:t>2.2.1.2.1.4.1</w:t>
            </w:r>
            <w:r w:rsidRPr="00A14D98">
              <w:rPr>
                <w:rFonts w:ascii="Verdana" w:eastAsia="Calibri" w:hAnsi="Verdana" w:cs="Arial"/>
                <w:b/>
                <w:bCs/>
              </w:rPr>
              <w:t>.</w:t>
            </w:r>
          </w:p>
          <w:p w14:paraId="62C51F8A"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r w:rsidRPr="00A14D98">
              <w:rPr>
                <w:rFonts w:ascii="Verdana" w:eastAsia="Calibri" w:hAnsi="Verdana" w:cs="Arial"/>
                <w:lang w:val="pt-BR"/>
              </w:rPr>
              <w:t xml:space="preserve">Corte Constitucional, Sentencia C- 1153 de 2005, M.P. Marco Gerardo </w:t>
            </w:r>
            <w:proofErr w:type="spellStart"/>
            <w:r w:rsidRPr="00A14D98">
              <w:rPr>
                <w:rFonts w:ascii="Verdana" w:eastAsia="Calibri" w:hAnsi="Verdana" w:cs="Arial"/>
                <w:lang w:val="pt-BR"/>
              </w:rPr>
              <w:t>Monroy</w:t>
            </w:r>
            <w:proofErr w:type="spellEnd"/>
            <w:r w:rsidRPr="00A14D98">
              <w:rPr>
                <w:rFonts w:ascii="Verdana" w:eastAsia="Calibri" w:hAnsi="Verdana" w:cs="Arial"/>
                <w:lang w:val="pt-BR"/>
              </w:rPr>
              <w:t xml:space="preserve"> Cabra.</w:t>
            </w:r>
          </w:p>
          <w:p w14:paraId="3F57EE43"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r w:rsidRPr="00A14D98">
              <w:rPr>
                <w:rFonts w:ascii="Verdana" w:eastAsia="Calibri" w:hAnsi="Verdana" w:cs="Arial"/>
                <w:lang w:val="pt-BR"/>
              </w:rPr>
              <w:t xml:space="preserve">Corte Constitucional, Sentencia C-300 de 2012 M.P. Jorge Ignacio </w:t>
            </w:r>
            <w:proofErr w:type="spellStart"/>
            <w:r w:rsidRPr="00A14D98">
              <w:rPr>
                <w:rFonts w:ascii="Verdana" w:eastAsia="Calibri" w:hAnsi="Verdana" w:cs="Arial"/>
                <w:lang w:val="pt-BR"/>
              </w:rPr>
              <w:t>Pretel</w:t>
            </w:r>
            <w:proofErr w:type="spellEnd"/>
            <w:r w:rsidRPr="00A14D98">
              <w:rPr>
                <w:rFonts w:ascii="Verdana" w:eastAsia="Calibri" w:hAnsi="Verdana" w:cs="Arial"/>
                <w:lang w:val="pt-BR"/>
              </w:rPr>
              <w:t xml:space="preserve"> </w:t>
            </w:r>
            <w:proofErr w:type="spellStart"/>
            <w:r w:rsidRPr="00A14D98">
              <w:rPr>
                <w:rFonts w:ascii="Verdana" w:eastAsia="Calibri" w:hAnsi="Verdana" w:cs="Arial"/>
                <w:lang w:val="pt-BR"/>
              </w:rPr>
              <w:t>Chaljub</w:t>
            </w:r>
            <w:proofErr w:type="spellEnd"/>
            <w:r w:rsidRPr="00A14D98">
              <w:rPr>
                <w:rFonts w:ascii="Verdana" w:eastAsia="Calibri" w:hAnsi="Verdana" w:cs="Arial"/>
                <w:lang w:val="pt-BR"/>
              </w:rPr>
              <w:t>,</w:t>
            </w:r>
          </w:p>
          <w:p w14:paraId="2B5C6738"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Sala de Consulta y </w:t>
            </w:r>
            <w:proofErr w:type="spellStart"/>
            <w:r w:rsidRPr="00A14D98">
              <w:rPr>
                <w:rFonts w:ascii="Verdana" w:eastAsia="Calibri" w:hAnsi="Verdana" w:cs="Arial"/>
                <w:lang w:val="pt-BR"/>
              </w:rPr>
              <w:t>Servicio</w:t>
            </w:r>
            <w:proofErr w:type="spellEnd"/>
            <w:r w:rsidRPr="00A14D98">
              <w:rPr>
                <w:rFonts w:ascii="Verdana" w:eastAsia="Calibri" w:hAnsi="Verdana" w:cs="Arial"/>
                <w:lang w:val="pt-BR"/>
              </w:rPr>
              <w:t xml:space="preserve"> Civil. Concepto de 20 de </w:t>
            </w:r>
            <w:proofErr w:type="spellStart"/>
            <w:r w:rsidRPr="00A14D98">
              <w:rPr>
                <w:rFonts w:ascii="Verdana" w:eastAsia="Calibri" w:hAnsi="Verdana" w:cs="Arial"/>
                <w:lang w:val="pt-BR"/>
              </w:rPr>
              <w:t>febrero</w:t>
            </w:r>
            <w:proofErr w:type="spellEnd"/>
            <w:r w:rsidRPr="00A14D98">
              <w:rPr>
                <w:rFonts w:ascii="Verdana" w:eastAsia="Calibri" w:hAnsi="Verdana" w:cs="Arial"/>
                <w:lang w:val="pt-BR"/>
              </w:rPr>
              <w:t xml:space="preserve"> de 2006. C.P. Enrique José Arboleda Perdomo. Rad. 1727. </w:t>
            </w:r>
          </w:p>
          <w:p w14:paraId="12F091E2"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Sala de Consulta y </w:t>
            </w:r>
            <w:proofErr w:type="spellStart"/>
            <w:r w:rsidRPr="00A14D98">
              <w:rPr>
                <w:rFonts w:ascii="Verdana" w:eastAsia="Calibri" w:hAnsi="Verdana" w:cs="Arial"/>
                <w:lang w:val="pt-BR"/>
              </w:rPr>
              <w:t>Servicio</w:t>
            </w:r>
            <w:proofErr w:type="spellEnd"/>
            <w:r w:rsidRPr="00A14D98">
              <w:rPr>
                <w:rFonts w:ascii="Verdana" w:eastAsia="Calibri" w:hAnsi="Verdana" w:cs="Arial"/>
                <w:lang w:val="pt-BR"/>
              </w:rPr>
              <w:t xml:space="preserve"> Civil. Concepto de 6 de abril de 2006. C.P. Enrique José Arboleda Perdomo. Rad. 1738.  </w:t>
            </w:r>
          </w:p>
          <w:p w14:paraId="321949F8"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Sala de Consulta y </w:t>
            </w:r>
            <w:proofErr w:type="spellStart"/>
            <w:r w:rsidRPr="00A14D98">
              <w:rPr>
                <w:rFonts w:ascii="Verdana" w:eastAsia="Calibri" w:hAnsi="Verdana" w:cs="Arial"/>
                <w:lang w:val="pt-BR"/>
              </w:rPr>
              <w:t>Servicio</w:t>
            </w:r>
            <w:proofErr w:type="spellEnd"/>
            <w:r w:rsidRPr="00A14D98">
              <w:rPr>
                <w:rFonts w:ascii="Verdana" w:eastAsia="Calibri" w:hAnsi="Verdana" w:cs="Arial"/>
                <w:lang w:val="pt-BR"/>
              </w:rPr>
              <w:t xml:space="preserve"> Civil de fecha 24 de </w:t>
            </w:r>
            <w:proofErr w:type="spellStart"/>
            <w:r w:rsidRPr="00A14D98">
              <w:rPr>
                <w:rFonts w:ascii="Verdana" w:eastAsia="Calibri" w:hAnsi="Verdana" w:cs="Arial"/>
                <w:lang w:val="pt-BR"/>
              </w:rPr>
              <w:t>julio</w:t>
            </w:r>
            <w:proofErr w:type="spellEnd"/>
            <w:r w:rsidRPr="00A14D98">
              <w:rPr>
                <w:rFonts w:ascii="Verdana" w:eastAsia="Calibri" w:hAnsi="Verdana" w:cs="Arial"/>
                <w:lang w:val="pt-BR"/>
              </w:rPr>
              <w:t xml:space="preserve"> de 2013. C. P. Álvaro </w:t>
            </w:r>
            <w:proofErr w:type="spellStart"/>
            <w:r w:rsidRPr="00A14D98">
              <w:rPr>
                <w:rFonts w:ascii="Verdana" w:eastAsia="Calibri" w:hAnsi="Verdana" w:cs="Arial"/>
                <w:lang w:val="pt-BR"/>
              </w:rPr>
              <w:t>Namén</w:t>
            </w:r>
            <w:proofErr w:type="spellEnd"/>
            <w:r w:rsidRPr="00A14D98">
              <w:rPr>
                <w:rFonts w:ascii="Verdana" w:eastAsia="Calibri" w:hAnsi="Verdana" w:cs="Arial"/>
                <w:lang w:val="pt-BR"/>
              </w:rPr>
              <w:t xml:space="preserve"> Vargas. Rad. 2166,   </w:t>
            </w:r>
          </w:p>
          <w:p w14:paraId="0F3771C9"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Sala de Consulta y </w:t>
            </w:r>
            <w:proofErr w:type="spellStart"/>
            <w:r w:rsidRPr="00A14D98">
              <w:rPr>
                <w:rFonts w:ascii="Verdana" w:eastAsia="Calibri" w:hAnsi="Verdana" w:cs="Arial"/>
                <w:lang w:val="pt-BR"/>
              </w:rPr>
              <w:t>Servicio</w:t>
            </w:r>
            <w:proofErr w:type="spellEnd"/>
            <w:r w:rsidRPr="00A14D98">
              <w:rPr>
                <w:rFonts w:ascii="Verdana" w:eastAsia="Calibri" w:hAnsi="Verdana" w:cs="Arial"/>
                <w:lang w:val="pt-BR"/>
              </w:rPr>
              <w:t xml:space="preserve"> Civil. Concepto </w:t>
            </w:r>
            <w:proofErr w:type="spellStart"/>
            <w:r w:rsidRPr="00A14D98">
              <w:rPr>
                <w:rFonts w:ascii="Verdana" w:eastAsia="Calibri" w:hAnsi="Verdana" w:cs="Arial"/>
                <w:lang w:val="pt-BR"/>
              </w:rPr>
              <w:t>del</w:t>
            </w:r>
            <w:proofErr w:type="spellEnd"/>
            <w:r w:rsidRPr="00A14D98">
              <w:rPr>
                <w:rFonts w:ascii="Verdana" w:eastAsia="Calibri" w:hAnsi="Verdana" w:cs="Arial"/>
                <w:lang w:val="pt-BR"/>
              </w:rPr>
              <w:t xml:space="preserve"> 2 de </w:t>
            </w:r>
            <w:proofErr w:type="spellStart"/>
            <w:r w:rsidRPr="00A14D98">
              <w:rPr>
                <w:rFonts w:ascii="Verdana" w:eastAsia="Calibri" w:hAnsi="Verdana" w:cs="Arial"/>
                <w:lang w:val="pt-BR"/>
              </w:rPr>
              <w:t>septiembre</w:t>
            </w:r>
            <w:proofErr w:type="spellEnd"/>
            <w:r w:rsidRPr="00A14D98">
              <w:rPr>
                <w:rFonts w:ascii="Verdana" w:eastAsia="Calibri" w:hAnsi="Verdana" w:cs="Arial"/>
                <w:lang w:val="pt-BR"/>
              </w:rPr>
              <w:t xml:space="preserve"> de 2013. C.P. Álvaro </w:t>
            </w:r>
            <w:proofErr w:type="spellStart"/>
            <w:r w:rsidRPr="00A14D98">
              <w:rPr>
                <w:rFonts w:ascii="Verdana" w:eastAsia="Calibri" w:hAnsi="Verdana" w:cs="Arial"/>
                <w:lang w:val="pt-BR"/>
              </w:rPr>
              <w:t>Namén</w:t>
            </w:r>
            <w:proofErr w:type="spellEnd"/>
            <w:r w:rsidRPr="00A14D98">
              <w:rPr>
                <w:rFonts w:ascii="Verdana" w:eastAsia="Calibri" w:hAnsi="Verdana" w:cs="Arial"/>
                <w:lang w:val="pt-BR"/>
              </w:rPr>
              <w:t xml:space="preserve"> Vargas. Rad. 2168.</w:t>
            </w:r>
          </w:p>
          <w:p w14:paraId="5D14D275"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Sala de Consulta y </w:t>
            </w:r>
            <w:proofErr w:type="spellStart"/>
            <w:r w:rsidRPr="00A14D98">
              <w:rPr>
                <w:rFonts w:ascii="Verdana" w:eastAsia="Calibri" w:hAnsi="Verdana" w:cs="Arial"/>
                <w:lang w:val="pt-BR"/>
              </w:rPr>
              <w:t>Servicio</w:t>
            </w:r>
            <w:proofErr w:type="spellEnd"/>
            <w:r w:rsidRPr="00A14D98">
              <w:rPr>
                <w:rFonts w:ascii="Verdana" w:eastAsia="Calibri" w:hAnsi="Verdana" w:cs="Arial"/>
                <w:lang w:val="pt-BR"/>
              </w:rPr>
              <w:t xml:space="preserve"> Civil, Concepto de 8 de </w:t>
            </w:r>
            <w:proofErr w:type="spellStart"/>
            <w:r w:rsidRPr="00A14D98">
              <w:rPr>
                <w:rFonts w:ascii="Verdana" w:eastAsia="Calibri" w:hAnsi="Verdana" w:cs="Arial"/>
                <w:lang w:val="pt-BR"/>
              </w:rPr>
              <w:t>mayo</w:t>
            </w:r>
            <w:proofErr w:type="spellEnd"/>
            <w:r w:rsidRPr="00A14D98">
              <w:rPr>
                <w:rFonts w:ascii="Verdana" w:eastAsia="Calibri" w:hAnsi="Verdana" w:cs="Arial"/>
                <w:lang w:val="pt-BR"/>
              </w:rPr>
              <w:t xml:space="preserve"> de 2018. C.P. Álvaro </w:t>
            </w:r>
            <w:proofErr w:type="spellStart"/>
            <w:r w:rsidRPr="00A14D98">
              <w:rPr>
                <w:rFonts w:ascii="Verdana" w:eastAsia="Calibri" w:hAnsi="Verdana" w:cs="Arial"/>
                <w:lang w:val="pt-BR"/>
              </w:rPr>
              <w:t>Namén</w:t>
            </w:r>
            <w:proofErr w:type="spellEnd"/>
            <w:r w:rsidRPr="00A14D98">
              <w:rPr>
                <w:rFonts w:ascii="Verdana" w:eastAsia="Calibri" w:hAnsi="Verdana" w:cs="Arial"/>
                <w:lang w:val="pt-BR"/>
              </w:rPr>
              <w:t xml:space="preserve"> Vargas. Rad. 2382.</w:t>
            </w:r>
          </w:p>
          <w:p w14:paraId="02DAB351"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w:t>
            </w:r>
            <w:proofErr w:type="spellStart"/>
            <w:r w:rsidRPr="00A14D98">
              <w:rPr>
                <w:rFonts w:ascii="Verdana" w:eastAsia="Calibri" w:hAnsi="Verdana" w:cs="Arial"/>
                <w:lang w:val="pt-BR"/>
              </w:rPr>
              <w:t>Sección</w:t>
            </w:r>
            <w:proofErr w:type="spellEnd"/>
            <w:r w:rsidRPr="00A14D98">
              <w:rPr>
                <w:rFonts w:ascii="Verdana" w:eastAsia="Calibri" w:hAnsi="Verdana" w:cs="Arial"/>
                <w:lang w:val="pt-BR"/>
              </w:rPr>
              <w:t xml:space="preserve"> Tercera, </w:t>
            </w:r>
            <w:proofErr w:type="spellStart"/>
            <w:r w:rsidRPr="00A14D98">
              <w:rPr>
                <w:rFonts w:ascii="Verdana" w:eastAsia="Calibri" w:hAnsi="Verdana" w:cs="Arial"/>
                <w:lang w:val="pt-BR"/>
              </w:rPr>
              <w:t>Subsección</w:t>
            </w:r>
            <w:proofErr w:type="spellEnd"/>
            <w:r w:rsidRPr="00A14D98">
              <w:rPr>
                <w:rFonts w:ascii="Verdana" w:eastAsia="Calibri" w:hAnsi="Verdana" w:cs="Arial"/>
                <w:lang w:val="pt-BR"/>
              </w:rPr>
              <w:t xml:space="preserve"> B. Auto </w:t>
            </w:r>
            <w:proofErr w:type="spellStart"/>
            <w:r w:rsidRPr="00A14D98">
              <w:rPr>
                <w:rFonts w:ascii="Verdana" w:eastAsia="Calibri" w:hAnsi="Verdana" w:cs="Arial"/>
                <w:lang w:val="pt-BR"/>
              </w:rPr>
              <w:t>del</w:t>
            </w:r>
            <w:proofErr w:type="spellEnd"/>
            <w:r w:rsidRPr="00A14D98">
              <w:rPr>
                <w:rFonts w:ascii="Verdana" w:eastAsia="Calibri" w:hAnsi="Verdana" w:cs="Arial"/>
                <w:lang w:val="pt-BR"/>
              </w:rPr>
              <w:t xml:space="preserve"> 4 de </w:t>
            </w:r>
            <w:proofErr w:type="spellStart"/>
            <w:r w:rsidRPr="00A14D98">
              <w:rPr>
                <w:rFonts w:ascii="Verdana" w:eastAsia="Calibri" w:hAnsi="Verdana" w:cs="Arial"/>
                <w:lang w:val="pt-BR"/>
              </w:rPr>
              <w:t>octubre</w:t>
            </w:r>
            <w:proofErr w:type="spellEnd"/>
            <w:r w:rsidRPr="00A14D98">
              <w:rPr>
                <w:rFonts w:ascii="Verdana" w:eastAsia="Calibri" w:hAnsi="Verdana" w:cs="Arial"/>
                <w:lang w:val="pt-BR"/>
              </w:rPr>
              <w:t xml:space="preserve"> de 2024. C.P: Fredy Ibarra Martínez. Exp. 70.313.</w:t>
            </w:r>
          </w:p>
          <w:p w14:paraId="1B1DD19E"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w:t>
            </w:r>
            <w:proofErr w:type="spellStart"/>
            <w:r w:rsidRPr="00A14D98">
              <w:rPr>
                <w:rFonts w:ascii="Verdana" w:eastAsia="Calibri" w:hAnsi="Verdana" w:cs="Arial"/>
                <w:lang w:val="pt-BR"/>
              </w:rPr>
              <w:t>Sección</w:t>
            </w:r>
            <w:proofErr w:type="spellEnd"/>
            <w:r w:rsidRPr="00A14D98">
              <w:rPr>
                <w:rFonts w:ascii="Verdana" w:eastAsia="Calibri" w:hAnsi="Verdana" w:cs="Arial"/>
                <w:lang w:val="pt-BR"/>
              </w:rPr>
              <w:t xml:space="preserve"> Tercera-. Sentencia </w:t>
            </w:r>
            <w:proofErr w:type="spellStart"/>
            <w:r w:rsidRPr="00A14D98">
              <w:rPr>
                <w:rFonts w:ascii="Verdana" w:eastAsia="Calibri" w:hAnsi="Verdana" w:cs="Arial"/>
                <w:lang w:val="pt-BR"/>
              </w:rPr>
              <w:t>del</w:t>
            </w:r>
            <w:proofErr w:type="spellEnd"/>
            <w:r w:rsidRPr="00A14D98">
              <w:rPr>
                <w:rFonts w:ascii="Verdana" w:eastAsia="Calibri" w:hAnsi="Verdana" w:cs="Arial"/>
                <w:lang w:val="pt-BR"/>
              </w:rPr>
              <w:t xml:space="preserve"> 21 de </w:t>
            </w:r>
            <w:proofErr w:type="spellStart"/>
            <w:r w:rsidRPr="00A14D98">
              <w:rPr>
                <w:rFonts w:ascii="Verdana" w:eastAsia="Calibri" w:hAnsi="Verdana" w:cs="Arial"/>
                <w:lang w:val="pt-BR"/>
              </w:rPr>
              <w:t>febrero</w:t>
            </w:r>
            <w:proofErr w:type="spellEnd"/>
            <w:r w:rsidRPr="00A14D98">
              <w:rPr>
                <w:rFonts w:ascii="Verdana" w:eastAsia="Calibri" w:hAnsi="Verdana" w:cs="Arial"/>
                <w:lang w:val="pt-BR"/>
              </w:rPr>
              <w:t xml:space="preserve"> de 2025. CP: José Roberto </w:t>
            </w:r>
            <w:proofErr w:type="spellStart"/>
            <w:r w:rsidRPr="00A14D98">
              <w:rPr>
                <w:rFonts w:ascii="Verdana" w:eastAsia="Calibri" w:hAnsi="Verdana" w:cs="Arial"/>
                <w:lang w:val="pt-BR"/>
              </w:rPr>
              <w:t>Sáchica</w:t>
            </w:r>
            <w:proofErr w:type="spellEnd"/>
            <w:r w:rsidRPr="00A14D98">
              <w:rPr>
                <w:rFonts w:ascii="Verdana" w:eastAsia="Calibri" w:hAnsi="Verdana" w:cs="Arial"/>
                <w:lang w:val="pt-BR"/>
              </w:rPr>
              <w:t xml:space="preserve"> Méndez. Exp. 68.280. </w:t>
            </w:r>
          </w:p>
          <w:p w14:paraId="61FF4DCD"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w:t>
            </w:r>
            <w:proofErr w:type="spellStart"/>
            <w:r w:rsidRPr="00A14D98">
              <w:rPr>
                <w:rFonts w:ascii="Verdana" w:eastAsia="Calibri" w:hAnsi="Verdana" w:cs="Arial"/>
                <w:lang w:val="pt-BR"/>
              </w:rPr>
              <w:t>Sección</w:t>
            </w:r>
            <w:proofErr w:type="spellEnd"/>
            <w:r w:rsidRPr="00A14D98">
              <w:rPr>
                <w:rFonts w:ascii="Verdana" w:eastAsia="Calibri" w:hAnsi="Verdana" w:cs="Arial"/>
                <w:lang w:val="pt-BR"/>
              </w:rPr>
              <w:t xml:space="preserve"> Tercera. </w:t>
            </w:r>
            <w:proofErr w:type="spellStart"/>
            <w:r w:rsidRPr="00A14D98">
              <w:rPr>
                <w:rFonts w:ascii="Verdana" w:eastAsia="Calibri" w:hAnsi="Verdana" w:cs="Arial"/>
                <w:lang w:val="pt-BR"/>
              </w:rPr>
              <w:t>Subsección</w:t>
            </w:r>
            <w:proofErr w:type="spellEnd"/>
            <w:r w:rsidRPr="00A14D98">
              <w:rPr>
                <w:rFonts w:ascii="Verdana" w:eastAsia="Calibri" w:hAnsi="Verdana" w:cs="Arial"/>
                <w:lang w:val="pt-BR"/>
              </w:rPr>
              <w:t xml:space="preserve"> B. 17 de </w:t>
            </w:r>
            <w:proofErr w:type="spellStart"/>
            <w:r w:rsidRPr="00A14D98">
              <w:rPr>
                <w:rFonts w:ascii="Verdana" w:eastAsia="Calibri" w:hAnsi="Verdana" w:cs="Arial"/>
                <w:lang w:val="pt-BR"/>
              </w:rPr>
              <w:t>octubre</w:t>
            </w:r>
            <w:proofErr w:type="spellEnd"/>
            <w:r w:rsidRPr="00A14D98">
              <w:rPr>
                <w:rFonts w:ascii="Verdana" w:eastAsia="Calibri" w:hAnsi="Verdana" w:cs="Arial"/>
                <w:lang w:val="pt-BR"/>
              </w:rPr>
              <w:t xml:space="preserve"> de 2025. C.P. Fredy Ibarra Martínez. Exp. 70.313</w:t>
            </w:r>
          </w:p>
          <w:p w14:paraId="1A58932F"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proofErr w:type="spellStart"/>
            <w:r w:rsidRPr="00A14D98">
              <w:rPr>
                <w:rFonts w:ascii="Verdana" w:eastAsia="Calibri" w:hAnsi="Verdana" w:cs="Arial"/>
                <w:lang w:val="pt-BR"/>
              </w:rPr>
              <w:t>Consejo</w:t>
            </w:r>
            <w:proofErr w:type="spellEnd"/>
            <w:r w:rsidRPr="00A14D98">
              <w:rPr>
                <w:rFonts w:ascii="Verdana" w:eastAsia="Calibri" w:hAnsi="Verdana" w:cs="Arial"/>
                <w:lang w:val="pt-BR"/>
              </w:rPr>
              <w:t xml:space="preserve"> de Estado, </w:t>
            </w:r>
            <w:proofErr w:type="spellStart"/>
            <w:r w:rsidRPr="00A14D98">
              <w:rPr>
                <w:rFonts w:ascii="Verdana" w:eastAsia="Calibri" w:hAnsi="Verdana" w:cs="Arial"/>
                <w:lang w:val="pt-BR"/>
              </w:rPr>
              <w:t>Sección</w:t>
            </w:r>
            <w:proofErr w:type="spellEnd"/>
            <w:r w:rsidRPr="00A14D98">
              <w:rPr>
                <w:rFonts w:ascii="Verdana" w:eastAsia="Calibri" w:hAnsi="Verdana" w:cs="Arial"/>
                <w:lang w:val="pt-BR"/>
              </w:rPr>
              <w:t xml:space="preserve"> Tercera. Auto </w:t>
            </w:r>
            <w:proofErr w:type="spellStart"/>
            <w:r w:rsidRPr="00A14D98">
              <w:rPr>
                <w:rFonts w:ascii="Verdana" w:eastAsia="Calibri" w:hAnsi="Verdana" w:cs="Arial"/>
                <w:lang w:val="pt-BR"/>
              </w:rPr>
              <w:t>del</w:t>
            </w:r>
            <w:proofErr w:type="spellEnd"/>
            <w:r w:rsidRPr="00A14D98">
              <w:rPr>
                <w:rFonts w:ascii="Verdana" w:eastAsia="Calibri" w:hAnsi="Verdana" w:cs="Arial"/>
                <w:lang w:val="pt-BR"/>
              </w:rPr>
              <w:t xml:space="preserve"> 6 de </w:t>
            </w:r>
            <w:proofErr w:type="spellStart"/>
            <w:r w:rsidRPr="00A14D98">
              <w:rPr>
                <w:rFonts w:ascii="Verdana" w:eastAsia="Calibri" w:hAnsi="Verdana" w:cs="Arial"/>
                <w:lang w:val="pt-BR"/>
              </w:rPr>
              <w:t>noviembre</w:t>
            </w:r>
            <w:proofErr w:type="spellEnd"/>
            <w:r w:rsidRPr="00A14D98">
              <w:rPr>
                <w:rFonts w:ascii="Verdana" w:eastAsia="Calibri" w:hAnsi="Verdana" w:cs="Arial"/>
                <w:lang w:val="pt-BR"/>
              </w:rPr>
              <w:t xml:space="preserve"> de 2025. C.P: Fernando Alexei Pardo </w:t>
            </w:r>
            <w:proofErr w:type="spellStart"/>
            <w:r w:rsidRPr="00A14D98">
              <w:rPr>
                <w:rFonts w:ascii="Verdana" w:eastAsia="Calibri" w:hAnsi="Verdana" w:cs="Arial"/>
                <w:lang w:val="pt-BR"/>
              </w:rPr>
              <w:t>Flórez</w:t>
            </w:r>
            <w:proofErr w:type="spellEnd"/>
            <w:r w:rsidRPr="00A14D98">
              <w:rPr>
                <w:rFonts w:ascii="Verdana" w:eastAsia="Calibri" w:hAnsi="Verdana" w:cs="Arial"/>
                <w:lang w:val="pt-BR"/>
              </w:rPr>
              <w:t xml:space="preserve">. Exp. 72.424. </w:t>
            </w:r>
          </w:p>
          <w:p w14:paraId="53132027" w14:textId="77777777" w:rsidR="00A14D98" w:rsidRPr="00A14D98" w:rsidRDefault="00A14D98" w:rsidP="00A14D98">
            <w:pPr>
              <w:widowControl w:val="0"/>
              <w:numPr>
                <w:ilvl w:val="0"/>
                <w:numId w:val="17"/>
              </w:numPr>
              <w:autoSpaceDE w:val="0"/>
              <w:autoSpaceDN w:val="0"/>
              <w:spacing w:after="120" w:line="276" w:lineRule="auto"/>
              <w:jc w:val="both"/>
              <w:rPr>
                <w:rFonts w:ascii="Verdana" w:eastAsia="Calibri" w:hAnsi="Verdana" w:cs="Arial"/>
                <w:lang w:val="pt-BR"/>
              </w:rPr>
            </w:pPr>
            <w:r w:rsidRPr="00A14D98">
              <w:rPr>
                <w:rFonts w:ascii="Verdana" w:eastAsia="Calibri" w:hAnsi="Verdana" w:cs="Arial"/>
                <w:lang w:val="pt-BR"/>
              </w:rPr>
              <w:t xml:space="preserve">CLARO SOLAR, </w:t>
            </w:r>
            <w:proofErr w:type="spellStart"/>
            <w:r w:rsidRPr="00A14D98">
              <w:rPr>
                <w:rFonts w:ascii="Verdana" w:eastAsia="Calibri" w:hAnsi="Verdana" w:cs="Arial"/>
                <w:lang w:val="pt-BR"/>
              </w:rPr>
              <w:t>Luis</w:t>
            </w:r>
            <w:proofErr w:type="spellEnd"/>
            <w:r w:rsidRPr="00A14D98">
              <w:rPr>
                <w:rFonts w:ascii="Verdana" w:eastAsia="Calibri" w:hAnsi="Verdana" w:cs="Arial"/>
                <w:lang w:val="pt-BR"/>
              </w:rPr>
              <w:t xml:space="preserve">. </w:t>
            </w:r>
            <w:proofErr w:type="spellStart"/>
            <w:r w:rsidRPr="00A14D98">
              <w:rPr>
                <w:rFonts w:ascii="Verdana" w:eastAsia="Calibri" w:hAnsi="Verdana" w:cs="Arial"/>
                <w:lang w:val="pt-BR"/>
              </w:rPr>
              <w:t>Explicaciones</w:t>
            </w:r>
            <w:proofErr w:type="spellEnd"/>
            <w:r w:rsidRPr="00A14D98">
              <w:rPr>
                <w:rFonts w:ascii="Verdana" w:eastAsia="Calibri" w:hAnsi="Verdana" w:cs="Arial"/>
                <w:lang w:val="pt-BR"/>
              </w:rPr>
              <w:t xml:space="preserve"> de </w:t>
            </w:r>
            <w:proofErr w:type="spellStart"/>
            <w:r w:rsidRPr="00A14D98">
              <w:rPr>
                <w:rFonts w:ascii="Verdana" w:eastAsia="Calibri" w:hAnsi="Verdana" w:cs="Arial"/>
                <w:lang w:val="pt-BR"/>
              </w:rPr>
              <w:t>derecho</w:t>
            </w:r>
            <w:proofErr w:type="spellEnd"/>
            <w:r w:rsidRPr="00A14D98">
              <w:rPr>
                <w:rFonts w:ascii="Verdana" w:eastAsia="Calibri" w:hAnsi="Verdana" w:cs="Arial"/>
                <w:lang w:val="pt-BR"/>
              </w:rPr>
              <w:t xml:space="preserve"> civil chileno y comparado. </w:t>
            </w:r>
            <w:proofErr w:type="spellStart"/>
            <w:r w:rsidRPr="00A14D98">
              <w:rPr>
                <w:rFonts w:ascii="Verdana" w:eastAsia="Calibri" w:hAnsi="Verdana" w:cs="Arial"/>
                <w:lang w:val="pt-BR"/>
              </w:rPr>
              <w:t>Volumen</w:t>
            </w:r>
            <w:proofErr w:type="spellEnd"/>
            <w:r w:rsidRPr="00A14D98">
              <w:rPr>
                <w:rFonts w:ascii="Verdana" w:eastAsia="Calibri" w:hAnsi="Verdana" w:cs="Arial"/>
                <w:lang w:val="pt-BR"/>
              </w:rPr>
              <w:t xml:space="preserve"> I. Tomo I. Santiago: Editorial Jurídica de Chile, 2013.</w:t>
            </w:r>
          </w:p>
        </w:tc>
      </w:tr>
    </w:tbl>
    <w:p w14:paraId="73FB5973" w14:textId="77777777" w:rsidR="00A14D98" w:rsidRPr="00A14D98" w:rsidRDefault="00A14D98" w:rsidP="00A14D98">
      <w:pPr>
        <w:widowControl w:val="0"/>
        <w:autoSpaceDE w:val="0"/>
        <w:autoSpaceDN w:val="0"/>
        <w:spacing w:after="0" w:line="276" w:lineRule="auto"/>
        <w:jc w:val="both"/>
        <w:rPr>
          <w:rFonts w:ascii="Verdana" w:hAnsi="Verdana" w:cs="Arial"/>
          <w:lang w:val="pt-BR"/>
        </w:rPr>
      </w:pPr>
    </w:p>
    <w:p w14:paraId="0CA390C2" w14:textId="77777777" w:rsidR="00A14D98" w:rsidRPr="00A14D98" w:rsidRDefault="00A14D98" w:rsidP="00A14D98">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A14D98">
        <w:rPr>
          <w:rFonts w:ascii="Verdana" w:eastAsia="Century Gothic" w:hAnsi="Verdana" w:cs="Century Gothic"/>
          <w:b/>
          <w:bCs/>
          <w:lang w:val="es-ES"/>
        </w:rPr>
        <w:t>Doctrina de la Agencia Nacional de Contratación Pública:</w:t>
      </w:r>
    </w:p>
    <w:p w14:paraId="79F51F3D" w14:textId="77777777" w:rsidR="00A14D98" w:rsidRPr="00A14D98" w:rsidRDefault="00A14D98" w:rsidP="00A14D98">
      <w:pPr>
        <w:widowControl w:val="0"/>
        <w:autoSpaceDE w:val="0"/>
        <w:autoSpaceDN w:val="0"/>
        <w:spacing w:after="0" w:line="276" w:lineRule="auto"/>
        <w:jc w:val="both"/>
        <w:rPr>
          <w:rFonts w:ascii="Verdana" w:hAnsi="Verdana" w:cs="Arial"/>
        </w:rPr>
      </w:pPr>
    </w:p>
    <w:p w14:paraId="4BBC7347" w14:textId="77777777" w:rsidR="00A14D98" w:rsidRPr="00A14D98" w:rsidRDefault="00A14D98" w:rsidP="00A14D98">
      <w:pPr>
        <w:widowControl w:val="0"/>
        <w:autoSpaceDE w:val="0"/>
        <w:autoSpaceDN w:val="0"/>
        <w:spacing w:after="0" w:line="276" w:lineRule="auto"/>
        <w:jc w:val="both"/>
        <w:rPr>
          <w:rFonts w:ascii="Verdana" w:hAnsi="Verdana" w:cs="Arial"/>
          <w:shd w:val="clear" w:color="auto" w:fill="FFFFFF"/>
          <w:lang w:val="es-ES"/>
        </w:rPr>
      </w:pPr>
      <w:r w:rsidRPr="00A14D98">
        <w:rPr>
          <w:rFonts w:ascii="Verdana" w:hAnsi="Verdana" w:cs="Arial"/>
          <w:shd w:val="clear" w:color="auto" w:fill="FFFFFF"/>
        </w:rPr>
        <w:t xml:space="preserve">Sobre la finalidad y propósito de la Ley de Garantías Electorales, la ANCP- CCE </w:t>
      </w:r>
      <w:r w:rsidRPr="00A14D98">
        <w:rPr>
          <w:rFonts w:ascii="Verdana" w:hAnsi="Verdana" w:cs="Arial"/>
          <w:shd w:val="clear" w:color="auto" w:fill="FFFFFF"/>
        </w:rPr>
        <w:lastRenderedPageBreak/>
        <w:t>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 entre otros</w:t>
      </w:r>
      <w:r w:rsidRPr="00A14D98">
        <w:rPr>
          <w:rFonts w:ascii="Verdana" w:hAnsi="Verdana" w:cs="Arial"/>
          <w:shd w:val="clear" w:color="auto" w:fill="FFFFFF"/>
          <w:lang w:val="es-ES"/>
        </w:rPr>
        <w:t xml:space="preserve">. </w:t>
      </w:r>
      <w:r w:rsidRPr="00A14D9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79F380C" w14:textId="77777777" w:rsidR="00A14D98" w:rsidRPr="00A14D98" w:rsidRDefault="00A14D98" w:rsidP="00A14D98">
      <w:pPr>
        <w:spacing w:after="0" w:line="256" w:lineRule="auto"/>
        <w:jc w:val="both"/>
        <w:rPr>
          <w:rFonts w:ascii="Verdana" w:eastAsia="Calibri" w:hAnsi="Verdana" w:cs="Times New Roman"/>
        </w:rPr>
      </w:pPr>
      <w:hyperlink r:id="rId12" w:history="1">
        <w:r w:rsidRPr="00A14D98">
          <w:rPr>
            <w:rFonts w:ascii="Verdana" w:eastAsia="Calibri" w:hAnsi="Verdana" w:cs="Times New Roman"/>
            <w:color w:val="0000FF"/>
            <w:u w:val="single"/>
            <w:lang w:val="es-ES"/>
          </w:rPr>
          <w:t>https://relatoria.colombiacompra.gov.co/busqueda/conceptos</w:t>
        </w:r>
      </w:hyperlink>
      <w:r w:rsidRPr="00A14D98">
        <w:rPr>
          <w:rFonts w:ascii="Verdana" w:eastAsia="Calibri" w:hAnsi="Verdana" w:cs="Times New Roman"/>
        </w:rPr>
        <w:t xml:space="preserve">. </w:t>
      </w:r>
    </w:p>
    <w:p w14:paraId="5235E240" w14:textId="77777777" w:rsidR="00A14D98" w:rsidRPr="00A14D98" w:rsidRDefault="00A14D98" w:rsidP="00A14D98">
      <w:pPr>
        <w:spacing w:after="0"/>
        <w:jc w:val="both"/>
        <w:rPr>
          <w:rFonts w:ascii="Verdana" w:hAnsi="Verdana"/>
          <w:lang w:val="es-ES"/>
        </w:rPr>
      </w:pPr>
    </w:p>
    <w:p w14:paraId="78358C6F" w14:textId="77777777" w:rsidR="00A14D98" w:rsidRPr="00A14D98" w:rsidRDefault="00A14D98" w:rsidP="00A14D98">
      <w:pPr>
        <w:spacing w:after="0" w:line="256" w:lineRule="auto"/>
        <w:jc w:val="both"/>
        <w:rPr>
          <w:rFonts w:ascii="Verdana" w:eastAsia="Calibri" w:hAnsi="Verdana" w:cs="Times New Roman"/>
        </w:rPr>
      </w:pPr>
      <w:r w:rsidRPr="00A14D98">
        <w:rPr>
          <w:rFonts w:ascii="Verdana" w:eastAsia="Calibri" w:hAnsi="Verdana" w:cs="Times New Roman"/>
        </w:rPr>
        <w:t xml:space="preserve">Te informamos que ya se encuentra disponible la </w:t>
      </w:r>
      <w:r w:rsidRPr="00A14D98">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A14D98">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14D98">
        <w:rPr>
          <w:rFonts w:ascii="Verdana" w:eastAsia="Calibri" w:hAnsi="Verdana" w:cs="Times New Roman"/>
        </w:rPr>
        <w:t>Wayúu</w:t>
      </w:r>
      <w:proofErr w:type="spellEnd"/>
      <w:r w:rsidRPr="00A14D98">
        <w:rPr>
          <w:rFonts w:ascii="Verdana" w:eastAsia="Calibri" w:hAnsi="Verdana" w:cs="Times New Roman"/>
        </w:rPr>
        <w:t xml:space="preserve">. Puede consultar la </w:t>
      </w:r>
      <w:r w:rsidRPr="00A14D98">
        <w:rPr>
          <w:rFonts w:ascii="Verdana" w:eastAsia="Calibri" w:hAnsi="Verdana" w:cs="Times New Roman"/>
        </w:rPr>
        <w:lastRenderedPageBreak/>
        <w:t xml:space="preserve">guía en el siguiente enlace: Guía de lineamientos de transparencia y selección objetiva para el departamento de La Guajira – Objetivo sexto constitucional de la Sentencia T-302 del 2017". </w:t>
      </w:r>
    </w:p>
    <w:p w14:paraId="395980B3" w14:textId="77777777" w:rsidR="00A14D98" w:rsidRPr="00A14D98" w:rsidRDefault="00A14D98" w:rsidP="00A14D98">
      <w:pPr>
        <w:spacing w:after="0"/>
        <w:jc w:val="both"/>
        <w:rPr>
          <w:rFonts w:ascii="Verdana" w:hAnsi="Verdana"/>
        </w:rPr>
      </w:pPr>
    </w:p>
    <w:p w14:paraId="39AB2EF7" w14:textId="77777777" w:rsidR="00A14D98" w:rsidRPr="00A14D98" w:rsidRDefault="00A14D98" w:rsidP="00A14D98">
      <w:pPr>
        <w:spacing w:after="0" w:line="256" w:lineRule="auto"/>
        <w:jc w:val="both"/>
        <w:rPr>
          <w:rFonts w:ascii="Verdana" w:eastAsia="Calibri" w:hAnsi="Verdana" w:cs="Times New Roman"/>
          <w:bCs/>
          <w:lang w:val="es-ES_tradnl"/>
        </w:rPr>
      </w:pPr>
      <w:r w:rsidRPr="00A14D98">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7358EB2" w14:textId="77777777" w:rsidR="00A14D98" w:rsidRPr="00A14D98" w:rsidRDefault="00A14D98" w:rsidP="00A14D98">
      <w:pPr>
        <w:spacing w:after="0" w:line="256" w:lineRule="auto"/>
        <w:jc w:val="both"/>
        <w:rPr>
          <w:rFonts w:ascii="Verdana" w:eastAsia="Calibri" w:hAnsi="Verdana" w:cs="Times New Roman"/>
        </w:rPr>
      </w:pPr>
    </w:p>
    <w:p w14:paraId="5CB0421E" w14:textId="77777777" w:rsidR="00A14D98" w:rsidRPr="00A14D98" w:rsidRDefault="00A14D98" w:rsidP="00A14D98">
      <w:pPr>
        <w:spacing w:after="0" w:line="256" w:lineRule="auto"/>
        <w:jc w:val="both"/>
        <w:rPr>
          <w:rFonts w:ascii="Verdana" w:eastAsia="Calibri" w:hAnsi="Verdana" w:cs="Times New Roman"/>
        </w:rPr>
      </w:pPr>
      <w:r w:rsidRPr="00A14D98">
        <w:rPr>
          <w:rFonts w:ascii="Verdana" w:eastAsia="Calibri" w:hAnsi="Verdana" w:cs="Times New Roman"/>
        </w:rPr>
        <w:t>Atentamente,</w:t>
      </w:r>
    </w:p>
    <w:p w14:paraId="70E551B0" w14:textId="77777777" w:rsidR="00A14D98" w:rsidRPr="00A14D98" w:rsidRDefault="00A14D98" w:rsidP="00A14D98">
      <w:pPr>
        <w:spacing w:after="0" w:line="256" w:lineRule="auto"/>
        <w:rPr>
          <w:noProof/>
          <w:lang w:val="en-US"/>
        </w:rPr>
      </w:pPr>
    </w:p>
    <w:p w14:paraId="287BB025" w14:textId="1CEB7303" w:rsidR="00A14D98" w:rsidRPr="00A14D98" w:rsidRDefault="00C55DC1" w:rsidP="00A14D98">
      <w:pPr>
        <w:spacing w:after="0" w:line="256" w:lineRule="auto"/>
        <w:jc w:val="center"/>
        <w:rPr>
          <w:noProof/>
          <w:lang w:val="en-US"/>
        </w:rPr>
      </w:pPr>
      <w:r w:rsidRPr="002C3AD6">
        <w:rPr>
          <w:rFonts w:ascii="Century Gothic" w:hAnsi="Century Gothic"/>
          <w:noProof/>
          <w:lang w:val="en-US"/>
        </w:rPr>
        <w:drawing>
          <wp:inline distT="0" distB="0" distL="0" distR="0" wp14:anchorId="0FA7F79C" wp14:editId="39D2D405">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312722" cy="1229722"/>
                    </a:xfrm>
                    <a:prstGeom prst="rect">
                      <a:avLst/>
                    </a:prstGeom>
                  </pic:spPr>
                </pic:pic>
              </a:graphicData>
            </a:graphic>
          </wp:inline>
        </w:drawing>
      </w:r>
    </w:p>
    <w:p w14:paraId="2C2141CD" w14:textId="77777777" w:rsidR="00A14D98" w:rsidRPr="00A14D98" w:rsidRDefault="00A14D98" w:rsidP="00A14D98">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14D98" w:rsidRPr="00A14D98" w14:paraId="62802A8A" w14:textId="77777777" w:rsidTr="00191AA4">
        <w:trPr>
          <w:trHeight w:val="409"/>
        </w:trPr>
        <w:tc>
          <w:tcPr>
            <w:tcW w:w="817" w:type="dxa"/>
            <w:tcBorders>
              <w:top w:val="nil"/>
              <w:left w:val="nil"/>
              <w:bottom w:val="nil"/>
              <w:right w:val="nil"/>
            </w:tcBorders>
            <w:vAlign w:val="center"/>
            <w:hideMark/>
          </w:tcPr>
          <w:p w14:paraId="12E61E75"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12B1ED6"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José Luis Sánchez Cardona</w:t>
            </w:r>
          </w:p>
          <w:p w14:paraId="0E4AB14A"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Contratista de la Subdirección de Gestión Contractual</w:t>
            </w:r>
          </w:p>
        </w:tc>
      </w:tr>
      <w:tr w:rsidR="00A14D98" w:rsidRPr="00A14D98" w14:paraId="6EA4C344" w14:textId="77777777" w:rsidTr="00191AA4">
        <w:trPr>
          <w:trHeight w:val="409"/>
        </w:trPr>
        <w:tc>
          <w:tcPr>
            <w:tcW w:w="817" w:type="dxa"/>
            <w:tcBorders>
              <w:top w:val="nil"/>
              <w:left w:val="nil"/>
              <w:bottom w:val="nil"/>
              <w:right w:val="nil"/>
            </w:tcBorders>
            <w:vAlign w:val="center"/>
            <w:hideMark/>
          </w:tcPr>
          <w:p w14:paraId="69ECD4FC"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DB3B41E"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Alejandro Sarmiento Cantillo</w:t>
            </w:r>
          </w:p>
          <w:p w14:paraId="3211C44E"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Gestor T1-15 de la Subdirección de Gestión Contractual </w:t>
            </w:r>
          </w:p>
        </w:tc>
      </w:tr>
      <w:tr w:rsidR="00A14D98" w:rsidRPr="00A14D98" w14:paraId="70BDB54E" w14:textId="77777777" w:rsidTr="00191AA4">
        <w:trPr>
          <w:trHeight w:val="389"/>
        </w:trPr>
        <w:tc>
          <w:tcPr>
            <w:tcW w:w="817" w:type="dxa"/>
            <w:tcBorders>
              <w:top w:val="nil"/>
              <w:left w:val="nil"/>
              <w:bottom w:val="nil"/>
              <w:right w:val="nil"/>
            </w:tcBorders>
            <w:vAlign w:val="center"/>
            <w:hideMark/>
          </w:tcPr>
          <w:p w14:paraId="41E40D3A"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4DC37EB"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Carolina Quintero Gacharná</w:t>
            </w:r>
          </w:p>
          <w:p w14:paraId="6F5A2802" w14:textId="77777777" w:rsidR="00A14D98" w:rsidRPr="00A14D98" w:rsidRDefault="00A14D98" w:rsidP="00A14D98">
            <w:pPr>
              <w:spacing w:after="0" w:line="256" w:lineRule="auto"/>
              <w:rPr>
                <w:rFonts w:ascii="Verdana" w:eastAsia="Calibri" w:hAnsi="Verdana" w:cs="Times New Roman"/>
                <w:sz w:val="16"/>
                <w:szCs w:val="16"/>
              </w:rPr>
            </w:pPr>
            <w:r w:rsidRPr="00A14D98">
              <w:rPr>
                <w:rFonts w:ascii="Verdana" w:eastAsia="Calibri" w:hAnsi="Verdana" w:cs="Times New Roman"/>
                <w:sz w:val="16"/>
                <w:szCs w:val="16"/>
              </w:rPr>
              <w:t>Subdirectora de Gestión Contractual ANCP – CCE</w:t>
            </w:r>
          </w:p>
        </w:tc>
      </w:tr>
      <w:bookmarkEnd w:id="0"/>
    </w:tbl>
    <w:p w14:paraId="6FCAB28A" w14:textId="6ED89374" w:rsidR="00385A72" w:rsidRPr="00C55DC1" w:rsidRDefault="00385A72" w:rsidP="00C55DC1">
      <w:pPr>
        <w:spacing w:after="0" w:line="240" w:lineRule="auto"/>
        <w:textAlignment w:val="baseline"/>
        <w:rPr>
          <w:rFonts w:ascii="Verdana" w:eastAsia="Verdana" w:hAnsi="Verdana" w:cs="Verdana"/>
          <w:lang w:eastAsia="es-CO"/>
        </w:rPr>
      </w:pPr>
    </w:p>
    <w:sectPr w:rsidR="00385A72" w:rsidRPr="00C55DC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F7121" w14:textId="77777777" w:rsidR="000A0E9D" w:rsidRDefault="000A0E9D" w:rsidP="004A1847">
      <w:pPr>
        <w:spacing w:after="0" w:line="240" w:lineRule="auto"/>
      </w:pPr>
      <w:r>
        <w:separator/>
      </w:r>
    </w:p>
  </w:endnote>
  <w:endnote w:type="continuationSeparator" w:id="0">
    <w:p w14:paraId="33852A9F" w14:textId="77777777" w:rsidR="000A0E9D" w:rsidRDefault="000A0E9D" w:rsidP="004A1847">
      <w:pPr>
        <w:spacing w:after="0" w:line="240" w:lineRule="auto"/>
      </w:pPr>
      <w:r>
        <w:continuationSeparator/>
      </w:r>
    </w:p>
  </w:endnote>
  <w:endnote w:type="continuationNotice" w:id="1">
    <w:p w14:paraId="03CE6BF2" w14:textId="77777777" w:rsidR="000A0E9D" w:rsidRDefault="000A0E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424CEAC3"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4528C" w:rsidRPr="0094528C">
      <w:rPr>
        <w:rFonts w:ascii="Verdana" w:eastAsiaTheme="minorEastAsia" w:hAnsi="Verdana"/>
        <w:b/>
        <w:bCs/>
        <w:noProof/>
        <w:sz w:val="16"/>
        <w:szCs w:val="16"/>
      </w:rPr>
      <w:t>6</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C844C" w14:textId="77777777" w:rsidR="000A0E9D" w:rsidRDefault="000A0E9D" w:rsidP="004A1847">
      <w:pPr>
        <w:spacing w:after="0" w:line="240" w:lineRule="auto"/>
      </w:pPr>
      <w:r>
        <w:separator/>
      </w:r>
    </w:p>
  </w:footnote>
  <w:footnote w:type="continuationSeparator" w:id="0">
    <w:p w14:paraId="19AC20DD" w14:textId="77777777" w:rsidR="000A0E9D" w:rsidRDefault="000A0E9D" w:rsidP="004A1847">
      <w:pPr>
        <w:spacing w:after="0" w:line="240" w:lineRule="auto"/>
      </w:pPr>
      <w:r>
        <w:continuationSeparator/>
      </w:r>
    </w:p>
  </w:footnote>
  <w:footnote w:type="continuationNotice" w:id="1">
    <w:p w14:paraId="62FBFE9F" w14:textId="77777777" w:rsidR="000A0E9D" w:rsidRDefault="000A0E9D">
      <w:pPr>
        <w:spacing w:after="0" w:line="240" w:lineRule="auto"/>
      </w:pPr>
    </w:p>
  </w:footnote>
  <w:footnote w:id="2">
    <w:p w14:paraId="686BB676"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743B073" w14:textId="77777777" w:rsidR="00A14D98" w:rsidRPr="00A25FD6" w:rsidRDefault="00A14D98" w:rsidP="00A14D98">
      <w:pPr>
        <w:pStyle w:val="Textonotapie"/>
        <w:ind w:firstLine="709"/>
        <w:jc w:val="both"/>
        <w:rPr>
          <w:rFonts w:ascii="Verdana" w:hAnsi="Verdana" w:cs="Arial"/>
          <w:sz w:val="16"/>
          <w:szCs w:val="16"/>
        </w:rPr>
      </w:pPr>
      <w:r w:rsidRPr="00A25FD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AD4EE9D"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Gaceta del Congreso de la República No. 71 del 2005.</w:t>
      </w:r>
    </w:p>
  </w:footnote>
  <w:footnote w:id="4">
    <w:p w14:paraId="65D2D7C5" w14:textId="77777777" w:rsidR="00A14D98" w:rsidRPr="00A25FD6" w:rsidRDefault="00A14D98" w:rsidP="00A14D98">
      <w:pPr>
        <w:pStyle w:val="Textonotapie"/>
        <w:ind w:firstLine="709"/>
        <w:jc w:val="both"/>
        <w:rPr>
          <w:rFonts w:ascii="Verdana" w:hAnsi="Verdana" w:cs="Arial"/>
          <w:sz w:val="16"/>
          <w:szCs w:val="16"/>
          <w:lang w:val="pt-BR"/>
        </w:rPr>
      </w:pPr>
      <w:r w:rsidRPr="00A25FD6">
        <w:rPr>
          <w:rStyle w:val="Refdenotaalpie"/>
          <w:rFonts w:ascii="Verdana" w:hAnsi="Verdana" w:cs="Arial"/>
          <w:sz w:val="16"/>
          <w:szCs w:val="16"/>
        </w:rPr>
        <w:footnoteRef/>
      </w:r>
      <w:r w:rsidRPr="00A25FD6">
        <w:rPr>
          <w:rFonts w:ascii="Verdana" w:hAnsi="Verdana" w:cs="Arial"/>
          <w:sz w:val="16"/>
          <w:szCs w:val="16"/>
          <w:lang w:val="pt-BR"/>
        </w:rPr>
        <w:t xml:space="preserve"> Corte Constitucional, Sentencia C- 1153 de 2005, M.P. Marco Gerardo Monroy Cabra.</w:t>
      </w:r>
    </w:p>
  </w:footnote>
  <w:footnote w:id="5">
    <w:p w14:paraId="64AC9F7E" w14:textId="77777777" w:rsidR="00A14D98" w:rsidRPr="00A25FD6" w:rsidRDefault="00A14D98" w:rsidP="00A14D98">
      <w:pPr>
        <w:pStyle w:val="Textonotapie"/>
        <w:ind w:firstLine="709"/>
        <w:jc w:val="both"/>
        <w:rPr>
          <w:rFonts w:ascii="Verdana" w:hAnsi="Verdana" w:cs="Arial"/>
          <w:sz w:val="16"/>
          <w:szCs w:val="16"/>
          <w:lang w:val="pt-BR"/>
        </w:rPr>
      </w:pPr>
      <w:r w:rsidRPr="00A25FD6">
        <w:rPr>
          <w:rStyle w:val="Refdenotaalpie"/>
          <w:rFonts w:ascii="Verdana" w:hAnsi="Verdana" w:cs="Arial"/>
          <w:sz w:val="16"/>
          <w:szCs w:val="16"/>
        </w:rPr>
        <w:footnoteRef/>
      </w:r>
      <w:r w:rsidRPr="00A25FD6">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D6F9970" w14:textId="77777777" w:rsidR="00A14D98" w:rsidRPr="00A25FD6" w:rsidRDefault="00A14D98" w:rsidP="00A14D98">
      <w:pPr>
        <w:pStyle w:val="Textonotapie"/>
        <w:ind w:firstLine="709"/>
        <w:jc w:val="both"/>
        <w:rPr>
          <w:rFonts w:ascii="Verdana" w:hAnsi="Verdana" w:cs="Arial"/>
          <w:sz w:val="16"/>
          <w:szCs w:val="16"/>
          <w:lang w:val="es-CO"/>
        </w:rPr>
      </w:pPr>
      <w:r w:rsidRPr="00A25FD6">
        <w:rPr>
          <w:rStyle w:val="Refdenotaalpie"/>
          <w:rFonts w:ascii="Verdana" w:hAnsi="Verdana" w:cs="Arial"/>
          <w:sz w:val="16"/>
          <w:szCs w:val="16"/>
        </w:rPr>
        <w:footnoteRef/>
      </w:r>
      <w:r w:rsidRPr="00A25FD6">
        <w:rPr>
          <w:rFonts w:ascii="Verdana" w:hAnsi="Verdana" w:cs="Arial"/>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D5E3068"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de fecha 24 de julio de 2013. C. P. Álvaro Namén Vargas.</w:t>
      </w:r>
      <w:r w:rsidRPr="00A25FD6">
        <w:rPr>
          <w:rFonts w:ascii="Verdana" w:hAnsi="Verdana" w:cs="Arial"/>
          <w:sz w:val="16"/>
          <w:szCs w:val="16"/>
          <w:lang w:val="es-CO"/>
        </w:rPr>
        <w:t xml:space="preserve"> Rad. 2166, </w:t>
      </w:r>
      <w:r w:rsidRPr="00A25FD6">
        <w:rPr>
          <w:rFonts w:ascii="Verdana" w:hAnsi="Verdana" w:cs="Arial"/>
          <w:sz w:val="16"/>
          <w:szCs w:val="16"/>
        </w:rPr>
        <w:t xml:space="preserve">  </w:t>
      </w:r>
    </w:p>
  </w:footnote>
  <w:footnote w:id="8">
    <w:p w14:paraId="3173F401" w14:textId="77777777" w:rsidR="00A14D98" w:rsidRPr="00A25FD6" w:rsidRDefault="00A14D98" w:rsidP="00A14D98">
      <w:pPr>
        <w:spacing w:after="0" w:line="240" w:lineRule="auto"/>
        <w:ind w:firstLine="709"/>
        <w:jc w:val="both"/>
        <w:rPr>
          <w:rFonts w:ascii="Verdana" w:eastAsia="Times New Roman"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w:t>
      </w:r>
      <w:bookmarkStart w:id="5" w:name="33"/>
      <w:r w:rsidRPr="00A25FD6">
        <w:rPr>
          <w:rFonts w:ascii="Verdana" w:eastAsia="Calibri" w:hAnsi="Verdana" w:cs="Arial"/>
          <w:color w:val="000000"/>
          <w:sz w:val="16"/>
          <w:szCs w:val="16"/>
        </w:rPr>
        <w:t>“</w:t>
      </w:r>
      <w:r w:rsidRPr="00A25FD6">
        <w:rPr>
          <w:rFonts w:ascii="Verdana" w:eastAsia="Times New Roman" w:hAnsi="Verdana" w:cs="Arial"/>
          <w:sz w:val="16"/>
          <w:szCs w:val="16"/>
        </w:rPr>
        <w:t>Artículo 33. Restricciones a la contratación pública.</w:t>
      </w:r>
      <w:bookmarkEnd w:id="5"/>
      <w:r w:rsidRPr="00A25FD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8648542" w14:textId="77777777" w:rsidR="00A14D98" w:rsidRPr="00A25FD6" w:rsidRDefault="00A14D98" w:rsidP="00A14D98">
      <w:pPr>
        <w:spacing w:after="0" w:line="240" w:lineRule="auto"/>
        <w:ind w:firstLine="709"/>
        <w:jc w:val="both"/>
        <w:rPr>
          <w:rFonts w:ascii="Verdana" w:eastAsia="Times New Roman" w:hAnsi="Verdana" w:cs="Arial"/>
          <w:sz w:val="16"/>
          <w:szCs w:val="16"/>
        </w:rPr>
      </w:pPr>
      <w:r w:rsidRPr="00A25FD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25FD6">
        <w:rPr>
          <w:rFonts w:ascii="Verdana" w:eastAsia="Calibri" w:hAnsi="Verdana" w:cs="Arial"/>
          <w:color w:val="000000"/>
          <w:sz w:val="16"/>
          <w:szCs w:val="16"/>
        </w:rPr>
        <w:t>”</w:t>
      </w:r>
      <w:r w:rsidRPr="00A25FD6">
        <w:rPr>
          <w:rFonts w:ascii="Verdana" w:eastAsia="Times New Roman" w:hAnsi="Verdana" w:cs="Arial"/>
          <w:sz w:val="16"/>
          <w:szCs w:val="16"/>
        </w:rPr>
        <w:t>.</w:t>
      </w:r>
    </w:p>
  </w:footnote>
  <w:footnote w:id="9">
    <w:p w14:paraId="535905F9" w14:textId="77777777" w:rsidR="00A14D98" w:rsidRPr="00A25FD6" w:rsidRDefault="00A14D98" w:rsidP="00A14D98">
      <w:pPr>
        <w:pStyle w:val="NormalWeb"/>
        <w:spacing w:before="0" w:beforeAutospacing="0" w:after="0" w:afterAutospacing="0"/>
        <w:ind w:firstLine="709"/>
        <w:jc w:val="both"/>
        <w:rPr>
          <w:rFonts w:ascii="Verdana" w:hAnsi="Verdana" w:cs="Arial"/>
          <w:sz w:val="16"/>
          <w:szCs w:val="16"/>
          <w:lang w:val="es-MX"/>
        </w:rPr>
      </w:pPr>
      <w:r w:rsidRPr="00A25FD6">
        <w:rPr>
          <w:rStyle w:val="Refdenotaalpie"/>
          <w:rFonts w:ascii="Verdana" w:hAnsi="Verdana" w:cs="Arial"/>
          <w:sz w:val="16"/>
          <w:szCs w:val="16"/>
        </w:rPr>
        <w:footnoteRef/>
      </w:r>
      <w:r w:rsidRPr="00A25FD6">
        <w:rPr>
          <w:rFonts w:ascii="Verdana" w:hAnsi="Verdana" w:cs="Arial"/>
          <w:sz w:val="16"/>
          <w:szCs w:val="16"/>
        </w:rPr>
        <w:t xml:space="preserve"> </w:t>
      </w:r>
      <w:bookmarkStart w:id="6" w:name="38"/>
      <w:r w:rsidRPr="00A25FD6">
        <w:rPr>
          <w:rFonts w:ascii="Verdana" w:eastAsia="Calibri" w:hAnsi="Verdana" w:cs="Arial"/>
          <w:color w:val="000000"/>
          <w:sz w:val="16"/>
          <w:szCs w:val="16"/>
        </w:rPr>
        <w:t>“</w:t>
      </w:r>
      <w:r w:rsidRPr="00A25FD6">
        <w:rPr>
          <w:rFonts w:ascii="Verdana" w:hAnsi="Verdana" w:cs="Arial"/>
          <w:sz w:val="16"/>
          <w:szCs w:val="16"/>
          <w:lang w:val="es-MX"/>
        </w:rPr>
        <w:t>Artículo 38. Prohibiciones para los servidores públicos. A los empleados del Estado les está prohibido:</w:t>
      </w:r>
      <w:bookmarkEnd w:id="6"/>
      <w:r w:rsidRPr="00A25FD6">
        <w:rPr>
          <w:rFonts w:ascii="Verdana" w:hAnsi="Verdana" w:cs="Arial"/>
          <w:sz w:val="16"/>
          <w:szCs w:val="16"/>
          <w:lang w:val="es-MX"/>
        </w:rPr>
        <w:t xml:space="preserve"> […]</w:t>
      </w:r>
    </w:p>
    <w:p w14:paraId="194708DC" w14:textId="77777777" w:rsidR="00A14D98" w:rsidRPr="00A25FD6" w:rsidRDefault="00A14D98" w:rsidP="00A14D98">
      <w:pPr>
        <w:pStyle w:val="NormalWeb"/>
        <w:spacing w:before="0" w:beforeAutospacing="0" w:after="0" w:afterAutospacing="0"/>
        <w:ind w:firstLine="709"/>
        <w:jc w:val="both"/>
        <w:rPr>
          <w:rFonts w:ascii="Verdana" w:hAnsi="Verdana" w:cs="Arial"/>
          <w:sz w:val="16"/>
          <w:szCs w:val="16"/>
          <w:lang w:val="es-MX"/>
        </w:rPr>
      </w:pPr>
      <w:r w:rsidRPr="00A25FD6">
        <w:rPr>
          <w:rStyle w:val="baj"/>
          <w:rFonts w:ascii="Verdana" w:eastAsia="Verdana" w:hAnsi="Verdana" w:cs="Arial"/>
          <w:sz w:val="16"/>
          <w:szCs w:val="16"/>
          <w:lang w:val="es-MX"/>
        </w:rPr>
        <w:t>Parágrafo.</w:t>
      </w:r>
      <w:r w:rsidRPr="00A25FD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25FD6">
        <w:rPr>
          <w:rFonts w:ascii="Verdana" w:eastAsia="Calibri" w:hAnsi="Verdana" w:cs="Arial"/>
          <w:color w:val="000000"/>
          <w:sz w:val="16"/>
          <w:szCs w:val="16"/>
        </w:rPr>
        <w:t>”</w:t>
      </w:r>
      <w:r w:rsidRPr="00A25FD6">
        <w:rPr>
          <w:rFonts w:ascii="Verdana" w:hAnsi="Verdana" w:cs="Arial"/>
          <w:sz w:val="16"/>
          <w:szCs w:val="16"/>
          <w:lang w:val="es-MX"/>
        </w:rPr>
        <w:t>.</w:t>
      </w:r>
    </w:p>
  </w:footnote>
  <w:footnote w:id="10">
    <w:p w14:paraId="552BACDF" w14:textId="77777777" w:rsidR="00A14D98" w:rsidRPr="00A25FD6" w:rsidRDefault="00A14D98" w:rsidP="00A14D98">
      <w:pPr>
        <w:pStyle w:val="Textonotapie"/>
        <w:ind w:firstLine="708"/>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Colombia Compra Eficiente. Circular Externa Única. Numeral 16.5. </w:t>
      </w:r>
    </w:p>
  </w:footnote>
  <w:footnote w:id="11">
    <w:p w14:paraId="0793D5C2" w14:textId="77777777" w:rsidR="00A14D98" w:rsidRPr="00A25FD6" w:rsidRDefault="00A14D98" w:rsidP="00A14D98">
      <w:pPr>
        <w:spacing w:after="0" w:line="240" w:lineRule="auto"/>
        <w:ind w:left="100" w:right="244" w:firstLine="709"/>
        <w:jc w:val="both"/>
        <w:rPr>
          <w:rFonts w:ascii="Verdana" w:hAnsi="Verdana" w:cs="Arial"/>
          <w:sz w:val="16"/>
          <w:szCs w:val="16"/>
          <w:lang w:val="es-ES"/>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del 17 de febrero de 2015. C.P. William Zambrano Cetina. Rad. 2269.</w:t>
      </w:r>
    </w:p>
  </w:footnote>
  <w:footnote w:id="12">
    <w:p w14:paraId="4D7C38C9" w14:textId="77777777" w:rsidR="00A14D98" w:rsidRPr="00A25FD6" w:rsidRDefault="00A14D98" w:rsidP="00A14D98">
      <w:pPr>
        <w:pStyle w:val="Textonotapie"/>
        <w:ind w:right="51"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w:t>
      </w:r>
      <w:r w:rsidRPr="00A25FD6">
        <w:rPr>
          <w:rFonts w:ascii="Verdana" w:hAnsi="Verdana" w:cs="Arial"/>
          <w:sz w:val="16"/>
          <w:szCs w:val="16"/>
          <w:lang w:val="es-ES"/>
        </w:rPr>
        <w:t xml:space="preserve">[25] </w:t>
      </w:r>
      <w:r w:rsidRPr="00A25FD6">
        <w:rPr>
          <w:rFonts w:ascii="Verdana" w:hAnsi="Verdana" w:cs="Arial"/>
          <w:sz w:val="16"/>
          <w:szCs w:val="16"/>
        </w:rPr>
        <w:t>Cfr. Consejo de Estado. Sección Tercera. Sentencia de 3 de diciembre de 2007. Radicados: 24.715, 25.206, 25.409, 24.524, 27.834, 25.410, 26.105, 28.244, 31.447 -acumulados-“.</w:t>
      </w:r>
    </w:p>
  </w:footnote>
  <w:footnote w:id="13">
    <w:p w14:paraId="319B5189" w14:textId="77777777" w:rsidR="00A14D98" w:rsidRPr="00A25FD6" w:rsidRDefault="00A14D98" w:rsidP="00A14D98">
      <w:pPr>
        <w:pStyle w:val="Textonotapie"/>
        <w:ind w:right="51"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w:t>
      </w:r>
      <w:r w:rsidRPr="00A25FD6">
        <w:rPr>
          <w:rFonts w:ascii="Verdana" w:hAnsi="Verdana" w:cs="Arial"/>
          <w:sz w:val="16"/>
          <w:szCs w:val="16"/>
          <w:lang w:val="es-ES"/>
        </w:rPr>
        <w:t xml:space="preserve">[26] </w:t>
      </w:r>
      <w:r w:rsidRPr="00A25FD6">
        <w:rPr>
          <w:rFonts w:ascii="Verdana" w:hAnsi="Verdana" w:cs="Arial"/>
          <w:sz w:val="16"/>
          <w:szCs w:val="16"/>
        </w:rPr>
        <w:t>Al respecto ver el concepto 1712 de 2 de febrero de 2006. Consejo de Estado Sala de Consulta y Servicio Civil”.</w:t>
      </w:r>
    </w:p>
  </w:footnote>
  <w:footnote w:id="14">
    <w:p w14:paraId="2E93B86E"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del 2 de septiembre de 2013. C.P. Álvaro Namén Vargas. Rad. 2168.</w:t>
      </w:r>
    </w:p>
  </w:footnote>
  <w:footnote w:id="15">
    <w:p w14:paraId="74172E9F" w14:textId="77777777" w:rsidR="00A14D98" w:rsidRPr="00A25FD6" w:rsidRDefault="00A14D98" w:rsidP="00A14D98">
      <w:pPr>
        <w:pStyle w:val="Textonotapie"/>
        <w:ind w:firstLine="709"/>
        <w:jc w:val="both"/>
        <w:rPr>
          <w:rFonts w:ascii="Verdana" w:hAnsi="Verdana" w:cs="Arial"/>
          <w:sz w:val="16"/>
          <w:szCs w:val="16"/>
          <w:lang w:val="es-ES"/>
        </w:rPr>
      </w:pPr>
      <w:r w:rsidRPr="00A25FD6">
        <w:rPr>
          <w:rStyle w:val="Refdenotaalpie"/>
          <w:rFonts w:ascii="Verdana" w:hAnsi="Verdana" w:cs="Arial"/>
          <w:sz w:val="16"/>
          <w:szCs w:val="16"/>
        </w:rPr>
        <w:footnoteRef/>
      </w:r>
      <w:r w:rsidRPr="00A25FD6">
        <w:rPr>
          <w:rFonts w:ascii="Verdana" w:hAnsi="Verdana" w:cs="Arial"/>
          <w:sz w:val="16"/>
          <w:szCs w:val="16"/>
        </w:rPr>
        <w:t xml:space="preserve"> </w:t>
      </w:r>
      <w:r w:rsidRPr="00A25FD6">
        <w:rPr>
          <w:rFonts w:ascii="Verdana" w:hAnsi="Verdana" w:cs="Arial"/>
          <w:sz w:val="16"/>
          <w:szCs w:val="16"/>
          <w:lang w:val="es-ES"/>
        </w:rPr>
        <w:t xml:space="preserve">Artículo 2. </w:t>
      </w:r>
    </w:p>
  </w:footnote>
  <w:footnote w:id="16">
    <w:p w14:paraId="386481B9" w14:textId="77777777" w:rsidR="00A14D98" w:rsidRPr="00A25FD6" w:rsidRDefault="00A14D98" w:rsidP="00A14D98">
      <w:pPr>
        <w:pStyle w:val="Textonotapie"/>
        <w:ind w:firstLine="709"/>
        <w:jc w:val="both"/>
        <w:rPr>
          <w:rFonts w:ascii="Verdana" w:hAnsi="Verdana" w:cs="Arial"/>
          <w:sz w:val="16"/>
          <w:szCs w:val="16"/>
          <w:lang w:val="es-ES"/>
        </w:rPr>
      </w:pPr>
      <w:r w:rsidRPr="00A25FD6">
        <w:rPr>
          <w:rStyle w:val="Refdenotaalpie"/>
          <w:rFonts w:ascii="Verdana" w:hAnsi="Verdana" w:cs="Arial"/>
          <w:sz w:val="16"/>
          <w:szCs w:val="16"/>
        </w:rPr>
        <w:footnoteRef/>
      </w:r>
      <w:r w:rsidRPr="00A25FD6">
        <w:rPr>
          <w:rFonts w:ascii="Verdana" w:hAnsi="Verdana" w:cs="Arial"/>
          <w:sz w:val="16"/>
          <w:szCs w:val="16"/>
        </w:rPr>
        <w:t xml:space="preserve"> </w:t>
      </w:r>
      <w:r w:rsidRPr="00A25FD6">
        <w:rPr>
          <w:rFonts w:ascii="Verdana" w:hAnsi="Verdana" w:cs="Arial"/>
          <w:i/>
          <w:sz w:val="16"/>
          <w:szCs w:val="16"/>
          <w:lang w:val="es-ES"/>
        </w:rPr>
        <w:t>Ídem</w:t>
      </w:r>
      <w:r w:rsidRPr="00A25FD6">
        <w:rPr>
          <w:rFonts w:ascii="Verdana" w:hAnsi="Verdana" w:cs="Arial"/>
          <w:sz w:val="16"/>
          <w:szCs w:val="16"/>
          <w:lang w:val="es-ES"/>
        </w:rPr>
        <w:t>.</w:t>
      </w:r>
    </w:p>
  </w:footnote>
  <w:footnote w:id="17">
    <w:p w14:paraId="02D168B5" w14:textId="77777777" w:rsidR="00A14D98" w:rsidRPr="00A25FD6" w:rsidRDefault="00A14D98" w:rsidP="00A14D98">
      <w:pPr>
        <w:pStyle w:val="Textonotapie"/>
        <w:ind w:firstLine="709"/>
        <w:jc w:val="both"/>
        <w:rPr>
          <w:rFonts w:ascii="Verdana" w:hAnsi="Verdana" w:cs="Arial"/>
          <w:sz w:val="16"/>
          <w:szCs w:val="16"/>
          <w:lang w:val="es-ES"/>
        </w:rPr>
      </w:pPr>
      <w:r w:rsidRPr="00A25FD6">
        <w:rPr>
          <w:rStyle w:val="Refdenotaalpie"/>
          <w:rFonts w:ascii="Verdana" w:hAnsi="Verdana" w:cs="Arial"/>
          <w:sz w:val="16"/>
          <w:szCs w:val="16"/>
        </w:rPr>
        <w:footnoteRef/>
      </w:r>
      <w:r w:rsidRPr="00A25FD6">
        <w:rPr>
          <w:rStyle w:val="Refdenotaalpie"/>
          <w:rFonts w:ascii="Verdana" w:hAnsi="Verdana" w:cs="Arial"/>
          <w:sz w:val="16"/>
          <w:szCs w:val="16"/>
        </w:rPr>
        <w:t xml:space="preserve"> </w:t>
      </w:r>
      <w:r w:rsidRPr="00A25FD6">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36AA9AB5" w14:textId="77777777" w:rsidR="00A14D98" w:rsidRPr="00A25FD6" w:rsidRDefault="00A14D98" w:rsidP="00A14D98">
      <w:pPr>
        <w:shd w:val="clear" w:color="auto" w:fill="FFFFFF"/>
        <w:spacing w:after="0" w:line="240" w:lineRule="auto"/>
        <w:ind w:firstLine="709"/>
        <w:jc w:val="both"/>
        <w:rPr>
          <w:rFonts w:ascii="Verdana" w:hAnsi="Verdana" w:cs="Arial"/>
          <w:sz w:val="16"/>
          <w:szCs w:val="16"/>
          <w:lang w:val="es-ES"/>
        </w:rPr>
      </w:pPr>
      <w:r w:rsidRPr="00A25FD6">
        <w:rPr>
          <w:rStyle w:val="Refdenotaalpie"/>
          <w:rFonts w:ascii="Verdana" w:hAnsi="Verdana" w:cs="Arial"/>
          <w:sz w:val="16"/>
          <w:szCs w:val="16"/>
        </w:rPr>
        <w:footnoteRef/>
      </w:r>
      <w:r w:rsidRPr="00A25FD6">
        <w:rPr>
          <w:rStyle w:val="Refdenotaalpie"/>
          <w:rFonts w:ascii="Verdana" w:hAnsi="Verdana" w:cs="Arial"/>
          <w:sz w:val="16"/>
          <w:szCs w:val="16"/>
        </w:rPr>
        <w:t xml:space="preserve"> </w:t>
      </w:r>
      <w:r w:rsidRPr="00A25FD6">
        <w:rPr>
          <w:rFonts w:ascii="Verdana" w:hAnsi="Verdana" w:cs="Arial"/>
          <w:sz w:val="16"/>
          <w:szCs w:val="16"/>
          <w:lang w:val="es-ES"/>
        </w:rPr>
        <w:t>Consejo de Estado. Sala de Consulta y Servicio Civil, Concepto de 8 de mayo de 2018. C.P. Álvaro Namén Vargas. Rad. 2382.</w:t>
      </w:r>
    </w:p>
  </w:footnote>
  <w:footnote w:id="19">
    <w:p w14:paraId="49FDD903"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del 08 de mayo de 2018. C.P. Álvaro Namén Vargas. Rad. 2382.</w:t>
      </w:r>
    </w:p>
  </w:footnote>
  <w:footnote w:id="20">
    <w:p w14:paraId="2A7B2EF8" w14:textId="77777777" w:rsidR="00A14D98" w:rsidRPr="00A25FD6" w:rsidRDefault="00A14D98" w:rsidP="00A14D98">
      <w:pPr>
        <w:pStyle w:val="Textonotapie"/>
        <w:ind w:firstLine="708"/>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52C5A2A1" w14:textId="77777777" w:rsidR="00A14D98" w:rsidRPr="00A25FD6" w:rsidRDefault="00A14D98" w:rsidP="00A14D98">
      <w:pPr>
        <w:pStyle w:val="Textonotapie"/>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02FCDFB8" w14:textId="77777777" w:rsidR="00A14D98" w:rsidRPr="00A25FD6" w:rsidRDefault="00A14D98" w:rsidP="00A14D98">
      <w:pPr>
        <w:spacing w:after="0" w:line="240" w:lineRule="auto"/>
        <w:ind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3A1F5888" w14:textId="77777777" w:rsidR="00A14D98" w:rsidRPr="00A25FD6" w:rsidRDefault="00A14D98" w:rsidP="00A14D98">
      <w:pPr>
        <w:pStyle w:val="Textonotapie"/>
        <w:ind w:right="51" w:firstLine="709"/>
        <w:jc w:val="both"/>
        <w:rPr>
          <w:rFonts w:ascii="Verdana" w:eastAsia="Times New Roman" w:hAnsi="Verdana" w:cs="Arial"/>
          <w:bCs/>
          <w:sz w:val="16"/>
          <w:szCs w:val="16"/>
          <w:lang w:eastAsia="x-none"/>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 6 de abril de 2006. C.P. Enrique José Arboleda Perdomo.</w:t>
      </w:r>
      <w:r w:rsidRPr="00A25FD6">
        <w:rPr>
          <w:rFonts w:ascii="Verdana" w:hAnsi="Verdana" w:cs="Arial"/>
          <w:sz w:val="16"/>
          <w:szCs w:val="16"/>
          <w:lang w:val="es-CO"/>
        </w:rPr>
        <w:t xml:space="preserve"> Rad. 1738. </w:t>
      </w:r>
      <w:r w:rsidRPr="00A25FD6">
        <w:rPr>
          <w:rFonts w:ascii="Verdana" w:hAnsi="Verdana" w:cs="Arial"/>
          <w:sz w:val="16"/>
          <w:szCs w:val="16"/>
        </w:rPr>
        <w:t xml:space="preserve"> En dicho Concepto se señaló:</w:t>
      </w:r>
      <w:r w:rsidRPr="00A25FD6">
        <w:rPr>
          <w:rFonts w:ascii="Verdana" w:eastAsia="Times New Roman" w:hAnsi="Verdana" w:cs="Arial"/>
          <w:bCs/>
          <w:sz w:val="16"/>
          <w:szCs w:val="16"/>
          <w:lang w:eastAsia="x-none"/>
        </w:rPr>
        <w:t xml:space="preserve"> “</w:t>
      </w:r>
      <w:r w:rsidRPr="00A25FD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A25FD6">
        <w:rPr>
          <w:rFonts w:ascii="Verdana" w:eastAsia="Times New Roman" w:hAnsi="Verdana" w:cs="Arial"/>
          <w:bCs/>
          <w:sz w:val="16"/>
          <w:szCs w:val="16"/>
          <w:lang w:eastAsia="x-none"/>
        </w:rPr>
        <w:t>”.</w:t>
      </w:r>
    </w:p>
  </w:footnote>
  <w:footnote w:id="24">
    <w:p w14:paraId="5F942635" w14:textId="77777777" w:rsidR="00A14D98" w:rsidRPr="00A25FD6" w:rsidRDefault="00A14D98" w:rsidP="00A14D98">
      <w:pPr>
        <w:spacing w:after="0" w:line="240" w:lineRule="auto"/>
        <w:ind w:firstLine="708"/>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Concepto de 6 de abril de 2006. C.P. Enrique José Arboleda Perdomo. Rad. 1738.</w:t>
      </w:r>
    </w:p>
  </w:footnote>
  <w:footnote w:id="25">
    <w:p w14:paraId="518AB710" w14:textId="77777777" w:rsidR="00A14D98" w:rsidRPr="00A25FD6" w:rsidRDefault="00A14D98" w:rsidP="00A14D98">
      <w:pPr>
        <w:pStyle w:val="Textonotapie"/>
        <w:ind w:right="51" w:firstLine="709"/>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Sala de Consulta y Servicio Civil, ídem.</w:t>
      </w:r>
    </w:p>
  </w:footnote>
  <w:footnote w:id="26">
    <w:p w14:paraId="519DCBA9" w14:textId="77777777" w:rsidR="00A14D98" w:rsidRPr="00A25FD6" w:rsidRDefault="00A14D98" w:rsidP="00A14D98">
      <w:pPr>
        <w:pStyle w:val="Textonotapie"/>
        <w:ind w:firstLine="708"/>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Colombia Compra Eficiente. Circular Externa Única. Numeral 15.5.</w:t>
      </w:r>
    </w:p>
    <w:p w14:paraId="2D9AECFC" w14:textId="77777777" w:rsidR="00A14D98" w:rsidRPr="00A25FD6" w:rsidRDefault="00A14D98" w:rsidP="00A14D98">
      <w:pPr>
        <w:pStyle w:val="Textonotapie"/>
        <w:ind w:firstLine="708"/>
        <w:jc w:val="both"/>
        <w:rPr>
          <w:rFonts w:ascii="Verdana" w:hAnsi="Verdana" w:cs="Arial"/>
          <w:sz w:val="16"/>
          <w:szCs w:val="16"/>
        </w:rPr>
      </w:pPr>
    </w:p>
  </w:footnote>
  <w:footnote w:id="27">
    <w:p w14:paraId="2B824A2D" w14:textId="77777777" w:rsidR="00A14D98" w:rsidRPr="00A25FD6" w:rsidRDefault="00A14D98" w:rsidP="00A14D98">
      <w:pPr>
        <w:pStyle w:val="Textonotapie"/>
        <w:ind w:firstLine="709"/>
        <w:contextualSpacing/>
        <w:jc w:val="both"/>
        <w:rPr>
          <w:rFonts w:ascii="Verdana" w:hAnsi="Verdana" w:cs="Arial"/>
          <w:sz w:val="16"/>
          <w:szCs w:val="16"/>
        </w:rPr>
      </w:pPr>
      <w:r w:rsidRPr="00A25FD6">
        <w:rPr>
          <w:rStyle w:val="Refdenotaalpie"/>
          <w:rFonts w:ascii="Verdana" w:hAnsi="Verdana"/>
          <w:sz w:val="16"/>
          <w:szCs w:val="16"/>
        </w:rPr>
        <w:footnoteRef/>
      </w:r>
      <w:r w:rsidRPr="00A25FD6">
        <w:rPr>
          <w:rFonts w:ascii="Verdana" w:hAnsi="Verdana"/>
          <w:sz w:val="16"/>
          <w:szCs w:val="16"/>
        </w:rPr>
        <w:t xml:space="preserve"> </w:t>
      </w:r>
      <w:r w:rsidRPr="00A25FD6">
        <w:rPr>
          <w:rFonts w:ascii="Verdana" w:hAnsi="Verdana" w:cs="Arial"/>
          <w:sz w:val="16"/>
          <w:szCs w:val="16"/>
        </w:rPr>
        <w:t xml:space="preserve">Consejo de Estado -Sección Tercera-. Sentencia del 21 de febrero de 2025. CP: José Roberto Sáchica Méndez. Exp. 68.280. </w:t>
      </w:r>
    </w:p>
  </w:footnote>
  <w:footnote w:id="28">
    <w:p w14:paraId="406476E4" w14:textId="77777777" w:rsidR="00A14D98" w:rsidRPr="00A25FD6" w:rsidRDefault="00A14D98" w:rsidP="00A14D98">
      <w:pPr>
        <w:pStyle w:val="Textonotapie"/>
        <w:ind w:firstLine="709"/>
        <w:contextualSpacing/>
        <w:jc w:val="both"/>
        <w:rPr>
          <w:rFonts w:ascii="Verdana" w:hAnsi="Verdana" w:cs="Arial"/>
          <w:sz w:val="16"/>
          <w:szCs w:val="16"/>
        </w:rPr>
      </w:pPr>
      <w:r w:rsidRPr="00A25FD6">
        <w:rPr>
          <w:rFonts w:ascii="Verdana" w:hAnsi="Verdana"/>
          <w:sz w:val="16"/>
          <w:szCs w:val="16"/>
          <w:vertAlign w:val="superscript"/>
        </w:rPr>
        <w:footnoteRef/>
      </w:r>
      <w:r w:rsidRPr="00A25FD6">
        <w:rPr>
          <w:rFonts w:ascii="Verdana" w:hAnsi="Verdana"/>
          <w:sz w:val="16"/>
          <w:szCs w:val="16"/>
          <w:vertAlign w:val="superscript"/>
        </w:rPr>
        <w:t xml:space="preserve"> </w:t>
      </w:r>
      <w:r w:rsidRPr="00A25FD6">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9">
    <w:p w14:paraId="6931DACC" w14:textId="77777777" w:rsidR="00A14D98" w:rsidRPr="00A25FD6" w:rsidRDefault="00A14D98" w:rsidP="00A14D98">
      <w:pPr>
        <w:pStyle w:val="Textonotapie"/>
        <w:ind w:firstLine="709"/>
        <w:contextualSpacing/>
        <w:jc w:val="both"/>
        <w:rPr>
          <w:rFonts w:ascii="Verdana" w:hAnsi="Verdana" w:cs="Arial"/>
          <w:sz w:val="16"/>
          <w:szCs w:val="16"/>
        </w:rPr>
      </w:pPr>
      <w:r w:rsidRPr="00A25FD6">
        <w:rPr>
          <w:rFonts w:ascii="Verdana" w:hAnsi="Verdana"/>
          <w:sz w:val="16"/>
          <w:szCs w:val="16"/>
          <w:vertAlign w:val="superscript"/>
        </w:rPr>
        <w:footnoteRef/>
      </w:r>
      <w:r w:rsidRPr="00A25FD6">
        <w:rPr>
          <w:rFonts w:ascii="Verdana" w:hAnsi="Verdana" w:cs="Arial"/>
          <w:sz w:val="16"/>
          <w:szCs w:val="16"/>
          <w:vertAlign w:val="superscript"/>
        </w:rPr>
        <w:t xml:space="preserve"> </w:t>
      </w:r>
      <w:r w:rsidRPr="00A25FD6">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8A3B95F" w14:textId="77777777" w:rsidR="00A14D98" w:rsidRPr="00A25FD6" w:rsidRDefault="00A14D98" w:rsidP="00A14D98">
      <w:pPr>
        <w:pStyle w:val="Textonotapie"/>
        <w:ind w:firstLine="709"/>
        <w:contextualSpacing/>
        <w:jc w:val="both"/>
        <w:rPr>
          <w:rFonts w:ascii="Verdana" w:hAnsi="Verdana" w:cs="Arial"/>
          <w:sz w:val="16"/>
          <w:szCs w:val="16"/>
        </w:rPr>
      </w:pPr>
      <w:r w:rsidRPr="00A25FD6">
        <w:rPr>
          <w:rFonts w:ascii="Verdana" w:hAnsi="Verdana" w:cs="Arial"/>
          <w:sz w:val="16"/>
          <w:szCs w:val="16"/>
        </w:rPr>
        <w:t>[…]”.</w:t>
      </w:r>
    </w:p>
  </w:footnote>
  <w:footnote w:id="30">
    <w:p w14:paraId="7C0B559D" w14:textId="77777777" w:rsidR="00A14D98" w:rsidRPr="00A25FD6" w:rsidRDefault="00A14D98" w:rsidP="00A14D98">
      <w:pPr>
        <w:pStyle w:val="Textonotapie"/>
        <w:ind w:firstLine="709"/>
        <w:contextualSpacing/>
        <w:jc w:val="both"/>
        <w:rPr>
          <w:rFonts w:ascii="Verdana" w:hAnsi="Verdana" w:cs="Arial"/>
          <w:sz w:val="16"/>
          <w:szCs w:val="16"/>
        </w:rPr>
      </w:pPr>
      <w:r w:rsidRPr="00A25FD6">
        <w:rPr>
          <w:rFonts w:ascii="Verdana" w:hAnsi="Verdana"/>
          <w:sz w:val="16"/>
          <w:szCs w:val="16"/>
          <w:vertAlign w:val="superscript"/>
        </w:rPr>
        <w:footnoteRef/>
      </w:r>
      <w:r w:rsidRPr="00A25FD6">
        <w:rPr>
          <w:rFonts w:ascii="Verdana" w:hAnsi="Verdana" w:cs="Arial"/>
          <w:sz w:val="16"/>
          <w:szCs w:val="16"/>
          <w:vertAlign w:val="superscript"/>
        </w:rPr>
        <w:t xml:space="preserve"> </w:t>
      </w:r>
      <w:r w:rsidRPr="00A25FD6">
        <w:rPr>
          <w:rFonts w:ascii="Verdana" w:hAnsi="Verdana" w:cs="Arial"/>
          <w:sz w:val="16"/>
          <w:szCs w:val="16"/>
        </w:rPr>
        <w:t>Código Civil: “Artículo 27. Cuando el sentido de la ley sea claro, no se desatenderá su tenor a pretexto de consultar su espíritu”.</w:t>
      </w:r>
    </w:p>
  </w:footnote>
  <w:footnote w:id="31">
    <w:p w14:paraId="59E05BA6"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0F28D3A3"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a) Personería jurídica; </w:t>
      </w:r>
    </w:p>
    <w:p w14:paraId="2C4BD002"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b) Autonomía administrativa y financiera; </w:t>
      </w:r>
    </w:p>
    <w:p w14:paraId="7377B49D"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5258EDB6"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El capital de las empresas industriales y comerciales del Estado podrá estar representado en cuotas o acciones de igual valor nominal. </w:t>
      </w:r>
    </w:p>
    <w:p w14:paraId="38A43091"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A las empresas industriales y comerciales del Estado y a las sociedades de economía mixta se les aplicará en lo pertinente los artículos 19, numerales 2°, 4°, 5°, 6°, 12, 13, 17, 27, numerales 2°, 3°, 4°, 5°, y 7°, y 183 de la Ley 142 de 1994. </w:t>
      </w:r>
    </w:p>
    <w:p w14:paraId="0DE7EF2A" w14:textId="77777777" w:rsidR="00A14D98" w:rsidRPr="00A25FD6" w:rsidRDefault="00A14D98" w:rsidP="00A14D98">
      <w:pPr>
        <w:pStyle w:val="Textonotapie"/>
        <w:ind w:firstLine="708"/>
        <w:contextualSpacing/>
        <w:jc w:val="both"/>
        <w:rPr>
          <w:rFonts w:ascii="Verdana" w:hAnsi="Verdana" w:cs="Arial"/>
          <w:sz w:val="16"/>
          <w:szCs w:val="16"/>
        </w:rPr>
      </w:pPr>
      <w:r w:rsidRPr="00A25FD6">
        <w:rPr>
          <w:rFonts w:ascii="Verdana" w:hAnsi="Verdana" w:cs="Arial"/>
          <w:sz w:val="16"/>
          <w:szCs w:val="16"/>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32">
    <w:p w14:paraId="15CED27C" w14:textId="77777777" w:rsidR="00A14D98" w:rsidRPr="00A25FD6" w:rsidRDefault="00A14D98" w:rsidP="00A14D98">
      <w:pPr>
        <w:pStyle w:val="Textonotapie"/>
        <w:ind w:firstLine="708"/>
        <w:jc w:val="both"/>
        <w:rPr>
          <w:rFonts w:ascii="Verdana" w:hAnsi="Verdana"/>
          <w:sz w:val="16"/>
          <w:szCs w:val="16"/>
          <w:lang w:val="es-ES"/>
        </w:rPr>
      </w:pPr>
      <w:r w:rsidRPr="00A25FD6">
        <w:rPr>
          <w:rStyle w:val="Refdenotaalpie"/>
          <w:rFonts w:ascii="Verdana" w:hAnsi="Verdana"/>
          <w:sz w:val="16"/>
          <w:szCs w:val="16"/>
        </w:rPr>
        <w:footnoteRef/>
      </w:r>
      <w:r w:rsidRPr="00A25FD6">
        <w:rPr>
          <w:rFonts w:ascii="Verdana" w:hAnsi="Verdana"/>
          <w:sz w:val="16"/>
          <w:szCs w:val="16"/>
        </w:rPr>
        <w:t xml:space="preserve"> </w:t>
      </w:r>
      <w:r w:rsidRPr="00A25FD6">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A25FD6">
        <w:rPr>
          <w:rFonts w:ascii="Verdana" w:hAnsi="Verdana"/>
          <w:i/>
          <w:iCs/>
          <w:sz w:val="16"/>
          <w:szCs w:val="16"/>
          <w:lang w:val="es-ES"/>
        </w:rPr>
        <w:t>Ubi lex non distinguit nec nos distinguere debemus</w:t>
      </w:r>
      <w:r w:rsidRPr="00A25FD6">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3A6DA9AD" w14:textId="77777777" w:rsidR="00A14D98" w:rsidRPr="00A25FD6" w:rsidRDefault="00A14D98" w:rsidP="00A14D98">
      <w:pPr>
        <w:pStyle w:val="Textonotapie"/>
        <w:ind w:firstLine="708"/>
        <w:jc w:val="both"/>
        <w:rPr>
          <w:rFonts w:ascii="Verdana" w:hAnsi="Verdana"/>
          <w:sz w:val="16"/>
          <w:szCs w:val="16"/>
          <w:lang w:val="es-CO"/>
        </w:rPr>
      </w:pPr>
      <w:r w:rsidRPr="00A25FD6">
        <w:rPr>
          <w:rFonts w:ascii="Verdana" w:hAnsi="Verdana"/>
          <w:sz w:val="16"/>
          <w:szCs w:val="16"/>
          <w:lang w:val="es-ES"/>
        </w:rPr>
        <w:t xml:space="preserve">En el derecho antiguo y en el derecho canónico se distinguían las leyes en favorables y odiosas, para ampliar o restringir su interpretación. </w:t>
      </w:r>
      <w:r w:rsidRPr="00A25FD6">
        <w:rPr>
          <w:rFonts w:ascii="Verdana" w:hAnsi="Verdana"/>
          <w:i/>
          <w:iCs/>
          <w:sz w:val="16"/>
          <w:szCs w:val="16"/>
          <w:lang w:val="es-ES"/>
        </w:rPr>
        <w:t>Odia restringí et favores convenit ampliari</w:t>
      </w:r>
      <w:r w:rsidRPr="00A25FD6">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A25FD6">
        <w:rPr>
          <w:rFonts w:ascii="Verdana" w:hAnsi="Verdana"/>
          <w:sz w:val="16"/>
          <w:szCs w:val="16"/>
        </w:rPr>
        <w:t>CLARO SOLAR, Luis. Explicaciones de derecho civil chileno y comparado. Volumen I. Tomo I. Santiago: Editorial Jurídica de Chile, 2013. p. 119).</w:t>
      </w:r>
    </w:p>
  </w:footnote>
  <w:footnote w:id="33">
    <w:p w14:paraId="1C132864" w14:textId="77777777" w:rsidR="00A14D98" w:rsidRPr="00A25FD6" w:rsidRDefault="00A14D98" w:rsidP="00A14D98">
      <w:pPr>
        <w:pStyle w:val="Textonotapie"/>
        <w:ind w:firstLine="709"/>
        <w:contextualSpacing/>
        <w:jc w:val="both"/>
        <w:rPr>
          <w:rFonts w:ascii="Verdana" w:hAnsi="Verdana"/>
          <w:sz w:val="16"/>
          <w:szCs w:val="16"/>
          <w:lang w:val="es-CO"/>
        </w:rPr>
      </w:pPr>
      <w:r w:rsidRPr="00A25FD6">
        <w:rPr>
          <w:rStyle w:val="Refdenotaalpie"/>
          <w:rFonts w:ascii="Verdana" w:hAnsi="Verdana"/>
          <w:sz w:val="16"/>
          <w:szCs w:val="16"/>
        </w:rPr>
        <w:footnoteRef/>
      </w:r>
      <w:r w:rsidRPr="00A25FD6">
        <w:rPr>
          <w:rFonts w:ascii="Verdana" w:hAnsi="Verdana"/>
          <w:sz w:val="16"/>
          <w:szCs w:val="16"/>
          <w:lang w:val="es-CO"/>
        </w:rPr>
        <w:t xml:space="preserve"> Consejo de Estado, Sección Tercera, Subsección B. Auto del 4 de octubre de 2024. C.P: Fredy Ibarra Martínez. Exp. 70.313.</w:t>
      </w:r>
    </w:p>
  </w:footnote>
  <w:footnote w:id="34">
    <w:p w14:paraId="2601564D" w14:textId="77777777" w:rsidR="00A14D98" w:rsidRPr="00A25FD6" w:rsidRDefault="00A14D98" w:rsidP="00A14D98">
      <w:pPr>
        <w:pStyle w:val="Textonotapie"/>
        <w:ind w:firstLine="709"/>
        <w:contextualSpacing/>
        <w:jc w:val="both"/>
        <w:rPr>
          <w:rFonts w:ascii="Verdana" w:hAnsi="Verdana"/>
          <w:sz w:val="16"/>
          <w:szCs w:val="16"/>
          <w:lang w:val="es-CO"/>
        </w:rPr>
      </w:pPr>
      <w:r w:rsidRPr="00A25FD6">
        <w:rPr>
          <w:rStyle w:val="Refdenotaalpie"/>
          <w:rFonts w:ascii="Verdana" w:hAnsi="Verdana"/>
          <w:sz w:val="16"/>
          <w:szCs w:val="16"/>
        </w:rPr>
        <w:footnoteRef/>
      </w:r>
      <w:r w:rsidRPr="00A25FD6">
        <w:rPr>
          <w:rFonts w:ascii="Verdana" w:hAnsi="Verdana"/>
          <w:sz w:val="16"/>
          <w:szCs w:val="16"/>
        </w:rPr>
        <w:t xml:space="preserve"> La parte resolutiva del auto dispone lo siguiente; “</w:t>
      </w:r>
      <w:r w:rsidRPr="00A25FD6">
        <w:rPr>
          <w:rFonts w:ascii="Verdana" w:hAnsi="Verdana"/>
          <w:b/>
          <w:sz w:val="16"/>
          <w:szCs w:val="16"/>
          <w:lang w:val="es-CO"/>
        </w:rPr>
        <w:t xml:space="preserve">PRIMERO: DECRETAR </w:t>
      </w:r>
      <w:r w:rsidRPr="00A25FD6">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A25FD6">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A25FD6">
        <w:rPr>
          <w:rFonts w:ascii="Verdana" w:hAnsi="Verdana"/>
          <w:sz w:val="16"/>
          <w:szCs w:val="16"/>
          <w:lang w:val="es-CO"/>
        </w:rPr>
        <w:t xml:space="preserve">, por las razones expuestas en precedencia. </w:t>
      </w:r>
    </w:p>
    <w:p w14:paraId="1C5896E0" w14:textId="77777777" w:rsidR="00A14D98" w:rsidRPr="00A25FD6" w:rsidRDefault="00A14D98" w:rsidP="00A14D98">
      <w:pPr>
        <w:pStyle w:val="Textonotapie"/>
        <w:ind w:firstLine="709"/>
        <w:contextualSpacing/>
        <w:jc w:val="both"/>
        <w:rPr>
          <w:rFonts w:ascii="Verdana" w:hAnsi="Verdana"/>
          <w:sz w:val="16"/>
          <w:szCs w:val="16"/>
          <w:lang w:val="es-CO"/>
        </w:rPr>
      </w:pPr>
      <w:r w:rsidRPr="00A25FD6">
        <w:rPr>
          <w:rFonts w:ascii="Verdana" w:hAnsi="Verdana"/>
          <w:b/>
          <w:sz w:val="16"/>
          <w:szCs w:val="16"/>
          <w:lang w:val="es-CO"/>
        </w:rPr>
        <w:t xml:space="preserve">SEGUNDO: DECRETAR </w:t>
      </w:r>
      <w:r w:rsidRPr="00A25FD6">
        <w:rPr>
          <w:rFonts w:ascii="Verdana" w:hAnsi="Verdana"/>
          <w:sz w:val="16"/>
          <w:szCs w:val="16"/>
          <w:lang w:val="es-CO"/>
        </w:rPr>
        <w:t>la suspensión provisional de la expresión “</w:t>
      </w:r>
      <w:r w:rsidRPr="00A25FD6">
        <w:rPr>
          <w:rFonts w:ascii="Verdana" w:hAnsi="Verdana"/>
          <w:i/>
          <w:sz w:val="16"/>
          <w:szCs w:val="16"/>
          <w:lang w:val="es-CO"/>
        </w:rPr>
        <w:t>contratos</w:t>
      </w:r>
      <w:r w:rsidRPr="00A25FD6">
        <w:rPr>
          <w:rFonts w:ascii="Verdana" w:hAnsi="Verdana"/>
          <w:sz w:val="16"/>
          <w:szCs w:val="16"/>
          <w:lang w:val="es-CO"/>
        </w:rPr>
        <w:t xml:space="preserve">” y del párrafo </w:t>
      </w:r>
      <w:r w:rsidRPr="00A25FD6">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A25FD6">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C.P: Fernando Alexei Pardo Flórez. Exp. 72.424. </w:t>
      </w:r>
    </w:p>
  </w:footnote>
  <w:footnote w:id="35">
    <w:p w14:paraId="0DA0CD1F" w14:textId="77777777" w:rsidR="00A14D98" w:rsidRPr="00A25FD6" w:rsidRDefault="00A14D98" w:rsidP="00A14D98">
      <w:pPr>
        <w:spacing w:after="0" w:line="240" w:lineRule="auto"/>
        <w:ind w:firstLine="709"/>
        <w:contextualSpacing/>
        <w:jc w:val="both"/>
        <w:rPr>
          <w:rFonts w:ascii="Verdana" w:eastAsia="Times New Roman" w:hAnsi="Verdana" w:cs="Times New Roman"/>
          <w:sz w:val="16"/>
          <w:szCs w:val="16"/>
          <w:lang w:eastAsia="es-ES"/>
        </w:rPr>
      </w:pPr>
      <w:r w:rsidRPr="00A25FD6">
        <w:rPr>
          <w:rStyle w:val="Refdenotaalpie"/>
          <w:rFonts w:ascii="Verdana" w:hAnsi="Verdana"/>
          <w:sz w:val="16"/>
          <w:szCs w:val="16"/>
        </w:rPr>
        <w:footnoteRef/>
      </w:r>
      <w:r w:rsidRPr="00A25FD6">
        <w:rPr>
          <w:rFonts w:ascii="Verdana" w:hAnsi="Verdana"/>
          <w:sz w:val="16"/>
          <w:szCs w:val="16"/>
        </w:rPr>
        <w:t xml:space="preserve"> </w:t>
      </w:r>
      <w:r w:rsidRPr="00A25FD6">
        <w:rPr>
          <w:rFonts w:ascii="Verdana" w:eastAsia="Times New Roman" w:hAnsi="Verdana" w:cs="Times New Roman"/>
          <w:sz w:val="16"/>
          <w:szCs w:val="16"/>
          <w:lang w:eastAsia="es-ES"/>
        </w:rPr>
        <w:t>Consejo de Estado. Sección Tercera. Subsección B. 17 de octubre de 2025. C.P. Fredy Ibarra Martínez.</w:t>
      </w:r>
      <w:r w:rsidRPr="00A25FD6">
        <w:rPr>
          <w:rFonts w:ascii="Verdana" w:hAnsi="Verdana"/>
          <w:sz w:val="16"/>
          <w:szCs w:val="16"/>
        </w:rPr>
        <w:t xml:space="preserve"> </w:t>
      </w:r>
      <w:r w:rsidRPr="00A25FD6">
        <w:rPr>
          <w:rFonts w:ascii="Verdana" w:eastAsia="Times New Roman" w:hAnsi="Verdana" w:cs="Times New Roman"/>
          <w:sz w:val="16"/>
          <w:szCs w:val="16"/>
          <w:lang w:eastAsia="es-ES"/>
        </w:rPr>
        <w:t xml:space="preserve">Exp. 70.313. </w:t>
      </w:r>
      <w:r w:rsidRPr="00A25FD6">
        <w:rPr>
          <w:rFonts w:ascii="Verdana" w:hAnsi="Verdana"/>
          <w:sz w:val="16"/>
          <w:szCs w:val="16"/>
        </w:rPr>
        <w:t xml:space="preserve">La parte de la providencia señala: </w:t>
      </w:r>
      <w:r w:rsidRPr="00A25FD6">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6">
    <w:p w14:paraId="6CE9C526" w14:textId="77777777" w:rsidR="00A14D98" w:rsidRPr="00A25FD6" w:rsidRDefault="00A14D98" w:rsidP="00A14D98">
      <w:pPr>
        <w:pStyle w:val="Textonotapie"/>
        <w:ind w:firstLine="709"/>
        <w:jc w:val="both"/>
        <w:rPr>
          <w:rFonts w:ascii="Verdana" w:hAnsi="Verdana"/>
          <w:sz w:val="16"/>
          <w:szCs w:val="16"/>
          <w:lang w:val="es-CO"/>
        </w:rPr>
      </w:pPr>
      <w:r w:rsidRPr="00A25FD6">
        <w:rPr>
          <w:rStyle w:val="Refdenotaalpie"/>
          <w:rFonts w:ascii="Verdana" w:hAnsi="Verdana"/>
          <w:sz w:val="16"/>
          <w:szCs w:val="16"/>
        </w:rPr>
        <w:footnoteRef/>
      </w:r>
      <w:r w:rsidRPr="00A25FD6">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7">
    <w:p w14:paraId="5F3D270F" w14:textId="77777777" w:rsidR="00A14D98" w:rsidRPr="00A25FD6" w:rsidRDefault="00A14D98" w:rsidP="00A14D98">
      <w:pPr>
        <w:pStyle w:val="Textonotapie"/>
        <w:ind w:firstLine="720"/>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Sin perjuicio de las restricciones establecidas para la modalidad de contratación directa en el artículo 33 de la Ley 996 de 2005 en la etapa preelectoral para la elección del Presidente y Vicepresidente de la República.</w:t>
      </w:r>
    </w:p>
  </w:footnote>
  <w:footnote w:id="38">
    <w:p w14:paraId="481045C9" w14:textId="77777777" w:rsidR="00A14D98" w:rsidRPr="00A25FD6" w:rsidRDefault="00A14D98" w:rsidP="00A14D98">
      <w:pPr>
        <w:pStyle w:val="Textonotapie"/>
        <w:ind w:firstLine="720"/>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Consejo de Estado, Sección Tercera. Subsección “B”. Sentencia del 16 de marzo de 2017, Rad: 25000232400020040089401. C.P. Ramiro Pazos Guerrero.</w:t>
      </w:r>
    </w:p>
  </w:footnote>
  <w:footnote w:id="39">
    <w:p w14:paraId="335219F8" w14:textId="77777777" w:rsidR="00A14D98" w:rsidRPr="00A25FD6" w:rsidRDefault="00A14D98" w:rsidP="00A14D98">
      <w:pPr>
        <w:pStyle w:val="NormalWeb"/>
        <w:shd w:val="clear" w:color="auto" w:fill="FFFFFF"/>
        <w:spacing w:before="0" w:beforeAutospacing="0" w:after="0" w:afterAutospacing="0"/>
        <w:ind w:firstLine="720"/>
        <w:jc w:val="both"/>
        <w:rPr>
          <w:rFonts w:ascii="Verdana" w:hAnsi="Verdana" w:cs="Arial"/>
          <w:sz w:val="16"/>
          <w:szCs w:val="16"/>
        </w:rPr>
      </w:pPr>
    </w:p>
    <w:p w14:paraId="6FBB12C9" w14:textId="77777777" w:rsidR="00A14D98" w:rsidRPr="00A25FD6" w:rsidRDefault="00A14D98" w:rsidP="00A14D98">
      <w:pPr>
        <w:pStyle w:val="NormalWeb"/>
        <w:shd w:val="clear" w:color="auto" w:fill="FFFFFF"/>
        <w:spacing w:before="0" w:beforeAutospacing="0" w:after="0" w:afterAutospacing="0"/>
        <w:ind w:firstLine="720"/>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Decreto 1082 de 2015. “</w:t>
      </w:r>
      <w:r w:rsidRPr="00A25FD6">
        <w:rPr>
          <w:rStyle w:val="Fuerte"/>
          <w:rFonts w:ascii="Verdana" w:hAnsi="Verdana" w:cs="Arial"/>
          <w:sz w:val="16"/>
          <w:szCs w:val="16"/>
        </w:rPr>
        <w:t>Artículo 2.2.1.2.1.4.10. </w:t>
      </w:r>
      <w:r w:rsidRPr="00A25FD6">
        <w:rPr>
          <w:rStyle w:val="nfasis"/>
          <w:rFonts w:ascii="Verdana" w:hAnsi="Verdana" w:cs="Arial"/>
          <w:sz w:val="16"/>
          <w:szCs w:val="16"/>
        </w:rPr>
        <w:t>Adquisición de bienes inmuebles. </w:t>
      </w:r>
      <w:r w:rsidRPr="00A25FD6">
        <w:rPr>
          <w:rFonts w:ascii="Verdana" w:hAnsi="Verdana" w:cs="Arial"/>
          <w:sz w:val="16"/>
          <w:szCs w:val="16"/>
        </w:rPr>
        <w:t>Las Entidades Estatales pueden adquirir bienes inmuebles mediante contratación directa para lo cual deben seguir las siguientes reglas:</w:t>
      </w:r>
    </w:p>
    <w:p w14:paraId="76CCA519" w14:textId="77777777" w:rsidR="00A14D98" w:rsidRPr="00A25FD6" w:rsidRDefault="00A14D98" w:rsidP="00A14D98">
      <w:pPr>
        <w:pStyle w:val="NormalWeb"/>
        <w:shd w:val="clear" w:color="auto" w:fill="FFFFFF"/>
        <w:spacing w:before="0" w:beforeAutospacing="0" w:after="0" w:afterAutospacing="0"/>
        <w:ind w:firstLine="720"/>
        <w:jc w:val="both"/>
        <w:rPr>
          <w:rFonts w:ascii="Verdana" w:hAnsi="Verdana" w:cs="Arial"/>
          <w:sz w:val="16"/>
          <w:szCs w:val="16"/>
        </w:rPr>
      </w:pPr>
      <w:r w:rsidRPr="00A25FD6">
        <w:rPr>
          <w:rFonts w:ascii="Verdana" w:hAnsi="Verdana" w:cs="Arial"/>
          <w:sz w:val="16"/>
          <w:szCs w:val="16"/>
        </w:rPr>
        <w:t>“1. Avaluar con una institución especializada el bien o los bienes inmuebles identificados que satisfagan las necesidades que tiene la Entidad Estatal.</w:t>
      </w:r>
    </w:p>
    <w:p w14:paraId="23E6A87E" w14:textId="77777777" w:rsidR="00A14D98" w:rsidRPr="00A25FD6" w:rsidRDefault="00A14D98" w:rsidP="00A14D98">
      <w:pPr>
        <w:pStyle w:val="NormalWeb"/>
        <w:shd w:val="clear" w:color="auto" w:fill="FFFFFF"/>
        <w:spacing w:before="0" w:beforeAutospacing="0" w:after="0" w:afterAutospacing="0"/>
        <w:ind w:firstLine="720"/>
        <w:jc w:val="both"/>
        <w:rPr>
          <w:rFonts w:ascii="Verdana" w:hAnsi="Verdana" w:cs="Arial"/>
          <w:sz w:val="16"/>
          <w:szCs w:val="16"/>
        </w:rPr>
      </w:pPr>
      <w:r w:rsidRPr="00A25FD6">
        <w:rPr>
          <w:rFonts w:ascii="Verdana" w:hAnsi="Verdana" w:cs="Arial"/>
          <w:sz w:val="16"/>
          <w:szCs w:val="16"/>
        </w:rPr>
        <w:t>“2. Analizar y comparar las condiciones de los bienes inmuebles que satisfacen las ne</w:t>
      </w:r>
      <w:r w:rsidRPr="00A25FD6">
        <w:rPr>
          <w:rFonts w:ascii="Verdana" w:hAnsi="Verdana" w:cs="Arial"/>
          <w:sz w:val="16"/>
          <w:szCs w:val="16"/>
        </w:rPr>
        <w:softHyphen/>
        <w:t>cesidades identificadas y las opciones de adquisición, análisis que deberá tener en cuenta los principios y objetivos del sistema de compras y contratación pública.</w:t>
      </w:r>
    </w:p>
    <w:p w14:paraId="62DABFB7" w14:textId="77777777" w:rsidR="00A14D98" w:rsidRPr="00A25FD6" w:rsidRDefault="00A14D98" w:rsidP="00A14D98">
      <w:pPr>
        <w:pStyle w:val="NormalWeb"/>
        <w:shd w:val="clear" w:color="auto" w:fill="FFFFFF"/>
        <w:spacing w:before="0" w:beforeAutospacing="0" w:after="0" w:afterAutospacing="0"/>
        <w:ind w:firstLine="720"/>
        <w:jc w:val="both"/>
        <w:rPr>
          <w:rFonts w:ascii="Verdana" w:hAnsi="Verdana" w:cs="Arial"/>
          <w:sz w:val="16"/>
          <w:szCs w:val="16"/>
        </w:rPr>
      </w:pPr>
      <w:r w:rsidRPr="00A25FD6">
        <w:rPr>
          <w:rFonts w:ascii="Verdana" w:hAnsi="Verdana" w:cs="Arial"/>
          <w:sz w:val="16"/>
          <w:szCs w:val="16"/>
        </w:rPr>
        <w:t>“3. La Entidad Estatal puede hacer parte de un proyecto inmobiliario para adquirir el bien inmueble que satisfaga la necesidad que ha identificado, caso en el cual no requiere el avalúo de que trata el numeral 1 anterior”.</w:t>
      </w:r>
    </w:p>
    <w:p w14:paraId="7CF9B66E" w14:textId="77777777" w:rsidR="00A14D98" w:rsidRPr="00A25FD6" w:rsidRDefault="00A14D98" w:rsidP="00A14D98">
      <w:pPr>
        <w:pStyle w:val="Textonotapie"/>
        <w:ind w:firstLine="720"/>
        <w:jc w:val="both"/>
        <w:rPr>
          <w:rFonts w:ascii="Verdana" w:hAnsi="Verdana" w:cs="Arial"/>
          <w:sz w:val="16"/>
          <w:szCs w:val="16"/>
          <w:lang w:val="es-CO"/>
        </w:rPr>
      </w:pPr>
    </w:p>
  </w:footnote>
  <w:footnote w:id="40">
    <w:p w14:paraId="12D889D5" w14:textId="77777777" w:rsidR="00A14D98" w:rsidRPr="00A25FD6" w:rsidRDefault="00A14D98" w:rsidP="00A14D98">
      <w:pPr>
        <w:spacing w:after="0" w:line="240" w:lineRule="auto"/>
        <w:ind w:firstLine="720"/>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Artículo 2.2.1.2.1.4.1. La Entidad Estatal debe señalar en un acto administrativo la justificación para contratar bajo la modalidad de contratación directa, el cual debe contener:</w:t>
      </w:r>
    </w:p>
    <w:p w14:paraId="182C6B33" w14:textId="77777777" w:rsidR="00A14D98" w:rsidRPr="00A25FD6" w:rsidRDefault="00A14D98" w:rsidP="00A14D98">
      <w:pPr>
        <w:spacing w:after="0" w:line="240" w:lineRule="auto"/>
        <w:ind w:firstLine="720"/>
        <w:jc w:val="both"/>
        <w:rPr>
          <w:rFonts w:ascii="Verdana" w:hAnsi="Verdana" w:cs="Arial"/>
          <w:sz w:val="16"/>
          <w:szCs w:val="16"/>
        </w:rPr>
      </w:pPr>
      <w:r w:rsidRPr="00A25FD6">
        <w:rPr>
          <w:rFonts w:ascii="Verdana" w:hAnsi="Verdana" w:cs="Arial"/>
          <w:sz w:val="16"/>
          <w:szCs w:val="16"/>
        </w:rPr>
        <w:t>1.    La causal que invoca para contratar directamente.</w:t>
      </w:r>
    </w:p>
    <w:p w14:paraId="7B194D8E" w14:textId="77777777" w:rsidR="00A14D98" w:rsidRPr="00A25FD6" w:rsidRDefault="00A14D98" w:rsidP="00A14D98">
      <w:pPr>
        <w:spacing w:after="0" w:line="240" w:lineRule="auto"/>
        <w:ind w:firstLine="720"/>
        <w:jc w:val="both"/>
        <w:rPr>
          <w:rFonts w:ascii="Verdana" w:hAnsi="Verdana" w:cs="Arial"/>
          <w:sz w:val="16"/>
          <w:szCs w:val="16"/>
        </w:rPr>
      </w:pPr>
      <w:r w:rsidRPr="00A25FD6">
        <w:rPr>
          <w:rFonts w:ascii="Verdana" w:hAnsi="Verdana" w:cs="Arial"/>
          <w:sz w:val="16"/>
          <w:szCs w:val="16"/>
        </w:rPr>
        <w:t>2.    El objeto del contrato.</w:t>
      </w:r>
    </w:p>
    <w:p w14:paraId="14C12C1C" w14:textId="77777777" w:rsidR="00A14D98" w:rsidRPr="00A25FD6" w:rsidRDefault="00A14D98" w:rsidP="00A14D98">
      <w:pPr>
        <w:spacing w:after="0" w:line="240" w:lineRule="auto"/>
        <w:ind w:firstLine="720"/>
        <w:jc w:val="both"/>
        <w:rPr>
          <w:rFonts w:ascii="Verdana" w:hAnsi="Verdana" w:cs="Arial"/>
          <w:sz w:val="16"/>
          <w:szCs w:val="16"/>
        </w:rPr>
      </w:pPr>
      <w:r w:rsidRPr="00A25FD6">
        <w:rPr>
          <w:rFonts w:ascii="Verdana" w:hAnsi="Verdana" w:cs="Arial"/>
          <w:sz w:val="16"/>
          <w:szCs w:val="16"/>
        </w:rPr>
        <w:t>3.    El presupuesto para la contratación y las condiciones que exigirá al contratista.</w:t>
      </w:r>
    </w:p>
    <w:p w14:paraId="51C5FAD3" w14:textId="77777777" w:rsidR="00A14D98" w:rsidRPr="00A25FD6" w:rsidRDefault="00A14D98" w:rsidP="00A14D98">
      <w:pPr>
        <w:spacing w:after="0" w:line="240" w:lineRule="auto"/>
        <w:ind w:firstLine="720"/>
        <w:jc w:val="both"/>
        <w:rPr>
          <w:rFonts w:ascii="Verdana" w:hAnsi="Verdana" w:cs="Arial"/>
          <w:sz w:val="16"/>
          <w:szCs w:val="16"/>
        </w:rPr>
      </w:pPr>
      <w:r w:rsidRPr="00A25FD6">
        <w:rPr>
          <w:rFonts w:ascii="Verdana" w:hAnsi="Verdana" w:cs="Arial"/>
          <w:sz w:val="16"/>
          <w:szCs w:val="16"/>
        </w:rPr>
        <w:t>4.    El lugar en el cual los interesados pueden consultar los estudios y documentos previos.</w:t>
      </w:r>
    </w:p>
    <w:p w14:paraId="33344386" w14:textId="77777777" w:rsidR="00A14D98" w:rsidRPr="00A25FD6" w:rsidRDefault="00A14D98" w:rsidP="00A14D98">
      <w:pPr>
        <w:spacing w:after="0" w:line="240" w:lineRule="auto"/>
        <w:ind w:firstLine="720"/>
        <w:jc w:val="both"/>
        <w:rPr>
          <w:rFonts w:ascii="Verdana" w:hAnsi="Verdana" w:cs="Arial"/>
          <w:sz w:val="16"/>
          <w:szCs w:val="16"/>
        </w:rPr>
      </w:pPr>
      <w:r w:rsidRPr="00A25FD6">
        <w:rPr>
          <w:rFonts w:ascii="Verdana" w:hAnsi="Verdana" w:cs="Arial"/>
          <w:sz w:val="16"/>
          <w:szCs w:val="16"/>
        </w:rPr>
        <w:t>Este acto administrativo no es necesario cuando el contrato a celebrar es de prestación de servicios profesionales y de apoyo a la gestión, y para los contratos de que tratan los literales (a) y (b) del artículo 2.2.1.2.1.4.3 del presente decreto.</w:t>
      </w:r>
    </w:p>
  </w:footnote>
  <w:footnote w:id="41">
    <w:p w14:paraId="770F4178" w14:textId="77777777" w:rsidR="00A14D98" w:rsidRPr="00A25FD6" w:rsidRDefault="00A14D98" w:rsidP="00A14D98">
      <w:pPr>
        <w:pStyle w:val="Textoindependiente"/>
        <w:ind w:firstLine="720"/>
        <w:jc w:val="both"/>
        <w:rPr>
          <w:sz w:val="16"/>
          <w:szCs w:val="16"/>
        </w:rPr>
      </w:pPr>
      <w:r w:rsidRPr="00A25FD6">
        <w:rPr>
          <w:rStyle w:val="Refdenotaalpie"/>
          <w:sz w:val="16"/>
          <w:szCs w:val="16"/>
        </w:rPr>
        <w:footnoteRef/>
      </w:r>
      <w:r w:rsidRPr="00A25FD6">
        <w:rPr>
          <w:sz w:val="16"/>
          <w:szCs w:val="16"/>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1F4F97F9" w14:textId="77777777" w:rsidR="00A14D98" w:rsidRPr="00A25FD6" w:rsidRDefault="00A14D98" w:rsidP="00A14D98">
      <w:pPr>
        <w:pStyle w:val="Textoindependiente"/>
        <w:ind w:firstLine="720"/>
        <w:jc w:val="both"/>
        <w:rPr>
          <w:sz w:val="16"/>
          <w:szCs w:val="16"/>
        </w:rPr>
      </w:pPr>
      <w:r w:rsidRPr="00A25FD6">
        <w:rPr>
          <w:sz w:val="16"/>
          <w:szCs w:val="16"/>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4B85FD34" w14:textId="77777777" w:rsidR="00A14D98" w:rsidRPr="00A25FD6" w:rsidRDefault="00A14D98" w:rsidP="00A14D98">
      <w:pPr>
        <w:pStyle w:val="Textoindependiente"/>
        <w:ind w:firstLine="720"/>
        <w:jc w:val="both"/>
        <w:rPr>
          <w:rFonts w:cs="Arial"/>
          <w:sz w:val="16"/>
          <w:szCs w:val="16"/>
        </w:rPr>
      </w:pPr>
      <w:r w:rsidRPr="00A25FD6">
        <w:rPr>
          <w:sz w:val="16"/>
          <w:szCs w:val="16"/>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footnote>
  <w:footnote w:id="42">
    <w:p w14:paraId="6E4F943F" w14:textId="77777777" w:rsidR="00A14D98" w:rsidRPr="00A25FD6" w:rsidRDefault="00A14D98" w:rsidP="00A14D98">
      <w:pPr>
        <w:pStyle w:val="Textonotapie"/>
        <w:ind w:firstLine="720"/>
        <w:jc w:val="both"/>
        <w:rPr>
          <w:rFonts w:ascii="Verdana" w:hAnsi="Verdana" w:cs="Arial"/>
          <w:sz w:val="16"/>
          <w:szCs w:val="16"/>
        </w:rPr>
      </w:pPr>
      <w:r w:rsidRPr="00A25FD6">
        <w:rPr>
          <w:rStyle w:val="Refdenotaalpie"/>
          <w:rFonts w:ascii="Verdana" w:hAnsi="Verdana" w:cs="Arial"/>
          <w:sz w:val="16"/>
          <w:szCs w:val="16"/>
        </w:rPr>
        <w:footnoteRef/>
      </w:r>
      <w:r w:rsidRPr="00A25FD6">
        <w:rPr>
          <w:rFonts w:ascii="Verdana" w:hAnsi="Verdana" w:cs="Arial"/>
          <w:sz w:val="16"/>
          <w:szCs w:val="16"/>
        </w:rPr>
        <w:t xml:space="preserve"> Ley 80 de 1993. Artículo 3.</w:t>
      </w:r>
    </w:p>
    <w:p w14:paraId="7DF7255A" w14:textId="77777777" w:rsidR="00A14D98" w:rsidRPr="00A25FD6" w:rsidRDefault="00A14D98" w:rsidP="00A14D98">
      <w:pPr>
        <w:pStyle w:val="Textonotapie"/>
        <w:ind w:firstLine="720"/>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9070319">
    <w:abstractNumId w:val="7"/>
  </w:num>
  <w:num w:numId="2" w16cid:durableId="1610623790">
    <w:abstractNumId w:val="2"/>
  </w:num>
  <w:num w:numId="3" w16cid:durableId="2048753346">
    <w:abstractNumId w:val="5"/>
  </w:num>
  <w:num w:numId="4" w16cid:durableId="12605304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2673083">
    <w:abstractNumId w:val="2"/>
  </w:num>
  <w:num w:numId="6" w16cid:durableId="1842425524">
    <w:abstractNumId w:val="15"/>
  </w:num>
  <w:num w:numId="7" w16cid:durableId="110250112">
    <w:abstractNumId w:val="6"/>
  </w:num>
  <w:num w:numId="8" w16cid:durableId="2111193738">
    <w:abstractNumId w:val="14"/>
  </w:num>
  <w:num w:numId="9" w16cid:durableId="278293201">
    <w:abstractNumId w:val="8"/>
  </w:num>
  <w:num w:numId="10" w16cid:durableId="1994218881">
    <w:abstractNumId w:val="13"/>
  </w:num>
  <w:num w:numId="11" w16cid:durableId="1295521706">
    <w:abstractNumId w:val="9"/>
  </w:num>
  <w:num w:numId="12" w16cid:durableId="1132595126">
    <w:abstractNumId w:val="1"/>
  </w:num>
  <w:num w:numId="13" w16cid:durableId="2014187119">
    <w:abstractNumId w:val="3"/>
  </w:num>
  <w:num w:numId="14" w16cid:durableId="54354149">
    <w:abstractNumId w:val="16"/>
  </w:num>
  <w:num w:numId="15" w16cid:durableId="421876365">
    <w:abstractNumId w:val="12"/>
  </w:num>
  <w:num w:numId="16" w16cid:durableId="942690953">
    <w:abstractNumId w:val="0"/>
  </w:num>
  <w:num w:numId="17" w16cid:durableId="1494250167">
    <w:abstractNumId w:val="10"/>
  </w:num>
  <w:num w:numId="18" w16cid:durableId="1264606695">
    <w:abstractNumId w:val="11"/>
  </w:num>
  <w:num w:numId="19" w16cid:durableId="4332149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81367"/>
    <w:rsid w:val="00082362"/>
    <w:rsid w:val="000825A6"/>
    <w:rsid w:val="00090FA4"/>
    <w:rsid w:val="00095DAE"/>
    <w:rsid w:val="000A0E9D"/>
    <w:rsid w:val="000A683E"/>
    <w:rsid w:val="000B19B9"/>
    <w:rsid w:val="000D0334"/>
    <w:rsid w:val="000D5DA7"/>
    <w:rsid w:val="000F4FFB"/>
    <w:rsid w:val="000F6486"/>
    <w:rsid w:val="00102203"/>
    <w:rsid w:val="00116940"/>
    <w:rsid w:val="00125105"/>
    <w:rsid w:val="00127233"/>
    <w:rsid w:val="0015699B"/>
    <w:rsid w:val="001A33BF"/>
    <w:rsid w:val="001C6D48"/>
    <w:rsid w:val="001E194B"/>
    <w:rsid w:val="001E4177"/>
    <w:rsid w:val="001F0B24"/>
    <w:rsid w:val="001F7DC6"/>
    <w:rsid w:val="0022400B"/>
    <w:rsid w:val="002421BB"/>
    <w:rsid w:val="00242D9B"/>
    <w:rsid w:val="0025796E"/>
    <w:rsid w:val="00261121"/>
    <w:rsid w:val="002707A2"/>
    <w:rsid w:val="00275976"/>
    <w:rsid w:val="0027757A"/>
    <w:rsid w:val="002845F4"/>
    <w:rsid w:val="00293441"/>
    <w:rsid w:val="002951A0"/>
    <w:rsid w:val="002962BC"/>
    <w:rsid w:val="002A093D"/>
    <w:rsid w:val="002A0DD0"/>
    <w:rsid w:val="002A49AC"/>
    <w:rsid w:val="002A64FD"/>
    <w:rsid w:val="002B4499"/>
    <w:rsid w:val="002C5725"/>
    <w:rsid w:val="002C7A84"/>
    <w:rsid w:val="002D69BF"/>
    <w:rsid w:val="002E2BF8"/>
    <w:rsid w:val="002E4FD9"/>
    <w:rsid w:val="002F3CDF"/>
    <w:rsid w:val="0030657A"/>
    <w:rsid w:val="00322A85"/>
    <w:rsid w:val="00324168"/>
    <w:rsid w:val="00330834"/>
    <w:rsid w:val="003318AB"/>
    <w:rsid w:val="003448F4"/>
    <w:rsid w:val="00355EA0"/>
    <w:rsid w:val="003604F5"/>
    <w:rsid w:val="00374F5E"/>
    <w:rsid w:val="00377E3E"/>
    <w:rsid w:val="00385A72"/>
    <w:rsid w:val="003A779E"/>
    <w:rsid w:val="003C48CF"/>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5CC1"/>
    <w:rsid w:val="00466302"/>
    <w:rsid w:val="00466E39"/>
    <w:rsid w:val="00473BEB"/>
    <w:rsid w:val="004A1847"/>
    <w:rsid w:val="004A1FC3"/>
    <w:rsid w:val="004A305D"/>
    <w:rsid w:val="004B7D74"/>
    <w:rsid w:val="004F21C4"/>
    <w:rsid w:val="004F685F"/>
    <w:rsid w:val="0053199F"/>
    <w:rsid w:val="005566E8"/>
    <w:rsid w:val="00574867"/>
    <w:rsid w:val="00580BC6"/>
    <w:rsid w:val="005874CB"/>
    <w:rsid w:val="00591460"/>
    <w:rsid w:val="00597A19"/>
    <w:rsid w:val="005A65E0"/>
    <w:rsid w:val="005C3777"/>
    <w:rsid w:val="005C5CDC"/>
    <w:rsid w:val="005C6BC8"/>
    <w:rsid w:val="005D476C"/>
    <w:rsid w:val="005E6B20"/>
    <w:rsid w:val="005F181C"/>
    <w:rsid w:val="006200BF"/>
    <w:rsid w:val="006219F8"/>
    <w:rsid w:val="006302F7"/>
    <w:rsid w:val="00646B9F"/>
    <w:rsid w:val="00665D70"/>
    <w:rsid w:val="006900D9"/>
    <w:rsid w:val="006C04F1"/>
    <w:rsid w:val="00700569"/>
    <w:rsid w:val="00706C16"/>
    <w:rsid w:val="007317FA"/>
    <w:rsid w:val="007340C3"/>
    <w:rsid w:val="0074244D"/>
    <w:rsid w:val="0075235A"/>
    <w:rsid w:val="00756841"/>
    <w:rsid w:val="007649AB"/>
    <w:rsid w:val="00771D0C"/>
    <w:rsid w:val="007829E1"/>
    <w:rsid w:val="007833AC"/>
    <w:rsid w:val="007A153F"/>
    <w:rsid w:val="007B268C"/>
    <w:rsid w:val="007B7171"/>
    <w:rsid w:val="007C0C0F"/>
    <w:rsid w:val="007C3DC2"/>
    <w:rsid w:val="007D3968"/>
    <w:rsid w:val="007E5497"/>
    <w:rsid w:val="00803926"/>
    <w:rsid w:val="00806F5F"/>
    <w:rsid w:val="00815B83"/>
    <w:rsid w:val="00820169"/>
    <w:rsid w:val="00820278"/>
    <w:rsid w:val="008258C9"/>
    <w:rsid w:val="00844AE9"/>
    <w:rsid w:val="00867F95"/>
    <w:rsid w:val="00876500"/>
    <w:rsid w:val="008835B4"/>
    <w:rsid w:val="008843B6"/>
    <w:rsid w:val="00891928"/>
    <w:rsid w:val="008934CB"/>
    <w:rsid w:val="00895356"/>
    <w:rsid w:val="008A446D"/>
    <w:rsid w:val="008B104D"/>
    <w:rsid w:val="008B25F1"/>
    <w:rsid w:val="008C571F"/>
    <w:rsid w:val="008D180B"/>
    <w:rsid w:val="008E72AF"/>
    <w:rsid w:val="008F0EA7"/>
    <w:rsid w:val="008F327E"/>
    <w:rsid w:val="00923EEF"/>
    <w:rsid w:val="009305DC"/>
    <w:rsid w:val="009419F9"/>
    <w:rsid w:val="0094528C"/>
    <w:rsid w:val="0095685E"/>
    <w:rsid w:val="00961B09"/>
    <w:rsid w:val="00965334"/>
    <w:rsid w:val="0097093E"/>
    <w:rsid w:val="00990BF1"/>
    <w:rsid w:val="009A0DFA"/>
    <w:rsid w:val="009A1C6F"/>
    <w:rsid w:val="009B2D26"/>
    <w:rsid w:val="009C71FA"/>
    <w:rsid w:val="009C72E7"/>
    <w:rsid w:val="009C7F7E"/>
    <w:rsid w:val="009D3058"/>
    <w:rsid w:val="009F144A"/>
    <w:rsid w:val="009F3A13"/>
    <w:rsid w:val="00A07EBF"/>
    <w:rsid w:val="00A122D3"/>
    <w:rsid w:val="00A14468"/>
    <w:rsid w:val="00A14D98"/>
    <w:rsid w:val="00A17F13"/>
    <w:rsid w:val="00A20739"/>
    <w:rsid w:val="00A23AF9"/>
    <w:rsid w:val="00A33C78"/>
    <w:rsid w:val="00A42876"/>
    <w:rsid w:val="00A44D1C"/>
    <w:rsid w:val="00A63F17"/>
    <w:rsid w:val="00A716AB"/>
    <w:rsid w:val="00A83161"/>
    <w:rsid w:val="00A86E5C"/>
    <w:rsid w:val="00A90EFC"/>
    <w:rsid w:val="00A92235"/>
    <w:rsid w:val="00AB0ADB"/>
    <w:rsid w:val="00B00C0E"/>
    <w:rsid w:val="00B01B1A"/>
    <w:rsid w:val="00B0381D"/>
    <w:rsid w:val="00B13882"/>
    <w:rsid w:val="00B14142"/>
    <w:rsid w:val="00B14F36"/>
    <w:rsid w:val="00B35F67"/>
    <w:rsid w:val="00B44A47"/>
    <w:rsid w:val="00B72CD3"/>
    <w:rsid w:val="00B72FFF"/>
    <w:rsid w:val="00B7443D"/>
    <w:rsid w:val="00B944AA"/>
    <w:rsid w:val="00B95ED8"/>
    <w:rsid w:val="00BA7A2E"/>
    <w:rsid w:val="00BC3D36"/>
    <w:rsid w:val="00BD54A6"/>
    <w:rsid w:val="00BD7F72"/>
    <w:rsid w:val="00BF6651"/>
    <w:rsid w:val="00BF7425"/>
    <w:rsid w:val="00C04FB3"/>
    <w:rsid w:val="00C11D8B"/>
    <w:rsid w:val="00C15139"/>
    <w:rsid w:val="00C330EB"/>
    <w:rsid w:val="00C50D69"/>
    <w:rsid w:val="00C5365C"/>
    <w:rsid w:val="00C55DC1"/>
    <w:rsid w:val="00C67C8B"/>
    <w:rsid w:val="00C754BE"/>
    <w:rsid w:val="00C76B1C"/>
    <w:rsid w:val="00C925AC"/>
    <w:rsid w:val="00C958D1"/>
    <w:rsid w:val="00CA0E68"/>
    <w:rsid w:val="00CB6357"/>
    <w:rsid w:val="00CC1B26"/>
    <w:rsid w:val="00CD6067"/>
    <w:rsid w:val="00CE4589"/>
    <w:rsid w:val="00CF4861"/>
    <w:rsid w:val="00D350D3"/>
    <w:rsid w:val="00D361FD"/>
    <w:rsid w:val="00D423A2"/>
    <w:rsid w:val="00D44E26"/>
    <w:rsid w:val="00D520D8"/>
    <w:rsid w:val="00D53F94"/>
    <w:rsid w:val="00D63AC2"/>
    <w:rsid w:val="00D7383B"/>
    <w:rsid w:val="00D75A74"/>
    <w:rsid w:val="00D7788A"/>
    <w:rsid w:val="00DA231B"/>
    <w:rsid w:val="00DC39FC"/>
    <w:rsid w:val="00DD0992"/>
    <w:rsid w:val="00DF5254"/>
    <w:rsid w:val="00E02524"/>
    <w:rsid w:val="00E05E8C"/>
    <w:rsid w:val="00E16408"/>
    <w:rsid w:val="00E20894"/>
    <w:rsid w:val="00E245AB"/>
    <w:rsid w:val="00E2764C"/>
    <w:rsid w:val="00E27F2E"/>
    <w:rsid w:val="00E50AFE"/>
    <w:rsid w:val="00E56EE8"/>
    <w:rsid w:val="00E60AD8"/>
    <w:rsid w:val="00E75C92"/>
    <w:rsid w:val="00E760D9"/>
    <w:rsid w:val="00E771DC"/>
    <w:rsid w:val="00E8772A"/>
    <w:rsid w:val="00E90AC3"/>
    <w:rsid w:val="00E90F6B"/>
    <w:rsid w:val="00E92C27"/>
    <w:rsid w:val="00EA0E3D"/>
    <w:rsid w:val="00EA4B5D"/>
    <w:rsid w:val="00EC38A7"/>
    <w:rsid w:val="00EE1AA8"/>
    <w:rsid w:val="00F07E14"/>
    <w:rsid w:val="00F11F00"/>
    <w:rsid w:val="00F163B0"/>
    <w:rsid w:val="00F23FEA"/>
    <w:rsid w:val="00F31A4A"/>
    <w:rsid w:val="00F31EDC"/>
    <w:rsid w:val="00F443C6"/>
    <w:rsid w:val="00F462B3"/>
    <w:rsid w:val="00F5664F"/>
    <w:rsid w:val="00F624DD"/>
    <w:rsid w:val="00F666C4"/>
    <w:rsid w:val="00F7339B"/>
    <w:rsid w:val="00F760B7"/>
    <w:rsid w:val="00F76AFC"/>
    <w:rsid w:val="00F859C7"/>
    <w:rsid w:val="00FA3E17"/>
    <w:rsid w:val="00FA47C0"/>
    <w:rsid w:val="00FB5DD1"/>
    <w:rsid w:val="00FC2B5D"/>
    <w:rsid w:val="00FD63E7"/>
    <w:rsid w:val="00FF1449"/>
    <w:rsid w:val="00FF7963"/>
    <w:rsid w:val="00FF7981"/>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4D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B14142"/>
    <w:rPr>
      <w:b/>
      <w:bCs/>
    </w:rPr>
  </w:style>
  <w:style w:type="character" w:styleId="nfasis">
    <w:name w:val="Emphasis"/>
    <w:basedOn w:val="Fuentedeprrafopredeter"/>
    <w:uiPriority w:val="20"/>
    <w:qFormat/>
    <w:rsid w:val="00B141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ctenos@metrodebogota.gov.co;enoeaguirre42@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C530E0E3-D05D-4CFC-9B44-3D0C9D30E8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38</Pages>
  <Words>12586</Words>
  <Characters>68343</Characters>
  <Application>Microsoft Office Word</Application>
  <DocSecurity>0</DocSecurity>
  <Lines>1242</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2026-02-17T10:50:00Z</dcterms:created>
  <dcterms:modified xsi:type="dcterms:W3CDTF">2026-02-17T20:10:00Z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