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AEE660" w14:textId="77777777" w:rsidR="005B6723" w:rsidRPr="005549AE" w:rsidRDefault="005B6723" w:rsidP="005B6723">
      <w:pPr>
        <w:spacing w:after="0" w:line="240" w:lineRule="auto"/>
        <w:jc w:val="both"/>
        <w:rPr>
          <w:rFonts w:ascii="Verdana" w:hAnsi="Verdana"/>
          <w:b/>
          <w:bCs/>
          <w:sz w:val="20"/>
          <w:szCs w:val="20"/>
          <w:lang w:val="es-ES"/>
        </w:rPr>
      </w:pPr>
      <w:bookmarkStart w:id="0" w:name="_Hlk109118876"/>
    </w:p>
    <w:p w14:paraId="46C8F101" w14:textId="77777777" w:rsidR="005B6723" w:rsidRPr="005549AE" w:rsidRDefault="005B6723" w:rsidP="005B6723">
      <w:pPr>
        <w:spacing w:after="0" w:line="240" w:lineRule="auto"/>
        <w:jc w:val="both"/>
        <w:rPr>
          <w:rFonts w:ascii="Verdana" w:hAnsi="Verdana"/>
          <w:b/>
        </w:rPr>
      </w:pPr>
      <w:r w:rsidRPr="005549AE">
        <w:rPr>
          <w:rFonts w:ascii="Verdana" w:hAnsi="Verdana"/>
          <w:b/>
        </w:rPr>
        <w:t>ACTO DE ADJUDICACIÓN – Naturaleza jurídica – Características</w:t>
      </w:r>
    </w:p>
    <w:p w14:paraId="25D27E12" w14:textId="77777777" w:rsidR="005B6723" w:rsidRPr="005549AE" w:rsidRDefault="005B6723" w:rsidP="005B6723">
      <w:pPr>
        <w:spacing w:after="0" w:line="240" w:lineRule="auto"/>
        <w:jc w:val="both"/>
        <w:rPr>
          <w:rFonts w:ascii="Verdana" w:hAnsi="Verdana"/>
          <w:bCs/>
          <w:sz w:val="20"/>
          <w:szCs w:val="20"/>
        </w:rPr>
      </w:pPr>
    </w:p>
    <w:p w14:paraId="173B2FB0" w14:textId="77777777" w:rsidR="005B6723" w:rsidRPr="005549AE" w:rsidRDefault="005B6723" w:rsidP="005B6723">
      <w:pPr>
        <w:spacing w:after="0" w:line="240" w:lineRule="auto"/>
        <w:jc w:val="both"/>
        <w:rPr>
          <w:rFonts w:ascii="Verdana" w:eastAsia="Calibri" w:hAnsi="Verdana" w:cs="Arial"/>
          <w:sz w:val="20"/>
          <w:szCs w:val="20"/>
          <w:shd w:val="clear" w:color="auto" w:fill="FFFFFF"/>
          <w:lang w:val="es-ES"/>
        </w:rPr>
      </w:pPr>
      <w:r w:rsidRPr="005549AE">
        <w:rPr>
          <w:rFonts w:ascii="Verdana" w:eastAsia="Calibri" w:hAnsi="Verdana" w:cs="Arial"/>
          <w:sz w:val="20"/>
          <w:szCs w:val="20"/>
          <w:shd w:val="clear" w:color="auto" w:fill="FFFFFF"/>
          <w:lang w:val="es-ES"/>
        </w:rPr>
        <w:t xml:space="preserve">El acto de adjudicación es la actuación final de la fase del procedimiento de selección, en la cual se manifiesta la voluntad de la Administración de realizar la contratación con uno o varios oferentes determinados. El acto de adjudicación es una de las formalidades más importantes para la configuración del contrato estatal, en la medida que es a partir de ella que se origina la obligación para las partes de celebrar el contrato objeto del procedimiento de selección. Así lo ha anotado la doctrina al señalar que: “con la adjudicación del contrato surge una relación jurídica de la cual se deriva el compromiso para las partes de observar las formalidades propias del perfeccionamiento del contrato”. </w:t>
      </w:r>
    </w:p>
    <w:p w14:paraId="54A140C9" w14:textId="77777777" w:rsidR="005B6723" w:rsidRPr="005549AE" w:rsidRDefault="005B6723" w:rsidP="005B6723">
      <w:pPr>
        <w:spacing w:after="0" w:line="240" w:lineRule="auto"/>
        <w:jc w:val="both"/>
        <w:rPr>
          <w:rFonts w:ascii="Verdana" w:eastAsia="Calibri" w:hAnsi="Verdana" w:cs="Arial"/>
          <w:sz w:val="20"/>
          <w:szCs w:val="20"/>
          <w:shd w:val="clear" w:color="auto" w:fill="FFFFFF"/>
          <w:lang w:val="es-ES"/>
        </w:rPr>
      </w:pPr>
    </w:p>
    <w:p w14:paraId="493F54A8" w14:textId="77777777" w:rsidR="005B6723" w:rsidRPr="005549AE" w:rsidRDefault="005B6723" w:rsidP="005B6723">
      <w:pPr>
        <w:spacing w:after="0" w:line="240" w:lineRule="auto"/>
        <w:jc w:val="both"/>
        <w:rPr>
          <w:rFonts w:ascii="Verdana" w:eastAsia="Arial MT" w:hAnsi="Verdana" w:cs="Arial"/>
          <w:sz w:val="20"/>
          <w:szCs w:val="20"/>
          <w:lang w:eastAsia="es-ES" w:bidi="es-ES"/>
        </w:rPr>
      </w:pPr>
      <w:r w:rsidRPr="005549AE">
        <w:rPr>
          <w:rFonts w:ascii="Verdana" w:eastAsia="Arial MT" w:hAnsi="Verdana" w:cs="Arial"/>
          <w:sz w:val="20"/>
          <w:szCs w:val="20"/>
          <w:lang w:eastAsia="es-ES" w:bidi="es-ES"/>
        </w:rPr>
        <w:t xml:space="preserve">Adicionalmente, tanto la jurisprudencia del Consejo de Estado como la doctrina han distinguido tres (3) características del acto de adjudicación del contrato estatal, que pueden sintetizarse así: i) es un acto administrativo de carácter definitivo y de alcance particular; </w:t>
      </w:r>
      <w:proofErr w:type="spellStart"/>
      <w:r w:rsidRPr="005549AE">
        <w:rPr>
          <w:rFonts w:ascii="Verdana" w:eastAsia="Arial MT" w:hAnsi="Verdana" w:cs="Arial"/>
          <w:sz w:val="20"/>
          <w:szCs w:val="20"/>
          <w:lang w:eastAsia="es-ES" w:bidi="es-ES"/>
        </w:rPr>
        <w:t>ii</w:t>
      </w:r>
      <w:proofErr w:type="spellEnd"/>
      <w:r w:rsidRPr="005549AE">
        <w:rPr>
          <w:rFonts w:ascii="Verdana" w:eastAsia="Arial MT" w:hAnsi="Verdana" w:cs="Arial"/>
          <w:sz w:val="20"/>
          <w:szCs w:val="20"/>
          <w:lang w:eastAsia="es-ES" w:bidi="es-ES"/>
        </w:rPr>
        <w:t xml:space="preserve">) es irrevocable, por regla general, y </w:t>
      </w:r>
      <w:proofErr w:type="spellStart"/>
      <w:r w:rsidRPr="005549AE">
        <w:rPr>
          <w:rFonts w:ascii="Verdana" w:eastAsia="Arial MT" w:hAnsi="Verdana" w:cs="Arial"/>
          <w:sz w:val="20"/>
          <w:szCs w:val="20"/>
          <w:lang w:eastAsia="es-ES" w:bidi="es-ES"/>
        </w:rPr>
        <w:t>iii</w:t>
      </w:r>
      <w:proofErr w:type="spellEnd"/>
      <w:r w:rsidRPr="005549AE">
        <w:rPr>
          <w:rFonts w:ascii="Verdana" w:eastAsia="Arial MT" w:hAnsi="Verdana" w:cs="Arial"/>
          <w:sz w:val="20"/>
          <w:szCs w:val="20"/>
          <w:lang w:eastAsia="es-ES" w:bidi="es-ES"/>
        </w:rPr>
        <w:t>) es obligatorio, tanto para la entidad contratante como para el adjudicatario.</w:t>
      </w:r>
    </w:p>
    <w:p w14:paraId="1D9F919E" w14:textId="77777777" w:rsidR="005B6723" w:rsidRPr="005549AE" w:rsidRDefault="005B6723" w:rsidP="005B6723">
      <w:pPr>
        <w:spacing w:after="0" w:line="240" w:lineRule="auto"/>
        <w:jc w:val="both"/>
        <w:rPr>
          <w:rFonts w:ascii="Verdana" w:hAnsi="Verdana"/>
          <w:bCs/>
          <w:sz w:val="20"/>
          <w:szCs w:val="20"/>
        </w:rPr>
      </w:pPr>
    </w:p>
    <w:p w14:paraId="0DA2130C" w14:textId="77777777" w:rsidR="005B6723" w:rsidRPr="005549AE" w:rsidRDefault="005B6723" w:rsidP="005B6723">
      <w:pPr>
        <w:spacing w:after="0" w:line="240" w:lineRule="auto"/>
        <w:jc w:val="both"/>
        <w:rPr>
          <w:rFonts w:ascii="Verdana" w:hAnsi="Verdana"/>
          <w:b/>
        </w:rPr>
      </w:pPr>
      <w:r w:rsidRPr="005549AE">
        <w:rPr>
          <w:rFonts w:ascii="Verdana" w:hAnsi="Verdana"/>
          <w:b/>
        </w:rPr>
        <w:t>ACTO DE ADJUDICACIÓN – Carácter vinculante</w:t>
      </w:r>
    </w:p>
    <w:p w14:paraId="1DC17320" w14:textId="77777777" w:rsidR="005B6723" w:rsidRPr="005549AE" w:rsidRDefault="005B6723" w:rsidP="005B6723">
      <w:pPr>
        <w:spacing w:after="0" w:line="240" w:lineRule="auto"/>
        <w:jc w:val="both"/>
        <w:rPr>
          <w:rFonts w:ascii="Verdana" w:hAnsi="Verdana"/>
          <w:bCs/>
          <w:sz w:val="20"/>
          <w:szCs w:val="20"/>
        </w:rPr>
      </w:pPr>
    </w:p>
    <w:p w14:paraId="216A5C35" w14:textId="77777777" w:rsidR="005B6723" w:rsidRPr="005549AE" w:rsidRDefault="005B6723" w:rsidP="005B6723">
      <w:pPr>
        <w:spacing w:after="0" w:line="240" w:lineRule="auto"/>
        <w:jc w:val="both"/>
        <w:rPr>
          <w:rFonts w:ascii="Verdana" w:hAnsi="Verdana"/>
          <w:b/>
          <w:bCs/>
          <w:sz w:val="20"/>
          <w:szCs w:val="20"/>
        </w:rPr>
      </w:pPr>
      <w:r w:rsidRPr="005549AE">
        <w:rPr>
          <w:rFonts w:ascii="Verdana" w:eastAsia="Arial MT" w:hAnsi="Verdana" w:cs="Arial"/>
          <w:sz w:val="20"/>
          <w:szCs w:val="20"/>
          <w:lang w:eastAsia="es-ES" w:bidi="es-ES"/>
        </w:rPr>
        <w:t>Como se observa, el acto administrativo de adjudicación es irrevocable y obligatorio para las partes, lo que significa que produce el derecho del adjudicatario para contratar con el Estado y el correlativo deber de la entidad contratante de celebrar el contrato, en los términos fijados en los pliegos de condiciones. En este puno es necesario señalar que, tal regla tiene dos excepciones. Al respecto, el artículo 9 de la Ley 1150 de 2007 trajo consigo un cambio frente al numeral 11 del artículo 30 de la Ley 80, que consiste en prever dos excepciones a la irrevocabilidad del acto de adjudicación, que antes estaba consagrada en términos absolutos.</w:t>
      </w:r>
    </w:p>
    <w:p w14:paraId="08601EF8" w14:textId="77777777" w:rsidR="005B6723" w:rsidRPr="005549AE" w:rsidRDefault="005B6723" w:rsidP="005B6723">
      <w:pPr>
        <w:spacing w:after="0" w:line="240" w:lineRule="auto"/>
        <w:jc w:val="both"/>
        <w:rPr>
          <w:rFonts w:ascii="Verdana" w:hAnsi="Verdana"/>
          <w:b/>
          <w:bCs/>
          <w:sz w:val="20"/>
          <w:szCs w:val="20"/>
        </w:rPr>
      </w:pPr>
    </w:p>
    <w:p w14:paraId="6A90CF08" w14:textId="77777777" w:rsidR="005B6723" w:rsidRPr="009B46EA" w:rsidRDefault="005B6723" w:rsidP="005B6723">
      <w:pPr>
        <w:spacing w:after="0" w:line="240" w:lineRule="auto"/>
        <w:jc w:val="both"/>
        <w:rPr>
          <w:rFonts w:ascii="Verdana" w:eastAsia="Calibri" w:hAnsi="Verdana" w:cs="Arial"/>
          <w:b/>
          <w:color w:val="000000" w:themeColor="text1"/>
          <w:lang w:val="es-ES_tradnl"/>
        </w:rPr>
      </w:pPr>
      <w:r>
        <w:rPr>
          <w:rFonts w:ascii="Verdana" w:eastAsia="Calibri" w:hAnsi="Verdana" w:cs="Arial"/>
          <w:b/>
          <w:color w:val="000000" w:themeColor="text1"/>
          <w:lang w:val="es-ES_tradnl"/>
        </w:rPr>
        <w:t>REVOCATORIA DIRECTA</w:t>
      </w:r>
      <w:r w:rsidRPr="009B46EA">
        <w:rPr>
          <w:rFonts w:ascii="Verdana" w:eastAsia="Calibri" w:hAnsi="Verdana" w:cs="Arial"/>
          <w:b/>
          <w:color w:val="000000" w:themeColor="text1"/>
          <w:lang w:val="es-ES_tradnl"/>
        </w:rPr>
        <w:t xml:space="preserve"> –</w:t>
      </w:r>
      <w:bookmarkEnd w:id="0"/>
      <w:r w:rsidRPr="009B46EA">
        <w:rPr>
          <w:rFonts w:ascii="Verdana" w:eastAsia="Calibri" w:hAnsi="Verdana" w:cs="Arial"/>
          <w:b/>
          <w:color w:val="000000" w:themeColor="text1"/>
          <w:lang w:val="es-ES_tradnl"/>
        </w:rPr>
        <w:t xml:space="preserve"> </w:t>
      </w:r>
      <w:r>
        <w:rPr>
          <w:rFonts w:ascii="Verdana" w:eastAsia="Calibri" w:hAnsi="Verdana" w:cs="Arial"/>
          <w:b/>
          <w:color w:val="000000" w:themeColor="text1"/>
          <w:lang w:val="es-ES_tradnl"/>
        </w:rPr>
        <w:t>Causales excepcionales – Mecanismo de autotutela administrativa</w:t>
      </w:r>
    </w:p>
    <w:p w14:paraId="506355EC" w14:textId="77777777" w:rsidR="005B6723" w:rsidRPr="009B46EA" w:rsidRDefault="005B6723" w:rsidP="005B6723">
      <w:pPr>
        <w:spacing w:after="0" w:line="240" w:lineRule="auto"/>
        <w:jc w:val="both"/>
        <w:rPr>
          <w:rFonts w:ascii="Verdana" w:eastAsia="Calibri" w:hAnsi="Verdana" w:cs="Arial"/>
          <w:b/>
          <w:color w:val="000000" w:themeColor="text1"/>
          <w:lang w:val="es-ES_tradnl"/>
        </w:rPr>
      </w:pPr>
    </w:p>
    <w:p w14:paraId="0DE42DC8" w14:textId="77777777" w:rsidR="005B6723" w:rsidRPr="0026645A" w:rsidRDefault="005B6723" w:rsidP="005B6723">
      <w:pPr>
        <w:spacing w:after="0" w:line="240" w:lineRule="auto"/>
        <w:jc w:val="both"/>
        <w:rPr>
          <w:rFonts w:ascii="Verdana" w:hAnsi="Verdana" w:cs="Arial"/>
          <w:color w:val="000000" w:themeColor="text1"/>
          <w:sz w:val="20"/>
          <w:szCs w:val="20"/>
          <w:lang w:val="es-ES"/>
        </w:rPr>
      </w:pPr>
      <w:r>
        <w:rPr>
          <w:rFonts w:ascii="Verdana" w:hAnsi="Verdana" w:cs="Arial"/>
          <w:color w:val="000000" w:themeColor="text1"/>
          <w:sz w:val="20"/>
          <w:szCs w:val="20"/>
          <w:lang w:val="es-ES"/>
        </w:rPr>
        <w:t>E</w:t>
      </w:r>
      <w:r w:rsidRPr="0026645A">
        <w:rPr>
          <w:rFonts w:ascii="Verdana" w:hAnsi="Verdana" w:cs="Arial"/>
          <w:color w:val="000000" w:themeColor="text1"/>
          <w:sz w:val="20"/>
          <w:szCs w:val="20"/>
          <w:lang w:val="es-ES"/>
        </w:rPr>
        <w:t xml:space="preserve">l inciso 4 de la </w:t>
      </w:r>
      <w:r>
        <w:rPr>
          <w:rFonts w:ascii="Verdana" w:hAnsi="Verdana" w:cs="Arial"/>
          <w:color w:val="000000" w:themeColor="text1"/>
          <w:sz w:val="20"/>
          <w:szCs w:val="20"/>
          <w:lang w:val="es-ES"/>
        </w:rPr>
        <w:t>Ley 1150 de 2007</w:t>
      </w:r>
      <w:r w:rsidRPr="0026645A">
        <w:rPr>
          <w:rFonts w:ascii="Verdana" w:hAnsi="Verdana" w:cs="Arial"/>
          <w:color w:val="000000" w:themeColor="text1"/>
          <w:sz w:val="20"/>
          <w:szCs w:val="20"/>
          <w:lang w:val="es-ES"/>
        </w:rPr>
        <w:t xml:space="preserve"> dispone lo siguiente: “[…] si dentro del plazo comprendido entre la adjudicación del contrato y la suscripción </w:t>
      </w:r>
      <w:proofErr w:type="gramStart"/>
      <w:r w:rsidRPr="0026645A">
        <w:rPr>
          <w:rFonts w:ascii="Verdana" w:hAnsi="Verdana" w:cs="Arial"/>
          <w:color w:val="000000" w:themeColor="text1"/>
          <w:sz w:val="20"/>
          <w:szCs w:val="20"/>
          <w:lang w:val="es-ES"/>
        </w:rPr>
        <w:t>del mismo</w:t>
      </w:r>
      <w:proofErr w:type="gramEnd"/>
      <w:r w:rsidRPr="0026645A">
        <w:rPr>
          <w:rFonts w:ascii="Verdana" w:hAnsi="Verdana" w:cs="Arial"/>
          <w:color w:val="000000" w:themeColor="text1"/>
          <w:sz w:val="20"/>
          <w:szCs w:val="20"/>
          <w:lang w:val="es-ES"/>
        </w:rPr>
        <w:t xml:space="preserve">, sobreviene una inhabilidad o incompatibilidad o si se demuestra que el acto se obtuvo por medios ilegales, este podrá ser revocado, caso en el cual, la entidad podrá aplicar lo previsto en el inciso final del numeral 12 del artículo 30 de la Ley 80 de 1993”. Para estos efectos, la revocación directa de la adjudicación es diferente a su declaratoria de nulidad: </w:t>
      </w:r>
      <w:r w:rsidRPr="0026645A">
        <w:rPr>
          <w:rFonts w:ascii="Verdana" w:hAnsi="Verdana" w:cs="Arial"/>
          <w:i/>
          <w:iCs/>
          <w:color w:val="000000" w:themeColor="text1"/>
          <w:sz w:val="20"/>
          <w:szCs w:val="20"/>
          <w:lang w:val="es-ES"/>
        </w:rPr>
        <w:t>desde el punto de vista de su naturaleza</w:t>
      </w:r>
      <w:r w:rsidRPr="0026645A">
        <w:rPr>
          <w:rFonts w:ascii="Verdana" w:hAnsi="Verdana" w:cs="Arial"/>
          <w:color w:val="000000" w:themeColor="text1"/>
          <w:sz w:val="20"/>
          <w:szCs w:val="20"/>
          <w:lang w:val="es-ES"/>
        </w:rPr>
        <w:t xml:space="preserve">, mientras nulidad constituye una sanción a los actos ilegales, la revocatoria es una decisión que los deja sin efectos; </w:t>
      </w:r>
      <w:r w:rsidRPr="0026645A">
        <w:rPr>
          <w:rFonts w:ascii="Verdana" w:hAnsi="Verdana" w:cs="Arial"/>
          <w:i/>
          <w:iCs/>
          <w:color w:val="000000" w:themeColor="text1"/>
          <w:sz w:val="20"/>
          <w:szCs w:val="20"/>
          <w:lang w:val="es-ES"/>
        </w:rPr>
        <w:t>desde el punto de vista de sus exigencias</w:t>
      </w:r>
      <w:r w:rsidRPr="0026645A">
        <w:rPr>
          <w:rFonts w:ascii="Verdana" w:hAnsi="Verdana" w:cs="Arial"/>
          <w:color w:val="000000" w:themeColor="text1"/>
          <w:sz w:val="20"/>
          <w:szCs w:val="20"/>
          <w:lang w:val="es-ES"/>
        </w:rPr>
        <w:t xml:space="preserve">, la nulidad se declara cuando se demuestra la ilegalidad, mientras que la revocatoria supone una vulneración manifiesta del marco normativo aplicable a la actuación administrativa; </w:t>
      </w:r>
      <w:r w:rsidRPr="0026645A">
        <w:rPr>
          <w:rFonts w:ascii="Verdana" w:hAnsi="Verdana" w:cs="Arial"/>
          <w:i/>
          <w:iCs/>
          <w:color w:val="000000" w:themeColor="text1"/>
          <w:sz w:val="20"/>
          <w:szCs w:val="20"/>
          <w:lang w:val="es-ES"/>
        </w:rPr>
        <w:t>desde el punto de vista de sus límites</w:t>
      </w:r>
      <w:r w:rsidRPr="0026645A">
        <w:rPr>
          <w:rFonts w:ascii="Verdana" w:hAnsi="Verdana" w:cs="Arial"/>
          <w:color w:val="000000" w:themeColor="text1"/>
          <w:sz w:val="20"/>
          <w:szCs w:val="20"/>
          <w:lang w:val="es-ES"/>
        </w:rPr>
        <w:t xml:space="preserve">, la revocatoria tiene una serie de condiciones para adoptar la medida y decretarla, las cuales son diferentes a los de la demanda de nulidad. Por lo demás, mientras revocatoria directa es un mecanismo </w:t>
      </w:r>
      <w:r w:rsidRPr="0026645A">
        <w:rPr>
          <w:rFonts w:ascii="Verdana" w:hAnsi="Verdana" w:cs="Arial"/>
          <w:color w:val="000000" w:themeColor="text1"/>
          <w:sz w:val="20"/>
          <w:szCs w:val="20"/>
          <w:lang w:val="es-ES"/>
        </w:rPr>
        <w:lastRenderedPageBreak/>
        <w:t>de autotutela administrativa, la nulidad supone el ejercicio del derecho de acción frente a la jurisdicción de lo contencioso administrativo</w:t>
      </w:r>
      <w:r w:rsidRPr="002314D1">
        <w:rPr>
          <w:rFonts w:ascii="Verdana" w:hAnsi="Verdana" w:cs="Arial"/>
          <w:color w:val="000000" w:themeColor="text1"/>
          <w:sz w:val="20"/>
          <w:szCs w:val="20"/>
          <w:lang w:val="es-ES_tradnl"/>
        </w:rPr>
        <w:t>.</w:t>
      </w:r>
    </w:p>
    <w:p w14:paraId="05BD0C7B" w14:textId="77777777" w:rsidR="005B6723" w:rsidRPr="005549AE" w:rsidRDefault="005B6723" w:rsidP="005B6723">
      <w:pPr>
        <w:spacing w:after="0" w:line="240" w:lineRule="auto"/>
        <w:jc w:val="both"/>
        <w:rPr>
          <w:rFonts w:ascii="Verdana" w:hAnsi="Verdana"/>
          <w:b/>
          <w:bCs/>
          <w:sz w:val="20"/>
          <w:szCs w:val="20"/>
        </w:rPr>
      </w:pPr>
    </w:p>
    <w:p w14:paraId="40946E5A" w14:textId="77777777" w:rsidR="005B6723" w:rsidRPr="009B46EA" w:rsidRDefault="005B6723" w:rsidP="005B6723">
      <w:pPr>
        <w:spacing w:after="0" w:line="240" w:lineRule="auto"/>
        <w:jc w:val="both"/>
        <w:rPr>
          <w:rFonts w:ascii="Verdana" w:eastAsia="Calibri" w:hAnsi="Verdana" w:cs="Arial"/>
          <w:b/>
          <w:color w:val="000000" w:themeColor="text1"/>
          <w:lang w:val="es-ES_tradnl"/>
        </w:rPr>
      </w:pPr>
      <w:r>
        <w:rPr>
          <w:rFonts w:ascii="Verdana" w:eastAsia="Calibri" w:hAnsi="Verdana" w:cs="Arial"/>
          <w:b/>
          <w:color w:val="000000" w:themeColor="text1"/>
          <w:lang w:val="es-ES_tradnl"/>
        </w:rPr>
        <w:t>MEDIOS DE CONTROL</w:t>
      </w:r>
      <w:r w:rsidRPr="009B46EA">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Nulidad y restablecimiento del derecho – Acto de Adjudicación</w:t>
      </w:r>
    </w:p>
    <w:p w14:paraId="195A37DB" w14:textId="77777777" w:rsidR="005B6723" w:rsidRPr="009B46EA" w:rsidRDefault="005B6723" w:rsidP="005B6723">
      <w:pPr>
        <w:spacing w:after="0" w:line="240" w:lineRule="auto"/>
        <w:jc w:val="both"/>
        <w:rPr>
          <w:rFonts w:ascii="Verdana" w:eastAsia="Calibri" w:hAnsi="Verdana" w:cs="Arial"/>
          <w:b/>
          <w:color w:val="000000" w:themeColor="text1"/>
          <w:lang w:val="es-ES_tradnl"/>
        </w:rPr>
      </w:pPr>
    </w:p>
    <w:p w14:paraId="351D9923" w14:textId="77777777" w:rsidR="005B6723" w:rsidRPr="0026645A" w:rsidRDefault="005B6723" w:rsidP="005B6723">
      <w:pPr>
        <w:spacing w:after="0" w:line="240" w:lineRule="auto"/>
        <w:jc w:val="both"/>
        <w:rPr>
          <w:rFonts w:ascii="Verdana" w:hAnsi="Verdana" w:cs="Arial"/>
          <w:color w:val="000000" w:themeColor="text1"/>
          <w:sz w:val="20"/>
          <w:szCs w:val="20"/>
          <w:lang w:val="es-ES"/>
        </w:rPr>
      </w:pPr>
      <w:r w:rsidRPr="0026645A">
        <w:rPr>
          <w:rFonts w:ascii="Verdana" w:hAnsi="Verdana" w:cs="Arial"/>
          <w:color w:val="000000" w:themeColor="text1"/>
          <w:sz w:val="20"/>
          <w:szCs w:val="20"/>
          <w:lang w:val="es-ES"/>
        </w:rPr>
        <w:t>Si bien el inciso segundo del artículo 77 de la Ley 80 de 1993 dispone que “Los actos administrativos que se produzcan con motivo u ocasión de la actividad contractual sólo serán susceptibles de recurso de reposición y del ejercicio de la acción contractual, de acuerdo con las reglas del Código Contencioso Administrativo”, el parágrafo primero de la norma citada prescribe que “El acto de adjudicación no tendrá recursos por la vía gubernativa. Este podrá impugnarse mediante el ejercicio de la acción de nulidad y restablecimiento del derecho, según las reglas del Código Contencioso Administrativo”. Por su parte, el inciso segundo del artículo 141 de la Ley 1437 de 2011 dispone lo siguiente: “Los actos proferidos antes de la celebración del contrato, con ocasión de la actividad contractual, podrán demandarse en los términos de los artículos 137 y 138 de este Código, según el caso”</w:t>
      </w:r>
      <w:r w:rsidRPr="002314D1">
        <w:rPr>
          <w:rFonts w:ascii="Verdana" w:hAnsi="Verdana" w:cs="Arial"/>
          <w:color w:val="000000" w:themeColor="text1"/>
          <w:sz w:val="20"/>
          <w:szCs w:val="20"/>
          <w:lang w:val="es-ES_tradnl"/>
        </w:rPr>
        <w:t>.</w:t>
      </w:r>
    </w:p>
    <w:p w14:paraId="4B889F9E" w14:textId="77777777" w:rsidR="005B6723" w:rsidRPr="005549AE" w:rsidRDefault="005B6723" w:rsidP="005B6723">
      <w:pPr>
        <w:spacing w:after="0" w:line="240" w:lineRule="auto"/>
        <w:jc w:val="both"/>
        <w:rPr>
          <w:rFonts w:ascii="Verdana" w:hAnsi="Verdana"/>
          <w:b/>
          <w:bCs/>
          <w:sz w:val="20"/>
          <w:szCs w:val="20"/>
        </w:rPr>
      </w:pPr>
    </w:p>
    <w:p w14:paraId="53604A50" w14:textId="77777777" w:rsidR="005B6723" w:rsidRPr="009B46EA" w:rsidRDefault="005B6723" w:rsidP="005B6723">
      <w:pPr>
        <w:spacing w:after="0" w:line="240" w:lineRule="auto"/>
        <w:jc w:val="both"/>
        <w:rPr>
          <w:rFonts w:ascii="Verdana" w:eastAsia="Calibri" w:hAnsi="Verdana" w:cs="Arial"/>
          <w:b/>
          <w:color w:val="000000" w:themeColor="text1"/>
          <w:lang w:val="es-ES_tradnl"/>
        </w:rPr>
      </w:pPr>
      <w:r>
        <w:rPr>
          <w:rFonts w:ascii="Verdana" w:eastAsia="Calibri" w:hAnsi="Verdana" w:cs="Arial"/>
          <w:b/>
          <w:color w:val="000000" w:themeColor="text1"/>
          <w:lang w:val="es-ES_tradnl"/>
        </w:rPr>
        <w:t>NULIDAD Y RESTABLECIMIENTO DEL DERECHO – Requisitos de procedibilidad – Conciliación extrajudicial – Definición – Control de legalidad – Compatibilidad</w:t>
      </w:r>
    </w:p>
    <w:p w14:paraId="300FB7B4" w14:textId="77777777" w:rsidR="005B6723" w:rsidRPr="009B46EA" w:rsidRDefault="005B6723" w:rsidP="005B6723">
      <w:pPr>
        <w:spacing w:after="0" w:line="240" w:lineRule="auto"/>
        <w:jc w:val="both"/>
        <w:rPr>
          <w:rFonts w:ascii="Verdana" w:eastAsia="Calibri" w:hAnsi="Verdana" w:cs="Arial"/>
          <w:b/>
          <w:color w:val="000000" w:themeColor="text1"/>
          <w:lang w:val="es-ES_tradnl"/>
        </w:rPr>
      </w:pPr>
    </w:p>
    <w:p w14:paraId="660749A8" w14:textId="77777777" w:rsidR="005B6723" w:rsidRDefault="005B6723" w:rsidP="005B6723">
      <w:pPr>
        <w:spacing w:after="0" w:line="240" w:lineRule="auto"/>
        <w:jc w:val="both"/>
        <w:rPr>
          <w:rFonts w:ascii="Verdana" w:hAnsi="Verdana" w:cs="Arial"/>
          <w:color w:val="000000" w:themeColor="text1"/>
          <w:sz w:val="20"/>
          <w:szCs w:val="20"/>
          <w:lang w:val="es-ES_tradnl"/>
        </w:rPr>
      </w:pPr>
      <w:r>
        <w:rPr>
          <w:rFonts w:ascii="Verdana" w:hAnsi="Verdana" w:cs="Arial"/>
          <w:color w:val="000000" w:themeColor="text1"/>
          <w:sz w:val="20"/>
          <w:szCs w:val="20"/>
          <w:lang w:val="es-ES"/>
        </w:rPr>
        <w:t>E</w:t>
      </w:r>
      <w:r w:rsidRPr="0026645A">
        <w:rPr>
          <w:rFonts w:ascii="Verdana" w:hAnsi="Verdana" w:cs="Arial"/>
          <w:color w:val="000000" w:themeColor="text1"/>
          <w:sz w:val="20"/>
          <w:szCs w:val="20"/>
          <w:lang w:val="es-ES"/>
        </w:rPr>
        <w:t>l inciso primero del artículo 161 de la Ley 1437 de 2011 –modificado por el artículo 34 de la Ley 2080 de 2021– exige el trámite de la conciliación extrajudicial como requisito de procedibilidad de toda demanda en que se formulen pretensiones relativas a nulidad con restablecimiento del derecho, reparación directa y controversias contractuales. De acuerdo con el artículo 88 de la Ley 2220 de 2022, “La conciliación extrajudicial en asuntos contencioso administrativos es un mecanismo alternativo de resolución de conflictos, autocompositivo, por medio del cual las partes, por conducto de apoderado, gestionan ante un agente del Ministerio Público neutral y calificado la solución de aquellas controversias cuyo conocimiento corresponda a la Jurisdicción de lo Contencioso Administrativo”</w:t>
      </w:r>
      <w:r w:rsidRPr="002314D1">
        <w:rPr>
          <w:rFonts w:ascii="Verdana" w:hAnsi="Verdana" w:cs="Arial"/>
          <w:color w:val="000000" w:themeColor="text1"/>
          <w:sz w:val="20"/>
          <w:szCs w:val="20"/>
          <w:lang w:val="es-ES_tradnl"/>
        </w:rPr>
        <w:t>.</w:t>
      </w:r>
    </w:p>
    <w:p w14:paraId="40A1A6FF" w14:textId="77777777" w:rsidR="005B6723" w:rsidRDefault="005B6723" w:rsidP="005B6723">
      <w:pPr>
        <w:spacing w:after="0" w:line="240" w:lineRule="auto"/>
        <w:jc w:val="both"/>
        <w:rPr>
          <w:rFonts w:ascii="Verdana" w:hAnsi="Verdana" w:cs="Arial"/>
          <w:color w:val="000000" w:themeColor="text1"/>
          <w:sz w:val="20"/>
          <w:szCs w:val="20"/>
          <w:lang w:val="es-ES_tradnl"/>
        </w:rPr>
      </w:pPr>
    </w:p>
    <w:p w14:paraId="14904CDF" w14:textId="77777777" w:rsidR="005B6723" w:rsidRDefault="005B6723" w:rsidP="005B6723">
      <w:pPr>
        <w:spacing w:after="0" w:line="240" w:lineRule="auto"/>
        <w:jc w:val="both"/>
        <w:rPr>
          <w:rFonts w:ascii="Verdana" w:hAnsi="Verdana" w:cs="Arial"/>
          <w:color w:val="000000" w:themeColor="text1"/>
          <w:sz w:val="20"/>
          <w:szCs w:val="20"/>
          <w:lang w:val="es-ES_tradnl"/>
        </w:rPr>
      </w:pPr>
      <w:r w:rsidRPr="003156F8">
        <w:rPr>
          <w:rFonts w:ascii="Verdana" w:hAnsi="Verdana" w:cs="Arial"/>
          <w:color w:val="000000" w:themeColor="text1"/>
          <w:sz w:val="20"/>
          <w:szCs w:val="20"/>
          <w:lang w:val="es-ES"/>
        </w:rPr>
        <w:t xml:space="preserve">Dado </w:t>
      </w:r>
      <w:r>
        <w:rPr>
          <w:rFonts w:ascii="Verdana" w:hAnsi="Verdana" w:cs="Arial"/>
          <w:color w:val="000000" w:themeColor="text1"/>
          <w:sz w:val="20"/>
          <w:szCs w:val="20"/>
          <w:lang w:val="es-ES"/>
        </w:rPr>
        <w:t xml:space="preserve">que </w:t>
      </w:r>
      <w:r w:rsidRPr="003156F8">
        <w:rPr>
          <w:rFonts w:ascii="Verdana" w:hAnsi="Verdana" w:cs="Arial"/>
          <w:color w:val="000000" w:themeColor="text1"/>
          <w:sz w:val="20"/>
          <w:szCs w:val="20"/>
          <w:lang w:val="es-ES"/>
        </w:rPr>
        <w:t xml:space="preserve">el restablecimiento del derecho es consecuencia de la declaratoria de nulidad, el inciso final del artículo 89 de la Ley 2220 de 2022 precisa que “Cuando medie acto administrativo de carácter particular, podrá conciliarse sobre los efectos económicos del mismo si se da alguna de las causales del artículo 93 de la Ley 1437 de 2011, evento en el cual, una vez aprobado el acuerdo por el juez contencioso administrativo, se entenderá revocado o modificado el acto y sustituido por el acuerdo”. Por ello, aunque la Administración no es competente para declarar la nulidad, el ordenamiento permite la conciliación bajo el criterio de que la aprobación judicial regulada en el artículo 113 </w:t>
      </w:r>
      <w:r w:rsidRPr="003156F8">
        <w:rPr>
          <w:rFonts w:ascii="Verdana" w:hAnsi="Verdana" w:cs="Arial"/>
          <w:i/>
          <w:iCs/>
          <w:color w:val="000000" w:themeColor="text1"/>
          <w:sz w:val="20"/>
          <w:szCs w:val="20"/>
          <w:lang w:val="es-ES"/>
        </w:rPr>
        <w:t>ibidem</w:t>
      </w:r>
      <w:r w:rsidRPr="003156F8">
        <w:rPr>
          <w:rFonts w:ascii="Verdana" w:hAnsi="Verdana" w:cs="Arial"/>
          <w:color w:val="000000" w:themeColor="text1"/>
          <w:sz w:val="20"/>
          <w:szCs w:val="20"/>
          <w:lang w:val="es-ES"/>
        </w:rPr>
        <w:t xml:space="preserve"> revoca, modifica o sustituye la decisión inicialmente adoptada por la entidad.</w:t>
      </w:r>
    </w:p>
    <w:p w14:paraId="7EE1BE61" w14:textId="77777777" w:rsidR="005B6723" w:rsidRPr="005549AE" w:rsidRDefault="005B6723" w:rsidP="005B6723">
      <w:pPr>
        <w:spacing w:after="0" w:line="240" w:lineRule="auto"/>
        <w:jc w:val="both"/>
        <w:rPr>
          <w:rFonts w:ascii="Verdana" w:hAnsi="Verdana"/>
          <w:b/>
          <w:bCs/>
          <w:sz w:val="20"/>
          <w:szCs w:val="20"/>
        </w:rPr>
      </w:pPr>
    </w:p>
    <w:p w14:paraId="3551985C" w14:textId="77777777" w:rsidR="005B6723" w:rsidRPr="009B46EA" w:rsidRDefault="005B6723" w:rsidP="005B6723">
      <w:pPr>
        <w:spacing w:after="0" w:line="240" w:lineRule="auto"/>
        <w:jc w:val="both"/>
        <w:rPr>
          <w:rFonts w:ascii="Verdana" w:eastAsia="Calibri" w:hAnsi="Verdana" w:cs="Arial"/>
          <w:b/>
          <w:color w:val="000000" w:themeColor="text1"/>
          <w:lang w:val="es-ES_tradnl"/>
        </w:rPr>
      </w:pPr>
      <w:r w:rsidRPr="0026645A">
        <w:rPr>
          <w:rFonts w:ascii="Verdana" w:eastAsia="Calibri" w:hAnsi="Verdana" w:cs="Arial"/>
          <w:b/>
          <w:color w:val="000000" w:themeColor="text1"/>
          <w:lang w:val="es-ES_tradnl"/>
        </w:rPr>
        <w:t>CONCILIACIÓN EXTRAJUDICIAL</w:t>
      </w:r>
      <w:r>
        <w:rPr>
          <w:rFonts w:ascii="Verdana" w:eastAsia="Calibri" w:hAnsi="Verdana" w:cs="Arial"/>
          <w:b/>
          <w:color w:val="000000" w:themeColor="text1"/>
          <w:lang w:val="es-ES_tradnl"/>
        </w:rPr>
        <w:t xml:space="preserve"> – Medios de control – Efectos sobre la caducidad – Subsanación de la solicitud – Presentación oportuna </w:t>
      </w:r>
    </w:p>
    <w:p w14:paraId="164EC456" w14:textId="77777777" w:rsidR="005B6723" w:rsidRPr="009B46EA" w:rsidRDefault="005B6723" w:rsidP="005B6723">
      <w:pPr>
        <w:spacing w:after="0" w:line="240" w:lineRule="auto"/>
        <w:jc w:val="both"/>
        <w:rPr>
          <w:rFonts w:ascii="Verdana" w:eastAsia="Calibri" w:hAnsi="Verdana" w:cs="Arial"/>
          <w:b/>
          <w:color w:val="000000" w:themeColor="text1"/>
          <w:lang w:val="es-ES_tradnl"/>
        </w:rPr>
      </w:pPr>
    </w:p>
    <w:p w14:paraId="66CED295" w14:textId="77777777" w:rsidR="005B6723" w:rsidRDefault="005B6723" w:rsidP="005B6723">
      <w:pPr>
        <w:spacing w:after="0" w:line="240" w:lineRule="auto"/>
        <w:jc w:val="both"/>
        <w:rPr>
          <w:rFonts w:ascii="Verdana" w:hAnsi="Verdana" w:cs="Arial"/>
          <w:color w:val="000000" w:themeColor="text1"/>
          <w:sz w:val="20"/>
          <w:szCs w:val="20"/>
          <w:lang w:val="es-ES"/>
        </w:rPr>
      </w:pPr>
      <w:r w:rsidRPr="0026645A">
        <w:rPr>
          <w:rFonts w:ascii="Verdana" w:hAnsi="Verdana" w:cs="Arial"/>
          <w:color w:val="000000" w:themeColor="text1"/>
          <w:sz w:val="20"/>
          <w:szCs w:val="20"/>
          <w:lang w:val="es-ES"/>
        </w:rPr>
        <w:t xml:space="preserve">Conforme al artículo 96 de la Ley 2220 de 2022, la presentación de la petición de convocatoria de conciliación extrajudicial ante los agentes del Ministerio Público suspende el término de caducidad del medio de control. Según el caso, dicha suspensión se da hasta i) la ejecutoria de la providencia que imprueba del acuerdo conciliatorio, </w:t>
      </w:r>
      <w:proofErr w:type="spellStart"/>
      <w:r w:rsidRPr="0026645A">
        <w:rPr>
          <w:rFonts w:ascii="Verdana" w:hAnsi="Verdana" w:cs="Arial"/>
          <w:color w:val="000000" w:themeColor="text1"/>
          <w:sz w:val="20"/>
          <w:szCs w:val="20"/>
          <w:lang w:val="es-ES"/>
        </w:rPr>
        <w:t>ii</w:t>
      </w:r>
      <w:proofErr w:type="spellEnd"/>
      <w:r w:rsidRPr="0026645A">
        <w:rPr>
          <w:rFonts w:ascii="Verdana" w:hAnsi="Verdana" w:cs="Arial"/>
          <w:color w:val="000000" w:themeColor="text1"/>
          <w:sz w:val="20"/>
          <w:szCs w:val="20"/>
          <w:lang w:val="es-ES"/>
        </w:rPr>
        <w:t xml:space="preserve">) expedición de las constancias a las que se refiere el marco regulatorio de la ley citada, </w:t>
      </w:r>
      <w:proofErr w:type="spellStart"/>
      <w:r w:rsidRPr="0026645A">
        <w:rPr>
          <w:rFonts w:ascii="Verdana" w:hAnsi="Verdana" w:cs="Arial"/>
          <w:color w:val="000000" w:themeColor="text1"/>
          <w:sz w:val="20"/>
          <w:szCs w:val="20"/>
          <w:lang w:val="es-ES"/>
        </w:rPr>
        <w:t>iii</w:t>
      </w:r>
      <w:proofErr w:type="spellEnd"/>
      <w:r w:rsidRPr="0026645A">
        <w:rPr>
          <w:rFonts w:ascii="Verdana" w:hAnsi="Verdana" w:cs="Arial"/>
          <w:color w:val="000000" w:themeColor="text1"/>
          <w:sz w:val="20"/>
          <w:szCs w:val="20"/>
          <w:lang w:val="es-ES"/>
        </w:rPr>
        <w:t xml:space="preserve">) el vencimiento del término de tres (3) meses contados a partir de la presentación de la solicitud, lo primero que ocurra. </w:t>
      </w:r>
    </w:p>
    <w:p w14:paraId="277198F0" w14:textId="77777777" w:rsidR="005B6723" w:rsidRPr="0026645A" w:rsidRDefault="005B6723" w:rsidP="005B6723">
      <w:pPr>
        <w:spacing w:after="0" w:line="240" w:lineRule="auto"/>
        <w:jc w:val="both"/>
        <w:rPr>
          <w:rFonts w:ascii="Verdana" w:hAnsi="Verdana" w:cs="Arial"/>
          <w:color w:val="000000" w:themeColor="text1"/>
          <w:sz w:val="20"/>
          <w:szCs w:val="20"/>
          <w:lang w:val="es-ES"/>
        </w:rPr>
      </w:pPr>
    </w:p>
    <w:p w14:paraId="4C04FDDD" w14:textId="77777777" w:rsidR="005B6723" w:rsidRDefault="005B6723" w:rsidP="005B6723">
      <w:pPr>
        <w:spacing w:after="0" w:line="240" w:lineRule="auto"/>
        <w:jc w:val="both"/>
        <w:rPr>
          <w:rFonts w:ascii="Verdana" w:hAnsi="Verdana" w:cs="Arial"/>
          <w:color w:val="000000" w:themeColor="text1"/>
          <w:sz w:val="20"/>
          <w:szCs w:val="20"/>
          <w:lang w:val="es-ES"/>
        </w:rPr>
      </w:pPr>
      <w:r w:rsidRPr="0026645A">
        <w:rPr>
          <w:rFonts w:ascii="Verdana" w:hAnsi="Verdana" w:cs="Arial"/>
          <w:color w:val="000000" w:themeColor="text1"/>
          <w:sz w:val="20"/>
          <w:szCs w:val="20"/>
          <w:lang w:val="es-ES"/>
        </w:rPr>
        <w:t xml:space="preserve">De acuerdo con el artículo 98.1 </w:t>
      </w:r>
      <w:r w:rsidRPr="0026645A">
        <w:rPr>
          <w:rFonts w:ascii="Verdana" w:hAnsi="Verdana" w:cs="Arial"/>
          <w:i/>
          <w:iCs/>
          <w:color w:val="000000" w:themeColor="text1"/>
          <w:sz w:val="20"/>
          <w:szCs w:val="20"/>
          <w:lang w:val="es-ES"/>
        </w:rPr>
        <w:t>ibidem</w:t>
      </w:r>
      <w:r w:rsidRPr="0026645A">
        <w:rPr>
          <w:rFonts w:ascii="Verdana" w:hAnsi="Verdana" w:cs="Arial"/>
          <w:color w:val="000000" w:themeColor="text1"/>
          <w:sz w:val="20"/>
          <w:szCs w:val="20"/>
          <w:lang w:val="es-ES"/>
        </w:rPr>
        <w:t xml:space="preserve">, es necesario tener en cuenta que los agentes del Ministerio Público tienen atribuciones para “Admitir, inadmitir, rechazar o declarar desistida la solicitud de conciliación extrajudicial. </w:t>
      </w:r>
      <w:r w:rsidRPr="0026645A">
        <w:rPr>
          <w:rFonts w:ascii="Verdana" w:hAnsi="Verdana" w:cs="Arial"/>
          <w:i/>
          <w:iCs/>
          <w:color w:val="000000" w:themeColor="text1"/>
          <w:sz w:val="20"/>
          <w:szCs w:val="20"/>
          <w:lang w:val="es-ES"/>
        </w:rPr>
        <w:t>Cuando se declare desistida se entenderá como no presentada</w:t>
      </w:r>
      <w:r w:rsidRPr="0026645A">
        <w:rPr>
          <w:rFonts w:ascii="Verdana" w:hAnsi="Verdana" w:cs="Arial"/>
          <w:color w:val="000000" w:themeColor="text1"/>
          <w:sz w:val="20"/>
          <w:szCs w:val="20"/>
          <w:lang w:val="es-ES"/>
        </w:rPr>
        <w:t xml:space="preserve">” (Énfasis fuera de texto). La solicitud debe presentarse en las condiciones descritas en los artículos 100 y 101 de la Ley 2220 de 2022; razón por la cual, el inciso primero del artículo 102 </w:t>
      </w:r>
      <w:r w:rsidRPr="0026645A">
        <w:rPr>
          <w:rFonts w:ascii="Verdana" w:hAnsi="Verdana" w:cs="Arial"/>
          <w:i/>
          <w:iCs/>
          <w:color w:val="000000" w:themeColor="text1"/>
          <w:sz w:val="20"/>
          <w:szCs w:val="20"/>
          <w:lang w:val="es-ES"/>
        </w:rPr>
        <w:t>ibidem</w:t>
      </w:r>
      <w:r w:rsidRPr="0026645A">
        <w:rPr>
          <w:rFonts w:ascii="Verdana" w:hAnsi="Verdana" w:cs="Arial"/>
          <w:color w:val="000000" w:themeColor="text1"/>
          <w:sz w:val="20"/>
          <w:szCs w:val="20"/>
          <w:lang w:val="es-ES"/>
        </w:rPr>
        <w:t xml:space="preserve"> establece que “[…] En caso de incumplimiento, mediante decisión contra la que no procederán recursos, [El agente del Ministerio Público] indicará al solicitante los defectos que debe subsanar, para lo cual concederá un término de cinco (5) días contados a partir del día siguiente de la comunicación de la decisión” (Corchetes fuera de texto). </w:t>
      </w:r>
    </w:p>
    <w:p w14:paraId="768BD67B" w14:textId="77777777" w:rsidR="005B6723" w:rsidRPr="0026645A" w:rsidRDefault="005B6723" w:rsidP="005B6723">
      <w:pPr>
        <w:spacing w:after="0" w:line="240" w:lineRule="auto"/>
        <w:jc w:val="both"/>
        <w:rPr>
          <w:rFonts w:ascii="Verdana" w:hAnsi="Verdana" w:cs="Arial"/>
          <w:color w:val="000000" w:themeColor="text1"/>
          <w:sz w:val="20"/>
          <w:szCs w:val="20"/>
          <w:lang w:val="es-ES"/>
        </w:rPr>
      </w:pPr>
    </w:p>
    <w:p w14:paraId="6DB02CA9" w14:textId="77777777" w:rsidR="005B6723" w:rsidRPr="0026645A" w:rsidRDefault="005B6723" w:rsidP="005B6723">
      <w:pPr>
        <w:spacing w:after="0" w:line="240" w:lineRule="auto"/>
        <w:jc w:val="both"/>
        <w:rPr>
          <w:rFonts w:ascii="Verdana" w:hAnsi="Verdana" w:cs="Arial"/>
          <w:bCs/>
          <w:color w:val="000000" w:themeColor="text1"/>
          <w:sz w:val="20"/>
          <w:szCs w:val="20"/>
        </w:rPr>
      </w:pPr>
      <w:r w:rsidRPr="0026645A">
        <w:rPr>
          <w:rFonts w:ascii="Verdana" w:hAnsi="Verdana" w:cs="Arial"/>
          <w:color w:val="000000" w:themeColor="text1"/>
          <w:sz w:val="20"/>
          <w:szCs w:val="20"/>
          <w:lang w:val="es-ES"/>
        </w:rPr>
        <w:t>Por ello, el inciso tercero del artículo 102 de la Ley 2220 de 2022 prescribe que “</w:t>
      </w:r>
      <w:r w:rsidRPr="0026645A">
        <w:rPr>
          <w:rFonts w:ascii="Verdana" w:hAnsi="Verdana" w:cs="Arial"/>
          <w:i/>
          <w:iCs/>
          <w:color w:val="000000" w:themeColor="text1"/>
          <w:sz w:val="20"/>
          <w:szCs w:val="20"/>
          <w:lang w:val="es-ES"/>
        </w:rPr>
        <w:t>Si vencido el término para subsanar no se corrigen los defectos indicados, mediante decisión que se comunicará al convocante, se declarará el desistimiento de la solicitud y se tendrá por no presentada</w:t>
      </w:r>
      <w:r w:rsidRPr="0026645A">
        <w:rPr>
          <w:rFonts w:ascii="Verdana" w:hAnsi="Verdana" w:cs="Arial"/>
          <w:color w:val="000000" w:themeColor="text1"/>
          <w:sz w:val="20"/>
          <w:szCs w:val="20"/>
          <w:lang w:val="es-ES"/>
        </w:rPr>
        <w:t xml:space="preserve">” (Cursiva fuera de texto). Por el contrario, si se subsana oportunamente, no existe desistimiento y la solicitud se tendrá por presentada. Conforme a lo explicado </w:t>
      </w:r>
      <w:r w:rsidRPr="0026645A">
        <w:rPr>
          <w:rFonts w:ascii="Verdana" w:hAnsi="Verdana" w:cs="Arial"/>
          <w:i/>
          <w:iCs/>
          <w:color w:val="000000" w:themeColor="text1"/>
          <w:sz w:val="20"/>
          <w:szCs w:val="20"/>
          <w:lang w:val="es-ES"/>
        </w:rPr>
        <w:t>ut supra</w:t>
      </w:r>
      <w:r w:rsidRPr="0026645A">
        <w:rPr>
          <w:rFonts w:ascii="Verdana" w:hAnsi="Verdana" w:cs="Arial"/>
          <w:color w:val="000000" w:themeColor="text1"/>
          <w:sz w:val="20"/>
          <w:szCs w:val="20"/>
          <w:lang w:val="es-ES"/>
        </w:rPr>
        <w:t>, la fecha de la presentación de la solicitud es la que define el inicio de suspensión de la caducidad del medio de control; luego, en caso de subsanación oportuna, la conciliación para efectos del requisito de procedibilidad se entendería presentada desde la fecha de radicación de la solicitud inicial</w:t>
      </w:r>
      <w:r w:rsidRPr="002314D1">
        <w:rPr>
          <w:rFonts w:ascii="Verdana" w:hAnsi="Verdana" w:cs="Arial"/>
          <w:color w:val="000000" w:themeColor="text1"/>
          <w:sz w:val="20"/>
          <w:szCs w:val="20"/>
          <w:lang w:val="es-ES_tradnl"/>
        </w:rPr>
        <w:t>.</w:t>
      </w:r>
    </w:p>
    <w:p w14:paraId="1AAE3287" w14:textId="77777777" w:rsidR="005B6723" w:rsidRDefault="005B6723" w:rsidP="005B6723">
      <w:pPr>
        <w:spacing w:after="0" w:line="240" w:lineRule="auto"/>
        <w:jc w:val="both"/>
        <w:rPr>
          <w:rFonts w:ascii="Verdana" w:hAnsi="Verdana" w:cs="Arial"/>
          <w:color w:val="000000" w:themeColor="text1"/>
          <w:sz w:val="20"/>
          <w:szCs w:val="20"/>
          <w:lang w:val="es-ES_tradnl"/>
        </w:rPr>
      </w:pPr>
    </w:p>
    <w:p w14:paraId="27D52482" w14:textId="77777777" w:rsidR="005B6723" w:rsidRPr="0026645A" w:rsidRDefault="005B6723" w:rsidP="005B6723">
      <w:pPr>
        <w:spacing w:after="0" w:line="240" w:lineRule="auto"/>
        <w:jc w:val="both"/>
        <w:rPr>
          <w:rFonts w:ascii="Verdana" w:hAnsi="Verdana" w:cs="Arial"/>
          <w:color w:val="000000" w:themeColor="text1"/>
          <w:sz w:val="20"/>
          <w:szCs w:val="20"/>
          <w:lang w:val="es-ES"/>
        </w:rPr>
      </w:pPr>
    </w:p>
    <w:p w14:paraId="36E6634C" w14:textId="77777777" w:rsidR="005B6723" w:rsidRPr="009B46EA" w:rsidRDefault="005B6723" w:rsidP="005B6723">
      <w:pPr>
        <w:spacing w:after="0" w:line="240" w:lineRule="auto"/>
        <w:jc w:val="both"/>
        <w:rPr>
          <w:rFonts w:ascii="Verdana" w:hAnsi="Verdana" w:cs="Arial"/>
          <w:color w:val="000000" w:themeColor="text1"/>
          <w:sz w:val="20"/>
          <w:szCs w:val="20"/>
          <w:lang w:val="es-ES_tradnl"/>
        </w:rPr>
      </w:pPr>
    </w:p>
    <w:p w14:paraId="3F7C2CCE" w14:textId="77777777" w:rsidR="005B6723" w:rsidRDefault="005B6723" w:rsidP="005B6723">
      <w:pPr>
        <w:spacing w:after="0" w:line="240" w:lineRule="auto"/>
        <w:jc w:val="both"/>
        <w:rPr>
          <w:rFonts w:ascii="Verdana" w:eastAsia="Calibri" w:hAnsi="Verdana" w:cs="Arial"/>
          <w:b/>
          <w:color w:val="000000" w:themeColor="text1"/>
          <w:lang w:val="es-ES_tradnl"/>
        </w:rPr>
      </w:pPr>
    </w:p>
    <w:p w14:paraId="19CFBEA5" w14:textId="77777777" w:rsidR="005B6723" w:rsidRDefault="005B6723" w:rsidP="005B6723">
      <w:pPr>
        <w:spacing w:after="0" w:line="240" w:lineRule="auto"/>
        <w:jc w:val="both"/>
        <w:rPr>
          <w:rFonts w:ascii="Verdana" w:eastAsia="Calibri" w:hAnsi="Verdana" w:cs="Arial"/>
          <w:b/>
          <w:color w:val="000000" w:themeColor="text1"/>
          <w:lang w:val="es-ES_tradnl"/>
        </w:rPr>
      </w:pPr>
    </w:p>
    <w:p w14:paraId="51D17152" w14:textId="77777777" w:rsidR="005B6723" w:rsidRDefault="005B6723" w:rsidP="005B6723">
      <w:pPr>
        <w:spacing w:after="0" w:line="240" w:lineRule="auto"/>
        <w:jc w:val="both"/>
        <w:rPr>
          <w:rFonts w:ascii="Verdana" w:eastAsia="Calibri" w:hAnsi="Verdana" w:cs="Arial"/>
          <w:b/>
          <w:color w:val="000000" w:themeColor="text1"/>
          <w:lang w:val="es-ES_tradnl"/>
        </w:rPr>
      </w:pPr>
    </w:p>
    <w:p w14:paraId="6AF52529" w14:textId="77777777" w:rsidR="005B6723" w:rsidRDefault="005B6723" w:rsidP="005B6723">
      <w:pPr>
        <w:spacing w:after="0" w:line="240" w:lineRule="auto"/>
        <w:jc w:val="both"/>
        <w:rPr>
          <w:rFonts w:ascii="Verdana" w:eastAsia="Calibri" w:hAnsi="Verdana" w:cs="Arial"/>
          <w:b/>
          <w:color w:val="000000" w:themeColor="text1"/>
          <w:lang w:val="es-ES_tradnl"/>
        </w:rPr>
      </w:pPr>
    </w:p>
    <w:p w14:paraId="599F95F2" w14:textId="77777777" w:rsidR="005B6723" w:rsidRDefault="005B6723" w:rsidP="005B6723">
      <w:pPr>
        <w:spacing w:after="0" w:line="240" w:lineRule="auto"/>
        <w:jc w:val="both"/>
        <w:rPr>
          <w:rFonts w:ascii="Verdana" w:eastAsia="Calibri" w:hAnsi="Verdana" w:cs="Arial"/>
          <w:b/>
          <w:color w:val="000000" w:themeColor="text1"/>
          <w:lang w:val="es-ES_tradnl"/>
        </w:rPr>
      </w:pPr>
    </w:p>
    <w:p w14:paraId="5A484F16" w14:textId="77777777" w:rsidR="005B6723" w:rsidRDefault="005B6723" w:rsidP="005B6723">
      <w:pPr>
        <w:spacing w:after="0" w:line="240" w:lineRule="auto"/>
        <w:jc w:val="both"/>
        <w:rPr>
          <w:rFonts w:ascii="Verdana" w:eastAsia="Calibri" w:hAnsi="Verdana" w:cs="Arial"/>
          <w:b/>
          <w:color w:val="000000" w:themeColor="text1"/>
          <w:lang w:val="es-ES_tradnl"/>
        </w:rPr>
      </w:pPr>
    </w:p>
    <w:p w14:paraId="230EE798" w14:textId="77777777" w:rsidR="005B6723" w:rsidRDefault="005B6723" w:rsidP="005B6723">
      <w:pPr>
        <w:spacing w:after="0" w:line="240" w:lineRule="auto"/>
        <w:jc w:val="both"/>
        <w:rPr>
          <w:rFonts w:ascii="Verdana" w:eastAsia="Geomanist Light" w:hAnsi="Verdana" w:cs="Arial"/>
          <w:color w:val="000000" w:themeColor="text1"/>
          <w:lang w:val="es-MX"/>
        </w:rPr>
      </w:pPr>
    </w:p>
    <w:p w14:paraId="0DD77B94" w14:textId="77777777" w:rsidR="005B6723" w:rsidRDefault="005B6723" w:rsidP="005B6723">
      <w:pPr>
        <w:spacing w:after="0" w:line="240" w:lineRule="auto"/>
        <w:jc w:val="both"/>
        <w:rPr>
          <w:rFonts w:ascii="Verdana" w:eastAsia="Geomanist Light" w:hAnsi="Verdana" w:cs="Arial"/>
          <w:color w:val="000000" w:themeColor="text1"/>
          <w:lang w:val="es-MX"/>
        </w:rPr>
      </w:pPr>
    </w:p>
    <w:p w14:paraId="1EAC8993" w14:textId="77777777" w:rsidR="005B6723" w:rsidRDefault="005B6723" w:rsidP="005B6723">
      <w:pPr>
        <w:spacing w:after="0" w:line="240" w:lineRule="auto"/>
        <w:jc w:val="both"/>
        <w:rPr>
          <w:rFonts w:ascii="Verdana" w:eastAsia="Geomanist Light" w:hAnsi="Verdana" w:cs="Arial"/>
          <w:color w:val="000000" w:themeColor="text1"/>
          <w:lang w:val="es-MX"/>
        </w:rPr>
      </w:pPr>
    </w:p>
    <w:p w14:paraId="5C2697B4" w14:textId="77777777" w:rsidR="005B6723" w:rsidRDefault="005B6723" w:rsidP="005B6723">
      <w:pPr>
        <w:spacing w:after="0" w:line="240" w:lineRule="auto"/>
        <w:jc w:val="both"/>
        <w:rPr>
          <w:rFonts w:ascii="Verdana" w:eastAsia="Geomanist Light" w:hAnsi="Verdana" w:cs="Arial"/>
          <w:color w:val="000000" w:themeColor="text1"/>
          <w:lang w:val="es-MX"/>
        </w:rPr>
      </w:pPr>
    </w:p>
    <w:p w14:paraId="4F96C349" w14:textId="77777777" w:rsidR="005B6723" w:rsidRDefault="005B6723" w:rsidP="005B6723">
      <w:pPr>
        <w:spacing w:after="0" w:line="240" w:lineRule="auto"/>
        <w:jc w:val="both"/>
        <w:rPr>
          <w:rFonts w:ascii="Verdana" w:eastAsia="Geomanist Light" w:hAnsi="Verdana" w:cs="Arial"/>
          <w:color w:val="000000" w:themeColor="text1"/>
          <w:lang w:val="es-MX"/>
        </w:rPr>
      </w:pPr>
    </w:p>
    <w:p w14:paraId="62529A01" w14:textId="77777777" w:rsidR="005B6723" w:rsidRDefault="005B6723" w:rsidP="0054540B">
      <w:pPr>
        <w:spacing w:after="0" w:line="240" w:lineRule="auto"/>
        <w:jc w:val="both"/>
        <w:rPr>
          <w:rFonts w:ascii="Verdana" w:eastAsia="Geomanist Light" w:hAnsi="Verdana" w:cs="Arial"/>
          <w:color w:val="000000" w:themeColor="text1"/>
          <w:lang w:val="es-MX"/>
        </w:rPr>
      </w:pPr>
    </w:p>
    <w:p w14:paraId="1332B2EB" w14:textId="7A3870F7" w:rsidR="0054540B" w:rsidRPr="000666BB" w:rsidRDefault="0054540B" w:rsidP="0054540B">
      <w:pPr>
        <w:spacing w:after="0" w:line="240" w:lineRule="auto"/>
        <w:jc w:val="both"/>
        <w:rPr>
          <w:rFonts w:ascii="Verdana" w:eastAsia="Times New Roman" w:hAnsi="Verdana" w:cs="Arial"/>
          <w:color w:val="000000"/>
          <w:sz w:val="20"/>
          <w:szCs w:val="20"/>
          <w:lang w:eastAsia="es-MX"/>
        </w:rPr>
      </w:pPr>
      <w:r w:rsidRPr="00593A5F">
        <w:rPr>
          <w:rFonts w:ascii="Verdana" w:eastAsia="Geomanist Light" w:hAnsi="Verdana" w:cs="Arial"/>
          <w:color w:val="000000" w:themeColor="text1"/>
          <w:lang w:val="es-MX"/>
        </w:rPr>
        <w:lastRenderedPageBreak/>
        <w:t>Bogotá D.C., </w:t>
      </w:r>
      <w:r w:rsidR="00D87F10" w:rsidRPr="00D87F10">
        <w:rPr>
          <w:rFonts w:ascii="Verdana" w:eastAsia="Geomanist Light" w:hAnsi="Verdana" w:cs="Arial"/>
          <w:color w:val="000000" w:themeColor="text1"/>
          <w:lang w:val="es-MX"/>
        </w:rPr>
        <w:t>10 de Febrero de 2026</w:t>
      </w:r>
    </w:p>
    <w:p w14:paraId="1B06A8EE" w14:textId="77777777" w:rsidR="0054540B" w:rsidRDefault="0054540B" w:rsidP="0054540B">
      <w:pPr>
        <w:spacing w:after="0" w:line="240" w:lineRule="auto"/>
        <w:jc w:val="both"/>
        <w:rPr>
          <w:rFonts w:ascii="Verdana" w:eastAsia="Calibri" w:hAnsi="Verdana" w:cs="Arial"/>
          <w:color w:val="000000"/>
          <w:lang w:val="es-ES"/>
        </w:rPr>
      </w:pPr>
    </w:p>
    <w:p w14:paraId="3F0AC9C9" w14:textId="4FF28985" w:rsidR="00D87F10" w:rsidRDefault="00D87F10" w:rsidP="00D87F10">
      <w:pPr>
        <w:spacing w:after="0" w:line="240" w:lineRule="auto"/>
        <w:jc w:val="right"/>
        <w:rPr>
          <w:rFonts w:ascii="Verdana" w:eastAsia="Calibri" w:hAnsi="Verdana" w:cs="Arial"/>
          <w:color w:val="000000"/>
          <w:lang w:val="es-ES"/>
        </w:rPr>
      </w:pPr>
      <w:r w:rsidRPr="00D87F10">
        <w:rPr>
          <w:rFonts w:ascii="Verdana" w:eastAsia="Calibri" w:hAnsi="Verdana" w:cs="Arial"/>
          <w:noProof/>
          <w:color w:val="000000"/>
          <w:lang w:val="es-ES"/>
        </w:rPr>
        <w:drawing>
          <wp:inline distT="0" distB="0" distL="0" distR="0" wp14:anchorId="26928045" wp14:editId="5D4F9F72">
            <wp:extent cx="3238500" cy="901700"/>
            <wp:effectExtent l="0" t="0" r="0" b="0"/>
            <wp:docPr id="54297897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978978" name=""/>
                    <pic:cNvPicPr/>
                  </pic:nvPicPr>
                  <pic:blipFill>
                    <a:blip r:embed="rId10"/>
                    <a:stretch>
                      <a:fillRect/>
                    </a:stretch>
                  </pic:blipFill>
                  <pic:spPr>
                    <a:xfrm>
                      <a:off x="0" y="0"/>
                      <a:ext cx="3238500" cy="901700"/>
                    </a:xfrm>
                    <a:prstGeom prst="rect">
                      <a:avLst/>
                    </a:prstGeom>
                  </pic:spPr>
                </pic:pic>
              </a:graphicData>
            </a:graphic>
          </wp:inline>
        </w:drawing>
      </w:r>
    </w:p>
    <w:p w14:paraId="698B77D8" w14:textId="77777777" w:rsidR="0054540B" w:rsidRPr="00593A5F" w:rsidRDefault="0054540B" w:rsidP="0054540B">
      <w:pPr>
        <w:spacing w:after="0" w:line="240" w:lineRule="auto"/>
        <w:jc w:val="both"/>
        <w:rPr>
          <w:rFonts w:ascii="Verdana" w:eastAsia="Calibri" w:hAnsi="Verdana" w:cs="Arial"/>
          <w:color w:val="000000"/>
          <w:lang w:val="es-ES"/>
        </w:rPr>
      </w:pPr>
    </w:p>
    <w:p w14:paraId="26817AF4" w14:textId="77777777" w:rsidR="0054540B" w:rsidRPr="00B96799" w:rsidRDefault="0054540B" w:rsidP="0054540B">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5056A22E" w14:textId="77777777" w:rsidR="0054540B" w:rsidRPr="0085423D" w:rsidRDefault="0054540B" w:rsidP="0054540B">
      <w:pPr>
        <w:spacing w:after="0" w:line="240" w:lineRule="auto"/>
        <w:rPr>
          <w:rFonts w:ascii="Verdana" w:eastAsia="Calibri" w:hAnsi="Verdana" w:cs="Arial"/>
          <w:b/>
          <w:lang w:val="es-ES_tradnl" w:eastAsia="es-ES_tradnl"/>
        </w:rPr>
      </w:pPr>
      <w:bookmarkStart w:id="1" w:name="OLE_LINK1"/>
      <w:r>
        <w:rPr>
          <w:rFonts w:ascii="Verdana" w:eastAsia="Calibri" w:hAnsi="Verdana" w:cs="Arial"/>
          <w:b/>
          <w:lang w:val="es-ES_tradnl" w:eastAsia="es-ES_tradnl"/>
        </w:rPr>
        <w:t>Peticionario anónimo</w:t>
      </w:r>
      <w:r w:rsidRPr="00A804BA">
        <w:rPr>
          <w:rFonts w:ascii="Verdana" w:eastAsia="Calibri" w:hAnsi="Verdana" w:cs="Arial"/>
          <w:b/>
          <w:lang w:val="es-ES_tradnl" w:eastAsia="es-ES_tradnl"/>
        </w:rPr>
        <w:t xml:space="preserve"> </w:t>
      </w:r>
      <w:r>
        <w:rPr>
          <w:rFonts w:ascii="Verdana" w:eastAsia="Calibri" w:hAnsi="Verdana" w:cs="Arial"/>
          <w:b/>
          <w:lang w:val="es-ES_tradnl" w:eastAsia="es-ES_tradnl"/>
        </w:rPr>
        <w:t xml:space="preserve"> </w:t>
      </w:r>
    </w:p>
    <w:bookmarkEnd w:id="1"/>
    <w:p w14:paraId="269899C0" w14:textId="77777777" w:rsidR="0054540B" w:rsidRPr="00A804BA" w:rsidRDefault="0054540B" w:rsidP="0054540B">
      <w:pPr>
        <w:spacing w:after="0" w:line="240" w:lineRule="auto"/>
        <w:rPr>
          <w:rFonts w:ascii="Verdana" w:eastAsia="Calibri" w:hAnsi="Verdana" w:cs="Arial"/>
          <w:lang w:val="es-ES" w:eastAsia="es-ES"/>
        </w:rPr>
      </w:pPr>
      <w:r>
        <w:rPr>
          <w:rFonts w:ascii="Verdana" w:hAnsi="Verdana"/>
        </w:rPr>
        <w:fldChar w:fldCharType="begin"/>
      </w:r>
      <w:r>
        <w:rPr>
          <w:rFonts w:ascii="Verdana" w:hAnsi="Verdana"/>
        </w:rPr>
        <w:instrText>HYPERLINK "mailto:</w:instrText>
      </w:r>
      <w:r w:rsidRPr="004E108E">
        <w:rPr>
          <w:rFonts w:ascii="Verdana" w:hAnsi="Verdana"/>
        </w:rPr>
        <w:instrText>valentiina2345678@gmail.com</w:instrText>
      </w:r>
      <w:r>
        <w:rPr>
          <w:rFonts w:ascii="Verdana" w:hAnsi="Verdana"/>
        </w:rPr>
        <w:instrText>"</w:instrText>
      </w:r>
      <w:r>
        <w:rPr>
          <w:rFonts w:ascii="Verdana" w:hAnsi="Verdana"/>
        </w:rPr>
      </w:r>
      <w:r>
        <w:rPr>
          <w:rFonts w:ascii="Verdana" w:hAnsi="Verdana"/>
        </w:rPr>
        <w:fldChar w:fldCharType="separate"/>
      </w:r>
      <w:r w:rsidRPr="0042784B">
        <w:rPr>
          <w:rStyle w:val="Hipervnculo"/>
          <w:rFonts w:ascii="Verdana" w:hAnsi="Verdana"/>
        </w:rPr>
        <w:t>valentiina2345678@gmail.com</w:t>
      </w:r>
      <w:r>
        <w:rPr>
          <w:rFonts w:ascii="Verdana" w:hAnsi="Verdana"/>
        </w:rPr>
        <w:fldChar w:fldCharType="end"/>
      </w:r>
      <w:r>
        <w:rPr>
          <w:rFonts w:ascii="Verdana" w:hAnsi="Verdana"/>
        </w:rPr>
        <w:t xml:space="preserve">           </w:t>
      </w:r>
      <w:r w:rsidRPr="00A804BA">
        <w:rPr>
          <w:rFonts w:ascii="Verdana" w:hAnsi="Verdana"/>
        </w:rPr>
        <w:t xml:space="preserve">            </w:t>
      </w:r>
      <w:r w:rsidRPr="00A804BA">
        <w:rPr>
          <w:rFonts w:ascii="Verdana" w:eastAsia="Calibri" w:hAnsi="Verdana" w:cs="Arial"/>
          <w:lang w:val="es-ES" w:eastAsia="es-ES"/>
        </w:rPr>
        <w:t xml:space="preserve">    </w:t>
      </w:r>
    </w:p>
    <w:p w14:paraId="474F28D3" w14:textId="77777777" w:rsidR="0054540B" w:rsidRDefault="0054540B" w:rsidP="0054540B">
      <w:pPr>
        <w:spacing w:after="0" w:line="240" w:lineRule="auto"/>
        <w:rPr>
          <w:rFonts w:ascii="Verdana" w:eastAsia="Calibri" w:hAnsi="Verdana" w:cs="Arial"/>
          <w:lang w:val="es-ES" w:eastAsia="es-ES"/>
        </w:rPr>
      </w:pPr>
      <w:r>
        <w:rPr>
          <w:rFonts w:ascii="Verdana" w:eastAsia="Calibri" w:hAnsi="Verdana" w:cs="Arial"/>
          <w:lang w:val="es-ES" w:eastAsia="es-ES"/>
        </w:rPr>
        <w:t xml:space="preserve">Ciudad </w:t>
      </w:r>
    </w:p>
    <w:p w14:paraId="42DE0AD5" w14:textId="77777777" w:rsidR="0054540B" w:rsidRPr="00593A5F" w:rsidRDefault="0054540B" w:rsidP="0054540B">
      <w:pPr>
        <w:spacing w:after="0" w:line="240" w:lineRule="auto"/>
        <w:rPr>
          <w:rFonts w:ascii="Verdana" w:eastAsia="Calibri" w:hAnsi="Verdana" w:cs="Arial"/>
          <w:b/>
          <w:bCs/>
          <w:color w:val="000000"/>
          <w:lang w:val="es-ES_tradnl" w:eastAsia="es-ES_tradnl"/>
        </w:rPr>
      </w:pPr>
    </w:p>
    <w:p w14:paraId="5B526199" w14:textId="77777777" w:rsidR="0054540B" w:rsidRPr="00593A5F" w:rsidRDefault="0054540B" w:rsidP="0054540B">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4540B" w:rsidRPr="00593A5F" w14:paraId="3B39807D" w14:textId="77777777" w:rsidTr="00456757">
        <w:trPr>
          <w:trHeight w:val="884"/>
        </w:trPr>
        <w:tc>
          <w:tcPr>
            <w:tcW w:w="2689" w:type="dxa"/>
          </w:tcPr>
          <w:p w14:paraId="02770AB8" w14:textId="77777777" w:rsidR="0054540B" w:rsidRPr="00C00976" w:rsidRDefault="0054540B" w:rsidP="00456757">
            <w:pPr>
              <w:jc w:val="both"/>
              <w:rPr>
                <w:rFonts w:ascii="Verdana" w:eastAsia="Calibri" w:hAnsi="Verdana" w:cs="Arial"/>
                <w:b/>
                <w:bCs/>
                <w:color w:val="7030A0"/>
                <w:lang w:val="es-ES_tradnl" w:eastAsia="es-ES_tradnl"/>
              </w:rPr>
            </w:pPr>
          </w:p>
        </w:tc>
        <w:tc>
          <w:tcPr>
            <w:tcW w:w="6100" w:type="dxa"/>
          </w:tcPr>
          <w:p w14:paraId="2BE2EA0B" w14:textId="4BCA76F3" w:rsidR="0054540B" w:rsidRPr="00C00976" w:rsidRDefault="0054540B" w:rsidP="00456757">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806793">
              <w:rPr>
                <w:rFonts w:ascii="Verdana" w:eastAsia="Calibri" w:hAnsi="Verdana" w:cs="Arial"/>
                <w:b/>
                <w:bCs/>
                <w:lang w:val="es-ES" w:eastAsia="es-ES"/>
              </w:rPr>
              <w:t>138</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54540B" w:rsidRPr="00593A5F" w14:paraId="50797204" w14:textId="77777777" w:rsidTr="00456757">
        <w:trPr>
          <w:trHeight w:val="884"/>
        </w:trPr>
        <w:tc>
          <w:tcPr>
            <w:tcW w:w="2689" w:type="dxa"/>
          </w:tcPr>
          <w:p w14:paraId="280319BF" w14:textId="77777777" w:rsidR="0054540B" w:rsidRPr="00593A5F" w:rsidRDefault="0054540B" w:rsidP="00456757">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19FF822A" w14:textId="77777777" w:rsidR="0054540B" w:rsidRDefault="0054540B" w:rsidP="00456757">
            <w:pPr>
              <w:spacing w:line="276" w:lineRule="auto"/>
              <w:jc w:val="both"/>
              <w:rPr>
                <w:rFonts w:ascii="Verdana" w:eastAsia="Calibri" w:hAnsi="Verdana" w:cs="Arial"/>
                <w:lang w:val="es-ES" w:eastAsia="es-ES"/>
              </w:rPr>
            </w:pPr>
            <w:r w:rsidRPr="006B7631">
              <w:rPr>
                <w:rFonts w:ascii="Verdana" w:eastAsia="Calibri" w:hAnsi="Verdana" w:cs="Arial"/>
                <w:lang w:val="es-ES" w:eastAsia="es-ES"/>
              </w:rPr>
              <w:t>ACTO DE ADJUDICACIÓN – Naturaleza jurídica – Características / ACTO DE ADJUDICACIÓN – Carácter vinculante /</w:t>
            </w:r>
            <w:r>
              <w:rPr>
                <w:rFonts w:ascii="Verdana" w:eastAsia="Calibri" w:hAnsi="Verdana" w:cs="Arial"/>
                <w:lang w:val="es-ES" w:eastAsia="es-ES"/>
              </w:rPr>
              <w:t xml:space="preserve"> </w:t>
            </w:r>
            <w:r w:rsidRPr="00056459">
              <w:rPr>
                <w:rFonts w:ascii="Verdana" w:eastAsia="Calibri" w:hAnsi="Verdana" w:cs="Arial"/>
                <w:lang w:val="es-ES" w:eastAsia="es-ES"/>
              </w:rPr>
              <w:t>REVOCATORIA DIRECTA – Causales excepcionales – Mecanismo de autotutela administrativa</w:t>
            </w:r>
            <w:r>
              <w:rPr>
                <w:rFonts w:ascii="Verdana" w:eastAsia="Calibri" w:hAnsi="Verdana" w:cs="Arial"/>
                <w:lang w:val="es-ES" w:eastAsia="es-ES"/>
              </w:rPr>
              <w:t xml:space="preserve"> / </w:t>
            </w:r>
            <w:r w:rsidRPr="00056459">
              <w:rPr>
                <w:rFonts w:ascii="Verdana" w:eastAsia="Calibri" w:hAnsi="Verdana" w:cs="Arial"/>
                <w:lang w:val="es-ES" w:eastAsia="es-ES"/>
              </w:rPr>
              <w:t>MEDIOS DE CONTROL – Nulidad y restablecimiento del derecho – Acto de Adjudicación</w:t>
            </w:r>
            <w:r>
              <w:rPr>
                <w:rFonts w:ascii="Verdana" w:eastAsia="Calibri" w:hAnsi="Verdana" w:cs="Arial"/>
                <w:lang w:val="es-ES" w:eastAsia="es-ES"/>
              </w:rPr>
              <w:t xml:space="preserve"> / </w:t>
            </w:r>
            <w:r w:rsidRPr="00056459">
              <w:rPr>
                <w:rFonts w:ascii="Verdana" w:eastAsia="Calibri" w:hAnsi="Verdana" w:cs="Arial"/>
                <w:lang w:val="es-ES" w:eastAsia="es-ES"/>
              </w:rPr>
              <w:t>NULIDAD Y RESTABLECIMIENTO DEL DERECHO – Requisitos de procedibilidad – Conciliación extrajudicial – Definición</w:t>
            </w:r>
            <w:r>
              <w:rPr>
                <w:rFonts w:ascii="Verdana" w:eastAsia="Calibri" w:hAnsi="Verdana" w:cs="Arial"/>
                <w:lang w:val="es-ES" w:eastAsia="es-ES"/>
              </w:rPr>
              <w:t xml:space="preserve"> </w:t>
            </w:r>
            <w:r w:rsidRPr="00FC682A">
              <w:rPr>
                <w:rFonts w:ascii="Verdana" w:eastAsia="Calibri" w:hAnsi="Verdana" w:cs="Arial"/>
                <w:lang w:val="es-ES" w:eastAsia="es-ES"/>
              </w:rPr>
              <w:t>– Control de legalidad – Compatibilidad</w:t>
            </w:r>
            <w:r>
              <w:rPr>
                <w:rFonts w:ascii="Verdana" w:eastAsia="Calibri" w:hAnsi="Verdana" w:cs="Arial"/>
                <w:lang w:val="es-ES" w:eastAsia="es-ES"/>
              </w:rPr>
              <w:t xml:space="preserve"> / </w:t>
            </w:r>
            <w:r w:rsidRPr="00056459">
              <w:rPr>
                <w:rFonts w:ascii="Verdana" w:eastAsia="Calibri" w:hAnsi="Verdana" w:cs="Arial"/>
                <w:lang w:val="es-ES" w:eastAsia="es-ES"/>
              </w:rPr>
              <w:t>CONCILIACIÓN EXTRAJUDICIAL – Medios de control – Efectos sobre la caducidad – Subsanación de la solicitud – Presentación oportuna</w:t>
            </w:r>
          </w:p>
          <w:p w14:paraId="7A314D8F" w14:textId="77777777" w:rsidR="0054540B" w:rsidRPr="00593A5F" w:rsidRDefault="0054540B" w:rsidP="00456757">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54540B" w:rsidRPr="008E6AD9" w14:paraId="788124C3" w14:textId="77777777" w:rsidTr="00456757">
        <w:tc>
          <w:tcPr>
            <w:tcW w:w="2689" w:type="dxa"/>
          </w:tcPr>
          <w:p w14:paraId="5E17E216" w14:textId="77777777" w:rsidR="0054540B" w:rsidRPr="008E6AD9" w:rsidRDefault="0054540B" w:rsidP="00456757">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55494FA4" w14:textId="77777777" w:rsidR="0054540B" w:rsidRPr="00B92340" w:rsidRDefault="0054540B" w:rsidP="00456757">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las </w:t>
            </w:r>
            <w:r w:rsidRPr="008E6AD9">
              <w:rPr>
                <w:rFonts w:ascii="Verdana" w:eastAsia="Calibri" w:hAnsi="Verdana" w:cs="Arial"/>
                <w:lang w:val="es-ES_tradnl" w:eastAsia="es-ES_tradnl"/>
              </w:rPr>
              <w:t>consulta</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con radicado</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No.</w:t>
            </w:r>
            <w:r>
              <w:t xml:space="preserve"> </w:t>
            </w:r>
            <w:r w:rsidRPr="00C809E2">
              <w:rPr>
                <w:rFonts w:ascii="Verdana" w:eastAsia="Calibri" w:hAnsi="Verdana" w:cs="Arial"/>
                <w:lang w:val="es-ES_tradnl" w:eastAsia="es-ES_tradnl"/>
              </w:rPr>
              <w:t xml:space="preserve">1_2026_01_31_001159 </w:t>
            </w:r>
            <w:r>
              <w:rPr>
                <w:rFonts w:ascii="Verdana" w:eastAsia="Calibri" w:hAnsi="Verdana" w:cs="Arial"/>
                <w:lang w:val="es-ES_tradnl" w:eastAsia="es-ES_tradnl"/>
              </w:rPr>
              <w:t>y</w:t>
            </w:r>
            <w:r w:rsidRPr="00C809E2">
              <w:rPr>
                <w:rFonts w:ascii="Verdana" w:eastAsia="Calibri" w:hAnsi="Verdana" w:cs="Arial"/>
                <w:lang w:val="es-ES_tradnl" w:eastAsia="es-ES_tradnl"/>
              </w:rPr>
              <w:t xml:space="preserve"> 1_2026_01_31_001160</w:t>
            </w:r>
            <w:r>
              <w:rPr>
                <w:rFonts w:ascii="Verdana" w:eastAsia="Calibri" w:hAnsi="Verdana" w:cs="Arial"/>
                <w:lang w:val="es-ES_tradnl" w:eastAsia="es-ES_tradnl"/>
              </w:rPr>
              <w:t xml:space="preserve">       –Acumulados–                                  </w:t>
            </w:r>
          </w:p>
        </w:tc>
      </w:tr>
    </w:tbl>
    <w:p w14:paraId="0D6C330C" w14:textId="77777777" w:rsidR="0054540B" w:rsidRPr="00593A5F" w:rsidRDefault="0054540B" w:rsidP="0054540B">
      <w:pPr>
        <w:spacing w:after="0" w:line="240" w:lineRule="auto"/>
        <w:jc w:val="both"/>
        <w:rPr>
          <w:rFonts w:ascii="Verdana" w:eastAsia="Calibri" w:hAnsi="Verdana" w:cs="Arial"/>
          <w:color w:val="000000"/>
          <w:lang w:val="es-ES_tradnl" w:eastAsia="es-ES_tradnl"/>
        </w:rPr>
      </w:pPr>
    </w:p>
    <w:p w14:paraId="0AEEFD8C" w14:textId="77777777" w:rsidR="0054540B" w:rsidRPr="00593A5F" w:rsidRDefault="0054540B" w:rsidP="0054540B">
      <w:pPr>
        <w:spacing w:after="0" w:line="240" w:lineRule="auto"/>
        <w:jc w:val="both"/>
        <w:rPr>
          <w:rFonts w:ascii="Verdana" w:eastAsia="Calibri" w:hAnsi="Verdana" w:cs="Arial"/>
          <w:color w:val="000000"/>
          <w:lang w:val="es-ES_tradnl" w:eastAsia="es-ES_tradnl"/>
        </w:rPr>
      </w:pPr>
    </w:p>
    <w:p w14:paraId="0D81A174" w14:textId="77777777" w:rsidR="0054540B" w:rsidRPr="008E6AD9" w:rsidRDefault="0054540B" w:rsidP="0054540B">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peticionario anónimo</w:t>
      </w:r>
      <w:r w:rsidRPr="008E6AD9">
        <w:rPr>
          <w:rFonts w:ascii="Verdana" w:eastAsia="Calibri" w:hAnsi="Verdana" w:cs="Arial"/>
          <w:lang w:val="es-ES" w:eastAsia="es-ES"/>
        </w:rPr>
        <w:t xml:space="preserve">: </w:t>
      </w:r>
    </w:p>
    <w:p w14:paraId="411B9E75" w14:textId="77777777" w:rsidR="0054540B" w:rsidRDefault="0054540B" w:rsidP="0054540B">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B9AB4A3" w14:textId="77777777" w:rsidR="0054540B" w:rsidRPr="00593A5F" w:rsidRDefault="0054540B" w:rsidP="0054540B">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lastRenderedPageBreak/>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w:t>
      </w:r>
      <w:r w:rsidRPr="00255F8E">
        <w:rPr>
          <w:rFonts w:ascii="Verdana" w:hAnsi="Verdana" w:cs="Arial"/>
        </w:rPr>
        <w:t>469 de 2025</w:t>
      </w:r>
      <w:r w:rsidRPr="00593A5F">
        <w:rPr>
          <w:rFonts w:ascii="Verdana" w:hAnsi="Verdana" w:cs="Arial"/>
        </w:rPr>
        <w:t xml:space="preserve"> expedida por esta Entidad, </w:t>
      </w:r>
      <w:r w:rsidRPr="000623DD">
        <w:rPr>
          <w:rFonts w:ascii="Verdana" w:eastAsia="Calibri" w:hAnsi="Verdana" w:cs="Arial"/>
          <w:color w:val="000000" w:themeColor="text1"/>
          <w:lang w:val="es-ES" w:eastAsia="es-ES"/>
        </w:rPr>
        <w:t>la Agencia Nacional de Contratación Pública – Colombia Compra Eficiente responde la</w:t>
      </w:r>
      <w:r>
        <w:rPr>
          <w:rFonts w:ascii="Verdana" w:eastAsia="Calibri" w:hAnsi="Verdana" w:cs="Arial"/>
          <w:color w:val="000000" w:themeColor="text1"/>
          <w:lang w:val="es-ES" w:eastAsia="es-ES"/>
        </w:rPr>
        <w:t>s</w:t>
      </w:r>
      <w:r w:rsidRPr="000623DD">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peticiones</w:t>
      </w:r>
      <w:r w:rsidRPr="000623DD">
        <w:rPr>
          <w:rFonts w:ascii="Verdana" w:eastAsia="Calibri" w:hAnsi="Verdana" w:cs="Arial"/>
          <w:color w:val="000000" w:themeColor="text1"/>
          <w:lang w:val="es-ES" w:eastAsia="es-ES"/>
        </w:rPr>
        <w:t xml:space="preserve"> enviada</w:t>
      </w:r>
      <w:r>
        <w:rPr>
          <w:rFonts w:ascii="Verdana" w:eastAsia="Calibri" w:hAnsi="Verdana" w:cs="Arial"/>
          <w:color w:val="000000" w:themeColor="text1"/>
          <w:lang w:val="es-ES" w:eastAsia="es-ES"/>
        </w:rPr>
        <w:t>s el 31 de enero de 2026</w:t>
      </w:r>
      <w:r>
        <w:rPr>
          <w:rFonts w:ascii="Verdana" w:eastAsia="Calibri" w:hAnsi="Verdana" w:cs="Arial"/>
          <w:lang w:val="es-ES" w:eastAsia="es-ES"/>
        </w:rPr>
        <w:t>, donde manifiesta lo siguiente</w:t>
      </w:r>
      <w:r w:rsidRPr="008E6AD9">
        <w:rPr>
          <w:rFonts w:ascii="Verdana" w:eastAsia="Calibri" w:hAnsi="Verdana" w:cs="Arial"/>
          <w:lang w:val="es-ES" w:eastAsia="es-ES"/>
        </w:rPr>
        <w:t xml:space="preserve">: </w:t>
      </w:r>
    </w:p>
    <w:p w14:paraId="5910ABA7" w14:textId="77777777" w:rsidR="0054540B" w:rsidRPr="00272A7B" w:rsidRDefault="0054540B" w:rsidP="0054540B">
      <w:pPr>
        <w:pStyle w:val="Prrafodelista"/>
        <w:tabs>
          <w:tab w:val="left" w:pos="142"/>
          <w:tab w:val="left" w:pos="284"/>
        </w:tabs>
        <w:spacing w:after="0" w:line="276" w:lineRule="auto"/>
        <w:ind w:left="0"/>
        <w:jc w:val="both"/>
        <w:rPr>
          <w:rFonts w:ascii="Verdana" w:eastAsia="Century Gothic" w:hAnsi="Verdana" w:cs="Century Gothic"/>
          <w:b/>
          <w:bCs/>
        </w:rPr>
      </w:pPr>
    </w:p>
    <w:p w14:paraId="6F9608B8" w14:textId="77777777" w:rsidR="0054540B" w:rsidRDefault="0054540B" w:rsidP="0054540B">
      <w:pPr>
        <w:spacing w:after="120" w:line="240" w:lineRule="auto"/>
        <w:ind w:left="709" w:right="709"/>
        <w:jc w:val="both"/>
        <w:rPr>
          <w:rFonts w:ascii="Verdana" w:eastAsia="Century Gothic" w:hAnsi="Verdana" w:cs="Century Gothic"/>
          <w:sz w:val="20"/>
          <w:szCs w:val="20"/>
          <w:lang w:val="es-ES"/>
        </w:rPr>
      </w:pPr>
      <w:bookmarkStart w:id="2" w:name="_Hlk95313578"/>
      <w:r>
        <w:rPr>
          <w:rFonts w:ascii="Verdana" w:eastAsia="Century Gothic" w:hAnsi="Verdana" w:cs="Century Gothic"/>
          <w:sz w:val="20"/>
          <w:szCs w:val="20"/>
          <w:lang w:val="es-ES"/>
        </w:rPr>
        <w:t>1. “</w:t>
      </w:r>
      <w:r w:rsidRPr="004443BE">
        <w:rPr>
          <w:rFonts w:ascii="Verdana" w:eastAsia="Century Gothic" w:hAnsi="Verdana" w:cs="Century Gothic"/>
          <w:sz w:val="20"/>
          <w:szCs w:val="20"/>
          <w:lang w:val="es-ES"/>
        </w:rPr>
        <w:t>Tratándose de la conciliación extrajudicial como requisito de procedibilidad en la</w:t>
      </w:r>
      <w:r>
        <w:rPr>
          <w:rFonts w:ascii="Verdana" w:eastAsia="Century Gothic" w:hAnsi="Verdana" w:cs="Century Gothic"/>
          <w:sz w:val="20"/>
          <w:szCs w:val="20"/>
          <w:lang w:val="es-ES"/>
        </w:rPr>
        <w:t xml:space="preserve"> </w:t>
      </w:r>
      <w:r w:rsidRPr="004443BE">
        <w:rPr>
          <w:rFonts w:ascii="Verdana" w:eastAsia="Century Gothic" w:hAnsi="Verdana" w:cs="Century Gothic"/>
          <w:sz w:val="20"/>
          <w:szCs w:val="20"/>
          <w:lang w:val="es-ES"/>
        </w:rPr>
        <w:t>acción de nulidad y restablecimiento del derecho contra el acto de adjudicación de</w:t>
      </w:r>
      <w:r>
        <w:rPr>
          <w:rFonts w:ascii="Verdana" w:eastAsia="Century Gothic" w:hAnsi="Verdana" w:cs="Century Gothic"/>
          <w:sz w:val="20"/>
          <w:szCs w:val="20"/>
          <w:lang w:val="es-ES"/>
        </w:rPr>
        <w:t xml:space="preserve"> </w:t>
      </w:r>
      <w:r w:rsidRPr="004443BE">
        <w:rPr>
          <w:rFonts w:ascii="Verdana" w:eastAsia="Century Gothic" w:hAnsi="Verdana" w:cs="Century Gothic"/>
          <w:sz w:val="20"/>
          <w:szCs w:val="20"/>
          <w:lang w:val="es-ES"/>
        </w:rPr>
        <w:t>un contrato estatal, ¿cómo se concilian las pretensiones de contenido económico</w:t>
      </w:r>
      <w:r>
        <w:rPr>
          <w:rFonts w:ascii="Verdana" w:eastAsia="Century Gothic" w:hAnsi="Verdana" w:cs="Century Gothic"/>
          <w:sz w:val="20"/>
          <w:szCs w:val="20"/>
          <w:lang w:val="es-ES"/>
        </w:rPr>
        <w:t xml:space="preserve"> </w:t>
      </w:r>
      <w:r w:rsidRPr="004443BE">
        <w:rPr>
          <w:rFonts w:ascii="Verdana" w:eastAsia="Century Gothic" w:hAnsi="Verdana" w:cs="Century Gothic"/>
          <w:sz w:val="20"/>
          <w:szCs w:val="20"/>
          <w:lang w:val="es-ES"/>
        </w:rPr>
        <w:t>cuando la procedencia del restablecimiento o indemnización depende de la previa</w:t>
      </w:r>
      <w:r>
        <w:rPr>
          <w:rFonts w:ascii="Verdana" w:eastAsia="Century Gothic" w:hAnsi="Verdana" w:cs="Century Gothic"/>
          <w:sz w:val="20"/>
          <w:szCs w:val="20"/>
          <w:lang w:val="es-ES"/>
        </w:rPr>
        <w:t xml:space="preserve"> </w:t>
      </w:r>
      <w:r w:rsidRPr="004443BE">
        <w:rPr>
          <w:rFonts w:ascii="Verdana" w:eastAsia="Century Gothic" w:hAnsi="Verdana" w:cs="Century Gothic"/>
          <w:sz w:val="20"/>
          <w:szCs w:val="20"/>
          <w:lang w:val="es-ES"/>
        </w:rPr>
        <w:t>declaratoria judicial de nulidad del acto administrativo, competencia que no tiene la</w:t>
      </w:r>
      <w:r>
        <w:rPr>
          <w:rFonts w:ascii="Verdana" w:eastAsia="Century Gothic" w:hAnsi="Verdana" w:cs="Century Gothic"/>
          <w:sz w:val="20"/>
          <w:szCs w:val="20"/>
          <w:lang w:val="es-ES"/>
        </w:rPr>
        <w:t xml:space="preserve"> </w:t>
      </w:r>
      <w:r w:rsidRPr="004443BE">
        <w:rPr>
          <w:rFonts w:ascii="Verdana" w:eastAsia="Century Gothic" w:hAnsi="Verdana" w:cs="Century Gothic"/>
          <w:sz w:val="20"/>
          <w:szCs w:val="20"/>
          <w:lang w:val="es-ES"/>
        </w:rPr>
        <w:t>administración?</w:t>
      </w:r>
      <w:r>
        <w:rPr>
          <w:rFonts w:ascii="Verdana" w:eastAsia="Century Gothic" w:hAnsi="Verdana" w:cs="Century Gothic"/>
          <w:sz w:val="20"/>
          <w:szCs w:val="20"/>
          <w:lang w:val="es-ES"/>
        </w:rPr>
        <w:t>”.</w:t>
      </w:r>
    </w:p>
    <w:p w14:paraId="69D97FFD" w14:textId="77777777" w:rsidR="0054540B" w:rsidRPr="00AA6517" w:rsidRDefault="0054540B" w:rsidP="0054540B">
      <w:pPr>
        <w:spacing w:after="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 xml:space="preserve">2. </w:t>
      </w:r>
      <w:r w:rsidRPr="00AA6517">
        <w:rPr>
          <w:rFonts w:ascii="Verdana" w:eastAsia="Century Gothic" w:hAnsi="Verdana" w:cs="Century Gothic"/>
          <w:sz w:val="20"/>
          <w:szCs w:val="20"/>
          <w:lang w:val="es-ES"/>
        </w:rPr>
        <w:t>“</w:t>
      </w:r>
      <w:bookmarkEnd w:id="2"/>
      <w:r w:rsidRPr="00B12363">
        <w:rPr>
          <w:rFonts w:ascii="Verdana" w:eastAsia="Century Gothic" w:hAnsi="Verdana" w:cs="Century Gothic"/>
          <w:sz w:val="20"/>
          <w:szCs w:val="20"/>
          <w:lang w:val="es-ES"/>
        </w:rPr>
        <w:t>Desde la perspectiva de las buenas prácticas en contratación estatal y del cumplimiento del requisito de procedibilidad de la conciliación extrajudicial en la acción de nulidad y restablecimiento del derecho contra el acto de adjudicación de una licitación pública, cuando la solicitud de conciliación es inadmitida por errores formales  —como la falta de acreditación del envío íntegro de la solicitud a las partes convocadas— y posteriormente es subsanada dentro del término concedido, ¿desde qué momento debería entenderse presentada la solicitud de conciliación para efectos del requisito de procedibilidad: desde la fecha de la radicación inicial o desde la fecha de la subsanación?</w:t>
      </w:r>
      <w:r w:rsidRPr="00AA6517">
        <w:rPr>
          <w:rFonts w:ascii="Verdana" w:eastAsia="Century Gothic" w:hAnsi="Verdana" w:cs="Century Gothic"/>
          <w:sz w:val="20"/>
          <w:szCs w:val="20"/>
        </w:rPr>
        <w:t>”.</w:t>
      </w:r>
    </w:p>
    <w:p w14:paraId="58100492" w14:textId="77777777" w:rsidR="0054540B" w:rsidRPr="008E6AD9" w:rsidRDefault="0054540B" w:rsidP="0054540B">
      <w:pPr>
        <w:pStyle w:val="Prrafodelista"/>
        <w:tabs>
          <w:tab w:val="left" w:pos="142"/>
          <w:tab w:val="left" w:pos="284"/>
        </w:tabs>
        <w:spacing w:after="0" w:line="276" w:lineRule="auto"/>
        <w:ind w:left="0"/>
        <w:jc w:val="both"/>
        <w:rPr>
          <w:rFonts w:ascii="Verdana" w:eastAsia="Century Gothic" w:hAnsi="Verdana" w:cs="Century Gothic"/>
          <w:b/>
          <w:bCs/>
        </w:rPr>
      </w:pPr>
    </w:p>
    <w:p w14:paraId="798C31F2" w14:textId="77777777" w:rsidR="0054540B" w:rsidRPr="00A652FF" w:rsidRDefault="0054540B" w:rsidP="0054540B">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12651A1C" w14:textId="77777777" w:rsidR="0054540B" w:rsidRDefault="0054540B" w:rsidP="0054540B">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 xml:space="preserve">específicas que la </w:t>
      </w:r>
      <w:r>
        <w:rPr>
          <w:rFonts w:ascii="Verdana" w:eastAsia="Calibri" w:hAnsi="Verdana" w:cs="Arial"/>
          <w:color w:val="000000"/>
          <w:lang w:val="es-ES" w:eastAsia="es-ES"/>
        </w:rPr>
        <w:lastRenderedPageBreak/>
        <w:t>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4BA76E20" w14:textId="77777777" w:rsidR="0054540B" w:rsidRPr="00593A5F" w:rsidRDefault="0054540B" w:rsidP="0054540B">
      <w:pPr>
        <w:spacing w:after="0" w:line="276" w:lineRule="auto"/>
        <w:ind w:firstLine="709"/>
        <w:jc w:val="both"/>
        <w:rPr>
          <w:rFonts w:ascii="Verdana" w:eastAsia="Calibri" w:hAnsi="Verdana" w:cs="Arial"/>
          <w:color w:val="000000"/>
          <w:lang w:val="es-ES" w:eastAsia="es-ES"/>
        </w:rPr>
      </w:pPr>
    </w:p>
    <w:p w14:paraId="7138A62D" w14:textId="77777777" w:rsidR="0054540B" w:rsidRPr="00593A5F" w:rsidRDefault="0054540B" w:rsidP="0054540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254C0369" w14:textId="77777777" w:rsidR="0054540B" w:rsidRPr="00593A5F" w:rsidRDefault="0054540B" w:rsidP="0054540B">
      <w:pPr>
        <w:tabs>
          <w:tab w:val="left" w:pos="426"/>
        </w:tabs>
        <w:spacing w:after="0" w:line="276" w:lineRule="auto"/>
        <w:jc w:val="both"/>
        <w:rPr>
          <w:rFonts w:ascii="Verdana" w:eastAsia="Century Gothic" w:hAnsi="Verdana" w:cs="Century Gothic"/>
          <w:lang w:val="es-ES"/>
        </w:rPr>
      </w:pPr>
    </w:p>
    <w:p w14:paraId="702B9EBF" w14:textId="2C067842" w:rsidR="0054540B" w:rsidRPr="00593A5F" w:rsidRDefault="0054540B" w:rsidP="0054540B">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74670BA0">
        <w:rPr>
          <w:rFonts w:ascii="Verdana" w:eastAsia="Century Gothic" w:hAnsi="Verdana" w:cs="Century Gothic"/>
        </w:rPr>
        <w:t>T</w:t>
      </w:r>
      <w:r>
        <w:rPr>
          <w:rFonts w:ascii="Verdana" w:eastAsia="Century Gothic" w:hAnsi="Verdana" w:cs="Century Gothic"/>
        </w:rPr>
        <w:t>ratándose del medio del control de nulidad y restablecimiento del derecho contra los actos de adjudicación,</w:t>
      </w:r>
      <w:r w:rsidRPr="004A5A70">
        <w:rPr>
          <w:rFonts w:ascii="Verdana" w:eastAsia="Century Gothic" w:hAnsi="Verdana" w:cs="Century Gothic"/>
        </w:rPr>
        <w:t xml:space="preserve"> </w:t>
      </w:r>
      <w:r w:rsidR="2F97A617" w:rsidRPr="004A5A70">
        <w:rPr>
          <w:rFonts w:ascii="Verdana" w:eastAsia="Century Gothic" w:hAnsi="Verdana" w:cs="Century Gothic"/>
        </w:rPr>
        <w:t>¿</w:t>
      </w:r>
      <w:r w:rsidRPr="004A5A70">
        <w:rPr>
          <w:rFonts w:ascii="Verdana" w:eastAsia="Century Gothic" w:hAnsi="Verdana" w:cs="Century Gothic"/>
        </w:rPr>
        <w:t xml:space="preserve">cuál es marco normativo </w:t>
      </w:r>
      <w:r>
        <w:rPr>
          <w:rFonts w:ascii="Verdana" w:eastAsia="Century Gothic" w:hAnsi="Verdana" w:cs="Century Gothic"/>
        </w:rPr>
        <w:t>de la conciliación extrajudicial en materia de lo contencioso administrativo</w:t>
      </w:r>
      <w:r w:rsidRPr="7DDC146A">
        <w:rPr>
          <w:rFonts w:ascii="Verdana" w:eastAsia="Times New Roman" w:hAnsi="Verdana" w:cs="Arial"/>
          <w:kern w:val="2"/>
          <w:lang w:val="es-ES" w:eastAsia="es-ES"/>
          <w14:ligatures w14:val="standardContextual"/>
        </w:rPr>
        <w:t>?</w:t>
      </w:r>
      <w:r>
        <w:rPr>
          <w:rFonts w:ascii="Verdana" w:eastAsia="Century Gothic" w:hAnsi="Verdana" w:cs="Century Gothic"/>
        </w:rPr>
        <w:t xml:space="preserve">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5475E9CA" w14:textId="77777777" w:rsidR="0054540B" w:rsidRPr="004B140F" w:rsidRDefault="0054540B" w:rsidP="0054540B">
      <w:pPr>
        <w:spacing w:after="0" w:line="276" w:lineRule="auto"/>
        <w:jc w:val="both"/>
        <w:rPr>
          <w:rFonts w:ascii="Verdana" w:eastAsia="Calibri" w:hAnsi="Verdana" w:cs="Arial"/>
          <w:color w:val="7030A0"/>
        </w:rPr>
      </w:pPr>
    </w:p>
    <w:p w14:paraId="4A96D382" w14:textId="77777777" w:rsidR="0054540B" w:rsidRPr="00593A5F" w:rsidRDefault="0054540B" w:rsidP="0054540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73CF600" w14:textId="77777777" w:rsidR="0054540B" w:rsidRPr="00593A5F" w:rsidRDefault="0054540B" w:rsidP="0054540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4540B" w:rsidRPr="00593A5F" w14:paraId="15446308" w14:textId="77777777" w:rsidTr="00456757">
        <w:trPr>
          <w:jc w:val="center"/>
        </w:trPr>
        <w:tc>
          <w:tcPr>
            <w:tcW w:w="8828" w:type="dxa"/>
          </w:tcPr>
          <w:p w14:paraId="18B61453" w14:textId="77777777" w:rsidR="0054540B" w:rsidRDefault="0054540B" w:rsidP="00456757">
            <w:pPr>
              <w:spacing w:after="120" w:line="276" w:lineRule="auto"/>
              <w:jc w:val="both"/>
              <w:rPr>
                <w:rFonts w:ascii="Verdana" w:eastAsia="Calibri" w:hAnsi="Verdana" w:cs="Arial"/>
                <w:shd w:val="clear" w:color="auto" w:fill="FFFFFF"/>
                <w:lang w:val="es-ES"/>
              </w:rPr>
            </w:pPr>
            <w:bookmarkStart w:id="3" w:name="_Hlk171694685"/>
            <w:r>
              <w:rPr>
                <w:rFonts w:ascii="Verdana" w:eastAsia="Calibri" w:hAnsi="Verdana" w:cs="Arial"/>
                <w:bCs/>
                <w:color w:val="000000" w:themeColor="text1"/>
              </w:rPr>
              <w:t xml:space="preserve">Conforme a la interpretación general de las normas del sistema de compras públicas, </w:t>
            </w:r>
            <w:r>
              <w:rPr>
                <w:rFonts w:ascii="Verdana" w:eastAsia="Calibri" w:hAnsi="Verdana" w:cs="Arial"/>
                <w:shd w:val="clear" w:color="auto" w:fill="FFFFFF"/>
                <w:lang w:val="es-ES"/>
              </w:rPr>
              <w:t xml:space="preserve">el inciso primero del artículo 161 de la Ley 1437 de 2011 –modificado por el artículo 34 de la Ley 2080 de 2021– exige el </w:t>
            </w:r>
            <w:r w:rsidRPr="00605D49">
              <w:rPr>
                <w:rFonts w:ascii="Verdana" w:eastAsia="Calibri" w:hAnsi="Verdana" w:cs="Arial"/>
                <w:shd w:val="clear" w:color="auto" w:fill="FFFFFF"/>
                <w:lang w:val="es-ES"/>
              </w:rPr>
              <w:t xml:space="preserve">trámite de la conciliación extrajudicial </w:t>
            </w:r>
            <w:r>
              <w:rPr>
                <w:rFonts w:ascii="Verdana" w:eastAsia="Calibri" w:hAnsi="Verdana" w:cs="Arial"/>
                <w:shd w:val="clear" w:color="auto" w:fill="FFFFFF"/>
                <w:lang w:val="es-ES"/>
              </w:rPr>
              <w:t>como</w:t>
            </w:r>
            <w:r w:rsidRPr="00605D49">
              <w:rPr>
                <w:rFonts w:ascii="Verdana" w:eastAsia="Calibri" w:hAnsi="Verdana" w:cs="Arial"/>
                <w:shd w:val="clear" w:color="auto" w:fill="FFFFFF"/>
                <w:lang w:val="es-ES"/>
              </w:rPr>
              <w:t xml:space="preserve"> requisito de procedibilidad de toda demanda en que se formulen pretensiones relativas a nulidad con restablecimiento del derecho, reparación directa y controversias contractuales</w:t>
            </w:r>
            <w:r>
              <w:rPr>
                <w:rFonts w:ascii="Verdana" w:eastAsia="Calibri" w:hAnsi="Verdana" w:cs="Arial"/>
                <w:shd w:val="clear" w:color="auto" w:fill="FFFFFF"/>
                <w:lang w:val="es-ES"/>
              </w:rPr>
              <w:t>. De acuerdo con el artículo 88 de la Ley 2220 de 2022, “L</w:t>
            </w:r>
            <w:r w:rsidRPr="00DA2187">
              <w:rPr>
                <w:rFonts w:ascii="Verdana" w:eastAsia="Calibri" w:hAnsi="Verdana" w:cs="Arial"/>
                <w:shd w:val="clear" w:color="auto" w:fill="FFFFFF"/>
                <w:lang w:val="es-ES"/>
              </w:rPr>
              <w:t>a conciliación extrajudicial en asuntos contencioso administrativos es un mecanismo alternativo de resolución de conflictos, autocompositivo, por medio del cual las partes, por conducto de apoderado, gestionan ante un agente del Ministerio Público neutral y calificado la solución de aquellas controversias cuyo conocimiento corresponda a la Jurisdicción de lo Contencioso Administrativ</w:t>
            </w:r>
            <w:r>
              <w:rPr>
                <w:rFonts w:ascii="Verdana" w:eastAsia="Calibri" w:hAnsi="Verdana" w:cs="Arial"/>
                <w:shd w:val="clear" w:color="auto" w:fill="FFFFFF"/>
                <w:lang w:val="es-ES"/>
              </w:rPr>
              <w:t>o”.</w:t>
            </w:r>
          </w:p>
          <w:p w14:paraId="1C368215" w14:textId="77777777" w:rsidR="0054540B" w:rsidRDefault="0054540B" w:rsidP="00456757">
            <w:pPr>
              <w:spacing w:after="120" w:line="276" w:lineRule="auto"/>
              <w:ind w:firstLine="737"/>
              <w:jc w:val="both"/>
              <w:rPr>
                <w:rFonts w:ascii="Verdana" w:eastAsia="Calibri" w:hAnsi="Verdana" w:cs="Arial"/>
                <w:shd w:val="clear" w:color="auto" w:fill="FFFFFF"/>
                <w:lang w:val="es-ES"/>
              </w:rPr>
            </w:pPr>
            <w:r>
              <w:rPr>
                <w:rFonts w:ascii="Verdana" w:eastAsia="Calibri" w:hAnsi="Verdana" w:cs="Arial"/>
                <w:shd w:val="clear" w:color="auto" w:fill="FFFFFF"/>
                <w:lang w:val="es-ES"/>
              </w:rPr>
              <w:t>Dado el restablecimiento del derecho es consecuencia de la declaratoria de nulidad, el inciso final del artículo 89 de la Ley 2220 de 2022 precisa que “</w:t>
            </w:r>
            <w:r w:rsidRPr="008D61F3">
              <w:rPr>
                <w:rFonts w:ascii="Verdana" w:eastAsia="Calibri" w:hAnsi="Verdana" w:cs="Arial"/>
                <w:shd w:val="clear" w:color="auto" w:fill="FFFFFF"/>
                <w:lang w:val="es-ES"/>
              </w:rPr>
              <w:t>Cuando medie acto administrativo de carácter particular, podrá conciliarse sobre los efectos económicos del mismo si se da alguna de las causales del artículo 93 de la Ley 1437 de 2011, evento en el cual, una vez aprobado el acuerdo por el juez contencioso administrativo, se entenderá revocado o modificado el acto y sustituido por el acuerdo</w:t>
            </w:r>
            <w:r>
              <w:rPr>
                <w:rFonts w:ascii="Verdana" w:eastAsia="Calibri" w:hAnsi="Verdana" w:cs="Arial"/>
                <w:shd w:val="clear" w:color="auto" w:fill="FFFFFF"/>
                <w:lang w:val="es-ES"/>
              </w:rPr>
              <w:t xml:space="preserve">”. Por ello, aunque la Administración no es competente para declarar la nulidad, el ordenamiento permite la conciliación bajo el criterio de que la aprobación judicial regulada </w:t>
            </w:r>
            <w:r>
              <w:rPr>
                <w:rFonts w:ascii="Verdana" w:eastAsia="Calibri" w:hAnsi="Verdana" w:cs="Arial"/>
                <w:shd w:val="clear" w:color="auto" w:fill="FFFFFF"/>
                <w:lang w:val="es-ES"/>
              </w:rPr>
              <w:lastRenderedPageBreak/>
              <w:t xml:space="preserve">en el artículo 113 </w:t>
            </w:r>
            <w:r w:rsidRPr="00CB283B">
              <w:rPr>
                <w:rFonts w:ascii="Verdana" w:eastAsia="Calibri" w:hAnsi="Verdana" w:cs="Arial"/>
                <w:i/>
                <w:iCs/>
                <w:shd w:val="clear" w:color="auto" w:fill="FFFFFF"/>
                <w:lang w:val="es-ES"/>
              </w:rPr>
              <w:t>ibidem</w:t>
            </w:r>
            <w:r>
              <w:rPr>
                <w:rFonts w:ascii="Verdana" w:eastAsia="Calibri" w:hAnsi="Verdana" w:cs="Arial"/>
                <w:shd w:val="clear" w:color="auto" w:fill="FFFFFF"/>
                <w:lang w:val="es-ES"/>
              </w:rPr>
              <w:t xml:space="preserve"> revoca, modifica o sustituye la decisión inicialmente adoptada por la entidad. (Respuesta a la pregunta 1)</w:t>
            </w:r>
          </w:p>
          <w:p w14:paraId="72290F81" w14:textId="77777777" w:rsidR="0054540B" w:rsidRDefault="0054540B" w:rsidP="00456757">
            <w:pPr>
              <w:spacing w:after="120" w:line="276" w:lineRule="auto"/>
              <w:ind w:firstLine="709"/>
              <w:jc w:val="both"/>
              <w:rPr>
                <w:rFonts w:ascii="Verdana" w:eastAsia="Calibri" w:hAnsi="Verdana" w:cs="Arial"/>
                <w:shd w:val="clear" w:color="auto" w:fill="FFFFFF"/>
                <w:lang w:val="es-ES"/>
              </w:rPr>
            </w:pPr>
            <w:r>
              <w:rPr>
                <w:rFonts w:ascii="Verdana" w:eastAsia="Calibri" w:hAnsi="Verdana" w:cs="Arial"/>
                <w:shd w:val="clear" w:color="auto" w:fill="FFFFFF"/>
                <w:lang w:val="es-ES"/>
              </w:rPr>
              <w:t>Asimismo, conforme al artículo 96 de la Ley 2220 de 2022, l</w:t>
            </w:r>
            <w:r w:rsidRPr="001B2783">
              <w:rPr>
                <w:rFonts w:ascii="Verdana" w:eastAsia="Calibri" w:hAnsi="Verdana" w:cs="Arial"/>
                <w:shd w:val="clear" w:color="auto" w:fill="FFFFFF"/>
                <w:lang w:val="es-ES"/>
              </w:rPr>
              <w:t>a presentación de la petición de convocatoria de conciliación extrajudicial ante los agentes del Ministerio Público suspende el término de caducidad del medio de control</w:t>
            </w:r>
            <w:r>
              <w:rPr>
                <w:rFonts w:ascii="Verdana" w:eastAsia="Calibri" w:hAnsi="Verdana" w:cs="Arial"/>
                <w:shd w:val="clear" w:color="auto" w:fill="FFFFFF"/>
                <w:lang w:val="es-ES"/>
              </w:rPr>
              <w:t>. Según el caso, dicha suspensión se da hasta i) l</w:t>
            </w:r>
            <w:r w:rsidRPr="001B2783">
              <w:rPr>
                <w:rFonts w:ascii="Verdana" w:eastAsia="Calibri" w:hAnsi="Verdana" w:cs="Arial"/>
                <w:shd w:val="clear" w:color="auto" w:fill="FFFFFF"/>
                <w:lang w:val="es-ES"/>
              </w:rPr>
              <w:t>a ejecutoria de la providencia que imprueba del acuerdo conciliatorio</w:t>
            </w:r>
            <w:r>
              <w:rPr>
                <w:rFonts w:ascii="Verdana" w:eastAsia="Calibri" w:hAnsi="Verdana" w:cs="Arial"/>
                <w:shd w:val="clear" w:color="auto" w:fill="FFFFFF"/>
                <w:lang w:val="es-ES"/>
              </w:rPr>
              <w:t xml:space="preserve">, </w:t>
            </w:r>
            <w:proofErr w:type="spellStart"/>
            <w:r>
              <w:rPr>
                <w:rFonts w:ascii="Verdana" w:eastAsia="Calibri" w:hAnsi="Verdana" w:cs="Arial"/>
                <w:shd w:val="clear" w:color="auto" w:fill="FFFFFF"/>
                <w:lang w:val="es-ES"/>
              </w:rPr>
              <w:t>ii</w:t>
            </w:r>
            <w:proofErr w:type="spellEnd"/>
            <w:r>
              <w:rPr>
                <w:rFonts w:ascii="Verdana" w:eastAsia="Calibri" w:hAnsi="Verdana" w:cs="Arial"/>
                <w:shd w:val="clear" w:color="auto" w:fill="FFFFFF"/>
                <w:lang w:val="es-ES"/>
              </w:rPr>
              <w:t xml:space="preserve">) </w:t>
            </w:r>
            <w:r w:rsidRPr="001B2783">
              <w:rPr>
                <w:rFonts w:ascii="Verdana" w:eastAsia="Calibri" w:hAnsi="Verdana" w:cs="Arial"/>
                <w:shd w:val="clear" w:color="auto" w:fill="FFFFFF"/>
                <w:lang w:val="es-ES"/>
              </w:rPr>
              <w:t>expedición de las constancias</w:t>
            </w:r>
            <w:r>
              <w:rPr>
                <w:rFonts w:ascii="Verdana" w:eastAsia="Calibri" w:hAnsi="Verdana" w:cs="Arial"/>
                <w:shd w:val="clear" w:color="auto" w:fill="FFFFFF"/>
                <w:lang w:val="es-ES"/>
              </w:rPr>
              <w:t xml:space="preserve"> a las que se refiere el marco regulatorio de la ley citada, </w:t>
            </w:r>
            <w:proofErr w:type="spellStart"/>
            <w:r>
              <w:rPr>
                <w:rFonts w:ascii="Verdana" w:eastAsia="Calibri" w:hAnsi="Verdana" w:cs="Arial"/>
                <w:shd w:val="clear" w:color="auto" w:fill="FFFFFF"/>
                <w:lang w:val="es-ES"/>
              </w:rPr>
              <w:t>iii</w:t>
            </w:r>
            <w:proofErr w:type="spellEnd"/>
            <w:r>
              <w:rPr>
                <w:rFonts w:ascii="Verdana" w:eastAsia="Calibri" w:hAnsi="Verdana" w:cs="Arial"/>
                <w:shd w:val="clear" w:color="auto" w:fill="FFFFFF"/>
                <w:lang w:val="es-ES"/>
              </w:rPr>
              <w:t>) e</w:t>
            </w:r>
            <w:r w:rsidRPr="001B2783">
              <w:rPr>
                <w:rFonts w:ascii="Verdana" w:eastAsia="Calibri" w:hAnsi="Verdana" w:cs="Arial"/>
                <w:shd w:val="clear" w:color="auto" w:fill="FFFFFF"/>
                <w:lang w:val="es-ES"/>
              </w:rPr>
              <w:t>l vencimiento del término de tres (3) meses contados a partir de la presentación de la solicitud</w:t>
            </w:r>
            <w:r>
              <w:rPr>
                <w:rFonts w:ascii="Verdana" w:eastAsia="Calibri" w:hAnsi="Verdana" w:cs="Arial"/>
                <w:shd w:val="clear" w:color="auto" w:fill="FFFFFF"/>
                <w:lang w:val="es-ES"/>
              </w:rPr>
              <w:t xml:space="preserve">, lo primero que ocurra. </w:t>
            </w:r>
          </w:p>
          <w:p w14:paraId="2C44CAB1" w14:textId="77777777" w:rsidR="0054540B" w:rsidRDefault="0054540B" w:rsidP="00456757">
            <w:pPr>
              <w:spacing w:after="120" w:line="276" w:lineRule="auto"/>
              <w:ind w:firstLine="709"/>
              <w:jc w:val="both"/>
              <w:rPr>
                <w:rFonts w:ascii="Verdana" w:eastAsia="Calibri" w:hAnsi="Verdana" w:cs="Arial"/>
                <w:shd w:val="clear" w:color="auto" w:fill="FFFFFF"/>
                <w:lang w:val="es-ES"/>
              </w:rPr>
            </w:pPr>
            <w:r>
              <w:rPr>
                <w:rFonts w:ascii="Verdana" w:eastAsia="Calibri" w:hAnsi="Verdana" w:cs="Arial"/>
                <w:shd w:val="clear" w:color="auto" w:fill="FFFFFF"/>
                <w:lang w:val="es-ES"/>
              </w:rPr>
              <w:t xml:space="preserve">De acuerdo con el artículo 98.1 </w:t>
            </w:r>
            <w:r w:rsidRPr="00540B76">
              <w:rPr>
                <w:rFonts w:ascii="Verdana" w:eastAsia="Calibri" w:hAnsi="Verdana" w:cs="Arial"/>
                <w:i/>
                <w:iCs/>
                <w:shd w:val="clear" w:color="auto" w:fill="FFFFFF"/>
                <w:lang w:val="es-ES"/>
              </w:rPr>
              <w:t>ibidem</w:t>
            </w:r>
            <w:r>
              <w:rPr>
                <w:rFonts w:ascii="Verdana" w:eastAsia="Calibri" w:hAnsi="Verdana" w:cs="Arial"/>
                <w:shd w:val="clear" w:color="auto" w:fill="FFFFFF"/>
                <w:lang w:val="es-ES"/>
              </w:rPr>
              <w:t>, es necesario tener en cuenta que los agentes del Ministerio Público tienen atribuciones para “</w:t>
            </w:r>
            <w:r w:rsidRPr="00540B76">
              <w:rPr>
                <w:rFonts w:ascii="Verdana" w:eastAsia="Calibri" w:hAnsi="Verdana" w:cs="Arial"/>
                <w:shd w:val="clear" w:color="auto" w:fill="FFFFFF"/>
                <w:lang w:val="es-ES"/>
              </w:rPr>
              <w:t xml:space="preserve">Admitir, inadmitir, rechazar o declarar desistida la solicitud de conciliación extrajudicial. </w:t>
            </w:r>
            <w:r w:rsidRPr="00540B76">
              <w:rPr>
                <w:rFonts w:ascii="Verdana" w:eastAsia="Calibri" w:hAnsi="Verdana" w:cs="Arial"/>
                <w:i/>
                <w:iCs/>
                <w:shd w:val="clear" w:color="auto" w:fill="FFFFFF"/>
                <w:lang w:val="es-ES"/>
              </w:rPr>
              <w:t>Cuando se declare desistida se entenderá como no presentada</w:t>
            </w:r>
            <w:r>
              <w:rPr>
                <w:rFonts w:ascii="Verdana" w:eastAsia="Calibri" w:hAnsi="Verdana" w:cs="Arial"/>
                <w:shd w:val="clear" w:color="auto" w:fill="FFFFFF"/>
                <w:lang w:val="es-ES"/>
              </w:rPr>
              <w:t>” (Énfasis fuera de texto)</w:t>
            </w:r>
            <w:r w:rsidRPr="00540B76">
              <w:rPr>
                <w:rFonts w:ascii="Verdana" w:eastAsia="Calibri" w:hAnsi="Verdana" w:cs="Arial"/>
                <w:shd w:val="clear" w:color="auto" w:fill="FFFFFF"/>
                <w:lang w:val="es-ES"/>
              </w:rPr>
              <w:t>.</w:t>
            </w:r>
            <w:r>
              <w:rPr>
                <w:rFonts w:ascii="Verdana" w:eastAsia="Calibri" w:hAnsi="Verdana" w:cs="Arial"/>
                <w:shd w:val="clear" w:color="auto" w:fill="FFFFFF"/>
                <w:lang w:val="es-ES"/>
              </w:rPr>
              <w:t xml:space="preserve"> La solicitud debe presentarse en las condiciones descritas en los artículos 100 y 101 de la Ley 2220 de 2022; razón por la cual, el inciso primero del artículo 102 </w:t>
            </w:r>
            <w:r w:rsidRPr="002152D2">
              <w:rPr>
                <w:rFonts w:ascii="Verdana" w:eastAsia="Calibri" w:hAnsi="Verdana" w:cs="Arial"/>
                <w:i/>
                <w:iCs/>
                <w:shd w:val="clear" w:color="auto" w:fill="FFFFFF"/>
                <w:lang w:val="es-ES"/>
              </w:rPr>
              <w:t>ibidem</w:t>
            </w:r>
            <w:r>
              <w:rPr>
                <w:rFonts w:ascii="Verdana" w:eastAsia="Calibri" w:hAnsi="Verdana" w:cs="Arial"/>
                <w:shd w:val="clear" w:color="auto" w:fill="FFFFFF"/>
                <w:lang w:val="es-ES"/>
              </w:rPr>
              <w:t xml:space="preserve"> establece que “[…] </w:t>
            </w:r>
            <w:r w:rsidRPr="002152D2">
              <w:rPr>
                <w:rFonts w:ascii="Verdana" w:eastAsia="Calibri" w:hAnsi="Verdana" w:cs="Arial"/>
                <w:shd w:val="clear" w:color="auto" w:fill="FFFFFF"/>
                <w:lang w:val="es-ES"/>
              </w:rPr>
              <w:t xml:space="preserve">En caso de incumplimiento, mediante decisión contra la que no procederán recursos, </w:t>
            </w:r>
            <w:r>
              <w:rPr>
                <w:rFonts w:ascii="Verdana" w:eastAsia="Calibri" w:hAnsi="Verdana" w:cs="Arial"/>
                <w:shd w:val="clear" w:color="auto" w:fill="FFFFFF"/>
                <w:lang w:val="es-ES"/>
              </w:rPr>
              <w:t>[</w:t>
            </w:r>
            <w:r w:rsidRPr="002152D2">
              <w:rPr>
                <w:rFonts w:ascii="Verdana" w:eastAsia="Calibri" w:hAnsi="Verdana" w:cs="Arial"/>
                <w:shd w:val="clear" w:color="auto" w:fill="FFFFFF"/>
                <w:lang w:val="es-ES"/>
              </w:rPr>
              <w:t>El agente del Ministerio Público</w:t>
            </w:r>
            <w:r>
              <w:rPr>
                <w:rFonts w:ascii="Verdana" w:eastAsia="Calibri" w:hAnsi="Verdana" w:cs="Arial"/>
                <w:shd w:val="clear" w:color="auto" w:fill="FFFFFF"/>
                <w:lang w:val="es-ES"/>
              </w:rPr>
              <w:t xml:space="preserve">] </w:t>
            </w:r>
            <w:r w:rsidRPr="002152D2">
              <w:rPr>
                <w:rFonts w:ascii="Verdana" w:eastAsia="Calibri" w:hAnsi="Verdana" w:cs="Arial"/>
                <w:shd w:val="clear" w:color="auto" w:fill="FFFFFF"/>
                <w:lang w:val="es-ES"/>
              </w:rPr>
              <w:t>indicará al solicitante los defectos que debe subsanar, para lo cual concederá un término de cinco (5) días contados a partir del día siguiente de la comunicación de la decisión</w:t>
            </w:r>
            <w:r>
              <w:rPr>
                <w:rFonts w:ascii="Verdana" w:eastAsia="Calibri" w:hAnsi="Verdana" w:cs="Arial"/>
                <w:shd w:val="clear" w:color="auto" w:fill="FFFFFF"/>
                <w:lang w:val="es-ES"/>
              </w:rPr>
              <w:t xml:space="preserve">” (Corchetes fuera de texto). </w:t>
            </w:r>
          </w:p>
          <w:p w14:paraId="6620A152" w14:textId="77777777" w:rsidR="0054540B" w:rsidRPr="00EC59D4" w:rsidRDefault="0054540B" w:rsidP="00456757">
            <w:pPr>
              <w:widowControl w:val="0"/>
              <w:autoSpaceDE w:val="0"/>
              <w:autoSpaceDN w:val="0"/>
              <w:spacing w:after="120" w:line="276" w:lineRule="auto"/>
              <w:ind w:firstLine="737"/>
              <w:jc w:val="both"/>
              <w:rPr>
                <w:rFonts w:ascii="Verdana" w:eastAsia="Calibri" w:hAnsi="Verdana" w:cs="Arial"/>
                <w:bCs/>
                <w:color w:val="000000"/>
                <w:kern w:val="2"/>
                <w14:ligatures w14:val="standardContextual"/>
              </w:rPr>
            </w:pPr>
            <w:r>
              <w:rPr>
                <w:rFonts w:ascii="Verdana" w:eastAsia="Calibri" w:hAnsi="Verdana" w:cs="Arial"/>
                <w:shd w:val="clear" w:color="auto" w:fill="FFFFFF"/>
                <w:lang w:val="es-ES"/>
              </w:rPr>
              <w:t>Por ello, el inciso tercero del artículo 102 de la Ley 2220 de 2022 prescribe que “</w:t>
            </w:r>
            <w:r w:rsidRPr="00EB0D52">
              <w:rPr>
                <w:rFonts w:ascii="Verdana" w:eastAsia="Calibri" w:hAnsi="Verdana" w:cs="Arial"/>
                <w:i/>
                <w:iCs/>
                <w:shd w:val="clear" w:color="auto" w:fill="FFFFFF"/>
                <w:lang w:val="es-ES"/>
              </w:rPr>
              <w:t>Si vencido el término para subsanar no se corrigen los defectos indicados, mediante decisión que se comunicará al convocante, se declarará el desistimiento de la solicitud y se tendrá por no presentada</w:t>
            </w:r>
            <w:r>
              <w:rPr>
                <w:rFonts w:ascii="Verdana" w:eastAsia="Calibri" w:hAnsi="Verdana" w:cs="Arial"/>
                <w:shd w:val="clear" w:color="auto" w:fill="FFFFFF"/>
                <w:lang w:val="es-ES"/>
              </w:rPr>
              <w:t xml:space="preserve">” (Cursiva fuera de texto). Por el contrario, si se subsana oportunamente, no existe desistimiento y la solicitud se tendrá por presentada. Conforme a lo explicado </w:t>
            </w:r>
            <w:r w:rsidRPr="00EB0D52">
              <w:rPr>
                <w:rFonts w:ascii="Verdana" w:eastAsia="Calibri" w:hAnsi="Verdana" w:cs="Arial"/>
                <w:i/>
                <w:iCs/>
                <w:shd w:val="clear" w:color="auto" w:fill="FFFFFF"/>
                <w:lang w:val="es-ES"/>
              </w:rPr>
              <w:t>ut supra</w:t>
            </w:r>
            <w:r>
              <w:rPr>
                <w:rFonts w:ascii="Verdana" w:eastAsia="Calibri" w:hAnsi="Verdana" w:cs="Arial"/>
                <w:shd w:val="clear" w:color="auto" w:fill="FFFFFF"/>
                <w:lang w:val="es-ES"/>
              </w:rPr>
              <w:t xml:space="preserve">, la fecha de la presentación de la solicitud es la que define el inicio de suspensión de la caducidad del medio de control; luego, en caso de subsanación oportuna, </w:t>
            </w:r>
            <w:r w:rsidRPr="00EF2FF3">
              <w:rPr>
                <w:rFonts w:ascii="Verdana" w:eastAsia="Calibri" w:hAnsi="Verdana" w:cs="Arial"/>
                <w:shd w:val="clear" w:color="auto" w:fill="FFFFFF"/>
                <w:lang w:val="es-ES"/>
              </w:rPr>
              <w:t>la conciliación para efectos del requisito de procedibilidad se entendería presentada desde la fecha de radicación de la solicitud inicial</w:t>
            </w:r>
            <w:r>
              <w:rPr>
                <w:rFonts w:ascii="Verdana" w:eastAsia="Calibri" w:hAnsi="Verdana" w:cs="Arial"/>
                <w:shd w:val="clear" w:color="auto" w:fill="FFFFFF"/>
                <w:lang w:val="es-ES"/>
              </w:rPr>
              <w:t>. (Respuesta a la pregunta 2)</w:t>
            </w:r>
          </w:p>
          <w:p w14:paraId="0CD9A966" w14:textId="77777777" w:rsidR="0054540B" w:rsidRPr="001941FD" w:rsidRDefault="0054540B" w:rsidP="00456757">
            <w:pPr>
              <w:spacing w:line="276" w:lineRule="auto"/>
              <w:ind w:firstLine="709"/>
              <w:jc w:val="both"/>
              <w:rPr>
                <w:rFonts w:ascii="Verdana" w:eastAsia="Calibri" w:hAnsi="Verdana" w:cs="Arial"/>
                <w:bCs/>
                <w:color w:val="000000" w:themeColor="text1"/>
              </w:rPr>
            </w:pPr>
            <w:r w:rsidRPr="00AD5A94">
              <w:rPr>
                <w:rStyle w:val="s15"/>
                <w:rFonts w:ascii="Verdana" w:hAnsi="Verdana"/>
                <w:color w:val="000000"/>
              </w:rPr>
              <w:t xml:space="preserve">Al margen de la explicación precedente debe advertirse que el análisis requerido para resolver problemas específicos en torno a la gestión contractual </w:t>
            </w:r>
            <w:r w:rsidRPr="00AD5A94">
              <w:rPr>
                <w:rStyle w:val="s15"/>
                <w:rFonts w:ascii="Verdana" w:hAnsi="Verdana"/>
                <w:color w:val="000000"/>
              </w:rPr>
              <w:lastRenderedPageBreak/>
              <w:t xml:space="preserve">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w:t>
            </w:r>
            <w:r>
              <w:rPr>
                <w:rFonts w:ascii="Verdana" w:hAnsi="Verdana" w:cs="Arial"/>
                <w:lang w:eastAsia="es-ES"/>
              </w:rPr>
              <w:t>el juez competente definirá el cumplimiento del requisito de procedibilidad y la caducidad del medio de control frente a las solicitudes conciliación extrajudicial en asuntos de lo contencioso administrativo</w:t>
            </w:r>
            <w:r w:rsidRPr="00AD5A94">
              <w:rPr>
                <w:rStyle w:val="s15"/>
                <w:rFonts w:ascii="Verdana" w:hAnsi="Verdana"/>
                <w:color w:val="000000"/>
              </w:rPr>
              <w:t>, sin que sea atribución de Colombia Compra Eficiente validar sus actuaciones</w:t>
            </w:r>
            <w:r w:rsidRPr="001941FD">
              <w:rPr>
                <w:rStyle w:val="s15"/>
                <w:rFonts w:ascii="Verdana" w:hAnsi="Verdana"/>
                <w:color w:val="000000"/>
              </w:rPr>
              <w:t>.</w:t>
            </w:r>
          </w:p>
        </w:tc>
      </w:tr>
    </w:tbl>
    <w:p w14:paraId="7B97ED7D" w14:textId="77777777" w:rsidR="0054540B" w:rsidRPr="00593A5F" w:rsidRDefault="0054540B" w:rsidP="0054540B">
      <w:pPr>
        <w:tabs>
          <w:tab w:val="left" w:pos="142"/>
          <w:tab w:val="left" w:pos="284"/>
        </w:tabs>
        <w:spacing w:after="0" w:line="276" w:lineRule="auto"/>
        <w:jc w:val="both"/>
        <w:rPr>
          <w:rFonts w:ascii="Verdana" w:eastAsia="Century Gothic" w:hAnsi="Verdana" w:cs="Century Gothic"/>
          <w:b/>
          <w:bCs/>
          <w:lang w:val="es-ES"/>
        </w:rPr>
      </w:pPr>
    </w:p>
    <w:bookmarkEnd w:id="3"/>
    <w:p w14:paraId="0E7ECE79" w14:textId="77777777" w:rsidR="0054540B" w:rsidRPr="00593A5F" w:rsidRDefault="0054540B" w:rsidP="0054540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1C3A763" w14:textId="77777777" w:rsidR="0054540B" w:rsidRPr="00593A5F" w:rsidRDefault="0054540B" w:rsidP="0054540B">
      <w:pPr>
        <w:spacing w:after="0" w:line="276" w:lineRule="auto"/>
        <w:jc w:val="both"/>
        <w:rPr>
          <w:rFonts w:ascii="Verdana" w:eastAsia="Calibri" w:hAnsi="Verdana" w:cs="Arial"/>
          <w:color w:val="7030A0"/>
          <w:lang w:val="es-ES"/>
        </w:rPr>
      </w:pPr>
    </w:p>
    <w:p w14:paraId="39F959FB" w14:textId="77777777" w:rsidR="0054540B" w:rsidRDefault="0054540B" w:rsidP="0054540B">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2DFDC3EF" w14:textId="77777777" w:rsidR="0054540B" w:rsidRPr="008305C9" w:rsidRDefault="0054540B" w:rsidP="0054540B">
      <w:pPr>
        <w:spacing w:after="0" w:line="276" w:lineRule="auto"/>
        <w:jc w:val="both"/>
        <w:rPr>
          <w:rFonts w:ascii="Verdana" w:eastAsia="Calibri" w:hAnsi="Verdana" w:cs="Arial"/>
          <w:lang w:val="es-ES"/>
        </w:rPr>
      </w:pPr>
    </w:p>
    <w:p w14:paraId="7B5261D1" w14:textId="77777777" w:rsidR="0054540B" w:rsidRPr="00DA1FE4" w:rsidRDefault="0054540B" w:rsidP="0054540B">
      <w:pPr>
        <w:spacing w:after="120" w:line="276" w:lineRule="auto"/>
        <w:jc w:val="both"/>
        <w:rPr>
          <w:rFonts w:ascii="Verdana" w:eastAsia="Calibri" w:hAnsi="Verdana" w:cs="Arial"/>
          <w:shd w:val="clear" w:color="auto" w:fill="FFFFFF"/>
          <w:lang w:val="es-ES"/>
        </w:rPr>
      </w:pPr>
      <w:r w:rsidRPr="00DA1FE4">
        <w:rPr>
          <w:rFonts w:ascii="Verdana" w:eastAsia="Calibri" w:hAnsi="Verdana" w:cs="Arial"/>
          <w:shd w:val="clear" w:color="auto" w:fill="FFFFFF"/>
          <w:lang w:val="es-ES"/>
        </w:rPr>
        <w:t xml:space="preserve">El </w:t>
      </w:r>
      <w:r w:rsidRPr="00DA1FE4">
        <w:rPr>
          <w:rFonts w:ascii="Verdana" w:eastAsia="Calibri" w:hAnsi="Verdana" w:cs="Arial"/>
          <w:i/>
          <w:iCs/>
          <w:shd w:val="clear" w:color="auto" w:fill="FFFFFF"/>
          <w:lang w:val="es-ES"/>
        </w:rPr>
        <w:t>acto de adjudicación</w:t>
      </w:r>
      <w:r w:rsidRPr="00DA1FE4">
        <w:rPr>
          <w:rFonts w:ascii="Verdana" w:eastAsia="Calibri" w:hAnsi="Verdana" w:cs="Arial"/>
          <w:shd w:val="clear" w:color="auto" w:fill="FFFFFF"/>
          <w:lang w:val="es-ES"/>
        </w:rPr>
        <w:t xml:space="preserve"> es la actuación final de la fase del procedimiento de selección, en la cual se manifiesta la voluntad de la Administración de realizar la contratación con uno o varios oferentes determinados. El acto de adjudicación es una de las formalidades más importantes para la configuración del contrato estatal, en la medida que es a partir de ella que se origina la obligación para las partes de celebrar el contrato objeto del procedimiento de selección</w:t>
      </w:r>
      <w:r w:rsidRPr="00DA1FE4">
        <w:rPr>
          <w:rStyle w:val="Refdenotaalpie"/>
          <w:rFonts w:ascii="Verdana" w:eastAsia="Calibri" w:hAnsi="Verdana" w:cs="Arial"/>
          <w:shd w:val="clear" w:color="auto" w:fill="FFFFFF"/>
          <w:lang w:val="es-ES"/>
        </w:rPr>
        <w:footnoteReference w:id="1"/>
      </w:r>
      <w:r w:rsidRPr="00DA1FE4">
        <w:rPr>
          <w:rFonts w:ascii="Verdana" w:eastAsia="Calibri" w:hAnsi="Verdana" w:cs="Arial"/>
          <w:shd w:val="clear" w:color="auto" w:fill="FFFFFF"/>
          <w:lang w:val="es-ES"/>
        </w:rPr>
        <w:t xml:space="preserve">. Así lo ha anotado la doctrina al señalar que </w:t>
      </w:r>
      <w:r w:rsidRPr="00EB5EE4">
        <w:rPr>
          <w:rFonts w:ascii="Verdana" w:eastAsia="Calibri" w:hAnsi="Verdana" w:cs="Arial"/>
          <w:shd w:val="clear" w:color="auto" w:fill="FFFFFF"/>
          <w:lang w:val="es-ES"/>
        </w:rPr>
        <w:t>“</w:t>
      </w:r>
      <w:r>
        <w:rPr>
          <w:rFonts w:ascii="Verdana" w:eastAsia="Calibri" w:hAnsi="Verdana" w:cs="Arial"/>
          <w:shd w:val="clear" w:color="auto" w:fill="FFFFFF"/>
          <w:lang w:val="es-ES"/>
        </w:rPr>
        <w:t xml:space="preserve">[…] </w:t>
      </w:r>
      <w:r w:rsidRPr="00EB5EE4">
        <w:rPr>
          <w:rFonts w:ascii="Verdana" w:eastAsia="Calibri" w:hAnsi="Verdana" w:cs="Arial"/>
          <w:shd w:val="clear" w:color="auto" w:fill="FFFFFF"/>
          <w:lang w:val="es-ES"/>
        </w:rPr>
        <w:t>con la adjudicación del contrato surge una relación jurídica de la cual se deriva el compromiso para las partes de observar las formalidades propias del perfeccionamiento del contrato”</w:t>
      </w:r>
      <w:r w:rsidRPr="00EB5EE4">
        <w:rPr>
          <w:rStyle w:val="Refdenotaalpie"/>
          <w:rFonts w:ascii="Verdana" w:eastAsia="Calibri" w:hAnsi="Verdana" w:cs="Arial"/>
          <w:shd w:val="clear" w:color="auto" w:fill="FFFFFF"/>
          <w:lang w:val="es-ES"/>
        </w:rPr>
        <w:footnoteReference w:id="2"/>
      </w:r>
      <w:r w:rsidRPr="00EB5EE4">
        <w:rPr>
          <w:rFonts w:ascii="Verdana" w:eastAsia="Calibri" w:hAnsi="Verdana" w:cs="Arial"/>
          <w:shd w:val="clear" w:color="auto" w:fill="FFFFFF"/>
          <w:lang w:val="es-ES"/>
        </w:rPr>
        <w:t>.</w:t>
      </w:r>
      <w:r w:rsidRPr="00DA1FE4">
        <w:rPr>
          <w:rFonts w:ascii="Verdana" w:eastAsia="Calibri" w:hAnsi="Verdana" w:cs="Arial"/>
          <w:shd w:val="clear" w:color="auto" w:fill="FFFFFF"/>
          <w:lang w:val="es-ES"/>
        </w:rPr>
        <w:t xml:space="preserve"> </w:t>
      </w:r>
    </w:p>
    <w:p w14:paraId="227F7F65" w14:textId="77777777" w:rsidR="0054540B" w:rsidRPr="00DA1FE4" w:rsidRDefault="0054540B" w:rsidP="0054540B">
      <w:pPr>
        <w:spacing w:after="120" w:line="276" w:lineRule="auto"/>
        <w:ind w:firstLine="709"/>
        <w:jc w:val="both"/>
        <w:rPr>
          <w:rFonts w:ascii="Verdana" w:eastAsia="Arial MT" w:hAnsi="Verdana" w:cs="Arial"/>
          <w:lang w:eastAsia="es-ES" w:bidi="es-ES"/>
        </w:rPr>
      </w:pPr>
      <w:r w:rsidRPr="00DA1FE4">
        <w:rPr>
          <w:rFonts w:ascii="Verdana" w:eastAsia="Calibri" w:hAnsi="Verdana" w:cs="Arial"/>
          <w:shd w:val="clear" w:color="auto" w:fill="FFFFFF"/>
          <w:lang w:val="es-ES"/>
        </w:rPr>
        <w:t xml:space="preserve">Por su parte, la Sala de Consulta y Servicio Civil del Consejo de Estado ha señalado que </w:t>
      </w:r>
      <w:r w:rsidRPr="00E45581">
        <w:rPr>
          <w:rFonts w:ascii="Verdana" w:eastAsia="Calibri" w:hAnsi="Verdana" w:cs="Arial"/>
          <w:shd w:val="clear" w:color="auto" w:fill="FFFFFF"/>
          <w:lang w:val="es-ES"/>
        </w:rPr>
        <w:t>“la adjudicación del contrato estatal ha sido entendida jurisprudencial y doctrinalmente como el acto (administrativo) mediante el cual una entidad pública manifiesta su aceptación a la propuesta u oferta presentada por alguno de los participantes en un proceso de selección, y se obliga a suscribir con este el contrato proyectado”</w:t>
      </w:r>
      <w:r w:rsidRPr="00E45581">
        <w:rPr>
          <w:rStyle w:val="Refdenotaalpie"/>
          <w:rFonts w:ascii="Verdana" w:eastAsia="Calibri" w:hAnsi="Verdana" w:cs="Arial"/>
          <w:shd w:val="clear" w:color="auto" w:fill="FFFFFF"/>
          <w:lang w:val="es-ES"/>
        </w:rPr>
        <w:footnoteReference w:id="3"/>
      </w:r>
      <w:r w:rsidRPr="00E45581">
        <w:rPr>
          <w:rFonts w:ascii="Verdana" w:eastAsia="Calibri" w:hAnsi="Verdana" w:cs="Arial"/>
          <w:shd w:val="clear" w:color="auto" w:fill="FFFFFF"/>
          <w:lang w:val="es-ES"/>
        </w:rPr>
        <w:t>.</w:t>
      </w:r>
      <w:r w:rsidRPr="00DA1FE4">
        <w:rPr>
          <w:rFonts w:ascii="Verdana" w:eastAsia="Calibri" w:hAnsi="Verdana" w:cs="Arial"/>
          <w:shd w:val="clear" w:color="auto" w:fill="FFFFFF"/>
          <w:lang w:val="es-ES"/>
        </w:rPr>
        <w:t xml:space="preserve"> </w:t>
      </w:r>
      <w:r w:rsidRPr="00DA1FE4">
        <w:rPr>
          <w:rFonts w:ascii="Verdana" w:eastAsia="Arial MT" w:hAnsi="Verdana" w:cs="Arial"/>
          <w:lang w:val="es-ES" w:eastAsia="es-ES" w:bidi="es-ES"/>
        </w:rPr>
        <w:t>La referida Corporación ha señalado que</w:t>
      </w:r>
      <w:r w:rsidRPr="00DA1FE4">
        <w:rPr>
          <w:rFonts w:ascii="Verdana" w:eastAsia="Arial MT" w:hAnsi="Verdana" w:cs="Arial"/>
          <w:lang w:eastAsia="es-ES" w:bidi="es-ES"/>
        </w:rPr>
        <w:t xml:space="preserve"> la adjudicación del contrato estatal se asemeja a la aceptación de la oferta de los contratos privados, con la diferencia de que aquellos, en virtud de los principios </w:t>
      </w:r>
      <w:r w:rsidRPr="00DA1FE4">
        <w:rPr>
          <w:rFonts w:ascii="Verdana" w:eastAsia="Arial MT" w:hAnsi="Verdana" w:cs="Arial"/>
          <w:lang w:eastAsia="es-ES" w:bidi="es-ES"/>
        </w:rPr>
        <w:lastRenderedPageBreak/>
        <w:t xml:space="preserve">de la autonomía de la voluntad y de la consensualidad, la sola aceptación oportuna perfecciona el contrato suscrito, como regla general, salvo que el contrato privado haga parte de los denominados solemnes y reales, y es fuente de derechos y obligaciones que se hubiesen pactado derivado del mismo. </w:t>
      </w:r>
    </w:p>
    <w:p w14:paraId="104711E6" w14:textId="77777777" w:rsidR="0054540B" w:rsidRPr="00DA1FE4" w:rsidRDefault="0054540B" w:rsidP="0054540B">
      <w:pPr>
        <w:spacing w:after="120" w:line="276" w:lineRule="auto"/>
        <w:ind w:firstLine="709"/>
        <w:jc w:val="both"/>
        <w:rPr>
          <w:rFonts w:ascii="Verdana" w:eastAsia="Arial MT" w:hAnsi="Verdana" w:cs="Arial"/>
          <w:lang w:eastAsia="es-ES" w:bidi="es-ES"/>
        </w:rPr>
      </w:pPr>
      <w:r w:rsidRPr="00DA1FE4">
        <w:rPr>
          <w:rFonts w:ascii="Verdana" w:eastAsia="Arial MT" w:hAnsi="Verdana" w:cs="Arial"/>
          <w:lang w:eastAsia="es-ES" w:bidi="es-ES"/>
        </w:rPr>
        <w:t>Lo anterior, a diferencia de los contratos estatales, dado que, en virtud del artículo 41 de la Ley 80 de 1993, su carácter es solemne, por cuanto no se perfeccionan con la notificación del acto de adjudicación, de manera que su perfeccionamiento solo se da en la medida en que las partes suscriban el documento que contiene las respectivas cláusulas o estipulaciones, con algunas pocas excepciones</w:t>
      </w:r>
      <w:r w:rsidRPr="00DA1FE4">
        <w:rPr>
          <w:rStyle w:val="Refdenotaalpie"/>
          <w:rFonts w:ascii="Verdana" w:eastAsia="Arial MT" w:hAnsi="Verdana" w:cs="Arial"/>
          <w:lang w:eastAsia="es-ES" w:bidi="es-ES"/>
        </w:rPr>
        <w:footnoteReference w:id="4"/>
      </w:r>
      <w:r w:rsidRPr="00DA1FE4">
        <w:rPr>
          <w:rFonts w:ascii="Verdana" w:eastAsia="Arial MT" w:hAnsi="Verdana" w:cs="Arial"/>
          <w:lang w:eastAsia="es-ES" w:bidi="es-ES"/>
        </w:rPr>
        <w:t>. Esto resulta importante porque el acto de adjudicación no produce en sí mismo las obligaciones y derechos que se desprenden del contrato, pero sí da origen a otras obligaciones y derechos que son recíprocos entre las partes, como por ejemplo, el derecho a suscribir el contrato proyectado, en el plazo acordado y con las previsiones estipuladas en tal documento, en sus modificaciones, adendas, anexos y en la misma propuesta que fue aceptada, siempre que aquella no contradiga el contenido de los documentos del proceso.</w:t>
      </w:r>
    </w:p>
    <w:p w14:paraId="11864D9E" w14:textId="77777777" w:rsidR="0054540B" w:rsidRPr="00DA1FE4" w:rsidRDefault="0054540B" w:rsidP="0054540B">
      <w:pPr>
        <w:spacing w:after="120" w:line="276" w:lineRule="auto"/>
        <w:jc w:val="both"/>
        <w:rPr>
          <w:rFonts w:ascii="Verdana" w:eastAsia="Arial MT" w:hAnsi="Verdana" w:cs="Arial"/>
          <w:lang w:eastAsia="es-ES" w:bidi="es-ES"/>
        </w:rPr>
      </w:pPr>
      <w:r w:rsidRPr="00DA1FE4">
        <w:rPr>
          <w:rFonts w:ascii="Verdana" w:eastAsia="Arial MT" w:hAnsi="Verdana" w:cs="Arial"/>
          <w:lang w:eastAsia="es-ES" w:bidi="es-ES"/>
        </w:rPr>
        <w:tab/>
        <w:t xml:space="preserve">Adicionalmente, tanto la jurisprudencia del Consejo de Estado como la doctrina han distinguido tres (3) características del acto de adjudicación del contrato estatal, que pueden sintetizarse así: i) es un acto administrativo de carácter definitivo y de alcance particular; </w:t>
      </w:r>
      <w:proofErr w:type="spellStart"/>
      <w:r w:rsidRPr="00DA1FE4">
        <w:rPr>
          <w:rFonts w:ascii="Verdana" w:eastAsia="Arial MT" w:hAnsi="Verdana" w:cs="Arial"/>
          <w:lang w:eastAsia="es-ES" w:bidi="es-ES"/>
        </w:rPr>
        <w:t>ii</w:t>
      </w:r>
      <w:proofErr w:type="spellEnd"/>
      <w:r w:rsidRPr="00DA1FE4">
        <w:rPr>
          <w:rFonts w:ascii="Verdana" w:eastAsia="Arial MT" w:hAnsi="Verdana" w:cs="Arial"/>
          <w:lang w:eastAsia="es-ES" w:bidi="es-ES"/>
        </w:rPr>
        <w:t xml:space="preserve">) es irrevocable, por regla general, y </w:t>
      </w:r>
      <w:proofErr w:type="spellStart"/>
      <w:r w:rsidRPr="00DA1FE4">
        <w:rPr>
          <w:rFonts w:ascii="Verdana" w:eastAsia="Arial MT" w:hAnsi="Verdana" w:cs="Arial"/>
          <w:lang w:eastAsia="es-ES" w:bidi="es-ES"/>
        </w:rPr>
        <w:t>iii</w:t>
      </w:r>
      <w:proofErr w:type="spellEnd"/>
      <w:r w:rsidRPr="00DA1FE4">
        <w:rPr>
          <w:rFonts w:ascii="Verdana" w:eastAsia="Arial MT" w:hAnsi="Verdana" w:cs="Arial"/>
          <w:lang w:eastAsia="es-ES" w:bidi="es-ES"/>
        </w:rPr>
        <w:t>) es obligatorio, tanto para la entidad contratante como para el adjudicatario.</w:t>
      </w:r>
    </w:p>
    <w:p w14:paraId="685C6E8D" w14:textId="77777777" w:rsidR="0054540B" w:rsidRPr="00DA1FE4" w:rsidRDefault="0054540B" w:rsidP="0054540B">
      <w:pPr>
        <w:spacing w:after="120" w:line="276" w:lineRule="auto"/>
        <w:jc w:val="both"/>
        <w:rPr>
          <w:rFonts w:ascii="Verdana" w:eastAsia="Arial MT" w:hAnsi="Verdana" w:cs="Arial"/>
          <w:lang w:eastAsia="es-ES" w:bidi="es-ES"/>
        </w:rPr>
      </w:pPr>
      <w:r w:rsidRPr="00DA1FE4">
        <w:rPr>
          <w:rFonts w:ascii="Verdana" w:eastAsia="Arial MT" w:hAnsi="Verdana" w:cs="Arial"/>
          <w:lang w:eastAsia="es-ES" w:bidi="es-ES"/>
        </w:rPr>
        <w:tab/>
        <w:t xml:space="preserve">De lo anterior se coligen varios elementos: i) al ser un acto administrativo, aquel debe ser motivado en forma razonada y suficiente y debe producirse con las formalidades propias de los actos jurídicos; </w:t>
      </w:r>
      <w:proofErr w:type="spellStart"/>
      <w:r w:rsidRPr="00DA1FE4">
        <w:rPr>
          <w:rFonts w:ascii="Verdana" w:eastAsia="Arial MT" w:hAnsi="Verdana" w:cs="Arial"/>
          <w:lang w:eastAsia="es-ES" w:bidi="es-ES"/>
        </w:rPr>
        <w:t>ii</w:t>
      </w:r>
      <w:proofErr w:type="spellEnd"/>
      <w:r w:rsidRPr="00DA1FE4">
        <w:rPr>
          <w:rFonts w:ascii="Verdana" w:eastAsia="Arial MT" w:hAnsi="Verdana" w:cs="Arial"/>
          <w:lang w:eastAsia="es-ES" w:bidi="es-ES"/>
        </w:rPr>
        <w:t xml:space="preserve">) al ser un acto administrativo de carácter definitivo, significa esto que termina el proceso de selección con su producción y se decide de manera definitiva sobre la futura celebración del contrato estatal y, </w:t>
      </w:r>
      <w:proofErr w:type="spellStart"/>
      <w:r w:rsidRPr="00DA1FE4">
        <w:rPr>
          <w:rFonts w:ascii="Verdana" w:eastAsia="Arial MT" w:hAnsi="Verdana" w:cs="Arial"/>
          <w:lang w:eastAsia="es-ES" w:bidi="es-ES"/>
        </w:rPr>
        <w:t>iii</w:t>
      </w:r>
      <w:proofErr w:type="spellEnd"/>
      <w:r w:rsidRPr="00DA1FE4">
        <w:rPr>
          <w:rFonts w:ascii="Verdana" w:eastAsia="Arial MT" w:hAnsi="Verdana" w:cs="Arial"/>
          <w:lang w:eastAsia="es-ES" w:bidi="es-ES"/>
        </w:rPr>
        <w:t>) al ser un acto administrativo de alcance particular, la administración está obligada a notificarlo al adjudicatario y comunicarlo a los demás oferentes.</w:t>
      </w:r>
    </w:p>
    <w:p w14:paraId="3D0A145A" w14:textId="77777777" w:rsidR="0054540B" w:rsidRDefault="0054540B" w:rsidP="0054540B">
      <w:pPr>
        <w:spacing w:after="120" w:line="276" w:lineRule="auto"/>
        <w:ind w:firstLine="709"/>
        <w:jc w:val="both"/>
        <w:rPr>
          <w:rFonts w:ascii="Verdana" w:eastAsia="Calibri" w:hAnsi="Verdana" w:cs="Arial"/>
          <w:shd w:val="clear" w:color="auto" w:fill="FFFFFF"/>
          <w:lang w:val="es-ES"/>
        </w:rPr>
      </w:pPr>
      <w:r w:rsidRPr="00DA1FE4">
        <w:rPr>
          <w:rFonts w:ascii="Verdana" w:eastAsia="Calibri" w:hAnsi="Verdana" w:cs="Arial"/>
          <w:shd w:val="clear" w:color="auto" w:fill="FFFFFF"/>
          <w:lang w:val="es-ES"/>
        </w:rPr>
        <w:lastRenderedPageBreak/>
        <w:t xml:space="preserve">Conforme a lo expuesto, la adjudicación es una de las formalidades principales dentro del recorrido de formación del contrato del Estado, ya que su existencia genera de manera inmediata una relación jurídica que compromete a las partes a celebrar el respectivo contrato. Esto es, firmar un documento en el que conste el acuerdo sobre el objeto y la contraprestación, así como las respectivas previsiones para el correcto desarrollo del objeto contractual. Así se desprende del </w:t>
      </w:r>
      <w:r>
        <w:rPr>
          <w:rFonts w:ascii="Verdana" w:eastAsia="Calibri" w:hAnsi="Verdana" w:cs="Arial"/>
          <w:shd w:val="clear" w:color="auto" w:fill="FFFFFF"/>
          <w:lang w:val="es-ES"/>
        </w:rPr>
        <w:t xml:space="preserve">inciso tercero del </w:t>
      </w:r>
      <w:r w:rsidRPr="00DA1FE4">
        <w:rPr>
          <w:rFonts w:ascii="Verdana" w:eastAsia="Calibri" w:hAnsi="Verdana" w:cs="Arial"/>
          <w:shd w:val="clear" w:color="auto" w:fill="FFFFFF"/>
          <w:lang w:val="es-ES"/>
        </w:rPr>
        <w:t xml:space="preserve">artículo 9 de la Ley 1150 de 2007 cuando expresa que </w:t>
      </w:r>
      <w:r w:rsidRPr="00DA1FE4">
        <w:rPr>
          <w:rFonts w:ascii="Verdana" w:eastAsia="Calibri" w:hAnsi="Verdana" w:cs="Arial"/>
          <w:i/>
          <w:iCs/>
          <w:shd w:val="clear" w:color="auto" w:fill="FFFFFF"/>
          <w:lang w:val="es-ES"/>
        </w:rPr>
        <w:t>“</w:t>
      </w:r>
      <w:r>
        <w:rPr>
          <w:rFonts w:ascii="Verdana" w:eastAsia="Calibri" w:hAnsi="Verdana" w:cs="Arial"/>
          <w:shd w:val="clear" w:color="auto" w:fill="FFFFFF"/>
          <w:lang w:val="es-ES"/>
        </w:rPr>
        <w:t>E</w:t>
      </w:r>
      <w:r w:rsidRPr="00E45581">
        <w:rPr>
          <w:rFonts w:ascii="Verdana" w:eastAsia="Calibri" w:hAnsi="Verdana" w:cs="Arial"/>
          <w:shd w:val="clear" w:color="auto" w:fill="FFFFFF"/>
          <w:lang w:val="es-ES"/>
        </w:rPr>
        <w:t>l acto de adjudicación es irrevocable y obliga a la entidad y al adjudicatario”.</w:t>
      </w:r>
      <w:r w:rsidRPr="00DA1FE4">
        <w:rPr>
          <w:rFonts w:ascii="Verdana" w:eastAsia="Calibri" w:hAnsi="Verdana" w:cs="Arial"/>
          <w:shd w:val="clear" w:color="auto" w:fill="FFFFFF"/>
          <w:lang w:val="es-ES"/>
        </w:rPr>
        <w:t xml:space="preserve"> Se concluye entonces que, es una obligación reciproca, esto es, oponible tanto a la Administración como al adjudicatario.</w:t>
      </w:r>
    </w:p>
    <w:p w14:paraId="46BBA792" w14:textId="77777777" w:rsidR="0054540B" w:rsidRDefault="0054540B" w:rsidP="0054540B">
      <w:pPr>
        <w:spacing w:after="120" w:line="276" w:lineRule="auto"/>
        <w:ind w:firstLine="709"/>
        <w:jc w:val="both"/>
        <w:rPr>
          <w:rFonts w:ascii="Verdana" w:eastAsia="Calibri" w:hAnsi="Verdana" w:cs="Arial"/>
          <w:shd w:val="clear" w:color="auto" w:fill="FFFFFF"/>
          <w:lang w:val="es-ES"/>
        </w:rPr>
      </w:pPr>
      <w:r>
        <w:rPr>
          <w:rFonts w:ascii="Verdana" w:eastAsia="Calibri" w:hAnsi="Verdana" w:cs="Arial"/>
          <w:shd w:val="clear" w:color="auto" w:fill="FFFFFF"/>
          <w:lang w:val="es-ES"/>
        </w:rPr>
        <w:t xml:space="preserve">Excepcionalmente, el inciso 4 de la norma precitada dispone lo siguiente: “[…] </w:t>
      </w:r>
      <w:r w:rsidRPr="005B1199">
        <w:rPr>
          <w:rFonts w:ascii="Verdana" w:eastAsia="Calibri" w:hAnsi="Verdana" w:cs="Arial"/>
          <w:shd w:val="clear" w:color="auto" w:fill="FFFFFF"/>
          <w:lang w:val="es-ES"/>
        </w:rPr>
        <w:t xml:space="preserve">si dentro del plazo comprendido entre la adjudicación del contrato y la suscripción </w:t>
      </w:r>
      <w:proofErr w:type="gramStart"/>
      <w:r w:rsidRPr="005B1199">
        <w:rPr>
          <w:rFonts w:ascii="Verdana" w:eastAsia="Calibri" w:hAnsi="Verdana" w:cs="Arial"/>
          <w:shd w:val="clear" w:color="auto" w:fill="FFFFFF"/>
          <w:lang w:val="es-ES"/>
        </w:rPr>
        <w:t>del mismo</w:t>
      </w:r>
      <w:proofErr w:type="gramEnd"/>
      <w:r w:rsidRPr="005B1199">
        <w:rPr>
          <w:rFonts w:ascii="Verdana" w:eastAsia="Calibri" w:hAnsi="Verdana" w:cs="Arial"/>
          <w:shd w:val="clear" w:color="auto" w:fill="FFFFFF"/>
          <w:lang w:val="es-ES"/>
        </w:rPr>
        <w:t>, sobreviene una inhabilidad o incompatibilidad o si se demuestra que el acto se obtuvo por medios ilegales, este podrá ser revocado, caso en el cual, la entidad podrá aplicar lo previsto en el inciso final del numeral 12 del artículo 30 de la Ley 80 de 1993</w:t>
      </w:r>
      <w:r>
        <w:rPr>
          <w:rFonts w:ascii="Verdana" w:eastAsia="Calibri" w:hAnsi="Verdana" w:cs="Arial"/>
          <w:shd w:val="clear" w:color="auto" w:fill="FFFFFF"/>
          <w:lang w:val="es-ES"/>
        </w:rPr>
        <w:t xml:space="preserve">”. Para estos efectos, la revocación directa de la adjudicación es diferente a su declaratoria de nulidad: </w:t>
      </w:r>
      <w:r w:rsidRPr="0089450F">
        <w:rPr>
          <w:rFonts w:ascii="Verdana" w:eastAsia="Calibri" w:hAnsi="Verdana" w:cs="Arial"/>
          <w:i/>
          <w:iCs/>
          <w:shd w:val="clear" w:color="auto" w:fill="FFFFFF"/>
          <w:lang w:val="es-ES"/>
        </w:rPr>
        <w:t>desde el punto de vista de su naturaleza</w:t>
      </w:r>
      <w:r>
        <w:rPr>
          <w:rFonts w:ascii="Verdana" w:eastAsia="Calibri" w:hAnsi="Verdana" w:cs="Arial"/>
          <w:shd w:val="clear" w:color="auto" w:fill="FFFFFF"/>
          <w:lang w:val="es-ES"/>
        </w:rPr>
        <w:t xml:space="preserve">, mientras nulidad constituye una sanción a los actos ilegales, la revocatoria es una decisión que los deja sin efectos; </w:t>
      </w:r>
      <w:r w:rsidRPr="0089450F">
        <w:rPr>
          <w:rFonts w:ascii="Verdana" w:eastAsia="Calibri" w:hAnsi="Verdana" w:cs="Arial"/>
          <w:i/>
          <w:iCs/>
          <w:shd w:val="clear" w:color="auto" w:fill="FFFFFF"/>
          <w:lang w:val="es-ES"/>
        </w:rPr>
        <w:t>desde el punto de vista de sus exigencias</w:t>
      </w:r>
      <w:r>
        <w:rPr>
          <w:rFonts w:ascii="Verdana" w:eastAsia="Calibri" w:hAnsi="Verdana" w:cs="Arial"/>
          <w:shd w:val="clear" w:color="auto" w:fill="FFFFFF"/>
          <w:lang w:val="es-ES"/>
        </w:rPr>
        <w:t xml:space="preserve">, la nulidad se declara cuando se demuestra la ilegalidad, mientras que la revocatoria supone una vulneración manifiesta del marco normativo aplicable a la actuación administrativa; </w:t>
      </w:r>
      <w:r w:rsidRPr="0089450F">
        <w:rPr>
          <w:rFonts w:ascii="Verdana" w:eastAsia="Calibri" w:hAnsi="Verdana" w:cs="Arial"/>
          <w:i/>
          <w:iCs/>
          <w:shd w:val="clear" w:color="auto" w:fill="FFFFFF"/>
          <w:lang w:val="es-ES"/>
        </w:rPr>
        <w:t>desde el punto de vista de sus límites</w:t>
      </w:r>
      <w:r>
        <w:rPr>
          <w:rFonts w:ascii="Verdana" w:eastAsia="Calibri" w:hAnsi="Verdana" w:cs="Arial"/>
          <w:shd w:val="clear" w:color="auto" w:fill="FFFFFF"/>
          <w:lang w:val="es-ES"/>
        </w:rPr>
        <w:t>, la revocatoria tiene una serie de condiciones para adoptar la medida y decretarla, las cuales son diferentes a los de la demanda de nulidad</w:t>
      </w:r>
      <w:r>
        <w:rPr>
          <w:rStyle w:val="Refdenotaalpie"/>
          <w:rFonts w:ascii="Verdana" w:eastAsia="Calibri" w:hAnsi="Verdana" w:cs="Arial"/>
          <w:shd w:val="clear" w:color="auto" w:fill="FFFFFF"/>
          <w:lang w:val="es-ES"/>
        </w:rPr>
        <w:footnoteReference w:id="5"/>
      </w:r>
      <w:r>
        <w:rPr>
          <w:rFonts w:ascii="Verdana" w:eastAsia="Calibri" w:hAnsi="Verdana" w:cs="Arial"/>
          <w:shd w:val="clear" w:color="auto" w:fill="FFFFFF"/>
          <w:lang w:val="es-ES"/>
        </w:rPr>
        <w:t>. Por lo demás, mientras revocatoria directa es un mecanismo de autotutela administrativa, la nulidad supone el ejercicio del derecho de acción frente a la jurisdicción de lo contencioso administrativo.</w:t>
      </w:r>
    </w:p>
    <w:p w14:paraId="281874F1" w14:textId="77777777" w:rsidR="0054540B" w:rsidRDefault="0054540B" w:rsidP="0054540B">
      <w:pPr>
        <w:spacing w:after="120" w:line="276" w:lineRule="auto"/>
        <w:ind w:firstLine="709"/>
        <w:jc w:val="both"/>
        <w:rPr>
          <w:rFonts w:ascii="Verdana" w:eastAsia="Calibri" w:hAnsi="Verdana" w:cs="Arial"/>
          <w:shd w:val="clear" w:color="auto" w:fill="FFFFFF"/>
          <w:lang w:val="es-ES"/>
        </w:rPr>
      </w:pPr>
      <w:r>
        <w:rPr>
          <w:rFonts w:ascii="Verdana" w:eastAsia="Calibri" w:hAnsi="Verdana" w:cs="Arial"/>
          <w:shd w:val="clear" w:color="auto" w:fill="FFFFFF"/>
          <w:lang w:val="es-ES"/>
        </w:rPr>
        <w:t>Si bien el inciso segundo del artículo 77 de la Ley 80 de 1993 dispone que “</w:t>
      </w:r>
      <w:r w:rsidRPr="00B313A4">
        <w:rPr>
          <w:rFonts w:ascii="Verdana" w:eastAsia="Calibri" w:hAnsi="Verdana" w:cs="Arial"/>
          <w:shd w:val="clear" w:color="auto" w:fill="FFFFFF"/>
          <w:lang w:val="es-ES"/>
        </w:rPr>
        <w:t>Los actos administrativos que se produzcan con motivo u ocasión de la actividad contractual sólo serán susceptibles de recurso de reposición y del ejercicio de la acción contractual, de acuerdo con las reglas del Código Contencioso Administrativo</w:t>
      </w:r>
      <w:r>
        <w:rPr>
          <w:rFonts w:ascii="Verdana" w:eastAsia="Calibri" w:hAnsi="Verdana" w:cs="Arial"/>
          <w:shd w:val="clear" w:color="auto" w:fill="FFFFFF"/>
          <w:lang w:val="es-ES"/>
        </w:rPr>
        <w:t>”, el parágrafo primero de la norma citada prescribe que “</w:t>
      </w:r>
      <w:r w:rsidRPr="00B313A4">
        <w:rPr>
          <w:rFonts w:ascii="Verdana" w:eastAsia="Calibri" w:hAnsi="Verdana" w:cs="Arial"/>
          <w:shd w:val="clear" w:color="auto" w:fill="FFFFFF"/>
          <w:lang w:val="es-ES"/>
        </w:rPr>
        <w:t xml:space="preserve">El acto de adjudicación no tendrá recursos por la vía gubernativa. Este podrá </w:t>
      </w:r>
      <w:r w:rsidRPr="00B313A4">
        <w:rPr>
          <w:rFonts w:ascii="Verdana" w:eastAsia="Calibri" w:hAnsi="Verdana" w:cs="Arial"/>
          <w:shd w:val="clear" w:color="auto" w:fill="FFFFFF"/>
          <w:lang w:val="es-ES"/>
        </w:rPr>
        <w:lastRenderedPageBreak/>
        <w:t>impugnarse mediante el ejercicio de la acción de nulidad y restablecimiento del derecho, según las reglas del Código Contencioso Administrativo</w:t>
      </w:r>
      <w:r>
        <w:rPr>
          <w:rFonts w:ascii="Verdana" w:eastAsia="Calibri" w:hAnsi="Verdana" w:cs="Arial"/>
          <w:shd w:val="clear" w:color="auto" w:fill="FFFFFF"/>
          <w:lang w:val="es-ES"/>
        </w:rPr>
        <w:t>”</w:t>
      </w:r>
      <w:r w:rsidRPr="00B313A4">
        <w:rPr>
          <w:rFonts w:ascii="Verdana" w:eastAsia="Calibri" w:hAnsi="Verdana" w:cs="Arial"/>
          <w:shd w:val="clear" w:color="auto" w:fill="FFFFFF"/>
          <w:lang w:val="es-ES"/>
        </w:rPr>
        <w:t>.</w:t>
      </w:r>
      <w:r>
        <w:rPr>
          <w:rFonts w:ascii="Verdana" w:eastAsia="Calibri" w:hAnsi="Verdana" w:cs="Arial"/>
          <w:shd w:val="clear" w:color="auto" w:fill="FFFFFF"/>
          <w:lang w:val="es-ES"/>
        </w:rPr>
        <w:t xml:space="preserve"> Por su parte, el inciso segundo del artículo 141 de la Ley 1437 de 2011 dispone lo siguiente: “</w:t>
      </w:r>
      <w:r w:rsidRPr="0033451E">
        <w:rPr>
          <w:rFonts w:ascii="Verdana" w:eastAsia="Calibri" w:hAnsi="Verdana" w:cs="Arial"/>
          <w:shd w:val="clear" w:color="auto" w:fill="FFFFFF"/>
          <w:lang w:val="es-ES"/>
        </w:rPr>
        <w:t>Los actos proferidos antes de la celebración del contrato, con ocasión de la actividad contractual, podrán demandarse en los términos de los artículos 137 y 138 de este Código, según el caso</w:t>
      </w:r>
      <w:r>
        <w:rPr>
          <w:rFonts w:ascii="Verdana" w:eastAsia="Calibri" w:hAnsi="Verdana" w:cs="Arial"/>
          <w:shd w:val="clear" w:color="auto" w:fill="FFFFFF"/>
          <w:lang w:val="es-ES"/>
        </w:rPr>
        <w:t>”</w:t>
      </w:r>
      <w:r w:rsidRPr="0033451E">
        <w:rPr>
          <w:rFonts w:ascii="Verdana" w:eastAsia="Calibri" w:hAnsi="Verdana" w:cs="Arial"/>
          <w:shd w:val="clear" w:color="auto" w:fill="FFFFFF"/>
          <w:lang w:val="es-ES"/>
        </w:rPr>
        <w:t>.</w:t>
      </w:r>
      <w:r>
        <w:rPr>
          <w:rFonts w:ascii="Verdana" w:eastAsia="Calibri" w:hAnsi="Verdana" w:cs="Arial"/>
          <w:shd w:val="clear" w:color="auto" w:fill="FFFFFF"/>
          <w:lang w:val="es-ES"/>
        </w:rPr>
        <w:t xml:space="preserve"> </w:t>
      </w:r>
    </w:p>
    <w:p w14:paraId="4D4B006A" w14:textId="77777777" w:rsidR="0054540B" w:rsidRDefault="0054540B" w:rsidP="0054540B">
      <w:pPr>
        <w:spacing w:after="120" w:line="276" w:lineRule="auto"/>
        <w:ind w:firstLine="709"/>
        <w:jc w:val="both"/>
        <w:rPr>
          <w:rFonts w:ascii="Verdana" w:eastAsia="Calibri" w:hAnsi="Verdana" w:cs="Arial"/>
          <w:shd w:val="clear" w:color="auto" w:fill="FFFFFF"/>
          <w:lang w:val="es-ES"/>
        </w:rPr>
      </w:pPr>
      <w:r>
        <w:rPr>
          <w:rFonts w:ascii="Verdana" w:eastAsia="Calibri" w:hAnsi="Verdana" w:cs="Arial"/>
          <w:shd w:val="clear" w:color="auto" w:fill="FFFFFF"/>
          <w:lang w:val="es-ES"/>
        </w:rPr>
        <w:t xml:space="preserve">El artículo 138 del Código de Procedimiento Administrativo y Contencioso Administrativo regula el medio de control de nulidad y restablecimiento del derecho. Sin embargo, el inciso primero del artículo 161 </w:t>
      </w:r>
      <w:r w:rsidRPr="00605D49">
        <w:rPr>
          <w:rFonts w:ascii="Verdana" w:eastAsia="Calibri" w:hAnsi="Verdana" w:cs="Arial"/>
          <w:i/>
          <w:iCs/>
          <w:shd w:val="clear" w:color="auto" w:fill="FFFFFF"/>
          <w:lang w:val="es-ES"/>
        </w:rPr>
        <w:t>ibidem</w:t>
      </w:r>
      <w:r>
        <w:rPr>
          <w:rFonts w:ascii="Verdana" w:eastAsia="Calibri" w:hAnsi="Verdana" w:cs="Arial"/>
          <w:shd w:val="clear" w:color="auto" w:fill="FFFFFF"/>
          <w:lang w:val="es-ES"/>
        </w:rPr>
        <w:t xml:space="preserve"> –modificado por el artículo 34 de la Ley 2080 de 2021– exige el </w:t>
      </w:r>
      <w:r w:rsidRPr="00605D49">
        <w:rPr>
          <w:rFonts w:ascii="Verdana" w:eastAsia="Calibri" w:hAnsi="Verdana" w:cs="Arial"/>
          <w:shd w:val="clear" w:color="auto" w:fill="FFFFFF"/>
          <w:lang w:val="es-ES"/>
        </w:rPr>
        <w:t xml:space="preserve">trámite de la conciliación extrajudicial </w:t>
      </w:r>
      <w:r>
        <w:rPr>
          <w:rFonts w:ascii="Verdana" w:eastAsia="Calibri" w:hAnsi="Verdana" w:cs="Arial"/>
          <w:shd w:val="clear" w:color="auto" w:fill="FFFFFF"/>
          <w:lang w:val="es-ES"/>
        </w:rPr>
        <w:t>como</w:t>
      </w:r>
      <w:r w:rsidRPr="00605D49">
        <w:rPr>
          <w:rFonts w:ascii="Verdana" w:eastAsia="Calibri" w:hAnsi="Verdana" w:cs="Arial"/>
          <w:shd w:val="clear" w:color="auto" w:fill="FFFFFF"/>
          <w:lang w:val="es-ES"/>
        </w:rPr>
        <w:t xml:space="preserve"> requisito de procedibilidad de toda demanda en que se formulen pretensiones relativas a nulidad con restablecimiento del derecho, reparación directa y controversias contractuales</w:t>
      </w:r>
      <w:r>
        <w:rPr>
          <w:rStyle w:val="Refdenotaalpie"/>
          <w:rFonts w:ascii="Verdana" w:eastAsia="Calibri" w:hAnsi="Verdana" w:cs="Arial"/>
          <w:shd w:val="clear" w:color="auto" w:fill="FFFFFF"/>
          <w:lang w:val="es-ES"/>
        </w:rPr>
        <w:footnoteReference w:id="6"/>
      </w:r>
      <w:r>
        <w:rPr>
          <w:rFonts w:ascii="Verdana" w:eastAsia="Calibri" w:hAnsi="Verdana" w:cs="Arial"/>
          <w:shd w:val="clear" w:color="auto" w:fill="FFFFFF"/>
          <w:lang w:val="es-ES"/>
        </w:rPr>
        <w:t>. De acuerdo con el artículo 88 de la Ley 2220 de 2022, “L</w:t>
      </w:r>
      <w:r w:rsidRPr="00DA2187">
        <w:rPr>
          <w:rFonts w:ascii="Verdana" w:eastAsia="Calibri" w:hAnsi="Verdana" w:cs="Arial"/>
          <w:shd w:val="clear" w:color="auto" w:fill="FFFFFF"/>
          <w:lang w:val="es-ES"/>
        </w:rPr>
        <w:t>a conciliación extrajudicial en asuntos contencioso administrativos es un mecanismo alternativo de resolución de conflictos, autocompositivo, por medio del cual las partes, por conducto de apoderado, gestionan ante un agente del Ministerio Público neutral y calificado la solución de aquellas controversias cuyo conocimiento corresponda a la Jurisdicción de lo Contencioso Administrativ</w:t>
      </w:r>
      <w:r>
        <w:rPr>
          <w:rFonts w:ascii="Verdana" w:eastAsia="Calibri" w:hAnsi="Verdana" w:cs="Arial"/>
          <w:shd w:val="clear" w:color="auto" w:fill="FFFFFF"/>
          <w:lang w:val="es-ES"/>
        </w:rPr>
        <w:t>o”.</w:t>
      </w:r>
    </w:p>
    <w:p w14:paraId="515BCB8E" w14:textId="77777777" w:rsidR="0054540B" w:rsidRDefault="0054540B" w:rsidP="0054540B">
      <w:pPr>
        <w:spacing w:after="120" w:line="276" w:lineRule="auto"/>
        <w:ind w:firstLine="709"/>
        <w:jc w:val="both"/>
        <w:rPr>
          <w:rFonts w:ascii="Verdana" w:eastAsia="Calibri" w:hAnsi="Verdana" w:cs="Arial"/>
          <w:shd w:val="clear" w:color="auto" w:fill="FFFFFF"/>
          <w:lang w:val="es-ES"/>
        </w:rPr>
      </w:pPr>
      <w:r>
        <w:rPr>
          <w:rFonts w:ascii="Verdana" w:eastAsia="Calibri" w:hAnsi="Verdana" w:cs="Arial"/>
          <w:shd w:val="clear" w:color="auto" w:fill="FFFFFF"/>
          <w:lang w:val="es-ES"/>
        </w:rPr>
        <w:t>Dado el restablecimiento del derecho es consecuencia de la declaratoria de nulidad, el inciso final del artículo 89 de la Ley 2220 de 2022 precisa que “</w:t>
      </w:r>
      <w:r w:rsidRPr="008D61F3">
        <w:rPr>
          <w:rFonts w:ascii="Verdana" w:eastAsia="Calibri" w:hAnsi="Verdana" w:cs="Arial"/>
          <w:shd w:val="clear" w:color="auto" w:fill="FFFFFF"/>
          <w:lang w:val="es-ES"/>
        </w:rPr>
        <w:t>Cuando medie acto administrativo de carácter particular, podrá conciliarse sobre los efectos económicos del mismo si se da alguna de las causales del artículo 93 de la Ley 1437 de 2011, evento en el cual, una vez aprobado el acuerdo por el juez contencioso administrativo, se entenderá revocado o modificado el acto y sustituido por el acuerdo</w:t>
      </w:r>
      <w:r>
        <w:rPr>
          <w:rFonts w:ascii="Verdana" w:eastAsia="Calibri" w:hAnsi="Verdana" w:cs="Arial"/>
          <w:shd w:val="clear" w:color="auto" w:fill="FFFFFF"/>
          <w:lang w:val="es-ES"/>
        </w:rPr>
        <w:t xml:space="preserve">”. Por ello, aunque la Administración no es competente para declarar la nulidad, el ordenamiento permite la conciliación bajo el criterio de que la aprobación judicial regulada en </w:t>
      </w:r>
      <w:r>
        <w:rPr>
          <w:rFonts w:ascii="Verdana" w:eastAsia="Calibri" w:hAnsi="Verdana" w:cs="Arial"/>
          <w:shd w:val="clear" w:color="auto" w:fill="FFFFFF"/>
          <w:lang w:val="es-ES"/>
        </w:rPr>
        <w:lastRenderedPageBreak/>
        <w:t xml:space="preserve">el artículo 113 </w:t>
      </w:r>
      <w:r w:rsidRPr="00CB283B">
        <w:rPr>
          <w:rFonts w:ascii="Verdana" w:eastAsia="Calibri" w:hAnsi="Verdana" w:cs="Arial"/>
          <w:i/>
          <w:iCs/>
          <w:shd w:val="clear" w:color="auto" w:fill="FFFFFF"/>
          <w:lang w:val="es-ES"/>
        </w:rPr>
        <w:t>ibidem</w:t>
      </w:r>
      <w:r>
        <w:rPr>
          <w:rFonts w:ascii="Verdana" w:eastAsia="Calibri" w:hAnsi="Verdana" w:cs="Arial"/>
          <w:shd w:val="clear" w:color="auto" w:fill="FFFFFF"/>
          <w:lang w:val="es-ES"/>
        </w:rPr>
        <w:t xml:space="preserve"> revoca, modifica o sustituye la decisión inicialmente adoptada por la entidad</w:t>
      </w:r>
      <w:r>
        <w:rPr>
          <w:rStyle w:val="Refdenotaalpie"/>
          <w:rFonts w:ascii="Verdana" w:eastAsia="Calibri" w:hAnsi="Verdana" w:cs="Arial"/>
          <w:shd w:val="clear" w:color="auto" w:fill="FFFFFF"/>
          <w:lang w:val="es-ES"/>
        </w:rPr>
        <w:footnoteReference w:id="7"/>
      </w:r>
      <w:r>
        <w:rPr>
          <w:rFonts w:ascii="Verdana" w:eastAsia="Calibri" w:hAnsi="Verdana" w:cs="Arial"/>
          <w:shd w:val="clear" w:color="auto" w:fill="FFFFFF"/>
          <w:lang w:val="es-ES"/>
        </w:rPr>
        <w:t xml:space="preserve">. </w:t>
      </w:r>
    </w:p>
    <w:p w14:paraId="499CF9C0" w14:textId="77777777" w:rsidR="0054540B" w:rsidRDefault="0054540B" w:rsidP="0054540B">
      <w:pPr>
        <w:spacing w:after="120" w:line="276" w:lineRule="auto"/>
        <w:ind w:firstLine="709"/>
        <w:jc w:val="both"/>
        <w:rPr>
          <w:rFonts w:ascii="Verdana" w:eastAsia="Calibri" w:hAnsi="Verdana" w:cs="Arial"/>
          <w:shd w:val="clear" w:color="auto" w:fill="FFFFFF"/>
          <w:lang w:val="es-ES"/>
        </w:rPr>
      </w:pPr>
      <w:r>
        <w:rPr>
          <w:rFonts w:ascii="Verdana" w:eastAsia="Calibri" w:hAnsi="Verdana" w:cs="Arial"/>
          <w:shd w:val="clear" w:color="auto" w:fill="FFFFFF"/>
          <w:lang w:val="es-ES"/>
        </w:rPr>
        <w:t>Asimismo, conforme al artículo 96 de la Ley 2220 de 2022, l</w:t>
      </w:r>
      <w:r w:rsidRPr="001B2783">
        <w:rPr>
          <w:rFonts w:ascii="Verdana" w:eastAsia="Calibri" w:hAnsi="Verdana" w:cs="Arial"/>
          <w:shd w:val="clear" w:color="auto" w:fill="FFFFFF"/>
          <w:lang w:val="es-ES"/>
        </w:rPr>
        <w:t>a presentación de la petición de convocatoria de conciliación extrajudicial ante los agentes del Ministerio Público suspende el término de caducidad del medio de control</w:t>
      </w:r>
      <w:r>
        <w:rPr>
          <w:rFonts w:ascii="Verdana" w:eastAsia="Calibri" w:hAnsi="Verdana" w:cs="Arial"/>
          <w:shd w:val="clear" w:color="auto" w:fill="FFFFFF"/>
          <w:lang w:val="es-ES"/>
        </w:rPr>
        <w:t>. Según el caso, dicha suspensión se da hasta i) l</w:t>
      </w:r>
      <w:r w:rsidRPr="001B2783">
        <w:rPr>
          <w:rFonts w:ascii="Verdana" w:eastAsia="Calibri" w:hAnsi="Verdana" w:cs="Arial"/>
          <w:shd w:val="clear" w:color="auto" w:fill="FFFFFF"/>
          <w:lang w:val="es-ES"/>
        </w:rPr>
        <w:t>a ejecutoria de la providencia que imprueba del acuerdo conciliatorio</w:t>
      </w:r>
      <w:r>
        <w:rPr>
          <w:rFonts w:ascii="Verdana" w:eastAsia="Calibri" w:hAnsi="Verdana" w:cs="Arial"/>
          <w:shd w:val="clear" w:color="auto" w:fill="FFFFFF"/>
          <w:lang w:val="es-ES"/>
        </w:rPr>
        <w:t xml:space="preserve">, </w:t>
      </w:r>
      <w:proofErr w:type="spellStart"/>
      <w:r>
        <w:rPr>
          <w:rFonts w:ascii="Verdana" w:eastAsia="Calibri" w:hAnsi="Verdana" w:cs="Arial"/>
          <w:shd w:val="clear" w:color="auto" w:fill="FFFFFF"/>
          <w:lang w:val="es-ES"/>
        </w:rPr>
        <w:t>ii</w:t>
      </w:r>
      <w:proofErr w:type="spellEnd"/>
      <w:r>
        <w:rPr>
          <w:rFonts w:ascii="Verdana" w:eastAsia="Calibri" w:hAnsi="Verdana" w:cs="Arial"/>
          <w:shd w:val="clear" w:color="auto" w:fill="FFFFFF"/>
          <w:lang w:val="es-ES"/>
        </w:rPr>
        <w:t xml:space="preserve">) </w:t>
      </w:r>
      <w:r w:rsidRPr="001B2783">
        <w:rPr>
          <w:rFonts w:ascii="Verdana" w:eastAsia="Calibri" w:hAnsi="Verdana" w:cs="Arial"/>
          <w:shd w:val="clear" w:color="auto" w:fill="FFFFFF"/>
          <w:lang w:val="es-ES"/>
        </w:rPr>
        <w:t>expedición de las constancias</w:t>
      </w:r>
      <w:r>
        <w:rPr>
          <w:rFonts w:ascii="Verdana" w:eastAsia="Calibri" w:hAnsi="Verdana" w:cs="Arial"/>
          <w:shd w:val="clear" w:color="auto" w:fill="FFFFFF"/>
          <w:lang w:val="es-ES"/>
        </w:rPr>
        <w:t xml:space="preserve"> a las que se refiere el marco regulatorio de la ley citada, </w:t>
      </w:r>
      <w:proofErr w:type="spellStart"/>
      <w:r>
        <w:rPr>
          <w:rFonts w:ascii="Verdana" w:eastAsia="Calibri" w:hAnsi="Verdana" w:cs="Arial"/>
          <w:shd w:val="clear" w:color="auto" w:fill="FFFFFF"/>
          <w:lang w:val="es-ES"/>
        </w:rPr>
        <w:t>iii</w:t>
      </w:r>
      <w:proofErr w:type="spellEnd"/>
      <w:r>
        <w:rPr>
          <w:rFonts w:ascii="Verdana" w:eastAsia="Calibri" w:hAnsi="Verdana" w:cs="Arial"/>
          <w:shd w:val="clear" w:color="auto" w:fill="FFFFFF"/>
          <w:lang w:val="es-ES"/>
        </w:rPr>
        <w:t>) e</w:t>
      </w:r>
      <w:r w:rsidRPr="001B2783">
        <w:rPr>
          <w:rFonts w:ascii="Verdana" w:eastAsia="Calibri" w:hAnsi="Verdana" w:cs="Arial"/>
          <w:shd w:val="clear" w:color="auto" w:fill="FFFFFF"/>
          <w:lang w:val="es-ES"/>
        </w:rPr>
        <w:t>l vencimiento del término de tres (3) meses contados a partir de la presentación de la solicitud</w:t>
      </w:r>
      <w:r>
        <w:rPr>
          <w:rFonts w:ascii="Verdana" w:eastAsia="Calibri" w:hAnsi="Verdana" w:cs="Arial"/>
          <w:shd w:val="clear" w:color="auto" w:fill="FFFFFF"/>
          <w:lang w:val="es-ES"/>
        </w:rPr>
        <w:t xml:space="preserve">, lo primero que ocurra. </w:t>
      </w:r>
    </w:p>
    <w:p w14:paraId="26261B8F" w14:textId="77777777" w:rsidR="0054540B" w:rsidRDefault="0054540B" w:rsidP="0054540B">
      <w:pPr>
        <w:spacing w:after="120" w:line="276" w:lineRule="auto"/>
        <w:ind w:firstLine="709"/>
        <w:jc w:val="both"/>
        <w:rPr>
          <w:rFonts w:ascii="Verdana" w:eastAsia="Calibri" w:hAnsi="Verdana" w:cs="Arial"/>
          <w:shd w:val="clear" w:color="auto" w:fill="FFFFFF"/>
          <w:lang w:val="es-ES"/>
        </w:rPr>
      </w:pPr>
      <w:r>
        <w:rPr>
          <w:rFonts w:ascii="Verdana" w:eastAsia="Calibri" w:hAnsi="Verdana" w:cs="Arial"/>
          <w:shd w:val="clear" w:color="auto" w:fill="FFFFFF"/>
          <w:lang w:val="es-ES"/>
        </w:rPr>
        <w:t xml:space="preserve">De acuerdo con el artículo 98.1 </w:t>
      </w:r>
      <w:r w:rsidRPr="00540B76">
        <w:rPr>
          <w:rFonts w:ascii="Verdana" w:eastAsia="Calibri" w:hAnsi="Verdana" w:cs="Arial"/>
          <w:i/>
          <w:iCs/>
          <w:shd w:val="clear" w:color="auto" w:fill="FFFFFF"/>
          <w:lang w:val="es-ES"/>
        </w:rPr>
        <w:t>ibidem</w:t>
      </w:r>
      <w:r>
        <w:rPr>
          <w:rFonts w:ascii="Verdana" w:eastAsia="Calibri" w:hAnsi="Verdana" w:cs="Arial"/>
          <w:shd w:val="clear" w:color="auto" w:fill="FFFFFF"/>
          <w:lang w:val="es-ES"/>
        </w:rPr>
        <w:t>, es necesario tener en cuenta que los agentes del Ministerio Público tienen atribuciones para “</w:t>
      </w:r>
      <w:r w:rsidRPr="00540B76">
        <w:rPr>
          <w:rFonts w:ascii="Verdana" w:eastAsia="Calibri" w:hAnsi="Verdana" w:cs="Arial"/>
          <w:shd w:val="clear" w:color="auto" w:fill="FFFFFF"/>
          <w:lang w:val="es-ES"/>
        </w:rPr>
        <w:t xml:space="preserve">Admitir, inadmitir, rechazar o declarar desistida la solicitud de conciliación extrajudicial. </w:t>
      </w:r>
      <w:r w:rsidRPr="00540B76">
        <w:rPr>
          <w:rFonts w:ascii="Verdana" w:eastAsia="Calibri" w:hAnsi="Verdana" w:cs="Arial"/>
          <w:i/>
          <w:iCs/>
          <w:shd w:val="clear" w:color="auto" w:fill="FFFFFF"/>
          <w:lang w:val="es-ES"/>
        </w:rPr>
        <w:t>Cuando se declare desistida se entenderá como no presentada</w:t>
      </w:r>
      <w:r>
        <w:rPr>
          <w:rFonts w:ascii="Verdana" w:eastAsia="Calibri" w:hAnsi="Verdana" w:cs="Arial"/>
          <w:shd w:val="clear" w:color="auto" w:fill="FFFFFF"/>
          <w:lang w:val="es-ES"/>
        </w:rPr>
        <w:t>” (Énfasis fuera de texto)</w:t>
      </w:r>
      <w:r w:rsidRPr="00540B76">
        <w:rPr>
          <w:rFonts w:ascii="Verdana" w:eastAsia="Calibri" w:hAnsi="Verdana" w:cs="Arial"/>
          <w:shd w:val="clear" w:color="auto" w:fill="FFFFFF"/>
          <w:lang w:val="es-ES"/>
        </w:rPr>
        <w:t>.</w:t>
      </w:r>
      <w:r>
        <w:rPr>
          <w:rFonts w:ascii="Verdana" w:eastAsia="Calibri" w:hAnsi="Verdana" w:cs="Arial"/>
          <w:shd w:val="clear" w:color="auto" w:fill="FFFFFF"/>
          <w:lang w:val="es-ES"/>
        </w:rPr>
        <w:t xml:space="preserve"> La solicitud debe presentarse en las condiciones descritas en los artículos 100 y 101 de la Ley 2220 de 2022; razón por la cual, el inciso primero del artículo 102 </w:t>
      </w:r>
      <w:r w:rsidRPr="002152D2">
        <w:rPr>
          <w:rFonts w:ascii="Verdana" w:eastAsia="Calibri" w:hAnsi="Verdana" w:cs="Arial"/>
          <w:i/>
          <w:iCs/>
          <w:shd w:val="clear" w:color="auto" w:fill="FFFFFF"/>
          <w:lang w:val="es-ES"/>
        </w:rPr>
        <w:t>ibidem</w:t>
      </w:r>
      <w:r>
        <w:rPr>
          <w:rFonts w:ascii="Verdana" w:eastAsia="Calibri" w:hAnsi="Verdana" w:cs="Arial"/>
          <w:shd w:val="clear" w:color="auto" w:fill="FFFFFF"/>
          <w:lang w:val="es-ES"/>
        </w:rPr>
        <w:t xml:space="preserve"> establece que “[…] </w:t>
      </w:r>
      <w:r w:rsidRPr="002152D2">
        <w:rPr>
          <w:rFonts w:ascii="Verdana" w:eastAsia="Calibri" w:hAnsi="Verdana" w:cs="Arial"/>
          <w:shd w:val="clear" w:color="auto" w:fill="FFFFFF"/>
          <w:lang w:val="es-ES"/>
        </w:rPr>
        <w:t xml:space="preserve">En caso de incumplimiento, mediante decisión contra la que no procederán recursos, </w:t>
      </w:r>
      <w:r>
        <w:rPr>
          <w:rFonts w:ascii="Verdana" w:eastAsia="Calibri" w:hAnsi="Verdana" w:cs="Arial"/>
          <w:shd w:val="clear" w:color="auto" w:fill="FFFFFF"/>
          <w:lang w:val="es-ES"/>
        </w:rPr>
        <w:t>[</w:t>
      </w:r>
      <w:r w:rsidRPr="002152D2">
        <w:rPr>
          <w:rFonts w:ascii="Verdana" w:eastAsia="Calibri" w:hAnsi="Verdana" w:cs="Arial"/>
          <w:shd w:val="clear" w:color="auto" w:fill="FFFFFF"/>
          <w:lang w:val="es-ES"/>
        </w:rPr>
        <w:t>El agente del Ministerio Público</w:t>
      </w:r>
      <w:r>
        <w:rPr>
          <w:rFonts w:ascii="Verdana" w:eastAsia="Calibri" w:hAnsi="Verdana" w:cs="Arial"/>
          <w:shd w:val="clear" w:color="auto" w:fill="FFFFFF"/>
          <w:lang w:val="es-ES"/>
        </w:rPr>
        <w:t xml:space="preserve">] </w:t>
      </w:r>
      <w:r w:rsidRPr="002152D2">
        <w:rPr>
          <w:rFonts w:ascii="Verdana" w:eastAsia="Calibri" w:hAnsi="Verdana" w:cs="Arial"/>
          <w:shd w:val="clear" w:color="auto" w:fill="FFFFFF"/>
          <w:lang w:val="es-ES"/>
        </w:rPr>
        <w:t>indicará al solicitante los defectos que debe subsanar, para lo cual concederá un término de cinco (5) días contados a partir del día siguiente de la comunicación de la decisión</w:t>
      </w:r>
      <w:r>
        <w:rPr>
          <w:rFonts w:ascii="Verdana" w:eastAsia="Calibri" w:hAnsi="Verdana" w:cs="Arial"/>
          <w:shd w:val="clear" w:color="auto" w:fill="FFFFFF"/>
          <w:lang w:val="es-ES"/>
        </w:rPr>
        <w:t xml:space="preserve">” (Corchetes fuera de texto). </w:t>
      </w:r>
    </w:p>
    <w:p w14:paraId="1EFC0A81" w14:textId="77777777" w:rsidR="0054540B" w:rsidRPr="00832F67" w:rsidRDefault="0054540B" w:rsidP="0054540B">
      <w:pPr>
        <w:spacing w:after="120" w:line="276" w:lineRule="auto"/>
        <w:ind w:firstLine="709"/>
        <w:jc w:val="both"/>
        <w:rPr>
          <w:rFonts w:ascii="Verdana" w:eastAsia="Calibri" w:hAnsi="Verdana" w:cs="Arial"/>
          <w:shd w:val="clear" w:color="auto" w:fill="FFFFFF"/>
          <w:lang w:val="es-ES"/>
        </w:rPr>
      </w:pPr>
      <w:r>
        <w:rPr>
          <w:rFonts w:ascii="Verdana" w:eastAsia="Calibri" w:hAnsi="Verdana" w:cs="Arial"/>
          <w:shd w:val="clear" w:color="auto" w:fill="FFFFFF"/>
          <w:lang w:val="es-ES"/>
        </w:rPr>
        <w:t>Por ello, el inciso tercero del artículo 102 de la Ley 2220 de 2022 prescribe que “</w:t>
      </w:r>
      <w:r w:rsidRPr="00EB0D52">
        <w:rPr>
          <w:rFonts w:ascii="Verdana" w:eastAsia="Calibri" w:hAnsi="Verdana" w:cs="Arial"/>
          <w:i/>
          <w:iCs/>
          <w:shd w:val="clear" w:color="auto" w:fill="FFFFFF"/>
          <w:lang w:val="es-ES"/>
        </w:rPr>
        <w:t xml:space="preserve">Si vencido el término para subsanar no se corrigen los defectos indicados, mediante decisión que se comunicará al convocante, se declarará el </w:t>
      </w:r>
      <w:r w:rsidRPr="00EB0D52">
        <w:rPr>
          <w:rFonts w:ascii="Verdana" w:eastAsia="Calibri" w:hAnsi="Verdana" w:cs="Arial"/>
          <w:i/>
          <w:iCs/>
          <w:shd w:val="clear" w:color="auto" w:fill="FFFFFF"/>
          <w:lang w:val="es-ES"/>
        </w:rPr>
        <w:lastRenderedPageBreak/>
        <w:t>desistimiento de la solicitud y se tendrá por no presentada</w:t>
      </w:r>
      <w:r>
        <w:rPr>
          <w:rFonts w:ascii="Verdana" w:eastAsia="Calibri" w:hAnsi="Verdana" w:cs="Arial"/>
          <w:shd w:val="clear" w:color="auto" w:fill="FFFFFF"/>
          <w:lang w:val="es-ES"/>
        </w:rPr>
        <w:t xml:space="preserve">” (Cursiva fuera de texto). Por el contrario, si se subsana oportunamente, no existe desistimiento y la solicitud se tendrá por presentada. Conforme a lo explicado </w:t>
      </w:r>
      <w:r w:rsidRPr="00EB0D52">
        <w:rPr>
          <w:rFonts w:ascii="Verdana" w:eastAsia="Calibri" w:hAnsi="Verdana" w:cs="Arial"/>
          <w:i/>
          <w:iCs/>
          <w:shd w:val="clear" w:color="auto" w:fill="FFFFFF"/>
          <w:lang w:val="es-ES"/>
        </w:rPr>
        <w:t>ut supra</w:t>
      </w:r>
      <w:r>
        <w:rPr>
          <w:rFonts w:ascii="Verdana" w:eastAsia="Calibri" w:hAnsi="Verdana" w:cs="Arial"/>
          <w:shd w:val="clear" w:color="auto" w:fill="FFFFFF"/>
          <w:lang w:val="es-ES"/>
        </w:rPr>
        <w:t xml:space="preserve">, la fecha de la presentación de la solicitud es la que define el inicio de suspensión de la caducidad del medio de control; luego, en caso de subsanación oportuna, </w:t>
      </w:r>
      <w:r w:rsidRPr="00EF2FF3">
        <w:rPr>
          <w:rFonts w:ascii="Verdana" w:eastAsia="Calibri" w:hAnsi="Verdana" w:cs="Arial"/>
          <w:shd w:val="clear" w:color="auto" w:fill="FFFFFF"/>
          <w:lang w:val="es-ES"/>
        </w:rPr>
        <w:t>la conciliación para efectos del requisito de procedibilidad se entendería presentada desde la fecha de radicación de la solicitud inicial</w:t>
      </w:r>
      <w:r>
        <w:rPr>
          <w:rFonts w:ascii="Verdana" w:eastAsia="Calibri" w:hAnsi="Verdana" w:cs="Arial"/>
          <w:shd w:val="clear" w:color="auto" w:fill="FFFFFF"/>
          <w:lang w:val="es-ES"/>
        </w:rPr>
        <w:t xml:space="preserve">.   </w:t>
      </w:r>
    </w:p>
    <w:p w14:paraId="462BAA44" w14:textId="77777777" w:rsidR="0054540B" w:rsidRDefault="0054540B" w:rsidP="0054540B">
      <w:pPr>
        <w:spacing w:after="120" w:line="276" w:lineRule="auto"/>
        <w:ind w:firstLine="709"/>
        <w:jc w:val="both"/>
        <w:rPr>
          <w:rFonts w:ascii="Verdana" w:hAnsi="Verdana" w:cs="Arial"/>
          <w:lang w:eastAsia="es-ES"/>
        </w:rPr>
      </w:pPr>
      <w:r w:rsidRPr="006539F8">
        <w:rPr>
          <w:rFonts w:ascii="Verdana" w:hAnsi="Verdana" w:cs="Arial"/>
          <w:lang w:eastAsia="es-ES"/>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42FBD69" w14:textId="77777777" w:rsidR="0054540B" w:rsidRPr="00301910" w:rsidRDefault="0054540B" w:rsidP="0054540B">
      <w:pPr>
        <w:widowControl w:val="0"/>
        <w:autoSpaceDE w:val="0"/>
        <w:autoSpaceDN w:val="0"/>
        <w:spacing w:after="0" w:line="276" w:lineRule="auto"/>
        <w:ind w:firstLine="708"/>
        <w:jc w:val="both"/>
        <w:rPr>
          <w:rFonts w:ascii="Verdana" w:hAnsi="Verdana" w:cs="Arial"/>
          <w:lang w:eastAsia="es-ES"/>
        </w:rPr>
      </w:pPr>
      <w:r w:rsidRPr="006539F8">
        <w:rPr>
          <w:rFonts w:ascii="Verdana" w:hAnsi="Verdana" w:cs="Arial"/>
          <w:lang w:eastAsia="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w:t>
      </w:r>
      <w:r>
        <w:rPr>
          <w:rFonts w:ascii="Verdana" w:hAnsi="Verdana" w:cs="Arial"/>
          <w:lang w:eastAsia="es-ES"/>
        </w:rPr>
        <w:t>el juez competente definirá el cumplimiento del requisito de procedibilidad y la caducidad del medio de control frente a las solicitudes conciliación extrajudicial en asuntos de lo contencioso administrativo</w:t>
      </w:r>
      <w:r w:rsidRPr="006539F8">
        <w:rPr>
          <w:rFonts w:ascii="Verdana" w:hAnsi="Verdana" w:cs="Arial"/>
          <w:lang w:eastAsia="es-ES"/>
        </w:rPr>
        <w:t>, sin que sea atribución de Colombia Compra Eficiente validar sus actuaciones</w:t>
      </w:r>
      <w:r w:rsidRPr="00301910">
        <w:rPr>
          <w:rFonts w:ascii="Verdana" w:hAnsi="Verdana" w:cs="Arial"/>
          <w:lang w:eastAsia="es-ES"/>
        </w:rPr>
        <w:t>.</w:t>
      </w:r>
    </w:p>
    <w:p w14:paraId="06821C4C" w14:textId="77777777" w:rsidR="0054540B" w:rsidRPr="00182C89" w:rsidRDefault="0054540B" w:rsidP="0054540B">
      <w:pPr>
        <w:tabs>
          <w:tab w:val="left" w:pos="709"/>
        </w:tabs>
        <w:spacing w:after="0" w:line="276" w:lineRule="auto"/>
        <w:jc w:val="both"/>
        <w:rPr>
          <w:rFonts w:ascii="Verdana" w:eastAsia="Calibri" w:hAnsi="Verdana" w:cs="Arial"/>
          <w:color w:val="000000" w:themeColor="text1"/>
        </w:rPr>
      </w:pPr>
    </w:p>
    <w:p w14:paraId="48843719" w14:textId="77777777" w:rsidR="0054540B" w:rsidRPr="00AE65D5" w:rsidRDefault="0054540B" w:rsidP="0054540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1342895C" w14:textId="77777777" w:rsidR="0054540B" w:rsidRPr="00593A5F" w:rsidRDefault="0054540B" w:rsidP="0054540B">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4540B" w:rsidRPr="002407CE" w14:paraId="2CB55CAF" w14:textId="77777777" w:rsidTr="00456757">
        <w:trPr>
          <w:trHeight w:val="870"/>
          <w:jc w:val="center"/>
        </w:trPr>
        <w:tc>
          <w:tcPr>
            <w:tcW w:w="8647" w:type="dxa"/>
          </w:tcPr>
          <w:p w14:paraId="7A9C48A3" w14:textId="77777777" w:rsidR="0054540B" w:rsidRDefault="0054540B" w:rsidP="00456757">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DA1FE4">
              <w:rPr>
                <w:rFonts w:ascii="Verdana" w:eastAsia="Arial MT" w:hAnsi="Verdana" w:cs="Arial"/>
                <w:lang w:eastAsia="es-ES" w:bidi="es-ES"/>
              </w:rPr>
              <w:t>Ley 80 de 1993</w:t>
            </w:r>
            <w:r>
              <w:rPr>
                <w:rFonts w:ascii="Verdana" w:hAnsi="Verdana" w:cs="Arial"/>
              </w:rPr>
              <w:t xml:space="preserve">, </w:t>
            </w:r>
            <w:r w:rsidRPr="005F77A9">
              <w:rPr>
                <w:rFonts w:ascii="Verdana" w:hAnsi="Verdana" w:cs="Arial"/>
              </w:rPr>
              <w:t>artículo</w:t>
            </w:r>
            <w:r>
              <w:rPr>
                <w:rFonts w:ascii="Verdana" w:hAnsi="Verdana" w:cs="Arial"/>
              </w:rPr>
              <w:t>s</w:t>
            </w:r>
            <w:r w:rsidRPr="005F77A9">
              <w:rPr>
                <w:rFonts w:ascii="Verdana" w:hAnsi="Verdana" w:cs="Arial"/>
              </w:rPr>
              <w:t xml:space="preserve"> </w:t>
            </w:r>
            <w:r>
              <w:rPr>
                <w:rFonts w:ascii="Verdana" w:hAnsi="Verdana" w:cs="Arial"/>
              </w:rPr>
              <w:t>4</w:t>
            </w:r>
            <w:r w:rsidRPr="005F77A9">
              <w:rPr>
                <w:rFonts w:ascii="Verdana" w:hAnsi="Verdana" w:cs="Arial"/>
              </w:rPr>
              <w:t>1</w:t>
            </w:r>
            <w:r>
              <w:rPr>
                <w:rFonts w:ascii="Verdana" w:hAnsi="Verdana" w:cs="Arial"/>
              </w:rPr>
              <w:t xml:space="preserve"> y 77.</w:t>
            </w:r>
          </w:p>
          <w:p w14:paraId="589B9A96" w14:textId="77777777" w:rsidR="0054540B" w:rsidRDefault="0054540B" w:rsidP="00456757">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9.</w:t>
            </w:r>
          </w:p>
          <w:p w14:paraId="6486529E" w14:textId="77777777" w:rsidR="0054540B" w:rsidRPr="005F77A9" w:rsidRDefault="0054540B" w:rsidP="00456757">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1437 de 2011, artículos 138, 141 y 161.</w:t>
            </w:r>
          </w:p>
          <w:p w14:paraId="101C6758" w14:textId="77777777" w:rsidR="0054540B" w:rsidRPr="00144294" w:rsidRDefault="0054540B" w:rsidP="00456757">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eastAsia="Calibri" w:hAnsi="Verdana" w:cs="Arial"/>
                <w:color w:val="000000"/>
                <w:lang w:val="es-ES_tradnl"/>
              </w:rPr>
              <w:t>Ley 2220 de 2022, a</w:t>
            </w:r>
            <w:r w:rsidRPr="005F77A9">
              <w:rPr>
                <w:rFonts w:ascii="Verdana" w:eastAsia="Calibri" w:hAnsi="Verdana" w:cs="Arial"/>
                <w:color w:val="000000"/>
                <w:lang w:val="es-ES_tradnl"/>
              </w:rPr>
              <w:t>rtículo</w:t>
            </w:r>
            <w:r>
              <w:rPr>
                <w:rFonts w:ascii="Verdana" w:eastAsia="Calibri" w:hAnsi="Verdana" w:cs="Arial"/>
                <w:color w:val="000000"/>
                <w:lang w:val="es-ES_tradnl"/>
              </w:rPr>
              <w:t>s 88, 89, 96, 98, 100, 101, 102 y 113.</w:t>
            </w:r>
          </w:p>
        </w:tc>
      </w:tr>
    </w:tbl>
    <w:p w14:paraId="44B16484" w14:textId="77777777" w:rsidR="0054540B" w:rsidRPr="002407CE" w:rsidRDefault="0054540B" w:rsidP="0054540B">
      <w:pPr>
        <w:widowControl w:val="0"/>
        <w:autoSpaceDE w:val="0"/>
        <w:autoSpaceDN w:val="0"/>
        <w:spacing w:after="0" w:line="276" w:lineRule="auto"/>
        <w:jc w:val="both"/>
        <w:rPr>
          <w:rFonts w:ascii="Verdana" w:hAnsi="Verdana" w:cs="Arial"/>
        </w:rPr>
      </w:pPr>
    </w:p>
    <w:p w14:paraId="6469E59B" w14:textId="77777777" w:rsidR="0054540B" w:rsidRPr="00593A5F" w:rsidRDefault="0054540B" w:rsidP="0054540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4D9A5A5A" w14:textId="77777777" w:rsidR="0054540B" w:rsidRPr="00593A5F" w:rsidRDefault="0054540B" w:rsidP="0054540B">
      <w:pPr>
        <w:widowControl w:val="0"/>
        <w:autoSpaceDE w:val="0"/>
        <w:autoSpaceDN w:val="0"/>
        <w:spacing w:after="0" w:line="276" w:lineRule="auto"/>
        <w:jc w:val="both"/>
        <w:rPr>
          <w:rFonts w:ascii="Verdana" w:hAnsi="Verdana" w:cs="Arial"/>
        </w:rPr>
      </w:pPr>
    </w:p>
    <w:p w14:paraId="35890FE1" w14:textId="77777777" w:rsidR="0054540B" w:rsidRPr="007E4299" w:rsidRDefault="0054540B" w:rsidP="0054540B">
      <w:pPr>
        <w:widowControl w:val="0"/>
        <w:autoSpaceDE w:val="0"/>
        <w:autoSpaceDN w:val="0"/>
        <w:spacing w:after="0" w:line="276" w:lineRule="auto"/>
        <w:jc w:val="both"/>
        <w:rPr>
          <w:rStyle w:val="normaltextrun"/>
          <w:rFonts w:ascii="Verdana" w:hAnsi="Verdana"/>
        </w:rPr>
      </w:pPr>
      <w:r w:rsidRPr="00DD0AFF">
        <w:rPr>
          <w:rFonts w:ascii="Verdana" w:hAnsi="Verdana" w:cs="Arial"/>
          <w:shd w:val="clear" w:color="auto" w:fill="FFFFFF"/>
        </w:rPr>
        <w:t>Est</w:t>
      </w:r>
      <w:r>
        <w:rPr>
          <w:rFonts w:ascii="Verdana" w:hAnsi="Verdana" w:cs="Arial"/>
          <w:shd w:val="clear" w:color="auto" w:fill="FFFFFF"/>
        </w:rPr>
        <w:t>e</w:t>
      </w:r>
      <w:r w:rsidRPr="00DD0AFF">
        <w:rPr>
          <w:rFonts w:ascii="Verdana" w:hAnsi="Verdana" w:cs="Arial"/>
          <w:shd w:val="clear" w:color="auto" w:fill="FFFFFF"/>
        </w:rPr>
        <w:t xml:space="preserve"> y otros</w:t>
      </w:r>
      <w:r>
        <w:rPr>
          <w:rFonts w:ascii="Verdana" w:hAnsi="Verdana" w:cs="Arial"/>
          <w:shd w:val="clear" w:color="auto" w:fill="FFFFFF"/>
        </w:rPr>
        <w:t xml:space="preserve"> conceptos de la Subdirección</w:t>
      </w:r>
      <w:r w:rsidRPr="00DD0AFF">
        <w:rPr>
          <w:rFonts w:ascii="Verdana" w:hAnsi="Verdana" w:cs="Arial"/>
          <w:shd w:val="clear" w:color="auto" w:fill="FFFFFF"/>
        </w:rPr>
        <w:t>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6632F4C4" w14:textId="77777777" w:rsidR="0054540B" w:rsidRPr="00096788" w:rsidRDefault="0054540B" w:rsidP="0054540B">
      <w:pPr>
        <w:widowControl w:val="0"/>
        <w:autoSpaceDE w:val="0"/>
        <w:autoSpaceDN w:val="0"/>
        <w:spacing w:after="0" w:line="276" w:lineRule="auto"/>
        <w:jc w:val="both"/>
        <w:rPr>
          <w:rFonts w:ascii="Verdana" w:hAnsi="Verdana" w:cs="Arial"/>
          <w:color w:val="000000" w:themeColor="text1"/>
          <w:shd w:val="clear" w:color="auto" w:fill="FFFFFF"/>
        </w:rPr>
      </w:pPr>
    </w:p>
    <w:p w14:paraId="4BE4EEBA" w14:textId="77777777" w:rsidR="0054540B" w:rsidRDefault="0054540B" w:rsidP="0054540B">
      <w:pPr>
        <w:shd w:val="clear" w:color="auto" w:fill="FFFFFF"/>
        <w:spacing w:after="0" w:line="276" w:lineRule="auto"/>
        <w:jc w:val="both"/>
        <w:rPr>
          <w:rFonts w:ascii="Verdana" w:hAnsi="Verdana"/>
          <w:color w:val="000000"/>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28A72226" w14:textId="77777777" w:rsidR="0054540B" w:rsidRDefault="0054540B" w:rsidP="0054540B">
      <w:pPr>
        <w:shd w:val="clear" w:color="auto" w:fill="FFFFFF"/>
        <w:spacing w:after="0" w:line="276" w:lineRule="auto"/>
        <w:jc w:val="both"/>
        <w:rPr>
          <w:rFonts w:ascii="Verdana" w:hAnsi="Verdana"/>
          <w:color w:val="000000"/>
          <w:u w:val="single"/>
        </w:rPr>
      </w:pPr>
    </w:p>
    <w:p w14:paraId="2ED5D7B5" w14:textId="77777777" w:rsidR="0054540B" w:rsidRPr="0038088D" w:rsidRDefault="0054540B" w:rsidP="0054540B">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5CC114AB" w14:textId="77777777" w:rsidR="0054540B" w:rsidRPr="0038088D" w:rsidRDefault="0054540B" w:rsidP="0054540B">
      <w:pPr>
        <w:spacing w:after="0"/>
        <w:jc w:val="both"/>
        <w:rPr>
          <w:rFonts w:ascii="Verdana" w:hAnsi="Verdana"/>
        </w:rPr>
      </w:pPr>
    </w:p>
    <w:p w14:paraId="7642BCC2" w14:textId="77777777" w:rsidR="0054540B" w:rsidRPr="0038088D" w:rsidRDefault="0054540B" w:rsidP="0054540B">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79505A1B" w14:textId="77777777" w:rsidR="0054540B" w:rsidRPr="0038088D" w:rsidRDefault="0054540B" w:rsidP="0054540B">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proofErr w:type="gramStart"/>
      <w:r w:rsidRPr="0038088D">
        <w:rPr>
          <w:rFonts w:ascii="Verdana" w:eastAsia="Verdana" w:hAnsi="Verdana" w:cs="Verdana"/>
        </w:rPr>
        <w:t>):</w:t>
      </w:r>
      <w:r w:rsidRPr="0038088D">
        <w:rPr>
          <w:rStyle w:val="Hipervnculo"/>
          <w:rFonts w:ascii="Verdana" w:hAnsi="Verdana"/>
        </w:rPr>
        <w:t>+</w:t>
      </w:r>
      <w:proofErr w:type="gramEnd"/>
      <w:r w:rsidRPr="0038088D">
        <w:rPr>
          <w:rStyle w:val="Hipervnculo"/>
          <w:rFonts w:ascii="Verdana" w:hAnsi="Verdana"/>
        </w:rPr>
        <w:t>57 601 7456788</w:t>
      </w:r>
    </w:p>
    <w:p w14:paraId="1A9DB2C6" w14:textId="77777777" w:rsidR="0054540B" w:rsidRPr="0038088D" w:rsidRDefault="0054540B" w:rsidP="0054540B">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3">
        <w:r w:rsidRPr="0038088D">
          <w:rPr>
            <w:rStyle w:val="Hipervnculo"/>
            <w:rFonts w:ascii="Verdana" w:eastAsia="Verdana" w:hAnsi="Verdana" w:cs="Verdana"/>
          </w:rPr>
          <w:t>ventanilladeradicacion@colombiacompra.gov.co</w:t>
        </w:r>
      </w:hyperlink>
    </w:p>
    <w:p w14:paraId="2EE01E3D" w14:textId="77777777" w:rsidR="0054540B" w:rsidRPr="0038088D" w:rsidRDefault="0054540B" w:rsidP="0054540B">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4">
        <w:r w:rsidRPr="0038088D">
          <w:rPr>
            <w:rStyle w:val="Hipervnculo"/>
            <w:rFonts w:ascii="Verdana" w:eastAsia="Verdana" w:hAnsi="Verdana" w:cs="Verdana"/>
          </w:rPr>
          <w:t>https://www.colombiacompra.gov.co/pqrsd/informacion-importante-antes-de-formular-una-pqrsd</w:t>
        </w:r>
      </w:hyperlink>
    </w:p>
    <w:p w14:paraId="66F4C880" w14:textId="77777777" w:rsidR="0054540B" w:rsidRPr="0038088D" w:rsidRDefault="0054540B" w:rsidP="0054540B">
      <w:pPr>
        <w:spacing w:after="0" w:line="240" w:lineRule="auto"/>
        <w:ind w:left="720"/>
        <w:jc w:val="both"/>
        <w:rPr>
          <w:rFonts w:ascii="Verdana" w:hAnsi="Verdana"/>
        </w:rPr>
      </w:pPr>
    </w:p>
    <w:p w14:paraId="57BCB522" w14:textId="77777777" w:rsidR="0054540B" w:rsidRPr="0038088D" w:rsidRDefault="0054540B" w:rsidP="0054540B">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5"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7D7DC2FF" w14:textId="77777777" w:rsidR="0054540B" w:rsidRPr="0038088D" w:rsidRDefault="0054540B" w:rsidP="0054540B">
      <w:pPr>
        <w:spacing w:after="0" w:line="240" w:lineRule="auto"/>
        <w:rPr>
          <w:rFonts w:ascii="Verdana" w:hAnsi="Verdana"/>
        </w:rPr>
      </w:pPr>
    </w:p>
    <w:p w14:paraId="5CAEB52F" w14:textId="77777777" w:rsidR="0054540B" w:rsidRPr="0038088D" w:rsidRDefault="0054540B" w:rsidP="0054540B">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3569B25A" w14:textId="77777777" w:rsidR="0054540B" w:rsidRPr="00116940" w:rsidRDefault="0054540B" w:rsidP="0054540B">
      <w:pPr>
        <w:spacing w:after="0" w:line="240" w:lineRule="auto"/>
        <w:jc w:val="both"/>
        <w:rPr>
          <w:rFonts w:ascii="Verdana" w:hAnsi="Verdana"/>
        </w:rPr>
      </w:pPr>
    </w:p>
    <w:p w14:paraId="32EBFE36" w14:textId="77777777" w:rsidR="0054540B" w:rsidRPr="00116940" w:rsidRDefault="0054540B" w:rsidP="0054540B">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2843D74" w14:textId="77777777" w:rsidR="0054540B" w:rsidRPr="00116940" w:rsidRDefault="0054540B" w:rsidP="0054540B">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46364AD4" w14:textId="77777777" w:rsidR="0054540B" w:rsidRPr="00E22E6E" w:rsidRDefault="0054540B" w:rsidP="0054540B">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2BE18FFE" w14:textId="77777777" w:rsidR="0054540B" w:rsidRPr="009C4035" w:rsidRDefault="0054540B" w:rsidP="0054540B">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075DC91C" w14:textId="77777777" w:rsidR="0054540B" w:rsidRPr="00593A5F" w:rsidRDefault="0054540B" w:rsidP="0054540B">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33F8F5BD" w14:textId="77777777" w:rsidR="0054540B" w:rsidRPr="00593A5F" w:rsidRDefault="0054540B" w:rsidP="0054540B">
      <w:pPr>
        <w:widowControl w:val="0"/>
        <w:autoSpaceDE w:val="0"/>
        <w:autoSpaceDN w:val="0"/>
        <w:spacing w:after="0" w:line="276" w:lineRule="auto"/>
        <w:jc w:val="both"/>
        <w:rPr>
          <w:rFonts w:ascii="Verdana" w:hAnsi="Verdana" w:cs="Arial"/>
        </w:rPr>
      </w:pPr>
    </w:p>
    <w:p w14:paraId="70F820D5" w14:textId="77777777" w:rsidR="0054540B" w:rsidRPr="00593A5F" w:rsidRDefault="0054540B" w:rsidP="0054540B">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A108F06" w14:textId="79607416" w:rsidR="0054540B" w:rsidRPr="00593A5F" w:rsidRDefault="00330C8E" w:rsidP="0054540B">
      <w:pPr>
        <w:spacing w:line="276" w:lineRule="auto"/>
        <w:jc w:val="center"/>
        <w:rPr>
          <w:rFonts w:ascii="Verdana" w:hAnsi="Verdana" w:cs="Arial"/>
          <w:color w:val="000000"/>
          <w:lang w:val="es-ES_tradnl" w:eastAsia="es-CO"/>
        </w:rPr>
      </w:pPr>
      <w:r>
        <w:rPr>
          <w:noProof/>
        </w:rPr>
        <w:drawing>
          <wp:inline distT="0" distB="0" distL="0" distR="0" wp14:anchorId="04525E5E" wp14:editId="66FADEB0">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6"/>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4540B" w:rsidRPr="00593A5F" w14:paraId="4798A369" w14:textId="77777777" w:rsidTr="7DDC146A">
        <w:trPr>
          <w:trHeight w:val="315"/>
        </w:trPr>
        <w:tc>
          <w:tcPr>
            <w:tcW w:w="893" w:type="dxa"/>
            <w:vAlign w:val="center"/>
            <w:hideMark/>
          </w:tcPr>
          <w:p w14:paraId="684BDEED" w14:textId="77777777" w:rsidR="0054540B" w:rsidRPr="003751C7" w:rsidRDefault="0054540B" w:rsidP="00456757">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1B40CC7" w14:textId="77777777" w:rsidR="0054540B" w:rsidRPr="00254A7A" w:rsidRDefault="0054540B" w:rsidP="00456757">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335B109A" w14:textId="77777777" w:rsidR="0054540B" w:rsidRPr="00254A7A" w:rsidRDefault="0054540B" w:rsidP="00456757">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54540B" w:rsidRPr="00593A5F" w14:paraId="60DAFCE8" w14:textId="77777777" w:rsidTr="7DDC146A">
        <w:trPr>
          <w:trHeight w:val="330"/>
        </w:trPr>
        <w:tc>
          <w:tcPr>
            <w:tcW w:w="893" w:type="dxa"/>
            <w:vAlign w:val="center"/>
            <w:hideMark/>
          </w:tcPr>
          <w:p w14:paraId="45C1C737" w14:textId="77777777" w:rsidR="0054540B" w:rsidRPr="003751C7" w:rsidRDefault="0054540B" w:rsidP="00456757">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6045B2E" w14:textId="77777777" w:rsidR="0054540B" w:rsidRPr="00D54D3D" w:rsidRDefault="0054540B" w:rsidP="00456757">
            <w:pPr>
              <w:pStyle w:val="paragraph"/>
              <w:spacing w:after="0"/>
              <w:contextualSpacing/>
              <w:textAlignment w:val="baseline"/>
              <w:rPr>
                <w:rStyle w:val="normaltextrun"/>
                <w:rFonts w:ascii="Verdana" w:hAnsi="Verdana" w:cs="Arial"/>
                <w:sz w:val="16"/>
                <w:szCs w:val="16"/>
                <w:lang w:val="es-ES_tradnl"/>
              </w:rPr>
            </w:pPr>
            <w:r w:rsidRPr="00D54D3D">
              <w:rPr>
                <w:rStyle w:val="normaltextrun"/>
                <w:rFonts w:ascii="Verdana" w:hAnsi="Verdana" w:cs="Arial"/>
                <w:sz w:val="16"/>
                <w:szCs w:val="16"/>
                <w:lang w:val="es-ES_tradnl"/>
              </w:rPr>
              <w:t>Alejandro Sarmiento Cantillo</w:t>
            </w:r>
          </w:p>
          <w:p w14:paraId="602AB127" w14:textId="77777777" w:rsidR="0054540B" w:rsidRPr="00254A7A" w:rsidRDefault="0054540B" w:rsidP="00456757">
            <w:pPr>
              <w:pStyle w:val="paragraph"/>
              <w:spacing w:before="0" w:beforeAutospacing="0" w:after="0" w:afterAutospacing="0"/>
              <w:contextualSpacing/>
              <w:textAlignment w:val="baseline"/>
              <w:rPr>
                <w:rFonts w:ascii="Verdana" w:hAnsi="Verdana" w:cs="Segoe UI"/>
                <w:sz w:val="16"/>
                <w:szCs w:val="16"/>
              </w:rPr>
            </w:pPr>
            <w:r w:rsidRPr="00D54D3D">
              <w:rPr>
                <w:rStyle w:val="normaltextrun"/>
                <w:rFonts w:ascii="Verdana" w:hAnsi="Verdana" w:cs="Arial"/>
                <w:sz w:val="16"/>
                <w:szCs w:val="16"/>
                <w:lang w:val="es-ES_tradnl"/>
              </w:rPr>
              <w:t>Gestor T1 ‒ 15 de la Subdirección de Gestión Contractual</w:t>
            </w:r>
          </w:p>
        </w:tc>
      </w:tr>
      <w:tr w:rsidR="0054540B" w:rsidRPr="00593A5F" w14:paraId="2760BF00" w14:textId="77777777" w:rsidTr="7DDC146A">
        <w:trPr>
          <w:trHeight w:val="300"/>
        </w:trPr>
        <w:tc>
          <w:tcPr>
            <w:tcW w:w="893" w:type="dxa"/>
            <w:vAlign w:val="center"/>
          </w:tcPr>
          <w:p w14:paraId="4C254505" w14:textId="77777777" w:rsidR="0054540B" w:rsidRPr="003751C7" w:rsidRDefault="0054540B" w:rsidP="00456757">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CD5AA81" w14:textId="77777777" w:rsidR="0054540B" w:rsidRPr="001133D2" w:rsidRDefault="0054540B" w:rsidP="7DDC146A">
            <w:pPr>
              <w:contextualSpacing/>
              <w:rPr>
                <w:rFonts w:ascii="Verdana" w:eastAsia="Calibri" w:hAnsi="Verdana" w:cs="Arial"/>
                <w:sz w:val="16"/>
                <w:szCs w:val="16"/>
                <w:lang w:val="es-ES" w:eastAsia="es-ES"/>
              </w:rPr>
            </w:pPr>
            <w:r w:rsidRPr="7DDC146A">
              <w:rPr>
                <w:rFonts w:ascii="Verdana" w:eastAsia="Calibri" w:hAnsi="Verdana" w:cs="Arial"/>
                <w:sz w:val="16"/>
                <w:szCs w:val="16"/>
                <w:lang w:val="es-ES" w:eastAsia="es-ES"/>
              </w:rPr>
              <w:t>Carolina Quintero Gacharná</w:t>
            </w:r>
          </w:p>
          <w:p w14:paraId="3BFB00F6" w14:textId="77777777" w:rsidR="0054540B" w:rsidRPr="003751C7" w:rsidRDefault="0054540B" w:rsidP="00456757">
            <w:pPr>
              <w:contextualSpacing/>
              <w:rPr>
                <w:rFonts w:ascii="Verdana" w:eastAsia="Calibri" w:hAnsi="Verdana" w:cs="Arial"/>
                <w:sz w:val="16"/>
                <w:szCs w:val="16"/>
                <w:lang w:val="pt-BR" w:eastAsia="es-ES"/>
              </w:rPr>
            </w:pPr>
            <w:r w:rsidRPr="001133D2">
              <w:rPr>
                <w:rFonts w:ascii="Verdana" w:eastAsia="Calibri" w:hAnsi="Verdana" w:cs="Arial"/>
                <w:sz w:val="16"/>
                <w:szCs w:val="16"/>
                <w:lang w:val="es-ES_tradnl" w:eastAsia="es-ES"/>
              </w:rPr>
              <w:t>Subdirectora de Gestión Contractual ANCP – CCE</w:t>
            </w:r>
          </w:p>
        </w:tc>
      </w:tr>
    </w:tbl>
    <w:p w14:paraId="458C307A" w14:textId="77777777" w:rsidR="0054540B" w:rsidRPr="00543BFE" w:rsidRDefault="0054540B" w:rsidP="0054540B"/>
    <w:p w14:paraId="2E2C8B1E" w14:textId="77777777" w:rsidR="0054540B" w:rsidRPr="00543BFE" w:rsidRDefault="0054540B" w:rsidP="0054540B"/>
    <w:p w14:paraId="0F293BF4" w14:textId="27132F4A" w:rsidR="00127233" w:rsidRPr="009E0BEA" w:rsidRDefault="00127233" w:rsidP="009E0BEA"/>
    <w:sectPr w:rsidR="00127233" w:rsidRPr="009E0BEA"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FA27AF" w14:textId="77777777" w:rsidR="00B61A48" w:rsidRDefault="00B61A48" w:rsidP="004A1847">
      <w:pPr>
        <w:spacing w:after="0" w:line="240" w:lineRule="auto"/>
      </w:pPr>
      <w:r>
        <w:separator/>
      </w:r>
    </w:p>
  </w:endnote>
  <w:endnote w:type="continuationSeparator" w:id="0">
    <w:p w14:paraId="5DAD562B" w14:textId="77777777" w:rsidR="00B61A48" w:rsidRDefault="00B61A4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C7AA7C" w14:textId="77777777" w:rsidR="00B61A48" w:rsidRDefault="00B61A48" w:rsidP="004A1847">
      <w:pPr>
        <w:spacing w:after="0" w:line="240" w:lineRule="auto"/>
      </w:pPr>
      <w:r>
        <w:separator/>
      </w:r>
    </w:p>
  </w:footnote>
  <w:footnote w:type="continuationSeparator" w:id="0">
    <w:p w14:paraId="35D7C7BF" w14:textId="77777777" w:rsidR="00B61A48" w:rsidRDefault="00B61A48" w:rsidP="004A1847">
      <w:pPr>
        <w:spacing w:after="0" w:line="240" w:lineRule="auto"/>
      </w:pPr>
      <w:r>
        <w:continuationSeparator/>
      </w:r>
    </w:p>
  </w:footnote>
  <w:footnote w:id="1">
    <w:p w14:paraId="3D01AB6B" w14:textId="77777777" w:rsidR="0054540B" w:rsidRPr="00561FD6" w:rsidRDefault="0054540B" w:rsidP="0054540B">
      <w:pPr>
        <w:pStyle w:val="Textonotapie"/>
        <w:ind w:firstLine="720"/>
        <w:contextualSpacing/>
        <w:jc w:val="both"/>
        <w:rPr>
          <w:rFonts w:ascii="Verdana" w:hAnsi="Verdana"/>
          <w:sz w:val="16"/>
          <w:szCs w:val="16"/>
        </w:rPr>
      </w:pPr>
      <w:r w:rsidRPr="00C918DB">
        <w:rPr>
          <w:rStyle w:val="Refdenotaalpie"/>
          <w:rFonts w:ascii="Verdana" w:hAnsi="Verdana"/>
          <w:sz w:val="16"/>
          <w:szCs w:val="16"/>
        </w:rPr>
        <w:footnoteRef/>
      </w:r>
      <w:r>
        <w:rPr>
          <w:rFonts w:ascii="Verdana" w:hAnsi="Verdana"/>
          <w:sz w:val="16"/>
          <w:szCs w:val="16"/>
          <w:lang w:val="es-CO"/>
        </w:rPr>
        <w:t xml:space="preserve"> </w:t>
      </w:r>
      <w:r w:rsidRPr="00561FD6">
        <w:rPr>
          <w:rFonts w:ascii="Verdana" w:hAnsi="Verdana"/>
          <w:sz w:val="16"/>
          <w:szCs w:val="16"/>
          <w:lang w:val="es-CO"/>
        </w:rPr>
        <w:t xml:space="preserve">EXPÓSITO VÉLEZ, Juan Carlos. </w:t>
      </w:r>
      <w:r w:rsidRPr="00561FD6">
        <w:rPr>
          <w:rFonts w:ascii="Verdana" w:hAnsi="Verdana"/>
          <w:sz w:val="16"/>
          <w:szCs w:val="16"/>
        </w:rPr>
        <w:t>Forma</w:t>
      </w:r>
      <w:r>
        <w:rPr>
          <w:rFonts w:ascii="Verdana" w:hAnsi="Verdana"/>
          <w:sz w:val="16"/>
          <w:szCs w:val="16"/>
        </w:rPr>
        <w:t>, formalidades</w:t>
      </w:r>
      <w:r w:rsidRPr="00561FD6">
        <w:rPr>
          <w:rFonts w:ascii="Verdana" w:hAnsi="Verdana"/>
          <w:sz w:val="16"/>
          <w:szCs w:val="16"/>
        </w:rPr>
        <w:t xml:space="preserve"> y contenido del contrato estatal. </w:t>
      </w:r>
      <w:r>
        <w:rPr>
          <w:rFonts w:ascii="Verdana" w:hAnsi="Verdana"/>
          <w:sz w:val="16"/>
          <w:szCs w:val="16"/>
        </w:rPr>
        <w:t xml:space="preserve">Bogotá: </w:t>
      </w:r>
      <w:r w:rsidRPr="00561FD6">
        <w:rPr>
          <w:rFonts w:ascii="Verdana" w:hAnsi="Verdana"/>
          <w:sz w:val="16"/>
          <w:szCs w:val="16"/>
        </w:rPr>
        <w:t>Universidad Externado de Colombia</w:t>
      </w:r>
      <w:r>
        <w:rPr>
          <w:rFonts w:ascii="Verdana" w:hAnsi="Verdana"/>
          <w:sz w:val="16"/>
          <w:szCs w:val="16"/>
        </w:rPr>
        <w:t>, 2021. p.</w:t>
      </w:r>
      <w:r w:rsidRPr="00561FD6">
        <w:rPr>
          <w:rFonts w:ascii="Verdana" w:hAnsi="Verdana"/>
          <w:sz w:val="16"/>
          <w:szCs w:val="16"/>
        </w:rPr>
        <w:t xml:space="preserve"> 70. </w:t>
      </w:r>
    </w:p>
  </w:footnote>
  <w:footnote w:id="2">
    <w:p w14:paraId="0419EC5C" w14:textId="77777777" w:rsidR="0054540B" w:rsidRPr="00C918DB" w:rsidRDefault="0054540B" w:rsidP="0054540B">
      <w:pPr>
        <w:pStyle w:val="Textonotapie"/>
        <w:ind w:firstLine="708"/>
        <w:contextualSpacing/>
        <w:jc w:val="both"/>
        <w:rPr>
          <w:rFonts w:ascii="Verdana" w:hAnsi="Verdana"/>
          <w:sz w:val="16"/>
          <w:szCs w:val="16"/>
        </w:rPr>
      </w:pPr>
      <w:r w:rsidRPr="00C918DB">
        <w:rPr>
          <w:rStyle w:val="Refdenotaalpie"/>
          <w:rFonts w:ascii="Verdana" w:hAnsi="Verdana"/>
          <w:sz w:val="16"/>
          <w:szCs w:val="16"/>
        </w:rPr>
        <w:footnoteRef/>
      </w:r>
      <w:r w:rsidRPr="00C918DB">
        <w:rPr>
          <w:rFonts w:ascii="Verdana" w:hAnsi="Verdana"/>
          <w:sz w:val="16"/>
          <w:szCs w:val="16"/>
        </w:rPr>
        <w:t xml:space="preserve"> ESCOBAR Gil. Teoría General de los contratos de la Administración Pública. </w:t>
      </w:r>
      <w:r>
        <w:rPr>
          <w:rFonts w:ascii="Verdana" w:hAnsi="Verdana"/>
          <w:sz w:val="16"/>
          <w:szCs w:val="16"/>
        </w:rPr>
        <w:t>Bogotá: Legis, 2000. p.</w:t>
      </w:r>
      <w:r w:rsidRPr="00C918DB">
        <w:rPr>
          <w:rFonts w:ascii="Verdana" w:hAnsi="Verdana"/>
          <w:sz w:val="16"/>
          <w:szCs w:val="16"/>
        </w:rPr>
        <w:t xml:space="preserve"> 214. </w:t>
      </w:r>
    </w:p>
  </w:footnote>
  <w:footnote w:id="3">
    <w:p w14:paraId="718D39A5" w14:textId="77777777" w:rsidR="0054540B" w:rsidRPr="00C918DB" w:rsidRDefault="0054540B" w:rsidP="0054540B">
      <w:pPr>
        <w:pStyle w:val="Textonotapie"/>
        <w:ind w:firstLine="708"/>
        <w:contextualSpacing/>
        <w:jc w:val="both"/>
        <w:rPr>
          <w:rFonts w:ascii="Verdana" w:hAnsi="Verdana"/>
          <w:sz w:val="16"/>
          <w:szCs w:val="16"/>
          <w:lang w:val="es-CO"/>
        </w:rPr>
      </w:pPr>
      <w:r w:rsidRPr="00C918DB">
        <w:rPr>
          <w:rStyle w:val="Refdenotaalpie"/>
          <w:rFonts w:ascii="Verdana" w:hAnsi="Verdana"/>
          <w:sz w:val="16"/>
          <w:szCs w:val="16"/>
        </w:rPr>
        <w:footnoteRef/>
      </w:r>
      <w:r w:rsidRPr="00C918DB">
        <w:rPr>
          <w:rFonts w:ascii="Verdana" w:hAnsi="Verdana"/>
          <w:sz w:val="16"/>
          <w:szCs w:val="16"/>
        </w:rPr>
        <w:t xml:space="preserve"> </w:t>
      </w:r>
      <w:r w:rsidRPr="00C918DB">
        <w:rPr>
          <w:rFonts w:ascii="Verdana" w:hAnsi="Verdana"/>
          <w:sz w:val="16"/>
          <w:szCs w:val="16"/>
          <w:lang w:val="es-CO"/>
        </w:rPr>
        <w:t>CONSEJO DE ESTADO. Sala de Consulta y Servicio Civil. Consejero ponente: Álvaro Namén Vargas Concepto del 15 de agosto de 2017. Rad. 2346.</w:t>
      </w:r>
    </w:p>
  </w:footnote>
  <w:footnote w:id="4">
    <w:p w14:paraId="51E95FEF" w14:textId="77777777" w:rsidR="0054540B" w:rsidRPr="00C918DB" w:rsidRDefault="0054540B" w:rsidP="0054540B">
      <w:pPr>
        <w:pStyle w:val="Textonotapie"/>
        <w:ind w:firstLine="708"/>
        <w:contextualSpacing/>
        <w:jc w:val="both"/>
        <w:rPr>
          <w:rFonts w:ascii="Verdana" w:hAnsi="Verdana"/>
          <w:sz w:val="16"/>
          <w:szCs w:val="16"/>
          <w:lang w:val="es-CO"/>
        </w:rPr>
      </w:pPr>
      <w:r w:rsidRPr="00C918DB">
        <w:rPr>
          <w:rStyle w:val="Refdenotaalpie"/>
          <w:rFonts w:ascii="Verdana" w:hAnsi="Verdana"/>
          <w:sz w:val="16"/>
          <w:szCs w:val="16"/>
        </w:rPr>
        <w:footnoteRef/>
      </w:r>
      <w:r w:rsidRPr="00C918DB">
        <w:rPr>
          <w:rFonts w:ascii="Verdana" w:hAnsi="Verdana"/>
          <w:sz w:val="16"/>
          <w:szCs w:val="16"/>
        </w:rPr>
        <w:t xml:space="preserve"> </w:t>
      </w:r>
      <w:r w:rsidRPr="00C918DB">
        <w:rPr>
          <w:rFonts w:ascii="Verdana" w:hAnsi="Verdana"/>
          <w:sz w:val="16"/>
          <w:szCs w:val="16"/>
          <w:lang w:val="es-CO"/>
        </w:rPr>
        <w:t>Como cuando el contrato estatal se celebra en el exterior, caso en el cual se rige por las leyes del país en donde se perfecciona (“lex loci contractus”), en cuanto a su existencia y validez, y también en cuanto a su ejecución, si así se estipula, a menos que deba cumplirse en Colombia, de acuerdo con lo dispuesto por el artículo 13 de la Ley 80 de 1993. También podría prescindirse del documento escrito en la hipótesis prevista en el inciso cuarto del artículo 41 de la misma ley: “En caso de situaciones de urgencia manifiesta a que se refiere el artículo 42 de esta ley que no permitan la suscripción de contrato escrito, se prescindirá de éste y aún del acuerdo acerca de la remuneración, no obstante, deberá dejarse constancia escrita de la autorización impartida por la entidad estatal contratante.”</w:t>
      </w:r>
    </w:p>
  </w:footnote>
  <w:footnote w:id="5">
    <w:p w14:paraId="01122A5F" w14:textId="77777777" w:rsidR="0054540B" w:rsidRPr="005F3562" w:rsidRDefault="0054540B" w:rsidP="0054540B">
      <w:pPr>
        <w:pStyle w:val="Textonotapie"/>
        <w:ind w:firstLine="708"/>
        <w:jc w:val="both"/>
        <w:rPr>
          <w:rFonts w:ascii="Verdana" w:hAnsi="Verdana"/>
          <w:sz w:val="16"/>
          <w:szCs w:val="16"/>
          <w:lang w:val="es-CO"/>
        </w:rPr>
      </w:pPr>
      <w:r w:rsidRPr="0089450F">
        <w:rPr>
          <w:rStyle w:val="Refdenotaalpie"/>
          <w:rFonts w:ascii="Verdana" w:hAnsi="Verdana"/>
          <w:sz w:val="16"/>
          <w:szCs w:val="16"/>
        </w:rPr>
        <w:footnoteRef/>
      </w:r>
      <w:r w:rsidRPr="0089450F">
        <w:rPr>
          <w:rFonts w:ascii="Verdana" w:hAnsi="Verdana"/>
          <w:sz w:val="16"/>
          <w:szCs w:val="16"/>
        </w:rPr>
        <w:t xml:space="preserve"> </w:t>
      </w:r>
      <w:r w:rsidRPr="005F3562">
        <w:rPr>
          <w:rFonts w:ascii="Verdana" w:hAnsi="Verdana"/>
          <w:sz w:val="16"/>
          <w:szCs w:val="16"/>
        </w:rPr>
        <w:t>ARBOLEDA PERDOMO</w:t>
      </w:r>
      <w:r>
        <w:rPr>
          <w:rFonts w:ascii="Verdana" w:hAnsi="Verdana"/>
          <w:sz w:val="16"/>
          <w:szCs w:val="16"/>
        </w:rPr>
        <w:t xml:space="preserve">, </w:t>
      </w:r>
      <w:r w:rsidRPr="005F3562">
        <w:rPr>
          <w:rFonts w:ascii="Verdana" w:hAnsi="Verdana"/>
          <w:sz w:val="16"/>
          <w:szCs w:val="16"/>
        </w:rPr>
        <w:t>Enrique José</w:t>
      </w:r>
      <w:r>
        <w:rPr>
          <w:rFonts w:ascii="Verdana" w:hAnsi="Verdana"/>
          <w:sz w:val="16"/>
          <w:szCs w:val="16"/>
        </w:rPr>
        <w:t xml:space="preserve">. </w:t>
      </w:r>
      <w:r w:rsidRPr="005F3562">
        <w:rPr>
          <w:rFonts w:ascii="Verdana" w:hAnsi="Verdana"/>
          <w:sz w:val="16"/>
          <w:szCs w:val="16"/>
        </w:rPr>
        <w:t>Comentarios al Código de Procedimiento Administrativo y de lo Contencioso Administrativo</w:t>
      </w:r>
      <w:r>
        <w:rPr>
          <w:rFonts w:ascii="Verdana" w:hAnsi="Verdana"/>
          <w:sz w:val="16"/>
          <w:szCs w:val="16"/>
        </w:rPr>
        <w:t>. Tercera edición. Bogotá: Legis, 2021. p. 178.</w:t>
      </w:r>
    </w:p>
  </w:footnote>
  <w:footnote w:id="6">
    <w:p w14:paraId="30F02A1F" w14:textId="1478EB96" w:rsidR="0054540B" w:rsidRPr="00C96E6C" w:rsidRDefault="0054540B" w:rsidP="0054540B">
      <w:pPr>
        <w:pStyle w:val="Textonotapie"/>
        <w:ind w:firstLine="708"/>
        <w:jc w:val="both"/>
        <w:rPr>
          <w:rFonts w:ascii="Verdana" w:hAnsi="Verdana"/>
          <w:sz w:val="16"/>
          <w:szCs w:val="16"/>
        </w:rPr>
      </w:pPr>
      <w:r w:rsidRPr="00C96E6C">
        <w:rPr>
          <w:rStyle w:val="Refdenotaalpie"/>
          <w:rFonts w:ascii="Verdana" w:hAnsi="Verdana"/>
          <w:sz w:val="16"/>
          <w:szCs w:val="16"/>
        </w:rPr>
        <w:footnoteRef/>
      </w:r>
      <w:r w:rsidRPr="00C96E6C">
        <w:rPr>
          <w:rFonts w:ascii="Verdana" w:hAnsi="Verdana"/>
          <w:sz w:val="16"/>
          <w:szCs w:val="16"/>
        </w:rPr>
        <w:t xml:space="preserve"> </w:t>
      </w:r>
      <w:r>
        <w:rPr>
          <w:rFonts w:ascii="Verdana" w:hAnsi="Verdana"/>
          <w:sz w:val="16"/>
          <w:szCs w:val="16"/>
        </w:rPr>
        <w:t>En todo caso, la norma agrega que “</w:t>
      </w:r>
      <w:r w:rsidRPr="00C96E6C">
        <w:rPr>
          <w:rFonts w:ascii="Verdana" w:hAnsi="Verdana"/>
          <w:sz w:val="16"/>
          <w:szCs w:val="16"/>
        </w:rPr>
        <w:t>El requisito de procedibilidad será facultativo en los asuntos laborales, pensionales, en los procesos ejecutivos diferentes a los regulados en la Ley 1551 de 2012, en los procesos en que el demandante pida medidas cautelares de carácter patrimonial, en relación con el medio de control de repetición o cuando quien demande sea una entidad pública. En los demás asuntos podrá adelantarse la conciliación extrajudicial siempre y cuando no se encuentre expresamente prohibida.</w:t>
      </w:r>
    </w:p>
    <w:p w14:paraId="088CB62B" w14:textId="77777777" w:rsidR="0054540B" w:rsidRPr="00C96E6C" w:rsidRDefault="0054540B" w:rsidP="0054540B">
      <w:pPr>
        <w:pStyle w:val="Textonotapie"/>
        <w:ind w:firstLine="708"/>
        <w:jc w:val="both"/>
        <w:rPr>
          <w:rFonts w:ascii="Verdana" w:hAnsi="Verdana"/>
          <w:sz w:val="16"/>
          <w:szCs w:val="16"/>
          <w:lang w:val="es-CO"/>
        </w:rPr>
      </w:pPr>
      <w:r w:rsidRPr="00C96E6C">
        <w:rPr>
          <w:rFonts w:ascii="Verdana" w:hAnsi="Verdana"/>
          <w:sz w:val="16"/>
          <w:szCs w:val="16"/>
        </w:rPr>
        <w:t>Cuando la Administración demande un acto administrativo que ocurrió por medios ilegales o fraudulentos, no será necesario el procedimiento previo de conciliación</w:t>
      </w:r>
      <w:r>
        <w:rPr>
          <w:rFonts w:ascii="Verdana" w:hAnsi="Verdana"/>
          <w:sz w:val="16"/>
          <w:szCs w:val="16"/>
        </w:rPr>
        <w:t>”</w:t>
      </w:r>
      <w:r w:rsidRPr="00C96E6C">
        <w:rPr>
          <w:rFonts w:ascii="Verdana" w:hAnsi="Verdana"/>
          <w:sz w:val="16"/>
          <w:szCs w:val="16"/>
        </w:rPr>
        <w:t>.</w:t>
      </w:r>
    </w:p>
  </w:footnote>
  <w:footnote w:id="7">
    <w:p w14:paraId="19353281" w14:textId="27CC03A8" w:rsidR="0054540B" w:rsidRDefault="0054540B" w:rsidP="0054540B">
      <w:pPr>
        <w:pStyle w:val="Textonotapie"/>
        <w:ind w:firstLine="708"/>
        <w:jc w:val="both"/>
        <w:rPr>
          <w:rFonts w:ascii="Verdana" w:hAnsi="Verdana"/>
          <w:sz w:val="16"/>
          <w:szCs w:val="16"/>
        </w:rPr>
      </w:pPr>
      <w:r w:rsidRPr="0022584D">
        <w:rPr>
          <w:rStyle w:val="Refdenotaalpie"/>
          <w:rFonts w:ascii="Verdana" w:hAnsi="Verdana"/>
          <w:sz w:val="16"/>
          <w:szCs w:val="16"/>
        </w:rPr>
        <w:footnoteRef/>
      </w:r>
      <w:r w:rsidRPr="0022584D">
        <w:rPr>
          <w:rFonts w:ascii="Verdana" w:hAnsi="Verdana"/>
          <w:sz w:val="16"/>
          <w:szCs w:val="16"/>
        </w:rPr>
        <w:t xml:space="preserve"> </w:t>
      </w:r>
      <w:r>
        <w:rPr>
          <w:rFonts w:ascii="Verdana" w:hAnsi="Verdana"/>
          <w:sz w:val="16"/>
          <w:szCs w:val="16"/>
        </w:rPr>
        <w:t>E</w:t>
      </w:r>
      <w:r w:rsidRPr="0022584D">
        <w:rPr>
          <w:rFonts w:ascii="Verdana" w:hAnsi="Verdana"/>
          <w:sz w:val="16"/>
          <w:szCs w:val="16"/>
        </w:rPr>
        <w:t xml:space="preserve">l artículo </w:t>
      </w:r>
      <w:r>
        <w:rPr>
          <w:rFonts w:ascii="Verdana" w:hAnsi="Verdana"/>
          <w:sz w:val="16"/>
          <w:szCs w:val="16"/>
        </w:rPr>
        <w:t>113</w:t>
      </w:r>
      <w:r w:rsidRPr="0022584D">
        <w:rPr>
          <w:rFonts w:ascii="Verdana" w:hAnsi="Verdana"/>
          <w:sz w:val="16"/>
          <w:szCs w:val="16"/>
        </w:rPr>
        <w:t xml:space="preserve"> de la Ley 2220 de 2022</w:t>
      </w:r>
      <w:r>
        <w:rPr>
          <w:rFonts w:ascii="Verdana" w:hAnsi="Verdana"/>
          <w:sz w:val="16"/>
          <w:szCs w:val="16"/>
        </w:rPr>
        <w:t xml:space="preserve"> dispone que “</w:t>
      </w:r>
      <w:r w:rsidRPr="0022584D">
        <w:rPr>
          <w:rFonts w:ascii="Verdana" w:hAnsi="Verdana"/>
          <w:sz w:val="16"/>
          <w:szCs w:val="16"/>
        </w:rPr>
        <w:t>El agente del Ministerio Público remitirá, dentro de los tres (3) días siguientes a la celebración de la correspondiente audiencia, el acta de acuerdo total o parcial de conciliación,</w:t>
      </w:r>
      <w:r w:rsidR="00482376">
        <w:rPr>
          <w:rFonts w:ascii="Verdana" w:hAnsi="Verdana"/>
          <w:sz w:val="16"/>
          <w:szCs w:val="16"/>
        </w:rPr>
        <w:t xml:space="preserve"> </w:t>
      </w:r>
      <w:r w:rsidRPr="0022584D">
        <w:rPr>
          <w:rFonts w:ascii="Verdana" w:hAnsi="Verdana"/>
          <w:sz w:val="16"/>
          <w:szCs w:val="16"/>
        </w:rPr>
        <w:t>junto con el respectivo expediente al juez o corporación competente para su aprobación</w:t>
      </w:r>
      <w:r>
        <w:rPr>
          <w:rFonts w:ascii="Verdana" w:hAnsi="Verdana"/>
          <w:sz w:val="16"/>
          <w:szCs w:val="16"/>
        </w:rPr>
        <w:t>.</w:t>
      </w:r>
    </w:p>
    <w:p w14:paraId="28DF3467" w14:textId="77777777" w:rsidR="0054540B" w:rsidRDefault="0054540B" w:rsidP="0054540B">
      <w:pPr>
        <w:pStyle w:val="Textonotapie"/>
        <w:ind w:firstLine="708"/>
        <w:jc w:val="both"/>
        <w:rPr>
          <w:rFonts w:ascii="Verdana" w:hAnsi="Verdana"/>
          <w:sz w:val="16"/>
          <w:szCs w:val="16"/>
          <w:lang w:val="es-CO"/>
        </w:rPr>
      </w:pPr>
      <w:r w:rsidRPr="0022584D">
        <w:rPr>
          <w:rFonts w:ascii="Verdana" w:hAnsi="Verdana"/>
          <w:sz w:val="16"/>
          <w:szCs w:val="16"/>
          <w:lang w:val="es-CO"/>
        </w:rPr>
        <w:t>La decisión de aprobación o improbación judicial deberá ser adoptada dentro de los dos (2) meses siguientes</w:t>
      </w:r>
      <w:r>
        <w:rPr>
          <w:rFonts w:ascii="Verdana" w:hAnsi="Verdana"/>
          <w:sz w:val="16"/>
          <w:szCs w:val="16"/>
          <w:lang w:val="es-CO"/>
        </w:rPr>
        <w:t xml:space="preserve">. </w:t>
      </w:r>
      <w:r w:rsidRPr="0022584D">
        <w:rPr>
          <w:rFonts w:ascii="Verdana" w:hAnsi="Verdana"/>
          <w:sz w:val="16"/>
          <w:szCs w:val="16"/>
          <w:lang w:val="es-CO"/>
        </w:rPr>
        <w:t>El plazo que tiene el juez para adoptar la decisión podrá prorrogarse por una única vez hasta por dos (2) meses adicionales para la práctica de pruebas, en caso de resultar necesario.</w:t>
      </w:r>
    </w:p>
    <w:p w14:paraId="15EA11B9" w14:textId="77777777" w:rsidR="0054540B" w:rsidRPr="0022584D" w:rsidRDefault="0054540B" w:rsidP="0054540B">
      <w:pPr>
        <w:pStyle w:val="Textonotapie"/>
        <w:ind w:firstLine="708"/>
        <w:jc w:val="both"/>
        <w:rPr>
          <w:rFonts w:ascii="Verdana" w:hAnsi="Verdana"/>
          <w:sz w:val="16"/>
          <w:szCs w:val="16"/>
          <w:lang w:val="es-CO"/>
        </w:rPr>
      </w:pPr>
      <w:r w:rsidRPr="0022584D">
        <w:rPr>
          <w:rFonts w:ascii="Verdana" w:hAnsi="Verdana"/>
          <w:sz w:val="16"/>
          <w:szCs w:val="16"/>
          <w:lang w:val="es-CO"/>
        </w:rPr>
        <w:t>Los términos aquí establecidos son perentorios e improrrogables.</w:t>
      </w:r>
    </w:p>
    <w:p w14:paraId="4FB6AE2D" w14:textId="77777777" w:rsidR="0054540B" w:rsidRDefault="0054540B" w:rsidP="0054540B">
      <w:pPr>
        <w:pStyle w:val="Textonotapie"/>
        <w:ind w:firstLine="708"/>
        <w:jc w:val="both"/>
        <w:rPr>
          <w:rFonts w:ascii="Verdana" w:hAnsi="Verdana"/>
          <w:sz w:val="16"/>
          <w:szCs w:val="16"/>
          <w:lang w:val="es-CO"/>
        </w:rPr>
      </w:pPr>
      <w:r w:rsidRPr="0022584D">
        <w:rPr>
          <w:rFonts w:ascii="Verdana" w:hAnsi="Verdana"/>
          <w:sz w:val="16"/>
          <w:szCs w:val="16"/>
          <w:lang w:val="es-CO"/>
        </w:rPr>
        <w:t>La providencia que decida sobre el acuerdo conciliatorio deberá ser notificada a las partes y al agente del Ministerio Público que adelantó la conciliación extrajudicial</w:t>
      </w:r>
      <w:r>
        <w:rPr>
          <w:rFonts w:ascii="Verdana" w:hAnsi="Verdana"/>
          <w:sz w:val="16"/>
          <w:szCs w:val="16"/>
          <w:lang w:val="es-CO"/>
        </w:rPr>
        <w:t xml:space="preserve"> </w:t>
      </w:r>
      <w:r w:rsidRPr="0022584D">
        <w:rPr>
          <w:rFonts w:ascii="Verdana" w:hAnsi="Verdana"/>
          <w:sz w:val="16"/>
          <w:szCs w:val="16"/>
          <w:lang w:val="es-CO"/>
        </w:rPr>
        <w:t>quienes podrán interponer el recurso de apelación contra el auto que apruebe o impruebe la conciliación.</w:t>
      </w:r>
    </w:p>
    <w:p w14:paraId="2E44CCE0" w14:textId="77777777" w:rsidR="0054540B" w:rsidRPr="0022584D" w:rsidRDefault="0054540B" w:rsidP="0054540B">
      <w:pPr>
        <w:pStyle w:val="Textonotapie"/>
        <w:ind w:firstLine="708"/>
        <w:jc w:val="both"/>
        <w:rPr>
          <w:rFonts w:ascii="Verdana" w:hAnsi="Verdana"/>
          <w:sz w:val="16"/>
          <w:szCs w:val="16"/>
          <w:lang w:val="es-CO"/>
        </w:rPr>
      </w:pPr>
      <w:r w:rsidRPr="0022584D">
        <w:rPr>
          <w:rFonts w:ascii="Verdana" w:hAnsi="Verdana"/>
          <w:sz w:val="16"/>
          <w:szCs w:val="16"/>
          <w:lang w:val="es-CO"/>
        </w:rPr>
        <w:t>No podrá realizarse aprobación parcial de los acuerdos conciliatorios, salvo aceptación expresa de las partes.</w:t>
      </w:r>
    </w:p>
    <w:p w14:paraId="20748B6A" w14:textId="77777777" w:rsidR="0054540B" w:rsidRPr="0022584D" w:rsidRDefault="0054540B" w:rsidP="0054540B">
      <w:pPr>
        <w:pStyle w:val="Textonotapie"/>
        <w:ind w:firstLine="708"/>
        <w:jc w:val="both"/>
        <w:rPr>
          <w:rFonts w:ascii="Verdana" w:hAnsi="Verdana"/>
          <w:sz w:val="16"/>
          <w:szCs w:val="16"/>
          <w:lang w:val="es-CO"/>
        </w:rPr>
      </w:pPr>
      <w:r w:rsidRPr="0022584D">
        <w:rPr>
          <w:rFonts w:ascii="Verdana" w:hAnsi="Verdana"/>
          <w:sz w:val="16"/>
          <w:szCs w:val="16"/>
          <w:lang w:val="es-CO"/>
        </w:rPr>
        <w:t>La improbación del acuerdo conciliatorio no hace tránsito a cosa juzgada.</w:t>
      </w:r>
    </w:p>
    <w:p w14:paraId="32151369" w14:textId="77777777" w:rsidR="0054540B" w:rsidRPr="0022584D" w:rsidRDefault="0054540B" w:rsidP="0054540B">
      <w:pPr>
        <w:pStyle w:val="Textonotapie"/>
        <w:ind w:firstLine="708"/>
        <w:jc w:val="both"/>
        <w:rPr>
          <w:rFonts w:ascii="Verdana" w:hAnsi="Verdana"/>
          <w:sz w:val="16"/>
          <w:szCs w:val="16"/>
          <w:lang w:val="es-CO"/>
        </w:rPr>
      </w:pPr>
      <w:r w:rsidRPr="0022584D">
        <w:rPr>
          <w:rFonts w:ascii="Verdana" w:hAnsi="Verdana"/>
          <w:sz w:val="16"/>
          <w:szCs w:val="16"/>
          <w:lang w:val="es-CO"/>
        </w:rPr>
        <w:t>El acta de acuerdo conciliatorio total o parcial adelantado ante el agente del Ministerio Público y el correspondiente auto aprobatorio debidamente ejecutoriado, prestarán mérito ejecutivo y tendrán efecto de cosa juzgada</w:t>
      </w:r>
      <w:r>
        <w:rPr>
          <w:rFonts w:ascii="Verdana" w:hAnsi="Verdana"/>
          <w:sz w:val="16"/>
          <w:szCs w:val="16"/>
          <w:lang w:val="es-CO"/>
        </w:rPr>
        <w:t>”</w:t>
      </w:r>
      <w:r w:rsidRPr="0022584D">
        <w:rPr>
          <w:rFonts w:ascii="Verdana" w:hAnsi="Verdana"/>
          <w:sz w:val="16"/>
          <w:szCs w:val="16"/>
          <w:lang w:val="es-CO"/>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025C"/>
    <w:rsid w:val="0030657A"/>
    <w:rsid w:val="00322A85"/>
    <w:rsid w:val="00324168"/>
    <w:rsid w:val="00330834"/>
    <w:rsid w:val="00330C8E"/>
    <w:rsid w:val="003448F4"/>
    <w:rsid w:val="00374F5E"/>
    <w:rsid w:val="00377E3E"/>
    <w:rsid w:val="003A4E68"/>
    <w:rsid w:val="003A779E"/>
    <w:rsid w:val="003D0F4D"/>
    <w:rsid w:val="003D5B0D"/>
    <w:rsid w:val="003E0499"/>
    <w:rsid w:val="003E4F80"/>
    <w:rsid w:val="003E6439"/>
    <w:rsid w:val="003F3941"/>
    <w:rsid w:val="00406575"/>
    <w:rsid w:val="00414C74"/>
    <w:rsid w:val="0042722E"/>
    <w:rsid w:val="0044528D"/>
    <w:rsid w:val="00466E39"/>
    <w:rsid w:val="00482376"/>
    <w:rsid w:val="004A1847"/>
    <w:rsid w:val="004A305D"/>
    <w:rsid w:val="004F21C4"/>
    <w:rsid w:val="004F685F"/>
    <w:rsid w:val="0054540B"/>
    <w:rsid w:val="005566E8"/>
    <w:rsid w:val="00574867"/>
    <w:rsid w:val="00591460"/>
    <w:rsid w:val="005A65E0"/>
    <w:rsid w:val="005B6723"/>
    <w:rsid w:val="005C3777"/>
    <w:rsid w:val="005C5CDC"/>
    <w:rsid w:val="005D476C"/>
    <w:rsid w:val="006200BF"/>
    <w:rsid w:val="006219F8"/>
    <w:rsid w:val="006302F7"/>
    <w:rsid w:val="00646B9F"/>
    <w:rsid w:val="00665D70"/>
    <w:rsid w:val="006900D9"/>
    <w:rsid w:val="006E7FAF"/>
    <w:rsid w:val="00706C16"/>
    <w:rsid w:val="007340C3"/>
    <w:rsid w:val="0075235A"/>
    <w:rsid w:val="00756841"/>
    <w:rsid w:val="007649AB"/>
    <w:rsid w:val="00771D0C"/>
    <w:rsid w:val="007833AC"/>
    <w:rsid w:val="007B268C"/>
    <w:rsid w:val="007B7171"/>
    <w:rsid w:val="007C0C0F"/>
    <w:rsid w:val="007C3DC2"/>
    <w:rsid w:val="007E5497"/>
    <w:rsid w:val="00806793"/>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D51B8"/>
    <w:rsid w:val="009E0BEA"/>
    <w:rsid w:val="009F3A13"/>
    <w:rsid w:val="00A122D3"/>
    <w:rsid w:val="00A14468"/>
    <w:rsid w:val="00A17F13"/>
    <w:rsid w:val="00A20739"/>
    <w:rsid w:val="00A23AF9"/>
    <w:rsid w:val="00A33C78"/>
    <w:rsid w:val="00A71D92"/>
    <w:rsid w:val="00A75383"/>
    <w:rsid w:val="00AB0ADB"/>
    <w:rsid w:val="00B00C0E"/>
    <w:rsid w:val="00B01B1A"/>
    <w:rsid w:val="00B0381D"/>
    <w:rsid w:val="00B071A7"/>
    <w:rsid w:val="00B113C4"/>
    <w:rsid w:val="00B44A47"/>
    <w:rsid w:val="00B61A48"/>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87F10"/>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80363"/>
    <w:rsid w:val="00FA47C0"/>
    <w:rsid w:val="00FB5DD1"/>
    <w:rsid w:val="00FC2B5D"/>
    <w:rsid w:val="00FF1449"/>
    <w:rsid w:val="00FF7963"/>
    <w:rsid w:val="071B8F93"/>
    <w:rsid w:val="09908A09"/>
    <w:rsid w:val="0C60F0FC"/>
    <w:rsid w:val="0FF4CCA8"/>
    <w:rsid w:val="13CFC91B"/>
    <w:rsid w:val="19A2EC2C"/>
    <w:rsid w:val="2859CA1B"/>
    <w:rsid w:val="2F97A617"/>
    <w:rsid w:val="32A4F9CF"/>
    <w:rsid w:val="356CEDFD"/>
    <w:rsid w:val="69614A15"/>
    <w:rsid w:val="74670BA0"/>
    <w:rsid w:val="7BB183BC"/>
    <w:rsid w:val="7DDC146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4540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4540B"/>
    <w:rPr>
      <w:rFonts w:ascii="Geomanist Light" w:hAnsi="Geomanist Light"/>
      <w:lang w:val="es-ES"/>
    </w:rPr>
  </w:style>
  <w:style w:type="character" w:customStyle="1" w:styleId="s15">
    <w:name w:val="s15"/>
    <w:basedOn w:val="Fuentedeprrafopredeter"/>
    <w:rsid w:val="005454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deradicacion@colombiacompra.gov.c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pqrsd/informacion-importante-antes-de-formular-una-pqrsd"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089457A1-2432-417C-A6A0-D23065538EE5}"/>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15</Pages>
  <Words>5121</Words>
  <Characters>28168</Characters>
  <Application>Microsoft Office Word</Application>
  <DocSecurity>0</DocSecurity>
  <Lines>234</Lines>
  <Paragraphs>66</Paragraphs>
  <ScaleCrop>false</ScaleCrop>
  <Company/>
  <LinksUpToDate>false</LinksUpToDate>
  <CharactersWithSpaces>33223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5</cp:revision>
  <cp:lastPrinted>2023-01-10T21:18:00Z</cp:lastPrinted>
  <dcterms:created xsi:type="dcterms:W3CDTF">2026-02-10T15:06:00Z</dcterms:created>
  <dcterms:modified xsi:type="dcterms:W3CDTF">2026-02-16T15:52:00Z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