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B0F38" w14:textId="42E88FFE" w:rsidR="009B0A7A" w:rsidRPr="00A72EEA" w:rsidRDefault="009B0A7A" w:rsidP="00A617AC">
      <w:pPr>
        <w:spacing w:after="0" w:line="240" w:lineRule="auto"/>
        <w:jc w:val="both"/>
        <w:rPr>
          <w:rFonts w:ascii="Verdana" w:hAnsi="Verdana"/>
          <w:b/>
        </w:rPr>
      </w:pPr>
      <w:bookmarkStart w:id="0" w:name="_Hlk143780582"/>
      <w:r w:rsidRPr="00A72EEA">
        <w:rPr>
          <w:rFonts w:ascii="Verdana" w:hAnsi="Verdana" w:cs="Arial"/>
          <w:b/>
          <w:bCs/>
          <w:lang w:val="es-ES_tradnl" w:eastAsia="es-ES" w:bidi="es-ES"/>
        </w:rPr>
        <w:t>PRINCIPIO DE PUBLICIDAD – Concepto – Fundamento axiológico – Fundamento constitucional</w:t>
      </w:r>
    </w:p>
    <w:p w14:paraId="6A62DD67" w14:textId="77777777" w:rsidR="009B0A7A" w:rsidRPr="00A72EEA" w:rsidRDefault="009B0A7A" w:rsidP="00A617AC">
      <w:pPr>
        <w:spacing w:after="0" w:line="240" w:lineRule="auto"/>
        <w:rPr>
          <w:rFonts w:ascii="Verdana" w:hAnsi="Verdana"/>
          <w:b/>
        </w:rPr>
      </w:pPr>
    </w:p>
    <w:p w14:paraId="0B4FE40F" w14:textId="7DE48531" w:rsidR="00276223" w:rsidRPr="00A72EEA" w:rsidRDefault="00276223" w:rsidP="00A617AC">
      <w:pPr>
        <w:spacing w:after="0" w:line="240" w:lineRule="auto"/>
        <w:jc w:val="both"/>
        <w:rPr>
          <w:rFonts w:ascii="Verdana" w:eastAsia="Times New Roman" w:hAnsi="Verdana" w:cs="Arial"/>
          <w:sz w:val="20"/>
          <w:szCs w:val="20"/>
          <w:lang w:val="es-ES" w:eastAsia="es-ES"/>
          <w14:ligatures w14:val="standardContextual"/>
        </w:rPr>
      </w:pPr>
      <w:r w:rsidRPr="00A72EE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A72EEA">
        <w:rPr>
          <w:rFonts w:ascii="Verdana" w:eastAsia="Times New Roman" w:hAnsi="Verdana" w:cs="Arial"/>
          <w:i/>
          <w:iCs/>
          <w:sz w:val="20"/>
          <w:szCs w:val="20"/>
          <w:lang w:val="es-ES" w:eastAsia="es-ES"/>
          <w14:ligatures w14:val="standardContextual"/>
        </w:rPr>
        <w:t>publicidad</w:t>
      </w:r>
      <w:r w:rsidRPr="00A72EE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42D6ADB9" w14:textId="77777777" w:rsidR="00276223" w:rsidRPr="00A72EEA" w:rsidRDefault="00276223" w:rsidP="00A617AC">
      <w:pPr>
        <w:spacing w:after="0" w:line="240" w:lineRule="auto"/>
        <w:jc w:val="both"/>
        <w:rPr>
          <w:rFonts w:ascii="Verdana" w:eastAsia="Times New Roman" w:hAnsi="Verdana" w:cs="Arial"/>
          <w:sz w:val="20"/>
          <w:szCs w:val="20"/>
          <w:lang w:val="es-ES" w:eastAsia="es-ES"/>
          <w14:ligatures w14:val="standardContextual"/>
        </w:rPr>
      </w:pPr>
    </w:p>
    <w:p w14:paraId="62FCB8C4" w14:textId="3C7A4D5E" w:rsidR="009B0A7A" w:rsidRPr="00A72EEA" w:rsidRDefault="00276223" w:rsidP="00A617AC">
      <w:pPr>
        <w:spacing w:after="0" w:line="240" w:lineRule="auto"/>
        <w:jc w:val="both"/>
        <w:rPr>
          <w:rFonts w:ascii="Verdana" w:eastAsia="Times New Roman" w:hAnsi="Verdana" w:cs="Arial"/>
          <w:sz w:val="20"/>
          <w:szCs w:val="20"/>
          <w:lang w:val="es-ES" w:eastAsia="es-ES"/>
          <w14:ligatures w14:val="standardContextual"/>
        </w:rPr>
      </w:pPr>
      <w:r w:rsidRPr="00A72EEA">
        <w:rPr>
          <w:rFonts w:ascii="Verdana" w:eastAsia="Times New Roman" w:hAnsi="Verdana" w:cs="Arial"/>
          <w:sz w:val="20"/>
          <w:szCs w:val="20"/>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w:t>
      </w:r>
    </w:p>
    <w:p w14:paraId="3AF6F4FA" w14:textId="77777777" w:rsidR="00276223" w:rsidRPr="00A72EEA" w:rsidRDefault="00276223" w:rsidP="00A617AC">
      <w:pPr>
        <w:spacing w:after="0" w:line="240" w:lineRule="auto"/>
        <w:jc w:val="both"/>
        <w:rPr>
          <w:rFonts w:ascii="Verdana" w:hAnsi="Verdana"/>
          <w:b/>
          <w:sz w:val="20"/>
          <w:szCs w:val="20"/>
        </w:rPr>
      </w:pPr>
    </w:p>
    <w:p w14:paraId="362F606E" w14:textId="5C6A470C" w:rsidR="009B0A7A" w:rsidRPr="00A72EEA" w:rsidRDefault="009B0A7A" w:rsidP="00A617AC">
      <w:pPr>
        <w:spacing w:after="0" w:line="240" w:lineRule="auto"/>
        <w:jc w:val="both"/>
        <w:rPr>
          <w:rFonts w:ascii="Verdana" w:hAnsi="Verdana"/>
          <w:b/>
        </w:rPr>
      </w:pPr>
      <w:r w:rsidRPr="00A72EEA">
        <w:rPr>
          <w:rFonts w:ascii="Verdana" w:hAnsi="Verdana" w:cs="Arial"/>
          <w:b/>
          <w:bCs/>
          <w:lang w:val="es-ES_tradnl" w:eastAsia="es-ES" w:bidi="es-ES"/>
        </w:rPr>
        <w:t>PRINCIPIO DE PUBLICIDAD – SECOP – Documentos del proceso – Deber de publicación</w:t>
      </w:r>
    </w:p>
    <w:p w14:paraId="3AE4875A" w14:textId="35FE0D0A" w:rsidR="009B0A7A" w:rsidRPr="00A72EEA" w:rsidRDefault="009B0A7A" w:rsidP="00A617AC">
      <w:pPr>
        <w:spacing w:after="0" w:line="240" w:lineRule="auto"/>
        <w:rPr>
          <w:rFonts w:ascii="Verdana" w:hAnsi="Verdana"/>
          <w:b/>
        </w:rPr>
      </w:pPr>
    </w:p>
    <w:p w14:paraId="4F43DD08" w14:textId="732D24ED" w:rsidR="00276223" w:rsidRPr="00A72EEA" w:rsidRDefault="00276223" w:rsidP="00A617AC">
      <w:pPr>
        <w:spacing w:after="0" w:line="240" w:lineRule="auto"/>
        <w:jc w:val="both"/>
        <w:rPr>
          <w:rFonts w:ascii="Verdana" w:hAnsi="Verdana"/>
          <w:sz w:val="20"/>
          <w:szCs w:val="20"/>
          <w:lang w:val="es-ES_tradnl"/>
        </w:rPr>
      </w:pPr>
      <w:r w:rsidRPr="00A72EEA">
        <w:rPr>
          <w:rFonts w:ascii="Verdana" w:hAnsi="Verdana"/>
          <w:sz w:val="20"/>
          <w:szCs w:val="20"/>
          <w:lang w:val="es-ES_tradn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 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 deben publicar la información relativa a su contratación. Esta obligación fue desarrollada por el Decreto Único Reglamentario 1081 de 2015, el cual dispuso que la publicación de la información contractual de los sujetos obligados, que contratan con cargo a recursos públicos, debe hacerse en el SECOP.</w:t>
      </w:r>
    </w:p>
    <w:p w14:paraId="25EE905C" w14:textId="77777777" w:rsidR="00276223" w:rsidRPr="00A72EEA" w:rsidRDefault="00276223" w:rsidP="00A617AC">
      <w:pPr>
        <w:spacing w:after="0" w:line="240" w:lineRule="auto"/>
        <w:jc w:val="both"/>
        <w:rPr>
          <w:rFonts w:ascii="Verdana" w:hAnsi="Verdana"/>
          <w:sz w:val="20"/>
          <w:szCs w:val="20"/>
          <w:lang w:val="es-ES_tradnl"/>
        </w:rPr>
      </w:pPr>
    </w:p>
    <w:p w14:paraId="519342B9" w14:textId="7A602671" w:rsidR="0071273A" w:rsidRDefault="0071273A" w:rsidP="0071273A">
      <w:pPr>
        <w:spacing w:after="0" w:line="240" w:lineRule="auto"/>
        <w:jc w:val="both"/>
        <w:rPr>
          <w:rFonts w:ascii="Verdana" w:hAnsi="Verdana" w:cs="Arial"/>
          <w:b/>
          <w:bCs/>
          <w:lang w:val="es-ES_tradnl" w:eastAsia="es-ES" w:bidi="es-ES"/>
        </w:rPr>
      </w:pPr>
      <w:r w:rsidRPr="00A72EEA">
        <w:rPr>
          <w:rFonts w:ascii="Verdana" w:hAnsi="Verdana" w:cs="Arial"/>
          <w:b/>
          <w:bCs/>
          <w:lang w:val="es-ES_tradnl" w:eastAsia="es-ES" w:bidi="es-ES"/>
        </w:rPr>
        <w:t>SECOP</w:t>
      </w:r>
      <w:r>
        <w:rPr>
          <w:rFonts w:ascii="Verdana" w:hAnsi="Verdana" w:cs="Arial"/>
          <w:b/>
          <w:bCs/>
          <w:lang w:val="es-ES_tradnl" w:eastAsia="es-ES" w:bidi="es-ES"/>
        </w:rPr>
        <w:t xml:space="preserve"> I</w:t>
      </w:r>
      <w:r w:rsidRPr="00A72EEA">
        <w:rPr>
          <w:rFonts w:ascii="Verdana" w:hAnsi="Verdana" w:cs="Arial"/>
          <w:b/>
          <w:bCs/>
          <w:lang w:val="es-ES_tradnl" w:eastAsia="es-ES" w:bidi="es-ES"/>
        </w:rPr>
        <w:t xml:space="preserve"> – </w:t>
      </w:r>
      <w:r>
        <w:rPr>
          <w:rFonts w:ascii="Verdana" w:hAnsi="Verdana" w:cs="Arial"/>
          <w:b/>
          <w:bCs/>
          <w:lang w:val="es-ES_tradnl" w:eastAsia="es-ES" w:bidi="es-ES"/>
        </w:rPr>
        <w:t>Publicidad</w:t>
      </w:r>
      <w:r w:rsidR="00795D42">
        <w:rPr>
          <w:rFonts w:ascii="Verdana" w:hAnsi="Verdana" w:cs="Arial"/>
          <w:b/>
          <w:bCs/>
          <w:lang w:val="es-ES_tradnl" w:eastAsia="es-ES" w:bidi="es-ES"/>
        </w:rPr>
        <w:t xml:space="preserve"> </w:t>
      </w:r>
      <w:r w:rsidR="00795D42" w:rsidRPr="00A72EEA">
        <w:rPr>
          <w:rFonts w:ascii="Verdana" w:hAnsi="Verdana" w:cs="Arial"/>
          <w:b/>
          <w:bCs/>
          <w:lang w:val="es-ES_tradnl" w:eastAsia="es-ES" w:bidi="es-ES"/>
        </w:rPr>
        <w:t>–</w:t>
      </w:r>
      <w:r w:rsidR="00795D42">
        <w:rPr>
          <w:rFonts w:ascii="Verdana" w:hAnsi="Verdana" w:cs="Arial"/>
          <w:b/>
          <w:bCs/>
          <w:lang w:val="es-ES_tradnl" w:eastAsia="es-ES" w:bidi="es-ES"/>
        </w:rPr>
        <w:t xml:space="preserve"> Recepción de ofertas</w:t>
      </w:r>
    </w:p>
    <w:p w14:paraId="0CDE74E5" w14:textId="77777777" w:rsidR="00795D42" w:rsidRDefault="00795D42" w:rsidP="00795D42">
      <w:pPr>
        <w:spacing w:after="0" w:line="240" w:lineRule="auto"/>
        <w:jc w:val="both"/>
        <w:rPr>
          <w:rFonts w:ascii="Verdana" w:hAnsi="Verdana"/>
          <w:sz w:val="20"/>
          <w:szCs w:val="20"/>
          <w:lang w:val="es-ES_tradnl"/>
        </w:rPr>
      </w:pPr>
      <w:r w:rsidRPr="00795D42">
        <w:rPr>
          <w:rFonts w:ascii="Verdana" w:hAnsi="Verdana"/>
          <w:sz w:val="20"/>
          <w:szCs w:val="20"/>
          <w:lang w:val="es-ES_tradnl"/>
        </w:rPr>
        <w:lastRenderedPageBreak/>
        <w:t xml:space="preserve">En conclusión, y para responder a su pregunta, en virtud de que el SECOP se compone de las plataformas SECOP I y SECOP II, resulta importante señalar que, para cada una de ellas, el procedimiento de publicación podría resultar distinto, habida cuenta que, en el caso de las entidades estatales que aún publiquen su actividad contractual en el SECOP I, esta plataforma funciona como medio de publicidad, sin que exija la publicación inmediata de los documentos precontractuales y contractuales, los cuales se expiden en físico. En ese sentido, la Entidad Estatal podrá publicar tales documentos dentro del término previsto por el artículo citado. </w:t>
      </w:r>
    </w:p>
    <w:p w14:paraId="5C0109B1" w14:textId="77777777" w:rsidR="00795D42" w:rsidRPr="00795D42" w:rsidRDefault="00795D42" w:rsidP="00795D42">
      <w:pPr>
        <w:spacing w:after="0" w:line="240" w:lineRule="auto"/>
        <w:jc w:val="both"/>
        <w:rPr>
          <w:rFonts w:ascii="Verdana" w:hAnsi="Verdana"/>
          <w:sz w:val="20"/>
          <w:szCs w:val="20"/>
          <w:lang w:val="es-ES_tradnl"/>
        </w:rPr>
      </w:pPr>
    </w:p>
    <w:p w14:paraId="4D371B2E" w14:textId="77777777" w:rsidR="00795D42" w:rsidRPr="00795D42" w:rsidRDefault="00795D42" w:rsidP="00795D42">
      <w:pPr>
        <w:spacing w:after="0" w:line="240" w:lineRule="auto"/>
        <w:jc w:val="both"/>
        <w:rPr>
          <w:rFonts w:ascii="Verdana" w:hAnsi="Verdana"/>
          <w:sz w:val="20"/>
          <w:szCs w:val="20"/>
          <w:lang w:val="es-ES_tradnl"/>
        </w:rPr>
      </w:pPr>
      <w:r w:rsidRPr="00795D42">
        <w:rPr>
          <w:rFonts w:ascii="Verdana" w:hAnsi="Verdana"/>
          <w:sz w:val="20"/>
          <w:szCs w:val="20"/>
          <w:lang w:val="es-ES_tradnl"/>
        </w:rPr>
        <w:t>Lo anterior implica que la entidad contratante contará con expedientes físicos para los procesos contractuales, ya que toda la actividad contractual se realiza de forma física, y por tanto, no existe obligación de disponer de canales electrónicos para la contratación a través de SECOP I, a parte de esta misma plataforma; y es una decisión autónoma y discrecional de la entidad disponer de canales digitales sin que ello les exima de dejar constancia de toda el proceso de selección en físico y de todos los Documentos del Proceso, incluidas las ofertas.</w:t>
      </w:r>
    </w:p>
    <w:p w14:paraId="7A14D93A" w14:textId="77777777" w:rsidR="00795D42" w:rsidRDefault="00795D42" w:rsidP="0071273A">
      <w:pPr>
        <w:spacing w:after="0" w:line="240" w:lineRule="auto"/>
        <w:jc w:val="both"/>
        <w:rPr>
          <w:rFonts w:ascii="Verdana" w:hAnsi="Verdana"/>
          <w:b/>
        </w:rPr>
      </w:pPr>
    </w:p>
    <w:p w14:paraId="0890C231" w14:textId="77777777" w:rsidR="00795D42" w:rsidRDefault="00795D42" w:rsidP="0071273A">
      <w:pPr>
        <w:spacing w:after="0" w:line="240" w:lineRule="auto"/>
        <w:jc w:val="both"/>
        <w:rPr>
          <w:rFonts w:ascii="Verdana" w:hAnsi="Verdana"/>
          <w:b/>
        </w:rPr>
      </w:pPr>
    </w:p>
    <w:p w14:paraId="44030E06" w14:textId="77777777" w:rsidR="00795D42" w:rsidRDefault="00795D42" w:rsidP="0071273A">
      <w:pPr>
        <w:spacing w:after="0" w:line="240" w:lineRule="auto"/>
        <w:jc w:val="both"/>
        <w:rPr>
          <w:rFonts w:ascii="Verdana" w:hAnsi="Verdana"/>
          <w:b/>
        </w:rPr>
      </w:pPr>
    </w:p>
    <w:p w14:paraId="11798450" w14:textId="77777777" w:rsidR="00795D42" w:rsidRDefault="00795D42" w:rsidP="0071273A">
      <w:pPr>
        <w:spacing w:after="0" w:line="240" w:lineRule="auto"/>
        <w:jc w:val="both"/>
        <w:rPr>
          <w:rFonts w:ascii="Verdana" w:hAnsi="Verdana"/>
          <w:b/>
        </w:rPr>
      </w:pPr>
    </w:p>
    <w:p w14:paraId="09B6E10E" w14:textId="77777777" w:rsidR="00795D42" w:rsidRDefault="00795D42" w:rsidP="0071273A">
      <w:pPr>
        <w:spacing w:after="0" w:line="240" w:lineRule="auto"/>
        <w:jc w:val="both"/>
        <w:rPr>
          <w:rFonts w:ascii="Verdana" w:hAnsi="Verdana"/>
          <w:b/>
        </w:rPr>
      </w:pPr>
    </w:p>
    <w:p w14:paraId="27DF8F92" w14:textId="77777777" w:rsidR="00795D42" w:rsidRDefault="00795D42" w:rsidP="0071273A">
      <w:pPr>
        <w:spacing w:after="0" w:line="240" w:lineRule="auto"/>
        <w:jc w:val="both"/>
        <w:rPr>
          <w:rFonts w:ascii="Verdana" w:hAnsi="Verdana"/>
          <w:b/>
        </w:rPr>
      </w:pPr>
    </w:p>
    <w:p w14:paraId="25FED667" w14:textId="77777777" w:rsidR="00795D42" w:rsidRDefault="00795D42" w:rsidP="0071273A">
      <w:pPr>
        <w:spacing w:after="0" w:line="240" w:lineRule="auto"/>
        <w:jc w:val="both"/>
        <w:rPr>
          <w:rFonts w:ascii="Verdana" w:hAnsi="Verdana"/>
          <w:b/>
        </w:rPr>
      </w:pPr>
    </w:p>
    <w:p w14:paraId="4584777C" w14:textId="77777777" w:rsidR="00795D42" w:rsidRDefault="00795D42" w:rsidP="0071273A">
      <w:pPr>
        <w:spacing w:after="0" w:line="240" w:lineRule="auto"/>
        <w:jc w:val="both"/>
        <w:rPr>
          <w:rFonts w:ascii="Verdana" w:hAnsi="Verdana"/>
          <w:b/>
        </w:rPr>
      </w:pPr>
    </w:p>
    <w:p w14:paraId="471E19EB" w14:textId="77777777" w:rsidR="00795D42" w:rsidRDefault="00795D42" w:rsidP="0071273A">
      <w:pPr>
        <w:spacing w:after="0" w:line="240" w:lineRule="auto"/>
        <w:jc w:val="both"/>
        <w:rPr>
          <w:rFonts w:ascii="Verdana" w:hAnsi="Verdana"/>
          <w:b/>
        </w:rPr>
      </w:pPr>
    </w:p>
    <w:p w14:paraId="519854C6" w14:textId="77777777" w:rsidR="00795D42" w:rsidRDefault="00795D42" w:rsidP="0071273A">
      <w:pPr>
        <w:spacing w:after="0" w:line="240" w:lineRule="auto"/>
        <w:jc w:val="both"/>
        <w:rPr>
          <w:rFonts w:ascii="Verdana" w:hAnsi="Verdana"/>
          <w:b/>
        </w:rPr>
      </w:pPr>
    </w:p>
    <w:p w14:paraId="7EBBBC6C" w14:textId="77777777" w:rsidR="00795D42" w:rsidRDefault="00795D42" w:rsidP="0071273A">
      <w:pPr>
        <w:spacing w:after="0" w:line="240" w:lineRule="auto"/>
        <w:jc w:val="both"/>
        <w:rPr>
          <w:rFonts w:ascii="Verdana" w:hAnsi="Verdana"/>
          <w:b/>
        </w:rPr>
      </w:pPr>
    </w:p>
    <w:p w14:paraId="26606668" w14:textId="77777777" w:rsidR="00795D42" w:rsidRDefault="00795D42" w:rsidP="0071273A">
      <w:pPr>
        <w:spacing w:after="0" w:line="240" w:lineRule="auto"/>
        <w:jc w:val="both"/>
        <w:rPr>
          <w:rFonts w:ascii="Verdana" w:hAnsi="Verdana"/>
          <w:b/>
        </w:rPr>
      </w:pPr>
    </w:p>
    <w:p w14:paraId="0F877844" w14:textId="77777777" w:rsidR="00795D42" w:rsidRDefault="00795D42" w:rsidP="0071273A">
      <w:pPr>
        <w:spacing w:after="0" w:line="240" w:lineRule="auto"/>
        <w:jc w:val="both"/>
        <w:rPr>
          <w:rFonts w:ascii="Verdana" w:hAnsi="Verdana"/>
          <w:b/>
        </w:rPr>
      </w:pPr>
    </w:p>
    <w:p w14:paraId="1503C474" w14:textId="77777777" w:rsidR="00795D42" w:rsidRDefault="00795D42" w:rsidP="0071273A">
      <w:pPr>
        <w:spacing w:after="0" w:line="240" w:lineRule="auto"/>
        <w:jc w:val="both"/>
        <w:rPr>
          <w:rFonts w:ascii="Verdana" w:hAnsi="Verdana"/>
          <w:b/>
        </w:rPr>
      </w:pPr>
    </w:p>
    <w:p w14:paraId="73E99540" w14:textId="77777777" w:rsidR="00795D42" w:rsidRDefault="00795D42" w:rsidP="0071273A">
      <w:pPr>
        <w:spacing w:after="0" w:line="240" w:lineRule="auto"/>
        <w:jc w:val="both"/>
        <w:rPr>
          <w:rFonts w:ascii="Verdana" w:hAnsi="Verdana"/>
          <w:b/>
        </w:rPr>
      </w:pPr>
    </w:p>
    <w:p w14:paraId="6DB98529" w14:textId="77777777" w:rsidR="00795D42" w:rsidRDefault="00795D42" w:rsidP="0071273A">
      <w:pPr>
        <w:spacing w:after="0" w:line="240" w:lineRule="auto"/>
        <w:jc w:val="both"/>
        <w:rPr>
          <w:rFonts w:ascii="Verdana" w:hAnsi="Verdana"/>
          <w:b/>
        </w:rPr>
      </w:pPr>
    </w:p>
    <w:p w14:paraId="1EF92A74" w14:textId="77777777" w:rsidR="00795D42" w:rsidRDefault="00795D42" w:rsidP="0071273A">
      <w:pPr>
        <w:spacing w:after="0" w:line="240" w:lineRule="auto"/>
        <w:jc w:val="both"/>
        <w:rPr>
          <w:rFonts w:ascii="Verdana" w:hAnsi="Verdana"/>
          <w:b/>
        </w:rPr>
      </w:pPr>
    </w:p>
    <w:p w14:paraId="092A3630" w14:textId="77777777" w:rsidR="00795D42" w:rsidRDefault="00795D42" w:rsidP="0071273A">
      <w:pPr>
        <w:spacing w:after="0" w:line="240" w:lineRule="auto"/>
        <w:jc w:val="both"/>
        <w:rPr>
          <w:rFonts w:ascii="Verdana" w:hAnsi="Verdana"/>
          <w:b/>
        </w:rPr>
      </w:pPr>
    </w:p>
    <w:p w14:paraId="08E597F9" w14:textId="77777777" w:rsidR="00795D42" w:rsidRDefault="00795D42" w:rsidP="0071273A">
      <w:pPr>
        <w:spacing w:after="0" w:line="240" w:lineRule="auto"/>
        <w:jc w:val="both"/>
        <w:rPr>
          <w:rFonts w:ascii="Verdana" w:hAnsi="Verdana"/>
          <w:b/>
        </w:rPr>
      </w:pPr>
    </w:p>
    <w:p w14:paraId="0C8F7F64" w14:textId="77777777" w:rsidR="00795D42" w:rsidRDefault="00795D42" w:rsidP="0071273A">
      <w:pPr>
        <w:spacing w:after="0" w:line="240" w:lineRule="auto"/>
        <w:jc w:val="both"/>
        <w:rPr>
          <w:rFonts w:ascii="Verdana" w:hAnsi="Verdana"/>
          <w:b/>
        </w:rPr>
      </w:pPr>
    </w:p>
    <w:p w14:paraId="1EA7BA40" w14:textId="77777777" w:rsidR="00795D42" w:rsidRDefault="00795D42" w:rsidP="0071273A">
      <w:pPr>
        <w:spacing w:after="0" w:line="240" w:lineRule="auto"/>
        <w:jc w:val="both"/>
        <w:rPr>
          <w:rFonts w:ascii="Verdana" w:hAnsi="Verdana"/>
          <w:b/>
        </w:rPr>
      </w:pPr>
    </w:p>
    <w:p w14:paraId="71B2EA07" w14:textId="77777777" w:rsidR="00795D42" w:rsidRDefault="00795D42" w:rsidP="0071273A">
      <w:pPr>
        <w:spacing w:after="0" w:line="240" w:lineRule="auto"/>
        <w:jc w:val="both"/>
        <w:rPr>
          <w:rFonts w:ascii="Verdana" w:hAnsi="Verdana"/>
          <w:b/>
        </w:rPr>
      </w:pPr>
    </w:p>
    <w:p w14:paraId="741CEB9A" w14:textId="77777777" w:rsidR="00795D42" w:rsidRDefault="00795D42" w:rsidP="0071273A">
      <w:pPr>
        <w:spacing w:after="0" w:line="240" w:lineRule="auto"/>
        <w:jc w:val="both"/>
        <w:rPr>
          <w:rFonts w:ascii="Verdana" w:hAnsi="Verdana"/>
          <w:b/>
        </w:rPr>
      </w:pPr>
    </w:p>
    <w:p w14:paraId="2845ADFD" w14:textId="77777777" w:rsidR="00795D42" w:rsidRDefault="00795D42" w:rsidP="0071273A">
      <w:pPr>
        <w:spacing w:after="0" w:line="240" w:lineRule="auto"/>
        <w:jc w:val="both"/>
        <w:rPr>
          <w:rFonts w:ascii="Verdana" w:hAnsi="Verdana"/>
          <w:b/>
        </w:rPr>
      </w:pPr>
    </w:p>
    <w:p w14:paraId="25B2BDAD" w14:textId="77777777" w:rsidR="00795D42" w:rsidRDefault="00795D42" w:rsidP="0071273A">
      <w:pPr>
        <w:spacing w:after="0" w:line="240" w:lineRule="auto"/>
        <w:jc w:val="both"/>
        <w:rPr>
          <w:rFonts w:ascii="Verdana" w:hAnsi="Verdana"/>
          <w:b/>
        </w:rPr>
      </w:pPr>
    </w:p>
    <w:p w14:paraId="4A52B230" w14:textId="77777777" w:rsidR="00795D42" w:rsidRDefault="00795D42" w:rsidP="0071273A">
      <w:pPr>
        <w:spacing w:after="0" w:line="240" w:lineRule="auto"/>
        <w:jc w:val="both"/>
        <w:rPr>
          <w:rFonts w:ascii="Verdana" w:hAnsi="Verdana"/>
          <w:b/>
        </w:rPr>
      </w:pPr>
    </w:p>
    <w:p w14:paraId="22E304C0" w14:textId="77777777" w:rsidR="00795D42" w:rsidRDefault="00795D42" w:rsidP="0071273A">
      <w:pPr>
        <w:spacing w:after="0" w:line="240" w:lineRule="auto"/>
        <w:jc w:val="both"/>
        <w:rPr>
          <w:rFonts w:ascii="Verdana" w:hAnsi="Verdana"/>
          <w:b/>
        </w:rPr>
      </w:pPr>
    </w:p>
    <w:p w14:paraId="1CDE29C5" w14:textId="77777777" w:rsidR="00795D42" w:rsidRPr="00A72EEA" w:rsidRDefault="00795D42" w:rsidP="0071273A">
      <w:pPr>
        <w:spacing w:after="0" w:line="240" w:lineRule="auto"/>
        <w:jc w:val="both"/>
        <w:rPr>
          <w:rFonts w:ascii="Verdana" w:hAnsi="Verdana"/>
          <w:b/>
        </w:rPr>
      </w:pPr>
    </w:p>
    <w:p w14:paraId="48CE5CB3" w14:textId="61DB51EB" w:rsidR="00A617AC" w:rsidRPr="00A72EEA" w:rsidRDefault="00A617AC" w:rsidP="00A617AC">
      <w:pPr>
        <w:spacing w:after="0"/>
        <w:jc w:val="both"/>
        <w:rPr>
          <w:rFonts w:ascii="Verdana" w:hAnsi="Verdana" w:cs="Arial"/>
          <w:bCs/>
          <w:lang w:eastAsia="es-ES" w:bidi="es-ES"/>
        </w:rPr>
      </w:pPr>
    </w:p>
    <w:p w14:paraId="0EE9B3E9" w14:textId="3724CAAF" w:rsidR="009B0A7A" w:rsidRDefault="002203C8" w:rsidP="006D1F00">
      <w:pPr>
        <w:spacing w:after="0"/>
        <w:rPr>
          <w:rFonts w:ascii="Verdana" w:hAnsi="Verdana" w:cs="Arial"/>
          <w:bCs/>
          <w:lang w:eastAsia="es-ES" w:bidi="es-ES"/>
        </w:rPr>
      </w:pPr>
      <w:r w:rsidRPr="00A72EEA">
        <w:rPr>
          <w:rFonts w:ascii="Verdana" w:hAnsi="Verdana" w:cs="Arial"/>
          <w:bCs/>
          <w:lang w:eastAsia="es-ES" w:bidi="es-ES"/>
        </w:rPr>
        <w:lastRenderedPageBreak/>
        <w:t xml:space="preserve">Bogotá D.C., </w:t>
      </w:r>
      <w:r w:rsidR="00D45422">
        <w:rPr>
          <w:rFonts w:ascii="Verdana" w:hAnsi="Verdana" w:cs="Arial"/>
          <w:bCs/>
          <w:lang w:eastAsia="es-ES" w:bidi="es-ES"/>
        </w:rPr>
        <w:t>18 de febrero de 2026</w:t>
      </w:r>
    </w:p>
    <w:p w14:paraId="6C74EFB3" w14:textId="51AB01AA" w:rsidR="00D45422" w:rsidRDefault="001B51A9" w:rsidP="006D1F00">
      <w:pPr>
        <w:spacing w:after="0"/>
        <w:rPr>
          <w:rFonts w:ascii="Verdana" w:hAnsi="Verdana" w:cs="Arial"/>
          <w:bCs/>
          <w:lang w:eastAsia="es-ES" w:bidi="es-ES"/>
        </w:rPr>
      </w:pPr>
      <w:r w:rsidRPr="00D45422">
        <w:rPr>
          <w:rFonts w:ascii="Verdana" w:hAnsi="Verdana"/>
          <w:noProof/>
        </w:rPr>
        <w:drawing>
          <wp:anchor distT="0" distB="0" distL="114300" distR="114300" simplePos="0" relativeHeight="251658240" behindDoc="1" locked="0" layoutInCell="1" allowOverlap="1" wp14:anchorId="1AF3AAD2" wp14:editId="55A90129">
            <wp:simplePos x="0" y="0"/>
            <wp:positionH relativeFrom="column">
              <wp:posOffset>2696210</wp:posOffset>
            </wp:positionH>
            <wp:positionV relativeFrom="paragraph">
              <wp:posOffset>184785</wp:posOffset>
            </wp:positionV>
            <wp:extent cx="3437890" cy="874395"/>
            <wp:effectExtent l="0" t="0" r="0" b="1905"/>
            <wp:wrapTight wrapText="bothSides">
              <wp:wrapPolygon edited="0">
                <wp:start x="0" y="0"/>
                <wp:lineTo x="0" y="21176"/>
                <wp:lineTo x="21424" y="21176"/>
                <wp:lineTo x="21424" y="0"/>
                <wp:lineTo x="0" y="0"/>
              </wp:wrapPolygon>
            </wp:wrapTight>
            <wp:docPr id="40667933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679334"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437890" cy="874395"/>
                    </a:xfrm>
                    <a:prstGeom prst="rect">
                      <a:avLst/>
                    </a:prstGeom>
                  </pic:spPr>
                </pic:pic>
              </a:graphicData>
            </a:graphic>
            <wp14:sizeRelH relativeFrom="margin">
              <wp14:pctWidth>0</wp14:pctWidth>
            </wp14:sizeRelH>
            <wp14:sizeRelV relativeFrom="margin">
              <wp14:pctHeight>0</wp14:pctHeight>
            </wp14:sizeRelV>
          </wp:anchor>
        </w:drawing>
      </w:r>
    </w:p>
    <w:p w14:paraId="2B7EA115" w14:textId="6F3B514E" w:rsidR="00D45422" w:rsidRPr="00A72EEA" w:rsidRDefault="00D45422" w:rsidP="006D1F00">
      <w:pPr>
        <w:spacing w:after="0"/>
        <w:rPr>
          <w:rFonts w:ascii="Verdana" w:hAnsi="Verdana"/>
        </w:rPr>
      </w:pPr>
    </w:p>
    <w:p w14:paraId="18E54048" w14:textId="6FA1B85A" w:rsidR="006D1F00" w:rsidRPr="00A72EEA" w:rsidRDefault="006D1F00" w:rsidP="006D1F00">
      <w:pPr>
        <w:spacing w:after="0"/>
        <w:rPr>
          <w:rFonts w:ascii="Verdana" w:hAnsi="Verdana"/>
        </w:rPr>
      </w:pPr>
    </w:p>
    <w:p w14:paraId="2DDFB817" w14:textId="77777777" w:rsidR="006D1F00" w:rsidRDefault="006D1F00" w:rsidP="006D1F00">
      <w:pPr>
        <w:spacing w:after="0"/>
        <w:rPr>
          <w:rFonts w:ascii="Verdana" w:hAnsi="Verdana"/>
        </w:rPr>
      </w:pPr>
    </w:p>
    <w:p w14:paraId="7AA60B17" w14:textId="71379510" w:rsidR="006D1F00" w:rsidRPr="00A72EEA" w:rsidRDefault="006D1F00" w:rsidP="006D1F00">
      <w:pPr>
        <w:spacing w:after="0" w:line="240" w:lineRule="auto"/>
        <w:jc w:val="both"/>
        <w:rPr>
          <w:rFonts w:ascii="Verdana" w:hAnsi="Verdana" w:cs="Arial"/>
          <w:bCs/>
          <w:lang w:val="es-ES" w:eastAsia="es-ES" w:bidi="es-ES"/>
        </w:rPr>
      </w:pPr>
    </w:p>
    <w:p w14:paraId="4F046F29" w14:textId="27F24D5F" w:rsidR="006D1F00" w:rsidRPr="00A72EEA" w:rsidRDefault="006D1F00" w:rsidP="006D1F00">
      <w:pPr>
        <w:spacing w:after="0" w:line="240" w:lineRule="auto"/>
        <w:jc w:val="both"/>
        <w:rPr>
          <w:rFonts w:ascii="Verdana" w:hAnsi="Verdana" w:cs="Arial"/>
          <w:bCs/>
          <w:lang w:eastAsia="es-ES" w:bidi="es-ES"/>
        </w:rPr>
      </w:pPr>
      <w:r w:rsidRPr="00A72EEA">
        <w:rPr>
          <w:rFonts w:ascii="Verdana" w:hAnsi="Verdana" w:cs="Arial"/>
          <w:bCs/>
          <w:lang w:eastAsia="es-ES" w:bidi="es-ES"/>
        </w:rPr>
        <w:t>Señor</w:t>
      </w:r>
      <w:r w:rsidR="00C80DB4" w:rsidRPr="00A72EEA">
        <w:rPr>
          <w:rFonts w:ascii="Verdana" w:hAnsi="Verdana" w:cs="Arial"/>
          <w:bCs/>
          <w:lang w:eastAsia="es-ES" w:bidi="es-ES"/>
        </w:rPr>
        <w:t>es</w:t>
      </w:r>
    </w:p>
    <w:p w14:paraId="782950D5" w14:textId="0BF887D4" w:rsidR="006D1F00" w:rsidRPr="00A72EEA" w:rsidRDefault="00C80DB4" w:rsidP="006D1F00">
      <w:pPr>
        <w:spacing w:after="0" w:line="240" w:lineRule="auto"/>
        <w:jc w:val="both"/>
        <w:rPr>
          <w:rFonts w:ascii="Verdana" w:hAnsi="Verdana" w:cs="Arial"/>
          <w:b/>
          <w:bCs/>
          <w:lang w:eastAsia="es-ES" w:bidi="es-ES"/>
        </w:rPr>
      </w:pPr>
      <w:r w:rsidRPr="00A72EEA">
        <w:rPr>
          <w:rFonts w:ascii="Verdana" w:hAnsi="Verdana" w:cs="Arial"/>
          <w:b/>
          <w:bCs/>
          <w:lang w:eastAsia="es-ES" w:bidi="es-ES"/>
        </w:rPr>
        <w:t>Anónimo</w:t>
      </w:r>
    </w:p>
    <w:p w14:paraId="2EAE396F" w14:textId="20C11D17" w:rsidR="007750AE" w:rsidRPr="00A72EEA" w:rsidRDefault="007750AE" w:rsidP="007750AE">
      <w:pPr>
        <w:spacing w:after="0" w:line="240" w:lineRule="auto"/>
        <w:jc w:val="both"/>
        <w:rPr>
          <w:rFonts w:ascii="Verdana" w:hAnsi="Verdana"/>
        </w:rPr>
      </w:pPr>
      <w:hyperlink r:id="rId12" w:history="1">
        <w:r w:rsidRPr="00A72EEA">
          <w:rPr>
            <w:rStyle w:val="Hipervnculo"/>
            <w:rFonts w:ascii="Verdana" w:hAnsi="Verdana"/>
          </w:rPr>
          <w:t>consultoriaboldbridge@gmail.com</w:t>
        </w:r>
      </w:hyperlink>
    </w:p>
    <w:p w14:paraId="2B948EF2" w14:textId="2E2A5B5B" w:rsidR="006D1F00" w:rsidRPr="00A72EEA" w:rsidRDefault="00C80DB4" w:rsidP="007750AE">
      <w:pPr>
        <w:spacing w:after="0" w:line="240" w:lineRule="auto"/>
        <w:jc w:val="both"/>
        <w:rPr>
          <w:rFonts w:ascii="Verdana" w:hAnsi="Verdana" w:cs="Arial"/>
          <w:bCs/>
          <w:lang w:val="es-MX" w:eastAsia="es-ES" w:bidi="es-ES"/>
        </w:rPr>
      </w:pPr>
      <w:r w:rsidRPr="00A72EEA">
        <w:rPr>
          <w:rFonts w:ascii="Verdana" w:hAnsi="Verdana" w:cs="Arial"/>
          <w:bCs/>
          <w:lang w:val="es-MX" w:eastAsia="es-ES" w:bidi="es-ES"/>
        </w:rPr>
        <w:t>Ciudad</w:t>
      </w:r>
    </w:p>
    <w:p w14:paraId="7D3CB194" w14:textId="77777777" w:rsidR="006D1F00" w:rsidRPr="00A72EEA" w:rsidRDefault="006D1F00" w:rsidP="006D1F00">
      <w:pPr>
        <w:spacing w:after="0" w:line="240" w:lineRule="auto"/>
        <w:jc w:val="both"/>
        <w:rPr>
          <w:rFonts w:ascii="Verdana" w:hAnsi="Verdana" w:cs="Arial"/>
          <w:b/>
          <w:bCs/>
          <w:lang w:val="es-ES_tradnl" w:eastAsia="es-ES" w:bidi="es-ES"/>
        </w:rPr>
      </w:pPr>
    </w:p>
    <w:p w14:paraId="1C75688A" w14:textId="5FB9EB53" w:rsidR="006D1F00" w:rsidRPr="00A72EEA" w:rsidRDefault="00A617AC" w:rsidP="00A617AC">
      <w:pPr>
        <w:tabs>
          <w:tab w:val="left" w:pos="7184"/>
        </w:tabs>
        <w:spacing w:after="0" w:line="240" w:lineRule="auto"/>
        <w:jc w:val="both"/>
        <w:rPr>
          <w:rFonts w:ascii="Verdana" w:hAnsi="Verdana" w:cs="Arial"/>
          <w:b/>
          <w:bCs/>
          <w:lang w:val="es-ES_tradnl" w:eastAsia="es-ES" w:bidi="es-ES"/>
        </w:rPr>
      </w:pPr>
      <w:r w:rsidRPr="00A72EEA">
        <w:rPr>
          <w:rFonts w:ascii="Verdana" w:hAnsi="Verdana" w:cs="Arial"/>
          <w:b/>
          <w:bCs/>
          <w:lang w:val="es-ES_tradnl" w:eastAsia="es-ES" w:bidi="es-ES"/>
        </w:rPr>
        <w:tab/>
      </w: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6D1F00" w:rsidRPr="00A72EEA" w14:paraId="6074D698" w14:textId="77777777" w:rsidTr="001D1CFA">
        <w:trPr>
          <w:trHeight w:val="312"/>
        </w:trPr>
        <w:tc>
          <w:tcPr>
            <w:tcW w:w="2689" w:type="dxa"/>
          </w:tcPr>
          <w:p w14:paraId="5F382DA7" w14:textId="77777777" w:rsidR="006D1F00" w:rsidRPr="00A72EEA" w:rsidRDefault="006D1F00" w:rsidP="001D1CFA">
            <w:pPr>
              <w:jc w:val="both"/>
              <w:rPr>
                <w:rFonts w:ascii="Verdana" w:hAnsi="Verdana" w:cs="Arial"/>
                <w:b/>
                <w:bCs/>
                <w:lang w:val="es-ES_tradnl" w:eastAsia="es-ES" w:bidi="es-ES"/>
              </w:rPr>
            </w:pPr>
          </w:p>
        </w:tc>
        <w:tc>
          <w:tcPr>
            <w:tcW w:w="6242" w:type="dxa"/>
          </w:tcPr>
          <w:p w14:paraId="093C505D" w14:textId="67DB22F6" w:rsidR="006D1F00" w:rsidRPr="00A72EEA" w:rsidRDefault="006D1F00" w:rsidP="00A617AC">
            <w:pPr>
              <w:tabs>
                <w:tab w:val="right" w:pos="6242"/>
              </w:tabs>
              <w:jc w:val="both"/>
              <w:rPr>
                <w:rFonts w:ascii="Verdana" w:hAnsi="Verdana" w:cs="Arial"/>
                <w:b/>
                <w:bCs/>
                <w:lang w:val="es-MX" w:eastAsia="es-ES" w:bidi="es-ES"/>
              </w:rPr>
            </w:pPr>
            <w:r w:rsidRPr="00A72EEA">
              <w:rPr>
                <w:rFonts w:ascii="Verdana" w:hAnsi="Verdana" w:cs="Arial"/>
                <w:b/>
                <w:bCs/>
                <w:lang w:val="es-MX" w:eastAsia="es-ES" w:bidi="es-ES"/>
              </w:rPr>
              <w:t>Concepto C- 1</w:t>
            </w:r>
            <w:r w:rsidR="00074D46" w:rsidRPr="00A72EEA">
              <w:rPr>
                <w:rFonts w:ascii="Verdana" w:hAnsi="Verdana" w:cs="Arial"/>
                <w:b/>
                <w:bCs/>
                <w:lang w:val="es-MX" w:eastAsia="es-ES" w:bidi="es-ES"/>
              </w:rPr>
              <w:t>4</w:t>
            </w:r>
            <w:r w:rsidRPr="00A72EEA">
              <w:rPr>
                <w:rFonts w:ascii="Verdana" w:hAnsi="Verdana" w:cs="Arial"/>
                <w:b/>
                <w:bCs/>
                <w:lang w:val="es-MX" w:eastAsia="es-ES" w:bidi="es-ES"/>
              </w:rPr>
              <w:t>5 de 202</w:t>
            </w:r>
            <w:r w:rsidR="00074D46" w:rsidRPr="00A72EEA">
              <w:rPr>
                <w:rFonts w:ascii="Verdana" w:hAnsi="Verdana" w:cs="Arial"/>
                <w:b/>
                <w:bCs/>
                <w:lang w:val="es-MX" w:eastAsia="es-ES" w:bidi="es-ES"/>
              </w:rPr>
              <w:t>6</w:t>
            </w:r>
            <w:r w:rsidR="00A617AC" w:rsidRPr="00A72EEA">
              <w:rPr>
                <w:rFonts w:ascii="Verdana" w:hAnsi="Verdana" w:cs="Arial"/>
                <w:b/>
                <w:bCs/>
                <w:lang w:val="es-MX" w:eastAsia="es-ES" w:bidi="es-ES"/>
              </w:rPr>
              <w:tab/>
            </w:r>
          </w:p>
          <w:p w14:paraId="69E3BA74" w14:textId="77777777" w:rsidR="006D1F00" w:rsidRPr="00A72EEA" w:rsidRDefault="006D1F00" w:rsidP="001D1CFA">
            <w:pPr>
              <w:jc w:val="both"/>
              <w:rPr>
                <w:rFonts w:ascii="Verdana" w:hAnsi="Verdana" w:cs="Arial"/>
                <w:b/>
                <w:bCs/>
                <w:lang w:val="es-MX" w:eastAsia="es-ES" w:bidi="es-ES"/>
              </w:rPr>
            </w:pPr>
          </w:p>
        </w:tc>
      </w:tr>
      <w:tr w:rsidR="006D1F00" w:rsidRPr="00A72EEA" w14:paraId="324FE890" w14:textId="77777777" w:rsidTr="001D1CFA">
        <w:trPr>
          <w:trHeight w:val="884"/>
        </w:trPr>
        <w:tc>
          <w:tcPr>
            <w:tcW w:w="2689" w:type="dxa"/>
          </w:tcPr>
          <w:p w14:paraId="7D5978FB" w14:textId="77777777" w:rsidR="006D1F00" w:rsidRPr="00A72EEA" w:rsidRDefault="006D1F00" w:rsidP="001D1CFA">
            <w:pPr>
              <w:jc w:val="both"/>
              <w:rPr>
                <w:rFonts w:ascii="Verdana" w:hAnsi="Verdana" w:cs="Arial"/>
                <w:b/>
                <w:lang w:val="es-MX" w:eastAsia="es-ES" w:bidi="es-ES"/>
              </w:rPr>
            </w:pPr>
            <w:r w:rsidRPr="00A72EEA">
              <w:rPr>
                <w:rFonts w:ascii="Verdana" w:hAnsi="Verdana" w:cs="Arial"/>
                <w:b/>
                <w:lang w:val="es-MX" w:eastAsia="es-ES" w:bidi="es-ES"/>
              </w:rPr>
              <w:t xml:space="preserve">Temas:                   </w:t>
            </w:r>
          </w:p>
        </w:tc>
        <w:tc>
          <w:tcPr>
            <w:tcW w:w="6242" w:type="dxa"/>
          </w:tcPr>
          <w:p w14:paraId="6C83275F" w14:textId="5383AEDD" w:rsidR="006D1F00" w:rsidRPr="00A72EEA" w:rsidRDefault="006D1F00" w:rsidP="001D1CFA">
            <w:pPr>
              <w:jc w:val="both"/>
              <w:rPr>
                <w:rFonts w:ascii="Verdana" w:hAnsi="Verdana" w:cs="Arial"/>
                <w:bCs/>
                <w:lang w:val="es-MX" w:eastAsia="es-ES" w:bidi="es-ES"/>
              </w:rPr>
            </w:pPr>
            <w:r w:rsidRPr="00795D42">
              <w:rPr>
                <w:rStyle w:val="TextoindependienteCar"/>
                <w:rFonts w:ascii="Verdana" w:hAnsi="Verdana"/>
              </w:rPr>
              <w:t>PRINCIPIO DE PUBLICIDAD – Concepto – Fundamento axiológico – Fundamento constitucional</w:t>
            </w:r>
            <w:r w:rsidRPr="00795D42">
              <w:rPr>
                <w:rFonts w:ascii="Verdana" w:hAnsi="Verdana" w:cs="Arial"/>
                <w:bCs/>
                <w:lang w:val="es-ES_tradnl" w:eastAsia="es-ES" w:bidi="es-ES"/>
              </w:rPr>
              <w:t xml:space="preserve"> / PRINCIPIO DE PUBLICIDAD – SECOP – Documentos del proceso – Deber de publicación /</w:t>
            </w:r>
            <w:r w:rsidR="00795D42" w:rsidRPr="00795D42">
              <w:t xml:space="preserve"> </w:t>
            </w:r>
            <w:r w:rsidR="00795D42" w:rsidRPr="00795D42">
              <w:rPr>
                <w:rFonts w:ascii="Verdana" w:hAnsi="Verdana" w:cs="Arial"/>
                <w:bCs/>
                <w:lang w:val="es-ES_tradnl" w:eastAsia="es-ES" w:bidi="es-ES"/>
              </w:rPr>
              <w:t>SECOP I – Publicidad – Recepción de ofertas</w:t>
            </w:r>
          </w:p>
          <w:p w14:paraId="1DB13521" w14:textId="77777777" w:rsidR="006D1F00" w:rsidRPr="00A72EEA" w:rsidRDefault="006D1F00" w:rsidP="001D1CFA">
            <w:pPr>
              <w:jc w:val="both"/>
              <w:rPr>
                <w:rFonts w:ascii="Verdana" w:hAnsi="Verdana" w:cs="Arial"/>
                <w:bCs/>
                <w:lang w:val="es-MX" w:eastAsia="es-ES" w:bidi="es-ES"/>
              </w:rPr>
            </w:pPr>
          </w:p>
        </w:tc>
      </w:tr>
      <w:tr w:rsidR="006D1F00" w:rsidRPr="00A72EEA" w14:paraId="4540E52F" w14:textId="77777777" w:rsidTr="001D1CFA">
        <w:tc>
          <w:tcPr>
            <w:tcW w:w="2689" w:type="dxa"/>
          </w:tcPr>
          <w:p w14:paraId="3E99B148" w14:textId="77777777" w:rsidR="006D1F00" w:rsidRPr="00A72EEA" w:rsidRDefault="006D1F00" w:rsidP="001D1CFA">
            <w:pPr>
              <w:jc w:val="both"/>
              <w:rPr>
                <w:rFonts w:ascii="Verdana" w:hAnsi="Verdana" w:cs="Arial"/>
                <w:b/>
                <w:lang w:val="es-MX" w:eastAsia="es-ES" w:bidi="es-ES"/>
              </w:rPr>
            </w:pPr>
            <w:r w:rsidRPr="00A72EEA">
              <w:rPr>
                <w:rFonts w:ascii="Verdana" w:hAnsi="Verdana" w:cs="Arial"/>
                <w:b/>
                <w:lang w:val="es-MX" w:eastAsia="es-ES" w:bidi="es-ES"/>
              </w:rPr>
              <w:t xml:space="preserve">Radicación:               </w:t>
            </w:r>
          </w:p>
        </w:tc>
        <w:tc>
          <w:tcPr>
            <w:tcW w:w="6242" w:type="dxa"/>
          </w:tcPr>
          <w:p w14:paraId="2932F03F" w14:textId="45367C20" w:rsidR="006D1F00" w:rsidRPr="00A72EEA" w:rsidRDefault="006D1F00" w:rsidP="001D1CFA">
            <w:pPr>
              <w:jc w:val="both"/>
              <w:rPr>
                <w:rFonts w:ascii="Verdana" w:hAnsi="Verdana" w:cs="Arial"/>
                <w:bCs/>
                <w:lang w:eastAsia="es-ES" w:bidi="es-ES"/>
              </w:rPr>
            </w:pPr>
            <w:r w:rsidRPr="00A72EEA">
              <w:rPr>
                <w:rFonts w:ascii="Verdana" w:hAnsi="Verdana" w:cs="Arial"/>
                <w:bCs/>
                <w:lang w:val="es-MX" w:eastAsia="es-ES" w:bidi="es-ES"/>
              </w:rPr>
              <w:t xml:space="preserve">Respuesta a consulta con radicado No. </w:t>
            </w:r>
            <w:r w:rsidR="00074D46" w:rsidRPr="00A72EEA">
              <w:rPr>
                <w:rFonts w:ascii="Verdana" w:hAnsi="Verdana" w:cs="Arial"/>
                <w:bCs/>
                <w:lang w:eastAsia="es-ES" w:bidi="es-ES"/>
              </w:rPr>
              <w:t>1_2026_01_29_001034</w:t>
            </w:r>
          </w:p>
          <w:p w14:paraId="2237799B" w14:textId="77777777" w:rsidR="006D1F00" w:rsidRPr="00A72EEA" w:rsidRDefault="006D1F00" w:rsidP="001D1CFA">
            <w:pPr>
              <w:jc w:val="both"/>
              <w:rPr>
                <w:rFonts w:ascii="Verdana" w:hAnsi="Verdana" w:cs="Arial"/>
                <w:bCs/>
                <w:lang w:val="es-MX" w:eastAsia="es-ES" w:bidi="es-ES"/>
              </w:rPr>
            </w:pPr>
          </w:p>
        </w:tc>
      </w:tr>
    </w:tbl>
    <w:p w14:paraId="65A5068D" w14:textId="77777777" w:rsidR="006D1F00" w:rsidRPr="00A72EEA" w:rsidRDefault="006D1F00" w:rsidP="006D1F00">
      <w:pPr>
        <w:spacing w:after="0" w:line="240" w:lineRule="auto"/>
        <w:jc w:val="both"/>
        <w:rPr>
          <w:rFonts w:ascii="Verdana" w:hAnsi="Verdana" w:cs="Arial"/>
          <w:bCs/>
          <w:lang w:val="es-ES_tradnl" w:eastAsia="es-ES" w:bidi="es-ES"/>
        </w:rPr>
      </w:pPr>
    </w:p>
    <w:p w14:paraId="06F93E32" w14:textId="4B29B71A" w:rsidR="006D1F00" w:rsidRPr="00A72EEA" w:rsidRDefault="006D1F00" w:rsidP="006D1F00">
      <w:pPr>
        <w:spacing w:after="0" w:line="240" w:lineRule="auto"/>
        <w:jc w:val="both"/>
        <w:rPr>
          <w:rFonts w:ascii="Verdana" w:hAnsi="Verdana" w:cs="Arial"/>
          <w:bCs/>
          <w:lang w:val="es-MX" w:eastAsia="es-ES" w:bidi="es-ES"/>
        </w:rPr>
      </w:pPr>
      <w:r w:rsidRPr="00A72EEA">
        <w:rPr>
          <w:rFonts w:ascii="Verdana" w:hAnsi="Verdana" w:cs="Arial"/>
          <w:bCs/>
          <w:lang w:val="es-MX" w:eastAsia="es-ES" w:bidi="es-ES"/>
        </w:rPr>
        <w:t>Estimado</w:t>
      </w:r>
      <w:r w:rsidR="00FB68DC" w:rsidRPr="00A72EEA">
        <w:rPr>
          <w:rFonts w:ascii="Verdana" w:hAnsi="Verdana" w:cs="Arial"/>
          <w:bCs/>
          <w:lang w:val="es-MX" w:eastAsia="es-ES" w:bidi="es-ES"/>
        </w:rPr>
        <w:t>s señores</w:t>
      </w:r>
      <w:r w:rsidRPr="00A72EEA">
        <w:rPr>
          <w:rFonts w:ascii="Verdana" w:hAnsi="Verdana" w:cs="Arial"/>
          <w:bCs/>
          <w:lang w:val="es-MX" w:eastAsia="es-ES" w:bidi="es-ES"/>
        </w:rPr>
        <w:t>:</w:t>
      </w:r>
    </w:p>
    <w:p w14:paraId="22D3B804" w14:textId="77777777" w:rsidR="006D1F00" w:rsidRPr="00A72EEA" w:rsidRDefault="006D1F00" w:rsidP="006D1F00">
      <w:pPr>
        <w:spacing w:after="0" w:line="240" w:lineRule="auto"/>
        <w:jc w:val="both"/>
        <w:rPr>
          <w:rFonts w:ascii="Verdana" w:hAnsi="Verdana" w:cs="Arial"/>
          <w:bCs/>
          <w:lang w:val="es-ES" w:eastAsia="es-ES" w:bidi="es-ES"/>
        </w:rPr>
      </w:pPr>
      <w:r w:rsidRPr="00A72EEA">
        <w:rPr>
          <w:rFonts w:ascii="Verdana" w:hAnsi="Verdana" w:cs="Arial"/>
          <w:bCs/>
          <w:lang w:val="es-ES" w:eastAsia="es-ES" w:bidi="es-ES"/>
        </w:rPr>
        <w:tab/>
      </w:r>
    </w:p>
    <w:p w14:paraId="2F473F9B" w14:textId="682A6412" w:rsidR="006D1F00" w:rsidRPr="00A72EEA" w:rsidRDefault="006D1F00" w:rsidP="006D1F00">
      <w:pPr>
        <w:spacing w:after="0" w:line="276" w:lineRule="auto"/>
        <w:jc w:val="both"/>
        <w:rPr>
          <w:rFonts w:ascii="Verdana" w:hAnsi="Verdana" w:cs="Arial"/>
          <w:bCs/>
          <w:lang w:val="es-ES" w:eastAsia="es-ES" w:bidi="es-ES"/>
        </w:rPr>
      </w:pPr>
      <w:r w:rsidRPr="00A72EEA">
        <w:rPr>
          <w:rFonts w:ascii="Verdana" w:hAnsi="Verdana" w:cs="Arial"/>
          <w:bCs/>
          <w:lang w:val="es-ES" w:eastAsia="es-ES" w:bidi="es-ES"/>
        </w:rPr>
        <w:t xml:space="preserve">En ejercicio de la competencia otorgada por los artículos 3, numeral 5º, y 11, numeral 8º, del Decreto Ley 4170 de 2011, </w:t>
      </w:r>
      <w:r w:rsidRPr="00A72EEA">
        <w:rPr>
          <w:rFonts w:ascii="Verdana" w:hAnsi="Verdana" w:cs="Arial"/>
          <w:bCs/>
          <w:lang w:eastAsia="es-ES" w:bidi="es-ES"/>
        </w:rPr>
        <w:t xml:space="preserve">así como lo establecido en el artículo 4 de la Resolución 1707 de 2018 expedida por esta Entidad, </w:t>
      </w:r>
      <w:r w:rsidRPr="00A72EEA">
        <w:rPr>
          <w:rFonts w:ascii="Verdana" w:hAnsi="Verdana" w:cs="Arial"/>
          <w:bCs/>
          <w:lang w:val="es-ES" w:eastAsia="es-ES" w:bidi="es-ES"/>
        </w:rPr>
        <w:t xml:space="preserve">la Agencia Nacional de Contratación Pública – Colombia Compra Eficiente– responde su solicitud de consulta de fecha del </w:t>
      </w:r>
      <w:r w:rsidR="006F6A52" w:rsidRPr="00A72EEA">
        <w:rPr>
          <w:rFonts w:ascii="Verdana" w:hAnsi="Verdana" w:cs="Arial"/>
          <w:bCs/>
          <w:lang w:val="es-ES" w:eastAsia="es-ES" w:bidi="es-ES"/>
        </w:rPr>
        <w:t>29</w:t>
      </w:r>
      <w:r w:rsidRPr="00A72EEA">
        <w:rPr>
          <w:rFonts w:ascii="Verdana" w:hAnsi="Verdana" w:cs="Arial"/>
          <w:bCs/>
          <w:lang w:val="es-ES" w:eastAsia="es-ES" w:bidi="es-ES"/>
        </w:rPr>
        <w:t xml:space="preserve"> de </w:t>
      </w:r>
      <w:r w:rsidR="006F6A52" w:rsidRPr="00A72EEA">
        <w:rPr>
          <w:rFonts w:ascii="Verdana" w:hAnsi="Verdana" w:cs="Arial"/>
          <w:bCs/>
          <w:lang w:val="es-ES" w:eastAsia="es-ES" w:bidi="es-ES"/>
        </w:rPr>
        <w:t>enero</w:t>
      </w:r>
      <w:r w:rsidRPr="00A72EEA">
        <w:rPr>
          <w:rFonts w:ascii="Verdana" w:hAnsi="Verdana" w:cs="Arial"/>
          <w:bCs/>
          <w:lang w:val="es-ES" w:eastAsia="es-ES" w:bidi="es-ES"/>
        </w:rPr>
        <w:t xml:space="preserve"> de 202</w:t>
      </w:r>
      <w:r w:rsidR="006F6A52" w:rsidRPr="00A72EEA">
        <w:rPr>
          <w:rFonts w:ascii="Verdana" w:hAnsi="Verdana" w:cs="Arial"/>
          <w:bCs/>
          <w:lang w:val="es-ES" w:eastAsia="es-ES" w:bidi="es-ES"/>
        </w:rPr>
        <w:t>6</w:t>
      </w:r>
      <w:r w:rsidRPr="00A72EEA">
        <w:rPr>
          <w:rFonts w:ascii="Verdana" w:hAnsi="Verdana" w:cs="Arial"/>
          <w:bCs/>
          <w:lang w:val="es-ES" w:eastAsia="es-ES" w:bidi="es-ES"/>
        </w:rPr>
        <w:t xml:space="preserve">, en la cual manifiesta lo siguiente: </w:t>
      </w:r>
    </w:p>
    <w:p w14:paraId="5B5FE217" w14:textId="77777777" w:rsidR="006D1F00" w:rsidRPr="00A72EEA" w:rsidRDefault="006D1F00" w:rsidP="006D1F00">
      <w:pPr>
        <w:spacing w:after="0" w:line="240" w:lineRule="auto"/>
        <w:jc w:val="both"/>
        <w:rPr>
          <w:rFonts w:ascii="Verdana" w:hAnsi="Verdana" w:cs="Arial"/>
          <w:b/>
          <w:bCs/>
          <w:lang w:val="es-ES" w:eastAsia="es-ES" w:bidi="es-ES"/>
        </w:rPr>
      </w:pPr>
    </w:p>
    <w:p w14:paraId="6F3DC9A2" w14:textId="77777777" w:rsidR="006F6A52" w:rsidRPr="00A72EEA" w:rsidRDefault="006D1F00" w:rsidP="006F6A52">
      <w:pPr>
        <w:spacing w:after="0" w:line="240" w:lineRule="auto"/>
        <w:ind w:left="709" w:right="709"/>
        <w:jc w:val="both"/>
        <w:rPr>
          <w:rFonts w:ascii="Verdana" w:hAnsi="Verdana" w:cs="Arial"/>
          <w:bCs/>
          <w:sz w:val="20"/>
          <w:lang w:eastAsia="es-ES" w:bidi="es-ES"/>
        </w:rPr>
      </w:pPr>
      <w:r w:rsidRPr="00A72EEA">
        <w:rPr>
          <w:rFonts w:ascii="Verdana" w:hAnsi="Verdana" w:cs="Arial"/>
          <w:bCs/>
          <w:sz w:val="20"/>
          <w:lang w:val="es-ES" w:eastAsia="es-ES" w:bidi="es-ES"/>
        </w:rPr>
        <w:t>“[…]</w:t>
      </w:r>
      <w:r w:rsidRPr="00A72EEA">
        <w:rPr>
          <w:rFonts w:ascii="Verdana" w:hAnsi="Verdana" w:cs="Arial"/>
          <w:bCs/>
          <w:sz w:val="20"/>
          <w:lang w:eastAsia="es-ES" w:bidi="es-ES"/>
        </w:rPr>
        <w:t xml:space="preserve"> </w:t>
      </w:r>
      <w:r w:rsidR="006F6A52" w:rsidRPr="00A72EEA">
        <w:rPr>
          <w:rFonts w:ascii="Verdana" w:hAnsi="Verdana" w:cs="Arial"/>
          <w:bCs/>
          <w:sz w:val="20"/>
          <w:lang w:eastAsia="es-ES" w:bidi="es-ES"/>
        </w:rPr>
        <w:t>1. ¿Es obligatorio para una Entidad Estatal que utiliza SECOP I aceptar ofertas enviadas por correo electrónico, en virtud del principio de equivalencia funcional de los mensajes de datos?</w:t>
      </w:r>
    </w:p>
    <w:p w14:paraId="306D4456" w14:textId="77777777" w:rsidR="006F6A52" w:rsidRPr="00A72EEA" w:rsidRDefault="006F6A52" w:rsidP="006F6A52">
      <w:pPr>
        <w:spacing w:after="0" w:line="240" w:lineRule="auto"/>
        <w:ind w:left="709" w:right="709"/>
        <w:jc w:val="both"/>
        <w:rPr>
          <w:rFonts w:ascii="Verdana" w:hAnsi="Verdana" w:cs="Arial"/>
          <w:bCs/>
          <w:sz w:val="20"/>
          <w:lang w:eastAsia="es-ES" w:bidi="es-ES"/>
        </w:rPr>
      </w:pPr>
    </w:p>
    <w:p w14:paraId="6AE37413" w14:textId="77777777" w:rsidR="006F6A52" w:rsidRPr="00A72EEA" w:rsidRDefault="006F6A52" w:rsidP="006F6A52">
      <w:pPr>
        <w:spacing w:after="0" w:line="240" w:lineRule="auto"/>
        <w:ind w:left="709" w:right="709"/>
        <w:jc w:val="both"/>
        <w:rPr>
          <w:rFonts w:ascii="Verdana" w:hAnsi="Verdana" w:cs="Arial"/>
          <w:bCs/>
          <w:sz w:val="20"/>
          <w:lang w:eastAsia="es-ES" w:bidi="es-ES"/>
        </w:rPr>
      </w:pPr>
      <w:r w:rsidRPr="00A72EEA">
        <w:rPr>
          <w:rFonts w:ascii="Verdana" w:hAnsi="Verdana" w:cs="Arial"/>
          <w:bCs/>
          <w:sz w:val="20"/>
          <w:lang w:eastAsia="es-ES" w:bidi="es-ES"/>
        </w:rPr>
        <w:t>2. ¿La exigencia exclusiva de entrega física de propuestas en procesos de SECOP I vulnera los principios de transparencia, economía y selección objetiva?</w:t>
      </w:r>
    </w:p>
    <w:p w14:paraId="32E8FF21" w14:textId="77777777" w:rsidR="006F6A52" w:rsidRPr="00A72EEA" w:rsidRDefault="006F6A52" w:rsidP="006F6A52">
      <w:pPr>
        <w:spacing w:after="0" w:line="240" w:lineRule="auto"/>
        <w:ind w:left="709" w:right="709"/>
        <w:jc w:val="both"/>
        <w:rPr>
          <w:rFonts w:ascii="Verdana" w:hAnsi="Verdana" w:cs="Arial"/>
          <w:bCs/>
          <w:sz w:val="20"/>
          <w:lang w:eastAsia="es-ES" w:bidi="es-ES"/>
        </w:rPr>
      </w:pPr>
    </w:p>
    <w:p w14:paraId="2F906324" w14:textId="77777777" w:rsidR="006F6A52" w:rsidRPr="00A72EEA" w:rsidRDefault="006F6A52" w:rsidP="006F6A52">
      <w:pPr>
        <w:spacing w:after="0" w:line="240" w:lineRule="auto"/>
        <w:ind w:left="709" w:right="709"/>
        <w:jc w:val="both"/>
        <w:rPr>
          <w:rFonts w:ascii="Verdana" w:hAnsi="Verdana" w:cs="Arial"/>
          <w:bCs/>
          <w:sz w:val="20"/>
          <w:lang w:eastAsia="es-ES" w:bidi="es-ES"/>
        </w:rPr>
      </w:pPr>
      <w:r w:rsidRPr="00A72EEA">
        <w:rPr>
          <w:rFonts w:ascii="Verdana" w:hAnsi="Verdana" w:cs="Arial"/>
          <w:bCs/>
          <w:sz w:val="20"/>
          <w:lang w:eastAsia="es-ES" w:bidi="es-ES"/>
        </w:rPr>
        <w:t>3. ¿Cómo se debe garantizar el principio de inviolabilidad de las ofertas y la "apertura simultánea" cuando estas son recibidas por correo electrónico institucional?</w:t>
      </w:r>
    </w:p>
    <w:p w14:paraId="513820DD" w14:textId="77777777" w:rsidR="006F6A52" w:rsidRPr="00A72EEA" w:rsidRDefault="006F6A52" w:rsidP="006F6A52">
      <w:pPr>
        <w:spacing w:after="0" w:line="240" w:lineRule="auto"/>
        <w:ind w:left="709" w:right="709"/>
        <w:jc w:val="both"/>
        <w:rPr>
          <w:rFonts w:ascii="Verdana" w:hAnsi="Verdana" w:cs="Arial"/>
          <w:bCs/>
          <w:sz w:val="20"/>
          <w:lang w:eastAsia="es-ES" w:bidi="es-ES"/>
        </w:rPr>
      </w:pPr>
    </w:p>
    <w:p w14:paraId="087182D2" w14:textId="6B868C81" w:rsidR="006D1F00" w:rsidRPr="00A72EEA" w:rsidRDefault="006F6A52" w:rsidP="006F6A52">
      <w:pPr>
        <w:spacing w:after="0" w:line="240" w:lineRule="auto"/>
        <w:ind w:left="709" w:right="709"/>
        <w:jc w:val="both"/>
        <w:rPr>
          <w:rFonts w:ascii="Verdana" w:hAnsi="Verdana" w:cs="Arial"/>
          <w:bCs/>
          <w:sz w:val="20"/>
          <w:lang w:eastAsia="es-ES" w:bidi="es-ES"/>
        </w:rPr>
      </w:pPr>
      <w:r w:rsidRPr="00A72EEA">
        <w:rPr>
          <w:rFonts w:ascii="Verdana" w:hAnsi="Verdana" w:cs="Arial"/>
          <w:bCs/>
          <w:sz w:val="20"/>
          <w:lang w:eastAsia="es-ES" w:bidi="es-ES"/>
        </w:rPr>
        <w:lastRenderedPageBreak/>
        <w:t>4. ¿Constituye una falta al principio de Transparencia y Economía que una Entidad Estatal rechace de plano una oferta económica enviada por correo electrónico institucional dentro del cronograma establecido, bajo el único argumento de que el Pliego de Condiciones exigía entrega física en papel, ignorando la vigencia de la Ley 527 de 1999 y el Decreto 2106 de 2019?</w:t>
      </w:r>
      <w:r w:rsidR="006D1F00" w:rsidRPr="00A72EEA">
        <w:rPr>
          <w:rFonts w:ascii="Verdana" w:hAnsi="Verdana" w:cs="Arial"/>
          <w:bCs/>
          <w:sz w:val="20"/>
          <w:lang w:eastAsia="es-ES" w:bidi="es-ES"/>
        </w:rPr>
        <w:t>”</w:t>
      </w:r>
      <w:r w:rsidR="0014509D">
        <w:rPr>
          <w:rFonts w:ascii="Verdana" w:hAnsi="Verdana" w:cs="Arial"/>
          <w:bCs/>
          <w:sz w:val="20"/>
          <w:lang w:eastAsia="es-ES" w:bidi="es-ES"/>
        </w:rPr>
        <w:t>.</w:t>
      </w:r>
      <w:r w:rsidR="006D1F00" w:rsidRPr="00A72EEA">
        <w:rPr>
          <w:rFonts w:ascii="Verdana" w:hAnsi="Verdana" w:cs="Arial"/>
          <w:bCs/>
          <w:sz w:val="20"/>
          <w:lang w:val="es-ES" w:eastAsia="es-ES" w:bidi="es-ES"/>
        </w:rPr>
        <w:t xml:space="preserve"> </w:t>
      </w:r>
    </w:p>
    <w:p w14:paraId="05B46C70" w14:textId="77777777" w:rsidR="006D1F00" w:rsidRPr="00A72EEA" w:rsidRDefault="006D1F00" w:rsidP="006D1F00">
      <w:pPr>
        <w:spacing w:after="0" w:line="240" w:lineRule="auto"/>
        <w:jc w:val="both"/>
        <w:rPr>
          <w:rFonts w:ascii="Verdana" w:hAnsi="Verdana" w:cs="Arial"/>
          <w:b/>
          <w:bCs/>
          <w:lang w:val="es-ES" w:eastAsia="es-ES" w:bidi="es-ES"/>
        </w:rPr>
      </w:pPr>
    </w:p>
    <w:p w14:paraId="75B0B65D" w14:textId="77777777" w:rsidR="006D1F00" w:rsidRPr="00A72EEA" w:rsidRDefault="006D1F00" w:rsidP="006D1F00">
      <w:pPr>
        <w:spacing w:after="120" w:line="276" w:lineRule="auto"/>
        <w:ind w:firstLine="709"/>
        <w:jc w:val="both"/>
        <w:rPr>
          <w:rFonts w:ascii="Verdana" w:eastAsia="Calibri" w:hAnsi="Verdana" w:cs="Times New Roman"/>
          <w:lang w:val="es-ES"/>
        </w:rPr>
      </w:pPr>
      <w:r w:rsidRPr="00A72EEA">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750F809" w14:textId="77777777" w:rsidR="006D1F00" w:rsidRPr="00A72EEA" w:rsidRDefault="006D1F00" w:rsidP="006D1F00">
      <w:pPr>
        <w:spacing w:after="0" w:line="276" w:lineRule="auto"/>
        <w:ind w:firstLine="708"/>
        <w:jc w:val="both"/>
        <w:rPr>
          <w:rFonts w:ascii="Verdana" w:eastAsia="Calibri" w:hAnsi="Verdana" w:cs="Times New Roman"/>
          <w:lang w:val="es-ES"/>
        </w:rPr>
      </w:pPr>
      <w:r w:rsidRPr="00A72EEA">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8483AA1" w14:textId="77777777" w:rsidR="006D1F00" w:rsidRPr="00A72EEA" w:rsidRDefault="006D1F00" w:rsidP="006D1F00">
      <w:pPr>
        <w:spacing w:after="0" w:line="256" w:lineRule="auto"/>
        <w:rPr>
          <w:rFonts w:ascii="Verdana" w:eastAsia="Calibri" w:hAnsi="Verdana" w:cs="Times New Roman"/>
          <w:lang w:val="es-ES"/>
        </w:rPr>
      </w:pPr>
    </w:p>
    <w:p w14:paraId="25FDDF4C" w14:textId="77777777" w:rsidR="006D1F00" w:rsidRPr="00A72EEA" w:rsidRDefault="006D1F00" w:rsidP="006D1F00">
      <w:pPr>
        <w:numPr>
          <w:ilvl w:val="0"/>
          <w:numId w:val="19"/>
        </w:numPr>
        <w:spacing w:after="0" w:line="256" w:lineRule="auto"/>
        <w:contextualSpacing/>
        <w:rPr>
          <w:rFonts w:ascii="Verdana" w:eastAsia="Calibri" w:hAnsi="Verdana" w:cs="Times New Roman"/>
          <w:b/>
          <w:bCs/>
          <w:lang w:val="es-ES"/>
        </w:rPr>
      </w:pPr>
      <w:r w:rsidRPr="00A72EEA">
        <w:rPr>
          <w:rFonts w:ascii="Verdana" w:eastAsia="Calibri" w:hAnsi="Verdana" w:cs="Times New Roman"/>
          <w:b/>
          <w:bCs/>
          <w:lang w:val="es-ES"/>
        </w:rPr>
        <w:t>Problema planteado:</w:t>
      </w:r>
    </w:p>
    <w:p w14:paraId="176C31EA" w14:textId="77777777" w:rsidR="006D1F00" w:rsidRPr="00A72EEA" w:rsidRDefault="006D1F00" w:rsidP="006D1F00">
      <w:pPr>
        <w:spacing w:after="0" w:line="256" w:lineRule="auto"/>
        <w:rPr>
          <w:rFonts w:ascii="Verdana" w:eastAsia="Calibri" w:hAnsi="Verdana" w:cs="Times New Roman"/>
        </w:rPr>
      </w:pPr>
    </w:p>
    <w:p w14:paraId="2CC3A68A" w14:textId="370999AB" w:rsidR="006D1F00" w:rsidRPr="00A72EEA" w:rsidRDefault="006D1F00" w:rsidP="006D1F00">
      <w:pPr>
        <w:spacing w:after="0" w:line="276" w:lineRule="auto"/>
        <w:jc w:val="both"/>
        <w:rPr>
          <w:rFonts w:ascii="Verdana" w:eastAsia="Calibri" w:hAnsi="Verdana" w:cs="Times New Roman"/>
        </w:rPr>
      </w:pPr>
      <w:r w:rsidRPr="00A72EEA">
        <w:rPr>
          <w:rFonts w:ascii="Verdana" w:eastAsia="Calibri" w:hAnsi="Verdana" w:cs="Times New Roman"/>
        </w:rPr>
        <w:t>De acuerdo con el contenido de su solicitud, esta Agencia procede a resolver el siguiente problema jurídico: ¿</w:t>
      </w:r>
      <w:r w:rsidR="0084456E" w:rsidRPr="00A72EEA">
        <w:rPr>
          <w:rFonts w:ascii="Verdana" w:eastAsia="Calibri" w:hAnsi="Verdana" w:cs="Times New Roman"/>
        </w:rPr>
        <w:t>Cómo deben recibir</w:t>
      </w:r>
      <w:r w:rsidR="00E672C6" w:rsidRPr="00A72EEA">
        <w:rPr>
          <w:rFonts w:ascii="Verdana" w:eastAsia="Calibri" w:hAnsi="Verdana" w:cs="Times New Roman"/>
        </w:rPr>
        <w:t>se</w:t>
      </w:r>
      <w:r w:rsidR="0084456E" w:rsidRPr="00A72EEA">
        <w:rPr>
          <w:rFonts w:ascii="Verdana" w:eastAsia="Calibri" w:hAnsi="Verdana" w:cs="Times New Roman"/>
        </w:rPr>
        <w:t xml:space="preserve"> las ofertas en un proceso de contratación publicado en</w:t>
      </w:r>
      <w:r w:rsidR="00E658D4" w:rsidRPr="00A72EEA">
        <w:rPr>
          <w:rFonts w:ascii="Verdana" w:eastAsia="Calibri" w:hAnsi="Verdana" w:cs="Times New Roman"/>
        </w:rPr>
        <w:t xml:space="preserve"> SECOP I?</w:t>
      </w:r>
    </w:p>
    <w:p w14:paraId="68D8CF60" w14:textId="77777777" w:rsidR="006D1F00" w:rsidRPr="00A72EEA" w:rsidRDefault="006D1F00" w:rsidP="006D1F00">
      <w:pPr>
        <w:spacing w:after="0" w:line="256" w:lineRule="auto"/>
        <w:rPr>
          <w:rFonts w:ascii="Verdana" w:eastAsia="Calibri" w:hAnsi="Verdana" w:cs="Times New Roman"/>
        </w:rPr>
      </w:pPr>
    </w:p>
    <w:p w14:paraId="60988E82" w14:textId="77777777" w:rsidR="006D1F00" w:rsidRPr="00A72EEA" w:rsidRDefault="006D1F00" w:rsidP="006D1F00">
      <w:pPr>
        <w:numPr>
          <w:ilvl w:val="0"/>
          <w:numId w:val="19"/>
        </w:numPr>
        <w:spacing w:after="0" w:line="256" w:lineRule="auto"/>
        <w:contextualSpacing/>
        <w:rPr>
          <w:rFonts w:ascii="Verdana" w:eastAsia="Calibri" w:hAnsi="Verdana" w:cs="Times New Roman"/>
          <w:b/>
          <w:bCs/>
          <w:lang w:val="es-ES"/>
        </w:rPr>
      </w:pPr>
      <w:r w:rsidRPr="00A72EEA">
        <w:rPr>
          <w:rFonts w:ascii="Verdana" w:eastAsia="Calibri" w:hAnsi="Verdana" w:cs="Times New Roman"/>
          <w:b/>
          <w:bCs/>
          <w:lang w:val="es-ES"/>
        </w:rPr>
        <w:t>Respuesta:</w:t>
      </w:r>
    </w:p>
    <w:p w14:paraId="579FFC00" w14:textId="77777777" w:rsidR="006D1F00" w:rsidRPr="00A72EEA" w:rsidRDefault="006D1F00" w:rsidP="006D1F00">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1F00" w:rsidRPr="00A72EEA" w14:paraId="5735C750" w14:textId="77777777" w:rsidTr="001D1CFA">
        <w:trPr>
          <w:trHeight w:val="870"/>
          <w:jc w:val="center"/>
        </w:trPr>
        <w:tc>
          <w:tcPr>
            <w:tcW w:w="8647" w:type="dxa"/>
          </w:tcPr>
          <w:p w14:paraId="2F935F9F" w14:textId="77777777" w:rsidR="006D1F00" w:rsidRPr="00A72EEA" w:rsidRDefault="006D1F00" w:rsidP="001D1CFA">
            <w:pPr>
              <w:spacing w:before="120" w:after="120" w:line="276" w:lineRule="auto"/>
              <w:jc w:val="both"/>
              <w:rPr>
                <w:rFonts w:ascii="Verdana" w:eastAsia="Calibri" w:hAnsi="Verdana" w:cs="Arial"/>
                <w:lang w:val="es-ES_tradnl" w:eastAsia="es-ES_tradnl"/>
              </w:rPr>
            </w:pPr>
            <w:r w:rsidRPr="00A72EEA">
              <w:rPr>
                <w:rFonts w:ascii="Verdana" w:eastAsia="Calibri" w:hAnsi="Verdana" w:cs="Arial"/>
                <w:lang w:val="es-ES" w:eastAsia="es-ES_tradnl"/>
              </w:rPr>
              <w:t>Respecto al problema jurídico planteado en su consulta,</w:t>
            </w:r>
            <w:r w:rsidRPr="00A72EEA">
              <w:rPr>
                <w:rFonts w:ascii="Verdana" w:eastAsia="Calibri" w:hAnsi="Verdana" w:cs="Arial"/>
                <w:lang w:val="es-ES_tradnl" w:eastAsia="es-ES_tradnl"/>
              </w:rPr>
              <w:t xml:space="preserve"> es importante señalar que en materia de contratación estatal existe el deber de garantizar el principio de publicidad. En consecuencia, el ordenamiento jurídico – en la Ley 1150 de 2007, la Ley 1508 de 2012 y la Ley 1712 de 2014 – establece el deber de publicar toda la información que se produzca con ocasión del </w:t>
            </w:r>
            <w:r w:rsidRPr="00A72EEA">
              <w:rPr>
                <w:rFonts w:ascii="Verdana" w:eastAsia="Calibri" w:hAnsi="Verdana" w:cs="Arial"/>
                <w:lang w:val="es-ES_tradnl" w:eastAsia="es-ES_tradnl"/>
              </w:rPr>
              <w:lastRenderedPageBreak/>
              <w:t xml:space="preserve">proceso de contratación en el </w:t>
            </w:r>
            <w:r w:rsidRPr="00A72EEA">
              <w:rPr>
                <w:rFonts w:ascii="Verdana" w:eastAsia="Calibri" w:hAnsi="Verdana" w:cs="Arial"/>
                <w:lang w:eastAsia="es-ES_tradnl"/>
              </w:rPr>
              <w:t xml:space="preserve">Sistema Electrónico para la Contratación Pública – en adelante </w:t>
            </w:r>
            <w:r w:rsidRPr="00A72EEA">
              <w:rPr>
                <w:rFonts w:ascii="Verdana" w:eastAsia="Calibri" w:hAnsi="Verdana" w:cs="Arial"/>
                <w:lang w:val="es-ES_tradnl" w:eastAsia="es-ES_tradnl"/>
              </w:rPr>
              <w:t>SECOP.</w:t>
            </w:r>
          </w:p>
          <w:p w14:paraId="43C82583" w14:textId="7AEE5767" w:rsidR="006D1F00" w:rsidRPr="00A72EEA" w:rsidRDefault="006D1F00" w:rsidP="001D1CFA">
            <w:pPr>
              <w:spacing w:after="120" w:line="276" w:lineRule="auto"/>
              <w:ind w:firstLine="709"/>
              <w:jc w:val="both"/>
              <w:rPr>
                <w:rFonts w:ascii="Verdana" w:eastAsia="Calibri" w:hAnsi="Verdana" w:cs="Arial"/>
                <w:lang w:eastAsia="es-ES_tradnl"/>
              </w:rPr>
            </w:pPr>
            <w:r w:rsidRPr="00A72EEA">
              <w:rPr>
                <w:rFonts w:ascii="Verdana" w:eastAsia="Calibri" w:hAnsi="Verdana" w:cs="Arial"/>
                <w:lang w:val="es-ES_tradnl" w:eastAsia="es-ES_tradnl"/>
              </w:rPr>
              <w:t>L</w:t>
            </w:r>
            <w:r w:rsidRPr="00A72EEA">
              <w:rPr>
                <w:rFonts w:ascii="Verdana" w:eastAsia="Calibri" w:hAnsi="Verdana" w:cs="Arial"/>
                <w:lang w:eastAsia="es-ES_tradnl"/>
              </w:rPr>
              <w:t xml:space="preserve">a Agencia Nacional de Contratación Pública –Colombia Compra Eficiente, como ente rector del Sistema de </w:t>
            </w:r>
            <w:r w:rsidR="00617ACB" w:rsidRPr="00A72EEA">
              <w:rPr>
                <w:rFonts w:ascii="Verdana" w:eastAsia="Calibri" w:hAnsi="Verdana" w:cs="Arial"/>
                <w:lang w:eastAsia="es-ES_tradnl"/>
              </w:rPr>
              <w:t>Compra y</w:t>
            </w:r>
            <w:r w:rsidRPr="00A72EEA">
              <w:rPr>
                <w:rFonts w:ascii="Verdana" w:eastAsia="Calibri" w:hAnsi="Verdana" w:cs="Arial"/>
                <w:lang w:eastAsia="es-ES_tradnl"/>
              </w:rPr>
              <w:t xml:space="preserve"> Contratación Pública y, en virtud de las funciones conferidas por los numerales 2, 5 y 8 del artículo 3 del Decreto Ley 4170 de 2011, es el competente para administrar el SECOP, desarrollar e impulsar políticas públicas, programas, herramientas y normas orientadas a la organización y articulación de los partícipes en los procesos de compras y contratación pública, así como para promover las mejores prácticas en la gestión contractual del Estado, a fin de lograr una mayor eficiencia, transparencia y optimización de los recursos públicos. En virtud de dichas facultades, ha expedido diferentes Circulares sobre el uso y obligatoriedad de publicar en SECOP la actividad contractual que se realice con recursos públicos. Entre dichas circulares se encuentra la Circular Externa 003 de 2024, la cual dispone reglas sobre la obligatoriedad de SECOP II para la vigencia 2024 y primer semestre de 2025 para </w:t>
            </w:r>
            <w:r w:rsidRPr="00A72EEA">
              <w:rPr>
                <w:rFonts w:ascii="Verdana" w:hAnsi="Verdana" w:cs="Arial"/>
                <w:shd w:val="clear" w:color="auto" w:fill="FFFFFF"/>
              </w:rPr>
              <w:t>todas las entidades estatales, incluidas aquellas con regímenes contractuales especiales. Dicha circular establece, entre otras cosas, lo siguiente</w:t>
            </w:r>
            <w:r w:rsidRPr="00A72EEA">
              <w:rPr>
                <w:rFonts w:ascii="Verdana" w:eastAsia="Calibri" w:hAnsi="Verdana" w:cs="Arial"/>
                <w:lang w:eastAsia="es-ES_tradnl"/>
              </w:rPr>
              <w:t xml:space="preserve">: “Están exceptuados de la medida las asociaciones público–privadas-APP- de que trata la Ley 1508 de 2012 y demás normas complementarias, los contratos donde existan más de dos partes, los concursos de arquitectura y la enajenación de bienes a título gratuito, los cuales deberán publicarse a través del SECOP I”. </w:t>
            </w:r>
          </w:p>
          <w:p w14:paraId="7053E8C1" w14:textId="77777777" w:rsidR="006D1F00" w:rsidRPr="00A72EEA" w:rsidRDefault="006D1F00" w:rsidP="001D1CFA">
            <w:pPr>
              <w:spacing w:after="120" w:line="276" w:lineRule="auto"/>
              <w:ind w:firstLine="709"/>
              <w:jc w:val="both"/>
              <w:rPr>
                <w:rFonts w:ascii="Verdana" w:eastAsia="Calibri" w:hAnsi="Verdana" w:cs="Arial"/>
                <w:lang w:eastAsia="es-ES_tradnl"/>
              </w:rPr>
            </w:pPr>
            <w:r w:rsidRPr="00A72EEA">
              <w:rPr>
                <w:rFonts w:ascii="Verdana" w:eastAsia="Calibri" w:hAnsi="Verdana" w:cs="Arial"/>
                <w:lang w:eastAsia="es-ES_tradnl"/>
              </w:rPr>
              <w:t xml:space="preserve">En relación con las excepciones para la publicación en el SECOP II, debe señalarse que estas se fundamentan en razones técnicas, debido a que en la plataforma del SECOP II no se encuentran desarrollados los módulos necesarios para llevar a cabo la en términos transaccionales el trámite de los procesos de contratación enunciados de manera adecuada. Por lo tanto, es imprescindible recurrir al SECOP I para garantizar el cumplimiento de los principios de publicidad y transparencia. </w:t>
            </w:r>
          </w:p>
          <w:p w14:paraId="5E152FF8" w14:textId="2CA658C8" w:rsidR="006D1F00" w:rsidRPr="00A72EEA" w:rsidRDefault="006D1F00" w:rsidP="001D1CFA">
            <w:pPr>
              <w:spacing w:after="120" w:line="276" w:lineRule="auto"/>
              <w:ind w:firstLine="709"/>
              <w:jc w:val="both"/>
              <w:rPr>
                <w:rFonts w:ascii="Verdana" w:eastAsia="Calibri" w:hAnsi="Verdana" w:cs="Arial"/>
                <w:lang w:eastAsia="es-ES_tradnl"/>
              </w:rPr>
            </w:pPr>
            <w:r w:rsidRPr="00A72EEA">
              <w:rPr>
                <w:rFonts w:ascii="Verdana" w:eastAsia="Calibri" w:hAnsi="Verdana" w:cs="Arial"/>
                <w:lang w:eastAsia="es-ES_tradnl"/>
              </w:rPr>
              <w:t xml:space="preserve">Resulta importante indicar que el sistema de compra y contratación pública – SECOP es un entorno tecnológico compuesto por varias plataformas a saber: SECOP I, SECOP II, TVEC y Mi Mercado Popular. A través de este entorno, se garantiza cumplimiento de los mandatos legales y reglamentarios asociados a la observancia de los principios de transparencia y publicidad, establecidos en el </w:t>
            </w:r>
            <w:r w:rsidRPr="00A72EEA">
              <w:rPr>
                <w:rFonts w:ascii="Verdana" w:eastAsia="Calibri" w:hAnsi="Verdana" w:cs="Arial"/>
              </w:rPr>
              <w:t>artículo 3 de la Ley 1150 de 2007 y la Ley 1712 de 2014.</w:t>
            </w:r>
          </w:p>
          <w:p w14:paraId="219461F2" w14:textId="5ABD90C4" w:rsidR="005559D1" w:rsidRDefault="006D1F00" w:rsidP="005559D1">
            <w:pPr>
              <w:spacing w:after="120" w:line="276" w:lineRule="auto"/>
              <w:ind w:firstLine="595"/>
              <w:jc w:val="both"/>
              <w:rPr>
                <w:rFonts w:ascii="Verdana" w:hAnsi="Verdana"/>
                <w:lang w:eastAsia="es-ES_tradnl"/>
              </w:rPr>
            </w:pPr>
            <w:r w:rsidRPr="00A72EEA">
              <w:rPr>
                <w:rFonts w:ascii="Verdana" w:eastAsia="Calibri" w:hAnsi="Verdana" w:cs="Arial"/>
                <w:lang w:eastAsia="es-ES_tradnl"/>
              </w:rPr>
              <w:lastRenderedPageBreak/>
              <w:t xml:space="preserve">En conclusión, </w:t>
            </w:r>
            <w:r w:rsidR="00E469B3">
              <w:rPr>
                <w:rFonts w:ascii="Verdana" w:hAnsi="Verdana"/>
                <w:lang w:eastAsia="es-ES_tradnl"/>
              </w:rPr>
              <w:t>y para responder a su pregunta</w:t>
            </w:r>
            <w:r w:rsidR="00A75E0A" w:rsidRPr="00584C69">
              <w:rPr>
                <w:rFonts w:ascii="Verdana" w:hAnsi="Verdana"/>
                <w:lang w:eastAsia="es-ES_tradnl"/>
              </w:rPr>
              <w:t>, en virtud de que el SECOP se compone de las plataformas SECOP I y SECOP II, resulta importante señalar que, para cada una de ellas, el procedimiento de publicación podría resultar distinto, habida cuenta que, en el caso de las entidades estatales que aún publiquen su actividad contractual en el SECOP I, esta plataforma funciona como medio de publicidad, sin que exija la publicación inmediata de los documentos precontractuales y contractuales</w:t>
            </w:r>
            <w:r w:rsidR="00B7676C">
              <w:rPr>
                <w:rFonts w:ascii="Verdana" w:hAnsi="Verdana"/>
                <w:lang w:eastAsia="es-ES_tradnl"/>
              </w:rPr>
              <w:t>, los cuales se expiden en físico</w:t>
            </w:r>
            <w:r w:rsidR="00A75E0A" w:rsidRPr="00584C69">
              <w:rPr>
                <w:rFonts w:ascii="Verdana" w:hAnsi="Verdana"/>
                <w:lang w:eastAsia="es-ES_tradnl"/>
              </w:rPr>
              <w:t xml:space="preserve">. En ese sentido, </w:t>
            </w:r>
            <w:r w:rsidR="00894DD0">
              <w:rPr>
                <w:rFonts w:ascii="Verdana" w:hAnsi="Verdana"/>
                <w:lang w:eastAsia="es-ES_tradnl"/>
              </w:rPr>
              <w:t>l</w:t>
            </w:r>
            <w:r w:rsidR="00A75E0A" w:rsidRPr="00584C69">
              <w:rPr>
                <w:rFonts w:ascii="Verdana" w:hAnsi="Verdana"/>
                <w:lang w:eastAsia="es-ES_tradnl"/>
              </w:rPr>
              <w:t xml:space="preserve">a Entidad Estatal podrá publicar tales documentos dentro del término previsto por el artículo citado. </w:t>
            </w:r>
          </w:p>
          <w:p w14:paraId="0D7AFAA7" w14:textId="67F7FE7D" w:rsidR="005559D1" w:rsidRDefault="005559D1" w:rsidP="005559D1">
            <w:pPr>
              <w:spacing w:after="120" w:line="276" w:lineRule="auto"/>
              <w:ind w:firstLine="595"/>
              <w:jc w:val="both"/>
              <w:rPr>
                <w:rFonts w:ascii="Verdana" w:hAnsi="Verdana"/>
                <w:lang w:eastAsia="es-ES_tradnl"/>
              </w:rPr>
            </w:pPr>
            <w:r>
              <w:rPr>
                <w:rFonts w:ascii="Verdana" w:hAnsi="Verdana"/>
                <w:lang w:eastAsia="es-ES_tradnl"/>
              </w:rPr>
              <w:t xml:space="preserve">Lo anterior implica que </w:t>
            </w:r>
            <w:r w:rsidR="00F95C26">
              <w:rPr>
                <w:rFonts w:ascii="Verdana" w:hAnsi="Verdana"/>
                <w:lang w:eastAsia="es-ES_tradnl"/>
              </w:rPr>
              <w:t>la entidad contratante contará con expedientes físicos para los procesos contractuales, ya que toda la actividad contractual se realiza de forma física</w:t>
            </w:r>
            <w:r w:rsidR="00714B96">
              <w:rPr>
                <w:rFonts w:ascii="Verdana" w:hAnsi="Verdana"/>
                <w:lang w:eastAsia="es-ES_tradnl"/>
              </w:rPr>
              <w:t xml:space="preserve">, y por tanto, no existe obligación de disponer de </w:t>
            </w:r>
            <w:r w:rsidR="00AE6528">
              <w:rPr>
                <w:rFonts w:ascii="Verdana" w:hAnsi="Verdana"/>
                <w:lang w:eastAsia="es-ES_tradnl"/>
              </w:rPr>
              <w:t>canales</w:t>
            </w:r>
            <w:r w:rsidR="00714B96">
              <w:rPr>
                <w:rFonts w:ascii="Verdana" w:hAnsi="Verdana"/>
                <w:lang w:eastAsia="es-ES_tradnl"/>
              </w:rPr>
              <w:t xml:space="preserve"> electrónicos para la contratación a través de SECOP I,</w:t>
            </w:r>
            <w:r w:rsidR="00AE6528">
              <w:rPr>
                <w:rFonts w:ascii="Verdana" w:hAnsi="Verdana"/>
                <w:lang w:eastAsia="es-ES_tradnl"/>
              </w:rPr>
              <w:t xml:space="preserve"> a parte de esta misma plataforma;</w:t>
            </w:r>
            <w:r w:rsidR="00714B96">
              <w:rPr>
                <w:rFonts w:ascii="Verdana" w:hAnsi="Verdana"/>
                <w:lang w:eastAsia="es-ES_tradnl"/>
              </w:rPr>
              <w:t xml:space="preserve"> y es una decisión autónoma y discrecional de la entidad disponer de canales digitales sin que ello les exima de dejar constancia de toda el proceso de selección en físico y de todos los Documentos del Proceso, incluidas las ofertas.</w:t>
            </w:r>
          </w:p>
          <w:p w14:paraId="7D984FAE" w14:textId="6CDE273E" w:rsidR="006D1F00" w:rsidRPr="00A75E0A" w:rsidRDefault="00A75E0A" w:rsidP="005559D1">
            <w:pPr>
              <w:spacing w:after="120" w:line="276" w:lineRule="auto"/>
              <w:ind w:firstLine="595"/>
              <w:jc w:val="both"/>
              <w:rPr>
                <w:rFonts w:ascii="Verdana" w:hAnsi="Verdana"/>
                <w:lang w:eastAsia="es-ES_tradnl"/>
              </w:rPr>
            </w:pPr>
            <w:r w:rsidRPr="00584C69">
              <w:rPr>
                <w:rFonts w:ascii="Verdana" w:hAnsi="Verdana"/>
                <w:lang w:val="es-ES" w:eastAsia="es-ES_tradnl"/>
              </w:rPr>
              <w:t>En todo caso, a</w:t>
            </w:r>
            <w:r w:rsidRPr="00584C69">
              <w:rPr>
                <w:rFonts w:ascii="Verdana" w:hAnsi="Verdana"/>
                <w:lang w:eastAsia="es-ES_tradnl"/>
              </w:rPr>
              <w:t>l margen de la explicación precedente debe advertirse que el análisis requerido para resolver problemas específicos en torno a normas diferentes a la contratación estatal debe ser realizado por quienes tengan interés en ello, de acuerdo con lo explicado en el presente concepto.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52C20B4" w14:textId="77777777" w:rsidR="006D1F00" w:rsidRPr="00A72EEA" w:rsidRDefault="006D1F00" w:rsidP="006D1F00">
      <w:pPr>
        <w:spacing w:after="0" w:line="276" w:lineRule="auto"/>
        <w:jc w:val="both"/>
        <w:rPr>
          <w:rFonts w:ascii="Verdana" w:eastAsia="Calibri" w:hAnsi="Verdana" w:cs="Arial"/>
          <w:bCs/>
          <w:color w:val="000000" w:themeColor="text1"/>
        </w:rPr>
      </w:pPr>
    </w:p>
    <w:p w14:paraId="48EF6EA9" w14:textId="77777777" w:rsidR="006D1F00" w:rsidRPr="00A72EEA" w:rsidRDefault="006D1F00" w:rsidP="006D1F00">
      <w:pPr>
        <w:numPr>
          <w:ilvl w:val="0"/>
          <w:numId w:val="19"/>
        </w:numPr>
        <w:spacing w:after="0" w:line="276" w:lineRule="auto"/>
        <w:ind w:left="0" w:firstLine="0"/>
        <w:rPr>
          <w:rFonts w:ascii="Verdana" w:eastAsia="Calibri" w:hAnsi="Verdana" w:cs="Times New Roman"/>
          <w:b/>
          <w:bCs/>
          <w:lang w:val="es-ES"/>
        </w:rPr>
      </w:pPr>
      <w:r w:rsidRPr="00A72EEA">
        <w:rPr>
          <w:rFonts w:ascii="Verdana" w:eastAsia="Calibri" w:hAnsi="Verdana" w:cs="Times New Roman"/>
          <w:b/>
          <w:bCs/>
          <w:lang w:val="es-ES"/>
        </w:rPr>
        <w:t>Razones de la respuesta:</w:t>
      </w:r>
    </w:p>
    <w:p w14:paraId="247517FF" w14:textId="77777777" w:rsidR="006D1F00" w:rsidRPr="00A72EEA" w:rsidRDefault="006D1F00" w:rsidP="006D1F00">
      <w:pPr>
        <w:spacing w:after="0" w:line="276" w:lineRule="auto"/>
        <w:rPr>
          <w:rFonts w:ascii="Verdana" w:eastAsia="Calibri" w:hAnsi="Verdana" w:cs="Times New Roman"/>
          <w:b/>
          <w:bCs/>
          <w:lang w:val="es-ES"/>
        </w:rPr>
      </w:pPr>
    </w:p>
    <w:p w14:paraId="3B2659DE" w14:textId="77777777" w:rsidR="006D1F00" w:rsidRPr="00A72EEA" w:rsidRDefault="006D1F00" w:rsidP="006D1F00">
      <w:pPr>
        <w:spacing w:after="0" w:line="276" w:lineRule="auto"/>
        <w:jc w:val="both"/>
        <w:rPr>
          <w:rFonts w:ascii="Verdana" w:eastAsia="Calibri" w:hAnsi="Verdana" w:cs="Arial"/>
          <w:lang w:val="es-ES"/>
        </w:rPr>
      </w:pPr>
      <w:r w:rsidRPr="00A72EEA">
        <w:rPr>
          <w:rFonts w:ascii="Verdana" w:eastAsia="Calibri" w:hAnsi="Verdana" w:cs="Arial"/>
          <w:lang w:val="es-ES"/>
        </w:rPr>
        <w:t xml:space="preserve">Lo anterior se sustenta en las siguientes consideraciones: </w:t>
      </w:r>
    </w:p>
    <w:p w14:paraId="49527762" w14:textId="77777777" w:rsidR="006D1F00" w:rsidRPr="00A72EEA" w:rsidRDefault="006D1F00" w:rsidP="006D1F00">
      <w:pPr>
        <w:spacing w:after="0" w:line="276" w:lineRule="auto"/>
        <w:jc w:val="both"/>
        <w:rPr>
          <w:rFonts w:ascii="Verdana" w:hAnsi="Verdana" w:cs="Arial"/>
          <w:bCs/>
          <w:lang w:val="es-ES" w:eastAsia="es-ES" w:bidi="es-ES"/>
        </w:rPr>
      </w:pPr>
    </w:p>
    <w:p w14:paraId="7BBACD5B" w14:textId="77777777" w:rsidR="006D1F00" w:rsidRPr="00A72EEA" w:rsidRDefault="006D1F00" w:rsidP="006D1F00">
      <w:pPr>
        <w:spacing w:before="120" w:after="120" w:line="276" w:lineRule="auto"/>
        <w:jc w:val="both"/>
        <w:rPr>
          <w:rFonts w:ascii="Verdana" w:eastAsia="Times New Roman" w:hAnsi="Verdana" w:cs="Arial"/>
          <w:lang w:val="es-ES" w:eastAsia="es-ES"/>
          <w14:ligatures w14:val="standardContextual"/>
        </w:rPr>
      </w:pPr>
      <w:r w:rsidRPr="00A72EEA">
        <w:rPr>
          <w:rFonts w:ascii="Verdana" w:eastAsia="Times New Roman" w:hAnsi="Verdana" w:cs="Arial"/>
          <w:lang w:val="es-ES" w:eastAsia="es-ES"/>
          <w14:ligatures w14:val="standardContextual"/>
        </w:rPr>
        <w:t xml:space="preserve">i. Uno de los postulados más importantes de un Estado social y democrático de derecho es el principio de </w:t>
      </w:r>
      <w:r w:rsidRPr="00A72EEA">
        <w:rPr>
          <w:rFonts w:ascii="Verdana" w:eastAsia="Times New Roman" w:hAnsi="Verdana" w:cs="Arial"/>
          <w:i/>
          <w:iCs/>
          <w:lang w:val="es-ES" w:eastAsia="es-ES"/>
          <w14:ligatures w14:val="standardContextual"/>
        </w:rPr>
        <w:t>publicidad</w:t>
      </w:r>
      <w:r w:rsidRPr="00A72EEA">
        <w:rPr>
          <w:rFonts w:ascii="Verdana" w:eastAsia="Times New Roman" w:hAnsi="Verdana" w:cs="Arial"/>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w:t>
      </w:r>
      <w:r w:rsidRPr="00A72EEA">
        <w:rPr>
          <w:rFonts w:ascii="Verdana" w:eastAsia="Times New Roman" w:hAnsi="Verdana" w:cs="Arial"/>
          <w:lang w:val="es-ES" w:eastAsia="es-ES"/>
          <w14:ligatures w14:val="standardContextual"/>
        </w:rPr>
        <w:lastRenderedPageBreak/>
        <w:t>es decir, el gobierno cuyos actos se realizan ante el público y bajo la supervisión de la opinión pública”</w:t>
      </w:r>
      <w:r w:rsidRPr="00A72EEA">
        <w:rPr>
          <w:rFonts w:ascii="Verdana" w:eastAsia="Times New Roman" w:hAnsi="Verdana" w:cs="Arial"/>
          <w:vertAlign w:val="superscript"/>
          <w:lang w:val="es-ES" w:eastAsia="es-ES"/>
          <w14:ligatures w14:val="standardContextual"/>
        </w:rPr>
        <w:footnoteReference w:id="2"/>
      </w:r>
      <w:r w:rsidRPr="00A72EEA">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48650555" w14:textId="77777777" w:rsidR="006D1F00" w:rsidRPr="00A72EEA" w:rsidRDefault="006D1F00" w:rsidP="006D1F00">
      <w:pPr>
        <w:spacing w:before="120" w:after="120" w:line="276" w:lineRule="auto"/>
        <w:ind w:firstLine="708"/>
        <w:jc w:val="both"/>
        <w:rPr>
          <w:rFonts w:ascii="Verdana" w:eastAsia="Times New Roman" w:hAnsi="Verdana" w:cs="Arial"/>
          <w:lang w:val="es-ES" w:eastAsia="es-ES"/>
          <w14:ligatures w14:val="standardContextual"/>
        </w:rPr>
      </w:pPr>
      <w:r w:rsidRPr="00A72EEA">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668A6FA9" w14:textId="77777777" w:rsidR="006D1F00" w:rsidRPr="00A72EEA" w:rsidRDefault="006D1F00" w:rsidP="006D1F0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A72EEA">
        <w:rPr>
          <w:rFonts w:ascii="Verdana" w:eastAsia="Times New Roman" w:hAnsi="Verdana" w:cs="Arial"/>
          <w:vertAlign w:val="superscript"/>
          <w:lang w:val="es-ES_tradnl" w:eastAsia="es-ES_tradnl"/>
          <w14:ligatures w14:val="standardContextual"/>
        </w:rPr>
        <w:footnoteReference w:id="3"/>
      </w:r>
      <w:r w:rsidRPr="00A72EEA">
        <w:rPr>
          <w:rFonts w:ascii="Verdana" w:eastAsia="Times New Roman" w:hAnsi="Verdana" w:cs="Arial"/>
          <w:lang w:val="es-ES_tradnl" w:eastAsia="es-ES_tradnl"/>
          <w14:ligatures w14:val="standardContextual"/>
        </w:rPr>
        <w:t>.</w:t>
      </w:r>
    </w:p>
    <w:p w14:paraId="67EA81CE" w14:textId="77777777" w:rsidR="006D1F00" w:rsidRPr="00A72EEA" w:rsidRDefault="006D1F00" w:rsidP="006D1F0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 xml:space="preserve">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w:t>
      </w:r>
      <w:r w:rsidRPr="00A72EEA">
        <w:rPr>
          <w:rFonts w:ascii="Verdana" w:eastAsia="Times New Roman" w:hAnsi="Verdana" w:cs="Arial"/>
          <w:lang w:val="es-ES_tradnl" w:eastAsia="es-ES_tradnl"/>
          <w14:ligatures w14:val="standardContextual"/>
        </w:rPr>
        <w:lastRenderedPageBreak/>
        <w:t>buena fe. El principio de máxima publicidad establece que “toda información en posesión, bajo control o custodia de un sujeto obligado es pública y no podrá ser reservada o limitada sino por disposición constitucional o legal”</w:t>
      </w:r>
      <w:r w:rsidRPr="00A72EEA">
        <w:rPr>
          <w:rFonts w:ascii="Verdana" w:eastAsia="Times New Roman" w:hAnsi="Verdana" w:cs="Arial"/>
          <w:vertAlign w:val="superscript"/>
          <w:lang w:val="es-ES_tradnl" w:eastAsia="es-ES_tradnl"/>
          <w14:ligatures w14:val="standardContextual"/>
        </w:rPr>
        <w:footnoteReference w:id="4"/>
      </w:r>
      <w:r w:rsidRPr="00A72EEA">
        <w:rPr>
          <w:rFonts w:ascii="Verdana" w:eastAsia="Times New Roman" w:hAnsi="Verdana" w:cs="Arial"/>
          <w:lang w:val="es-ES_tradnl" w:eastAsia="es-ES_tradnl"/>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2A82ACC1" w14:textId="77777777" w:rsidR="006D1F00" w:rsidRPr="00A72EEA" w:rsidRDefault="006D1F00" w:rsidP="006D1F0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A72EEA">
        <w:rPr>
          <w:rFonts w:ascii="Verdana" w:eastAsia="Times New Roman" w:hAnsi="Verdana" w:cs="Arial"/>
          <w:vertAlign w:val="superscript"/>
          <w:lang w:val="es-ES_tradnl" w:eastAsia="es-ES_tradnl"/>
          <w14:ligatures w14:val="standardContextual"/>
        </w:rPr>
        <w:footnoteReference w:id="5"/>
      </w:r>
      <w:r w:rsidRPr="00A72EEA">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A72EEA">
        <w:rPr>
          <w:rFonts w:ascii="Verdana" w:eastAsia="Times New Roman" w:hAnsi="Verdana" w:cs="Arial"/>
          <w:vertAlign w:val="superscript"/>
          <w:lang w:val="es-ES_tradnl" w:eastAsia="es-ES_tradnl"/>
          <w14:ligatures w14:val="standardContextual"/>
        </w:rPr>
        <w:footnoteReference w:id="6"/>
      </w:r>
      <w:r w:rsidRPr="00A72EEA">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722A37AF" w14:textId="77777777" w:rsidR="006D1F00" w:rsidRPr="00A72EEA" w:rsidRDefault="006D1F00" w:rsidP="006D1F0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58A73107" w14:textId="77777777" w:rsidR="006D1F00" w:rsidRPr="00A72EEA" w:rsidRDefault="006D1F00" w:rsidP="006D1F0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A72EEA">
        <w:rPr>
          <w:rFonts w:ascii="Verdana" w:eastAsia="Times New Roman" w:hAnsi="Verdana" w:cs="Arial"/>
          <w:vertAlign w:val="superscript"/>
          <w:lang w:val="es-ES_tradnl" w:eastAsia="es-ES_tradnl"/>
          <w14:ligatures w14:val="standardContextual"/>
        </w:rPr>
        <w:footnoteReference w:id="7"/>
      </w:r>
      <w:r w:rsidRPr="00A72EEA">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w:t>
      </w:r>
      <w:r w:rsidRPr="00A72EEA">
        <w:rPr>
          <w:rFonts w:ascii="Verdana" w:eastAsia="Times New Roman" w:hAnsi="Verdana" w:cs="Arial"/>
          <w:lang w:val="es-ES_tradnl" w:eastAsia="es-ES_tradnl"/>
          <w14:ligatures w14:val="standardContextual"/>
        </w:rPr>
        <w:lastRenderedPageBreak/>
        <w:t>publicar en el SECOP “[…] los Documentos del Proceso y los actos administrativos del Proceso de Contratación, dentro de los tres (3) días siguientes a su expedición […]”.</w:t>
      </w:r>
    </w:p>
    <w:p w14:paraId="2110CE82" w14:textId="77777777" w:rsidR="006D1F00" w:rsidRPr="00A72EEA" w:rsidRDefault="006D1F00" w:rsidP="006D1F00">
      <w:pPr>
        <w:tabs>
          <w:tab w:val="left" w:pos="709"/>
        </w:tabs>
        <w:spacing w:before="120" w:after="0" w:line="276" w:lineRule="auto"/>
        <w:ind w:firstLine="709"/>
        <w:jc w:val="both"/>
        <w:rPr>
          <w:rFonts w:ascii="Verdana" w:hAnsi="Verdana" w:cs="Arial"/>
          <w:shd w:val="clear" w:color="auto" w:fill="FFFFFF"/>
        </w:rPr>
      </w:pPr>
      <w:r w:rsidRPr="00A72EEA">
        <w:rPr>
          <w:rFonts w:ascii="Verdana" w:hAnsi="Verdana" w:cs="Arial"/>
          <w:shd w:val="clear" w:color="auto" w:fill="FFFFFF"/>
        </w:rPr>
        <w:t xml:space="preserve">La expresión </w:t>
      </w:r>
      <w:r w:rsidRPr="00A72EEA">
        <w:rPr>
          <w:rFonts w:ascii="Verdana" w:hAnsi="Verdana" w:cs="Arial"/>
          <w:i/>
          <w:iCs/>
          <w:shd w:val="clear" w:color="auto" w:fill="FFFFFF"/>
        </w:rPr>
        <w:t xml:space="preserve">Documentos del Proceso </w:t>
      </w:r>
      <w:r w:rsidRPr="00A72EEA">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w:t>
      </w:r>
      <w:r w:rsidRPr="00921CB9">
        <w:rPr>
          <w:rFonts w:ascii="Verdana" w:hAnsi="Verdana" w:cs="Arial"/>
          <w:i/>
          <w:iCs/>
          <w:shd w:val="clear" w:color="auto" w:fill="FFFFFF"/>
        </w:rPr>
        <w:t>la oferta</w:t>
      </w:r>
      <w:r w:rsidRPr="00A72EEA">
        <w:rPr>
          <w:rFonts w:ascii="Verdana" w:hAnsi="Verdana" w:cs="Arial"/>
          <w:shd w:val="clear" w:color="auto" w:fill="FFFFFF"/>
        </w:rPr>
        <w:t xml:space="preserve">; (f) el informe de evaluación; (g) el contrato; </w:t>
      </w:r>
      <w:r w:rsidRPr="00A72EEA">
        <w:rPr>
          <w:rFonts w:ascii="Verdana" w:hAnsi="Verdana" w:cs="Arial"/>
          <w:i/>
          <w:iCs/>
          <w:shd w:val="clear" w:color="auto" w:fill="FFFFFF"/>
        </w:rPr>
        <w:t>y cualquier otro documento expedido por la Entidad Estatal durante el Proceso de Contratación</w:t>
      </w:r>
      <w:r w:rsidRPr="00A72EEA">
        <w:rPr>
          <w:rFonts w:ascii="Verdana" w:hAnsi="Verdana" w:cs="Arial"/>
          <w:shd w:val="clear" w:color="auto" w:fill="FFFFFF"/>
        </w:rPr>
        <w:t>”. [Énfasis fuera de texto]</w:t>
      </w:r>
    </w:p>
    <w:p w14:paraId="1CCF1976" w14:textId="77777777" w:rsidR="006D1F00" w:rsidRPr="00A72EEA" w:rsidRDefault="006D1F00" w:rsidP="006D1F00">
      <w:pPr>
        <w:tabs>
          <w:tab w:val="left" w:pos="709"/>
        </w:tabs>
        <w:spacing w:before="120" w:after="0" w:line="276" w:lineRule="auto"/>
        <w:ind w:firstLine="709"/>
        <w:jc w:val="both"/>
        <w:rPr>
          <w:rFonts w:ascii="Verdana" w:hAnsi="Verdana" w:cs="Arial"/>
          <w:shd w:val="clear" w:color="auto" w:fill="FFFFFF"/>
        </w:rPr>
      </w:pPr>
      <w:r w:rsidRPr="00A72EE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A72EEA">
        <w:rPr>
          <w:rFonts w:ascii="Verdana" w:hAnsi="Verdana" w:cs="Arial"/>
          <w:i/>
          <w:iCs/>
          <w:shd w:val="clear" w:color="auto" w:fill="FFFFFF"/>
        </w:rPr>
        <w:t>Ibidem</w:t>
      </w:r>
      <w:r w:rsidRPr="00A72EEA">
        <w:rPr>
          <w:rFonts w:ascii="Verdana" w:hAnsi="Verdana" w:cs="Arial"/>
          <w:shd w:val="clear" w:color="auto" w:fill="FFFFFF"/>
        </w:rPr>
        <w:t xml:space="preserve"> recoge en la noción de Documentos del Proceso “cualquier otro documento expedido por la Entidad Estatal durante el Proceso de Contratación”. </w:t>
      </w:r>
    </w:p>
    <w:p w14:paraId="50107B3D" w14:textId="77777777" w:rsidR="006D1F00" w:rsidRPr="00A72EEA" w:rsidRDefault="006D1F00" w:rsidP="006D1F00">
      <w:pPr>
        <w:tabs>
          <w:tab w:val="left" w:pos="709"/>
        </w:tabs>
        <w:spacing w:before="120" w:after="0" w:line="276" w:lineRule="auto"/>
        <w:ind w:firstLine="709"/>
        <w:jc w:val="both"/>
        <w:rPr>
          <w:rFonts w:ascii="Verdana" w:hAnsi="Verdana" w:cs="Arial"/>
          <w:shd w:val="clear" w:color="auto" w:fill="FFFFFF"/>
        </w:rPr>
      </w:pPr>
      <w:r w:rsidRPr="00A72EEA">
        <w:rPr>
          <w:rFonts w:ascii="Verdana" w:hAnsi="Verdana" w:cs="Arial"/>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354B5EB" w14:textId="77777777" w:rsidR="006D1F00" w:rsidRPr="00A72EEA" w:rsidRDefault="006D1F00" w:rsidP="006D1F00">
      <w:pPr>
        <w:tabs>
          <w:tab w:val="left" w:pos="709"/>
        </w:tabs>
        <w:spacing w:before="120" w:after="120" w:line="276" w:lineRule="auto"/>
        <w:ind w:firstLine="709"/>
        <w:jc w:val="both"/>
        <w:rPr>
          <w:rFonts w:ascii="Verdana" w:hAnsi="Verdana" w:cs="Arial"/>
          <w:shd w:val="clear" w:color="auto" w:fill="FFFFFF"/>
        </w:rPr>
      </w:pPr>
      <w:r w:rsidRPr="00A72EEA">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postcontractual deberán publicarse en SECOP dentro de los tres (3) días siguientes a su expedición, para cumplir el deber de publicidad regulado por el artículo 2.2.1.1.1.7.1. del Decreto 1082 de 2015.</w:t>
      </w:r>
    </w:p>
    <w:p w14:paraId="03D3BB49" w14:textId="77777777" w:rsidR="006D1F00" w:rsidRPr="00A72EEA" w:rsidRDefault="006D1F00" w:rsidP="006D1F00">
      <w:pPr>
        <w:tabs>
          <w:tab w:val="left" w:pos="709"/>
        </w:tabs>
        <w:spacing w:before="120" w:after="120" w:line="276" w:lineRule="auto"/>
        <w:ind w:firstLine="709"/>
        <w:jc w:val="both"/>
        <w:rPr>
          <w:rFonts w:ascii="Verdana" w:hAnsi="Verdana" w:cs="Arial"/>
          <w:shd w:val="clear" w:color="auto" w:fill="FFFFFF"/>
        </w:rPr>
      </w:pPr>
      <w:r w:rsidRPr="00A72EEA">
        <w:rPr>
          <w:rFonts w:ascii="Verdana" w:hAnsi="Verdana" w:cs="Arial"/>
          <w:shd w:val="clear" w:color="auto" w:fill="FFFFFF"/>
        </w:rPr>
        <w:t xml:space="preserve">Con el propósito de garantizar el cumplimiento del mencionado deber de publicidad, se le asignó a la Agencia Nacional de Contratación Pública - Colombia </w:t>
      </w:r>
      <w:r w:rsidRPr="00A72EEA">
        <w:rPr>
          <w:rFonts w:ascii="Verdana" w:hAnsi="Verdana" w:cs="Arial"/>
          <w:shd w:val="clear" w:color="auto" w:fill="FFFFFF"/>
        </w:rPr>
        <w:lastRenderedPageBreak/>
        <w:t>Compra Eficiente, la función de administrar el SECOP</w:t>
      </w:r>
      <w:r w:rsidRPr="00A72EEA">
        <w:rPr>
          <w:rFonts w:ascii="Verdana" w:hAnsi="Verdana" w:cs="Arial"/>
          <w:shd w:val="clear" w:color="auto" w:fill="FFFFFF"/>
          <w:vertAlign w:val="superscript"/>
        </w:rPr>
        <w:footnoteReference w:id="8"/>
      </w:r>
      <w:r w:rsidRPr="00A72EE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6CC49ADC" w14:textId="77777777" w:rsidR="006D1F00" w:rsidRPr="00A72EEA" w:rsidRDefault="006D1F00" w:rsidP="006D1F00">
      <w:pPr>
        <w:tabs>
          <w:tab w:val="left" w:pos="709"/>
        </w:tabs>
        <w:spacing w:before="120" w:after="120" w:line="276" w:lineRule="auto"/>
        <w:ind w:firstLine="709"/>
        <w:jc w:val="both"/>
        <w:rPr>
          <w:rFonts w:ascii="Verdana" w:hAnsi="Verdana" w:cs="Arial"/>
          <w:shd w:val="clear" w:color="auto" w:fill="FFFFFF"/>
        </w:rPr>
      </w:pPr>
      <w:r w:rsidRPr="00A72EE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4D75E4BB" w14:textId="77777777" w:rsidR="006D1F00" w:rsidRPr="00A72EEA" w:rsidRDefault="006D1F00" w:rsidP="006D1F00">
      <w:pPr>
        <w:spacing w:after="120" w:line="276" w:lineRule="auto"/>
        <w:ind w:firstLine="709"/>
        <w:jc w:val="both"/>
        <w:rPr>
          <w:rFonts w:ascii="Verdana" w:eastAsia="Calibri" w:hAnsi="Verdana" w:cs="Arial"/>
          <w:lang w:val="es-ES"/>
        </w:rPr>
      </w:pPr>
      <w:r w:rsidRPr="00A72EEA">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3ED4A8AF" w14:textId="77777777" w:rsidR="006D1F00" w:rsidRPr="00A72EEA" w:rsidRDefault="006D1F00" w:rsidP="006D1F00">
      <w:pPr>
        <w:tabs>
          <w:tab w:val="left" w:pos="709"/>
        </w:tabs>
        <w:spacing w:before="120" w:after="120" w:line="276" w:lineRule="auto"/>
        <w:ind w:firstLine="709"/>
        <w:jc w:val="both"/>
        <w:rPr>
          <w:rStyle w:val="eop"/>
          <w:rFonts w:ascii="Verdana" w:hAnsi="Verdana" w:cs="Arial"/>
          <w:shd w:val="clear" w:color="auto" w:fill="FFFFFF"/>
        </w:rPr>
      </w:pPr>
      <w:r w:rsidRPr="00A72EEA">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w:t>
      </w:r>
      <w:r w:rsidRPr="00A72EEA">
        <w:rPr>
          <w:rFonts w:ascii="Verdana" w:hAnsi="Verdana" w:cs="Arial"/>
          <w:shd w:val="clear" w:color="auto" w:fill="FFFFFF"/>
        </w:rPr>
        <w:lastRenderedPageBreak/>
        <w:t>precontractual, contractual y postcontractual,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7F5817BD" w14:textId="77777777" w:rsidR="006D1F00" w:rsidRPr="00A72EEA" w:rsidRDefault="006D1F00" w:rsidP="00D21A60">
      <w:pPr>
        <w:tabs>
          <w:tab w:val="left" w:pos="709"/>
        </w:tabs>
        <w:spacing w:before="120" w:after="120" w:line="276" w:lineRule="auto"/>
        <w:ind w:firstLine="709"/>
        <w:jc w:val="both"/>
        <w:rPr>
          <w:rFonts w:ascii="Verdana" w:hAnsi="Verdana" w:cs="Arial"/>
          <w:shd w:val="clear" w:color="auto" w:fill="FFFFFF"/>
        </w:rPr>
      </w:pPr>
      <w:r w:rsidRPr="00A72EEA">
        <w:rPr>
          <w:rFonts w:ascii="Verdana" w:hAnsi="Verdana" w:cs="Arial"/>
          <w:shd w:val="clear" w:color="auto" w:fill="FFFFFF"/>
        </w:rPr>
        <w:t xml:space="preserve">Por último, se precisa, que corresponderá a la Entidad Estatal, previo concepto de sus órganos asesores, dar cumplimiento a la publicación de los documentos que expiden dentro de un proceso de contratación en el SECOP, ya sea en SECOP I o en SECOP II en cumplimiento de las disposiciones legales y reglamentarias. </w:t>
      </w:r>
    </w:p>
    <w:p w14:paraId="4F30583B" w14:textId="77777777" w:rsidR="00A617AC" w:rsidRPr="00A72EEA" w:rsidRDefault="00A617AC" w:rsidP="006D1F00">
      <w:pPr>
        <w:spacing w:after="0" w:line="276" w:lineRule="auto"/>
        <w:ind w:firstLine="708"/>
        <w:jc w:val="both"/>
        <w:rPr>
          <w:rFonts w:ascii="Verdana" w:eastAsia="Calibri" w:hAnsi="Verdana" w:cs="Arial"/>
          <w:lang w:eastAsia="es-ES_tradnl"/>
        </w:rPr>
      </w:pPr>
    </w:p>
    <w:p w14:paraId="2356A3BD" w14:textId="77777777" w:rsidR="006D1F00" w:rsidRPr="00A72EEA" w:rsidRDefault="006D1F00" w:rsidP="006D1F00">
      <w:pPr>
        <w:numPr>
          <w:ilvl w:val="0"/>
          <w:numId w:val="19"/>
        </w:numPr>
        <w:spacing w:after="0" w:line="256" w:lineRule="auto"/>
        <w:ind w:left="0" w:firstLine="0"/>
        <w:rPr>
          <w:rFonts w:ascii="Verdana" w:eastAsia="Calibri" w:hAnsi="Verdana" w:cs="Times New Roman"/>
          <w:b/>
          <w:bCs/>
          <w:lang w:val="es-ES"/>
        </w:rPr>
      </w:pPr>
      <w:r w:rsidRPr="00A72EEA">
        <w:rPr>
          <w:rFonts w:ascii="Verdana" w:eastAsia="Calibri" w:hAnsi="Verdana" w:cs="Times New Roman"/>
          <w:b/>
          <w:bCs/>
          <w:lang w:val="es-ES"/>
        </w:rPr>
        <w:t>Referencias normativas, jurisprudenciales y otras fuentes:</w:t>
      </w:r>
    </w:p>
    <w:p w14:paraId="4DD454D0" w14:textId="77777777" w:rsidR="006D1F00" w:rsidRPr="00A72EEA" w:rsidRDefault="006D1F00" w:rsidP="006D1F0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1F00" w:rsidRPr="00A72EEA" w14:paraId="73E27521" w14:textId="77777777" w:rsidTr="001D1CFA">
        <w:trPr>
          <w:trHeight w:val="870"/>
          <w:jc w:val="center"/>
        </w:trPr>
        <w:tc>
          <w:tcPr>
            <w:tcW w:w="8647" w:type="dxa"/>
          </w:tcPr>
          <w:p w14:paraId="0DA319CF" w14:textId="77777777" w:rsidR="006D1F00" w:rsidRPr="00A72EEA" w:rsidRDefault="006D1F00" w:rsidP="006D1F00">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ES_tradnl"/>
              </w:rPr>
              <w:t>Constitución Política, artículos 74 y 209.</w:t>
            </w:r>
          </w:p>
          <w:p w14:paraId="4521C55C" w14:textId="77777777" w:rsidR="006D1F00" w:rsidRPr="00A72EEA" w:rsidRDefault="006D1F00" w:rsidP="006D1F00">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ES_tradnl"/>
              </w:rPr>
              <w:t>Ley 1150 de 2007, artículo 3.</w:t>
            </w:r>
          </w:p>
          <w:p w14:paraId="3B9D25E0" w14:textId="77777777" w:rsidR="006D1F00" w:rsidRPr="00A72EEA" w:rsidRDefault="006D1F00" w:rsidP="006D1F00">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CO"/>
              </w:rPr>
              <w:t xml:space="preserve">Decreto Ley 4170 de 2011, artículo 3° numerales 2, 5 y 8. </w:t>
            </w:r>
          </w:p>
          <w:p w14:paraId="4C05A179" w14:textId="77777777" w:rsidR="006D1F00" w:rsidRPr="00A72EEA" w:rsidRDefault="006D1F00" w:rsidP="006D1F00">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ES_tradnl"/>
              </w:rPr>
              <w:t>Ley 1712 de 2014.</w:t>
            </w:r>
          </w:p>
          <w:p w14:paraId="04F1678E" w14:textId="77777777" w:rsidR="006D1F00" w:rsidRPr="00A72EEA" w:rsidRDefault="006D1F00" w:rsidP="006D1F00">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ES_tradnl"/>
              </w:rPr>
              <w:t>Decreto 1082 de 2015, artículos 2.2.1.1.1.7.1, 2.2.1.1.1.3.1., 2.2.2.1.8.3., 2.2.2.1.5.11., 2.2.2.1.12.7.</w:t>
            </w:r>
          </w:p>
          <w:p w14:paraId="3C1E5CFF" w14:textId="3E548AA7" w:rsidR="00A617AC" w:rsidRPr="00A72EEA" w:rsidRDefault="006D1F00" w:rsidP="009319E1">
            <w:pPr>
              <w:pStyle w:val="Prrafodelista"/>
              <w:widowControl w:val="0"/>
              <w:numPr>
                <w:ilvl w:val="0"/>
                <w:numId w:val="20"/>
              </w:numPr>
              <w:autoSpaceDE w:val="0"/>
              <w:autoSpaceDN w:val="0"/>
              <w:spacing w:line="276" w:lineRule="auto"/>
              <w:jc w:val="both"/>
              <w:rPr>
                <w:rFonts w:ascii="Verdana" w:hAnsi="Verdana" w:cs="Arial"/>
                <w:lang w:val="es-ES_tradnl"/>
              </w:rPr>
            </w:pPr>
            <w:r w:rsidRPr="00A72EEA">
              <w:rPr>
                <w:rFonts w:ascii="Verdana" w:hAnsi="Verdana" w:cs="Arial"/>
                <w:lang w:val="es-ES_tradnl"/>
              </w:rPr>
              <w:t>Circular Externa 03 de 2024 de la Agencia Nacional de Contratación Pública –Colombia Compra Eficiente</w:t>
            </w:r>
            <w:r w:rsidR="009319E1">
              <w:rPr>
                <w:rFonts w:ascii="Verdana" w:hAnsi="Verdana" w:cs="Arial"/>
                <w:lang w:val="es-ES_tradnl"/>
              </w:rPr>
              <w:t>.</w:t>
            </w:r>
          </w:p>
        </w:tc>
      </w:tr>
    </w:tbl>
    <w:p w14:paraId="51B472AA" w14:textId="77777777" w:rsidR="006D1F00" w:rsidRPr="00A72EEA" w:rsidRDefault="006D1F00" w:rsidP="006D1F00">
      <w:pPr>
        <w:spacing w:after="0" w:line="276" w:lineRule="auto"/>
        <w:ind w:right="709"/>
        <w:jc w:val="both"/>
        <w:rPr>
          <w:rFonts w:ascii="Verdana" w:hAnsi="Verdana" w:cs="Arial"/>
          <w:color w:val="000000" w:themeColor="text1"/>
          <w:lang w:val="es-ES_tradnl"/>
        </w:rPr>
      </w:pPr>
    </w:p>
    <w:p w14:paraId="129FD162" w14:textId="77777777" w:rsidR="006D1F00" w:rsidRPr="00A72EEA" w:rsidRDefault="006D1F00" w:rsidP="006D1F00">
      <w:pPr>
        <w:numPr>
          <w:ilvl w:val="0"/>
          <w:numId w:val="19"/>
        </w:numPr>
        <w:spacing w:after="0" w:line="256" w:lineRule="auto"/>
        <w:ind w:left="0" w:firstLine="0"/>
        <w:rPr>
          <w:rFonts w:ascii="Verdana" w:eastAsia="Calibri" w:hAnsi="Verdana" w:cs="Times New Roman"/>
          <w:b/>
          <w:bCs/>
          <w:lang w:val="es-ES"/>
        </w:rPr>
      </w:pPr>
      <w:r w:rsidRPr="00A72EEA">
        <w:rPr>
          <w:rFonts w:ascii="Verdana" w:eastAsia="Calibri" w:hAnsi="Verdana" w:cs="Times New Roman"/>
          <w:b/>
          <w:bCs/>
          <w:lang w:val="es-ES"/>
        </w:rPr>
        <w:t>Doctrina de la Agencia Nacional de Contratación Pública:</w:t>
      </w:r>
    </w:p>
    <w:p w14:paraId="1830461D" w14:textId="77777777" w:rsidR="006D1F00" w:rsidRPr="00A72EEA" w:rsidRDefault="006D1F00" w:rsidP="006D1F00">
      <w:pPr>
        <w:widowControl w:val="0"/>
        <w:autoSpaceDE w:val="0"/>
        <w:autoSpaceDN w:val="0"/>
        <w:spacing w:after="0" w:line="276" w:lineRule="auto"/>
        <w:jc w:val="both"/>
        <w:rPr>
          <w:rFonts w:ascii="Verdana" w:hAnsi="Verdana" w:cs="Arial"/>
          <w:bCs/>
          <w:shd w:val="clear" w:color="auto" w:fill="FFFFFF"/>
        </w:rPr>
      </w:pPr>
    </w:p>
    <w:p w14:paraId="0EFE9224" w14:textId="56922A37" w:rsidR="006D1F00" w:rsidRPr="00A72EEA" w:rsidRDefault="006D1F00" w:rsidP="006D1F00">
      <w:pPr>
        <w:widowControl w:val="0"/>
        <w:autoSpaceDE w:val="0"/>
        <w:autoSpaceDN w:val="0"/>
        <w:spacing w:after="0" w:line="276" w:lineRule="auto"/>
        <w:jc w:val="both"/>
        <w:rPr>
          <w:rFonts w:ascii="Verdana" w:eastAsia="Calibri" w:hAnsi="Verdana" w:cs="Times New Roman"/>
        </w:rPr>
      </w:pPr>
      <w:r w:rsidRPr="00A72EEA">
        <w:rPr>
          <w:rFonts w:ascii="Verdana" w:hAnsi="Verdana" w:cs="Arial"/>
          <w:bCs/>
          <w:shd w:val="clear" w:color="auto" w:fill="FFFFFF"/>
        </w:rPr>
        <w:t>La Agencia Nacional de Contratación Pública – Colombia Compra Eficiente</w:t>
      </w:r>
      <w:r w:rsidR="0008214B" w:rsidRPr="00A72EEA">
        <w:rPr>
          <w:rFonts w:ascii="Verdana" w:hAnsi="Verdana" w:cs="Arial"/>
          <w:bCs/>
          <w:shd w:val="clear" w:color="auto" w:fill="FFFFFF"/>
        </w:rPr>
        <w:t xml:space="preserve"> se pronunció sobre la publicidad y el SECOP I</w:t>
      </w:r>
      <w:r w:rsidRPr="00A72EEA">
        <w:rPr>
          <w:rFonts w:ascii="Verdana" w:hAnsi="Verdana" w:cs="Arial"/>
          <w:bCs/>
          <w:shd w:val="clear" w:color="auto" w:fill="FFFFFF"/>
        </w:rPr>
        <w:t xml:space="preserve"> en los conceptos </w:t>
      </w:r>
      <w:r w:rsidRPr="00A72EEA">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w:t>
      </w:r>
      <w:r w:rsidR="00543E03" w:rsidRPr="00A72EEA">
        <w:rPr>
          <w:rFonts w:ascii="Verdana" w:hAnsi="Verdana" w:cs="Arial"/>
          <w:bCs/>
          <w:shd w:val="clear" w:color="auto" w:fill="FFFFFF"/>
          <w:lang w:val="es-ES_tradnl"/>
        </w:rPr>
        <w:t xml:space="preserve">, </w:t>
      </w:r>
      <w:r w:rsidRPr="00A72EEA">
        <w:rPr>
          <w:rFonts w:ascii="Verdana" w:hAnsi="Verdana" w:cs="Arial"/>
          <w:bCs/>
          <w:shd w:val="clear" w:color="auto" w:fill="FFFFFF"/>
          <w:lang w:val="es-ES_tradnl"/>
        </w:rPr>
        <w:t>C-804 de</w:t>
      </w:r>
      <w:r w:rsidR="00543E03" w:rsidRPr="00A72EEA">
        <w:rPr>
          <w:rFonts w:ascii="Verdana" w:hAnsi="Verdana" w:cs="Arial"/>
          <w:bCs/>
          <w:shd w:val="clear" w:color="auto" w:fill="FFFFFF"/>
          <w:lang w:val="es-ES_tradnl"/>
        </w:rPr>
        <w:t>l 12 de diciembre de</w:t>
      </w:r>
      <w:r w:rsidRPr="00A72EEA">
        <w:rPr>
          <w:rFonts w:ascii="Verdana" w:hAnsi="Verdana" w:cs="Arial"/>
          <w:bCs/>
          <w:shd w:val="clear" w:color="auto" w:fill="FFFFFF"/>
          <w:lang w:val="es-ES_tradnl"/>
        </w:rPr>
        <w:t xml:space="preserve"> 2024</w:t>
      </w:r>
      <w:r w:rsidRPr="00A72EEA">
        <w:rPr>
          <w:rFonts w:ascii="Verdana" w:hAnsi="Verdana" w:cs="Arial"/>
          <w:bCs/>
          <w:shd w:val="clear" w:color="auto" w:fill="FFFFFF"/>
        </w:rPr>
        <w:t>,</w:t>
      </w:r>
      <w:r w:rsidR="0008214B" w:rsidRPr="00A72EEA">
        <w:rPr>
          <w:rFonts w:ascii="Verdana" w:hAnsi="Verdana"/>
        </w:rPr>
        <w:t xml:space="preserve"> </w:t>
      </w:r>
      <w:r w:rsidR="0008214B" w:rsidRPr="00A72EEA">
        <w:rPr>
          <w:rFonts w:ascii="Verdana" w:hAnsi="Verdana" w:cs="Arial"/>
          <w:bCs/>
          <w:shd w:val="clear" w:color="auto" w:fill="FFFFFF"/>
        </w:rPr>
        <w:t>C- 185 del 24 de marzo de 2025,</w:t>
      </w:r>
      <w:r w:rsidRPr="00A72EEA">
        <w:rPr>
          <w:rFonts w:ascii="Verdana" w:hAnsi="Verdana" w:cs="Arial"/>
          <w:bCs/>
          <w:shd w:val="clear" w:color="auto" w:fill="FFFFFF"/>
        </w:rPr>
        <w:t xml:space="preserve"> entre otros. </w:t>
      </w:r>
      <w:r w:rsidRPr="00A72EEA">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7392D1E" w14:textId="281BE4EB" w:rsidR="006D1F00" w:rsidRPr="00A72EEA" w:rsidRDefault="006D1F00" w:rsidP="006D1F00">
      <w:pPr>
        <w:spacing w:after="0" w:line="256" w:lineRule="auto"/>
        <w:jc w:val="both"/>
        <w:rPr>
          <w:rFonts w:ascii="Verdana" w:eastAsia="Calibri" w:hAnsi="Verdana" w:cs="Times New Roman"/>
        </w:rPr>
      </w:pPr>
      <w:hyperlink r:id="rId13" w:history="1">
        <w:r w:rsidRPr="00A72EEA">
          <w:rPr>
            <w:rFonts w:ascii="Verdana" w:eastAsia="Calibri" w:hAnsi="Verdana" w:cs="Times New Roman"/>
            <w:color w:val="0000FF"/>
            <w:u w:val="single"/>
            <w:lang w:val="es-ES"/>
          </w:rPr>
          <w:t>https://relatoria.colombiacompra.gov.co/busqueda/conceptos</w:t>
        </w:r>
      </w:hyperlink>
    </w:p>
    <w:p w14:paraId="1EAFA0F8" w14:textId="75D28674" w:rsidR="006D1F00" w:rsidRPr="00A72EEA" w:rsidRDefault="006D1F00" w:rsidP="006D1F00">
      <w:pPr>
        <w:spacing w:after="0" w:line="256" w:lineRule="auto"/>
        <w:jc w:val="both"/>
        <w:rPr>
          <w:rFonts w:ascii="Verdana" w:eastAsia="Calibri" w:hAnsi="Verdana" w:cs="Times New Roman"/>
          <w:lang w:val="es-ES"/>
        </w:rPr>
      </w:pPr>
      <w:r w:rsidRPr="00A72EEA">
        <w:rPr>
          <w:rFonts w:ascii="Verdana" w:eastAsia="Calibri" w:hAnsi="Verdana" w:cs="Times New Roman"/>
        </w:rPr>
        <w:br/>
      </w:r>
      <w:r w:rsidR="00FB5A21" w:rsidRPr="00A72EEA">
        <w:rPr>
          <w:rFonts w:ascii="Verdana" w:hAnsi="Verdana" w:cs="Arial"/>
          <w:shd w:val="clear" w:color="auto" w:fill="FFFFFF"/>
        </w:rPr>
        <w:t>También le contamos que ya se encuentra disponible la </w:t>
      </w:r>
      <w:r w:rsidR="00FB5A21" w:rsidRPr="00A72EEA">
        <w:rPr>
          <w:rFonts w:ascii="Verdana" w:hAnsi="Verdana" w:cs="Arial"/>
          <w:b/>
          <w:bCs/>
          <w:shd w:val="clear" w:color="auto" w:fill="FFFFFF"/>
        </w:rPr>
        <w:t>Guía de lineamientos de transparencia y selección objetiva para el departamento de La Guajira – Objetivo sexto constitucional de la Sentencia T-302 del 2017. </w:t>
      </w:r>
      <w:r w:rsidR="00FB5A21" w:rsidRPr="00A72EEA">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00FB5A21" w:rsidRPr="00A72EEA">
        <w:rPr>
          <w:rFonts w:ascii="Verdana" w:hAnsi="Verdana" w:cs="Arial"/>
          <w:shd w:val="clear" w:color="auto" w:fill="FFFFFF"/>
        </w:rPr>
        <w:t>Wayúu</w:t>
      </w:r>
      <w:proofErr w:type="spellEnd"/>
      <w:r w:rsidR="00FB5A21" w:rsidRPr="00A72EEA">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00FB5A21" w:rsidRPr="00A72EEA">
          <w:rPr>
            <w:rFonts w:ascii="Verdana" w:hAnsi="Verdana"/>
            <w:color w:val="0000FF"/>
            <w:u w:val="single"/>
          </w:rPr>
          <w:t>Guía de lineamientos de transparencia y selección objetiva para el departamento de La Guajira – Objetivo sexto constitucional de la Sentencia T-302 del 2017</w:t>
        </w:r>
      </w:hyperlink>
    </w:p>
    <w:p w14:paraId="47BA3DCF" w14:textId="77777777" w:rsidR="00543E03" w:rsidRPr="00A72EEA" w:rsidRDefault="00543E03" w:rsidP="006D1F00">
      <w:pPr>
        <w:spacing w:after="0" w:line="256" w:lineRule="auto"/>
        <w:jc w:val="both"/>
        <w:rPr>
          <w:rFonts w:ascii="Verdana" w:eastAsia="Calibri" w:hAnsi="Verdana" w:cs="Times New Roman"/>
          <w:lang w:val="es-ES"/>
        </w:rPr>
      </w:pPr>
    </w:p>
    <w:p w14:paraId="52BF0DE7" w14:textId="77777777" w:rsidR="006D1F00" w:rsidRPr="00A72EEA" w:rsidRDefault="006D1F00" w:rsidP="006D1F00">
      <w:pPr>
        <w:spacing w:after="0"/>
        <w:jc w:val="both"/>
        <w:rPr>
          <w:rFonts w:ascii="Verdana" w:hAnsi="Verdana"/>
        </w:rPr>
      </w:pPr>
      <w:r w:rsidRPr="00A72EEA">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6853F86" w14:textId="77777777" w:rsidR="006D1F00" w:rsidRPr="00A72EEA" w:rsidRDefault="006D1F00" w:rsidP="006D1F00">
      <w:pPr>
        <w:spacing w:after="0" w:line="240" w:lineRule="auto"/>
        <w:jc w:val="both"/>
        <w:rPr>
          <w:rFonts w:ascii="Verdana" w:hAnsi="Verdana"/>
        </w:rPr>
      </w:pPr>
    </w:p>
    <w:p w14:paraId="40E29AAC" w14:textId="77777777" w:rsidR="006D1F00" w:rsidRPr="00A72EEA" w:rsidRDefault="006D1F00" w:rsidP="006D1F00">
      <w:pPr>
        <w:pStyle w:val="Prrafodelista"/>
        <w:numPr>
          <w:ilvl w:val="0"/>
          <w:numId w:val="15"/>
        </w:numPr>
        <w:spacing w:after="0" w:line="240" w:lineRule="auto"/>
        <w:jc w:val="both"/>
        <w:rPr>
          <w:rFonts w:ascii="Verdana" w:hAnsi="Verdana"/>
        </w:rPr>
      </w:pPr>
      <w:r w:rsidRPr="00A72EEA">
        <w:rPr>
          <w:rFonts w:ascii="Verdana" w:hAnsi="Verdana"/>
        </w:rPr>
        <w:t>Línea nacional gratuita o servicio a la ciudadanía: 01800 0520808</w:t>
      </w:r>
    </w:p>
    <w:p w14:paraId="50548BA7" w14:textId="77777777" w:rsidR="006D1F00" w:rsidRPr="00A72EEA" w:rsidRDefault="006D1F00" w:rsidP="006D1F00">
      <w:pPr>
        <w:pStyle w:val="Prrafodelista"/>
        <w:numPr>
          <w:ilvl w:val="0"/>
          <w:numId w:val="15"/>
        </w:numPr>
        <w:spacing w:after="0" w:line="240" w:lineRule="auto"/>
        <w:jc w:val="both"/>
        <w:rPr>
          <w:rFonts w:ascii="Verdana" w:hAnsi="Verdana"/>
        </w:rPr>
      </w:pPr>
      <w:r w:rsidRPr="00A72EEA">
        <w:rPr>
          <w:rFonts w:ascii="Verdana" w:hAnsi="Verdana"/>
        </w:rPr>
        <w:t>Línea en Bogotá (Mesa de servicio): +57 601 7456788</w:t>
      </w:r>
    </w:p>
    <w:p w14:paraId="567E7755" w14:textId="77777777" w:rsidR="006D1F00" w:rsidRPr="00A72EEA" w:rsidRDefault="006D1F00" w:rsidP="006D1F00">
      <w:pPr>
        <w:pStyle w:val="Prrafodelista"/>
        <w:numPr>
          <w:ilvl w:val="0"/>
          <w:numId w:val="15"/>
        </w:numPr>
        <w:spacing w:after="0" w:line="240" w:lineRule="auto"/>
        <w:jc w:val="both"/>
        <w:rPr>
          <w:rFonts w:ascii="Verdana" w:hAnsi="Verdana"/>
        </w:rPr>
      </w:pPr>
      <w:r w:rsidRPr="00A72EEA">
        <w:rPr>
          <w:rFonts w:ascii="Verdana" w:hAnsi="Verdana"/>
        </w:rPr>
        <w:t>Línea de servicio y atención al ciudadano: +57 601 7956600</w:t>
      </w:r>
    </w:p>
    <w:p w14:paraId="4CB4E6C6" w14:textId="77777777" w:rsidR="006D1F00" w:rsidRPr="00A72EEA" w:rsidRDefault="006D1F00" w:rsidP="006D1F00">
      <w:pPr>
        <w:pStyle w:val="Prrafodelista"/>
        <w:numPr>
          <w:ilvl w:val="0"/>
          <w:numId w:val="15"/>
        </w:numPr>
        <w:spacing w:after="0" w:line="240" w:lineRule="auto"/>
        <w:jc w:val="both"/>
        <w:rPr>
          <w:rFonts w:ascii="Verdana" w:hAnsi="Verdana"/>
        </w:rPr>
      </w:pPr>
      <w:r w:rsidRPr="00A72EEA">
        <w:rPr>
          <w:rFonts w:ascii="Verdana" w:hAnsi="Verdana"/>
        </w:rPr>
        <w:t xml:space="preserve">Página web: </w:t>
      </w:r>
      <w:hyperlink r:id="rId15" w:history="1">
        <w:r w:rsidRPr="00A72EEA">
          <w:rPr>
            <w:rStyle w:val="Hipervnculo"/>
            <w:rFonts w:ascii="Verdana" w:hAnsi="Verdana"/>
          </w:rPr>
          <w:t>www.colombiacompra.gov.co</w:t>
        </w:r>
      </w:hyperlink>
    </w:p>
    <w:p w14:paraId="53060D2D" w14:textId="77777777" w:rsidR="006D1F00" w:rsidRPr="00A72EEA" w:rsidRDefault="006D1F00" w:rsidP="006D1F00">
      <w:pPr>
        <w:pStyle w:val="Prrafodelista"/>
        <w:spacing w:after="0" w:line="240" w:lineRule="auto"/>
        <w:ind w:left="785"/>
        <w:jc w:val="both"/>
        <w:rPr>
          <w:rFonts w:ascii="Verdana" w:hAnsi="Verdana"/>
        </w:rPr>
      </w:pPr>
    </w:p>
    <w:p w14:paraId="2A34499F" w14:textId="0A2913A8" w:rsidR="006D1F00" w:rsidRPr="00A72EEA" w:rsidRDefault="00FB5A21" w:rsidP="006D1F00">
      <w:pPr>
        <w:spacing w:after="0" w:line="240" w:lineRule="auto"/>
        <w:jc w:val="both"/>
        <w:rPr>
          <w:rFonts w:ascii="Verdana" w:hAnsi="Verdana"/>
        </w:rPr>
      </w:pPr>
      <w:r w:rsidRPr="00A72EEA">
        <w:rPr>
          <w:rFonts w:ascii="Verdana" w:hAnsi="Verdana"/>
        </w:rPr>
        <w:t>L</w:t>
      </w:r>
      <w:r w:rsidR="006D1F00" w:rsidRPr="00A72EEA">
        <w:rPr>
          <w:rFonts w:ascii="Verdana" w:hAnsi="Verdana"/>
        </w:rPr>
        <w:t xml:space="preserve">o invitamos a seguirnos en las redes sociales en las cuales se difunde información institucional: </w:t>
      </w:r>
    </w:p>
    <w:p w14:paraId="32F91D2C" w14:textId="77777777" w:rsidR="006D1F00" w:rsidRPr="00A72EEA" w:rsidRDefault="006D1F00" w:rsidP="006D1F00">
      <w:pPr>
        <w:spacing w:after="0" w:line="240" w:lineRule="auto"/>
        <w:jc w:val="both"/>
        <w:rPr>
          <w:rFonts w:ascii="Verdana" w:hAnsi="Verdana"/>
        </w:rPr>
      </w:pPr>
    </w:p>
    <w:p w14:paraId="19E0F49B" w14:textId="77777777" w:rsidR="006D1F00" w:rsidRPr="00A72EEA" w:rsidRDefault="006D1F00" w:rsidP="006D1F00">
      <w:pPr>
        <w:spacing w:after="0" w:line="240" w:lineRule="auto"/>
        <w:jc w:val="both"/>
        <w:rPr>
          <w:rFonts w:ascii="Verdana" w:hAnsi="Verdana"/>
        </w:rPr>
      </w:pPr>
      <w:r w:rsidRPr="00A72EEA">
        <w:rPr>
          <w:rFonts w:ascii="Verdana" w:hAnsi="Verdana"/>
        </w:rPr>
        <w:t xml:space="preserve">Twitter: </w:t>
      </w:r>
      <w:r w:rsidRPr="00A72EEA">
        <w:rPr>
          <w:rStyle w:val="Hipervnculo"/>
          <w:rFonts w:ascii="Verdana" w:hAnsi="Verdana"/>
        </w:rPr>
        <w:t>@colombiacompra</w:t>
      </w:r>
      <w:r w:rsidRPr="00A72EEA">
        <w:rPr>
          <w:rFonts w:ascii="Verdana" w:hAnsi="Verdana"/>
        </w:rPr>
        <w:t xml:space="preserve"> </w:t>
      </w:r>
    </w:p>
    <w:p w14:paraId="6614AD0E" w14:textId="77777777" w:rsidR="006D1F00" w:rsidRPr="00A72EEA" w:rsidRDefault="006D1F00" w:rsidP="006D1F00">
      <w:pPr>
        <w:spacing w:after="0" w:line="240" w:lineRule="auto"/>
        <w:jc w:val="both"/>
        <w:rPr>
          <w:rFonts w:ascii="Verdana" w:hAnsi="Verdana"/>
        </w:rPr>
      </w:pPr>
      <w:r w:rsidRPr="00A72EEA">
        <w:rPr>
          <w:rFonts w:ascii="Verdana" w:hAnsi="Verdana"/>
        </w:rPr>
        <w:t xml:space="preserve">Facebook: </w:t>
      </w:r>
      <w:proofErr w:type="spellStart"/>
      <w:r w:rsidRPr="00A72EEA">
        <w:rPr>
          <w:rStyle w:val="Hipervnculo"/>
          <w:rFonts w:ascii="Verdana" w:hAnsi="Verdana"/>
        </w:rPr>
        <w:t>ColombiaCompraEficiente</w:t>
      </w:r>
      <w:proofErr w:type="spellEnd"/>
    </w:p>
    <w:p w14:paraId="423FEE9E" w14:textId="77777777" w:rsidR="006D1F00" w:rsidRPr="00A72EEA" w:rsidRDefault="006D1F00" w:rsidP="006D1F00">
      <w:pPr>
        <w:spacing w:after="0" w:line="240" w:lineRule="auto"/>
        <w:jc w:val="both"/>
        <w:rPr>
          <w:rFonts w:ascii="Verdana" w:hAnsi="Verdana"/>
        </w:rPr>
      </w:pPr>
      <w:r w:rsidRPr="00A72EEA">
        <w:rPr>
          <w:rFonts w:ascii="Verdana" w:hAnsi="Verdana"/>
        </w:rPr>
        <w:t xml:space="preserve">LinkedIn: </w:t>
      </w:r>
      <w:r w:rsidRPr="00A72EEA">
        <w:rPr>
          <w:rStyle w:val="Hipervnculo"/>
          <w:rFonts w:ascii="Verdana" w:hAnsi="Verdana"/>
        </w:rPr>
        <w:t>Agencia Nacional de Contratación Pública - Colombia Compra Eficiente</w:t>
      </w:r>
      <w:r w:rsidRPr="00A72EEA">
        <w:rPr>
          <w:rFonts w:ascii="Verdana" w:hAnsi="Verdana"/>
        </w:rPr>
        <w:t xml:space="preserve"> Instagram: </w:t>
      </w:r>
      <w:r w:rsidRPr="00A72EEA">
        <w:rPr>
          <w:rStyle w:val="Hipervnculo"/>
          <w:rFonts w:ascii="Verdana" w:hAnsi="Verdana"/>
        </w:rPr>
        <w:t>@colombiacompraeficiente_cce</w:t>
      </w:r>
    </w:p>
    <w:p w14:paraId="29B1F8E5" w14:textId="77777777" w:rsidR="006D1F00" w:rsidRPr="00A72EEA" w:rsidRDefault="006D1F00" w:rsidP="006D1F00">
      <w:pPr>
        <w:spacing w:after="0" w:line="240" w:lineRule="auto"/>
        <w:jc w:val="both"/>
        <w:rPr>
          <w:rFonts w:ascii="Verdana" w:hAnsi="Verdana"/>
        </w:rPr>
      </w:pPr>
    </w:p>
    <w:p w14:paraId="2BA62656" w14:textId="77777777" w:rsidR="006D1F00" w:rsidRPr="00A72EEA" w:rsidRDefault="006D1F00" w:rsidP="006D1F00">
      <w:pPr>
        <w:spacing w:after="0" w:line="256" w:lineRule="auto"/>
        <w:jc w:val="both"/>
        <w:rPr>
          <w:rFonts w:ascii="Verdana" w:eastAsia="Calibri" w:hAnsi="Verdana" w:cs="Times New Roman"/>
          <w:bCs/>
          <w:lang w:val="es-ES_tradnl"/>
        </w:rPr>
      </w:pPr>
      <w:r w:rsidRPr="00A72EEA">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196D1D" w14:textId="77777777" w:rsidR="006D1F00" w:rsidRPr="00A72EEA" w:rsidRDefault="006D1F00" w:rsidP="006D1F00">
      <w:pPr>
        <w:spacing w:after="0" w:line="256" w:lineRule="auto"/>
        <w:jc w:val="both"/>
        <w:rPr>
          <w:rFonts w:ascii="Verdana" w:eastAsia="Calibri" w:hAnsi="Verdana" w:cs="Times New Roman"/>
        </w:rPr>
      </w:pPr>
    </w:p>
    <w:p w14:paraId="4536CD19" w14:textId="27FA4B43" w:rsidR="006D1F00" w:rsidRPr="00A72EEA" w:rsidRDefault="006D1F00" w:rsidP="009B0A7A">
      <w:pPr>
        <w:spacing w:after="0" w:line="256" w:lineRule="auto"/>
        <w:jc w:val="both"/>
        <w:rPr>
          <w:rFonts w:ascii="Verdana" w:eastAsia="Calibri" w:hAnsi="Verdana" w:cs="Times New Roman"/>
        </w:rPr>
      </w:pPr>
      <w:r w:rsidRPr="00A72EEA">
        <w:rPr>
          <w:rFonts w:ascii="Verdana" w:eastAsia="Calibri" w:hAnsi="Verdana" w:cs="Times New Roman"/>
        </w:rPr>
        <w:t>Atentamente,</w:t>
      </w:r>
    </w:p>
    <w:p w14:paraId="12A0ACD5" w14:textId="77A3331D" w:rsidR="009B0A7A" w:rsidRPr="00A72EEA" w:rsidRDefault="00D45422" w:rsidP="006D1F00">
      <w:pPr>
        <w:spacing w:after="0" w:line="256" w:lineRule="auto"/>
        <w:jc w:val="center"/>
        <w:rPr>
          <w:rFonts w:ascii="Verdana" w:eastAsia="Times New Roman" w:hAnsi="Verdana" w:cs="Arial"/>
          <w:noProof/>
          <w:sz w:val="24"/>
          <w:szCs w:val="24"/>
          <w:lang w:val="en-US"/>
        </w:rPr>
      </w:pPr>
      <w:r>
        <w:rPr>
          <w:noProof/>
        </w:rPr>
        <w:lastRenderedPageBreak/>
        <w:drawing>
          <wp:inline distT="0" distB="0" distL="0" distR="0" wp14:anchorId="4AECD459" wp14:editId="7A9B3B1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p w14:paraId="626709E7" w14:textId="065BAB72" w:rsidR="006D1F00" w:rsidRPr="00A72EEA" w:rsidRDefault="006D1F00" w:rsidP="006D1F00">
      <w:pPr>
        <w:spacing w:after="0" w:line="256" w:lineRule="auto"/>
        <w:rPr>
          <w:rFonts w:ascii="Verdana" w:eastAsia="Calibri" w:hAnsi="Verdana" w:cs="Times New Roman"/>
          <w:lang w:val="es-E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D1F00" w:rsidRPr="00A72EEA" w14:paraId="7CF5DFE2" w14:textId="77777777" w:rsidTr="001D1CFA">
        <w:trPr>
          <w:trHeight w:val="409"/>
        </w:trPr>
        <w:tc>
          <w:tcPr>
            <w:tcW w:w="817" w:type="dxa"/>
            <w:tcBorders>
              <w:top w:val="nil"/>
              <w:left w:val="nil"/>
              <w:bottom w:val="nil"/>
              <w:right w:val="nil"/>
            </w:tcBorders>
            <w:vAlign w:val="center"/>
            <w:hideMark/>
          </w:tcPr>
          <w:p w14:paraId="25F3CA3F" w14:textId="77777777" w:rsidR="006D1F00" w:rsidRPr="00A72EEA" w:rsidRDefault="006D1F00"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4A298DF" w14:textId="74B36E6D" w:rsidR="006D1F00" w:rsidRPr="00A72EEA" w:rsidRDefault="00AF0A05"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Ximena Ríos López</w:t>
            </w:r>
          </w:p>
          <w:p w14:paraId="3CCF6F84" w14:textId="78A0C334" w:rsidR="006D1F00" w:rsidRPr="00A72EEA" w:rsidRDefault="00AF0A05"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Gestor T1-11</w:t>
            </w:r>
            <w:r w:rsidR="006D1F00" w:rsidRPr="00A72EEA">
              <w:rPr>
                <w:rFonts w:ascii="Verdana" w:eastAsia="Calibri" w:hAnsi="Verdana" w:cs="Times New Roman"/>
                <w:sz w:val="16"/>
                <w:szCs w:val="16"/>
              </w:rPr>
              <w:t xml:space="preserve"> de la Subdirección de Gestión Contractual</w:t>
            </w:r>
          </w:p>
        </w:tc>
      </w:tr>
      <w:tr w:rsidR="006D1F00" w:rsidRPr="00A72EEA" w14:paraId="567D6750" w14:textId="77777777" w:rsidTr="001D1CFA">
        <w:trPr>
          <w:trHeight w:val="409"/>
        </w:trPr>
        <w:tc>
          <w:tcPr>
            <w:tcW w:w="817" w:type="dxa"/>
            <w:tcBorders>
              <w:top w:val="nil"/>
              <w:left w:val="nil"/>
              <w:bottom w:val="nil"/>
              <w:right w:val="nil"/>
            </w:tcBorders>
            <w:vAlign w:val="center"/>
            <w:hideMark/>
          </w:tcPr>
          <w:p w14:paraId="7F9AE57F" w14:textId="77777777" w:rsidR="006D1F00" w:rsidRPr="00A72EEA" w:rsidRDefault="006D1F00"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6337D6" w14:textId="1C01C5A1" w:rsidR="006D1F00" w:rsidRPr="00A72EEA" w:rsidRDefault="00AF0A05"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Juan David Cárdenas</w:t>
            </w:r>
          </w:p>
          <w:p w14:paraId="1D6212F1" w14:textId="77777777" w:rsidR="006D1F00" w:rsidRPr="00A72EEA" w:rsidRDefault="006D1F00" w:rsidP="001D1CFA">
            <w:pPr>
              <w:spacing w:after="0" w:line="240" w:lineRule="auto"/>
              <w:rPr>
                <w:rFonts w:ascii="Verdana" w:eastAsia="Calibri" w:hAnsi="Verdana" w:cs="Times New Roman"/>
                <w:sz w:val="16"/>
                <w:szCs w:val="16"/>
                <w:highlight w:val="yellow"/>
              </w:rPr>
            </w:pPr>
            <w:r w:rsidRPr="00A72EEA">
              <w:rPr>
                <w:rFonts w:ascii="Verdana" w:eastAsia="Calibri" w:hAnsi="Verdana" w:cs="Times New Roman"/>
                <w:sz w:val="16"/>
                <w:szCs w:val="16"/>
              </w:rPr>
              <w:t>Contratista de la Subdirección de Gestión Contractual </w:t>
            </w:r>
          </w:p>
        </w:tc>
      </w:tr>
      <w:tr w:rsidR="006D1F00" w:rsidRPr="00A72EEA" w14:paraId="77B568ED" w14:textId="77777777" w:rsidTr="001D1CFA">
        <w:trPr>
          <w:trHeight w:val="389"/>
        </w:trPr>
        <w:tc>
          <w:tcPr>
            <w:tcW w:w="817" w:type="dxa"/>
            <w:tcBorders>
              <w:top w:val="nil"/>
              <w:left w:val="nil"/>
              <w:bottom w:val="nil"/>
              <w:right w:val="nil"/>
            </w:tcBorders>
            <w:vAlign w:val="center"/>
            <w:hideMark/>
          </w:tcPr>
          <w:p w14:paraId="23F15802" w14:textId="77777777" w:rsidR="006D1F00" w:rsidRPr="00A72EEA" w:rsidRDefault="006D1F00"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CCA066F" w14:textId="77777777" w:rsidR="006D1F00" w:rsidRPr="00A72EEA" w:rsidRDefault="006D1F00"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Carolina Quintero Gacharná</w:t>
            </w:r>
          </w:p>
          <w:p w14:paraId="6D65DBFD" w14:textId="77777777" w:rsidR="006D1F00" w:rsidRPr="00A72EEA" w:rsidRDefault="006D1F00" w:rsidP="001D1CFA">
            <w:pPr>
              <w:spacing w:after="0" w:line="240" w:lineRule="auto"/>
              <w:rPr>
                <w:rFonts w:ascii="Verdana" w:eastAsia="Calibri" w:hAnsi="Verdana" w:cs="Times New Roman"/>
                <w:sz w:val="16"/>
                <w:szCs w:val="16"/>
              </w:rPr>
            </w:pPr>
            <w:r w:rsidRPr="00A72EEA">
              <w:rPr>
                <w:rFonts w:ascii="Verdana" w:eastAsia="Calibri" w:hAnsi="Verdana" w:cs="Times New Roman"/>
                <w:sz w:val="16"/>
                <w:szCs w:val="16"/>
              </w:rPr>
              <w:t>Subdirectora de Gestión Contractual ANCP – CCE</w:t>
            </w:r>
          </w:p>
        </w:tc>
      </w:tr>
      <w:bookmarkEnd w:id="0"/>
    </w:tbl>
    <w:p w14:paraId="63E826D0" w14:textId="77777777" w:rsidR="0057702A" w:rsidRPr="00A72EEA" w:rsidRDefault="0057702A" w:rsidP="008018AE">
      <w:pPr>
        <w:rPr>
          <w:rFonts w:ascii="Verdana" w:hAnsi="Verdana"/>
          <w:lang w:val="es-ES"/>
        </w:rPr>
      </w:pPr>
    </w:p>
    <w:sectPr w:rsidR="0057702A" w:rsidRPr="00A72EE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0AD56" w14:textId="77777777" w:rsidR="00AD0F46" w:rsidRDefault="00AD0F46" w:rsidP="004A1847">
      <w:pPr>
        <w:spacing w:after="0" w:line="240" w:lineRule="auto"/>
      </w:pPr>
      <w:r>
        <w:separator/>
      </w:r>
    </w:p>
  </w:endnote>
  <w:endnote w:type="continuationSeparator" w:id="0">
    <w:p w14:paraId="1214986D" w14:textId="77777777" w:rsidR="00AD0F46" w:rsidRDefault="00AD0F46" w:rsidP="004A1847">
      <w:pPr>
        <w:spacing w:after="0" w:line="240" w:lineRule="auto"/>
      </w:pPr>
      <w:r>
        <w:continuationSeparator/>
      </w:r>
    </w:p>
  </w:endnote>
  <w:endnote w:type="continuationNotice" w:id="1">
    <w:p w14:paraId="10D6F8C7" w14:textId="77777777" w:rsidR="00AD0F46" w:rsidRDefault="00AD0F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636A565F"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617AC" w:rsidRPr="00A617AC">
      <w:rPr>
        <w:rFonts w:ascii="Verdana" w:eastAsiaTheme="minorEastAsia" w:hAnsi="Verdana"/>
        <w:b/>
        <w:bCs/>
        <w:noProof/>
        <w:sz w:val="16"/>
        <w:szCs w:val="16"/>
      </w:rPr>
      <w:t>21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C0A0C" w14:textId="77777777" w:rsidR="00AD0F46" w:rsidRDefault="00AD0F46" w:rsidP="004A1847">
      <w:pPr>
        <w:spacing w:after="0" w:line="240" w:lineRule="auto"/>
      </w:pPr>
      <w:r>
        <w:separator/>
      </w:r>
    </w:p>
  </w:footnote>
  <w:footnote w:type="continuationSeparator" w:id="0">
    <w:p w14:paraId="67DF863B" w14:textId="77777777" w:rsidR="00AD0F46" w:rsidRDefault="00AD0F46" w:rsidP="004A1847">
      <w:pPr>
        <w:spacing w:after="0" w:line="240" w:lineRule="auto"/>
      </w:pPr>
      <w:r>
        <w:continuationSeparator/>
      </w:r>
    </w:p>
  </w:footnote>
  <w:footnote w:type="continuationNotice" w:id="1">
    <w:p w14:paraId="3D66FBA8" w14:textId="77777777" w:rsidR="00AD0F46" w:rsidRDefault="00AD0F46">
      <w:pPr>
        <w:spacing w:after="0" w:line="240" w:lineRule="auto"/>
      </w:pPr>
    </w:p>
  </w:footnote>
  <w:footnote w:id="2">
    <w:p w14:paraId="17A914A3" w14:textId="77777777" w:rsidR="006D1F00" w:rsidRPr="00A617AC" w:rsidRDefault="006D1F00" w:rsidP="00A72EEA">
      <w:pPr>
        <w:pStyle w:val="Textonotapie"/>
        <w:ind w:firstLine="709"/>
        <w:jc w:val="both"/>
        <w:rPr>
          <w:rFonts w:ascii="Verdana" w:hAnsi="Verdana" w:cs="Arial"/>
          <w:sz w:val="16"/>
          <w:szCs w:val="16"/>
          <w:lang w:val="es-ES"/>
        </w:rPr>
      </w:pPr>
      <w:r w:rsidRPr="00A617AC">
        <w:rPr>
          <w:rStyle w:val="Refdenotaalpie"/>
          <w:rFonts w:ascii="Verdana" w:hAnsi="Verdana" w:cs="Arial"/>
          <w:sz w:val="16"/>
          <w:szCs w:val="16"/>
        </w:rPr>
        <w:footnoteRef/>
      </w:r>
      <w:r w:rsidRPr="00A617AC">
        <w:rPr>
          <w:rFonts w:ascii="Verdana" w:hAnsi="Verdana" w:cs="Arial"/>
          <w:sz w:val="16"/>
          <w:szCs w:val="16"/>
        </w:rPr>
        <w:t xml:space="preserve"> </w:t>
      </w:r>
      <w:r w:rsidRPr="00A617AC">
        <w:rPr>
          <w:rFonts w:ascii="Verdana" w:hAnsi="Verdana" w:cs="Arial"/>
          <w:sz w:val="16"/>
          <w:szCs w:val="16"/>
          <w:lang w:val="es-ES"/>
        </w:rPr>
        <w:t>BOBBIO, Norberto. Democracia y secreto. México: Fondo de Cultura Económica, 2013. p. 27.</w:t>
      </w:r>
    </w:p>
  </w:footnote>
  <w:footnote w:id="3">
    <w:p w14:paraId="4C8964FD"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DF42B74"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Lo anterior, sin perjuicio de las publicaciones previstas en el numeral 3 del artículo 30 de la Ley 80 de 1993.</w:t>
      </w:r>
    </w:p>
    <w:p w14:paraId="2B33F069"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029ABBDF"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w:t>
      </w:r>
    </w:p>
    <w:p w14:paraId="052617AE"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21673480" w14:textId="77777777" w:rsidR="006D1F00" w:rsidRPr="00A617AC" w:rsidRDefault="006D1F00" w:rsidP="00A72EEA">
      <w:pPr>
        <w:pStyle w:val="Textonotapie"/>
        <w:ind w:firstLine="709"/>
        <w:jc w:val="both"/>
        <w:rPr>
          <w:rFonts w:ascii="Verdana" w:hAnsi="Verdana" w:cs="Arial"/>
          <w:color w:val="000000" w:themeColor="text1"/>
          <w:sz w:val="16"/>
          <w:szCs w:val="16"/>
          <w:lang w:val="es-CO"/>
        </w:rPr>
      </w:pPr>
    </w:p>
  </w:footnote>
  <w:footnote w:id="4">
    <w:p w14:paraId="0F55C525"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6878DEF0" w14:textId="77777777" w:rsidR="006D1F00" w:rsidRPr="00A617AC" w:rsidRDefault="006D1F00" w:rsidP="00A72EEA">
      <w:pPr>
        <w:pStyle w:val="Textonotapie"/>
        <w:ind w:firstLine="709"/>
        <w:jc w:val="both"/>
        <w:rPr>
          <w:rFonts w:ascii="Verdana" w:hAnsi="Verdana" w:cs="Arial"/>
          <w:color w:val="000000" w:themeColor="text1"/>
          <w:sz w:val="16"/>
          <w:szCs w:val="16"/>
          <w:lang w:val="es-CO"/>
        </w:rPr>
      </w:pPr>
    </w:p>
  </w:footnote>
  <w:footnote w:id="5">
    <w:p w14:paraId="000D921E"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23AB3A81"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7AF023C7" w14:textId="77777777" w:rsidR="006D1F00" w:rsidRPr="00A617AC" w:rsidRDefault="006D1F00" w:rsidP="00A72EEA">
      <w:pPr>
        <w:pStyle w:val="Textonotapie"/>
        <w:ind w:firstLine="709"/>
        <w:jc w:val="both"/>
        <w:rPr>
          <w:rFonts w:ascii="Verdana" w:hAnsi="Verdana" w:cs="Arial"/>
          <w:color w:val="000000" w:themeColor="text1"/>
          <w:sz w:val="16"/>
          <w:szCs w:val="16"/>
          <w:lang w:val="es-CO"/>
        </w:rPr>
      </w:pPr>
    </w:p>
  </w:footnote>
  <w:footnote w:id="6">
    <w:p w14:paraId="69998A9E" w14:textId="77777777" w:rsidR="006D1F00" w:rsidRPr="00A617AC" w:rsidRDefault="006D1F00" w:rsidP="00A72EEA">
      <w:pPr>
        <w:pStyle w:val="Textonotapie"/>
        <w:ind w:firstLine="709"/>
        <w:jc w:val="both"/>
        <w:rPr>
          <w:rFonts w:ascii="Verdana" w:hAnsi="Verdana" w:cs="Arial"/>
          <w:color w:val="000000" w:themeColor="text1"/>
          <w:sz w:val="16"/>
          <w:szCs w:val="16"/>
        </w:rPr>
      </w:pPr>
      <w:r w:rsidRPr="00A617AC">
        <w:rPr>
          <w:rFonts w:ascii="Verdana" w:eastAsia="Times New Roman" w:hAnsi="Verdana" w:cs="Arial"/>
          <w:color w:val="000000" w:themeColor="text1"/>
          <w:sz w:val="16"/>
          <w:szCs w:val="16"/>
          <w:vertAlign w:val="superscript"/>
          <w:lang w:val="es-ES" w:eastAsia="es-ES"/>
        </w:rPr>
        <w:footnoteRef/>
      </w:r>
      <w:r w:rsidRPr="00A617AC">
        <w:rPr>
          <w:rFonts w:ascii="Verdana" w:eastAsia="Times New Roman" w:hAnsi="Verdana" w:cs="Arial"/>
          <w:color w:val="000000" w:themeColor="text1"/>
          <w:sz w:val="16"/>
          <w:szCs w:val="16"/>
          <w:vertAlign w:val="superscript"/>
          <w:lang w:val="es-ES" w:eastAsia="es-ES"/>
        </w:rPr>
        <w:t xml:space="preserve"> </w:t>
      </w:r>
      <w:r w:rsidRPr="00A617AC">
        <w:rPr>
          <w:rFonts w:ascii="Verdana" w:eastAsia="Times New Roman" w:hAnsi="Verdana" w:cs="Arial"/>
          <w:color w:val="000000" w:themeColor="text1"/>
          <w:sz w:val="16"/>
          <w:szCs w:val="16"/>
          <w:lang w:val="es-ES" w:eastAsia="es-ES"/>
        </w:rPr>
        <w:t>«</w:t>
      </w:r>
      <w:r w:rsidRPr="00A617AC">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267BD05" w14:textId="77777777" w:rsidR="006D1F00" w:rsidRPr="00A617AC" w:rsidRDefault="006D1F00" w:rsidP="00A72EEA">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hAnsi="Verdana" w:cs="Arial"/>
          <w:color w:val="000000" w:themeColor="text1"/>
          <w:sz w:val="16"/>
          <w:szCs w:val="16"/>
        </w:rPr>
        <w:t>[…].</w:t>
      </w:r>
    </w:p>
    <w:p w14:paraId="20CB38B1" w14:textId="77777777" w:rsidR="006D1F00" w:rsidRPr="00A617AC" w:rsidRDefault="006D1F00" w:rsidP="00A72EEA">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2F4AA9E8" w14:textId="77777777" w:rsidR="006D1F00" w:rsidRPr="00A617AC" w:rsidRDefault="006D1F00" w:rsidP="00A72EEA">
      <w:pPr>
        <w:pStyle w:val="Textonotapie"/>
        <w:ind w:firstLine="709"/>
        <w:jc w:val="both"/>
        <w:rPr>
          <w:rFonts w:ascii="Verdana" w:eastAsia="Times New Roman" w:hAnsi="Verdana" w:cs="Arial"/>
          <w:color w:val="000000" w:themeColor="text1"/>
          <w:sz w:val="16"/>
          <w:szCs w:val="16"/>
          <w:lang w:val="es-ES" w:eastAsia="es-ES"/>
        </w:rPr>
      </w:pPr>
    </w:p>
  </w:footnote>
  <w:footnote w:id="7">
    <w:p w14:paraId="5E64E752" w14:textId="77777777" w:rsidR="006D1F00" w:rsidRPr="00A617AC" w:rsidRDefault="006D1F00" w:rsidP="00A72EEA">
      <w:pPr>
        <w:pStyle w:val="Textonotapie"/>
        <w:ind w:firstLine="709"/>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C</w:t>
      </w:r>
      <w:r w:rsidRPr="00A617AC">
        <w:rPr>
          <w:rFonts w:ascii="Verdana" w:eastAsia="Times New Roman" w:hAnsi="Verdana" w:cs="Arial"/>
          <w:color w:val="000000"/>
          <w:sz w:val="16"/>
          <w:szCs w:val="16"/>
          <w:lang w:val="es-ES" w:eastAsia="es-ES"/>
        </w:rPr>
        <w:t>orte Constitucional. Sentencia C‒274 de 9 de mayo de 2013. M.P. Mar</w:t>
      </w:r>
      <w:r w:rsidRPr="00A617AC">
        <w:rPr>
          <w:rFonts w:ascii="Verdana" w:eastAsia="Times New Roman" w:hAnsi="Verdana" w:cs="Century Gothic"/>
          <w:color w:val="000000"/>
          <w:sz w:val="16"/>
          <w:szCs w:val="16"/>
          <w:lang w:val="es-ES" w:eastAsia="es-ES"/>
        </w:rPr>
        <w:t>í</w:t>
      </w:r>
      <w:r w:rsidRPr="00A617AC">
        <w:rPr>
          <w:rFonts w:ascii="Verdana" w:eastAsia="Times New Roman" w:hAnsi="Verdana" w:cs="Arial"/>
          <w:color w:val="000000"/>
          <w:sz w:val="16"/>
          <w:szCs w:val="16"/>
          <w:lang w:val="es-ES" w:eastAsia="es-ES"/>
        </w:rPr>
        <w:t xml:space="preserve">a Victoria Calle Correa. </w:t>
      </w:r>
    </w:p>
    <w:p w14:paraId="600B1DE9" w14:textId="77777777" w:rsidR="006D1F00" w:rsidRPr="00A617AC" w:rsidRDefault="006D1F00" w:rsidP="00A72EEA">
      <w:pPr>
        <w:pStyle w:val="Textonotapie"/>
        <w:ind w:firstLine="709"/>
        <w:jc w:val="both"/>
        <w:rPr>
          <w:rFonts w:ascii="Verdana" w:hAnsi="Verdana" w:cs="Arial"/>
          <w:color w:val="000000"/>
          <w:sz w:val="16"/>
          <w:szCs w:val="16"/>
          <w:lang w:val="es-CO"/>
        </w:rPr>
      </w:pPr>
    </w:p>
  </w:footnote>
  <w:footnote w:id="8">
    <w:p w14:paraId="25876DC8" w14:textId="77777777" w:rsidR="006D1F00" w:rsidRPr="00A617AC" w:rsidRDefault="006D1F00" w:rsidP="00A72EEA">
      <w:pPr>
        <w:pStyle w:val="Textonotapie"/>
        <w:ind w:firstLine="708"/>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578B47FA" w14:textId="77777777" w:rsidR="006D1F00" w:rsidRPr="00A617AC" w:rsidRDefault="006D1F00" w:rsidP="00A72EEA">
      <w:pPr>
        <w:pStyle w:val="Textonotapie"/>
        <w:ind w:firstLine="708"/>
        <w:jc w:val="both"/>
        <w:rPr>
          <w:rFonts w:ascii="Verdana" w:hAnsi="Verdana" w:cs="Arial"/>
          <w:color w:val="000000"/>
          <w:sz w:val="16"/>
          <w:szCs w:val="16"/>
        </w:rPr>
      </w:pPr>
      <w:r w:rsidRPr="00A617AC">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71926895" o:spid="_x0000_i1025" type="#_x0000_t75" style="width:14.1pt;height:14.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7"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8"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456949327">
    <w:abstractNumId w:val="12"/>
  </w:num>
  <w:num w:numId="2" w16cid:durableId="1231117603">
    <w:abstractNumId w:val="2"/>
  </w:num>
  <w:num w:numId="3" w16cid:durableId="356079464">
    <w:abstractNumId w:val="10"/>
  </w:num>
  <w:num w:numId="4" w16cid:durableId="11002496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9311866">
    <w:abstractNumId w:val="2"/>
  </w:num>
  <w:num w:numId="6" w16cid:durableId="60569301">
    <w:abstractNumId w:val="26"/>
  </w:num>
  <w:num w:numId="7" w16cid:durableId="1802072009">
    <w:abstractNumId w:val="11"/>
  </w:num>
  <w:num w:numId="8" w16cid:durableId="1533374734">
    <w:abstractNumId w:val="25"/>
  </w:num>
  <w:num w:numId="9" w16cid:durableId="1517886457">
    <w:abstractNumId w:val="13"/>
  </w:num>
  <w:num w:numId="10" w16cid:durableId="1982034376">
    <w:abstractNumId w:val="23"/>
  </w:num>
  <w:num w:numId="11" w16cid:durableId="47725188">
    <w:abstractNumId w:val="14"/>
  </w:num>
  <w:num w:numId="12" w16cid:durableId="118963510">
    <w:abstractNumId w:val="1"/>
  </w:num>
  <w:num w:numId="13" w16cid:durableId="1391078116">
    <w:abstractNumId w:val="7"/>
  </w:num>
  <w:num w:numId="14" w16cid:durableId="2102139727">
    <w:abstractNumId w:val="27"/>
  </w:num>
  <w:num w:numId="15" w16cid:durableId="773937611">
    <w:abstractNumId w:val="22"/>
  </w:num>
  <w:num w:numId="16" w16cid:durableId="57686826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67974995">
    <w:abstractNumId w:val="5"/>
  </w:num>
  <w:num w:numId="18" w16cid:durableId="1809592636">
    <w:abstractNumId w:val="20"/>
  </w:num>
  <w:num w:numId="19" w16cid:durableId="2105422056">
    <w:abstractNumId w:val="9"/>
  </w:num>
  <w:num w:numId="20" w16cid:durableId="233246866">
    <w:abstractNumId w:val="15"/>
  </w:num>
  <w:num w:numId="21" w16cid:durableId="499076331">
    <w:abstractNumId w:val="28"/>
  </w:num>
  <w:num w:numId="22" w16cid:durableId="2049183179">
    <w:abstractNumId w:val="16"/>
  </w:num>
  <w:num w:numId="23" w16cid:durableId="827598279">
    <w:abstractNumId w:val="0"/>
  </w:num>
  <w:num w:numId="24" w16cid:durableId="594442652">
    <w:abstractNumId w:val="21"/>
  </w:num>
  <w:num w:numId="25" w16cid:durableId="1700933662">
    <w:abstractNumId w:val="18"/>
  </w:num>
  <w:num w:numId="26" w16cid:durableId="439765452">
    <w:abstractNumId w:val="17"/>
  </w:num>
  <w:num w:numId="27" w16cid:durableId="1318725272">
    <w:abstractNumId w:val="6"/>
  </w:num>
  <w:num w:numId="28" w16cid:durableId="2095783722">
    <w:abstractNumId w:val="8"/>
  </w:num>
  <w:num w:numId="29" w16cid:durableId="324822760">
    <w:abstractNumId w:val="3"/>
  </w:num>
  <w:num w:numId="30" w16cid:durableId="853879778">
    <w:abstractNumId w:val="4"/>
  </w:num>
  <w:num w:numId="31" w16cid:durableId="1737359950">
    <w:abstractNumId w:val="19"/>
  </w:num>
  <w:num w:numId="32" w16cid:durableId="82735752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17EA5"/>
    <w:rsid w:val="000224F2"/>
    <w:rsid w:val="00023C3E"/>
    <w:rsid w:val="0002653B"/>
    <w:rsid w:val="00036498"/>
    <w:rsid w:val="0004063C"/>
    <w:rsid w:val="00040F37"/>
    <w:rsid w:val="00041860"/>
    <w:rsid w:val="0004434A"/>
    <w:rsid w:val="0005281E"/>
    <w:rsid w:val="0005682C"/>
    <w:rsid w:val="00056D71"/>
    <w:rsid w:val="00061B2A"/>
    <w:rsid w:val="00062BAF"/>
    <w:rsid w:val="000630B9"/>
    <w:rsid w:val="000635D0"/>
    <w:rsid w:val="000643B2"/>
    <w:rsid w:val="00065E80"/>
    <w:rsid w:val="0007022C"/>
    <w:rsid w:val="00071DE6"/>
    <w:rsid w:val="00074D46"/>
    <w:rsid w:val="000754E3"/>
    <w:rsid w:val="00077439"/>
    <w:rsid w:val="000774B8"/>
    <w:rsid w:val="0008214B"/>
    <w:rsid w:val="00082362"/>
    <w:rsid w:val="0008328D"/>
    <w:rsid w:val="00086A49"/>
    <w:rsid w:val="00090C58"/>
    <w:rsid w:val="000920CF"/>
    <w:rsid w:val="0009387A"/>
    <w:rsid w:val="0009387B"/>
    <w:rsid w:val="00095E97"/>
    <w:rsid w:val="000963C6"/>
    <w:rsid w:val="0009762F"/>
    <w:rsid w:val="000A31B9"/>
    <w:rsid w:val="000A3330"/>
    <w:rsid w:val="000A3D63"/>
    <w:rsid w:val="000A683A"/>
    <w:rsid w:val="000A683E"/>
    <w:rsid w:val="000B158F"/>
    <w:rsid w:val="000B19B9"/>
    <w:rsid w:val="000B241D"/>
    <w:rsid w:val="000C2889"/>
    <w:rsid w:val="000D0152"/>
    <w:rsid w:val="000D0334"/>
    <w:rsid w:val="000D25D7"/>
    <w:rsid w:val="000D3B29"/>
    <w:rsid w:val="000D659E"/>
    <w:rsid w:val="000E06F4"/>
    <w:rsid w:val="000E0F63"/>
    <w:rsid w:val="000E4CE4"/>
    <w:rsid w:val="000F6486"/>
    <w:rsid w:val="000F669F"/>
    <w:rsid w:val="001063B3"/>
    <w:rsid w:val="00107ACA"/>
    <w:rsid w:val="001114A9"/>
    <w:rsid w:val="00111979"/>
    <w:rsid w:val="00116537"/>
    <w:rsid w:val="00120766"/>
    <w:rsid w:val="00121EA1"/>
    <w:rsid w:val="001240BD"/>
    <w:rsid w:val="00125105"/>
    <w:rsid w:val="00127233"/>
    <w:rsid w:val="00131D34"/>
    <w:rsid w:val="00136D0B"/>
    <w:rsid w:val="00143E81"/>
    <w:rsid w:val="00143FD9"/>
    <w:rsid w:val="00145047"/>
    <w:rsid w:val="0014509D"/>
    <w:rsid w:val="00146C57"/>
    <w:rsid w:val="00150565"/>
    <w:rsid w:val="00160D5C"/>
    <w:rsid w:val="0016332F"/>
    <w:rsid w:val="0016458A"/>
    <w:rsid w:val="001717E9"/>
    <w:rsid w:val="0017238A"/>
    <w:rsid w:val="00176E4C"/>
    <w:rsid w:val="00177DC9"/>
    <w:rsid w:val="00180A30"/>
    <w:rsid w:val="0018159B"/>
    <w:rsid w:val="00185EE9"/>
    <w:rsid w:val="00187F79"/>
    <w:rsid w:val="00195992"/>
    <w:rsid w:val="00196153"/>
    <w:rsid w:val="00197274"/>
    <w:rsid w:val="001A237A"/>
    <w:rsid w:val="001A26CF"/>
    <w:rsid w:val="001A2919"/>
    <w:rsid w:val="001B2CFE"/>
    <w:rsid w:val="001B51A9"/>
    <w:rsid w:val="001C222E"/>
    <w:rsid w:val="001C22F9"/>
    <w:rsid w:val="001C7CEB"/>
    <w:rsid w:val="001D1C29"/>
    <w:rsid w:val="001E3C06"/>
    <w:rsid w:val="001E4177"/>
    <w:rsid w:val="001F4EFD"/>
    <w:rsid w:val="001F5E13"/>
    <w:rsid w:val="001F6D11"/>
    <w:rsid w:val="001F7DC6"/>
    <w:rsid w:val="00202886"/>
    <w:rsid w:val="00206A83"/>
    <w:rsid w:val="00215B75"/>
    <w:rsid w:val="00215CEF"/>
    <w:rsid w:val="00217A08"/>
    <w:rsid w:val="002203C8"/>
    <w:rsid w:val="00220B77"/>
    <w:rsid w:val="00221D27"/>
    <w:rsid w:val="00227C89"/>
    <w:rsid w:val="00234E14"/>
    <w:rsid w:val="00235FA7"/>
    <w:rsid w:val="00237233"/>
    <w:rsid w:val="002421BB"/>
    <w:rsid w:val="002442AC"/>
    <w:rsid w:val="00246A81"/>
    <w:rsid w:val="00251A5F"/>
    <w:rsid w:val="0025796E"/>
    <w:rsid w:val="002603E5"/>
    <w:rsid w:val="00260FD9"/>
    <w:rsid w:val="002638B2"/>
    <w:rsid w:val="002660F2"/>
    <w:rsid w:val="002664BB"/>
    <w:rsid w:val="002707A2"/>
    <w:rsid w:val="00270FB6"/>
    <w:rsid w:val="002715B9"/>
    <w:rsid w:val="00276223"/>
    <w:rsid w:val="00281E93"/>
    <w:rsid w:val="00282584"/>
    <w:rsid w:val="002835A6"/>
    <w:rsid w:val="002844ED"/>
    <w:rsid w:val="00287156"/>
    <w:rsid w:val="002951A0"/>
    <w:rsid w:val="002962BC"/>
    <w:rsid w:val="002A093D"/>
    <w:rsid w:val="002A0DC4"/>
    <w:rsid w:val="002A0DD0"/>
    <w:rsid w:val="002A3450"/>
    <w:rsid w:val="002A49AC"/>
    <w:rsid w:val="002A64FD"/>
    <w:rsid w:val="002A6BBF"/>
    <w:rsid w:val="002B1E57"/>
    <w:rsid w:val="002B1F7F"/>
    <w:rsid w:val="002B290B"/>
    <w:rsid w:val="002B631F"/>
    <w:rsid w:val="002C110E"/>
    <w:rsid w:val="002C379A"/>
    <w:rsid w:val="002C765E"/>
    <w:rsid w:val="002C7A84"/>
    <w:rsid w:val="002D13A1"/>
    <w:rsid w:val="002D19BE"/>
    <w:rsid w:val="002D1E42"/>
    <w:rsid w:val="002D3F0D"/>
    <w:rsid w:val="002E1D98"/>
    <w:rsid w:val="002E2C3F"/>
    <w:rsid w:val="002E2F4F"/>
    <w:rsid w:val="002E4FD9"/>
    <w:rsid w:val="002E6F15"/>
    <w:rsid w:val="002F13FD"/>
    <w:rsid w:val="00303544"/>
    <w:rsid w:val="003039C1"/>
    <w:rsid w:val="00310DBE"/>
    <w:rsid w:val="0031430F"/>
    <w:rsid w:val="00314C02"/>
    <w:rsid w:val="00320BBD"/>
    <w:rsid w:val="00322A85"/>
    <w:rsid w:val="00324168"/>
    <w:rsid w:val="0033032A"/>
    <w:rsid w:val="003330D3"/>
    <w:rsid w:val="0033498F"/>
    <w:rsid w:val="00334C6A"/>
    <w:rsid w:val="00336C05"/>
    <w:rsid w:val="00342675"/>
    <w:rsid w:val="00343512"/>
    <w:rsid w:val="003448F4"/>
    <w:rsid w:val="00345330"/>
    <w:rsid w:val="003528DF"/>
    <w:rsid w:val="00352C12"/>
    <w:rsid w:val="00354BCA"/>
    <w:rsid w:val="00354F33"/>
    <w:rsid w:val="00360631"/>
    <w:rsid w:val="0036594E"/>
    <w:rsid w:val="003665EE"/>
    <w:rsid w:val="0037010E"/>
    <w:rsid w:val="0037158E"/>
    <w:rsid w:val="003734F4"/>
    <w:rsid w:val="00374F5E"/>
    <w:rsid w:val="00377E2D"/>
    <w:rsid w:val="00377E3E"/>
    <w:rsid w:val="003815E8"/>
    <w:rsid w:val="00387C3F"/>
    <w:rsid w:val="003906F8"/>
    <w:rsid w:val="00392A49"/>
    <w:rsid w:val="003A26D1"/>
    <w:rsid w:val="003A3B30"/>
    <w:rsid w:val="003A779E"/>
    <w:rsid w:val="003B005A"/>
    <w:rsid w:val="003C1BFE"/>
    <w:rsid w:val="003C1C0E"/>
    <w:rsid w:val="003C3FA5"/>
    <w:rsid w:val="003D0F4D"/>
    <w:rsid w:val="003D5B0D"/>
    <w:rsid w:val="003E0499"/>
    <w:rsid w:val="003E40F2"/>
    <w:rsid w:val="003F3941"/>
    <w:rsid w:val="003F4BAF"/>
    <w:rsid w:val="00400676"/>
    <w:rsid w:val="004008A9"/>
    <w:rsid w:val="00405A3E"/>
    <w:rsid w:val="00406575"/>
    <w:rsid w:val="00407C75"/>
    <w:rsid w:val="00410906"/>
    <w:rsid w:val="0041655A"/>
    <w:rsid w:val="0041694B"/>
    <w:rsid w:val="00426FD7"/>
    <w:rsid w:val="0042722E"/>
    <w:rsid w:val="00427DA0"/>
    <w:rsid w:val="00440391"/>
    <w:rsid w:val="00441FCF"/>
    <w:rsid w:val="00442C7F"/>
    <w:rsid w:val="0044528D"/>
    <w:rsid w:val="00450920"/>
    <w:rsid w:val="00454D48"/>
    <w:rsid w:val="004554F9"/>
    <w:rsid w:val="0046004D"/>
    <w:rsid w:val="004633DE"/>
    <w:rsid w:val="00465E71"/>
    <w:rsid w:val="004712E0"/>
    <w:rsid w:val="004734BD"/>
    <w:rsid w:val="00474931"/>
    <w:rsid w:val="00482608"/>
    <w:rsid w:val="00483749"/>
    <w:rsid w:val="00484809"/>
    <w:rsid w:val="00484BB1"/>
    <w:rsid w:val="004A0980"/>
    <w:rsid w:val="004A0B8B"/>
    <w:rsid w:val="004A1847"/>
    <w:rsid w:val="004A305D"/>
    <w:rsid w:val="004A3312"/>
    <w:rsid w:val="004A6D9B"/>
    <w:rsid w:val="004B53F1"/>
    <w:rsid w:val="004B703F"/>
    <w:rsid w:val="004B740F"/>
    <w:rsid w:val="004C4B37"/>
    <w:rsid w:val="004D026D"/>
    <w:rsid w:val="004D3A9E"/>
    <w:rsid w:val="004D46AB"/>
    <w:rsid w:val="004E221E"/>
    <w:rsid w:val="004E2892"/>
    <w:rsid w:val="004E409A"/>
    <w:rsid w:val="004E4C0B"/>
    <w:rsid w:val="004E505B"/>
    <w:rsid w:val="004E795C"/>
    <w:rsid w:val="004F21C4"/>
    <w:rsid w:val="004F2B72"/>
    <w:rsid w:val="004F3012"/>
    <w:rsid w:val="004F5559"/>
    <w:rsid w:val="004F5A86"/>
    <w:rsid w:val="004F685F"/>
    <w:rsid w:val="004F7EC9"/>
    <w:rsid w:val="00504CBE"/>
    <w:rsid w:val="00514598"/>
    <w:rsid w:val="00515557"/>
    <w:rsid w:val="00515E1E"/>
    <w:rsid w:val="005163B5"/>
    <w:rsid w:val="00523453"/>
    <w:rsid w:val="0052543A"/>
    <w:rsid w:val="0052785C"/>
    <w:rsid w:val="00533E1B"/>
    <w:rsid w:val="00540C2D"/>
    <w:rsid w:val="00541793"/>
    <w:rsid w:val="00543E03"/>
    <w:rsid w:val="00552502"/>
    <w:rsid w:val="005559D1"/>
    <w:rsid w:val="005566E8"/>
    <w:rsid w:val="00560CB5"/>
    <w:rsid w:val="00564F8B"/>
    <w:rsid w:val="00574122"/>
    <w:rsid w:val="00574867"/>
    <w:rsid w:val="00576927"/>
    <w:rsid w:val="0057702A"/>
    <w:rsid w:val="00577D09"/>
    <w:rsid w:val="0058087F"/>
    <w:rsid w:val="00581AA1"/>
    <w:rsid w:val="00591460"/>
    <w:rsid w:val="00592628"/>
    <w:rsid w:val="00592E27"/>
    <w:rsid w:val="00597C75"/>
    <w:rsid w:val="005A0868"/>
    <w:rsid w:val="005A0CFB"/>
    <w:rsid w:val="005A282F"/>
    <w:rsid w:val="005A2AC9"/>
    <w:rsid w:val="005A2D71"/>
    <w:rsid w:val="005A55D5"/>
    <w:rsid w:val="005B2C3C"/>
    <w:rsid w:val="005B2CCE"/>
    <w:rsid w:val="005B496D"/>
    <w:rsid w:val="005B58C1"/>
    <w:rsid w:val="005B6033"/>
    <w:rsid w:val="005C053C"/>
    <w:rsid w:val="005C16D1"/>
    <w:rsid w:val="005C3777"/>
    <w:rsid w:val="005C5CDC"/>
    <w:rsid w:val="005C6939"/>
    <w:rsid w:val="005C7629"/>
    <w:rsid w:val="005D17C8"/>
    <w:rsid w:val="005D2649"/>
    <w:rsid w:val="005D2B2B"/>
    <w:rsid w:val="005D476C"/>
    <w:rsid w:val="005D4E83"/>
    <w:rsid w:val="005D5F91"/>
    <w:rsid w:val="005D75E8"/>
    <w:rsid w:val="005D7B25"/>
    <w:rsid w:val="005F0EE5"/>
    <w:rsid w:val="005F7333"/>
    <w:rsid w:val="005F7C43"/>
    <w:rsid w:val="00605A00"/>
    <w:rsid w:val="00610812"/>
    <w:rsid w:val="00611261"/>
    <w:rsid w:val="00612CE7"/>
    <w:rsid w:val="006149EF"/>
    <w:rsid w:val="00617ACB"/>
    <w:rsid w:val="006219F8"/>
    <w:rsid w:val="0063165E"/>
    <w:rsid w:val="0063166A"/>
    <w:rsid w:val="00632C08"/>
    <w:rsid w:val="00636BF8"/>
    <w:rsid w:val="00650FF7"/>
    <w:rsid w:val="006569FB"/>
    <w:rsid w:val="00664B4D"/>
    <w:rsid w:val="00665D70"/>
    <w:rsid w:val="00667199"/>
    <w:rsid w:val="00671DAC"/>
    <w:rsid w:val="006747C7"/>
    <w:rsid w:val="006827AC"/>
    <w:rsid w:val="006859A3"/>
    <w:rsid w:val="006900D9"/>
    <w:rsid w:val="006A0008"/>
    <w:rsid w:val="006A10DF"/>
    <w:rsid w:val="006A3147"/>
    <w:rsid w:val="006A7312"/>
    <w:rsid w:val="006C0240"/>
    <w:rsid w:val="006C1E81"/>
    <w:rsid w:val="006C5595"/>
    <w:rsid w:val="006D12F8"/>
    <w:rsid w:val="006D1F00"/>
    <w:rsid w:val="006E480D"/>
    <w:rsid w:val="006F0D40"/>
    <w:rsid w:val="006F2501"/>
    <w:rsid w:val="006F3A51"/>
    <w:rsid w:val="006F6A52"/>
    <w:rsid w:val="006F7C51"/>
    <w:rsid w:val="00703916"/>
    <w:rsid w:val="00704D9B"/>
    <w:rsid w:val="00705E5F"/>
    <w:rsid w:val="00706C16"/>
    <w:rsid w:val="00711C85"/>
    <w:rsid w:val="0071273A"/>
    <w:rsid w:val="0071287D"/>
    <w:rsid w:val="007140E6"/>
    <w:rsid w:val="0071458F"/>
    <w:rsid w:val="00714B96"/>
    <w:rsid w:val="0071627C"/>
    <w:rsid w:val="00717903"/>
    <w:rsid w:val="00723A7F"/>
    <w:rsid w:val="007312C3"/>
    <w:rsid w:val="00737C53"/>
    <w:rsid w:val="00737DFA"/>
    <w:rsid w:val="00737E63"/>
    <w:rsid w:val="00751A8E"/>
    <w:rsid w:val="00752A44"/>
    <w:rsid w:val="0075663D"/>
    <w:rsid w:val="00756841"/>
    <w:rsid w:val="00762AA9"/>
    <w:rsid w:val="007649AB"/>
    <w:rsid w:val="00770AC9"/>
    <w:rsid w:val="00771D0C"/>
    <w:rsid w:val="007750AE"/>
    <w:rsid w:val="007833AC"/>
    <w:rsid w:val="0078358E"/>
    <w:rsid w:val="00784D58"/>
    <w:rsid w:val="0078648E"/>
    <w:rsid w:val="00786FBF"/>
    <w:rsid w:val="00790AB7"/>
    <w:rsid w:val="00791769"/>
    <w:rsid w:val="007922D3"/>
    <w:rsid w:val="007934D0"/>
    <w:rsid w:val="00795D42"/>
    <w:rsid w:val="00796340"/>
    <w:rsid w:val="007A23EA"/>
    <w:rsid w:val="007A5189"/>
    <w:rsid w:val="007B0D88"/>
    <w:rsid w:val="007B268C"/>
    <w:rsid w:val="007B7171"/>
    <w:rsid w:val="007B7D02"/>
    <w:rsid w:val="007C0C0F"/>
    <w:rsid w:val="007C1E3A"/>
    <w:rsid w:val="007C3DC2"/>
    <w:rsid w:val="007D0457"/>
    <w:rsid w:val="007D387B"/>
    <w:rsid w:val="007D43C9"/>
    <w:rsid w:val="007E5497"/>
    <w:rsid w:val="007F28CA"/>
    <w:rsid w:val="007F52A4"/>
    <w:rsid w:val="007F60FB"/>
    <w:rsid w:val="007F7B94"/>
    <w:rsid w:val="008015E5"/>
    <w:rsid w:val="008018AE"/>
    <w:rsid w:val="00804981"/>
    <w:rsid w:val="0080567E"/>
    <w:rsid w:val="00806F5F"/>
    <w:rsid w:val="008163D7"/>
    <w:rsid w:val="00820278"/>
    <w:rsid w:val="008202D9"/>
    <w:rsid w:val="008232D6"/>
    <w:rsid w:val="00825484"/>
    <w:rsid w:val="00834554"/>
    <w:rsid w:val="00834B31"/>
    <w:rsid w:val="00840ADC"/>
    <w:rsid w:val="00843BF7"/>
    <w:rsid w:val="0084456E"/>
    <w:rsid w:val="008449B3"/>
    <w:rsid w:val="00846276"/>
    <w:rsid w:val="00850E23"/>
    <w:rsid w:val="00851137"/>
    <w:rsid w:val="00853978"/>
    <w:rsid w:val="0085432F"/>
    <w:rsid w:val="00862224"/>
    <w:rsid w:val="00864209"/>
    <w:rsid w:val="00866586"/>
    <w:rsid w:val="0087325B"/>
    <w:rsid w:val="00881ABA"/>
    <w:rsid w:val="008843B6"/>
    <w:rsid w:val="00885CE4"/>
    <w:rsid w:val="00886C89"/>
    <w:rsid w:val="0088779F"/>
    <w:rsid w:val="00891928"/>
    <w:rsid w:val="00894B8B"/>
    <w:rsid w:val="00894DD0"/>
    <w:rsid w:val="0089556C"/>
    <w:rsid w:val="008A00A4"/>
    <w:rsid w:val="008A446D"/>
    <w:rsid w:val="008A7A64"/>
    <w:rsid w:val="008A7F08"/>
    <w:rsid w:val="008B2F0E"/>
    <w:rsid w:val="008B5A2E"/>
    <w:rsid w:val="008C7645"/>
    <w:rsid w:val="008D148A"/>
    <w:rsid w:val="008D180B"/>
    <w:rsid w:val="008D7227"/>
    <w:rsid w:val="008E1F92"/>
    <w:rsid w:val="008E7333"/>
    <w:rsid w:val="008E7B09"/>
    <w:rsid w:val="008E7D98"/>
    <w:rsid w:val="008F0EA7"/>
    <w:rsid w:val="008F7BB9"/>
    <w:rsid w:val="009029F9"/>
    <w:rsid w:val="00904692"/>
    <w:rsid w:val="00910097"/>
    <w:rsid w:val="00911C7C"/>
    <w:rsid w:val="00913DBA"/>
    <w:rsid w:val="0091561E"/>
    <w:rsid w:val="00921CB9"/>
    <w:rsid w:val="00923EEF"/>
    <w:rsid w:val="009319E1"/>
    <w:rsid w:val="00935BFB"/>
    <w:rsid w:val="0093793E"/>
    <w:rsid w:val="009411F5"/>
    <w:rsid w:val="009419F9"/>
    <w:rsid w:val="00953AA4"/>
    <w:rsid w:val="00955305"/>
    <w:rsid w:val="0095685E"/>
    <w:rsid w:val="00956E12"/>
    <w:rsid w:val="009572D9"/>
    <w:rsid w:val="009600D2"/>
    <w:rsid w:val="00961409"/>
    <w:rsid w:val="00961B09"/>
    <w:rsid w:val="00962300"/>
    <w:rsid w:val="00965334"/>
    <w:rsid w:val="00967DCC"/>
    <w:rsid w:val="0097093E"/>
    <w:rsid w:val="00972768"/>
    <w:rsid w:val="00976025"/>
    <w:rsid w:val="009800BE"/>
    <w:rsid w:val="00982BD4"/>
    <w:rsid w:val="00982E41"/>
    <w:rsid w:val="00984649"/>
    <w:rsid w:val="009858BE"/>
    <w:rsid w:val="00994041"/>
    <w:rsid w:val="009A0DFA"/>
    <w:rsid w:val="009A3C2C"/>
    <w:rsid w:val="009A4A40"/>
    <w:rsid w:val="009B0A7A"/>
    <w:rsid w:val="009B2D26"/>
    <w:rsid w:val="009B780F"/>
    <w:rsid w:val="009C00CC"/>
    <w:rsid w:val="009C0C09"/>
    <w:rsid w:val="009C2DD0"/>
    <w:rsid w:val="009C3AC7"/>
    <w:rsid w:val="009C699C"/>
    <w:rsid w:val="009C71FA"/>
    <w:rsid w:val="009C72E7"/>
    <w:rsid w:val="009D0555"/>
    <w:rsid w:val="009D3058"/>
    <w:rsid w:val="009D3A11"/>
    <w:rsid w:val="009D44C4"/>
    <w:rsid w:val="009D67FD"/>
    <w:rsid w:val="009E5A30"/>
    <w:rsid w:val="009E7872"/>
    <w:rsid w:val="009E7C05"/>
    <w:rsid w:val="009F3831"/>
    <w:rsid w:val="009F3832"/>
    <w:rsid w:val="009F3A13"/>
    <w:rsid w:val="009F4AB2"/>
    <w:rsid w:val="009F73F7"/>
    <w:rsid w:val="00A02465"/>
    <w:rsid w:val="00A03415"/>
    <w:rsid w:val="00A04A81"/>
    <w:rsid w:val="00A11F35"/>
    <w:rsid w:val="00A122D3"/>
    <w:rsid w:val="00A14D3D"/>
    <w:rsid w:val="00A17F13"/>
    <w:rsid w:val="00A20739"/>
    <w:rsid w:val="00A211D0"/>
    <w:rsid w:val="00A23361"/>
    <w:rsid w:val="00A24433"/>
    <w:rsid w:val="00A2443A"/>
    <w:rsid w:val="00A246FA"/>
    <w:rsid w:val="00A332DD"/>
    <w:rsid w:val="00A339A9"/>
    <w:rsid w:val="00A33C78"/>
    <w:rsid w:val="00A34B38"/>
    <w:rsid w:val="00A34D87"/>
    <w:rsid w:val="00A35538"/>
    <w:rsid w:val="00A37BC4"/>
    <w:rsid w:val="00A42050"/>
    <w:rsid w:val="00A43292"/>
    <w:rsid w:val="00A445C0"/>
    <w:rsid w:val="00A466EE"/>
    <w:rsid w:val="00A50E16"/>
    <w:rsid w:val="00A56FCA"/>
    <w:rsid w:val="00A6004A"/>
    <w:rsid w:val="00A613C2"/>
    <w:rsid w:val="00A617AC"/>
    <w:rsid w:val="00A63222"/>
    <w:rsid w:val="00A72EEA"/>
    <w:rsid w:val="00A74DE6"/>
    <w:rsid w:val="00A75E0A"/>
    <w:rsid w:val="00A8086A"/>
    <w:rsid w:val="00A80F32"/>
    <w:rsid w:val="00A8160E"/>
    <w:rsid w:val="00A87F7D"/>
    <w:rsid w:val="00A9244C"/>
    <w:rsid w:val="00A94D14"/>
    <w:rsid w:val="00AA5784"/>
    <w:rsid w:val="00AB0ADB"/>
    <w:rsid w:val="00AB3FD1"/>
    <w:rsid w:val="00AB6C82"/>
    <w:rsid w:val="00AC0EAB"/>
    <w:rsid w:val="00AC1435"/>
    <w:rsid w:val="00AC4701"/>
    <w:rsid w:val="00AC49A2"/>
    <w:rsid w:val="00AC6FA5"/>
    <w:rsid w:val="00AD0F46"/>
    <w:rsid w:val="00AD73E2"/>
    <w:rsid w:val="00AE2631"/>
    <w:rsid w:val="00AE3418"/>
    <w:rsid w:val="00AE6528"/>
    <w:rsid w:val="00AF0A05"/>
    <w:rsid w:val="00AF1BEC"/>
    <w:rsid w:val="00B009B8"/>
    <w:rsid w:val="00B01B1A"/>
    <w:rsid w:val="00B14E03"/>
    <w:rsid w:val="00B24457"/>
    <w:rsid w:val="00B26611"/>
    <w:rsid w:val="00B26B98"/>
    <w:rsid w:val="00B31A3F"/>
    <w:rsid w:val="00B35ADC"/>
    <w:rsid w:val="00B37C24"/>
    <w:rsid w:val="00B405F1"/>
    <w:rsid w:val="00B40FBC"/>
    <w:rsid w:val="00B421F5"/>
    <w:rsid w:val="00B46F27"/>
    <w:rsid w:val="00B47FD7"/>
    <w:rsid w:val="00B51F75"/>
    <w:rsid w:val="00B52CDB"/>
    <w:rsid w:val="00B53E27"/>
    <w:rsid w:val="00B55136"/>
    <w:rsid w:val="00B558AF"/>
    <w:rsid w:val="00B6105C"/>
    <w:rsid w:val="00B615BA"/>
    <w:rsid w:val="00B62D8B"/>
    <w:rsid w:val="00B72CD3"/>
    <w:rsid w:val="00B72FFF"/>
    <w:rsid w:val="00B7676C"/>
    <w:rsid w:val="00B76CEB"/>
    <w:rsid w:val="00B8257D"/>
    <w:rsid w:val="00B828EF"/>
    <w:rsid w:val="00B82B8B"/>
    <w:rsid w:val="00B86982"/>
    <w:rsid w:val="00B86FE2"/>
    <w:rsid w:val="00B878ED"/>
    <w:rsid w:val="00B87F69"/>
    <w:rsid w:val="00B91186"/>
    <w:rsid w:val="00B93423"/>
    <w:rsid w:val="00BA23C8"/>
    <w:rsid w:val="00BA2EF4"/>
    <w:rsid w:val="00BC0036"/>
    <w:rsid w:val="00BC05A6"/>
    <w:rsid w:val="00BC3D36"/>
    <w:rsid w:val="00BC4B34"/>
    <w:rsid w:val="00BD7F72"/>
    <w:rsid w:val="00BE03BC"/>
    <w:rsid w:val="00BE0A18"/>
    <w:rsid w:val="00BE12F9"/>
    <w:rsid w:val="00BE2120"/>
    <w:rsid w:val="00BE7308"/>
    <w:rsid w:val="00BF0437"/>
    <w:rsid w:val="00BF1201"/>
    <w:rsid w:val="00BF1D4A"/>
    <w:rsid w:val="00BF230F"/>
    <w:rsid w:val="00BF714A"/>
    <w:rsid w:val="00C002E3"/>
    <w:rsid w:val="00C012CC"/>
    <w:rsid w:val="00C04FB3"/>
    <w:rsid w:val="00C05FE1"/>
    <w:rsid w:val="00C10179"/>
    <w:rsid w:val="00C147D0"/>
    <w:rsid w:val="00C159C1"/>
    <w:rsid w:val="00C16346"/>
    <w:rsid w:val="00C21B15"/>
    <w:rsid w:val="00C26B12"/>
    <w:rsid w:val="00C32523"/>
    <w:rsid w:val="00C330EB"/>
    <w:rsid w:val="00C371C9"/>
    <w:rsid w:val="00C40E9F"/>
    <w:rsid w:val="00C41481"/>
    <w:rsid w:val="00C42469"/>
    <w:rsid w:val="00C46D91"/>
    <w:rsid w:val="00C47A07"/>
    <w:rsid w:val="00C57281"/>
    <w:rsid w:val="00C65D65"/>
    <w:rsid w:val="00C67703"/>
    <w:rsid w:val="00C7173F"/>
    <w:rsid w:val="00C730B6"/>
    <w:rsid w:val="00C754BE"/>
    <w:rsid w:val="00C76466"/>
    <w:rsid w:val="00C76B1C"/>
    <w:rsid w:val="00C80DB4"/>
    <w:rsid w:val="00C84561"/>
    <w:rsid w:val="00C90B82"/>
    <w:rsid w:val="00C915DD"/>
    <w:rsid w:val="00C91B94"/>
    <w:rsid w:val="00CA6A9D"/>
    <w:rsid w:val="00CA7F6B"/>
    <w:rsid w:val="00CA7FB6"/>
    <w:rsid w:val="00CB6357"/>
    <w:rsid w:val="00CC0FA3"/>
    <w:rsid w:val="00CC1B26"/>
    <w:rsid w:val="00CC49F7"/>
    <w:rsid w:val="00CC54DB"/>
    <w:rsid w:val="00CD087D"/>
    <w:rsid w:val="00CD41CB"/>
    <w:rsid w:val="00CD5EE0"/>
    <w:rsid w:val="00CE509A"/>
    <w:rsid w:val="00CE5414"/>
    <w:rsid w:val="00CF1287"/>
    <w:rsid w:val="00CF7826"/>
    <w:rsid w:val="00D0157A"/>
    <w:rsid w:val="00D036D8"/>
    <w:rsid w:val="00D038ED"/>
    <w:rsid w:val="00D06D26"/>
    <w:rsid w:val="00D10B75"/>
    <w:rsid w:val="00D13351"/>
    <w:rsid w:val="00D15E25"/>
    <w:rsid w:val="00D20368"/>
    <w:rsid w:val="00D21A60"/>
    <w:rsid w:val="00D22361"/>
    <w:rsid w:val="00D22598"/>
    <w:rsid w:val="00D26924"/>
    <w:rsid w:val="00D413F6"/>
    <w:rsid w:val="00D4231B"/>
    <w:rsid w:val="00D423A2"/>
    <w:rsid w:val="00D45422"/>
    <w:rsid w:val="00D520D8"/>
    <w:rsid w:val="00D52961"/>
    <w:rsid w:val="00D55048"/>
    <w:rsid w:val="00D55978"/>
    <w:rsid w:val="00D57FA4"/>
    <w:rsid w:val="00D62DE7"/>
    <w:rsid w:val="00D63AC2"/>
    <w:rsid w:val="00D665B4"/>
    <w:rsid w:val="00D7383B"/>
    <w:rsid w:val="00D7609E"/>
    <w:rsid w:val="00D81A63"/>
    <w:rsid w:val="00D81D25"/>
    <w:rsid w:val="00D85C60"/>
    <w:rsid w:val="00D908FC"/>
    <w:rsid w:val="00D94C40"/>
    <w:rsid w:val="00DA231B"/>
    <w:rsid w:val="00DA23A0"/>
    <w:rsid w:val="00DA7F66"/>
    <w:rsid w:val="00DB186F"/>
    <w:rsid w:val="00DB322A"/>
    <w:rsid w:val="00DC39FC"/>
    <w:rsid w:val="00DC4385"/>
    <w:rsid w:val="00DC484F"/>
    <w:rsid w:val="00DC4C27"/>
    <w:rsid w:val="00DC51BC"/>
    <w:rsid w:val="00DC793F"/>
    <w:rsid w:val="00DE4629"/>
    <w:rsid w:val="00DE4ECC"/>
    <w:rsid w:val="00DF11FD"/>
    <w:rsid w:val="00DF5254"/>
    <w:rsid w:val="00DF7BE3"/>
    <w:rsid w:val="00E12426"/>
    <w:rsid w:val="00E16408"/>
    <w:rsid w:val="00E1678E"/>
    <w:rsid w:val="00E20894"/>
    <w:rsid w:val="00E245AB"/>
    <w:rsid w:val="00E26239"/>
    <w:rsid w:val="00E2764C"/>
    <w:rsid w:val="00E27F2E"/>
    <w:rsid w:val="00E377A2"/>
    <w:rsid w:val="00E40A1A"/>
    <w:rsid w:val="00E413EA"/>
    <w:rsid w:val="00E469B3"/>
    <w:rsid w:val="00E47F28"/>
    <w:rsid w:val="00E50AFE"/>
    <w:rsid w:val="00E52E49"/>
    <w:rsid w:val="00E577AC"/>
    <w:rsid w:val="00E578B6"/>
    <w:rsid w:val="00E61547"/>
    <w:rsid w:val="00E61702"/>
    <w:rsid w:val="00E658D4"/>
    <w:rsid w:val="00E672C6"/>
    <w:rsid w:val="00E744BA"/>
    <w:rsid w:val="00E75376"/>
    <w:rsid w:val="00E75B66"/>
    <w:rsid w:val="00E75C92"/>
    <w:rsid w:val="00E761BC"/>
    <w:rsid w:val="00E76808"/>
    <w:rsid w:val="00E770CD"/>
    <w:rsid w:val="00E771DC"/>
    <w:rsid w:val="00E77478"/>
    <w:rsid w:val="00E77E1B"/>
    <w:rsid w:val="00E8013F"/>
    <w:rsid w:val="00E8071A"/>
    <w:rsid w:val="00E80C9F"/>
    <w:rsid w:val="00E847D2"/>
    <w:rsid w:val="00E85AA8"/>
    <w:rsid w:val="00E870E5"/>
    <w:rsid w:val="00E8772A"/>
    <w:rsid w:val="00E90F6B"/>
    <w:rsid w:val="00E91079"/>
    <w:rsid w:val="00E92C27"/>
    <w:rsid w:val="00E92E10"/>
    <w:rsid w:val="00EA0E3D"/>
    <w:rsid w:val="00EA1CD8"/>
    <w:rsid w:val="00EA393B"/>
    <w:rsid w:val="00EA39A5"/>
    <w:rsid w:val="00EB185D"/>
    <w:rsid w:val="00EB2C4B"/>
    <w:rsid w:val="00EB7E00"/>
    <w:rsid w:val="00EC1A2C"/>
    <w:rsid w:val="00EC1FE1"/>
    <w:rsid w:val="00EC38A7"/>
    <w:rsid w:val="00ED042A"/>
    <w:rsid w:val="00ED0D4A"/>
    <w:rsid w:val="00EE1AA8"/>
    <w:rsid w:val="00EF26C3"/>
    <w:rsid w:val="00EF419E"/>
    <w:rsid w:val="00EF489F"/>
    <w:rsid w:val="00F07875"/>
    <w:rsid w:val="00F11213"/>
    <w:rsid w:val="00F11BAA"/>
    <w:rsid w:val="00F1445A"/>
    <w:rsid w:val="00F177C1"/>
    <w:rsid w:val="00F23404"/>
    <w:rsid w:val="00F23592"/>
    <w:rsid w:val="00F238F2"/>
    <w:rsid w:val="00F260AA"/>
    <w:rsid w:val="00F27B26"/>
    <w:rsid w:val="00F31EDC"/>
    <w:rsid w:val="00F34D02"/>
    <w:rsid w:val="00F34E84"/>
    <w:rsid w:val="00F40BAD"/>
    <w:rsid w:val="00F462B3"/>
    <w:rsid w:val="00F47069"/>
    <w:rsid w:val="00F51119"/>
    <w:rsid w:val="00F5184B"/>
    <w:rsid w:val="00F5391F"/>
    <w:rsid w:val="00F54CA6"/>
    <w:rsid w:val="00F55081"/>
    <w:rsid w:val="00F55168"/>
    <w:rsid w:val="00F5664F"/>
    <w:rsid w:val="00F626C4"/>
    <w:rsid w:val="00F64D9E"/>
    <w:rsid w:val="00F665D0"/>
    <w:rsid w:val="00F666C4"/>
    <w:rsid w:val="00F7684C"/>
    <w:rsid w:val="00F76AFC"/>
    <w:rsid w:val="00F80CBE"/>
    <w:rsid w:val="00F85198"/>
    <w:rsid w:val="00F85A91"/>
    <w:rsid w:val="00F91268"/>
    <w:rsid w:val="00F939CB"/>
    <w:rsid w:val="00F9479C"/>
    <w:rsid w:val="00F95C26"/>
    <w:rsid w:val="00F965EE"/>
    <w:rsid w:val="00F97949"/>
    <w:rsid w:val="00FA0A8F"/>
    <w:rsid w:val="00FA1110"/>
    <w:rsid w:val="00FA358D"/>
    <w:rsid w:val="00FA47C0"/>
    <w:rsid w:val="00FB4425"/>
    <w:rsid w:val="00FB4EE0"/>
    <w:rsid w:val="00FB5615"/>
    <w:rsid w:val="00FB5A21"/>
    <w:rsid w:val="00FB5DD1"/>
    <w:rsid w:val="00FB5F87"/>
    <w:rsid w:val="00FB68DC"/>
    <w:rsid w:val="00FC07B5"/>
    <w:rsid w:val="00FC2B5D"/>
    <w:rsid w:val="00FD00E9"/>
    <w:rsid w:val="00FD03E3"/>
    <w:rsid w:val="00FD07E4"/>
    <w:rsid w:val="00FD0E1B"/>
    <w:rsid w:val="00FE122A"/>
    <w:rsid w:val="00FE20E6"/>
    <w:rsid w:val="00FE42B3"/>
    <w:rsid w:val="00FE5975"/>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F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character" w:styleId="Mencinsinresolver">
    <w:name w:val="Unresolved Mention"/>
    <w:basedOn w:val="Fuentedeprrafopredeter"/>
    <w:uiPriority w:val="99"/>
    <w:semiHidden/>
    <w:unhideWhenUsed/>
    <w:rsid w:val="007750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sultoriaboldbridge@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793535D-CBCD-42FD-BCC7-A258FAED26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E8EB86B5-9BBC-4327-BEF3-D6E7C9A26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2684</TotalTime>
  <Pages>13</Pages>
  <Words>4233</Words>
  <Characters>22816</Characters>
  <Application>Microsoft Office Word</Application>
  <DocSecurity>0</DocSecurity>
  <Lines>475</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66</cp:revision>
  <cp:lastPrinted>2023-01-10T21:18:00Z</cp:lastPrinted>
  <dcterms:created xsi:type="dcterms:W3CDTF">2026-02-09T19:30:00Z</dcterms:created>
  <dcterms:modified xsi:type="dcterms:W3CDTF">2026-02-27T22:55:00Z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