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915F04" w14:textId="77777777" w:rsidR="00A3249F" w:rsidRPr="001E5AD4" w:rsidRDefault="00A3249F" w:rsidP="00A3249F">
      <w:pPr>
        <w:snapToGrid w:val="0"/>
        <w:contextualSpacing/>
        <w:jc w:val="both"/>
        <w:rPr>
          <w:rFonts w:ascii="Verdana" w:eastAsia="Calibri" w:hAnsi="Verdana" w:cs="Arial"/>
          <w:b/>
          <w:bCs/>
          <w:lang w:val="es-ES" w:eastAsia="es-ES"/>
        </w:rPr>
      </w:pPr>
      <w:r w:rsidRPr="001E5AD4">
        <w:rPr>
          <w:rFonts w:ascii="Verdana" w:eastAsia="Calibri" w:hAnsi="Verdana" w:cs="Arial"/>
          <w:b/>
          <w:bCs/>
          <w:lang w:val="es-ES" w:eastAsia="es-ES"/>
        </w:rPr>
        <w:t>LEY DE GARANTÍAS ELECTORALES – Finalidad</w:t>
      </w:r>
    </w:p>
    <w:p w14:paraId="6DF6DD1D" w14:textId="77777777" w:rsidR="00A3249F" w:rsidRPr="001E5AD4" w:rsidRDefault="00A3249F" w:rsidP="00A3249F">
      <w:pPr>
        <w:snapToGrid w:val="0"/>
        <w:spacing w:after="0" w:line="240" w:lineRule="auto"/>
        <w:contextualSpacing/>
        <w:jc w:val="both"/>
        <w:rPr>
          <w:rFonts w:ascii="Verdana" w:eastAsia="Calibri" w:hAnsi="Verdana" w:cs="Arial"/>
          <w:sz w:val="20"/>
          <w:szCs w:val="20"/>
          <w:lang w:val="es-ES" w:eastAsia="es-ES"/>
        </w:rPr>
      </w:pPr>
    </w:p>
    <w:p w14:paraId="328D985F" w14:textId="77777777" w:rsidR="00A3249F" w:rsidRPr="001E5AD4" w:rsidRDefault="00A3249F" w:rsidP="00A3249F">
      <w:pPr>
        <w:tabs>
          <w:tab w:val="left" w:pos="426"/>
        </w:tabs>
        <w:snapToGrid w:val="0"/>
        <w:spacing w:after="0" w:line="240" w:lineRule="auto"/>
        <w:contextualSpacing/>
        <w:jc w:val="both"/>
        <w:rPr>
          <w:rFonts w:ascii="Verdana" w:eastAsia="Calibri" w:hAnsi="Verdana" w:cs="Arial"/>
          <w:sz w:val="20"/>
          <w:szCs w:val="20"/>
          <w:lang w:val="es-ES"/>
        </w:rPr>
      </w:pPr>
      <w:r w:rsidRPr="001E5AD4">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1E5AD4">
        <w:rPr>
          <w:rFonts w:ascii="Verdana" w:eastAsia="Calibri" w:hAnsi="Verdana" w:cs="Arial"/>
          <w:sz w:val="20"/>
          <w:szCs w:val="20"/>
          <w:lang w:val="es-ES"/>
        </w:rPr>
        <w:t xml:space="preserve"> </w:t>
      </w:r>
    </w:p>
    <w:p w14:paraId="7D1B51A5" w14:textId="77777777" w:rsidR="00A3249F" w:rsidRPr="001E5AD4" w:rsidRDefault="00A3249F" w:rsidP="00A3249F">
      <w:pPr>
        <w:snapToGrid w:val="0"/>
        <w:spacing w:after="0" w:line="240" w:lineRule="auto"/>
        <w:contextualSpacing/>
        <w:jc w:val="both"/>
        <w:rPr>
          <w:rFonts w:ascii="Verdana" w:eastAsia="Calibri" w:hAnsi="Verdana" w:cs="Arial"/>
          <w:sz w:val="20"/>
          <w:szCs w:val="20"/>
          <w:lang w:val="es-ES" w:eastAsia="es-ES"/>
        </w:rPr>
      </w:pPr>
    </w:p>
    <w:p w14:paraId="1C181EAE" w14:textId="77777777" w:rsidR="00A3249F" w:rsidRPr="001E5AD4" w:rsidRDefault="00A3249F" w:rsidP="00A3249F">
      <w:pPr>
        <w:snapToGrid w:val="0"/>
        <w:contextualSpacing/>
        <w:jc w:val="both"/>
        <w:rPr>
          <w:rFonts w:ascii="Verdana" w:eastAsia="Calibri" w:hAnsi="Verdana" w:cs="Arial"/>
          <w:b/>
          <w:bCs/>
          <w:sz w:val="20"/>
          <w:szCs w:val="20"/>
          <w:lang w:val="es-ES" w:eastAsia="es-ES"/>
        </w:rPr>
      </w:pPr>
      <w:r w:rsidRPr="001E5AD4">
        <w:rPr>
          <w:rFonts w:ascii="Verdana" w:eastAsia="Calibri" w:hAnsi="Verdana" w:cs="Arial"/>
          <w:b/>
          <w:bCs/>
          <w:lang w:val="es-ES" w:eastAsia="es-ES"/>
        </w:rPr>
        <w:t>LEY DE GARANTÍAS ELECTORALES ‒ Restricciones ‒ Contratación ‒ Tipos de elección</w:t>
      </w:r>
    </w:p>
    <w:p w14:paraId="645DB6E0" w14:textId="77777777" w:rsidR="00A3249F" w:rsidRPr="001E5AD4" w:rsidRDefault="00A3249F" w:rsidP="00A3249F">
      <w:pPr>
        <w:snapToGrid w:val="0"/>
        <w:spacing w:after="0" w:line="240" w:lineRule="auto"/>
        <w:contextualSpacing/>
        <w:jc w:val="both"/>
        <w:rPr>
          <w:rFonts w:ascii="Verdana" w:eastAsia="Calibri" w:hAnsi="Verdana" w:cs="Arial"/>
          <w:sz w:val="20"/>
          <w:szCs w:val="20"/>
          <w:lang w:val="es-ES" w:eastAsia="es-ES"/>
        </w:rPr>
      </w:pPr>
    </w:p>
    <w:p w14:paraId="7A3D9C05" w14:textId="77777777" w:rsidR="00A3249F" w:rsidRDefault="00A3249F" w:rsidP="00A3249F">
      <w:pPr>
        <w:snapToGrid w:val="0"/>
        <w:spacing w:after="0" w:line="240" w:lineRule="auto"/>
        <w:contextualSpacing/>
        <w:jc w:val="both"/>
        <w:rPr>
          <w:rFonts w:ascii="Verdana" w:eastAsia="Calibri" w:hAnsi="Verdana" w:cs="Arial"/>
          <w:sz w:val="20"/>
          <w:szCs w:val="20"/>
          <w:lang w:val="es-ES"/>
        </w:rPr>
      </w:pPr>
      <w:r w:rsidRPr="001E5AD4">
        <w:rPr>
          <w:rFonts w:ascii="Verdana" w:eastAsia="Calibri" w:hAnsi="Verdana" w:cs="Arial"/>
          <w:sz w:val="20"/>
          <w:szCs w:val="20"/>
          <w:lang w:val="es-ES"/>
        </w:rPr>
        <w:t xml:space="preserve">Por un lado, el </w:t>
      </w:r>
      <w:r w:rsidRPr="001E5AD4">
        <w:rPr>
          <w:rFonts w:ascii="Verdana" w:eastAsia="Calibri" w:hAnsi="Verdana" w:cs="Arial"/>
          <w:i/>
          <w:iCs/>
          <w:sz w:val="20"/>
          <w:szCs w:val="20"/>
          <w:lang w:val="es-ES"/>
        </w:rPr>
        <w:t xml:space="preserve">artículo 33 </w:t>
      </w:r>
      <w:r w:rsidRPr="001E5AD4">
        <w:rPr>
          <w:rFonts w:ascii="Verdana" w:eastAsia="Calibri" w:hAnsi="Verdana" w:cs="Arial"/>
          <w:sz w:val="20"/>
          <w:szCs w:val="20"/>
          <w:lang w:val="es-ES"/>
        </w:rPr>
        <w:t xml:space="preserve">de la Ley 996 de 2005 prohíbe “[…] la contratación directa por parte de </w:t>
      </w:r>
      <w:r w:rsidRPr="001E5AD4">
        <w:rPr>
          <w:rFonts w:ascii="Verdana" w:eastAsia="Calibri" w:hAnsi="Verdana" w:cs="Arial"/>
          <w:i/>
          <w:iCs/>
          <w:sz w:val="20"/>
          <w:szCs w:val="20"/>
          <w:lang w:val="es-ES"/>
        </w:rPr>
        <w:t>todos los entes del Estado</w:t>
      </w:r>
      <w:r w:rsidRPr="001E5AD4">
        <w:rPr>
          <w:rFonts w:ascii="Verdana" w:eastAsia="Calibri" w:hAnsi="Verdana" w:cs="Arial"/>
          <w:sz w:val="20"/>
          <w:szCs w:val="20"/>
          <w:lang w:val="es-ES"/>
        </w:rPr>
        <w:t xml:space="preserve">” durante los cuatro (4) meses anteriores a las </w:t>
      </w:r>
      <w:r w:rsidRPr="001E5AD4">
        <w:rPr>
          <w:rFonts w:ascii="Verdana" w:eastAsia="Calibri" w:hAnsi="Verdana" w:cs="Arial"/>
          <w:i/>
          <w:iCs/>
          <w:sz w:val="20"/>
          <w:szCs w:val="20"/>
          <w:lang w:val="es-ES"/>
        </w:rPr>
        <w:t>elecciones presidenciales</w:t>
      </w:r>
      <w:r w:rsidRPr="001E5AD4">
        <w:rPr>
          <w:rFonts w:ascii="Verdana" w:eastAsia="Calibri"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28975431" w14:textId="77777777" w:rsidR="00A3249F" w:rsidRPr="001E5AD4" w:rsidRDefault="00A3249F" w:rsidP="00A3249F">
      <w:pPr>
        <w:snapToGrid w:val="0"/>
        <w:spacing w:after="0" w:line="240" w:lineRule="auto"/>
        <w:contextualSpacing/>
        <w:jc w:val="both"/>
        <w:rPr>
          <w:rFonts w:ascii="Verdana" w:eastAsia="Calibri" w:hAnsi="Verdana" w:cs="Arial"/>
          <w:sz w:val="20"/>
          <w:szCs w:val="20"/>
          <w:lang w:val="es-ES"/>
        </w:rPr>
      </w:pPr>
    </w:p>
    <w:p w14:paraId="5085B6B0" w14:textId="77777777" w:rsidR="00A3249F" w:rsidRPr="001E5AD4" w:rsidRDefault="00A3249F" w:rsidP="00A3249F">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1E5AD4">
        <w:rPr>
          <w:rFonts w:ascii="Verdana" w:eastAsia="Calibri" w:hAnsi="Verdana" w:cs="Arial"/>
          <w:sz w:val="20"/>
          <w:szCs w:val="20"/>
          <w:lang w:val="es-ES"/>
        </w:rPr>
        <w:t xml:space="preserve">Por otro lado, </w:t>
      </w:r>
      <w:r w:rsidRPr="001E5AD4">
        <w:rPr>
          <w:rFonts w:ascii="Verdana" w:eastAsia="Calibri" w:hAnsi="Verdana" w:cs="Arial"/>
          <w:i/>
          <w:iCs/>
          <w:sz w:val="20"/>
          <w:szCs w:val="20"/>
          <w:lang w:val="es-ES"/>
        </w:rPr>
        <w:t xml:space="preserve">el parágrafo del artículo 38 </w:t>
      </w:r>
      <w:r w:rsidRPr="001E5AD4">
        <w:rPr>
          <w:rFonts w:ascii="Verdana" w:eastAsia="Calibri" w:hAnsi="Verdana" w:cs="Arial"/>
          <w:sz w:val="20"/>
          <w:szCs w:val="20"/>
          <w:lang w:val="es-ES"/>
        </w:rPr>
        <w:t xml:space="preserve">de la Ley 996 de 2005 prevé una restricción, aplicable respecto de </w:t>
      </w:r>
      <w:r w:rsidRPr="001E5AD4">
        <w:rPr>
          <w:rFonts w:ascii="Verdana" w:eastAsia="Calibri" w:hAnsi="Verdana" w:cs="Arial"/>
          <w:i/>
          <w:iCs/>
          <w:sz w:val="20"/>
          <w:szCs w:val="20"/>
          <w:lang w:val="es-ES"/>
        </w:rPr>
        <w:t>cualquier tipo de contienda electoral</w:t>
      </w:r>
      <w:r w:rsidRPr="001E5AD4">
        <w:rPr>
          <w:rFonts w:ascii="Verdana" w:eastAsia="Calibri" w:hAnsi="Verdana" w:cs="Arial"/>
          <w:sz w:val="20"/>
          <w:szCs w:val="20"/>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E5AD4">
        <w:rPr>
          <w:rFonts w:ascii="Verdana" w:eastAsia="Arial" w:hAnsi="Verdana" w:cs="Arial"/>
          <w:sz w:val="20"/>
          <w:szCs w:val="20"/>
          <w:lang w:val="es-ES" w:eastAsia="es-ES" w:bidi="es-ES"/>
        </w:rPr>
        <w:t xml:space="preserve"> </w:t>
      </w:r>
    </w:p>
    <w:p w14:paraId="34BE6471" w14:textId="77777777" w:rsidR="00A3249F" w:rsidRPr="001E5AD4" w:rsidRDefault="00A3249F" w:rsidP="00A3249F">
      <w:pPr>
        <w:snapToGrid w:val="0"/>
        <w:spacing w:after="0" w:line="240" w:lineRule="auto"/>
        <w:contextualSpacing/>
        <w:jc w:val="both"/>
        <w:rPr>
          <w:rFonts w:ascii="Verdana" w:eastAsia="Calibri" w:hAnsi="Verdana" w:cs="Arial"/>
          <w:sz w:val="20"/>
          <w:szCs w:val="20"/>
          <w:lang w:val="es-ES" w:eastAsia="es-ES"/>
        </w:rPr>
      </w:pPr>
    </w:p>
    <w:p w14:paraId="0720091D" w14:textId="77777777" w:rsidR="00A3249F" w:rsidRPr="001E5AD4" w:rsidRDefault="00A3249F" w:rsidP="00A3249F">
      <w:pPr>
        <w:snapToGrid w:val="0"/>
        <w:spacing w:after="0" w:line="240" w:lineRule="auto"/>
        <w:contextualSpacing/>
        <w:jc w:val="both"/>
        <w:rPr>
          <w:rFonts w:ascii="Verdana" w:eastAsia="Calibri" w:hAnsi="Verdana" w:cs="Arial"/>
          <w:b/>
          <w:bCs/>
          <w:lang w:val="es-ES" w:eastAsia="es-ES"/>
        </w:rPr>
      </w:pPr>
      <w:r w:rsidRPr="001E5AD4">
        <w:rPr>
          <w:rFonts w:ascii="Verdana" w:eastAsia="Calibri" w:hAnsi="Verdana" w:cs="Arial"/>
          <w:b/>
          <w:bCs/>
          <w:lang w:val="es-ES" w:eastAsia="es-ES"/>
        </w:rPr>
        <w:t>LEY DE GARANTÍAS ELECTORALES ‒ Artículo 33 ‒ Ámbito material</w:t>
      </w:r>
    </w:p>
    <w:p w14:paraId="730A4AA4" w14:textId="77777777" w:rsidR="00A3249F" w:rsidRDefault="00A3249F" w:rsidP="00A3249F">
      <w:pPr>
        <w:snapToGrid w:val="0"/>
        <w:spacing w:after="0" w:line="240" w:lineRule="auto"/>
        <w:contextualSpacing/>
        <w:jc w:val="both"/>
        <w:rPr>
          <w:rFonts w:ascii="Verdana" w:eastAsia="Times New Roman" w:hAnsi="Verdana" w:cs="Arial"/>
          <w:sz w:val="20"/>
          <w:szCs w:val="20"/>
          <w:lang w:val="es-ES"/>
        </w:rPr>
      </w:pPr>
    </w:p>
    <w:p w14:paraId="6CDE5CC1" w14:textId="77777777" w:rsidR="00A3249F" w:rsidRDefault="00A3249F" w:rsidP="00A3249F">
      <w:pPr>
        <w:snapToGrid w:val="0"/>
        <w:spacing w:after="0" w:line="240" w:lineRule="auto"/>
        <w:contextualSpacing/>
        <w:jc w:val="both"/>
        <w:rPr>
          <w:rFonts w:ascii="Verdana" w:eastAsia="Times New Roman" w:hAnsi="Verdana" w:cs="Arial"/>
          <w:sz w:val="20"/>
          <w:szCs w:val="20"/>
          <w:lang w:val="es-ES"/>
        </w:rPr>
      </w:pPr>
      <w:r w:rsidRPr="001E5AD4">
        <w:rPr>
          <w:rFonts w:ascii="Verdana" w:eastAsia="Times New Roman" w:hAnsi="Verdana" w:cs="Arial"/>
          <w:sz w:val="20"/>
          <w:szCs w:val="20"/>
          <w:lang w:val="es-ES"/>
        </w:rPr>
        <w:t xml:space="preserve">De lo anterior se desprende que la restricción aplica, sin perjuicio de las excepciones establecidas en la misma ley, para celebrar </w:t>
      </w:r>
      <w:r w:rsidRPr="001E5AD4">
        <w:rPr>
          <w:rFonts w:ascii="Verdana" w:eastAsia="Times New Roman" w:hAnsi="Verdana" w:cs="Arial"/>
          <w:i/>
          <w:iCs/>
          <w:sz w:val="20"/>
          <w:szCs w:val="20"/>
          <w:lang w:val="es-ES"/>
        </w:rPr>
        <w:t>cualquier contrato o convenio de forma directa</w:t>
      </w:r>
      <w:r w:rsidRPr="001E5AD4">
        <w:rPr>
          <w:rFonts w:ascii="Verdana" w:eastAsia="Times New Roman" w:hAnsi="Verdana" w:cs="Arial"/>
          <w:sz w:val="20"/>
          <w:szCs w:val="20"/>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29993699" w14:textId="77777777" w:rsidR="00A3249F" w:rsidRDefault="00A3249F" w:rsidP="00A3249F">
      <w:pPr>
        <w:snapToGrid w:val="0"/>
        <w:spacing w:after="0" w:line="240" w:lineRule="auto"/>
        <w:contextualSpacing/>
        <w:jc w:val="both"/>
        <w:rPr>
          <w:rFonts w:ascii="Verdana" w:eastAsia="Times New Roman" w:hAnsi="Verdana" w:cs="Arial"/>
          <w:sz w:val="20"/>
          <w:szCs w:val="20"/>
          <w:lang w:val="es-ES"/>
        </w:rPr>
      </w:pPr>
    </w:p>
    <w:p w14:paraId="75D0675E" w14:textId="77777777" w:rsidR="00A3249F" w:rsidRPr="003F6479" w:rsidRDefault="00A3249F" w:rsidP="00A3249F">
      <w:pPr>
        <w:snapToGrid w:val="0"/>
        <w:spacing w:after="0" w:line="240" w:lineRule="auto"/>
        <w:contextualSpacing/>
        <w:jc w:val="both"/>
        <w:rPr>
          <w:rFonts w:ascii="Verdana" w:eastAsia="Calibri" w:hAnsi="Verdana" w:cs="Arial"/>
          <w:b/>
          <w:bCs/>
          <w:lang w:val="es-ES" w:eastAsia="es-ES"/>
        </w:rPr>
      </w:pPr>
      <w:r w:rsidRPr="003F6479">
        <w:rPr>
          <w:rFonts w:ascii="Verdana" w:eastAsia="Calibri" w:hAnsi="Verdana" w:cs="Arial"/>
          <w:b/>
          <w:bCs/>
          <w:lang w:val="es-ES" w:eastAsia="es-ES"/>
        </w:rPr>
        <w:t>LEY DE GARANTÍAS ELECTORALES – Aplicación – Organismos internacionales</w:t>
      </w:r>
    </w:p>
    <w:p w14:paraId="571A6E8B" w14:textId="77777777" w:rsidR="00A3249F" w:rsidRPr="003F6479" w:rsidRDefault="00A3249F" w:rsidP="00A3249F">
      <w:pPr>
        <w:snapToGrid w:val="0"/>
        <w:spacing w:after="0" w:line="240" w:lineRule="auto"/>
        <w:contextualSpacing/>
        <w:jc w:val="both"/>
        <w:rPr>
          <w:rFonts w:ascii="Verdana" w:eastAsia="Calibri" w:hAnsi="Verdana" w:cs="Arial"/>
          <w:sz w:val="20"/>
          <w:szCs w:val="20"/>
          <w:lang w:val="es-ES" w:eastAsia="es-ES"/>
        </w:rPr>
      </w:pPr>
    </w:p>
    <w:p w14:paraId="2C0FABD4" w14:textId="77777777" w:rsidR="00A3249F" w:rsidRDefault="00A3249F" w:rsidP="00A3249F">
      <w:pPr>
        <w:snapToGrid w:val="0"/>
        <w:contextualSpacing/>
        <w:jc w:val="both"/>
        <w:rPr>
          <w:rFonts w:ascii="Verdana" w:eastAsia="Times New Roman" w:hAnsi="Verdana" w:cs="Arial"/>
          <w:sz w:val="20"/>
          <w:szCs w:val="20"/>
          <w:lang w:val="es-MX" w:eastAsia="x-none"/>
        </w:rPr>
      </w:pPr>
      <w:r w:rsidRPr="003F6479">
        <w:rPr>
          <w:rFonts w:ascii="Verdana" w:eastAsia="Arial" w:hAnsi="Verdana" w:cs="Arial"/>
          <w:bCs/>
          <w:color w:val="000000" w:themeColor="text1"/>
          <w:sz w:val="20"/>
          <w:szCs w:val="20"/>
          <w:lang w:val="es-ES"/>
        </w:rPr>
        <w:lastRenderedPageBreak/>
        <w:t xml:space="preserve">[…] </w:t>
      </w:r>
      <w:r w:rsidRPr="003F6479">
        <w:rPr>
          <w:rFonts w:ascii="Verdana" w:eastAsia="Times New Roman" w:hAnsi="Verdana" w:cs="Arial"/>
          <w:sz w:val="20"/>
          <w:szCs w:val="20"/>
          <w:lang w:val="es-MX" w:eastAsia="x-none"/>
        </w:rPr>
        <w:t xml:space="preserve">el </w:t>
      </w:r>
      <w:r w:rsidRPr="003F6479">
        <w:rPr>
          <w:rFonts w:ascii="Verdana" w:eastAsia="Times New Roman" w:hAnsi="Verdana" w:cs="Arial"/>
          <w:i/>
          <w:iCs/>
          <w:sz w:val="20"/>
          <w:szCs w:val="20"/>
          <w:lang w:val="es-MX" w:eastAsia="x-none"/>
        </w:rPr>
        <w:t>inciso primero</w:t>
      </w:r>
      <w:r w:rsidRPr="003F6479">
        <w:rPr>
          <w:rFonts w:ascii="Verdana" w:eastAsia="Times New Roman" w:hAnsi="Verdana" w:cs="Arial"/>
          <w:sz w:val="20"/>
          <w:szCs w:val="20"/>
          <w:lang w:val="es-MX" w:eastAsia="x-none"/>
        </w:rPr>
        <w:t xml:space="preserve"> del artículo 20 de la Ley 1150 de 2007, establece que los contratos o convenios se financien en su totalidad o en sumas iguales o superiores al cincuenta por ciento con fondos de dichos organismos, </w:t>
      </w:r>
      <w:r w:rsidRPr="003F6479">
        <w:rPr>
          <w:rFonts w:ascii="Verdana" w:eastAsia="Times New Roman" w:hAnsi="Verdana" w:cs="Arial"/>
          <w:i/>
          <w:iCs/>
          <w:sz w:val="20"/>
          <w:szCs w:val="20"/>
          <w:lang w:val="es-MX" w:eastAsia="x-none"/>
        </w:rPr>
        <w:t>pueden</w:t>
      </w:r>
      <w:r w:rsidRPr="003F6479">
        <w:rPr>
          <w:rFonts w:ascii="Verdana" w:eastAsia="Times New Roman" w:hAnsi="Verdana" w:cs="Arial"/>
          <w:sz w:val="20"/>
          <w:szCs w:val="20"/>
          <w:lang w:val="es-MX" w:eastAsia="x-none"/>
        </w:rPr>
        <w:t xml:space="preserve"> someterse a sus reglamentos. Por el contrario, cuando se trate de contratos que se financian con recursos del presupuesto general de la nación, las entidades </w:t>
      </w:r>
      <w:r w:rsidRPr="003F6479">
        <w:rPr>
          <w:rFonts w:ascii="Verdana" w:eastAsia="Times New Roman" w:hAnsi="Verdana" w:cs="Arial"/>
          <w:i/>
          <w:iCs/>
          <w:sz w:val="20"/>
          <w:szCs w:val="20"/>
          <w:lang w:val="es-MX" w:eastAsia="x-none"/>
        </w:rPr>
        <w:t>deberán</w:t>
      </w:r>
      <w:r w:rsidRPr="003F6479">
        <w:rPr>
          <w:rFonts w:ascii="Verdana" w:eastAsia="Times New Roman" w:hAnsi="Verdana" w:cs="Arial"/>
          <w:sz w:val="20"/>
          <w:szCs w:val="20"/>
          <w:lang w:val="es-MX" w:eastAsia="x-none"/>
        </w:rPr>
        <w:t xml:space="preserve"> necesariamente aplicar el Estatuto General de Contratación de la Administración Pública.</w:t>
      </w:r>
    </w:p>
    <w:p w14:paraId="703FBBFB" w14:textId="77777777" w:rsidR="00A3249F" w:rsidRPr="003F6479" w:rsidRDefault="00A3249F" w:rsidP="00A3249F">
      <w:pPr>
        <w:snapToGrid w:val="0"/>
        <w:spacing w:after="0" w:line="240" w:lineRule="auto"/>
        <w:contextualSpacing/>
        <w:jc w:val="both"/>
        <w:rPr>
          <w:rFonts w:ascii="Verdana" w:eastAsia="Times New Roman" w:hAnsi="Verdana" w:cs="Arial"/>
          <w:sz w:val="20"/>
          <w:szCs w:val="20"/>
          <w:lang w:val="es-MX" w:eastAsia="x-none"/>
        </w:rPr>
      </w:pPr>
    </w:p>
    <w:p w14:paraId="581B6F76" w14:textId="77777777" w:rsidR="00A3249F" w:rsidRPr="003F6479" w:rsidRDefault="00A3249F" w:rsidP="00A3249F">
      <w:pPr>
        <w:snapToGrid w:val="0"/>
        <w:spacing w:after="0" w:line="240" w:lineRule="auto"/>
        <w:contextualSpacing/>
        <w:jc w:val="both"/>
        <w:rPr>
          <w:rFonts w:ascii="Verdana" w:eastAsia="Times New Roman" w:hAnsi="Verdana" w:cs="Arial"/>
          <w:sz w:val="20"/>
          <w:szCs w:val="20"/>
          <w:lang w:val="es-MX"/>
        </w:rPr>
      </w:pPr>
      <w:r w:rsidRPr="003F6479">
        <w:rPr>
          <w:rFonts w:ascii="Verdana" w:eastAsia="Times New Roman" w:hAnsi="Verdana" w:cs="Arial"/>
          <w:sz w:val="20"/>
          <w:szCs w:val="20"/>
          <w:lang w:val="es-MX"/>
        </w:rPr>
        <w:t xml:space="preserve">En consecuencia, la restricción contemplada en el artículo 33 de la Ley de Garantías Electorales </w:t>
      </w:r>
      <w:r w:rsidRPr="003F6479">
        <w:rPr>
          <w:rFonts w:ascii="Verdana" w:eastAsia="Times New Roman" w:hAnsi="Verdana" w:cs="Arial"/>
          <w:i/>
          <w:iCs/>
          <w:sz w:val="20"/>
          <w:szCs w:val="20"/>
          <w:lang w:val="es-MX"/>
        </w:rPr>
        <w:t>no</w:t>
      </w:r>
      <w:r w:rsidRPr="003F6479">
        <w:rPr>
          <w:rFonts w:ascii="Verdana" w:eastAsia="Times New Roman" w:hAnsi="Verdana" w:cs="Arial"/>
          <w:sz w:val="20"/>
          <w:szCs w:val="20"/>
          <w:lang w:val="es-MX"/>
        </w:rPr>
        <w:t xml:space="preserve"> aplica a los contratos que son financiados en su totalidad o en sumas iguales o superiores al cincuenta por ciento con fondos de organismos de cooperación, asistencia o ayudas internacionales, y cuyo régimen sea el dispuesto en los reglamentos de tales organismos. Lo anterior, por cuanto en estos casos el artículo 20 de la Ley 1150 de 2007 autoriza la aplicación “integral” de los reglamentos de dichos organismos. </w:t>
      </w:r>
    </w:p>
    <w:p w14:paraId="2F8FF5A2" w14:textId="77777777" w:rsidR="00A3249F" w:rsidRDefault="00A3249F" w:rsidP="00A3249F">
      <w:pPr>
        <w:snapToGrid w:val="0"/>
        <w:spacing w:after="0" w:line="240" w:lineRule="auto"/>
        <w:contextualSpacing/>
        <w:jc w:val="both"/>
        <w:rPr>
          <w:rFonts w:ascii="Verdana" w:eastAsia="Calibri" w:hAnsi="Verdana" w:cs="Arial"/>
          <w:sz w:val="20"/>
          <w:szCs w:val="20"/>
          <w:lang w:val="es-ES" w:eastAsia="es-ES"/>
        </w:rPr>
      </w:pPr>
    </w:p>
    <w:p w14:paraId="40CF13AE" w14:textId="77777777" w:rsidR="00A3249F" w:rsidRPr="003F6479" w:rsidRDefault="00A3249F" w:rsidP="00A3249F">
      <w:pPr>
        <w:snapToGrid w:val="0"/>
        <w:spacing w:after="0" w:line="240" w:lineRule="auto"/>
        <w:contextualSpacing/>
        <w:jc w:val="both"/>
        <w:rPr>
          <w:rFonts w:ascii="Verdana" w:eastAsia="Calibri" w:hAnsi="Verdana" w:cs="Arial"/>
          <w:b/>
          <w:bCs/>
          <w:sz w:val="20"/>
          <w:szCs w:val="20"/>
          <w:lang w:val="es-ES" w:eastAsia="es-ES"/>
        </w:rPr>
      </w:pPr>
      <w:r w:rsidRPr="003F6479">
        <w:rPr>
          <w:rFonts w:ascii="Verdana" w:eastAsia="Calibri" w:hAnsi="Verdana" w:cs="Arial"/>
          <w:b/>
          <w:bCs/>
          <w:sz w:val="20"/>
          <w:szCs w:val="20"/>
          <w:lang w:val="es-ES" w:eastAsia="es-ES"/>
        </w:rPr>
        <w:t>LEY DE GARANTÍAS ELECTORALES – Aplicación – Artículo 20 – Inciso segundo</w:t>
      </w:r>
    </w:p>
    <w:p w14:paraId="6332CD28" w14:textId="77777777" w:rsidR="00A3249F" w:rsidRPr="003F6479" w:rsidRDefault="00A3249F" w:rsidP="00A3249F">
      <w:pPr>
        <w:snapToGrid w:val="0"/>
        <w:spacing w:after="0" w:line="240" w:lineRule="auto"/>
        <w:contextualSpacing/>
        <w:jc w:val="both"/>
        <w:rPr>
          <w:rFonts w:ascii="Verdana" w:eastAsia="Times New Roman" w:hAnsi="Verdana" w:cs="Arial"/>
          <w:sz w:val="20"/>
          <w:szCs w:val="20"/>
          <w:lang w:val="es-MX"/>
        </w:rPr>
      </w:pPr>
    </w:p>
    <w:p w14:paraId="2EF5544B" w14:textId="77777777" w:rsidR="00A3249F" w:rsidRPr="003F6479" w:rsidRDefault="00A3249F" w:rsidP="00A3249F">
      <w:pPr>
        <w:snapToGrid w:val="0"/>
        <w:spacing w:after="0" w:line="240" w:lineRule="auto"/>
        <w:contextualSpacing/>
        <w:jc w:val="both"/>
        <w:rPr>
          <w:rFonts w:ascii="Verdana" w:eastAsia="Times New Roman" w:hAnsi="Verdana" w:cs="Arial"/>
          <w:sz w:val="20"/>
          <w:szCs w:val="20"/>
          <w:lang w:val="es-MX"/>
        </w:rPr>
      </w:pPr>
      <w:r w:rsidRPr="003F6479">
        <w:rPr>
          <w:rFonts w:ascii="Verdana" w:eastAsia="Times New Roman" w:hAnsi="Verdana" w:cs="Arial"/>
          <w:sz w:val="20"/>
          <w:szCs w:val="20"/>
          <w:lang w:val="es-MX"/>
        </w:rPr>
        <w:t xml:space="preserve">Por otra parte, </w:t>
      </w:r>
      <w:r w:rsidRPr="003F6479">
        <w:rPr>
          <w:rFonts w:ascii="Verdana" w:eastAsia="Calibri" w:hAnsi="Verdana" w:cs="Arial"/>
          <w:sz w:val="20"/>
          <w:szCs w:val="20"/>
          <w:lang w:val="es-ES"/>
        </w:rPr>
        <w:t xml:space="preserve">el </w:t>
      </w:r>
      <w:r w:rsidRPr="003F6479">
        <w:rPr>
          <w:rFonts w:ascii="Verdana" w:eastAsia="Calibri" w:hAnsi="Verdana" w:cs="Arial"/>
          <w:i/>
          <w:iCs/>
          <w:sz w:val="20"/>
          <w:szCs w:val="20"/>
          <w:lang w:val="es-ES"/>
        </w:rPr>
        <w:t>inciso segundo</w:t>
      </w:r>
      <w:r w:rsidRPr="003F6479">
        <w:rPr>
          <w:rFonts w:ascii="Verdana" w:eastAsia="Calibri" w:hAnsi="Verdana" w:cs="Arial"/>
          <w:sz w:val="20"/>
          <w:szCs w:val="20"/>
          <w:lang w:val="es-ES"/>
        </w:rPr>
        <w:t xml:space="preserve"> y el parágrafo primero </w:t>
      </w:r>
      <w:r w:rsidRPr="003F6479">
        <w:rPr>
          <w:rFonts w:ascii="Verdana" w:eastAsia="Times New Roman" w:hAnsi="Verdana" w:cs="Arial"/>
          <w:sz w:val="20"/>
          <w:szCs w:val="20"/>
          <w:lang w:val="es-MX" w:eastAsia="x-none"/>
        </w:rPr>
        <w:t>del artículo 20 de la Ley 1150 de 2007 señalan que</w:t>
      </w:r>
      <w:r w:rsidRPr="003F6479">
        <w:rPr>
          <w:rFonts w:ascii="Verdana" w:eastAsia="Times New Roman" w:hAnsi="Verdana" w:cs="Arial"/>
          <w:sz w:val="20"/>
          <w:szCs w:val="20"/>
          <w:lang w:eastAsia="x-none"/>
        </w:rPr>
        <w:t xml:space="preserve"> Los contratos o convenios celebrados con personas extranjeras de derecho público u organismos de derecho internacional cuyo objeto sea el desarrollo de programas de promoción, prevención y atención en salud; contratos y convenios necesarios para la operación de la OIT; contratos y convenios que se ejecuten en desarrollo del sistema integrado de monitoreo de cultivos ilícitos; contratos y convenios para la operación del programa mundial de alimentos; contratos y convenios para el desarrollo de programas de apoyo educativo a población desplazada y vulnerable adelantados por la Unesco y la OIM; los contratos o convenios financiados con fondos de los organismos multilaterales de crédito y entes gubernamentales extranjeros, podrán someterse a los reglamentos de tales entidades. De igual manera, los contratos o acuerdos celebrados con personas extranjeras de derecho público, podrán someterse a las reglas de tales organismos.</w:t>
      </w:r>
    </w:p>
    <w:p w14:paraId="14AF9625" w14:textId="77777777" w:rsidR="00A3249F" w:rsidRDefault="00A3249F" w:rsidP="00A3249F">
      <w:pPr>
        <w:snapToGrid w:val="0"/>
        <w:contextualSpacing/>
        <w:jc w:val="both"/>
        <w:rPr>
          <w:rFonts w:ascii="Verdana" w:eastAsia="Times New Roman" w:hAnsi="Verdana" w:cs="Arial"/>
          <w:sz w:val="20"/>
          <w:szCs w:val="20"/>
          <w:lang w:val="es-MX"/>
        </w:rPr>
      </w:pPr>
    </w:p>
    <w:p w14:paraId="2F1FB533" w14:textId="77777777" w:rsidR="00A3249F" w:rsidRPr="003F6479" w:rsidRDefault="00A3249F" w:rsidP="00A3249F">
      <w:pPr>
        <w:snapToGrid w:val="0"/>
        <w:spacing w:after="0" w:line="240" w:lineRule="auto"/>
        <w:contextualSpacing/>
        <w:jc w:val="both"/>
        <w:rPr>
          <w:rFonts w:ascii="Verdana" w:hAnsi="Verdana" w:cs="Arial"/>
          <w:sz w:val="20"/>
          <w:szCs w:val="20"/>
          <w:lang w:val="es-ES"/>
        </w:rPr>
      </w:pPr>
      <w:r w:rsidRPr="003F6479">
        <w:rPr>
          <w:rFonts w:ascii="Verdana" w:eastAsia="Times New Roman" w:hAnsi="Verdana" w:cs="Arial"/>
          <w:sz w:val="20"/>
          <w:szCs w:val="20"/>
          <w:lang w:val="es-MX"/>
        </w:rPr>
        <w:t xml:space="preserve">En línea con lo </w:t>
      </w:r>
      <w:r w:rsidRPr="003F6479">
        <w:rPr>
          <w:rFonts w:ascii="Verdana" w:hAnsi="Verdana" w:cs="Arial"/>
          <w:sz w:val="20"/>
          <w:szCs w:val="20"/>
          <w:lang w:val="es-ES"/>
        </w:rPr>
        <w:t xml:space="preserve">anterior, el artículo 2.2.1.2.4.4.1. del Decreto 1082 de 2015 establece que </w:t>
      </w:r>
      <w:r w:rsidRPr="003F6479">
        <w:rPr>
          <w:rFonts w:ascii="Verdana" w:hAnsi="Verdana" w:cs="Arial"/>
          <w:sz w:val="20"/>
          <w:szCs w:val="20"/>
        </w:rPr>
        <w:t xml:space="preserve">los contratos o convenios financiados con fondos de los organismos multilaterales de crédito, entes gubernamentales extranjeros o personas extranjeras de derecho público, así como aquellos a los que se refiere el inciso 2 del artículo </w:t>
      </w:r>
      <w:r w:rsidRPr="003F6479">
        <w:rPr>
          <w:rFonts w:ascii="Verdana" w:hAnsi="Verdana"/>
          <w:sz w:val="20"/>
          <w:szCs w:val="20"/>
        </w:rPr>
        <w:t>20</w:t>
      </w:r>
      <w:r w:rsidRPr="003F6479">
        <w:rPr>
          <w:rFonts w:ascii="Verdana" w:hAnsi="Verdana" w:cs="Arial"/>
          <w:sz w:val="20"/>
          <w:szCs w:val="20"/>
        </w:rPr>
        <w:t xml:space="preserve"> de la Ley 1150 de 2007, se ejecutarán de conformidad con lo establecido en los tratados internacionales marco y complementarios, y en los convenios celebrados, o sus reglamentos, según sea el caso, sin que a ellos le sea aplicable el porcentaje de financiación señalado en el inciso primero del artículo</w:t>
      </w:r>
      <w:r w:rsidRPr="003F6479">
        <w:rPr>
          <w:rFonts w:ascii="Verdana" w:hAnsi="Verdana"/>
          <w:sz w:val="20"/>
          <w:szCs w:val="20"/>
        </w:rPr>
        <w:t xml:space="preserve"> 20</w:t>
      </w:r>
      <w:r w:rsidRPr="003F6479">
        <w:rPr>
          <w:rFonts w:ascii="Verdana" w:hAnsi="Verdana" w:cs="Arial"/>
          <w:sz w:val="20"/>
          <w:szCs w:val="20"/>
        </w:rPr>
        <w:t xml:space="preserve"> de la Ley 1150 de 2007.</w:t>
      </w:r>
      <w:r w:rsidRPr="003F6479">
        <w:rPr>
          <w:rFonts w:ascii="Verdana" w:hAnsi="Verdana" w:cs="Arial"/>
          <w:sz w:val="20"/>
          <w:szCs w:val="20"/>
          <w:lang w:val="es-ES"/>
        </w:rPr>
        <w:t xml:space="preserve"> </w:t>
      </w:r>
    </w:p>
    <w:p w14:paraId="6E77425C" w14:textId="77777777" w:rsidR="00A3249F" w:rsidRDefault="00A3249F" w:rsidP="00A3249F">
      <w:pPr>
        <w:snapToGrid w:val="0"/>
        <w:contextualSpacing/>
        <w:jc w:val="both"/>
        <w:rPr>
          <w:rFonts w:ascii="Verdana" w:hAnsi="Verdana" w:cs="Arial"/>
          <w:sz w:val="20"/>
          <w:szCs w:val="20"/>
          <w:lang w:val="es-ES"/>
        </w:rPr>
      </w:pPr>
    </w:p>
    <w:p w14:paraId="7039C5A5" w14:textId="77777777" w:rsidR="00A3249F" w:rsidRPr="003F6479" w:rsidRDefault="00A3249F" w:rsidP="00A3249F">
      <w:pPr>
        <w:snapToGrid w:val="0"/>
        <w:spacing w:after="0" w:line="240" w:lineRule="auto"/>
        <w:contextualSpacing/>
        <w:jc w:val="both"/>
        <w:rPr>
          <w:rFonts w:ascii="Verdana" w:hAnsi="Verdana" w:cs="Arial"/>
          <w:sz w:val="20"/>
          <w:szCs w:val="20"/>
          <w:lang w:val="es-ES"/>
        </w:rPr>
      </w:pPr>
      <w:r w:rsidRPr="003F6479">
        <w:rPr>
          <w:rFonts w:ascii="Verdana" w:hAnsi="Verdana" w:cs="Arial"/>
          <w:sz w:val="20"/>
          <w:szCs w:val="20"/>
          <w:lang w:val="es-ES"/>
        </w:rPr>
        <w:t xml:space="preserve">Con fundamento en dicha normativa, </w:t>
      </w:r>
      <w:r w:rsidRPr="003F6479">
        <w:rPr>
          <w:rFonts w:ascii="Verdana" w:eastAsia="Times New Roman" w:hAnsi="Verdana" w:cs="Arial"/>
          <w:sz w:val="20"/>
          <w:szCs w:val="20"/>
          <w:lang w:val="es-MX"/>
        </w:rPr>
        <w:t xml:space="preserve">la restricción contemplada en el artículo 33 </w:t>
      </w:r>
      <w:r w:rsidRPr="003F6479">
        <w:rPr>
          <w:rFonts w:ascii="Verdana" w:eastAsia="Times New Roman" w:hAnsi="Verdana" w:cs="Arial"/>
          <w:i/>
          <w:iCs/>
          <w:sz w:val="20"/>
          <w:szCs w:val="20"/>
          <w:lang w:val="es-MX"/>
        </w:rPr>
        <w:t>no</w:t>
      </w:r>
      <w:r w:rsidRPr="003F6479">
        <w:rPr>
          <w:rFonts w:ascii="Verdana" w:eastAsia="Times New Roman" w:hAnsi="Verdana" w:cs="Arial"/>
          <w:sz w:val="20"/>
          <w:szCs w:val="20"/>
          <w:lang w:val="es-MX"/>
        </w:rPr>
        <w:t xml:space="preserve"> aplica a los contratos o convenios a los que se refiere el inciso segundo y el parágrafo primero del artículo 20 de la Ley 1150 de 2007 cuando se sometan a los reglamentos de dichos organismos, incluyendo aquellos financiados </w:t>
      </w:r>
      <w:r w:rsidRPr="003F6479">
        <w:rPr>
          <w:rFonts w:ascii="Verdana" w:eastAsia="Times New Roman" w:hAnsi="Verdana" w:cs="Arial"/>
          <w:sz w:val="20"/>
          <w:szCs w:val="20"/>
          <w:lang w:eastAsia="x-none"/>
        </w:rPr>
        <w:t>con fondos de los organismos multilaterales de crédito y entes gubernamentales extranjeros</w:t>
      </w:r>
      <w:r w:rsidRPr="003F6479">
        <w:rPr>
          <w:rFonts w:ascii="Verdana" w:eastAsia="Times New Roman" w:hAnsi="Verdana" w:cs="Arial"/>
          <w:sz w:val="20"/>
          <w:szCs w:val="20"/>
          <w:lang w:val="es-MX"/>
        </w:rPr>
        <w:t>, sin importar el porcentaje de financiación.</w:t>
      </w:r>
    </w:p>
    <w:p w14:paraId="02CBB743" w14:textId="435D7B75" w:rsidR="00763D94" w:rsidRPr="00FC6F34" w:rsidRDefault="00763D94" w:rsidP="00763D94">
      <w:pPr>
        <w:spacing w:after="0"/>
        <w:rPr>
          <w:rFonts w:ascii="Verdana" w:hAnsi="Verdana"/>
          <w:lang w:val="es-ES"/>
        </w:rPr>
      </w:pPr>
      <w:r w:rsidRPr="00FC6F34">
        <w:rPr>
          <w:rFonts w:ascii="Verdana" w:hAnsi="Verdana"/>
          <w:lang w:val="es-ES"/>
        </w:rPr>
        <w:lastRenderedPageBreak/>
        <w:t xml:space="preserve">Bogotá D.C., </w:t>
      </w:r>
      <w:r w:rsidR="00AC7A04">
        <w:rPr>
          <w:rFonts w:ascii="Verdana" w:hAnsi="Verdana"/>
          <w:lang w:val="es-ES"/>
        </w:rPr>
        <w:t>10 de Febrero de 20</w:t>
      </w:r>
      <w:r w:rsidR="008C15CE">
        <w:rPr>
          <w:rFonts w:ascii="Verdana" w:hAnsi="Verdana"/>
          <w:lang w:val="es-ES"/>
        </w:rPr>
        <w:t>2</w:t>
      </w:r>
      <w:r w:rsidR="00AC7A04">
        <w:rPr>
          <w:rFonts w:ascii="Verdana" w:hAnsi="Verdana"/>
          <w:lang w:val="es-ES"/>
        </w:rPr>
        <w:t>6</w:t>
      </w:r>
    </w:p>
    <w:p w14:paraId="5C423BF6" w14:textId="4793D311" w:rsidR="00763D94" w:rsidRDefault="008C15CE" w:rsidP="00763D94">
      <w:pPr>
        <w:spacing w:after="0" w:line="240" w:lineRule="auto"/>
        <w:rPr>
          <w:rFonts w:ascii="Verdana" w:eastAsia="Calibri" w:hAnsi="Verdana" w:cs="Arial"/>
          <w:color w:val="000000" w:themeColor="text1"/>
          <w:lang w:val="es-ES" w:eastAsia="es-ES"/>
        </w:rPr>
      </w:pPr>
      <w:bookmarkStart w:id="0" w:name="_Hlk143780582"/>
      <w:r>
        <w:rPr>
          <w:rFonts w:ascii="Verdana" w:eastAsia="Calibri" w:hAnsi="Verdana" w:cs="Arial"/>
          <w:noProof/>
          <w:color w:val="000000" w:themeColor="text1"/>
          <w:lang w:val="es-ES" w:eastAsia="es-ES"/>
        </w:rPr>
        <w:drawing>
          <wp:anchor distT="0" distB="0" distL="114300" distR="114300" simplePos="0" relativeHeight="251659264" behindDoc="0" locked="0" layoutInCell="1" allowOverlap="1" wp14:anchorId="15382DE4" wp14:editId="4FD2D715">
            <wp:simplePos x="0" y="0"/>
            <wp:positionH relativeFrom="column">
              <wp:posOffset>2960370</wp:posOffset>
            </wp:positionH>
            <wp:positionV relativeFrom="paragraph">
              <wp:posOffset>69850</wp:posOffset>
            </wp:positionV>
            <wp:extent cx="2383790" cy="729615"/>
            <wp:effectExtent l="0" t="0" r="3810" b="0"/>
            <wp:wrapSquare wrapText="bothSides"/>
            <wp:docPr id="10438789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878919" name="Picture 1043878919"/>
                    <pic:cNvPicPr/>
                  </pic:nvPicPr>
                  <pic:blipFill>
                    <a:blip r:embed="rId11">
                      <a:extLst>
                        <a:ext uri="{28A0092B-C50C-407E-A947-70E740481C1C}">
                          <a14:useLocalDpi xmlns:a14="http://schemas.microsoft.com/office/drawing/2010/main" val="0"/>
                        </a:ext>
                      </a:extLst>
                    </a:blip>
                    <a:stretch>
                      <a:fillRect/>
                    </a:stretch>
                  </pic:blipFill>
                  <pic:spPr>
                    <a:xfrm>
                      <a:off x="0" y="0"/>
                      <a:ext cx="2383790" cy="729615"/>
                    </a:xfrm>
                    <a:prstGeom prst="rect">
                      <a:avLst/>
                    </a:prstGeom>
                  </pic:spPr>
                </pic:pic>
              </a:graphicData>
            </a:graphic>
            <wp14:sizeRelH relativeFrom="page">
              <wp14:pctWidth>0</wp14:pctWidth>
            </wp14:sizeRelH>
            <wp14:sizeRelV relativeFrom="page">
              <wp14:pctHeight>0</wp14:pctHeight>
            </wp14:sizeRelV>
          </wp:anchor>
        </w:drawing>
      </w:r>
    </w:p>
    <w:p w14:paraId="7403362A" w14:textId="7569B685" w:rsidR="00763D94" w:rsidRDefault="00763D94" w:rsidP="00763D94">
      <w:pPr>
        <w:spacing w:after="0" w:line="240" w:lineRule="auto"/>
        <w:rPr>
          <w:rFonts w:ascii="Verdana" w:eastAsia="Calibri" w:hAnsi="Verdana" w:cs="Arial"/>
          <w:color w:val="000000" w:themeColor="text1"/>
          <w:lang w:val="es-ES" w:eastAsia="es-ES"/>
        </w:rPr>
      </w:pPr>
    </w:p>
    <w:p w14:paraId="3A41EC62" w14:textId="77777777" w:rsidR="00763D94" w:rsidRPr="00FC6F34" w:rsidRDefault="00763D94" w:rsidP="00763D94">
      <w:pPr>
        <w:spacing w:after="0" w:line="240" w:lineRule="auto"/>
        <w:rPr>
          <w:rFonts w:ascii="Verdana" w:hAnsi="Verdana"/>
          <w:lang w:val="es-ES"/>
        </w:rPr>
      </w:pPr>
      <w:r>
        <w:rPr>
          <w:rFonts w:ascii="Verdana" w:eastAsia="Calibri" w:hAnsi="Verdana" w:cs="Arial"/>
          <w:color w:val="000000" w:themeColor="text1"/>
          <w:lang w:val="es-ES" w:eastAsia="es-ES"/>
        </w:rPr>
        <w:t>Señora</w:t>
      </w:r>
    </w:p>
    <w:p w14:paraId="0E1640A6" w14:textId="77777777" w:rsidR="00763D94" w:rsidRDefault="00763D94" w:rsidP="00763D94">
      <w:pPr>
        <w:spacing w:after="0"/>
        <w:rPr>
          <w:rFonts w:ascii="Verdana" w:eastAsia="Calibri" w:hAnsi="Verdana" w:cs="Arial"/>
          <w:b/>
          <w:color w:val="000000" w:themeColor="text1"/>
          <w:lang w:eastAsia="es-ES"/>
        </w:rPr>
      </w:pPr>
      <w:r>
        <w:rPr>
          <w:rFonts w:ascii="Verdana" w:eastAsia="Calibri" w:hAnsi="Verdana" w:cs="Arial"/>
          <w:b/>
          <w:color w:val="000000" w:themeColor="text1"/>
          <w:lang w:eastAsia="es-ES"/>
        </w:rPr>
        <w:t xml:space="preserve">Yaritza López </w:t>
      </w:r>
    </w:p>
    <w:p w14:paraId="06BADA01" w14:textId="2817F571" w:rsidR="00763D94" w:rsidRPr="00831CEF" w:rsidRDefault="00DB5B0B" w:rsidP="00763D94">
      <w:pPr>
        <w:spacing w:after="0"/>
        <w:rPr>
          <w:rFonts w:ascii="Verdana" w:hAnsi="Verdana"/>
          <w:lang w:val="es-ES"/>
        </w:rPr>
      </w:pPr>
      <w:hyperlink r:id="rId12" w:history="1">
        <w:r w:rsidRPr="00945929">
          <w:rPr>
            <w:rStyle w:val="Hyperlink"/>
            <w:rFonts w:ascii="Verdana" w:hAnsi="Verdana"/>
            <w:lang w:val="es-ES"/>
          </w:rPr>
          <w:t>yaritza.lopez.urbaneja@gmail.com</w:t>
        </w:r>
      </w:hyperlink>
      <w:r>
        <w:rPr>
          <w:rFonts w:ascii="Verdana" w:hAnsi="Verdana"/>
          <w:lang w:val="es-ES"/>
        </w:rPr>
        <w:t xml:space="preserve"> </w:t>
      </w:r>
      <w:r w:rsidR="00763D94" w:rsidRPr="00EE7B8C">
        <w:rPr>
          <w:rFonts w:ascii="Verdana" w:hAnsi="Verdana"/>
          <w:lang w:val="es-ES"/>
        </w:rPr>
        <w:t xml:space="preserve"> </w:t>
      </w:r>
    </w:p>
    <w:p w14:paraId="494A0698" w14:textId="77777777" w:rsidR="00763D94" w:rsidRPr="00F45408" w:rsidRDefault="00763D94" w:rsidP="00763D94">
      <w:pPr>
        <w:spacing w:after="0"/>
        <w:rPr>
          <w:rFonts w:ascii="Verdana" w:eastAsia="Calibri" w:hAnsi="Verdana" w:cs="Arial"/>
          <w:b/>
          <w:color w:val="000000" w:themeColor="text1"/>
          <w:lang w:eastAsia="es-ES"/>
        </w:rPr>
      </w:pPr>
      <w:r w:rsidRPr="00FC6F34">
        <w:rPr>
          <w:rFonts w:ascii="Verdana" w:hAnsi="Verdana"/>
          <w:lang w:val="es-ES"/>
        </w:rPr>
        <w:t>Bogotá D.C.</w:t>
      </w:r>
    </w:p>
    <w:p w14:paraId="37EBD1D5" w14:textId="77777777" w:rsidR="00763D94" w:rsidRPr="00FC6F34" w:rsidRDefault="00763D94" w:rsidP="00763D94">
      <w:pPr>
        <w:spacing w:after="0" w:line="240" w:lineRule="auto"/>
        <w:rPr>
          <w:rFonts w:ascii="Verdana" w:eastAsia="Calibri" w:hAnsi="Verdana" w:cs="Arial"/>
          <w:b/>
          <w:bCs/>
          <w:color w:val="000000" w:themeColor="text1"/>
          <w:lang w:val="es-ES" w:eastAsia="es-ES"/>
        </w:rPr>
      </w:pPr>
    </w:p>
    <w:tbl>
      <w:tblPr>
        <w:tblStyle w:val="TableGrid"/>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763D94" w:rsidRPr="00FC6F34" w14:paraId="2D40295D" w14:textId="77777777" w:rsidTr="00BD3F2C">
        <w:trPr>
          <w:trHeight w:val="300"/>
        </w:trPr>
        <w:tc>
          <w:tcPr>
            <w:tcW w:w="2410" w:type="dxa"/>
          </w:tcPr>
          <w:p w14:paraId="6CDD9F55" w14:textId="77777777" w:rsidR="00763D94" w:rsidRPr="00FC6F34" w:rsidRDefault="00763D94" w:rsidP="00BD3F2C">
            <w:pPr>
              <w:ind w:left="-142"/>
              <w:jc w:val="both"/>
              <w:rPr>
                <w:rFonts w:ascii="Verdana" w:eastAsia="Calibri" w:hAnsi="Verdana" w:cs="Arial"/>
                <w:b/>
                <w:bCs/>
                <w:color w:val="000000" w:themeColor="text1"/>
                <w:lang w:val="es-ES" w:eastAsia="es-ES_tradnl"/>
              </w:rPr>
            </w:pPr>
          </w:p>
        </w:tc>
        <w:tc>
          <w:tcPr>
            <w:tcW w:w="6100" w:type="dxa"/>
          </w:tcPr>
          <w:p w14:paraId="0D36809C" w14:textId="77777777" w:rsidR="00763D94" w:rsidRDefault="00763D94" w:rsidP="00BD3F2C">
            <w:pPr>
              <w:ind w:left="3"/>
              <w:jc w:val="both"/>
              <w:rPr>
                <w:rFonts w:ascii="Verdana" w:eastAsia="Calibri" w:hAnsi="Verdana" w:cs="Arial"/>
                <w:b/>
                <w:bCs/>
                <w:color w:val="000000" w:themeColor="text1"/>
                <w:lang w:val="es-ES" w:eastAsia="es-ES"/>
              </w:rPr>
            </w:pPr>
          </w:p>
          <w:p w14:paraId="7EF0968B" w14:textId="1FB9D34E" w:rsidR="00763D94" w:rsidRPr="00FC6F34" w:rsidRDefault="00763D94" w:rsidP="00BD3F2C">
            <w:pPr>
              <w:ind w:left="3"/>
              <w:jc w:val="both"/>
              <w:rPr>
                <w:rFonts w:ascii="Verdana" w:eastAsia="Calibri" w:hAnsi="Verdana" w:cs="Arial"/>
                <w:b/>
                <w:bCs/>
                <w:color w:val="000000" w:themeColor="text1"/>
                <w:lang w:val="es-ES" w:eastAsia="es-ES"/>
              </w:rPr>
            </w:pPr>
            <w:r w:rsidRPr="00FC6F34">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147</w:t>
            </w:r>
            <w:r>
              <w:t xml:space="preserve"> </w:t>
            </w:r>
            <w:r w:rsidRPr="00FC6F34">
              <w:rPr>
                <w:rFonts w:ascii="Verdana" w:eastAsia="Calibri" w:hAnsi="Verdana" w:cs="Arial"/>
                <w:b/>
                <w:bCs/>
                <w:color w:val="000000" w:themeColor="text1"/>
                <w:lang w:val="es-ES" w:eastAsia="es-ES"/>
              </w:rPr>
              <w:t>de 202</w:t>
            </w:r>
            <w:r>
              <w:rPr>
                <w:rFonts w:ascii="Verdana" w:eastAsia="Calibri" w:hAnsi="Verdana" w:cs="Arial"/>
                <w:b/>
                <w:bCs/>
                <w:color w:val="000000" w:themeColor="text1"/>
                <w:lang w:val="es-ES" w:eastAsia="es-ES"/>
              </w:rPr>
              <w:t>6</w:t>
            </w:r>
          </w:p>
          <w:p w14:paraId="6ECC4356" w14:textId="77777777" w:rsidR="00763D94" w:rsidRPr="00FC6F34" w:rsidRDefault="00763D94" w:rsidP="00BD3F2C">
            <w:pPr>
              <w:ind w:left="3"/>
              <w:jc w:val="both"/>
              <w:rPr>
                <w:rFonts w:ascii="Verdana" w:eastAsia="Calibri" w:hAnsi="Verdana" w:cs="Arial"/>
                <w:b/>
                <w:bCs/>
                <w:color w:val="000000" w:themeColor="text1"/>
                <w:lang w:val="es-ES" w:eastAsia="es-ES"/>
              </w:rPr>
            </w:pPr>
          </w:p>
        </w:tc>
      </w:tr>
      <w:tr w:rsidR="00763D94" w:rsidRPr="00FC6F34" w14:paraId="3C9463D7" w14:textId="77777777" w:rsidTr="00BD3F2C">
        <w:trPr>
          <w:trHeight w:val="300"/>
        </w:trPr>
        <w:tc>
          <w:tcPr>
            <w:tcW w:w="2410" w:type="dxa"/>
          </w:tcPr>
          <w:p w14:paraId="117F96A6" w14:textId="77777777" w:rsidR="00763D94" w:rsidRPr="00E84C4E" w:rsidRDefault="00763D94" w:rsidP="00BD3F2C">
            <w:pPr>
              <w:ind w:left="424" w:firstLine="142"/>
              <w:jc w:val="both"/>
              <w:rPr>
                <w:rFonts w:ascii="Verdana" w:eastAsia="Calibri" w:hAnsi="Verdana" w:cs="Arial"/>
                <w:color w:val="000000" w:themeColor="text1"/>
                <w:lang w:val="es-ES" w:eastAsia="es-ES_tradnl"/>
              </w:rPr>
            </w:pPr>
            <w:r w:rsidRPr="00E84C4E">
              <w:rPr>
                <w:rFonts w:ascii="Verdana" w:eastAsia="Calibri" w:hAnsi="Verdana" w:cs="Arial"/>
                <w:b/>
                <w:color w:val="000000" w:themeColor="text1"/>
                <w:lang w:val="es-ES" w:eastAsia="es-ES_tradnl"/>
              </w:rPr>
              <w:t>Temas:</w:t>
            </w:r>
            <w:r w:rsidRPr="00E84C4E">
              <w:rPr>
                <w:rFonts w:ascii="Verdana" w:eastAsia="Calibri" w:hAnsi="Verdana" w:cs="Arial"/>
                <w:color w:val="000000" w:themeColor="text1"/>
                <w:lang w:val="es-ES" w:eastAsia="es-ES_tradnl"/>
              </w:rPr>
              <w:t xml:space="preserve">                  </w:t>
            </w:r>
          </w:p>
        </w:tc>
        <w:tc>
          <w:tcPr>
            <w:tcW w:w="6100" w:type="dxa"/>
          </w:tcPr>
          <w:p w14:paraId="66C32B2E" w14:textId="77777777" w:rsidR="00763D94" w:rsidRPr="003F6479" w:rsidRDefault="00763D94" w:rsidP="00BD3F2C">
            <w:pPr>
              <w:snapToGrid w:val="0"/>
              <w:contextualSpacing/>
              <w:jc w:val="both"/>
              <w:rPr>
                <w:rFonts w:ascii="Verdana" w:eastAsia="Calibri" w:hAnsi="Verdana" w:cs="Arial"/>
                <w:lang w:val="es-ES" w:eastAsia="es-ES"/>
              </w:rPr>
            </w:pPr>
            <w:r w:rsidRPr="00E84C4E">
              <w:rPr>
                <w:rFonts w:ascii="Verdana" w:eastAsia="Calibri" w:hAnsi="Verdana" w:cs="Arial"/>
                <w:lang w:val="es-ES" w:eastAsia="es-ES"/>
              </w:rPr>
              <w:t xml:space="preserve">LEY DE GARANTÍAS ELECTORALES – Finalidad / LEY DE GARANTÍAS ELECTORALES ‒ Restricciones ‒ Contratación ‒ Tipos de elección / LEY DE GARANTÍAS ELECTORALES ‒ Artículo 33 ‒ Ámbito material/ LEY DE GARANTÍAS ELECTORALES – Aplicación – </w:t>
            </w:r>
            <w:r>
              <w:rPr>
                <w:rFonts w:ascii="Verdana" w:eastAsia="Calibri" w:hAnsi="Verdana" w:cs="Arial"/>
                <w:lang w:val="es-ES" w:eastAsia="es-ES"/>
              </w:rPr>
              <w:t xml:space="preserve">Organismos internacionales / </w:t>
            </w:r>
            <w:r w:rsidRPr="00E84C4E">
              <w:rPr>
                <w:rFonts w:ascii="Verdana" w:eastAsia="Calibri" w:hAnsi="Verdana" w:cs="Arial"/>
                <w:lang w:val="es-ES" w:eastAsia="es-ES"/>
              </w:rPr>
              <w:t xml:space="preserve">LEY DE GARANTÍAS ELECTORALES – Aplicación – </w:t>
            </w:r>
            <w:r>
              <w:rPr>
                <w:rFonts w:ascii="Verdana" w:eastAsia="Calibri" w:hAnsi="Verdana" w:cs="Arial"/>
                <w:lang w:val="es-ES" w:eastAsia="es-ES"/>
              </w:rPr>
              <w:t xml:space="preserve">Artículo 20 </w:t>
            </w:r>
            <w:r w:rsidRPr="00E84C4E">
              <w:rPr>
                <w:rFonts w:ascii="Verdana" w:eastAsia="Calibri" w:hAnsi="Verdana" w:cs="Arial"/>
                <w:lang w:val="es-ES" w:eastAsia="es-ES"/>
              </w:rPr>
              <w:t>–</w:t>
            </w:r>
            <w:r>
              <w:rPr>
                <w:rFonts w:ascii="Verdana" w:eastAsia="Calibri" w:hAnsi="Verdana" w:cs="Arial"/>
                <w:lang w:val="es-ES" w:eastAsia="es-ES"/>
              </w:rPr>
              <w:t xml:space="preserve"> Inciso segundo</w:t>
            </w:r>
          </w:p>
          <w:p w14:paraId="685C6B7C" w14:textId="77777777" w:rsidR="00763D94" w:rsidRPr="00E84C4E" w:rsidRDefault="00763D94" w:rsidP="00BD3F2C">
            <w:pPr>
              <w:spacing w:line="276" w:lineRule="auto"/>
              <w:jc w:val="both"/>
              <w:rPr>
                <w:rFonts w:ascii="Verdana" w:eastAsia="Calibri" w:hAnsi="Verdana" w:cs="Arial"/>
                <w:color w:val="000000" w:themeColor="text1"/>
                <w:lang w:val="es-ES" w:eastAsia="es-ES"/>
              </w:rPr>
            </w:pPr>
          </w:p>
        </w:tc>
      </w:tr>
      <w:tr w:rsidR="00763D94" w:rsidRPr="00FC6F34" w14:paraId="7E5CE471" w14:textId="77777777" w:rsidTr="00BD3F2C">
        <w:tc>
          <w:tcPr>
            <w:tcW w:w="2410" w:type="dxa"/>
          </w:tcPr>
          <w:p w14:paraId="23C7093F" w14:textId="77777777" w:rsidR="00763D94" w:rsidRPr="00FC6F34" w:rsidRDefault="00763D94" w:rsidP="00BD3F2C">
            <w:pPr>
              <w:ind w:left="561"/>
              <w:jc w:val="both"/>
              <w:rPr>
                <w:rFonts w:ascii="Verdana" w:eastAsia="Calibri" w:hAnsi="Verdana" w:cs="Arial"/>
                <w:b/>
                <w:color w:val="000000" w:themeColor="text1"/>
                <w:lang w:val="es-ES" w:eastAsia="es-ES_tradnl"/>
              </w:rPr>
            </w:pPr>
            <w:r w:rsidRPr="00FC6F34">
              <w:rPr>
                <w:rFonts w:ascii="Verdana" w:eastAsia="Calibri" w:hAnsi="Verdana" w:cs="Arial"/>
                <w:b/>
                <w:color w:val="000000" w:themeColor="text1"/>
                <w:lang w:val="es-ES" w:eastAsia="es-ES_tradnl"/>
              </w:rPr>
              <w:t>Radicación:</w:t>
            </w:r>
            <w:r w:rsidRPr="00FC6F34">
              <w:rPr>
                <w:rFonts w:ascii="Verdana" w:eastAsia="Calibri" w:hAnsi="Verdana" w:cs="Arial"/>
                <w:color w:val="000000" w:themeColor="text1"/>
                <w:lang w:val="es-ES" w:eastAsia="es-ES_tradnl"/>
              </w:rPr>
              <w:t xml:space="preserve">              </w:t>
            </w:r>
          </w:p>
        </w:tc>
        <w:tc>
          <w:tcPr>
            <w:tcW w:w="6100" w:type="dxa"/>
          </w:tcPr>
          <w:p w14:paraId="25BA7D12" w14:textId="77777777" w:rsidR="00763D94" w:rsidRPr="00FC6F34" w:rsidRDefault="00763D94" w:rsidP="00BD3F2C">
            <w:pPr>
              <w:ind w:left="3"/>
              <w:jc w:val="both"/>
              <w:rPr>
                <w:rFonts w:ascii="Verdana" w:hAnsi="Verdana"/>
                <w:color w:val="000000"/>
                <w:lang w:val="es-ES"/>
              </w:rPr>
            </w:pPr>
            <w:r w:rsidRPr="00FC6F34">
              <w:rPr>
                <w:rFonts w:ascii="Verdana" w:eastAsia="Calibri" w:hAnsi="Verdana" w:cs="Arial"/>
                <w:color w:val="000000" w:themeColor="text1"/>
                <w:lang w:val="es-ES" w:eastAsia="es-ES"/>
              </w:rPr>
              <w:t xml:space="preserve">Respuesta a consulta con radicado No. </w:t>
            </w:r>
            <w:r w:rsidRPr="00831CEF">
              <w:rPr>
                <w:rFonts w:ascii="Verdana" w:eastAsia="Calibri" w:hAnsi="Verdana" w:cs="Arial"/>
                <w:color w:val="000000" w:themeColor="text1"/>
                <w:lang w:val="es-ES" w:eastAsia="es-ES"/>
              </w:rPr>
              <w:t>1_2026_02_03_001308</w:t>
            </w:r>
          </w:p>
        </w:tc>
      </w:tr>
    </w:tbl>
    <w:p w14:paraId="4CB4B923" w14:textId="77777777" w:rsidR="00763D94" w:rsidRPr="00FC6F34" w:rsidRDefault="00763D94" w:rsidP="00763D94">
      <w:pPr>
        <w:spacing w:after="0" w:line="276" w:lineRule="auto"/>
        <w:jc w:val="both"/>
        <w:rPr>
          <w:rFonts w:ascii="Verdana" w:eastAsia="Calibri" w:hAnsi="Verdana" w:cs="Arial"/>
          <w:color w:val="000000" w:themeColor="text1"/>
          <w:lang w:val="es-ES" w:eastAsia="es-ES"/>
        </w:rPr>
      </w:pPr>
    </w:p>
    <w:p w14:paraId="4C2F57BE" w14:textId="77777777" w:rsidR="00763D94" w:rsidRPr="00FC6F34" w:rsidRDefault="00763D94" w:rsidP="00763D94">
      <w:pPr>
        <w:spacing w:after="0" w:line="276" w:lineRule="auto"/>
        <w:jc w:val="both"/>
        <w:rPr>
          <w:rFonts w:ascii="Verdana" w:eastAsia="Calibri" w:hAnsi="Verdana" w:cs="Arial"/>
          <w:color w:val="000000" w:themeColor="text1"/>
          <w:lang w:val="es-ES" w:eastAsia="es-ES"/>
        </w:rPr>
      </w:pPr>
    </w:p>
    <w:p w14:paraId="4F4600AB" w14:textId="77777777" w:rsidR="00763D94" w:rsidRPr="00FC6F34" w:rsidRDefault="00763D94" w:rsidP="00763D94">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FC6F34">
        <w:rPr>
          <w:rFonts w:ascii="Verdana" w:eastAsia="Calibri" w:hAnsi="Verdana" w:cs="Arial"/>
          <w:color w:val="000000" w:themeColor="text1"/>
          <w:lang w:val="es-ES" w:eastAsia="es-ES"/>
        </w:rPr>
        <w:t xml:space="preserve"> seño</w:t>
      </w:r>
      <w:r>
        <w:rPr>
          <w:rFonts w:ascii="Verdana" w:eastAsia="Calibri" w:hAnsi="Verdana" w:cs="Arial"/>
          <w:color w:val="000000" w:themeColor="text1"/>
          <w:lang w:val="es-ES" w:eastAsia="es-ES"/>
        </w:rPr>
        <w:t xml:space="preserve">ra </w:t>
      </w:r>
      <w:r>
        <w:rPr>
          <w:rFonts w:ascii="Verdana" w:eastAsia="Calibri" w:hAnsi="Verdana" w:cs="Arial"/>
          <w:color w:val="000000" w:themeColor="text1"/>
          <w:lang w:eastAsia="es-ES"/>
        </w:rPr>
        <w:t>López</w:t>
      </w:r>
      <w:r w:rsidRPr="00FC6F34">
        <w:rPr>
          <w:rFonts w:ascii="Verdana" w:eastAsia="Calibri" w:hAnsi="Verdana" w:cs="Arial"/>
          <w:color w:val="000000" w:themeColor="text1"/>
          <w:lang w:val="es-ES" w:eastAsia="es-ES"/>
        </w:rPr>
        <w:t xml:space="preserve">: </w:t>
      </w:r>
    </w:p>
    <w:p w14:paraId="4B94887F" w14:textId="77777777" w:rsidR="00763D94" w:rsidRPr="00FC6F34" w:rsidRDefault="00763D94" w:rsidP="00763D94">
      <w:pPr>
        <w:tabs>
          <w:tab w:val="left" w:pos="3768"/>
        </w:tabs>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ab/>
      </w:r>
    </w:p>
    <w:p w14:paraId="1C454AF4" w14:textId="77777777" w:rsidR="00763D94" w:rsidRPr="00FC6F34" w:rsidRDefault="00763D94" w:rsidP="00763D94">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En ejercicio de la competencia otorgada por los artículos 3, numeral 5º, y 11, numeral 8º, del Decreto Ley 4170 de 2011,</w:t>
      </w:r>
      <w:r w:rsidRPr="00FC6F34">
        <w:rPr>
          <w:rFonts w:ascii="Verdana" w:eastAsia="Arial MT" w:hAnsi="Verdana" w:cs="Arial MT"/>
          <w:color w:val="000000" w:themeColor="text1"/>
          <w:lang w:val="es-ES" w:eastAsia="es-ES"/>
        </w:rPr>
        <w:t xml:space="preserve"> </w:t>
      </w:r>
      <w:r w:rsidRPr="00FC6F34">
        <w:rPr>
          <w:rFonts w:ascii="Verdana" w:hAnsi="Verdana" w:cs="Arial"/>
          <w:color w:val="000000" w:themeColor="text1"/>
          <w:lang w:val="es-ES"/>
        </w:rPr>
        <w:t xml:space="preserve">así como lo establecido en el artículo 4 de la Resolución 1707 de 2018 expedida por esta Entidad, </w:t>
      </w:r>
      <w:r w:rsidRPr="00FC6F34">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 xml:space="preserve">03 </w:t>
      </w:r>
      <w:r w:rsidRPr="00FC6F34">
        <w:rPr>
          <w:rFonts w:ascii="Verdana" w:eastAsia="Calibri" w:hAnsi="Verdana" w:cs="Arial"/>
          <w:color w:val="000000" w:themeColor="text1"/>
          <w:lang w:val="es-ES" w:eastAsia="es-ES"/>
        </w:rPr>
        <w:t>de</w:t>
      </w:r>
      <w:r>
        <w:rPr>
          <w:rFonts w:ascii="Verdana" w:eastAsia="Calibri" w:hAnsi="Verdana" w:cs="Arial"/>
          <w:color w:val="000000" w:themeColor="text1"/>
          <w:lang w:val="es-ES" w:eastAsia="es-ES"/>
        </w:rPr>
        <w:t xml:space="preserve"> febrero </w:t>
      </w:r>
      <w:r w:rsidRPr="00FC6F34">
        <w:rPr>
          <w:rFonts w:ascii="Verdana" w:eastAsia="Calibri" w:hAnsi="Verdana" w:cs="Arial"/>
          <w:color w:val="000000" w:themeColor="text1"/>
          <w:lang w:val="es-ES" w:eastAsia="es-ES"/>
        </w:rPr>
        <w:t>de 202</w:t>
      </w:r>
      <w:r>
        <w:rPr>
          <w:rFonts w:ascii="Verdana" w:eastAsia="Calibri" w:hAnsi="Verdana" w:cs="Arial"/>
          <w:color w:val="000000" w:themeColor="text1"/>
          <w:lang w:val="es-ES" w:eastAsia="es-ES"/>
        </w:rPr>
        <w:t>6</w:t>
      </w:r>
      <w:r w:rsidRPr="00FC6F34">
        <w:rPr>
          <w:rFonts w:ascii="Verdana" w:eastAsia="Calibri" w:hAnsi="Verdana" w:cs="Arial"/>
          <w:color w:val="000000" w:themeColor="text1"/>
          <w:lang w:val="es-ES" w:eastAsia="es-ES"/>
        </w:rPr>
        <w:t xml:space="preserve">, en la cual manifiesta lo siguiente: </w:t>
      </w:r>
    </w:p>
    <w:p w14:paraId="29592BD0" w14:textId="77777777" w:rsidR="00763D94" w:rsidRPr="00FC6F34" w:rsidRDefault="00763D94" w:rsidP="00763D94">
      <w:pPr>
        <w:tabs>
          <w:tab w:val="left" w:pos="142"/>
          <w:tab w:val="left" w:pos="284"/>
        </w:tabs>
        <w:spacing w:after="0" w:line="276" w:lineRule="auto"/>
        <w:contextualSpacing/>
        <w:jc w:val="both"/>
        <w:rPr>
          <w:rFonts w:ascii="Verdana" w:eastAsia="Century Gothic" w:hAnsi="Verdana" w:cs="Century Gothic"/>
          <w:b/>
          <w:bCs/>
          <w:color w:val="000000" w:themeColor="text1"/>
          <w:lang w:val="es-ES"/>
        </w:rPr>
      </w:pPr>
    </w:p>
    <w:p w14:paraId="5CF294BD" w14:textId="77777777" w:rsidR="00763D94" w:rsidRPr="00831CEF" w:rsidRDefault="00763D94" w:rsidP="00763D94">
      <w:pPr>
        <w:spacing w:before="120" w:after="120"/>
        <w:ind w:left="709" w:right="709"/>
        <w:contextualSpacing/>
        <w:jc w:val="both"/>
        <w:rPr>
          <w:rFonts w:ascii="Verdana" w:eastAsia="Century Gothic" w:hAnsi="Verdana" w:cs="Century Gothic"/>
          <w:i/>
          <w:color w:val="000000" w:themeColor="text1"/>
          <w:sz w:val="20"/>
          <w:szCs w:val="20"/>
        </w:rPr>
      </w:pPr>
      <w:r w:rsidRPr="00FC6F34">
        <w:rPr>
          <w:rFonts w:ascii="Verdana" w:eastAsia="Century Gothic" w:hAnsi="Verdana" w:cs="Century Gothic"/>
          <w:i/>
          <w:iCs/>
          <w:color w:val="000000" w:themeColor="text1"/>
          <w:sz w:val="20"/>
          <w:szCs w:val="20"/>
          <w:lang w:val="es-ES"/>
        </w:rPr>
        <w:t>“</w:t>
      </w:r>
      <w:r w:rsidRPr="00E84C4E">
        <w:rPr>
          <w:rFonts w:ascii="Verdana" w:eastAsia="Century Gothic" w:hAnsi="Verdana" w:cs="Century Gothic"/>
          <w:i/>
          <w:color w:val="000000" w:themeColor="text1"/>
          <w:sz w:val="20"/>
          <w:szCs w:val="20"/>
        </w:rPr>
        <w:t xml:space="preserve"> </w:t>
      </w:r>
      <w:r w:rsidRPr="00831CEF">
        <w:rPr>
          <w:rFonts w:ascii="Verdana" w:eastAsia="Century Gothic" w:hAnsi="Verdana" w:cs="Century Gothic"/>
          <w:i/>
          <w:color w:val="000000" w:themeColor="text1"/>
          <w:sz w:val="20"/>
          <w:szCs w:val="20"/>
        </w:rPr>
        <w:t>En el marco de la ley de garantía electorales y todas las disposiciones y observaciones subsiguientes, mi pregunta es, un Cabildo o resguardo indigena, entendido como entidad publica, ¿puede suscribir un contrato por medio de contratación directa, con una entidad que administra recursos (ejecutora del proyecto) de convenio de cooperación internaciónal financiados por el GEF y el procedimiento de tal contratación directa se rige por los lineamientos de la entidad implementadora (BID) y no ejecutora</w:t>
      </w:r>
      <w:r w:rsidRPr="00FC6F34">
        <w:rPr>
          <w:rFonts w:ascii="Verdana" w:hAnsi="Verdana"/>
          <w:i/>
          <w:iCs/>
          <w:sz w:val="20"/>
          <w:szCs w:val="20"/>
          <w:lang w:val="es-ES"/>
        </w:rPr>
        <w:t>”</w:t>
      </w:r>
    </w:p>
    <w:p w14:paraId="6141101E" w14:textId="77777777" w:rsidR="00763D94" w:rsidRPr="00FC6F34" w:rsidRDefault="00763D94" w:rsidP="00763D94">
      <w:pPr>
        <w:spacing w:after="0" w:line="276" w:lineRule="auto"/>
        <w:ind w:right="709"/>
        <w:jc w:val="both"/>
        <w:rPr>
          <w:rFonts w:ascii="Verdana" w:eastAsia="Calibri" w:hAnsi="Verdana" w:cs="Arial"/>
          <w:lang w:val="es-ES"/>
        </w:rPr>
      </w:pPr>
    </w:p>
    <w:p w14:paraId="18143999" w14:textId="77777777" w:rsidR="00763D94" w:rsidRPr="00FC6F34" w:rsidRDefault="00763D94" w:rsidP="00763D94">
      <w:pPr>
        <w:spacing w:after="120" w:line="276" w:lineRule="auto"/>
        <w:ind w:firstLine="708"/>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C6F34">
        <w:rPr>
          <w:lang w:val="es-ES"/>
        </w:rPr>
        <w:tab/>
      </w:r>
    </w:p>
    <w:p w14:paraId="5AF26F3B" w14:textId="77777777" w:rsidR="00763D94" w:rsidRPr="00FC6F34" w:rsidRDefault="00763D94" w:rsidP="00763D94">
      <w:pPr>
        <w:spacing w:after="0" w:line="276" w:lineRule="auto"/>
        <w:ind w:firstLine="709"/>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w:t>
      </w:r>
      <w:r>
        <w:rPr>
          <w:rFonts w:ascii="Verdana" w:eastAsia="Calibri" w:hAnsi="Verdana" w:cs="Arial"/>
          <w:color w:val="000000" w:themeColor="text1"/>
          <w:lang w:val="es-ES" w:eastAsia="es-ES"/>
        </w:rPr>
        <w:t xml:space="preserve"> el </w:t>
      </w:r>
      <w:r w:rsidRPr="00FC6F34">
        <w:rPr>
          <w:rFonts w:ascii="Verdana" w:eastAsia="Calibri" w:hAnsi="Verdana" w:cs="Arial"/>
          <w:color w:val="000000" w:themeColor="text1"/>
          <w:lang w:val="es-ES" w:eastAsia="es-ES"/>
        </w:rPr>
        <w:t xml:space="preserve">problema jurídico de su consulta. </w:t>
      </w:r>
    </w:p>
    <w:p w14:paraId="21A223AB" w14:textId="77777777" w:rsidR="00763D94" w:rsidRPr="00FC6F34" w:rsidRDefault="00763D94" w:rsidP="00763D94">
      <w:pPr>
        <w:spacing w:after="0" w:line="276" w:lineRule="auto"/>
        <w:ind w:firstLine="709"/>
        <w:jc w:val="both"/>
        <w:rPr>
          <w:rFonts w:ascii="Verdana" w:eastAsia="Calibri" w:hAnsi="Verdana" w:cs="Arial"/>
          <w:color w:val="000000" w:themeColor="text1"/>
          <w:lang w:val="es-ES" w:eastAsia="es-ES"/>
        </w:rPr>
      </w:pPr>
    </w:p>
    <w:p w14:paraId="643F2CE9" w14:textId="77777777" w:rsidR="00763D94" w:rsidRPr="00FC6F34" w:rsidRDefault="00763D94" w:rsidP="00763D94">
      <w:pPr>
        <w:tabs>
          <w:tab w:val="left" w:pos="142"/>
          <w:tab w:val="left" w:pos="284"/>
        </w:tabs>
        <w:spacing w:after="0" w:line="276" w:lineRule="auto"/>
        <w:contextualSpacing/>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1.Problema planteado:</w:t>
      </w:r>
    </w:p>
    <w:p w14:paraId="66AAE605" w14:textId="77777777" w:rsidR="00763D94" w:rsidRPr="00FC6F34" w:rsidRDefault="00763D94" w:rsidP="00763D94">
      <w:pPr>
        <w:tabs>
          <w:tab w:val="left" w:pos="426"/>
        </w:tabs>
        <w:spacing w:after="0" w:line="276" w:lineRule="auto"/>
        <w:jc w:val="both"/>
        <w:rPr>
          <w:rFonts w:ascii="Verdana" w:eastAsia="Century Gothic" w:hAnsi="Verdana" w:cs="Century Gothic"/>
          <w:color w:val="000000" w:themeColor="text1"/>
          <w:lang w:val="es-ES"/>
        </w:rPr>
      </w:pPr>
    </w:p>
    <w:p w14:paraId="454745ED" w14:textId="77777777" w:rsidR="00763D94" w:rsidRPr="00FC6F34" w:rsidRDefault="00763D94" w:rsidP="00763D94">
      <w:pPr>
        <w:spacing w:after="0" w:line="276" w:lineRule="auto"/>
        <w:jc w:val="both"/>
        <w:rPr>
          <w:rFonts w:ascii="Verdana" w:eastAsia="Century Gothic" w:hAnsi="Verdana" w:cs="Century Gothic"/>
          <w:color w:val="000000" w:themeColor="text1"/>
          <w:lang w:val="es-ES"/>
        </w:rPr>
      </w:pPr>
      <w:r w:rsidRPr="00FC6F34">
        <w:rPr>
          <w:rFonts w:ascii="Verdana" w:eastAsia="Century Gothic" w:hAnsi="Verdana" w:cs="Century Gothic"/>
          <w:color w:val="000000" w:themeColor="text1"/>
          <w:lang w:val="es-ES"/>
        </w:rPr>
        <w:t xml:space="preserve">De acuerdo con el contenido de su solicitud, esta Agencia resolverá </w:t>
      </w:r>
      <w:r>
        <w:rPr>
          <w:rFonts w:ascii="Verdana" w:eastAsia="Century Gothic" w:hAnsi="Verdana" w:cs="Century Gothic"/>
          <w:color w:val="000000" w:themeColor="text1"/>
          <w:lang w:val="es-ES"/>
        </w:rPr>
        <w:t>el</w:t>
      </w:r>
      <w:r w:rsidRPr="00FC6F34">
        <w:rPr>
          <w:rFonts w:ascii="Verdana" w:eastAsia="Century Gothic" w:hAnsi="Verdana" w:cs="Century Gothic"/>
          <w:color w:val="000000" w:themeColor="text1"/>
          <w:lang w:val="es-ES"/>
        </w:rPr>
        <w:t xml:space="preserve"> siguiente problema jurídico: </w:t>
      </w:r>
      <w:r>
        <w:rPr>
          <w:rFonts w:ascii="Verdana" w:eastAsia="Century Gothic" w:hAnsi="Verdana" w:cs="Century Gothic"/>
          <w:color w:val="000000" w:themeColor="text1"/>
          <w:lang w:val="es-ES"/>
        </w:rPr>
        <w:t xml:space="preserve">¿Cuál es el ámbito de aplicación de las restricciones de la Ley de Garantías Electorales con respecto a los contratos o convenios financiados por </w:t>
      </w:r>
      <w:r w:rsidRPr="00E84C4E">
        <w:rPr>
          <w:rFonts w:ascii="Verdana" w:eastAsia="Century Gothic" w:hAnsi="Verdana" w:cs="Century Gothic"/>
          <w:color w:val="000000" w:themeColor="text1"/>
          <w:lang w:val="es-ES"/>
        </w:rPr>
        <w:t xml:space="preserve">organismos internacionales de cooperación </w:t>
      </w:r>
      <w:r>
        <w:rPr>
          <w:rFonts w:ascii="Verdana" w:eastAsia="Century Gothic" w:hAnsi="Verdana" w:cs="Century Gothic"/>
          <w:color w:val="000000" w:themeColor="text1"/>
          <w:lang w:val="es-ES"/>
        </w:rPr>
        <w:t xml:space="preserve">u organismos </w:t>
      </w:r>
      <w:r w:rsidRPr="00E84C4E">
        <w:rPr>
          <w:rFonts w:ascii="Verdana" w:eastAsia="Century Gothic" w:hAnsi="Verdana" w:cs="Century Gothic"/>
          <w:color w:val="000000" w:themeColor="text1"/>
          <w:lang w:val="es-ES"/>
        </w:rPr>
        <w:t xml:space="preserve">multilaterales de crédito? </w:t>
      </w:r>
    </w:p>
    <w:p w14:paraId="5A527574" w14:textId="77777777" w:rsidR="00763D94" w:rsidRPr="00FC6F34" w:rsidRDefault="00763D94" w:rsidP="00763D94">
      <w:pPr>
        <w:spacing w:after="0" w:line="276" w:lineRule="auto"/>
        <w:jc w:val="both"/>
        <w:rPr>
          <w:rFonts w:ascii="Verdana" w:eastAsia="Calibri" w:hAnsi="Verdana" w:cs="Arial"/>
          <w:color w:val="000000" w:themeColor="text1"/>
          <w:lang w:val="es-ES"/>
        </w:rPr>
      </w:pPr>
    </w:p>
    <w:p w14:paraId="2870D39C" w14:textId="77777777" w:rsidR="00763D94" w:rsidRPr="00FC6F34" w:rsidRDefault="00763D94" w:rsidP="00763D94">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2.Respuesta:</w:t>
      </w:r>
    </w:p>
    <w:p w14:paraId="0B72D3CD" w14:textId="77777777" w:rsidR="00763D94" w:rsidRPr="00FC6F34" w:rsidRDefault="00763D94" w:rsidP="00763D94">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63D94" w:rsidRPr="00FC6F34" w14:paraId="68B3DACE" w14:textId="77777777" w:rsidTr="00BD3F2C">
        <w:tc>
          <w:tcPr>
            <w:tcW w:w="8828" w:type="dxa"/>
          </w:tcPr>
          <w:p w14:paraId="4F3427ED" w14:textId="77777777" w:rsidR="00763D94" w:rsidRDefault="00763D94" w:rsidP="00C62C8B">
            <w:pPr>
              <w:spacing w:before="120" w:after="120" w:line="276" w:lineRule="auto"/>
              <w:jc w:val="both"/>
              <w:rPr>
                <w:rFonts w:ascii="Verdana" w:eastAsia="Times New Roman" w:hAnsi="Verdana" w:cs="Arial"/>
                <w:lang w:val="es-MX" w:eastAsia="x-none"/>
              </w:rPr>
            </w:pPr>
            <w:r>
              <w:rPr>
                <w:rFonts w:ascii="Verdana" w:eastAsia="Times New Roman" w:hAnsi="Verdana" w:cs="Arial"/>
                <w:lang w:val="es-MX" w:eastAsia="x-none"/>
              </w:rPr>
              <w:t>E</w:t>
            </w:r>
            <w:r w:rsidRPr="00B73308">
              <w:rPr>
                <w:rFonts w:ascii="Verdana" w:eastAsia="Times New Roman" w:hAnsi="Verdana" w:cs="Arial"/>
                <w:lang w:val="es-MX" w:eastAsia="x-none"/>
              </w:rPr>
              <w:t xml:space="preserve">l </w:t>
            </w:r>
            <w:r w:rsidRPr="00DF1455">
              <w:rPr>
                <w:rFonts w:ascii="Verdana" w:eastAsia="Times New Roman" w:hAnsi="Verdana" w:cs="Arial"/>
                <w:i/>
                <w:iCs/>
                <w:lang w:val="es-MX" w:eastAsia="x-none"/>
              </w:rPr>
              <w:t>inciso primero</w:t>
            </w:r>
            <w:r w:rsidRPr="00B73308">
              <w:rPr>
                <w:rFonts w:ascii="Verdana" w:eastAsia="Times New Roman" w:hAnsi="Verdana" w:cs="Arial"/>
                <w:lang w:val="es-MX" w:eastAsia="x-none"/>
              </w:rPr>
              <w:t xml:space="preserve"> del artículo 20 de la Ley 1150 de 2007, establece que</w:t>
            </w:r>
            <w:r>
              <w:rPr>
                <w:rFonts w:ascii="Verdana" w:eastAsia="Times New Roman" w:hAnsi="Verdana" w:cs="Arial"/>
                <w:lang w:val="es-MX" w:eastAsia="x-none"/>
              </w:rPr>
              <w:t xml:space="preserve"> los </w:t>
            </w:r>
            <w:r w:rsidRPr="00B73308">
              <w:rPr>
                <w:rFonts w:ascii="Verdana" w:eastAsia="Times New Roman" w:hAnsi="Verdana" w:cs="Arial"/>
                <w:lang w:val="es-MX" w:eastAsia="x-none"/>
              </w:rPr>
              <w:t xml:space="preserve">contratos </w:t>
            </w:r>
            <w:r>
              <w:rPr>
                <w:rFonts w:ascii="Verdana" w:eastAsia="Times New Roman" w:hAnsi="Verdana" w:cs="Arial"/>
                <w:lang w:val="es-MX" w:eastAsia="x-none"/>
              </w:rPr>
              <w:t xml:space="preserve">o convenios que </w:t>
            </w:r>
            <w:r w:rsidRPr="00B73308">
              <w:rPr>
                <w:rFonts w:ascii="Verdana" w:eastAsia="Times New Roman" w:hAnsi="Verdana" w:cs="Arial"/>
                <w:lang w:val="es-MX" w:eastAsia="x-none"/>
              </w:rPr>
              <w:t>se financi</w:t>
            </w:r>
            <w:r>
              <w:rPr>
                <w:rFonts w:ascii="Verdana" w:eastAsia="Times New Roman" w:hAnsi="Verdana" w:cs="Arial"/>
                <w:lang w:val="es-MX" w:eastAsia="x-none"/>
              </w:rPr>
              <w:t>e</w:t>
            </w:r>
            <w:r w:rsidRPr="00B73308">
              <w:rPr>
                <w:rFonts w:ascii="Verdana" w:eastAsia="Times New Roman" w:hAnsi="Verdana" w:cs="Arial"/>
                <w:lang w:val="es-MX" w:eastAsia="x-none"/>
              </w:rPr>
              <w:t>n en su totalidad o en sumas iguales o superiores al cincuenta por ciento con fondos de</w:t>
            </w:r>
            <w:r>
              <w:rPr>
                <w:rFonts w:ascii="Verdana" w:eastAsia="Times New Roman" w:hAnsi="Verdana" w:cs="Arial"/>
                <w:lang w:val="es-MX" w:eastAsia="x-none"/>
              </w:rPr>
              <w:t xml:space="preserve"> </w:t>
            </w:r>
            <w:r w:rsidRPr="00113FD5">
              <w:rPr>
                <w:rFonts w:ascii="Verdana" w:eastAsia="Times New Roman" w:hAnsi="Verdana" w:cs="Arial"/>
                <w:lang w:val="es-MX" w:eastAsia="x-none"/>
              </w:rPr>
              <w:t>los organismos de cooperación, asistencia o ayudas internacionales,</w:t>
            </w:r>
            <w:r>
              <w:rPr>
                <w:rFonts w:ascii="Verdana" w:eastAsia="Times New Roman" w:hAnsi="Verdana" w:cs="Arial"/>
                <w:lang w:val="es-MX" w:eastAsia="x-none"/>
              </w:rPr>
              <w:t xml:space="preserve"> j</w:t>
            </w:r>
            <w:r w:rsidRPr="00DF1455">
              <w:rPr>
                <w:rFonts w:ascii="Verdana" w:eastAsia="Times New Roman" w:hAnsi="Verdana" w:cs="Arial"/>
                <w:i/>
                <w:iCs/>
                <w:lang w:val="es-MX" w:eastAsia="x-none"/>
              </w:rPr>
              <w:t>pueden</w:t>
            </w:r>
            <w:r w:rsidRPr="00B73308">
              <w:rPr>
                <w:rFonts w:ascii="Verdana" w:eastAsia="Times New Roman" w:hAnsi="Verdana" w:cs="Arial"/>
                <w:lang w:val="es-MX" w:eastAsia="x-none"/>
              </w:rPr>
              <w:t xml:space="preserve"> someterse a</w:t>
            </w:r>
            <w:r>
              <w:rPr>
                <w:rFonts w:ascii="Verdana" w:eastAsia="Times New Roman" w:hAnsi="Verdana" w:cs="Arial"/>
                <w:lang w:val="es-MX" w:eastAsia="x-none"/>
              </w:rPr>
              <w:t xml:space="preserve"> sus reglamentos</w:t>
            </w:r>
            <w:r w:rsidRPr="00B73308">
              <w:rPr>
                <w:rFonts w:ascii="Verdana" w:eastAsia="Times New Roman" w:hAnsi="Verdana" w:cs="Arial"/>
                <w:lang w:val="es-MX" w:eastAsia="x-none"/>
              </w:rPr>
              <w:t>.</w:t>
            </w:r>
            <w:r>
              <w:rPr>
                <w:rFonts w:ascii="Verdana" w:eastAsia="Times New Roman" w:hAnsi="Verdana" w:cs="Arial"/>
                <w:lang w:val="es-MX" w:eastAsia="x-none"/>
              </w:rPr>
              <w:t xml:space="preserve"> Por el contrario</w:t>
            </w:r>
            <w:r w:rsidRPr="00B73308">
              <w:rPr>
                <w:rFonts w:ascii="Verdana" w:eastAsia="Times New Roman" w:hAnsi="Verdana" w:cs="Arial"/>
                <w:lang w:val="es-MX" w:eastAsia="x-none"/>
              </w:rPr>
              <w:t>,</w:t>
            </w:r>
            <w:r>
              <w:rPr>
                <w:rFonts w:ascii="Verdana" w:eastAsia="Times New Roman" w:hAnsi="Verdana" w:cs="Arial"/>
                <w:lang w:val="es-MX" w:eastAsia="x-none"/>
              </w:rPr>
              <w:t xml:space="preserve"> </w:t>
            </w:r>
            <w:r w:rsidRPr="00B73308">
              <w:rPr>
                <w:rFonts w:ascii="Verdana" w:eastAsia="Times New Roman" w:hAnsi="Verdana" w:cs="Arial"/>
                <w:lang w:val="es-MX" w:eastAsia="x-none"/>
              </w:rPr>
              <w:t xml:space="preserve">cuando se trate de contratos que se financian con recursos del presupuesto general de la nación, </w:t>
            </w:r>
            <w:r>
              <w:rPr>
                <w:rFonts w:ascii="Verdana" w:eastAsia="Times New Roman" w:hAnsi="Verdana" w:cs="Arial"/>
                <w:lang w:val="es-MX" w:eastAsia="x-none"/>
              </w:rPr>
              <w:t xml:space="preserve">las entidades </w:t>
            </w:r>
            <w:r w:rsidRPr="00F66EEE">
              <w:rPr>
                <w:rFonts w:ascii="Verdana" w:eastAsia="Times New Roman" w:hAnsi="Verdana" w:cs="Arial"/>
                <w:i/>
                <w:iCs/>
                <w:lang w:val="es-MX" w:eastAsia="x-none"/>
              </w:rPr>
              <w:t>deberán</w:t>
            </w:r>
            <w:r>
              <w:rPr>
                <w:rFonts w:ascii="Verdana" w:eastAsia="Times New Roman" w:hAnsi="Verdana" w:cs="Arial"/>
                <w:lang w:val="es-MX" w:eastAsia="x-none"/>
              </w:rPr>
              <w:t xml:space="preserve"> </w:t>
            </w:r>
            <w:r>
              <w:rPr>
                <w:rFonts w:ascii="Verdana" w:eastAsia="Times New Roman" w:hAnsi="Verdana" w:cs="Arial"/>
                <w:lang w:val="es-MX" w:eastAsia="x-none"/>
              </w:rPr>
              <w:lastRenderedPageBreak/>
              <w:t xml:space="preserve">necesariamente </w:t>
            </w:r>
            <w:r w:rsidRPr="00B73308">
              <w:rPr>
                <w:rFonts w:ascii="Verdana" w:eastAsia="Times New Roman" w:hAnsi="Verdana" w:cs="Arial"/>
                <w:lang w:val="es-MX" w:eastAsia="x-none"/>
              </w:rPr>
              <w:t>aplicar el Estatuto General de Contratación</w:t>
            </w:r>
            <w:r>
              <w:rPr>
                <w:rFonts w:ascii="Verdana" w:eastAsia="Times New Roman" w:hAnsi="Verdana" w:cs="Arial"/>
                <w:lang w:val="es-MX" w:eastAsia="x-none"/>
              </w:rPr>
              <w:t xml:space="preserve"> de la Administración</w:t>
            </w:r>
            <w:r w:rsidRPr="00B73308">
              <w:rPr>
                <w:rFonts w:ascii="Verdana" w:eastAsia="Times New Roman" w:hAnsi="Verdana" w:cs="Arial"/>
                <w:lang w:val="es-MX" w:eastAsia="x-none"/>
              </w:rPr>
              <w:t xml:space="preserve"> Pública.</w:t>
            </w:r>
          </w:p>
          <w:p w14:paraId="1EECA1BE" w14:textId="77777777" w:rsidR="00763D94" w:rsidRDefault="00763D94" w:rsidP="00BD3F2C">
            <w:pPr>
              <w:spacing w:before="120" w:line="276" w:lineRule="auto"/>
              <w:ind w:firstLine="694"/>
              <w:jc w:val="both"/>
              <w:rPr>
                <w:rFonts w:ascii="Verdana" w:eastAsia="Times New Roman" w:hAnsi="Verdana" w:cs="Arial"/>
                <w:lang w:val="es-MX"/>
              </w:rPr>
            </w:pPr>
            <w:r w:rsidRPr="44B3FB22">
              <w:rPr>
                <w:rFonts w:ascii="Verdana" w:eastAsia="Times New Roman" w:hAnsi="Verdana" w:cs="Arial"/>
                <w:lang w:val="es-MX"/>
              </w:rPr>
              <w:t>En</w:t>
            </w:r>
            <w:r>
              <w:rPr>
                <w:rFonts w:ascii="Verdana" w:eastAsia="Times New Roman" w:hAnsi="Verdana" w:cs="Arial"/>
                <w:lang w:val="es-MX"/>
              </w:rPr>
              <w:t xml:space="preserve"> consecuencia</w:t>
            </w:r>
            <w:r w:rsidRPr="44B3FB22">
              <w:rPr>
                <w:rFonts w:ascii="Verdana" w:eastAsia="Times New Roman" w:hAnsi="Verdana" w:cs="Arial"/>
                <w:lang w:val="es-MX"/>
              </w:rPr>
              <w:t>, la restricción contemplada en el artículo 33</w:t>
            </w:r>
            <w:r>
              <w:rPr>
                <w:rFonts w:ascii="Verdana" w:eastAsia="Times New Roman" w:hAnsi="Verdana" w:cs="Arial"/>
                <w:lang w:val="es-MX"/>
              </w:rPr>
              <w:t xml:space="preserve"> de la Ley de Garantías Electorales</w:t>
            </w:r>
            <w:r w:rsidRPr="44B3FB22">
              <w:rPr>
                <w:rFonts w:ascii="Verdana" w:eastAsia="Times New Roman" w:hAnsi="Verdana" w:cs="Arial"/>
                <w:lang w:val="es-MX"/>
              </w:rPr>
              <w:t xml:space="preserve"> </w:t>
            </w:r>
            <w:r w:rsidRPr="00A85C83">
              <w:rPr>
                <w:rFonts w:ascii="Verdana" w:eastAsia="Times New Roman" w:hAnsi="Verdana" w:cs="Arial"/>
                <w:i/>
                <w:iCs/>
                <w:u w:val="single"/>
                <w:lang w:val="es-MX"/>
              </w:rPr>
              <w:t>n</w:t>
            </w:r>
            <w:r w:rsidRPr="00DF1455">
              <w:rPr>
                <w:rFonts w:ascii="Verdana" w:eastAsia="Times New Roman" w:hAnsi="Verdana" w:cs="Arial"/>
                <w:i/>
                <w:iCs/>
                <w:lang w:val="es-MX"/>
              </w:rPr>
              <w:t>o</w:t>
            </w:r>
            <w:r w:rsidRPr="44B3FB22">
              <w:rPr>
                <w:rFonts w:ascii="Verdana" w:eastAsia="Times New Roman" w:hAnsi="Verdana" w:cs="Arial"/>
                <w:lang w:val="es-MX"/>
              </w:rPr>
              <w:t xml:space="preserve"> aplica a los contratos que son financiados en su totalidad o en sumas iguales o superiores al cincuenta por ciento con fondos de organismos de cooperación, asistencia o ayudas internacionales, y cuyo régimen sea el dispuesto en los reglamentos de tales organismos. Lo anterior, por cuanto en estos casos el artículo 20 de la Ley 1150 de 2007 autoriza</w:t>
            </w:r>
            <w:r>
              <w:rPr>
                <w:rFonts w:ascii="Verdana" w:eastAsia="Times New Roman" w:hAnsi="Verdana" w:cs="Arial"/>
                <w:lang w:val="es-MX"/>
              </w:rPr>
              <w:t xml:space="preserve"> la</w:t>
            </w:r>
            <w:r w:rsidRPr="44B3FB22">
              <w:rPr>
                <w:rFonts w:ascii="Verdana" w:eastAsia="Times New Roman" w:hAnsi="Verdana" w:cs="Arial"/>
                <w:lang w:val="es-MX"/>
              </w:rPr>
              <w:t xml:space="preserve"> aplica</w:t>
            </w:r>
            <w:r>
              <w:rPr>
                <w:rFonts w:ascii="Verdana" w:eastAsia="Times New Roman" w:hAnsi="Verdana" w:cs="Arial"/>
                <w:lang w:val="es-MX"/>
              </w:rPr>
              <w:t>ción</w:t>
            </w:r>
            <w:r w:rsidRPr="44B3FB22">
              <w:rPr>
                <w:rFonts w:ascii="Verdana" w:eastAsia="Times New Roman" w:hAnsi="Verdana" w:cs="Arial"/>
                <w:lang w:val="es-MX"/>
              </w:rPr>
              <w:t xml:space="preserve"> “integral” </w:t>
            </w:r>
            <w:r>
              <w:rPr>
                <w:rFonts w:ascii="Verdana" w:eastAsia="Times New Roman" w:hAnsi="Verdana" w:cs="Arial"/>
                <w:lang w:val="es-MX"/>
              </w:rPr>
              <w:t xml:space="preserve">de </w:t>
            </w:r>
            <w:r w:rsidRPr="44B3FB22">
              <w:rPr>
                <w:rFonts w:ascii="Verdana" w:eastAsia="Times New Roman" w:hAnsi="Verdana" w:cs="Arial"/>
                <w:lang w:val="es-MX"/>
              </w:rPr>
              <w:t>l</w:t>
            </w:r>
            <w:r>
              <w:rPr>
                <w:rFonts w:ascii="Verdana" w:eastAsia="Times New Roman" w:hAnsi="Verdana" w:cs="Arial"/>
                <w:lang w:val="es-MX"/>
              </w:rPr>
              <w:t>os</w:t>
            </w:r>
            <w:r w:rsidRPr="44B3FB22">
              <w:rPr>
                <w:rFonts w:ascii="Verdana" w:eastAsia="Times New Roman" w:hAnsi="Verdana" w:cs="Arial"/>
                <w:lang w:val="es-MX"/>
              </w:rPr>
              <w:t xml:space="preserve"> reglamento</w:t>
            </w:r>
            <w:r>
              <w:rPr>
                <w:rFonts w:ascii="Verdana" w:eastAsia="Times New Roman" w:hAnsi="Verdana" w:cs="Arial"/>
                <w:lang w:val="es-MX"/>
              </w:rPr>
              <w:t>s</w:t>
            </w:r>
            <w:r w:rsidRPr="44B3FB22">
              <w:rPr>
                <w:rFonts w:ascii="Verdana" w:eastAsia="Times New Roman" w:hAnsi="Verdana" w:cs="Arial"/>
                <w:lang w:val="es-MX"/>
              </w:rPr>
              <w:t xml:space="preserve"> de dichos organismos.</w:t>
            </w:r>
            <w:r>
              <w:rPr>
                <w:rFonts w:ascii="Verdana" w:eastAsia="Times New Roman" w:hAnsi="Verdana" w:cs="Arial"/>
                <w:lang w:val="es-MX"/>
              </w:rPr>
              <w:t xml:space="preserve"> </w:t>
            </w:r>
          </w:p>
          <w:p w14:paraId="7705A60D" w14:textId="77777777" w:rsidR="00763D94" w:rsidRPr="00E92347" w:rsidRDefault="00763D94" w:rsidP="00BD3F2C">
            <w:pPr>
              <w:spacing w:before="120" w:line="276" w:lineRule="auto"/>
              <w:ind w:firstLine="694"/>
              <w:jc w:val="both"/>
              <w:rPr>
                <w:rFonts w:ascii="Verdana" w:eastAsia="Times New Roman" w:hAnsi="Verdana" w:cs="Arial"/>
                <w:lang w:val="es-MX"/>
              </w:rPr>
            </w:pPr>
            <w:r>
              <w:rPr>
                <w:rFonts w:ascii="Verdana" w:eastAsia="Times New Roman" w:hAnsi="Verdana" w:cs="Arial"/>
                <w:lang w:val="es-MX"/>
              </w:rPr>
              <w:t xml:space="preserve">Por otra parte, </w:t>
            </w:r>
            <w:r>
              <w:rPr>
                <w:rFonts w:ascii="Verdana" w:eastAsia="Calibri" w:hAnsi="Verdana" w:cs="Arial"/>
                <w:lang w:val="es-ES"/>
              </w:rPr>
              <w:t>e</w:t>
            </w:r>
            <w:r w:rsidRPr="00750B7D">
              <w:rPr>
                <w:rFonts w:ascii="Verdana" w:eastAsia="Calibri" w:hAnsi="Verdana" w:cs="Arial"/>
                <w:lang w:val="es-ES"/>
              </w:rPr>
              <w:t xml:space="preserve">l </w:t>
            </w:r>
            <w:r w:rsidRPr="00DF1455">
              <w:rPr>
                <w:rFonts w:ascii="Verdana" w:eastAsia="Calibri" w:hAnsi="Verdana" w:cs="Arial"/>
                <w:i/>
                <w:iCs/>
                <w:lang w:val="es-ES"/>
              </w:rPr>
              <w:t>inciso segundo</w:t>
            </w:r>
            <w:r w:rsidRPr="00750B7D">
              <w:rPr>
                <w:rFonts w:ascii="Verdana" w:eastAsia="Calibri" w:hAnsi="Verdana" w:cs="Arial"/>
                <w:lang w:val="es-ES"/>
              </w:rPr>
              <w:t xml:space="preserve"> </w:t>
            </w:r>
            <w:r>
              <w:rPr>
                <w:rFonts w:ascii="Verdana" w:eastAsia="Calibri" w:hAnsi="Verdana" w:cs="Arial"/>
                <w:lang w:val="es-ES"/>
              </w:rPr>
              <w:t xml:space="preserve">y el parágrafo primero </w:t>
            </w:r>
            <w:r w:rsidRPr="00750B7D">
              <w:rPr>
                <w:rFonts w:ascii="Verdana" w:eastAsia="Times New Roman" w:hAnsi="Verdana" w:cs="Arial"/>
                <w:lang w:val="es-MX" w:eastAsia="x-none"/>
              </w:rPr>
              <w:t>del artículo 20 de la Ley 1150 de 2007 señala</w:t>
            </w:r>
            <w:r>
              <w:rPr>
                <w:rFonts w:ascii="Verdana" w:eastAsia="Times New Roman" w:hAnsi="Verdana" w:cs="Arial"/>
                <w:lang w:val="es-MX" w:eastAsia="x-none"/>
              </w:rPr>
              <w:t>n</w:t>
            </w:r>
            <w:r w:rsidRPr="00750B7D">
              <w:rPr>
                <w:rFonts w:ascii="Verdana" w:eastAsia="Times New Roman" w:hAnsi="Verdana" w:cs="Arial"/>
                <w:lang w:val="es-MX" w:eastAsia="x-none"/>
              </w:rPr>
              <w:t xml:space="preserve"> que</w:t>
            </w:r>
            <w:r w:rsidRPr="00A85C83">
              <w:rPr>
                <w:rFonts w:ascii="Verdana" w:eastAsia="Times New Roman" w:hAnsi="Verdana" w:cs="Arial"/>
                <w:lang w:val="es-MX" w:eastAsia="x-none"/>
              </w:rPr>
              <w:t xml:space="preserve"> </w:t>
            </w:r>
            <w:r>
              <w:rPr>
                <w:rFonts w:ascii="Verdana" w:eastAsia="Times New Roman" w:hAnsi="Verdana" w:cs="Arial"/>
                <w:lang w:val="es-MX" w:eastAsia="x-none"/>
              </w:rPr>
              <w:t>l</w:t>
            </w:r>
            <w:r w:rsidRPr="00A85C83">
              <w:rPr>
                <w:rFonts w:ascii="Verdana" w:eastAsia="Times New Roman" w:hAnsi="Verdana" w:cs="Arial"/>
                <w:lang w:val="es-MX" w:eastAsia="x-none"/>
              </w:rPr>
              <w:t xml:space="preserve">os contratos o convenios celebrados con personas extranjeras de derecho público u organismos de derecho internacional cuyo objeto sea el desarrollo de programas de promoción, prevención y atención en salud; contratos y convenios necesarios para la operación de la OIT; contratos y convenios que se ejecuten en desarrollo del sistema integrado de monitoreo de cultivos ilícitos; contratos y convenios para la operación del programa mundial de alimentos; contratos y convenios para el desarrollo de programas de apoyo educativo a población desplazada y vulnerable adelantados por la Unesco y la OIM; </w:t>
            </w:r>
            <w:r w:rsidRPr="00A85C83">
              <w:rPr>
                <w:rFonts w:ascii="Verdana" w:eastAsia="Times New Roman" w:hAnsi="Verdana" w:cs="Arial"/>
                <w:i/>
                <w:iCs/>
                <w:lang w:val="es-MX" w:eastAsia="x-none"/>
              </w:rPr>
              <w:t>los contratos o convenios financiados con fondos de los organismos multilaterales de crédito</w:t>
            </w:r>
            <w:r w:rsidRPr="00A85C83">
              <w:rPr>
                <w:rFonts w:ascii="Verdana" w:eastAsia="Times New Roman" w:hAnsi="Verdana" w:cs="Arial"/>
                <w:lang w:val="es-MX" w:eastAsia="x-none"/>
              </w:rPr>
              <w:t xml:space="preserve"> y entes gubernamentales extranjeros, podrán</w:t>
            </w:r>
            <w:r w:rsidRPr="00E92347">
              <w:rPr>
                <w:rFonts w:ascii="Verdana" w:eastAsia="Times New Roman" w:hAnsi="Verdana" w:cs="Arial"/>
                <w:lang w:eastAsia="x-none"/>
              </w:rPr>
              <w:t xml:space="preserve"> someterse a los reglamentos de tales entidades. De igual manera, los contratos o acuerdos celebrados con personas extranjeras de derecho público, podrán someterse a las reglas de tales organismos.</w:t>
            </w:r>
            <w:r>
              <w:rPr>
                <w:rFonts w:ascii="Verdana" w:eastAsia="Times New Roman" w:hAnsi="Verdana" w:cs="Arial"/>
                <w:lang w:eastAsia="x-none"/>
              </w:rPr>
              <w:t xml:space="preserve"> Estas reglas aplican independientemente del porcentaje de financiación, pues la autorización para regirse por sus reglamentos depende de que se cumpla con el objeto señalado o que se trate de los sujetos dispuestos en la norma.</w:t>
            </w:r>
          </w:p>
          <w:p w14:paraId="2EC02B1F" w14:textId="77777777" w:rsidR="00763D94" w:rsidRPr="00FF364F" w:rsidRDefault="00763D94" w:rsidP="00BD3F2C">
            <w:pPr>
              <w:spacing w:before="120" w:line="276" w:lineRule="auto"/>
              <w:ind w:firstLine="694"/>
              <w:jc w:val="both"/>
              <w:rPr>
                <w:rFonts w:ascii="Verdana" w:hAnsi="Verdana" w:cs="Arial"/>
                <w:lang w:val="es-ES"/>
              </w:rPr>
            </w:pPr>
            <w:r w:rsidRPr="00E92347">
              <w:rPr>
                <w:rFonts w:ascii="Verdana" w:eastAsia="Times New Roman" w:hAnsi="Verdana" w:cs="Arial"/>
                <w:lang w:val="es-MX"/>
              </w:rPr>
              <w:t xml:space="preserve">En línea con lo </w:t>
            </w:r>
            <w:r w:rsidRPr="00E92347">
              <w:rPr>
                <w:rFonts w:ascii="Verdana" w:hAnsi="Verdana" w:cs="Arial"/>
                <w:lang w:val="es-ES"/>
              </w:rPr>
              <w:t xml:space="preserve">anterior, el artículo 2.2.1.2.4.4.1. del Decreto 1082 de 2015 establece que </w:t>
            </w:r>
            <w:r w:rsidRPr="00E92347">
              <w:rPr>
                <w:rFonts w:ascii="Verdana" w:hAnsi="Verdana" w:cs="Arial"/>
              </w:rPr>
              <w:t xml:space="preserve">los contratos o convenios financiados con fondos de los </w:t>
            </w:r>
            <w:r w:rsidRPr="00A85C83">
              <w:rPr>
                <w:rFonts w:ascii="Verdana" w:hAnsi="Verdana" w:cs="Arial"/>
                <w:i/>
                <w:iCs/>
              </w:rPr>
              <w:t>organismos multilaterales de crédito</w:t>
            </w:r>
            <w:r w:rsidRPr="00E92347">
              <w:rPr>
                <w:rFonts w:ascii="Verdana" w:hAnsi="Verdana" w:cs="Arial"/>
              </w:rPr>
              <w:t>, entes gubernamentales extranjeros o personas extranjeras de</w:t>
            </w:r>
            <w:r w:rsidRPr="00FF364F">
              <w:rPr>
                <w:rFonts w:ascii="Verdana" w:hAnsi="Verdana" w:cs="Arial"/>
              </w:rPr>
              <w:t xml:space="preserve"> derecho público, así como aquellos a los que se refiere el inciso 2 del artículo </w:t>
            </w:r>
            <w:r w:rsidRPr="00750B7D">
              <w:rPr>
                <w:rFonts w:ascii="Verdana" w:hAnsi="Verdana"/>
              </w:rPr>
              <w:t>20</w:t>
            </w:r>
            <w:r w:rsidRPr="00FF364F">
              <w:rPr>
                <w:rFonts w:ascii="Verdana" w:hAnsi="Verdana" w:cs="Arial"/>
              </w:rPr>
              <w:t xml:space="preserve"> de la Ley 1150 de 2007, se ejecutarán de conformidad con lo establecido en los tratados internacionales marco y complementarios, y en los convenios celebrados, o sus reglamentos, según </w:t>
            </w:r>
            <w:r w:rsidRPr="00FF364F">
              <w:rPr>
                <w:rFonts w:ascii="Verdana" w:hAnsi="Verdana" w:cs="Arial"/>
              </w:rPr>
              <w:lastRenderedPageBreak/>
              <w:t xml:space="preserve">sea el caso, sin que a ellos le sea aplicable el porcentaje </w:t>
            </w:r>
            <w:r>
              <w:rPr>
                <w:rFonts w:ascii="Verdana" w:hAnsi="Verdana" w:cs="Arial"/>
              </w:rPr>
              <w:t xml:space="preserve">de financiación </w:t>
            </w:r>
            <w:r w:rsidRPr="00FF364F">
              <w:rPr>
                <w:rFonts w:ascii="Verdana" w:hAnsi="Verdana" w:cs="Arial"/>
              </w:rPr>
              <w:t>señalado en el inciso primero del artículo</w:t>
            </w:r>
            <w:r w:rsidRPr="00FF364F">
              <w:rPr>
                <w:rFonts w:ascii="Verdana" w:hAnsi="Verdana"/>
              </w:rPr>
              <w:t xml:space="preserve"> </w:t>
            </w:r>
            <w:r w:rsidRPr="00750B7D">
              <w:rPr>
                <w:rFonts w:ascii="Verdana" w:hAnsi="Verdana"/>
              </w:rPr>
              <w:t>20</w:t>
            </w:r>
            <w:r w:rsidRPr="00FF364F">
              <w:rPr>
                <w:rFonts w:ascii="Verdana" w:hAnsi="Verdana" w:cs="Arial"/>
              </w:rPr>
              <w:t xml:space="preserve"> de la Ley 1150 de 2007.</w:t>
            </w:r>
            <w:r w:rsidRPr="00FF364F">
              <w:rPr>
                <w:rFonts w:ascii="Verdana" w:hAnsi="Verdana" w:cs="Arial"/>
                <w:lang w:val="es-ES"/>
              </w:rPr>
              <w:t xml:space="preserve"> </w:t>
            </w:r>
          </w:p>
          <w:p w14:paraId="1D431B68" w14:textId="77777777" w:rsidR="00763D94" w:rsidRDefault="00763D94" w:rsidP="00BD3F2C">
            <w:pPr>
              <w:spacing w:before="120" w:line="276" w:lineRule="auto"/>
              <w:ind w:firstLine="694"/>
              <w:jc w:val="both"/>
              <w:rPr>
                <w:rFonts w:ascii="Verdana" w:eastAsia="Times New Roman" w:hAnsi="Verdana" w:cs="Arial"/>
                <w:lang w:val="es-MX"/>
              </w:rPr>
            </w:pPr>
            <w:r>
              <w:rPr>
                <w:rFonts w:ascii="Verdana" w:hAnsi="Verdana" w:cs="Arial"/>
                <w:lang w:val="es-ES"/>
              </w:rPr>
              <w:t xml:space="preserve">Con fundamento en dicha normativa, </w:t>
            </w:r>
            <w:r w:rsidRPr="44B3FB22">
              <w:rPr>
                <w:rFonts w:ascii="Verdana" w:eastAsia="Times New Roman" w:hAnsi="Verdana" w:cs="Arial"/>
                <w:lang w:val="es-MX"/>
              </w:rPr>
              <w:t xml:space="preserve">la restricción contemplada en el </w:t>
            </w:r>
            <w:r w:rsidRPr="004C642F">
              <w:rPr>
                <w:rFonts w:ascii="Verdana" w:eastAsia="Times New Roman" w:hAnsi="Verdana" w:cs="Arial"/>
                <w:lang w:val="es-MX"/>
              </w:rPr>
              <w:t xml:space="preserve">artículo 33 </w:t>
            </w:r>
            <w:r w:rsidRPr="00097205">
              <w:rPr>
                <w:rFonts w:ascii="Verdana" w:eastAsia="Times New Roman" w:hAnsi="Verdana" w:cs="Arial"/>
                <w:i/>
                <w:iCs/>
                <w:u w:val="single"/>
                <w:lang w:val="es-MX"/>
              </w:rPr>
              <w:t>no</w:t>
            </w:r>
            <w:r w:rsidRPr="004C642F">
              <w:rPr>
                <w:rFonts w:ascii="Verdana" w:eastAsia="Times New Roman" w:hAnsi="Verdana" w:cs="Arial"/>
                <w:lang w:val="es-MX"/>
              </w:rPr>
              <w:t xml:space="preserve"> aplica</w:t>
            </w:r>
            <w:r w:rsidRPr="44B3FB22">
              <w:rPr>
                <w:rFonts w:ascii="Verdana" w:eastAsia="Times New Roman" w:hAnsi="Verdana" w:cs="Arial"/>
                <w:lang w:val="es-MX"/>
              </w:rPr>
              <w:t xml:space="preserve"> a los contratos </w:t>
            </w:r>
            <w:r>
              <w:rPr>
                <w:rFonts w:ascii="Verdana" w:eastAsia="Times New Roman" w:hAnsi="Verdana" w:cs="Arial"/>
                <w:lang w:val="es-MX"/>
              </w:rPr>
              <w:t>o convenios a los que se refiere el inciso segundo y el parágrafo primero del artículo 20 de la Ley 1150 de 2007 cuando se sometan a los reglamentos de dichos organismos, incluyendo aquellos</w:t>
            </w:r>
            <w:r w:rsidRPr="44B3FB22">
              <w:rPr>
                <w:rFonts w:ascii="Verdana" w:eastAsia="Times New Roman" w:hAnsi="Verdana" w:cs="Arial"/>
                <w:lang w:val="es-MX"/>
              </w:rPr>
              <w:t xml:space="preserve"> financiados </w:t>
            </w:r>
            <w:r w:rsidRPr="004C642F">
              <w:rPr>
                <w:rFonts w:ascii="Verdana" w:eastAsia="Times New Roman" w:hAnsi="Verdana" w:cs="Arial"/>
                <w:lang w:eastAsia="x-none"/>
              </w:rPr>
              <w:t>con fondos de los organismos multilaterales de crédito</w:t>
            </w:r>
            <w:r>
              <w:rPr>
                <w:rFonts w:ascii="Verdana" w:eastAsia="Times New Roman" w:hAnsi="Verdana" w:cs="Arial"/>
                <w:lang w:eastAsia="x-none"/>
              </w:rPr>
              <w:t>, como es el caso del Banco Mundial o el Banco Interamericano de desarrollo</w:t>
            </w:r>
            <w:r>
              <w:rPr>
                <w:rFonts w:ascii="Verdana" w:eastAsia="Times New Roman" w:hAnsi="Verdana" w:cs="Arial"/>
                <w:lang w:val="es-MX"/>
              </w:rPr>
              <w:t>, sin importar el porcentaje de financiación.</w:t>
            </w:r>
          </w:p>
          <w:p w14:paraId="327F21C6" w14:textId="77777777" w:rsidR="00763D94" w:rsidRPr="002E7CF8" w:rsidRDefault="00763D94" w:rsidP="00BD3F2C">
            <w:pPr>
              <w:spacing w:before="120" w:line="276" w:lineRule="auto"/>
              <w:ind w:firstLine="694"/>
              <w:jc w:val="both"/>
              <w:rPr>
                <w:rFonts w:ascii="Verdana" w:eastAsia="Times New Roman" w:hAnsi="Verdana" w:cs="Arial"/>
                <w:lang w:val="es-MX"/>
              </w:rPr>
            </w:pPr>
            <w:r>
              <w:rPr>
                <w:rFonts w:ascii="Verdana" w:eastAsia="Arial" w:hAnsi="Verdana" w:cs="Arial"/>
                <w:bCs/>
                <w:color w:val="000000" w:themeColor="text1"/>
                <w:lang w:val="es-ES"/>
              </w:rPr>
              <w:t xml:space="preserve">Con respecto a la prohibición del </w:t>
            </w:r>
            <w:r w:rsidRPr="00C16886">
              <w:rPr>
                <w:rFonts w:ascii="Verdana" w:eastAsia="Arial" w:hAnsi="Verdana" w:cs="Arial"/>
                <w:bCs/>
                <w:i/>
                <w:iCs/>
                <w:color w:val="000000" w:themeColor="text1"/>
                <w:lang w:val="es-ES"/>
              </w:rPr>
              <w:t>parágrafo del artículo 38</w:t>
            </w:r>
            <w:r>
              <w:rPr>
                <w:rFonts w:ascii="Verdana" w:eastAsia="Arial" w:hAnsi="Verdana" w:cs="Arial"/>
                <w:bCs/>
                <w:color w:val="000000" w:themeColor="text1"/>
                <w:lang w:val="es-ES"/>
              </w:rPr>
              <w:t>, esta solo será procedente cuando quienes realicen la contratación sean “</w:t>
            </w:r>
            <w:r w:rsidRPr="000C77A8">
              <w:rPr>
                <w:rFonts w:ascii="Verdana" w:eastAsia="Arial" w:hAnsi="Verdana" w:cs="Arial"/>
                <w:bCs/>
                <w:color w:val="000000" w:themeColor="text1"/>
              </w:rPr>
              <w:t>Alcaldes, Gobernadores, Secretarios, Gerentes y Directores de las entidades del orden municipal, departamental o distrital</w:t>
            </w:r>
            <w:r>
              <w:rPr>
                <w:rFonts w:ascii="Verdana" w:eastAsia="Arial" w:hAnsi="Verdana" w:cs="Arial"/>
                <w:bCs/>
                <w:color w:val="000000" w:themeColor="text1"/>
              </w:rPr>
              <w:t xml:space="preserve">”, de modo que la restricción no aplica cuando se trate sujetos distintos a los previstos en la norma. Por otra parte,  es necesario </w:t>
            </w:r>
            <w:r>
              <w:rPr>
                <w:rFonts w:ascii="Verdana" w:eastAsia="Arial" w:hAnsi="Verdana" w:cs="Arial"/>
                <w:bCs/>
                <w:color w:val="000000" w:themeColor="text1"/>
                <w:lang w:val="es-ES"/>
              </w:rPr>
              <w:t xml:space="preserve">que lo que pretendan adelantar estos sujetos sea un convenio interadministrativo para </w:t>
            </w:r>
            <w:r w:rsidRPr="002E7CF8">
              <w:rPr>
                <w:rFonts w:ascii="Verdana" w:eastAsia="Arial" w:hAnsi="Verdana" w:cs="Arial"/>
                <w:bCs/>
                <w:i/>
                <w:iCs/>
                <w:color w:val="000000" w:themeColor="text1"/>
                <w:lang w:val="es-ES"/>
              </w:rPr>
              <w:t>la ejecución de recursos públicos</w:t>
            </w:r>
            <w:r>
              <w:rPr>
                <w:rFonts w:ascii="Verdana" w:eastAsia="Arial" w:hAnsi="Verdana" w:cs="Arial"/>
                <w:bCs/>
                <w:color w:val="000000" w:themeColor="text1"/>
                <w:lang w:val="es-ES"/>
              </w:rPr>
              <w:t xml:space="preserve">. Solo cuando se cumplan estos supuestos, operará la restricción señalada en el parágrafo del artículo 38 de la Ley de Garantías y estará prohibido llevar a cabo la celebración del convenio en los cuatro meses anteriores a cualquier contienda electoral. </w:t>
            </w:r>
          </w:p>
          <w:p w14:paraId="523F7D39" w14:textId="77777777" w:rsidR="00763D94" w:rsidRPr="00036A04" w:rsidRDefault="00763D94" w:rsidP="00BD3F2C">
            <w:pPr>
              <w:spacing w:before="120" w:after="120" w:line="276" w:lineRule="auto"/>
              <w:ind w:firstLine="708"/>
              <w:jc w:val="both"/>
              <w:rPr>
                <w:rFonts w:ascii="Verdana" w:eastAsia="Times New Roman" w:hAnsi="Verdana" w:cs="Arial"/>
                <w:bCs/>
                <w:lang w:val="es-ES" w:eastAsia="es-CO"/>
              </w:rPr>
            </w:pPr>
            <w:r w:rsidRPr="00FC6F34">
              <w:rPr>
                <w:rFonts w:ascii="Verdana" w:eastAsia="Arial" w:hAnsi="Verdana" w:cs="Arial"/>
                <w:color w:val="000000" w:themeColor="text1"/>
                <w:lang w:val="es-ES"/>
              </w:rPr>
              <w:t xml:space="preserve">Finalmente, es importante advertir que </w:t>
            </w:r>
            <w:r w:rsidRPr="00FC6F34">
              <w:rPr>
                <w:rFonts w:ascii="Verdana" w:eastAsia="Times New Roman" w:hAnsi="Verdana" w:cs="Arial"/>
                <w:lang w:val="es-ES"/>
              </w:rPr>
              <w:t xml:space="preserve">compete a cada </w:t>
            </w:r>
            <w:r>
              <w:rPr>
                <w:rFonts w:ascii="Verdana" w:eastAsia="Times New Roman" w:hAnsi="Verdana" w:cs="Arial"/>
                <w:lang w:val="es-ES"/>
              </w:rPr>
              <w:t>E</w:t>
            </w:r>
            <w:r w:rsidRPr="00FC6F34">
              <w:rPr>
                <w:rFonts w:ascii="Verdana" w:eastAsia="Times New Roman" w:hAnsi="Verdana" w:cs="Arial"/>
                <w:lang w:val="es-ES"/>
              </w:rPr>
              <w:t xml:space="preserve">ntidad </w:t>
            </w:r>
            <w:r>
              <w:rPr>
                <w:rFonts w:ascii="Verdana" w:eastAsia="Times New Roman" w:hAnsi="Verdana" w:cs="Arial"/>
                <w:lang w:val="es-ES"/>
              </w:rPr>
              <w:t>E</w:t>
            </w:r>
            <w:r w:rsidRPr="00FC6F34">
              <w:rPr>
                <w:rFonts w:ascii="Verdana" w:eastAsia="Times New Roman" w:hAnsi="Verdana" w:cs="Arial"/>
                <w:lang w:val="es-ES"/>
              </w:rPr>
              <w:t>statal que considera celebrar un contrato específico definir si este se enmarca</w:t>
            </w:r>
            <w:r>
              <w:rPr>
                <w:rFonts w:ascii="Verdana" w:eastAsia="Times New Roman" w:hAnsi="Verdana" w:cs="Arial"/>
                <w:lang w:val="es-ES"/>
              </w:rPr>
              <w:t xml:space="preserve"> en alguna de las prohibiciones de la Ley de Garantías Electorales</w:t>
            </w:r>
            <w:r w:rsidRPr="00FC6F34">
              <w:rPr>
                <w:rFonts w:ascii="Verdana" w:eastAsia="Times New Roman" w:hAnsi="Verdana" w:cs="Arial"/>
                <w:lang w:val="es-ES"/>
              </w:rPr>
              <w:t xml:space="preserve">. </w:t>
            </w:r>
            <w:r w:rsidRPr="00FC6F34">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tc>
      </w:tr>
    </w:tbl>
    <w:p w14:paraId="56DE0EA4" w14:textId="77777777" w:rsidR="00763D94" w:rsidRPr="00FC6F34" w:rsidRDefault="00763D94" w:rsidP="00763D94">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1FE48272" w14:textId="77777777" w:rsidR="00763D94" w:rsidRPr="00FC6F34" w:rsidRDefault="00763D94" w:rsidP="00763D94">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3.Razones de la respuesta:</w:t>
      </w:r>
    </w:p>
    <w:p w14:paraId="1C6D133A" w14:textId="77777777" w:rsidR="00763D94" w:rsidRPr="00FC6F34" w:rsidRDefault="00763D94" w:rsidP="00763D94">
      <w:pPr>
        <w:spacing w:after="0" w:line="276" w:lineRule="auto"/>
        <w:jc w:val="both"/>
        <w:rPr>
          <w:rFonts w:ascii="Verdana" w:eastAsia="Calibri" w:hAnsi="Verdana" w:cs="Arial"/>
          <w:color w:val="000000" w:themeColor="text1"/>
          <w:lang w:val="es-ES"/>
        </w:rPr>
      </w:pPr>
    </w:p>
    <w:p w14:paraId="1F875A4F" w14:textId="77777777" w:rsidR="00763D94" w:rsidRPr="00FC6F34" w:rsidRDefault="00763D94" w:rsidP="00763D94">
      <w:pPr>
        <w:tabs>
          <w:tab w:val="left" w:pos="426"/>
        </w:tabs>
        <w:spacing w:after="120" w:line="276" w:lineRule="auto"/>
        <w:jc w:val="both"/>
        <w:rPr>
          <w:rFonts w:ascii="Verdana" w:eastAsia="Times New Roman" w:hAnsi="Verdana" w:cs="Arial"/>
          <w:lang w:val="es-ES" w:eastAsia="es-CO"/>
        </w:rPr>
      </w:pPr>
      <w:bookmarkStart w:id="1" w:name="_Hlk102983874"/>
      <w:bookmarkStart w:id="2" w:name="_Hlk102388095"/>
      <w:r w:rsidRPr="00FC6F34">
        <w:rPr>
          <w:rFonts w:ascii="Verdana" w:eastAsia="Calibri" w:hAnsi="Verdana" w:cs="Arial"/>
          <w:color w:val="000000" w:themeColor="text1"/>
          <w:lang w:val="es-ES"/>
        </w:rPr>
        <w:lastRenderedPageBreak/>
        <w:t>i)</w:t>
      </w:r>
      <w:r w:rsidRPr="00FC6F34">
        <w:rPr>
          <w:rFonts w:ascii="Verdana" w:eastAsia="Verdana" w:hAnsi="Verdana" w:cs="Verdana"/>
          <w:lang w:val="es-ES"/>
        </w:rPr>
        <w:t xml:space="preserve"> </w:t>
      </w:r>
      <w:r w:rsidRPr="00FC6F34">
        <w:rPr>
          <w:rFonts w:ascii="Verdana" w:eastAsia="Calibri" w:hAnsi="Verdana" w:cs="Arial"/>
          <w:lang w:val="es-ES"/>
        </w:rPr>
        <w:t>El ordenamiento jurídico colombiano contempla medidas para evitar la obtención de beneficios personales en asuntos propios de la administración pública</w:t>
      </w:r>
      <w:r w:rsidRPr="00FC6F34">
        <w:rPr>
          <w:rFonts w:ascii="Verdana" w:eastAsia="Calibri" w:hAnsi="Verdana" w:cs="Arial"/>
          <w:i/>
          <w:lang w:val="es-ES"/>
        </w:rPr>
        <w:t xml:space="preserve">. </w:t>
      </w:r>
      <w:r w:rsidRPr="00FC6F34">
        <w:rPr>
          <w:rFonts w:ascii="Verdana" w:eastAsia="Calibri"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FC6F34">
        <w:rPr>
          <w:rFonts w:ascii="Verdana" w:hAnsi="Verdana"/>
          <w:vertAlign w:val="superscript"/>
          <w:lang w:val="es-ES"/>
        </w:rPr>
        <w:footnoteReference w:id="2"/>
      </w:r>
      <w:r w:rsidRPr="00FC6F34">
        <w:rPr>
          <w:rFonts w:ascii="Verdana" w:eastAsia="Calibri" w:hAnsi="Verdana" w:cs="Arial"/>
          <w:lang w:val="es-ES"/>
        </w:rPr>
        <w:t xml:space="preserve">. </w:t>
      </w:r>
    </w:p>
    <w:p w14:paraId="26A0520E" w14:textId="77777777" w:rsidR="00763D94" w:rsidRPr="00FC6F34" w:rsidRDefault="00763D94" w:rsidP="00763D94">
      <w:pPr>
        <w:tabs>
          <w:tab w:val="left" w:pos="426"/>
        </w:tabs>
        <w:spacing w:after="12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C6F34">
        <w:rPr>
          <w:rFonts w:ascii="Verdana" w:eastAsia="Times New Roman" w:hAnsi="Verdana" w:cs="Arial"/>
          <w:vertAlign w:val="superscript"/>
          <w:lang w:val="es-ES" w:eastAsia="es-CO"/>
        </w:rPr>
        <w:footnoteReference w:id="3"/>
      </w:r>
      <w:r w:rsidRPr="00FC6F34">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FC6F34">
        <w:rPr>
          <w:rFonts w:ascii="Verdana" w:eastAsia="Calibri" w:hAnsi="Verdana" w:cs="Arial"/>
          <w:lang w:val="es-ES"/>
        </w:rPr>
        <w:t xml:space="preserve"> </w:t>
      </w:r>
    </w:p>
    <w:p w14:paraId="6F78B641" w14:textId="77777777" w:rsidR="00763D94" w:rsidRPr="00FC6F34" w:rsidRDefault="00763D94" w:rsidP="00763D94">
      <w:pPr>
        <w:tabs>
          <w:tab w:val="left" w:pos="426"/>
        </w:tabs>
        <w:spacing w:after="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04F4CD49" w14:textId="77777777" w:rsidR="00763D94" w:rsidRPr="00FC6F34" w:rsidRDefault="00763D94" w:rsidP="00763D94">
      <w:pPr>
        <w:spacing w:after="0" w:line="276" w:lineRule="auto"/>
        <w:ind w:right="709"/>
        <w:jc w:val="both"/>
        <w:rPr>
          <w:rFonts w:ascii="Verdana" w:eastAsia="Times New Roman" w:hAnsi="Verdana" w:cs="Arial"/>
          <w:lang w:val="es-ES" w:eastAsia="es-CO"/>
        </w:rPr>
      </w:pPr>
    </w:p>
    <w:p w14:paraId="3E740BC3" w14:textId="77777777" w:rsidR="00763D94" w:rsidRPr="00FC6F34" w:rsidRDefault="00763D94" w:rsidP="00763D94">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04F4120F" w14:textId="77777777" w:rsidR="00763D94" w:rsidRPr="00FC6F34" w:rsidRDefault="00763D94" w:rsidP="00763D94">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 </w:t>
      </w:r>
    </w:p>
    <w:p w14:paraId="2265713D" w14:textId="77777777" w:rsidR="00763D94" w:rsidRPr="00FC6F34" w:rsidRDefault="00763D94" w:rsidP="00763D94">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w:t>
      </w:r>
      <w:r w:rsidRPr="00FC6F34">
        <w:rPr>
          <w:rFonts w:ascii="Verdana" w:eastAsia="Times New Roman" w:hAnsi="Verdana" w:cs="Arial"/>
          <w:sz w:val="20"/>
          <w:szCs w:val="20"/>
          <w:lang w:val="es-ES" w:eastAsia="es-CO"/>
        </w:rPr>
        <w:lastRenderedPageBreak/>
        <w:t>las ideas y las propuestas las que definan el ascenso al poder, y no el músculo económico de los que se lo disputan”.</w:t>
      </w:r>
      <w:r w:rsidRPr="00FC6F34">
        <w:rPr>
          <w:rFonts w:ascii="Verdana" w:eastAsia="Calibri" w:hAnsi="Verdana" w:cs="Arial"/>
          <w:sz w:val="20"/>
          <w:szCs w:val="20"/>
          <w:vertAlign w:val="superscript"/>
          <w:lang w:val="es-ES"/>
        </w:rPr>
        <w:footnoteReference w:id="4"/>
      </w:r>
    </w:p>
    <w:p w14:paraId="28B5F5F2" w14:textId="77777777" w:rsidR="00763D94" w:rsidRPr="00FC6F34" w:rsidRDefault="00763D94" w:rsidP="00763D94">
      <w:pPr>
        <w:spacing w:after="0" w:line="276" w:lineRule="auto"/>
        <w:ind w:firstLine="709"/>
        <w:jc w:val="both"/>
        <w:rPr>
          <w:rFonts w:ascii="Verdana" w:eastAsia="Times New Roman" w:hAnsi="Verdana" w:cs="Arial"/>
          <w:lang w:val="es-ES" w:eastAsia="es-CO"/>
        </w:rPr>
      </w:pPr>
    </w:p>
    <w:p w14:paraId="67A91503" w14:textId="77777777" w:rsidR="00763D94" w:rsidRPr="00FC6F34" w:rsidRDefault="00763D94" w:rsidP="00763D94">
      <w:pPr>
        <w:spacing w:after="0" w:line="276" w:lineRule="auto"/>
        <w:ind w:firstLine="709"/>
        <w:jc w:val="both"/>
        <w:rPr>
          <w:rFonts w:ascii="Verdana" w:eastAsia="Times New Roman" w:hAnsi="Verdana" w:cs="Arial"/>
          <w:lang w:val="es-ES" w:eastAsia="es-CO"/>
        </w:rPr>
      </w:pPr>
      <w:r w:rsidRPr="00FC6F34">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5C97F499" w14:textId="77777777" w:rsidR="00763D94" w:rsidRPr="00FC6F34" w:rsidRDefault="00763D94" w:rsidP="00763D94">
      <w:pPr>
        <w:spacing w:after="0" w:line="276" w:lineRule="auto"/>
        <w:ind w:firstLine="709"/>
        <w:jc w:val="both"/>
        <w:rPr>
          <w:rFonts w:ascii="Verdana" w:eastAsia="Times New Roman" w:hAnsi="Verdana" w:cs="Arial"/>
          <w:lang w:val="es-ES" w:eastAsia="es-CO"/>
        </w:rPr>
      </w:pPr>
    </w:p>
    <w:p w14:paraId="4C8F699F" w14:textId="77777777" w:rsidR="00763D94" w:rsidRPr="00FC6F34" w:rsidRDefault="00763D94" w:rsidP="00763D94">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FC6F34">
        <w:rPr>
          <w:rFonts w:ascii="Verdana" w:eastAsia="Times New Roman" w:hAnsi="Verdana" w:cs="Arial"/>
          <w:sz w:val="20"/>
          <w:szCs w:val="20"/>
          <w:lang w:val="es-ES" w:eastAsia="es-CO"/>
        </w:rPr>
        <w:t>legis</w:t>
      </w:r>
      <w:proofErr w:type="spellEnd"/>
      <w:r w:rsidRPr="00FC6F34">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4D3E303" w14:textId="77777777" w:rsidR="00763D94" w:rsidRPr="00FC6F34" w:rsidRDefault="00763D94" w:rsidP="00763D94">
      <w:pPr>
        <w:spacing w:after="0" w:line="240" w:lineRule="auto"/>
        <w:ind w:right="709"/>
        <w:jc w:val="both"/>
        <w:rPr>
          <w:rFonts w:ascii="Verdana" w:eastAsia="Times New Roman" w:hAnsi="Verdana" w:cs="Arial"/>
          <w:lang w:val="es-ES" w:eastAsia="es-CO"/>
        </w:rPr>
      </w:pPr>
    </w:p>
    <w:p w14:paraId="3FB8B34C" w14:textId="77777777" w:rsidR="00763D94" w:rsidRPr="00FC6F34" w:rsidRDefault="00763D94" w:rsidP="00763D94">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La jurisprudencia de la Corte Constitucional</w:t>
      </w:r>
      <w:r w:rsidRPr="00FC6F34">
        <w:rPr>
          <w:rFonts w:ascii="Verdana" w:eastAsia="Times New Roman" w:hAnsi="Verdana" w:cs="Arial"/>
          <w:sz w:val="20"/>
          <w:szCs w:val="20"/>
          <w:vertAlign w:val="superscript"/>
          <w:lang w:val="es-ES" w:eastAsia="es-CO"/>
        </w:rPr>
        <w:footnoteReference w:id="5"/>
      </w:r>
      <w:r w:rsidRPr="00FC6F34">
        <w:rPr>
          <w:rFonts w:ascii="Verdana" w:eastAsia="Times New Roman" w:hAnsi="Verdana" w:cs="Arial"/>
          <w:sz w:val="20"/>
          <w:szCs w:val="20"/>
          <w:lang w:val="es-ES" w:eastAsia="es-CO"/>
        </w:rPr>
        <w:t> y del Consejo de Estado</w:t>
      </w:r>
      <w:r w:rsidRPr="00FC6F34">
        <w:rPr>
          <w:rFonts w:ascii="Verdana" w:eastAsia="Times New Roman" w:hAnsi="Verdana" w:cs="Arial"/>
          <w:sz w:val="20"/>
          <w:szCs w:val="20"/>
          <w:vertAlign w:val="superscript"/>
          <w:lang w:val="es-ES" w:eastAsia="es-CO"/>
        </w:rPr>
        <w:footnoteReference w:id="6"/>
      </w:r>
      <w:r w:rsidRPr="00FC6F34">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FC6F34">
        <w:rPr>
          <w:rFonts w:ascii="Verdana" w:eastAsia="Times New Roman" w:hAnsi="Verdana" w:cs="Arial"/>
          <w:sz w:val="20"/>
          <w:szCs w:val="20"/>
          <w:vertAlign w:val="superscript"/>
          <w:lang w:val="es-ES" w:eastAsia="es-CO"/>
        </w:rPr>
        <w:footnoteReference w:id="7"/>
      </w:r>
      <w:r w:rsidRPr="00FC6F34">
        <w:rPr>
          <w:rFonts w:ascii="Verdana" w:eastAsia="Times New Roman" w:hAnsi="Verdana" w:cs="Arial"/>
          <w:sz w:val="20"/>
          <w:szCs w:val="20"/>
          <w:lang w:val="es-ES" w:eastAsia="es-CO"/>
        </w:rPr>
        <w:t>.</w:t>
      </w:r>
    </w:p>
    <w:p w14:paraId="2BC32FD8" w14:textId="77777777" w:rsidR="00763D94" w:rsidRPr="00FC6F34" w:rsidRDefault="00763D94" w:rsidP="00763D94">
      <w:pPr>
        <w:spacing w:after="0" w:line="276" w:lineRule="auto"/>
        <w:jc w:val="both"/>
        <w:rPr>
          <w:rFonts w:ascii="Verdana" w:eastAsia="Calibri" w:hAnsi="Verdana" w:cs="Arial"/>
          <w:bCs/>
          <w:lang w:val="es-ES"/>
        </w:rPr>
      </w:pPr>
    </w:p>
    <w:p w14:paraId="7A0F4503" w14:textId="77777777" w:rsidR="00763D94" w:rsidRDefault="00763D94" w:rsidP="00763D94">
      <w:pPr>
        <w:spacing w:after="0" w:line="276" w:lineRule="auto"/>
        <w:ind w:firstLine="709"/>
        <w:jc w:val="both"/>
        <w:rPr>
          <w:rFonts w:ascii="Verdana" w:eastAsia="Arial" w:hAnsi="Verdana" w:cs="Arial"/>
          <w:lang w:val="es-ES" w:eastAsia="es-ES" w:bidi="es-ES"/>
        </w:rPr>
      </w:pPr>
      <w:r w:rsidRPr="00FC6F34">
        <w:rPr>
          <w:rFonts w:ascii="Verdana" w:eastAsia="Times New Roman" w:hAnsi="Verdana" w:cs="Arial"/>
          <w:lang w:val="es-ES" w:eastAsia="es-CO"/>
        </w:rPr>
        <w:t>De</w:t>
      </w:r>
      <w:r w:rsidRPr="00FC6F34">
        <w:rPr>
          <w:rFonts w:ascii="Verdana" w:eastAsia="Arial" w:hAnsi="Verdana" w:cs="Arial"/>
          <w:lang w:val="es-ES" w:eastAsia="es-ES" w:bidi="es-ES"/>
        </w:rPr>
        <w:t xml:space="preserve"> conformidad con lo anterior, la Ley de Garantías Electorales </w:t>
      </w:r>
      <w:r>
        <w:rPr>
          <w:rFonts w:ascii="Verdana" w:eastAsia="Arial" w:hAnsi="Verdana" w:cs="Arial"/>
          <w:lang w:val="es-ES" w:eastAsia="es-ES" w:bidi="es-ES"/>
        </w:rPr>
        <w:t xml:space="preserve">determinó </w:t>
      </w:r>
      <w:r w:rsidRPr="00FC6F34">
        <w:rPr>
          <w:rFonts w:ascii="Verdana" w:eastAsia="Arial" w:hAnsi="Verdana" w:cs="Arial"/>
          <w:lang w:val="es-ES" w:eastAsia="es-ES" w:bidi="es-ES"/>
        </w:rPr>
        <w:t xml:space="preserve">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36D7723C" w14:textId="77777777" w:rsidR="00763D94" w:rsidRPr="00FC6F34" w:rsidRDefault="00763D94" w:rsidP="00763D94">
      <w:pPr>
        <w:spacing w:after="0" w:line="276" w:lineRule="auto"/>
        <w:ind w:firstLine="709"/>
        <w:jc w:val="both"/>
        <w:rPr>
          <w:rFonts w:ascii="Verdana" w:eastAsia="Arial" w:hAnsi="Verdana" w:cs="Arial"/>
          <w:lang w:val="es-ES" w:eastAsia="es-ES" w:bidi="es-ES"/>
        </w:rPr>
      </w:pPr>
    </w:p>
    <w:p w14:paraId="0246423D" w14:textId="77777777" w:rsidR="00763D94" w:rsidRPr="006A332F" w:rsidRDefault="00763D94" w:rsidP="00763D94">
      <w:pPr>
        <w:tabs>
          <w:tab w:val="left" w:pos="426"/>
        </w:tabs>
        <w:spacing w:after="120" w:line="276" w:lineRule="auto"/>
        <w:jc w:val="both"/>
        <w:rPr>
          <w:rFonts w:ascii="Verdana" w:eastAsia="Calibri" w:hAnsi="Verdana" w:cs="Arial"/>
          <w:lang w:val="es-ES"/>
        </w:rPr>
      </w:pPr>
      <w:proofErr w:type="spellStart"/>
      <w:r>
        <w:rPr>
          <w:rFonts w:ascii="Verdana" w:eastAsia="Arial" w:hAnsi="Verdana" w:cs="Arial"/>
          <w:lang w:val="es-ES" w:eastAsia="es-ES" w:bidi="es-ES"/>
        </w:rPr>
        <w:t>ii</w:t>
      </w:r>
      <w:proofErr w:type="spellEnd"/>
      <w:r>
        <w:rPr>
          <w:rFonts w:ascii="Verdana" w:eastAsia="Arial" w:hAnsi="Verdana" w:cs="Arial"/>
          <w:lang w:val="es-ES" w:eastAsia="es-ES" w:bidi="es-ES"/>
        </w:rPr>
        <w:t>) En suma,</w:t>
      </w:r>
      <w:r w:rsidRPr="00FC6F34">
        <w:rPr>
          <w:rFonts w:ascii="Verdana" w:eastAsia="Arial" w:hAnsi="Verdana" w:cs="Arial"/>
          <w:lang w:val="es-ES" w:eastAsia="es-ES" w:bidi="es-ES"/>
        </w:rPr>
        <w:t xml:space="preserve"> </w:t>
      </w:r>
      <w:r>
        <w:rPr>
          <w:rFonts w:ascii="Verdana" w:eastAsia="Arial" w:hAnsi="Verdana" w:cs="Arial"/>
          <w:lang w:val="es-ES" w:eastAsia="es-ES" w:bidi="es-ES"/>
        </w:rPr>
        <w:t>l</w:t>
      </w:r>
      <w:r w:rsidRPr="00FC6F34">
        <w:rPr>
          <w:rFonts w:ascii="Verdana" w:eastAsia="Arial" w:hAnsi="Verdana" w:cs="Arial"/>
          <w:lang w:val="es-ES" w:eastAsia="es-ES" w:bidi="es-ES"/>
        </w:rPr>
        <w:t xml:space="preserve">as restricciones consagradas en la Ley de Garantías se dirigen a dos (2) tipos de campañas electorales diferenciadas: las presidenciales y las que se adelanten </w:t>
      </w:r>
      <w:r w:rsidRPr="006A332F">
        <w:rPr>
          <w:rFonts w:ascii="Verdana" w:eastAsia="Calibri" w:hAnsi="Verdana" w:cs="Arial"/>
          <w:lang w:val="es-ES"/>
        </w:rPr>
        <w:t>para la elección de los demás cargos de elección popular, tanto a nivel nacional como territorial.</w:t>
      </w:r>
    </w:p>
    <w:p w14:paraId="5C67DADA" w14:textId="77777777" w:rsidR="00763D94" w:rsidRDefault="00763D94" w:rsidP="00763D94">
      <w:pPr>
        <w:tabs>
          <w:tab w:val="left" w:pos="426"/>
        </w:tabs>
        <w:spacing w:after="120" w:line="276" w:lineRule="auto"/>
        <w:jc w:val="both"/>
        <w:rPr>
          <w:rFonts w:ascii="Verdana" w:eastAsia="Arial" w:hAnsi="Verdana" w:cs="Arial"/>
          <w:lang w:val="es-ES" w:eastAsia="es-ES" w:bidi="es-ES"/>
        </w:rPr>
      </w:pPr>
      <w:r>
        <w:rPr>
          <w:rFonts w:ascii="Verdana" w:eastAsia="Calibri" w:hAnsi="Verdana" w:cs="Arial"/>
          <w:lang w:val="es-ES"/>
        </w:rPr>
        <w:tab/>
      </w:r>
      <w:r w:rsidRPr="00FC6F34">
        <w:rPr>
          <w:rFonts w:ascii="Verdana" w:eastAsia="Calibri" w:hAnsi="Verdana" w:cs="Arial"/>
          <w:lang w:val="es-ES"/>
        </w:rPr>
        <w:t xml:space="preserve">Por un lado, el </w:t>
      </w:r>
      <w:r w:rsidRPr="006A332F">
        <w:rPr>
          <w:rFonts w:ascii="Verdana" w:eastAsia="Calibri" w:hAnsi="Verdana" w:cs="Arial"/>
          <w:lang w:val="es-ES"/>
        </w:rPr>
        <w:t xml:space="preserve">artículo 33 </w:t>
      </w:r>
      <w:r w:rsidRPr="00FC6F34">
        <w:rPr>
          <w:rFonts w:ascii="Verdana" w:eastAsia="Calibri" w:hAnsi="Verdana" w:cs="Arial"/>
          <w:lang w:val="es-ES"/>
        </w:rPr>
        <w:t xml:space="preserve">de la Ley 996 de 2005 prohíbe “[…] la contratación directa por parte de </w:t>
      </w:r>
      <w:r w:rsidRPr="006A332F">
        <w:rPr>
          <w:rFonts w:ascii="Verdana" w:eastAsia="Calibri" w:hAnsi="Verdana" w:cs="Arial"/>
          <w:lang w:val="es-ES"/>
        </w:rPr>
        <w:t>todos los entes del Estado</w:t>
      </w:r>
      <w:r w:rsidRPr="00FC6F34">
        <w:rPr>
          <w:rFonts w:ascii="Verdana" w:eastAsia="Calibri" w:hAnsi="Verdana" w:cs="Arial"/>
          <w:lang w:val="es-ES"/>
        </w:rPr>
        <w:t xml:space="preserve">” durante los cuatro (4) meses anteriores a las </w:t>
      </w:r>
      <w:r w:rsidRPr="006A332F">
        <w:rPr>
          <w:rFonts w:ascii="Verdana" w:eastAsia="Calibri" w:hAnsi="Verdana" w:cs="Arial"/>
          <w:lang w:val="es-ES"/>
        </w:rPr>
        <w:t>elecciones presidenciales</w:t>
      </w:r>
      <w:r w:rsidRPr="00FC6F34">
        <w:rPr>
          <w:rFonts w:ascii="Verdana" w:eastAsia="Calibri"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C6F34">
        <w:rPr>
          <w:rFonts w:ascii="Verdana" w:eastAsia="Calibri" w:hAnsi="Verdana" w:cs="Arial"/>
          <w:vertAlign w:val="superscript"/>
          <w:lang w:val="es-ES"/>
        </w:rPr>
        <w:footnoteReference w:id="8"/>
      </w:r>
      <w:r w:rsidRPr="00FC6F34">
        <w:rPr>
          <w:rFonts w:ascii="Verdana" w:eastAsia="Calibri" w:hAnsi="Verdana" w:cs="Arial"/>
          <w:lang w:val="es-ES"/>
        </w:rPr>
        <w:t>.</w:t>
      </w:r>
    </w:p>
    <w:p w14:paraId="1743BBFC" w14:textId="77777777" w:rsidR="00763D94" w:rsidRPr="00FC6F34" w:rsidRDefault="00763D94" w:rsidP="00763D94">
      <w:pPr>
        <w:tabs>
          <w:tab w:val="left" w:pos="426"/>
        </w:tabs>
        <w:spacing w:after="120" w:line="276" w:lineRule="auto"/>
        <w:jc w:val="both"/>
        <w:rPr>
          <w:rFonts w:ascii="Verdana" w:eastAsia="Arial" w:hAnsi="Verdana" w:cs="Arial"/>
          <w:lang w:val="es-ES" w:eastAsia="es-ES" w:bidi="es-ES"/>
        </w:rPr>
      </w:pPr>
      <w:r>
        <w:rPr>
          <w:rFonts w:ascii="Verdana" w:eastAsia="Arial" w:hAnsi="Verdana" w:cs="Arial"/>
          <w:lang w:val="es-ES" w:eastAsia="es-ES" w:bidi="es-ES"/>
        </w:rPr>
        <w:tab/>
      </w:r>
      <w:r w:rsidRPr="00FC6F34">
        <w:rPr>
          <w:rFonts w:ascii="Verdana" w:eastAsia="Calibri" w:hAnsi="Verdana" w:cs="Arial"/>
          <w:lang w:val="es-ES"/>
        </w:rPr>
        <w:t xml:space="preserve">Por otro lado, </w:t>
      </w:r>
      <w:r w:rsidRPr="00FC6F34">
        <w:rPr>
          <w:rFonts w:ascii="Verdana" w:eastAsia="Calibri" w:hAnsi="Verdana" w:cs="Arial"/>
          <w:i/>
          <w:iCs/>
          <w:lang w:val="es-ES"/>
        </w:rPr>
        <w:t xml:space="preserve">el parágrafo del artículo 38 </w:t>
      </w:r>
      <w:r w:rsidRPr="00FC6F34">
        <w:rPr>
          <w:rFonts w:ascii="Verdana" w:eastAsia="Calibri" w:hAnsi="Verdana" w:cs="Arial"/>
          <w:lang w:val="es-ES"/>
        </w:rPr>
        <w:t xml:space="preserve">de la Ley 996 de 2005 prevé una restricción, aplicable respecto de </w:t>
      </w:r>
      <w:r w:rsidRPr="00FC6F34">
        <w:rPr>
          <w:rFonts w:ascii="Verdana" w:eastAsia="Calibri" w:hAnsi="Verdana" w:cs="Arial"/>
          <w:i/>
          <w:iCs/>
          <w:lang w:val="es-ES"/>
        </w:rPr>
        <w:t>cualquier tipo de contienda electoral</w:t>
      </w:r>
      <w:r w:rsidRPr="00FC6F34">
        <w:rPr>
          <w:rFonts w:ascii="Verdana" w:eastAsia="Calibri" w:hAnsi="Verdana" w:cs="Arial"/>
          <w:lang w:val="es-ES"/>
        </w:rPr>
        <w:t xml:space="preserve">, que prohíbe a los gobernadores, alcaldes municipales o distritales, secretarios, gerentes y directores de entidades descentralizadas del orden municipal, departamental o distrital “[…] celebrar </w:t>
      </w:r>
      <w:r w:rsidRPr="00FD1F46">
        <w:rPr>
          <w:rFonts w:ascii="Verdana" w:eastAsia="Calibri" w:hAnsi="Verdana" w:cs="Arial"/>
          <w:i/>
          <w:iCs/>
          <w:lang w:val="es-ES"/>
        </w:rPr>
        <w:t>convenios interadministrativos</w:t>
      </w:r>
      <w:r w:rsidRPr="00FC6F34">
        <w:rPr>
          <w:rFonts w:ascii="Verdana" w:eastAsia="Calibri" w:hAnsi="Verdana" w:cs="Arial"/>
          <w:lang w:val="es-ES"/>
        </w:rPr>
        <w:t xml:space="preserve"> para la ejecución de recursos públicos, ni participar, promover y destinar recursos </w:t>
      </w:r>
      <w:r w:rsidRPr="00FC6F34">
        <w:rPr>
          <w:rFonts w:ascii="Verdana" w:eastAsia="Calibri" w:hAnsi="Verdana" w:cs="Arial"/>
          <w:lang w:val="es-ES"/>
        </w:rPr>
        <w:lastRenderedPageBreak/>
        <w:t>públicos de las entidades a su cargo, como tampoco de las que participen como miembros de sus juntas directivas, en o para reuniones de carácter proselitista”</w:t>
      </w:r>
      <w:r w:rsidRPr="00FC6F34">
        <w:rPr>
          <w:rFonts w:ascii="Verdana" w:eastAsia="Calibri" w:hAnsi="Verdana" w:cs="Arial"/>
          <w:vertAlign w:val="superscript"/>
          <w:lang w:val="es-ES"/>
        </w:rPr>
        <w:footnoteReference w:id="9"/>
      </w:r>
      <w:r w:rsidRPr="00FC6F34">
        <w:rPr>
          <w:rFonts w:ascii="Verdana" w:eastAsia="Calibri" w:hAnsi="Verdana" w:cs="Arial"/>
          <w:lang w:val="es-ES"/>
        </w:rPr>
        <w:t>.</w:t>
      </w:r>
      <w:r w:rsidRPr="00FC6F34">
        <w:rPr>
          <w:rFonts w:ascii="Verdana" w:eastAsia="Arial" w:hAnsi="Verdana" w:cs="Arial"/>
          <w:lang w:val="es-ES" w:eastAsia="es-ES" w:bidi="es-ES"/>
        </w:rPr>
        <w:t xml:space="preserve"> </w:t>
      </w:r>
    </w:p>
    <w:p w14:paraId="1C8F7469" w14:textId="77777777" w:rsidR="00763D94" w:rsidRPr="00FC6F34" w:rsidRDefault="00763D94" w:rsidP="00763D94">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FC6F34">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4671AD05" w14:textId="77777777" w:rsidR="00763D94" w:rsidRPr="00FC6F34" w:rsidRDefault="00763D94" w:rsidP="00763D94">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12078098" w14:textId="77777777" w:rsidR="00763D94" w:rsidRPr="00FC6F34" w:rsidRDefault="00763D94" w:rsidP="00763D94">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FC6F34">
        <w:rPr>
          <w:rFonts w:ascii="Verdana" w:eastAsia="Arial" w:hAnsi="Verdana" w:cs="Arial"/>
          <w:sz w:val="20"/>
          <w:szCs w:val="20"/>
          <w:lang w:val="es-ES"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FC6F34">
        <w:rPr>
          <w:rFonts w:ascii="Verdana" w:eastAsia="Arial" w:hAnsi="Verdana" w:cs="Arial"/>
          <w:sz w:val="20"/>
          <w:szCs w:val="20"/>
          <w:vertAlign w:val="superscript"/>
          <w:lang w:val="es-ES" w:eastAsia="es-ES" w:bidi="es-ES"/>
        </w:rPr>
        <w:footnoteReference w:id="10"/>
      </w:r>
    </w:p>
    <w:p w14:paraId="44DD10A6" w14:textId="77777777" w:rsidR="00763D94" w:rsidRPr="00FC6F34" w:rsidRDefault="00763D94" w:rsidP="00763D94">
      <w:pPr>
        <w:widowControl w:val="0"/>
        <w:autoSpaceDE w:val="0"/>
        <w:autoSpaceDN w:val="0"/>
        <w:spacing w:after="0" w:line="276" w:lineRule="auto"/>
        <w:contextualSpacing/>
        <w:rPr>
          <w:rFonts w:ascii="Verdana" w:eastAsia="Arial" w:hAnsi="Verdana" w:cs="Arial"/>
          <w:lang w:val="es-ES" w:eastAsia="es-ES" w:bidi="es-ES"/>
        </w:rPr>
      </w:pPr>
    </w:p>
    <w:p w14:paraId="6FD48A71" w14:textId="77777777" w:rsidR="00763D94" w:rsidRPr="00FC6F34" w:rsidRDefault="00763D94" w:rsidP="00763D94">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FC6F34">
        <w:rPr>
          <w:rFonts w:ascii="Verdana" w:eastAsia="Arial" w:hAnsi="Verdana" w:cs="Arial"/>
          <w:i/>
          <w:lang w:val="es-ES" w:eastAsia="es-ES" w:bidi="es-ES"/>
        </w:rPr>
        <w:t>En primer lugar</w:t>
      </w:r>
      <w:r w:rsidRPr="00FC6F34">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w:t>
      </w:r>
      <w:r w:rsidRPr="00FC6F34">
        <w:rPr>
          <w:rFonts w:ascii="Verdana" w:eastAsia="Arial" w:hAnsi="Verdana" w:cs="Arial"/>
          <w:lang w:val="es-ES" w:eastAsia="es-ES" w:bidi="es-ES"/>
        </w:rPr>
        <w:lastRenderedPageBreak/>
        <w:t xml:space="preserve">estos efectos, la restricción se extenderá hasta la fecha en la que se realice la segunda vuelta. </w:t>
      </w:r>
      <w:r w:rsidRPr="00FC6F34">
        <w:rPr>
          <w:rFonts w:ascii="Verdana" w:eastAsia="Arial" w:hAnsi="Verdana" w:cs="Arial"/>
          <w:i/>
          <w:lang w:val="es-ES" w:eastAsia="es-ES" w:bidi="es-ES"/>
        </w:rPr>
        <w:t>En segundo lugar</w:t>
      </w:r>
      <w:r w:rsidRPr="00FC6F34">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47CFFE99" w14:textId="77777777" w:rsidR="00763D94" w:rsidRPr="00FC6F34" w:rsidRDefault="00763D94" w:rsidP="00763D94">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las autoridades allí mencionadas sólo deben aplicar las restricciones contenidas en el parágrafo del artículo 38.</w:t>
      </w:r>
    </w:p>
    <w:p w14:paraId="1166FCA4" w14:textId="77777777" w:rsidR="00763D94" w:rsidRPr="00FC6F34" w:rsidRDefault="00763D94" w:rsidP="00763D94">
      <w:pPr>
        <w:spacing w:after="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36F6D6E0" w14:textId="77777777" w:rsidR="00763D94" w:rsidRPr="00FC6F34" w:rsidRDefault="00763D94" w:rsidP="00763D94">
      <w:pPr>
        <w:spacing w:after="0" w:line="276" w:lineRule="auto"/>
        <w:ind w:firstLine="709"/>
        <w:jc w:val="both"/>
        <w:rPr>
          <w:rFonts w:ascii="Verdana" w:eastAsia="Arial" w:hAnsi="Verdana" w:cs="Arial"/>
          <w:lang w:val="es-ES" w:eastAsia="es-ES" w:bidi="es-ES"/>
        </w:rPr>
      </w:pPr>
    </w:p>
    <w:p w14:paraId="369E2B2A" w14:textId="77777777" w:rsidR="00763D94" w:rsidRPr="00FC6F34" w:rsidRDefault="00763D94" w:rsidP="00763D94">
      <w:pPr>
        <w:spacing w:after="120" w:line="276" w:lineRule="auto"/>
        <w:jc w:val="both"/>
        <w:rPr>
          <w:rFonts w:ascii="Verdana" w:eastAsia="Times New Roman" w:hAnsi="Verdana" w:cs="Arial"/>
          <w:bCs/>
          <w:lang w:val="es-ES" w:eastAsia="es-CO"/>
        </w:rPr>
      </w:pPr>
      <w:proofErr w:type="spellStart"/>
      <w:r w:rsidRPr="00FC6F34">
        <w:rPr>
          <w:rFonts w:ascii="Verdana" w:eastAsia="Calibri" w:hAnsi="Verdana" w:cs="Arial"/>
          <w:lang w:val="es-ES"/>
        </w:rPr>
        <w:t>ii</w:t>
      </w:r>
      <w:r>
        <w:rPr>
          <w:rFonts w:ascii="Verdana" w:eastAsia="Calibri" w:hAnsi="Verdana" w:cs="Arial"/>
          <w:lang w:val="es-ES"/>
        </w:rPr>
        <w:t>i</w:t>
      </w:r>
      <w:proofErr w:type="spellEnd"/>
      <w:r w:rsidRPr="00FC6F34">
        <w:rPr>
          <w:rFonts w:ascii="Verdana" w:eastAsia="Calibri" w:hAnsi="Verdana" w:cs="Arial"/>
          <w:lang w:val="es-ES"/>
        </w:rPr>
        <w:t xml:space="preserve">) </w:t>
      </w:r>
      <w:r w:rsidRPr="00FC6F34">
        <w:rPr>
          <w:rFonts w:ascii="Verdana" w:eastAsia="Arial" w:hAnsi="Verdana" w:cs="Arial"/>
          <w:lang w:val="es-ES" w:eastAsia="es-ES" w:bidi="es-ES"/>
        </w:rPr>
        <w:t xml:space="preserve">Ahora bien, </w:t>
      </w:r>
      <w:r w:rsidRPr="00FC6F34">
        <w:rPr>
          <w:rFonts w:ascii="Verdana" w:eastAsia="Calibri" w:hAnsi="Verdana" w:cs="Arial"/>
          <w:lang w:val="es-ES" w:eastAsia="es-ES" w:bidi="es-ES"/>
        </w:rPr>
        <w:t xml:space="preserve">para responder al problema jurídico planteado es necesario precisar el alcance de la prohibición </w:t>
      </w:r>
      <w:r w:rsidRPr="00FC6F34">
        <w:rPr>
          <w:rFonts w:ascii="Verdana" w:eastAsia="Arial" w:hAnsi="Verdana" w:cs="Arial"/>
          <w:lang w:val="es-ES" w:eastAsia="es-ES" w:bidi="es-ES"/>
        </w:rPr>
        <w:t>establecida en e</w:t>
      </w:r>
      <w:r w:rsidRPr="00FC6F34">
        <w:rPr>
          <w:rFonts w:ascii="Verdana" w:eastAsia="Calibri" w:hAnsi="Verdana" w:cs="Arial"/>
          <w:lang w:val="es-ES"/>
        </w:rPr>
        <w:t xml:space="preserve">l </w:t>
      </w:r>
      <w:r w:rsidRPr="00FC6F34">
        <w:rPr>
          <w:rFonts w:ascii="Verdana" w:eastAsia="Times New Roman" w:hAnsi="Verdana" w:cs="Arial"/>
          <w:lang w:val="es-ES"/>
        </w:rPr>
        <w:t xml:space="preserve">artículo 33 de la Ley 996 de 2005. El ámbito material de esta prohibición está delimitado por la expresión </w:t>
      </w:r>
      <w:r w:rsidRPr="00FC6F34">
        <w:rPr>
          <w:rFonts w:ascii="Verdana" w:eastAsia="Calibri" w:hAnsi="Verdana" w:cs="Arial"/>
          <w:bCs/>
          <w:lang w:val="es-ES"/>
        </w:rPr>
        <w:t>“</w:t>
      </w:r>
      <w:r w:rsidRPr="00FC6F34">
        <w:rPr>
          <w:rFonts w:ascii="Verdana" w:eastAsia="Times New Roman" w:hAnsi="Verdana" w:cs="Arial"/>
          <w:lang w:val="es-ES"/>
        </w:rPr>
        <w:t>queda prohibida la contratación directa</w:t>
      </w:r>
      <w:r w:rsidRPr="00FC6F34">
        <w:rPr>
          <w:rFonts w:ascii="Verdana" w:eastAsia="Calibri" w:hAnsi="Verdana" w:cs="Arial"/>
          <w:lang w:val="es-ES"/>
        </w:rPr>
        <w:t>”</w:t>
      </w:r>
      <w:r w:rsidRPr="00FC6F34">
        <w:rPr>
          <w:rFonts w:ascii="Verdana" w:eastAsia="Times New Roman" w:hAnsi="Verdana" w:cs="Arial"/>
          <w:lang w:val="es-ES"/>
        </w:rPr>
        <w:t xml:space="preserve">. </w:t>
      </w:r>
      <w:r w:rsidRPr="00FC6F34">
        <w:rPr>
          <w:rFonts w:ascii="Verdana" w:eastAsia="Times New Roman" w:hAnsi="Verdana" w:cs="Arial"/>
          <w:lang w:val="es-ES" w:eastAsia="es-CO"/>
        </w:rPr>
        <w:t>A propósito de esta restricción de la Ley de Garantías Electorales, la Sala de Consulta y Servicio Civil del Consejo de Estado ha considerado que:</w:t>
      </w:r>
    </w:p>
    <w:p w14:paraId="6CEAB14A" w14:textId="77777777" w:rsidR="00763D94" w:rsidRPr="00FC6F34" w:rsidRDefault="00763D94" w:rsidP="00763D94">
      <w:pPr>
        <w:spacing w:after="0" w:line="240" w:lineRule="auto"/>
        <w:ind w:left="709" w:right="709"/>
        <w:jc w:val="both"/>
        <w:rPr>
          <w:rFonts w:ascii="Verdana" w:eastAsia="Calibri" w:hAnsi="Verdana" w:cs="Arial"/>
          <w:sz w:val="20"/>
          <w:szCs w:val="20"/>
          <w:lang w:val="es-ES"/>
        </w:rPr>
      </w:pPr>
      <w:r w:rsidRPr="00FC6F34">
        <w:rPr>
          <w:rFonts w:ascii="Verdana" w:eastAsia="Calibri" w:hAnsi="Verdana" w:cs="Arial"/>
          <w:sz w:val="20"/>
          <w:szCs w:val="20"/>
          <w:lang w:val="es-ES"/>
        </w:rPr>
        <w:lastRenderedPageBreak/>
        <w:t>“[…] 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FC6F34">
        <w:rPr>
          <w:rFonts w:ascii="Verdana" w:eastAsia="Times New Roman" w:hAnsi="Verdana" w:cs="Arial"/>
          <w:sz w:val="20"/>
          <w:szCs w:val="20"/>
          <w:vertAlign w:val="superscript"/>
          <w:lang w:val="es-ES"/>
        </w:rPr>
        <w:footnoteReference w:id="11"/>
      </w:r>
      <w:r w:rsidRPr="00FC6F34">
        <w:rPr>
          <w:rFonts w:ascii="Verdana" w:eastAsia="Times New Roman" w:hAnsi="Verdana" w:cs="Arial"/>
          <w:sz w:val="20"/>
          <w:szCs w:val="20"/>
          <w:vertAlign w:val="superscript"/>
          <w:lang w:val="es-ES"/>
        </w:rPr>
        <w:t>.</w:t>
      </w:r>
      <w:r w:rsidRPr="00FC6F34">
        <w:rPr>
          <w:rFonts w:ascii="Verdana" w:eastAsia="Calibri" w:hAnsi="Verdana" w:cs="Arial"/>
          <w:sz w:val="20"/>
          <w:szCs w:val="20"/>
          <w:lang w:val="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FC6F34">
        <w:rPr>
          <w:rFonts w:ascii="Verdana" w:eastAsia="Times New Roman" w:hAnsi="Verdana" w:cs="Arial"/>
          <w:sz w:val="20"/>
          <w:szCs w:val="20"/>
          <w:vertAlign w:val="superscript"/>
          <w:lang w:val="es-ES" w:eastAsia="es-CO"/>
        </w:rPr>
        <w:footnoteReference w:id="12"/>
      </w:r>
      <w:r w:rsidRPr="00FC6F34">
        <w:rPr>
          <w:rFonts w:ascii="Verdana" w:eastAsia="Calibri" w:hAnsi="Verdana" w:cs="Arial"/>
          <w:sz w:val="20"/>
          <w:szCs w:val="20"/>
          <w:lang w:val="es-ES"/>
        </w:rPr>
        <w:t xml:space="preserve"> .</w:t>
      </w:r>
    </w:p>
    <w:p w14:paraId="02A04538" w14:textId="77777777" w:rsidR="00763D94" w:rsidRPr="00FC6F34" w:rsidRDefault="00763D94" w:rsidP="00763D94">
      <w:pPr>
        <w:shd w:val="clear" w:color="auto" w:fill="FFFFFF" w:themeFill="background1"/>
        <w:spacing w:after="0" w:line="276" w:lineRule="auto"/>
        <w:ind w:firstLine="709"/>
        <w:jc w:val="both"/>
        <w:rPr>
          <w:rFonts w:ascii="Verdana" w:eastAsia="Times New Roman" w:hAnsi="Verdana" w:cs="Arial"/>
          <w:lang w:val="es-ES" w:eastAsia="x-none"/>
        </w:rPr>
      </w:pPr>
    </w:p>
    <w:p w14:paraId="598C2705" w14:textId="77777777" w:rsidR="00763D94" w:rsidRPr="00FC6F34" w:rsidRDefault="00763D94" w:rsidP="00763D94">
      <w:pPr>
        <w:spacing w:after="120" w:line="276" w:lineRule="auto"/>
        <w:ind w:firstLine="708"/>
        <w:jc w:val="both"/>
        <w:rPr>
          <w:rFonts w:ascii="Verdana" w:eastAsia="Times New Roman" w:hAnsi="Verdana" w:cs="Arial"/>
          <w:bCs/>
          <w:lang w:val="es-ES" w:eastAsia="x-none"/>
        </w:rPr>
      </w:pPr>
      <w:r w:rsidRPr="00FC6F34">
        <w:rPr>
          <w:rFonts w:ascii="Verdana" w:eastAsia="Times New Roman" w:hAnsi="Verdana" w:cs="Arial"/>
          <w:lang w:val="es-ES" w:eastAsia="x-none"/>
        </w:rPr>
        <w:t xml:space="preserve">De acuerdo con este concepto, la prohibición del artículo 33 de la Ley de Garantías Electorales se refiere a </w:t>
      </w:r>
      <w:r w:rsidRPr="00FC6F34">
        <w:rPr>
          <w:rFonts w:ascii="Verdana" w:eastAsia="Times New Roman" w:hAnsi="Verdana" w:cs="Arial"/>
          <w:sz w:val="19"/>
          <w:szCs w:val="19"/>
          <w:lang w:val="es-ES" w:eastAsia="en-GB"/>
        </w:rPr>
        <w:t>“</w:t>
      </w:r>
      <w:r w:rsidRPr="00FD1F46">
        <w:rPr>
          <w:rFonts w:ascii="Verdana" w:eastAsia="Times New Roman" w:hAnsi="Verdana" w:cs="Arial"/>
          <w:i/>
          <w:iCs/>
          <w:lang w:val="es-ES" w:eastAsia="x-none"/>
        </w:rPr>
        <w:t>cualquier</w:t>
      </w:r>
      <w:r w:rsidRPr="00FC6F34">
        <w:rPr>
          <w:rFonts w:ascii="Verdana" w:eastAsia="Times New Roman" w:hAnsi="Verdana" w:cs="Arial"/>
          <w:lang w:val="es-ES" w:eastAsia="x-none"/>
        </w:rPr>
        <w:t xml:space="preserve"> sistema que no implique convocatoria pública y posibilidad de pluralidad de oferentes</w:t>
      </w:r>
      <w:r w:rsidRPr="00FC6F34">
        <w:rPr>
          <w:rFonts w:ascii="Verdana" w:eastAsia="Times New Roman" w:hAnsi="Verdana" w:cs="Arial"/>
          <w:lang w:val="es-ES" w:eastAsia="en-GB"/>
        </w:rPr>
        <w:t>”</w:t>
      </w:r>
      <w:r w:rsidRPr="00FC6F34">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FC6F34">
        <w:rPr>
          <w:rFonts w:ascii="Verdana" w:eastAsia="Times New Roman" w:hAnsi="Verdana" w:cs="Arial"/>
          <w:lang w:val="es-ES"/>
        </w:rPr>
        <w:t>y la mínima cuantía</w:t>
      </w:r>
      <w:r w:rsidRPr="00FC6F34" w:rsidDel="00A85D9F">
        <w:rPr>
          <w:rFonts w:ascii="Verdana" w:eastAsia="Times New Roman" w:hAnsi="Verdana" w:cs="Arial"/>
          <w:lang w:val="es-ES" w:eastAsia="x-none"/>
        </w:rPr>
        <w:t xml:space="preserve"> </w:t>
      </w:r>
      <w:r w:rsidRPr="00FC6F34">
        <w:rPr>
          <w:rFonts w:ascii="Verdana" w:eastAsia="Times New Roman" w:hAnsi="Verdana" w:cs="Arial"/>
          <w:lang w:val="es-ES"/>
        </w:rPr>
        <w:t xml:space="preserve">u otros previstos en normas especiales. </w:t>
      </w:r>
      <w:r w:rsidRPr="00FC6F34">
        <w:rPr>
          <w:rFonts w:ascii="Verdana" w:eastAsia="Times New Roman" w:hAnsi="Verdana" w:cs="Arial"/>
          <w:lang w:val="es-ES" w:eastAsia="x-none"/>
        </w:rPr>
        <w:t>Esta posición es congruente con la expedición de la Ley 1150 de 2007 que, entre otras reformas, introdujo la selección abreviada, rediseñó el concurso de méritos</w:t>
      </w:r>
      <w:r w:rsidRPr="00FC6F34">
        <w:rPr>
          <w:rFonts w:ascii="Verdana" w:eastAsia="Times New Roman" w:hAnsi="Verdana" w:cs="Arial"/>
          <w:vertAlign w:val="superscript"/>
          <w:lang w:val="es-ES" w:eastAsia="x-none"/>
        </w:rPr>
        <w:footnoteReference w:id="13"/>
      </w:r>
      <w:r w:rsidRPr="00FC6F34">
        <w:rPr>
          <w:rFonts w:ascii="Verdana" w:eastAsia="Times New Roman" w:hAnsi="Verdana" w:cs="Arial"/>
          <w:lang w:val="es-ES" w:eastAsia="x-none"/>
        </w:rPr>
        <w:t xml:space="preserve"> y sistematizó las causales de contratación directa</w:t>
      </w:r>
      <w:r w:rsidRPr="00FC6F34">
        <w:rPr>
          <w:rFonts w:ascii="Verdana" w:eastAsia="Times New Roman" w:hAnsi="Verdana" w:cs="Arial"/>
          <w:vertAlign w:val="superscript"/>
          <w:lang w:val="es-ES" w:eastAsia="x-none"/>
        </w:rPr>
        <w:footnoteReference w:id="14"/>
      </w:r>
      <w:r w:rsidRPr="00FC6F34">
        <w:rPr>
          <w:rFonts w:ascii="Verdana" w:eastAsia="Times New Roman" w:hAnsi="Verdana" w:cs="Arial"/>
          <w:lang w:val="es-ES" w:eastAsia="x-none"/>
        </w:rPr>
        <w:t xml:space="preserve">, </w:t>
      </w:r>
      <w:r w:rsidRPr="00FC6F34">
        <w:rPr>
          <w:rFonts w:ascii="Verdana" w:eastAsia="Calibri" w:hAnsi="Verdana" w:cs="Arial"/>
          <w:lang w:val="es-ES" w:eastAsia="x-none"/>
        </w:rPr>
        <w:t>además lo es con la posterior creación de la modalidad de mínima cuantía establecida actualmente en el numeral 5 del artículo 2 de la Ley 1150 de 2007, de acuerdo con las modificaciones realizadas por leyes posteriores.</w:t>
      </w:r>
    </w:p>
    <w:p w14:paraId="70C1D510" w14:textId="77777777" w:rsidR="00763D94" w:rsidRPr="00FC6F34" w:rsidRDefault="00763D94" w:rsidP="00763D94">
      <w:pPr>
        <w:spacing w:after="120" w:line="276" w:lineRule="auto"/>
        <w:ind w:firstLine="708"/>
        <w:jc w:val="both"/>
        <w:rPr>
          <w:rFonts w:ascii="Verdana" w:eastAsia="Times New Roman" w:hAnsi="Verdana" w:cs="Arial"/>
          <w:bCs/>
          <w:lang w:val="es-ES" w:eastAsia="es-CO"/>
        </w:rPr>
      </w:pPr>
      <w:r w:rsidRPr="00FC6F34">
        <w:rPr>
          <w:rFonts w:ascii="Verdana" w:eastAsia="Times New Roman" w:hAnsi="Verdana" w:cs="Arial"/>
          <w:bCs/>
          <w:lang w:val="es-ES" w:eastAsia="es-CO"/>
        </w:rPr>
        <w:t xml:space="preserve">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w:t>
      </w:r>
      <w:r>
        <w:rPr>
          <w:rFonts w:ascii="Verdana" w:eastAsia="Times New Roman" w:hAnsi="Verdana" w:cs="Arial"/>
          <w:bCs/>
          <w:lang w:val="es-ES" w:eastAsia="es-CO"/>
        </w:rPr>
        <w:t>G</w:t>
      </w:r>
      <w:r w:rsidRPr="00FC6F34">
        <w:rPr>
          <w:rFonts w:ascii="Verdana" w:eastAsia="Times New Roman" w:hAnsi="Verdana" w:cs="Arial"/>
          <w:bCs/>
          <w:lang w:val="es-ES" w:eastAsia="es-CO"/>
        </w:rPr>
        <w:t>eneral de Contratación de la Administración Pública</w:t>
      </w:r>
      <w:r w:rsidRPr="00FD1F46">
        <w:rPr>
          <w:rFonts w:ascii="Verdana" w:eastAsia="Times New Roman" w:hAnsi="Verdana" w:cs="Arial"/>
          <w:bCs/>
          <w:lang w:val="es-ES" w:eastAsia="es-CO"/>
        </w:rPr>
        <w:t>, sino también frente a las entidades que tengan un régimen especial de contratación.</w:t>
      </w:r>
      <w:r w:rsidRPr="00FC6F34">
        <w:rPr>
          <w:rFonts w:ascii="Verdana" w:eastAsia="Times New Roman" w:hAnsi="Verdana" w:cs="Arial"/>
          <w:bCs/>
          <w:lang w:val="es-ES" w:eastAsia="es-CO"/>
        </w:rPr>
        <w:t xml:space="preserve"> No obstante, luego de la expedición de Ley 1150 de 2007, el Consejo de Estado comenzó a delimitar con mayor precisión el término de “contratación directa”. </w:t>
      </w:r>
      <w:r w:rsidRPr="00FC6F34">
        <w:rPr>
          <w:rFonts w:ascii="Verdana" w:eastAsia="Times New Roman" w:hAnsi="Verdana" w:cs="Arial"/>
          <w:lang w:val="es-ES"/>
        </w:rPr>
        <w:t xml:space="preserve">Así, para la prohibición o restricción temporal contenida en su artículo 33, “contratación directa” es </w:t>
      </w:r>
      <w:r w:rsidRPr="00FD1F46">
        <w:rPr>
          <w:rFonts w:ascii="Verdana" w:eastAsia="Times New Roman" w:hAnsi="Verdana" w:cs="Arial"/>
          <w:i/>
          <w:iCs/>
          <w:lang w:val="es-ES"/>
        </w:rPr>
        <w:t>cualquier</w:t>
      </w:r>
      <w:r w:rsidRPr="00FC6F34">
        <w:rPr>
          <w:rFonts w:ascii="Verdana" w:eastAsia="Times New Roman" w:hAnsi="Verdana" w:cs="Arial"/>
          <w:lang w:val="es-ES"/>
        </w:rPr>
        <w:t xml:space="preserve"> sistema de </w:t>
      </w:r>
      <w:r w:rsidRPr="00FC6F34">
        <w:rPr>
          <w:rFonts w:ascii="Verdana" w:eastAsia="Times New Roman" w:hAnsi="Verdana" w:cs="Arial"/>
          <w:lang w:val="es-ES"/>
        </w:rPr>
        <w:lastRenderedPageBreak/>
        <w:t>selección o procedimiento de contratación utilizado por las entidades estatales que no incluya la convocatoria pública en alguna de sus etapas, ni permita la participación de una pluralidad de oferentes</w:t>
      </w:r>
      <w:r w:rsidRPr="00FC6F34">
        <w:rPr>
          <w:rFonts w:ascii="Verdana" w:eastAsia="Times New Roman" w:hAnsi="Verdana" w:cs="Arial"/>
          <w:vertAlign w:val="superscript"/>
          <w:lang w:val="es-ES" w:eastAsia="x-none"/>
        </w:rPr>
        <w:footnoteReference w:id="15"/>
      </w:r>
      <w:r w:rsidRPr="00FC6F34">
        <w:rPr>
          <w:rFonts w:ascii="Verdana" w:eastAsia="Times New Roman" w:hAnsi="Verdana" w:cs="Arial"/>
          <w:lang w:val="es-ES"/>
        </w:rPr>
        <w:t>.</w:t>
      </w:r>
      <w:r w:rsidRPr="00FC6F34">
        <w:rPr>
          <w:rFonts w:ascii="Verdana" w:eastAsia="Times New Roman" w:hAnsi="Verdana" w:cs="Arial"/>
          <w:vertAlign w:val="superscript"/>
          <w:lang w:val="es-ES" w:eastAsia="x-none"/>
        </w:rPr>
        <w:t xml:space="preserve"> </w:t>
      </w:r>
    </w:p>
    <w:p w14:paraId="5717CD62" w14:textId="77777777" w:rsidR="00763D94" w:rsidRPr="00FC6F34" w:rsidRDefault="00763D94" w:rsidP="00763D94">
      <w:pPr>
        <w:spacing w:after="0" w:line="276" w:lineRule="auto"/>
        <w:ind w:firstLine="708"/>
        <w:jc w:val="both"/>
        <w:rPr>
          <w:rFonts w:ascii="Verdana" w:eastAsia="Times New Roman" w:hAnsi="Verdana" w:cs="Arial"/>
          <w:lang w:val="es-ES"/>
        </w:rPr>
      </w:pPr>
      <w:r w:rsidRPr="00FC6F34">
        <w:rPr>
          <w:rFonts w:ascii="Verdana" w:eastAsia="Times New Roman" w:hAnsi="Verdana" w:cs="Arial"/>
          <w:lang w:val="es-ES"/>
        </w:rPr>
        <w:t xml:space="preserve">De lo anterior se desprende que la restricción aplica, sin perjuicio de las excepciones establecidas en la misma ley, para celebrar </w:t>
      </w:r>
      <w:r w:rsidRPr="00FC6F34">
        <w:rPr>
          <w:rFonts w:ascii="Verdana" w:eastAsia="Times New Roman" w:hAnsi="Verdana" w:cs="Arial"/>
          <w:i/>
          <w:iCs/>
          <w:lang w:val="es-ES"/>
        </w:rPr>
        <w:t>cualquier contrato de forma directa</w:t>
      </w:r>
      <w:r w:rsidRPr="00FC6F34">
        <w:rPr>
          <w:rFonts w:ascii="Verdana" w:eastAsia="Times New Roman" w:hAnsi="Verdana" w:cs="Arial"/>
          <w:lang w:val="es-ES"/>
        </w:rPr>
        <w:t>, esto es, sin que exista un proceso abierto y competitivo. Por tanto,</w:t>
      </w:r>
      <w:r>
        <w:rPr>
          <w:rFonts w:ascii="Verdana" w:eastAsia="Times New Roman" w:hAnsi="Verdana" w:cs="Arial"/>
          <w:lang w:val="es-ES"/>
        </w:rPr>
        <w:t xml:space="preserve"> los procedimientos de selección que pretendan adelantar las Entidades Estatales mediante cualquiera de las causales de contratación directa establecidas en el artículo segundo de la Ley 1150 de 2007 estarán cubiertos por la prohibición establecida en el artículo 33 de la Ley de Garantías Electorales</w:t>
      </w:r>
      <w:r w:rsidRPr="00FD1F46">
        <w:rPr>
          <w:rFonts w:ascii="Verdana" w:eastAsia="Times New Roman" w:hAnsi="Verdana" w:cs="Arial"/>
        </w:rPr>
        <w:t>.</w:t>
      </w:r>
      <w:r>
        <w:rPr>
          <w:rFonts w:ascii="Verdana" w:eastAsia="Times New Roman" w:hAnsi="Verdana" w:cs="Arial"/>
          <w:lang w:val="es-ES"/>
        </w:rPr>
        <w:t xml:space="preserve"> En cualquier caso, </w:t>
      </w:r>
      <w:r w:rsidRPr="00FC6F34">
        <w:rPr>
          <w:rFonts w:ascii="Verdana" w:eastAsia="Times New Roman" w:hAnsi="Verdana" w:cs="Arial"/>
          <w:lang w:val="es-ES"/>
        </w:rPr>
        <w:t>no s</w:t>
      </w:r>
      <w:r>
        <w:rPr>
          <w:rFonts w:ascii="Verdana" w:eastAsia="Times New Roman" w:hAnsi="Verdana" w:cs="Arial"/>
          <w:lang w:val="es-ES"/>
        </w:rPr>
        <w:t>erán</w:t>
      </w:r>
      <w:r w:rsidRPr="00FC6F34">
        <w:rPr>
          <w:rFonts w:ascii="Verdana" w:eastAsia="Times New Roman" w:hAnsi="Verdana" w:cs="Arial"/>
          <w:lang w:val="es-ES"/>
        </w:rPr>
        <w:t xml:space="preserve">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r>
        <w:rPr>
          <w:rFonts w:ascii="Verdana" w:eastAsia="Times New Roman" w:hAnsi="Verdana" w:cs="Arial"/>
          <w:lang w:val="es-ES"/>
        </w:rPr>
        <w:t xml:space="preserve"> para la satisfacción y atención de sus necesidades</w:t>
      </w:r>
      <w:r w:rsidRPr="00FC6F34">
        <w:rPr>
          <w:rFonts w:ascii="Verdana" w:eastAsia="Times New Roman" w:hAnsi="Verdana" w:cs="Arial"/>
          <w:lang w:val="es-ES"/>
        </w:rPr>
        <w:t>.</w:t>
      </w:r>
    </w:p>
    <w:p w14:paraId="472F0B22" w14:textId="77777777" w:rsidR="00763D94" w:rsidRPr="00FC6F34" w:rsidRDefault="00763D94" w:rsidP="00763D94">
      <w:pPr>
        <w:spacing w:after="0" w:line="276" w:lineRule="auto"/>
        <w:ind w:firstLine="708"/>
        <w:jc w:val="both"/>
        <w:rPr>
          <w:rFonts w:ascii="Verdana" w:eastAsia="Times New Roman" w:hAnsi="Verdana" w:cs="Arial"/>
          <w:lang w:val="es-ES"/>
        </w:rPr>
      </w:pPr>
    </w:p>
    <w:p w14:paraId="72CAEBB8" w14:textId="77777777" w:rsidR="00763D94" w:rsidRPr="00FC6F34" w:rsidRDefault="00763D94" w:rsidP="00763D94">
      <w:pPr>
        <w:spacing w:after="0" w:line="276" w:lineRule="auto"/>
        <w:jc w:val="both"/>
        <w:rPr>
          <w:rFonts w:ascii="Verdana" w:eastAsia="Times New Roman" w:hAnsi="Verdana" w:cs="Arial"/>
          <w:lang w:val="es-ES"/>
        </w:rPr>
      </w:pPr>
      <w:proofErr w:type="spellStart"/>
      <w:r w:rsidRPr="00FC6F34">
        <w:rPr>
          <w:rFonts w:ascii="Verdana" w:eastAsia="Times New Roman" w:hAnsi="Verdana" w:cs="Arial"/>
          <w:bCs/>
          <w:lang w:val="es-ES" w:eastAsia="es-CO"/>
        </w:rPr>
        <w:t>i</w:t>
      </w:r>
      <w:r>
        <w:rPr>
          <w:rFonts w:ascii="Verdana" w:eastAsia="Times New Roman" w:hAnsi="Verdana" w:cs="Arial"/>
          <w:bCs/>
          <w:lang w:val="es-ES" w:eastAsia="es-CO"/>
        </w:rPr>
        <w:t>v</w:t>
      </w:r>
      <w:proofErr w:type="spellEnd"/>
      <w:r w:rsidRPr="00FC6F34">
        <w:rPr>
          <w:rFonts w:ascii="Verdana" w:eastAsia="Times New Roman" w:hAnsi="Verdana" w:cs="Arial"/>
          <w:bCs/>
          <w:lang w:val="es-ES" w:eastAsia="es-CO"/>
        </w:rPr>
        <w:t xml:space="preserve">) Con respecto a los </w:t>
      </w:r>
      <w:r w:rsidRPr="00FC6F34">
        <w:rPr>
          <w:rFonts w:ascii="Verdana" w:eastAsia="Times New Roman" w:hAnsi="Verdana" w:cs="Arial"/>
          <w:bCs/>
          <w:i/>
          <w:iCs/>
          <w:lang w:val="es-ES" w:eastAsia="es-CO"/>
        </w:rPr>
        <w:t>sujetos</w:t>
      </w:r>
      <w:r w:rsidRPr="00FC6F34">
        <w:rPr>
          <w:rFonts w:ascii="Verdana" w:eastAsia="Times New Roman" w:hAnsi="Verdana" w:cs="Arial"/>
          <w:bCs/>
          <w:lang w:val="es-ES" w:eastAsia="es-CO"/>
        </w:rPr>
        <w:t xml:space="preserve"> que se encuentran enmarcados en la prohibición del artículo 33, </w:t>
      </w:r>
      <w:r w:rsidRPr="00FC6F34">
        <w:rPr>
          <w:rFonts w:ascii="Verdana" w:eastAsia="Times New Roman" w:hAnsi="Verdana" w:cs="Arial"/>
          <w:lang w:val="es-ES"/>
        </w:rPr>
        <w:t>la Ley 996 de 2005 señala expresamente que son “</w:t>
      </w:r>
      <w:r w:rsidRPr="00FC6F34">
        <w:rPr>
          <w:rFonts w:ascii="Verdana" w:eastAsia="Times New Roman" w:hAnsi="Verdana" w:cs="Arial"/>
          <w:i/>
          <w:iCs/>
          <w:u w:val="single"/>
          <w:lang w:val="es-ES"/>
        </w:rPr>
        <w:t>todos</w:t>
      </w:r>
      <w:r w:rsidRPr="00FC6F34">
        <w:rPr>
          <w:rFonts w:ascii="Verdana" w:eastAsia="Times New Roman" w:hAnsi="Verdana" w:cs="Arial"/>
          <w:i/>
          <w:iCs/>
          <w:lang w:val="es-ES"/>
        </w:rPr>
        <w:t xml:space="preserve"> los entes del Estado</w:t>
      </w:r>
      <w:r w:rsidRPr="00FC6F34">
        <w:rPr>
          <w:rFonts w:ascii="Verdana" w:eastAsia="Times New Roman" w:hAnsi="Verdana" w:cs="Arial"/>
          <w:lang w:val="es-ES"/>
        </w:rPr>
        <w:t>” [énfasis propio]. Al respecto la Sala De Consulta y Servicio Civil del Consejo de Estado señaló lo siguiente:</w:t>
      </w:r>
    </w:p>
    <w:p w14:paraId="6DC1DFE9" w14:textId="77777777" w:rsidR="00763D94" w:rsidRPr="00FC6F34" w:rsidRDefault="00763D94" w:rsidP="00763D94">
      <w:pPr>
        <w:spacing w:after="0" w:line="276" w:lineRule="auto"/>
        <w:ind w:firstLine="708"/>
        <w:jc w:val="both"/>
        <w:rPr>
          <w:rFonts w:ascii="Verdana" w:eastAsia="Times New Roman" w:hAnsi="Verdana" w:cs="Arial"/>
          <w:lang w:val="es-ES"/>
        </w:rPr>
      </w:pPr>
    </w:p>
    <w:p w14:paraId="41B7E767" w14:textId="77777777" w:rsidR="00763D94" w:rsidRPr="00FC6F34" w:rsidRDefault="00763D94" w:rsidP="00763D94">
      <w:pPr>
        <w:spacing w:after="0" w:line="240" w:lineRule="auto"/>
        <w:ind w:left="709" w:right="709"/>
        <w:jc w:val="both"/>
        <w:rPr>
          <w:rFonts w:ascii="Verdana" w:eastAsia="Times New Roman" w:hAnsi="Verdana" w:cs="Arial"/>
          <w:bCs/>
          <w:lang w:val="es-ES" w:eastAsia="es-CO"/>
        </w:rPr>
      </w:pPr>
      <w:r w:rsidRPr="00FC6F34">
        <w:rPr>
          <w:rFonts w:ascii="Verdana" w:eastAsia="Times New Roman" w:hAnsi="Verdana" w:cs="Arial"/>
          <w:bCs/>
          <w:sz w:val="20"/>
          <w:szCs w:val="20"/>
          <w:lang w:val="es-ES"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00FC6F34">
        <w:rPr>
          <w:rStyle w:val="FootnoteReference"/>
          <w:rFonts w:ascii="Verdana" w:eastAsia="Times New Roman" w:hAnsi="Verdana" w:cs="Arial"/>
          <w:bCs/>
          <w:sz w:val="20"/>
          <w:szCs w:val="20"/>
          <w:lang w:val="es-ES" w:eastAsia="es-CO"/>
        </w:rPr>
        <w:footnoteReference w:id="16"/>
      </w:r>
      <w:r w:rsidRPr="00FC6F34">
        <w:rPr>
          <w:rFonts w:ascii="Verdana" w:eastAsia="Times New Roman" w:hAnsi="Verdana" w:cs="Arial"/>
          <w:bCs/>
          <w:sz w:val="20"/>
          <w:szCs w:val="20"/>
          <w:lang w:val="es-ES" w:eastAsia="es-CO"/>
        </w:rPr>
        <w:t>.</w:t>
      </w:r>
    </w:p>
    <w:p w14:paraId="47353AB3" w14:textId="77777777" w:rsidR="00763D94" w:rsidRPr="00FC6F34" w:rsidRDefault="00763D94" w:rsidP="00763D94">
      <w:pPr>
        <w:spacing w:before="240" w:line="276" w:lineRule="auto"/>
        <w:ind w:firstLine="708"/>
        <w:jc w:val="both"/>
        <w:rPr>
          <w:rFonts w:ascii="Verdana" w:hAnsi="Verdana" w:cs="Arial"/>
          <w:bCs/>
          <w:sz w:val="20"/>
          <w:szCs w:val="20"/>
          <w:lang w:val="es-ES" w:eastAsia="es-CO"/>
        </w:rPr>
      </w:pPr>
      <w:r w:rsidRPr="00FC6F34">
        <w:rPr>
          <w:rFonts w:ascii="Verdana" w:hAnsi="Verdana" w:cs="Arial"/>
          <w:bCs/>
          <w:lang w:val="es-ES" w:eastAsia="x-none"/>
        </w:rPr>
        <w:t xml:space="preserve">En consecuencia, el artículo 33 de la Ley 996 de 2005 señala expresamente que los destinatarios de la prohibición son “todos los entes del Estado”, expresión que contempla a los diferentes organismos o </w:t>
      </w:r>
      <w:r w:rsidRPr="00420BDF">
        <w:rPr>
          <w:rFonts w:ascii="Verdana" w:hAnsi="Verdana" w:cs="Arial"/>
          <w:bCs/>
          <w:lang w:val="es-ES" w:eastAsia="x-none"/>
        </w:rPr>
        <w:t>entidades autorizadas por la ley para suscribir contratos</w:t>
      </w:r>
      <w:r>
        <w:rPr>
          <w:rFonts w:ascii="Verdana" w:hAnsi="Verdana" w:cs="Arial"/>
          <w:bCs/>
          <w:lang w:val="es-ES" w:eastAsia="x-none"/>
        </w:rPr>
        <w:t xml:space="preserve">, como es el caso de </w:t>
      </w:r>
      <w:r w:rsidRPr="00F507F9">
        <w:rPr>
          <w:rFonts w:ascii="Verdana" w:hAnsi="Verdana" w:cs="Arial"/>
          <w:bCs/>
          <w:lang w:eastAsia="x-none"/>
        </w:rPr>
        <w:t xml:space="preserve">los Cabildos </w:t>
      </w:r>
      <w:r w:rsidRPr="00F507F9">
        <w:rPr>
          <w:rFonts w:ascii="Verdana" w:hAnsi="Verdana" w:cs="Arial"/>
          <w:bCs/>
          <w:lang w:eastAsia="x-none"/>
        </w:rPr>
        <w:lastRenderedPageBreak/>
        <w:t>Indígenas, las asociaciones de Autoridades Tradicionales Indígenas, los consejos comunitarios de las comunidades negras regulados por la Ley 70 de 1993</w:t>
      </w:r>
      <w:r>
        <w:rPr>
          <w:rStyle w:val="FootnoteReference"/>
          <w:rFonts w:ascii="Verdana" w:hAnsi="Verdana" w:cs="Arial"/>
          <w:bCs/>
          <w:lang w:eastAsia="x-none"/>
        </w:rPr>
        <w:footnoteReference w:id="17"/>
      </w:r>
      <w:r w:rsidRPr="00FC6F34">
        <w:rPr>
          <w:rFonts w:ascii="Verdana" w:hAnsi="Verdana" w:cs="Arial"/>
          <w:bCs/>
          <w:lang w:val="es-ES" w:eastAsia="x-none"/>
        </w:rPr>
        <w:t>.</w:t>
      </w:r>
      <w:r w:rsidRPr="00FC6F34">
        <w:rPr>
          <w:rFonts w:ascii="Verdana" w:hAnsi="Verdana"/>
          <w:lang w:val="es-ES"/>
        </w:rPr>
        <w:t xml:space="preserve"> </w:t>
      </w:r>
      <w:r w:rsidRPr="00FC6F34">
        <w:rPr>
          <w:rFonts w:ascii="Verdana" w:hAnsi="Verdana" w:cs="Arial"/>
          <w:bCs/>
          <w:lang w:val="es-ES" w:eastAsia="x-none"/>
        </w:rPr>
        <w:t>En efecto, tal como lo ha sostenido el Consejo de Estado, el vocablo “todos” utilizado por el legislador comprende</w:t>
      </w:r>
      <w:r w:rsidRPr="00FC6F34">
        <w:rPr>
          <w:rFonts w:ascii="Verdana" w:hAnsi="Verdana"/>
          <w:lang w:val="es-ES"/>
        </w:rPr>
        <w:t xml:space="preserve"> </w:t>
      </w:r>
      <w:r w:rsidRPr="00FC6F34">
        <w:rPr>
          <w:rFonts w:ascii="Verdana" w:hAnsi="Verdana" w:cs="Arial"/>
          <w:bCs/>
          <w:lang w:val="es-ES"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FC6F34">
        <w:rPr>
          <w:rStyle w:val="FootnoteReference"/>
          <w:rFonts w:ascii="Verdana" w:hAnsi="Verdana" w:cs="Arial"/>
          <w:bCs/>
          <w:sz w:val="20"/>
          <w:szCs w:val="20"/>
          <w:lang w:val="es-ES" w:eastAsia="x-none"/>
        </w:rPr>
        <w:footnoteReference w:id="18"/>
      </w:r>
      <w:r w:rsidRPr="00FC6F34">
        <w:rPr>
          <w:rFonts w:ascii="Verdana" w:hAnsi="Verdana" w:cs="Arial"/>
          <w:bCs/>
          <w:sz w:val="20"/>
          <w:szCs w:val="20"/>
          <w:lang w:val="es-ES" w:eastAsia="x-none"/>
        </w:rPr>
        <w:t>.</w:t>
      </w:r>
      <w:r w:rsidRPr="00FC6F34">
        <w:rPr>
          <w:rFonts w:ascii="Verdana" w:hAnsi="Verdana" w:cs="Arial"/>
          <w:bCs/>
          <w:sz w:val="20"/>
          <w:szCs w:val="20"/>
          <w:lang w:val="es-ES" w:eastAsia="es-CO"/>
        </w:rPr>
        <w:t>”</w:t>
      </w:r>
    </w:p>
    <w:p w14:paraId="6019CE86" w14:textId="77777777" w:rsidR="00763D94" w:rsidRDefault="00763D94" w:rsidP="00763D94">
      <w:pPr>
        <w:spacing w:after="0" w:line="276" w:lineRule="auto"/>
        <w:ind w:firstLine="709"/>
        <w:jc w:val="both"/>
        <w:rPr>
          <w:rFonts w:ascii="Verdana" w:eastAsia="Arial" w:hAnsi="Verdana" w:cs="Arial"/>
          <w:color w:val="000000" w:themeColor="text1"/>
          <w:lang w:val="es-ES"/>
        </w:rPr>
      </w:pPr>
      <w:r w:rsidRPr="00FC6F34">
        <w:rPr>
          <w:rFonts w:ascii="Verdana" w:eastAsia="Arial" w:hAnsi="Verdana" w:cs="Arial"/>
          <w:color w:val="000000" w:themeColor="text1"/>
          <w:lang w:val="es-ES"/>
        </w:rPr>
        <w:t xml:space="preserve">Por lo tanto, la restricción del artículo 33 prevista en la Ley 996 de 2005, teniendo en cuenta la finalidad de la ley de garantías electorales, cobija a </w:t>
      </w:r>
      <w:r w:rsidRPr="00FD1F46">
        <w:rPr>
          <w:rFonts w:ascii="Verdana" w:eastAsia="Arial" w:hAnsi="Verdana" w:cs="Arial"/>
          <w:i/>
          <w:iCs/>
          <w:color w:val="000000" w:themeColor="text1"/>
          <w:lang w:val="es-ES"/>
        </w:rPr>
        <w:t>cualquier ente público</w:t>
      </w:r>
      <w:r w:rsidRPr="00FC6F34">
        <w:rPr>
          <w:rFonts w:ascii="Verdana" w:eastAsia="Arial" w:hAnsi="Verdana" w:cs="Arial"/>
          <w:color w:val="000000" w:themeColor="text1"/>
          <w:lang w:val="es-ES"/>
        </w:rPr>
        <w:t xml:space="preserve">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5914E14A" w14:textId="77777777" w:rsidR="00763D94" w:rsidRPr="00FC6F34" w:rsidRDefault="00763D94" w:rsidP="00763D94">
      <w:pPr>
        <w:spacing w:after="0" w:line="276" w:lineRule="auto"/>
        <w:ind w:firstLine="709"/>
        <w:jc w:val="both"/>
        <w:rPr>
          <w:rFonts w:ascii="Verdana" w:eastAsia="Arial" w:hAnsi="Verdana" w:cs="Arial"/>
          <w:bCs/>
          <w:color w:val="000000" w:themeColor="text1"/>
          <w:lang w:val="es-ES"/>
        </w:rPr>
      </w:pPr>
    </w:p>
    <w:p w14:paraId="1113C255" w14:textId="77777777" w:rsidR="00763D94" w:rsidRPr="00FC6F34" w:rsidRDefault="00763D94" w:rsidP="00763D94">
      <w:pPr>
        <w:spacing w:line="276" w:lineRule="auto"/>
        <w:jc w:val="both"/>
        <w:rPr>
          <w:rFonts w:ascii="Verdana" w:hAnsi="Verdana" w:cs="Arial"/>
          <w:bCs/>
          <w:color w:val="000000" w:themeColor="text1"/>
          <w:lang w:val="es-ES"/>
        </w:rPr>
      </w:pPr>
      <w:r>
        <w:rPr>
          <w:rFonts w:ascii="Verdana" w:eastAsia="Arial" w:hAnsi="Verdana" w:cs="Arial"/>
          <w:bCs/>
          <w:color w:val="000000" w:themeColor="text1"/>
          <w:lang w:val="es-ES"/>
        </w:rPr>
        <w:t xml:space="preserve">v) </w:t>
      </w:r>
      <w:r w:rsidRPr="00FC6F34">
        <w:rPr>
          <w:rFonts w:ascii="Verdana" w:eastAsia="Arial" w:hAnsi="Verdana" w:cs="Arial"/>
          <w:bCs/>
          <w:color w:val="000000" w:themeColor="text1"/>
          <w:lang w:val="es-ES"/>
        </w:rPr>
        <w:t xml:space="preserve">En este punto, </w:t>
      </w:r>
      <w:r>
        <w:rPr>
          <w:rFonts w:ascii="Verdana" w:eastAsia="Arial" w:hAnsi="Verdana" w:cs="Arial"/>
          <w:bCs/>
          <w:color w:val="000000" w:themeColor="text1"/>
          <w:lang w:val="es-ES"/>
        </w:rPr>
        <w:t>es importante resaltar que</w:t>
      </w:r>
      <w:r w:rsidRPr="00FC6F34">
        <w:rPr>
          <w:rFonts w:ascii="Verdana" w:eastAsia="Arial" w:hAnsi="Verdana" w:cs="Arial"/>
          <w:bCs/>
          <w:color w:val="000000" w:themeColor="text1"/>
          <w:lang w:val="es-ES"/>
        </w:rPr>
        <w:t xml:space="preserve">, en principio, todos los entes del Estado están cobijados por la prohibición para contratar directamente establecida en el artículo 33 de la Ley de Garantías Electorales. Sin embargo, </w:t>
      </w:r>
      <w:r w:rsidRPr="00FC6F34">
        <w:rPr>
          <w:rFonts w:ascii="Verdana" w:hAnsi="Verdana" w:cs="Arial"/>
          <w:bCs/>
          <w:color w:val="000000" w:themeColor="text1"/>
          <w:lang w:val="es-ES"/>
        </w:rPr>
        <w:t xml:space="preserve">el segundo inciso de la misma disposición consagró las excepciones aplicables a la </w:t>
      </w:r>
      <w:r w:rsidRPr="00FC6F34">
        <w:rPr>
          <w:rFonts w:ascii="Verdana" w:hAnsi="Verdana" w:cs="Arial"/>
          <w:bCs/>
          <w:color w:val="000000" w:themeColor="text1"/>
          <w:lang w:val="es-ES"/>
        </w:rPr>
        <w:lastRenderedPageBreak/>
        <w:t>prohibición de contratación directa</w:t>
      </w:r>
      <w:r>
        <w:rPr>
          <w:rFonts w:ascii="Verdana" w:hAnsi="Verdana" w:cs="Arial"/>
          <w:bCs/>
          <w:color w:val="000000" w:themeColor="text1"/>
          <w:lang w:val="es-ES"/>
        </w:rPr>
        <w:t xml:space="preserve"> allí establecida</w:t>
      </w:r>
      <w:r w:rsidRPr="00FC6F34">
        <w:rPr>
          <w:rFonts w:ascii="Verdana" w:hAnsi="Verdana" w:cs="Arial"/>
          <w:bCs/>
          <w:color w:val="000000" w:themeColor="text1"/>
          <w:lang w:val="es-ES"/>
        </w:rPr>
        <w:t xml:space="preserve">. </w:t>
      </w:r>
      <w:r>
        <w:rPr>
          <w:rFonts w:ascii="Verdana" w:hAnsi="Verdana" w:cs="Arial"/>
          <w:bCs/>
          <w:color w:val="000000" w:themeColor="text1"/>
          <w:lang w:val="es-ES"/>
        </w:rPr>
        <w:t>L</w:t>
      </w:r>
      <w:r w:rsidRPr="00FC6F34">
        <w:rPr>
          <w:rFonts w:ascii="Verdana" w:hAnsi="Verdana" w:cs="Arial"/>
          <w:bCs/>
          <w:color w:val="000000" w:themeColor="text1"/>
          <w:lang w:val="es-ES"/>
        </w:rPr>
        <w:t>as excepciones a la prohibición del artículo 33 de la norma mencionada son las siguientes:</w:t>
      </w:r>
    </w:p>
    <w:p w14:paraId="3E12E051" w14:textId="77777777" w:rsidR="00763D94" w:rsidRPr="00FC6F34" w:rsidRDefault="00763D94" w:rsidP="00763D94">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 xml:space="preserve">1) </w:t>
      </w:r>
      <w:r w:rsidRPr="00FC6F34">
        <w:rPr>
          <w:rFonts w:ascii="Verdana" w:hAnsi="Verdana" w:cs="Arial"/>
          <w:bCs/>
          <w:color w:val="000000" w:themeColor="text1"/>
          <w:lang w:val="es-ES"/>
        </w:rPr>
        <w:t>La contratación referente a la defensa y seguridad del Estado;</w:t>
      </w:r>
    </w:p>
    <w:p w14:paraId="7534480F" w14:textId="77777777" w:rsidR="00763D94" w:rsidRPr="00FC6F34" w:rsidRDefault="00763D94" w:rsidP="00763D94">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2</w:t>
      </w:r>
      <w:r w:rsidRPr="00FC6F34">
        <w:rPr>
          <w:rFonts w:ascii="Verdana" w:hAnsi="Verdana" w:cs="Arial"/>
          <w:bCs/>
          <w:color w:val="000000" w:themeColor="text1"/>
          <w:lang w:val="es-ES"/>
        </w:rPr>
        <w:t>) Los contratos de crédito público;</w:t>
      </w:r>
    </w:p>
    <w:p w14:paraId="71BD4FF9" w14:textId="77777777" w:rsidR="00763D94" w:rsidRPr="00FC6F34" w:rsidRDefault="00763D94" w:rsidP="00763D94">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3</w:t>
      </w:r>
      <w:r w:rsidRPr="00FC6F34">
        <w:rPr>
          <w:rFonts w:ascii="Verdana" w:hAnsi="Verdana" w:cs="Arial"/>
          <w:bCs/>
          <w:color w:val="000000" w:themeColor="text1"/>
          <w:lang w:val="es-ES"/>
        </w:rPr>
        <w:t xml:space="preserve">) Los contratos requeridos para cubrir las emergencias educativas, sanitarias y desastres; </w:t>
      </w:r>
    </w:p>
    <w:p w14:paraId="06B1EC49" w14:textId="77777777" w:rsidR="00763D94" w:rsidRPr="00FC6F34" w:rsidRDefault="00763D94" w:rsidP="00763D94">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4</w:t>
      </w:r>
      <w:r w:rsidRPr="00FC6F34">
        <w:rPr>
          <w:rFonts w:ascii="Verdana" w:hAnsi="Verdana" w:cs="Arial"/>
          <w:bCs/>
          <w:color w:val="000000" w:themeColor="text1"/>
          <w:lang w:val="es-ES"/>
        </w:rPr>
        <w:t>) La contratación para la reconstrucción de vías, puentes, carreteras, infraestructura energética y de comunicaciones, en caso de que hayan sido objeto de atentados, acciones terroristas, desastres naturales o casos de fuerza mayor y;</w:t>
      </w:r>
    </w:p>
    <w:p w14:paraId="72C2647D" w14:textId="77777777" w:rsidR="00763D94" w:rsidRPr="00FC6F34" w:rsidRDefault="00763D94" w:rsidP="00763D94">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5</w:t>
      </w:r>
      <w:r w:rsidRPr="00FC6F34">
        <w:rPr>
          <w:rFonts w:ascii="Verdana" w:hAnsi="Verdana" w:cs="Arial"/>
          <w:bCs/>
          <w:color w:val="000000" w:themeColor="text1"/>
          <w:lang w:val="es-ES"/>
        </w:rPr>
        <w:t xml:space="preserve">) La contratación que deban realizar las entidades sanitarias y hospitalarias. </w:t>
      </w:r>
    </w:p>
    <w:p w14:paraId="2696038D" w14:textId="77777777" w:rsidR="00763D94" w:rsidRPr="00FC6F34" w:rsidRDefault="00763D94" w:rsidP="00763D94">
      <w:pPr>
        <w:spacing w:before="240" w:line="276" w:lineRule="auto"/>
        <w:ind w:firstLine="709"/>
        <w:jc w:val="both"/>
        <w:rPr>
          <w:rFonts w:ascii="Verdana" w:hAnsi="Verdana" w:cs="Arial"/>
          <w:lang w:val="es-ES" w:eastAsia="x-none"/>
        </w:rPr>
      </w:pPr>
      <w:r w:rsidRPr="00FC6F34">
        <w:rPr>
          <w:rFonts w:ascii="Verdana" w:hAnsi="Verdana" w:cs="Arial"/>
          <w:lang w:val="es-ES" w:eastAsia="x-none"/>
        </w:rPr>
        <w:t>Como lo anotó la Corte Constitucional, en Sentencia C-1153 de noviembre 11 de 2005,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FC6F34">
        <w:rPr>
          <w:rFonts w:ascii="Verdana" w:hAnsi="Verdana" w:cs="Arial"/>
          <w:color w:val="000000" w:themeColor="text1"/>
          <w:vertAlign w:val="superscript"/>
          <w:lang w:val="es-ES" w:eastAsia="es-CO"/>
        </w:rPr>
        <w:t xml:space="preserve"> </w:t>
      </w:r>
      <w:r w:rsidRPr="00FC6F34">
        <w:rPr>
          <w:rFonts w:ascii="Verdana" w:hAnsi="Verdana" w:cs="Arial"/>
          <w:color w:val="000000" w:themeColor="text1"/>
          <w:vertAlign w:val="superscript"/>
          <w:lang w:val="es-ES" w:eastAsia="es-CO"/>
        </w:rPr>
        <w:footnoteReference w:id="19"/>
      </w:r>
      <w:r w:rsidRPr="00FC6F34">
        <w:rPr>
          <w:rFonts w:ascii="Verdana" w:hAnsi="Verdana" w:cs="Arial"/>
          <w:lang w:val="es-ES"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641300AD" w14:textId="77777777" w:rsidR="00763D94" w:rsidRPr="00FC6F34" w:rsidRDefault="00763D94" w:rsidP="00763D94">
      <w:pPr>
        <w:tabs>
          <w:tab w:val="left" w:pos="426"/>
        </w:tabs>
        <w:spacing w:before="120"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480DDF7D" w14:textId="77777777" w:rsidR="00763D94" w:rsidRPr="00FC6F34" w:rsidRDefault="00763D94" w:rsidP="00763D94">
      <w:pPr>
        <w:shd w:val="clear" w:color="auto" w:fill="FFFFFF"/>
        <w:ind w:left="709" w:right="709"/>
        <w:jc w:val="both"/>
        <w:rPr>
          <w:rFonts w:ascii="Verdana" w:hAnsi="Verdana" w:cs="Arial"/>
          <w:color w:val="000000" w:themeColor="text1"/>
          <w:sz w:val="20"/>
          <w:szCs w:val="20"/>
          <w:lang w:val="es-ES" w:eastAsia="es-CO"/>
        </w:rPr>
      </w:pPr>
      <w:r w:rsidRPr="00FC6F34">
        <w:rPr>
          <w:rFonts w:ascii="Verdana" w:hAnsi="Verdana" w:cs="Arial"/>
          <w:color w:val="000000" w:themeColor="text1"/>
          <w:sz w:val="20"/>
          <w:szCs w:val="20"/>
          <w:lang w:val="es-ES" w:eastAsia="es-CO"/>
        </w:rPr>
        <w:t xml:space="preserve">“[…] Las excepciones establecidas en los artículos 32 y 33 en comento, guardan relación, exclusivamente, con algunos servicios públicos que por </w:t>
      </w:r>
      <w:r w:rsidRPr="00FC6F34">
        <w:rPr>
          <w:rFonts w:ascii="Verdana" w:hAnsi="Verdana" w:cs="Arial"/>
          <w:color w:val="000000" w:themeColor="text1"/>
          <w:sz w:val="20"/>
          <w:szCs w:val="20"/>
          <w:lang w:val="es-ES" w:eastAsia="es-CO"/>
        </w:rPr>
        <w:lastRenderedPageBreak/>
        <w:t>su naturaleza no admiten postergaciones en la atención de sus necesidades de personal, bienes y servicios [...]</w:t>
      </w:r>
      <w:r w:rsidRPr="00FC6F34">
        <w:rPr>
          <w:rFonts w:ascii="Verdana" w:hAnsi="Verdana" w:cs="Arial"/>
          <w:color w:val="000000" w:themeColor="text1"/>
          <w:sz w:val="20"/>
          <w:szCs w:val="20"/>
          <w:vertAlign w:val="superscript"/>
          <w:lang w:val="es-ES" w:eastAsia="es-CO"/>
        </w:rPr>
        <w:footnoteReference w:id="20"/>
      </w:r>
      <w:r w:rsidRPr="00FC6F34">
        <w:rPr>
          <w:rFonts w:ascii="Verdana" w:hAnsi="Verdana" w:cs="Arial"/>
          <w:color w:val="000000" w:themeColor="text1"/>
          <w:sz w:val="20"/>
          <w:szCs w:val="20"/>
          <w:lang w:val="es-ES" w:eastAsia="es-CO"/>
        </w:rPr>
        <w:t xml:space="preserve">”. </w:t>
      </w:r>
    </w:p>
    <w:p w14:paraId="574394CD" w14:textId="77777777" w:rsidR="00763D94" w:rsidRPr="00FC6F34" w:rsidRDefault="00763D94" w:rsidP="00763D94">
      <w:pPr>
        <w:tabs>
          <w:tab w:val="left" w:pos="426"/>
        </w:tabs>
        <w:spacing w:before="120" w:after="0" w:line="276" w:lineRule="auto"/>
        <w:ind w:firstLine="709"/>
        <w:jc w:val="both"/>
        <w:rPr>
          <w:rFonts w:ascii="Verdana" w:hAnsi="Verdana" w:cs="Arial"/>
          <w:color w:val="000000" w:themeColor="text1"/>
          <w:lang w:val="es-ES"/>
        </w:rPr>
      </w:pPr>
      <w:r w:rsidRPr="00FC6F34">
        <w:rPr>
          <w:rFonts w:ascii="Verdana" w:hAnsi="Verdana" w:cs="Arial"/>
          <w:bCs/>
          <w:color w:val="000000" w:themeColor="text1"/>
          <w:lang w:val="es-ES"/>
        </w:rPr>
        <w:t>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FC6F34">
        <w:rPr>
          <w:rFonts w:ascii="Verdana" w:hAnsi="Verdana" w:cs="Arial"/>
          <w:color w:val="000000" w:themeColor="text1"/>
          <w:lang w:val="es-ES"/>
        </w:rPr>
        <w:t xml:space="preserve">, mencionó las excepciones a la prohibición del artículo 33 de la Ley de Garantías Electorales, resaltando su carácter taxativo, y señalando la independencia de los supuestos, así: </w:t>
      </w:r>
    </w:p>
    <w:p w14:paraId="56B066DF" w14:textId="77777777" w:rsidR="00763D94" w:rsidRPr="00FC6F34" w:rsidRDefault="00763D94" w:rsidP="00763D94">
      <w:pPr>
        <w:tabs>
          <w:tab w:val="left" w:pos="426"/>
        </w:tabs>
        <w:spacing w:after="0" w:line="276" w:lineRule="auto"/>
        <w:ind w:firstLine="709"/>
        <w:jc w:val="both"/>
        <w:rPr>
          <w:rFonts w:ascii="Verdana" w:hAnsi="Verdana" w:cs="Arial"/>
          <w:color w:val="000000" w:themeColor="text1"/>
          <w:lang w:val="es-ES"/>
        </w:rPr>
      </w:pPr>
    </w:p>
    <w:p w14:paraId="48675027" w14:textId="77777777" w:rsidR="00763D94" w:rsidRPr="00FC6F34" w:rsidRDefault="00763D94" w:rsidP="00763D94">
      <w:pPr>
        <w:tabs>
          <w:tab w:val="left" w:pos="426"/>
        </w:tabs>
        <w:spacing w:after="0"/>
        <w:ind w:right="709"/>
        <w:jc w:val="both"/>
        <w:rPr>
          <w:rFonts w:ascii="Verdana" w:hAnsi="Verdana" w:cs="Arial"/>
          <w:color w:val="000000" w:themeColor="text1"/>
          <w:sz w:val="20"/>
          <w:szCs w:val="20"/>
          <w:lang w:val="es-ES"/>
        </w:rPr>
      </w:pPr>
      <w:r w:rsidRPr="00FC6F34">
        <w:rPr>
          <w:rFonts w:ascii="Arial" w:hAnsi="Arial" w:cs="Arial"/>
          <w:color w:val="000000" w:themeColor="text1"/>
          <w:sz w:val="21"/>
          <w:szCs w:val="21"/>
          <w:lang w:val="es-ES"/>
        </w:rPr>
        <w:tab/>
      </w:r>
      <w:r w:rsidRPr="00FC6F34">
        <w:rPr>
          <w:rFonts w:ascii="Arial" w:hAnsi="Arial" w:cs="Arial"/>
          <w:color w:val="000000" w:themeColor="text1"/>
          <w:sz w:val="21"/>
          <w:szCs w:val="21"/>
          <w:lang w:val="es-ES"/>
        </w:rPr>
        <w:tab/>
        <w:t>“</w:t>
      </w:r>
      <w:r w:rsidRPr="00FC6F34">
        <w:rPr>
          <w:rFonts w:ascii="Verdana" w:hAnsi="Verdana" w:cs="Arial"/>
          <w:color w:val="000000" w:themeColor="text1"/>
          <w:sz w:val="20"/>
          <w:szCs w:val="20"/>
          <w:lang w:val="es-ES"/>
        </w:rPr>
        <w:t xml:space="preserve">[…] </w:t>
      </w:r>
      <w:r w:rsidRPr="00FC6F34">
        <w:rPr>
          <w:rFonts w:ascii="Verdana" w:hAnsi="Verdana" w:cs="Arial"/>
          <w:i/>
          <w:color w:val="000000" w:themeColor="text1"/>
          <w:sz w:val="20"/>
          <w:szCs w:val="20"/>
          <w:lang w:val="es-ES"/>
        </w:rPr>
        <w:t>Las excepciones aplicables a la restricción de contratación pública</w:t>
      </w:r>
    </w:p>
    <w:p w14:paraId="3E7ACB86" w14:textId="77777777" w:rsidR="00763D94" w:rsidRPr="00FC6F34" w:rsidRDefault="00763D94" w:rsidP="00763D94">
      <w:pPr>
        <w:spacing w:after="0"/>
        <w:ind w:left="709" w:right="709"/>
        <w:jc w:val="both"/>
        <w:rPr>
          <w:rFonts w:ascii="Verdana" w:hAnsi="Verdana" w:cs="Arial"/>
          <w:color w:val="000000" w:themeColor="text1"/>
          <w:sz w:val="20"/>
          <w:szCs w:val="20"/>
          <w:shd w:val="clear" w:color="auto" w:fill="FFFFFF"/>
          <w:lang w:val="es-ES"/>
        </w:rPr>
      </w:pPr>
      <w:r w:rsidRPr="00FC6F34">
        <w:rPr>
          <w:rFonts w:ascii="Verdana" w:hAnsi="Verdana" w:cs="Arial"/>
          <w:color w:val="000000" w:themeColor="text1"/>
          <w:sz w:val="20"/>
          <w:szCs w:val="20"/>
          <w:shd w:val="clear" w:color="auto" w:fill="FFFFFF"/>
          <w:lang w:val="es-ES"/>
        </w:rPr>
        <w:t>Ahora bien, las únicas excepciones a las disposiciones previstas en la Ley de Garantías se encuentran numeradas taxativamente en el último inciso del artículo 33 de la ley 996 de 2005[…]</w:t>
      </w:r>
      <w:r w:rsidRPr="00FC6F34">
        <w:rPr>
          <w:rFonts w:ascii="Verdana" w:hAnsi="Verdana" w:cs="Arial"/>
          <w:color w:val="000000" w:themeColor="text1"/>
          <w:sz w:val="20"/>
          <w:szCs w:val="20"/>
          <w:shd w:val="clear" w:color="auto" w:fill="FFFFFF"/>
          <w:vertAlign w:val="superscript"/>
          <w:lang w:val="es-ES"/>
        </w:rPr>
        <w:footnoteReference w:id="21"/>
      </w:r>
      <w:r w:rsidRPr="00FC6F34">
        <w:rPr>
          <w:rFonts w:ascii="Verdana" w:hAnsi="Verdana" w:cs="Arial"/>
          <w:color w:val="000000" w:themeColor="text1"/>
          <w:sz w:val="20"/>
          <w:szCs w:val="20"/>
          <w:shd w:val="clear" w:color="auto" w:fill="FFFFFF"/>
          <w:lang w:val="es-ES"/>
        </w:rPr>
        <w:t>.</w:t>
      </w:r>
    </w:p>
    <w:p w14:paraId="07DEA7FA" w14:textId="77777777" w:rsidR="00763D94" w:rsidRPr="00FC6F34" w:rsidRDefault="00763D94" w:rsidP="00763D94">
      <w:pPr>
        <w:spacing w:after="0"/>
        <w:ind w:left="709" w:right="709"/>
        <w:jc w:val="both"/>
        <w:rPr>
          <w:rFonts w:ascii="Verdana" w:hAnsi="Verdana" w:cs="Arial"/>
          <w:color w:val="000000" w:themeColor="text1"/>
          <w:sz w:val="20"/>
          <w:szCs w:val="20"/>
          <w:shd w:val="clear" w:color="auto" w:fill="FFFFFF"/>
          <w:lang w:val="es-ES"/>
        </w:rPr>
      </w:pPr>
    </w:p>
    <w:p w14:paraId="03DEE290" w14:textId="77777777" w:rsidR="00763D94" w:rsidRDefault="00763D94" w:rsidP="00763D94">
      <w:pPr>
        <w:tabs>
          <w:tab w:val="left" w:pos="426"/>
        </w:tabs>
        <w:spacing w:after="0"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Lo anterior implica que las excepciones al artículo 33 en comento deben interpretarse y aplicarse de manera estricta. En otras palabras, no es factible hacer interpretaciones extensivas</w:t>
      </w:r>
      <w:r w:rsidRPr="00FC6F34">
        <w:rPr>
          <w:rFonts w:ascii="Verdana" w:hAnsi="Verdana" w:cs="Arial"/>
          <w:bCs/>
          <w:i/>
          <w:iCs/>
          <w:color w:val="000000" w:themeColor="text1"/>
          <w:lang w:val="es-ES"/>
        </w:rPr>
        <w:t xml:space="preserve"> </w:t>
      </w:r>
      <w:r w:rsidRPr="00FC6F34">
        <w:rPr>
          <w:rFonts w:ascii="Verdana"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r>
        <w:rPr>
          <w:rFonts w:ascii="Verdana" w:hAnsi="Verdana" w:cs="Arial"/>
          <w:bCs/>
          <w:color w:val="000000" w:themeColor="text1"/>
          <w:lang w:val="es-ES"/>
        </w:rPr>
        <w:t xml:space="preserve">Corresponderá a cada entidad analizar y justificar en cada caso concreto si se configura alguna de las excepciones referidas. Cuando esto ocurra, podrá adelantar el proceso de contratación aunque se encuentre en curso el periodo de la prohibición. </w:t>
      </w:r>
    </w:p>
    <w:p w14:paraId="18A65F65" w14:textId="77777777" w:rsidR="00763D94" w:rsidRPr="00FC6F34" w:rsidRDefault="00763D94" w:rsidP="00763D94">
      <w:pPr>
        <w:tabs>
          <w:tab w:val="left" w:pos="426"/>
        </w:tabs>
        <w:spacing w:after="0" w:line="276" w:lineRule="auto"/>
        <w:ind w:firstLine="709"/>
        <w:jc w:val="both"/>
        <w:rPr>
          <w:rFonts w:ascii="Verdana" w:hAnsi="Verdana" w:cs="Arial"/>
          <w:bCs/>
          <w:color w:val="000000" w:themeColor="text1"/>
          <w:lang w:val="es-ES"/>
        </w:rPr>
      </w:pPr>
    </w:p>
    <w:p w14:paraId="41A65831" w14:textId="77777777" w:rsidR="00763D94" w:rsidRDefault="00763D94" w:rsidP="00763D94">
      <w:pPr>
        <w:spacing w:after="0" w:line="276" w:lineRule="auto"/>
        <w:jc w:val="both"/>
        <w:rPr>
          <w:rFonts w:ascii="Verdana" w:eastAsia="Times New Roman" w:hAnsi="Verdana" w:cs="Arial"/>
          <w:lang w:val="es-MX" w:eastAsia="x-none"/>
        </w:rPr>
      </w:pPr>
      <w:r>
        <w:rPr>
          <w:rFonts w:ascii="Verdana" w:eastAsia="Arial" w:hAnsi="Verdana" w:cs="Arial"/>
          <w:bCs/>
          <w:color w:val="000000" w:themeColor="text1"/>
          <w:lang w:val="es-ES"/>
        </w:rPr>
        <w:t xml:space="preserve">vi) Con respecto a los contratos que celebrados con organismos internacionales o aquellos de banca multilateral, </w:t>
      </w:r>
      <w:r>
        <w:rPr>
          <w:rFonts w:ascii="Verdana" w:eastAsia="Times New Roman" w:hAnsi="Verdana" w:cs="Arial"/>
          <w:lang w:val="es-MX" w:eastAsia="x-none"/>
        </w:rPr>
        <w:t>e</w:t>
      </w:r>
      <w:r w:rsidRPr="00B73308">
        <w:rPr>
          <w:rFonts w:ascii="Verdana" w:eastAsia="Times New Roman" w:hAnsi="Verdana" w:cs="Arial"/>
          <w:lang w:val="es-MX" w:eastAsia="x-none"/>
        </w:rPr>
        <w:t xml:space="preserve">l </w:t>
      </w:r>
      <w:r w:rsidRPr="00DF1455">
        <w:rPr>
          <w:rFonts w:ascii="Verdana" w:eastAsia="Times New Roman" w:hAnsi="Verdana" w:cs="Arial"/>
          <w:i/>
          <w:iCs/>
          <w:lang w:val="es-MX" w:eastAsia="x-none"/>
        </w:rPr>
        <w:t>inciso primero</w:t>
      </w:r>
      <w:r w:rsidRPr="00B73308">
        <w:rPr>
          <w:rFonts w:ascii="Verdana" w:eastAsia="Times New Roman" w:hAnsi="Verdana" w:cs="Arial"/>
          <w:lang w:val="es-MX" w:eastAsia="x-none"/>
        </w:rPr>
        <w:t xml:space="preserve"> del artículo 20 de la Ley 1150 de 2007 establece que</w:t>
      </w:r>
      <w:r>
        <w:rPr>
          <w:rFonts w:ascii="Verdana" w:eastAsia="Times New Roman" w:hAnsi="Verdana" w:cs="Arial"/>
          <w:lang w:val="es-MX" w:eastAsia="x-none"/>
        </w:rPr>
        <w:t>:</w:t>
      </w:r>
    </w:p>
    <w:p w14:paraId="259239FA" w14:textId="77777777" w:rsidR="00763D94" w:rsidRDefault="00763D94" w:rsidP="00763D94">
      <w:pPr>
        <w:spacing w:after="0" w:line="276" w:lineRule="auto"/>
        <w:jc w:val="both"/>
        <w:rPr>
          <w:rFonts w:ascii="Verdana" w:eastAsia="Times New Roman" w:hAnsi="Verdana" w:cs="Arial"/>
          <w:lang w:val="es-MX" w:eastAsia="x-none"/>
        </w:rPr>
      </w:pPr>
    </w:p>
    <w:p w14:paraId="75C6EE0E" w14:textId="77777777" w:rsidR="00763D94" w:rsidRPr="00F66EEE" w:rsidRDefault="00763D94" w:rsidP="00763D94">
      <w:pPr>
        <w:spacing w:after="240" w:line="240" w:lineRule="auto"/>
        <w:ind w:left="709" w:right="709"/>
        <w:jc w:val="both"/>
        <w:rPr>
          <w:rFonts w:ascii="Verdana" w:eastAsia="Times New Roman" w:hAnsi="Verdana" w:cs="Arial"/>
          <w:sz w:val="21"/>
          <w:szCs w:val="21"/>
          <w:lang w:eastAsia="x-none"/>
        </w:rPr>
      </w:pPr>
      <w:r>
        <w:rPr>
          <w:rFonts w:ascii="Verdana" w:eastAsia="Times New Roman" w:hAnsi="Verdana" w:cs="Arial"/>
          <w:sz w:val="21"/>
          <w:szCs w:val="21"/>
          <w:lang w:eastAsia="x-none"/>
        </w:rPr>
        <w:t>“</w:t>
      </w:r>
      <w:r w:rsidRPr="00F66EEE">
        <w:rPr>
          <w:rFonts w:ascii="Verdana" w:eastAsia="Times New Roman" w:hAnsi="Verdana" w:cs="Arial"/>
          <w:sz w:val="21"/>
          <w:szCs w:val="21"/>
          <w:lang w:eastAsia="x-none"/>
        </w:rPr>
        <w:t xml:space="preserve">Los contratos o convenios financiados en su totalidad o en sumas iguales o superiores al cincuenta por ciento (50%) con fondos de los organismos de cooperación, asistencia o ayudas internacionales, </w:t>
      </w:r>
      <w:r w:rsidRPr="00F66EEE">
        <w:rPr>
          <w:rFonts w:ascii="Verdana" w:eastAsia="Times New Roman" w:hAnsi="Verdana" w:cs="Arial"/>
          <w:sz w:val="21"/>
          <w:szCs w:val="21"/>
          <w:lang w:eastAsia="x-none"/>
        </w:rPr>
        <w:lastRenderedPageBreak/>
        <w:t>podrán someterse a los reglamentos de tales entidades. En caso contrario, se someterán a los procedimientos establecidos en la Ley 80 de 1993. Los recursos de contrapartida vinculados a estas operaciones podrán tener el mismo tratamiento</w:t>
      </w:r>
      <w:r>
        <w:rPr>
          <w:rFonts w:ascii="Verdana" w:eastAsia="Times New Roman" w:hAnsi="Verdana" w:cs="Arial"/>
          <w:sz w:val="21"/>
          <w:szCs w:val="21"/>
          <w:lang w:eastAsia="x-none"/>
        </w:rPr>
        <w:t>”</w:t>
      </w:r>
      <w:r w:rsidRPr="00F66EEE">
        <w:rPr>
          <w:rFonts w:ascii="Verdana" w:eastAsia="Times New Roman" w:hAnsi="Verdana" w:cs="Arial"/>
          <w:sz w:val="21"/>
          <w:szCs w:val="21"/>
          <w:lang w:eastAsia="x-none"/>
        </w:rPr>
        <w:t>.</w:t>
      </w:r>
    </w:p>
    <w:p w14:paraId="6BA77ECD" w14:textId="77777777" w:rsidR="00763D94" w:rsidRDefault="00763D94" w:rsidP="00763D94">
      <w:pPr>
        <w:spacing w:after="120" w:line="276" w:lineRule="auto"/>
        <w:ind w:firstLine="694"/>
        <w:jc w:val="both"/>
        <w:rPr>
          <w:rFonts w:ascii="Verdana" w:eastAsia="Times New Roman" w:hAnsi="Verdana" w:cs="Arial"/>
          <w:lang w:val="es-MX" w:eastAsia="x-none"/>
        </w:rPr>
      </w:pPr>
      <w:r>
        <w:rPr>
          <w:rFonts w:ascii="Verdana" w:eastAsia="Times New Roman" w:hAnsi="Verdana" w:cs="Arial"/>
          <w:lang w:val="es-MX" w:eastAsia="x-none"/>
        </w:rPr>
        <w:t xml:space="preserve">En virtud de esta norma, </w:t>
      </w:r>
      <w:r w:rsidRPr="00B73308">
        <w:rPr>
          <w:rFonts w:ascii="Verdana" w:eastAsia="Times New Roman" w:hAnsi="Verdana" w:cs="Arial"/>
          <w:lang w:val="es-MX" w:eastAsia="x-none"/>
        </w:rPr>
        <w:t xml:space="preserve">siempre que </w:t>
      </w:r>
      <w:r>
        <w:rPr>
          <w:rFonts w:ascii="Verdana" w:eastAsia="Times New Roman" w:hAnsi="Verdana" w:cs="Arial"/>
          <w:lang w:val="es-MX" w:eastAsia="x-none"/>
        </w:rPr>
        <w:t xml:space="preserve">los </w:t>
      </w:r>
      <w:r w:rsidRPr="00B73308">
        <w:rPr>
          <w:rFonts w:ascii="Verdana" w:eastAsia="Times New Roman" w:hAnsi="Verdana" w:cs="Arial"/>
          <w:lang w:val="es-MX" w:eastAsia="x-none"/>
        </w:rPr>
        <w:t xml:space="preserve">contratos </w:t>
      </w:r>
      <w:r>
        <w:rPr>
          <w:rFonts w:ascii="Verdana" w:eastAsia="Times New Roman" w:hAnsi="Verdana" w:cs="Arial"/>
          <w:lang w:val="es-MX" w:eastAsia="x-none"/>
        </w:rPr>
        <w:t xml:space="preserve">o convenios </w:t>
      </w:r>
      <w:r w:rsidRPr="00B73308">
        <w:rPr>
          <w:rFonts w:ascii="Verdana" w:eastAsia="Times New Roman" w:hAnsi="Verdana" w:cs="Arial"/>
          <w:lang w:val="es-MX" w:eastAsia="x-none"/>
        </w:rPr>
        <w:t>se financi</w:t>
      </w:r>
      <w:r>
        <w:rPr>
          <w:rFonts w:ascii="Verdana" w:eastAsia="Times New Roman" w:hAnsi="Verdana" w:cs="Arial"/>
          <w:lang w:val="es-MX" w:eastAsia="x-none"/>
        </w:rPr>
        <w:t>e</w:t>
      </w:r>
      <w:r w:rsidRPr="00B73308">
        <w:rPr>
          <w:rFonts w:ascii="Verdana" w:eastAsia="Times New Roman" w:hAnsi="Verdana" w:cs="Arial"/>
          <w:lang w:val="es-MX" w:eastAsia="x-none"/>
        </w:rPr>
        <w:t xml:space="preserve">n en su totalidad o en sumas iguales o superiores al cincuenta por ciento con fondos de </w:t>
      </w:r>
      <w:r>
        <w:rPr>
          <w:rFonts w:ascii="Verdana" w:eastAsia="Times New Roman" w:hAnsi="Verdana" w:cs="Arial"/>
          <w:lang w:val="es-MX" w:eastAsia="x-none"/>
        </w:rPr>
        <w:t>dichos</w:t>
      </w:r>
      <w:r w:rsidRPr="00B73308">
        <w:rPr>
          <w:rFonts w:ascii="Verdana" w:eastAsia="Times New Roman" w:hAnsi="Verdana" w:cs="Arial"/>
          <w:lang w:val="es-MX" w:eastAsia="x-none"/>
        </w:rPr>
        <w:t xml:space="preserve"> organismos, </w:t>
      </w:r>
      <w:r w:rsidRPr="00DF1455">
        <w:rPr>
          <w:rFonts w:ascii="Verdana" w:eastAsia="Times New Roman" w:hAnsi="Verdana" w:cs="Arial"/>
          <w:i/>
          <w:iCs/>
          <w:lang w:val="es-MX" w:eastAsia="x-none"/>
        </w:rPr>
        <w:t>pueden</w:t>
      </w:r>
      <w:r w:rsidRPr="00B73308">
        <w:rPr>
          <w:rFonts w:ascii="Verdana" w:eastAsia="Times New Roman" w:hAnsi="Verdana" w:cs="Arial"/>
          <w:lang w:val="es-MX" w:eastAsia="x-none"/>
        </w:rPr>
        <w:t xml:space="preserve"> someterse a</w:t>
      </w:r>
      <w:r>
        <w:rPr>
          <w:rFonts w:ascii="Verdana" w:eastAsia="Times New Roman" w:hAnsi="Verdana" w:cs="Arial"/>
          <w:lang w:val="es-MX" w:eastAsia="x-none"/>
        </w:rPr>
        <w:t xml:space="preserve"> sus reglamentos</w:t>
      </w:r>
      <w:r w:rsidRPr="00B73308">
        <w:rPr>
          <w:rFonts w:ascii="Verdana" w:eastAsia="Times New Roman" w:hAnsi="Verdana" w:cs="Arial"/>
          <w:lang w:val="es-MX" w:eastAsia="x-none"/>
        </w:rPr>
        <w:t>.</w:t>
      </w:r>
      <w:r>
        <w:rPr>
          <w:rFonts w:ascii="Verdana" w:eastAsia="Times New Roman" w:hAnsi="Verdana" w:cs="Arial"/>
          <w:lang w:val="es-MX" w:eastAsia="x-none"/>
        </w:rPr>
        <w:t xml:space="preserve"> Por el contrario</w:t>
      </w:r>
      <w:r w:rsidRPr="00B73308">
        <w:rPr>
          <w:rFonts w:ascii="Verdana" w:eastAsia="Times New Roman" w:hAnsi="Verdana" w:cs="Arial"/>
          <w:lang w:val="es-MX" w:eastAsia="x-none"/>
        </w:rPr>
        <w:t>,</w:t>
      </w:r>
      <w:r>
        <w:rPr>
          <w:rFonts w:ascii="Verdana" w:eastAsia="Times New Roman" w:hAnsi="Verdana" w:cs="Arial"/>
          <w:lang w:val="es-MX" w:eastAsia="x-none"/>
        </w:rPr>
        <w:t xml:space="preserve"> </w:t>
      </w:r>
      <w:r w:rsidRPr="00B73308">
        <w:rPr>
          <w:rFonts w:ascii="Verdana" w:eastAsia="Times New Roman" w:hAnsi="Verdana" w:cs="Arial"/>
          <w:lang w:val="es-MX" w:eastAsia="x-none"/>
        </w:rPr>
        <w:t xml:space="preserve">cuando se trate de contratos que se financian con recursos del presupuesto general de la nación, </w:t>
      </w:r>
      <w:r>
        <w:rPr>
          <w:rFonts w:ascii="Verdana" w:eastAsia="Times New Roman" w:hAnsi="Verdana" w:cs="Arial"/>
          <w:lang w:val="es-MX" w:eastAsia="x-none"/>
        </w:rPr>
        <w:t xml:space="preserve">las entidades </w:t>
      </w:r>
      <w:r w:rsidRPr="00F66EEE">
        <w:rPr>
          <w:rFonts w:ascii="Verdana" w:eastAsia="Times New Roman" w:hAnsi="Verdana" w:cs="Arial"/>
          <w:i/>
          <w:iCs/>
          <w:lang w:val="es-MX" w:eastAsia="x-none"/>
        </w:rPr>
        <w:t>deberán</w:t>
      </w:r>
      <w:r>
        <w:rPr>
          <w:rFonts w:ascii="Verdana" w:eastAsia="Times New Roman" w:hAnsi="Verdana" w:cs="Arial"/>
          <w:lang w:val="es-MX" w:eastAsia="x-none"/>
        </w:rPr>
        <w:t xml:space="preserve"> necesariamente </w:t>
      </w:r>
      <w:r w:rsidRPr="00B73308">
        <w:rPr>
          <w:rFonts w:ascii="Verdana" w:eastAsia="Times New Roman" w:hAnsi="Verdana" w:cs="Arial"/>
          <w:lang w:val="es-MX" w:eastAsia="x-none"/>
        </w:rPr>
        <w:t>aplicar el Estatuto General de Contratación</w:t>
      </w:r>
      <w:r>
        <w:rPr>
          <w:rFonts w:ascii="Verdana" w:eastAsia="Times New Roman" w:hAnsi="Verdana" w:cs="Arial"/>
          <w:lang w:val="es-MX" w:eastAsia="x-none"/>
        </w:rPr>
        <w:t xml:space="preserve"> de la Administración</w:t>
      </w:r>
      <w:r w:rsidRPr="00B73308">
        <w:rPr>
          <w:rFonts w:ascii="Verdana" w:eastAsia="Times New Roman" w:hAnsi="Verdana" w:cs="Arial"/>
          <w:lang w:val="es-MX" w:eastAsia="x-none"/>
        </w:rPr>
        <w:t xml:space="preserve"> Pública.</w:t>
      </w:r>
    </w:p>
    <w:p w14:paraId="13B87816" w14:textId="77777777" w:rsidR="00763D94" w:rsidRDefault="00763D94" w:rsidP="00763D94">
      <w:pPr>
        <w:spacing w:before="120" w:after="0" w:line="276" w:lineRule="auto"/>
        <w:ind w:firstLine="694"/>
        <w:jc w:val="both"/>
        <w:rPr>
          <w:rFonts w:ascii="Verdana" w:eastAsia="Times New Roman" w:hAnsi="Verdana" w:cs="Arial"/>
          <w:lang w:val="es-MX"/>
        </w:rPr>
      </w:pPr>
      <w:r w:rsidRPr="44B3FB22">
        <w:rPr>
          <w:rFonts w:ascii="Verdana" w:eastAsia="Times New Roman" w:hAnsi="Verdana" w:cs="Arial"/>
          <w:lang w:val="es-MX"/>
        </w:rPr>
        <w:t>En</w:t>
      </w:r>
      <w:r>
        <w:rPr>
          <w:rFonts w:ascii="Verdana" w:eastAsia="Times New Roman" w:hAnsi="Verdana" w:cs="Arial"/>
          <w:lang w:val="es-MX"/>
        </w:rPr>
        <w:t xml:space="preserve"> consecuencia</w:t>
      </w:r>
      <w:r w:rsidRPr="44B3FB22">
        <w:rPr>
          <w:rFonts w:ascii="Verdana" w:eastAsia="Times New Roman" w:hAnsi="Verdana" w:cs="Arial"/>
          <w:lang w:val="es-MX"/>
        </w:rPr>
        <w:t>, la restricción contemplada en el artículo 33</w:t>
      </w:r>
      <w:r>
        <w:rPr>
          <w:rFonts w:ascii="Verdana" w:eastAsia="Times New Roman" w:hAnsi="Verdana" w:cs="Arial"/>
          <w:lang w:val="es-MX"/>
        </w:rPr>
        <w:t xml:space="preserve"> de la Ley de Garantías Electorales</w:t>
      </w:r>
      <w:r w:rsidRPr="44B3FB22">
        <w:rPr>
          <w:rFonts w:ascii="Verdana" w:eastAsia="Times New Roman" w:hAnsi="Verdana" w:cs="Arial"/>
          <w:lang w:val="es-MX"/>
        </w:rPr>
        <w:t xml:space="preserve"> </w:t>
      </w:r>
      <w:r w:rsidRPr="00664867">
        <w:rPr>
          <w:rFonts w:ascii="Verdana" w:eastAsia="Times New Roman" w:hAnsi="Verdana" w:cs="Arial"/>
          <w:i/>
          <w:iCs/>
          <w:u w:val="single"/>
          <w:lang w:val="es-MX"/>
        </w:rPr>
        <w:t>no</w:t>
      </w:r>
      <w:r w:rsidRPr="44B3FB22">
        <w:rPr>
          <w:rFonts w:ascii="Verdana" w:eastAsia="Times New Roman" w:hAnsi="Verdana" w:cs="Arial"/>
          <w:lang w:val="es-MX"/>
        </w:rPr>
        <w:t xml:space="preserve"> aplica a los contratos que son financiados en su totalidad o en sumas iguales o superiores al cincuenta por ciento con fondos de organismos de cooperación, asistencia o ayudas internacionales, y cuyo régimen sea el dispuesto en los reglamentos de tales organismos. Lo anterior, por cuanto en estos casos el artículo 20 de la Ley 1150 de 2007 autoriza</w:t>
      </w:r>
      <w:r>
        <w:rPr>
          <w:rFonts w:ascii="Verdana" w:eastAsia="Times New Roman" w:hAnsi="Verdana" w:cs="Arial"/>
          <w:lang w:val="es-MX"/>
        </w:rPr>
        <w:t xml:space="preserve"> la</w:t>
      </w:r>
      <w:r w:rsidRPr="44B3FB22">
        <w:rPr>
          <w:rFonts w:ascii="Verdana" w:eastAsia="Times New Roman" w:hAnsi="Verdana" w:cs="Arial"/>
          <w:lang w:val="es-MX"/>
        </w:rPr>
        <w:t xml:space="preserve"> aplica</w:t>
      </w:r>
      <w:r>
        <w:rPr>
          <w:rFonts w:ascii="Verdana" w:eastAsia="Times New Roman" w:hAnsi="Verdana" w:cs="Arial"/>
          <w:lang w:val="es-MX"/>
        </w:rPr>
        <w:t>ción</w:t>
      </w:r>
      <w:r w:rsidRPr="44B3FB22">
        <w:rPr>
          <w:rFonts w:ascii="Verdana" w:eastAsia="Times New Roman" w:hAnsi="Verdana" w:cs="Arial"/>
          <w:lang w:val="es-MX"/>
        </w:rPr>
        <w:t xml:space="preserve"> “integral” </w:t>
      </w:r>
      <w:r>
        <w:rPr>
          <w:rFonts w:ascii="Verdana" w:eastAsia="Times New Roman" w:hAnsi="Verdana" w:cs="Arial"/>
          <w:lang w:val="es-MX"/>
        </w:rPr>
        <w:t xml:space="preserve"> de </w:t>
      </w:r>
      <w:r w:rsidRPr="44B3FB22">
        <w:rPr>
          <w:rFonts w:ascii="Verdana" w:eastAsia="Times New Roman" w:hAnsi="Verdana" w:cs="Arial"/>
          <w:lang w:val="es-MX"/>
        </w:rPr>
        <w:t>l</w:t>
      </w:r>
      <w:r>
        <w:rPr>
          <w:rFonts w:ascii="Verdana" w:eastAsia="Times New Roman" w:hAnsi="Verdana" w:cs="Arial"/>
          <w:lang w:val="es-MX"/>
        </w:rPr>
        <w:t>os</w:t>
      </w:r>
      <w:r w:rsidRPr="44B3FB22">
        <w:rPr>
          <w:rFonts w:ascii="Verdana" w:eastAsia="Times New Roman" w:hAnsi="Verdana" w:cs="Arial"/>
          <w:lang w:val="es-MX"/>
        </w:rPr>
        <w:t xml:space="preserve"> reglamento</w:t>
      </w:r>
      <w:r>
        <w:rPr>
          <w:rFonts w:ascii="Verdana" w:eastAsia="Times New Roman" w:hAnsi="Verdana" w:cs="Arial"/>
          <w:lang w:val="es-MX"/>
        </w:rPr>
        <w:t>s</w:t>
      </w:r>
      <w:r w:rsidRPr="44B3FB22">
        <w:rPr>
          <w:rFonts w:ascii="Verdana" w:eastAsia="Times New Roman" w:hAnsi="Verdana" w:cs="Arial"/>
          <w:lang w:val="es-MX"/>
        </w:rPr>
        <w:t xml:space="preserve"> de dichos organismos</w:t>
      </w:r>
      <w:r w:rsidRPr="44B3FB22">
        <w:rPr>
          <w:rStyle w:val="FootnoteReference"/>
          <w:rFonts w:ascii="Verdana" w:eastAsia="Times New Roman" w:hAnsi="Verdana" w:cs="Arial"/>
          <w:lang w:val="es-MX"/>
        </w:rPr>
        <w:footnoteReference w:id="22"/>
      </w:r>
      <w:r w:rsidRPr="44B3FB22">
        <w:rPr>
          <w:rFonts w:ascii="Verdana" w:eastAsia="Times New Roman" w:hAnsi="Verdana" w:cs="Arial"/>
          <w:lang w:val="es-MX"/>
        </w:rPr>
        <w:t>.</w:t>
      </w:r>
      <w:bookmarkStart w:id="3" w:name="2.2.1.2.4.4.1"/>
      <w:bookmarkEnd w:id="3"/>
      <w:r>
        <w:rPr>
          <w:rFonts w:ascii="Verdana" w:eastAsia="Times New Roman" w:hAnsi="Verdana" w:cs="Arial"/>
          <w:lang w:val="es-MX"/>
        </w:rPr>
        <w:t xml:space="preserve"> </w:t>
      </w:r>
    </w:p>
    <w:p w14:paraId="26E38FFA" w14:textId="77777777" w:rsidR="00763D94" w:rsidRDefault="00763D94" w:rsidP="00763D94">
      <w:pPr>
        <w:spacing w:before="120" w:after="0" w:line="276" w:lineRule="auto"/>
        <w:ind w:firstLine="694"/>
        <w:jc w:val="both"/>
        <w:rPr>
          <w:rFonts w:ascii="Verdana" w:eastAsia="Times New Roman" w:hAnsi="Verdana" w:cs="Arial"/>
          <w:lang w:val="es-MX" w:eastAsia="x-none"/>
        </w:rPr>
      </w:pPr>
      <w:r>
        <w:rPr>
          <w:rFonts w:ascii="Verdana" w:eastAsia="Times New Roman" w:hAnsi="Verdana" w:cs="Arial"/>
          <w:lang w:val="es-MX"/>
        </w:rPr>
        <w:t xml:space="preserve">Por otra parte, </w:t>
      </w:r>
      <w:r>
        <w:rPr>
          <w:rFonts w:ascii="Verdana" w:eastAsia="Calibri" w:hAnsi="Verdana" w:cs="Arial"/>
          <w:lang w:val="es-ES"/>
        </w:rPr>
        <w:t>e</w:t>
      </w:r>
      <w:r w:rsidRPr="00750B7D">
        <w:rPr>
          <w:rFonts w:ascii="Verdana" w:eastAsia="Calibri" w:hAnsi="Verdana" w:cs="Arial"/>
          <w:lang w:val="es-ES"/>
        </w:rPr>
        <w:t xml:space="preserve">l </w:t>
      </w:r>
      <w:r w:rsidRPr="00DF1455">
        <w:rPr>
          <w:rFonts w:ascii="Verdana" w:eastAsia="Calibri" w:hAnsi="Verdana" w:cs="Arial"/>
          <w:i/>
          <w:iCs/>
          <w:lang w:val="es-ES"/>
        </w:rPr>
        <w:t>inciso segundo</w:t>
      </w:r>
      <w:r w:rsidRPr="00750B7D">
        <w:rPr>
          <w:rFonts w:ascii="Verdana" w:eastAsia="Calibri" w:hAnsi="Verdana" w:cs="Arial"/>
          <w:lang w:val="es-ES"/>
        </w:rPr>
        <w:t xml:space="preserve"> </w:t>
      </w:r>
      <w:r>
        <w:rPr>
          <w:rFonts w:ascii="Verdana" w:eastAsia="Calibri" w:hAnsi="Verdana" w:cs="Arial"/>
          <w:lang w:val="es-ES"/>
        </w:rPr>
        <w:t xml:space="preserve">y el parágrafo primero </w:t>
      </w:r>
      <w:r w:rsidRPr="00750B7D">
        <w:rPr>
          <w:rFonts w:ascii="Verdana" w:eastAsia="Times New Roman" w:hAnsi="Verdana" w:cs="Arial"/>
          <w:lang w:val="es-MX" w:eastAsia="x-none"/>
        </w:rPr>
        <w:t>del artículo 20 de la Ley 1150 de 2007 señala</w:t>
      </w:r>
      <w:r>
        <w:rPr>
          <w:rFonts w:ascii="Verdana" w:eastAsia="Times New Roman" w:hAnsi="Verdana" w:cs="Arial"/>
          <w:lang w:val="es-MX" w:eastAsia="x-none"/>
        </w:rPr>
        <w:t>n</w:t>
      </w:r>
      <w:r w:rsidRPr="00750B7D">
        <w:rPr>
          <w:rFonts w:ascii="Verdana" w:eastAsia="Times New Roman" w:hAnsi="Verdana" w:cs="Arial"/>
          <w:lang w:val="es-MX" w:eastAsia="x-none"/>
        </w:rPr>
        <w:t xml:space="preserve"> </w:t>
      </w:r>
      <w:r>
        <w:rPr>
          <w:rFonts w:ascii="Verdana" w:eastAsia="Times New Roman" w:hAnsi="Verdana" w:cs="Arial"/>
          <w:lang w:val="es-MX" w:eastAsia="x-none"/>
        </w:rPr>
        <w:t>lo siguiente:</w:t>
      </w:r>
    </w:p>
    <w:p w14:paraId="03173534" w14:textId="77777777" w:rsidR="00763D94" w:rsidRDefault="00763D94" w:rsidP="00763D94">
      <w:pPr>
        <w:spacing w:after="0" w:line="276" w:lineRule="auto"/>
        <w:ind w:firstLine="694"/>
        <w:jc w:val="both"/>
        <w:rPr>
          <w:rFonts w:ascii="Verdana" w:eastAsia="Times New Roman" w:hAnsi="Verdana" w:cs="Arial"/>
          <w:lang w:val="es-MX" w:eastAsia="x-none"/>
        </w:rPr>
      </w:pPr>
    </w:p>
    <w:p w14:paraId="2C60B507" w14:textId="77777777" w:rsidR="00763D94" w:rsidRDefault="00763D94" w:rsidP="00763D94">
      <w:pPr>
        <w:spacing w:after="0" w:line="240" w:lineRule="auto"/>
        <w:ind w:left="709" w:right="709"/>
        <w:jc w:val="both"/>
        <w:rPr>
          <w:rFonts w:ascii="Verdana" w:eastAsia="Times New Roman" w:hAnsi="Verdana" w:cs="Arial"/>
          <w:sz w:val="21"/>
          <w:szCs w:val="21"/>
          <w:lang w:eastAsia="x-none"/>
        </w:rPr>
      </w:pPr>
      <w:r>
        <w:rPr>
          <w:rFonts w:ascii="Verdana" w:eastAsia="Times New Roman" w:hAnsi="Verdana" w:cs="Arial"/>
          <w:sz w:val="21"/>
          <w:szCs w:val="21"/>
          <w:lang w:eastAsia="x-none"/>
        </w:rPr>
        <w:t>“</w:t>
      </w:r>
      <w:r w:rsidRPr="00F66EEE">
        <w:rPr>
          <w:rFonts w:ascii="Verdana" w:eastAsia="Times New Roman" w:hAnsi="Verdana" w:cs="Arial"/>
          <w:sz w:val="21"/>
          <w:szCs w:val="21"/>
          <w:lang w:eastAsia="x-none"/>
        </w:rPr>
        <w:t xml:space="preserve">Los contratos o convenios celebrados con personas extranjeras de derecho público u organismos de derecho internacional cuyo objeto sea el desarrollo de programas de promoción, prevención y atención en salud; contratos y convenios necesarios para la operación de la OIT; contratos y convenios que se ejecuten en desarrollo del sistema integrado de monitoreo de cultivos ilícitos; contratos y convenios para la operación del programa mundial de alimentos; contratos y convenios para el desarrollo de programas de apoyo educativo a población desplazada y vulnerable adelantados por la Unesco y la OIM; </w:t>
      </w:r>
      <w:r w:rsidRPr="00664867">
        <w:rPr>
          <w:rFonts w:ascii="Verdana" w:eastAsia="Times New Roman" w:hAnsi="Verdana" w:cs="Arial"/>
          <w:i/>
          <w:iCs/>
          <w:sz w:val="21"/>
          <w:szCs w:val="21"/>
          <w:lang w:eastAsia="x-none"/>
        </w:rPr>
        <w:t>los contratos o convenios financiados con fondos de los organismos multilaterales de crédito</w:t>
      </w:r>
      <w:r w:rsidRPr="00F66EEE">
        <w:rPr>
          <w:rFonts w:ascii="Verdana" w:eastAsia="Times New Roman" w:hAnsi="Verdana" w:cs="Arial"/>
          <w:sz w:val="21"/>
          <w:szCs w:val="21"/>
          <w:lang w:eastAsia="x-none"/>
        </w:rPr>
        <w:t xml:space="preserve"> y entes gubernamentales extranjeros, podrán someterse a los reglamentos de tales entidades.</w:t>
      </w:r>
    </w:p>
    <w:p w14:paraId="150D9CAC" w14:textId="77777777" w:rsidR="00763D94" w:rsidRPr="00F66EEE" w:rsidRDefault="00763D94" w:rsidP="00763D94">
      <w:pPr>
        <w:spacing w:before="120" w:after="0" w:line="240" w:lineRule="auto"/>
        <w:ind w:left="709" w:right="709"/>
        <w:jc w:val="both"/>
        <w:rPr>
          <w:rFonts w:ascii="Verdana" w:eastAsia="Times New Roman" w:hAnsi="Verdana" w:cs="Arial"/>
          <w:sz w:val="21"/>
          <w:szCs w:val="21"/>
          <w:lang w:val="es-MX" w:eastAsia="x-none"/>
        </w:rPr>
      </w:pPr>
      <w:r>
        <w:rPr>
          <w:rFonts w:ascii="Verdana" w:eastAsia="Times New Roman" w:hAnsi="Verdana" w:cs="Arial"/>
          <w:sz w:val="21"/>
          <w:szCs w:val="21"/>
          <w:lang w:eastAsia="x-none"/>
        </w:rPr>
        <w:t>[…]</w:t>
      </w:r>
    </w:p>
    <w:p w14:paraId="464035C5" w14:textId="77777777" w:rsidR="00763D94" w:rsidRPr="00F66EEE" w:rsidRDefault="00763D94" w:rsidP="00763D94">
      <w:pPr>
        <w:spacing w:before="120" w:after="0" w:line="240" w:lineRule="auto"/>
        <w:ind w:left="709" w:right="709"/>
        <w:jc w:val="both"/>
        <w:rPr>
          <w:rFonts w:ascii="Verdana" w:eastAsia="Times New Roman" w:hAnsi="Verdana" w:cs="Arial"/>
          <w:sz w:val="21"/>
          <w:szCs w:val="21"/>
          <w:lang w:eastAsia="x-none"/>
        </w:rPr>
      </w:pPr>
      <w:r w:rsidRPr="00F66EEE">
        <w:rPr>
          <w:rFonts w:ascii="Verdana" w:eastAsia="Times New Roman" w:hAnsi="Verdana" w:cs="Arial"/>
          <w:sz w:val="21"/>
          <w:szCs w:val="21"/>
          <w:lang w:eastAsia="x-none"/>
        </w:rPr>
        <w:lastRenderedPageBreak/>
        <w:t>Parágrafo 1. Los contratos o acuerdos celebrados con personas extranjeras de derecho público, podrán someterse a las reglas de tales organismos</w:t>
      </w:r>
      <w:r>
        <w:rPr>
          <w:rFonts w:ascii="Verdana" w:eastAsia="Times New Roman" w:hAnsi="Verdana" w:cs="Arial"/>
          <w:sz w:val="21"/>
          <w:szCs w:val="21"/>
          <w:lang w:eastAsia="x-none"/>
        </w:rPr>
        <w:t>”</w:t>
      </w:r>
      <w:r w:rsidRPr="00F66EEE">
        <w:rPr>
          <w:rFonts w:ascii="Verdana" w:eastAsia="Times New Roman" w:hAnsi="Verdana" w:cs="Arial"/>
          <w:sz w:val="21"/>
          <w:szCs w:val="21"/>
          <w:lang w:eastAsia="x-none"/>
        </w:rPr>
        <w:t>.</w:t>
      </w:r>
      <w:r>
        <w:rPr>
          <w:rFonts w:ascii="Verdana" w:eastAsia="Times New Roman" w:hAnsi="Verdana" w:cs="Arial"/>
          <w:sz w:val="21"/>
          <w:szCs w:val="21"/>
          <w:lang w:eastAsia="x-none"/>
        </w:rPr>
        <w:t xml:space="preserve"> [Énfasis Propio]</w:t>
      </w:r>
    </w:p>
    <w:p w14:paraId="285BA4C1" w14:textId="77777777" w:rsidR="00763D94" w:rsidRDefault="00763D94" w:rsidP="00763D94">
      <w:pPr>
        <w:spacing w:before="120" w:after="0" w:line="276" w:lineRule="auto"/>
        <w:ind w:firstLine="694"/>
        <w:jc w:val="both"/>
        <w:rPr>
          <w:rFonts w:ascii="Verdana" w:eastAsia="Calibri" w:hAnsi="Verdana" w:cs="Arial"/>
          <w:lang w:val="es-ES"/>
        </w:rPr>
      </w:pPr>
      <w:r w:rsidRPr="00750B7D">
        <w:rPr>
          <w:rFonts w:ascii="Verdana" w:eastAsia="Times New Roman" w:hAnsi="Verdana" w:cs="Arial"/>
          <w:lang w:val="es-MX" w:eastAsia="x-none"/>
        </w:rPr>
        <w:t xml:space="preserve"> </w:t>
      </w:r>
      <w:r>
        <w:rPr>
          <w:rFonts w:ascii="Verdana" w:eastAsia="Times New Roman" w:hAnsi="Verdana" w:cs="Arial"/>
          <w:lang w:val="es-MX" w:eastAsia="x-none"/>
        </w:rPr>
        <w:t xml:space="preserve">Seún lo expuesto, </w:t>
      </w:r>
      <w:r>
        <w:rPr>
          <w:rFonts w:ascii="Verdana" w:eastAsia="Calibri" w:hAnsi="Verdana" w:cs="Arial"/>
          <w:lang w:val="es-ES"/>
        </w:rPr>
        <w:t>las entidades pueden optar por someter los siguientes</w:t>
      </w:r>
      <w:r w:rsidRPr="00AA020D">
        <w:rPr>
          <w:rFonts w:ascii="Verdana" w:eastAsia="Calibri" w:hAnsi="Verdana" w:cs="Arial"/>
          <w:lang w:val="es-ES"/>
        </w:rPr>
        <w:t xml:space="preserve"> contrato</w:t>
      </w:r>
      <w:r>
        <w:rPr>
          <w:rFonts w:ascii="Verdana" w:eastAsia="Calibri" w:hAnsi="Verdana" w:cs="Arial"/>
          <w:lang w:val="es-ES"/>
        </w:rPr>
        <w:t>s</w:t>
      </w:r>
      <w:r w:rsidRPr="00AA020D">
        <w:rPr>
          <w:rFonts w:ascii="Verdana" w:eastAsia="Calibri" w:hAnsi="Verdana" w:cs="Arial"/>
          <w:lang w:val="es-ES"/>
        </w:rPr>
        <w:t xml:space="preserve"> o convenio</w:t>
      </w:r>
      <w:r>
        <w:rPr>
          <w:rFonts w:ascii="Verdana" w:eastAsia="Calibri" w:hAnsi="Verdana" w:cs="Arial"/>
          <w:lang w:val="es-ES"/>
        </w:rPr>
        <w:t>s</w:t>
      </w:r>
      <w:r w:rsidRPr="00AA020D">
        <w:rPr>
          <w:rFonts w:ascii="Verdana" w:eastAsia="Calibri" w:hAnsi="Verdana" w:cs="Arial"/>
          <w:lang w:val="es-ES"/>
        </w:rPr>
        <w:t xml:space="preserve"> a los reglamentos de </w:t>
      </w:r>
      <w:r>
        <w:rPr>
          <w:rFonts w:ascii="Verdana" w:eastAsia="Calibri" w:hAnsi="Verdana" w:cs="Arial"/>
          <w:lang w:val="es-ES"/>
        </w:rPr>
        <w:t xml:space="preserve">los </w:t>
      </w:r>
      <w:r w:rsidRPr="00AA020D">
        <w:rPr>
          <w:rFonts w:ascii="Verdana" w:eastAsia="Calibri" w:hAnsi="Verdana" w:cs="Arial"/>
          <w:lang w:val="es-ES"/>
        </w:rPr>
        <w:t>organismos</w:t>
      </w:r>
      <w:r>
        <w:rPr>
          <w:rFonts w:ascii="Verdana" w:eastAsia="Calibri" w:hAnsi="Verdana" w:cs="Arial"/>
          <w:lang w:val="es-ES"/>
        </w:rPr>
        <w:t xml:space="preserve"> o entes internacionales</w:t>
      </w:r>
      <w:r w:rsidRPr="00AA020D">
        <w:rPr>
          <w:rFonts w:ascii="Verdana" w:eastAsia="Calibri" w:hAnsi="Verdana" w:cs="Arial"/>
          <w:lang w:val="es-ES"/>
        </w:rPr>
        <w:t>, independientemente del monto o porcentaje de los aportes de las partes</w:t>
      </w:r>
      <w:r w:rsidRPr="00750B7D">
        <w:rPr>
          <w:rFonts w:ascii="Verdana" w:eastAsia="Calibri" w:hAnsi="Verdana" w:cs="Arial"/>
          <w:lang w:val="es-ES"/>
        </w:rPr>
        <w:t>:</w:t>
      </w:r>
    </w:p>
    <w:p w14:paraId="5ECC3FF3" w14:textId="77777777" w:rsidR="00763D94" w:rsidRPr="00DF1455" w:rsidRDefault="00763D94" w:rsidP="00763D94">
      <w:pPr>
        <w:spacing w:after="0" w:line="276" w:lineRule="auto"/>
        <w:jc w:val="both"/>
        <w:rPr>
          <w:rFonts w:ascii="Verdana" w:eastAsia="Times New Roman" w:hAnsi="Verdana" w:cs="Arial"/>
          <w:lang w:val="es-MX"/>
        </w:rPr>
      </w:pPr>
    </w:p>
    <w:p w14:paraId="5CBE4430" w14:textId="77777777" w:rsidR="00763D94" w:rsidRDefault="00763D94" w:rsidP="00763D94">
      <w:pPr>
        <w:pStyle w:val="ListParagraph"/>
        <w:numPr>
          <w:ilvl w:val="0"/>
          <w:numId w:val="17"/>
        </w:numPr>
        <w:spacing w:after="0" w:line="276" w:lineRule="auto"/>
        <w:jc w:val="both"/>
        <w:rPr>
          <w:rFonts w:ascii="Verdana" w:hAnsi="Verdana"/>
        </w:rPr>
      </w:pPr>
      <w:r>
        <w:rPr>
          <w:rFonts w:ascii="Verdana" w:hAnsi="Verdana"/>
        </w:rPr>
        <w:t>L</w:t>
      </w:r>
      <w:r w:rsidRPr="00750B7D">
        <w:rPr>
          <w:rFonts w:ascii="Verdana" w:hAnsi="Verdana"/>
        </w:rPr>
        <w:t>os contratos o convenios celebrados con personas extranjeras de derecho público u organismos de derecho internacional cuyo objeto sea el desarrollo de programas de promoción, prevención y atención en salud;</w:t>
      </w:r>
    </w:p>
    <w:p w14:paraId="0A4AC965" w14:textId="77777777" w:rsidR="00763D94" w:rsidRDefault="00763D94" w:rsidP="00763D94">
      <w:pPr>
        <w:pStyle w:val="ListParagraph"/>
        <w:numPr>
          <w:ilvl w:val="0"/>
          <w:numId w:val="17"/>
        </w:numPr>
        <w:spacing w:after="0" w:line="276" w:lineRule="auto"/>
        <w:jc w:val="both"/>
        <w:rPr>
          <w:rFonts w:ascii="Verdana" w:hAnsi="Verdana"/>
        </w:rPr>
      </w:pPr>
      <w:r>
        <w:rPr>
          <w:rFonts w:ascii="Verdana" w:hAnsi="Verdana"/>
        </w:rPr>
        <w:t>L</w:t>
      </w:r>
      <w:r w:rsidRPr="00750B7D">
        <w:rPr>
          <w:rFonts w:ascii="Verdana" w:hAnsi="Verdana"/>
        </w:rPr>
        <w:t xml:space="preserve">os contratos y convenios necesarios para la operación de la Organización Internacional del Trabajo; </w:t>
      </w:r>
    </w:p>
    <w:p w14:paraId="721CE701" w14:textId="77777777" w:rsidR="00763D94" w:rsidRDefault="00763D94" w:rsidP="00763D94">
      <w:pPr>
        <w:pStyle w:val="ListParagraph"/>
        <w:numPr>
          <w:ilvl w:val="0"/>
          <w:numId w:val="17"/>
        </w:numPr>
        <w:spacing w:after="0" w:line="276" w:lineRule="auto"/>
        <w:jc w:val="both"/>
        <w:rPr>
          <w:rFonts w:ascii="Verdana" w:hAnsi="Verdana"/>
        </w:rPr>
      </w:pPr>
      <w:r>
        <w:rPr>
          <w:rFonts w:ascii="Verdana" w:hAnsi="Verdana"/>
        </w:rPr>
        <w:t>L</w:t>
      </w:r>
      <w:r w:rsidRPr="00750B7D">
        <w:rPr>
          <w:rFonts w:ascii="Verdana" w:hAnsi="Verdana"/>
        </w:rPr>
        <w:t xml:space="preserve">os contratos y convenios que se ejecuten en desarrollo del sistema integrado de monitoreo de cultivos ilícitos; </w:t>
      </w:r>
    </w:p>
    <w:p w14:paraId="59D6FDDC" w14:textId="77777777" w:rsidR="00763D94" w:rsidRDefault="00763D94" w:rsidP="00763D94">
      <w:pPr>
        <w:pStyle w:val="ListParagraph"/>
        <w:numPr>
          <w:ilvl w:val="0"/>
          <w:numId w:val="17"/>
        </w:numPr>
        <w:spacing w:after="0" w:line="276" w:lineRule="auto"/>
        <w:jc w:val="both"/>
        <w:rPr>
          <w:rFonts w:ascii="Verdana" w:hAnsi="Verdana"/>
        </w:rPr>
      </w:pPr>
      <w:r>
        <w:rPr>
          <w:rFonts w:ascii="Verdana" w:hAnsi="Verdana"/>
        </w:rPr>
        <w:t>L</w:t>
      </w:r>
      <w:r w:rsidRPr="00750B7D">
        <w:rPr>
          <w:rFonts w:ascii="Verdana" w:hAnsi="Verdana"/>
        </w:rPr>
        <w:t xml:space="preserve">os contratos y convenios para la operación del programa mundial de alimentos; </w:t>
      </w:r>
    </w:p>
    <w:p w14:paraId="27D5BB5D" w14:textId="77777777" w:rsidR="00763D94" w:rsidRDefault="00763D94" w:rsidP="00763D94">
      <w:pPr>
        <w:pStyle w:val="ListParagraph"/>
        <w:numPr>
          <w:ilvl w:val="0"/>
          <w:numId w:val="17"/>
        </w:numPr>
        <w:spacing w:after="0" w:line="276" w:lineRule="auto"/>
        <w:jc w:val="both"/>
        <w:rPr>
          <w:rFonts w:ascii="Verdana" w:hAnsi="Verdana"/>
        </w:rPr>
      </w:pPr>
      <w:r>
        <w:rPr>
          <w:rFonts w:ascii="Verdana" w:hAnsi="Verdana"/>
        </w:rPr>
        <w:t>L</w:t>
      </w:r>
      <w:r w:rsidRPr="00750B7D">
        <w:rPr>
          <w:rFonts w:ascii="Verdana" w:hAnsi="Verdana"/>
        </w:rPr>
        <w:t xml:space="preserve">os contratos y convenios para el desarrollo de programas de apoyo educativo a población desplazada y vulnerable adelantados por la Unesco y la OIM; </w:t>
      </w:r>
    </w:p>
    <w:p w14:paraId="4D819B7A" w14:textId="77777777" w:rsidR="00763D94" w:rsidRPr="00750B7D" w:rsidRDefault="00763D94" w:rsidP="00763D94">
      <w:pPr>
        <w:pStyle w:val="ListParagraph"/>
        <w:numPr>
          <w:ilvl w:val="0"/>
          <w:numId w:val="17"/>
        </w:numPr>
        <w:spacing w:after="0" w:line="276" w:lineRule="auto"/>
        <w:jc w:val="both"/>
        <w:rPr>
          <w:rFonts w:ascii="Verdana" w:hAnsi="Verdana"/>
        </w:rPr>
      </w:pPr>
      <w:r>
        <w:rPr>
          <w:rFonts w:ascii="Verdana" w:hAnsi="Verdana"/>
        </w:rPr>
        <w:t>L</w:t>
      </w:r>
      <w:r w:rsidRPr="00750B7D">
        <w:rPr>
          <w:rFonts w:ascii="Verdana" w:hAnsi="Verdana"/>
        </w:rPr>
        <w:t>os contratos o convenios financiados con fondos de los organismos multilaterales de crédito y entes gubernamentales extranjeros</w:t>
      </w:r>
      <w:r>
        <w:rPr>
          <w:rFonts w:ascii="Verdana" w:hAnsi="Verdana"/>
        </w:rPr>
        <w:t xml:space="preserve">, como por ejemplo, aquellos suscritos con el Banco Mundial o el Banco Interamericano de Desarrollo. </w:t>
      </w:r>
    </w:p>
    <w:p w14:paraId="0036761C" w14:textId="77777777" w:rsidR="00763D94" w:rsidRPr="00FF364F" w:rsidRDefault="00763D94" w:rsidP="00763D94">
      <w:pPr>
        <w:spacing w:before="120" w:after="0" w:line="276" w:lineRule="auto"/>
        <w:ind w:firstLine="694"/>
        <w:jc w:val="both"/>
        <w:rPr>
          <w:rFonts w:ascii="Verdana" w:hAnsi="Verdana" w:cs="Arial"/>
          <w:lang w:val="es-ES"/>
        </w:rPr>
      </w:pPr>
      <w:r>
        <w:rPr>
          <w:rFonts w:ascii="Verdana" w:eastAsia="Times New Roman" w:hAnsi="Verdana" w:cs="Arial"/>
          <w:lang w:val="es-MX"/>
        </w:rPr>
        <w:t xml:space="preserve">En línea </w:t>
      </w:r>
      <w:r w:rsidRPr="00FF364F">
        <w:rPr>
          <w:rFonts w:ascii="Verdana" w:eastAsia="Times New Roman" w:hAnsi="Verdana" w:cs="Arial"/>
          <w:lang w:val="es-MX"/>
        </w:rPr>
        <w:t xml:space="preserve">con lo </w:t>
      </w:r>
      <w:r w:rsidRPr="00FF364F">
        <w:rPr>
          <w:rFonts w:ascii="Verdana" w:hAnsi="Verdana" w:cs="Arial"/>
          <w:lang w:val="es-ES"/>
        </w:rPr>
        <w:t xml:space="preserve">anterior, el artículo 2.2.1.2.4.4.1. del Decreto 1082 de 2015 establece que </w:t>
      </w:r>
      <w:r w:rsidRPr="00FF364F">
        <w:rPr>
          <w:rFonts w:ascii="Verdana" w:hAnsi="Verdana" w:cs="Arial"/>
        </w:rPr>
        <w:t xml:space="preserve">los contratos o convenios financiados con fondos de los organismos multilaterales de crédito, entes gubernamentales extranjeros o personas extranjeras de derecho público, así como aquellos a los que se refiere el inciso 2 del artículo </w:t>
      </w:r>
      <w:r w:rsidRPr="00750B7D">
        <w:rPr>
          <w:rFonts w:ascii="Verdana" w:hAnsi="Verdana"/>
        </w:rPr>
        <w:t>20</w:t>
      </w:r>
      <w:r w:rsidRPr="00FF364F">
        <w:rPr>
          <w:rFonts w:ascii="Verdana" w:hAnsi="Verdana" w:cs="Arial"/>
        </w:rPr>
        <w:t xml:space="preserve"> de la Ley 1150 de 2007, se ejecutarán de conformidad con lo establecido en los tratados internacionales marco y complementarios, y en los convenios celebrados, o sus reglamentos, según sea el caso, sin que a ellos le sea aplicable el porcentaje </w:t>
      </w:r>
      <w:r>
        <w:rPr>
          <w:rFonts w:ascii="Verdana" w:hAnsi="Verdana" w:cs="Arial"/>
        </w:rPr>
        <w:t xml:space="preserve">de financiación </w:t>
      </w:r>
      <w:r w:rsidRPr="00FF364F">
        <w:rPr>
          <w:rFonts w:ascii="Verdana" w:hAnsi="Verdana" w:cs="Arial"/>
        </w:rPr>
        <w:t>señalado en el inciso primero del artículo</w:t>
      </w:r>
      <w:r w:rsidRPr="00FF364F">
        <w:rPr>
          <w:rFonts w:ascii="Verdana" w:hAnsi="Verdana"/>
        </w:rPr>
        <w:t xml:space="preserve"> </w:t>
      </w:r>
      <w:r w:rsidRPr="00750B7D">
        <w:rPr>
          <w:rFonts w:ascii="Verdana" w:hAnsi="Verdana"/>
        </w:rPr>
        <w:t>20</w:t>
      </w:r>
      <w:r w:rsidRPr="00FF364F">
        <w:rPr>
          <w:rFonts w:ascii="Verdana" w:hAnsi="Verdana" w:cs="Arial"/>
        </w:rPr>
        <w:t xml:space="preserve"> de la Ley 1150 de 2007.</w:t>
      </w:r>
      <w:r w:rsidRPr="00FF364F">
        <w:rPr>
          <w:rFonts w:ascii="Verdana" w:hAnsi="Verdana" w:cs="Arial"/>
          <w:lang w:val="es-ES"/>
        </w:rPr>
        <w:t xml:space="preserve"> </w:t>
      </w:r>
    </w:p>
    <w:p w14:paraId="445DBB08" w14:textId="77777777" w:rsidR="00763D94" w:rsidRDefault="00763D94" w:rsidP="00763D94">
      <w:pPr>
        <w:spacing w:before="120" w:after="0" w:line="276" w:lineRule="auto"/>
        <w:ind w:firstLine="694"/>
        <w:jc w:val="both"/>
        <w:rPr>
          <w:rFonts w:ascii="Verdana" w:eastAsia="Times New Roman" w:hAnsi="Verdana" w:cs="Arial"/>
          <w:lang w:val="es-MX"/>
        </w:rPr>
      </w:pPr>
      <w:r>
        <w:rPr>
          <w:rFonts w:ascii="Verdana" w:hAnsi="Verdana" w:cs="Arial"/>
          <w:lang w:val="es-ES"/>
        </w:rPr>
        <w:t xml:space="preserve">Con fundamento en dicha normativa, </w:t>
      </w:r>
      <w:r w:rsidRPr="44B3FB22">
        <w:rPr>
          <w:rFonts w:ascii="Verdana" w:eastAsia="Times New Roman" w:hAnsi="Verdana" w:cs="Arial"/>
          <w:lang w:val="es-MX"/>
        </w:rPr>
        <w:t xml:space="preserve">la restricción contemplada en el </w:t>
      </w:r>
      <w:r w:rsidRPr="004C642F">
        <w:rPr>
          <w:rFonts w:ascii="Verdana" w:eastAsia="Times New Roman" w:hAnsi="Verdana" w:cs="Arial"/>
          <w:lang w:val="es-MX"/>
        </w:rPr>
        <w:t xml:space="preserve">artículo 33 </w:t>
      </w:r>
      <w:r>
        <w:rPr>
          <w:rFonts w:ascii="Verdana" w:eastAsia="Times New Roman" w:hAnsi="Verdana" w:cs="Arial"/>
          <w:i/>
          <w:iCs/>
          <w:lang w:val="es-MX"/>
        </w:rPr>
        <w:t>tampoco</w:t>
      </w:r>
      <w:r w:rsidRPr="004C642F">
        <w:rPr>
          <w:rFonts w:ascii="Verdana" w:eastAsia="Times New Roman" w:hAnsi="Verdana" w:cs="Arial"/>
          <w:lang w:val="es-MX"/>
        </w:rPr>
        <w:t xml:space="preserve"> aplica</w:t>
      </w:r>
      <w:r w:rsidRPr="44B3FB22">
        <w:rPr>
          <w:rFonts w:ascii="Verdana" w:eastAsia="Times New Roman" w:hAnsi="Verdana" w:cs="Arial"/>
          <w:lang w:val="es-MX"/>
        </w:rPr>
        <w:t xml:space="preserve"> a los contratos </w:t>
      </w:r>
      <w:r>
        <w:rPr>
          <w:rFonts w:ascii="Verdana" w:eastAsia="Times New Roman" w:hAnsi="Verdana" w:cs="Arial"/>
          <w:lang w:val="es-MX"/>
        </w:rPr>
        <w:t xml:space="preserve">o convenios a los que se refiere el inciso segundo y el parágrafo primero del artículo 20 de la Ley 1150 de 2007 </w:t>
      </w:r>
      <w:r>
        <w:rPr>
          <w:rFonts w:ascii="Verdana" w:eastAsia="Times New Roman" w:hAnsi="Verdana" w:cs="Arial"/>
          <w:lang w:val="es-MX"/>
        </w:rPr>
        <w:lastRenderedPageBreak/>
        <w:t>cuando se sometan a los reglamentos de dichos organismos, incluyendo aquellos</w:t>
      </w:r>
      <w:r w:rsidRPr="44B3FB22">
        <w:rPr>
          <w:rFonts w:ascii="Verdana" w:eastAsia="Times New Roman" w:hAnsi="Verdana" w:cs="Arial"/>
          <w:lang w:val="es-MX"/>
        </w:rPr>
        <w:t xml:space="preserve"> </w:t>
      </w:r>
      <w:r>
        <w:rPr>
          <w:rFonts w:ascii="Verdana" w:eastAsia="Times New Roman" w:hAnsi="Verdana" w:cs="Arial"/>
          <w:lang w:val="es-MX"/>
        </w:rPr>
        <w:t xml:space="preserve">convenios o contratos </w:t>
      </w:r>
      <w:r w:rsidRPr="44B3FB22">
        <w:rPr>
          <w:rFonts w:ascii="Verdana" w:eastAsia="Times New Roman" w:hAnsi="Verdana" w:cs="Arial"/>
          <w:lang w:val="es-MX"/>
        </w:rPr>
        <w:t xml:space="preserve">financiados </w:t>
      </w:r>
      <w:r w:rsidRPr="004C642F">
        <w:rPr>
          <w:rFonts w:ascii="Verdana" w:eastAsia="Times New Roman" w:hAnsi="Verdana" w:cs="Arial"/>
          <w:lang w:eastAsia="x-none"/>
        </w:rPr>
        <w:t>con fondos de organismos multilaterales de crédito y entes gubernamentales extranjeros</w:t>
      </w:r>
      <w:r>
        <w:rPr>
          <w:rFonts w:ascii="Verdana" w:eastAsia="Times New Roman" w:hAnsi="Verdana" w:cs="Arial"/>
          <w:lang w:val="es-MX"/>
        </w:rPr>
        <w:t>, sin importar el porcentaje de financiación.</w:t>
      </w:r>
    </w:p>
    <w:p w14:paraId="5ADCF7D9" w14:textId="77777777" w:rsidR="00763D94" w:rsidRPr="00DF1455" w:rsidRDefault="00763D94" w:rsidP="00763D94">
      <w:pPr>
        <w:spacing w:after="0" w:line="276" w:lineRule="auto"/>
        <w:ind w:firstLine="694"/>
        <w:jc w:val="both"/>
        <w:rPr>
          <w:rFonts w:ascii="Verdana" w:hAnsi="Verdana" w:cs="Arial"/>
          <w:lang w:val="es-ES"/>
        </w:rPr>
      </w:pPr>
    </w:p>
    <w:p w14:paraId="6A1D352B" w14:textId="77777777" w:rsidR="00763D94" w:rsidRDefault="00763D94" w:rsidP="00763D94">
      <w:pPr>
        <w:spacing w:after="120" w:line="276" w:lineRule="auto"/>
        <w:jc w:val="both"/>
        <w:rPr>
          <w:rFonts w:ascii="Verdana" w:eastAsia="Arial" w:hAnsi="Verdana" w:cs="Arial"/>
          <w:bCs/>
          <w:color w:val="000000" w:themeColor="text1"/>
          <w:lang w:val="es-ES"/>
        </w:rPr>
      </w:pPr>
      <w:proofErr w:type="spellStart"/>
      <w:r>
        <w:rPr>
          <w:rFonts w:ascii="Verdana" w:eastAsia="Arial" w:hAnsi="Verdana" w:cs="Arial"/>
          <w:bCs/>
          <w:color w:val="000000" w:themeColor="text1"/>
          <w:lang w:val="es-ES"/>
        </w:rPr>
        <w:t>vii</w:t>
      </w:r>
      <w:proofErr w:type="spellEnd"/>
      <w:r>
        <w:rPr>
          <w:rFonts w:ascii="Verdana" w:eastAsia="Arial" w:hAnsi="Verdana" w:cs="Arial"/>
          <w:bCs/>
          <w:color w:val="000000" w:themeColor="text1"/>
          <w:lang w:val="es-ES"/>
        </w:rPr>
        <w:t xml:space="preserve">) Conforme con lo expuesto, las entidades que requieran adelantar procesos de contratación directa durante el periodo de garantías electorales deberán analizar, primero, si se configuran los supuestos establecidos en </w:t>
      </w:r>
      <w:r w:rsidRPr="00C16886">
        <w:rPr>
          <w:rFonts w:ascii="Verdana" w:eastAsia="Arial" w:hAnsi="Verdana" w:cs="Arial"/>
          <w:bCs/>
          <w:i/>
          <w:iCs/>
          <w:color w:val="000000" w:themeColor="text1"/>
          <w:lang w:val="es-ES"/>
        </w:rPr>
        <w:t>el artículo 33</w:t>
      </w:r>
      <w:r>
        <w:rPr>
          <w:rFonts w:ascii="Verdana" w:eastAsia="Arial" w:hAnsi="Verdana" w:cs="Arial"/>
          <w:bCs/>
          <w:color w:val="000000" w:themeColor="text1"/>
          <w:lang w:val="es-ES"/>
        </w:rPr>
        <w:t xml:space="preserve"> de la Ley 996 de 2005, es decir, si se trata de cualquier entidad pública que pretenda adelantar un proceso no competitivo. Adicionalmente, será pertinente analizar si se configura alguna de las excepciones previstas en la norma. De ser así, la entidad podrá llevar a cabo la contratación directa, a pesar de que haya iniciado el periodo de garantías electorales correspondiente al artículo 33 de la Ley 996 de 2005.</w:t>
      </w:r>
    </w:p>
    <w:p w14:paraId="7D8D9DB1" w14:textId="77777777" w:rsidR="00763D94" w:rsidRDefault="00763D94" w:rsidP="00763D94">
      <w:pPr>
        <w:spacing w:before="120" w:after="120" w:line="276" w:lineRule="auto"/>
        <w:jc w:val="both"/>
        <w:rPr>
          <w:rFonts w:ascii="Verdana" w:eastAsia="Arial" w:hAnsi="Verdana" w:cs="Arial"/>
          <w:bCs/>
          <w:color w:val="000000" w:themeColor="text1"/>
          <w:lang w:val="es-ES"/>
        </w:rPr>
      </w:pPr>
      <w:r>
        <w:rPr>
          <w:rFonts w:ascii="Verdana" w:eastAsia="Arial" w:hAnsi="Verdana" w:cs="Arial"/>
          <w:bCs/>
          <w:color w:val="000000" w:themeColor="text1"/>
          <w:lang w:val="es-ES"/>
        </w:rPr>
        <w:tab/>
        <w:t xml:space="preserve">Con respecto a la prohibición del </w:t>
      </w:r>
      <w:r w:rsidRPr="00C16886">
        <w:rPr>
          <w:rFonts w:ascii="Verdana" w:eastAsia="Arial" w:hAnsi="Verdana" w:cs="Arial"/>
          <w:bCs/>
          <w:i/>
          <w:iCs/>
          <w:color w:val="000000" w:themeColor="text1"/>
          <w:lang w:val="es-ES"/>
        </w:rPr>
        <w:t>parágrafo del artículo 38</w:t>
      </w:r>
      <w:r>
        <w:rPr>
          <w:rFonts w:ascii="Verdana" w:eastAsia="Arial" w:hAnsi="Verdana" w:cs="Arial"/>
          <w:bCs/>
          <w:color w:val="000000" w:themeColor="text1"/>
          <w:lang w:val="es-ES"/>
        </w:rPr>
        <w:t>, es necesario considerar que esta solo será procedente cuando quienes realicen la contratación sean “</w:t>
      </w:r>
      <w:r w:rsidRPr="000C77A8">
        <w:rPr>
          <w:rFonts w:ascii="Verdana" w:eastAsia="Arial" w:hAnsi="Verdana" w:cs="Arial"/>
          <w:bCs/>
          <w:color w:val="000000" w:themeColor="text1"/>
        </w:rPr>
        <w:t>Alcaldes, Gobernadores, Secretarios, Gerentes y Directores de las entidades del orden municipal, departamental o distrital</w:t>
      </w:r>
      <w:r>
        <w:rPr>
          <w:rFonts w:ascii="Verdana" w:eastAsia="Arial" w:hAnsi="Verdana" w:cs="Arial"/>
          <w:bCs/>
          <w:color w:val="000000" w:themeColor="text1"/>
        </w:rPr>
        <w:t xml:space="preserve">”, de modo que la restricción no aplica cuando se trate sujetos distintos a los previstos en la norma. Por otra parte,  es necesario </w:t>
      </w:r>
      <w:r>
        <w:rPr>
          <w:rFonts w:ascii="Verdana" w:eastAsia="Arial" w:hAnsi="Verdana" w:cs="Arial"/>
          <w:bCs/>
          <w:color w:val="000000" w:themeColor="text1"/>
          <w:lang w:val="es-ES"/>
        </w:rPr>
        <w:t>verificar si lo que pretende adelantar es un convenio interadministrativo para la ejecución de recursos públicos. Solo cuando se cumplan estos supuestos, operará la restricción señalada en el parágrafo y estará prohibido llevar a cabo la celebración del convenio en los cuatro meses anteriores a cualquier contienda electoral. Es importante resaltar que para esta prohibición la norma no contempló ninguna excepción.</w:t>
      </w:r>
    </w:p>
    <w:p w14:paraId="3CE77ECB" w14:textId="77777777" w:rsidR="00763D94" w:rsidRPr="00F66EEE" w:rsidRDefault="00763D94" w:rsidP="00763D94">
      <w:pPr>
        <w:spacing w:before="120" w:after="120" w:line="276" w:lineRule="auto"/>
        <w:ind w:firstLine="708"/>
        <w:jc w:val="both"/>
        <w:rPr>
          <w:rFonts w:ascii="Verdana" w:eastAsia="Arial" w:hAnsi="Verdana" w:cs="Arial"/>
          <w:bCs/>
          <w:color w:val="000000" w:themeColor="text1"/>
          <w:lang w:val="es-ES"/>
        </w:rPr>
      </w:pPr>
      <w:r>
        <w:rPr>
          <w:rFonts w:ascii="Verdana" w:eastAsia="Calibri" w:hAnsi="Verdana" w:cs="Arial"/>
          <w:lang w:val="es-ES"/>
        </w:rPr>
        <w:t xml:space="preserve">En suma, </w:t>
      </w:r>
      <w:r w:rsidRPr="00584759">
        <w:rPr>
          <w:rFonts w:ascii="Verdana" w:eastAsia="Calibri" w:hAnsi="Verdana" w:cs="Arial"/>
          <w:lang w:val="es-ES"/>
        </w:rPr>
        <w:t xml:space="preserve">corresponderá a cada </w:t>
      </w:r>
      <w:r>
        <w:rPr>
          <w:rFonts w:ascii="Verdana" w:eastAsia="Calibri" w:hAnsi="Verdana" w:cs="Arial"/>
          <w:lang w:val="es-ES"/>
        </w:rPr>
        <w:t>E</w:t>
      </w:r>
      <w:r w:rsidRPr="00584759">
        <w:rPr>
          <w:rFonts w:ascii="Verdana" w:eastAsia="Calibri" w:hAnsi="Verdana" w:cs="Arial"/>
          <w:lang w:val="es-ES"/>
        </w:rPr>
        <w:t xml:space="preserve">ntidad </w:t>
      </w:r>
      <w:r>
        <w:rPr>
          <w:rFonts w:ascii="Verdana" w:eastAsia="Calibri" w:hAnsi="Verdana" w:cs="Arial"/>
          <w:lang w:val="es-ES"/>
        </w:rPr>
        <w:t>E</w:t>
      </w:r>
      <w:r w:rsidRPr="00584759">
        <w:rPr>
          <w:rFonts w:ascii="Verdana" w:eastAsia="Calibri" w:hAnsi="Verdana" w:cs="Arial"/>
          <w:lang w:val="es-ES"/>
        </w:rPr>
        <w:t>statal</w:t>
      </w:r>
      <w:r>
        <w:rPr>
          <w:rFonts w:ascii="Verdana" w:eastAsia="Calibri" w:hAnsi="Verdana" w:cs="Arial"/>
          <w:lang w:val="es-ES"/>
        </w:rPr>
        <w:t xml:space="preserve"> </w:t>
      </w:r>
      <w:r w:rsidRPr="00584759">
        <w:rPr>
          <w:rFonts w:ascii="Verdana" w:eastAsia="Calibri" w:hAnsi="Verdana" w:cs="Arial"/>
          <w:lang w:val="es-ES"/>
        </w:rPr>
        <w:t>determinar la procedencia de celebrar un contrato estatal específico, para lo cual deberán tener en cuenta las prohibiciones establecidas en materia contractual en la Ley de Garantías Electorales, así como las excepciones que resulten procedentes, de acuerdo con lo explicado en las consideraciones de este concepto.</w:t>
      </w:r>
      <w:r>
        <w:rPr>
          <w:rFonts w:ascii="Verdana" w:eastAsia="Arial" w:hAnsi="Verdana" w:cs="Arial"/>
          <w:bCs/>
          <w:color w:val="000000" w:themeColor="text1"/>
          <w:lang w:val="es-ES"/>
        </w:rPr>
        <w:t xml:space="preserve"> </w:t>
      </w:r>
      <w:r>
        <w:rPr>
          <w:rFonts w:ascii="Verdana" w:hAnsi="Verdana" w:cs="Arial"/>
          <w:lang w:val="es-ES" w:eastAsia="es-CO"/>
        </w:rPr>
        <w:t>En cualquier caso, las entidades podrán considerar l</w:t>
      </w:r>
      <w:r w:rsidRPr="00FC6F34">
        <w:rPr>
          <w:rFonts w:ascii="Verdana" w:hAnsi="Verdana" w:cs="Arial"/>
          <w:lang w:val="es-ES" w:eastAsia="es-CO"/>
        </w:rPr>
        <w:t xml:space="preserve">a posibilidad </w:t>
      </w:r>
      <w:r>
        <w:rPr>
          <w:rFonts w:ascii="Verdana" w:hAnsi="Verdana" w:cs="Arial"/>
          <w:lang w:val="es-ES" w:eastAsia="es-CO"/>
        </w:rPr>
        <w:t>de adelantar procedimientos de selección mediante modalidades distintas a la contratación directa o implementar tipologías distintas a la contratación interadministrativa</w:t>
      </w:r>
      <w:r w:rsidRPr="00FC6F34">
        <w:rPr>
          <w:rFonts w:ascii="Verdana" w:hAnsi="Verdana" w:cs="Arial"/>
          <w:lang w:val="es-ES" w:eastAsia="es-CO"/>
        </w:rPr>
        <w:t xml:space="preserve">, </w:t>
      </w:r>
      <w:r>
        <w:rPr>
          <w:rFonts w:ascii="Verdana" w:hAnsi="Verdana" w:cs="Arial"/>
          <w:lang w:val="es-ES" w:eastAsia="es-CO"/>
        </w:rPr>
        <w:t xml:space="preserve">es decir, podrán adelantar aquellas que </w:t>
      </w:r>
      <w:r w:rsidRPr="00FC6F34">
        <w:rPr>
          <w:rFonts w:ascii="Verdana" w:hAnsi="Verdana" w:cs="Arial"/>
          <w:lang w:val="es-ES" w:eastAsia="es-CO"/>
        </w:rPr>
        <w:t>no se encuentr</w:t>
      </w:r>
      <w:r>
        <w:rPr>
          <w:rFonts w:ascii="Verdana" w:hAnsi="Verdana" w:cs="Arial"/>
          <w:lang w:val="es-ES" w:eastAsia="es-CO"/>
        </w:rPr>
        <w:t>e</w:t>
      </w:r>
      <w:r w:rsidRPr="00FC6F34">
        <w:rPr>
          <w:rFonts w:ascii="Verdana" w:hAnsi="Verdana" w:cs="Arial"/>
          <w:lang w:val="es-ES" w:eastAsia="es-CO"/>
        </w:rPr>
        <w:t>n restringidas por el artículo 33</w:t>
      </w:r>
      <w:r>
        <w:rPr>
          <w:rFonts w:ascii="Verdana" w:hAnsi="Verdana" w:cs="Arial"/>
          <w:lang w:val="es-ES" w:eastAsia="es-CO"/>
        </w:rPr>
        <w:t xml:space="preserve"> o el parágrafo del artículo 38</w:t>
      </w:r>
      <w:r w:rsidRPr="00FC6F34">
        <w:rPr>
          <w:rFonts w:ascii="Verdana" w:hAnsi="Verdana" w:cs="Arial"/>
          <w:lang w:val="es-ES" w:eastAsia="es-CO"/>
        </w:rPr>
        <w:t xml:space="preserve"> de la Ley 996 de 2005.</w:t>
      </w:r>
    </w:p>
    <w:p w14:paraId="17F81661" w14:textId="77777777" w:rsidR="00763D94" w:rsidRPr="00545054" w:rsidRDefault="00763D94" w:rsidP="00763D94">
      <w:pPr>
        <w:spacing w:after="120" w:line="276" w:lineRule="auto"/>
        <w:ind w:firstLine="708"/>
        <w:jc w:val="both"/>
        <w:rPr>
          <w:rFonts w:ascii="Verdana" w:eastAsia="Times New Roman" w:hAnsi="Verdana" w:cs="Arial"/>
          <w:bCs/>
          <w:lang w:val="es-ES" w:eastAsia="es-CO"/>
        </w:rPr>
      </w:pPr>
      <w:r w:rsidRPr="00FC6F34">
        <w:rPr>
          <w:rFonts w:ascii="Verdana" w:eastAsia="Arial" w:hAnsi="Verdana" w:cs="Arial"/>
          <w:color w:val="000000" w:themeColor="text1"/>
          <w:lang w:val="es-ES"/>
        </w:rPr>
        <w:lastRenderedPageBreak/>
        <w:t xml:space="preserve">Finalmente, es importante advertir que </w:t>
      </w:r>
      <w:r w:rsidRPr="00FC6F34">
        <w:rPr>
          <w:rFonts w:ascii="Verdana" w:eastAsia="Times New Roman" w:hAnsi="Verdana" w:cs="Arial"/>
          <w:lang w:val="es-ES"/>
        </w:rPr>
        <w:t xml:space="preserve">compete a cada </w:t>
      </w:r>
      <w:r>
        <w:rPr>
          <w:rFonts w:ascii="Verdana" w:eastAsia="Times New Roman" w:hAnsi="Verdana" w:cs="Arial"/>
          <w:lang w:val="es-ES"/>
        </w:rPr>
        <w:t>E</w:t>
      </w:r>
      <w:r w:rsidRPr="00FC6F34">
        <w:rPr>
          <w:rFonts w:ascii="Verdana" w:eastAsia="Times New Roman" w:hAnsi="Verdana" w:cs="Arial"/>
          <w:lang w:val="es-ES"/>
        </w:rPr>
        <w:t xml:space="preserve">ntidad </w:t>
      </w:r>
      <w:r>
        <w:rPr>
          <w:rFonts w:ascii="Verdana" w:eastAsia="Times New Roman" w:hAnsi="Verdana" w:cs="Arial"/>
          <w:lang w:val="es-ES"/>
        </w:rPr>
        <w:t>E</w:t>
      </w:r>
      <w:r w:rsidRPr="00FC6F34">
        <w:rPr>
          <w:rFonts w:ascii="Verdana" w:eastAsia="Times New Roman" w:hAnsi="Verdana" w:cs="Arial"/>
          <w:lang w:val="es-ES"/>
        </w:rPr>
        <w:t>statal que considera celebrar un contrato específico definir si este se enmarca</w:t>
      </w:r>
      <w:r>
        <w:rPr>
          <w:rFonts w:ascii="Verdana" w:eastAsia="Times New Roman" w:hAnsi="Verdana" w:cs="Arial"/>
          <w:lang w:val="es-ES"/>
        </w:rPr>
        <w:t xml:space="preserve"> en alguna de las prohibiciones de la Ley de Garantías Electorales</w:t>
      </w:r>
      <w:r w:rsidRPr="00FC6F34">
        <w:rPr>
          <w:rFonts w:ascii="Verdana" w:eastAsia="Times New Roman" w:hAnsi="Verdana" w:cs="Arial"/>
          <w:lang w:val="es-ES"/>
        </w:rPr>
        <w:t xml:space="preserve">. </w:t>
      </w:r>
      <w:r w:rsidRPr="00FC6F34">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bookmarkEnd w:id="1"/>
    <w:bookmarkEnd w:id="2"/>
    <w:p w14:paraId="237F388B" w14:textId="77777777" w:rsidR="00763D94" w:rsidRPr="00FC6F34" w:rsidRDefault="00763D94" w:rsidP="00763D94">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4.Referencias normativas, jurisprudenciales y otras fuentes:</w:t>
      </w:r>
    </w:p>
    <w:p w14:paraId="62A8F3E7" w14:textId="77777777" w:rsidR="00763D94" w:rsidRPr="00FC6F34" w:rsidRDefault="00763D94" w:rsidP="00763D94">
      <w:pPr>
        <w:widowControl w:val="0"/>
        <w:autoSpaceDE w:val="0"/>
        <w:autoSpaceDN w:val="0"/>
        <w:spacing w:after="0" w:line="276" w:lineRule="auto"/>
        <w:jc w:val="both"/>
        <w:rPr>
          <w:rFonts w:ascii="Verdana" w:hAnsi="Verdana" w:cs="Arial"/>
          <w:color w:val="000000" w:themeColor="text1"/>
          <w:lang w:val="es-ES"/>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63D94" w:rsidRPr="00FC6F34" w14:paraId="56B2FE99" w14:textId="77777777" w:rsidTr="00BD3F2C">
        <w:trPr>
          <w:trHeight w:val="870"/>
        </w:trPr>
        <w:tc>
          <w:tcPr>
            <w:tcW w:w="8647" w:type="dxa"/>
          </w:tcPr>
          <w:p w14:paraId="06A1C2BB" w14:textId="77777777" w:rsidR="00763D94" w:rsidRPr="00FC6F34" w:rsidRDefault="00763D94" w:rsidP="00BD3F2C">
            <w:pPr>
              <w:widowControl w:val="0"/>
              <w:numPr>
                <w:ilvl w:val="0"/>
                <w:numId w:val="16"/>
              </w:numPr>
              <w:autoSpaceDE w:val="0"/>
              <w:autoSpaceDN w:val="0"/>
              <w:spacing w:before="120" w:after="120"/>
              <w:jc w:val="both"/>
              <w:rPr>
                <w:rFonts w:ascii="Verdana" w:eastAsia="Arial MT" w:hAnsi="Verdana" w:cs="Arial"/>
                <w:lang w:val="es-ES" w:eastAsia="es-ES" w:bidi="es-ES"/>
              </w:rPr>
            </w:pPr>
            <w:r w:rsidRPr="00FC6F34">
              <w:rPr>
                <w:rFonts w:ascii="Verdana" w:eastAsia="Arial MT" w:hAnsi="Verdana" w:cs="Arial"/>
                <w:lang w:val="es-ES" w:eastAsia="es-ES" w:bidi="es-ES"/>
              </w:rPr>
              <w:t xml:space="preserve">Ley 80 de 1993, artículos 39, 41. </w:t>
            </w:r>
          </w:p>
          <w:p w14:paraId="06B8434C" w14:textId="77777777" w:rsidR="00763D94" w:rsidRPr="00FC6F34" w:rsidRDefault="00763D94" w:rsidP="00BD3F2C">
            <w:pPr>
              <w:widowControl w:val="0"/>
              <w:numPr>
                <w:ilvl w:val="0"/>
                <w:numId w:val="16"/>
              </w:numPr>
              <w:autoSpaceDE w:val="0"/>
              <w:autoSpaceDN w:val="0"/>
              <w:spacing w:after="120"/>
              <w:jc w:val="both"/>
              <w:rPr>
                <w:rFonts w:ascii="Verdana" w:eastAsia="Arial MT" w:hAnsi="Verdana" w:cs="Arial"/>
                <w:lang w:val="es-ES" w:eastAsia="es-ES" w:bidi="es-ES"/>
              </w:rPr>
            </w:pPr>
            <w:r w:rsidRPr="00FC6F34">
              <w:rPr>
                <w:rFonts w:ascii="Verdana" w:eastAsia="Arial MT" w:hAnsi="Verdana" w:cs="Arial"/>
                <w:bCs/>
                <w:lang w:val="es-ES" w:eastAsia="es-ES" w:bidi="es-ES"/>
              </w:rPr>
              <w:t>Ley 996 de 2005: artículos 33 y 38.</w:t>
            </w:r>
          </w:p>
          <w:p w14:paraId="65FA7966" w14:textId="77777777" w:rsidR="00763D94" w:rsidRPr="00FC6F34" w:rsidRDefault="00763D94" w:rsidP="00BD3F2C">
            <w:pPr>
              <w:pStyle w:val="ListParagraph"/>
              <w:widowControl w:val="0"/>
              <w:numPr>
                <w:ilvl w:val="0"/>
                <w:numId w:val="16"/>
              </w:numPr>
              <w:autoSpaceDE w:val="0"/>
              <w:autoSpaceDN w:val="0"/>
              <w:spacing w:before="120" w:after="120" w:line="276" w:lineRule="auto"/>
              <w:contextualSpacing w:val="0"/>
              <w:jc w:val="both"/>
              <w:rPr>
                <w:rFonts w:ascii="Verdana" w:hAnsi="Verdana" w:cs="Arial"/>
              </w:rPr>
            </w:pPr>
            <w:r w:rsidRPr="00FC6F34">
              <w:rPr>
                <w:rFonts w:ascii="Verdana" w:hAnsi="Verdana" w:cs="Arial"/>
              </w:rPr>
              <w:t>Ley 813 de 2003: artículos 8, 10, 11 y 12.</w:t>
            </w:r>
          </w:p>
          <w:p w14:paraId="55102023" w14:textId="77777777" w:rsidR="00763D94" w:rsidRDefault="00763D94" w:rsidP="00BD3F2C">
            <w:pPr>
              <w:widowControl w:val="0"/>
              <w:numPr>
                <w:ilvl w:val="0"/>
                <w:numId w:val="16"/>
              </w:numPr>
              <w:autoSpaceDE w:val="0"/>
              <w:autoSpaceDN w:val="0"/>
              <w:spacing w:after="120"/>
              <w:jc w:val="both"/>
              <w:rPr>
                <w:rFonts w:ascii="Verdana" w:eastAsia="Arial MT" w:hAnsi="Verdana" w:cs="Arial"/>
                <w:lang w:val="es-ES" w:eastAsia="es-ES" w:bidi="es-ES"/>
              </w:rPr>
            </w:pPr>
            <w:r w:rsidRPr="00FC6F34">
              <w:rPr>
                <w:rFonts w:ascii="Verdana" w:eastAsia="Times New Roman" w:hAnsi="Verdana" w:cs="Times New Roman"/>
                <w:lang w:val="es-ES" w:eastAsia="es-MX"/>
              </w:rPr>
              <w:t>Ley 1150 de 2007</w:t>
            </w:r>
            <w:r>
              <w:rPr>
                <w:rFonts w:ascii="Verdana" w:eastAsia="Times New Roman" w:hAnsi="Verdana" w:cs="Times New Roman"/>
                <w:lang w:val="es-ES" w:eastAsia="es-MX"/>
              </w:rPr>
              <w:t>:</w:t>
            </w:r>
            <w:r w:rsidRPr="00FC6F34">
              <w:rPr>
                <w:rFonts w:ascii="Verdana" w:eastAsia="Times New Roman" w:hAnsi="Verdana" w:cs="Times New Roman"/>
                <w:lang w:val="es-ES" w:eastAsia="es-MX"/>
              </w:rPr>
              <w:t xml:space="preserve"> </w:t>
            </w:r>
            <w:r>
              <w:rPr>
                <w:rFonts w:ascii="Verdana" w:eastAsia="Arial MT" w:hAnsi="Verdana" w:cs="Arial"/>
                <w:lang w:val="es-ES" w:eastAsia="es-ES" w:bidi="es-ES"/>
              </w:rPr>
              <w:t>a</w:t>
            </w:r>
            <w:r w:rsidRPr="00FC6F34">
              <w:rPr>
                <w:rFonts w:ascii="Verdana" w:eastAsia="Arial MT" w:hAnsi="Verdana" w:cs="Arial"/>
                <w:lang w:val="es-ES" w:eastAsia="es-ES" w:bidi="es-ES"/>
              </w:rPr>
              <w:t>rtículo 2</w:t>
            </w:r>
            <w:r>
              <w:rPr>
                <w:rFonts w:ascii="Verdana" w:eastAsia="Arial MT" w:hAnsi="Verdana" w:cs="Arial"/>
                <w:lang w:val="es-ES" w:eastAsia="es-ES" w:bidi="es-ES"/>
              </w:rPr>
              <w:t xml:space="preserve"> y 20.</w:t>
            </w:r>
          </w:p>
          <w:p w14:paraId="66ADAFA3" w14:textId="77777777" w:rsidR="00763D94" w:rsidRPr="00E92347" w:rsidRDefault="00763D94" w:rsidP="00BD3F2C">
            <w:pPr>
              <w:widowControl w:val="0"/>
              <w:numPr>
                <w:ilvl w:val="0"/>
                <w:numId w:val="16"/>
              </w:numPr>
              <w:autoSpaceDE w:val="0"/>
              <w:autoSpaceDN w:val="0"/>
              <w:spacing w:after="120"/>
              <w:jc w:val="both"/>
              <w:rPr>
                <w:rFonts w:ascii="Verdana" w:eastAsia="Arial MT" w:hAnsi="Verdana" w:cs="Arial"/>
                <w:lang w:eastAsia="es-ES" w:bidi="es-ES"/>
              </w:rPr>
            </w:pPr>
            <w:r w:rsidRPr="00E92347">
              <w:rPr>
                <w:rFonts w:ascii="Verdana" w:eastAsia="Arial MT" w:hAnsi="Verdana" w:cs="Arial"/>
                <w:lang w:eastAsia="es-ES" w:bidi="es-ES"/>
              </w:rPr>
              <w:t>Agencia Nacional de Contratación </w:t>
            </w:r>
            <w:r>
              <w:rPr>
                <w:rFonts w:ascii="Verdana" w:eastAsia="Arial MT" w:hAnsi="Verdana" w:cs="Arial"/>
                <w:lang w:eastAsia="es-ES" w:bidi="es-ES"/>
              </w:rPr>
              <w:t xml:space="preserve">Pública – Colombia Compra Eficiente, </w:t>
            </w:r>
            <w:r w:rsidRPr="00E92347">
              <w:rPr>
                <w:rFonts w:ascii="Verdana" w:eastAsia="Arial MT" w:hAnsi="Verdana" w:cs="Arial"/>
                <w:lang w:eastAsia="es-ES" w:bidi="es-ES"/>
              </w:rPr>
              <w:t>Circular Externa 006 de 2025</w:t>
            </w:r>
            <w:r>
              <w:rPr>
                <w:rFonts w:ascii="Verdana" w:eastAsia="Arial MT" w:hAnsi="Verdana" w:cs="Arial"/>
                <w:lang w:eastAsia="es-ES" w:bidi="es-ES"/>
              </w:rPr>
              <w:t xml:space="preserve"> sobre la Ley de Garantías Electorales. Disponible en:</w:t>
            </w:r>
            <w:r>
              <w:t xml:space="preserve"> </w:t>
            </w:r>
            <w:hyperlink r:id="rId13" w:history="1">
              <w:r w:rsidRPr="007D3EA5">
                <w:rPr>
                  <w:rStyle w:val="Hyperlink"/>
                  <w:rFonts w:ascii="Verdana" w:eastAsia="Arial MT" w:hAnsi="Verdana" w:cs="Arial"/>
                  <w:lang w:eastAsia="es-ES" w:bidi="es-ES"/>
                </w:rPr>
                <w:t>https://www.colombiacompra.gov.co/archivos/circular/circular-externa-006-de-2025</w:t>
              </w:r>
            </w:hyperlink>
            <w:r>
              <w:rPr>
                <w:rFonts w:ascii="Verdana" w:eastAsia="Arial MT" w:hAnsi="Verdana" w:cs="Arial"/>
                <w:lang w:eastAsia="es-ES" w:bidi="es-ES"/>
              </w:rPr>
              <w:t xml:space="preserve"> </w:t>
            </w:r>
          </w:p>
          <w:p w14:paraId="3037E0A6" w14:textId="77777777" w:rsidR="00763D94" w:rsidRPr="00FC6F34" w:rsidRDefault="00763D94" w:rsidP="00BD3F2C">
            <w:pPr>
              <w:widowControl w:val="0"/>
              <w:numPr>
                <w:ilvl w:val="0"/>
                <w:numId w:val="16"/>
              </w:numPr>
              <w:autoSpaceDE w:val="0"/>
              <w:autoSpaceDN w:val="0"/>
              <w:spacing w:after="120"/>
              <w:jc w:val="both"/>
              <w:rPr>
                <w:rFonts w:ascii="Verdana" w:eastAsia="Calibri" w:hAnsi="Verdana" w:cs="Arial"/>
                <w:lang w:val="es-ES"/>
              </w:rPr>
            </w:pPr>
            <w:r w:rsidRPr="00FC6F34">
              <w:rPr>
                <w:rFonts w:ascii="Verdana" w:eastAsia="Calibri" w:hAnsi="Verdana" w:cs="Arial"/>
                <w:lang w:val="es-ES"/>
              </w:rPr>
              <w:t xml:space="preserve">Consejo de Estado, Sección Primera. Sentencia de 3 de marzo de 2005, </w:t>
            </w:r>
            <w:proofErr w:type="spellStart"/>
            <w:r w:rsidRPr="00FC6F34">
              <w:rPr>
                <w:rFonts w:ascii="Verdana" w:eastAsia="Calibri" w:hAnsi="Verdana" w:cs="Arial"/>
                <w:lang w:val="es-ES"/>
              </w:rPr>
              <w:t>Exp</w:t>
            </w:r>
            <w:proofErr w:type="spellEnd"/>
            <w:r w:rsidRPr="00FC6F34">
              <w:rPr>
                <w:rFonts w:ascii="Verdana" w:eastAsia="Calibri" w:hAnsi="Verdana" w:cs="Arial"/>
                <w:lang w:val="es-ES"/>
              </w:rPr>
              <w:t xml:space="preserve">. 2004-00823-01(PI). </w:t>
            </w:r>
          </w:p>
          <w:p w14:paraId="6AB21160" w14:textId="77777777" w:rsidR="00763D94" w:rsidRPr="00FC6F34" w:rsidRDefault="00763D94" w:rsidP="00BD3F2C">
            <w:pPr>
              <w:widowControl w:val="0"/>
              <w:numPr>
                <w:ilvl w:val="0"/>
                <w:numId w:val="16"/>
              </w:numPr>
              <w:autoSpaceDE w:val="0"/>
              <w:autoSpaceDN w:val="0"/>
              <w:spacing w:after="120"/>
              <w:jc w:val="both"/>
              <w:rPr>
                <w:rFonts w:ascii="Verdana" w:eastAsia="Calibri" w:hAnsi="Verdana" w:cs="Arial"/>
                <w:lang w:val="es-ES"/>
              </w:rPr>
            </w:pPr>
            <w:r w:rsidRPr="00FC6F34">
              <w:rPr>
                <w:rFonts w:ascii="Verdana" w:eastAsia="Calibri" w:hAnsi="Verdana" w:cs="Arial"/>
                <w:lang w:val="es-ES"/>
              </w:rPr>
              <w:t xml:space="preserve">Consejo de Estado, Sala de Consulta y Servicio Civil, Concepto de fecha 24 de julio de 2013, Rad. 2166, C. P. Álvaro Namén Vargas. </w:t>
            </w:r>
          </w:p>
          <w:p w14:paraId="4C517E3E" w14:textId="77777777" w:rsidR="00763D94" w:rsidRPr="00FC6F34" w:rsidRDefault="00763D94" w:rsidP="00BD3F2C">
            <w:pPr>
              <w:pStyle w:val="ListParagraph"/>
              <w:numPr>
                <w:ilvl w:val="0"/>
                <w:numId w:val="16"/>
              </w:numPr>
              <w:spacing w:before="120" w:after="120" w:line="276" w:lineRule="auto"/>
              <w:contextualSpacing w:val="0"/>
              <w:jc w:val="both"/>
              <w:rPr>
                <w:rFonts w:ascii="Verdana" w:hAnsi="Verdana" w:cs="Arial"/>
              </w:rPr>
            </w:pPr>
            <w:r w:rsidRPr="00FC6F34">
              <w:rPr>
                <w:rFonts w:ascii="Verdana" w:eastAsia="Calibri" w:hAnsi="Verdana" w:cs="Arial"/>
              </w:rPr>
              <w:t>Consejo de Estado. Sala de Consulta y Servicio Civil. Concepto del 17 de febrero de 2015. C.P. William Zambrano Cetina. Radicación No. 11001-03-06-000-2015-00164-00(2269).</w:t>
            </w:r>
          </w:p>
          <w:p w14:paraId="6D64FFB7" w14:textId="77777777" w:rsidR="00763D94" w:rsidRPr="00FC6F34" w:rsidRDefault="00763D94" w:rsidP="00BD3F2C">
            <w:pPr>
              <w:pStyle w:val="ListParagraph"/>
              <w:numPr>
                <w:ilvl w:val="0"/>
                <w:numId w:val="16"/>
              </w:numPr>
              <w:spacing w:before="120" w:after="120" w:line="276" w:lineRule="auto"/>
              <w:contextualSpacing w:val="0"/>
              <w:jc w:val="both"/>
              <w:rPr>
                <w:rFonts w:ascii="Verdana" w:hAnsi="Verdana" w:cs="Arial"/>
              </w:rPr>
            </w:pPr>
            <w:r w:rsidRPr="00FC6F34">
              <w:rPr>
                <w:rFonts w:ascii="Verdana" w:eastAsia="Calibri" w:hAnsi="Verdana" w:cs="Arial"/>
              </w:rPr>
              <w:t>Consejo de Estado, Sala de Consulta y Servicio Civil, Concepto de fecha 8 de mayo de 2018, No. 2382. C. P. Álvaro Namén Vargas.</w:t>
            </w:r>
          </w:p>
        </w:tc>
      </w:tr>
    </w:tbl>
    <w:p w14:paraId="2BDE1BCF" w14:textId="77777777" w:rsidR="00763D94" w:rsidRPr="00FC6F34" w:rsidRDefault="00763D94" w:rsidP="00763D94">
      <w:pPr>
        <w:widowControl w:val="0"/>
        <w:autoSpaceDE w:val="0"/>
        <w:autoSpaceDN w:val="0"/>
        <w:spacing w:after="0" w:line="276" w:lineRule="auto"/>
        <w:jc w:val="both"/>
        <w:rPr>
          <w:rFonts w:ascii="Verdana" w:hAnsi="Verdana" w:cs="Arial"/>
          <w:color w:val="000000" w:themeColor="text1"/>
          <w:lang w:val="es-ES"/>
        </w:rPr>
      </w:pPr>
    </w:p>
    <w:p w14:paraId="02DDA114" w14:textId="77777777" w:rsidR="00763D94" w:rsidRPr="00FC6F34" w:rsidRDefault="00763D94" w:rsidP="00763D94">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lastRenderedPageBreak/>
        <w:t>5.Doctrina de la Agencia Nacional de Contratación Pública:</w:t>
      </w:r>
    </w:p>
    <w:p w14:paraId="0B793DAE" w14:textId="77777777" w:rsidR="00763D94" w:rsidRPr="00FC6F34" w:rsidRDefault="00763D94" w:rsidP="00763D94">
      <w:pPr>
        <w:widowControl w:val="0"/>
        <w:autoSpaceDE w:val="0"/>
        <w:autoSpaceDN w:val="0"/>
        <w:spacing w:after="0" w:line="276" w:lineRule="auto"/>
        <w:jc w:val="both"/>
        <w:rPr>
          <w:rFonts w:ascii="Verdana" w:hAnsi="Verdana" w:cs="Arial"/>
          <w:color w:val="000000" w:themeColor="text1"/>
          <w:lang w:val="es-ES"/>
        </w:rPr>
      </w:pPr>
    </w:p>
    <w:p w14:paraId="454005A5" w14:textId="77777777" w:rsidR="00763D94" w:rsidRDefault="00763D94" w:rsidP="00763D94">
      <w:pPr>
        <w:spacing w:after="0"/>
        <w:jc w:val="both"/>
        <w:rPr>
          <w:rFonts w:ascii="Arial" w:eastAsia="Calibri" w:hAnsi="Arial" w:cs="Arial"/>
          <w:b/>
          <w:bCs/>
          <w:color w:val="000000" w:themeColor="text1"/>
          <w:lang w:val="es-ES_tradnl"/>
        </w:rPr>
      </w:pPr>
      <w:r w:rsidRPr="00FC6F34">
        <w:rPr>
          <w:rFonts w:ascii="Verdana" w:eastAsia="Calibri" w:hAnsi="Verdana" w:cs="Arial"/>
          <w:lang w:val="es-ES"/>
        </w:rPr>
        <w:t xml:space="preserve">La Agencia Nacional de Contratación Pública – Colombia Compra Eficiente se ha referido </w:t>
      </w:r>
      <w:r w:rsidRPr="00FC6F34">
        <w:rPr>
          <w:rFonts w:ascii="Verdana" w:hAnsi="Verdana" w:cs="Arial"/>
          <w:shd w:val="clear" w:color="auto" w:fill="FFFFFF"/>
          <w:lang w:val="es-ES"/>
        </w:rPr>
        <w:t>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C-180 del 21 de marzo de 2025, C-317 del 25 de abril de 2025, C-510 del 4 de junio de 2025, C -635 del 27 de junio de 2025, C–750 de 17 de julio 2025, C-729 del 15 de Julio de 2015 y C-273-A de 2025</w:t>
      </w:r>
      <w:r>
        <w:rPr>
          <w:rFonts w:ascii="Verdana" w:hAnsi="Verdana" w:cs="Arial"/>
          <w:shd w:val="clear" w:color="auto" w:fill="FFFFFF"/>
          <w:lang w:val="es-ES"/>
        </w:rPr>
        <w:t>, entre otros</w:t>
      </w:r>
      <w:r w:rsidRPr="00FC6F34">
        <w:rPr>
          <w:rFonts w:ascii="Verdana" w:hAnsi="Verdana" w:cs="Arial"/>
          <w:shd w:val="clear" w:color="auto" w:fill="FFFFFF"/>
          <w:lang w:val="es-ES"/>
        </w:rPr>
        <w:t>. Estos</w:t>
      </w:r>
      <w:r w:rsidRPr="00FC6F34">
        <w:rPr>
          <w:rFonts w:ascii="Verdana" w:hAnsi="Verdana"/>
          <w:lang w:val="es-ES"/>
        </w:rPr>
        <w:t xml:space="preserve"> y otros se encuentran disponibles para consulta en el Sistema de relatoría de la Agencia, al cual se puede acceder a través del siguiente enlace:</w:t>
      </w:r>
      <w:r w:rsidRPr="00FC6F34">
        <w:rPr>
          <w:rFonts w:ascii="Verdana" w:hAnsi="Verdana" w:cs="Arial"/>
          <w:shd w:val="clear" w:color="auto" w:fill="FFFFFF"/>
          <w:lang w:val="es-ES"/>
        </w:rPr>
        <w:t xml:space="preserve"> </w:t>
      </w:r>
      <w:hyperlink r:id="rId14" w:history="1">
        <w:r w:rsidRPr="00FC6F34">
          <w:rPr>
            <w:rFonts w:ascii="Verdana" w:hAnsi="Verdana" w:cs="Arial"/>
            <w:color w:val="0000FF"/>
            <w:u w:val="single"/>
            <w:shd w:val="clear" w:color="auto" w:fill="FFFFFF"/>
            <w:lang w:val="es-ES"/>
          </w:rPr>
          <w:t>https://relatoria.colombiacompra.gov.co/busqueda/concept os</w:t>
        </w:r>
      </w:hyperlink>
      <w:r w:rsidRPr="00FC6F34">
        <w:rPr>
          <w:rFonts w:ascii="Verdana" w:hAnsi="Verdana" w:cs="Arial"/>
          <w:shd w:val="clear" w:color="auto" w:fill="FFFFFF"/>
          <w:lang w:val="es-ES"/>
        </w:rPr>
        <w:t>.</w:t>
      </w:r>
      <w:r w:rsidRPr="00FC6F34">
        <w:rPr>
          <w:rFonts w:ascii="Verdana" w:hAnsi="Verdana" w:cs="Arial"/>
          <w:color w:val="FF0000"/>
          <w:shd w:val="clear" w:color="auto" w:fill="FFFFFF"/>
          <w:lang w:val="es-ES"/>
        </w:rPr>
        <w:t xml:space="preserve"> </w:t>
      </w:r>
      <w:r w:rsidRPr="00FC6F34">
        <w:rPr>
          <w:rFonts w:ascii="Verdana" w:hAnsi="Verdana" w:cs="Arial"/>
          <w:color w:val="000000" w:themeColor="text1"/>
          <w:shd w:val="clear" w:color="auto" w:fill="FFFFFF"/>
          <w:lang w:val="es-ES"/>
        </w:rPr>
        <w:t>  </w:t>
      </w:r>
    </w:p>
    <w:p w14:paraId="442555B6" w14:textId="77777777" w:rsidR="00763D94" w:rsidRDefault="00763D94" w:rsidP="00763D94">
      <w:pPr>
        <w:spacing w:after="0"/>
        <w:jc w:val="both"/>
        <w:rPr>
          <w:rFonts w:ascii="Verdana" w:hAnsi="Verdana" w:cs="Arial"/>
          <w:lang w:val="es-ES"/>
        </w:rPr>
      </w:pPr>
    </w:p>
    <w:p w14:paraId="6755FC4F" w14:textId="77777777" w:rsidR="00763D94" w:rsidRPr="00CE50C5" w:rsidRDefault="00763D94" w:rsidP="00763D94">
      <w:pPr>
        <w:spacing w:after="0"/>
        <w:jc w:val="both"/>
        <w:rPr>
          <w:rFonts w:ascii="Arial" w:eastAsia="Calibri" w:hAnsi="Arial" w:cs="Arial"/>
          <w:b/>
          <w:bCs/>
          <w:color w:val="000000" w:themeColor="text1"/>
          <w:lang w:val="es-ES_tradnl"/>
        </w:rPr>
      </w:pPr>
      <w:r w:rsidRPr="00FC6F34">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8BD50B1" w14:textId="77777777" w:rsidR="00763D94" w:rsidRPr="00FC6F34" w:rsidRDefault="00763D94" w:rsidP="00763D94">
      <w:pPr>
        <w:widowControl w:val="0"/>
        <w:autoSpaceDE w:val="0"/>
        <w:autoSpaceDN w:val="0"/>
        <w:spacing w:after="0" w:line="276" w:lineRule="auto"/>
        <w:jc w:val="both"/>
        <w:rPr>
          <w:rFonts w:ascii="Verdana" w:hAnsi="Verdana" w:cs="Arial"/>
          <w:lang w:val="es-ES"/>
        </w:rPr>
      </w:pPr>
    </w:p>
    <w:p w14:paraId="41CD8904" w14:textId="5B812730" w:rsidR="00763D94" w:rsidRPr="00FC6F34" w:rsidRDefault="00763D94" w:rsidP="00763D94">
      <w:pPr>
        <w:spacing w:after="0" w:line="276" w:lineRule="auto"/>
        <w:rPr>
          <w:rFonts w:ascii="Verdana" w:hAnsi="Verdana" w:cs="Arial"/>
          <w:color w:val="000000" w:themeColor="text1"/>
          <w:lang w:val="es-ES" w:eastAsia="es-CO"/>
        </w:rPr>
      </w:pPr>
      <w:r w:rsidRPr="00FC6F34">
        <w:rPr>
          <w:rFonts w:ascii="Verdana" w:eastAsia="Times New Roman" w:hAnsi="Verdana" w:cs="Arial"/>
          <w:color w:val="000000" w:themeColor="text1"/>
          <w:lang w:val="es-ES" w:eastAsia="es-CO"/>
        </w:rPr>
        <w:t>Atentamente,</w:t>
      </w:r>
      <w:r w:rsidRPr="00FC6F34">
        <w:rPr>
          <w:rFonts w:ascii="Verdana" w:hAnsi="Verdana" w:cs="Arial"/>
          <w:color w:val="000000" w:themeColor="text1"/>
          <w:lang w:val="es-ES" w:eastAsia="es-CO"/>
        </w:rPr>
        <w:t xml:space="preserve"> </w:t>
      </w:r>
    </w:p>
    <w:p w14:paraId="050E3BD1" w14:textId="7FACE120" w:rsidR="00763D94" w:rsidRPr="00FC6F34" w:rsidRDefault="008C15CE" w:rsidP="00763D94">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1312" behindDoc="0" locked="0" layoutInCell="1" allowOverlap="1" wp14:anchorId="264593D8" wp14:editId="2681B518">
            <wp:simplePos x="0" y="0"/>
            <wp:positionH relativeFrom="column">
              <wp:posOffset>921775</wp:posOffset>
            </wp:positionH>
            <wp:positionV relativeFrom="page">
              <wp:posOffset>6167058</wp:posOffset>
            </wp:positionV>
            <wp:extent cx="3771900" cy="1400175"/>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14:sizeRelH relativeFrom="page">
              <wp14:pctWidth>0</wp14:pctWidth>
            </wp14:sizeRelH>
            <wp14:sizeRelV relativeFrom="page">
              <wp14:pctHeight>0</wp14:pctHeight>
            </wp14:sizeRelV>
          </wp:anchor>
        </w:drawing>
      </w:r>
    </w:p>
    <w:p w14:paraId="0E1980D8" w14:textId="1526CEC9" w:rsidR="00763D94" w:rsidRPr="00FC6F34" w:rsidRDefault="00763D94" w:rsidP="00763D94">
      <w:pPr>
        <w:spacing w:line="276" w:lineRule="auto"/>
        <w:jc w:val="center"/>
        <w:rPr>
          <w:rFonts w:ascii="Verdana" w:hAnsi="Verdana" w:cs="Arial"/>
          <w:color w:val="000000" w:themeColor="text1"/>
          <w:lang w:val="es-ES" w:eastAsia="es-CO"/>
        </w:rPr>
      </w:pP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63D94" w:rsidRPr="005474F1" w14:paraId="159D6F0B" w14:textId="77777777" w:rsidTr="00BD3F2C">
        <w:trPr>
          <w:trHeight w:val="315"/>
        </w:trPr>
        <w:tc>
          <w:tcPr>
            <w:tcW w:w="893" w:type="dxa"/>
            <w:vAlign w:val="center"/>
            <w:hideMark/>
          </w:tcPr>
          <w:p w14:paraId="03708FA0" w14:textId="77777777" w:rsidR="00763D94" w:rsidRPr="005474F1" w:rsidRDefault="00763D94" w:rsidP="00BD3F2C">
            <w:pPr>
              <w:contextualSpacing/>
              <w:rPr>
                <w:rFonts w:ascii="Verdana" w:hAnsi="Verdana" w:cs="Arial"/>
                <w:sz w:val="15"/>
                <w:szCs w:val="15"/>
                <w:lang w:val="es-ES" w:eastAsia="es-ES"/>
              </w:rPr>
            </w:pPr>
            <w:r w:rsidRPr="005474F1">
              <w:rPr>
                <w:rFonts w:ascii="Verdana" w:hAnsi="Verdana" w:cs="Arial"/>
                <w:sz w:val="15"/>
                <w:szCs w:val="15"/>
                <w:lang w:val="es-ES" w:eastAsia="es-ES"/>
              </w:rPr>
              <w:t>Elaboró:</w:t>
            </w:r>
          </w:p>
        </w:tc>
        <w:tc>
          <w:tcPr>
            <w:tcW w:w="5628" w:type="dxa"/>
            <w:tcBorders>
              <w:top w:val="nil"/>
              <w:left w:val="nil"/>
              <w:bottom w:val="dotted" w:sz="4" w:space="0" w:color="7F7F7F" w:themeColor="text1" w:themeTint="80"/>
              <w:right w:val="nil"/>
            </w:tcBorders>
            <w:vAlign w:val="center"/>
            <w:hideMark/>
          </w:tcPr>
          <w:p w14:paraId="1042A699" w14:textId="77777777" w:rsidR="00763D94" w:rsidRPr="005474F1" w:rsidRDefault="00763D94" w:rsidP="00BD3F2C">
            <w:pPr>
              <w:contextualSpacing/>
              <w:rPr>
                <w:rFonts w:ascii="Verdana" w:eastAsia="Arial" w:hAnsi="Verdana" w:cs="Arial"/>
                <w:color w:val="000000" w:themeColor="text1"/>
                <w:sz w:val="15"/>
                <w:szCs w:val="15"/>
                <w:lang w:val="es-ES"/>
              </w:rPr>
            </w:pPr>
            <w:r w:rsidRPr="005474F1">
              <w:rPr>
                <w:rFonts w:ascii="Verdana" w:eastAsia="Arial" w:hAnsi="Verdana" w:cs="Arial"/>
                <w:color w:val="000000" w:themeColor="text1"/>
                <w:sz w:val="15"/>
                <w:szCs w:val="15"/>
                <w:lang w:val="es-ES"/>
              </w:rPr>
              <w:t>Anamaría Bonilla Prieto</w:t>
            </w:r>
          </w:p>
          <w:p w14:paraId="67FDFB45" w14:textId="77777777" w:rsidR="00763D94" w:rsidRPr="005474F1" w:rsidRDefault="00763D94" w:rsidP="00BD3F2C">
            <w:pPr>
              <w:contextualSpacing/>
              <w:rPr>
                <w:rFonts w:ascii="Verdana" w:eastAsia="Arial" w:hAnsi="Verdana" w:cs="Arial"/>
                <w:sz w:val="15"/>
                <w:szCs w:val="15"/>
                <w:lang w:val="es-ES"/>
              </w:rPr>
            </w:pPr>
            <w:r w:rsidRPr="005474F1">
              <w:rPr>
                <w:rStyle w:val="normaltextrun"/>
                <w:rFonts w:ascii="Verdana" w:eastAsia="Arial" w:hAnsi="Verdana" w:cs="Arial"/>
                <w:color w:val="000000" w:themeColor="text1"/>
                <w:sz w:val="15"/>
                <w:szCs w:val="15"/>
                <w:lang w:val="es-ES"/>
              </w:rPr>
              <w:t xml:space="preserve">Contratista de la Subdirección </w:t>
            </w:r>
            <w:r w:rsidRPr="005474F1">
              <w:rPr>
                <w:rStyle w:val="normaltextrun"/>
                <w:rFonts w:ascii="Verdana" w:eastAsia="Arial" w:hAnsi="Verdana" w:cs="Arial"/>
                <w:sz w:val="15"/>
                <w:szCs w:val="15"/>
                <w:lang w:val="es-ES"/>
              </w:rPr>
              <w:t>de Gestión Contractual</w:t>
            </w:r>
          </w:p>
        </w:tc>
      </w:tr>
      <w:tr w:rsidR="00763D94" w:rsidRPr="005474F1" w14:paraId="034FE3A5" w14:textId="77777777" w:rsidTr="00BD3F2C">
        <w:trPr>
          <w:trHeight w:val="330"/>
        </w:trPr>
        <w:tc>
          <w:tcPr>
            <w:tcW w:w="893" w:type="dxa"/>
            <w:vAlign w:val="center"/>
            <w:hideMark/>
          </w:tcPr>
          <w:p w14:paraId="53B9BED4" w14:textId="77777777" w:rsidR="00763D94" w:rsidRPr="005474F1" w:rsidRDefault="00763D94" w:rsidP="00BD3F2C">
            <w:pPr>
              <w:contextualSpacing/>
              <w:rPr>
                <w:rFonts w:ascii="Verdana" w:hAnsi="Verdana" w:cs="Arial"/>
                <w:sz w:val="15"/>
                <w:szCs w:val="15"/>
                <w:lang w:val="es-ES" w:eastAsia="es-ES"/>
              </w:rPr>
            </w:pPr>
            <w:r w:rsidRPr="005474F1">
              <w:rPr>
                <w:rFonts w:ascii="Verdana" w:hAnsi="Verdana" w:cs="Arial"/>
                <w:sz w:val="15"/>
                <w:szCs w:val="15"/>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7DAAFF2" w14:textId="77777777" w:rsidR="00763D94" w:rsidRPr="005474F1" w:rsidRDefault="00763D94" w:rsidP="00BD3F2C">
            <w:pPr>
              <w:spacing w:line="276" w:lineRule="auto"/>
              <w:contextualSpacing/>
              <w:textAlignment w:val="baseline"/>
              <w:rPr>
                <w:rFonts w:ascii="Verdana" w:eastAsia="Times New Roman" w:hAnsi="Verdana" w:cs="Arial"/>
                <w:sz w:val="15"/>
                <w:szCs w:val="15"/>
                <w:lang w:val="es-ES" w:eastAsia="es-ES_tradnl"/>
              </w:rPr>
            </w:pPr>
            <w:r w:rsidRPr="005474F1">
              <w:rPr>
                <w:rFonts w:ascii="Verdana" w:eastAsia="Times New Roman" w:hAnsi="Verdana" w:cs="Arial"/>
                <w:sz w:val="15"/>
                <w:szCs w:val="15"/>
                <w:lang w:val="es-ES" w:eastAsia="es-ES_tradnl"/>
              </w:rPr>
              <w:t>Alejandro Sarmiento Cantillo</w:t>
            </w:r>
          </w:p>
          <w:p w14:paraId="3B9CA417" w14:textId="77777777" w:rsidR="00763D94" w:rsidRPr="005474F1" w:rsidRDefault="00763D94" w:rsidP="00BD3F2C">
            <w:pPr>
              <w:pStyle w:val="paragraph"/>
              <w:spacing w:before="0" w:beforeAutospacing="0" w:after="0" w:afterAutospacing="0"/>
              <w:contextualSpacing/>
              <w:textAlignment w:val="baseline"/>
              <w:rPr>
                <w:rFonts w:ascii="Verdana" w:hAnsi="Verdana" w:cs="Segoe UI"/>
                <w:sz w:val="15"/>
                <w:szCs w:val="15"/>
                <w:lang w:val="es-ES"/>
              </w:rPr>
            </w:pPr>
            <w:r w:rsidRPr="005474F1">
              <w:rPr>
                <w:rFonts w:ascii="Verdana" w:hAnsi="Verdana" w:cs="Arial"/>
                <w:sz w:val="15"/>
                <w:szCs w:val="15"/>
                <w:lang w:val="es-ES"/>
              </w:rPr>
              <w:t xml:space="preserve">Gestor T1 – 15 </w:t>
            </w:r>
            <w:r w:rsidRPr="005474F1">
              <w:rPr>
                <w:rStyle w:val="normaltextrun"/>
                <w:rFonts w:ascii="Verdana" w:hAnsi="Verdana" w:cs="Arial"/>
                <w:sz w:val="15"/>
                <w:szCs w:val="15"/>
                <w:lang w:val="es-ES"/>
              </w:rPr>
              <w:t>de la Subdirección de Gestión Contractual</w:t>
            </w:r>
            <w:r w:rsidRPr="005474F1">
              <w:rPr>
                <w:rStyle w:val="eop"/>
                <w:rFonts w:ascii="Verdana" w:hAnsi="Verdana" w:cs="Arial"/>
                <w:sz w:val="15"/>
                <w:szCs w:val="15"/>
                <w:lang w:val="es-ES"/>
              </w:rPr>
              <w:t> </w:t>
            </w:r>
          </w:p>
        </w:tc>
      </w:tr>
      <w:tr w:rsidR="00763D94" w:rsidRPr="005474F1" w14:paraId="7B57A0DC" w14:textId="77777777" w:rsidTr="00BD3F2C">
        <w:trPr>
          <w:trHeight w:val="300"/>
        </w:trPr>
        <w:tc>
          <w:tcPr>
            <w:tcW w:w="893" w:type="dxa"/>
            <w:vAlign w:val="center"/>
          </w:tcPr>
          <w:p w14:paraId="2ADCE9E3" w14:textId="77777777" w:rsidR="00763D94" w:rsidRPr="005474F1" w:rsidRDefault="00763D94" w:rsidP="00BD3F2C">
            <w:pPr>
              <w:contextualSpacing/>
              <w:rPr>
                <w:rFonts w:ascii="Verdana" w:hAnsi="Verdana" w:cs="Arial"/>
                <w:sz w:val="15"/>
                <w:szCs w:val="15"/>
                <w:lang w:val="es-ES" w:eastAsia="es-ES"/>
              </w:rPr>
            </w:pPr>
            <w:r w:rsidRPr="005474F1">
              <w:rPr>
                <w:rFonts w:ascii="Verdana" w:hAnsi="Verdana" w:cs="Arial"/>
                <w:sz w:val="15"/>
                <w:szCs w:val="15"/>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805851A" w14:textId="77777777" w:rsidR="00763D94" w:rsidRPr="005474F1" w:rsidRDefault="00763D94" w:rsidP="00BD3F2C">
            <w:pPr>
              <w:contextualSpacing/>
              <w:rPr>
                <w:rFonts w:ascii="Verdana" w:eastAsia="Calibri" w:hAnsi="Verdana" w:cs="Arial"/>
                <w:sz w:val="15"/>
                <w:szCs w:val="15"/>
                <w:lang w:val="es-ES" w:eastAsia="es-ES"/>
              </w:rPr>
            </w:pPr>
            <w:r w:rsidRPr="005474F1">
              <w:rPr>
                <w:rFonts w:ascii="Verdana" w:eastAsia="Calibri" w:hAnsi="Verdana" w:cs="Arial"/>
                <w:sz w:val="15"/>
                <w:szCs w:val="15"/>
                <w:lang w:val="es-ES" w:eastAsia="es-ES"/>
              </w:rPr>
              <w:t>Carolina Quintero Gacharná</w:t>
            </w:r>
          </w:p>
          <w:p w14:paraId="06D02CE9" w14:textId="77777777" w:rsidR="00763D94" w:rsidRPr="005474F1" w:rsidRDefault="00763D94" w:rsidP="00BD3F2C">
            <w:pPr>
              <w:contextualSpacing/>
              <w:rPr>
                <w:rFonts w:ascii="Verdana" w:eastAsia="Calibri" w:hAnsi="Verdana" w:cs="Arial"/>
                <w:sz w:val="15"/>
                <w:szCs w:val="15"/>
                <w:lang w:val="es-ES" w:eastAsia="es-ES"/>
              </w:rPr>
            </w:pPr>
            <w:r w:rsidRPr="005474F1">
              <w:rPr>
                <w:rFonts w:ascii="Verdana" w:eastAsia="Calibri" w:hAnsi="Verdana" w:cs="Arial"/>
                <w:sz w:val="15"/>
                <w:szCs w:val="15"/>
                <w:lang w:val="es-ES" w:eastAsia="es-ES"/>
              </w:rPr>
              <w:t>Subdirectora de Gestión Contractual ANCP – CCE</w:t>
            </w:r>
          </w:p>
        </w:tc>
      </w:tr>
      <w:bookmarkEnd w:id="0"/>
    </w:tbl>
    <w:p w14:paraId="0F293BF4" w14:textId="6C301A5F" w:rsidR="00127233" w:rsidRPr="00037AD3" w:rsidRDefault="00127233" w:rsidP="00763D94"/>
    <w:sectPr w:rsidR="00127233" w:rsidRPr="00037AD3"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7BAEE6" w14:textId="77777777" w:rsidR="002E72EE" w:rsidRDefault="002E72EE" w:rsidP="004A1847">
      <w:pPr>
        <w:spacing w:after="0" w:line="240" w:lineRule="auto"/>
      </w:pPr>
      <w:r>
        <w:separator/>
      </w:r>
    </w:p>
  </w:endnote>
  <w:endnote w:type="continuationSeparator" w:id="0">
    <w:p w14:paraId="7BC1AC6C" w14:textId="77777777" w:rsidR="002E72EE" w:rsidRDefault="002E72EE" w:rsidP="004A1847">
      <w:pPr>
        <w:spacing w:after="0" w:line="240" w:lineRule="auto"/>
      </w:pPr>
      <w:r>
        <w:continuationSeparator/>
      </w:r>
    </w:p>
  </w:endnote>
  <w:endnote w:type="continuationNotice" w:id="1">
    <w:p w14:paraId="43D2040A" w14:textId="77777777" w:rsidR="002E72EE" w:rsidRDefault="002E72E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6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212F99" w14:textId="77777777" w:rsidR="002E72EE" w:rsidRDefault="002E72EE" w:rsidP="004A1847">
      <w:pPr>
        <w:spacing w:after="0" w:line="240" w:lineRule="auto"/>
      </w:pPr>
      <w:r>
        <w:separator/>
      </w:r>
    </w:p>
  </w:footnote>
  <w:footnote w:type="continuationSeparator" w:id="0">
    <w:p w14:paraId="2BBD1815" w14:textId="77777777" w:rsidR="002E72EE" w:rsidRDefault="002E72EE" w:rsidP="004A1847">
      <w:pPr>
        <w:spacing w:after="0" w:line="240" w:lineRule="auto"/>
      </w:pPr>
      <w:r>
        <w:continuationSeparator/>
      </w:r>
    </w:p>
  </w:footnote>
  <w:footnote w:type="continuationNotice" w:id="1">
    <w:p w14:paraId="28F873C7" w14:textId="77777777" w:rsidR="002E72EE" w:rsidRDefault="002E72EE">
      <w:pPr>
        <w:spacing w:after="0" w:line="240" w:lineRule="auto"/>
      </w:pPr>
    </w:p>
  </w:footnote>
  <w:footnote w:id="2">
    <w:p w14:paraId="21CA3217" w14:textId="77777777" w:rsidR="00763D94" w:rsidRPr="00F507F9" w:rsidRDefault="00763D94" w:rsidP="00763D94">
      <w:pPr>
        <w:pStyle w:val="FootnoteText"/>
        <w:ind w:firstLine="709"/>
        <w:contextualSpacing/>
        <w:jc w:val="both"/>
        <w:rPr>
          <w:rFonts w:ascii="Verdana" w:hAnsi="Verdana" w:cs="Arial"/>
          <w:sz w:val="16"/>
          <w:szCs w:val="16"/>
        </w:rPr>
      </w:pPr>
      <w:r w:rsidRPr="00F507F9">
        <w:rPr>
          <w:rStyle w:val="FootnoteReference"/>
          <w:rFonts w:ascii="Verdana" w:hAnsi="Verdana" w:cs="Arial"/>
          <w:sz w:val="16"/>
          <w:szCs w:val="16"/>
        </w:rPr>
        <w:footnoteRef/>
      </w:r>
      <w:r w:rsidRPr="00F507F9">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64F0572C" w14:textId="77777777" w:rsidR="00763D94" w:rsidRPr="00F507F9" w:rsidRDefault="00763D94" w:rsidP="00763D94">
      <w:pPr>
        <w:pStyle w:val="FootnoteText"/>
        <w:ind w:firstLine="709"/>
        <w:contextualSpacing/>
        <w:jc w:val="both"/>
        <w:rPr>
          <w:rFonts w:ascii="Verdana" w:hAnsi="Verdana" w:cs="Arial"/>
          <w:sz w:val="16"/>
          <w:szCs w:val="16"/>
        </w:rPr>
      </w:pPr>
      <w:r w:rsidRPr="00F507F9">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734D2360" w14:textId="77777777" w:rsidR="00763D94" w:rsidRPr="00F507F9" w:rsidRDefault="00763D94" w:rsidP="00763D94">
      <w:pPr>
        <w:pStyle w:val="FootnoteText"/>
        <w:ind w:firstLine="709"/>
        <w:contextualSpacing/>
        <w:jc w:val="both"/>
        <w:rPr>
          <w:rFonts w:ascii="Verdana" w:hAnsi="Verdana" w:cs="Arial"/>
          <w:sz w:val="16"/>
          <w:szCs w:val="16"/>
        </w:rPr>
      </w:pPr>
      <w:r w:rsidRPr="00F507F9">
        <w:rPr>
          <w:rStyle w:val="FootnoteReference"/>
          <w:rFonts w:ascii="Verdana" w:hAnsi="Verdana" w:cs="Arial"/>
          <w:sz w:val="16"/>
          <w:szCs w:val="16"/>
        </w:rPr>
        <w:footnoteRef/>
      </w:r>
      <w:r w:rsidRPr="00F507F9">
        <w:rPr>
          <w:rFonts w:ascii="Verdana" w:hAnsi="Verdana" w:cs="Arial"/>
          <w:sz w:val="16"/>
          <w:szCs w:val="16"/>
        </w:rPr>
        <w:t xml:space="preserve"> Gaceta del Congreso de la República No. 71 del 2005.</w:t>
      </w:r>
    </w:p>
  </w:footnote>
  <w:footnote w:id="4">
    <w:p w14:paraId="71530565" w14:textId="77777777" w:rsidR="00763D94" w:rsidRPr="00F507F9" w:rsidRDefault="00763D94" w:rsidP="00763D94">
      <w:pPr>
        <w:pStyle w:val="FootnoteText"/>
        <w:ind w:firstLine="709"/>
        <w:contextualSpacing/>
        <w:jc w:val="both"/>
        <w:rPr>
          <w:rFonts w:ascii="Verdana" w:hAnsi="Verdana" w:cs="Arial"/>
          <w:sz w:val="16"/>
          <w:szCs w:val="16"/>
          <w:lang w:val="pt-BR"/>
        </w:rPr>
      </w:pPr>
      <w:r w:rsidRPr="00F507F9">
        <w:rPr>
          <w:rStyle w:val="FootnoteReference"/>
          <w:rFonts w:ascii="Verdana" w:hAnsi="Verdana" w:cs="Arial"/>
          <w:sz w:val="16"/>
          <w:szCs w:val="16"/>
        </w:rPr>
        <w:footnoteRef/>
      </w:r>
      <w:r w:rsidRPr="00F507F9">
        <w:rPr>
          <w:rFonts w:ascii="Verdana" w:hAnsi="Verdana" w:cs="Arial"/>
          <w:sz w:val="16"/>
          <w:szCs w:val="16"/>
          <w:lang w:val="pt-BR"/>
        </w:rPr>
        <w:t xml:space="preserve"> Corte Constitucional, Sentencia C- 1153 de 2005, M.P. Marco Gerardo Monroy Cabra.</w:t>
      </w:r>
    </w:p>
  </w:footnote>
  <w:footnote w:id="5">
    <w:p w14:paraId="1902E6B6" w14:textId="77777777" w:rsidR="00763D94" w:rsidRPr="00F507F9" w:rsidRDefault="00763D94" w:rsidP="00763D94">
      <w:pPr>
        <w:pStyle w:val="FootnoteText"/>
        <w:ind w:firstLine="709"/>
        <w:contextualSpacing/>
        <w:jc w:val="both"/>
        <w:rPr>
          <w:rFonts w:ascii="Verdana" w:hAnsi="Verdana" w:cs="Arial"/>
          <w:sz w:val="16"/>
          <w:szCs w:val="16"/>
          <w:lang w:val="pt-BR"/>
        </w:rPr>
      </w:pPr>
      <w:r w:rsidRPr="00F507F9">
        <w:rPr>
          <w:rStyle w:val="FootnoteReference"/>
          <w:rFonts w:ascii="Verdana" w:hAnsi="Verdana" w:cs="Arial"/>
          <w:sz w:val="16"/>
          <w:szCs w:val="16"/>
        </w:rPr>
        <w:footnoteRef/>
      </w:r>
      <w:r w:rsidRPr="00F507F9">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1F5980B4" w14:textId="77777777" w:rsidR="00763D94" w:rsidRPr="00F507F9" w:rsidRDefault="00763D94" w:rsidP="00763D94">
      <w:pPr>
        <w:pStyle w:val="FootnoteText"/>
        <w:ind w:firstLine="709"/>
        <w:contextualSpacing/>
        <w:jc w:val="both"/>
        <w:rPr>
          <w:rFonts w:ascii="Verdana" w:hAnsi="Verdana" w:cs="Arial"/>
          <w:sz w:val="16"/>
          <w:szCs w:val="16"/>
          <w:lang w:val="es-CO"/>
        </w:rPr>
      </w:pPr>
      <w:r w:rsidRPr="00F507F9">
        <w:rPr>
          <w:rStyle w:val="FootnoteReference"/>
          <w:rFonts w:ascii="Verdana" w:hAnsi="Verdana" w:cs="Arial"/>
          <w:sz w:val="16"/>
          <w:szCs w:val="16"/>
        </w:rPr>
        <w:footnoteRef/>
      </w:r>
      <w:r w:rsidRPr="00F507F9">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47AB2FCA" w14:textId="77777777" w:rsidR="00763D94" w:rsidRPr="00F507F9" w:rsidRDefault="00763D94" w:rsidP="00763D94">
      <w:pPr>
        <w:pStyle w:val="FootnoteText"/>
        <w:ind w:firstLine="709"/>
        <w:contextualSpacing/>
        <w:jc w:val="both"/>
        <w:rPr>
          <w:rFonts w:ascii="Verdana" w:hAnsi="Verdana" w:cs="Arial"/>
          <w:sz w:val="16"/>
          <w:szCs w:val="16"/>
        </w:rPr>
      </w:pPr>
      <w:r w:rsidRPr="00F507F9">
        <w:rPr>
          <w:rStyle w:val="FootnoteReference"/>
          <w:rFonts w:ascii="Verdana" w:hAnsi="Verdana" w:cs="Arial"/>
          <w:sz w:val="16"/>
          <w:szCs w:val="16"/>
        </w:rPr>
        <w:footnoteRef/>
      </w:r>
      <w:r w:rsidRPr="00F507F9">
        <w:rPr>
          <w:rFonts w:ascii="Verdana" w:hAnsi="Verdana" w:cs="Arial"/>
          <w:sz w:val="16"/>
          <w:szCs w:val="16"/>
        </w:rPr>
        <w:t xml:space="preserve"> Consejo de Estado, Sala de Consulta y Servicio Civil de fecha 24 de julio de 2013, Rad. 2166, C. P. Álvaro Namén Vargas.  </w:t>
      </w:r>
    </w:p>
  </w:footnote>
  <w:footnote w:id="8">
    <w:p w14:paraId="0D552D48" w14:textId="77777777" w:rsidR="00763D94" w:rsidRPr="00F507F9" w:rsidRDefault="00763D94" w:rsidP="00763D94">
      <w:pPr>
        <w:spacing w:after="0" w:line="240" w:lineRule="auto"/>
        <w:ind w:firstLine="709"/>
        <w:contextualSpacing/>
        <w:jc w:val="both"/>
        <w:rPr>
          <w:rFonts w:ascii="Verdana" w:eastAsia="Times New Roman" w:hAnsi="Verdana" w:cs="Arial"/>
          <w:sz w:val="16"/>
          <w:szCs w:val="16"/>
        </w:rPr>
      </w:pPr>
      <w:r w:rsidRPr="00F507F9">
        <w:rPr>
          <w:rStyle w:val="FootnoteReference"/>
          <w:rFonts w:ascii="Verdana" w:hAnsi="Verdana" w:cs="Arial"/>
          <w:sz w:val="16"/>
          <w:szCs w:val="16"/>
        </w:rPr>
        <w:footnoteRef/>
      </w:r>
      <w:r w:rsidRPr="00F507F9">
        <w:rPr>
          <w:rFonts w:ascii="Verdana" w:hAnsi="Verdana" w:cs="Arial"/>
          <w:sz w:val="16"/>
          <w:szCs w:val="16"/>
        </w:rPr>
        <w:t xml:space="preserve"> </w:t>
      </w:r>
      <w:r w:rsidRPr="00F507F9">
        <w:rPr>
          <w:rFonts w:ascii="Verdana" w:eastAsia="Calibri" w:hAnsi="Verdana" w:cs="Arial"/>
          <w:color w:val="000000"/>
          <w:sz w:val="16"/>
          <w:szCs w:val="16"/>
        </w:rPr>
        <w:t>“</w:t>
      </w:r>
      <w:r w:rsidRPr="00F507F9">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17B6CEEB" w14:textId="77777777" w:rsidR="00763D94" w:rsidRPr="00F507F9" w:rsidRDefault="00763D94" w:rsidP="00763D94">
      <w:pPr>
        <w:spacing w:after="0" w:line="240" w:lineRule="auto"/>
        <w:ind w:firstLine="709"/>
        <w:contextualSpacing/>
        <w:jc w:val="both"/>
        <w:rPr>
          <w:rFonts w:ascii="Verdana" w:eastAsia="Times New Roman" w:hAnsi="Verdana" w:cs="Arial"/>
          <w:sz w:val="16"/>
          <w:szCs w:val="16"/>
        </w:rPr>
      </w:pPr>
      <w:r w:rsidRPr="00F507F9">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507F9">
        <w:rPr>
          <w:rFonts w:ascii="Verdana" w:eastAsia="Calibri" w:hAnsi="Verdana" w:cs="Arial"/>
          <w:color w:val="000000"/>
          <w:sz w:val="16"/>
          <w:szCs w:val="16"/>
        </w:rPr>
        <w:t>”</w:t>
      </w:r>
      <w:r w:rsidRPr="00F507F9">
        <w:rPr>
          <w:rFonts w:ascii="Verdana" w:eastAsia="Times New Roman" w:hAnsi="Verdana" w:cs="Arial"/>
          <w:sz w:val="16"/>
          <w:szCs w:val="16"/>
        </w:rPr>
        <w:t>.</w:t>
      </w:r>
    </w:p>
  </w:footnote>
  <w:footnote w:id="9">
    <w:p w14:paraId="5B2CC3D8" w14:textId="77777777" w:rsidR="00763D94" w:rsidRPr="00F507F9" w:rsidRDefault="00763D94" w:rsidP="00763D94">
      <w:pPr>
        <w:pStyle w:val="NormalWeb"/>
        <w:spacing w:before="0" w:beforeAutospacing="0" w:after="0" w:afterAutospacing="0"/>
        <w:ind w:firstLine="709"/>
        <w:contextualSpacing/>
        <w:jc w:val="both"/>
        <w:rPr>
          <w:rFonts w:ascii="Verdana" w:hAnsi="Verdana" w:cs="Arial"/>
          <w:sz w:val="16"/>
          <w:szCs w:val="16"/>
          <w:lang w:val="es-MX"/>
        </w:rPr>
      </w:pPr>
      <w:r w:rsidRPr="00F507F9">
        <w:rPr>
          <w:rStyle w:val="FootnoteReference"/>
          <w:rFonts w:ascii="Verdana" w:hAnsi="Verdana" w:cs="Arial"/>
          <w:sz w:val="16"/>
          <w:szCs w:val="16"/>
        </w:rPr>
        <w:footnoteRef/>
      </w:r>
      <w:r w:rsidRPr="00F507F9">
        <w:rPr>
          <w:rFonts w:ascii="Verdana" w:hAnsi="Verdana" w:cs="Arial"/>
          <w:sz w:val="16"/>
          <w:szCs w:val="16"/>
        </w:rPr>
        <w:t xml:space="preserve"> </w:t>
      </w:r>
      <w:r w:rsidRPr="00F507F9">
        <w:rPr>
          <w:rFonts w:ascii="Verdana" w:eastAsia="Calibri" w:hAnsi="Verdana" w:cs="Arial"/>
          <w:color w:val="000000"/>
          <w:sz w:val="16"/>
          <w:szCs w:val="16"/>
        </w:rPr>
        <w:t>“</w:t>
      </w:r>
      <w:r w:rsidRPr="00F507F9">
        <w:rPr>
          <w:rFonts w:ascii="Verdana" w:hAnsi="Verdana" w:cs="Arial"/>
          <w:sz w:val="16"/>
          <w:szCs w:val="16"/>
          <w:lang w:val="es-MX"/>
        </w:rPr>
        <w:t>Artículo 38. Prohibiciones para los servidores públicos. A los empleados del Estado les está prohibido: […]</w:t>
      </w:r>
    </w:p>
    <w:p w14:paraId="5F621154" w14:textId="77777777" w:rsidR="00763D94" w:rsidRPr="00F507F9" w:rsidRDefault="00763D94" w:rsidP="00763D94">
      <w:pPr>
        <w:pStyle w:val="NormalWeb"/>
        <w:spacing w:before="0" w:beforeAutospacing="0" w:after="0" w:afterAutospacing="0"/>
        <w:ind w:firstLine="709"/>
        <w:contextualSpacing/>
        <w:jc w:val="both"/>
        <w:rPr>
          <w:rFonts w:ascii="Verdana" w:hAnsi="Verdana" w:cs="Arial"/>
          <w:sz w:val="16"/>
          <w:szCs w:val="16"/>
          <w:lang w:val="es-MX"/>
        </w:rPr>
      </w:pPr>
      <w:r w:rsidRPr="00F507F9">
        <w:rPr>
          <w:rStyle w:val="baj"/>
          <w:rFonts w:ascii="Verdana" w:hAnsi="Verdana" w:cs="Arial"/>
          <w:sz w:val="16"/>
          <w:szCs w:val="16"/>
          <w:lang w:val="es-MX"/>
        </w:rPr>
        <w:t>Parágrafo.</w:t>
      </w:r>
      <w:r w:rsidRPr="00F507F9">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507F9">
        <w:rPr>
          <w:rFonts w:ascii="Verdana" w:eastAsia="Calibri" w:hAnsi="Verdana" w:cs="Arial"/>
          <w:color w:val="000000"/>
          <w:sz w:val="16"/>
          <w:szCs w:val="16"/>
        </w:rPr>
        <w:t>”</w:t>
      </w:r>
      <w:r w:rsidRPr="00F507F9">
        <w:rPr>
          <w:rFonts w:ascii="Verdana" w:hAnsi="Verdana" w:cs="Arial"/>
          <w:sz w:val="16"/>
          <w:szCs w:val="16"/>
          <w:lang w:val="es-MX"/>
        </w:rPr>
        <w:t>.</w:t>
      </w:r>
    </w:p>
  </w:footnote>
  <w:footnote w:id="10">
    <w:p w14:paraId="503FB7E1" w14:textId="77777777" w:rsidR="00763D94" w:rsidRPr="00F507F9" w:rsidRDefault="00763D94" w:rsidP="00763D94">
      <w:pPr>
        <w:spacing w:after="0" w:line="240" w:lineRule="auto"/>
        <w:ind w:left="100" w:right="244" w:firstLine="709"/>
        <w:contextualSpacing/>
        <w:jc w:val="both"/>
        <w:rPr>
          <w:rFonts w:ascii="Verdana" w:hAnsi="Verdana" w:cs="Arial"/>
          <w:sz w:val="16"/>
          <w:szCs w:val="16"/>
          <w:lang w:val="es-ES"/>
        </w:rPr>
      </w:pPr>
      <w:r w:rsidRPr="00F507F9">
        <w:rPr>
          <w:rStyle w:val="FootnoteReference"/>
          <w:rFonts w:ascii="Verdana" w:hAnsi="Verdana" w:cs="Arial"/>
          <w:sz w:val="16"/>
          <w:szCs w:val="16"/>
        </w:rPr>
        <w:footnoteRef/>
      </w:r>
      <w:r w:rsidRPr="00F507F9">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377E0FF3" w14:textId="77777777" w:rsidR="00763D94" w:rsidRPr="00F507F9" w:rsidRDefault="00763D94" w:rsidP="00763D94">
      <w:pPr>
        <w:pStyle w:val="FootnoteText"/>
        <w:ind w:right="51" w:firstLine="709"/>
        <w:contextualSpacing/>
        <w:jc w:val="both"/>
        <w:rPr>
          <w:rFonts w:ascii="Verdana" w:hAnsi="Verdana" w:cs="Arial"/>
          <w:sz w:val="16"/>
          <w:szCs w:val="16"/>
        </w:rPr>
      </w:pPr>
      <w:r w:rsidRPr="00F507F9">
        <w:rPr>
          <w:rStyle w:val="FootnoteReference"/>
          <w:rFonts w:ascii="Verdana" w:hAnsi="Verdana" w:cs="Arial"/>
          <w:sz w:val="16"/>
          <w:szCs w:val="16"/>
        </w:rPr>
        <w:footnoteRef/>
      </w:r>
      <w:r w:rsidRPr="00F507F9">
        <w:rPr>
          <w:rFonts w:ascii="Verdana" w:hAnsi="Verdana" w:cs="Arial"/>
          <w:sz w:val="16"/>
          <w:szCs w:val="16"/>
        </w:rPr>
        <w:t xml:space="preserve"> “</w:t>
      </w:r>
      <w:r w:rsidRPr="00F507F9">
        <w:rPr>
          <w:rFonts w:ascii="Verdana" w:hAnsi="Verdana" w:cs="Arial"/>
          <w:sz w:val="16"/>
          <w:szCs w:val="16"/>
          <w:lang w:val="es-ES"/>
        </w:rPr>
        <w:t xml:space="preserve">[26] </w:t>
      </w:r>
      <w:r w:rsidRPr="00F507F9">
        <w:rPr>
          <w:rFonts w:ascii="Verdana" w:hAnsi="Verdana" w:cs="Arial"/>
          <w:sz w:val="16"/>
          <w:szCs w:val="16"/>
        </w:rPr>
        <w:t>Al respecto ver el concepto 1712 de 2 de febrero de 2006. Consejo de Estado Sala de Consulta y Servicio Civil”.</w:t>
      </w:r>
    </w:p>
  </w:footnote>
  <w:footnote w:id="12">
    <w:p w14:paraId="7A36B59D" w14:textId="77777777" w:rsidR="00763D94" w:rsidRPr="00F507F9" w:rsidRDefault="00763D94" w:rsidP="00763D94">
      <w:pPr>
        <w:pStyle w:val="FootnoteText"/>
        <w:ind w:firstLine="709"/>
        <w:contextualSpacing/>
        <w:jc w:val="both"/>
        <w:rPr>
          <w:rFonts w:ascii="Verdana" w:hAnsi="Verdana" w:cs="Arial"/>
          <w:sz w:val="16"/>
          <w:szCs w:val="16"/>
        </w:rPr>
      </w:pPr>
      <w:r w:rsidRPr="00F507F9">
        <w:rPr>
          <w:rStyle w:val="FootnoteReference"/>
          <w:rFonts w:ascii="Verdana" w:hAnsi="Verdana" w:cs="Arial"/>
          <w:sz w:val="16"/>
          <w:szCs w:val="16"/>
        </w:rPr>
        <w:footnoteRef/>
      </w:r>
      <w:r w:rsidRPr="00F507F9">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3">
    <w:p w14:paraId="1FE24E29" w14:textId="77777777" w:rsidR="00763D94" w:rsidRPr="00F507F9" w:rsidRDefault="00763D94" w:rsidP="00763D94">
      <w:pPr>
        <w:pStyle w:val="FootnoteText"/>
        <w:ind w:firstLine="709"/>
        <w:contextualSpacing/>
        <w:jc w:val="both"/>
        <w:rPr>
          <w:rFonts w:ascii="Verdana" w:hAnsi="Verdana" w:cs="Arial"/>
          <w:sz w:val="16"/>
          <w:szCs w:val="16"/>
          <w:lang w:val="es-ES"/>
        </w:rPr>
      </w:pPr>
      <w:r w:rsidRPr="00F507F9">
        <w:rPr>
          <w:rStyle w:val="FootnoteReference"/>
          <w:rFonts w:ascii="Verdana" w:hAnsi="Verdana" w:cs="Arial"/>
          <w:sz w:val="16"/>
          <w:szCs w:val="16"/>
        </w:rPr>
        <w:footnoteRef/>
      </w:r>
      <w:r w:rsidRPr="00F507F9">
        <w:rPr>
          <w:rFonts w:ascii="Verdana" w:hAnsi="Verdana" w:cs="Arial"/>
          <w:sz w:val="16"/>
          <w:szCs w:val="16"/>
        </w:rPr>
        <w:t xml:space="preserve"> </w:t>
      </w:r>
      <w:r w:rsidRPr="00F507F9">
        <w:rPr>
          <w:rFonts w:ascii="Verdana" w:hAnsi="Verdana" w:cs="Arial"/>
          <w:sz w:val="16"/>
          <w:szCs w:val="16"/>
          <w:lang w:val="es-ES"/>
        </w:rPr>
        <w:t xml:space="preserve">Artículo 2. </w:t>
      </w:r>
    </w:p>
  </w:footnote>
  <w:footnote w:id="14">
    <w:p w14:paraId="47DD33C4" w14:textId="77777777" w:rsidR="00763D94" w:rsidRPr="00F507F9" w:rsidRDefault="00763D94" w:rsidP="00763D94">
      <w:pPr>
        <w:pStyle w:val="FootnoteText"/>
        <w:ind w:firstLine="709"/>
        <w:contextualSpacing/>
        <w:jc w:val="both"/>
        <w:rPr>
          <w:rFonts w:ascii="Verdana" w:hAnsi="Verdana" w:cs="Arial"/>
          <w:sz w:val="16"/>
          <w:szCs w:val="16"/>
          <w:lang w:val="es-ES"/>
        </w:rPr>
      </w:pPr>
      <w:r w:rsidRPr="00F507F9">
        <w:rPr>
          <w:rStyle w:val="FootnoteReference"/>
          <w:rFonts w:ascii="Verdana" w:hAnsi="Verdana" w:cs="Arial"/>
          <w:sz w:val="16"/>
          <w:szCs w:val="16"/>
        </w:rPr>
        <w:footnoteRef/>
      </w:r>
      <w:r w:rsidRPr="00F507F9">
        <w:rPr>
          <w:rFonts w:ascii="Verdana" w:hAnsi="Verdana" w:cs="Arial"/>
          <w:sz w:val="16"/>
          <w:szCs w:val="16"/>
        </w:rPr>
        <w:t xml:space="preserve"> </w:t>
      </w:r>
      <w:r w:rsidRPr="00F507F9">
        <w:rPr>
          <w:rFonts w:ascii="Verdana" w:hAnsi="Verdana" w:cs="Arial"/>
          <w:i/>
          <w:sz w:val="16"/>
          <w:szCs w:val="16"/>
          <w:lang w:val="es-ES"/>
        </w:rPr>
        <w:t>Ídem</w:t>
      </w:r>
      <w:r w:rsidRPr="00F507F9">
        <w:rPr>
          <w:rFonts w:ascii="Verdana" w:hAnsi="Verdana" w:cs="Arial"/>
          <w:sz w:val="16"/>
          <w:szCs w:val="16"/>
          <w:lang w:val="es-ES"/>
        </w:rPr>
        <w:t>.</w:t>
      </w:r>
    </w:p>
  </w:footnote>
  <w:footnote w:id="15">
    <w:p w14:paraId="0C17BAE0" w14:textId="77777777" w:rsidR="00763D94" w:rsidRPr="00F507F9" w:rsidRDefault="00763D94" w:rsidP="00763D94">
      <w:pPr>
        <w:pStyle w:val="FootnoteText"/>
        <w:ind w:firstLine="709"/>
        <w:contextualSpacing/>
        <w:jc w:val="both"/>
        <w:rPr>
          <w:rFonts w:ascii="Verdana" w:hAnsi="Verdana" w:cs="Arial"/>
          <w:sz w:val="16"/>
          <w:szCs w:val="16"/>
        </w:rPr>
      </w:pPr>
      <w:r w:rsidRPr="00F507F9">
        <w:rPr>
          <w:rStyle w:val="FootnoteReference"/>
          <w:rFonts w:ascii="Verdana" w:hAnsi="Verdana" w:cs="Arial"/>
          <w:sz w:val="16"/>
          <w:szCs w:val="16"/>
        </w:rPr>
        <w:footnoteRef/>
      </w:r>
      <w:r w:rsidRPr="00F507F9">
        <w:rPr>
          <w:rFonts w:ascii="Verdana" w:hAnsi="Verdana" w:cs="Arial"/>
          <w:sz w:val="16"/>
          <w:szCs w:val="16"/>
        </w:rPr>
        <w:t xml:space="preserve"> Consejo de Estado. Sala de Consulta y Servicio Civil. Concepto del 08 de mayo de 2018. Exp. 2.382. C.P. Álvaro Namén Vargas.</w:t>
      </w:r>
    </w:p>
  </w:footnote>
  <w:footnote w:id="16">
    <w:p w14:paraId="0568E098" w14:textId="77777777" w:rsidR="00763D94" w:rsidRPr="00F507F9" w:rsidRDefault="00763D94" w:rsidP="00763D94">
      <w:pPr>
        <w:pStyle w:val="FootnoteText"/>
        <w:ind w:firstLine="708"/>
        <w:contextualSpacing/>
        <w:jc w:val="both"/>
        <w:rPr>
          <w:rFonts w:ascii="Verdana" w:hAnsi="Verdana"/>
          <w:sz w:val="16"/>
          <w:szCs w:val="16"/>
          <w:lang w:val="es-ES"/>
        </w:rPr>
      </w:pPr>
      <w:r w:rsidRPr="00F507F9">
        <w:rPr>
          <w:rStyle w:val="FootnoteReference"/>
          <w:rFonts w:ascii="Verdana" w:hAnsi="Verdana"/>
          <w:sz w:val="16"/>
          <w:szCs w:val="16"/>
        </w:rPr>
        <w:footnoteRef/>
      </w:r>
      <w:r w:rsidRPr="00F507F9">
        <w:rPr>
          <w:rFonts w:ascii="Verdana" w:hAnsi="Verdana"/>
          <w:sz w:val="16"/>
          <w:szCs w:val="16"/>
        </w:rPr>
        <w:t xml:space="preserve"> </w:t>
      </w:r>
      <w:r w:rsidRPr="00F507F9">
        <w:rPr>
          <w:rFonts w:ascii="Verdana" w:eastAsia="Calibri" w:hAnsi="Verdana" w:cs="Arial"/>
          <w:sz w:val="16"/>
          <w:szCs w:val="16"/>
          <w:lang w:val="es-ES"/>
        </w:rPr>
        <w:t xml:space="preserve">Consejo de Estado, Sala de Consulta y Servicio Civil, Concepto de fecha 8 de mayo de 2018, No. </w:t>
      </w:r>
      <w:r w:rsidRPr="00F507F9">
        <w:rPr>
          <w:rFonts w:ascii="Verdana" w:hAnsi="Verdana"/>
          <w:sz w:val="16"/>
          <w:szCs w:val="16"/>
          <w:lang w:val="es-CO"/>
        </w:rPr>
        <w:t>2382.</w:t>
      </w:r>
      <w:r w:rsidRPr="00F507F9">
        <w:rPr>
          <w:rFonts w:ascii="Verdana" w:hAnsi="Verdana"/>
          <w:sz w:val="16"/>
          <w:szCs w:val="16"/>
        </w:rPr>
        <w:t xml:space="preserve"> </w:t>
      </w:r>
      <w:r w:rsidRPr="00F507F9">
        <w:rPr>
          <w:rFonts w:ascii="Verdana" w:hAnsi="Verdana"/>
          <w:sz w:val="16"/>
          <w:szCs w:val="16"/>
          <w:lang w:val="es-CO"/>
        </w:rPr>
        <w:t>C. P. Álvaro Namén Vargas.</w:t>
      </w:r>
    </w:p>
  </w:footnote>
  <w:footnote w:id="17">
    <w:p w14:paraId="237CEA0F" w14:textId="77777777" w:rsidR="00763D94" w:rsidRPr="00F507F9" w:rsidRDefault="00763D94" w:rsidP="00763D94">
      <w:pPr>
        <w:pStyle w:val="FootnoteText"/>
        <w:ind w:firstLine="708"/>
        <w:jc w:val="both"/>
        <w:rPr>
          <w:rFonts w:ascii="Verdana" w:hAnsi="Verdana"/>
          <w:sz w:val="16"/>
          <w:szCs w:val="16"/>
        </w:rPr>
      </w:pPr>
      <w:r w:rsidRPr="00F507F9">
        <w:rPr>
          <w:rStyle w:val="FootnoteReference"/>
          <w:rFonts w:ascii="Verdana" w:hAnsi="Verdana"/>
          <w:sz w:val="16"/>
          <w:szCs w:val="16"/>
        </w:rPr>
        <w:footnoteRef/>
      </w:r>
      <w:r w:rsidRPr="00F507F9">
        <w:rPr>
          <w:rFonts w:ascii="Verdana" w:hAnsi="Verdana"/>
          <w:sz w:val="16"/>
          <w:szCs w:val="16"/>
        </w:rPr>
        <w:t xml:space="preserve"> </w:t>
      </w:r>
      <w:r w:rsidRPr="00F507F9">
        <w:rPr>
          <w:rFonts w:ascii="Verdana" w:hAnsi="Verdana"/>
          <w:sz w:val="16"/>
          <w:szCs w:val="16"/>
          <w:lang w:val="es-ES"/>
        </w:rPr>
        <w:t>Ley 1150 de 2007, artículo 6: “</w:t>
      </w:r>
      <w:r w:rsidRPr="00F507F9">
        <w:rPr>
          <w:rFonts w:ascii="Verdana" w:hAnsi="Verdana"/>
          <w:i/>
          <w:sz w:val="16"/>
          <w:szCs w:val="16"/>
        </w:rPr>
        <w:t>De la Capacidad para Contratar</w:t>
      </w:r>
      <w:r w:rsidRPr="00F507F9">
        <w:rPr>
          <w:rFonts w:ascii="Verdana" w:hAnsi="Verdana"/>
          <w:b/>
          <w:sz w:val="16"/>
          <w:szCs w:val="16"/>
        </w:rPr>
        <w:t>.</w:t>
      </w:r>
      <w:r w:rsidRPr="00F507F9">
        <w:rPr>
          <w:rFonts w:ascii="Verdana" w:hAnsi="Verdana"/>
          <w:sz w:val="16"/>
          <w:szCs w:val="16"/>
        </w:rPr>
        <w:t> Pueden celebrar contratos con las entidades estatales las personas consideradas legalmente capaces en las disposiciones vigentes. También podrán celebrar contratos con las entidades estatales los Cabildos Indígenas, las asociaciones de Autoridades Tradicionales Indígenas, los consejos comunitarios de las comunidades negras regulados por la Ley 70 de 1993.</w:t>
      </w:r>
    </w:p>
    <w:p w14:paraId="0A2BF5D4" w14:textId="77777777" w:rsidR="00763D94" w:rsidRPr="00F507F9" w:rsidRDefault="00763D94" w:rsidP="00763D94">
      <w:pPr>
        <w:pStyle w:val="FootnoteText"/>
        <w:ind w:firstLine="708"/>
        <w:jc w:val="both"/>
        <w:rPr>
          <w:rFonts w:ascii="Verdana" w:hAnsi="Verdana"/>
          <w:sz w:val="16"/>
          <w:szCs w:val="16"/>
        </w:rPr>
      </w:pPr>
      <w:r w:rsidRPr="00F507F9">
        <w:rPr>
          <w:rFonts w:ascii="Verdana" w:hAnsi="Verdana"/>
          <w:sz w:val="16"/>
          <w:szCs w:val="16"/>
        </w:rPr>
        <w:t>Para las organizaciones de base de comunidades negras, afrocolombianas, raizales y palenqueras y las demás formas y expresiones organizativas, deberán contar con diez (10) años o más de haber sido incorporados por el Ministerio del Interior en el correspondiente Registro Público Único Nacional y que hayan cumplido con el deber de actualización de información en el mismo registro; y los consorcios y uniones temporales.</w:t>
      </w:r>
    </w:p>
    <w:p w14:paraId="53827837" w14:textId="77777777" w:rsidR="00763D94" w:rsidRPr="00F507F9" w:rsidRDefault="00763D94" w:rsidP="00763D94">
      <w:pPr>
        <w:pStyle w:val="FootnoteText"/>
        <w:ind w:firstLine="708"/>
        <w:jc w:val="both"/>
        <w:rPr>
          <w:rFonts w:ascii="Verdana" w:hAnsi="Verdana"/>
          <w:sz w:val="16"/>
          <w:szCs w:val="16"/>
        </w:rPr>
      </w:pPr>
      <w:r w:rsidRPr="00F507F9">
        <w:rPr>
          <w:rFonts w:ascii="Verdana" w:hAnsi="Verdana"/>
          <w:sz w:val="16"/>
          <w:szCs w:val="16"/>
        </w:rPr>
        <w:t>Las personas jurídicas nacionales y extranjeras deberán acreditar que su duración no será inferior a la del plazo del contrato y un año más”.</w:t>
      </w:r>
    </w:p>
  </w:footnote>
  <w:footnote w:id="18">
    <w:p w14:paraId="4F4ACAA5" w14:textId="77777777" w:rsidR="00763D94" w:rsidRPr="00F507F9" w:rsidRDefault="00763D94" w:rsidP="00763D94">
      <w:pPr>
        <w:spacing w:after="0" w:line="240" w:lineRule="auto"/>
        <w:ind w:firstLine="709"/>
        <w:contextualSpacing/>
        <w:jc w:val="both"/>
        <w:rPr>
          <w:rFonts w:ascii="Verdana" w:hAnsi="Verdana" w:cs="Arial"/>
          <w:color w:val="000000" w:themeColor="text1"/>
          <w:sz w:val="16"/>
          <w:szCs w:val="16"/>
        </w:rPr>
      </w:pPr>
      <w:r w:rsidRPr="00F507F9">
        <w:rPr>
          <w:rStyle w:val="FootnoteReference"/>
          <w:rFonts w:ascii="Verdana" w:hAnsi="Verdana" w:cs="Arial"/>
          <w:color w:val="000000" w:themeColor="text1"/>
          <w:sz w:val="16"/>
          <w:szCs w:val="16"/>
        </w:rPr>
        <w:footnoteRef/>
      </w:r>
      <w:r w:rsidRPr="00F507F9">
        <w:rPr>
          <w:rFonts w:ascii="Verdana" w:hAnsi="Verdana" w:cs="Arial"/>
          <w:color w:val="000000" w:themeColor="text1"/>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9">
    <w:p w14:paraId="034CEEAB" w14:textId="77777777" w:rsidR="00763D94" w:rsidRPr="00F507F9" w:rsidRDefault="00763D94" w:rsidP="00763D94">
      <w:pPr>
        <w:pStyle w:val="FootnoteText"/>
        <w:ind w:firstLine="708"/>
        <w:contextualSpacing/>
        <w:jc w:val="both"/>
        <w:rPr>
          <w:rFonts w:ascii="Verdana" w:hAnsi="Verdana" w:cs="Arial"/>
          <w:color w:val="000000" w:themeColor="text1"/>
          <w:sz w:val="16"/>
          <w:szCs w:val="16"/>
        </w:rPr>
      </w:pPr>
      <w:r w:rsidRPr="00F507F9">
        <w:rPr>
          <w:rStyle w:val="FootnoteReference"/>
          <w:rFonts w:ascii="Verdana" w:hAnsi="Verdana" w:cs="Arial"/>
          <w:color w:val="000000" w:themeColor="text1"/>
          <w:sz w:val="16"/>
          <w:szCs w:val="16"/>
        </w:rPr>
        <w:footnoteRef/>
      </w:r>
      <w:r w:rsidRPr="00F507F9">
        <w:rPr>
          <w:rFonts w:ascii="Verdana" w:hAnsi="Verdana" w:cs="Arial"/>
          <w:color w:val="000000" w:themeColor="text1"/>
          <w:sz w:val="16"/>
          <w:szCs w:val="16"/>
        </w:rPr>
        <w:t xml:space="preserve"> Corte Constitucional. Sentencia C-1153 de 2005 M.P. Marco Gerardo Monroy Cabra. </w:t>
      </w:r>
    </w:p>
  </w:footnote>
  <w:footnote w:id="20">
    <w:p w14:paraId="396CB79D" w14:textId="77777777" w:rsidR="00763D94" w:rsidRPr="00F507F9" w:rsidRDefault="00763D94" w:rsidP="00763D94">
      <w:pPr>
        <w:pStyle w:val="FootnoteText"/>
        <w:ind w:firstLine="708"/>
        <w:contextualSpacing/>
        <w:jc w:val="both"/>
        <w:rPr>
          <w:rFonts w:ascii="Verdana" w:hAnsi="Verdana" w:cs="Arial"/>
          <w:color w:val="000000" w:themeColor="text1"/>
          <w:sz w:val="16"/>
          <w:szCs w:val="16"/>
        </w:rPr>
      </w:pPr>
      <w:r w:rsidRPr="00F507F9">
        <w:rPr>
          <w:rStyle w:val="FootnoteReference"/>
          <w:rFonts w:ascii="Verdana" w:hAnsi="Verdana" w:cs="Arial"/>
          <w:color w:val="000000" w:themeColor="text1"/>
          <w:sz w:val="16"/>
          <w:szCs w:val="16"/>
        </w:rPr>
        <w:footnoteRef/>
      </w:r>
      <w:r w:rsidRPr="00F507F9">
        <w:rPr>
          <w:rFonts w:ascii="Verdana" w:hAnsi="Verdana" w:cs="Arial"/>
          <w:color w:val="000000" w:themeColor="text1"/>
          <w:sz w:val="16"/>
          <w:szCs w:val="16"/>
        </w:rPr>
        <w:t xml:space="preserve"> Consejo de Estado. Sala de Consulta y Servicio Civil. Concepto del 18 de febrero 2010. Rad. 11001-03-06-000-2010-00006-00 (1985). C.P. Enrique José Arboleda Perdomo.</w:t>
      </w:r>
    </w:p>
  </w:footnote>
  <w:footnote w:id="21">
    <w:p w14:paraId="1ACCE34C" w14:textId="77777777" w:rsidR="00763D94" w:rsidRPr="00F507F9" w:rsidRDefault="00763D94" w:rsidP="00763D94">
      <w:pPr>
        <w:pStyle w:val="FootnoteText"/>
        <w:ind w:firstLine="708"/>
        <w:contextualSpacing/>
        <w:jc w:val="both"/>
        <w:rPr>
          <w:rFonts w:ascii="Verdana" w:hAnsi="Verdana" w:cs="Arial"/>
          <w:color w:val="000000" w:themeColor="text1"/>
          <w:sz w:val="16"/>
          <w:szCs w:val="16"/>
        </w:rPr>
      </w:pPr>
      <w:r w:rsidRPr="00F507F9">
        <w:rPr>
          <w:rStyle w:val="FootnoteReference"/>
          <w:rFonts w:ascii="Verdana" w:hAnsi="Verdana" w:cs="Arial"/>
          <w:color w:val="000000" w:themeColor="text1"/>
          <w:sz w:val="16"/>
          <w:szCs w:val="16"/>
        </w:rPr>
        <w:footnoteRef/>
      </w:r>
      <w:r w:rsidRPr="00F507F9">
        <w:rPr>
          <w:rFonts w:ascii="Verdana" w:hAnsi="Verdana" w:cs="Arial"/>
          <w:color w:val="000000" w:themeColor="text1"/>
          <w:sz w:val="16"/>
          <w:szCs w:val="16"/>
        </w:rPr>
        <w:t xml:space="preserve"> Consejo de Estado. Sala de Consulta y Servicio Civil. Concepto del 02 de septiembre de 2013. Rad. 11001-03-06-000-2013-00412-00 (2168). C.P. Álvaro Namén Vargas.</w:t>
      </w:r>
    </w:p>
  </w:footnote>
  <w:footnote w:id="22">
    <w:p w14:paraId="41389C3F" w14:textId="77777777" w:rsidR="00763D94" w:rsidRPr="00F507F9" w:rsidRDefault="00763D94" w:rsidP="00763D94">
      <w:pPr>
        <w:pStyle w:val="FootnoteText"/>
        <w:ind w:firstLine="708"/>
        <w:jc w:val="both"/>
        <w:rPr>
          <w:rFonts w:ascii="Verdana" w:hAnsi="Verdana"/>
          <w:sz w:val="16"/>
          <w:szCs w:val="16"/>
        </w:rPr>
      </w:pPr>
      <w:r w:rsidRPr="00F507F9">
        <w:rPr>
          <w:rStyle w:val="FootnoteReference"/>
          <w:rFonts w:ascii="Verdana" w:hAnsi="Verdana"/>
          <w:sz w:val="16"/>
          <w:szCs w:val="16"/>
        </w:rPr>
        <w:footnoteRef/>
      </w:r>
      <w:r w:rsidRPr="00F507F9">
        <w:rPr>
          <w:rFonts w:ascii="Verdana" w:hAnsi="Verdana"/>
          <w:sz w:val="16"/>
          <w:szCs w:val="16"/>
        </w:rPr>
        <w:t xml:space="preserve"> </w:t>
      </w:r>
      <w:r w:rsidRPr="00F507F9">
        <w:rPr>
          <w:rFonts w:ascii="Verdana" w:hAnsi="Verdana"/>
          <w:sz w:val="16"/>
          <w:szCs w:val="16"/>
          <w:lang w:val="es-ES"/>
        </w:rPr>
        <w:t xml:space="preserve">Para mayor información consulta el concepto </w:t>
      </w:r>
      <w:r w:rsidRPr="00F507F9">
        <w:rPr>
          <w:rFonts w:ascii="Verdana" w:hAnsi="Verdana"/>
          <w:sz w:val="16"/>
          <w:szCs w:val="16"/>
        </w:rPr>
        <w:t xml:space="preserve">C‒559 de 2021 en el siguiente enlace: </w:t>
      </w:r>
      <w:hyperlink r:id="rId1" w:history="1">
        <w:r w:rsidRPr="00F507F9">
          <w:rPr>
            <w:rStyle w:val="Hyperlink"/>
            <w:rFonts w:ascii="Verdana" w:hAnsi="Verdana"/>
            <w:sz w:val="16"/>
            <w:szCs w:val="16"/>
          </w:rPr>
          <w:t>https://relatoria.colombiacompra.gov.co/conceptos/c-559-de-2021/</w:t>
        </w:r>
      </w:hyperlink>
      <w:r w:rsidRPr="00F507F9">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34" type="#_x0000_t75" style="width:12.2pt;height:12.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E2439DD"/>
    <w:multiLevelType w:val="hybridMultilevel"/>
    <w:tmpl w:val="EF621908"/>
    <w:lvl w:ilvl="0" w:tplc="04090011">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9"/>
  </w:num>
  <w:num w:numId="17" w16cid:durableId="19523814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7AD3"/>
    <w:rsid w:val="00046945"/>
    <w:rsid w:val="00061B2A"/>
    <w:rsid w:val="00082362"/>
    <w:rsid w:val="00090D6B"/>
    <w:rsid w:val="000A683E"/>
    <w:rsid w:val="000B19B9"/>
    <w:rsid w:val="000D0334"/>
    <w:rsid w:val="000D5DA7"/>
    <w:rsid w:val="000F6486"/>
    <w:rsid w:val="00116940"/>
    <w:rsid w:val="00125105"/>
    <w:rsid w:val="00127233"/>
    <w:rsid w:val="0015699B"/>
    <w:rsid w:val="001A33BF"/>
    <w:rsid w:val="001B7004"/>
    <w:rsid w:val="001E4177"/>
    <w:rsid w:val="001F0B24"/>
    <w:rsid w:val="001F7DC6"/>
    <w:rsid w:val="0022400B"/>
    <w:rsid w:val="002421BB"/>
    <w:rsid w:val="0025796E"/>
    <w:rsid w:val="002707A2"/>
    <w:rsid w:val="002801C9"/>
    <w:rsid w:val="002951A0"/>
    <w:rsid w:val="002962BC"/>
    <w:rsid w:val="002A093D"/>
    <w:rsid w:val="002A0DD0"/>
    <w:rsid w:val="002A49AC"/>
    <w:rsid w:val="002A4A13"/>
    <w:rsid w:val="002A64FD"/>
    <w:rsid w:val="002C7A84"/>
    <w:rsid w:val="002E2BF8"/>
    <w:rsid w:val="002E4FD9"/>
    <w:rsid w:val="002E72EE"/>
    <w:rsid w:val="0030657A"/>
    <w:rsid w:val="00322A85"/>
    <w:rsid w:val="00324168"/>
    <w:rsid w:val="00330834"/>
    <w:rsid w:val="003448F4"/>
    <w:rsid w:val="00374F5E"/>
    <w:rsid w:val="00377E3E"/>
    <w:rsid w:val="003A779E"/>
    <w:rsid w:val="003D0F4D"/>
    <w:rsid w:val="003D5B0D"/>
    <w:rsid w:val="003D7BD8"/>
    <w:rsid w:val="003E0499"/>
    <w:rsid w:val="003E4F80"/>
    <w:rsid w:val="003E6439"/>
    <w:rsid w:val="003F3941"/>
    <w:rsid w:val="00406575"/>
    <w:rsid w:val="00414C74"/>
    <w:rsid w:val="0042722E"/>
    <w:rsid w:val="0044528D"/>
    <w:rsid w:val="00466E39"/>
    <w:rsid w:val="004A1847"/>
    <w:rsid w:val="004A305D"/>
    <w:rsid w:val="004F21C4"/>
    <w:rsid w:val="004F685F"/>
    <w:rsid w:val="005055F1"/>
    <w:rsid w:val="005566E8"/>
    <w:rsid w:val="00574867"/>
    <w:rsid w:val="00591460"/>
    <w:rsid w:val="005A65E0"/>
    <w:rsid w:val="005C3777"/>
    <w:rsid w:val="005C5CDC"/>
    <w:rsid w:val="005D476C"/>
    <w:rsid w:val="006200BF"/>
    <w:rsid w:val="006219F8"/>
    <w:rsid w:val="006302F7"/>
    <w:rsid w:val="00646B9F"/>
    <w:rsid w:val="00665D70"/>
    <w:rsid w:val="006900D9"/>
    <w:rsid w:val="006A7CB3"/>
    <w:rsid w:val="006D22F5"/>
    <w:rsid w:val="00706C16"/>
    <w:rsid w:val="007340C3"/>
    <w:rsid w:val="0075235A"/>
    <w:rsid w:val="00756841"/>
    <w:rsid w:val="00763D94"/>
    <w:rsid w:val="007649AB"/>
    <w:rsid w:val="00771D0C"/>
    <w:rsid w:val="007833AC"/>
    <w:rsid w:val="007B268C"/>
    <w:rsid w:val="007B4B18"/>
    <w:rsid w:val="007B7171"/>
    <w:rsid w:val="007C0C0F"/>
    <w:rsid w:val="007C3DC2"/>
    <w:rsid w:val="007E5497"/>
    <w:rsid w:val="00804693"/>
    <w:rsid w:val="00806F5F"/>
    <w:rsid w:val="00820278"/>
    <w:rsid w:val="008258C9"/>
    <w:rsid w:val="00844AE9"/>
    <w:rsid w:val="00867F95"/>
    <w:rsid w:val="008843B6"/>
    <w:rsid w:val="00891928"/>
    <w:rsid w:val="008A104D"/>
    <w:rsid w:val="008A446D"/>
    <w:rsid w:val="008B25F1"/>
    <w:rsid w:val="008C15CE"/>
    <w:rsid w:val="008D180B"/>
    <w:rsid w:val="008F0EA7"/>
    <w:rsid w:val="00923EEF"/>
    <w:rsid w:val="009419F9"/>
    <w:rsid w:val="009445A9"/>
    <w:rsid w:val="0095685E"/>
    <w:rsid w:val="00961B09"/>
    <w:rsid w:val="00965334"/>
    <w:rsid w:val="0097093E"/>
    <w:rsid w:val="009A0DFA"/>
    <w:rsid w:val="009A1C6F"/>
    <w:rsid w:val="009B2D26"/>
    <w:rsid w:val="009C71FA"/>
    <w:rsid w:val="009C72E7"/>
    <w:rsid w:val="009C7F7E"/>
    <w:rsid w:val="009D3058"/>
    <w:rsid w:val="009D4D87"/>
    <w:rsid w:val="009F3A13"/>
    <w:rsid w:val="00A05A17"/>
    <w:rsid w:val="00A122D3"/>
    <w:rsid w:val="00A14468"/>
    <w:rsid w:val="00A17F13"/>
    <w:rsid w:val="00A20739"/>
    <w:rsid w:val="00A23674"/>
    <w:rsid w:val="00A23AF9"/>
    <w:rsid w:val="00A3249F"/>
    <w:rsid w:val="00A33C78"/>
    <w:rsid w:val="00AB0ADB"/>
    <w:rsid w:val="00AC7A04"/>
    <w:rsid w:val="00AE39B2"/>
    <w:rsid w:val="00B00C0E"/>
    <w:rsid w:val="00B01B1A"/>
    <w:rsid w:val="00B0381D"/>
    <w:rsid w:val="00B44A47"/>
    <w:rsid w:val="00B72CD3"/>
    <w:rsid w:val="00B72FFF"/>
    <w:rsid w:val="00BC3D36"/>
    <w:rsid w:val="00BD54A6"/>
    <w:rsid w:val="00BD7F72"/>
    <w:rsid w:val="00BE0862"/>
    <w:rsid w:val="00BF7425"/>
    <w:rsid w:val="00C04FB3"/>
    <w:rsid w:val="00C11D8B"/>
    <w:rsid w:val="00C15139"/>
    <w:rsid w:val="00C330EB"/>
    <w:rsid w:val="00C50D69"/>
    <w:rsid w:val="00C5365C"/>
    <w:rsid w:val="00C62C8B"/>
    <w:rsid w:val="00C754BE"/>
    <w:rsid w:val="00C76B1C"/>
    <w:rsid w:val="00C925AC"/>
    <w:rsid w:val="00CB6357"/>
    <w:rsid w:val="00CC1B26"/>
    <w:rsid w:val="00D361FD"/>
    <w:rsid w:val="00D423A2"/>
    <w:rsid w:val="00D44E26"/>
    <w:rsid w:val="00D520D8"/>
    <w:rsid w:val="00D63AC2"/>
    <w:rsid w:val="00D7383B"/>
    <w:rsid w:val="00D7788A"/>
    <w:rsid w:val="00DA231B"/>
    <w:rsid w:val="00DA6987"/>
    <w:rsid w:val="00DB5B0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A7064"/>
    <w:rsid w:val="00EC38A7"/>
    <w:rsid w:val="00ED29B0"/>
    <w:rsid w:val="00EE1AA8"/>
    <w:rsid w:val="00F13A20"/>
    <w:rsid w:val="00F23FEA"/>
    <w:rsid w:val="00F31EDC"/>
    <w:rsid w:val="00F462B3"/>
    <w:rsid w:val="00F5664F"/>
    <w:rsid w:val="00F666C4"/>
    <w:rsid w:val="00F76AFC"/>
    <w:rsid w:val="00F77BD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link w:val="NormalWebCh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763D94"/>
    <w:pPr>
      <w:spacing w:line="240" w:lineRule="exact"/>
    </w:pPr>
    <w:rPr>
      <w:vertAlign w:val="superscript"/>
    </w:rPr>
  </w:style>
  <w:style w:type="character" w:customStyle="1" w:styleId="baj">
    <w:name w:val="b_aj"/>
    <w:basedOn w:val="DefaultParagraphFont"/>
    <w:rsid w:val="00763D94"/>
  </w:style>
  <w:style w:type="character" w:customStyle="1" w:styleId="NormalWebChar">
    <w:name w:val="Normal (Web) Char"/>
    <w:link w:val="NormalWeb"/>
    <w:uiPriority w:val="99"/>
    <w:locked/>
    <w:rsid w:val="00763D94"/>
    <w:rPr>
      <w:rFonts w:ascii="Times New Roman" w:eastAsia="Times New Roman" w:hAnsi="Times New Roman" w:cs="Times New Roman"/>
      <w:sz w:val="24"/>
      <w:szCs w:val="24"/>
      <w:lang w:eastAsia="es-CO"/>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763D94"/>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circular/circular-externa-006-de-2025"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yaritza.lopez.urbaneja@g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20o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conceptos/c-559-de-2021/"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3393BE13-3DE1-034F-9649-0D59B58658BA}">
  <ds:schemaRefs>
    <ds:schemaRef ds:uri="http://schemas.openxmlformats.org/officeDocument/2006/bibliography"/>
  </ds:schemaRefs>
</ds:datastoreItem>
</file>

<file path=customXml/itemProps4.xml><?xml version="1.0" encoding="utf-8"?>
<ds:datastoreItem xmlns:ds="http://schemas.openxmlformats.org/officeDocument/2006/customXml" ds:itemID="{C2D29B32-02D2-4005-BF75-8250EADE2E0F}"/>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8</TotalTime>
  <Pages>21</Pages>
  <Words>6872</Words>
  <Characters>39171</Characters>
  <Application>Microsoft Office Word</Application>
  <DocSecurity>0</DocSecurity>
  <Lines>326</Lines>
  <Paragraphs>91</Paragraphs>
  <ScaleCrop>false</ScaleCrop>
  <Company/>
  <LinksUpToDate>false</LinksUpToDate>
  <CharactersWithSpaces>45952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5</cp:revision>
  <cp:lastPrinted>2023-01-10T21:18:00Z</cp:lastPrinted>
  <dcterms:created xsi:type="dcterms:W3CDTF">2026-02-23T19:12:00Z</dcterms:created>
  <dcterms:modified xsi:type="dcterms:W3CDTF">2026-02-23T19:23:00Z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