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B2883" w14:textId="77777777" w:rsidR="00FE55BD" w:rsidRPr="00052F7C" w:rsidRDefault="00FE55BD" w:rsidP="00FE55BD">
      <w:pPr>
        <w:spacing w:after="0" w:line="240" w:lineRule="auto"/>
        <w:contextualSpacing/>
        <w:jc w:val="both"/>
        <w:rPr>
          <w:rFonts w:ascii="Verdana" w:eastAsia="Calibri" w:hAnsi="Verdana" w:cs="Arial"/>
          <w:b/>
          <w:bCs/>
          <w:lang w:val="es-ES_tradnl"/>
        </w:rPr>
      </w:pPr>
      <w:r w:rsidRPr="00052F7C">
        <w:rPr>
          <w:rFonts w:ascii="Verdana" w:eastAsia="Calibri" w:hAnsi="Verdana" w:cs="Arial"/>
          <w:b/>
          <w:bCs/>
        </w:rPr>
        <w:t xml:space="preserve">CONTRATO DE PRESTACIÓN DE SERVICIOS – Concepto </w:t>
      </w:r>
      <w:r w:rsidRPr="00052F7C">
        <w:rPr>
          <w:rFonts w:ascii="Verdana" w:eastAsia="Calibri" w:hAnsi="Verdana" w:cs="Arial"/>
          <w:b/>
          <w:bCs/>
          <w:lang w:val="es-ES_tradnl"/>
        </w:rPr>
        <w:t xml:space="preserve"> </w:t>
      </w:r>
    </w:p>
    <w:p w14:paraId="088E162A" w14:textId="77777777" w:rsidR="00FE55BD" w:rsidRPr="00052F7C" w:rsidRDefault="00FE55BD" w:rsidP="00FE55BD">
      <w:pPr>
        <w:spacing w:after="0" w:line="240" w:lineRule="auto"/>
        <w:contextualSpacing/>
        <w:jc w:val="both"/>
        <w:rPr>
          <w:rFonts w:ascii="Verdana" w:eastAsia="Calibri" w:hAnsi="Verdana" w:cs="Arial"/>
          <w:sz w:val="20"/>
          <w:szCs w:val="20"/>
          <w:lang w:val="es-ES_tradnl"/>
        </w:rPr>
      </w:pPr>
    </w:p>
    <w:p w14:paraId="4DF5044D" w14:textId="77777777" w:rsidR="00FE55BD" w:rsidRPr="00052F7C" w:rsidRDefault="00FE55BD" w:rsidP="00FE55BD">
      <w:pPr>
        <w:spacing w:after="0" w:line="240" w:lineRule="auto"/>
        <w:contextualSpacing/>
        <w:jc w:val="both"/>
        <w:rPr>
          <w:rFonts w:ascii="Verdana" w:eastAsia="Calibri" w:hAnsi="Verdana" w:cs="Arial"/>
          <w:sz w:val="20"/>
          <w:szCs w:val="20"/>
          <w:lang w:val="es-ES_tradnl"/>
        </w:rPr>
      </w:pPr>
      <w:r w:rsidRPr="00052F7C">
        <w:rPr>
          <w:rFonts w:ascii="Verdana" w:eastAsia="Calibri" w:hAnsi="Verdana" w:cs="Arial"/>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En ningún caso estos contratos generan relación laboral ni prestaciones sociales y se celebrarán por el término estrictamente indispensable.</w:t>
      </w:r>
    </w:p>
    <w:p w14:paraId="4BB2DCE8" w14:textId="77777777" w:rsidR="00FE55BD" w:rsidRPr="00252D09" w:rsidRDefault="00FE55BD" w:rsidP="00FE55BD">
      <w:pPr>
        <w:spacing w:after="0"/>
        <w:jc w:val="both"/>
        <w:rPr>
          <w:rFonts w:ascii="Verdana" w:eastAsia="Verdana" w:hAnsi="Verdana" w:cs="Verdana"/>
          <w:b/>
          <w:highlight w:val="lightGray"/>
          <w:lang w:val="es-ES_tradnl"/>
        </w:rPr>
      </w:pPr>
    </w:p>
    <w:p w14:paraId="27D18F71" w14:textId="77777777" w:rsidR="00FE55BD" w:rsidRPr="00592DC4" w:rsidRDefault="00FE55BD" w:rsidP="00FE55BD">
      <w:pPr>
        <w:spacing w:after="0" w:line="240" w:lineRule="auto"/>
        <w:contextualSpacing/>
        <w:jc w:val="both"/>
        <w:rPr>
          <w:rFonts w:ascii="Verdana" w:eastAsia="Calibri" w:hAnsi="Verdana" w:cs="Arial"/>
          <w:b/>
          <w:bCs/>
          <w:lang w:val="es-ES_tradnl"/>
        </w:rPr>
      </w:pPr>
      <w:r w:rsidRPr="00592DC4">
        <w:rPr>
          <w:rFonts w:ascii="Verdana" w:eastAsia="Calibri" w:hAnsi="Verdana" w:cs="Arial"/>
          <w:b/>
          <w:bCs/>
          <w:lang w:val="es-ES_tradnl"/>
        </w:rPr>
        <w:t>CONTRATO DE PRESTACIÓN DE SERVICIOS – Características</w:t>
      </w:r>
    </w:p>
    <w:p w14:paraId="2D78AFC1" w14:textId="77777777" w:rsidR="00FE55BD" w:rsidRPr="00592DC4" w:rsidRDefault="00FE55BD" w:rsidP="00FE55BD">
      <w:pPr>
        <w:spacing w:after="0" w:line="240" w:lineRule="auto"/>
        <w:contextualSpacing/>
        <w:jc w:val="both"/>
        <w:rPr>
          <w:rFonts w:ascii="Verdana" w:eastAsia="Calibri" w:hAnsi="Verdana" w:cs="Arial"/>
          <w:b/>
          <w:bCs/>
          <w:sz w:val="20"/>
          <w:szCs w:val="20"/>
          <w:lang w:val="es-ES_tradnl"/>
        </w:rPr>
      </w:pPr>
    </w:p>
    <w:p w14:paraId="09FB4074" w14:textId="77777777" w:rsidR="00FE55BD" w:rsidRDefault="00FE55BD" w:rsidP="00FE55BD">
      <w:pPr>
        <w:spacing w:after="0" w:line="240" w:lineRule="auto"/>
        <w:jc w:val="both"/>
        <w:rPr>
          <w:rFonts w:ascii="Verdana" w:eastAsia="Times New Roman" w:hAnsi="Verdana" w:cs="Times New Roman"/>
          <w:sz w:val="20"/>
          <w:szCs w:val="20"/>
          <w:lang w:val="es-ES_tradnl" w:eastAsia="es-ES_tradnl"/>
        </w:rPr>
      </w:pPr>
      <w:r w:rsidRPr="00592DC4">
        <w:rPr>
          <w:rFonts w:ascii="Verdana" w:eastAsia="Times New Roman" w:hAnsi="Verdana" w:cs="Times New Roman"/>
          <w:sz w:val="20"/>
          <w:szCs w:val="20"/>
          <w:lang w:val="es-ES_tradnl" w:eastAsia="es-ES_tradnl"/>
        </w:rPr>
        <w:t>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14:paraId="06E4649B" w14:textId="77777777" w:rsidR="00FE55BD" w:rsidRPr="00252D09" w:rsidRDefault="00FE55BD" w:rsidP="00FE55BD">
      <w:pPr>
        <w:spacing w:after="0"/>
        <w:jc w:val="both"/>
        <w:rPr>
          <w:rFonts w:ascii="Verdana" w:eastAsia="Verdana" w:hAnsi="Verdana" w:cs="Verdana"/>
          <w:b/>
          <w:highlight w:val="lightGray"/>
          <w:lang w:val="es-ES_tradnl"/>
        </w:rPr>
      </w:pPr>
    </w:p>
    <w:p w14:paraId="02F44636" w14:textId="77777777" w:rsidR="00FE55BD" w:rsidRPr="002B3435" w:rsidRDefault="00FE55BD" w:rsidP="00FE55BD">
      <w:pPr>
        <w:spacing w:after="0" w:line="240" w:lineRule="auto"/>
        <w:contextualSpacing/>
        <w:jc w:val="both"/>
        <w:rPr>
          <w:rFonts w:ascii="Verdana" w:eastAsia="Calibri" w:hAnsi="Verdana" w:cs="Arial"/>
          <w:b/>
          <w:bCs/>
          <w:lang w:val="es-ES_tradnl"/>
        </w:rPr>
      </w:pPr>
      <w:r w:rsidRPr="002B3435">
        <w:rPr>
          <w:rFonts w:ascii="Verdana" w:eastAsia="Calibri" w:hAnsi="Verdana" w:cs="Arial"/>
          <w:b/>
          <w:bCs/>
          <w:lang w:val="es-ES_tradnl"/>
        </w:rPr>
        <w:t xml:space="preserve">CONTRATO DE PRESTACIÓN DE SERVICIOS – </w:t>
      </w:r>
      <w:r>
        <w:rPr>
          <w:rFonts w:ascii="Verdana" w:eastAsia="Calibri" w:hAnsi="Verdana" w:cs="Arial"/>
          <w:b/>
          <w:bCs/>
          <w:lang w:val="es-ES_tradnl"/>
        </w:rPr>
        <w:t xml:space="preserve">Ley 80 de 1993 - </w:t>
      </w:r>
      <w:r w:rsidRPr="002B3435">
        <w:rPr>
          <w:rFonts w:ascii="Verdana" w:eastAsia="Calibri" w:hAnsi="Verdana" w:cs="Arial"/>
          <w:b/>
          <w:bCs/>
          <w:lang w:val="es-ES_tradnl"/>
        </w:rPr>
        <w:t xml:space="preserve">Autonomía e </w:t>
      </w:r>
      <w:r>
        <w:rPr>
          <w:rFonts w:ascii="Verdana" w:eastAsia="Calibri" w:hAnsi="Verdana" w:cs="Arial"/>
          <w:b/>
          <w:bCs/>
          <w:lang w:val="es-ES_tradnl"/>
        </w:rPr>
        <w:t>i</w:t>
      </w:r>
      <w:r w:rsidRPr="002B3435">
        <w:rPr>
          <w:rFonts w:ascii="Verdana" w:eastAsia="Calibri" w:hAnsi="Verdana" w:cs="Arial"/>
          <w:b/>
          <w:bCs/>
          <w:lang w:val="es-ES_tradnl"/>
        </w:rPr>
        <w:t>ndependencia</w:t>
      </w:r>
    </w:p>
    <w:p w14:paraId="7036260F" w14:textId="77777777" w:rsidR="00FE55BD" w:rsidRDefault="00FE55BD" w:rsidP="00FE55BD">
      <w:pPr>
        <w:spacing w:after="0" w:line="240" w:lineRule="auto"/>
        <w:contextualSpacing/>
        <w:jc w:val="both"/>
        <w:rPr>
          <w:rFonts w:ascii="Verdana" w:eastAsia="Calibri" w:hAnsi="Verdana" w:cs="Arial"/>
          <w:b/>
          <w:bCs/>
          <w:lang w:val="es-ES_tradnl"/>
        </w:rPr>
      </w:pPr>
    </w:p>
    <w:p w14:paraId="685F003D" w14:textId="77777777" w:rsidR="00FE55BD" w:rsidRDefault="00FE55BD" w:rsidP="00FE55BD">
      <w:pPr>
        <w:spacing w:after="0" w:line="240" w:lineRule="auto"/>
        <w:contextualSpacing/>
        <w:jc w:val="both"/>
        <w:rPr>
          <w:rFonts w:ascii="Verdana" w:eastAsia="Calibri" w:hAnsi="Verdana" w:cs="Arial"/>
          <w:sz w:val="20"/>
          <w:szCs w:val="20"/>
        </w:rPr>
      </w:pPr>
      <w:r>
        <w:rPr>
          <w:rFonts w:ascii="Verdana" w:eastAsia="Calibri" w:hAnsi="Verdana" w:cs="Arial"/>
          <w:sz w:val="20"/>
          <w:szCs w:val="20"/>
        </w:rPr>
        <w:t xml:space="preserve">(…) </w:t>
      </w:r>
      <w:r w:rsidRPr="008711F9">
        <w:rPr>
          <w:rFonts w:ascii="Verdana" w:eastAsia="Calibri" w:hAnsi="Verdana" w:cs="Arial"/>
          <w:sz w:val="20"/>
          <w:szCs w:val="20"/>
        </w:rPr>
        <w:t>Si bien se celebran para obtener la prestación personal de un servicio, se diferencian del contrato de trabajo</w:t>
      </w:r>
      <w:r>
        <w:rPr>
          <w:rFonts w:ascii="Verdana" w:eastAsia="Calibri" w:hAnsi="Verdana" w:cs="Arial"/>
          <w:sz w:val="20"/>
          <w:szCs w:val="20"/>
          <w:vertAlign w:val="superscript"/>
        </w:rPr>
        <w:t xml:space="preserve"> </w:t>
      </w:r>
      <w:r w:rsidRPr="008711F9">
        <w:rPr>
          <w:rFonts w:ascii="Verdana" w:eastAsia="Calibri" w:hAnsi="Verdana" w:cs="Arial"/>
          <w:sz w:val="20"/>
          <w:szCs w:val="20"/>
        </w:rPr>
        <w:t xml:space="preserve">en que quien celebra el contrato de prestación de servicios profesionales debe mantener autonomía e independencia en la ejecución de la labor, lo que significa que no puede existir la </w:t>
      </w:r>
      <w:r w:rsidRPr="008711F9">
        <w:rPr>
          <w:rFonts w:ascii="Verdana" w:eastAsia="Calibri" w:hAnsi="Verdana" w:cs="Arial"/>
          <w:i/>
          <w:sz w:val="20"/>
          <w:szCs w:val="20"/>
        </w:rPr>
        <w:t>subordinación y dependencia</w:t>
      </w:r>
      <w:r w:rsidRPr="008711F9">
        <w:rPr>
          <w:rFonts w:ascii="Verdana" w:eastAsia="Calibri" w:hAnsi="Verdana" w:cs="Arial"/>
          <w:iCs/>
          <w:sz w:val="20"/>
          <w:szCs w:val="20"/>
        </w:rPr>
        <w:t>,</w:t>
      </w:r>
      <w:r w:rsidRPr="008711F9">
        <w:rPr>
          <w:rFonts w:ascii="Verdana" w:eastAsia="Calibri" w:hAnsi="Verdana" w:cs="Arial"/>
          <w:sz w:val="20"/>
          <w:szCs w:val="2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8711F9">
        <w:rPr>
          <w:rFonts w:ascii="Verdana" w:eastAsia="Calibri" w:hAnsi="Verdana" w:cs="Arial"/>
          <w:i/>
          <w:sz w:val="20"/>
          <w:szCs w:val="20"/>
        </w:rPr>
        <w:t>no pueden</w:t>
      </w:r>
      <w:r w:rsidRPr="008711F9">
        <w:rPr>
          <w:rFonts w:ascii="Verdana" w:eastAsia="Calibri" w:hAnsi="Verdana" w:cs="Arial"/>
          <w:sz w:val="20"/>
          <w:szCs w:val="20"/>
        </w:rPr>
        <w:t xml:space="preserve"> generar relación laboral, ni dar lugar a que las entidades estatales paguen por su cuenta los aportes al Sistema de Seguridad Social Integral del contratista. Ello por cuanto, según se indicó, en dichos contratos no puede </w:t>
      </w:r>
      <w:r w:rsidRPr="008711F9">
        <w:rPr>
          <w:rFonts w:ascii="Verdana" w:eastAsia="Calibri" w:hAnsi="Verdana" w:cs="Arial"/>
          <w:sz w:val="20"/>
          <w:szCs w:val="20"/>
        </w:rPr>
        <w:lastRenderedPageBreak/>
        <w:t>existir subordinación y dependencia; entonces, la relación laboral está proscrita y es el contratista quien, como “trabajador independiente” –como lo califican las normas en materia de seguridad social– debe cotizar por su cuenta y riesgo al Sistema de Seguridad Social Integra</w:t>
      </w:r>
      <w:r>
        <w:rPr>
          <w:rFonts w:ascii="Verdana" w:eastAsia="Calibri" w:hAnsi="Verdana" w:cs="Arial"/>
          <w:sz w:val="20"/>
          <w:szCs w:val="20"/>
        </w:rPr>
        <w:t>l</w:t>
      </w:r>
      <w:r w:rsidRPr="008711F9">
        <w:rPr>
          <w:rFonts w:ascii="Verdana" w:eastAsia="Calibri" w:hAnsi="Verdana" w:cs="Arial"/>
          <w:sz w:val="20"/>
          <w:szCs w:val="20"/>
        </w:rPr>
        <w:t xml:space="preserve">. Pero es posible que, a pesar de este mandato deontológico, en la práctica surja la relación laboral, pues, como se sabe, el contrato de trabajo es un </w:t>
      </w:r>
      <w:r w:rsidRPr="008711F9">
        <w:rPr>
          <w:rFonts w:ascii="Verdana" w:eastAsia="Calibri" w:hAnsi="Verdana" w:cs="Arial"/>
          <w:i/>
          <w:sz w:val="20"/>
          <w:szCs w:val="20"/>
        </w:rPr>
        <w:t>contrato realidad</w:t>
      </w:r>
      <w:r w:rsidRPr="008711F9">
        <w:rPr>
          <w:rFonts w:ascii="Verdana" w:eastAsia="Calibri" w:hAnsi="Verdana" w:cs="Arial"/>
          <w:sz w:val="20"/>
          <w:szCs w:val="20"/>
        </w:rPr>
        <w:t xml:space="preserve">, ya que para su perfeccionamiento rige el principio de la prevalencia de la realidad sobre las formalidades. </w:t>
      </w:r>
      <w:r>
        <w:rPr>
          <w:rFonts w:ascii="Verdana" w:eastAsia="Calibri" w:hAnsi="Verdana" w:cs="Arial"/>
          <w:sz w:val="20"/>
          <w:szCs w:val="20"/>
        </w:rPr>
        <w:t>(…)</w:t>
      </w:r>
    </w:p>
    <w:p w14:paraId="1F991F92" w14:textId="77777777" w:rsidR="00FE55BD" w:rsidRDefault="00FE55BD" w:rsidP="00FE55BD">
      <w:pPr>
        <w:spacing w:after="0" w:line="240" w:lineRule="auto"/>
        <w:contextualSpacing/>
        <w:jc w:val="both"/>
        <w:rPr>
          <w:rFonts w:ascii="Verdana" w:eastAsia="Calibri" w:hAnsi="Verdana" w:cs="Arial"/>
          <w:sz w:val="20"/>
          <w:szCs w:val="20"/>
        </w:rPr>
      </w:pPr>
    </w:p>
    <w:p w14:paraId="505CDDBC" w14:textId="77777777" w:rsidR="00FE55BD" w:rsidRPr="002B3435" w:rsidRDefault="00FE55BD" w:rsidP="00FE55BD">
      <w:pPr>
        <w:spacing w:after="0" w:line="240" w:lineRule="auto"/>
        <w:contextualSpacing/>
        <w:jc w:val="both"/>
        <w:rPr>
          <w:rFonts w:ascii="Verdana" w:eastAsia="Calibri" w:hAnsi="Verdana" w:cs="Arial"/>
          <w:b/>
          <w:bCs/>
          <w:lang w:val="es-ES_tradnl"/>
        </w:rPr>
      </w:pPr>
      <w:r w:rsidRPr="002B3435">
        <w:rPr>
          <w:rFonts w:ascii="Verdana" w:eastAsia="Calibri" w:hAnsi="Verdana" w:cs="Arial"/>
          <w:b/>
          <w:bCs/>
          <w:lang w:val="es-ES_tradnl"/>
        </w:rPr>
        <w:t xml:space="preserve">CONTRATO DE PRESTACIÓN DE SERVICIOS – </w:t>
      </w:r>
      <w:r>
        <w:rPr>
          <w:rFonts w:ascii="Verdana" w:eastAsia="Calibri" w:hAnsi="Verdana" w:cs="Arial"/>
          <w:b/>
          <w:bCs/>
          <w:lang w:val="es-ES_tradnl"/>
        </w:rPr>
        <w:t>Horario</w:t>
      </w:r>
    </w:p>
    <w:p w14:paraId="15B349E5" w14:textId="77777777" w:rsidR="00FE55BD" w:rsidRPr="003A5BF6" w:rsidRDefault="00FE55BD" w:rsidP="00FE55BD">
      <w:pPr>
        <w:spacing w:after="0" w:line="240" w:lineRule="auto"/>
        <w:contextualSpacing/>
        <w:jc w:val="both"/>
        <w:rPr>
          <w:rFonts w:ascii="Verdana" w:eastAsia="Calibri" w:hAnsi="Verdana" w:cs="Arial"/>
          <w:sz w:val="20"/>
          <w:szCs w:val="20"/>
          <w:lang w:val="es-ES_tradnl"/>
        </w:rPr>
      </w:pPr>
    </w:p>
    <w:p w14:paraId="1A268C71" w14:textId="77777777" w:rsidR="00FE55BD" w:rsidRDefault="00FE55BD" w:rsidP="00FE55BD">
      <w:pPr>
        <w:spacing w:after="120" w:line="240" w:lineRule="auto"/>
        <w:ind w:right="51"/>
        <w:jc w:val="both"/>
        <w:rPr>
          <w:rFonts w:ascii="Verdana" w:hAnsi="Verdana" w:cs="Arial"/>
          <w:sz w:val="20"/>
          <w:szCs w:val="20"/>
        </w:rPr>
      </w:pPr>
      <w:r w:rsidRPr="003A5BF6">
        <w:rPr>
          <w:rFonts w:ascii="Verdana" w:eastAsia="Calibri" w:hAnsi="Verdana" w:cs="Arial"/>
          <w:sz w:val="20"/>
          <w:szCs w:val="20"/>
        </w:rPr>
        <w:t>La</w:t>
      </w:r>
      <w:r w:rsidRPr="003A5BF6">
        <w:rPr>
          <w:rFonts w:ascii="Verdana" w:hAnsi="Verdana" w:cs="Arial"/>
          <w:sz w:val="20"/>
          <w:szCs w:val="20"/>
        </w:rPr>
        <w:t xml:space="preserve"> Corte Constitucional y el Consejo de Estado ha expuesto que, el principal elemento que distingue el contrato de prestación de servicios del contrato laboral es la existencia de subordinación o dependencia en la ejecución de la labor contratada. En ese sentido, si bien la fijación de un horario puede constituir un indicio de la existencia de una relación laboral, por sí sola no resulta suficiente para concluir la configuración de un contrato realidad. El máximo tribunal de lo contencioso administrativo ha reiterado, en múltiples sentencias, que la exigencia de un horario o de una jornada puede ser necesaria para garantizar el cumplimiento eficiente del objeto contractual. En consecuencia, la imposición de un horario no desnaturaliza el contrato de prestación de servicios, siempre que dicha exigencia sea indispensable para la adecuada ejecución de las actividades encomendadas.</w:t>
      </w:r>
    </w:p>
    <w:p w14:paraId="53E69202" w14:textId="77777777" w:rsidR="00FE55BD" w:rsidRPr="003A5BF6" w:rsidRDefault="00FE55BD" w:rsidP="00FE55BD">
      <w:pPr>
        <w:spacing w:after="120" w:line="240" w:lineRule="auto"/>
        <w:ind w:right="51"/>
        <w:jc w:val="both"/>
        <w:rPr>
          <w:rFonts w:ascii="Verdana" w:hAnsi="Verdana" w:cs="Arial"/>
          <w:sz w:val="20"/>
          <w:szCs w:val="20"/>
        </w:rPr>
      </w:pPr>
      <w:r w:rsidRPr="003A5BF6">
        <w:rPr>
          <w:rFonts w:ascii="Verdana" w:hAnsi="Verdana" w:cs="Arial"/>
          <w:sz w:val="20"/>
          <w:szCs w:val="20"/>
        </w:rPr>
        <w:t>En consecuencia, los contratistas de prestación de servicios deben someterse, en la ejecución de sus obligaciones contractuales, a las directrices que establezca la entidad contratante, a efectos de cumplir con el objeto contractual, así como a la forma en que se coordinan las distintas actividades. Ahora bien, de requerirse la presencia del contratista en la Entidad Estatal en determinada jornada, esa exigencia debe quedar contemplada en el contrato o en los documentos contractuales y debe estar justificada. En todo caso, más que imponer un horario, se trata de asegurar el cumplimiento de las tareas propias del objeto contractual, conforme a las necesidades y funciones de la entidad.</w:t>
      </w:r>
    </w:p>
    <w:p w14:paraId="4F7C3117" w14:textId="77777777" w:rsidR="00FE55BD" w:rsidRPr="003A5BF6" w:rsidRDefault="00FE55BD" w:rsidP="00FE55BD">
      <w:pPr>
        <w:spacing w:after="0"/>
        <w:jc w:val="both"/>
        <w:rPr>
          <w:rFonts w:ascii="Verdana" w:eastAsia="Verdana" w:hAnsi="Verdana" w:cs="Verdana"/>
          <w:b/>
          <w:highlight w:val="lightGray"/>
        </w:rPr>
      </w:pPr>
    </w:p>
    <w:p w14:paraId="6A741B71" w14:textId="77777777" w:rsidR="00FE55BD" w:rsidRPr="00797350" w:rsidRDefault="00FE55BD" w:rsidP="00FE55BD">
      <w:pPr>
        <w:spacing w:after="0"/>
        <w:rPr>
          <w:rFonts w:ascii="Verdana" w:hAnsi="Verdana"/>
          <w:highlight w:val="lightGray"/>
        </w:rPr>
      </w:pPr>
    </w:p>
    <w:p w14:paraId="034DA0F6" w14:textId="77777777" w:rsidR="00FE55BD" w:rsidRDefault="00FE55BD" w:rsidP="00FE55BD">
      <w:pPr>
        <w:spacing w:after="0"/>
        <w:rPr>
          <w:rFonts w:ascii="Verdana" w:hAnsi="Verdana"/>
          <w:highlight w:val="lightGray"/>
        </w:rPr>
      </w:pPr>
    </w:p>
    <w:p w14:paraId="5424A7DA" w14:textId="77777777" w:rsidR="00FE55BD" w:rsidRDefault="00FE55BD" w:rsidP="00FE55BD">
      <w:pPr>
        <w:spacing w:after="0"/>
        <w:rPr>
          <w:rFonts w:ascii="Verdana" w:hAnsi="Verdana"/>
          <w:highlight w:val="lightGray"/>
        </w:rPr>
      </w:pPr>
    </w:p>
    <w:p w14:paraId="1D482FAA" w14:textId="77777777" w:rsidR="00FE55BD" w:rsidRDefault="00FE55BD" w:rsidP="00FE55BD">
      <w:pPr>
        <w:spacing w:after="0"/>
        <w:rPr>
          <w:rFonts w:ascii="Verdana" w:hAnsi="Verdana"/>
          <w:highlight w:val="lightGray"/>
        </w:rPr>
      </w:pPr>
    </w:p>
    <w:p w14:paraId="75595297" w14:textId="77777777" w:rsidR="00FE55BD" w:rsidRDefault="00FE55BD" w:rsidP="00FE55BD">
      <w:pPr>
        <w:spacing w:after="0"/>
        <w:rPr>
          <w:rFonts w:ascii="Verdana" w:hAnsi="Verdana"/>
          <w:highlight w:val="lightGray"/>
        </w:rPr>
      </w:pPr>
    </w:p>
    <w:p w14:paraId="7EC24FC8" w14:textId="77777777" w:rsidR="00FE55BD" w:rsidRDefault="00FE55BD" w:rsidP="00FE55BD">
      <w:pPr>
        <w:spacing w:after="0"/>
        <w:rPr>
          <w:rFonts w:ascii="Verdana" w:hAnsi="Verdana"/>
          <w:highlight w:val="lightGray"/>
        </w:rPr>
      </w:pPr>
    </w:p>
    <w:p w14:paraId="7F7B9F44" w14:textId="77777777" w:rsidR="00FE55BD" w:rsidRDefault="00FE55BD" w:rsidP="00FE55BD">
      <w:pPr>
        <w:spacing w:after="0"/>
        <w:rPr>
          <w:rFonts w:ascii="Verdana" w:hAnsi="Verdana"/>
          <w:highlight w:val="lightGray"/>
        </w:rPr>
      </w:pPr>
    </w:p>
    <w:p w14:paraId="4499FE65" w14:textId="77777777" w:rsidR="00FE55BD" w:rsidRDefault="00FE55BD" w:rsidP="00FE55BD">
      <w:pPr>
        <w:spacing w:after="0"/>
        <w:rPr>
          <w:rFonts w:ascii="Verdana" w:hAnsi="Verdana"/>
          <w:highlight w:val="lightGray"/>
        </w:rPr>
      </w:pPr>
    </w:p>
    <w:p w14:paraId="62C14AEC" w14:textId="77777777" w:rsidR="00FE55BD" w:rsidRDefault="00FE55BD" w:rsidP="00FE55BD">
      <w:pPr>
        <w:spacing w:after="0"/>
        <w:rPr>
          <w:rFonts w:ascii="Verdana" w:hAnsi="Verdana"/>
          <w:highlight w:val="lightGray"/>
        </w:rPr>
      </w:pPr>
    </w:p>
    <w:p w14:paraId="2C641E98" w14:textId="77777777" w:rsidR="00FE55BD" w:rsidRDefault="00FE55BD" w:rsidP="00FE55BD">
      <w:pPr>
        <w:spacing w:after="0"/>
        <w:rPr>
          <w:rFonts w:ascii="Verdana" w:hAnsi="Verdana"/>
          <w:highlight w:val="lightGray"/>
        </w:rPr>
      </w:pPr>
    </w:p>
    <w:p w14:paraId="403BC286" w14:textId="77777777" w:rsidR="009118BF" w:rsidRDefault="009118BF" w:rsidP="00FE55BD">
      <w:pPr>
        <w:spacing w:after="0"/>
        <w:rPr>
          <w:rFonts w:ascii="Verdana" w:hAnsi="Verdana"/>
        </w:rPr>
      </w:pPr>
    </w:p>
    <w:p w14:paraId="244FB26F" w14:textId="668EA363" w:rsidR="00FE55BD" w:rsidRPr="00E75507" w:rsidRDefault="00FE55BD" w:rsidP="00B97A5A">
      <w:pPr>
        <w:spacing w:after="0" w:line="240" w:lineRule="auto"/>
        <w:rPr>
          <w:rFonts w:ascii="Verdana" w:hAnsi="Verdana"/>
        </w:rPr>
      </w:pPr>
      <w:r w:rsidRPr="00E75507">
        <w:rPr>
          <w:rFonts w:ascii="Verdana" w:hAnsi="Verdana"/>
        </w:rPr>
        <w:lastRenderedPageBreak/>
        <w:t xml:space="preserve">Bogotá D.C., </w:t>
      </w:r>
      <w:r w:rsidR="00C35C26">
        <w:rPr>
          <w:rFonts w:ascii="Verdana" w:hAnsi="Verdana"/>
        </w:rPr>
        <w:t>10 Febrero 2026</w:t>
      </w:r>
    </w:p>
    <w:p w14:paraId="207D18D4" w14:textId="7A084AED" w:rsidR="00FE55BD" w:rsidRPr="00E75507" w:rsidRDefault="000A2BC3" w:rsidP="00B97A5A">
      <w:pPr>
        <w:spacing w:after="0" w:line="240" w:lineRule="auto"/>
        <w:rPr>
          <w:rFonts w:ascii="Verdana" w:hAnsi="Verdana"/>
          <w:highlight w:val="lightGray"/>
          <w:lang w:val="es-ES"/>
        </w:rPr>
      </w:pPr>
      <w:r w:rsidRPr="000A2BC3">
        <w:rPr>
          <w:rFonts w:ascii="Verdana" w:hAnsi="Verdana"/>
        </w:rPr>
        <w:drawing>
          <wp:anchor distT="0" distB="0" distL="114300" distR="114300" simplePos="0" relativeHeight="251658240" behindDoc="1" locked="0" layoutInCell="1" allowOverlap="1" wp14:anchorId="379D151C" wp14:editId="71CD4AE4">
            <wp:simplePos x="0" y="0"/>
            <wp:positionH relativeFrom="margin">
              <wp:align>right</wp:align>
            </wp:positionH>
            <wp:positionV relativeFrom="paragraph">
              <wp:posOffset>94035</wp:posOffset>
            </wp:positionV>
            <wp:extent cx="2153244" cy="720275"/>
            <wp:effectExtent l="0" t="0" r="0" b="3810"/>
            <wp:wrapNone/>
            <wp:docPr id="16175431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543187" name=""/>
                    <pic:cNvPicPr/>
                  </pic:nvPicPr>
                  <pic:blipFill>
                    <a:blip r:embed="rId11">
                      <a:extLst>
                        <a:ext uri="{28A0092B-C50C-407E-A947-70E740481C1C}">
                          <a14:useLocalDpi xmlns:a14="http://schemas.microsoft.com/office/drawing/2010/main" val="0"/>
                        </a:ext>
                      </a:extLst>
                    </a:blip>
                    <a:stretch>
                      <a:fillRect/>
                    </a:stretch>
                  </pic:blipFill>
                  <pic:spPr>
                    <a:xfrm>
                      <a:off x="0" y="0"/>
                      <a:ext cx="2153244" cy="720275"/>
                    </a:xfrm>
                    <a:prstGeom prst="rect">
                      <a:avLst/>
                    </a:prstGeom>
                  </pic:spPr>
                </pic:pic>
              </a:graphicData>
            </a:graphic>
            <wp14:sizeRelH relativeFrom="margin">
              <wp14:pctWidth>0</wp14:pctWidth>
            </wp14:sizeRelH>
            <wp14:sizeRelV relativeFrom="margin">
              <wp14:pctHeight>0</wp14:pctHeight>
            </wp14:sizeRelV>
          </wp:anchor>
        </w:drawing>
      </w:r>
    </w:p>
    <w:p w14:paraId="7A2E41F2" w14:textId="25A3051F" w:rsidR="00FE55BD" w:rsidRPr="00E75507" w:rsidRDefault="00FE55BD" w:rsidP="00E75507">
      <w:pPr>
        <w:spacing w:after="0" w:line="240" w:lineRule="auto"/>
        <w:rPr>
          <w:rFonts w:ascii="Verdana" w:hAnsi="Verdana"/>
          <w:lang w:val="es-ES"/>
        </w:rPr>
      </w:pPr>
      <w:bookmarkStart w:id="0" w:name="_Hlk143780582"/>
      <w:r w:rsidRPr="00E75507">
        <w:rPr>
          <w:rFonts w:ascii="Verdana" w:eastAsia="Calibri" w:hAnsi="Verdana" w:cs="Arial"/>
          <w:lang w:val="es-ES" w:eastAsia="es-ES"/>
        </w:rPr>
        <w:t>Señora</w:t>
      </w:r>
    </w:p>
    <w:p w14:paraId="5BA4E550" w14:textId="77777777" w:rsidR="00FE55BD" w:rsidRPr="009756EB" w:rsidRDefault="00FE55BD" w:rsidP="009756EB">
      <w:pPr>
        <w:spacing w:after="0" w:line="240" w:lineRule="auto"/>
        <w:rPr>
          <w:rFonts w:ascii="Verdana" w:hAnsi="Verdana"/>
          <w:lang w:val="es-ES"/>
        </w:rPr>
      </w:pPr>
      <w:r w:rsidRPr="009756EB">
        <w:rPr>
          <w:rFonts w:ascii="Verdana" w:eastAsia="Calibri" w:hAnsi="Verdana" w:cs="Arial"/>
          <w:b/>
          <w:bCs/>
          <w:lang w:eastAsia="es-ES"/>
        </w:rPr>
        <w:t>Carola Esther Peña Angulo</w:t>
      </w:r>
    </w:p>
    <w:p w14:paraId="5FFE0667" w14:textId="77777777" w:rsidR="00FE55BD" w:rsidRPr="00E75507" w:rsidRDefault="00FE55BD" w:rsidP="00B97A5A">
      <w:pPr>
        <w:spacing w:after="0" w:line="240" w:lineRule="auto"/>
        <w:rPr>
          <w:rFonts w:ascii="Verdana" w:eastAsia="Calibri" w:hAnsi="Verdana" w:cs="Arial"/>
          <w:lang w:eastAsia="es-ES"/>
        </w:rPr>
      </w:pPr>
      <w:hyperlink r:id="rId12" w:history="1">
        <w:r w:rsidRPr="00E75507">
          <w:rPr>
            <w:rStyle w:val="Hipervnculo"/>
            <w:rFonts w:ascii="Verdana" w:eastAsia="Calibri" w:hAnsi="Verdana" w:cs="Arial"/>
            <w:lang w:eastAsia="es-ES"/>
          </w:rPr>
          <w:t>carola.pena@alcaldiasoacha.gov.co</w:t>
        </w:r>
      </w:hyperlink>
      <w:r w:rsidRPr="00E75507">
        <w:rPr>
          <w:rFonts w:ascii="Verdana" w:eastAsia="Calibri" w:hAnsi="Verdana" w:cs="Arial"/>
          <w:lang w:eastAsia="es-ES"/>
        </w:rPr>
        <w:t xml:space="preserve"> </w:t>
      </w:r>
    </w:p>
    <w:p w14:paraId="2F487D2D" w14:textId="77777777" w:rsidR="00FE55BD" w:rsidRPr="00B97A5A" w:rsidRDefault="00FE55BD" w:rsidP="00B97A5A">
      <w:pPr>
        <w:spacing w:after="0" w:line="240" w:lineRule="auto"/>
        <w:rPr>
          <w:rFonts w:ascii="Verdana" w:eastAsia="Calibri" w:hAnsi="Verdana" w:cs="Arial"/>
          <w:b/>
          <w:bCs/>
          <w:highlight w:val="lightGray"/>
          <w:lang w:eastAsia="es-ES"/>
        </w:rPr>
      </w:pPr>
      <w:r w:rsidRPr="00B97A5A">
        <w:rPr>
          <w:rFonts w:ascii="Verdana" w:eastAsia="Calibri" w:hAnsi="Verdana" w:cs="Arial"/>
          <w:b/>
          <w:bCs/>
          <w:lang w:eastAsia="es-ES"/>
        </w:rPr>
        <w:t>Alcaldía Municipal de Soacha</w:t>
      </w:r>
    </w:p>
    <w:p w14:paraId="0AF7066F" w14:textId="77777777" w:rsidR="00FE55BD" w:rsidRPr="009756EB" w:rsidRDefault="00FE55BD" w:rsidP="00B97A5A">
      <w:pPr>
        <w:spacing w:after="0" w:line="240" w:lineRule="auto"/>
        <w:rPr>
          <w:rFonts w:ascii="Verdana" w:eastAsia="Calibri" w:hAnsi="Verdana" w:cs="Arial"/>
          <w:lang w:val="es-ES" w:eastAsia="es-ES"/>
        </w:rPr>
      </w:pPr>
      <w:r w:rsidRPr="009756EB">
        <w:rPr>
          <w:rFonts w:ascii="Verdana" w:eastAsia="Calibri" w:hAnsi="Verdana" w:cs="Arial"/>
          <w:lang w:val="es-ES" w:eastAsia="es-ES"/>
        </w:rPr>
        <w:t>Soacha, Cundinamarca</w:t>
      </w:r>
    </w:p>
    <w:p w14:paraId="41BE970F" w14:textId="77777777" w:rsidR="00FE55BD" w:rsidRPr="00492084" w:rsidRDefault="00FE55BD" w:rsidP="00B97A5A">
      <w:pPr>
        <w:spacing w:after="0" w:line="240" w:lineRule="auto"/>
        <w:rPr>
          <w:rFonts w:ascii="Verdana" w:eastAsia="Calibri" w:hAnsi="Verdana" w:cs="Arial"/>
          <w:color w:val="EE0000"/>
          <w:highlight w:val="lightGray"/>
          <w:lang w:val="es-ES" w:eastAsia="es-ES"/>
        </w:rPr>
      </w:pPr>
    </w:p>
    <w:p w14:paraId="47B5DFE8" w14:textId="77777777" w:rsidR="00FE55BD" w:rsidRPr="00492084" w:rsidRDefault="00FE55BD" w:rsidP="00E75507">
      <w:pPr>
        <w:spacing w:after="0" w:line="240" w:lineRule="auto"/>
        <w:rPr>
          <w:rFonts w:ascii="Verdana" w:eastAsia="Calibri" w:hAnsi="Verdana" w:cs="Arial"/>
          <w:b/>
          <w:bCs/>
          <w:color w:val="EE0000"/>
          <w:highlight w:val="lightGray"/>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FE55BD" w:rsidRPr="00E75507" w14:paraId="7485B0BE" w14:textId="77777777" w:rsidTr="00A35F0D">
        <w:trPr>
          <w:trHeight w:val="300"/>
        </w:trPr>
        <w:tc>
          <w:tcPr>
            <w:tcW w:w="2410" w:type="dxa"/>
          </w:tcPr>
          <w:p w14:paraId="275BAFBC" w14:textId="77777777" w:rsidR="00FE55BD" w:rsidRPr="0003707A" w:rsidRDefault="00FE55BD" w:rsidP="009756EB">
            <w:pPr>
              <w:ind w:left="-142"/>
              <w:jc w:val="both"/>
              <w:rPr>
                <w:rFonts w:ascii="Verdana" w:eastAsia="Calibri" w:hAnsi="Verdana" w:cs="Arial"/>
                <w:b/>
                <w:bCs/>
                <w:color w:val="EE0000"/>
                <w:highlight w:val="lightGray"/>
                <w:lang w:val="es-ES" w:eastAsia="es-ES_tradnl"/>
              </w:rPr>
            </w:pPr>
          </w:p>
        </w:tc>
        <w:tc>
          <w:tcPr>
            <w:tcW w:w="6100" w:type="dxa"/>
          </w:tcPr>
          <w:p w14:paraId="03717AB8" w14:textId="77777777" w:rsidR="00FE55BD" w:rsidRPr="000940A2" w:rsidRDefault="00FE55BD" w:rsidP="00492084">
            <w:pPr>
              <w:ind w:left="3"/>
              <w:jc w:val="both"/>
              <w:rPr>
                <w:rFonts w:ascii="Verdana" w:eastAsia="Calibri" w:hAnsi="Verdana" w:cs="Arial"/>
                <w:b/>
                <w:bCs/>
                <w:highlight w:val="lightGray"/>
                <w:lang w:val="es-ES" w:eastAsia="es-ES"/>
              </w:rPr>
            </w:pPr>
            <w:r w:rsidRPr="00255E89">
              <w:rPr>
                <w:rFonts w:ascii="Verdana" w:eastAsia="Calibri" w:hAnsi="Verdana" w:cs="Arial"/>
                <w:b/>
                <w:bCs/>
                <w:lang w:val="es-ES" w:eastAsia="es-ES"/>
              </w:rPr>
              <w:t>Concepto C-155 de</w:t>
            </w:r>
            <w:r w:rsidRPr="000940A2">
              <w:rPr>
                <w:rFonts w:ascii="Verdana" w:eastAsia="Calibri" w:hAnsi="Verdana" w:cs="Arial"/>
                <w:b/>
                <w:bCs/>
                <w:lang w:val="es-ES" w:eastAsia="es-ES"/>
              </w:rPr>
              <w:t xml:space="preserve"> 2026</w:t>
            </w:r>
          </w:p>
          <w:p w14:paraId="337D99E5" w14:textId="77777777" w:rsidR="00FE55BD" w:rsidRPr="00064773" w:rsidRDefault="00FE55BD" w:rsidP="00492084">
            <w:pPr>
              <w:ind w:left="3"/>
              <w:jc w:val="both"/>
              <w:rPr>
                <w:rFonts w:ascii="Verdana" w:eastAsia="Calibri" w:hAnsi="Verdana" w:cs="Arial"/>
                <w:b/>
                <w:bCs/>
                <w:color w:val="EE0000"/>
                <w:highlight w:val="lightGray"/>
                <w:lang w:val="es-ES" w:eastAsia="es-ES"/>
              </w:rPr>
            </w:pPr>
          </w:p>
        </w:tc>
      </w:tr>
      <w:tr w:rsidR="00FE55BD" w:rsidRPr="00E75507" w14:paraId="6B2A81BC" w14:textId="77777777" w:rsidTr="00A35F0D">
        <w:trPr>
          <w:trHeight w:val="300"/>
        </w:trPr>
        <w:tc>
          <w:tcPr>
            <w:tcW w:w="2410" w:type="dxa"/>
          </w:tcPr>
          <w:p w14:paraId="47DA5EF6" w14:textId="77777777" w:rsidR="00FE55BD" w:rsidRPr="00E75507" w:rsidRDefault="00FE55BD" w:rsidP="00E75507">
            <w:pPr>
              <w:ind w:left="424" w:firstLine="142"/>
              <w:jc w:val="both"/>
              <w:rPr>
                <w:rFonts w:ascii="Verdana" w:eastAsia="Calibri" w:hAnsi="Verdana" w:cs="Arial"/>
                <w:highlight w:val="lightGray"/>
                <w:lang w:val="es-ES" w:eastAsia="es-ES_tradnl"/>
              </w:rPr>
            </w:pPr>
            <w:r w:rsidRPr="00E75507">
              <w:rPr>
                <w:rFonts w:ascii="Verdana" w:eastAsia="Calibri" w:hAnsi="Verdana" w:cs="Arial"/>
                <w:b/>
                <w:lang w:val="es-ES" w:eastAsia="es-ES_tradnl"/>
              </w:rPr>
              <w:t>Temas:</w:t>
            </w:r>
            <w:r w:rsidRPr="00E75507">
              <w:rPr>
                <w:rFonts w:ascii="Verdana" w:eastAsia="Calibri" w:hAnsi="Verdana" w:cs="Arial"/>
                <w:lang w:val="es-ES" w:eastAsia="es-ES_tradnl"/>
              </w:rPr>
              <w:t xml:space="preserve"> </w:t>
            </w:r>
            <w:r w:rsidRPr="00E75507">
              <w:rPr>
                <w:rFonts w:ascii="Verdana" w:eastAsia="Calibri" w:hAnsi="Verdana" w:cs="Arial"/>
                <w:highlight w:val="lightGray"/>
                <w:lang w:val="es-ES" w:eastAsia="es-ES_tradnl"/>
              </w:rPr>
              <w:t xml:space="preserve">                 </w:t>
            </w:r>
          </w:p>
        </w:tc>
        <w:tc>
          <w:tcPr>
            <w:tcW w:w="6100" w:type="dxa"/>
          </w:tcPr>
          <w:p w14:paraId="1F79D99D" w14:textId="77777777" w:rsidR="00FE55BD" w:rsidRPr="00492084" w:rsidRDefault="00FE55BD" w:rsidP="00B97A5A">
            <w:pPr>
              <w:jc w:val="both"/>
              <w:rPr>
                <w:rFonts w:ascii="Verdana" w:eastAsia="Calibri" w:hAnsi="Verdana" w:cs="Arial"/>
              </w:rPr>
            </w:pPr>
            <w:r w:rsidRPr="009756EB">
              <w:rPr>
                <w:rFonts w:ascii="Verdana" w:eastAsia="Calibri" w:hAnsi="Verdana" w:cs="Arial"/>
              </w:rPr>
              <w:t>CONTRATO DE PRESTACIÓN DE SERVICIOS – Concepto / CONTRATO DE PRESTACIÓN DE SERVICIOS – Características / CONTRATO DE PRESTACIÓN DE SERVICIOS – Ley 80 de 1993 - Autonomía e independencia / CONTRATO DE PRESTACIÓN DE SERVICIOS – Horario</w:t>
            </w:r>
          </w:p>
          <w:p w14:paraId="209E1223" w14:textId="77777777" w:rsidR="00FE55BD" w:rsidRPr="00492084" w:rsidRDefault="00FE55BD" w:rsidP="00B97A5A">
            <w:pPr>
              <w:jc w:val="both"/>
              <w:rPr>
                <w:rFonts w:ascii="Verdana" w:eastAsia="Calibri" w:hAnsi="Verdana" w:cs="Arial"/>
              </w:rPr>
            </w:pPr>
          </w:p>
        </w:tc>
      </w:tr>
      <w:tr w:rsidR="00FE55BD" w:rsidRPr="00E75507" w14:paraId="3B7A1F90" w14:textId="77777777" w:rsidTr="00A35F0D">
        <w:trPr>
          <w:trHeight w:val="350"/>
        </w:trPr>
        <w:tc>
          <w:tcPr>
            <w:tcW w:w="2410" w:type="dxa"/>
          </w:tcPr>
          <w:p w14:paraId="58BFEBE7" w14:textId="77777777" w:rsidR="00FE55BD" w:rsidRPr="00E75507" w:rsidRDefault="00FE55BD" w:rsidP="00E75507">
            <w:pPr>
              <w:ind w:left="561"/>
              <w:jc w:val="both"/>
              <w:rPr>
                <w:rFonts w:ascii="Verdana" w:eastAsia="Calibri" w:hAnsi="Verdana" w:cs="Arial"/>
                <w:b/>
                <w:lang w:val="es-ES" w:eastAsia="es-ES_tradnl"/>
              </w:rPr>
            </w:pPr>
            <w:r w:rsidRPr="00E75507">
              <w:rPr>
                <w:rFonts w:ascii="Verdana" w:eastAsia="Calibri" w:hAnsi="Verdana" w:cs="Arial"/>
                <w:b/>
                <w:lang w:val="es-ES" w:eastAsia="es-ES_tradnl"/>
              </w:rPr>
              <w:t>Radicación:</w:t>
            </w:r>
            <w:r w:rsidRPr="00E75507">
              <w:rPr>
                <w:rFonts w:ascii="Verdana" w:eastAsia="Calibri" w:hAnsi="Verdana" w:cs="Arial"/>
                <w:lang w:val="es-ES" w:eastAsia="es-ES_tradnl"/>
              </w:rPr>
              <w:t xml:space="preserve">              </w:t>
            </w:r>
          </w:p>
        </w:tc>
        <w:tc>
          <w:tcPr>
            <w:tcW w:w="6100" w:type="dxa"/>
          </w:tcPr>
          <w:p w14:paraId="55C9D841" w14:textId="77777777" w:rsidR="00FE55BD" w:rsidRPr="00492084" w:rsidRDefault="00FE55BD" w:rsidP="009756EB">
            <w:pPr>
              <w:ind w:left="3"/>
              <w:jc w:val="both"/>
              <w:rPr>
                <w:rFonts w:ascii="Verdana" w:hAnsi="Verdana"/>
                <w:lang w:val="es-ES"/>
              </w:rPr>
            </w:pPr>
            <w:r w:rsidRPr="009756EB">
              <w:rPr>
                <w:rFonts w:ascii="Verdana" w:eastAsia="Calibri" w:hAnsi="Verdana" w:cs="Arial"/>
                <w:lang w:val="es-ES" w:eastAsia="es-ES"/>
              </w:rPr>
              <w:t>Respuesta a consulta con radicado No. 1_2026_02_04_001377</w:t>
            </w:r>
          </w:p>
        </w:tc>
      </w:tr>
    </w:tbl>
    <w:p w14:paraId="5719AB02" w14:textId="77777777" w:rsidR="00FE55BD" w:rsidRPr="00E75507" w:rsidRDefault="00FE55BD" w:rsidP="00B97A5A">
      <w:pPr>
        <w:spacing w:after="0" w:line="240" w:lineRule="auto"/>
        <w:jc w:val="both"/>
        <w:rPr>
          <w:rFonts w:ascii="Verdana" w:eastAsia="Calibri" w:hAnsi="Verdana" w:cs="Arial"/>
          <w:color w:val="EE0000"/>
          <w:highlight w:val="lightGray"/>
          <w:lang w:val="es-ES" w:eastAsia="es-ES"/>
        </w:rPr>
      </w:pPr>
    </w:p>
    <w:p w14:paraId="0EC24173" w14:textId="77777777" w:rsidR="00FE55BD" w:rsidRPr="00E75507" w:rsidRDefault="00FE55BD" w:rsidP="00B97A5A">
      <w:pPr>
        <w:spacing w:after="0" w:line="240" w:lineRule="auto"/>
        <w:jc w:val="both"/>
        <w:rPr>
          <w:rFonts w:ascii="Verdana" w:eastAsia="Calibri" w:hAnsi="Verdana" w:cs="Arial"/>
          <w:color w:val="EE0000"/>
          <w:highlight w:val="lightGray"/>
          <w:lang w:val="es-ES" w:eastAsia="es-ES"/>
        </w:rPr>
      </w:pPr>
    </w:p>
    <w:p w14:paraId="4D558476" w14:textId="7DFC00A7" w:rsidR="00FE55BD" w:rsidRPr="001900BC" w:rsidRDefault="00FE55BD" w:rsidP="009756EB">
      <w:pPr>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Estimad</w:t>
      </w:r>
      <w:r w:rsidR="00E75507">
        <w:rPr>
          <w:rFonts w:ascii="Verdana" w:eastAsia="Calibri" w:hAnsi="Verdana" w:cs="Arial"/>
          <w:lang w:val="es-ES" w:eastAsia="es-ES"/>
        </w:rPr>
        <w:t>a</w:t>
      </w:r>
      <w:r w:rsidRPr="001900BC">
        <w:rPr>
          <w:rFonts w:ascii="Verdana" w:eastAsia="Calibri" w:hAnsi="Verdana" w:cs="Arial"/>
          <w:lang w:val="es-ES" w:eastAsia="es-ES"/>
        </w:rPr>
        <w:t xml:space="preserve"> </w:t>
      </w:r>
      <w:r w:rsidR="009756EB">
        <w:rPr>
          <w:rFonts w:ascii="Verdana" w:eastAsia="Calibri" w:hAnsi="Verdana" w:cs="Arial"/>
          <w:lang w:val="es-ES" w:eastAsia="es-ES"/>
        </w:rPr>
        <w:t>s</w:t>
      </w:r>
      <w:r w:rsidRPr="001900BC">
        <w:rPr>
          <w:rFonts w:ascii="Verdana" w:eastAsia="Calibri" w:hAnsi="Verdana" w:cs="Arial"/>
          <w:lang w:val="es-ES" w:eastAsia="es-ES"/>
        </w:rPr>
        <w:t>eñora Peña,</w:t>
      </w:r>
    </w:p>
    <w:p w14:paraId="64C778BC" w14:textId="77777777" w:rsidR="00FE55BD" w:rsidRPr="001900BC" w:rsidRDefault="00FE55BD" w:rsidP="009756EB">
      <w:pPr>
        <w:tabs>
          <w:tab w:val="left" w:pos="3768"/>
        </w:tabs>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ab/>
      </w:r>
    </w:p>
    <w:p w14:paraId="536FA447" w14:textId="15B01BC1" w:rsidR="00FE55BD" w:rsidRPr="001900BC" w:rsidRDefault="00FE55BD" w:rsidP="009756EB">
      <w:pPr>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En ejercicio de la competencia otorgada por los artículos 3, numeral 5º, y 11, numeral 8º, del Decreto Ley 4170 de 2011,</w:t>
      </w:r>
      <w:r w:rsidRPr="001900BC">
        <w:rPr>
          <w:rFonts w:ascii="Verdana" w:eastAsia="Arial MT" w:hAnsi="Verdana" w:cs="Arial MT"/>
          <w:lang w:val="es-ES" w:eastAsia="es-ES"/>
        </w:rPr>
        <w:t xml:space="preserve"> </w:t>
      </w:r>
      <w:r w:rsidRPr="001900BC">
        <w:rPr>
          <w:rFonts w:ascii="Verdana" w:hAnsi="Verdana" w:cs="Arial"/>
          <w:lang w:val="es-ES"/>
        </w:rPr>
        <w:t xml:space="preserve">así como lo establecido en el artículo 4 de la Resolución </w:t>
      </w:r>
      <w:r w:rsidR="009756EB">
        <w:rPr>
          <w:rFonts w:ascii="Verdana" w:hAnsi="Verdana" w:cs="Arial"/>
          <w:lang w:val="es-ES"/>
        </w:rPr>
        <w:t>469 de 2025</w:t>
      </w:r>
      <w:r w:rsidRPr="001900BC">
        <w:rPr>
          <w:rFonts w:ascii="Verdana" w:hAnsi="Verdana" w:cs="Arial"/>
          <w:lang w:val="es-ES"/>
        </w:rPr>
        <w:t xml:space="preserve"> expedida por esta Entidad, </w:t>
      </w:r>
      <w:r w:rsidRPr="001900BC">
        <w:rPr>
          <w:rFonts w:ascii="Verdana" w:eastAsia="Calibri" w:hAnsi="Verdana" w:cs="Arial"/>
          <w:lang w:val="es-ES" w:eastAsia="es-ES"/>
        </w:rPr>
        <w:t>la Agencia Nacional de Contratación Pública – Colombia Compra Eficiente– responde su solicitud de consulta de fecha</w:t>
      </w:r>
      <w:r w:rsidR="00774180">
        <w:rPr>
          <w:rFonts w:ascii="Verdana" w:eastAsia="Calibri" w:hAnsi="Verdana" w:cs="Arial"/>
          <w:lang w:val="es-ES" w:eastAsia="es-ES"/>
        </w:rPr>
        <w:t xml:space="preserve"> 28 de enero de 2026, remitida por el Departamento Administrativo de la Función Pública el </w:t>
      </w:r>
      <w:r w:rsidRPr="001900BC">
        <w:rPr>
          <w:rFonts w:ascii="Verdana" w:eastAsia="Calibri" w:hAnsi="Verdana" w:cs="Arial"/>
          <w:lang w:val="es-ES" w:eastAsia="es-ES"/>
        </w:rPr>
        <w:t xml:space="preserve">04 de febrero de 2026, en la cual manifiesta lo siguiente: </w:t>
      </w:r>
    </w:p>
    <w:p w14:paraId="7CFE2BC7" w14:textId="77777777" w:rsidR="00FE55BD" w:rsidRPr="00797350" w:rsidRDefault="00FE55BD" w:rsidP="00413EF5">
      <w:pPr>
        <w:tabs>
          <w:tab w:val="left" w:pos="142"/>
          <w:tab w:val="left" w:pos="284"/>
        </w:tabs>
        <w:spacing w:after="0" w:line="276" w:lineRule="auto"/>
        <w:jc w:val="both"/>
        <w:rPr>
          <w:rFonts w:ascii="Verdana" w:eastAsia="Century Gothic" w:hAnsi="Verdana" w:cs="Century Gothic"/>
          <w:b/>
          <w:bCs/>
          <w:color w:val="EE0000"/>
          <w:highlight w:val="lightGray"/>
          <w:lang w:val="es-ES"/>
        </w:rPr>
      </w:pPr>
    </w:p>
    <w:p w14:paraId="3DE27864" w14:textId="77777777" w:rsidR="00FE55BD" w:rsidRDefault="00FE55BD" w:rsidP="00413EF5">
      <w:pPr>
        <w:spacing w:after="0" w:line="240" w:lineRule="auto"/>
        <w:ind w:left="709" w:right="709"/>
        <w:contextualSpacing/>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396B30">
        <w:rPr>
          <w:rFonts w:ascii="Verdana" w:eastAsia="Century Gothic" w:hAnsi="Verdana" w:cs="Century Gothic"/>
          <w:i/>
          <w:iCs/>
          <w:sz w:val="20"/>
          <w:szCs w:val="20"/>
          <w:lang w:val="es-ES"/>
        </w:rPr>
        <w:t xml:space="preserve">Buenas tardes, soy funcionaria de la Alcaldía Municipal de Soacha, a mi cargo tengo unas supervisiones de contratos de prestación de servicios. He tenido algunos inconvenientes con una supervisada puesto que ella tiene dentro de sus contractuales la atención al usuario en el punto de atención a la ciudadanía en la Secretaria de Salud de Soacha, la administración tiene establecido bajo la Ley 1437 de 2011, garantiza una atención al ciudadano digna, equitativa e inclusiva, enmarcada en su Plan Anticorrupción. Se prioriza el trato respetuoso, evitando la discriminación y el maltrato, con atención presencial de lunes a viernes (7:00 a.m. 4:00 </w:t>
      </w:r>
      <w:r w:rsidRPr="00396B30">
        <w:rPr>
          <w:rFonts w:ascii="Verdana" w:eastAsia="Century Gothic" w:hAnsi="Verdana" w:cs="Century Gothic"/>
          <w:i/>
          <w:iCs/>
          <w:sz w:val="20"/>
          <w:szCs w:val="20"/>
          <w:lang w:val="es-ES"/>
        </w:rPr>
        <w:lastRenderedPageBreak/>
        <w:t xml:space="preserve">p.m.) y a través del Sistema de Atención al Ciudadano (SAC), sin </w:t>
      </w:r>
      <w:proofErr w:type="gramStart"/>
      <w:r w:rsidRPr="00396B30">
        <w:rPr>
          <w:rFonts w:ascii="Verdana" w:eastAsia="Century Gothic" w:hAnsi="Verdana" w:cs="Century Gothic"/>
          <w:i/>
          <w:iCs/>
          <w:sz w:val="20"/>
          <w:szCs w:val="20"/>
          <w:lang w:val="es-ES"/>
        </w:rPr>
        <w:t>embargo</w:t>
      </w:r>
      <w:proofErr w:type="gramEnd"/>
      <w:r w:rsidRPr="00396B30">
        <w:rPr>
          <w:rFonts w:ascii="Verdana" w:eastAsia="Century Gothic" w:hAnsi="Verdana" w:cs="Century Gothic"/>
          <w:i/>
          <w:iCs/>
          <w:sz w:val="20"/>
          <w:szCs w:val="20"/>
          <w:lang w:val="es-ES"/>
        </w:rPr>
        <w:t xml:space="preserve"> la contratista argumenta que ella no tiene horario de trabajo por la modalidad de su contrato. Quisiera saber si es correcto que ella atienda a los usuarios cuando tenga disponibilidad o debe hacerlo en el horario establecido para tal fin. Agradezco su respuesta a mi solicitud</w:t>
      </w:r>
      <w:r>
        <w:rPr>
          <w:rFonts w:ascii="Verdana" w:eastAsia="Century Gothic" w:hAnsi="Verdana" w:cs="Century Gothic"/>
          <w:i/>
          <w:iCs/>
          <w:sz w:val="20"/>
          <w:szCs w:val="20"/>
          <w:lang w:val="es-ES"/>
        </w:rPr>
        <w:t>”</w:t>
      </w:r>
    </w:p>
    <w:p w14:paraId="34315AFD" w14:textId="77777777" w:rsidR="00FE55BD" w:rsidRPr="00EA395A" w:rsidRDefault="00FE55BD" w:rsidP="004C0B72">
      <w:pPr>
        <w:spacing w:before="120" w:after="120" w:line="276" w:lineRule="auto"/>
        <w:ind w:left="709" w:right="709"/>
        <w:contextualSpacing/>
        <w:jc w:val="both"/>
        <w:rPr>
          <w:rFonts w:ascii="Verdana" w:eastAsia="Century Gothic" w:hAnsi="Verdana" w:cs="Century Gothic"/>
          <w:i/>
          <w:iCs/>
          <w:highlight w:val="lightGray"/>
          <w:lang w:val="es-ES"/>
        </w:rPr>
      </w:pPr>
    </w:p>
    <w:p w14:paraId="647C5A66" w14:textId="3AE6DE2F" w:rsidR="00FE55BD" w:rsidRPr="008A5559" w:rsidRDefault="00FE55BD" w:rsidP="00FE55BD">
      <w:pPr>
        <w:spacing w:after="120" w:line="276" w:lineRule="auto"/>
        <w:ind w:firstLine="708"/>
        <w:jc w:val="both"/>
        <w:rPr>
          <w:rFonts w:ascii="Verdana" w:eastAsia="Calibri" w:hAnsi="Verdana" w:cs="Arial"/>
          <w:lang w:val="es-ES" w:eastAsia="es-ES"/>
        </w:rPr>
      </w:pPr>
      <w:r w:rsidRPr="001900BC">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74250">
        <w:rPr>
          <w:rFonts w:ascii="Verdana" w:eastAsia="Calibri" w:hAnsi="Verdana" w:cs="Arial"/>
          <w:lang w:val="es-ES" w:eastAsia="es-ES"/>
        </w:rPr>
        <w:t xml:space="preserve">la Agencia Nacional de Contratación Pública - </w:t>
      </w:r>
      <w:r w:rsidRPr="001900BC">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w:t>
      </w:r>
      <w:r w:rsidRPr="008A5559">
        <w:rPr>
          <w:rFonts w:ascii="Verdana" w:eastAsia="Calibri" w:hAnsi="Verdana" w:cs="Arial"/>
          <w:lang w:val="es-ES" w:eastAsia="es-ES"/>
        </w:rPr>
        <w:t xml:space="preserve">resolución de controversias, ni a brindar asesorías sobre casos puntuales.  </w:t>
      </w:r>
      <w:r w:rsidRPr="008A5559">
        <w:rPr>
          <w:rFonts w:ascii="Verdana" w:hAnsi="Verdana"/>
          <w:lang w:val="es-ES"/>
        </w:rPr>
        <w:tab/>
      </w:r>
    </w:p>
    <w:p w14:paraId="11A4E7A1" w14:textId="4B0B4DD6" w:rsidR="00FE55BD" w:rsidRPr="008A5559" w:rsidRDefault="00FE55BD" w:rsidP="00FE55BD">
      <w:pPr>
        <w:spacing w:after="0" w:line="276" w:lineRule="auto"/>
        <w:ind w:firstLine="709"/>
        <w:jc w:val="both"/>
        <w:rPr>
          <w:rFonts w:ascii="Verdana" w:eastAsia="Calibri" w:hAnsi="Verdana" w:cs="Arial"/>
          <w:lang w:val="es-ES" w:eastAsia="es-ES"/>
        </w:rPr>
      </w:pPr>
      <w:r w:rsidRPr="008A5559">
        <w:rPr>
          <w:rFonts w:ascii="Verdana" w:eastAsia="Calibri" w:hAnsi="Verdana" w:cs="Arial"/>
          <w:lang w:val="es-ES" w:eastAsia="es-ES"/>
        </w:rPr>
        <w:t>Conforme lo expuesto, en aras de satisfacer el derecho fundamental de petición</w:t>
      </w:r>
      <w:r w:rsidR="00874250">
        <w:rPr>
          <w:rFonts w:ascii="Verdana" w:eastAsia="Calibri" w:hAnsi="Verdana" w:cs="Arial"/>
          <w:lang w:val="es-ES" w:eastAsia="es-ES"/>
        </w:rPr>
        <w:t>,</w:t>
      </w:r>
      <w:r w:rsidRPr="008A5559">
        <w:rPr>
          <w:rFonts w:ascii="Verdana" w:eastAsia="Calibri" w:hAnsi="Verdana" w:cs="Arial"/>
          <w:lang w:val="es-ES" w:eastAsia="es-ES"/>
        </w:rPr>
        <w:t xml:space="preserve"> se resolverá su consulta dentro de los límites de la referida competencia consultiva, esto es, haciendo abstracción de las circunstancias particulares y concretas mencionadas en su petición, pero </w:t>
      </w:r>
      <w:r w:rsidR="00874250">
        <w:rPr>
          <w:rFonts w:ascii="Verdana" w:eastAsia="Calibri" w:hAnsi="Verdana" w:cs="Arial"/>
          <w:lang w:val="es-ES" w:eastAsia="es-ES"/>
        </w:rPr>
        <w:t>señalando</w:t>
      </w:r>
      <w:r w:rsidR="00874250" w:rsidRPr="008A5559">
        <w:rPr>
          <w:rFonts w:ascii="Verdana" w:eastAsia="Calibri" w:hAnsi="Verdana" w:cs="Arial"/>
          <w:lang w:val="es-ES" w:eastAsia="es-ES"/>
        </w:rPr>
        <w:t xml:space="preserve"> </w:t>
      </w:r>
      <w:r w:rsidR="00874250">
        <w:rPr>
          <w:rFonts w:ascii="Verdana" w:eastAsia="Calibri" w:hAnsi="Verdana" w:cs="Arial"/>
          <w:lang w:val="es-ES" w:eastAsia="es-ES"/>
        </w:rPr>
        <w:t>alg</w:t>
      </w:r>
      <w:r w:rsidRPr="008A5559">
        <w:rPr>
          <w:rFonts w:ascii="Verdana" w:eastAsia="Calibri" w:hAnsi="Verdana" w:cs="Arial"/>
          <w:lang w:val="es-ES" w:eastAsia="es-ES"/>
        </w:rPr>
        <w:t xml:space="preserve">unas consideraciones sobre las normas generales relacionadas con el problema jurídico de su consulta. </w:t>
      </w:r>
    </w:p>
    <w:p w14:paraId="7E56C687" w14:textId="77777777" w:rsidR="00FE55BD" w:rsidRPr="008A5559" w:rsidRDefault="00FE55BD" w:rsidP="00874250">
      <w:pPr>
        <w:spacing w:after="0" w:line="276" w:lineRule="auto"/>
        <w:ind w:firstLine="709"/>
        <w:jc w:val="both"/>
        <w:rPr>
          <w:rFonts w:ascii="Verdana" w:eastAsia="Calibri" w:hAnsi="Verdana" w:cs="Arial"/>
          <w:lang w:val="es-ES" w:eastAsia="es-ES"/>
        </w:rPr>
      </w:pPr>
    </w:p>
    <w:p w14:paraId="620B2E57" w14:textId="77777777" w:rsidR="00FE55BD" w:rsidRPr="008A5559" w:rsidRDefault="00FE55BD" w:rsidP="004C0B72">
      <w:pPr>
        <w:tabs>
          <w:tab w:val="left" w:pos="142"/>
          <w:tab w:val="left" w:pos="284"/>
        </w:tabs>
        <w:spacing w:after="0" w:line="276" w:lineRule="auto"/>
        <w:jc w:val="both"/>
        <w:rPr>
          <w:rFonts w:ascii="Verdana" w:eastAsia="Century Gothic" w:hAnsi="Verdana" w:cs="Century Gothic"/>
          <w:b/>
          <w:lang w:val="es-ES"/>
        </w:rPr>
      </w:pPr>
      <w:r w:rsidRPr="008A5559">
        <w:rPr>
          <w:rFonts w:ascii="Verdana" w:eastAsia="Century Gothic" w:hAnsi="Verdana" w:cs="Century Gothic"/>
          <w:b/>
          <w:lang w:val="es-ES"/>
        </w:rPr>
        <w:t>1. Problema planteado:</w:t>
      </w:r>
    </w:p>
    <w:p w14:paraId="61FD9ED6" w14:textId="77777777" w:rsidR="00FE55BD" w:rsidRPr="00797350" w:rsidRDefault="00FE55BD" w:rsidP="00874250">
      <w:pPr>
        <w:tabs>
          <w:tab w:val="left" w:pos="426"/>
        </w:tabs>
        <w:spacing w:after="0" w:line="276" w:lineRule="auto"/>
        <w:jc w:val="both"/>
        <w:rPr>
          <w:rFonts w:ascii="Verdana" w:eastAsia="Century Gothic" w:hAnsi="Verdana" w:cs="Century Gothic"/>
          <w:color w:val="ED7D31" w:themeColor="accent2"/>
          <w:highlight w:val="lightGray"/>
          <w:lang w:val="es-ES"/>
        </w:rPr>
      </w:pPr>
    </w:p>
    <w:p w14:paraId="59C372C6" w14:textId="66BC80C7" w:rsidR="00FE55BD" w:rsidRPr="00797350" w:rsidRDefault="00FE55BD" w:rsidP="00492084">
      <w:pPr>
        <w:spacing w:after="0" w:line="276" w:lineRule="auto"/>
        <w:jc w:val="both"/>
        <w:rPr>
          <w:rFonts w:ascii="Verdana" w:eastAsia="Century Gothic" w:hAnsi="Verdana" w:cs="Century Gothic"/>
          <w:highlight w:val="lightGray"/>
        </w:rPr>
      </w:pPr>
      <w:r w:rsidRPr="00842BE9">
        <w:rPr>
          <w:rFonts w:ascii="Verdana" w:eastAsia="Century Gothic" w:hAnsi="Verdana" w:cs="Century Gothic"/>
          <w:lang w:val="es-ES"/>
        </w:rPr>
        <w:t xml:space="preserve">De acuerdo con el contenido de su solicitud, esta Agencia resolverá el siguiente problema </w:t>
      </w:r>
      <w:r w:rsidRPr="00D324D1">
        <w:rPr>
          <w:rFonts w:ascii="Verdana" w:eastAsia="Century Gothic" w:hAnsi="Verdana" w:cs="Century Gothic"/>
          <w:lang w:val="es-ES"/>
        </w:rPr>
        <w:t>jurídico:</w:t>
      </w:r>
      <w:r w:rsidRPr="00D324D1">
        <w:rPr>
          <w:rFonts w:ascii="Verdana" w:eastAsia="Century Gothic" w:hAnsi="Verdana" w:cs="Century Gothic"/>
        </w:rPr>
        <w:t xml:space="preserve"> ¿Es jurídicamente viable que una entidad contratante exija el cumplimiento de un horario a un contratista</w:t>
      </w:r>
      <w:r>
        <w:rPr>
          <w:rFonts w:ascii="Verdana" w:eastAsia="Century Gothic" w:hAnsi="Verdana" w:cs="Century Gothic"/>
        </w:rPr>
        <w:t>,</w:t>
      </w:r>
      <w:r w:rsidRPr="00D324D1">
        <w:rPr>
          <w:rFonts w:ascii="Verdana" w:eastAsia="Century Gothic" w:hAnsi="Verdana" w:cs="Century Gothic"/>
        </w:rPr>
        <w:t xml:space="preserve"> cuando sus obligaciones contractuales implican la atención al usuario?</w:t>
      </w:r>
    </w:p>
    <w:p w14:paraId="3A16F983" w14:textId="77777777" w:rsidR="00FE55BD" w:rsidRPr="00797350" w:rsidRDefault="00FE55BD" w:rsidP="00492084">
      <w:pPr>
        <w:spacing w:after="0" w:line="276" w:lineRule="auto"/>
        <w:jc w:val="both"/>
        <w:rPr>
          <w:rFonts w:ascii="Verdana" w:eastAsia="Century Gothic" w:hAnsi="Verdana" w:cs="Century Gothic"/>
          <w:color w:val="ED7D31" w:themeColor="accent2"/>
          <w:highlight w:val="lightGray"/>
        </w:rPr>
      </w:pPr>
    </w:p>
    <w:p w14:paraId="1E6ED96E" w14:textId="77777777" w:rsidR="00FE55BD" w:rsidRPr="00997404" w:rsidRDefault="00FE55BD" w:rsidP="0003707A">
      <w:pPr>
        <w:tabs>
          <w:tab w:val="left" w:pos="142"/>
          <w:tab w:val="left" w:pos="284"/>
        </w:tabs>
        <w:spacing w:after="0" w:line="276" w:lineRule="auto"/>
        <w:jc w:val="both"/>
        <w:rPr>
          <w:rFonts w:ascii="Verdana" w:eastAsia="Century Gothic" w:hAnsi="Verdana" w:cs="Century Gothic"/>
          <w:b/>
          <w:color w:val="ED7D31" w:themeColor="accent2"/>
          <w:lang w:val="es-ES"/>
        </w:rPr>
      </w:pPr>
      <w:r w:rsidRPr="00997404">
        <w:rPr>
          <w:rFonts w:ascii="Verdana" w:eastAsia="Century Gothic" w:hAnsi="Verdana" w:cs="Century Gothic"/>
          <w:b/>
          <w:lang w:val="es-ES"/>
        </w:rPr>
        <w:t>2. Respuesta:</w:t>
      </w:r>
    </w:p>
    <w:p w14:paraId="1D980557" w14:textId="77777777" w:rsidR="00FE55BD" w:rsidRPr="00797350" w:rsidRDefault="00FE55BD" w:rsidP="00255E89">
      <w:pPr>
        <w:tabs>
          <w:tab w:val="left" w:pos="142"/>
          <w:tab w:val="left" w:pos="284"/>
        </w:tabs>
        <w:spacing w:after="0" w:line="276" w:lineRule="auto"/>
        <w:jc w:val="both"/>
        <w:rPr>
          <w:rFonts w:ascii="Verdana" w:eastAsia="Century Gothic" w:hAnsi="Verdana" w:cs="Century Gothic"/>
          <w:b/>
          <w:bCs/>
          <w:color w:val="ED7D31" w:themeColor="accent2"/>
          <w:highlight w:val="lightGray"/>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E55BD" w:rsidRPr="00064773" w14:paraId="58023321" w14:textId="77777777" w:rsidTr="00A35F0D">
        <w:tc>
          <w:tcPr>
            <w:tcW w:w="8828" w:type="dxa"/>
          </w:tcPr>
          <w:p w14:paraId="6C118CCE" w14:textId="0309EA13" w:rsidR="00FE55BD" w:rsidRPr="004C0B72" w:rsidRDefault="00FE55BD" w:rsidP="00064773">
            <w:pPr>
              <w:spacing w:after="120" w:line="276" w:lineRule="auto"/>
              <w:jc w:val="both"/>
              <w:rPr>
                <w:rFonts w:ascii="Verdana" w:hAnsi="Verdana"/>
              </w:rPr>
            </w:pPr>
            <w:r w:rsidRPr="00064773">
              <w:rPr>
                <w:rFonts w:ascii="Verdana" w:eastAsia="Calibri" w:hAnsi="Verdana" w:cs="Arial"/>
              </w:rPr>
              <w:t>Para responder el problema jurídico</w:t>
            </w:r>
            <w:r w:rsidR="000940A2" w:rsidRPr="00064773">
              <w:rPr>
                <w:rFonts w:ascii="Verdana" w:eastAsia="Calibri" w:hAnsi="Verdana" w:cs="Arial"/>
              </w:rPr>
              <w:t xml:space="preserve"> planteado</w:t>
            </w:r>
            <w:r w:rsidRPr="00064773">
              <w:rPr>
                <w:rFonts w:ascii="Verdana" w:eastAsia="Calibri" w:hAnsi="Verdana" w:cs="Arial"/>
              </w:rPr>
              <w:t xml:space="preserve">, es importante precisar que, el </w:t>
            </w:r>
            <w:r w:rsidRPr="00064773">
              <w:rPr>
                <w:rFonts w:ascii="Verdana" w:eastAsia="Times New Roman" w:hAnsi="Verdana" w:cs="Arial"/>
                <w:lang w:eastAsia="es-ES_tradnl"/>
              </w:rPr>
              <w:t>contrato de prestación de servicios es una tipología contractual regulada por el numeral 3 del artículo 32 de la Ley 80 de 1993</w:t>
            </w:r>
            <w:r w:rsidRPr="00064773">
              <w:rPr>
                <w:rFonts w:ascii="Verdana" w:hAnsi="Verdana" w:cs="Arial"/>
                <w:noProof/>
                <w:lang w:val="es-ES_tradnl"/>
              </w:rPr>
              <w:t xml:space="preserve">. Si bien se celebran para </w:t>
            </w:r>
            <w:r w:rsidRPr="00064773">
              <w:rPr>
                <w:rFonts w:ascii="Verdana" w:hAnsi="Verdana" w:cs="Arial"/>
                <w:noProof/>
                <w:lang w:val="es-ES_tradnl"/>
              </w:rPr>
              <w:lastRenderedPageBreak/>
              <w:t xml:space="preserve">obtener la prestación personal de un servicio, se diferencian del contrato de trabajo en que </w:t>
            </w:r>
            <w:r w:rsidR="000940A2" w:rsidRPr="00064773">
              <w:rPr>
                <w:rFonts w:ascii="Verdana" w:hAnsi="Verdana" w:cs="Arial"/>
                <w:noProof/>
                <w:lang w:val="es-ES_tradnl"/>
              </w:rPr>
              <w:t>el contratista</w:t>
            </w:r>
            <w:r w:rsidRPr="00064773">
              <w:rPr>
                <w:rFonts w:ascii="Verdana" w:hAnsi="Verdana" w:cs="Arial"/>
                <w:noProof/>
                <w:lang w:val="es-ES_tradnl"/>
              </w:rPr>
              <w:t xml:space="preserve"> de prestación de servicios debe mantener autonomía e independencia en la ejecución de la labor</w:t>
            </w:r>
            <w:r w:rsidR="000940A2" w:rsidRPr="00064773">
              <w:rPr>
                <w:rFonts w:ascii="Verdana" w:hAnsi="Verdana" w:cs="Arial"/>
                <w:noProof/>
                <w:lang w:val="es-ES_tradnl"/>
              </w:rPr>
              <w:t>. Esto</w:t>
            </w:r>
            <w:r w:rsidRPr="00064773">
              <w:rPr>
                <w:rFonts w:ascii="Verdana" w:hAnsi="Verdana" w:cs="Arial"/>
                <w:noProof/>
                <w:lang w:val="es-ES_tradnl"/>
              </w:rPr>
              <w:t xml:space="preserve"> significa que no debe existir </w:t>
            </w:r>
            <w:r w:rsidRPr="00064773">
              <w:rPr>
                <w:rFonts w:ascii="Verdana" w:hAnsi="Verdana" w:cs="Arial"/>
                <w:i/>
                <w:noProof/>
                <w:lang w:val="es-ES_tradnl"/>
              </w:rPr>
              <w:t xml:space="preserve">subordinación </w:t>
            </w:r>
            <w:r w:rsidRPr="00064773">
              <w:rPr>
                <w:rFonts w:ascii="Verdana" w:hAnsi="Verdana" w:cs="Arial"/>
                <w:iCs/>
                <w:noProof/>
                <w:lang w:val="es-ES_tradnl"/>
              </w:rPr>
              <w:t>ni</w:t>
            </w:r>
            <w:r w:rsidRPr="00064773">
              <w:rPr>
                <w:rFonts w:ascii="Verdana" w:hAnsi="Verdana" w:cs="Arial"/>
                <w:i/>
                <w:noProof/>
                <w:lang w:val="es-ES_tradnl"/>
              </w:rPr>
              <w:t xml:space="preserve"> dependencia</w:t>
            </w:r>
            <w:r w:rsidRPr="00064773">
              <w:rPr>
                <w:rFonts w:ascii="Verdana" w:hAnsi="Verdana" w:cs="Arial"/>
                <w:iCs/>
                <w:noProof/>
                <w:lang w:val="es-ES_tradnl"/>
              </w:rPr>
              <w:t>,</w:t>
            </w:r>
            <w:r w:rsidRPr="00064773">
              <w:rPr>
                <w:rFonts w:ascii="Verdana" w:hAnsi="Verdana" w:cs="Arial"/>
                <w:noProof/>
                <w:lang w:val="es-ES_tradnl"/>
              </w:rPr>
              <w:t xml:space="preserve"> elementos constitutivos del vínculo laboral</w:t>
            </w:r>
            <w:r w:rsidRPr="004C0B72">
              <w:rPr>
                <w:rFonts w:ascii="Verdana" w:hAnsi="Verdana"/>
              </w:rPr>
              <w:t>.</w:t>
            </w:r>
          </w:p>
          <w:p w14:paraId="7853AF7F" w14:textId="6AECA99B" w:rsidR="00FE55BD" w:rsidRPr="00064773" w:rsidRDefault="00FE55BD" w:rsidP="00064773">
            <w:pPr>
              <w:spacing w:after="120" w:line="276" w:lineRule="auto"/>
              <w:ind w:firstLine="709"/>
              <w:jc w:val="both"/>
              <w:rPr>
                <w:rFonts w:ascii="Verdana" w:hAnsi="Verdana" w:cs="Arial"/>
                <w:noProof/>
                <w:lang w:val="es-ES_tradnl"/>
              </w:rPr>
            </w:pPr>
            <w:r w:rsidRPr="00064773">
              <w:rPr>
                <w:rFonts w:ascii="Verdana" w:hAnsi="Verdana" w:cs="Arial"/>
                <w:noProof/>
              </w:rPr>
              <w:t xml:space="preserve">No obstante, </w:t>
            </w:r>
            <w:r w:rsidR="000940A2" w:rsidRPr="00064773">
              <w:rPr>
                <w:rFonts w:ascii="Verdana" w:hAnsi="Verdana" w:cs="Arial"/>
                <w:noProof/>
                <w:lang w:val="es-ES_tradnl"/>
              </w:rPr>
              <w:t>aunque</w:t>
            </w:r>
            <w:r w:rsidRPr="00064773">
              <w:rPr>
                <w:rFonts w:ascii="Verdana" w:hAnsi="Verdana" w:cs="Arial"/>
                <w:noProof/>
                <w:lang w:val="es-ES_tradnl"/>
              </w:rPr>
              <w:t xml:space="preserve"> el contrato de prestación de servicios se caracteriza por la autonomía e independencia del contratista y la ausencia de subordinación laboral, ello no impide que la entidad establezca directrices orientadas a garantizar la correcta </w:t>
            </w:r>
            <w:r w:rsidR="006F6368" w:rsidRPr="00064773">
              <w:rPr>
                <w:rFonts w:ascii="Verdana" w:hAnsi="Verdana" w:cs="Arial"/>
                <w:noProof/>
                <w:lang w:val="es-ES_tradnl"/>
              </w:rPr>
              <w:t>ejecución del objeto contractual</w:t>
            </w:r>
            <w:r w:rsidRPr="00064773">
              <w:rPr>
                <w:rFonts w:ascii="Verdana" w:hAnsi="Verdana" w:cs="Arial"/>
                <w:noProof/>
                <w:lang w:val="es-ES_tradnl"/>
              </w:rPr>
              <w:t xml:space="preserve">. </w:t>
            </w:r>
          </w:p>
          <w:p w14:paraId="16D5F59A" w14:textId="4D219DCF" w:rsidR="00064773" w:rsidRPr="00064773" w:rsidRDefault="00FE55BD" w:rsidP="00064773">
            <w:pPr>
              <w:spacing w:after="120" w:line="276" w:lineRule="auto"/>
              <w:ind w:firstLine="709"/>
              <w:jc w:val="both"/>
              <w:rPr>
                <w:rFonts w:ascii="Verdana" w:hAnsi="Verdana" w:cs="Arial"/>
                <w:noProof/>
              </w:rPr>
            </w:pPr>
            <w:r w:rsidRPr="00064773">
              <w:rPr>
                <w:rFonts w:ascii="Verdana" w:hAnsi="Verdana" w:cs="Arial"/>
                <w:noProof/>
                <w:lang w:val="es-ES_tradnl"/>
              </w:rPr>
              <w:t>La jurisprudencia</w:t>
            </w:r>
            <w:r w:rsidR="00064773" w:rsidRPr="00064773">
              <w:rPr>
                <w:rFonts w:ascii="Verdana" w:hAnsi="Verdana" w:cs="Arial"/>
                <w:noProof/>
                <w:lang w:val="es-ES_tradnl"/>
              </w:rPr>
              <w:t>, que será reseñado a lo largo de este concepto,</w:t>
            </w:r>
            <w:r w:rsidRPr="00064773">
              <w:rPr>
                <w:rFonts w:ascii="Verdana" w:hAnsi="Verdana" w:cs="Arial"/>
                <w:noProof/>
                <w:lang w:val="es-ES_tradnl"/>
              </w:rPr>
              <w:t xml:space="preserve"> ha señalado que la fijación de un horario, por sí sola, no configura una relación laboral, ni desnaturaliza el contrato de prestación de servicios, </w:t>
            </w:r>
            <w:r w:rsidR="00064773" w:rsidRPr="00064773">
              <w:rPr>
                <w:rFonts w:ascii="Verdana" w:hAnsi="Verdana" w:cs="Arial"/>
                <w:noProof/>
                <w:lang w:val="es-ES_tradnl"/>
              </w:rPr>
              <w:t>siempre que dicha medida</w:t>
            </w:r>
            <w:r w:rsidRPr="00064773">
              <w:rPr>
                <w:rFonts w:ascii="Verdana" w:hAnsi="Verdana" w:cs="Arial"/>
                <w:noProof/>
                <w:lang w:val="es-ES_tradnl"/>
              </w:rPr>
              <w:t xml:space="preserve"> respond</w:t>
            </w:r>
            <w:r w:rsidR="00064773" w:rsidRPr="00064773">
              <w:rPr>
                <w:rFonts w:ascii="Verdana" w:hAnsi="Verdana" w:cs="Arial"/>
                <w:noProof/>
                <w:lang w:val="es-ES_tradnl"/>
              </w:rPr>
              <w:t>a</w:t>
            </w:r>
            <w:r w:rsidRPr="00064773">
              <w:rPr>
                <w:rFonts w:ascii="Verdana" w:hAnsi="Verdana" w:cs="Arial"/>
                <w:noProof/>
                <w:lang w:val="es-ES_tradnl"/>
              </w:rPr>
              <w:t xml:space="preserve"> a necesidades objetivas del servicio y no </w:t>
            </w:r>
            <w:r w:rsidR="00064773" w:rsidRPr="00064773">
              <w:rPr>
                <w:rFonts w:ascii="Verdana" w:hAnsi="Verdana" w:cs="Arial"/>
                <w:noProof/>
                <w:lang w:val="es-ES_tradnl"/>
              </w:rPr>
              <w:t>suponga</w:t>
            </w:r>
            <w:r w:rsidRPr="00064773">
              <w:rPr>
                <w:rFonts w:ascii="Verdana" w:hAnsi="Verdana" w:cs="Arial"/>
                <w:noProof/>
                <w:lang w:val="es-ES_tradnl"/>
              </w:rPr>
              <w:t xml:space="preserve"> un ejercicio permanente de subordinación ya que se configuraría un contrato realidad.</w:t>
            </w:r>
            <w:r w:rsidRPr="00064773">
              <w:rPr>
                <w:rFonts w:ascii="Verdana" w:hAnsi="Verdana" w:cs="Arial"/>
                <w:noProof/>
              </w:rPr>
              <w:t xml:space="preserve"> En ese sentido, la fijación de un horario, aunque puede </w:t>
            </w:r>
            <w:r w:rsidR="00064773" w:rsidRPr="00064773">
              <w:rPr>
                <w:rFonts w:ascii="Verdana" w:hAnsi="Verdana" w:cs="Arial"/>
                <w:noProof/>
              </w:rPr>
              <w:t>constituir un inidicio</w:t>
            </w:r>
            <w:r w:rsidRPr="00064773">
              <w:rPr>
                <w:rFonts w:ascii="Verdana" w:hAnsi="Verdana" w:cs="Arial"/>
                <w:noProof/>
              </w:rPr>
              <w:t xml:space="preserve"> de una relación laboral, no constituye por sí sola una prueba concluyente</w:t>
            </w:r>
            <w:r w:rsidR="00064773" w:rsidRPr="00064773">
              <w:rPr>
                <w:rFonts w:ascii="Verdana" w:hAnsi="Verdana" w:cs="Arial"/>
                <w:noProof/>
              </w:rPr>
              <w:t xml:space="preserve"> de la existencia de un contrato realidad</w:t>
            </w:r>
            <w:r w:rsidRPr="00064773">
              <w:rPr>
                <w:rFonts w:ascii="Verdana" w:hAnsi="Verdana" w:cs="Arial"/>
                <w:noProof/>
              </w:rPr>
              <w:t xml:space="preserve">. </w:t>
            </w:r>
          </w:p>
          <w:p w14:paraId="3D80944C" w14:textId="632F8008" w:rsidR="00FE55BD" w:rsidRPr="00064773" w:rsidRDefault="00064773" w:rsidP="00064773">
            <w:pPr>
              <w:spacing w:after="120" w:line="276" w:lineRule="auto"/>
              <w:ind w:firstLine="709"/>
              <w:jc w:val="both"/>
              <w:rPr>
                <w:rFonts w:ascii="Verdana" w:hAnsi="Verdana" w:cs="Arial"/>
                <w:noProof/>
              </w:rPr>
            </w:pPr>
            <w:r w:rsidRPr="00064773">
              <w:rPr>
                <w:rFonts w:ascii="Verdana" w:hAnsi="Verdana" w:cs="Arial"/>
                <w:noProof/>
              </w:rPr>
              <w:t>E</w:t>
            </w:r>
            <w:r w:rsidR="00FE55BD" w:rsidRPr="00064773">
              <w:rPr>
                <w:rFonts w:ascii="Verdana" w:hAnsi="Verdana" w:cs="Arial"/>
                <w:noProof/>
              </w:rPr>
              <w:t xml:space="preserve">l Consejo de Estado ha </w:t>
            </w:r>
            <w:r w:rsidRPr="00064773">
              <w:rPr>
                <w:rFonts w:ascii="Verdana" w:hAnsi="Verdana" w:cs="Arial"/>
                <w:noProof/>
              </w:rPr>
              <w:t xml:space="preserve">sostenido, </w:t>
            </w:r>
            <w:r w:rsidR="00FE55BD" w:rsidRPr="00064773">
              <w:rPr>
                <w:rFonts w:ascii="Verdana" w:hAnsi="Verdana" w:cs="Arial"/>
                <w:noProof/>
              </w:rPr>
              <w:t>en múltiples sentencias</w:t>
            </w:r>
            <w:r w:rsidRPr="00064773">
              <w:rPr>
                <w:rFonts w:ascii="Verdana" w:hAnsi="Verdana" w:cs="Arial"/>
                <w:noProof/>
              </w:rPr>
              <w:t>,</w:t>
            </w:r>
            <w:r w:rsidR="00FE55BD" w:rsidRPr="00064773">
              <w:rPr>
                <w:rFonts w:ascii="Verdana" w:hAnsi="Verdana" w:cs="Arial"/>
                <w:noProof/>
              </w:rPr>
              <w:t xml:space="preserve"> que la existencia de una jornada u horario puede ser necesaria para garantizar el cumplimiento eficiente del objeto contractual. Por lo tanto, la exigencia de un horario no desnaturaliza el contrato de prestación de servicios, siempre que este sea indispensable para la adecuada ejecución de las actividades pactadas.</w:t>
            </w:r>
          </w:p>
          <w:p w14:paraId="08C5F683" w14:textId="317BB929" w:rsidR="00FE55BD" w:rsidRPr="00064773" w:rsidRDefault="00FE55BD">
            <w:pPr>
              <w:spacing w:after="120" w:line="276" w:lineRule="auto"/>
              <w:ind w:firstLine="709"/>
              <w:jc w:val="both"/>
              <w:rPr>
                <w:rFonts w:ascii="Verdana" w:eastAsia="Century Gothic" w:hAnsi="Verdana" w:cs="Century Gothic"/>
                <w:bCs/>
                <w:lang w:val="es-ES_tradnl"/>
              </w:rPr>
            </w:pPr>
            <w:r w:rsidRPr="00064773">
              <w:rPr>
                <w:rFonts w:ascii="Verdana" w:hAnsi="Verdana" w:cs="Arial"/>
                <w:noProof/>
              </w:rPr>
              <w:t xml:space="preserve">En </w:t>
            </w:r>
            <w:r w:rsidR="00064773" w:rsidRPr="00064773">
              <w:rPr>
                <w:rFonts w:ascii="Verdana" w:hAnsi="Verdana" w:cs="Arial"/>
                <w:noProof/>
              </w:rPr>
              <w:t>ese marco</w:t>
            </w:r>
            <w:r w:rsidRPr="00064773">
              <w:rPr>
                <w:rFonts w:ascii="Verdana" w:hAnsi="Verdana" w:cs="Arial"/>
                <w:noProof/>
              </w:rPr>
              <w:t>, los contratistas por prestación de servicios deben ajustarse, en el desarrollo de sus obligaciones contractuales</w:t>
            </w:r>
            <w:r w:rsidR="00064773" w:rsidRPr="00064773">
              <w:rPr>
                <w:rFonts w:ascii="Verdana" w:hAnsi="Verdana" w:cs="Arial"/>
                <w:noProof/>
              </w:rPr>
              <w:t>,</w:t>
            </w:r>
            <w:r w:rsidRPr="00064773">
              <w:rPr>
                <w:rFonts w:ascii="Verdana" w:hAnsi="Verdana" w:cs="Arial"/>
                <w:noProof/>
              </w:rPr>
              <w:t xml:space="preserve"> a las directrices establecidas por la entidad estatal contratante, así como a la forma en que se coordinan las distintas actividades</w:t>
            </w:r>
            <w:r w:rsidR="00064773" w:rsidRPr="00064773">
              <w:rPr>
                <w:rFonts w:ascii="Verdana" w:hAnsi="Verdana" w:cs="Arial"/>
                <w:noProof/>
              </w:rPr>
              <w:t xml:space="preserve"> asociadas al objeto contractual</w:t>
            </w:r>
            <w:r w:rsidRPr="00064773">
              <w:rPr>
                <w:rFonts w:ascii="Verdana" w:hAnsi="Verdana" w:cs="Arial"/>
                <w:noProof/>
              </w:rPr>
              <w:t>. Si se requiere la presencia del contratista en una jornada específica dentro de la entidad, dicha exigencia debe estar claramente estipulada en el contrato</w:t>
            </w:r>
            <w:r w:rsidR="00064773" w:rsidRPr="00064773">
              <w:rPr>
                <w:rFonts w:ascii="Verdana" w:hAnsi="Verdana" w:cs="Arial"/>
                <w:noProof/>
              </w:rPr>
              <w:t xml:space="preserve"> y debe estar debidamente justificada</w:t>
            </w:r>
            <w:r w:rsidRPr="00064773">
              <w:rPr>
                <w:rFonts w:ascii="Verdana" w:hAnsi="Verdana" w:cs="Arial"/>
                <w:noProof/>
              </w:rPr>
              <w:t xml:space="preserve">. En todo caso, más que imponer un horario, se trata de asegurar el cumplimiento de las tareas propias del objeto contractual, conforme a las necesidades </w:t>
            </w:r>
            <w:r w:rsidR="00064773" w:rsidRPr="00064773">
              <w:rPr>
                <w:rFonts w:ascii="Verdana" w:hAnsi="Verdana" w:cs="Arial"/>
                <w:noProof/>
              </w:rPr>
              <w:t xml:space="preserve"> del servicio </w:t>
            </w:r>
            <w:r w:rsidRPr="00064773">
              <w:rPr>
                <w:rFonts w:ascii="Verdana" w:hAnsi="Verdana" w:cs="Arial"/>
                <w:noProof/>
              </w:rPr>
              <w:t>y</w:t>
            </w:r>
            <w:r w:rsidR="00064773" w:rsidRPr="00064773">
              <w:rPr>
                <w:rFonts w:ascii="Verdana" w:hAnsi="Verdana" w:cs="Arial"/>
                <w:noProof/>
              </w:rPr>
              <w:t xml:space="preserve"> de las</w:t>
            </w:r>
            <w:r w:rsidRPr="00064773">
              <w:rPr>
                <w:rFonts w:ascii="Verdana" w:hAnsi="Verdana" w:cs="Arial"/>
                <w:noProof/>
              </w:rPr>
              <w:t xml:space="preserve"> funciones de la entidad.</w:t>
            </w:r>
          </w:p>
          <w:p w14:paraId="2D8EBD55" w14:textId="2A318D70" w:rsidR="00FE55BD" w:rsidRPr="00064773" w:rsidRDefault="00FE55BD">
            <w:pPr>
              <w:spacing w:line="276" w:lineRule="auto"/>
              <w:ind w:firstLine="709"/>
              <w:jc w:val="both"/>
              <w:rPr>
                <w:rFonts w:ascii="Verdana" w:eastAsia="Calibri" w:hAnsi="Verdana" w:cs="Arial"/>
                <w:color w:val="ED7D31" w:themeColor="accent2"/>
                <w:highlight w:val="lightGray"/>
              </w:rPr>
            </w:pPr>
            <w:r w:rsidRPr="00064773">
              <w:rPr>
                <w:rFonts w:ascii="Verdana" w:eastAsia="Calibri" w:hAnsi="Verdana" w:cs="Arial"/>
                <w:bCs/>
              </w:rPr>
              <w:t>Al margen de la explicación precedente</w:t>
            </w:r>
            <w:r w:rsidR="00064773" w:rsidRPr="00064773">
              <w:rPr>
                <w:rFonts w:ascii="Verdana" w:eastAsia="Calibri" w:hAnsi="Verdana" w:cs="Arial"/>
                <w:bCs/>
              </w:rPr>
              <w:t>,</w:t>
            </w:r>
            <w:r w:rsidRPr="00064773">
              <w:rPr>
                <w:rFonts w:ascii="Verdana" w:eastAsia="Calibri" w:hAnsi="Verdana" w:cs="Arial"/>
                <w:bCs/>
              </w:rPr>
              <w:t xml:space="preserve"> debe advertirse que </w:t>
            </w:r>
            <w:r w:rsidRPr="00064773">
              <w:rPr>
                <w:rStyle w:val="s15"/>
                <w:rFonts w:ascii="Verdana" w:hAnsi="Verdana"/>
              </w:rPr>
              <w:t xml:space="preserve">el análisis requerido para resolver problemas específicos en torno a la gestión contractual </w:t>
            </w:r>
            <w:r w:rsidRPr="00064773">
              <w:rPr>
                <w:rStyle w:val="s15"/>
                <w:rFonts w:ascii="Verdana" w:hAnsi="Verdana"/>
              </w:rPr>
              <w:lastRenderedPageBreak/>
              <w:t>debe ser realizado por quienes tengan interés en ello, de acuerdo con lo explicado</w:t>
            </w:r>
            <w:r w:rsidR="00064773" w:rsidRPr="00064773">
              <w:rPr>
                <w:rStyle w:val="s15"/>
                <w:rFonts w:ascii="Verdana" w:hAnsi="Verdana"/>
              </w:rPr>
              <w:t xml:space="preserve"> </w:t>
            </w:r>
            <w:r w:rsidR="00064773" w:rsidRPr="004C0B72">
              <w:rPr>
                <w:rStyle w:val="s15"/>
                <w:rFonts w:ascii="Verdana" w:hAnsi="Verdana"/>
              </w:rPr>
              <w:t>en el presente escrito</w:t>
            </w:r>
            <w:r w:rsidRPr="00064773">
              <w:rPr>
                <w:rStyle w:val="s15"/>
                <w:rFonts w:ascii="Verdana" w:hAnsi="Verdana"/>
              </w:rPr>
              <w:t>.</w:t>
            </w:r>
            <w:r w:rsidRPr="00064773">
              <w:rPr>
                <w:rStyle w:val="apple-converted-space"/>
                <w:rFonts w:ascii="Verdana" w:hAnsi="Verdana"/>
              </w:rPr>
              <w:t> </w:t>
            </w:r>
            <w:r w:rsidRPr="00064773">
              <w:rPr>
                <w:rStyle w:val="s15"/>
                <w:rFonts w:ascii="Verdana" w:hAnsi="Verdana"/>
              </w:rPr>
              <w:t>Por lo anterior, previo</w:t>
            </w:r>
            <w:r w:rsidRPr="00064773">
              <w:rPr>
                <w:rStyle w:val="apple-converted-space"/>
                <w:rFonts w:ascii="Verdana" w:hAnsi="Verdana"/>
              </w:rPr>
              <w:t> </w:t>
            </w:r>
            <w:r w:rsidRPr="00064773">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7705D3E" w14:textId="77777777" w:rsidR="00FE55BD" w:rsidRPr="008A5559" w:rsidRDefault="00FE55BD" w:rsidP="00492084">
      <w:pPr>
        <w:tabs>
          <w:tab w:val="left" w:pos="142"/>
          <w:tab w:val="left" w:pos="284"/>
        </w:tabs>
        <w:spacing w:after="0" w:line="276" w:lineRule="auto"/>
        <w:jc w:val="both"/>
        <w:rPr>
          <w:rFonts w:ascii="Verdana" w:eastAsia="Century Gothic" w:hAnsi="Verdana" w:cs="Century Gothic"/>
          <w:b/>
          <w:bCs/>
          <w:lang w:val="es-ES"/>
        </w:rPr>
      </w:pPr>
    </w:p>
    <w:p w14:paraId="5CB5EEB6" w14:textId="77777777" w:rsidR="00FE55BD" w:rsidRPr="008A5559" w:rsidRDefault="00FE55BD" w:rsidP="0003707A">
      <w:pPr>
        <w:tabs>
          <w:tab w:val="left" w:pos="142"/>
          <w:tab w:val="left" w:pos="284"/>
        </w:tabs>
        <w:spacing w:after="0" w:line="276" w:lineRule="auto"/>
        <w:jc w:val="both"/>
        <w:rPr>
          <w:rFonts w:ascii="Verdana" w:eastAsia="Century Gothic" w:hAnsi="Verdana" w:cs="Century Gothic"/>
          <w:b/>
          <w:lang w:val="es-ES"/>
        </w:rPr>
      </w:pPr>
      <w:r w:rsidRPr="008A5559">
        <w:rPr>
          <w:rFonts w:ascii="Verdana" w:eastAsia="Century Gothic" w:hAnsi="Verdana" w:cs="Century Gothic"/>
          <w:b/>
          <w:lang w:val="es-ES"/>
        </w:rPr>
        <w:t>3. Razones de la respuesta:</w:t>
      </w:r>
    </w:p>
    <w:p w14:paraId="4A939821" w14:textId="77777777" w:rsidR="00FE55BD" w:rsidRPr="008A5559" w:rsidRDefault="00FE55BD" w:rsidP="00255E89">
      <w:pPr>
        <w:spacing w:after="0" w:line="276" w:lineRule="auto"/>
        <w:jc w:val="both"/>
        <w:rPr>
          <w:rFonts w:ascii="Verdana" w:eastAsia="Calibri" w:hAnsi="Verdana" w:cs="Arial"/>
          <w:lang w:val="es-ES"/>
        </w:rPr>
      </w:pPr>
    </w:p>
    <w:p w14:paraId="1B4005EE" w14:textId="77777777" w:rsidR="00FE55BD" w:rsidRPr="008A5559" w:rsidRDefault="00FE55BD" w:rsidP="00064773">
      <w:pPr>
        <w:spacing w:after="0" w:line="276" w:lineRule="auto"/>
        <w:jc w:val="both"/>
        <w:rPr>
          <w:rFonts w:ascii="Verdana" w:eastAsia="Calibri" w:hAnsi="Verdana" w:cs="Arial"/>
          <w:lang w:val="es-ES"/>
        </w:rPr>
      </w:pPr>
      <w:r w:rsidRPr="008A5559">
        <w:rPr>
          <w:rFonts w:ascii="Verdana" w:eastAsia="Calibri" w:hAnsi="Verdana" w:cs="Arial"/>
          <w:lang w:val="es-ES"/>
        </w:rPr>
        <w:t xml:space="preserve">Las respuestas anteriores se sustentan en las siguientes consideraciones: </w:t>
      </w:r>
    </w:p>
    <w:p w14:paraId="02302A12" w14:textId="77777777" w:rsidR="00FE55BD" w:rsidRPr="00797350" w:rsidRDefault="00FE55BD">
      <w:pPr>
        <w:tabs>
          <w:tab w:val="left" w:pos="142"/>
          <w:tab w:val="left" w:pos="284"/>
        </w:tabs>
        <w:spacing w:after="0" w:line="276" w:lineRule="auto"/>
        <w:jc w:val="both"/>
        <w:rPr>
          <w:rFonts w:ascii="Verdana" w:eastAsia="Century Gothic" w:hAnsi="Verdana" w:cs="Century Gothic"/>
          <w:b/>
          <w:highlight w:val="lightGray"/>
          <w:lang w:val="es-ES"/>
        </w:rPr>
      </w:pPr>
    </w:p>
    <w:p w14:paraId="0CCAA745" w14:textId="3EFE72B1" w:rsidR="00FE55BD" w:rsidRDefault="00FE55BD" w:rsidP="004C0B72">
      <w:pPr>
        <w:spacing w:after="0" w:line="276" w:lineRule="auto"/>
        <w:jc w:val="both"/>
        <w:rPr>
          <w:rFonts w:ascii="Verdana" w:eastAsia="Calibri" w:hAnsi="Verdana" w:cs="Arial"/>
        </w:rPr>
      </w:pPr>
      <w:bookmarkStart w:id="1" w:name="_Hlk102983874"/>
      <w:bookmarkStart w:id="2" w:name="_Hlk102388095"/>
      <w:r w:rsidRPr="00666643">
        <w:rPr>
          <w:rFonts w:ascii="Verdana" w:hAnsi="Verdana" w:cs="Arial"/>
          <w:bCs/>
          <w:lang w:val="es-ES_tradnl" w:eastAsia="es-ES" w:bidi="es-ES"/>
        </w:rPr>
        <w:t>i</w:t>
      </w:r>
      <w:r>
        <w:rPr>
          <w:rFonts w:ascii="Verdana" w:hAnsi="Verdana" w:cs="Arial"/>
          <w:bCs/>
          <w:lang w:val="es-ES_tradnl" w:eastAsia="es-ES" w:bidi="es-ES"/>
        </w:rPr>
        <w:t>.</w:t>
      </w:r>
      <w:r w:rsidRPr="00121E43">
        <w:rPr>
          <w:rFonts w:ascii="Verdana" w:eastAsia="Calibri" w:hAnsi="Verdana" w:cs="Arial"/>
        </w:rPr>
        <w:t xml:space="preserve"> </w:t>
      </w:r>
      <w:r w:rsidRPr="006A4D62">
        <w:rPr>
          <w:rFonts w:ascii="Verdana" w:eastAsia="Calibri" w:hAnsi="Verdana" w:cs="Arial"/>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4282B3D0" w14:textId="77777777" w:rsidR="00492084" w:rsidRPr="006A4D62" w:rsidRDefault="00492084" w:rsidP="004C0B72">
      <w:pPr>
        <w:spacing w:after="0" w:line="276" w:lineRule="auto"/>
        <w:jc w:val="both"/>
        <w:rPr>
          <w:rFonts w:ascii="Verdana" w:eastAsia="Calibri" w:hAnsi="Verdana" w:cs="Arial"/>
        </w:rPr>
      </w:pPr>
    </w:p>
    <w:p w14:paraId="557FB46B" w14:textId="77777777" w:rsidR="00FE55BD" w:rsidRPr="006A4D62" w:rsidRDefault="00FE55BD" w:rsidP="0003707A">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1F39601B" w14:textId="77777777" w:rsidR="00FE55BD" w:rsidRPr="006A4D62" w:rsidRDefault="00FE55BD" w:rsidP="0003707A">
      <w:pPr>
        <w:spacing w:after="0" w:line="240" w:lineRule="auto"/>
        <w:ind w:left="709" w:right="709"/>
        <w:jc w:val="both"/>
        <w:rPr>
          <w:rFonts w:ascii="Verdana" w:eastAsia="Calibri" w:hAnsi="Verdana" w:cs="Arial"/>
          <w:sz w:val="20"/>
          <w:szCs w:val="20"/>
        </w:rPr>
      </w:pPr>
    </w:p>
    <w:p w14:paraId="77289DEF" w14:textId="77777777" w:rsidR="00FE55BD" w:rsidRPr="006A4D62" w:rsidRDefault="00FE55BD" w:rsidP="00255E89">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En ningún caso estos contratos generan relación laboral ni prestaciones sociales y se celebrarán por el término estrictamente indispensable.”</w:t>
      </w:r>
    </w:p>
    <w:p w14:paraId="6C3FC784" w14:textId="77777777" w:rsidR="00FE55BD" w:rsidRPr="007E6742" w:rsidRDefault="00FE55BD" w:rsidP="004C0B72">
      <w:pPr>
        <w:spacing w:after="0" w:line="276" w:lineRule="auto"/>
        <w:ind w:left="709" w:right="709"/>
        <w:jc w:val="both"/>
        <w:rPr>
          <w:rFonts w:ascii="Verdana" w:eastAsia="Calibri" w:hAnsi="Verdana" w:cs="Arial"/>
          <w:color w:val="ED7D31" w:themeColor="accent2"/>
          <w:sz w:val="20"/>
          <w:szCs w:val="20"/>
        </w:rPr>
      </w:pPr>
    </w:p>
    <w:p w14:paraId="65D61028" w14:textId="4A0BBBE8" w:rsidR="00FE55BD" w:rsidRPr="00D2247B" w:rsidRDefault="00492084" w:rsidP="0003707A">
      <w:pPr>
        <w:spacing w:after="0" w:line="276" w:lineRule="auto"/>
        <w:ind w:firstLine="709"/>
        <w:jc w:val="both"/>
        <w:rPr>
          <w:rFonts w:ascii="Verdana" w:eastAsia="Calibri" w:hAnsi="Verdana" w:cs="Arial"/>
        </w:rPr>
      </w:pPr>
      <w:r>
        <w:rPr>
          <w:rFonts w:ascii="Verdana" w:eastAsia="Calibri" w:hAnsi="Verdana" w:cs="Arial"/>
        </w:rPr>
        <w:t>L</w:t>
      </w:r>
      <w:r w:rsidR="00FE55BD" w:rsidRPr="00D2247B">
        <w:rPr>
          <w:rFonts w:ascii="Verdana" w:eastAsia="Calibri" w:hAnsi="Verdana" w:cs="Arial"/>
        </w:rPr>
        <w:t>a celebración de dicho contrato debe efectuarse mediante la modalidad de la contratación directa. Así lo prevé el artículo 2, numeral 4º, literal h) de la Ley 1150 de 2007, que dispone:</w:t>
      </w:r>
    </w:p>
    <w:p w14:paraId="6036BC73" w14:textId="77777777" w:rsidR="00FE55BD" w:rsidRPr="00D2247B" w:rsidRDefault="00FE55BD" w:rsidP="0003707A">
      <w:pPr>
        <w:spacing w:after="0" w:line="276" w:lineRule="auto"/>
        <w:ind w:firstLine="709"/>
        <w:jc w:val="both"/>
        <w:rPr>
          <w:rFonts w:ascii="Verdana" w:eastAsia="Calibri" w:hAnsi="Verdana" w:cs="Arial"/>
        </w:rPr>
      </w:pPr>
    </w:p>
    <w:p w14:paraId="2EE87387" w14:textId="77777777" w:rsidR="00FE55BD" w:rsidRPr="00D2247B" w:rsidRDefault="00FE55BD" w:rsidP="0003707A">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26A4BD2A" w14:textId="77777777" w:rsidR="00FE55BD" w:rsidRPr="00D2247B" w:rsidRDefault="00FE55BD" w:rsidP="00255E89">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Contratación directa. La modalidad de selección de contratación directa solamente procederá en los siguientes casos:</w:t>
      </w:r>
    </w:p>
    <w:p w14:paraId="18F9B3CD" w14:textId="77777777" w:rsidR="00FE55BD" w:rsidRPr="00D2247B" w:rsidRDefault="00FE55BD" w:rsidP="00064773">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3E737426" w14:textId="77777777" w:rsidR="00FE55BD" w:rsidRPr="00D2247B" w:rsidRDefault="00FE55BD">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h) Para la prestación de servicios profesionales y de apoyo a la gestión, o para la ejecución de trabajos artísticos que sólo puedan encomendarse a determinadas personas naturales;”</w:t>
      </w:r>
    </w:p>
    <w:p w14:paraId="6E3BA3E1" w14:textId="77777777" w:rsidR="00FE55BD" w:rsidRPr="004C0B72" w:rsidRDefault="00FE55BD" w:rsidP="004C0B72">
      <w:pPr>
        <w:spacing w:after="0" w:line="276" w:lineRule="auto"/>
        <w:ind w:right="709"/>
        <w:jc w:val="both"/>
        <w:rPr>
          <w:rFonts w:ascii="Verdana" w:eastAsia="Calibri" w:hAnsi="Verdana" w:cs="Arial"/>
          <w:color w:val="ED7D31" w:themeColor="accent2"/>
        </w:rPr>
      </w:pPr>
    </w:p>
    <w:p w14:paraId="010AD2EC" w14:textId="77777777" w:rsidR="00FE55BD" w:rsidRPr="00D2247B" w:rsidRDefault="00FE55BD" w:rsidP="004C0B72">
      <w:pPr>
        <w:spacing w:after="120" w:line="276" w:lineRule="auto"/>
        <w:ind w:firstLine="709"/>
        <w:jc w:val="both"/>
        <w:rPr>
          <w:rFonts w:ascii="Verdana" w:eastAsia="Calibri" w:hAnsi="Verdana" w:cs="Arial"/>
        </w:rPr>
      </w:pPr>
      <w:r w:rsidRPr="00D2247B">
        <w:rPr>
          <w:rFonts w:ascii="Verdana" w:eastAsia="Calibri" w:hAnsi="Verdana" w:cs="Arial"/>
        </w:rPr>
        <w:lastRenderedPageBreak/>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174A55AB" w14:textId="021CF8ED" w:rsidR="00FE55BD" w:rsidRPr="00D2247B" w:rsidRDefault="00FE55BD" w:rsidP="004C0B72">
      <w:pPr>
        <w:spacing w:after="120" w:line="276" w:lineRule="auto"/>
        <w:ind w:firstLine="709"/>
        <w:jc w:val="both"/>
        <w:rPr>
          <w:rFonts w:ascii="Verdana" w:eastAsia="Calibri" w:hAnsi="Verdana" w:cs="Arial"/>
        </w:rPr>
      </w:pPr>
      <w:r w:rsidRPr="00D2247B">
        <w:rPr>
          <w:rFonts w:ascii="Verdana" w:eastAsia="Calibri" w:hAnsi="Verdana" w:cs="Arial"/>
        </w:rPr>
        <w:t>a) Solo puede celebrarse para realizar “actividades relacionadas con la administración o funcionamiento de la entidad”, es decir, que hagan parte de su giro ordinario o quehacer cotidiano</w:t>
      </w:r>
      <w:r w:rsidR="007B28A2" w:rsidRPr="008677DE">
        <w:rPr>
          <w:rStyle w:val="Refdenotaalpie"/>
          <w:rFonts w:ascii="Verdana" w:hAnsi="Verdana" w:cs="Arial"/>
          <w:noProof/>
          <w:lang w:val="es-ES_tradnl"/>
        </w:rPr>
        <w:footnoteReference w:id="1"/>
      </w:r>
      <w:r w:rsidRPr="00D2247B">
        <w:rPr>
          <w:rFonts w:ascii="Verdana" w:eastAsia="Calibri" w:hAnsi="Verdana" w:cs="Arial"/>
        </w:rPr>
        <w:t>.</w:t>
      </w:r>
    </w:p>
    <w:p w14:paraId="19C541DD" w14:textId="3F34924A" w:rsidR="00FE55BD" w:rsidRPr="00BE7986" w:rsidRDefault="00FE55BD" w:rsidP="004C0B72">
      <w:pPr>
        <w:spacing w:after="120" w:line="276" w:lineRule="auto"/>
        <w:ind w:firstLine="709"/>
        <w:jc w:val="both"/>
        <w:rPr>
          <w:rFonts w:ascii="Verdana" w:eastAsia="Calibri" w:hAnsi="Verdana" w:cs="Arial"/>
        </w:rPr>
      </w:pPr>
      <w:r w:rsidRPr="00D2247B">
        <w:rPr>
          <w:rFonts w:ascii="Verdana" w:eastAsia="Calibri" w:hAnsi="Verdana" w:cs="Arial"/>
        </w:rPr>
        <w:t>b) Admite que se suscriba tanto con personas naturales, como con personas jurídicas. Sin embargo, cuando pretenda celebrarse con una persona natural, la entidad estatal debe justificar</w:t>
      </w:r>
      <w:r w:rsidR="0003707A">
        <w:rPr>
          <w:rFonts w:ascii="Verdana" w:eastAsia="Calibri" w:hAnsi="Verdana" w:cs="Arial"/>
        </w:rPr>
        <w:t>,</w:t>
      </w:r>
      <w:r w:rsidRPr="00D2247B">
        <w:rPr>
          <w:rFonts w:ascii="Verdana" w:eastAsia="Calibri" w:hAnsi="Verdana" w:cs="Arial"/>
        </w:rPr>
        <w:t xml:space="preserve"> en los estudios previos</w:t>
      </w:r>
      <w:r w:rsidR="0003707A">
        <w:rPr>
          <w:rFonts w:ascii="Verdana" w:eastAsia="Calibri" w:hAnsi="Verdana" w:cs="Arial"/>
        </w:rPr>
        <w:t>,</w:t>
      </w:r>
      <w:r w:rsidRPr="00D2247B">
        <w:rPr>
          <w:rFonts w:ascii="Verdana" w:eastAsia="Calibri" w:hAnsi="Verdana" w:cs="Arial"/>
        </w:rPr>
        <w:t xml:space="preserve"> que las actividades que buscan encomendarse a aquella “no puedan realizarse con personal de planta o requieran conocimientos especializados”. Esto puede suceder en varios eventos,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w:t>
      </w:r>
      <w:r w:rsidRPr="00BE7986">
        <w:rPr>
          <w:rFonts w:ascii="Verdana" w:eastAsia="Calibri" w:hAnsi="Verdana" w:cs="Arial"/>
        </w:rPr>
        <w:t>tema.</w:t>
      </w:r>
    </w:p>
    <w:p w14:paraId="37921852" w14:textId="77777777" w:rsidR="0003707A" w:rsidRDefault="00FE55BD" w:rsidP="0003707A">
      <w:pPr>
        <w:spacing w:after="120" w:line="276" w:lineRule="auto"/>
        <w:ind w:firstLine="709"/>
        <w:jc w:val="both"/>
        <w:rPr>
          <w:rFonts w:ascii="Verdana" w:eastAsia="Calibri" w:hAnsi="Verdana" w:cs="Arial"/>
        </w:rPr>
      </w:pPr>
      <w:r w:rsidRPr="00BE7986">
        <w:rPr>
          <w:rFonts w:ascii="Verdana" w:eastAsia="Calibri" w:hAnsi="Verdana" w:cs="Arial"/>
        </w:rPr>
        <w:t>c) Si bien se celebran para obtener la prestación personal de un servicio, se diferencian del contrato de trabajo</w:t>
      </w:r>
      <w:r w:rsidRPr="00BE7986">
        <w:rPr>
          <w:rFonts w:ascii="Verdana" w:eastAsia="Calibri" w:hAnsi="Verdana" w:cs="Arial"/>
          <w:vertAlign w:val="superscript"/>
        </w:rPr>
        <w:footnoteReference w:id="2"/>
      </w:r>
      <w:r w:rsidRPr="00BE7986">
        <w:rPr>
          <w:rFonts w:ascii="Verdana" w:eastAsia="Calibri" w:hAnsi="Verdana" w:cs="Arial"/>
        </w:rPr>
        <w:t xml:space="preserve"> en que quien celebra el contrato de prestación de servicios profesionales debe mantener autonomía e independencia en la ejecución de la labor, lo que significa que no puede existir la </w:t>
      </w:r>
      <w:r w:rsidRPr="00BE7986">
        <w:rPr>
          <w:rFonts w:ascii="Verdana" w:eastAsia="Calibri" w:hAnsi="Verdana" w:cs="Arial"/>
          <w:i/>
        </w:rPr>
        <w:t>subordinación y dependencia</w:t>
      </w:r>
      <w:r w:rsidRPr="00BE7986">
        <w:rPr>
          <w:rFonts w:ascii="Verdana" w:eastAsia="Calibri" w:hAnsi="Verdana" w:cs="Arial"/>
          <w:iCs/>
        </w:rPr>
        <w:t>,</w:t>
      </w:r>
      <w:r w:rsidRPr="00BE7986">
        <w:rPr>
          <w:rFonts w:ascii="Verdana" w:eastAsia="Calibri" w:hAnsi="Verdana" w:cs="Arial"/>
        </w:rPr>
        <w:t xml:space="preserve"> que es uno de los elementos constitutivos del vínculo laboral. Por ello el artículo 32, numeral 3º, de la Ley 80 de 1993 establece que “En ningún caso estos contratos generan relación laboral ni prestaciones sociales”</w:t>
      </w:r>
      <w:r w:rsidR="0003707A">
        <w:rPr>
          <w:rFonts w:ascii="Verdana" w:eastAsia="Calibri" w:hAnsi="Verdana" w:cs="Arial"/>
        </w:rPr>
        <w:t xml:space="preserve">. </w:t>
      </w:r>
    </w:p>
    <w:p w14:paraId="3F7C77DD" w14:textId="5EDD0702" w:rsidR="00FE55BD" w:rsidRPr="00BE7986" w:rsidRDefault="0003707A" w:rsidP="004C0B72">
      <w:pPr>
        <w:spacing w:after="120" w:line="276" w:lineRule="auto"/>
        <w:ind w:firstLine="709"/>
        <w:jc w:val="both"/>
        <w:rPr>
          <w:rFonts w:ascii="Verdana" w:eastAsia="Calibri" w:hAnsi="Verdana" w:cs="Arial"/>
        </w:rPr>
      </w:pPr>
      <w:r>
        <w:rPr>
          <w:rFonts w:ascii="Verdana" w:eastAsia="Calibri" w:hAnsi="Verdana" w:cs="Arial"/>
        </w:rPr>
        <w:lastRenderedPageBreak/>
        <w:t xml:space="preserve">Este </w:t>
      </w:r>
      <w:r w:rsidR="00FE55BD" w:rsidRPr="00BE7986">
        <w:rPr>
          <w:rFonts w:ascii="Verdana" w:eastAsia="Calibri" w:hAnsi="Verdana" w:cs="Arial"/>
        </w:rPr>
        <w:t xml:space="preserve">inciso que más que un enunciado que aluda al “ser” se refiere al “deber ser”, pues debe interpretarse en el sentido de que los contratos de prestación de servicios profesionales </w:t>
      </w:r>
      <w:r w:rsidR="00FE55BD" w:rsidRPr="00BE7986">
        <w:rPr>
          <w:rFonts w:ascii="Verdana" w:eastAsia="Calibri" w:hAnsi="Verdana" w:cs="Arial"/>
          <w:i/>
        </w:rPr>
        <w:t>no pueden</w:t>
      </w:r>
      <w:r w:rsidR="00FE55BD" w:rsidRPr="00BE7986">
        <w:rPr>
          <w:rFonts w:ascii="Verdana" w:eastAsia="Calibri" w:hAnsi="Verdana" w:cs="Arial"/>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00FE55BD" w:rsidRPr="00BE7986">
        <w:rPr>
          <w:rFonts w:ascii="Verdana" w:eastAsia="Calibri" w:hAnsi="Verdana" w:cs="Arial"/>
          <w:vertAlign w:val="superscript"/>
        </w:rPr>
        <w:footnoteReference w:id="3"/>
      </w:r>
      <w:r w:rsidR="00FE55BD" w:rsidRPr="00BE7986">
        <w:rPr>
          <w:rFonts w:ascii="Verdana" w:eastAsia="Calibri" w:hAnsi="Verdana" w:cs="Arial"/>
        </w:rPr>
        <w:t xml:space="preserve">. Pero es posible que, a pesar de este mandato deontológico, en la práctica surja la relación laboral, pues, como se sabe, el contrato de trabajo es un </w:t>
      </w:r>
      <w:r w:rsidR="00FE55BD" w:rsidRPr="00BE7986">
        <w:rPr>
          <w:rFonts w:ascii="Verdana" w:eastAsia="Calibri" w:hAnsi="Verdana" w:cs="Arial"/>
          <w:i/>
        </w:rPr>
        <w:t>contrato realidad</w:t>
      </w:r>
      <w:r w:rsidR="00FE55BD" w:rsidRPr="00BE7986">
        <w:rPr>
          <w:rFonts w:ascii="Verdana" w:eastAsia="Calibri" w:hAnsi="Verdana" w:cs="Arial"/>
        </w:rPr>
        <w:t xml:space="preserve">, ya que para su perfeccionamiento rige el principio de la prevalencia de la realidad sobre las formalidades. </w:t>
      </w:r>
    </w:p>
    <w:p w14:paraId="250F40CD" w14:textId="05D42B24" w:rsidR="00FE55BD" w:rsidRDefault="00FE55BD" w:rsidP="0003707A">
      <w:pPr>
        <w:tabs>
          <w:tab w:val="left" w:pos="3276"/>
        </w:tabs>
        <w:spacing w:after="120" w:line="276" w:lineRule="auto"/>
        <w:ind w:firstLine="709"/>
        <w:jc w:val="both"/>
        <w:rPr>
          <w:rFonts w:ascii="Verdana" w:eastAsia="Calibri" w:hAnsi="Verdana" w:cs="Arial"/>
        </w:rPr>
      </w:pPr>
      <w:r w:rsidRPr="006741FA">
        <w:rPr>
          <w:rFonts w:ascii="Verdana" w:eastAsia="Calibri" w:hAnsi="Verdana" w:cs="Arial"/>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6741FA">
        <w:rPr>
          <w:rStyle w:val="Refdenotaalpie"/>
          <w:rFonts w:ascii="Verdana" w:eastAsia="Calibri" w:hAnsi="Verdana" w:cs="Arial"/>
        </w:rPr>
        <w:footnoteReference w:id="4"/>
      </w:r>
      <w:r w:rsidRPr="006741FA">
        <w:rPr>
          <w:rFonts w:ascii="Verdana" w:eastAsia="Calibri" w:hAnsi="Verdana" w:cs="Arial"/>
        </w:rPr>
        <w:t xml:space="preserve">.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w:t>
      </w:r>
      <w:r w:rsidRPr="006741FA">
        <w:rPr>
          <w:rFonts w:ascii="Verdana" w:eastAsia="Calibri" w:hAnsi="Verdana" w:cs="Arial"/>
        </w:rPr>
        <w:lastRenderedPageBreak/>
        <w:t>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6741FA">
        <w:rPr>
          <w:rFonts w:ascii="Verdana" w:eastAsia="Calibri" w:hAnsi="Verdana" w:cs="Arial"/>
          <w:vertAlign w:val="superscript"/>
        </w:rPr>
        <w:footnoteReference w:id="5"/>
      </w:r>
      <w:r w:rsidRPr="006741FA">
        <w:rPr>
          <w:rFonts w:ascii="Verdana" w:eastAsia="Calibri" w:hAnsi="Verdana" w:cs="Arial"/>
        </w:rPr>
        <w:t>. De modo que, bajo la perspectiva indicada, se podría invocar la presunción de la existencia de una relación laboral; siendo contrario a uno de los aspectos más relevantes del contrato de prestación de servicio, la autonomía e independencia en la ejecución de este.</w:t>
      </w:r>
    </w:p>
    <w:p w14:paraId="3787B143" w14:textId="421B0F25" w:rsidR="0003707A" w:rsidRPr="004C0B72" w:rsidRDefault="0003707A" w:rsidP="004C0B72">
      <w:pPr>
        <w:spacing w:after="120" w:line="276" w:lineRule="auto"/>
        <w:ind w:firstLine="709"/>
        <w:jc w:val="both"/>
        <w:rPr>
          <w:rFonts w:ascii="Verdana" w:hAnsi="Verdana" w:cs="Arial"/>
          <w:noProof/>
          <w:lang w:val="es-ES_tradnl"/>
        </w:rPr>
      </w:pPr>
      <w:r w:rsidRPr="008677DE">
        <w:rPr>
          <w:rFonts w:ascii="Verdana" w:hAnsi="Verdana" w:cs="Arial"/>
          <w:noProof/>
          <w:lang w:val="es-ES_tradnl"/>
        </w:rPr>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t>efecto</w:t>
      </w:r>
      <w:r w:rsidRPr="008677DE">
        <w:rPr>
          <w:rFonts w:ascii="Verdana" w:hAnsi="Verdana"/>
          <w:vertAlign w:val="superscript"/>
          <w:lang w:val="es-ES_tradnl"/>
        </w:rPr>
        <w:footnoteReference w:id="6"/>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7"/>
      </w:r>
      <w:r w:rsidRPr="008677DE">
        <w:rPr>
          <w:rFonts w:ascii="Verdana" w:hAnsi="Verdana" w:cs="Arial"/>
          <w:noProof/>
          <w:lang w:val="es-ES_tradnl"/>
        </w:rPr>
        <w:t>.</w:t>
      </w:r>
    </w:p>
    <w:p w14:paraId="3776AB32" w14:textId="17F17224" w:rsidR="00DD61C7" w:rsidRPr="004C0B72" w:rsidRDefault="00FE55BD" w:rsidP="004C0B72">
      <w:pPr>
        <w:spacing w:after="120" w:line="276" w:lineRule="auto"/>
        <w:ind w:firstLine="709"/>
        <w:jc w:val="both"/>
        <w:rPr>
          <w:rFonts w:ascii="Verdana" w:hAnsi="Verdana" w:cs="Arial"/>
        </w:rPr>
      </w:pPr>
      <w:r w:rsidRPr="00E4437B">
        <w:rPr>
          <w:rFonts w:ascii="Verdana" w:eastAsia="Calibri" w:hAnsi="Verdana" w:cs="Arial"/>
        </w:rPr>
        <w:t xml:space="preserve">d) Deben ser temporales. </w:t>
      </w:r>
      <w:r w:rsidR="00DD61C7" w:rsidRPr="008677DE">
        <w:rPr>
          <w:rFonts w:ascii="Verdana" w:hAnsi="Verdana" w:cs="Arial"/>
          <w:noProof/>
          <w:lang w:val="es-ES_tradnl"/>
        </w:rPr>
        <w:t xml:space="preserve">La sentencia de unificacion jurisprudencial del Consejo de Estado mencionada, frente a la duración del contrato de prestación de servicios señaló que solo puede celebrarse por un </w:t>
      </w:r>
      <w:r w:rsidR="00DD61C7">
        <w:rPr>
          <w:rFonts w:ascii="Verdana" w:hAnsi="Verdana" w:cs="Arial"/>
          <w:noProof/>
          <w:lang w:val="es-ES_tradnl"/>
        </w:rPr>
        <w:t>“</w:t>
      </w:r>
      <w:r w:rsidR="00DD61C7" w:rsidRPr="008677DE">
        <w:rPr>
          <w:rFonts w:ascii="Verdana" w:hAnsi="Verdana" w:cs="Arial"/>
          <w:noProof/>
          <w:lang w:val="es-ES_tradnl"/>
        </w:rPr>
        <w:t>término estrictamente indispensable</w:t>
      </w:r>
      <w:r w:rsidR="00DD61C7">
        <w:rPr>
          <w:rFonts w:ascii="Verdana" w:hAnsi="Verdana" w:cs="Arial"/>
          <w:noProof/>
          <w:lang w:val="es-ES_tradnl"/>
        </w:rPr>
        <w:t>”</w:t>
      </w:r>
      <w:r w:rsidR="00DD61C7" w:rsidRPr="008677DE">
        <w:rPr>
          <w:rFonts w:ascii="Verdana" w:hAnsi="Verdana" w:cs="Arial"/>
          <w:noProof/>
          <w:lang w:val="es-ES_tradnl"/>
        </w:rPr>
        <w:t xml:space="preserve">. En ese entendido, unificó el sentido y alcance del término </w:t>
      </w:r>
      <w:r w:rsidR="00DD61C7" w:rsidRPr="008677DE">
        <w:rPr>
          <w:rFonts w:ascii="Verdana" w:hAnsi="Verdana" w:cs="Arial"/>
          <w:noProof/>
          <w:lang w:val="es-ES_tradnl"/>
        </w:rPr>
        <w:lastRenderedPageBreak/>
        <w:t xml:space="preserve">estrictamente indispensable como </w:t>
      </w:r>
      <w:r w:rsidR="00DD61C7">
        <w:rPr>
          <w:rFonts w:ascii="Verdana" w:hAnsi="Verdana" w:cs="Arial"/>
          <w:noProof/>
          <w:lang w:val="es-ES_tradnl"/>
        </w:rPr>
        <w:t>“</w:t>
      </w:r>
      <w:r w:rsidR="00DD61C7" w:rsidRPr="008677DE">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sidR="00DD61C7">
        <w:rPr>
          <w:rFonts w:ascii="Verdana" w:hAnsi="Verdana" w:cs="Arial"/>
          <w:noProof/>
          <w:lang w:val="es-ES_tradnl"/>
        </w:rPr>
        <w:t>”</w:t>
      </w:r>
      <w:r w:rsidR="00DD61C7" w:rsidRPr="008677DE">
        <w:rPr>
          <w:rFonts w:ascii="Verdana" w:hAnsi="Verdana" w:cs="Arial"/>
          <w:noProof/>
          <w:lang w:val="es-ES_tradnl"/>
        </w:rPr>
        <w:t>.</w:t>
      </w:r>
      <w:r w:rsidR="00DD61C7" w:rsidRPr="008677DE">
        <w:rPr>
          <w:rFonts w:ascii="Verdana" w:hAnsi="Verdana" w:cs="Arial"/>
        </w:rPr>
        <w:t xml:space="preserve"> </w:t>
      </w:r>
    </w:p>
    <w:p w14:paraId="5535BCA8" w14:textId="43BD0A78" w:rsidR="00FE55BD" w:rsidRPr="00E4437B" w:rsidRDefault="00DD61C7" w:rsidP="00FE55BD">
      <w:pPr>
        <w:spacing w:after="0" w:line="276" w:lineRule="auto"/>
        <w:ind w:firstLine="709"/>
        <w:jc w:val="both"/>
        <w:rPr>
          <w:rFonts w:ascii="Verdana" w:eastAsia="Calibri" w:hAnsi="Verdana" w:cs="Arial"/>
        </w:rPr>
      </w:pPr>
      <w:r>
        <w:rPr>
          <w:rFonts w:ascii="Verdana" w:eastAsia="Calibri" w:hAnsi="Verdana" w:cs="Arial"/>
        </w:rPr>
        <w:t>De igual manera,</w:t>
      </w:r>
      <w:r w:rsidR="00FE55BD" w:rsidRPr="00E4437B">
        <w:rPr>
          <w:rFonts w:ascii="Verdana" w:eastAsia="Calibri" w:hAnsi="Verdana" w:cs="Arial"/>
        </w:rPr>
        <w:t xml:space="preserve"> la Corte Constitucional</w:t>
      </w:r>
      <w:r w:rsidR="0003707A">
        <w:rPr>
          <w:rFonts w:ascii="Verdana" w:eastAsia="Calibri" w:hAnsi="Verdana" w:cs="Arial"/>
        </w:rPr>
        <w:t>,</w:t>
      </w:r>
      <w:r w:rsidR="00FE55BD" w:rsidRPr="00E4437B">
        <w:rPr>
          <w:rFonts w:ascii="Verdana" w:eastAsia="Calibri" w:hAnsi="Verdana" w:cs="Arial"/>
        </w:rPr>
        <w:t xml:space="preserve"> en la </w:t>
      </w:r>
      <w:r>
        <w:rPr>
          <w:rFonts w:ascii="Verdana" w:eastAsia="Calibri" w:hAnsi="Verdana" w:cs="Arial"/>
        </w:rPr>
        <w:t xml:space="preserve">Sentencia C-154 de 1997 señaló </w:t>
      </w:r>
      <w:r w:rsidR="00FE55BD" w:rsidRPr="00E4437B">
        <w:rPr>
          <w:rFonts w:ascii="Verdana" w:eastAsia="Calibri" w:hAnsi="Verdana" w:cs="Arial"/>
        </w:rPr>
        <w:t>que:</w:t>
      </w:r>
    </w:p>
    <w:p w14:paraId="09935E1D" w14:textId="77777777" w:rsidR="00FE55BD" w:rsidRPr="00E4437B" w:rsidRDefault="00FE55BD" w:rsidP="00FE55BD">
      <w:pPr>
        <w:spacing w:after="0" w:line="276" w:lineRule="auto"/>
        <w:ind w:firstLine="709"/>
        <w:jc w:val="both"/>
        <w:rPr>
          <w:rFonts w:ascii="Verdana" w:eastAsia="Calibri" w:hAnsi="Verdana" w:cs="Arial"/>
        </w:rPr>
      </w:pPr>
    </w:p>
    <w:p w14:paraId="758E3348" w14:textId="5E112220" w:rsidR="00FE55BD" w:rsidRPr="004C0B72" w:rsidRDefault="0003707A" w:rsidP="00DD61C7">
      <w:pPr>
        <w:spacing w:after="0" w:line="240" w:lineRule="auto"/>
        <w:ind w:left="709" w:right="709"/>
        <w:jc w:val="both"/>
        <w:rPr>
          <w:rFonts w:ascii="Verdana" w:eastAsia="Calibri" w:hAnsi="Verdana" w:cs="Arial"/>
          <w:sz w:val="20"/>
          <w:szCs w:val="20"/>
        </w:rPr>
      </w:pPr>
      <w:r w:rsidRPr="0003707A">
        <w:rPr>
          <w:rFonts w:ascii="Verdana" w:eastAsia="Calibri" w:hAnsi="Verdana" w:cs="Arial"/>
          <w:sz w:val="20"/>
          <w:szCs w:val="20"/>
        </w:rPr>
        <w:t>“</w:t>
      </w:r>
      <w:r w:rsidR="00FE55BD" w:rsidRPr="0003707A">
        <w:rPr>
          <w:rFonts w:ascii="Verdana" w:eastAsia="Calibri"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w:t>
      </w:r>
      <w:r w:rsidR="00FE55BD" w:rsidRPr="00DD61C7">
        <w:rPr>
          <w:rFonts w:ascii="Verdana" w:eastAsia="Calibri" w:hAnsi="Verdana" w:cs="Arial"/>
          <w:sz w:val="20"/>
          <w:szCs w:val="20"/>
        </w:rPr>
        <w:t>xcediendo su carácter excepcional y temporal para convertirse en ordinario y permanente, será necesario que la respectiva entidad adopte las medidas y provisiones pertinentes a fin de que se dé cabal cumplimiento a lo previsto en el artículo 122 de la Cart</w:t>
      </w:r>
      <w:r w:rsidR="00FE55BD" w:rsidRPr="00255E89">
        <w:rPr>
          <w:rFonts w:ascii="Verdana" w:eastAsia="Calibri" w:hAnsi="Verdana" w:cs="Arial"/>
          <w:sz w:val="20"/>
          <w:szCs w:val="20"/>
        </w:rPr>
        <w:t>a Política, según el cual se requiere que el empleo público quede contemplado en la respectiva planta y previstos sus emolumentos en el presupuesto correspondiente</w:t>
      </w:r>
      <w:r w:rsidRPr="000940A2">
        <w:rPr>
          <w:rFonts w:ascii="Verdana" w:eastAsia="Calibri" w:hAnsi="Verdana" w:cs="Arial"/>
          <w:sz w:val="20"/>
          <w:szCs w:val="20"/>
        </w:rPr>
        <w:t>”</w:t>
      </w:r>
      <w:r w:rsidR="00FE55BD" w:rsidRPr="004C0B72">
        <w:rPr>
          <w:rFonts w:ascii="Verdana" w:eastAsia="Calibri" w:hAnsi="Verdana" w:cs="Arial"/>
          <w:sz w:val="20"/>
          <w:szCs w:val="20"/>
          <w:vertAlign w:val="superscript"/>
        </w:rPr>
        <w:footnoteReference w:id="8"/>
      </w:r>
      <w:r w:rsidR="00FE55BD" w:rsidRPr="004C0B72">
        <w:rPr>
          <w:rFonts w:ascii="Verdana" w:eastAsia="Calibri" w:hAnsi="Verdana" w:cs="Arial"/>
          <w:sz w:val="20"/>
          <w:szCs w:val="20"/>
        </w:rPr>
        <w:t>.</w:t>
      </w:r>
    </w:p>
    <w:p w14:paraId="6B524C90" w14:textId="77777777" w:rsidR="00FE55BD" w:rsidRPr="00780417" w:rsidRDefault="00FE55BD" w:rsidP="00FE55BD">
      <w:pPr>
        <w:spacing w:after="0" w:line="276" w:lineRule="auto"/>
        <w:ind w:firstLine="709"/>
        <w:jc w:val="both"/>
        <w:rPr>
          <w:rFonts w:ascii="Verdana" w:eastAsia="Calibri" w:hAnsi="Verdana" w:cs="Arial"/>
        </w:rPr>
      </w:pPr>
    </w:p>
    <w:p w14:paraId="4F501072" w14:textId="77777777" w:rsidR="00FE55BD" w:rsidRPr="009D6505" w:rsidRDefault="00FE55BD" w:rsidP="00FE55BD">
      <w:pPr>
        <w:tabs>
          <w:tab w:val="left" w:pos="3276"/>
        </w:tabs>
        <w:spacing w:after="120" w:line="276" w:lineRule="auto"/>
        <w:ind w:firstLine="709"/>
        <w:jc w:val="both"/>
        <w:rPr>
          <w:rFonts w:ascii="Verdana" w:eastAsia="Calibri" w:hAnsi="Verdana" w:cs="Arial"/>
          <w:lang w:val="es-ES_tradnl" w:eastAsia="es-ES_tradnl"/>
        </w:rPr>
      </w:pPr>
      <w:r w:rsidRPr="00780417">
        <w:rPr>
          <w:rFonts w:ascii="Verdana" w:eastAsia="Calibri" w:hAnsi="Verdana" w:cs="Arial"/>
          <w:lang w:eastAsia="es-ES"/>
        </w:rPr>
        <w:t>e</w:t>
      </w:r>
      <w:r w:rsidRPr="00780417">
        <w:rPr>
          <w:rFonts w:ascii="Verdana" w:eastAsia="Calibri" w:hAnsi="Verdana" w:cs="Arial"/>
          <w:lang w:val="es-ES" w:eastAsia="es-ES"/>
        </w:rPr>
        <w:t xml:space="preserve">) Los contratos de prestación de servicios constituyen un </w:t>
      </w:r>
      <w:r w:rsidRPr="00780417">
        <w:rPr>
          <w:rFonts w:ascii="Verdana" w:eastAsia="Calibri" w:hAnsi="Verdana" w:cs="Arial"/>
          <w:i/>
          <w:iCs/>
          <w:lang w:val="es-ES" w:eastAsia="es-ES"/>
        </w:rPr>
        <w:t>género</w:t>
      </w:r>
      <w:r w:rsidRPr="00780417">
        <w:rPr>
          <w:rFonts w:ascii="Verdana" w:eastAsia="Calibri" w:hAnsi="Verdana" w:cs="Arial"/>
          <w:lang w:val="es-ES" w:eastAsia="es-ES"/>
        </w:rPr>
        <w:t xml:space="preserve"> que incluye, como </w:t>
      </w:r>
      <w:r w:rsidRPr="00780417">
        <w:rPr>
          <w:rFonts w:ascii="Verdana" w:eastAsia="Calibri" w:hAnsi="Verdana" w:cs="Arial"/>
          <w:i/>
          <w:iCs/>
          <w:lang w:val="es-ES" w:eastAsia="es-ES"/>
        </w:rPr>
        <w:t>especies</w:t>
      </w:r>
      <w:r w:rsidRPr="00780417">
        <w:rPr>
          <w:rFonts w:ascii="Verdana" w:eastAsia="Calibri"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780417">
        <w:rPr>
          <w:rFonts w:ascii="Verdana" w:eastAsia="Calibri" w:hAnsi="Verdana" w:cs="Arial"/>
          <w:vertAlign w:val="superscript"/>
          <w:lang w:val="es-ES" w:eastAsia="es-ES"/>
        </w:rPr>
        <w:footnoteReference w:id="9"/>
      </w:r>
      <w:r w:rsidRPr="00780417">
        <w:rPr>
          <w:rFonts w:ascii="Verdana" w:eastAsia="Calibri" w:hAnsi="Verdana" w:cs="Arial"/>
          <w:lang w:val="es-ES" w:eastAsia="es-ES"/>
        </w:rPr>
        <w:t xml:space="preserve">. La diferencia entre el contrato de prestación de servicios </w:t>
      </w:r>
      <w:r w:rsidRPr="00780417">
        <w:rPr>
          <w:rFonts w:ascii="Verdana" w:eastAsia="Calibri" w:hAnsi="Verdana" w:cs="Arial"/>
          <w:i/>
          <w:iCs/>
          <w:lang w:val="es-ES" w:eastAsia="es-ES"/>
        </w:rPr>
        <w:t>profesionales</w:t>
      </w:r>
      <w:r w:rsidRPr="00780417">
        <w:rPr>
          <w:rFonts w:ascii="Verdana" w:eastAsia="Calibri" w:hAnsi="Verdana" w:cs="Arial"/>
          <w:lang w:val="es-ES" w:eastAsia="es-ES"/>
        </w:rPr>
        <w:t xml:space="preserve"> con las otras dos especies del género en el cual se ubican radica </w:t>
      </w:r>
      <w:r w:rsidRPr="00780417">
        <w:rPr>
          <w:rFonts w:ascii="Verdana" w:eastAsia="Calibri" w:hAnsi="Verdana" w:cs="Arial"/>
          <w:lang w:val="es-ES" w:eastAsia="es-ES"/>
        </w:rPr>
        <w:lastRenderedPageBreak/>
        <w:t>en su contenido intelectual intangible y, al mismo tiempo, en la formación profesional que se exige para desempeñar la labor</w:t>
      </w:r>
      <w:r w:rsidRPr="00780417">
        <w:rPr>
          <w:rFonts w:ascii="Verdana" w:eastAsia="Calibri" w:hAnsi="Verdana" w:cs="Arial"/>
          <w:vertAlign w:val="superscript"/>
          <w:lang w:val="es-ES" w:eastAsia="es-ES"/>
        </w:rPr>
        <w:footnoteReference w:id="10"/>
      </w:r>
      <w:r w:rsidRPr="00780417">
        <w:rPr>
          <w:rFonts w:ascii="Verdana" w:eastAsia="Calibri" w:hAnsi="Verdana" w:cs="Arial"/>
          <w:lang w:val="es-ES" w:eastAsia="es-ES"/>
        </w:rPr>
        <w:t>.</w:t>
      </w:r>
    </w:p>
    <w:p w14:paraId="3861EF2F" w14:textId="66FA9CF8" w:rsidR="00FE55BD" w:rsidRDefault="00FE55BD" w:rsidP="004C0B72">
      <w:pPr>
        <w:spacing w:after="120" w:line="276" w:lineRule="auto"/>
        <w:ind w:firstLine="709"/>
        <w:jc w:val="both"/>
        <w:rPr>
          <w:rFonts w:ascii="Verdana" w:eastAsia="Calibri" w:hAnsi="Verdana" w:cs="Arial"/>
        </w:rPr>
      </w:pPr>
      <w:r w:rsidRPr="009D6505">
        <w:rPr>
          <w:rFonts w:ascii="Verdana" w:eastAsia="Calibri" w:hAnsi="Verdana" w:cs="Arial"/>
        </w:rPr>
        <w:t>f) Su celebración debe realizarse a través de la modalidad de contratación directa, independientemente de la cuantía y del tipo de servicio profesional, siempre que este no ingrese dentro del objeto del contrato de consultoría</w:t>
      </w:r>
      <w:r w:rsidR="00DD61C7">
        <w:rPr>
          <w:rFonts w:ascii="Verdana" w:eastAsia="Calibri" w:hAnsi="Verdana" w:cs="Arial"/>
        </w:rPr>
        <w:t>. Lo anterior, pues</w:t>
      </w:r>
      <w:r w:rsidRPr="009D6505">
        <w:rPr>
          <w:rFonts w:ascii="Verdana" w:eastAsia="Calibri" w:hAnsi="Verdana" w:cs="Arial"/>
        </w:rPr>
        <w:t xml:space="preserve">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D6505">
        <w:rPr>
          <w:rFonts w:ascii="Verdana" w:eastAsia="Calibri" w:hAnsi="Verdana" w:cs="Arial"/>
          <w:vertAlign w:val="superscript"/>
        </w:rPr>
        <w:footnoteReference w:id="11"/>
      </w:r>
      <w:r w:rsidRPr="009D6505">
        <w:rPr>
          <w:rFonts w:ascii="Verdana" w:eastAsia="Calibri" w:hAnsi="Verdana" w:cs="Arial"/>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2021A14A" w14:textId="77777777" w:rsidR="00FE55BD" w:rsidRPr="0050628A" w:rsidRDefault="00FE55BD" w:rsidP="00FE55BD">
      <w:pPr>
        <w:spacing w:after="0" w:line="276" w:lineRule="auto"/>
        <w:ind w:firstLine="709"/>
        <w:jc w:val="both"/>
        <w:rPr>
          <w:rFonts w:ascii="Verdana" w:eastAsia="Calibri" w:hAnsi="Verdana" w:cs="Arial"/>
        </w:rPr>
      </w:pPr>
      <w:r w:rsidRPr="0050628A">
        <w:rPr>
          <w:rFonts w:ascii="Verdana" w:eastAsia="Calibri" w:hAnsi="Verdana" w:cs="Arial"/>
        </w:rPr>
        <w:t>g) Para su celebración no se requiere la expedición del acto administrativo de justificación de la contratación directa</w:t>
      </w:r>
      <w:r w:rsidRPr="0050628A">
        <w:rPr>
          <w:rFonts w:ascii="Verdana" w:eastAsia="Calibri" w:hAnsi="Verdana" w:cs="Arial"/>
          <w:vertAlign w:val="superscript"/>
        </w:rPr>
        <w:footnoteReference w:id="12"/>
      </w:r>
      <w:r w:rsidRPr="0050628A">
        <w:rPr>
          <w:rFonts w:ascii="Verdana" w:eastAsia="Calibri" w:hAnsi="Verdana" w:cs="Arial"/>
        </w:rPr>
        <w:t xml:space="preserve">. </w:t>
      </w:r>
    </w:p>
    <w:p w14:paraId="453544BC" w14:textId="44733905" w:rsidR="00FE55BD" w:rsidRPr="0050628A" w:rsidRDefault="00FE55BD" w:rsidP="00FE55BD">
      <w:pPr>
        <w:spacing w:before="120" w:after="120" w:line="276" w:lineRule="auto"/>
        <w:ind w:firstLine="709"/>
        <w:jc w:val="both"/>
        <w:rPr>
          <w:rFonts w:ascii="Verdana" w:eastAsia="Calibri" w:hAnsi="Verdana" w:cs="Arial"/>
        </w:rPr>
      </w:pPr>
      <w:r w:rsidRPr="0050628A">
        <w:rPr>
          <w:rFonts w:ascii="Verdana" w:eastAsia="Calibri" w:hAnsi="Verdana" w:cs="Arial"/>
        </w:rPr>
        <w:t xml:space="preserve">h) Admiten el pacto de cláusulas excepcionales. Es decir, en los contratos de prestación de servicios puede </w:t>
      </w:r>
      <w:r w:rsidR="00DD61C7">
        <w:rPr>
          <w:rFonts w:ascii="Verdana" w:eastAsia="Calibri" w:hAnsi="Verdana" w:cs="Arial"/>
        </w:rPr>
        <w:t>pactar</w:t>
      </w:r>
      <w:r w:rsidRPr="0050628A">
        <w:rPr>
          <w:rFonts w:ascii="Verdana" w:eastAsia="Calibri" w:hAnsi="Verdana" w:cs="Arial"/>
        </w:rPr>
        <w:t>se la caducidad, así como la modificación, interpretación o terminación unilaterales, como</w:t>
      </w:r>
      <w:r w:rsidR="00DD61C7">
        <w:rPr>
          <w:rFonts w:ascii="Verdana" w:eastAsia="Calibri" w:hAnsi="Verdana" w:cs="Arial"/>
        </w:rPr>
        <w:t xml:space="preserve"> acuerdos o</w:t>
      </w:r>
      <w:r w:rsidRPr="0050628A">
        <w:rPr>
          <w:rFonts w:ascii="Verdana" w:eastAsia="Calibri" w:hAnsi="Verdana" w:cs="Arial"/>
        </w:rPr>
        <w:t xml:space="preserve"> elementos </w:t>
      </w:r>
      <w:r w:rsidRPr="0050628A">
        <w:rPr>
          <w:rFonts w:ascii="Verdana" w:eastAsia="Calibri" w:hAnsi="Verdana" w:cs="Arial"/>
        </w:rPr>
        <w:lastRenderedPageBreak/>
        <w:t>accidentales</w:t>
      </w:r>
      <w:r w:rsidR="00DD61C7">
        <w:rPr>
          <w:rFonts w:ascii="Verdana" w:eastAsia="Calibri" w:hAnsi="Verdana" w:cs="Arial"/>
        </w:rPr>
        <w:t>. O</w:t>
      </w:r>
      <w:r w:rsidRPr="0050628A">
        <w:rPr>
          <w:rFonts w:ascii="Verdana" w:eastAsia="Calibri" w:hAnsi="Verdana" w:cs="Arial"/>
        </w:rPr>
        <w:t xml:space="preserve"> sea que para que puedan ejercerse dichas exorbitancias han debido quedar incluidas expresamente en el contrato, ya que no se entienden pactadas por naturaleza. Así se infiere del artículo 14°, numeral 2º, de la Ley 80 de 1993</w:t>
      </w:r>
      <w:r w:rsidRPr="0050628A">
        <w:rPr>
          <w:rFonts w:ascii="Verdana" w:eastAsia="Calibri" w:hAnsi="Verdana" w:cs="Arial"/>
          <w:vertAlign w:val="superscript"/>
        </w:rPr>
        <w:footnoteReference w:id="13"/>
      </w:r>
      <w:r w:rsidRPr="0050628A">
        <w:rPr>
          <w:rFonts w:ascii="Verdana" w:eastAsia="Calibri" w:hAnsi="Verdana" w:cs="Arial"/>
        </w:rPr>
        <w:t>.</w:t>
      </w:r>
    </w:p>
    <w:p w14:paraId="279ACA9F" w14:textId="77777777" w:rsidR="00FE55BD" w:rsidRPr="007A6EE5" w:rsidRDefault="00FE55BD" w:rsidP="00FE55BD">
      <w:pPr>
        <w:spacing w:before="120" w:after="120" w:line="276" w:lineRule="auto"/>
        <w:ind w:firstLine="709"/>
        <w:jc w:val="both"/>
        <w:rPr>
          <w:rFonts w:ascii="Verdana" w:eastAsia="Calibri" w:hAnsi="Verdana" w:cs="Arial"/>
        </w:rPr>
      </w:pPr>
      <w:r w:rsidRPr="007A6EE5">
        <w:rPr>
          <w:rFonts w:ascii="Verdana" w:eastAsia="Calibri" w:hAnsi="Verdana" w:cs="Arial"/>
        </w:rPr>
        <w:t>i) En ellos no es obligatoria la liquidación, pues así lo estableció el artículo 217 del Decreto 019 de 2012, que modificó el artículo 60 de la Ley 80 de 1993</w:t>
      </w:r>
      <w:r w:rsidRPr="007A6EE5">
        <w:rPr>
          <w:rFonts w:ascii="Verdana" w:eastAsia="Calibri" w:hAnsi="Verdana" w:cs="Arial"/>
          <w:vertAlign w:val="superscript"/>
        </w:rPr>
        <w:footnoteReference w:id="14"/>
      </w:r>
      <w:r w:rsidRPr="007A6EE5">
        <w:rPr>
          <w:rFonts w:ascii="Verdana" w:eastAsia="Calibri" w:hAnsi="Verdana" w:cs="Arial"/>
        </w:rPr>
        <w:t xml:space="preserve">, </w:t>
      </w:r>
      <w:r w:rsidRPr="007A6EE5">
        <w:rPr>
          <w:rFonts w:ascii="Verdana" w:eastAsia="Calibri" w:hAnsi="Verdana" w:cs="Arial"/>
          <w:lang w:val="es-ES" w:eastAsia="es-ES"/>
        </w:rPr>
        <w:t>refiriéndose expresamente a los contratos de prestación de servicios profesionales y de apoyo a la gestión.</w:t>
      </w:r>
    </w:p>
    <w:p w14:paraId="785C05EF" w14:textId="77777777" w:rsidR="00FE55BD" w:rsidRPr="007A6EE5" w:rsidRDefault="00FE55BD" w:rsidP="00FE55BD">
      <w:pPr>
        <w:spacing w:after="120" w:line="276" w:lineRule="auto"/>
        <w:ind w:firstLine="709"/>
        <w:jc w:val="both"/>
        <w:rPr>
          <w:rFonts w:ascii="Verdana" w:eastAsia="Calibri" w:hAnsi="Verdana" w:cs="Arial"/>
        </w:rPr>
      </w:pPr>
      <w:r w:rsidRPr="007A6EE5">
        <w:rPr>
          <w:rFonts w:ascii="Verdana" w:eastAsia="Calibri" w:hAnsi="Verdana" w:cs="Arial"/>
        </w:rPr>
        <w:t>j) Para su celebración no se requiere inscripción en el Registro Único de Proponentes (RUP), según lo prevé el artículo 6 de la Ley 1150 de 2007</w:t>
      </w:r>
      <w:r w:rsidRPr="007A6EE5">
        <w:rPr>
          <w:rFonts w:ascii="Verdana" w:eastAsia="Calibri" w:hAnsi="Verdana" w:cs="Arial"/>
          <w:vertAlign w:val="superscript"/>
        </w:rPr>
        <w:footnoteReference w:id="15"/>
      </w:r>
      <w:r w:rsidRPr="007A6EE5">
        <w:rPr>
          <w:rFonts w:ascii="Verdana" w:eastAsia="Calibri" w:hAnsi="Verdana" w:cs="Arial"/>
        </w:rPr>
        <w:t>.</w:t>
      </w:r>
    </w:p>
    <w:p w14:paraId="7D5C894C" w14:textId="77777777" w:rsidR="00FE55BD" w:rsidRPr="00361222" w:rsidRDefault="00FE55BD" w:rsidP="004C0B72">
      <w:pPr>
        <w:spacing w:after="0" w:line="276" w:lineRule="auto"/>
        <w:ind w:firstLine="709"/>
        <w:jc w:val="both"/>
        <w:rPr>
          <w:rFonts w:ascii="Verdana" w:eastAsia="Calibri" w:hAnsi="Verdana" w:cs="Arial"/>
        </w:rPr>
      </w:pPr>
      <w:r w:rsidRPr="007A6EE5">
        <w:rPr>
          <w:rFonts w:ascii="Verdana" w:eastAsia="Calibri" w:hAnsi="Verdana" w:cs="Arial"/>
        </w:rPr>
        <w:t>k) En ellos no son necesarias las garantías</w:t>
      </w:r>
      <w:r w:rsidRPr="007A6EE5">
        <w:rPr>
          <w:rFonts w:ascii="Verdana" w:eastAsia="Calibri" w:hAnsi="Verdana" w:cs="Arial"/>
          <w:vertAlign w:val="superscript"/>
        </w:rPr>
        <w:footnoteReference w:id="16"/>
      </w:r>
      <w:r w:rsidRPr="007A6EE5">
        <w:rPr>
          <w:rFonts w:ascii="Verdana" w:eastAsia="Calibri" w:hAnsi="Verdana" w:cs="Arial"/>
        </w:rPr>
        <w:t>.</w:t>
      </w:r>
    </w:p>
    <w:p w14:paraId="596EE16F" w14:textId="77777777" w:rsidR="00DD61C7" w:rsidRDefault="00DD61C7" w:rsidP="004C0B72">
      <w:pPr>
        <w:spacing w:after="0" w:line="276" w:lineRule="auto"/>
        <w:ind w:right="51"/>
        <w:jc w:val="both"/>
        <w:rPr>
          <w:rFonts w:ascii="Verdana" w:hAnsi="Verdana" w:cs="Arial"/>
        </w:rPr>
      </w:pPr>
    </w:p>
    <w:p w14:paraId="620C22F7" w14:textId="4A7BD327" w:rsidR="00FE55BD" w:rsidRPr="00255E89" w:rsidRDefault="00FE55BD" w:rsidP="004C0B72">
      <w:pPr>
        <w:spacing w:after="120" w:line="276" w:lineRule="auto"/>
        <w:jc w:val="both"/>
        <w:rPr>
          <w:rFonts w:ascii="Verdana" w:hAnsi="Verdana" w:cs="Arial"/>
        </w:rPr>
      </w:pPr>
      <w:r w:rsidRPr="00255E89">
        <w:rPr>
          <w:rFonts w:ascii="Verdana" w:hAnsi="Verdana" w:cs="Arial"/>
        </w:rPr>
        <w:lastRenderedPageBreak/>
        <w:t>ii) Ahora bien, para responder el problema jurídico planteado, es preciso señalar que la Corte Constitucional y el Consejo de Estado ha</w:t>
      </w:r>
      <w:r w:rsidR="000940A2">
        <w:rPr>
          <w:rFonts w:ascii="Verdana" w:hAnsi="Verdana" w:cs="Arial"/>
        </w:rPr>
        <w:t>n</w:t>
      </w:r>
      <w:r w:rsidRPr="00255E89">
        <w:rPr>
          <w:rFonts w:ascii="Verdana" w:hAnsi="Verdana" w:cs="Arial"/>
        </w:rPr>
        <w:t xml:space="preserve"> expuesto que el principal elemento que distingue el contrato de prestación de servicios del contrato laboral es la existencia de subordinación o dependencia en la ejecución de la labor contratada. </w:t>
      </w:r>
    </w:p>
    <w:p w14:paraId="06A64F67" w14:textId="02533649" w:rsidR="00FE55BD" w:rsidRPr="00255E89" w:rsidRDefault="00FE55BD" w:rsidP="00255E89">
      <w:pPr>
        <w:spacing w:after="120" w:line="276" w:lineRule="auto"/>
        <w:ind w:firstLine="708"/>
        <w:jc w:val="both"/>
        <w:rPr>
          <w:rFonts w:ascii="Verdana" w:hAnsi="Verdana" w:cs="Arial"/>
        </w:rPr>
      </w:pPr>
      <w:r w:rsidRPr="00255E89">
        <w:rPr>
          <w:rFonts w:ascii="Verdana" w:hAnsi="Verdana" w:cs="Arial"/>
        </w:rPr>
        <w:t xml:space="preserve">En ese sentido, si bien la fijación de un horario </w:t>
      </w:r>
      <w:r w:rsidRPr="000940A2">
        <w:rPr>
          <w:rFonts w:ascii="Verdana" w:hAnsi="Verdana" w:cs="Arial"/>
        </w:rPr>
        <w:t xml:space="preserve">puede constituir un indicio de la existencia de una relación laboral, por sí sola no resulta suficiente para concluir la </w:t>
      </w:r>
      <w:r w:rsidR="00B52E6D" w:rsidRPr="000940A2">
        <w:rPr>
          <w:rFonts w:ascii="Verdana" w:hAnsi="Verdana" w:cs="Arial"/>
        </w:rPr>
        <w:t>existencia</w:t>
      </w:r>
      <w:r w:rsidRPr="00255E89">
        <w:rPr>
          <w:rFonts w:ascii="Verdana" w:hAnsi="Verdana" w:cs="Arial"/>
        </w:rPr>
        <w:t xml:space="preserve"> de un contrato realidad.</w:t>
      </w:r>
      <w:r w:rsidR="00B52E6D" w:rsidRPr="00255E89">
        <w:rPr>
          <w:rFonts w:ascii="Verdana" w:hAnsi="Verdana" w:cs="Arial"/>
        </w:rPr>
        <w:t xml:space="preserve"> Al respecto, e</w:t>
      </w:r>
      <w:r w:rsidRPr="00255E89">
        <w:rPr>
          <w:rFonts w:ascii="Verdana" w:hAnsi="Verdana" w:cs="Arial"/>
        </w:rPr>
        <w:t>l máximo tribunal de lo contencioso administrativo ha reiterado, en múltiples sentencias</w:t>
      </w:r>
      <w:r w:rsidRPr="00255E89">
        <w:rPr>
          <w:rStyle w:val="Refdenotaalpie"/>
          <w:rFonts w:ascii="Verdana" w:hAnsi="Verdana" w:cs="Arial"/>
        </w:rPr>
        <w:footnoteReference w:id="17"/>
      </w:r>
      <w:r w:rsidRPr="00255E89">
        <w:rPr>
          <w:rFonts w:ascii="Verdana" w:hAnsi="Verdana" w:cs="Arial"/>
        </w:rPr>
        <w:t>, que la exigencia de un horario o de una jornada puede ser necesaria</w:t>
      </w:r>
      <w:r w:rsidR="006F76C5" w:rsidRPr="00255E89">
        <w:rPr>
          <w:rFonts w:ascii="Verdana" w:hAnsi="Verdana" w:cs="Arial"/>
        </w:rPr>
        <w:t xml:space="preserve"> o indispensable</w:t>
      </w:r>
      <w:r w:rsidRPr="000940A2">
        <w:rPr>
          <w:rFonts w:ascii="Verdana" w:hAnsi="Verdana" w:cs="Arial"/>
        </w:rPr>
        <w:t xml:space="preserve"> para garantizar el cumplimiento eficiente del objeto contractual. </w:t>
      </w:r>
      <w:r w:rsidR="006F76C5" w:rsidRPr="00255E89">
        <w:rPr>
          <w:rFonts w:ascii="Verdana" w:hAnsi="Verdana" w:cs="Arial"/>
        </w:rPr>
        <w:t>Por lo tanto</w:t>
      </w:r>
      <w:r w:rsidRPr="00255E89">
        <w:rPr>
          <w:rFonts w:ascii="Verdana" w:hAnsi="Verdana" w:cs="Arial"/>
        </w:rPr>
        <w:t>, la imposición de un horario no desnaturaliza el contrato de prestación de servicios, siempre que dicha exigencia sea indispensable para la adecuada ejecución de las actividades encomendadas.</w:t>
      </w:r>
    </w:p>
    <w:p w14:paraId="2F5E941F" w14:textId="4EF90EF6" w:rsidR="00255E89" w:rsidRPr="004C0B72" w:rsidRDefault="000940A2" w:rsidP="004C0B72">
      <w:pPr>
        <w:spacing w:after="120" w:line="276" w:lineRule="auto"/>
        <w:ind w:firstLine="708"/>
        <w:jc w:val="both"/>
        <w:rPr>
          <w:rFonts w:ascii="Verdana" w:eastAsia="Times New Roman" w:hAnsi="Verdana" w:cs="Times New Roman"/>
          <w:lang w:eastAsia="es-ES_tradnl"/>
        </w:rPr>
      </w:pPr>
      <w:r>
        <w:rPr>
          <w:rFonts w:ascii="Verdana" w:eastAsia="Times New Roman" w:hAnsi="Verdana" w:cs="Times New Roman"/>
          <w:lang w:eastAsia="es-ES_tradnl"/>
        </w:rPr>
        <w:t>Así mismo</w:t>
      </w:r>
      <w:r w:rsidR="00255E89" w:rsidRPr="004C0B72">
        <w:rPr>
          <w:rFonts w:ascii="Verdana" w:eastAsia="Times New Roman" w:hAnsi="Verdana" w:cs="Times New Roman"/>
          <w:lang w:eastAsia="es-ES_tradnl"/>
        </w:rPr>
        <w:t>, en materia de coordinación de actividades y cumplimiento de horario, el Consejo de Estado en expediente 1707-08 aclaró que “(…) la relación de coordinación de actividades entre contratante y contratista que implica que el segundo se somete a las condiciones necesarias para el desarrollo eficiente de la actividad encomendada, lo cual incluye el cumplimiento de un horario, o el hecho de recibir una serie de instrucciones de sus superiores, o tener que reportar informes sobre sus resultados, no significa necesariamente la configuración de un elemento de subordinación”</w:t>
      </w:r>
      <w:r w:rsidR="00255E89" w:rsidRPr="004C0B72">
        <w:rPr>
          <w:rStyle w:val="Refdenotaalpie"/>
          <w:rFonts w:ascii="Verdana" w:eastAsia="Times New Roman" w:hAnsi="Verdana" w:cs="Times New Roman"/>
          <w:lang w:eastAsia="es-ES_tradnl"/>
        </w:rPr>
        <w:footnoteReference w:id="18"/>
      </w:r>
      <w:r w:rsidR="00255E89" w:rsidRPr="004C0B72">
        <w:rPr>
          <w:rFonts w:ascii="Verdana" w:eastAsia="Times New Roman" w:hAnsi="Verdana" w:cs="Times New Roman"/>
          <w:lang w:eastAsia="es-ES_tradnl"/>
        </w:rPr>
        <w:t xml:space="preserve">. </w:t>
      </w:r>
    </w:p>
    <w:p w14:paraId="10C281BE" w14:textId="6E5225D9" w:rsidR="00FE55BD" w:rsidRPr="00255E89" w:rsidRDefault="00FE55BD" w:rsidP="004C0B72">
      <w:pPr>
        <w:autoSpaceDE w:val="0"/>
        <w:autoSpaceDN w:val="0"/>
        <w:adjustRightInd w:val="0"/>
        <w:spacing w:after="120" w:line="276" w:lineRule="auto"/>
        <w:ind w:firstLine="709"/>
        <w:jc w:val="both"/>
        <w:rPr>
          <w:rFonts w:ascii="Verdana" w:hAnsi="Verdana" w:cs="Arial"/>
        </w:rPr>
      </w:pPr>
      <w:r w:rsidRPr="00255E89">
        <w:rPr>
          <w:rFonts w:ascii="Verdana" w:hAnsi="Verdana" w:cs="Arial"/>
        </w:rPr>
        <w:t xml:space="preserve">En consecuencia, los contratistas de prestación de servicios deben someterse, en la ejecución de sus obligaciones contractuales, a las directrices que establezca la entidad contratante, a efectos de cumplir con el objeto contractual, así como a la forma en que se coordinan las distintas actividades. </w:t>
      </w:r>
      <w:r w:rsidRPr="00255E89">
        <w:rPr>
          <w:rFonts w:ascii="Verdana" w:hAnsi="Verdana" w:cs="Arial"/>
        </w:rPr>
        <w:lastRenderedPageBreak/>
        <w:t xml:space="preserve">Ahora bien, de requerirse la presencia del contratista en la </w:t>
      </w:r>
      <w:r w:rsidR="006F76C5" w:rsidRPr="00255E89">
        <w:rPr>
          <w:rFonts w:ascii="Verdana" w:hAnsi="Verdana" w:cs="Arial"/>
        </w:rPr>
        <w:t>e</w:t>
      </w:r>
      <w:r w:rsidRPr="00255E89">
        <w:rPr>
          <w:rFonts w:ascii="Verdana" w:hAnsi="Verdana" w:cs="Arial"/>
        </w:rPr>
        <w:t xml:space="preserve">ntidad </w:t>
      </w:r>
      <w:r w:rsidR="006F76C5" w:rsidRPr="00255E89">
        <w:rPr>
          <w:rFonts w:ascii="Verdana" w:hAnsi="Verdana" w:cs="Arial"/>
        </w:rPr>
        <w:t>e</w:t>
      </w:r>
      <w:r w:rsidRPr="00255E89">
        <w:rPr>
          <w:rFonts w:ascii="Verdana" w:hAnsi="Verdana" w:cs="Arial"/>
        </w:rPr>
        <w:t>statal en determinada jornada, esa exigencia debe quedar contemplada en el contrato o en los documentos contractuales y debe estar justificada. En todo caso, más que imponer un horario, se trata de asegurar el cumplimiento de las tareas propias del objeto contractual, conforme a las necesidades y funciones de la entidad.</w:t>
      </w:r>
      <w:r w:rsidRPr="00255E89">
        <w:rPr>
          <w:rStyle w:val="Refdenotaalpie"/>
          <w:rFonts w:ascii="Verdana" w:hAnsi="Verdana" w:cs="Arial"/>
        </w:rPr>
        <w:footnoteReference w:id="19"/>
      </w:r>
    </w:p>
    <w:p w14:paraId="10F801EF" w14:textId="77777777" w:rsidR="00FE55BD" w:rsidRPr="00616544" w:rsidRDefault="00FE55BD" w:rsidP="004C0B72">
      <w:pPr>
        <w:spacing w:after="0" w:line="276" w:lineRule="auto"/>
        <w:ind w:right="51"/>
        <w:jc w:val="both"/>
        <w:rPr>
          <w:rFonts w:ascii="Verdana" w:eastAsia="Calibri" w:hAnsi="Verdana" w:cs="Arial"/>
          <w:bCs/>
          <w:lang w:val="es-MX"/>
        </w:rPr>
      </w:pPr>
      <w:r w:rsidRPr="001E2573">
        <w:rPr>
          <w:rFonts w:ascii="Verdana" w:eastAsia="Calibri" w:hAnsi="Verdana" w:cs="Arial"/>
          <w:lang w:eastAsia="es-ES"/>
        </w:rPr>
        <w:tab/>
      </w:r>
      <w:r w:rsidRPr="001E2573">
        <w:rPr>
          <w:rFonts w:ascii="Verdana" w:eastAsia="Calibri" w:hAnsi="Verdana" w:cs="Arial"/>
          <w:bCs/>
        </w:rPr>
        <w:t xml:space="preserve">Al margen de la explicación precedente debe advertirse que </w:t>
      </w:r>
      <w:r w:rsidRPr="001E2573">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1E2573">
        <w:rPr>
          <w:rFonts w:ascii="Verdana" w:eastAsia="Calibri" w:hAnsi="Verdana" w:cs="Arial"/>
          <w:bCs/>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6EF23D" w14:textId="77777777" w:rsidR="00FE55BD" w:rsidRPr="00B52E6D" w:rsidRDefault="00FE55BD" w:rsidP="00B52E6D">
      <w:pPr>
        <w:spacing w:after="0" w:line="276" w:lineRule="auto"/>
        <w:jc w:val="both"/>
        <w:rPr>
          <w:rFonts w:ascii="Verdana" w:eastAsia="Calibri" w:hAnsi="Verdana" w:cs="Arial"/>
          <w:bCs/>
          <w:highlight w:val="lightGray"/>
        </w:rPr>
      </w:pPr>
    </w:p>
    <w:bookmarkEnd w:id="1"/>
    <w:bookmarkEnd w:id="2"/>
    <w:p w14:paraId="5C4FBB6A" w14:textId="2D969D25" w:rsidR="00FE55BD" w:rsidRDefault="00FE55BD" w:rsidP="00B52E6D">
      <w:pPr>
        <w:spacing w:after="0" w:line="276" w:lineRule="auto"/>
        <w:jc w:val="both"/>
        <w:rPr>
          <w:rFonts w:ascii="Verdana" w:eastAsia="Century Gothic" w:hAnsi="Verdana" w:cs="Century Gothic"/>
          <w:b/>
          <w:lang w:val="es-ES"/>
        </w:rPr>
      </w:pPr>
      <w:r w:rsidRPr="00B52E6D">
        <w:rPr>
          <w:rFonts w:ascii="Verdana" w:eastAsia="Century Gothic" w:hAnsi="Verdana" w:cs="Century Gothic"/>
          <w:b/>
          <w:lang w:val="es-ES"/>
        </w:rPr>
        <w:t>4. Referencias normativas, jurisprudenciales y otras fuentes:</w:t>
      </w:r>
    </w:p>
    <w:p w14:paraId="06174EBD" w14:textId="77777777" w:rsidR="006F76C5" w:rsidRPr="00B52E6D" w:rsidRDefault="006F76C5" w:rsidP="004C0B72">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55BD" w:rsidRPr="00B52E6D" w14:paraId="708072A2" w14:textId="77777777" w:rsidTr="00A35F0D">
        <w:trPr>
          <w:trHeight w:val="870"/>
        </w:trPr>
        <w:tc>
          <w:tcPr>
            <w:tcW w:w="8647" w:type="dxa"/>
          </w:tcPr>
          <w:p w14:paraId="722CF4D7" w14:textId="77777777" w:rsidR="006F76C5" w:rsidRPr="006F76C5" w:rsidRDefault="006F76C5" w:rsidP="006F76C5">
            <w:pPr>
              <w:widowControl w:val="0"/>
              <w:numPr>
                <w:ilvl w:val="0"/>
                <w:numId w:val="16"/>
              </w:numPr>
              <w:autoSpaceDE w:val="0"/>
              <w:autoSpaceDN w:val="0"/>
              <w:spacing w:line="276" w:lineRule="auto"/>
              <w:jc w:val="both"/>
              <w:rPr>
                <w:rFonts w:ascii="Verdana" w:eastAsia="Calibri" w:hAnsi="Verdana" w:cs="Arial"/>
                <w:lang w:val="es-ES"/>
              </w:rPr>
            </w:pPr>
            <w:r w:rsidRPr="002230CC">
              <w:rPr>
                <w:rFonts w:ascii="Verdana" w:eastAsia="Calibri" w:hAnsi="Verdana" w:cs="Arial"/>
                <w:lang w:val="es-ES"/>
              </w:rPr>
              <w:t>Código Sustantivo del Trabajo. Artículo 22</w:t>
            </w:r>
            <w:r>
              <w:rPr>
                <w:rFonts w:ascii="Verdana" w:eastAsia="Calibri" w:hAnsi="Verdana" w:cs="Arial"/>
                <w:lang w:val="es-ES"/>
              </w:rPr>
              <w:t>.</w:t>
            </w:r>
          </w:p>
          <w:p w14:paraId="79D5C69E" w14:textId="41B9D9D6" w:rsidR="00FE55BD" w:rsidRPr="00B52E6D" w:rsidRDefault="00FE55BD" w:rsidP="004C0B72">
            <w:pPr>
              <w:widowControl w:val="0"/>
              <w:numPr>
                <w:ilvl w:val="0"/>
                <w:numId w:val="16"/>
              </w:numPr>
              <w:autoSpaceDE w:val="0"/>
              <w:autoSpaceDN w:val="0"/>
              <w:spacing w:line="276" w:lineRule="auto"/>
              <w:jc w:val="both"/>
              <w:rPr>
                <w:rFonts w:ascii="Verdana" w:eastAsia="Calibri" w:hAnsi="Verdana" w:cs="Arial"/>
                <w:lang w:val="es-ES"/>
              </w:rPr>
            </w:pPr>
            <w:r w:rsidRPr="00B52E6D">
              <w:rPr>
                <w:rFonts w:ascii="Verdana" w:eastAsia="Calibri" w:hAnsi="Verdana" w:cs="Arial"/>
                <w:lang w:val="es-ES"/>
              </w:rPr>
              <w:t>Ley 80 de 1993. Artículo 32</w:t>
            </w:r>
            <w:r w:rsidR="006F76C5">
              <w:rPr>
                <w:rFonts w:ascii="Verdana" w:eastAsia="Calibri" w:hAnsi="Verdana" w:cs="Arial"/>
                <w:lang w:val="es-ES"/>
              </w:rPr>
              <w:t>.</w:t>
            </w:r>
          </w:p>
          <w:p w14:paraId="193197EF" w14:textId="11E6B8CB" w:rsidR="00FE55BD" w:rsidRPr="006F76C5" w:rsidRDefault="00FE55BD" w:rsidP="004C0B72">
            <w:pPr>
              <w:widowControl w:val="0"/>
              <w:numPr>
                <w:ilvl w:val="0"/>
                <w:numId w:val="16"/>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Ley 1150 de 2007. Artículo 4</w:t>
            </w:r>
            <w:r w:rsidR="006F76C5">
              <w:rPr>
                <w:rFonts w:ascii="Verdana" w:eastAsia="Calibri" w:hAnsi="Verdana" w:cs="Arial"/>
                <w:lang w:val="es-ES"/>
              </w:rPr>
              <w:t>.</w:t>
            </w:r>
          </w:p>
          <w:p w14:paraId="1E9E5B1B" w14:textId="77777777" w:rsidR="00FE55BD" w:rsidRPr="00255E89" w:rsidRDefault="00FE55BD" w:rsidP="004C0B72">
            <w:pPr>
              <w:widowControl w:val="0"/>
              <w:numPr>
                <w:ilvl w:val="0"/>
                <w:numId w:val="16"/>
              </w:numPr>
              <w:autoSpaceDE w:val="0"/>
              <w:autoSpaceDN w:val="0"/>
              <w:spacing w:line="276" w:lineRule="auto"/>
              <w:jc w:val="both"/>
              <w:rPr>
                <w:rFonts w:ascii="Verdana" w:eastAsia="Calibri" w:hAnsi="Verdana" w:cs="Arial"/>
                <w:lang w:val="es-ES"/>
              </w:rPr>
            </w:pPr>
            <w:r w:rsidRPr="00255E89">
              <w:rPr>
                <w:rFonts w:ascii="Verdana" w:eastAsia="Calibri" w:hAnsi="Verdana" w:cs="Arial"/>
                <w:lang w:val="es-ES"/>
              </w:rPr>
              <w:t>Ley 1955 de 2015. Artículo 244.</w:t>
            </w:r>
          </w:p>
          <w:p w14:paraId="3C19E5E3" w14:textId="77777777" w:rsidR="00FE55BD" w:rsidRPr="00B52E6D" w:rsidRDefault="00FE55BD" w:rsidP="004C0B72">
            <w:pPr>
              <w:widowControl w:val="0"/>
              <w:numPr>
                <w:ilvl w:val="0"/>
                <w:numId w:val="16"/>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t>Decreto 1082 de 2015. Artículo 2.2.1.2.1.4.1, 2.2.1.2.1.4.5.  2.2.1.2.1.4.9.</w:t>
            </w:r>
          </w:p>
          <w:p w14:paraId="197EB4C0" w14:textId="77777777" w:rsidR="00FE55BD" w:rsidRPr="00255E89" w:rsidRDefault="00FE55BD" w:rsidP="004C0B72">
            <w:pPr>
              <w:widowControl w:val="0"/>
              <w:numPr>
                <w:ilvl w:val="0"/>
                <w:numId w:val="16"/>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Corte Constitucional. Sentencia C-154 de 1997. M.P. Hernando Herrera Vergara.</w:t>
            </w:r>
          </w:p>
          <w:p w14:paraId="2CE8FAE6" w14:textId="77777777" w:rsidR="00FE55BD" w:rsidRPr="00B52E6D" w:rsidRDefault="00FE55BD" w:rsidP="004C0B72">
            <w:pPr>
              <w:widowControl w:val="0"/>
              <w:numPr>
                <w:ilvl w:val="0"/>
                <w:numId w:val="16"/>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t>Corte Constitucional. Sentencia C-614 de 2009. M.P. Jorge Ignacio Pretelt Chalju</w:t>
            </w:r>
            <w:r w:rsidRPr="00B52E6D">
              <w:rPr>
                <w:rFonts w:ascii="Verdana" w:eastAsia="Calibri" w:hAnsi="Verdana" w:cs="Arial"/>
                <w:lang w:val="es-ES"/>
              </w:rPr>
              <w:t>b.</w:t>
            </w:r>
          </w:p>
          <w:p w14:paraId="04DACF40" w14:textId="594D703D" w:rsidR="006F76C5" w:rsidRDefault="006F76C5" w:rsidP="00B52E6D">
            <w:pPr>
              <w:widowControl w:val="0"/>
              <w:numPr>
                <w:ilvl w:val="0"/>
                <w:numId w:val="16"/>
              </w:numPr>
              <w:autoSpaceDE w:val="0"/>
              <w:autoSpaceDN w:val="0"/>
              <w:spacing w:line="276" w:lineRule="auto"/>
              <w:jc w:val="both"/>
              <w:rPr>
                <w:rFonts w:ascii="Verdana" w:eastAsia="Calibri" w:hAnsi="Verdana" w:cs="Arial"/>
                <w:lang w:val="es-ES"/>
              </w:rPr>
            </w:pPr>
            <w:r w:rsidRPr="00420F6B">
              <w:rPr>
                <w:rFonts w:ascii="Verdana" w:eastAsia="Calibri" w:hAnsi="Verdana" w:cs="Arial"/>
                <w:lang w:val="es-ES"/>
              </w:rPr>
              <w:t>Consejo de Estado, Sala Plena de lo Contencioso Administrativo, sentencia del 09 de febrero de 2012, expediente 1707-08, C.P Luis Rafael Vergara Quintero.</w:t>
            </w:r>
          </w:p>
          <w:p w14:paraId="00EE1889" w14:textId="36BCD241" w:rsidR="00FE55BD" w:rsidRPr="00255E89" w:rsidRDefault="00FE55BD" w:rsidP="004C0B72">
            <w:pPr>
              <w:widowControl w:val="0"/>
              <w:numPr>
                <w:ilvl w:val="0"/>
                <w:numId w:val="16"/>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 xml:space="preserve">Consejo de Estado. Sección Segunda. Subsección A. Rad. 19001-23-33-0002016-00182-01 (3990-2018). Sentencia de 9 de junio de </w:t>
            </w:r>
            <w:r w:rsidRPr="006F76C5">
              <w:rPr>
                <w:rFonts w:ascii="Verdana" w:eastAsia="Calibri" w:hAnsi="Verdana" w:cs="Arial"/>
                <w:lang w:val="es-ES"/>
              </w:rPr>
              <w:lastRenderedPageBreak/>
              <w:t xml:space="preserve">2022. C.P. Rafael Francisco Suarez Vargas. </w:t>
            </w:r>
          </w:p>
          <w:p w14:paraId="492FDE1E" w14:textId="77777777" w:rsidR="00FE55BD" w:rsidRPr="00B52E6D" w:rsidRDefault="00FE55BD" w:rsidP="004C0B72">
            <w:pPr>
              <w:widowControl w:val="0"/>
              <w:numPr>
                <w:ilvl w:val="0"/>
                <w:numId w:val="16"/>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t xml:space="preserve">Consejo de Estado. Sección Segunda. Subsección B. Rad. 50001-23-33-000-2014-0089-01. </w:t>
            </w:r>
            <w:r w:rsidRPr="00B52E6D">
              <w:rPr>
                <w:rFonts w:ascii="Verdana" w:eastAsia="Calibri" w:hAnsi="Verdana" w:cs="Arial"/>
                <w:lang w:val="es-ES"/>
              </w:rPr>
              <w:t>Sentencia de 9 de junio de 2022. C.P. César Palomino Cortés.</w:t>
            </w:r>
          </w:p>
          <w:p w14:paraId="4C68EE07" w14:textId="211C2E4F" w:rsidR="00FE55BD" w:rsidRPr="00B52E6D" w:rsidRDefault="00FE55BD" w:rsidP="004C0B72">
            <w:pPr>
              <w:widowControl w:val="0"/>
              <w:numPr>
                <w:ilvl w:val="0"/>
                <w:numId w:val="16"/>
              </w:numPr>
              <w:autoSpaceDE w:val="0"/>
              <w:autoSpaceDN w:val="0"/>
              <w:spacing w:line="276" w:lineRule="auto"/>
              <w:jc w:val="both"/>
              <w:rPr>
                <w:rFonts w:ascii="Verdana" w:eastAsia="Calibri" w:hAnsi="Verdana" w:cs="Arial"/>
                <w:lang w:val="es-ES"/>
              </w:rPr>
            </w:pPr>
          </w:p>
        </w:tc>
      </w:tr>
    </w:tbl>
    <w:p w14:paraId="0ABAA6DE" w14:textId="77777777" w:rsidR="00FE55BD" w:rsidRPr="00B52E6D" w:rsidRDefault="00FE55BD" w:rsidP="00B52E6D">
      <w:pPr>
        <w:widowControl w:val="0"/>
        <w:autoSpaceDE w:val="0"/>
        <w:autoSpaceDN w:val="0"/>
        <w:spacing w:after="0" w:line="276" w:lineRule="auto"/>
        <w:jc w:val="both"/>
        <w:rPr>
          <w:rFonts w:ascii="Verdana" w:hAnsi="Verdana" w:cs="Arial"/>
          <w:color w:val="ED7D31" w:themeColor="accent2"/>
          <w:highlight w:val="lightGray"/>
          <w:lang w:val="es-ES"/>
        </w:rPr>
      </w:pPr>
    </w:p>
    <w:p w14:paraId="35A0496C" w14:textId="77777777" w:rsidR="00FE55BD" w:rsidRPr="00B52E6D" w:rsidRDefault="00FE55BD" w:rsidP="00B52E6D">
      <w:pPr>
        <w:tabs>
          <w:tab w:val="left" w:pos="142"/>
          <w:tab w:val="left" w:pos="284"/>
        </w:tabs>
        <w:spacing w:after="0" w:line="276" w:lineRule="auto"/>
        <w:jc w:val="both"/>
        <w:rPr>
          <w:rFonts w:ascii="Verdana" w:eastAsia="Century Gothic" w:hAnsi="Verdana" w:cs="Century Gothic"/>
          <w:b/>
          <w:color w:val="ED7D31" w:themeColor="accent2"/>
          <w:lang w:val="es-ES"/>
        </w:rPr>
      </w:pPr>
      <w:r w:rsidRPr="00B52E6D">
        <w:rPr>
          <w:rFonts w:ascii="Verdana" w:eastAsia="Century Gothic" w:hAnsi="Verdana" w:cs="Century Gothic"/>
          <w:b/>
          <w:lang w:val="es-ES"/>
        </w:rPr>
        <w:t>5. Doctrina de la Agencia Nacional de Contratación Pública:</w:t>
      </w:r>
    </w:p>
    <w:p w14:paraId="612D859B" w14:textId="77777777" w:rsidR="00FE55BD" w:rsidRPr="00255E89" w:rsidRDefault="00FE55BD" w:rsidP="00255E89">
      <w:pPr>
        <w:widowControl w:val="0"/>
        <w:autoSpaceDE w:val="0"/>
        <w:autoSpaceDN w:val="0"/>
        <w:spacing w:after="0" w:line="276" w:lineRule="auto"/>
        <w:jc w:val="both"/>
        <w:rPr>
          <w:rFonts w:ascii="Verdana" w:hAnsi="Verdana" w:cs="Arial"/>
          <w:color w:val="ED7D31" w:themeColor="accent2"/>
          <w:highlight w:val="lightGray"/>
          <w:lang w:val="es-ES"/>
        </w:rPr>
      </w:pPr>
    </w:p>
    <w:p w14:paraId="2A6B6F31" w14:textId="77777777" w:rsidR="00FE55BD" w:rsidRPr="00B52E6D" w:rsidRDefault="00FE55BD" w:rsidP="00255E89">
      <w:pPr>
        <w:spacing w:after="0" w:line="276" w:lineRule="auto"/>
        <w:jc w:val="both"/>
        <w:rPr>
          <w:rFonts w:ascii="Verdana" w:hAnsi="Verdana" w:cs="Arial"/>
          <w:color w:val="EE0000"/>
          <w:shd w:val="clear" w:color="auto" w:fill="FFFFFF"/>
          <w:lang w:val="es-ES"/>
        </w:rPr>
      </w:pPr>
      <w:r w:rsidRPr="00255E89">
        <w:rPr>
          <w:rFonts w:ascii="Verdana" w:eastAsia="Calibri" w:hAnsi="Verdana" w:cs="Arial"/>
          <w:lang w:val="es-ES"/>
        </w:rPr>
        <w:t xml:space="preserve">La Agencia Nacional de Contratación Pública – Colombia Compra Eficiente se ha referido </w:t>
      </w:r>
      <w:r w:rsidRPr="00064773">
        <w:rPr>
          <w:rFonts w:ascii="Verdana" w:hAnsi="Verdana" w:cs="Arial"/>
          <w:shd w:val="clear" w:color="auto" w:fill="FFFFFF"/>
          <w:lang w:val="es-ES"/>
        </w:rPr>
        <w:t xml:space="preserve">sobre </w:t>
      </w:r>
      <w:r w:rsidRPr="00B52E6D">
        <w:rPr>
          <w:rFonts w:ascii="Verdana" w:hAnsi="Verdana" w:cs="Arial"/>
          <w:shd w:val="clear" w:color="auto" w:fill="FFFFFF"/>
          <w:lang w:val="es-ES"/>
        </w:rPr>
        <w:t>los contratos de prestación de servicios, así como los requisitos para su celebración en los conceptos con radicado C-414 del 30 de junio de 2020,C-661 del 17 de noviembre de 2020 C−685 del 18 de diciembre de 2020, C-004 del 12 de febrero de 2021, C-106 del 7 de abril de 2021, C-181 del 07 de abril de 2022, C-214 del 22 de abril de 2022, C-491 de 01 de agosto de 2022, C-008 del 20 de febrero de 2023, C-009 del 20 de febrero de 2023, C-286 del 2023, C-351 del 30 de agosto de 2024, C-372 del 26 de Agosto 2024, C-904 del 9 de diciembre de 2024 , C-363 del 15 de abril de 2025, C-652 del 04 de julio de 2025 , C-706 del 15 de julio de 2025 y C-749 del 14 de agosto de 2025, entre otros</w:t>
      </w:r>
      <w:r w:rsidRPr="00B52E6D">
        <w:rPr>
          <w:rFonts w:ascii="Verdana" w:eastAsia="Aptos" w:hAnsi="Verdana" w:cs="Segoe UI"/>
          <w:kern w:val="2"/>
          <w14:ligatures w14:val="standardContextual"/>
        </w:rPr>
        <w:t>.</w:t>
      </w:r>
    </w:p>
    <w:p w14:paraId="76956325" w14:textId="77777777" w:rsidR="00FE55BD" w:rsidRPr="00B52E6D" w:rsidRDefault="00FE55BD" w:rsidP="00064773">
      <w:pPr>
        <w:spacing w:after="0" w:line="276" w:lineRule="auto"/>
        <w:jc w:val="both"/>
        <w:rPr>
          <w:rFonts w:ascii="Verdana" w:hAnsi="Verdana" w:cs="Arial"/>
          <w:shd w:val="clear" w:color="auto" w:fill="FFFFFF"/>
          <w:lang w:val="es-ES"/>
        </w:rPr>
      </w:pPr>
    </w:p>
    <w:p w14:paraId="5C09730F" w14:textId="77777777" w:rsidR="00FE55BD" w:rsidRPr="00B52E6D" w:rsidRDefault="00FE55BD">
      <w:pPr>
        <w:spacing w:after="0" w:line="276" w:lineRule="auto"/>
        <w:jc w:val="both"/>
        <w:rPr>
          <w:rFonts w:ascii="Verdana" w:hAnsi="Verdana"/>
          <w:lang w:val="es-ES"/>
        </w:rPr>
      </w:pPr>
      <w:r w:rsidRPr="00B52E6D">
        <w:rPr>
          <w:rFonts w:ascii="Verdana" w:hAnsi="Verdana" w:cs="Arial"/>
          <w:shd w:val="clear" w:color="auto" w:fill="FFFFFF"/>
          <w:lang w:val="es-ES"/>
        </w:rPr>
        <w:t>Estos</w:t>
      </w:r>
      <w:r w:rsidRPr="00B52E6D">
        <w:rPr>
          <w:rFonts w:ascii="Verdana" w:hAnsi="Verdana"/>
          <w:lang w:val="es-ES"/>
        </w:rPr>
        <w:t xml:space="preserve"> y otros se encuentran disponibles para consulta en el Sistema de relatoría de la Agencia, al cual se puede acceder a través del siguiente enlace:</w:t>
      </w:r>
      <w:r w:rsidRPr="00B52E6D">
        <w:rPr>
          <w:rFonts w:ascii="Verdana" w:hAnsi="Verdana" w:cs="Arial"/>
          <w:shd w:val="clear" w:color="auto" w:fill="FFFFFF"/>
          <w:lang w:val="es-ES"/>
        </w:rPr>
        <w:t xml:space="preserve"> </w:t>
      </w:r>
      <w:hyperlink r:id="rId13" w:history="1">
        <w:r w:rsidRPr="00B52E6D">
          <w:rPr>
            <w:rStyle w:val="Hipervnculo"/>
            <w:rFonts w:ascii="Verdana" w:hAnsi="Verdana" w:cs="Arial"/>
            <w:shd w:val="clear" w:color="auto" w:fill="FFFFFF"/>
            <w:lang w:val="es-ES"/>
          </w:rPr>
          <w:t>https://relatoria.colombiacompra.gov.co/busqueda/conceptos</w:t>
        </w:r>
      </w:hyperlink>
    </w:p>
    <w:p w14:paraId="718FE096" w14:textId="77777777" w:rsidR="00FE55BD" w:rsidRPr="00B52E6D" w:rsidRDefault="00FE55BD">
      <w:pPr>
        <w:spacing w:after="0" w:line="276" w:lineRule="auto"/>
        <w:jc w:val="both"/>
        <w:rPr>
          <w:rFonts w:ascii="Verdana" w:hAnsi="Verdana" w:cs="Arial"/>
          <w:shd w:val="clear" w:color="auto" w:fill="FFFFFF"/>
        </w:rPr>
      </w:pPr>
    </w:p>
    <w:p w14:paraId="37A7C80A" w14:textId="77777777" w:rsidR="00FE55BD" w:rsidRPr="00255E89" w:rsidRDefault="00FE55BD">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Por último, lo invitamos a seguirnos en las redes sociales en las cuales se difunde información institucional: </w:t>
      </w:r>
    </w:p>
    <w:p w14:paraId="3AB1F0B0" w14:textId="77777777" w:rsidR="00FE55BD" w:rsidRPr="00064773" w:rsidRDefault="00FE55BD">
      <w:pPr>
        <w:spacing w:after="0" w:line="276" w:lineRule="auto"/>
        <w:jc w:val="both"/>
        <w:rPr>
          <w:rFonts w:ascii="Verdana" w:hAnsi="Verdana" w:cs="Arial"/>
          <w:shd w:val="clear" w:color="auto" w:fill="FFFFFF"/>
        </w:rPr>
      </w:pPr>
    </w:p>
    <w:p w14:paraId="576B6D99" w14:textId="77777777" w:rsidR="00FE55BD" w:rsidRPr="00B52E6D" w:rsidRDefault="00FE55BD">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Twitter: </w:t>
      </w:r>
      <w:r w:rsidRPr="00B52E6D">
        <w:rPr>
          <w:rStyle w:val="Hipervnculo"/>
          <w:rFonts w:ascii="Verdana" w:hAnsi="Verdana"/>
          <w:lang w:val="es-ES"/>
        </w:rPr>
        <w:t>@colombiacompra</w:t>
      </w:r>
      <w:r w:rsidRPr="00B52E6D">
        <w:rPr>
          <w:rStyle w:val="Hipervnculo"/>
          <w:rFonts w:ascii="Verdana" w:hAnsi="Verdana"/>
          <w:color w:val="auto"/>
          <w:lang w:val="es-ES"/>
        </w:rPr>
        <w:t xml:space="preserve"> </w:t>
      </w:r>
    </w:p>
    <w:p w14:paraId="4F58625E" w14:textId="77777777" w:rsidR="00FE55BD" w:rsidRPr="00B52E6D" w:rsidRDefault="00FE55BD">
      <w:pPr>
        <w:spacing w:after="0" w:line="276" w:lineRule="auto"/>
        <w:jc w:val="both"/>
        <w:rPr>
          <w:rFonts w:ascii="Verdana" w:hAnsi="Verdana" w:cs="Arial"/>
          <w:shd w:val="clear" w:color="auto" w:fill="FFFFFF"/>
        </w:rPr>
      </w:pPr>
      <w:r w:rsidRPr="00B52E6D">
        <w:rPr>
          <w:rFonts w:ascii="Verdana" w:hAnsi="Verdana" w:cs="Arial"/>
          <w:shd w:val="clear" w:color="auto" w:fill="FFFFFF"/>
        </w:rPr>
        <w:t>Facebook:</w:t>
      </w:r>
      <w:r w:rsidRPr="00B52E6D">
        <w:rPr>
          <w:rStyle w:val="Hipervnculo"/>
          <w:rFonts w:ascii="Verdana" w:hAnsi="Verdana"/>
          <w:lang w:val="es-ES"/>
        </w:rPr>
        <w:t xml:space="preserve"> ColombiaCompraEficiente</w:t>
      </w:r>
    </w:p>
    <w:p w14:paraId="0CC29D8C" w14:textId="77777777" w:rsidR="00FE55BD" w:rsidRPr="00B52E6D" w:rsidRDefault="00FE55BD">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LinkedIn: </w:t>
      </w:r>
      <w:r w:rsidRPr="00B52E6D">
        <w:rPr>
          <w:rStyle w:val="Hipervnculo"/>
          <w:rFonts w:ascii="Verdana" w:hAnsi="Verdana"/>
          <w:lang w:val="es-ES"/>
        </w:rPr>
        <w:t>Agencia Nacional de Contratación Pública - Colombia Compra Eficiente</w:t>
      </w:r>
      <w:r w:rsidRPr="00B52E6D">
        <w:rPr>
          <w:rFonts w:ascii="Verdana" w:hAnsi="Verdana" w:cs="Arial"/>
          <w:color w:val="0000FF"/>
          <w:shd w:val="clear" w:color="auto" w:fill="FFFFFF"/>
        </w:rPr>
        <w:t xml:space="preserve"> </w:t>
      </w:r>
    </w:p>
    <w:p w14:paraId="2122BED5" w14:textId="77777777" w:rsidR="00FE55BD" w:rsidRPr="00B52E6D" w:rsidRDefault="00FE55BD">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Instagram: </w:t>
      </w:r>
      <w:r w:rsidRPr="00B52E6D">
        <w:rPr>
          <w:rStyle w:val="Hipervnculo"/>
          <w:rFonts w:ascii="Verdana" w:hAnsi="Verdana"/>
          <w:lang w:val="es-ES"/>
        </w:rPr>
        <w:t>@colombiacompraeficiente_cce</w:t>
      </w:r>
    </w:p>
    <w:p w14:paraId="4CFFA2FB" w14:textId="77777777" w:rsidR="00FE55BD" w:rsidRPr="00B52E6D" w:rsidRDefault="00FE55BD">
      <w:pPr>
        <w:widowControl w:val="0"/>
        <w:autoSpaceDE w:val="0"/>
        <w:autoSpaceDN w:val="0"/>
        <w:spacing w:after="0" w:line="276" w:lineRule="auto"/>
        <w:jc w:val="both"/>
        <w:rPr>
          <w:rFonts w:ascii="Verdana" w:hAnsi="Verdana" w:cs="Arial"/>
          <w:lang w:val="es-ES"/>
        </w:rPr>
      </w:pPr>
    </w:p>
    <w:p w14:paraId="061C5A78" w14:textId="77777777" w:rsidR="00FE55BD" w:rsidRPr="00B52E6D" w:rsidRDefault="00FE55BD">
      <w:pPr>
        <w:widowControl w:val="0"/>
        <w:autoSpaceDE w:val="0"/>
        <w:autoSpaceDN w:val="0"/>
        <w:spacing w:after="0" w:line="276" w:lineRule="auto"/>
        <w:jc w:val="both"/>
        <w:rPr>
          <w:rFonts w:ascii="Verdana" w:hAnsi="Verdana" w:cs="Arial"/>
          <w:lang w:val="es-ES"/>
        </w:rPr>
      </w:pPr>
      <w:r w:rsidRPr="00B52E6D">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8C7548F" w14:textId="77777777" w:rsidR="00FE55BD" w:rsidRPr="00B52E6D" w:rsidRDefault="00FE55BD">
      <w:pPr>
        <w:widowControl w:val="0"/>
        <w:autoSpaceDE w:val="0"/>
        <w:autoSpaceDN w:val="0"/>
        <w:spacing w:after="0" w:line="276" w:lineRule="auto"/>
        <w:jc w:val="both"/>
        <w:rPr>
          <w:rFonts w:ascii="Verdana" w:hAnsi="Verdana" w:cs="Arial"/>
          <w:lang w:val="es-ES"/>
        </w:rPr>
      </w:pPr>
    </w:p>
    <w:p w14:paraId="3AC0654B" w14:textId="35045D5F" w:rsidR="00FE55BD" w:rsidRPr="007C58C5" w:rsidRDefault="00FE55BD" w:rsidP="007C58C5">
      <w:pPr>
        <w:spacing w:after="0" w:line="276" w:lineRule="auto"/>
        <w:rPr>
          <w:rFonts w:ascii="Verdana" w:hAnsi="Verdana"/>
          <w:noProof/>
          <w:color w:val="EE0000"/>
          <w:highlight w:val="lightGray"/>
        </w:rPr>
      </w:pPr>
      <w:r w:rsidRPr="006F76C5">
        <w:rPr>
          <w:rFonts w:ascii="Verdana" w:eastAsia="Times New Roman" w:hAnsi="Verdana" w:cs="Arial"/>
          <w:lang w:val="es-ES" w:eastAsia="es-CO"/>
        </w:rPr>
        <w:t>Atentamente,</w:t>
      </w:r>
      <w:r w:rsidRPr="006F76C5">
        <w:rPr>
          <w:rFonts w:ascii="Verdana" w:hAnsi="Verdana" w:cs="Arial"/>
          <w:lang w:val="es-ES" w:eastAsia="es-CO"/>
        </w:rPr>
        <w:t xml:space="preserve"> </w:t>
      </w:r>
    </w:p>
    <w:p w14:paraId="23FBCD0E" w14:textId="5C704BC4" w:rsidR="004C0B72" w:rsidRPr="007C58C5" w:rsidRDefault="007C58C5" w:rsidP="007C58C5">
      <w:pPr>
        <w:spacing w:after="0" w:line="276" w:lineRule="auto"/>
        <w:jc w:val="center"/>
        <w:rPr>
          <w:rFonts w:ascii="Verdana" w:hAnsi="Verdana" w:cs="Arial"/>
          <w:color w:val="EE0000"/>
          <w:highlight w:val="lightGray"/>
          <w:lang w:val="es-ES" w:eastAsia="es-CO"/>
        </w:rPr>
      </w:pPr>
      <w:r w:rsidRPr="007C58C5">
        <w:rPr>
          <w:rFonts w:ascii="Verdana" w:hAnsi="Verdana" w:cs="Arial"/>
          <w:noProof/>
          <w:color w:val="EE0000"/>
          <w:lang w:val="es-ES" w:eastAsia="es-CO"/>
        </w:rPr>
        <w:drawing>
          <wp:inline distT="0" distB="0" distL="0" distR="0" wp14:anchorId="0A8E7091" wp14:editId="158119E2">
            <wp:extent cx="2686425" cy="1133633"/>
            <wp:effectExtent l="0" t="0" r="0" b="9525"/>
            <wp:docPr id="14762640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264074" name=""/>
                    <pic:cNvPicPr/>
                  </pic:nvPicPr>
                  <pic:blipFill>
                    <a:blip r:embed="rId14"/>
                    <a:stretch>
                      <a:fillRect/>
                    </a:stretch>
                  </pic:blipFill>
                  <pic:spPr>
                    <a:xfrm>
                      <a:off x="0" y="0"/>
                      <a:ext cx="2686425" cy="113363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E55BD" w:rsidRPr="00797350" w14:paraId="4C4AD119" w14:textId="77777777" w:rsidTr="00A35F0D">
        <w:trPr>
          <w:trHeight w:val="315"/>
        </w:trPr>
        <w:tc>
          <w:tcPr>
            <w:tcW w:w="893" w:type="dxa"/>
            <w:vAlign w:val="center"/>
            <w:hideMark/>
          </w:tcPr>
          <w:p w14:paraId="6FFF1E10" w14:textId="77777777" w:rsidR="00FE55BD" w:rsidRPr="00797350" w:rsidRDefault="00FE55BD" w:rsidP="00A35F0D">
            <w:pPr>
              <w:contextualSpacing/>
              <w:rPr>
                <w:rFonts w:ascii="Verdana" w:hAnsi="Verdana" w:cs="Arial"/>
                <w:sz w:val="16"/>
                <w:szCs w:val="16"/>
                <w:lang w:val="es-ES" w:eastAsia="es-ES"/>
              </w:rPr>
            </w:pPr>
            <w:r w:rsidRPr="0079735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9313D7B" w14:textId="77777777" w:rsidR="00FE55BD" w:rsidRPr="00797350" w:rsidRDefault="00FE55BD" w:rsidP="00A35F0D">
            <w:pPr>
              <w:rPr>
                <w:rFonts w:ascii="Verdana" w:eastAsia="Times New Roman" w:hAnsi="Verdana" w:cs="Arial"/>
                <w:sz w:val="16"/>
                <w:szCs w:val="16"/>
                <w:lang w:eastAsia="es-ES"/>
              </w:rPr>
            </w:pPr>
            <w:r w:rsidRPr="00797350">
              <w:rPr>
                <w:rFonts w:ascii="Verdana" w:eastAsia="Times New Roman" w:hAnsi="Verdana" w:cs="Arial"/>
                <w:sz w:val="16"/>
                <w:szCs w:val="16"/>
                <w:lang w:eastAsia="es-ES"/>
              </w:rPr>
              <w:t>Camila Alejandra Naranjo Gómez</w:t>
            </w:r>
          </w:p>
          <w:p w14:paraId="6110604A" w14:textId="77777777" w:rsidR="00FE55BD" w:rsidRPr="00797350" w:rsidRDefault="00FE55BD" w:rsidP="00A35F0D">
            <w:pPr>
              <w:contextualSpacing/>
              <w:rPr>
                <w:rFonts w:ascii="Verdana" w:eastAsia="Arial" w:hAnsi="Verdana" w:cs="Arial"/>
                <w:sz w:val="16"/>
                <w:szCs w:val="16"/>
                <w:lang w:val="es-ES"/>
              </w:rPr>
            </w:pPr>
            <w:r w:rsidRPr="00797350">
              <w:rPr>
                <w:rFonts w:ascii="Verdana" w:eastAsia="Times New Roman" w:hAnsi="Verdana" w:cs="Arial"/>
                <w:sz w:val="16"/>
                <w:szCs w:val="16"/>
                <w:lang w:eastAsia="es-ES"/>
              </w:rPr>
              <w:t>Analista T2-02 de la Subdirección de Gestión Contractual</w:t>
            </w:r>
          </w:p>
        </w:tc>
      </w:tr>
      <w:tr w:rsidR="00FE55BD" w:rsidRPr="00797350" w14:paraId="702D1964" w14:textId="77777777" w:rsidTr="00A35F0D">
        <w:trPr>
          <w:trHeight w:val="330"/>
        </w:trPr>
        <w:tc>
          <w:tcPr>
            <w:tcW w:w="893" w:type="dxa"/>
            <w:vAlign w:val="center"/>
            <w:hideMark/>
          </w:tcPr>
          <w:p w14:paraId="6D447A3B" w14:textId="77777777" w:rsidR="00FE55BD" w:rsidRPr="00797350" w:rsidRDefault="00FE55BD" w:rsidP="00A35F0D">
            <w:pPr>
              <w:contextualSpacing/>
              <w:rPr>
                <w:rFonts w:ascii="Verdana" w:hAnsi="Verdana" w:cs="Arial"/>
                <w:sz w:val="16"/>
                <w:szCs w:val="16"/>
                <w:lang w:val="es-ES" w:eastAsia="es-ES"/>
              </w:rPr>
            </w:pPr>
            <w:r w:rsidRPr="0079735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121494" w14:textId="77777777" w:rsidR="00FE55BD" w:rsidRPr="00797350" w:rsidRDefault="00FE55BD" w:rsidP="00A35F0D">
            <w:pPr>
              <w:rPr>
                <w:rFonts w:ascii="Verdana" w:eastAsia="Times New Roman" w:hAnsi="Verdana" w:cs="Arial"/>
                <w:sz w:val="16"/>
                <w:szCs w:val="16"/>
                <w:lang w:eastAsia="es-ES"/>
              </w:rPr>
            </w:pPr>
            <w:r w:rsidRPr="00797350">
              <w:rPr>
                <w:rFonts w:ascii="Verdana" w:eastAsia="Times New Roman" w:hAnsi="Verdana" w:cs="Arial"/>
                <w:sz w:val="16"/>
                <w:szCs w:val="16"/>
                <w:lang w:eastAsia="es-ES"/>
              </w:rPr>
              <w:t>Diana Lucia Saavedra Castañeda</w:t>
            </w:r>
          </w:p>
          <w:p w14:paraId="0BAC6861" w14:textId="77777777" w:rsidR="00FE55BD" w:rsidRPr="00797350" w:rsidRDefault="00FE55BD" w:rsidP="00A35F0D">
            <w:pPr>
              <w:pStyle w:val="paragraph"/>
              <w:spacing w:before="0" w:beforeAutospacing="0" w:after="0" w:afterAutospacing="0"/>
              <w:contextualSpacing/>
              <w:textAlignment w:val="baseline"/>
              <w:rPr>
                <w:rFonts w:ascii="Verdana" w:hAnsi="Verdana" w:cs="Segoe UI"/>
                <w:sz w:val="16"/>
                <w:szCs w:val="16"/>
                <w:lang w:val="es-ES"/>
              </w:rPr>
            </w:pPr>
            <w:r w:rsidRPr="00797350">
              <w:rPr>
                <w:rFonts w:ascii="Verdana" w:hAnsi="Verdana" w:cs="Arial"/>
                <w:sz w:val="16"/>
                <w:szCs w:val="16"/>
                <w:lang w:eastAsia="es-ES"/>
              </w:rPr>
              <w:t>Contratista de la Subdirección de Gestión Contractual</w:t>
            </w:r>
          </w:p>
        </w:tc>
      </w:tr>
      <w:tr w:rsidR="00FE55BD" w:rsidRPr="009F79FE" w14:paraId="6E4FCEB9" w14:textId="77777777" w:rsidTr="00A35F0D">
        <w:trPr>
          <w:trHeight w:val="300"/>
        </w:trPr>
        <w:tc>
          <w:tcPr>
            <w:tcW w:w="893" w:type="dxa"/>
            <w:vAlign w:val="center"/>
          </w:tcPr>
          <w:p w14:paraId="0D340E76" w14:textId="77777777" w:rsidR="00FE55BD" w:rsidRPr="00797350" w:rsidRDefault="00FE55BD" w:rsidP="00A35F0D">
            <w:pPr>
              <w:contextualSpacing/>
              <w:rPr>
                <w:rFonts w:ascii="Verdana" w:hAnsi="Verdana" w:cs="Arial"/>
                <w:sz w:val="16"/>
                <w:szCs w:val="16"/>
                <w:lang w:val="es-ES" w:eastAsia="es-ES"/>
              </w:rPr>
            </w:pPr>
            <w:r w:rsidRPr="0079735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11B8588" w14:textId="77777777" w:rsidR="00FE55BD" w:rsidRPr="00797350" w:rsidRDefault="00FE55BD" w:rsidP="00A35F0D">
            <w:pPr>
              <w:contextualSpacing/>
              <w:rPr>
                <w:rFonts w:ascii="Verdana" w:eastAsia="Calibri" w:hAnsi="Verdana" w:cs="Arial"/>
                <w:sz w:val="16"/>
                <w:szCs w:val="16"/>
                <w:lang w:val="es-ES" w:eastAsia="es-ES"/>
              </w:rPr>
            </w:pPr>
            <w:r w:rsidRPr="00797350">
              <w:rPr>
                <w:rFonts w:ascii="Verdana" w:eastAsia="Calibri" w:hAnsi="Verdana" w:cs="Arial"/>
                <w:sz w:val="16"/>
                <w:szCs w:val="16"/>
                <w:lang w:val="es-ES" w:eastAsia="es-ES"/>
              </w:rPr>
              <w:t>Carolina Quintero Gacharná</w:t>
            </w:r>
          </w:p>
          <w:p w14:paraId="37DE82E1" w14:textId="77777777" w:rsidR="00FE55BD" w:rsidRPr="00797350" w:rsidRDefault="00FE55BD" w:rsidP="00A35F0D">
            <w:pPr>
              <w:contextualSpacing/>
              <w:rPr>
                <w:rFonts w:ascii="Verdana" w:eastAsia="Calibri" w:hAnsi="Verdana" w:cs="Arial"/>
                <w:sz w:val="16"/>
                <w:szCs w:val="16"/>
                <w:lang w:val="es-ES" w:eastAsia="es-ES"/>
              </w:rPr>
            </w:pPr>
            <w:r w:rsidRPr="00797350">
              <w:rPr>
                <w:rFonts w:ascii="Verdana" w:eastAsia="Calibri" w:hAnsi="Verdana" w:cs="Arial"/>
                <w:sz w:val="16"/>
                <w:szCs w:val="16"/>
                <w:lang w:val="es-ES" w:eastAsia="es-ES"/>
              </w:rPr>
              <w:t>Subdirectora de Gestión Contractual ANCP – CCE</w:t>
            </w:r>
          </w:p>
        </w:tc>
      </w:tr>
      <w:bookmarkEnd w:id="0"/>
    </w:tbl>
    <w:p w14:paraId="0F293BF4" w14:textId="0B06A019" w:rsidR="00127233" w:rsidRPr="00FE55BD" w:rsidRDefault="00127233" w:rsidP="00FE55BD"/>
    <w:sectPr w:rsidR="00127233" w:rsidRPr="00FE55BD" w:rsidSect="0003707A">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61C14" w14:textId="77777777" w:rsidR="004E5736" w:rsidRDefault="004E5736" w:rsidP="004A1847">
      <w:pPr>
        <w:spacing w:after="0" w:line="240" w:lineRule="auto"/>
      </w:pPr>
      <w:r>
        <w:separator/>
      </w:r>
    </w:p>
  </w:endnote>
  <w:endnote w:type="continuationSeparator" w:id="0">
    <w:p w14:paraId="2F0E4AFD" w14:textId="77777777" w:rsidR="004E5736" w:rsidRDefault="004E573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86F3F" w14:textId="77777777" w:rsidR="004E5736" w:rsidRDefault="004E5736" w:rsidP="004A1847">
      <w:pPr>
        <w:spacing w:after="0" w:line="240" w:lineRule="auto"/>
      </w:pPr>
      <w:r>
        <w:separator/>
      </w:r>
    </w:p>
  </w:footnote>
  <w:footnote w:type="continuationSeparator" w:id="0">
    <w:p w14:paraId="64BF31A2" w14:textId="77777777" w:rsidR="004E5736" w:rsidRDefault="004E5736" w:rsidP="004A1847">
      <w:pPr>
        <w:spacing w:after="0" w:line="240" w:lineRule="auto"/>
      </w:pPr>
      <w:r>
        <w:continuationSeparator/>
      </w:r>
    </w:p>
  </w:footnote>
  <w:footnote w:id="1">
    <w:p w14:paraId="2C865891" w14:textId="77777777" w:rsidR="007B28A2" w:rsidRPr="00064773" w:rsidRDefault="007B28A2" w:rsidP="00064773">
      <w:pPr>
        <w:pStyle w:val="Textonotapie"/>
        <w:ind w:firstLine="709"/>
        <w:jc w:val="both"/>
        <w:rPr>
          <w:rFonts w:ascii="Verdana" w:hAnsi="Verdana" w:cs="Arial"/>
          <w:sz w:val="16"/>
          <w:szCs w:val="16"/>
        </w:rPr>
      </w:pPr>
      <w:r w:rsidRPr="00064773">
        <w:rPr>
          <w:rStyle w:val="Refdenotaalpie"/>
          <w:rFonts w:ascii="Verdana" w:hAnsi="Verdana" w:cs="Arial"/>
          <w:sz w:val="16"/>
          <w:szCs w:val="16"/>
        </w:rPr>
        <w:footnoteRef/>
      </w:r>
      <w:r w:rsidRPr="00064773">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39007C8F" w14:textId="77777777" w:rsidR="007B28A2" w:rsidRPr="00064773" w:rsidRDefault="007B28A2">
      <w:pPr>
        <w:pStyle w:val="Textonotapie"/>
        <w:ind w:firstLine="709"/>
        <w:jc w:val="both"/>
        <w:rPr>
          <w:rFonts w:ascii="Verdana" w:hAnsi="Verdana" w:cs="Arial"/>
          <w:sz w:val="16"/>
          <w:szCs w:val="16"/>
          <w:lang w:val="es-ES_tradnl"/>
        </w:rPr>
      </w:pPr>
    </w:p>
  </w:footnote>
  <w:footnote w:id="2">
    <w:p w14:paraId="1A48FE02" w14:textId="6847771A" w:rsidR="00FE55BD" w:rsidRPr="00064773" w:rsidRDefault="00FE55BD">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14:paraId="18B11543" w14:textId="77777777" w:rsidR="00064773" w:rsidRPr="00064773" w:rsidRDefault="00064773">
      <w:pPr>
        <w:pStyle w:val="Textonotapie"/>
        <w:ind w:firstLine="709"/>
        <w:jc w:val="both"/>
        <w:rPr>
          <w:rFonts w:ascii="Verdana" w:hAnsi="Verdana" w:cs="Arial"/>
          <w:color w:val="000000"/>
          <w:sz w:val="16"/>
          <w:szCs w:val="16"/>
          <w:lang w:val="es-ES"/>
        </w:rPr>
      </w:pPr>
    </w:p>
  </w:footnote>
  <w:footnote w:id="3">
    <w:p w14:paraId="7D456405" w14:textId="77777777" w:rsidR="00FE55BD" w:rsidRPr="00064773" w:rsidRDefault="00FE55BD">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6A1B1717"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2C51B030"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El Gobierno nacional reglamentará el mecanismo para realizar la mensualización de que trata el presente artículo.</w:t>
      </w:r>
    </w:p>
    <w:p w14:paraId="54E0EB51" w14:textId="6EA6F005"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1552E023" w14:textId="77777777" w:rsidR="00064773" w:rsidRPr="00064773" w:rsidRDefault="00064773">
      <w:pPr>
        <w:pStyle w:val="Textonotapie"/>
        <w:ind w:firstLine="709"/>
        <w:jc w:val="both"/>
        <w:rPr>
          <w:rFonts w:ascii="Verdana" w:hAnsi="Verdana" w:cs="Arial"/>
          <w:color w:val="000000"/>
          <w:sz w:val="16"/>
          <w:szCs w:val="16"/>
          <w:lang w:val="es-ES"/>
        </w:rPr>
      </w:pPr>
    </w:p>
  </w:footnote>
  <w:footnote w:id="4">
    <w:p w14:paraId="53B06003" w14:textId="276D5CFB" w:rsidR="00FE55BD" w:rsidRPr="00064773" w:rsidRDefault="00FE55BD">
      <w:pPr>
        <w:pStyle w:val="Textonotapie"/>
        <w:ind w:firstLine="708"/>
        <w:rPr>
          <w:rFonts w:ascii="Verdana" w:hAnsi="Verdana" w:cs="Arial"/>
          <w:color w:val="000000"/>
          <w:sz w:val="16"/>
          <w:szCs w:val="16"/>
          <w:lang w:val="pt-BR"/>
        </w:rPr>
      </w:pPr>
      <w:r w:rsidRPr="00064773">
        <w:rPr>
          <w:rStyle w:val="Refdenotaalpie"/>
          <w:rFonts w:ascii="Verdana" w:hAnsi="Verdana"/>
          <w:sz w:val="16"/>
          <w:szCs w:val="16"/>
        </w:rPr>
        <w:footnoteRef/>
      </w:r>
      <w:r w:rsidRPr="00064773">
        <w:rPr>
          <w:rFonts w:ascii="Verdana" w:hAnsi="Verdana"/>
          <w:sz w:val="16"/>
          <w:szCs w:val="16"/>
          <w:lang w:val="pt-BR"/>
        </w:rPr>
        <w:t xml:space="preserve"> </w:t>
      </w:r>
      <w:r w:rsidRPr="00064773">
        <w:rPr>
          <w:rFonts w:ascii="Verdana" w:hAnsi="Verdana" w:cs="Arial"/>
          <w:color w:val="000000"/>
          <w:sz w:val="16"/>
          <w:szCs w:val="16"/>
          <w:lang w:val="pt-BR"/>
        </w:rPr>
        <w:t>Corte Constitucional. Sentencia C-154 de 1997. M.P. Hernando Herrera Vergara.</w:t>
      </w:r>
    </w:p>
    <w:p w14:paraId="2994E0DA" w14:textId="77777777" w:rsidR="00064773" w:rsidRPr="00064773" w:rsidRDefault="00064773">
      <w:pPr>
        <w:pStyle w:val="Textonotapie"/>
        <w:ind w:firstLine="708"/>
        <w:rPr>
          <w:rFonts w:ascii="Verdana" w:hAnsi="Verdana"/>
          <w:sz w:val="16"/>
          <w:szCs w:val="16"/>
          <w:lang w:val="pt-BR"/>
        </w:rPr>
      </w:pPr>
    </w:p>
  </w:footnote>
  <w:footnote w:id="5">
    <w:p w14:paraId="306027E9" w14:textId="4F82D29A" w:rsidR="00FE55BD" w:rsidRPr="00064773" w:rsidRDefault="00FE55BD" w:rsidP="004C0B72">
      <w:pPr>
        <w:spacing w:after="0" w:line="240" w:lineRule="auto"/>
        <w:ind w:firstLine="708"/>
        <w:jc w:val="both"/>
        <w:rPr>
          <w:rFonts w:ascii="Verdana" w:eastAsia="Arial Nova" w:hAnsi="Verdana" w:cs="Arial"/>
          <w:sz w:val="16"/>
          <w:szCs w:val="16"/>
          <w:lang w:val="pt-BR"/>
        </w:rPr>
      </w:pPr>
      <w:r w:rsidRPr="00064773">
        <w:rPr>
          <w:rStyle w:val="Refdenotaalpie"/>
          <w:rFonts w:ascii="Verdana" w:hAnsi="Verdana" w:cs="Arial"/>
          <w:sz w:val="16"/>
          <w:szCs w:val="16"/>
        </w:rPr>
        <w:footnoteRef/>
      </w:r>
      <w:r w:rsidRPr="00064773">
        <w:rPr>
          <w:rFonts w:ascii="Verdana" w:hAnsi="Verdana" w:cs="Arial"/>
          <w:sz w:val="16"/>
          <w:szCs w:val="16"/>
          <w:lang w:val="pt-BR"/>
        </w:rPr>
        <w:t xml:space="preserve"> </w:t>
      </w:r>
      <w:r w:rsidRPr="00064773">
        <w:rPr>
          <w:rFonts w:ascii="Verdana" w:eastAsia="Arial Nova" w:hAnsi="Verdana" w:cs="Arial"/>
          <w:sz w:val="16"/>
          <w:szCs w:val="16"/>
          <w:lang w:val="pt-BR"/>
        </w:rPr>
        <w:t>Corte Constitucional. Sentencia C-614 de 2009. M.P. Jorge Ignacio Pretelt Chaljub.</w:t>
      </w:r>
    </w:p>
    <w:p w14:paraId="68D63BC1" w14:textId="77777777" w:rsidR="00064773" w:rsidRPr="00064773" w:rsidDel="00A37FEF" w:rsidRDefault="00064773" w:rsidP="004C0B72">
      <w:pPr>
        <w:spacing w:after="0" w:line="240" w:lineRule="auto"/>
        <w:ind w:firstLine="708"/>
        <w:jc w:val="both"/>
        <w:rPr>
          <w:rFonts w:ascii="Verdana" w:eastAsia="Arial Nova" w:hAnsi="Verdana" w:cs="Arial"/>
          <w:sz w:val="16"/>
          <w:szCs w:val="16"/>
          <w:lang w:val="pt-BR"/>
        </w:rPr>
      </w:pPr>
    </w:p>
  </w:footnote>
  <w:footnote w:id="6">
    <w:p w14:paraId="2BBEC28D" w14:textId="77777777" w:rsidR="0003707A" w:rsidRPr="00064773" w:rsidRDefault="0003707A" w:rsidP="00064773">
      <w:pPr>
        <w:pStyle w:val="Textonotapie"/>
        <w:ind w:firstLine="709"/>
        <w:jc w:val="both"/>
        <w:rPr>
          <w:rFonts w:ascii="Verdana" w:hAnsi="Verdana" w:cs="Arial"/>
          <w:color w:val="000000" w:themeColor="text1"/>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themeColor="text1"/>
          <w:sz w:val="16"/>
          <w:szCs w:val="16"/>
          <w:lang w:val="es-ES"/>
        </w:rPr>
        <w:t xml:space="preserve">Consejo de Estado. Sección Segunda. Sentencia de Unificación Jurisprudencial </w:t>
      </w:r>
      <w:r w:rsidRPr="00064773">
        <w:rPr>
          <w:rFonts w:ascii="Verdana" w:hAnsi="Verdana" w:cs="Arial"/>
          <w:color w:val="000000" w:themeColor="text1"/>
          <w:sz w:val="16"/>
          <w:szCs w:val="16"/>
          <w:lang w:val="es-CO"/>
        </w:rPr>
        <w:t>SUJ-025-CE-S2-2021.</w:t>
      </w:r>
      <w:r w:rsidRPr="00064773">
        <w:rPr>
          <w:rFonts w:ascii="Verdana" w:hAnsi="Verdana" w:cs="Arial"/>
          <w:color w:val="000000" w:themeColor="text1"/>
          <w:sz w:val="16"/>
          <w:szCs w:val="16"/>
          <w:lang w:val="es-ES"/>
        </w:rPr>
        <w:t xml:space="preserve"> Radicado (1317-2016). El numeral primero de la parte resolutiva de la sentencia señala lo siguiente:</w:t>
      </w:r>
      <w:r w:rsidRPr="00064773">
        <w:rPr>
          <w:rFonts w:ascii="Verdana" w:eastAsia="Times New Roman" w:hAnsi="Verdana" w:cs="Times New Roman"/>
          <w:sz w:val="16"/>
          <w:szCs w:val="16"/>
          <w:lang w:val="es-CO" w:eastAsia="es-ES_tradnl"/>
        </w:rPr>
        <w:t xml:space="preserve"> </w:t>
      </w:r>
      <w:r w:rsidRPr="00064773">
        <w:rPr>
          <w:rFonts w:ascii="Verdana" w:hAnsi="Verdana" w:cs="Arial"/>
          <w:noProof/>
          <w:sz w:val="16"/>
          <w:szCs w:val="16"/>
          <w:lang w:val="es-ES_tradnl"/>
        </w:rPr>
        <w:t>“</w:t>
      </w:r>
      <w:r w:rsidRPr="00064773">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503A706A" w14:textId="77777777" w:rsidR="0003707A" w:rsidRPr="00064773" w:rsidRDefault="0003707A">
      <w:pPr>
        <w:pStyle w:val="Textonotapie"/>
        <w:ind w:firstLine="709"/>
        <w:jc w:val="both"/>
        <w:rPr>
          <w:rFonts w:ascii="Verdana" w:hAnsi="Verdana" w:cs="Arial"/>
          <w:color w:val="000000" w:themeColor="text1"/>
          <w:sz w:val="16"/>
          <w:szCs w:val="16"/>
          <w:lang w:val="es-CO"/>
        </w:rPr>
      </w:pPr>
      <w:r w:rsidRPr="00064773">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6CF78080" w14:textId="77777777" w:rsidR="0003707A" w:rsidRPr="00064773" w:rsidRDefault="0003707A">
      <w:pPr>
        <w:pStyle w:val="Textonotapie"/>
        <w:ind w:firstLine="709"/>
        <w:jc w:val="both"/>
        <w:rPr>
          <w:rFonts w:ascii="Verdana" w:hAnsi="Verdana" w:cs="Arial"/>
          <w:color w:val="000000" w:themeColor="text1"/>
          <w:sz w:val="16"/>
          <w:szCs w:val="16"/>
          <w:lang w:val="es-CO"/>
        </w:rPr>
      </w:pPr>
      <w:r w:rsidRPr="00064773">
        <w:rPr>
          <w:rFonts w:ascii="Verdana" w:hAnsi="Verdana" w:cs="Arial"/>
          <w:color w:val="000000" w:themeColor="text1"/>
          <w:sz w:val="16"/>
          <w:szCs w:val="16"/>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6E09A136" w14:textId="77777777" w:rsidR="0003707A" w:rsidRPr="00064773" w:rsidRDefault="0003707A">
      <w:pPr>
        <w:pStyle w:val="Textonotapie"/>
        <w:ind w:firstLine="709"/>
        <w:jc w:val="both"/>
        <w:rPr>
          <w:rFonts w:ascii="Verdana" w:hAnsi="Verdana" w:cs="Arial"/>
          <w:sz w:val="16"/>
          <w:szCs w:val="16"/>
          <w:lang w:val="pt-BR"/>
        </w:rPr>
      </w:pPr>
      <w:r w:rsidRPr="00064773">
        <w:rPr>
          <w:rFonts w:ascii="Verdana" w:hAnsi="Verdana" w:cs="Arial"/>
          <w:color w:val="000000" w:themeColor="text1"/>
          <w:sz w:val="16"/>
          <w:szCs w:val="16"/>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064773">
        <w:rPr>
          <w:rFonts w:ascii="Verdana" w:hAnsi="Verdana" w:cs="Arial"/>
          <w:sz w:val="16"/>
          <w:szCs w:val="16"/>
          <w:lang w:val="pt-BR"/>
        </w:rPr>
        <w:t>”.</w:t>
      </w:r>
    </w:p>
    <w:p w14:paraId="027A986C" w14:textId="77777777" w:rsidR="0003707A" w:rsidRPr="00064773" w:rsidRDefault="0003707A">
      <w:pPr>
        <w:pStyle w:val="Textonotapie"/>
        <w:ind w:firstLine="709"/>
        <w:jc w:val="both"/>
        <w:rPr>
          <w:rFonts w:ascii="Verdana" w:hAnsi="Verdana"/>
          <w:sz w:val="16"/>
          <w:szCs w:val="16"/>
          <w:lang w:val="es-CO"/>
        </w:rPr>
      </w:pPr>
    </w:p>
  </w:footnote>
  <w:footnote w:id="7">
    <w:p w14:paraId="343607D4" w14:textId="77777777" w:rsidR="0003707A" w:rsidRPr="00064773" w:rsidRDefault="0003707A">
      <w:pPr>
        <w:pStyle w:val="Textonotapie"/>
        <w:ind w:firstLine="709"/>
        <w:jc w:val="both"/>
        <w:rPr>
          <w:rFonts w:ascii="Verdana" w:hAnsi="Verdana" w:cs="Arial"/>
          <w:sz w:val="16"/>
          <w:szCs w:val="16"/>
        </w:rPr>
      </w:pPr>
      <w:r w:rsidRPr="00064773">
        <w:rPr>
          <w:rStyle w:val="Refdenotaalpie"/>
          <w:rFonts w:ascii="Verdana" w:hAnsi="Verdana" w:cs="Arial"/>
          <w:sz w:val="16"/>
          <w:szCs w:val="16"/>
        </w:rPr>
        <w:footnoteRef/>
      </w:r>
      <w:r w:rsidRPr="00064773">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064773">
        <w:rPr>
          <w:rFonts w:ascii="Verdana" w:hAnsi="Verdana" w:cs="Arial"/>
          <w:b/>
          <w:bCs/>
          <w:sz w:val="16"/>
          <w:szCs w:val="16"/>
        </w:rPr>
        <w:t>solo para efectos de la prescripción de derechos laborales</w:t>
      </w:r>
      <w:r w:rsidRPr="00064773">
        <w:rPr>
          <w:rFonts w:ascii="Verdana" w:hAnsi="Verdana" w:cs="Arial"/>
          <w:sz w:val="16"/>
          <w:szCs w:val="16"/>
        </w:rPr>
        <w:t>” (Énfasis dentro del texto).</w:t>
      </w:r>
    </w:p>
    <w:p w14:paraId="17D72A62" w14:textId="77777777" w:rsidR="0003707A" w:rsidRPr="00064773" w:rsidRDefault="0003707A">
      <w:pPr>
        <w:pStyle w:val="Textonotapie"/>
        <w:ind w:firstLine="709"/>
        <w:jc w:val="both"/>
        <w:rPr>
          <w:rFonts w:ascii="Verdana" w:hAnsi="Verdana"/>
          <w:sz w:val="16"/>
          <w:szCs w:val="16"/>
        </w:rPr>
      </w:pPr>
    </w:p>
  </w:footnote>
  <w:footnote w:id="8">
    <w:p w14:paraId="73E7E0CB" w14:textId="7DBF44D5" w:rsidR="00FE55BD" w:rsidRPr="00064773" w:rsidRDefault="00FE55BD">
      <w:pPr>
        <w:pStyle w:val="Textonotapie"/>
        <w:ind w:firstLine="708"/>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Corte Constitucional. Sentencia C-154 de 1997. Magistrado Ponente: Hernando Herrera Vergara.</w:t>
      </w:r>
    </w:p>
    <w:p w14:paraId="2DC0AAE6" w14:textId="77777777" w:rsidR="00064773" w:rsidRPr="00064773" w:rsidRDefault="00064773">
      <w:pPr>
        <w:pStyle w:val="Textonotapie"/>
        <w:ind w:firstLine="708"/>
        <w:rPr>
          <w:rFonts w:ascii="Verdana" w:hAnsi="Verdana" w:cs="Arial"/>
          <w:color w:val="000000"/>
          <w:sz w:val="16"/>
          <w:szCs w:val="16"/>
          <w:lang w:val="es-ES"/>
        </w:rPr>
      </w:pPr>
    </w:p>
  </w:footnote>
  <w:footnote w:id="9">
    <w:p w14:paraId="21A7D312" w14:textId="77777777" w:rsidR="00FE55BD" w:rsidRPr="00064773" w:rsidRDefault="00FE55BD" w:rsidP="004C0B72">
      <w:pPr>
        <w:pStyle w:val="Textonotapie"/>
        <w:ind w:firstLine="709"/>
        <w:jc w:val="both"/>
        <w:rPr>
          <w:rFonts w:ascii="Verdana" w:hAnsi="Verdana" w:cs="Arial"/>
          <w:color w:val="000000"/>
          <w:sz w:val="16"/>
          <w:szCs w:val="16"/>
          <w:lang w:val="es-ES"/>
        </w:rPr>
      </w:pPr>
      <w:r w:rsidRPr="00064773">
        <w:rPr>
          <w:rStyle w:val="Refdenotaalpie"/>
          <w:rFonts w:ascii="Verdana" w:hAnsi="Verdana" w:cs="Arial"/>
          <w:color w:val="000000"/>
          <w:sz w:val="16"/>
          <w:szCs w:val="16"/>
        </w:rPr>
        <w:footnoteRef/>
      </w:r>
      <w:r w:rsidRPr="00064773">
        <w:rPr>
          <w:rFonts w:ascii="Verdana" w:hAnsi="Verdana" w:cs="Arial"/>
          <w:color w:val="000000"/>
          <w:sz w:val="16"/>
          <w:szCs w:val="16"/>
        </w:rPr>
        <w:t xml:space="preserve"> </w:t>
      </w:r>
      <w:r w:rsidRPr="00064773">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3E590ED0" w14:textId="5368F56C" w:rsidR="00FE55BD" w:rsidRPr="00064773" w:rsidRDefault="00FE55BD" w:rsidP="004C0B72">
      <w:pPr>
        <w:pStyle w:val="Textonotapie"/>
        <w:ind w:firstLine="709"/>
        <w:jc w:val="both"/>
        <w:rPr>
          <w:rFonts w:ascii="Verdana" w:hAnsi="Verdana" w:cs="Arial"/>
          <w:color w:val="000000" w:themeColor="text1"/>
          <w:sz w:val="16"/>
          <w:szCs w:val="16"/>
          <w:lang w:val="es-ES"/>
        </w:rPr>
      </w:pPr>
      <w:r w:rsidRPr="00064773">
        <w:rPr>
          <w:rFonts w:ascii="Verdana" w:hAnsi="Verdana" w:cs="Arial"/>
          <w:color w:val="000000"/>
          <w:sz w:val="16"/>
          <w:szCs w:val="16"/>
          <w:lang w:val="es-ES"/>
        </w:rPr>
        <w:t xml:space="preserve"> En este caso, no es necesario que la Entidad Estatal haya obtenido previamente varias ofertas, de lo cual el ordenador del gasto debe dejar constancia escrita. </w:t>
      </w:r>
      <w:r w:rsidRPr="00064773">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064773">
        <w:rPr>
          <w:rFonts w:ascii="Verdana" w:hAnsi="Verdana" w:cs="Arial"/>
          <w:color w:val="000000"/>
          <w:sz w:val="16"/>
          <w:szCs w:val="16"/>
          <w:lang w:val="es-ES"/>
        </w:rPr>
        <w:t xml:space="preserve"> </w:t>
      </w:r>
      <w:r w:rsidRPr="00064773">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7C9C0F17" w14:textId="77777777" w:rsidR="00064773" w:rsidRPr="00064773" w:rsidRDefault="00064773" w:rsidP="004C0B72">
      <w:pPr>
        <w:pStyle w:val="Textonotapie"/>
        <w:ind w:firstLine="709"/>
        <w:jc w:val="both"/>
        <w:rPr>
          <w:rFonts w:ascii="Verdana" w:hAnsi="Verdana" w:cs="Arial"/>
          <w:color w:val="000000"/>
          <w:sz w:val="16"/>
          <w:szCs w:val="16"/>
          <w:lang w:val="es-ES"/>
        </w:rPr>
      </w:pPr>
    </w:p>
  </w:footnote>
  <w:footnote w:id="10">
    <w:p w14:paraId="799A2105" w14:textId="09FBE3EA" w:rsidR="00FE55BD" w:rsidRPr="00064773" w:rsidRDefault="00FE55BD" w:rsidP="004C0B72">
      <w:pPr>
        <w:pStyle w:val="Textonotapie"/>
        <w:ind w:firstLine="709"/>
        <w:jc w:val="both"/>
        <w:rPr>
          <w:rFonts w:ascii="Verdana" w:hAnsi="Verdana" w:cs="Arial"/>
          <w:color w:val="000000"/>
          <w:sz w:val="16"/>
          <w:szCs w:val="16"/>
          <w:lang w:val="es-ES"/>
        </w:rPr>
      </w:pPr>
      <w:r w:rsidRPr="00064773">
        <w:rPr>
          <w:rStyle w:val="Refdenotaalpie"/>
          <w:rFonts w:ascii="Verdana" w:hAnsi="Verdana" w:cs="Arial"/>
          <w:color w:val="000000"/>
          <w:sz w:val="16"/>
          <w:szCs w:val="16"/>
        </w:rPr>
        <w:footnoteRef/>
      </w:r>
      <w:r w:rsidRPr="00064773">
        <w:rPr>
          <w:rFonts w:ascii="Verdana" w:hAnsi="Verdana" w:cs="Arial"/>
          <w:color w:val="000000"/>
          <w:sz w:val="16"/>
          <w:szCs w:val="16"/>
        </w:rPr>
        <w:t xml:space="preserve"> </w:t>
      </w:r>
      <w:r w:rsidRPr="00064773">
        <w:rPr>
          <w:rFonts w:ascii="Verdana" w:hAnsi="Verdana" w:cs="Arial"/>
          <w:color w:val="000000"/>
          <w:sz w:val="16"/>
          <w:szCs w:val="16"/>
          <w:lang w:val="es-ES"/>
        </w:rPr>
        <w:t>Consejo de Estado. Sección Tercera. Subsección C. Sentencia del 2 de diciembre de 2013. Exp. 41719. C.P. Jaime Orlando Santofimio Gamboa.</w:t>
      </w:r>
    </w:p>
    <w:p w14:paraId="1F63338B" w14:textId="77777777" w:rsidR="00064773" w:rsidRPr="00064773" w:rsidDel="00A37FEF" w:rsidRDefault="00064773" w:rsidP="004C0B72">
      <w:pPr>
        <w:pStyle w:val="Textonotapie"/>
        <w:ind w:firstLine="709"/>
        <w:jc w:val="both"/>
        <w:rPr>
          <w:rFonts w:ascii="Verdana" w:hAnsi="Verdana" w:cs="Arial"/>
          <w:color w:val="000000"/>
          <w:sz w:val="16"/>
          <w:szCs w:val="16"/>
          <w:lang w:val="es-ES"/>
        </w:rPr>
      </w:pPr>
    </w:p>
  </w:footnote>
  <w:footnote w:id="11">
    <w:p w14:paraId="28F1A664" w14:textId="77777777" w:rsidR="00FE55BD" w:rsidRPr="00064773" w:rsidRDefault="00FE55BD" w:rsidP="0006477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Ibid.-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989219E"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7CDB9BB0" w14:textId="3BBD236E"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6204F4D2" w14:textId="77777777" w:rsidR="00064773" w:rsidRPr="00064773" w:rsidRDefault="00064773">
      <w:pPr>
        <w:pStyle w:val="Textonotapie"/>
        <w:ind w:firstLine="709"/>
        <w:jc w:val="both"/>
        <w:rPr>
          <w:rFonts w:ascii="Verdana" w:hAnsi="Verdana" w:cs="Arial"/>
          <w:color w:val="000000"/>
          <w:sz w:val="16"/>
          <w:szCs w:val="16"/>
          <w:lang w:val="es-ES"/>
        </w:rPr>
      </w:pPr>
    </w:p>
  </w:footnote>
  <w:footnote w:id="12">
    <w:p w14:paraId="0FF0A15B" w14:textId="77777777" w:rsidR="00FE55BD" w:rsidRPr="00064773" w:rsidRDefault="00FE55BD">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1D6AE1A0"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1. La causal que invoca para contratar directamente.</w:t>
      </w:r>
    </w:p>
    <w:p w14:paraId="285E6821"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2. El objeto del contrato.</w:t>
      </w:r>
    </w:p>
    <w:p w14:paraId="48CD8BE2"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3. El presupuesto para la contratación y las condiciones que exigirá al contratista.</w:t>
      </w:r>
    </w:p>
    <w:p w14:paraId="107C4B66"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4. El lugar en el cual los interesados pueden consultar los estudios y documentos previos.</w:t>
      </w:r>
    </w:p>
    <w:p w14:paraId="0B6549EC" w14:textId="73310F8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3C2D95D2" w14:textId="77777777" w:rsidR="00064773" w:rsidRPr="00064773" w:rsidRDefault="00064773">
      <w:pPr>
        <w:pStyle w:val="Textonotapie"/>
        <w:ind w:firstLine="709"/>
        <w:jc w:val="both"/>
        <w:rPr>
          <w:rFonts w:ascii="Verdana" w:hAnsi="Verdana" w:cs="Arial"/>
          <w:color w:val="000000"/>
          <w:sz w:val="16"/>
          <w:szCs w:val="16"/>
          <w:lang w:val="es-ES"/>
        </w:rPr>
      </w:pPr>
    </w:p>
  </w:footnote>
  <w:footnote w:id="13">
    <w:p w14:paraId="47D1893F" w14:textId="77777777" w:rsidR="00FE55BD" w:rsidRPr="00064773" w:rsidRDefault="00FE55BD">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Esta norma expresa: “</w:t>
      </w:r>
      <w:r w:rsidRPr="00064773">
        <w:rPr>
          <w:rFonts w:ascii="Verdana" w:hAnsi="Verdana" w:cs="Arial"/>
          <w:color w:val="000000"/>
          <w:sz w:val="16"/>
          <w:szCs w:val="16"/>
        </w:rPr>
        <w:t>P</w:t>
      </w:r>
      <w:r w:rsidRPr="00064773">
        <w:rPr>
          <w:rFonts w:ascii="Verdana" w:hAnsi="Verdana" w:cs="Arial"/>
          <w:color w:val="000000"/>
          <w:sz w:val="16"/>
          <w:szCs w:val="16"/>
          <w:lang w:val="es-ES"/>
        </w:rPr>
        <w:t>ara el cumplimiento de los fines de la contratación, las entidades estatales al celebrar un contrato:</w:t>
      </w:r>
    </w:p>
    <w:p w14:paraId="4C8B1DA9"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0FFDCC31"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168F2794" w14:textId="77777777"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Las entidades estatales podrán pactar estas cláusulas en los contratos de suministro y de prestación de servicios.</w:t>
      </w:r>
    </w:p>
    <w:p w14:paraId="0CEE1FF3" w14:textId="3BD962CB" w:rsidR="00FE55BD" w:rsidRPr="00064773" w:rsidRDefault="00FE55BD">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1DAFE6DB" w14:textId="77777777" w:rsidR="00064773" w:rsidRPr="00064773" w:rsidRDefault="00064773">
      <w:pPr>
        <w:pStyle w:val="Textonotapie"/>
        <w:ind w:firstLine="709"/>
        <w:jc w:val="both"/>
        <w:rPr>
          <w:rFonts w:ascii="Verdana" w:hAnsi="Verdana" w:cs="Arial"/>
          <w:color w:val="000000"/>
          <w:sz w:val="16"/>
          <w:szCs w:val="16"/>
          <w:lang w:val="es-ES"/>
        </w:rPr>
      </w:pPr>
    </w:p>
  </w:footnote>
  <w:footnote w:id="14">
    <w:p w14:paraId="264C762F" w14:textId="003822A0" w:rsidR="00FE55BD" w:rsidRPr="00064773" w:rsidRDefault="00FE55BD">
      <w:pPr>
        <w:pStyle w:val="Textonotapie"/>
        <w:ind w:firstLine="708"/>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0494F70C" w14:textId="77777777" w:rsidR="00064773" w:rsidRPr="00064773" w:rsidRDefault="00064773">
      <w:pPr>
        <w:pStyle w:val="Textonotapie"/>
        <w:ind w:firstLine="708"/>
        <w:rPr>
          <w:rFonts w:ascii="Verdana" w:hAnsi="Verdana" w:cs="Arial"/>
          <w:color w:val="000000"/>
          <w:sz w:val="16"/>
          <w:szCs w:val="16"/>
          <w:lang w:val="es-ES"/>
        </w:rPr>
      </w:pPr>
    </w:p>
  </w:footnote>
  <w:footnote w:id="15">
    <w:p w14:paraId="5E5EB8CC" w14:textId="77777777" w:rsidR="00FE55BD" w:rsidRPr="00064773" w:rsidRDefault="00FE55BD">
      <w:pPr>
        <w:pStyle w:val="Textonotapie"/>
        <w:ind w:firstLine="709"/>
        <w:jc w:val="both"/>
        <w:rPr>
          <w:rFonts w:ascii="Verdana" w:hAnsi="Verdana" w:cs="Arial"/>
          <w:color w:val="000000"/>
          <w:sz w:val="16"/>
          <w:szCs w:val="16"/>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2E44E23" w14:textId="77777777" w:rsidR="00FE55BD" w:rsidRPr="00064773" w:rsidRDefault="00FE55BD">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B96815D" w14:textId="61D62D33" w:rsidR="00FE55BD" w:rsidRPr="00064773" w:rsidRDefault="00FE55BD">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w:t>
      </w:r>
    </w:p>
    <w:p w14:paraId="7090DB52" w14:textId="77777777" w:rsidR="00064773" w:rsidRPr="00064773" w:rsidRDefault="00064773">
      <w:pPr>
        <w:pStyle w:val="Textonotapie"/>
        <w:ind w:firstLine="709"/>
        <w:jc w:val="both"/>
        <w:rPr>
          <w:rFonts w:ascii="Verdana" w:hAnsi="Verdana" w:cs="Arial"/>
          <w:color w:val="000000"/>
          <w:sz w:val="16"/>
          <w:szCs w:val="16"/>
        </w:rPr>
      </w:pPr>
    </w:p>
  </w:footnote>
  <w:footnote w:id="16">
    <w:p w14:paraId="17ED8EF3" w14:textId="003AD207" w:rsidR="00FE55BD" w:rsidRPr="00064773" w:rsidRDefault="00FE55BD">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6B98061F" w14:textId="77777777" w:rsidR="00064773" w:rsidRPr="00064773" w:rsidRDefault="00064773">
      <w:pPr>
        <w:pStyle w:val="Textonotapie"/>
        <w:ind w:firstLine="709"/>
        <w:jc w:val="both"/>
        <w:rPr>
          <w:rFonts w:ascii="Verdana" w:hAnsi="Verdana" w:cs="Arial"/>
          <w:color w:val="000000"/>
          <w:sz w:val="16"/>
          <w:szCs w:val="16"/>
          <w:lang w:val="es-ES"/>
        </w:rPr>
      </w:pPr>
    </w:p>
  </w:footnote>
  <w:footnote w:id="17">
    <w:p w14:paraId="0F91C2AB" w14:textId="77777777" w:rsidR="00FE55BD" w:rsidRPr="00064773" w:rsidRDefault="00FE55BD">
      <w:pPr>
        <w:pStyle w:val="Textonotapie"/>
        <w:ind w:firstLine="709"/>
        <w:jc w:val="both"/>
        <w:rPr>
          <w:rFonts w:ascii="Verdana" w:hAnsi="Verdana"/>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Dentro de ellas se pueden referenciar: </w:t>
      </w:r>
      <w:r w:rsidRPr="00064773">
        <w:rPr>
          <w:rFonts w:ascii="Verdana" w:hAnsi="Verdana"/>
          <w:sz w:val="16"/>
          <w:szCs w:val="16"/>
          <w:lang w:val="es-CO"/>
        </w:rPr>
        <w:t>Consejo de Estado. Sección Segunda. Subsección A. Rad. 19001-23-33-0002016-00182-01 (3990-2018). Sentencia de 9 de junio de 2022. C.P. Rafael Francisco Suarez Vargas. Consejo de Estado. Sección Segunda. Subsección B. Rad. 50001-23-33-000-2014-0089-01. Sentencia de 9 de junio de 2022. C.P. César Palomino Cortés. Consejo de Estado. Sección Segunda. Subsección A. Rad. 27001-23-33-000-2017-00037-01 (3671-2019). Sentencia de 2 de junio de 2022. C.P. Gabriel Valbuena Hernández. Consejo de Estado. Sección Segunda. Subsección A. Rad. 25000-23-42-000-2013-05488 01 (2381-2018). Sentencia de 28 de abril de 2022. C.P. Gabriel Valbuena Hernández. Consejo de Estado. Sección Segunda. Subsección A. Rad. 05001 23 33 000 2012 00418 02 (0248-2017). Sentencia de 10 de febrero de 2022. C.P. Rafael Francisco Suarez Vargas.</w:t>
      </w:r>
    </w:p>
    <w:p w14:paraId="65E5CB0C" w14:textId="77777777" w:rsidR="00FE55BD" w:rsidRPr="00064773" w:rsidRDefault="00FE55BD">
      <w:pPr>
        <w:pStyle w:val="Textonotapie"/>
        <w:ind w:firstLine="709"/>
        <w:jc w:val="both"/>
        <w:rPr>
          <w:rFonts w:ascii="Verdana" w:hAnsi="Verdana"/>
          <w:sz w:val="16"/>
          <w:szCs w:val="16"/>
        </w:rPr>
      </w:pPr>
    </w:p>
  </w:footnote>
  <w:footnote w:id="18">
    <w:p w14:paraId="44DDB912" w14:textId="187FBF1A" w:rsidR="00255E89" w:rsidRPr="004C0B72" w:rsidRDefault="00255E89" w:rsidP="004C0B72">
      <w:pPr>
        <w:spacing w:after="0" w:line="240" w:lineRule="auto"/>
        <w:ind w:firstLine="709"/>
        <w:jc w:val="both"/>
        <w:rPr>
          <w:rFonts w:ascii="Verdana" w:eastAsia="Times New Roman" w:hAnsi="Verdana" w:cs="Times New Roman"/>
          <w:sz w:val="16"/>
          <w:szCs w:val="16"/>
          <w:lang w:eastAsia="es-ES_tradnl"/>
        </w:rPr>
      </w:pPr>
      <w:r w:rsidRPr="004C0B72">
        <w:rPr>
          <w:rStyle w:val="Refdenotaalpie"/>
          <w:rFonts w:ascii="Verdana" w:hAnsi="Verdana"/>
          <w:sz w:val="16"/>
          <w:szCs w:val="16"/>
        </w:rPr>
        <w:footnoteRef/>
      </w:r>
      <w:r w:rsidRPr="004C0B72">
        <w:rPr>
          <w:rFonts w:ascii="Verdana" w:hAnsi="Verdana"/>
          <w:sz w:val="16"/>
          <w:szCs w:val="16"/>
        </w:rPr>
        <w:t xml:space="preserve"> </w:t>
      </w:r>
      <w:r w:rsidRPr="004C0B72">
        <w:rPr>
          <w:rFonts w:ascii="Verdana" w:eastAsia="Times New Roman" w:hAnsi="Verdana" w:cs="Times New Roman"/>
          <w:sz w:val="16"/>
          <w:szCs w:val="16"/>
          <w:lang w:eastAsia="es-ES_tradnl"/>
        </w:rPr>
        <w:t>Consejo de Estado, Sala Plena de lo Contencioso Administrativo, sentencia del 09 de febrero de 2012, expediente 1707-08, C.P Luis Rafael Vergara Quintero.</w:t>
      </w:r>
    </w:p>
  </w:footnote>
  <w:footnote w:id="19">
    <w:p w14:paraId="3BAB7CA7" w14:textId="77777777" w:rsidR="00FE55BD" w:rsidRPr="00064773" w:rsidRDefault="00FE55BD" w:rsidP="00064773">
      <w:pPr>
        <w:pStyle w:val="Textonotapie"/>
        <w:ind w:firstLine="709"/>
        <w:jc w:val="both"/>
        <w:rPr>
          <w:rFonts w:ascii="Verdana" w:hAnsi="Verdana"/>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sz w:val="16"/>
          <w:szCs w:val="16"/>
          <w:lang w:val="es-CO"/>
        </w:rPr>
        <w:t>Consejo de Estado, Sala Plena de lo Contencioso Administrativo, sentencia del 09 de febrero de 2012, expediente 1707-08, C.P Luis Rafael Vergara Quintero.</w:t>
      </w:r>
    </w:p>
    <w:p w14:paraId="3CD9DEB9" w14:textId="77777777" w:rsidR="00FE55BD" w:rsidRPr="00064773" w:rsidRDefault="00FE55BD">
      <w:pPr>
        <w:pStyle w:val="Textonotapie"/>
        <w:ind w:firstLine="709"/>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9020907">
    <w:abstractNumId w:val="5"/>
  </w:num>
  <w:num w:numId="2" w16cid:durableId="1248610329">
    <w:abstractNumId w:val="1"/>
  </w:num>
  <w:num w:numId="3" w16cid:durableId="63143897">
    <w:abstractNumId w:val="3"/>
  </w:num>
  <w:num w:numId="4" w16cid:durableId="9981458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77286410">
    <w:abstractNumId w:val="1"/>
  </w:num>
  <w:num w:numId="6" w16cid:durableId="56251633">
    <w:abstractNumId w:val="12"/>
  </w:num>
  <w:num w:numId="7" w16cid:durableId="1721441867">
    <w:abstractNumId w:val="4"/>
  </w:num>
  <w:num w:numId="8" w16cid:durableId="456029164">
    <w:abstractNumId w:val="11"/>
  </w:num>
  <w:num w:numId="9" w16cid:durableId="641733814">
    <w:abstractNumId w:val="6"/>
  </w:num>
  <w:num w:numId="10" w16cid:durableId="905458255">
    <w:abstractNumId w:val="10"/>
  </w:num>
  <w:num w:numId="11" w16cid:durableId="1604072630">
    <w:abstractNumId w:val="7"/>
  </w:num>
  <w:num w:numId="12" w16cid:durableId="1953434125">
    <w:abstractNumId w:val="0"/>
  </w:num>
  <w:num w:numId="13" w16cid:durableId="184827491">
    <w:abstractNumId w:val="2"/>
  </w:num>
  <w:num w:numId="14" w16cid:durableId="1257710231">
    <w:abstractNumId w:val="13"/>
  </w:num>
  <w:num w:numId="15" w16cid:durableId="2009138268">
    <w:abstractNumId w:val="9"/>
  </w:num>
  <w:num w:numId="16" w16cid:durableId="3189266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77A"/>
    <w:rsid w:val="00016F78"/>
    <w:rsid w:val="0003707A"/>
    <w:rsid w:val="00046945"/>
    <w:rsid w:val="00061B2A"/>
    <w:rsid w:val="00064773"/>
    <w:rsid w:val="00082362"/>
    <w:rsid w:val="000940A2"/>
    <w:rsid w:val="000A2BC3"/>
    <w:rsid w:val="000A683E"/>
    <w:rsid w:val="000B19B9"/>
    <w:rsid w:val="000D0334"/>
    <w:rsid w:val="000D5DA7"/>
    <w:rsid w:val="000F6486"/>
    <w:rsid w:val="00116940"/>
    <w:rsid w:val="00125105"/>
    <w:rsid w:val="00127233"/>
    <w:rsid w:val="00153BD5"/>
    <w:rsid w:val="0015699B"/>
    <w:rsid w:val="001A33BF"/>
    <w:rsid w:val="001E4177"/>
    <w:rsid w:val="001F0A26"/>
    <w:rsid w:val="001F0B24"/>
    <w:rsid w:val="001F7DC6"/>
    <w:rsid w:val="0022400B"/>
    <w:rsid w:val="002421BB"/>
    <w:rsid w:val="00255E89"/>
    <w:rsid w:val="0025796E"/>
    <w:rsid w:val="00267E5D"/>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36F"/>
    <w:rsid w:val="00374F5E"/>
    <w:rsid w:val="00377E3E"/>
    <w:rsid w:val="003A779E"/>
    <w:rsid w:val="003D0F4D"/>
    <w:rsid w:val="003D5B0D"/>
    <w:rsid w:val="003E0499"/>
    <w:rsid w:val="003E4F80"/>
    <w:rsid w:val="003E6439"/>
    <w:rsid w:val="003F3941"/>
    <w:rsid w:val="00406575"/>
    <w:rsid w:val="00413EF5"/>
    <w:rsid w:val="00414C74"/>
    <w:rsid w:val="0042722E"/>
    <w:rsid w:val="0044528D"/>
    <w:rsid w:val="00466E39"/>
    <w:rsid w:val="00482B92"/>
    <w:rsid w:val="00492084"/>
    <w:rsid w:val="004A1847"/>
    <w:rsid w:val="004A2C03"/>
    <w:rsid w:val="004A305D"/>
    <w:rsid w:val="004C0B72"/>
    <w:rsid w:val="004D2656"/>
    <w:rsid w:val="004E5736"/>
    <w:rsid w:val="004F21C4"/>
    <w:rsid w:val="004F685F"/>
    <w:rsid w:val="005438F9"/>
    <w:rsid w:val="005566E8"/>
    <w:rsid w:val="00574867"/>
    <w:rsid w:val="0058111D"/>
    <w:rsid w:val="00582354"/>
    <w:rsid w:val="00591460"/>
    <w:rsid w:val="005A65E0"/>
    <w:rsid w:val="005C3777"/>
    <w:rsid w:val="005C5CDC"/>
    <w:rsid w:val="005D476C"/>
    <w:rsid w:val="006200BF"/>
    <w:rsid w:val="006219F8"/>
    <w:rsid w:val="006302F7"/>
    <w:rsid w:val="00646B9F"/>
    <w:rsid w:val="00663E51"/>
    <w:rsid w:val="00665D70"/>
    <w:rsid w:val="006900D9"/>
    <w:rsid w:val="006A7ECA"/>
    <w:rsid w:val="006E39FA"/>
    <w:rsid w:val="006F6368"/>
    <w:rsid w:val="006F76C5"/>
    <w:rsid w:val="00706C16"/>
    <w:rsid w:val="007340C3"/>
    <w:rsid w:val="0075235A"/>
    <w:rsid w:val="00756841"/>
    <w:rsid w:val="007649AB"/>
    <w:rsid w:val="00771D0C"/>
    <w:rsid w:val="00774180"/>
    <w:rsid w:val="00777AF9"/>
    <w:rsid w:val="007833AC"/>
    <w:rsid w:val="007B268C"/>
    <w:rsid w:val="007B28A2"/>
    <w:rsid w:val="007B7171"/>
    <w:rsid w:val="007C0C0F"/>
    <w:rsid w:val="007C3DC2"/>
    <w:rsid w:val="007C58C5"/>
    <w:rsid w:val="007E5497"/>
    <w:rsid w:val="00806F5F"/>
    <w:rsid w:val="00820278"/>
    <w:rsid w:val="008258C9"/>
    <w:rsid w:val="00844AE9"/>
    <w:rsid w:val="00867F95"/>
    <w:rsid w:val="00874250"/>
    <w:rsid w:val="008843B6"/>
    <w:rsid w:val="00891928"/>
    <w:rsid w:val="008A446D"/>
    <w:rsid w:val="008B25F1"/>
    <w:rsid w:val="008D180B"/>
    <w:rsid w:val="008F0EA7"/>
    <w:rsid w:val="009118BF"/>
    <w:rsid w:val="00923EEF"/>
    <w:rsid w:val="009419F9"/>
    <w:rsid w:val="0095685E"/>
    <w:rsid w:val="00961B09"/>
    <w:rsid w:val="00965334"/>
    <w:rsid w:val="0097093E"/>
    <w:rsid w:val="009756EB"/>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52E6D"/>
    <w:rsid w:val="00B72CD3"/>
    <w:rsid w:val="00B72FFF"/>
    <w:rsid w:val="00B97A5A"/>
    <w:rsid w:val="00BC3D36"/>
    <w:rsid w:val="00BD1C21"/>
    <w:rsid w:val="00BD54A6"/>
    <w:rsid w:val="00BD7F72"/>
    <w:rsid w:val="00BF7425"/>
    <w:rsid w:val="00C04FB3"/>
    <w:rsid w:val="00C11D8B"/>
    <w:rsid w:val="00C15139"/>
    <w:rsid w:val="00C330EB"/>
    <w:rsid w:val="00C35C26"/>
    <w:rsid w:val="00C50D69"/>
    <w:rsid w:val="00C5365C"/>
    <w:rsid w:val="00C754BE"/>
    <w:rsid w:val="00C76B1C"/>
    <w:rsid w:val="00C925AC"/>
    <w:rsid w:val="00CA1ED5"/>
    <w:rsid w:val="00CB6357"/>
    <w:rsid w:val="00CC1B26"/>
    <w:rsid w:val="00D361FD"/>
    <w:rsid w:val="00D423A2"/>
    <w:rsid w:val="00D44E26"/>
    <w:rsid w:val="00D520D8"/>
    <w:rsid w:val="00D63AC2"/>
    <w:rsid w:val="00D7383B"/>
    <w:rsid w:val="00D7788A"/>
    <w:rsid w:val="00DA231B"/>
    <w:rsid w:val="00DC39FC"/>
    <w:rsid w:val="00DD61C7"/>
    <w:rsid w:val="00DF5254"/>
    <w:rsid w:val="00E02524"/>
    <w:rsid w:val="00E16408"/>
    <w:rsid w:val="00E20894"/>
    <w:rsid w:val="00E245AB"/>
    <w:rsid w:val="00E2764C"/>
    <w:rsid w:val="00E27F2E"/>
    <w:rsid w:val="00E50AFE"/>
    <w:rsid w:val="00E75507"/>
    <w:rsid w:val="00E75C92"/>
    <w:rsid w:val="00E771DC"/>
    <w:rsid w:val="00E8772A"/>
    <w:rsid w:val="00E90F6B"/>
    <w:rsid w:val="00E92C27"/>
    <w:rsid w:val="00EA0E3D"/>
    <w:rsid w:val="00EA395A"/>
    <w:rsid w:val="00EC38A7"/>
    <w:rsid w:val="00EE1AA8"/>
    <w:rsid w:val="00F23FEA"/>
    <w:rsid w:val="00F31EDC"/>
    <w:rsid w:val="00F462B3"/>
    <w:rsid w:val="00F5664F"/>
    <w:rsid w:val="00F666C4"/>
    <w:rsid w:val="00F76AFC"/>
    <w:rsid w:val="00FA47C0"/>
    <w:rsid w:val="00FB5DD1"/>
    <w:rsid w:val="00FC2B5D"/>
    <w:rsid w:val="00FE55BD"/>
    <w:rsid w:val="00FF1449"/>
    <w:rsid w:val="00FF6933"/>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E55BD"/>
    <w:pPr>
      <w:spacing w:line="240" w:lineRule="exact"/>
    </w:pPr>
    <w:rPr>
      <w:vertAlign w:val="superscript"/>
    </w:rPr>
  </w:style>
  <w:style w:type="character" w:customStyle="1" w:styleId="s15">
    <w:name w:val="s15"/>
    <w:basedOn w:val="Fuentedeprrafopredeter"/>
    <w:rsid w:val="00FE55BD"/>
  </w:style>
  <w:style w:type="character" w:customStyle="1" w:styleId="apple-converted-space">
    <w:name w:val="apple-converted-space"/>
    <w:basedOn w:val="Fuentedeprrafopredeter"/>
    <w:rsid w:val="00FE55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11129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580994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arola.pena@alcaldiasoach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3FBC6CEC-D495-4374-8DB2-1FE918D460BE}"/>
</file>

<file path=customXml/itemProps3.xml><?xml version="1.0" encoding="utf-8"?>
<ds:datastoreItem xmlns:ds="http://schemas.openxmlformats.org/officeDocument/2006/customXml" ds:itemID="{B239318A-DB22-964E-B9AB-E76010AB77AB}">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16</Pages>
  <Words>4362</Words>
  <Characters>23992</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28298</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4718700</vt:i4>
      </vt:variant>
      <vt:variant>
        <vt:i4>0</vt:i4>
      </vt:variant>
      <vt:variant>
        <vt:i4>0</vt:i4>
      </vt:variant>
      <vt:variant>
        <vt:i4>5</vt:i4>
      </vt:variant>
      <vt:variant>
        <vt:lpwstr>mailto:carola.pena@alcaldiasoacha.gov.co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2023-01-10T21:18:00Z</cp:lastPrinted>
  <dcterms:created xsi:type="dcterms:W3CDTF">2026-02-10T14:13:00Z</dcterms:created>
  <dcterms:modified xsi:type="dcterms:W3CDTF">2026-02-10T16:32:00Z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