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053E9" w14:textId="77777777" w:rsidR="008C18C0" w:rsidRPr="00AF1555" w:rsidRDefault="008C18C0" w:rsidP="008C18C0">
      <w:pPr>
        <w:tabs>
          <w:tab w:val="left" w:pos="709"/>
        </w:tabs>
        <w:spacing w:after="0" w:line="240" w:lineRule="auto"/>
        <w:jc w:val="both"/>
        <w:rPr>
          <w:rFonts w:ascii="Verdana" w:eastAsia="Calibri" w:hAnsi="Verdana" w:cs="Arial"/>
          <w:bCs/>
          <w:sz w:val="20"/>
          <w:szCs w:val="20"/>
          <w:lang w:val="es-ES_tradnl" w:eastAsia="es-ES_tradnl"/>
        </w:rPr>
      </w:pPr>
    </w:p>
    <w:p w14:paraId="442FDF0C" w14:textId="77777777" w:rsidR="008C18C0" w:rsidRPr="00AF1555" w:rsidRDefault="008C18C0" w:rsidP="008C18C0">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EGCAP</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Ámbito de aplicación</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Entidades estatales</w:t>
      </w:r>
      <w:r w:rsidRPr="00AF1555">
        <w:rPr>
          <w:rFonts w:ascii="Verdana" w:eastAsia="Calibri" w:hAnsi="Verdana" w:cs="Arial"/>
          <w:b/>
          <w:color w:val="000000" w:themeColor="text1"/>
          <w:lang w:val="es-ES"/>
        </w:rPr>
        <w:t xml:space="preserve"> </w:t>
      </w:r>
    </w:p>
    <w:p w14:paraId="7B8C9B2F" w14:textId="77777777" w:rsidR="008C18C0" w:rsidRPr="00AF1555" w:rsidRDefault="008C18C0" w:rsidP="008C18C0">
      <w:pPr>
        <w:spacing w:after="0" w:line="240" w:lineRule="auto"/>
        <w:jc w:val="both"/>
        <w:rPr>
          <w:rFonts w:ascii="Verdana" w:eastAsia="Calibri" w:hAnsi="Verdana" w:cs="Arial"/>
          <w:bCs/>
          <w:color w:val="000000" w:themeColor="text1"/>
          <w:sz w:val="20"/>
          <w:szCs w:val="20"/>
          <w:lang w:val="es-ES"/>
        </w:rPr>
      </w:pPr>
    </w:p>
    <w:p w14:paraId="5C2A5362" w14:textId="77777777" w:rsidR="008C18C0" w:rsidRDefault="008C18C0" w:rsidP="008C18C0">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06328C">
        <w:rPr>
          <w:rFonts w:ascii="Verdana" w:eastAsia="Calibri" w:hAnsi="Verdana" w:cs="Arial"/>
          <w:bCs/>
          <w:i/>
          <w:iCs/>
          <w:color w:val="000000" w:themeColor="text1"/>
          <w:sz w:val="20"/>
          <w:szCs w:val="20"/>
          <w:lang w:val="es-ES" w:eastAsia="es-ES_tradnl"/>
        </w:rPr>
        <w:t>entidades estatales</w:t>
      </w:r>
      <w:r w:rsidRPr="0006328C">
        <w:rPr>
          <w:rFonts w:ascii="Verdana" w:eastAsia="Calibri" w:hAnsi="Verdana" w:cs="Arial"/>
          <w:bCs/>
          <w:color w:val="000000" w:themeColor="text1"/>
          <w:sz w:val="20"/>
          <w:szCs w:val="20"/>
          <w:lang w:val="es-ES" w:eastAsia="es-ES_tradnl"/>
        </w:rPr>
        <w:t xml:space="preserve">, esto es, aquellas previstas en los literales a) y b) del numeral 1 del artículo 2 </w:t>
      </w:r>
      <w:r w:rsidRPr="0006328C">
        <w:rPr>
          <w:rFonts w:ascii="Verdana" w:eastAsia="Calibri" w:hAnsi="Verdana" w:cs="Arial"/>
          <w:bCs/>
          <w:i/>
          <w:iCs/>
          <w:color w:val="000000" w:themeColor="text1"/>
          <w:sz w:val="20"/>
          <w:szCs w:val="20"/>
          <w:lang w:val="es-ES" w:eastAsia="es-ES_tradnl"/>
        </w:rPr>
        <w:t>ibidem</w:t>
      </w:r>
      <w:r w:rsidRPr="0006328C">
        <w:rPr>
          <w:rFonts w:ascii="Verdana" w:eastAsia="Calibri" w:hAnsi="Verdana" w:cs="Arial"/>
          <w:bCs/>
          <w:color w:val="000000" w:themeColor="text1"/>
          <w:sz w:val="20"/>
          <w:szCs w:val="20"/>
          <w:lang w:val="es-ES" w:eastAsia="es-ES_tradnl"/>
        </w:rPr>
        <w:t xml:space="preserve">. La norma citada define la competencia contractual en los siguientes términos: </w:t>
      </w:r>
    </w:p>
    <w:p w14:paraId="5ECDB370" w14:textId="77777777" w:rsidR="008C18C0" w:rsidRPr="0006328C" w:rsidRDefault="008C18C0" w:rsidP="008C18C0">
      <w:pPr>
        <w:spacing w:after="0" w:line="240" w:lineRule="auto"/>
        <w:jc w:val="both"/>
        <w:rPr>
          <w:rFonts w:ascii="Verdana" w:eastAsia="Calibri" w:hAnsi="Verdana" w:cs="Arial"/>
          <w:bCs/>
          <w:color w:val="000000" w:themeColor="text1"/>
          <w:sz w:val="20"/>
          <w:szCs w:val="20"/>
          <w:lang w:val="es-ES" w:eastAsia="es-ES_tradnl"/>
        </w:rPr>
      </w:pPr>
    </w:p>
    <w:p w14:paraId="1469AB8D" w14:textId="77777777" w:rsidR="008C18C0" w:rsidRDefault="008C18C0" w:rsidP="008C18C0">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34E70E39" w14:textId="77777777" w:rsidR="008C18C0" w:rsidRPr="0006328C" w:rsidRDefault="008C18C0" w:rsidP="008C18C0">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 </w:t>
      </w:r>
    </w:p>
    <w:p w14:paraId="1F197DEC" w14:textId="77777777" w:rsidR="008C18C0" w:rsidRPr="00EB0B5F" w:rsidRDefault="008C18C0" w:rsidP="008C18C0">
      <w:pPr>
        <w:spacing w:after="0" w:line="240" w:lineRule="auto"/>
        <w:jc w:val="both"/>
        <w:rPr>
          <w:rFonts w:ascii="Verdana" w:eastAsia="Calibri" w:hAnsi="Verdana" w:cs="Arial"/>
          <w:iCs/>
          <w:color w:val="000000" w:themeColor="text1"/>
          <w:sz w:val="20"/>
          <w:szCs w:val="20"/>
          <w:lang w:eastAsia="es-ES_tradnl"/>
        </w:rPr>
      </w:pPr>
      <w:r w:rsidRPr="0006328C">
        <w:rPr>
          <w:rFonts w:ascii="Verdana" w:eastAsia="Calibri" w:hAnsi="Verdana" w:cs="Arial"/>
          <w:bCs/>
          <w:color w:val="000000" w:themeColor="text1"/>
          <w:sz w:val="20"/>
          <w:szCs w:val="20"/>
          <w:lang w:val="es-ES" w:eastAsia="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AF1555">
        <w:rPr>
          <w:rFonts w:ascii="Verdana" w:eastAsia="Calibri" w:hAnsi="Verdana" w:cs="Arial"/>
          <w:color w:val="000000" w:themeColor="text1"/>
          <w:sz w:val="20"/>
          <w:szCs w:val="20"/>
          <w:lang w:val="es-ES_tradnl"/>
        </w:rPr>
        <w:t>.</w:t>
      </w:r>
    </w:p>
    <w:p w14:paraId="300078B6" w14:textId="77777777" w:rsidR="008C18C0" w:rsidRPr="00AF1555" w:rsidRDefault="008C18C0" w:rsidP="008C18C0">
      <w:pPr>
        <w:spacing w:after="0" w:line="240" w:lineRule="auto"/>
        <w:rPr>
          <w:rFonts w:ascii="Verdana" w:eastAsia="Geomanist Light" w:hAnsi="Verdana" w:cs="Arial"/>
          <w:color w:val="000000" w:themeColor="text1"/>
          <w:sz w:val="20"/>
          <w:szCs w:val="20"/>
          <w:lang w:val="es-ES_tradnl"/>
        </w:rPr>
      </w:pPr>
      <w:bookmarkStart w:id="0" w:name="_Hlk109118876"/>
    </w:p>
    <w:p w14:paraId="1D23BDE1" w14:textId="77777777" w:rsidR="008C18C0" w:rsidRPr="00AF1555" w:rsidRDefault="008C18C0" w:rsidP="008C18C0">
      <w:pPr>
        <w:spacing w:after="0" w:line="240" w:lineRule="auto"/>
        <w:jc w:val="both"/>
        <w:rPr>
          <w:rFonts w:ascii="Verdana" w:eastAsia="Calibri" w:hAnsi="Verdana" w:cs="Arial"/>
          <w:b/>
          <w:lang w:val="es-ES"/>
        </w:rPr>
      </w:pPr>
      <w:r w:rsidRPr="00AF1555">
        <w:rPr>
          <w:rFonts w:ascii="Verdana" w:eastAsia="Calibri" w:hAnsi="Verdana" w:cs="Arial"/>
          <w:b/>
          <w:lang w:val="es-ES"/>
        </w:rPr>
        <w:t>GARANTÍA DE CUMPLIMIENTO – Amparos – Finalidad</w:t>
      </w:r>
    </w:p>
    <w:p w14:paraId="7F381975" w14:textId="77777777" w:rsidR="008C18C0" w:rsidRPr="00AF1555" w:rsidRDefault="008C18C0" w:rsidP="008C18C0">
      <w:pPr>
        <w:spacing w:after="0" w:line="240" w:lineRule="auto"/>
        <w:jc w:val="both"/>
        <w:rPr>
          <w:rFonts w:ascii="Verdana" w:eastAsia="Calibri" w:hAnsi="Verdana" w:cs="Arial"/>
          <w:b/>
          <w:sz w:val="20"/>
          <w:szCs w:val="20"/>
          <w:lang w:val="es-ES"/>
        </w:rPr>
      </w:pPr>
    </w:p>
    <w:p w14:paraId="26358A9A" w14:textId="77777777" w:rsidR="008C18C0" w:rsidRPr="00AF1555" w:rsidRDefault="008C18C0" w:rsidP="008C18C0">
      <w:pPr>
        <w:spacing w:after="0" w:line="240" w:lineRule="auto"/>
        <w:jc w:val="both"/>
        <w:rPr>
          <w:rFonts w:ascii="Verdana" w:eastAsia="Times New Roman" w:hAnsi="Verdana" w:cs="Arial"/>
          <w:bCs/>
          <w:color w:val="000000" w:themeColor="text1"/>
          <w:sz w:val="20"/>
          <w:szCs w:val="20"/>
          <w:lang w:val="es-ES_tradnl"/>
        </w:rPr>
      </w:pPr>
      <w:r w:rsidRPr="00AF1555">
        <w:rPr>
          <w:rFonts w:ascii="Verdana" w:eastAsia="Calibri" w:hAnsi="Verdana" w:cs="Arial"/>
          <w:bCs/>
          <w:sz w:val="20"/>
          <w:szCs w:val="20"/>
          <w:lang w:val="es-ES"/>
        </w:rPr>
        <w:t xml:space="preserve">[…] </w:t>
      </w:r>
      <w:r w:rsidRPr="00AF1555">
        <w:rPr>
          <w:rFonts w:ascii="Verdana" w:eastAsia="Times New Roman" w:hAnsi="Verdana" w:cs="Arial"/>
          <w:bCs/>
          <w:color w:val="000000" w:themeColor="text1"/>
          <w:sz w:val="20"/>
          <w:szCs w:val="20"/>
          <w:lang w:val="es-ES_tradnl"/>
        </w:rPr>
        <w:t xml:space="preserve">la finalidad y principal objetivo de la garantía de cumplimiento es proteger el patrimonio de la entidad de los potenciales riesgos y efectos derivados de un incumplimiento del contratista. Esta función, se advierte, debe irradiar la comprensión de las normas sobre garantías en general y sobre su vigencia en particular. </w:t>
      </w:r>
    </w:p>
    <w:p w14:paraId="6F12FB67" w14:textId="77777777" w:rsidR="008C18C0" w:rsidRPr="00AF1555" w:rsidRDefault="008C18C0" w:rsidP="008C18C0">
      <w:pPr>
        <w:spacing w:after="0" w:line="240" w:lineRule="auto"/>
        <w:jc w:val="both"/>
        <w:rPr>
          <w:rFonts w:ascii="Verdana" w:eastAsia="Times New Roman" w:hAnsi="Verdana" w:cs="Arial"/>
          <w:bCs/>
          <w:color w:val="000000" w:themeColor="text1"/>
          <w:sz w:val="20"/>
          <w:szCs w:val="20"/>
          <w:lang w:val="es-ES_tradnl"/>
        </w:rPr>
      </w:pPr>
    </w:p>
    <w:p w14:paraId="464386DE" w14:textId="77777777" w:rsidR="008C18C0" w:rsidRPr="00AF1555" w:rsidRDefault="008C18C0" w:rsidP="008C18C0">
      <w:pPr>
        <w:spacing w:after="0" w:line="240" w:lineRule="auto"/>
        <w:jc w:val="both"/>
        <w:rPr>
          <w:rFonts w:ascii="Verdana" w:eastAsia="Calibri" w:hAnsi="Verdana" w:cs="Arial"/>
          <w:color w:val="000000"/>
          <w:sz w:val="20"/>
          <w:szCs w:val="20"/>
          <w:lang w:val="es-ES_tradnl"/>
        </w:rPr>
      </w:pPr>
      <w:r w:rsidRPr="00AF1555">
        <w:rPr>
          <w:rFonts w:ascii="Verdana" w:eastAsia="Times New Roman" w:hAnsi="Verdana" w:cs="Arial"/>
          <w:bCs/>
          <w:color w:val="000000" w:themeColor="text1"/>
          <w:sz w:val="20"/>
          <w:szCs w:val="20"/>
          <w:lang w:val="es-ES_tradnl"/>
        </w:rPr>
        <w:t>L</w:t>
      </w:r>
      <w:r w:rsidRPr="00AF1555">
        <w:rPr>
          <w:rFonts w:ascii="Verdana" w:eastAsia="Calibri" w:hAnsi="Verdana" w:cs="Arial"/>
          <w:color w:val="000000"/>
          <w:sz w:val="20"/>
          <w:szCs w:val="20"/>
          <w:lang w:val="es-ES" w:eastAsia="es-ES_tradnl"/>
        </w:rPr>
        <w:t xml:space="preserve">os artículos 2.2.1.2.3.1.6 y 2.2.1.2.3.1.9 establecen las condiciones que debe cumplir la garantía de los riesgos derivados del incumplimiento de la oferta. </w:t>
      </w:r>
      <w:r w:rsidRPr="00AF1555">
        <w:rPr>
          <w:rFonts w:ascii="Verdana" w:eastAsia="Calibri" w:hAnsi="Verdana" w:cs="Arial"/>
          <w:color w:val="000000"/>
          <w:sz w:val="20"/>
          <w:szCs w:val="20"/>
          <w:lang w:val="es-ES_tradnl"/>
        </w:rPr>
        <w:t xml:space="preserve">De otro lado, el artículo 2.2.1.3.1.7 prescribe que la garantía de cumplimiento debe cubrir: i) el buen manejo y correcta inversión del anticipo; </w:t>
      </w:r>
      <w:proofErr w:type="spellStart"/>
      <w:r w:rsidRPr="00AF1555">
        <w:rPr>
          <w:rFonts w:ascii="Verdana" w:eastAsia="Calibri" w:hAnsi="Verdana" w:cs="Arial"/>
          <w:color w:val="000000"/>
          <w:sz w:val="20"/>
          <w:szCs w:val="20"/>
          <w:lang w:val="es-ES_tradnl"/>
        </w:rPr>
        <w:t>ii</w:t>
      </w:r>
      <w:proofErr w:type="spellEnd"/>
      <w:r w:rsidRPr="00AF1555">
        <w:rPr>
          <w:rFonts w:ascii="Verdana" w:eastAsia="Calibri" w:hAnsi="Verdana" w:cs="Arial"/>
          <w:color w:val="000000"/>
          <w:sz w:val="20"/>
          <w:szCs w:val="20"/>
          <w:lang w:val="es-ES_tradnl"/>
        </w:rPr>
        <w:t xml:space="preserve">) la devolución del pago anticipado; </w:t>
      </w:r>
      <w:proofErr w:type="spellStart"/>
      <w:r w:rsidRPr="00AF1555">
        <w:rPr>
          <w:rFonts w:ascii="Verdana" w:eastAsia="Calibri" w:hAnsi="Verdana" w:cs="Arial"/>
          <w:color w:val="000000"/>
          <w:sz w:val="20"/>
          <w:szCs w:val="20"/>
          <w:lang w:val="es-ES_tradnl"/>
        </w:rPr>
        <w:t>iii</w:t>
      </w:r>
      <w:proofErr w:type="spellEnd"/>
      <w:r w:rsidRPr="00AF1555">
        <w:rPr>
          <w:rFonts w:ascii="Verdana" w:eastAsia="Calibri" w:hAnsi="Verdana" w:cs="Arial"/>
          <w:color w:val="000000"/>
          <w:sz w:val="20"/>
          <w:szCs w:val="20"/>
          <w:lang w:val="es-ES_tradnl"/>
        </w:rPr>
        <w:t xml:space="preserve">) el cumplimiento del contrato; </w:t>
      </w:r>
      <w:proofErr w:type="spellStart"/>
      <w:r w:rsidRPr="00AF1555">
        <w:rPr>
          <w:rFonts w:ascii="Verdana" w:eastAsia="Calibri" w:hAnsi="Verdana" w:cs="Arial"/>
          <w:color w:val="000000"/>
          <w:sz w:val="20"/>
          <w:szCs w:val="20"/>
          <w:lang w:val="es-ES_tradnl"/>
        </w:rPr>
        <w:t>iv</w:t>
      </w:r>
      <w:proofErr w:type="spellEnd"/>
      <w:r w:rsidRPr="00AF1555">
        <w:rPr>
          <w:rFonts w:ascii="Verdana" w:eastAsia="Calibri" w:hAnsi="Verdana" w:cs="Arial"/>
          <w:color w:val="000000"/>
          <w:sz w:val="20"/>
          <w:szCs w:val="20"/>
          <w:lang w:val="es-ES_tradnl"/>
        </w:rPr>
        <w:t xml:space="preserve">) el pago de salarios, prestaciones sociales legales e indemnizaciones laborales; v) la estabilidad y calidad de la obra; vi) la calidad del servicio; </w:t>
      </w:r>
      <w:proofErr w:type="spellStart"/>
      <w:r w:rsidRPr="00AF1555">
        <w:rPr>
          <w:rFonts w:ascii="Verdana" w:eastAsia="Calibri" w:hAnsi="Verdana" w:cs="Arial"/>
          <w:color w:val="000000"/>
          <w:sz w:val="20"/>
          <w:szCs w:val="20"/>
          <w:lang w:val="es-ES_tradnl"/>
        </w:rPr>
        <w:t>vii</w:t>
      </w:r>
      <w:proofErr w:type="spellEnd"/>
      <w:r w:rsidRPr="00AF1555">
        <w:rPr>
          <w:rFonts w:ascii="Verdana" w:eastAsia="Calibri" w:hAnsi="Verdana" w:cs="Arial"/>
          <w:color w:val="000000"/>
          <w:sz w:val="20"/>
          <w:szCs w:val="20"/>
          <w:lang w:val="es-ES_tradnl"/>
        </w:rPr>
        <w:t xml:space="preserve">) la calidad y correcto funcionamiento de los bienes; y </w:t>
      </w:r>
      <w:proofErr w:type="spellStart"/>
      <w:r w:rsidRPr="00AF1555">
        <w:rPr>
          <w:rFonts w:ascii="Verdana" w:eastAsia="Calibri" w:hAnsi="Verdana" w:cs="Arial"/>
          <w:color w:val="000000"/>
          <w:sz w:val="20"/>
          <w:szCs w:val="20"/>
          <w:lang w:val="es-ES_tradnl"/>
        </w:rPr>
        <w:t>viii</w:t>
      </w:r>
      <w:proofErr w:type="spellEnd"/>
      <w:r w:rsidRPr="00AF1555">
        <w:rPr>
          <w:rFonts w:ascii="Verdana" w:eastAsia="Calibri" w:hAnsi="Verdana" w:cs="Arial"/>
          <w:color w:val="000000"/>
          <w:sz w:val="20"/>
          <w:szCs w:val="20"/>
          <w:lang w:val="es-ES_tradnl"/>
        </w:rPr>
        <w:t xml:space="preserve">) los demás </w:t>
      </w:r>
      <w:r w:rsidRPr="00AF1555">
        <w:rPr>
          <w:rFonts w:ascii="Verdana" w:eastAsia="Calibri" w:hAnsi="Verdana" w:cs="Arial"/>
          <w:color w:val="000000"/>
          <w:sz w:val="20"/>
          <w:szCs w:val="20"/>
          <w:lang w:val="es-ES_tradnl"/>
        </w:rPr>
        <w:lastRenderedPageBreak/>
        <w:t>incumplimientos de las obligaciones que la entidad estatal considere deben ser amparados.</w:t>
      </w:r>
    </w:p>
    <w:bookmarkEnd w:id="0"/>
    <w:p w14:paraId="2799D46F" w14:textId="77777777" w:rsidR="008C18C0" w:rsidRPr="00AF1555" w:rsidRDefault="008C18C0" w:rsidP="008C18C0">
      <w:pPr>
        <w:tabs>
          <w:tab w:val="left" w:pos="709"/>
        </w:tabs>
        <w:spacing w:after="0" w:line="240" w:lineRule="auto"/>
        <w:jc w:val="both"/>
        <w:rPr>
          <w:rFonts w:ascii="Verdana" w:eastAsia="Calibri" w:hAnsi="Verdana" w:cs="Arial"/>
          <w:bCs/>
          <w:sz w:val="20"/>
          <w:szCs w:val="20"/>
          <w:lang w:val="es-ES_tradnl" w:eastAsia="es-ES_tradnl"/>
        </w:rPr>
      </w:pPr>
    </w:p>
    <w:p w14:paraId="53775B5F" w14:textId="77777777" w:rsidR="008C18C0" w:rsidRPr="00FD1E54" w:rsidRDefault="008C18C0" w:rsidP="008C18C0">
      <w:pPr>
        <w:spacing w:after="0" w:line="240" w:lineRule="auto"/>
        <w:jc w:val="both"/>
        <w:rPr>
          <w:rFonts w:ascii="Verdana" w:eastAsia="Calibri" w:hAnsi="Verdana" w:cs="Arial"/>
          <w:b/>
          <w:color w:val="000000" w:themeColor="text1"/>
          <w:lang w:val="es-ES"/>
        </w:rPr>
      </w:pPr>
      <w:r w:rsidRPr="00847607">
        <w:rPr>
          <w:rFonts w:ascii="Verdana" w:eastAsia="Calibri" w:hAnsi="Verdana" w:cs="Arial"/>
          <w:b/>
          <w:color w:val="000000" w:themeColor="text1"/>
          <w:lang w:val="es-ES"/>
        </w:rPr>
        <w:t xml:space="preserve">ORGANISMOS INTERNACIONALES – Concepto </w:t>
      </w:r>
      <w:r w:rsidRPr="00FD1E54">
        <w:rPr>
          <w:rFonts w:ascii="Verdana" w:eastAsia="Calibri" w:hAnsi="Verdana" w:cs="Arial"/>
          <w:b/>
          <w:color w:val="000000" w:themeColor="text1"/>
          <w:lang w:val="es-ES"/>
        </w:rPr>
        <w:t xml:space="preserve"> </w:t>
      </w:r>
    </w:p>
    <w:p w14:paraId="24F93C6E" w14:textId="77777777" w:rsidR="008C18C0" w:rsidRPr="00AF1555" w:rsidRDefault="008C18C0" w:rsidP="008C18C0">
      <w:pPr>
        <w:spacing w:after="0" w:line="240" w:lineRule="auto"/>
        <w:jc w:val="both"/>
        <w:rPr>
          <w:rFonts w:ascii="Verdana" w:eastAsia="Calibri" w:hAnsi="Verdana" w:cs="Arial"/>
          <w:bCs/>
          <w:color w:val="000000" w:themeColor="text1"/>
          <w:sz w:val="20"/>
          <w:szCs w:val="20"/>
          <w:lang w:val="es-ES"/>
        </w:rPr>
      </w:pPr>
    </w:p>
    <w:p w14:paraId="0890178A" w14:textId="77777777" w:rsidR="008C18C0" w:rsidRPr="00847607" w:rsidRDefault="008C18C0" w:rsidP="008C18C0">
      <w:pPr>
        <w:spacing w:after="0" w:line="240" w:lineRule="auto"/>
        <w:jc w:val="both"/>
        <w:rPr>
          <w:rFonts w:ascii="Verdana" w:eastAsia="Calibri" w:hAnsi="Verdana" w:cs="Arial"/>
          <w:color w:val="000000" w:themeColor="text1"/>
          <w:sz w:val="20"/>
          <w:szCs w:val="20"/>
          <w:lang w:eastAsia="es-ES_tradnl"/>
        </w:rPr>
      </w:pPr>
      <w:r w:rsidRPr="00847607">
        <w:rPr>
          <w:rFonts w:ascii="Verdana" w:eastAsia="Calibri" w:hAnsi="Verdana" w:cs="Arial"/>
          <w:color w:val="000000" w:themeColor="text1"/>
          <w:sz w:val="20"/>
          <w:szCs w:val="20"/>
          <w:lang w:eastAsia="es-ES_tradnl"/>
        </w:rPr>
        <w:t xml:space="preserve">Por organismo internacional se entiende aquella organización, grupo o asociación que se extiende más allá de las fronteras de un Estado y cuenta con órganos gubernamentales permanentes distintos e independientes de los Estados miembros de la organización que garantizan su vigencia y operatividad, con el propósito de cumplir objetivos comunes entre los Estados miembros. Conforme a su naturaleza, los organismos internacionales están facultados para suscribir contratos o convenios con los Estados, lo que supone un incidente frente a la aplicabilidad de los regímenes tanto de los Estados contratantes como de los organismos en su celebración. </w:t>
      </w:r>
    </w:p>
    <w:p w14:paraId="1AE3B8DD" w14:textId="77777777" w:rsidR="008C18C0" w:rsidRPr="00847607" w:rsidRDefault="008C18C0" w:rsidP="008C18C0">
      <w:pPr>
        <w:spacing w:after="0" w:line="240" w:lineRule="auto"/>
        <w:jc w:val="both"/>
        <w:rPr>
          <w:rFonts w:ascii="Verdana" w:eastAsia="Calibri" w:hAnsi="Verdana" w:cs="Arial"/>
          <w:color w:val="000000" w:themeColor="text1"/>
          <w:sz w:val="20"/>
          <w:szCs w:val="20"/>
          <w:lang w:eastAsia="es-ES_tradnl"/>
        </w:rPr>
      </w:pPr>
    </w:p>
    <w:p w14:paraId="2D37C4D0" w14:textId="77777777" w:rsidR="008C18C0" w:rsidRPr="00AF1555" w:rsidRDefault="008C18C0" w:rsidP="008C18C0">
      <w:pPr>
        <w:spacing w:after="0" w:line="240" w:lineRule="auto"/>
        <w:jc w:val="both"/>
        <w:rPr>
          <w:rFonts w:ascii="Verdana" w:eastAsia="Calibri" w:hAnsi="Verdana" w:cs="Arial"/>
          <w:color w:val="000000" w:themeColor="text1"/>
          <w:sz w:val="20"/>
          <w:szCs w:val="20"/>
          <w:lang w:val="es-ES_tradnl"/>
        </w:rPr>
      </w:pPr>
      <w:r w:rsidRPr="00847607">
        <w:rPr>
          <w:rFonts w:ascii="Verdana" w:eastAsia="Calibri" w:hAnsi="Verdana" w:cs="Arial"/>
          <w:color w:val="000000" w:themeColor="text1"/>
          <w:sz w:val="20"/>
          <w:szCs w:val="20"/>
          <w:lang w:eastAsia="es-ES_tradnl"/>
        </w:rPr>
        <w:t>El artículo 13 de la Ley 80 de 1993 regula de forma general el régimen aplicable a los contratos que celebren las entidades referidas en el artículo segundo del estatuto, señalando en el inciso primero, como primer criterio, la aplicabilidad de las disposiciones civiles y comerciales nacionales, sin perjuicio de la aplicación prevalente de las contenidas en el Estatuto General de Contratación de la Administración Pública. Sin embargo, en su segundo inciso, respecto a los contratos celebrados en el exterior, permite que su ejecución se realice de conformidad con las normas del país donde se hayan suscrito, salvo que deban cumplirse en Colombia, caso en el que se aplicaría el esquema señalado respecto al inciso primero. Por último, el inciso tercero permite que los contratos que se celebren en Colombia, pero deban ejecutarse o cumplirse en el extranjero, se sometan a la ley extranjera</w:t>
      </w:r>
      <w:r w:rsidRPr="00AF1555">
        <w:rPr>
          <w:rFonts w:ascii="Verdana" w:eastAsia="Calibri" w:hAnsi="Verdana" w:cs="Arial"/>
          <w:color w:val="000000" w:themeColor="text1"/>
          <w:sz w:val="20"/>
          <w:szCs w:val="20"/>
          <w:lang w:val="es-ES_tradnl"/>
        </w:rPr>
        <w:t>.</w:t>
      </w:r>
    </w:p>
    <w:p w14:paraId="4F8620D3" w14:textId="77777777" w:rsidR="008C18C0" w:rsidRPr="0081021E" w:rsidRDefault="008C18C0" w:rsidP="008C18C0">
      <w:pPr>
        <w:spacing w:after="0" w:line="240" w:lineRule="auto"/>
        <w:jc w:val="both"/>
        <w:rPr>
          <w:rFonts w:ascii="Verdana" w:hAnsi="Verdana" w:cs="Arial"/>
          <w:b/>
          <w:bCs/>
          <w:sz w:val="20"/>
          <w:szCs w:val="20"/>
        </w:rPr>
      </w:pPr>
    </w:p>
    <w:p w14:paraId="67A62082" w14:textId="77777777" w:rsidR="008C18C0" w:rsidRPr="00FD1E54" w:rsidRDefault="008C18C0" w:rsidP="008C18C0">
      <w:pPr>
        <w:spacing w:after="0" w:line="240" w:lineRule="auto"/>
        <w:jc w:val="both"/>
        <w:rPr>
          <w:rFonts w:ascii="Verdana" w:hAnsi="Verdana" w:cs="Arial"/>
          <w:b/>
          <w:bCs/>
        </w:rPr>
      </w:pPr>
      <w:r w:rsidRPr="00847607">
        <w:rPr>
          <w:rFonts w:ascii="Verdana" w:hAnsi="Verdana" w:cs="Arial"/>
          <w:b/>
          <w:bCs/>
        </w:rPr>
        <w:t>RÉGIMEN CONTRACTUAL – Ley 1150 de 2007 – Artículo 20</w:t>
      </w:r>
    </w:p>
    <w:p w14:paraId="6B39FD9B" w14:textId="77777777" w:rsidR="008C18C0" w:rsidRPr="0081021E" w:rsidRDefault="008C18C0" w:rsidP="008C18C0">
      <w:pPr>
        <w:spacing w:after="0" w:line="240" w:lineRule="auto"/>
        <w:jc w:val="both"/>
        <w:rPr>
          <w:rFonts w:ascii="Verdana" w:hAnsi="Verdana" w:cs="Arial"/>
          <w:sz w:val="20"/>
          <w:szCs w:val="20"/>
        </w:rPr>
      </w:pPr>
    </w:p>
    <w:p w14:paraId="2AC3101B" w14:textId="77777777" w:rsidR="008C18C0" w:rsidRPr="00847607" w:rsidRDefault="008C18C0" w:rsidP="008C18C0">
      <w:pPr>
        <w:spacing w:after="0" w:line="240" w:lineRule="auto"/>
        <w:jc w:val="both"/>
        <w:rPr>
          <w:rFonts w:ascii="Verdana" w:eastAsiaTheme="minorEastAsia" w:hAnsi="Verdana" w:cs="Arial"/>
          <w:sz w:val="20"/>
          <w:szCs w:val="20"/>
          <w:lang w:val="es-ES_tradnl" w:eastAsia="es-CO"/>
        </w:rPr>
      </w:pPr>
      <w:r w:rsidRPr="00847607">
        <w:rPr>
          <w:rFonts w:ascii="Verdana" w:eastAsiaTheme="minorEastAsia" w:hAnsi="Verdana" w:cs="Arial"/>
          <w:sz w:val="20"/>
          <w:szCs w:val="20"/>
          <w:lang w:val="es-ES_tradnl" w:eastAsia="es-CO"/>
        </w:rPr>
        <w:t>[…] en lo que tiene que ver con el inciso primero [del artículo 20 de la Ley 1150 de 2007], resulta que únicamente procederá la aplicación de los reglamentos de estas entidades y, por lo tanto, es facultativo dejar de aplicar el EGCAP cuando los contratos o convenios sean financiados en su totalidad o en sumas iguales o superiores al 50% con fondos del organismo de cooperación, asistencia o ayudas internacionales. Cuando la entidad contratante determine o establezca que los aportes del organismo internacional son inferiores al porcentaje señalado, el contrato o convenio debe someterse al EGCAP.</w:t>
      </w:r>
    </w:p>
    <w:p w14:paraId="184DABC3" w14:textId="77777777" w:rsidR="008C18C0" w:rsidRPr="00847607" w:rsidRDefault="008C18C0" w:rsidP="008C18C0">
      <w:pPr>
        <w:spacing w:after="0" w:line="240" w:lineRule="auto"/>
        <w:jc w:val="both"/>
        <w:rPr>
          <w:rFonts w:ascii="Verdana" w:eastAsiaTheme="minorEastAsia" w:hAnsi="Verdana" w:cs="Arial"/>
          <w:sz w:val="20"/>
          <w:szCs w:val="20"/>
          <w:lang w:val="es-ES_tradnl" w:eastAsia="es-CO"/>
        </w:rPr>
      </w:pPr>
      <w:r w:rsidRPr="00847607">
        <w:rPr>
          <w:rFonts w:ascii="Verdana" w:eastAsiaTheme="minorEastAsia" w:hAnsi="Verdana" w:cs="Arial"/>
          <w:sz w:val="20"/>
          <w:szCs w:val="20"/>
          <w:lang w:val="es-ES_tradnl" w:eastAsia="es-CO"/>
        </w:rPr>
        <w:t>[…]</w:t>
      </w:r>
    </w:p>
    <w:p w14:paraId="76C3040B" w14:textId="77777777" w:rsidR="008C18C0" w:rsidRPr="00847607" w:rsidRDefault="008C18C0" w:rsidP="008C18C0">
      <w:pPr>
        <w:spacing w:after="0" w:line="240" w:lineRule="auto"/>
        <w:jc w:val="both"/>
        <w:rPr>
          <w:rFonts w:ascii="Verdana" w:eastAsiaTheme="minorEastAsia" w:hAnsi="Verdana" w:cs="Arial"/>
          <w:sz w:val="20"/>
          <w:szCs w:val="20"/>
          <w:lang w:val="es-ES_tradnl" w:eastAsia="es-CO"/>
        </w:rPr>
      </w:pPr>
    </w:p>
    <w:p w14:paraId="327F20A5" w14:textId="77777777" w:rsidR="008C18C0" w:rsidRPr="00847607" w:rsidRDefault="008C18C0" w:rsidP="008C18C0">
      <w:pPr>
        <w:spacing w:after="0" w:line="240" w:lineRule="auto"/>
        <w:jc w:val="both"/>
        <w:rPr>
          <w:rFonts w:ascii="Verdana" w:eastAsiaTheme="minorEastAsia" w:hAnsi="Verdana" w:cs="Arial"/>
          <w:sz w:val="20"/>
          <w:szCs w:val="20"/>
          <w:lang w:val="es-ES_tradnl" w:eastAsia="es-CO"/>
        </w:rPr>
      </w:pPr>
      <w:r w:rsidRPr="00847607">
        <w:rPr>
          <w:rFonts w:ascii="Verdana" w:eastAsiaTheme="minorEastAsia" w:hAnsi="Verdana" w:cs="Arial"/>
          <w:sz w:val="20"/>
          <w:szCs w:val="20"/>
          <w:lang w:val="es-ES_tradnl" w:eastAsia="es-CO"/>
        </w:rPr>
        <w:t>En los supuestos anteriores, regulados en el inciso segundo del artículo 20, independientemente del monto de los aportes de cada una de las partes, es posible optar por someter el contrato a los reglamentos de dichos organismos o bien someterlos al EGCAP, es decir, configurado alguno de los presupuestos anteriores es posible elegir cualquiera de los dos (2) regímenes indicados.</w:t>
      </w:r>
    </w:p>
    <w:p w14:paraId="52141D27" w14:textId="77777777" w:rsidR="008C18C0" w:rsidRPr="00847607" w:rsidRDefault="008C18C0" w:rsidP="008C18C0">
      <w:pPr>
        <w:spacing w:after="0" w:line="240" w:lineRule="auto"/>
        <w:jc w:val="both"/>
        <w:rPr>
          <w:rFonts w:ascii="Verdana" w:eastAsiaTheme="minorEastAsia" w:hAnsi="Verdana" w:cs="Arial"/>
          <w:sz w:val="20"/>
          <w:szCs w:val="20"/>
          <w:lang w:val="es-ES_tradnl" w:eastAsia="es-CO"/>
        </w:rPr>
      </w:pPr>
      <w:r w:rsidRPr="00847607">
        <w:rPr>
          <w:rFonts w:ascii="Verdana" w:eastAsiaTheme="minorEastAsia" w:hAnsi="Verdana" w:cs="Arial"/>
          <w:sz w:val="20"/>
          <w:szCs w:val="20"/>
          <w:lang w:val="es-ES_tradnl" w:eastAsia="es-CO"/>
        </w:rPr>
        <w:t>[…]</w:t>
      </w:r>
    </w:p>
    <w:p w14:paraId="68AF3862" w14:textId="77777777" w:rsidR="008C18C0" w:rsidRPr="00847607" w:rsidRDefault="008C18C0" w:rsidP="008C18C0">
      <w:pPr>
        <w:spacing w:after="0" w:line="240" w:lineRule="auto"/>
        <w:jc w:val="both"/>
        <w:rPr>
          <w:rFonts w:ascii="Verdana" w:eastAsiaTheme="minorEastAsia" w:hAnsi="Verdana" w:cs="Arial"/>
          <w:sz w:val="20"/>
          <w:szCs w:val="20"/>
          <w:lang w:val="es-ES_tradnl" w:eastAsia="es-CO"/>
        </w:rPr>
      </w:pPr>
    </w:p>
    <w:p w14:paraId="2512F1ED" w14:textId="77777777" w:rsidR="008C18C0" w:rsidRPr="0081021E" w:rsidRDefault="008C18C0" w:rsidP="008C18C0">
      <w:pPr>
        <w:spacing w:after="0" w:line="240" w:lineRule="auto"/>
        <w:jc w:val="both"/>
        <w:rPr>
          <w:rFonts w:ascii="Verdana" w:hAnsi="Verdana" w:cs="Arial"/>
          <w:sz w:val="20"/>
          <w:szCs w:val="20"/>
        </w:rPr>
      </w:pPr>
      <w:r w:rsidRPr="00847607">
        <w:rPr>
          <w:rFonts w:ascii="Verdana" w:eastAsiaTheme="minorEastAsia" w:hAnsi="Verdana" w:cs="Arial"/>
          <w:sz w:val="20"/>
          <w:szCs w:val="20"/>
          <w:lang w:val="es-ES_tradnl" w:eastAsia="es-CO"/>
        </w:rPr>
        <w:lastRenderedPageBreak/>
        <w:t>Asimismo, el parágrafo primero del artículo 20 de la Ley 1150 de 2007 establece un tercer criterio para determinar el régimen contractual aplicable. De acuerdo con la norma, “Los contratos o acuerdos celebrados con personas extranjeras de derecho público, podrán someterse a las reglas de tales organismos”. Estos negocios jurídicos, a diferencia de los contratos del inciso primero ibidem, son independientes del monto de los aportes realizados por el organismo. Igualmente, en contraste con los contratos del inciso segundo ibidem, son negocios jurídicos independientes del objeto convenido. No obstante, al igual de los dos (2) supuestos explicados ut supra, en esta hipótesis también es posible optar por someter el contrato a los reglamentos de dichos organismos o bien someterlos a la Ley 80 de 1993</w:t>
      </w:r>
      <w:r w:rsidRPr="005D18F8">
        <w:rPr>
          <w:rFonts w:ascii="Verdana" w:hAnsi="Verdana" w:cs="Arial"/>
          <w:sz w:val="20"/>
          <w:szCs w:val="20"/>
        </w:rPr>
        <w:t>.</w:t>
      </w:r>
      <w:r w:rsidRPr="0081021E">
        <w:rPr>
          <w:rFonts w:ascii="Verdana" w:hAnsi="Verdana" w:cs="Arial"/>
          <w:sz w:val="20"/>
          <w:szCs w:val="20"/>
        </w:rPr>
        <w:t xml:space="preserve"> </w:t>
      </w:r>
    </w:p>
    <w:p w14:paraId="62D7E145" w14:textId="77777777" w:rsidR="008C18C0" w:rsidRPr="0081021E" w:rsidRDefault="008C18C0" w:rsidP="008C18C0">
      <w:pPr>
        <w:spacing w:after="0" w:line="240" w:lineRule="auto"/>
        <w:jc w:val="both"/>
        <w:rPr>
          <w:rFonts w:ascii="Verdana" w:hAnsi="Verdana" w:cs="Arial"/>
          <w:sz w:val="20"/>
          <w:szCs w:val="20"/>
        </w:rPr>
      </w:pPr>
    </w:p>
    <w:p w14:paraId="0EE9FB8C" w14:textId="77777777" w:rsidR="008C18C0" w:rsidRPr="00FD1E54" w:rsidRDefault="008C18C0" w:rsidP="008C18C0">
      <w:pPr>
        <w:spacing w:after="0" w:line="240" w:lineRule="auto"/>
        <w:jc w:val="both"/>
        <w:rPr>
          <w:rFonts w:ascii="Verdana" w:hAnsi="Verdana" w:cs="Arial"/>
          <w:b/>
          <w:bCs/>
        </w:rPr>
      </w:pPr>
      <w:r w:rsidRPr="009D64F2">
        <w:rPr>
          <w:rFonts w:ascii="Verdana" w:hAnsi="Verdana" w:cs="Arial"/>
          <w:b/>
          <w:bCs/>
        </w:rPr>
        <w:t>ORGANISMOS MULTILATERALES DE CRÉDITO – Reglamentos</w:t>
      </w:r>
      <w:r>
        <w:rPr>
          <w:rFonts w:ascii="Verdana" w:hAnsi="Verdana" w:cs="Arial"/>
          <w:b/>
          <w:bCs/>
        </w:rPr>
        <w:t xml:space="preserve"> – Garantías</w:t>
      </w:r>
    </w:p>
    <w:p w14:paraId="4163D76B" w14:textId="77777777" w:rsidR="008C18C0" w:rsidRPr="0081021E" w:rsidRDefault="008C18C0" w:rsidP="008C18C0">
      <w:pPr>
        <w:spacing w:after="0" w:line="240" w:lineRule="auto"/>
        <w:jc w:val="both"/>
        <w:rPr>
          <w:rFonts w:ascii="Verdana" w:hAnsi="Verdana" w:cs="Arial"/>
          <w:sz w:val="20"/>
          <w:szCs w:val="20"/>
        </w:rPr>
      </w:pPr>
    </w:p>
    <w:p w14:paraId="2E4BE822" w14:textId="77777777" w:rsidR="008C18C0" w:rsidRDefault="008C18C0" w:rsidP="008C18C0">
      <w:pPr>
        <w:pStyle w:val="Sinespaciado"/>
        <w:jc w:val="both"/>
        <w:rPr>
          <w:rFonts w:ascii="Verdana" w:eastAsiaTheme="minorEastAsia" w:hAnsi="Verdana" w:cs="Arial"/>
          <w:sz w:val="20"/>
          <w:szCs w:val="20"/>
          <w:lang w:val="es-ES_tradnl" w:eastAsia="es-CO"/>
        </w:rPr>
      </w:pPr>
      <w:r w:rsidRPr="005D66F9">
        <w:rPr>
          <w:rFonts w:ascii="Verdana" w:eastAsiaTheme="minorEastAsia" w:hAnsi="Verdana" w:cs="Arial"/>
          <w:sz w:val="20"/>
          <w:szCs w:val="20"/>
          <w:lang w:val="es-ES_tradnl" w:eastAsia="es-CO"/>
        </w:rPr>
        <w:t xml:space="preserve">El segundo inciso del artículo 20 de la Ley 1150 de 2007 permite que las entidades estatales celebren convenios con las personas extranjeras de derecho público u organismos de derecho internacional –para los objetos contractuales señalados en dicha norma–, pudiendo someterse en tales casos a los reglamentos de dichas instituciones. El legislador no distinguió los aspectos sobre los cuales es factible aplicar los reglamentos de estos organismos internacionales. En consecuencia, ante dicho silencio, debe entenderse que dentro de la remisión también cabe el régimen de garantías. Esto significa que las entidades estatales pueden contratar siguiendo los mecanismos de cobertura establecidos en los reglamentos de los organismos internacionales a los que alude el citado artículo 20, y no los previstos en el Estatuto General de Contratación de la Administración Pública. </w:t>
      </w:r>
    </w:p>
    <w:p w14:paraId="31152609" w14:textId="77777777" w:rsidR="008C18C0" w:rsidRPr="005D66F9" w:rsidRDefault="008C18C0" w:rsidP="008C18C0">
      <w:pPr>
        <w:pStyle w:val="Sinespaciado"/>
        <w:jc w:val="both"/>
        <w:rPr>
          <w:rFonts w:ascii="Verdana" w:eastAsiaTheme="minorEastAsia" w:hAnsi="Verdana" w:cs="Arial"/>
          <w:sz w:val="20"/>
          <w:szCs w:val="20"/>
          <w:lang w:val="es-ES_tradnl" w:eastAsia="es-CO"/>
        </w:rPr>
      </w:pPr>
    </w:p>
    <w:p w14:paraId="1360FE44" w14:textId="77777777" w:rsidR="008C18C0" w:rsidRPr="00082C17" w:rsidRDefault="008C18C0" w:rsidP="008C18C0">
      <w:pPr>
        <w:pStyle w:val="Sinespaciado"/>
        <w:jc w:val="both"/>
        <w:rPr>
          <w:rFonts w:ascii="Verdana" w:hAnsi="Verdana" w:cs="Arial"/>
          <w:color w:val="000000" w:themeColor="text1"/>
          <w:sz w:val="20"/>
          <w:szCs w:val="20"/>
        </w:rPr>
      </w:pPr>
      <w:r w:rsidRPr="005D66F9">
        <w:rPr>
          <w:rFonts w:ascii="Verdana" w:eastAsiaTheme="minorEastAsia" w:hAnsi="Verdana" w:cs="Arial"/>
          <w:sz w:val="20"/>
          <w:szCs w:val="20"/>
          <w:lang w:val="es-ES_tradnl" w:eastAsia="es-CO"/>
        </w:rPr>
        <w:t xml:space="preserve">En esta hipótesis, no son exigibles los criterios establecidos en el EGCAP, por lo que al existir una remisión absoluta a los reglamentos de los organismos </w:t>
      </w:r>
      <w:r>
        <w:rPr>
          <w:rFonts w:ascii="Verdana" w:eastAsiaTheme="minorEastAsia" w:hAnsi="Verdana" w:cs="Arial"/>
          <w:sz w:val="20"/>
          <w:szCs w:val="20"/>
          <w:lang w:val="es-ES_tradnl" w:eastAsia="es-CO"/>
        </w:rPr>
        <w:t>internacionales, éstos deben aplicarse</w:t>
      </w:r>
      <w:r w:rsidRPr="005D66F9">
        <w:rPr>
          <w:rFonts w:ascii="Verdana" w:eastAsiaTheme="minorEastAsia" w:hAnsi="Verdana" w:cs="Arial"/>
          <w:sz w:val="20"/>
          <w:szCs w:val="20"/>
          <w:lang w:val="es-ES_tradnl" w:eastAsia="es-CO"/>
        </w:rPr>
        <w:t xml:space="preserve"> de manera integral. </w:t>
      </w:r>
      <w:r w:rsidRPr="005D66F9">
        <w:rPr>
          <w:rFonts w:ascii="Verdana" w:eastAsiaTheme="minorEastAsia" w:hAnsi="Verdana" w:cs="Arial"/>
          <w:i/>
          <w:iCs/>
          <w:sz w:val="20"/>
          <w:szCs w:val="20"/>
          <w:lang w:val="es-ES_tradnl" w:eastAsia="es-CO"/>
        </w:rPr>
        <w:t>Contrario sensu</w:t>
      </w:r>
      <w:r w:rsidRPr="005D66F9">
        <w:rPr>
          <w:rFonts w:ascii="Verdana" w:eastAsiaTheme="minorEastAsia" w:hAnsi="Verdana" w:cs="Arial"/>
          <w:sz w:val="20"/>
          <w:szCs w:val="20"/>
          <w:lang w:val="es-ES_tradnl" w:eastAsia="es-CO"/>
        </w:rPr>
        <w:t>, si las partes deciden someter dichos contratos a la Ley 80 de 1993, los negocios suscritos se rigen por el artículo 7 de la Ley 1150 de 2007; razón por la cual, con los requisitos establecidos en el Decreto 1082 de 2015, los amparos pueden cubrirse a través de pólizas de seguro, fiducias en garantía o garantías bancarias.</w:t>
      </w:r>
    </w:p>
    <w:p w14:paraId="0B0725C3" w14:textId="77777777" w:rsidR="008C18C0" w:rsidRPr="00F96338" w:rsidRDefault="008C18C0" w:rsidP="008C18C0">
      <w:pPr>
        <w:spacing w:after="0" w:line="240" w:lineRule="auto"/>
        <w:jc w:val="both"/>
        <w:rPr>
          <w:rFonts w:ascii="Verdana" w:hAnsi="Verdana" w:cs="Arial"/>
          <w:color w:val="000000" w:themeColor="text1"/>
          <w:sz w:val="20"/>
          <w:szCs w:val="20"/>
        </w:rPr>
      </w:pPr>
    </w:p>
    <w:p w14:paraId="2C406004" w14:textId="77777777" w:rsidR="008C18C0" w:rsidRPr="009B46EA" w:rsidRDefault="008C18C0" w:rsidP="008C18C0">
      <w:pPr>
        <w:spacing w:after="0" w:line="240" w:lineRule="auto"/>
        <w:jc w:val="both"/>
        <w:rPr>
          <w:rFonts w:ascii="Verdana" w:hAnsi="Verdana" w:cs="Arial"/>
          <w:color w:val="000000" w:themeColor="text1"/>
          <w:sz w:val="20"/>
          <w:szCs w:val="20"/>
          <w:lang w:val="es-ES_tradnl"/>
        </w:rPr>
      </w:pPr>
    </w:p>
    <w:p w14:paraId="3CB03971" w14:textId="77777777" w:rsidR="008C18C0" w:rsidRDefault="008C18C0" w:rsidP="008C18C0">
      <w:pPr>
        <w:spacing w:after="0" w:line="240" w:lineRule="auto"/>
        <w:jc w:val="both"/>
        <w:rPr>
          <w:rFonts w:ascii="Verdana" w:eastAsia="Calibri" w:hAnsi="Verdana" w:cs="Arial"/>
          <w:b/>
          <w:color w:val="000000" w:themeColor="text1"/>
          <w:lang w:val="es-ES_tradnl"/>
        </w:rPr>
      </w:pPr>
    </w:p>
    <w:p w14:paraId="4F988289" w14:textId="77777777" w:rsidR="008C18C0" w:rsidRDefault="008C18C0" w:rsidP="008C18C0">
      <w:pPr>
        <w:spacing w:after="0" w:line="240" w:lineRule="auto"/>
        <w:jc w:val="both"/>
        <w:rPr>
          <w:rFonts w:ascii="Verdana" w:eastAsia="Calibri" w:hAnsi="Verdana" w:cs="Arial"/>
          <w:b/>
          <w:color w:val="000000" w:themeColor="text1"/>
          <w:lang w:val="es-ES_tradnl"/>
        </w:rPr>
      </w:pPr>
    </w:p>
    <w:p w14:paraId="28D49D7C" w14:textId="77777777" w:rsidR="008C18C0" w:rsidRDefault="008C18C0" w:rsidP="008C18C0">
      <w:pPr>
        <w:spacing w:after="0" w:line="240" w:lineRule="auto"/>
        <w:jc w:val="both"/>
        <w:rPr>
          <w:rFonts w:ascii="Verdana" w:eastAsia="Calibri" w:hAnsi="Verdana" w:cs="Arial"/>
          <w:b/>
          <w:color w:val="000000" w:themeColor="text1"/>
          <w:lang w:val="es-ES_tradnl"/>
        </w:rPr>
      </w:pPr>
    </w:p>
    <w:p w14:paraId="7FAA5E1B" w14:textId="77777777" w:rsidR="008C18C0" w:rsidRDefault="008C18C0" w:rsidP="008C18C0">
      <w:pPr>
        <w:spacing w:after="0" w:line="240" w:lineRule="auto"/>
        <w:jc w:val="both"/>
        <w:rPr>
          <w:rFonts w:ascii="Verdana" w:eastAsia="Calibri" w:hAnsi="Verdana" w:cs="Arial"/>
          <w:b/>
          <w:color w:val="000000" w:themeColor="text1"/>
          <w:lang w:val="es-ES_tradnl"/>
        </w:rPr>
      </w:pPr>
    </w:p>
    <w:p w14:paraId="45E93DA0" w14:textId="77777777" w:rsidR="008C18C0" w:rsidRDefault="008C18C0" w:rsidP="008C18C0">
      <w:pPr>
        <w:spacing w:after="0" w:line="240" w:lineRule="auto"/>
        <w:jc w:val="both"/>
        <w:rPr>
          <w:rFonts w:ascii="Verdana" w:eastAsia="Calibri" w:hAnsi="Verdana" w:cs="Arial"/>
          <w:b/>
          <w:color w:val="000000" w:themeColor="text1"/>
          <w:lang w:val="es-ES_tradnl"/>
        </w:rPr>
      </w:pPr>
    </w:p>
    <w:p w14:paraId="1FEDFAB8" w14:textId="77777777" w:rsidR="008C18C0" w:rsidRDefault="008C18C0" w:rsidP="008C18C0">
      <w:pPr>
        <w:spacing w:after="0" w:line="240" w:lineRule="auto"/>
        <w:jc w:val="both"/>
        <w:rPr>
          <w:rFonts w:ascii="Verdana" w:eastAsia="Calibri" w:hAnsi="Verdana" w:cs="Arial"/>
          <w:b/>
          <w:color w:val="000000" w:themeColor="text1"/>
          <w:lang w:val="es-ES_tradnl"/>
        </w:rPr>
      </w:pPr>
    </w:p>
    <w:p w14:paraId="07B82549" w14:textId="77777777" w:rsidR="008C18C0" w:rsidRDefault="008C18C0" w:rsidP="008C18C0">
      <w:pPr>
        <w:spacing w:after="0" w:line="240" w:lineRule="auto"/>
        <w:jc w:val="both"/>
        <w:rPr>
          <w:rFonts w:ascii="Verdana" w:eastAsia="Geomanist Light" w:hAnsi="Verdana" w:cs="Arial"/>
          <w:color w:val="000000" w:themeColor="text1"/>
          <w:lang w:val="es-MX"/>
        </w:rPr>
      </w:pPr>
    </w:p>
    <w:p w14:paraId="3E7B1D17" w14:textId="77777777" w:rsidR="008C18C0" w:rsidRDefault="008C18C0" w:rsidP="008C18C0">
      <w:pPr>
        <w:spacing w:after="0" w:line="240" w:lineRule="auto"/>
        <w:jc w:val="both"/>
        <w:rPr>
          <w:rFonts w:ascii="Verdana" w:eastAsia="Geomanist Light" w:hAnsi="Verdana" w:cs="Arial"/>
          <w:color w:val="000000" w:themeColor="text1"/>
          <w:lang w:val="es-MX"/>
        </w:rPr>
      </w:pPr>
    </w:p>
    <w:p w14:paraId="1417BE58" w14:textId="77777777" w:rsidR="008C18C0" w:rsidRDefault="008C18C0" w:rsidP="008C18C0">
      <w:pPr>
        <w:spacing w:after="0" w:line="240" w:lineRule="auto"/>
        <w:jc w:val="both"/>
        <w:rPr>
          <w:rFonts w:ascii="Verdana" w:eastAsia="Geomanist Light" w:hAnsi="Verdana" w:cs="Arial"/>
          <w:color w:val="000000" w:themeColor="text1"/>
          <w:lang w:val="es-MX"/>
        </w:rPr>
      </w:pPr>
    </w:p>
    <w:p w14:paraId="5EE9E6F9" w14:textId="77777777" w:rsidR="008C18C0" w:rsidRDefault="008C18C0" w:rsidP="00FE34B6">
      <w:pPr>
        <w:spacing w:after="0" w:line="240" w:lineRule="auto"/>
        <w:jc w:val="both"/>
        <w:rPr>
          <w:rFonts w:ascii="Verdana" w:eastAsia="Geomanist Light" w:hAnsi="Verdana" w:cs="Arial"/>
          <w:color w:val="000000" w:themeColor="text1"/>
          <w:lang w:val="es-MX"/>
        </w:rPr>
      </w:pPr>
    </w:p>
    <w:p w14:paraId="28DBC8DB" w14:textId="01CE3593" w:rsidR="00FE34B6" w:rsidRPr="000666BB" w:rsidRDefault="00FE34B6" w:rsidP="00FE34B6">
      <w:pPr>
        <w:spacing w:after="0" w:line="240" w:lineRule="auto"/>
        <w:jc w:val="both"/>
        <w:rPr>
          <w:rFonts w:ascii="Verdana" w:eastAsia="Times New Roman" w:hAnsi="Verdana" w:cs="Arial"/>
          <w:color w:val="000000"/>
          <w:sz w:val="20"/>
          <w:szCs w:val="20"/>
          <w:lang w:eastAsia="es-MX"/>
        </w:rPr>
      </w:pPr>
      <w:r w:rsidRPr="00593A5F">
        <w:rPr>
          <w:rFonts w:ascii="Verdana" w:eastAsia="Geomanist Light" w:hAnsi="Verdana" w:cs="Arial"/>
          <w:color w:val="000000" w:themeColor="text1"/>
          <w:lang w:val="es-MX"/>
        </w:rPr>
        <w:lastRenderedPageBreak/>
        <w:t>Bogotá D.C., </w:t>
      </w:r>
      <w:r w:rsidR="00E83DDA" w:rsidRPr="00FC6B32">
        <w:rPr>
          <w:rFonts w:ascii="Verdana" w:eastAsia="Geomanist Light" w:hAnsi="Verdana" w:cs="Arial"/>
          <w:lang w:val="es-MX"/>
        </w:rPr>
        <w:t>16 de Febrero de 2026</w:t>
      </w:r>
    </w:p>
    <w:p w14:paraId="12B54E3B" w14:textId="77777777" w:rsidR="00FE34B6" w:rsidRDefault="00FE34B6" w:rsidP="00FE34B6">
      <w:pPr>
        <w:spacing w:after="0" w:line="240" w:lineRule="auto"/>
        <w:jc w:val="both"/>
        <w:rPr>
          <w:rFonts w:ascii="Verdana" w:eastAsia="Calibri" w:hAnsi="Verdana" w:cs="Arial"/>
          <w:color w:val="000000"/>
          <w:lang w:val="es-ES"/>
        </w:rPr>
      </w:pPr>
    </w:p>
    <w:p w14:paraId="2C417CB3" w14:textId="1E64C72B" w:rsidR="00EA077E" w:rsidRDefault="00EA077E" w:rsidP="00EA077E">
      <w:pPr>
        <w:spacing w:after="0" w:line="240" w:lineRule="auto"/>
        <w:jc w:val="right"/>
        <w:rPr>
          <w:rFonts w:ascii="Verdana" w:eastAsia="Calibri" w:hAnsi="Verdana" w:cs="Arial"/>
          <w:color w:val="000000"/>
          <w:lang w:val="es-ES"/>
        </w:rPr>
      </w:pPr>
      <w:r w:rsidRPr="00EA077E">
        <w:rPr>
          <w:rFonts w:ascii="Verdana" w:eastAsia="Calibri" w:hAnsi="Verdana" w:cs="Arial"/>
          <w:noProof/>
          <w:color w:val="000000"/>
          <w:lang w:val="es-ES"/>
        </w:rPr>
        <w:drawing>
          <wp:inline distT="0" distB="0" distL="0" distR="0" wp14:anchorId="1B398EE5" wp14:editId="0A2BAB9B">
            <wp:extent cx="2400300" cy="622300"/>
            <wp:effectExtent l="0" t="0" r="0" b="0"/>
            <wp:docPr id="19522884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288419" name=""/>
                    <pic:cNvPicPr/>
                  </pic:nvPicPr>
                  <pic:blipFill>
                    <a:blip r:embed="rId10"/>
                    <a:stretch>
                      <a:fillRect/>
                    </a:stretch>
                  </pic:blipFill>
                  <pic:spPr>
                    <a:xfrm>
                      <a:off x="0" y="0"/>
                      <a:ext cx="2400300" cy="622300"/>
                    </a:xfrm>
                    <a:prstGeom prst="rect">
                      <a:avLst/>
                    </a:prstGeom>
                  </pic:spPr>
                </pic:pic>
              </a:graphicData>
            </a:graphic>
          </wp:inline>
        </w:drawing>
      </w:r>
    </w:p>
    <w:p w14:paraId="5086EAA6" w14:textId="77777777" w:rsidR="00FE34B6" w:rsidRPr="00593A5F" w:rsidRDefault="00FE34B6" w:rsidP="00FE34B6">
      <w:pPr>
        <w:spacing w:after="0" w:line="240" w:lineRule="auto"/>
        <w:jc w:val="both"/>
        <w:rPr>
          <w:rFonts w:ascii="Verdana" w:eastAsia="Calibri" w:hAnsi="Verdana" w:cs="Arial"/>
          <w:color w:val="000000"/>
          <w:lang w:val="es-ES"/>
        </w:rPr>
      </w:pPr>
    </w:p>
    <w:p w14:paraId="62E4CB81" w14:textId="77777777" w:rsidR="00FE34B6" w:rsidRPr="00B96799" w:rsidRDefault="00FE34B6" w:rsidP="00FE34B6">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7E5FEE99" w14:textId="77777777" w:rsidR="00FE34B6" w:rsidRPr="0085423D" w:rsidRDefault="00FE34B6" w:rsidP="00FE34B6">
      <w:pPr>
        <w:spacing w:after="0" w:line="240" w:lineRule="auto"/>
        <w:rPr>
          <w:rFonts w:ascii="Verdana" w:eastAsia="Calibri" w:hAnsi="Verdana" w:cs="Arial"/>
          <w:b/>
          <w:lang w:val="es-ES" w:eastAsia="es-ES"/>
        </w:rPr>
      </w:pPr>
      <w:bookmarkStart w:id="1" w:name="OLE_LINK1"/>
      <w:r w:rsidRPr="496C3680">
        <w:rPr>
          <w:rFonts w:ascii="Verdana" w:eastAsia="Calibri" w:hAnsi="Verdana" w:cs="Arial"/>
          <w:b/>
          <w:lang w:val="es-ES" w:eastAsia="es-ES"/>
        </w:rPr>
        <w:t xml:space="preserve">Daniela Arias </w:t>
      </w:r>
      <w:proofErr w:type="spellStart"/>
      <w:r w:rsidRPr="496C3680">
        <w:rPr>
          <w:rFonts w:ascii="Verdana" w:eastAsia="Calibri" w:hAnsi="Verdana" w:cs="Arial"/>
          <w:b/>
          <w:lang w:val="es-ES" w:eastAsia="es-ES"/>
        </w:rPr>
        <w:t>Arias</w:t>
      </w:r>
      <w:proofErr w:type="spellEnd"/>
      <w:r w:rsidRPr="496C3680">
        <w:rPr>
          <w:rFonts w:ascii="Verdana" w:eastAsia="Calibri" w:hAnsi="Verdana" w:cs="Arial"/>
          <w:b/>
          <w:lang w:val="es-ES" w:eastAsia="es-ES"/>
        </w:rPr>
        <w:t xml:space="preserve">  </w:t>
      </w:r>
    </w:p>
    <w:bookmarkEnd w:id="1"/>
    <w:p w14:paraId="41516283" w14:textId="77777777" w:rsidR="00FE34B6" w:rsidRDefault="00FE34B6" w:rsidP="00FE34B6">
      <w:pPr>
        <w:spacing w:after="0" w:line="240" w:lineRule="auto"/>
        <w:rPr>
          <w:rFonts w:ascii="Verdana" w:hAnsi="Verdana"/>
        </w:rPr>
      </w:pPr>
      <w:r>
        <w:rPr>
          <w:rFonts w:ascii="Verdana" w:hAnsi="Verdana"/>
        </w:rPr>
        <w:fldChar w:fldCharType="begin"/>
      </w:r>
      <w:r>
        <w:rPr>
          <w:rFonts w:ascii="Verdana" w:hAnsi="Verdana"/>
        </w:rPr>
        <w:instrText>HYPERLINK "mailto:</w:instrText>
      </w:r>
      <w:r w:rsidRPr="004A3093">
        <w:rPr>
          <w:rFonts w:ascii="Verdana" w:hAnsi="Verdana"/>
        </w:rPr>
        <w:instrText>trincon@fasecolda.com</w:instrText>
      </w:r>
      <w:r>
        <w:rPr>
          <w:rFonts w:ascii="Verdana" w:hAnsi="Verdana"/>
        </w:rPr>
        <w:instrText>"</w:instrText>
      </w:r>
      <w:r>
        <w:rPr>
          <w:rFonts w:ascii="Verdana" w:hAnsi="Verdana"/>
        </w:rPr>
      </w:r>
      <w:r>
        <w:rPr>
          <w:rFonts w:ascii="Verdana" w:hAnsi="Verdana"/>
        </w:rPr>
        <w:fldChar w:fldCharType="separate"/>
      </w:r>
      <w:r w:rsidRPr="00590D97">
        <w:rPr>
          <w:rStyle w:val="Hipervnculo"/>
          <w:rFonts w:ascii="Verdana" w:hAnsi="Verdana"/>
        </w:rPr>
        <w:t>trincon@fasecolda.com</w:t>
      </w:r>
      <w:r>
        <w:rPr>
          <w:rFonts w:ascii="Verdana" w:hAnsi="Verdana"/>
        </w:rPr>
        <w:fldChar w:fldCharType="end"/>
      </w:r>
    </w:p>
    <w:p w14:paraId="6A3D09E3" w14:textId="77777777" w:rsidR="00FE34B6" w:rsidRDefault="00FE34B6" w:rsidP="00FE34B6">
      <w:pPr>
        <w:spacing w:after="0" w:line="240" w:lineRule="auto"/>
        <w:rPr>
          <w:rFonts w:ascii="Verdana" w:eastAsia="Calibri" w:hAnsi="Verdana" w:cs="Arial"/>
          <w:lang w:val="es-ES" w:eastAsia="es-ES"/>
        </w:rPr>
      </w:pPr>
      <w:r w:rsidRPr="004A3093">
        <w:rPr>
          <w:rFonts w:ascii="Verdana" w:eastAsia="Calibri" w:hAnsi="Verdana" w:cs="Arial"/>
          <w:lang w:val="es-ES" w:eastAsia="es-ES"/>
        </w:rPr>
        <w:t>Bogotá D.C.</w:t>
      </w:r>
      <w:r>
        <w:rPr>
          <w:rFonts w:ascii="Verdana" w:eastAsia="Calibri" w:hAnsi="Verdana" w:cs="Arial"/>
          <w:lang w:val="es-ES" w:eastAsia="es-ES"/>
        </w:rPr>
        <w:t xml:space="preserve"> </w:t>
      </w:r>
    </w:p>
    <w:p w14:paraId="42B1428D" w14:textId="77777777" w:rsidR="00FE34B6" w:rsidRPr="00593A5F" w:rsidRDefault="00FE34B6" w:rsidP="00FE34B6">
      <w:pPr>
        <w:spacing w:after="0" w:line="240" w:lineRule="auto"/>
        <w:rPr>
          <w:rFonts w:ascii="Verdana" w:eastAsia="Calibri" w:hAnsi="Verdana" w:cs="Arial"/>
          <w:b/>
          <w:bCs/>
          <w:color w:val="000000"/>
          <w:lang w:val="es-ES_tradnl" w:eastAsia="es-ES_tradnl"/>
        </w:rPr>
      </w:pPr>
    </w:p>
    <w:p w14:paraId="2552E315" w14:textId="77777777" w:rsidR="00FE34B6" w:rsidRPr="00593A5F" w:rsidRDefault="00FE34B6" w:rsidP="00FE34B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B2A3B" w:rsidRPr="00593A5F" w14:paraId="04E55454" w14:textId="77777777" w:rsidTr="00A03637">
        <w:trPr>
          <w:trHeight w:val="884"/>
        </w:trPr>
        <w:tc>
          <w:tcPr>
            <w:tcW w:w="2689" w:type="dxa"/>
          </w:tcPr>
          <w:p w14:paraId="77DE5785" w14:textId="77777777" w:rsidR="00FE34B6" w:rsidRPr="00C00976" w:rsidRDefault="00FE34B6" w:rsidP="00A03637">
            <w:pPr>
              <w:jc w:val="both"/>
              <w:rPr>
                <w:rFonts w:ascii="Verdana" w:eastAsia="Calibri" w:hAnsi="Verdana" w:cs="Arial"/>
                <w:b/>
                <w:bCs/>
                <w:color w:val="7030A0"/>
                <w:lang w:val="es-ES_tradnl" w:eastAsia="es-ES_tradnl"/>
              </w:rPr>
            </w:pPr>
          </w:p>
        </w:tc>
        <w:tc>
          <w:tcPr>
            <w:tcW w:w="6100" w:type="dxa"/>
          </w:tcPr>
          <w:p w14:paraId="27D080AE" w14:textId="77777777" w:rsidR="00FE34B6" w:rsidRPr="00C00976" w:rsidRDefault="00FE34B6" w:rsidP="00A03637">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158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DB2A3B" w:rsidRPr="00593A5F" w14:paraId="434FD16A" w14:textId="77777777" w:rsidTr="00A03637">
        <w:trPr>
          <w:trHeight w:val="884"/>
        </w:trPr>
        <w:tc>
          <w:tcPr>
            <w:tcW w:w="2689" w:type="dxa"/>
          </w:tcPr>
          <w:p w14:paraId="6CE0C812" w14:textId="77777777" w:rsidR="00FE34B6" w:rsidRPr="00593A5F" w:rsidRDefault="00FE34B6" w:rsidP="00A0363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668452A" w14:textId="77777777" w:rsidR="00FE34B6" w:rsidRDefault="00FE34B6" w:rsidP="00A03637">
            <w:pPr>
              <w:spacing w:line="276" w:lineRule="auto"/>
              <w:jc w:val="both"/>
              <w:rPr>
                <w:rFonts w:ascii="Verdana" w:eastAsia="Calibri" w:hAnsi="Verdana" w:cs="Arial"/>
                <w:lang w:val="es-ES" w:eastAsia="es-ES"/>
              </w:rPr>
            </w:pPr>
            <w:r w:rsidRPr="00377AB0">
              <w:rPr>
                <w:rFonts w:ascii="Verdana" w:eastAsia="Calibri" w:hAnsi="Verdana" w:cs="Arial"/>
                <w:lang w:val="es-ES" w:eastAsia="es-ES"/>
              </w:rPr>
              <w:t>EGCAP – Ámbito de aplicación – Entidades estatales</w:t>
            </w:r>
            <w:r>
              <w:rPr>
                <w:rFonts w:ascii="Verdana" w:eastAsia="Calibri" w:hAnsi="Verdana" w:cs="Arial"/>
                <w:lang w:val="es-ES" w:eastAsia="es-ES"/>
              </w:rPr>
              <w:t xml:space="preserve"> / </w:t>
            </w:r>
            <w:r w:rsidRPr="00384278">
              <w:rPr>
                <w:rFonts w:ascii="Verdana" w:eastAsia="Calibri" w:hAnsi="Verdana" w:cs="Arial"/>
                <w:lang w:val="es-ES" w:eastAsia="es-ES"/>
              </w:rPr>
              <w:t>GARANTÍA DE CUMPLIMIENTO – Amparos – Finalidad</w:t>
            </w:r>
            <w:r>
              <w:rPr>
                <w:rFonts w:ascii="Verdana" w:eastAsia="Calibri" w:hAnsi="Verdana" w:cs="Arial"/>
                <w:lang w:val="es-ES" w:eastAsia="es-ES"/>
              </w:rPr>
              <w:t xml:space="preserve"> / </w:t>
            </w:r>
            <w:r w:rsidRPr="00F96338">
              <w:rPr>
                <w:rFonts w:ascii="Verdana" w:eastAsia="Calibri" w:hAnsi="Verdana" w:cs="Arial"/>
                <w:lang w:val="es-ES" w:eastAsia="es-ES"/>
              </w:rPr>
              <w:t>ORGANISMOS INTERNACIONALES – Concepto / RÉGIMEN CONTRACTUAL – Ley 1150 de 2007 – Artículo 20 / ORGANISMOS MULTILATERALES DE CRÉDITO – Reglamentos</w:t>
            </w:r>
            <w:r>
              <w:rPr>
                <w:rFonts w:ascii="Verdana" w:eastAsia="Calibri" w:hAnsi="Verdana" w:cs="Arial"/>
                <w:lang w:val="es-ES" w:eastAsia="es-ES"/>
              </w:rPr>
              <w:t xml:space="preserve"> – Garantías </w:t>
            </w:r>
          </w:p>
          <w:p w14:paraId="69322204" w14:textId="77777777" w:rsidR="00FE34B6" w:rsidRPr="00593A5F" w:rsidRDefault="00FE34B6" w:rsidP="00A03637">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DB2A3B" w:rsidRPr="008E6AD9" w14:paraId="6D551137" w14:textId="77777777" w:rsidTr="00A03637">
        <w:tc>
          <w:tcPr>
            <w:tcW w:w="2689" w:type="dxa"/>
          </w:tcPr>
          <w:p w14:paraId="6821A0CE" w14:textId="77777777" w:rsidR="00FE34B6" w:rsidRPr="008E6AD9" w:rsidRDefault="00FE34B6" w:rsidP="00A03637">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6D22DBBF" w14:textId="77777777" w:rsidR="00FE34B6" w:rsidRPr="00B92340" w:rsidRDefault="00FE34B6" w:rsidP="00A03637">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las </w:t>
            </w:r>
            <w:r w:rsidRPr="008E6AD9">
              <w:rPr>
                <w:rFonts w:ascii="Verdana" w:eastAsia="Calibri" w:hAnsi="Verdana" w:cs="Arial"/>
                <w:lang w:val="es-ES_tradnl" w:eastAsia="es-ES_tradnl"/>
              </w:rPr>
              <w:t>consulta</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No.</w:t>
            </w:r>
            <w:r>
              <w:t xml:space="preserve"> </w:t>
            </w:r>
            <w:r w:rsidRPr="002C0EFD">
              <w:rPr>
                <w:rFonts w:ascii="Verdana" w:eastAsia="Calibri" w:hAnsi="Verdana" w:cs="Arial"/>
                <w:lang w:val="es-ES_tradnl" w:eastAsia="es-ES_tradnl"/>
              </w:rPr>
              <w:t xml:space="preserve">1_2026_02_04_001406 </w:t>
            </w:r>
            <w:r>
              <w:rPr>
                <w:rFonts w:ascii="Verdana" w:eastAsia="Calibri" w:hAnsi="Verdana" w:cs="Arial"/>
                <w:lang w:val="es-ES_tradnl" w:eastAsia="es-ES_tradnl"/>
              </w:rPr>
              <w:t>y</w:t>
            </w:r>
            <w:r w:rsidRPr="002C0EFD">
              <w:rPr>
                <w:rFonts w:ascii="Verdana" w:eastAsia="Calibri" w:hAnsi="Verdana" w:cs="Arial"/>
                <w:lang w:val="es-ES_tradnl" w:eastAsia="es-ES_tradnl"/>
              </w:rPr>
              <w:t xml:space="preserve"> 1_2026_02_05_001445</w:t>
            </w:r>
            <w:r>
              <w:rPr>
                <w:rFonts w:ascii="Verdana" w:eastAsia="Calibri" w:hAnsi="Verdana" w:cs="Arial"/>
                <w:lang w:val="es-ES_tradnl" w:eastAsia="es-ES_tradnl"/>
              </w:rPr>
              <w:t xml:space="preserve">       –Acumuladas–                                   </w:t>
            </w:r>
          </w:p>
        </w:tc>
      </w:tr>
    </w:tbl>
    <w:p w14:paraId="73825B4C" w14:textId="77777777" w:rsidR="00FE34B6" w:rsidRPr="00593A5F" w:rsidRDefault="00FE34B6" w:rsidP="00FE34B6">
      <w:pPr>
        <w:spacing w:after="0" w:line="240" w:lineRule="auto"/>
        <w:jc w:val="both"/>
        <w:rPr>
          <w:rFonts w:ascii="Verdana" w:eastAsia="Calibri" w:hAnsi="Verdana" w:cs="Arial"/>
          <w:color w:val="000000"/>
          <w:lang w:val="es-ES_tradnl" w:eastAsia="es-ES_tradnl"/>
        </w:rPr>
      </w:pPr>
    </w:p>
    <w:p w14:paraId="6AF5573C" w14:textId="77777777" w:rsidR="00FE34B6" w:rsidRPr="00593A5F" w:rsidRDefault="00FE34B6" w:rsidP="00FE34B6">
      <w:pPr>
        <w:spacing w:after="0" w:line="240" w:lineRule="auto"/>
        <w:jc w:val="both"/>
        <w:rPr>
          <w:rFonts w:ascii="Verdana" w:eastAsia="Calibri" w:hAnsi="Verdana" w:cs="Arial"/>
          <w:color w:val="000000"/>
          <w:lang w:val="es-ES_tradnl" w:eastAsia="es-ES_tradnl"/>
        </w:rPr>
      </w:pPr>
    </w:p>
    <w:p w14:paraId="612096E6" w14:textId="77777777" w:rsidR="00FE34B6" w:rsidRPr="008E6AD9" w:rsidRDefault="00FE34B6" w:rsidP="00FE34B6">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2C0EFD">
        <w:rPr>
          <w:rFonts w:ascii="Verdana" w:eastAsia="Calibri" w:hAnsi="Verdana" w:cs="Arial"/>
          <w:lang w:val="es-ES" w:eastAsia="es-ES"/>
        </w:rPr>
        <w:t xml:space="preserve">Arias </w:t>
      </w:r>
      <w:proofErr w:type="spellStart"/>
      <w:r w:rsidRPr="002C0EFD">
        <w:rPr>
          <w:rFonts w:ascii="Verdana" w:eastAsia="Calibri" w:hAnsi="Verdana" w:cs="Arial"/>
          <w:lang w:val="es-ES" w:eastAsia="es-ES"/>
        </w:rPr>
        <w:t>Arias</w:t>
      </w:r>
      <w:proofErr w:type="spellEnd"/>
      <w:r w:rsidRPr="008E6AD9">
        <w:rPr>
          <w:rFonts w:ascii="Verdana" w:eastAsia="Calibri" w:hAnsi="Verdana" w:cs="Arial"/>
          <w:lang w:val="es-ES" w:eastAsia="es-ES"/>
        </w:rPr>
        <w:t xml:space="preserve">: </w:t>
      </w:r>
    </w:p>
    <w:p w14:paraId="3A49EA5E" w14:textId="77777777" w:rsidR="00FE34B6" w:rsidRDefault="00FE34B6" w:rsidP="00FE34B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0B0F8CE" w14:textId="77777777" w:rsidR="00FE34B6" w:rsidRPr="00593A5F" w:rsidRDefault="00FE34B6" w:rsidP="00FE34B6">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w:t>
      </w:r>
      <w:r w:rsidRPr="00255F8E">
        <w:rPr>
          <w:rFonts w:ascii="Verdana" w:hAnsi="Verdana" w:cs="Arial"/>
        </w:rPr>
        <w:t>469 de 2025</w:t>
      </w:r>
      <w:r w:rsidRPr="00593A5F">
        <w:rPr>
          <w:rFonts w:ascii="Verdana" w:hAnsi="Verdana" w:cs="Arial"/>
        </w:rPr>
        <w:t xml:space="preserve"> expedida por esta Entidad, </w:t>
      </w:r>
      <w:r w:rsidRPr="000623DD">
        <w:rPr>
          <w:rFonts w:ascii="Verdana" w:eastAsia="Calibri" w:hAnsi="Verdana" w:cs="Arial"/>
          <w:color w:val="000000" w:themeColor="text1"/>
          <w:lang w:val="es-ES" w:eastAsia="es-ES"/>
        </w:rPr>
        <w:t>la Agencia Nacional de Contratación Pública – Colombia Compra Eficiente responde la</w:t>
      </w:r>
      <w:r>
        <w:rPr>
          <w:rFonts w:ascii="Verdana" w:eastAsia="Calibri" w:hAnsi="Verdana" w:cs="Arial"/>
          <w:color w:val="000000" w:themeColor="text1"/>
          <w:lang w:val="es-ES" w:eastAsia="es-ES"/>
        </w:rPr>
        <w:t>s</w:t>
      </w:r>
      <w:r w:rsidRPr="000623DD">
        <w:rPr>
          <w:rFonts w:ascii="Verdana" w:eastAsia="Calibri" w:hAnsi="Verdana" w:cs="Arial"/>
          <w:color w:val="000000" w:themeColor="text1"/>
          <w:lang w:val="es-ES" w:eastAsia="es-ES"/>
        </w:rPr>
        <w:t xml:space="preserve"> petici</w:t>
      </w:r>
      <w:r>
        <w:rPr>
          <w:rFonts w:ascii="Verdana" w:eastAsia="Calibri" w:hAnsi="Verdana" w:cs="Arial"/>
          <w:color w:val="000000" w:themeColor="text1"/>
          <w:lang w:val="es-ES" w:eastAsia="es-ES"/>
        </w:rPr>
        <w:t>o</w:t>
      </w:r>
      <w:r w:rsidRPr="000623DD">
        <w:rPr>
          <w:rFonts w:ascii="Verdana" w:eastAsia="Calibri" w:hAnsi="Verdana" w:cs="Arial"/>
          <w:color w:val="000000" w:themeColor="text1"/>
          <w:lang w:val="es-ES" w:eastAsia="es-ES"/>
        </w:rPr>
        <w:t>n</w:t>
      </w:r>
      <w:r>
        <w:rPr>
          <w:rFonts w:ascii="Verdana" w:eastAsia="Calibri" w:hAnsi="Verdana" w:cs="Arial"/>
          <w:color w:val="000000" w:themeColor="text1"/>
          <w:lang w:val="es-ES" w:eastAsia="es-ES"/>
        </w:rPr>
        <w:t>es</w:t>
      </w:r>
      <w:r w:rsidRPr="000623DD">
        <w:rPr>
          <w:rFonts w:ascii="Verdana" w:eastAsia="Calibri" w:hAnsi="Verdana" w:cs="Arial"/>
          <w:color w:val="000000" w:themeColor="text1"/>
          <w:lang w:val="es-ES" w:eastAsia="es-ES"/>
        </w:rPr>
        <w:t xml:space="preserve"> enviada</w:t>
      </w:r>
      <w:r>
        <w:rPr>
          <w:rFonts w:ascii="Verdana" w:eastAsia="Calibri" w:hAnsi="Verdana" w:cs="Arial"/>
          <w:color w:val="000000" w:themeColor="text1"/>
          <w:lang w:val="es-ES" w:eastAsia="es-ES"/>
        </w:rPr>
        <w:t>s el 4 y 5 de febrero de 2026</w:t>
      </w:r>
      <w:r>
        <w:rPr>
          <w:rFonts w:ascii="Verdana" w:eastAsia="Calibri" w:hAnsi="Verdana" w:cs="Arial"/>
          <w:lang w:val="es-ES" w:eastAsia="es-ES"/>
        </w:rPr>
        <w:t xml:space="preserve">, donde –especialmente, tratándose de contratos financiados con recursos provenientes de </w:t>
      </w:r>
      <w:r w:rsidRPr="00422431">
        <w:rPr>
          <w:rFonts w:ascii="Verdana" w:eastAsia="Calibri" w:hAnsi="Verdana" w:cs="Arial"/>
          <w:lang w:val="es-ES" w:eastAsia="es-ES"/>
        </w:rPr>
        <w:t>organismos multilaterales de crédito</w:t>
      </w:r>
      <w:r>
        <w:rPr>
          <w:rFonts w:ascii="Verdana" w:eastAsia="Calibri" w:hAnsi="Verdana" w:cs="Arial"/>
          <w:lang w:val="es-ES" w:eastAsia="es-ES"/>
        </w:rPr>
        <w:t>– solicita un concepto jurídico sobre los siguientes aspectos</w:t>
      </w:r>
      <w:r w:rsidRPr="008E6AD9">
        <w:rPr>
          <w:rFonts w:ascii="Verdana" w:eastAsia="Calibri" w:hAnsi="Verdana" w:cs="Arial"/>
          <w:lang w:val="es-ES" w:eastAsia="es-ES"/>
        </w:rPr>
        <w:t xml:space="preserve">: </w:t>
      </w:r>
    </w:p>
    <w:p w14:paraId="6045DCD0" w14:textId="77777777" w:rsidR="00FE34B6" w:rsidRPr="00272A7B" w:rsidRDefault="00FE34B6" w:rsidP="00FE34B6">
      <w:pPr>
        <w:pStyle w:val="Prrafodelista"/>
        <w:tabs>
          <w:tab w:val="left" w:pos="142"/>
          <w:tab w:val="left" w:pos="284"/>
        </w:tabs>
        <w:spacing w:after="0" w:line="276" w:lineRule="auto"/>
        <w:ind w:left="0"/>
        <w:jc w:val="both"/>
        <w:rPr>
          <w:rFonts w:ascii="Verdana" w:eastAsia="Century Gothic" w:hAnsi="Verdana" w:cs="Century Gothic"/>
          <w:b/>
          <w:bCs/>
        </w:rPr>
      </w:pPr>
    </w:p>
    <w:p w14:paraId="7334F991" w14:textId="77777777" w:rsidR="00FE34B6" w:rsidRPr="00134834" w:rsidRDefault="00FE34B6" w:rsidP="00FE34B6">
      <w:pPr>
        <w:spacing w:after="120" w:line="240" w:lineRule="auto"/>
        <w:ind w:left="709" w:right="709"/>
        <w:jc w:val="both"/>
        <w:rPr>
          <w:rFonts w:ascii="Verdana" w:eastAsia="Century Gothic" w:hAnsi="Verdana" w:cs="Century Gothic"/>
          <w:sz w:val="20"/>
          <w:szCs w:val="20"/>
          <w:lang w:val="es-ES"/>
        </w:rPr>
      </w:pPr>
      <w:bookmarkStart w:id="2" w:name="_Hlk95313578"/>
      <w:r w:rsidRPr="00AA6517">
        <w:rPr>
          <w:rFonts w:ascii="Verdana" w:eastAsia="Century Gothic" w:hAnsi="Verdana" w:cs="Century Gothic"/>
          <w:sz w:val="20"/>
          <w:szCs w:val="20"/>
          <w:lang w:val="es-ES"/>
        </w:rPr>
        <w:lastRenderedPageBreak/>
        <w:t>“</w:t>
      </w:r>
      <w:bookmarkEnd w:id="2"/>
      <w:r w:rsidRPr="00134834">
        <w:rPr>
          <w:rFonts w:ascii="Verdana" w:eastAsia="Century Gothic" w:hAnsi="Verdana" w:cs="Century Gothic"/>
          <w:sz w:val="20"/>
          <w:szCs w:val="20"/>
          <w:lang w:val="es-ES"/>
        </w:rPr>
        <w:t xml:space="preserve">3.1. Si la remisión prevista en el artículo 20 de la Ley 1150 de 2007 habilita a la entidad estatal para aplicar de manera íntegra los reglamentos de los organismos multilaterales, aun cuando estos contengan reglas que, en la práctica, restringen de forma significativa la pluralidad de oferentes o la libre concurrencia, en tensión con los principios estructurales del Estatuto General de la Contratación Pública. </w:t>
      </w:r>
    </w:p>
    <w:p w14:paraId="52571FFE" w14:textId="77777777" w:rsidR="00FE34B6" w:rsidRPr="00134834" w:rsidRDefault="00FE34B6" w:rsidP="00FE34B6">
      <w:pPr>
        <w:spacing w:after="120" w:line="240" w:lineRule="auto"/>
        <w:ind w:left="709" w:right="709"/>
        <w:jc w:val="both"/>
        <w:rPr>
          <w:rFonts w:ascii="Verdana" w:eastAsia="Century Gothic" w:hAnsi="Verdana" w:cs="Century Gothic"/>
          <w:sz w:val="20"/>
          <w:szCs w:val="20"/>
          <w:lang w:val="es-ES"/>
        </w:rPr>
      </w:pPr>
      <w:r w:rsidRPr="00134834">
        <w:rPr>
          <w:rFonts w:ascii="Verdana" w:eastAsia="Century Gothic" w:hAnsi="Verdana" w:cs="Century Gothic"/>
          <w:sz w:val="20"/>
          <w:szCs w:val="20"/>
          <w:lang w:val="es-ES"/>
        </w:rPr>
        <w:t xml:space="preserve">3.2. Si, en el marco de la aplicación de los reglamentos de organismos multilaterales, existen límites derivados de los principios de pluralidad, eficiencia, proporcionalidad y selección objetiva que deban ser observados por las entidades estatales, aun cuando el artículo 20 de la Ley 1150 de 2007 permita una remisión integral a dichos reglamentos. </w:t>
      </w:r>
    </w:p>
    <w:p w14:paraId="737337E6" w14:textId="77777777" w:rsidR="00FE34B6" w:rsidRPr="00134834" w:rsidRDefault="00FE34B6" w:rsidP="00FE34B6">
      <w:pPr>
        <w:spacing w:after="120" w:line="240" w:lineRule="auto"/>
        <w:ind w:left="709" w:right="709"/>
        <w:jc w:val="both"/>
        <w:rPr>
          <w:rFonts w:ascii="Verdana" w:eastAsia="Century Gothic" w:hAnsi="Verdana" w:cs="Century Gothic"/>
          <w:sz w:val="20"/>
          <w:szCs w:val="20"/>
          <w:lang w:val="es-ES"/>
        </w:rPr>
      </w:pPr>
      <w:r w:rsidRPr="00134834">
        <w:rPr>
          <w:rFonts w:ascii="Verdana" w:eastAsia="Century Gothic" w:hAnsi="Verdana" w:cs="Century Gothic"/>
          <w:sz w:val="20"/>
          <w:szCs w:val="20"/>
          <w:lang w:val="es-ES"/>
        </w:rPr>
        <w:t xml:space="preserve">3.3. Si la entidad estatal está jurídicamente habilitada para aplicar de manera íntegra los reglamentos de un organismo multilateral cuando estos imponen de forma exclusiva un único mecanismo de garantía y, además, prohíben expresamente otros mecanismos, restringiendo así las alternativas previstas en el Estatuto General de la Contratación Pública y afectando la pluralidad de oferentes y la libre competencia. </w:t>
      </w:r>
    </w:p>
    <w:p w14:paraId="26347096" w14:textId="77777777" w:rsidR="00FE34B6" w:rsidRPr="00134834" w:rsidRDefault="00FE34B6" w:rsidP="00FE34B6">
      <w:pPr>
        <w:spacing w:after="0" w:line="240" w:lineRule="auto"/>
        <w:ind w:left="709" w:right="709"/>
        <w:jc w:val="both"/>
        <w:rPr>
          <w:rFonts w:ascii="Verdana" w:eastAsia="Century Gothic" w:hAnsi="Verdana" w:cs="Century Gothic"/>
          <w:sz w:val="20"/>
          <w:szCs w:val="20"/>
        </w:rPr>
      </w:pPr>
      <w:r w:rsidRPr="00134834">
        <w:rPr>
          <w:rFonts w:ascii="Verdana" w:eastAsia="Century Gothic" w:hAnsi="Verdana" w:cs="Century Gothic"/>
          <w:sz w:val="20"/>
          <w:szCs w:val="20"/>
          <w:lang w:val="es-ES"/>
        </w:rPr>
        <w:t>3.4. Si la remisión prevista en el artículo 20 de la Ley 1150 de 2007 debe entenderse como una habilitación absoluta o, por el contrario, como una excepción de interpretación y aplicación restrictiva, particularmente cuando las reglas adoptadas por los organismos multilaterales inciden de manera directa en la competencia del mercado y en el acceso efectivo de los oferentes</w:t>
      </w:r>
      <w:r w:rsidRPr="00AA6517">
        <w:rPr>
          <w:rFonts w:ascii="Verdana" w:eastAsia="Century Gothic" w:hAnsi="Verdana" w:cs="Century Gothic"/>
          <w:sz w:val="20"/>
          <w:szCs w:val="20"/>
        </w:rPr>
        <w:t>”.</w:t>
      </w:r>
      <w:r>
        <w:rPr>
          <w:rFonts w:ascii="Verdana" w:eastAsia="Century Gothic" w:hAnsi="Verdana" w:cs="Century Gothic"/>
          <w:sz w:val="21"/>
          <w:szCs w:val="21"/>
        </w:rPr>
        <w:t xml:space="preserve"> </w:t>
      </w:r>
    </w:p>
    <w:p w14:paraId="44CFF1E6" w14:textId="77777777" w:rsidR="00FE34B6" w:rsidRPr="008E6AD9" w:rsidRDefault="00FE34B6" w:rsidP="00FE34B6">
      <w:pPr>
        <w:pStyle w:val="Prrafodelista"/>
        <w:tabs>
          <w:tab w:val="left" w:pos="142"/>
          <w:tab w:val="left" w:pos="284"/>
        </w:tabs>
        <w:spacing w:after="0" w:line="276" w:lineRule="auto"/>
        <w:ind w:left="0"/>
        <w:jc w:val="both"/>
        <w:rPr>
          <w:rFonts w:ascii="Verdana" w:eastAsia="Century Gothic" w:hAnsi="Verdana" w:cs="Century Gothic"/>
          <w:b/>
          <w:bCs/>
        </w:rPr>
      </w:pPr>
    </w:p>
    <w:p w14:paraId="787FE25D" w14:textId="77777777" w:rsidR="00FE34B6" w:rsidRPr="00A652FF" w:rsidRDefault="00FE34B6" w:rsidP="00FE34B6">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D1BF382" w14:textId="77777777" w:rsidR="00FE34B6" w:rsidRDefault="00FE34B6" w:rsidP="00FE34B6">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 xml:space="preserve">específicas que la </w:t>
      </w:r>
      <w:r>
        <w:rPr>
          <w:rFonts w:ascii="Verdana" w:eastAsia="Calibri" w:hAnsi="Verdana" w:cs="Arial"/>
          <w:color w:val="000000"/>
          <w:lang w:val="es-ES" w:eastAsia="es-ES"/>
        </w:rPr>
        <w:lastRenderedPageBreak/>
        <w:t>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1459A775" w14:textId="77777777" w:rsidR="00FE34B6" w:rsidRPr="00593A5F" w:rsidRDefault="00FE34B6" w:rsidP="00FE34B6">
      <w:pPr>
        <w:spacing w:after="0" w:line="276" w:lineRule="auto"/>
        <w:ind w:firstLine="709"/>
        <w:jc w:val="both"/>
        <w:rPr>
          <w:rFonts w:ascii="Verdana" w:eastAsia="Calibri" w:hAnsi="Verdana" w:cs="Arial"/>
          <w:color w:val="000000"/>
          <w:lang w:val="es-ES" w:eastAsia="es-ES"/>
        </w:rPr>
      </w:pPr>
    </w:p>
    <w:p w14:paraId="4E79F631" w14:textId="77777777" w:rsidR="00FE34B6" w:rsidRPr="00593A5F" w:rsidRDefault="00FE34B6" w:rsidP="00FE34B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7E6829A" w14:textId="77777777" w:rsidR="00FE34B6" w:rsidRPr="00593A5F" w:rsidRDefault="00FE34B6" w:rsidP="00FE34B6">
      <w:pPr>
        <w:tabs>
          <w:tab w:val="left" w:pos="426"/>
        </w:tabs>
        <w:spacing w:after="0" w:line="276" w:lineRule="auto"/>
        <w:jc w:val="both"/>
        <w:rPr>
          <w:rFonts w:ascii="Verdana" w:eastAsia="Century Gothic" w:hAnsi="Verdana" w:cs="Century Gothic"/>
          <w:lang w:val="es-ES"/>
        </w:rPr>
      </w:pPr>
    </w:p>
    <w:p w14:paraId="212D2EC1" w14:textId="77777777" w:rsidR="00FE34B6" w:rsidRPr="00593A5F" w:rsidRDefault="00FE34B6" w:rsidP="00FE34B6">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66128B">
        <w:rPr>
          <w:rFonts w:ascii="Verdana" w:eastAsia="Century Gothic" w:hAnsi="Verdana" w:cs="Century Gothic"/>
        </w:rPr>
        <w:t>¿</w:t>
      </w:r>
      <w:r>
        <w:rPr>
          <w:rFonts w:ascii="Verdana" w:eastAsia="Century Gothic" w:hAnsi="Verdana" w:cs="Century Gothic"/>
        </w:rPr>
        <w:t xml:space="preserve">cuál es el régimen de garantías aplicable a los </w:t>
      </w:r>
      <w:r w:rsidRPr="0066128B">
        <w:rPr>
          <w:rFonts w:ascii="Verdana" w:eastAsia="Century Gothic" w:hAnsi="Verdana" w:cs="Century Gothic"/>
        </w:rPr>
        <w:t>contratos financiados con recursos provenientes de organismos multilaterales de crédito</w:t>
      </w:r>
      <w:r w:rsidRPr="0066128B">
        <w:rPr>
          <w:rFonts w:ascii="Verdana" w:eastAsia="Times New Roman" w:hAnsi="Verdana" w:cs="Arial"/>
          <w:kern w:val="2"/>
          <w:lang w:val="es-ES_tradnl" w:eastAsia="es-ES_tradnl"/>
          <w14:ligatures w14:val="standardContextual"/>
        </w:rPr>
        <w:t>?</w:t>
      </w:r>
      <w:r>
        <w:rPr>
          <w:rFonts w:ascii="Verdana" w:eastAsia="Century Gothic" w:hAnsi="Verdana" w:cs="Century Gothic"/>
        </w:rPr>
        <w:t xml:space="preserve">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5D676FAA" w14:textId="77777777" w:rsidR="00FE34B6" w:rsidRPr="004B140F" w:rsidRDefault="00FE34B6" w:rsidP="00FE34B6">
      <w:pPr>
        <w:spacing w:after="0" w:line="276" w:lineRule="auto"/>
        <w:jc w:val="both"/>
        <w:rPr>
          <w:rFonts w:ascii="Verdana" w:eastAsia="Calibri" w:hAnsi="Verdana" w:cs="Arial"/>
          <w:color w:val="7030A0"/>
        </w:rPr>
      </w:pPr>
    </w:p>
    <w:p w14:paraId="6433A685" w14:textId="77777777" w:rsidR="00FE34B6" w:rsidRPr="00593A5F" w:rsidRDefault="00FE34B6" w:rsidP="00FE34B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C882D62" w14:textId="77777777" w:rsidR="00FE34B6" w:rsidRPr="00593A5F" w:rsidRDefault="00FE34B6" w:rsidP="00FE34B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53BFB" w:rsidRPr="00593A5F" w14:paraId="58E946EC" w14:textId="77777777" w:rsidTr="00A03637">
        <w:trPr>
          <w:jc w:val="center"/>
        </w:trPr>
        <w:tc>
          <w:tcPr>
            <w:tcW w:w="8828" w:type="dxa"/>
          </w:tcPr>
          <w:p w14:paraId="7F41E61C" w14:textId="77777777" w:rsidR="00FE34B6" w:rsidRDefault="00FE34B6" w:rsidP="00A03637">
            <w:pPr>
              <w:widowControl w:val="0"/>
              <w:autoSpaceDE w:val="0"/>
              <w:autoSpaceDN w:val="0"/>
              <w:spacing w:after="120" w:line="276" w:lineRule="auto"/>
              <w:jc w:val="both"/>
              <w:rPr>
                <w:rFonts w:ascii="Verdana" w:eastAsia="Calibri" w:hAnsi="Verdana" w:cs="Arial"/>
                <w:bCs/>
                <w:color w:val="000000" w:themeColor="text1"/>
              </w:rPr>
            </w:pPr>
            <w:bookmarkStart w:id="3" w:name="_Hlk171694685"/>
            <w:r>
              <w:rPr>
                <w:rFonts w:ascii="Verdana" w:eastAsia="Calibri" w:hAnsi="Verdana" w:cs="Arial"/>
                <w:bCs/>
                <w:color w:val="000000" w:themeColor="text1"/>
              </w:rPr>
              <w:t xml:space="preserve">Conforme a la interpretación general de las normas del sistema de compras públicas, </w:t>
            </w:r>
            <w:r w:rsidRPr="00767845">
              <w:rPr>
                <w:rFonts w:ascii="Verdana" w:eastAsia="Calibri" w:hAnsi="Verdana" w:cs="Arial"/>
                <w:bCs/>
                <w:color w:val="000000" w:themeColor="text1"/>
              </w:rPr>
              <w:t>el segundo inciso del artículo 20 de la Ley 1150 de 2007 establece que “[…] los contratos o convenios financiados con fondos de los organismos multilaterales de crédito […] podrán someterse a los reglamentos de tales entidades”. Esto significa que, aunque no sea obligatorio, es posible que el régimen al que se vinculen las partes del contrato respectivo sean las directrices internas de dichos organismos, independientemente de la cuantía de los recursos provenientes de los fondos de los organismos multilaterales de crédito, pues el inciso al que se ha hecho referencia no condiciona la posibilidad de someterse a tales reglamentos a un porcentaje específico. Así lo reitera el inciso quinto del artículo 2.2.1.2.4.4.1. del Decreto 1082 de 2015</w:t>
            </w:r>
            <w:r>
              <w:rPr>
                <w:rFonts w:ascii="Verdana" w:eastAsia="Calibri" w:hAnsi="Verdana" w:cs="Arial"/>
                <w:bCs/>
                <w:color w:val="000000" w:themeColor="text1"/>
              </w:rPr>
              <w:t>.</w:t>
            </w:r>
          </w:p>
          <w:p w14:paraId="452AC53E" w14:textId="263C05D0" w:rsidR="002D25FB" w:rsidRDefault="007140CC" w:rsidP="002D25FB">
            <w:pPr>
              <w:widowControl w:val="0"/>
              <w:autoSpaceDE w:val="0"/>
              <w:autoSpaceDN w:val="0"/>
              <w:spacing w:after="120" w:line="276" w:lineRule="auto"/>
              <w:ind w:firstLine="737"/>
              <w:jc w:val="both"/>
              <w:rPr>
                <w:rFonts w:ascii="Verdana" w:eastAsia="Calibri" w:hAnsi="Verdana" w:cs="Arial"/>
                <w:bCs/>
                <w:color w:val="000000" w:themeColor="text1"/>
              </w:rPr>
            </w:pPr>
            <w:r w:rsidRPr="00DB30EB">
              <w:rPr>
                <w:rFonts w:ascii="Verdana" w:eastAsia="Calibri" w:hAnsi="Verdana" w:cs="Arial"/>
                <w:color w:val="000000" w:themeColor="text1"/>
              </w:rPr>
              <w:t>S</w:t>
            </w:r>
            <w:r w:rsidR="00A006AE" w:rsidRPr="00DB30EB">
              <w:rPr>
                <w:rFonts w:ascii="Verdana" w:eastAsia="Calibri" w:hAnsi="Verdana" w:cs="Arial"/>
                <w:color w:val="000000" w:themeColor="text1"/>
              </w:rPr>
              <w:t>i el artículo 5 de la Ley 1150 de 2007 entiende que “Es objetiva la selección en la cual la escogencia se haga al ofrecimiento más favorable a la entidad y a los fines que ella busca, sin tener en consideración factores de afecto o de interés y, en general, cualquier clase de motivación subjetiva</w:t>
            </w:r>
            <w:r w:rsidR="0040668A" w:rsidRPr="00DB30EB">
              <w:rPr>
                <w:rFonts w:ascii="Verdana" w:eastAsia="Calibri" w:hAnsi="Verdana" w:cs="Arial"/>
                <w:color w:val="000000" w:themeColor="text1"/>
              </w:rPr>
              <w:t xml:space="preserve"> […]</w:t>
            </w:r>
            <w:r w:rsidR="009339F5" w:rsidRPr="00DB30EB">
              <w:rPr>
                <w:rFonts w:ascii="Verdana" w:eastAsia="Calibri" w:hAnsi="Verdana" w:cs="Arial"/>
                <w:color w:val="000000" w:themeColor="text1"/>
              </w:rPr>
              <w:t>”</w:t>
            </w:r>
            <w:r w:rsidR="00B61E1F" w:rsidRPr="00DB30EB">
              <w:rPr>
                <w:rFonts w:ascii="Verdana" w:eastAsia="Calibri" w:hAnsi="Verdana" w:cs="Arial"/>
                <w:color w:val="000000" w:themeColor="text1"/>
              </w:rPr>
              <w:t xml:space="preserve">, dicha </w:t>
            </w:r>
            <w:r w:rsidR="00EE317E" w:rsidRPr="00DB30EB">
              <w:rPr>
                <w:rFonts w:ascii="Verdana" w:eastAsia="Calibri" w:hAnsi="Verdana" w:cs="Arial"/>
                <w:color w:val="000000" w:themeColor="text1"/>
              </w:rPr>
              <w:t xml:space="preserve">definición </w:t>
            </w:r>
            <w:r w:rsidR="00980A2E" w:rsidRPr="00DB30EB">
              <w:rPr>
                <w:rFonts w:ascii="Verdana" w:eastAsia="Calibri" w:hAnsi="Verdana" w:cs="Arial"/>
                <w:color w:val="000000" w:themeColor="text1"/>
              </w:rPr>
              <w:t xml:space="preserve">aplica </w:t>
            </w:r>
            <w:r w:rsidR="00956013" w:rsidRPr="00DB30EB">
              <w:rPr>
                <w:rFonts w:ascii="Verdana" w:eastAsia="Calibri" w:hAnsi="Verdana" w:cs="Arial"/>
                <w:color w:val="000000" w:themeColor="text1"/>
              </w:rPr>
              <w:t xml:space="preserve">principalmente </w:t>
            </w:r>
            <w:r w:rsidR="00E71538" w:rsidRPr="00DB30EB">
              <w:rPr>
                <w:rFonts w:ascii="Verdana" w:eastAsia="Calibri" w:hAnsi="Verdana" w:cs="Arial"/>
                <w:color w:val="000000" w:themeColor="text1"/>
              </w:rPr>
              <w:t xml:space="preserve">a los contratos sometidos </w:t>
            </w:r>
            <w:r w:rsidR="00A22B63" w:rsidRPr="00DB30EB">
              <w:rPr>
                <w:rFonts w:ascii="Verdana" w:eastAsia="Calibri" w:hAnsi="Verdana" w:cs="Arial"/>
                <w:color w:val="000000" w:themeColor="text1"/>
              </w:rPr>
              <w:t>al EGCAP. Esto significa que</w:t>
            </w:r>
            <w:r w:rsidR="00B53AC9" w:rsidRPr="00DB30EB">
              <w:rPr>
                <w:rFonts w:ascii="Verdana" w:eastAsia="Calibri" w:hAnsi="Verdana" w:cs="Arial"/>
                <w:color w:val="000000" w:themeColor="text1"/>
              </w:rPr>
              <w:t xml:space="preserve">, en los casos </w:t>
            </w:r>
            <w:r w:rsidR="00956013" w:rsidRPr="00DB30EB">
              <w:rPr>
                <w:rFonts w:ascii="Verdana" w:eastAsia="Calibri" w:hAnsi="Verdana" w:cs="Arial"/>
                <w:color w:val="000000" w:themeColor="text1"/>
              </w:rPr>
              <w:t>donde</w:t>
            </w:r>
            <w:r w:rsidR="00AA38F5" w:rsidRPr="00DB30EB">
              <w:rPr>
                <w:rFonts w:ascii="Verdana" w:eastAsia="Calibri" w:hAnsi="Verdana" w:cs="Arial"/>
                <w:color w:val="000000" w:themeColor="text1"/>
              </w:rPr>
              <w:t xml:space="preserve"> los contratos se regulen </w:t>
            </w:r>
            <w:r w:rsidR="00C57799" w:rsidRPr="00DB30EB">
              <w:rPr>
                <w:rFonts w:ascii="Verdana" w:eastAsia="Calibri" w:hAnsi="Verdana" w:cs="Arial"/>
                <w:color w:val="000000" w:themeColor="text1"/>
              </w:rPr>
              <w:t>por los reglamentos de los organismos internacionales</w:t>
            </w:r>
            <w:r w:rsidR="00365AED" w:rsidRPr="00DB30EB">
              <w:rPr>
                <w:rFonts w:ascii="Verdana" w:eastAsia="Calibri" w:hAnsi="Verdana" w:cs="Arial"/>
                <w:color w:val="000000" w:themeColor="text1"/>
              </w:rPr>
              <w:t xml:space="preserve">, éstos definirán </w:t>
            </w:r>
            <w:r w:rsidR="00197CF8" w:rsidRPr="00DB30EB">
              <w:rPr>
                <w:rFonts w:ascii="Verdana" w:eastAsia="Calibri" w:hAnsi="Verdana" w:cs="Arial"/>
                <w:color w:val="000000" w:themeColor="text1"/>
              </w:rPr>
              <w:t>el marco jurídico aplicable</w:t>
            </w:r>
            <w:r w:rsidR="00D124EC" w:rsidRPr="00DB30EB">
              <w:rPr>
                <w:rFonts w:ascii="Verdana" w:eastAsia="Calibri" w:hAnsi="Verdana" w:cs="Arial"/>
                <w:color w:val="000000" w:themeColor="text1"/>
              </w:rPr>
              <w:t xml:space="preserve"> para negocios </w:t>
            </w:r>
            <w:r w:rsidR="0042706C" w:rsidRPr="00DB30EB">
              <w:rPr>
                <w:rFonts w:ascii="Verdana" w:eastAsia="Calibri" w:hAnsi="Verdana" w:cs="Arial"/>
                <w:color w:val="000000" w:themeColor="text1"/>
              </w:rPr>
              <w:t>que se adelanten</w:t>
            </w:r>
            <w:r w:rsidR="00232D0A" w:rsidRPr="00DB30EB">
              <w:rPr>
                <w:rFonts w:ascii="Verdana" w:eastAsia="Calibri" w:hAnsi="Verdana" w:cs="Arial"/>
                <w:color w:val="000000" w:themeColor="text1"/>
              </w:rPr>
              <w:t>, las cuales –por sustracción de materia– son a</w:t>
            </w:r>
            <w:r w:rsidR="00601802" w:rsidRPr="00DB30EB">
              <w:rPr>
                <w:rFonts w:ascii="Verdana" w:eastAsia="Calibri" w:hAnsi="Verdana" w:cs="Arial"/>
                <w:color w:val="000000" w:themeColor="text1"/>
              </w:rPr>
              <w:t>jenas a las del estatuto general</w:t>
            </w:r>
            <w:r w:rsidR="00DB2A3B" w:rsidRPr="00DB30EB">
              <w:rPr>
                <w:rFonts w:ascii="Verdana" w:eastAsia="Calibri" w:hAnsi="Verdana" w:cs="Arial"/>
                <w:color w:val="000000" w:themeColor="text1"/>
              </w:rPr>
              <w:t>.</w:t>
            </w:r>
            <w:r w:rsidR="00197CF8">
              <w:rPr>
                <w:rFonts w:ascii="Verdana" w:eastAsia="Calibri" w:hAnsi="Verdana" w:cs="Arial"/>
                <w:bCs/>
                <w:color w:val="000000" w:themeColor="text1"/>
              </w:rPr>
              <w:t xml:space="preserve"> </w:t>
            </w:r>
          </w:p>
          <w:p w14:paraId="1E25B463" w14:textId="77777777" w:rsidR="00FE34B6" w:rsidRPr="00767845" w:rsidRDefault="00FE34B6" w:rsidP="00A03637">
            <w:pPr>
              <w:widowControl w:val="0"/>
              <w:autoSpaceDE w:val="0"/>
              <w:autoSpaceDN w:val="0"/>
              <w:spacing w:after="120" w:line="276" w:lineRule="auto"/>
              <w:ind w:firstLine="737"/>
              <w:jc w:val="both"/>
              <w:rPr>
                <w:rFonts w:ascii="Verdana" w:eastAsia="Calibri" w:hAnsi="Verdana" w:cs="Arial"/>
                <w:bCs/>
                <w:color w:val="000000"/>
                <w:kern w:val="2"/>
                <w:lang w:val="es-ES_tradnl"/>
                <w14:ligatures w14:val="standardContextual"/>
              </w:rPr>
            </w:pPr>
            <w:r w:rsidRPr="00767845">
              <w:rPr>
                <w:rFonts w:ascii="Verdana" w:eastAsia="Calibri" w:hAnsi="Verdana" w:cs="Arial"/>
                <w:bCs/>
                <w:color w:val="000000"/>
                <w:kern w:val="2"/>
                <w:lang w:val="es-ES_tradnl"/>
                <w14:ligatures w14:val="standardContextual"/>
              </w:rPr>
              <w:t xml:space="preserve">El legislador no distinguió los aspectos sobre los cuales es factible aplicar los reglamentos de estos organismos internacionales. En consecuencia, ante dicho silencio, debe entenderse que dentro de la remisión también cabe el régimen de garantías. Esto significa que las entidades estatales pueden </w:t>
            </w:r>
            <w:r w:rsidRPr="00767845">
              <w:rPr>
                <w:rFonts w:ascii="Verdana" w:eastAsia="Calibri" w:hAnsi="Verdana" w:cs="Arial"/>
                <w:bCs/>
                <w:color w:val="000000"/>
                <w:kern w:val="2"/>
                <w:lang w:val="es-ES_tradnl"/>
                <w14:ligatures w14:val="standardContextual"/>
              </w:rPr>
              <w:lastRenderedPageBreak/>
              <w:t xml:space="preserve">contratar siguiendo los mecanismos de cobertura establecidos en los reglamentos de los organismos internacionales a los que alude el citado artículo 20, y no los previstos en el Estatuto General de Contratación de la Administración Pública. </w:t>
            </w:r>
          </w:p>
          <w:p w14:paraId="27860951" w14:textId="047DA9E1" w:rsidR="00FE34B6" w:rsidRPr="00767845" w:rsidRDefault="00FE34B6" w:rsidP="00A03637">
            <w:pPr>
              <w:widowControl w:val="0"/>
              <w:autoSpaceDE w:val="0"/>
              <w:autoSpaceDN w:val="0"/>
              <w:spacing w:after="120" w:line="276" w:lineRule="auto"/>
              <w:ind w:firstLine="737"/>
              <w:jc w:val="both"/>
              <w:rPr>
                <w:rFonts w:ascii="Verdana" w:eastAsia="Calibri" w:hAnsi="Verdana" w:cs="Arial"/>
                <w:bCs/>
                <w:color w:val="000000"/>
                <w:kern w:val="2"/>
                <w:lang w:val="es-MX"/>
                <w14:ligatures w14:val="standardContextual"/>
              </w:rPr>
            </w:pPr>
            <w:r w:rsidRPr="00767845">
              <w:rPr>
                <w:rFonts w:ascii="Verdana" w:eastAsia="Calibri" w:hAnsi="Verdana" w:cs="Arial"/>
                <w:bCs/>
                <w:color w:val="000000"/>
                <w:kern w:val="2"/>
                <w:lang w:val="es-ES_tradnl"/>
                <w14:ligatures w14:val="standardContextual"/>
              </w:rPr>
              <w:t>En esta hipótesis, no son exigibles los criterios establecidos en el EGCAP, por lo que</w:t>
            </w:r>
            <w:r w:rsidR="00E93E1A">
              <w:rPr>
                <w:rFonts w:ascii="Verdana" w:eastAsia="Calibri" w:hAnsi="Verdana" w:cs="Arial"/>
                <w:bCs/>
                <w:color w:val="000000"/>
                <w:kern w:val="2"/>
                <w:lang w:val="es-ES_tradnl"/>
                <w14:ligatures w14:val="standardContextual"/>
              </w:rPr>
              <w:t>,</w:t>
            </w:r>
            <w:r w:rsidRPr="00767845">
              <w:rPr>
                <w:rFonts w:ascii="Verdana" w:eastAsia="Calibri" w:hAnsi="Verdana" w:cs="Arial"/>
                <w:bCs/>
                <w:color w:val="000000"/>
                <w:kern w:val="2"/>
                <w:lang w:val="es-ES_tradnl"/>
                <w14:ligatures w14:val="standardContextual"/>
              </w:rPr>
              <w:t xml:space="preserve"> al existir una remisión absoluta a los reglamentos de los organismos internacionales, éstos deben aplicarse de manera integral. </w:t>
            </w:r>
            <w:r w:rsidRPr="00767845">
              <w:rPr>
                <w:rFonts w:ascii="Verdana" w:eastAsia="Calibri" w:hAnsi="Verdana" w:cs="Arial"/>
                <w:bCs/>
                <w:i/>
                <w:iCs/>
                <w:color w:val="000000"/>
                <w:kern w:val="2"/>
                <w:lang w:val="es-ES_tradnl"/>
                <w14:ligatures w14:val="standardContextual"/>
              </w:rPr>
              <w:t>Contrario sensu</w:t>
            </w:r>
            <w:r w:rsidRPr="00767845">
              <w:rPr>
                <w:rFonts w:ascii="Verdana" w:eastAsia="Calibri" w:hAnsi="Verdana" w:cs="Arial"/>
                <w:bCs/>
                <w:color w:val="000000"/>
                <w:kern w:val="2"/>
                <w:lang w:val="es-ES_tradnl"/>
                <w14:ligatures w14:val="standardContextual"/>
              </w:rPr>
              <w:t>, si las partes deciden someter dichos contratos a la Ley 80 de 1993, los negocios suscritos se rigen por el artículo 7 de la Ley 1150 de 2007; razón por la cual, con los requisitos establecidos en el Decreto 1082 de 2015, los amparos pueden cubrirse a través de pólizas de seguro, fiducias en garantía o garantías bancarias.</w:t>
            </w:r>
          </w:p>
          <w:p w14:paraId="5C20299D" w14:textId="77777777" w:rsidR="00FE34B6" w:rsidRPr="001941FD" w:rsidRDefault="00FE34B6" w:rsidP="00A03637">
            <w:pPr>
              <w:spacing w:line="276" w:lineRule="auto"/>
              <w:ind w:firstLine="709"/>
              <w:jc w:val="both"/>
              <w:rPr>
                <w:rFonts w:ascii="Verdana" w:eastAsia="Calibri" w:hAnsi="Verdana" w:cs="Arial"/>
                <w:bCs/>
                <w:color w:val="000000" w:themeColor="text1"/>
              </w:rPr>
            </w:pPr>
            <w:r w:rsidRPr="00AD5A94">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sidRPr="001941FD">
              <w:rPr>
                <w:rStyle w:val="s15"/>
                <w:rFonts w:ascii="Verdana" w:hAnsi="Verdana"/>
                <w:color w:val="000000"/>
              </w:rPr>
              <w:t>.</w:t>
            </w:r>
          </w:p>
        </w:tc>
      </w:tr>
    </w:tbl>
    <w:p w14:paraId="0852B23D" w14:textId="77777777" w:rsidR="00FE34B6" w:rsidRPr="00593A5F" w:rsidRDefault="00FE34B6" w:rsidP="00FE34B6">
      <w:pPr>
        <w:tabs>
          <w:tab w:val="left" w:pos="142"/>
          <w:tab w:val="left" w:pos="284"/>
        </w:tabs>
        <w:spacing w:after="0" w:line="276" w:lineRule="auto"/>
        <w:jc w:val="both"/>
        <w:rPr>
          <w:rFonts w:ascii="Verdana" w:eastAsia="Century Gothic" w:hAnsi="Verdana" w:cs="Century Gothic"/>
          <w:b/>
          <w:bCs/>
          <w:lang w:val="es-ES"/>
        </w:rPr>
      </w:pPr>
    </w:p>
    <w:bookmarkEnd w:id="3"/>
    <w:p w14:paraId="678C9437" w14:textId="77777777" w:rsidR="00FE34B6" w:rsidRPr="00593A5F" w:rsidRDefault="00FE34B6" w:rsidP="00FE34B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71EFBD1" w14:textId="77777777" w:rsidR="00FE34B6" w:rsidRPr="00593A5F" w:rsidRDefault="00FE34B6" w:rsidP="00FE34B6">
      <w:pPr>
        <w:spacing w:after="0" w:line="276" w:lineRule="auto"/>
        <w:jc w:val="both"/>
        <w:rPr>
          <w:rFonts w:ascii="Verdana" w:eastAsia="Calibri" w:hAnsi="Verdana" w:cs="Arial"/>
          <w:color w:val="7030A0"/>
          <w:lang w:val="es-ES"/>
        </w:rPr>
      </w:pPr>
    </w:p>
    <w:p w14:paraId="1AAF41BE" w14:textId="77777777" w:rsidR="00FE34B6" w:rsidRDefault="00FE34B6" w:rsidP="00FE34B6">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079CE12" w14:textId="77777777" w:rsidR="00FE34B6" w:rsidRPr="008305C9" w:rsidRDefault="00FE34B6" w:rsidP="00FE34B6">
      <w:pPr>
        <w:spacing w:after="0" w:line="276" w:lineRule="auto"/>
        <w:jc w:val="both"/>
        <w:rPr>
          <w:rFonts w:ascii="Verdana" w:eastAsia="Calibri" w:hAnsi="Verdana" w:cs="Arial"/>
          <w:lang w:val="es-ES"/>
        </w:rPr>
      </w:pPr>
    </w:p>
    <w:p w14:paraId="6BE35D48" w14:textId="77777777" w:rsidR="00FE34B6" w:rsidRPr="0035328D" w:rsidRDefault="00FE34B6" w:rsidP="00FE34B6">
      <w:pPr>
        <w:spacing w:after="120" w:line="276" w:lineRule="auto"/>
        <w:jc w:val="both"/>
        <w:rPr>
          <w:rFonts w:ascii="Verdana" w:hAnsi="Verdana" w:cs="Arial"/>
          <w:lang w:val="es-ES"/>
        </w:rPr>
      </w:pPr>
      <w:r w:rsidRPr="00884819">
        <w:rPr>
          <w:rFonts w:ascii="Verdana" w:eastAsia="Calibri" w:hAnsi="Verdana" w:cs="Arial"/>
          <w:bCs/>
          <w:color w:val="000000" w:themeColor="text1"/>
        </w:rPr>
        <w:t>i</w:t>
      </w:r>
      <w:r>
        <w:rPr>
          <w:rFonts w:ascii="Verdana" w:eastAsia="Calibri" w:hAnsi="Verdana" w:cs="Arial"/>
          <w:bCs/>
          <w:color w:val="000000" w:themeColor="text1"/>
        </w:rPr>
        <w:t xml:space="preserve">. </w:t>
      </w:r>
      <w:r>
        <w:rPr>
          <w:rFonts w:ascii="Verdana" w:hAnsi="Verdana" w:cs="Arial"/>
          <w:lang w:val="es-ES"/>
        </w:rPr>
        <w:t>D</w:t>
      </w:r>
      <w:r w:rsidRPr="0035328D">
        <w:rPr>
          <w:rFonts w:ascii="Verdana" w:hAnsi="Verdana" w:cs="Arial"/>
          <w:lang w:val="es-ES"/>
        </w:rPr>
        <w:t xml:space="preserve">e acuerdo con el inciso final del artículo 150 superior, corresponde al Congreso de la República expedir el </w:t>
      </w:r>
      <w:r>
        <w:rPr>
          <w:rFonts w:ascii="Verdana" w:hAnsi="Verdana" w:cs="Arial"/>
          <w:lang w:val="es-ES"/>
        </w:rPr>
        <w:t>E</w:t>
      </w:r>
      <w:r w:rsidRPr="0035328D">
        <w:rPr>
          <w:rFonts w:ascii="Verdana" w:hAnsi="Verdana" w:cs="Arial"/>
          <w:lang w:val="es-ES"/>
        </w:rPr>
        <w:t xml:space="preserve">statuto </w:t>
      </w:r>
      <w:r>
        <w:rPr>
          <w:rFonts w:ascii="Verdana" w:hAnsi="Verdana" w:cs="Arial"/>
          <w:lang w:val="es-ES"/>
        </w:rPr>
        <w:t>G</w:t>
      </w:r>
      <w:r w:rsidRPr="0035328D">
        <w:rPr>
          <w:rFonts w:ascii="Verdana" w:hAnsi="Verdana" w:cs="Arial"/>
          <w:lang w:val="es-ES"/>
        </w:rPr>
        <w:t xml:space="preserve">eneral de </w:t>
      </w:r>
      <w:r>
        <w:rPr>
          <w:rFonts w:ascii="Verdana" w:hAnsi="Verdana" w:cs="Arial"/>
          <w:lang w:val="es-ES"/>
        </w:rPr>
        <w:t>C</w:t>
      </w:r>
      <w:r w:rsidRPr="0035328D">
        <w:rPr>
          <w:rFonts w:ascii="Verdana" w:hAnsi="Verdana" w:cs="Arial"/>
          <w:lang w:val="es-ES"/>
        </w:rPr>
        <w:t xml:space="preserve">ontratación de la </w:t>
      </w:r>
      <w:r>
        <w:rPr>
          <w:rFonts w:ascii="Verdana" w:hAnsi="Verdana" w:cs="Arial"/>
          <w:lang w:val="es-ES"/>
        </w:rPr>
        <w:t>A</w:t>
      </w:r>
      <w:r w:rsidRPr="0035328D">
        <w:rPr>
          <w:rFonts w:ascii="Verdana" w:hAnsi="Verdana" w:cs="Arial"/>
          <w:lang w:val="es-ES"/>
        </w:rPr>
        <w:t xml:space="preserve">dministración </w:t>
      </w:r>
      <w:r>
        <w:rPr>
          <w:rFonts w:ascii="Verdana" w:hAnsi="Verdana" w:cs="Arial"/>
          <w:lang w:val="es-ES"/>
        </w:rPr>
        <w:t>P</w:t>
      </w:r>
      <w:r w:rsidRPr="0035328D">
        <w:rPr>
          <w:rFonts w:ascii="Verdana" w:hAnsi="Verdana" w:cs="Arial"/>
          <w:lang w:val="es-ES"/>
        </w:rPr>
        <w:t xml:space="preserve">ública y, en especial, de la </w:t>
      </w:r>
      <w:r>
        <w:rPr>
          <w:rFonts w:ascii="Verdana" w:hAnsi="Verdana" w:cs="Arial"/>
          <w:lang w:val="es-ES"/>
        </w:rPr>
        <w:t>A</w:t>
      </w:r>
      <w:r w:rsidRPr="0035328D">
        <w:rPr>
          <w:rFonts w:ascii="Verdana" w:hAnsi="Verdana" w:cs="Arial"/>
          <w:lang w:val="es-ES"/>
        </w:rPr>
        <w:t xml:space="preserve">dministración </w:t>
      </w:r>
      <w:r>
        <w:rPr>
          <w:rFonts w:ascii="Verdana" w:hAnsi="Verdana" w:cs="Arial"/>
          <w:lang w:val="es-ES"/>
        </w:rPr>
        <w:t>N</w:t>
      </w:r>
      <w:r w:rsidRPr="0035328D">
        <w:rPr>
          <w:rFonts w:ascii="Verdana" w:hAnsi="Verdana" w:cs="Arial"/>
          <w:lang w:val="es-ES"/>
        </w:rPr>
        <w:t xml:space="preserve">acional. Esta competencia fue ejercida con la expedición de la Ley 80 de 1993, la cual rige para las </w:t>
      </w:r>
      <w:r w:rsidRPr="00F34258">
        <w:rPr>
          <w:rFonts w:ascii="Verdana" w:hAnsi="Verdana" w:cs="Arial"/>
          <w:i/>
          <w:iCs/>
          <w:lang w:val="es-ES"/>
        </w:rPr>
        <w:t>entidades estatales</w:t>
      </w:r>
      <w:r w:rsidRPr="0035328D">
        <w:rPr>
          <w:rFonts w:ascii="Verdana" w:hAnsi="Verdana" w:cs="Arial"/>
          <w:lang w:val="es-ES"/>
        </w:rPr>
        <w:t xml:space="preserve">, esto es, aquellas previstas en los literales a) y b) del numeral 1 del artículo 2 </w:t>
      </w:r>
      <w:r w:rsidRPr="0035328D">
        <w:rPr>
          <w:rFonts w:ascii="Verdana" w:hAnsi="Verdana" w:cs="Arial"/>
          <w:i/>
          <w:iCs/>
          <w:lang w:val="es-ES"/>
        </w:rPr>
        <w:t>ibidem</w:t>
      </w:r>
      <w:r w:rsidRPr="0035328D">
        <w:rPr>
          <w:rFonts w:ascii="Verdana" w:hAnsi="Verdana" w:cs="Arial"/>
          <w:lang w:val="es-ES"/>
        </w:rPr>
        <w:t xml:space="preserve">. La norma citada define la competencia contractual en los siguientes términos: </w:t>
      </w:r>
    </w:p>
    <w:p w14:paraId="0C7E7DB5" w14:textId="77777777" w:rsidR="00FE34B6" w:rsidRPr="0035328D" w:rsidRDefault="00FE34B6" w:rsidP="00FE34B6">
      <w:pPr>
        <w:spacing w:after="120" w:line="276" w:lineRule="auto"/>
        <w:ind w:firstLine="708"/>
        <w:jc w:val="both"/>
        <w:rPr>
          <w:rFonts w:ascii="Verdana" w:hAnsi="Verdana" w:cs="Arial"/>
          <w:lang w:val="es-ES"/>
        </w:rPr>
      </w:pPr>
      <w:r w:rsidRPr="0035328D">
        <w:rPr>
          <w:rFonts w:ascii="Verdana" w:hAnsi="Verdana" w:cs="Arial"/>
          <w:lang w:val="es-ES"/>
        </w:rPr>
        <w:t>El literal a) aplica a las entidades con personería jurídica</w:t>
      </w:r>
      <w:r>
        <w:rPr>
          <w:rFonts w:ascii="Verdana" w:hAnsi="Verdana" w:cs="Arial"/>
          <w:lang w:val="es-ES"/>
        </w:rPr>
        <w:t>.</w:t>
      </w:r>
      <w:r w:rsidRPr="0035328D">
        <w:rPr>
          <w:rFonts w:ascii="Verdana" w:hAnsi="Verdana" w:cs="Arial"/>
          <w:lang w:val="es-ES"/>
        </w:rPr>
        <w:t xml:space="preserve"> </w:t>
      </w:r>
      <w:r>
        <w:rPr>
          <w:rFonts w:ascii="Verdana" w:hAnsi="Verdana" w:cs="Arial"/>
          <w:lang w:val="es-ES"/>
        </w:rPr>
        <w:t>A</w:t>
      </w:r>
      <w:r w:rsidRPr="0035328D">
        <w:rPr>
          <w:rFonts w:ascii="Verdana" w:hAnsi="Verdana" w:cs="Arial"/>
          <w:lang w:val="es-ES"/>
        </w:rPr>
        <w:t xml:space="preserve">lude a la Nación, las regiones, los departamentos, las provincias, el distrito capital y los </w:t>
      </w:r>
      <w:r w:rsidRPr="0035328D">
        <w:rPr>
          <w:rFonts w:ascii="Verdana" w:hAnsi="Verdana" w:cs="Arial"/>
          <w:lang w:val="es-ES"/>
        </w:rPr>
        <w:lastRenderedPageBreak/>
        <w:t xml:space="preserve">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6BA94777" w14:textId="77777777" w:rsidR="00FE34B6" w:rsidRDefault="00FE34B6" w:rsidP="00FE34B6">
      <w:pPr>
        <w:spacing w:after="120" w:line="276" w:lineRule="auto"/>
        <w:ind w:firstLine="708"/>
        <w:jc w:val="both"/>
        <w:rPr>
          <w:rFonts w:ascii="Verdana" w:hAnsi="Verdana" w:cs="Arial"/>
          <w:lang w:val="es-ES"/>
        </w:rPr>
      </w:pPr>
      <w:r w:rsidRPr="0035328D">
        <w:rPr>
          <w:rFonts w:ascii="Verdana" w:hAnsi="Verdana" w:cs="Arial"/>
          <w:lang w:val="es-ES"/>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35328D">
        <w:rPr>
          <w:rStyle w:val="Refdenotaalpie"/>
          <w:rFonts w:ascii="Verdana" w:hAnsi="Verdana" w:cs="Arial"/>
          <w:lang w:val="es-ES"/>
        </w:rPr>
        <w:footnoteReference w:id="1"/>
      </w:r>
      <w:r w:rsidRPr="0035328D">
        <w:rPr>
          <w:rFonts w:ascii="Verdana" w:hAnsi="Verdana" w:cs="Arial"/>
          <w:lang w:val="es-ES"/>
        </w:rPr>
        <w:t xml:space="preserve">. </w:t>
      </w:r>
    </w:p>
    <w:p w14:paraId="5827A1B5" w14:textId="77777777" w:rsidR="00FE34B6" w:rsidRDefault="00FE34B6" w:rsidP="00FE34B6">
      <w:pPr>
        <w:spacing w:after="0" w:line="276" w:lineRule="auto"/>
        <w:ind w:firstLine="709"/>
        <w:jc w:val="both"/>
        <w:rPr>
          <w:rFonts w:ascii="Verdana" w:hAnsi="Verdana" w:cs="Arial"/>
          <w:bCs/>
          <w:lang w:val="es-MX"/>
        </w:rPr>
      </w:pPr>
      <w:r w:rsidRPr="00F34258">
        <w:rPr>
          <w:rFonts w:ascii="Verdana" w:hAnsi="Verdana" w:cs="Arial"/>
          <w:lang w:val="es-ES"/>
        </w:rPr>
        <w:t xml:space="preserve">Para las entidades de los párrafos anteriores, </w:t>
      </w:r>
      <w:r>
        <w:rPr>
          <w:rFonts w:ascii="Verdana" w:hAnsi="Verdana" w:cs="Arial"/>
          <w:lang w:val="es-ES"/>
        </w:rPr>
        <w:t xml:space="preserve">sin perjuicio de las excepciones puntales a la aplicación del EGCAP, </w:t>
      </w:r>
      <w:r w:rsidRPr="00F34258">
        <w:rPr>
          <w:rFonts w:ascii="Verdana" w:hAnsi="Verdana" w:cs="Arial"/>
          <w:lang w:val="es-ES"/>
        </w:rPr>
        <w:t xml:space="preserve">los procesos de selección se rigen por el artículo 2 de la Ley 1150 de 2007. El </w:t>
      </w:r>
      <w:r w:rsidRPr="00F34258">
        <w:rPr>
          <w:rFonts w:ascii="Verdana" w:hAnsi="Verdana" w:cs="Arial"/>
          <w:bCs/>
          <w:lang w:val="es-MX"/>
        </w:rPr>
        <w:t xml:space="preserve">numeral uno, inciso primero, dispone que “La escogencia del contratista se efectuará por </w:t>
      </w:r>
      <w:r w:rsidRPr="00F34258">
        <w:rPr>
          <w:rFonts w:ascii="Verdana" w:hAnsi="Verdana" w:cs="Arial"/>
          <w:bCs/>
          <w:i/>
          <w:iCs/>
          <w:lang w:val="es-MX"/>
        </w:rPr>
        <w:t>regla general</w:t>
      </w:r>
      <w:r w:rsidRPr="00F34258">
        <w:rPr>
          <w:rFonts w:ascii="Verdana" w:hAnsi="Verdana" w:cs="Arial"/>
          <w:bCs/>
          <w:lang w:val="es-MX"/>
        </w:rPr>
        <w:t xml:space="preserve"> a través de licitación pública, con las </w:t>
      </w:r>
      <w:r w:rsidRPr="00F34258">
        <w:rPr>
          <w:rFonts w:ascii="Verdana" w:hAnsi="Verdana" w:cs="Arial"/>
          <w:bCs/>
          <w:i/>
          <w:iCs/>
          <w:lang w:val="es-MX"/>
        </w:rPr>
        <w:t>excepciones</w:t>
      </w:r>
      <w:r w:rsidRPr="00F34258">
        <w:rPr>
          <w:rFonts w:ascii="Verdana" w:hAnsi="Verdana" w:cs="Arial"/>
          <w:bCs/>
          <w:lang w:val="es-MX"/>
        </w:rPr>
        <w:t xml:space="preserve"> que se señalan en los numerales 2, 3 y 4 del presente artículo”</w:t>
      </w:r>
      <w:r>
        <w:rPr>
          <w:rFonts w:ascii="Verdana" w:hAnsi="Verdana" w:cs="Arial"/>
          <w:bCs/>
          <w:lang w:val="es-MX"/>
        </w:rPr>
        <w:t xml:space="preserve"> (Énfasis fuera de texto)</w:t>
      </w:r>
      <w:r w:rsidRPr="00F34258">
        <w:rPr>
          <w:rFonts w:ascii="Verdana" w:hAnsi="Verdana" w:cs="Arial"/>
          <w:bCs/>
          <w:lang w:val="es-MX"/>
        </w:rPr>
        <w:t xml:space="preserve">, norma que sustituye el derogado numeral 1 del artículo 24 de la Ley 80 de 1993 sobre el principio de </w:t>
      </w:r>
      <w:r w:rsidRPr="00F34258">
        <w:rPr>
          <w:rFonts w:ascii="Verdana" w:hAnsi="Verdana" w:cs="Arial"/>
          <w:bCs/>
          <w:lang w:val="es-MX"/>
        </w:rPr>
        <w:lastRenderedPageBreak/>
        <w:t>transparencia</w:t>
      </w:r>
      <w:r w:rsidRPr="00F34258">
        <w:rPr>
          <w:rFonts w:ascii="Verdana" w:hAnsi="Verdana" w:cs="Arial"/>
          <w:bCs/>
          <w:vertAlign w:val="superscript"/>
          <w:lang w:val="es-MX"/>
        </w:rPr>
        <w:footnoteReference w:id="2"/>
      </w:r>
      <w:r w:rsidRPr="00F34258">
        <w:rPr>
          <w:rFonts w:ascii="Verdana" w:hAnsi="Verdana" w:cs="Arial"/>
          <w:bCs/>
          <w:lang w:val="es-MX"/>
        </w:rPr>
        <w:t xml:space="preserve">. En este contexto, salvo norma especial que ordene la celebración del negocio jurídico por </w:t>
      </w:r>
      <w:r>
        <w:rPr>
          <w:rFonts w:ascii="Verdana" w:hAnsi="Verdana" w:cs="Arial"/>
          <w:bCs/>
          <w:lang w:val="es-MX"/>
        </w:rPr>
        <w:t>selección abreviada, concurso de méritos, mínima cuantía o contratación directa</w:t>
      </w:r>
      <w:r w:rsidRPr="00F34258">
        <w:rPr>
          <w:rFonts w:ascii="Verdana" w:hAnsi="Verdana" w:cs="Arial"/>
          <w:bCs/>
          <w:lang w:val="es-MX"/>
        </w:rPr>
        <w:t>, debe aplicarse la regla general de licitación pública</w:t>
      </w:r>
      <w:r w:rsidRPr="00F34258">
        <w:rPr>
          <w:rFonts w:ascii="Verdana" w:hAnsi="Verdana" w:cs="Arial"/>
          <w:bCs/>
          <w:vertAlign w:val="superscript"/>
          <w:lang w:val="es-MX"/>
        </w:rPr>
        <w:footnoteReference w:id="3"/>
      </w:r>
      <w:r w:rsidRPr="00F34258">
        <w:rPr>
          <w:rFonts w:ascii="Verdana" w:hAnsi="Verdana" w:cs="Arial"/>
          <w:bCs/>
          <w:lang w:val="es-MX"/>
        </w:rPr>
        <w:t>.</w:t>
      </w:r>
    </w:p>
    <w:p w14:paraId="037371CD" w14:textId="77777777" w:rsidR="00FE34B6" w:rsidRDefault="00FE34B6" w:rsidP="00FE34B6">
      <w:pPr>
        <w:spacing w:after="0" w:line="276" w:lineRule="auto"/>
        <w:ind w:firstLine="709"/>
        <w:jc w:val="both"/>
        <w:rPr>
          <w:rFonts w:ascii="Verdana" w:hAnsi="Verdana" w:cs="Arial"/>
          <w:bCs/>
          <w:lang w:val="es-MX"/>
        </w:rPr>
      </w:pPr>
    </w:p>
    <w:p w14:paraId="7EE17F2A" w14:textId="77777777" w:rsidR="00FE34B6" w:rsidRPr="004E30F3" w:rsidRDefault="00FE34B6" w:rsidP="00FE34B6">
      <w:pPr>
        <w:spacing w:after="0" w:line="276" w:lineRule="auto"/>
        <w:jc w:val="both"/>
        <w:rPr>
          <w:rFonts w:ascii="Verdana" w:eastAsia="Calibri" w:hAnsi="Verdana" w:cs="Arial"/>
          <w:color w:val="000000" w:themeColor="text1"/>
          <w:lang w:val="es-ES_tradnl"/>
        </w:rPr>
      </w:pPr>
      <w:proofErr w:type="spellStart"/>
      <w:r>
        <w:rPr>
          <w:rFonts w:ascii="Verdana" w:hAnsi="Verdana" w:cs="Arial"/>
          <w:bCs/>
        </w:rPr>
        <w:t>ii</w:t>
      </w:r>
      <w:proofErr w:type="spellEnd"/>
      <w:r>
        <w:rPr>
          <w:rFonts w:ascii="Verdana" w:hAnsi="Verdana" w:cs="Arial"/>
          <w:bCs/>
        </w:rPr>
        <w:t xml:space="preserve">. Asimismo, </w:t>
      </w:r>
      <w:r>
        <w:rPr>
          <w:rFonts w:ascii="Verdana" w:eastAsia="Calibri" w:hAnsi="Verdana" w:cs="Arial"/>
          <w:bCs/>
          <w:lang w:val="es-MX" w:eastAsia="es-ES_tradnl"/>
        </w:rPr>
        <w:t>d</w:t>
      </w:r>
      <w:proofErr w:type="spellStart"/>
      <w:r w:rsidRPr="004E30F3">
        <w:rPr>
          <w:rFonts w:ascii="Verdana" w:eastAsia="Calibri" w:hAnsi="Verdana" w:cs="Arial"/>
          <w:color w:val="000000"/>
          <w:lang w:val="es-ES_tradnl"/>
        </w:rPr>
        <w:t>e</w:t>
      </w:r>
      <w:proofErr w:type="spellEnd"/>
      <w:r w:rsidRPr="004E30F3">
        <w:rPr>
          <w:rFonts w:ascii="Verdana" w:eastAsia="Calibri" w:hAnsi="Verdana" w:cs="Arial"/>
          <w:color w:val="000000"/>
          <w:lang w:val="es-ES_tradnl"/>
        </w:rPr>
        <w:t xml:space="preserve"> acuerdo con el Estatuto General de Contratación</w:t>
      </w:r>
      <w:r>
        <w:rPr>
          <w:rFonts w:ascii="Verdana" w:eastAsia="Calibri" w:hAnsi="Verdana" w:cs="Arial"/>
          <w:color w:val="000000"/>
          <w:lang w:val="es-ES_tradnl"/>
        </w:rPr>
        <w:t>,</w:t>
      </w:r>
      <w:r w:rsidRPr="004E30F3">
        <w:rPr>
          <w:rFonts w:ascii="Verdana" w:eastAsia="Calibri" w:hAnsi="Verdana" w:cs="Arial"/>
          <w:color w:val="000000" w:themeColor="text1"/>
          <w:lang w:val="es-ES_tradnl"/>
        </w:rPr>
        <w:t xml:space="preserve"> </w:t>
      </w:r>
      <w:r w:rsidRPr="004E30F3">
        <w:rPr>
          <w:rFonts w:ascii="Verdana" w:eastAsia="Calibri" w:hAnsi="Verdana" w:cs="Arial"/>
          <w:color w:val="000000" w:themeColor="text1"/>
          <w:lang w:val="es-ES"/>
        </w:rPr>
        <w:t>para seleccionar los contratistas y para ejecutar los contratos se requiere la constitución de garantías</w:t>
      </w:r>
      <w:r>
        <w:rPr>
          <w:rFonts w:ascii="Verdana" w:eastAsia="Calibri" w:hAnsi="Verdana" w:cs="Arial"/>
          <w:color w:val="000000" w:themeColor="text1"/>
          <w:lang w:val="es-ES"/>
        </w:rPr>
        <w:t xml:space="preserve"> como regla general</w:t>
      </w:r>
      <w:r w:rsidRPr="004E30F3">
        <w:rPr>
          <w:rFonts w:ascii="Verdana" w:eastAsia="Calibri" w:hAnsi="Verdana" w:cs="Arial"/>
          <w:color w:val="000000" w:themeColor="text1"/>
          <w:lang w:val="es-ES_tradnl"/>
        </w:rPr>
        <w:t>. Por ello,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Esta norma dispone lo siguiente:</w:t>
      </w:r>
    </w:p>
    <w:p w14:paraId="2BD86937" w14:textId="77777777" w:rsidR="00FE34B6" w:rsidRPr="004E30F3" w:rsidRDefault="00FE34B6" w:rsidP="00FE34B6">
      <w:pPr>
        <w:spacing w:after="0" w:line="276" w:lineRule="auto"/>
        <w:ind w:firstLine="708"/>
        <w:jc w:val="both"/>
        <w:rPr>
          <w:rFonts w:ascii="Verdana" w:hAnsi="Verdana" w:cs="Arial"/>
          <w:color w:val="000000" w:themeColor="text1"/>
          <w:lang w:eastAsia="es-CO"/>
        </w:rPr>
      </w:pPr>
    </w:p>
    <w:p w14:paraId="28493FAB" w14:textId="77777777" w:rsidR="00FE34B6" w:rsidRPr="00D64015" w:rsidRDefault="00FE34B6" w:rsidP="00FE34B6">
      <w:pPr>
        <w:spacing w:after="120" w:line="240" w:lineRule="auto"/>
        <w:ind w:left="709" w:right="709"/>
        <w:jc w:val="both"/>
        <w:rPr>
          <w:rFonts w:ascii="Verdana" w:hAnsi="Verdana" w:cs="Arial"/>
          <w:color w:val="000000" w:themeColor="text1"/>
          <w:sz w:val="20"/>
          <w:szCs w:val="20"/>
          <w:lang w:eastAsia="es-CO"/>
        </w:rPr>
      </w:pPr>
      <w:r w:rsidRPr="00D64015">
        <w:rPr>
          <w:rFonts w:ascii="Verdana" w:hAnsi="Verdana" w:cs="Arial"/>
          <w:color w:val="000000" w:themeColor="text1"/>
          <w:sz w:val="20"/>
          <w:szCs w:val="20"/>
          <w:lang w:eastAsia="es-CO"/>
        </w:rPr>
        <w:t>“Artículo 7. Los contratistas prestarán garantía única para el cumplimiento de las obligaciones surgidas del contrato. Los proponentes prestarán garantía de seriedad de los ofrecimientos hechos. </w:t>
      </w:r>
    </w:p>
    <w:p w14:paraId="1D1C510D" w14:textId="77777777" w:rsidR="00FE34B6" w:rsidRPr="00D64015" w:rsidRDefault="00FE34B6" w:rsidP="00FE34B6">
      <w:pPr>
        <w:spacing w:after="120" w:line="240" w:lineRule="auto"/>
        <w:ind w:left="709" w:right="709"/>
        <w:jc w:val="both"/>
        <w:rPr>
          <w:rFonts w:ascii="Verdana" w:hAnsi="Verdana" w:cs="Arial"/>
          <w:color w:val="000000" w:themeColor="text1"/>
          <w:sz w:val="20"/>
          <w:szCs w:val="20"/>
          <w:lang w:eastAsia="es-CO"/>
        </w:rPr>
      </w:pPr>
      <w:r w:rsidRPr="00D64015">
        <w:rPr>
          <w:rFonts w:ascii="Verdana" w:hAnsi="Verdana" w:cs="Arial"/>
          <w:color w:val="000000" w:themeColor="text1"/>
          <w:sz w:val="20"/>
          <w:szCs w:val="20"/>
          <w:lang w:eastAsia="es-CO"/>
        </w:rPr>
        <w:t xml:space="preserve">Las garantías consistirán en pólizas expedidas por compañías de seguros legalmente autorizadas para funcionar en Colombia, en garantías bancarias y en general, en los demás mecanismos de cobertura del riesgo autorizados por el reglamento para el efecto. Tratándose de pólizas, las mismas no expirarán por falta de pago de la prima o por revocatoria </w:t>
      </w:r>
      <w:r w:rsidRPr="00D64015">
        <w:rPr>
          <w:rFonts w:ascii="Verdana" w:hAnsi="Verdana" w:cs="Arial"/>
          <w:color w:val="000000" w:themeColor="text1"/>
          <w:sz w:val="20"/>
          <w:szCs w:val="20"/>
          <w:lang w:eastAsia="es-CO"/>
        </w:rPr>
        <w:lastRenderedPageBreak/>
        <w:t>unilateral. El Gobierno Nacional señalará las condiciones generales que deberán ser incluidas en las pólizas de cumplimiento de los contratos estatales. </w:t>
      </w:r>
    </w:p>
    <w:p w14:paraId="625E0F9A" w14:textId="77777777" w:rsidR="00FE34B6" w:rsidRPr="00D64015" w:rsidRDefault="00FE34B6" w:rsidP="00FE34B6">
      <w:pPr>
        <w:spacing w:after="120" w:line="240" w:lineRule="auto"/>
        <w:ind w:left="709" w:right="709"/>
        <w:jc w:val="both"/>
        <w:rPr>
          <w:rFonts w:ascii="Verdana" w:hAnsi="Verdana" w:cs="Arial"/>
          <w:color w:val="000000" w:themeColor="text1"/>
          <w:sz w:val="20"/>
          <w:szCs w:val="20"/>
          <w:lang w:eastAsia="es-CO"/>
        </w:rPr>
      </w:pPr>
      <w:r w:rsidRPr="00D64015">
        <w:rPr>
          <w:rFonts w:ascii="Verdana" w:hAnsi="Verdana" w:cs="Arial"/>
          <w:color w:val="000000" w:themeColor="text1"/>
          <w:sz w:val="20"/>
          <w:szCs w:val="20"/>
          <w:lang w:eastAsia="es-CO"/>
        </w:rPr>
        <w:t>El Gobierno Nacional señalará los criterios que seguirán las entidades para la exigencia de garantías, las clases y niveles de amparo de los riesgos de los contratos, así como los casos en que por las características y complejidad del contrato a celebrar, la garantía pueda ser dividida teniendo en cuenta las etapas o riesgos relativos a la ejecución del respectivo contrato. </w:t>
      </w:r>
    </w:p>
    <w:p w14:paraId="4D896368" w14:textId="77777777" w:rsidR="00FE34B6" w:rsidRPr="00D64015" w:rsidRDefault="00FE34B6" w:rsidP="00FE34B6">
      <w:pPr>
        <w:spacing w:after="120" w:line="240" w:lineRule="auto"/>
        <w:ind w:left="709" w:right="709"/>
        <w:jc w:val="both"/>
        <w:rPr>
          <w:rFonts w:ascii="Verdana" w:hAnsi="Verdana" w:cs="Arial"/>
          <w:color w:val="000000" w:themeColor="text1"/>
          <w:sz w:val="20"/>
          <w:szCs w:val="20"/>
          <w:lang w:eastAsia="es-CO"/>
        </w:rPr>
      </w:pPr>
      <w:r w:rsidRPr="00D64015">
        <w:rPr>
          <w:rFonts w:ascii="Verdana" w:hAnsi="Verdana" w:cs="Arial"/>
          <w:color w:val="000000" w:themeColor="text1"/>
          <w:sz w:val="20"/>
          <w:szCs w:val="20"/>
          <w:lang w:eastAsia="es-CO"/>
        </w:rPr>
        <w:t>El acaecimiento del siniestro que amparan las garantías será comunicado por la entidad pública al respectivo asegurador mediante la notificación del acto administrativo que así lo declare. </w:t>
      </w:r>
    </w:p>
    <w:p w14:paraId="2AB76C2B" w14:textId="77777777" w:rsidR="00FE34B6" w:rsidRPr="004E30F3" w:rsidRDefault="00FE34B6" w:rsidP="00FE34B6">
      <w:pPr>
        <w:spacing w:after="0" w:line="240" w:lineRule="auto"/>
        <w:ind w:left="709" w:right="709"/>
        <w:jc w:val="both"/>
        <w:rPr>
          <w:rFonts w:ascii="Verdana" w:hAnsi="Verdana" w:cs="Arial"/>
          <w:color w:val="000000" w:themeColor="text1"/>
          <w:sz w:val="21"/>
          <w:szCs w:val="21"/>
          <w:lang w:eastAsia="es-CO"/>
        </w:rPr>
      </w:pPr>
      <w:r w:rsidRPr="00D64015">
        <w:rPr>
          <w:rFonts w:ascii="Verdana" w:hAnsi="Verdana" w:cs="Arial"/>
          <w:color w:val="000000" w:themeColor="text1"/>
          <w:sz w:val="20"/>
          <w:szCs w:val="20"/>
          <w:lang w:eastAsia="es-CO"/>
        </w:rPr>
        <w:t>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p>
    <w:p w14:paraId="59BD69DD" w14:textId="77777777" w:rsidR="00FE34B6" w:rsidRPr="004E30F3" w:rsidRDefault="00FE34B6" w:rsidP="00FE34B6">
      <w:pPr>
        <w:spacing w:after="0" w:line="276" w:lineRule="auto"/>
        <w:ind w:left="709" w:right="709"/>
        <w:jc w:val="both"/>
        <w:rPr>
          <w:rFonts w:ascii="Verdana" w:hAnsi="Verdana" w:cs="Arial"/>
          <w:color w:val="000000" w:themeColor="text1"/>
          <w:lang w:eastAsia="es-CO"/>
        </w:rPr>
      </w:pPr>
    </w:p>
    <w:p w14:paraId="52931E9F" w14:textId="77777777" w:rsidR="00FE34B6" w:rsidRPr="00CA6FDA" w:rsidRDefault="00FE34B6" w:rsidP="00FE34B6">
      <w:pPr>
        <w:spacing w:after="0" w:line="276" w:lineRule="auto"/>
        <w:ind w:firstLine="708"/>
        <w:jc w:val="both"/>
        <w:rPr>
          <w:rFonts w:ascii="Verdana" w:eastAsia="Calibri" w:hAnsi="Verdana" w:cs="Arial"/>
          <w:color w:val="000000" w:themeColor="text1"/>
          <w:lang w:val="es-ES"/>
        </w:rPr>
      </w:pPr>
      <w:bookmarkStart w:id="4" w:name="_Hlk47893233"/>
      <w:r w:rsidRPr="00CA6FDA">
        <w:rPr>
          <w:rFonts w:ascii="Verdana" w:hAnsi="Verdana" w:cs="Arial"/>
          <w:color w:val="000000"/>
          <w:shd w:val="clear" w:color="auto" w:fill="FFFFFF"/>
        </w:rPr>
        <w:t>Por un lado, l</w:t>
      </w:r>
      <w:r w:rsidRPr="00CA6FDA">
        <w:rPr>
          <w:rFonts w:ascii="Verdana" w:eastAsia="Calibri" w:hAnsi="Verdana" w:cs="Arial"/>
          <w:color w:val="000000" w:themeColor="text1"/>
          <w:lang w:val="es-ES"/>
        </w:rPr>
        <w:t xml:space="preserve">a </w:t>
      </w:r>
      <w:r w:rsidRPr="00CA6FDA">
        <w:rPr>
          <w:rFonts w:ascii="Verdana" w:eastAsia="Calibri" w:hAnsi="Verdana" w:cs="Arial"/>
          <w:i/>
          <w:iCs/>
          <w:color w:val="000000" w:themeColor="text1"/>
          <w:lang w:val="es-ES"/>
        </w:rPr>
        <w:t>garantía de seriedad</w:t>
      </w:r>
      <w:r w:rsidRPr="00CA6FDA">
        <w:rPr>
          <w:rFonts w:ascii="Verdana" w:eastAsia="Calibri" w:hAnsi="Verdana" w:cs="Arial"/>
          <w:color w:val="000000" w:themeColor="text1"/>
          <w:lang w:val="es-ES"/>
        </w:rPr>
        <w:t xml:space="preserve"> 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w:t>
      </w:r>
      <w:r>
        <w:rPr>
          <w:rFonts w:ascii="Verdana" w:eastAsia="Calibri" w:hAnsi="Verdana" w:cs="Arial"/>
          <w:color w:val="000000" w:themeColor="text1"/>
          <w:lang w:val="es-ES"/>
        </w:rPr>
        <w:t xml:space="preserve">ello </w:t>
      </w:r>
      <w:r w:rsidRPr="00CA6FDA">
        <w:rPr>
          <w:rFonts w:ascii="Verdana" w:eastAsia="Calibri" w:hAnsi="Verdana" w:cs="Arial"/>
          <w:color w:val="000000" w:themeColor="text1"/>
          <w:lang w:val="es-ES"/>
        </w:rPr>
        <w:t>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bookmarkEnd w:id="4"/>
      <w:r w:rsidRPr="00CA6FDA">
        <w:rPr>
          <w:rStyle w:val="Refdenotaalpie"/>
          <w:rFonts w:ascii="Verdana" w:eastAsia="Calibri" w:hAnsi="Verdana" w:cs="Arial"/>
          <w:color w:val="000000" w:themeColor="text1"/>
        </w:rPr>
        <w:footnoteReference w:id="4"/>
      </w:r>
      <w:r w:rsidRPr="00CA6FDA">
        <w:rPr>
          <w:rFonts w:ascii="Verdana" w:eastAsia="Calibri" w:hAnsi="Verdana" w:cs="Arial"/>
          <w:color w:val="000000" w:themeColor="text1"/>
          <w:lang w:val="es-ES"/>
        </w:rPr>
        <w:t>. Sobre este aspecto, la doctrina explica que:</w:t>
      </w:r>
    </w:p>
    <w:p w14:paraId="710AA3B5" w14:textId="77777777" w:rsidR="00FE34B6" w:rsidRPr="00CA6FDA" w:rsidRDefault="00FE34B6" w:rsidP="00FE34B6">
      <w:pPr>
        <w:spacing w:after="0" w:line="276" w:lineRule="auto"/>
        <w:jc w:val="both"/>
        <w:rPr>
          <w:rFonts w:ascii="Verdana" w:eastAsia="Calibri" w:hAnsi="Verdana" w:cs="Arial"/>
          <w:color w:val="000000" w:themeColor="text1"/>
          <w:lang w:val="es-ES"/>
        </w:rPr>
      </w:pPr>
    </w:p>
    <w:p w14:paraId="403750D0" w14:textId="77777777" w:rsidR="00FE34B6" w:rsidRPr="00D64015" w:rsidRDefault="00FE34B6" w:rsidP="00FE34B6">
      <w:pPr>
        <w:spacing w:after="0" w:line="240" w:lineRule="auto"/>
        <w:ind w:left="709" w:right="709"/>
        <w:jc w:val="both"/>
        <w:rPr>
          <w:rFonts w:ascii="Verdana" w:eastAsia="Calibri" w:hAnsi="Verdana" w:cs="Arial"/>
          <w:color w:val="000000" w:themeColor="text1"/>
          <w:sz w:val="20"/>
          <w:szCs w:val="20"/>
          <w:lang w:val="es-ES"/>
        </w:rPr>
      </w:pPr>
      <w:r w:rsidRPr="00D64015">
        <w:rPr>
          <w:rFonts w:ascii="Verdana" w:eastAsia="Calibri" w:hAnsi="Verdana" w:cs="Arial"/>
          <w:color w:val="000000" w:themeColor="text1"/>
          <w:sz w:val="20"/>
          <w:szCs w:val="20"/>
          <w:lang w:val="es-ES"/>
        </w:rPr>
        <w:t xml:space="preserve">“Las </w:t>
      </w:r>
      <w:r w:rsidRPr="00D64015">
        <w:rPr>
          <w:rFonts w:ascii="Verdana" w:eastAsia="Calibri" w:hAnsi="Verdana" w:cs="Arial"/>
          <w:i/>
          <w:iCs/>
          <w:color w:val="000000" w:themeColor="text1"/>
          <w:sz w:val="20"/>
          <w:szCs w:val="20"/>
          <w:lang w:val="es-ES"/>
        </w:rPr>
        <w:t>garantías provisionales</w:t>
      </w:r>
      <w:r w:rsidRPr="00D64015">
        <w:rPr>
          <w:rFonts w:ascii="Verdana" w:eastAsia="Calibri" w:hAnsi="Verdana" w:cs="Arial"/>
          <w:color w:val="000000" w:themeColor="text1"/>
          <w:sz w:val="20"/>
          <w:szCs w:val="20"/>
          <w:lang w:val="es-ES"/>
        </w:rPr>
        <w:t xml:space="preserve"> ‘avalan la solemnidad de la oferta por parte del contratista’; constituyen una seña pre-contractual destinada a </w:t>
      </w:r>
      <w:r w:rsidRPr="00D64015">
        <w:rPr>
          <w:rFonts w:ascii="Verdana" w:eastAsia="Calibri" w:hAnsi="Verdana" w:cs="Arial"/>
          <w:i/>
          <w:iCs/>
          <w:color w:val="000000" w:themeColor="text1"/>
          <w:sz w:val="20"/>
          <w:szCs w:val="20"/>
          <w:lang w:val="es-ES"/>
        </w:rPr>
        <w:t>asegurar la celebración del contrato</w:t>
      </w:r>
      <w:r w:rsidRPr="00D64015">
        <w:rPr>
          <w:rFonts w:ascii="Verdana" w:eastAsia="Calibri" w:hAnsi="Verdana" w:cs="Arial"/>
          <w:color w:val="000000" w:themeColor="text1"/>
          <w:sz w:val="20"/>
          <w:szCs w:val="20"/>
          <w:lang w:val="es-ES"/>
        </w:rPr>
        <w:t xml:space="preserve">, no su cumplimiento. La administración procede a devolver a los oferentes no adjudicatarios, y a transformar en definitiva respecto al adjudicatario, las garantías provisionales, deduciéndose entonces que las </w:t>
      </w:r>
      <w:r w:rsidRPr="00D64015">
        <w:rPr>
          <w:rFonts w:ascii="Verdana" w:eastAsia="Calibri" w:hAnsi="Verdana" w:cs="Arial"/>
          <w:i/>
          <w:iCs/>
          <w:color w:val="000000" w:themeColor="text1"/>
          <w:sz w:val="20"/>
          <w:szCs w:val="20"/>
          <w:lang w:val="es-ES"/>
        </w:rPr>
        <w:t>arras</w:t>
      </w:r>
      <w:r w:rsidRPr="00D64015">
        <w:rPr>
          <w:rFonts w:ascii="Verdana" w:eastAsia="Calibri" w:hAnsi="Verdana" w:cs="Arial"/>
          <w:color w:val="000000" w:themeColor="text1"/>
          <w:sz w:val="20"/>
          <w:szCs w:val="20"/>
          <w:lang w:val="es-ES"/>
        </w:rPr>
        <w:t xml:space="preserve"> no forman parte del </w:t>
      </w:r>
      <w:r w:rsidRPr="00D64015">
        <w:rPr>
          <w:rFonts w:ascii="Verdana" w:eastAsia="Calibri" w:hAnsi="Verdana" w:cs="Arial"/>
          <w:color w:val="000000" w:themeColor="text1"/>
          <w:sz w:val="20"/>
          <w:szCs w:val="20"/>
          <w:lang w:val="es-ES"/>
        </w:rPr>
        <w:lastRenderedPageBreak/>
        <w:t xml:space="preserve">precio, ni son por tanto arras confirmatorias […], sino puramente penitenciales […] como garantías y compensación del </w:t>
      </w:r>
      <w:r w:rsidRPr="00D64015">
        <w:rPr>
          <w:rFonts w:ascii="Verdana" w:eastAsia="Calibri" w:hAnsi="Verdana" w:cs="Arial"/>
          <w:i/>
          <w:iCs/>
          <w:color w:val="000000" w:themeColor="text1"/>
          <w:sz w:val="20"/>
          <w:szCs w:val="20"/>
          <w:lang w:val="es-ES"/>
        </w:rPr>
        <w:t xml:space="preserve">ius </w:t>
      </w:r>
      <w:proofErr w:type="spellStart"/>
      <w:r w:rsidRPr="00D64015">
        <w:rPr>
          <w:rFonts w:ascii="Verdana" w:eastAsia="Calibri" w:hAnsi="Verdana" w:cs="Arial"/>
          <w:i/>
          <w:iCs/>
          <w:color w:val="000000" w:themeColor="text1"/>
          <w:sz w:val="20"/>
          <w:szCs w:val="20"/>
          <w:lang w:val="es-ES"/>
        </w:rPr>
        <w:t>poenitendi</w:t>
      </w:r>
      <w:proofErr w:type="spellEnd"/>
      <w:r w:rsidRPr="00D64015">
        <w:rPr>
          <w:rFonts w:ascii="Verdana" w:eastAsia="Calibri" w:hAnsi="Verdana" w:cs="Arial"/>
          <w:color w:val="000000" w:themeColor="text1"/>
          <w:sz w:val="20"/>
          <w:szCs w:val="20"/>
          <w:lang w:val="es-ES"/>
        </w:rPr>
        <w:t xml:space="preserve"> del licitante. Son, en consecuencia, ‘la medida de la responsabilidad pre-contractual del oferente’; o, más bien, la garantía de oferta representa en definitiva la medida de la responsabilidad”</w:t>
      </w:r>
      <w:r w:rsidRPr="00D64015">
        <w:rPr>
          <w:rStyle w:val="Refdenotaalpie"/>
          <w:rFonts w:ascii="Verdana" w:eastAsia="Calibri" w:hAnsi="Verdana" w:cs="Arial"/>
          <w:color w:val="000000" w:themeColor="text1"/>
          <w:sz w:val="20"/>
          <w:szCs w:val="20"/>
        </w:rPr>
        <w:footnoteReference w:id="5"/>
      </w:r>
      <w:r w:rsidRPr="00D64015">
        <w:rPr>
          <w:rFonts w:ascii="Verdana" w:eastAsia="Calibri" w:hAnsi="Verdana" w:cs="Arial"/>
          <w:color w:val="000000" w:themeColor="text1"/>
          <w:sz w:val="20"/>
          <w:szCs w:val="20"/>
          <w:lang w:val="es-ES"/>
        </w:rPr>
        <w:t xml:space="preserve">. (Cursivas dentro del texto)   </w:t>
      </w:r>
    </w:p>
    <w:p w14:paraId="2524115B" w14:textId="77777777" w:rsidR="00FE34B6" w:rsidRPr="00CA6FDA" w:rsidRDefault="00FE34B6" w:rsidP="00FE34B6">
      <w:pPr>
        <w:spacing w:after="0" w:line="276" w:lineRule="auto"/>
        <w:jc w:val="both"/>
        <w:rPr>
          <w:rFonts w:ascii="Verdana" w:eastAsia="Calibri" w:hAnsi="Verdana" w:cs="Arial"/>
          <w:color w:val="000000" w:themeColor="text1"/>
          <w:lang w:val="es-ES"/>
        </w:rPr>
      </w:pPr>
    </w:p>
    <w:p w14:paraId="73BAA912" w14:textId="77777777" w:rsidR="00FE34B6" w:rsidRPr="00CA6FDA" w:rsidRDefault="00FE34B6" w:rsidP="00FE34B6">
      <w:pPr>
        <w:spacing w:after="120" w:line="276" w:lineRule="auto"/>
        <w:ind w:firstLine="709"/>
        <w:jc w:val="both"/>
        <w:rPr>
          <w:rFonts w:ascii="Verdana" w:eastAsia="Calibri" w:hAnsi="Verdana" w:cs="Arial"/>
          <w:color w:val="000000" w:themeColor="text1"/>
          <w:lang w:val="es-ES"/>
        </w:rPr>
      </w:pPr>
      <w:r w:rsidRPr="00CA6FDA">
        <w:rPr>
          <w:rFonts w:ascii="Verdana" w:eastAsia="Calibri" w:hAnsi="Verdana" w:cs="Arial"/>
          <w:color w:val="000000" w:themeColor="text1"/>
          <w:lang w:val="es-ES"/>
        </w:rPr>
        <w:t xml:space="preserve">En contraste, mediante la </w:t>
      </w:r>
      <w:r w:rsidRPr="00CA6FDA">
        <w:rPr>
          <w:rFonts w:ascii="Verdana" w:eastAsia="Calibri" w:hAnsi="Verdana" w:cs="Arial"/>
          <w:i/>
          <w:iCs/>
          <w:color w:val="000000" w:themeColor="text1"/>
          <w:lang w:val="es-ES"/>
        </w:rPr>
        <w:t>garantía de única de cumplimiento</w:t>
      </w:r>
      <w:r w:rsidRPr="00CA6FDA">
        <w:rPr>
          <w:rFonts w:ascii="Verdana" w:eastAsia="Calibri" w:hAnsi="Verdana" w:cs="Arial"/>
          <w:color w:val="000000" w:themeColor="text1"/>
          <w:lang w:val="es-ES"/>
        </w:rPr>
        <w:t>, el contratista ampara los perjuicios que le pueda generar a la entidad el incumplimiento de las obligaciones derivadas del contrato</w:t>
      </w:r>
      <w:r w:rsidRPr="00CA6FDA">
        <w:rPr>
          <w:rStyle w:val="Refdenotaalpie"/>
          <w:rFonts w:ascii="Verdana" w:eastAsia="Calibri" w:hAnsi="Verdana" w:cs="Arial"/>
          <w:color w:val="000000" w:themeColor="text1"/>
        </w:rPr>
        <w:footnoteReference w:id="6"/>
      </w:r>
      <w:r w:rsidRPr="00CA6FDA">
        <w:rPr>
          <w:rFonts w:ascii="Verdana" w:eastAsia="Calibri" w:hAnsi="Verdana" w:cs="Arial"/>
          <w:color w:val="000000" w:themeColor="text1"/>
          <w:lang w:val="es-ES"/>
        </w:rPr>
        <w:t xml:space="preserve">. En esta medida, tienen como objetivo reparar los perjuicios causados por conductas atribuibles al contratista, por lo que estos últimos son un presupuesto necesario para el pago que cubre la garantía. </w:t>
      </w:r>
      <w:r w:rsidRPr="00CA6FDA">
        <w:rPr>
          <w:rFonts w:ascii="Verdana" w:hAnsi="Verdana" w:cs="Arial"/>
          <w:color w:val="000000" w:themeColor="text1"/>
          <w:lang w:val="es-ES_tradnl"/>
        </w:rPr>
        <w:t>Para estos efectos es única, ya que “[…] La prioridad […] es que no haya garantías separadas para los diferentes riesgos, aunque existan varias garantías para diferentes proporciones del interés asegurado […]”</w:t>
      </w:r>
      <w:r w:rsidRPr="00CA6FDA">
        <w:rPr>
          <w:rStyle w:val="Refdenotaalpie"/>
          <w:rFonts w:ascii="Verdana" w:hAnsi="Verdana" w:cs="Arial"/>
          <w:color w:val="000000" w:themeColor="text1"/>
          <w:lang w:val="es-ES_tradnl"/>
        </w:rPr>
        <w:footnoteReference w:id="7"/>
      </w:r>
      <w:r w:rsidRPr="00CA6FDA">
        <w:rPr>
          <w:rFonts w:ascii="Verdana" w:hAnsi="Verdana" w:cs="Arial"/>
          <w:color w:val="000000" w:themeColor="text1"/>
          <w:lang w:val="es-ES_tradnl"/>
        </w:rPr>
        <w:t xml:space="preserve">.    </w:t>
      </w:r>
    </w:p>
    <w:p w14:paraId="5AF50FA6" w14:textId="77777777" w:rsidR="00FE34B6" w:rsidRPr="00CA6FDA" w:rsidRDefault="00FE34B6" w:rsidP="00FE34B6">
      <w:pPr>
        <w:spacing w:after="120" w:line="276" w:lineRule="auto"/>
        <w:ind w:firstLine="708"/>
        <w:jc w:val="both"/>
        <w:rPr>
          <w:rFonts w:ascii="Verdana" w:hAnsi="Verdana" w:cs="Arial"/>
          <w:color w:val="000000" w:themeColor="text1"/>
          <w:lang w:val="es-ES"/>
        </w:rPr>
      </w:pPr>
      <w:r w:rsidRPr="496C3680">
        <w:rPr>
          <w:rFonts w:ascii="Verdana" w:hAnsi="Verdana" w:cs="Arial"/>
          <w:color w:val="000000" w:themeColor="text1"/>
          <w:lang w:val="es-ES"/>
        </w:rPr>
        <w:t xml:space="preserve">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496C3680">
        <w:rPr>
          <w:rFonts w:ascii="Verdana" w:hAnsi="Verdana" w:cs="Arial"/>
          <w:color w:val="000000" w:themeColor="text1"/>
          <w:lang w:val="es-ES"/>
        </w:rPr>
        <w:t>ii</w:t>
      </w:r>
      <w:proofErr w:type="spellEnd"/>
      <w:r w:rsidRPr="496C3680">
        <w:rPr>
          <w:rFonts w:ascii="Verdana" w:hAnsi="Verdana" w:cs="Arial"/>
          <w:color w:val="000000" w:themeColor="text1"/>
          <w:lang w:val="es-ES"/>
        </w:rPr>
        <w:t xml:space="preserve">) garantías bancarias o </w:t>
      </w:r>
      <w:proofErr w:type="spellStart"/>
      <w:r w:rsidRPr="496C3680">
        <w:rPr>
          <w:rFonts w:ascii="Verdana" w:hAnsi="Verdana" w:cs="Arial"/>
          <w:color w:val="000000" w:themeColor="text1"/>
          <w:lang w:val="es-ES"/>
        </w:rPr>
        <w:t>iii</w:t>
      </w:r>
      <w:proofErr w:type="spellEnd"/>
      <w:r w:rsidRPr="496C3680">
        <w:rPr>
          <w:rFonts w:ascii="Verdana" w:hAnsi="Verdana" w:cs="Arial"/>
          <w:color w:val="000000" w:themeColor="text1"/>
          <w:lang w:val="es-ES"/>
        </w:rPr>
        <w:t>)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w:t>
      </w:r>
      <w:r w:rsidRPr="496C3680">
        <w:rPr>
          <w:rStyle w:val="Refdenotaalpie"/>
          <w:rFonts w:ascii="Verdana" w:hAnsi="Verdana" w:cs="Arial"/>
          <w:color w:val="000000" w:themeColor="text1"/>
          <w:lang w:val="es-ES"/>
        </w:rPr>
        <w:footnoteReference w:id="8"/>
      </w:r>
      <w:r w:rsidRPr="496C3680">
        <w:rPr>
          <w:rFonts w:ascii="Verdana" w:hAnsi="Verdana" w:cs="Arial"/>
          <w:color w:val="000000" w:themeColor="text1"/>
          <w:lang w:val="es-ES"/>
        </w:rPr>
        <w:t xml:space="preserve">. De esta manera, </w:t>
      </w:r>
      <w:r w:rsidRPr="496C3680">
        <w:rPr>
          <w:rFonts w:ascii="Verdana" w:hAnsi="Verdana" w:cs="Arial"/>
          <w:color w:val="000000" w:themeColor="text1"/>
          <w:lang w:val="es-ES"/>
        </w:rPr>
        <w:lastRenderedPageBreak/>
        <w:t>las garantías previstas en la ley tienen como objetivo asegurar la solvencia del garante</w:t>
      </w:r>
      <w:r w:rsidRPr="496C3680">
        <w:rPr>
          <w:rStyle w:val="Refdenotaalpie"/>
          <w:rFonts w:ascii="Verdana" w:hAnsi="Verdana" w:cs="Arial"/>
          <w:color w:val="000000" w:themeColor="text1"/>
          <w:lang w:val="es-ES"/>
        </w:rPr>
        <w:footnoteReference w:id="9"/>
      </w:r>
      <w:r w:rsidRPr="496C3680">
        <w:rPr>
          <w:rFonts w:ascii="Verdana" w:hAnsi="Verdana" w:cs="Arial"/>
          <w:color w:val="000000" w:themeColor="text1"/>
          <w:lang w:val="es-ES"/>
        </w:rPr>
        <w:t>.</w:t>
      </w:r>
    </w:p>
    <w:p w14:paraId="066633BE" w14:textId="77777777" w:rsidR="00FE34B6" w:rsidRPr="00CA6FDA" w:rsidRDefault="00FE34B6" w:rsidP="00FE34B6">
      <w:pPr>
        <w:spacing w:after="120" w:line="276" w:lineRule="auto"/>
        <w:ind w:firstLine="708"/>
        <w:jc w:val="both"/>
        <w:rPr>
          <w:rFonts w:ascii="Verdana" w:hAnsi="Verdana" w:cs="Arial"/>
          <w:color w:val="000000" w:themeColor="text1"/>
        </w:rPr>
      </w:pPr>
      <w:r w:rsidRPr="00CA6FDA">
        <w:rPr>
          <w:rFonts w:ascii="Verdana" w:hAnsi="Verdana" w:cs="Arial"/>
          <w:color w:val="000000" w:themeColor="text1"/>
        </w:rPr>
        <w:t xml:space="preserve">El Decreto 1082 de 2015 reglamenta las condiciones en que debe cumplirse esta obligación. Los artículos 2.2.1.2.3.1.1 a 2.2.1.2.3.1.19 del Decreto Único Reglamentario del sector Administrativo de Planeación Nacional regulan asuntos como las clases de garantías permitidas, la indivisibilidad de las mismas, los diferentes riesgos que deben ser objeto de garantía, la vigencia y valores mínimos que deben cubrir los amparos, entre otros aspectos. </w:t>
      </w:r>
    </w:p>
    <w:p w14:paraId="19DBAABC" w14:textId="77777777" w:rsidR="00FE34B6" w:rsidRDefault="00FE34B6" w:rsidP="00FE34B6">
      <w:pPr>
        <w:spacing w:before="120" w:after="0" w:line="276" w:lineRule="auto"/>
        <w:ind w:firstLine="708"/>
        <w:jc w:val="both"/>
        <w:rPr>
          <w:rFonts w:ascii="Verdana" w:eastAsia="Times New Roman" w:hAnsi="Verdana" w:cs="Arial"/>
          <w:color w:val="000000" w:themeColor="text1"/>
          <w:lang w:eastAsia="es-CO"/>
        </w:rPr>
      </w:pPr>
      <w:r w:rsidRPr="00CA6FDA">
        <w:rPr>
          <w:rFonts w:ascii="Verdana" w:hAnsi="Verdana" w:cs="Arial"/>
          <w:color w:val="000000" w:themeColor="text1"/>
        </w:rPr>
        <w:t>El artículo 2.2.1.2.3.1.3, por ejemplo, establece que la “garantía de cobertura del Riesgo es indivisible”, además de la obligación de los contratantes de establecer en los pliegos de condiciones las garantías exigidas para cada periodo contractual</w:t>
      </w:r>
      <w:r w:rsidRPr="00CA6FDA">
        <w:rPr>
          <w:rStyle w:val="Refdenotaalpie"/>
          <w:rFonts w:ascii="Verdana" w:hAnsi="Verdana" w:cs="Arial"/>
          <w:color w:val="000000" w:themeColor="text1"/>
        </w:rPr>
        <w:footnoteReference w:id="10"/>
      </w:r>
      <w:r w:rsidRPr="00CA6FDA">
        <w:rPr>
          <w:rFonts w:ascii="Verdana" w:hAnsi="Verdana" w:cs="Arial"/>
          <w:color w:val="000000" w:themeColor="text1"/>
        </w:rPr>
        <w:t xml:space="preserve">. Por su parte, el artículo 2.2.1.3.1.7 prescribe que la garantía de cumplimiento debe cubrir: i) el buen manejo y correcta inversión del anticipo; </w:t>
      </w:r>
      <w:proofErr w:type="spellStart"/>
      <w:r w:rsidRPr="00CA6FDA">
        <w:rPr>
          <w:rFonts w:ascii="Verdana" w:hAnsi="Verdana" w:cs="Arial"/>
          <w:color w:val="000000" w:themeColor="text1"/>
        </w:rPr>
        <w:t>ii</w:t>
      </w:r>
      <w:proofErr w:type="spellEnd"/>
      <w:r w:rsidRPr="00CA6FDA">
        <w:rPr>
          <w:rFonts w:ascii="Verdana" w:hAnsi="Verdana" w:cs="Arial"/>
          <w:color w:val="000000" w:themeColor="text1"/>
        </w:rPr>
        <w:t xml:space="preserve">) la devolución del pago anticipado; </w:t>
      </w:r>
      <w:proofErr w:type="spellStart"/>
      <w:r w:rsidRPr="00CA6FDA">
        <w:rPr>
          <w:rFonts w:ascii="Verdana" w:hAnsi="Verdana" w:cs="Arial"/>
          <w:color w:val="000000" w:themeColor="text1"/>
        </w:rPr>
        <w:t>iii</w:t>
      </w:r>
      <w:proofErr w:type="spellEnd"/>
      <w:r w:rsidRPr="00CA6FDA">
        <w:rPr>
          <w:rFonts w:ascii="Verdana" w:hAnsi="Verdana" w:cs="Arial"/>
          <w:color w:val="000000" w:themeColor="text1"/>
        </w:rPr>
        <w:t xml:space="preserve">) el cumplimiento del contrato; </w:t>
      </w:r>
      <w:proofErr w:type="spellStart"/>
      <w:r w:rsidRPr="00CA6FDA">
        <w:rPr>
          <w:rFonts w:ascii="Verdana" w:hAnsi="Verdana" w:cs="Arial"/>
          <w:color w:val="000000" w:themeColor="text1"/>
        </w:rPr>
        <w:t>iv</w:t>
      </w:r>
      <w:proofErr w:type="spellEnd"/>
      <w:r w:rsidRPr="00CA6FDA">
        <w:rPr>
          <w:rFonts w:ascii="Verdana" w:hAnsi="Verdana" w:cs="Arial"/>
          <w:color w:val="000000" w:themeColor="text1"/>
        </w:rPr>
        <w:t xml:space="preserve">) el pago de salarios, prestaciones sociales legales e indemnizaciones laborales; v)  la estabilidad y calidad de la obra; vi) la </w:t>
      </w:r>
      <w:r w:rsidRPr="00CA6FDA">
        <w:rPr>
          <w:rFonts w:ascii="Verdana" w:eastAsia="Times New Roman" w:hAnsi="Verdana" w:cs="Arial"/>
          <w:color w:val="000000" w:themeColor="text1"/>
          <w:lang w:eastAsia="es-CO"/>
        </w:rPr>
        <w:t xml:space="preserve">calidad del servicio; </w:t>
      </w:r>
      <w:proofErr w:type="spellStart"/>
      <w:r w:rsidRPr="00CA6FDA">
        <w:rPr>
          <w:rFonts w:ascii="Verdana" w:eastAsia="Times New Roman" w:hAnsi="Verdana" w:cs="Arial"/>
          <w:color w:val="000000" w:themeColor="text1"/>
          <w:lang w:eastAsia="es-CO"/>
        </w:rPr>
        <w:t>vii</w:t>
      </w:r>
      <w:proofErr w:type="spellEnd"/>
      <w:r w:rsidRPr="00CA6FDA">
        <w:rPr>
          <w:rFonts w:ascii="Verdana" w:eastAsia="Times New Roman" w:hAnsi="Verdana" w:cs="Arial"/>
          <w:color w:val="000000" w:themeColor="text1"/>
          <w:lang w:eastAsia="es-CO"/>
        </w:rPr>
        <w:t xml:space="preserve">) </w:t>
      </w:r>
      <w:r w:rsidRPr="00CA6FDA">
        <w:rPr>
          <w:rFonts w:ascii="Verdana" w:eastAsia="Times New Roman" w:hAnsi="Verdana" w:cs="Arial"/>
          <w:color w:val="000000" w:themeColor="text1"/>
          <w:lang w:eastAsia="es-CO"/>
        </w:rPr>
        <w:lastRenderedPageBreak/>
        <w:t xml:space="preserve">la calidad y correcto funcionamiento de los bienes; y </w:t>
      </w:r>
      <w:proofErr w:type="spellStart"/>
      <w:r w:rsidRPr="00CA6FDA">
        <w:rPr>
          <w:rFonts w:ascii="Verdana" w:eastAsia="Times New Roman" w:hAnsi="Verdana" w:cs="Arial"/>
          <w:color w:val="000000" w:themeColor="text1"/>
          <w:lang w:eastAsia="es-CO"/>
        </w:rPr>
        <w:t>viii</w:t>
      </w:r>
      <w:proofErr w:type="spellEnd"/>
      <w:r w:rsidRPr="00CA6FDA">
        <w:rPr>
          <w:rFonts w:ascii="Verdana" w:eastAsia="Times New Roman" w:hAnsi="Verdana" w:cs="Arial"/>
          <w:color w:val="000000" w:themeColor="text1"/>
          <w:lang w:eastAsia="es-CO"/>
        </w:rPr>
        <w:t>) los demás incumplimientos de las obligaciones que la entidad estatal considere deben ser amparados</w:t>
      </w:r>
      <w:r w:rsidRPr="00CA6FDA">
        <w:rPr>
          <w:rStyle w:val="Refdenotaalpie"/>
          <w:rFonts w:ascii="Verdana" w:eastAsia="Times New Roman" w:hAnsi="Verdana" w:cs="Arial"/>
          <w:color w:val="000000" w:themeColor="text1"/>
          <w:lang w:eastAsia="es-CO"/>
        </w:rPr>
        <w:footnoteReference w:id="11"/>
      </w:r>
      <w:r w:rsidRPr="00CA6FDA">
        <w:rPr>
          <w:rFonts w:ascii="Verdana" w:eastAsia="Times New Roman" w:hAnsi="Verdana" w:cs="Arial"/>
          <w:color w:val="000000" w:themeColor="text1"/>
          <w:lang w:eastAsia="es-CO"/>
        </w:rPr>
        <w:t>.</w:t>
      </w:r>
    </w:p>
    <w:p w14:paraId="1B31B64E" w14:textId="6D7874CE" w:rsidR="00FE34B6" w:rsidRDefault="00FE34B6" w:rsidP="00FE34B6">
      <w:pPr>
        <w:spacing w:before="120" w:after="0" w:line="276" w:lineRule="auto"/>
        <w:ind w:firstLine="708"/>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Conforme al artículo </w:t>
      </w:r>
      <w:r w:rsidRPr="00DA2A6A">
        <w:rPr>
          <w:rFonts w:ascii="Verdana" w:eastAsia="Times New Roman" w:hAnsi="Verdana" w:cs="Arial"/>
          <w:color w:val="000000" w:themeColor="text1"/>
          <w:lang w:eastAsia="es-CO"/>
        </w:rPr>
        <w:t>2.2.1.2.1.4.5</w:t>
      </w:r>
      <w:r>
        <w:rPr>
          <w:rFonts w:ascii="Verdana" w:eastAsia="Times New Roman" w:hAnsi="Verdana" w:cs="Arial"/>
          <w:color w:val="000000" w:themeColor="text1"/>
          <w:lang w:eastAsia="es-CO"/>
        </w:rPr>
        <w:t xml:space="preserve"> del Decreto 1082 de 2015, “</w:t>
      </w:r>
      <w:r w:rsidRPr="00DA2A6A">
        <w:rPr>
          <w:rFonts w:ascii="Verdana" w:eastAsia="Times New Roman" w:hAnsi="Verdana" w:cs="Arial"/>
          <w:color w:val="000000" w:themeColor="text1"/>
          <w:lang w:eastAsia="es-CO"/>
        </w:rPr>
        <w:t>En la contratación directa la exigencia de garantías establecidas en la Sección 3, que comprende los artículos 2.2.1.2.3.1.1 al 2.2.1.2.3.5.1.</w:t>
      </w:r>
      <w:r>
        <w:rPr>
          <w:rFonts w:ascii="Verdana" w:eastAsia="Times New Roman" w:hAnsi="Verdana" w:cs="Arial"/>
          <w:color w:val="000000" w:themeColor="text1"/>
          <w:lang w:eastAsia="es-CO"/>
        </w:rPr>
        <w:t xml:space="preserve"> </w:t>
      </w:r>
      <w:r w:rsidRPr="00DA2A6A">
        <w:rPr>
          <w:rFonts w:ascii="Verdana" w:eastAsia="Times New Roman" w:hAnsi="Verdana" w:cs="Arial"/>
          <w:color w:val="000000" w:themeColor="text1"/>
          <w:lang w:eastAsia="es-CO"/>
        </w:rPr>
        <w:t>del presente decreto no es obligatoria y la justificación para exigirlas o no debe estar en los estudios y documentos previos</w:t>
      </w:r>
      <w:r>
        <w:rPr>
          <w:rFonts w:ascii="Verdana" w:eastAsia="Times New Roman" w:hAnsi="Verdana" w:cs="Arial"/>
          <w:color w:val="000000" w:themeColor="text1"/>
          <w:lang w:eastAsia="es-CO"/>
        </w:rPr>
        <w:t>”</w:t>
      </w:r>
      <w:r w:rsidRPr="00DA2A6A">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Tratándose de la causal prevista en el inciso primero del literal c) del artículo 2.4 de la Ley 1150 de 2007 para la celebración de contratos interadministrativos, podrán incluirse los amparos contemplados en el Decreto Único Reglamentario </w:t>
      </w:r>
      <w:r w:rsidRPr="00DA2A6A">
        <w:rPr>
          <w:rFonts w:ascii="Verdana" w:eastAsia="Times New Roman" w:hAnsi="Verdana" w:cs="Arial"/>
          <w:color w:val="000000" w:themeColor="text1"/>
          <w:lang w:eastAsia="es-CO"/>
        </w:rPr>
        <w:t>del sector Administrativo de Planeación Naciona</w:t>
      </w:r>
      <w:r>
        <w:rPr>
          <w:rFonts w:ascii="Verdana" w:eastAsia="Times New Roman" w:hAnsi="Verdana" w:cs="Arial"/>
          <w:color w:val="000000" w:themeColor="text1"/>
          <w:lang w:eastAsia="es-CO"/>
        </w:rPr>
        <w:t xml:space="preserve">l. Ello en función de los riesgos identificados por la entidad tanto en el análisis del sector –art. </w:t>
      </w:r>
      <w:r w:rsidRPr="006C43EA">
        <w:rPr>
          <w:rFonts w:ascii="Verdana" w:eastAsia="Times New Roman" w:hAnsi="Verdana" w:cs="Arial"/>
          <w:color w:val="000000" w:themeColor="text1"/>
          <w:lang w:eastAsia="es-CO"/>
        </w:rPr>
        <w:t>2.2.1.1.1.6.1</w:t>
      </w:r>
      <w:r>
        <w:rPr>
          <w:rFonts w:ascii="Verdana" w:eastAsia="Times New Roman" w:hAnsi="Verdana" w:cs="Arial"/>
          <w:color w:val="000000" w:themeColor="text1"/>
          <w:lang w:eastAsia="es-CO"/>
        </w:rPr>
        <w:t xml:space="preserve"> del Decreto 1082 de 2015</w:t>
      </w:r>
      <w:r w:rsidR="0042200D">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como los estudios y documentos previos –</w:t>
      </w:r>
      <w:proofErr w:type="spellStart"/>
      <w:r>
        <w:rPr>
          <w:rFonts w:ascii="Verdana" w:eastAsia="Times New Roman" w:hAnsi="Verdana" w:cs="Arial"/>
          <w:color w:val="000000" w:themeColor="text1"/>
          <w:lang w:eastAsia="es-CO"/>
        </w:rPr>
        <w:t>num</w:t>
      </w:r>
      <w:proofErr w:type="spellEnd"/>
      <w:r>
        <w:rPr>
          <w:rFonts w:ascii="Verdana" w:eastAsia="Times New Roman" w:hAnsi="Verdana" w:cs="Arial"/>
          <w:color w:val="000000" w:themeColor="text1"/>
          <w:lang w:eastAsia="es-CO"/>
        </w:rPr>
        <w:t xml:space="preserve">. 6 del art. </w:t>
      </w:r>
      <w:r w:rsidRPr="006C43EA">
        <w:rPr>
          <w:rFonts w:ascii="Verdana" w:eastAsia="Times New Roman" w:hAnsi="Verdana" w:cs="Arial"/>
          <w:color w:val="000000" w:themeColor="text1"/>
          <w:lang w:eastAsia="es-CO"/>
        </w:rPr>
        <w:t>2.2.1.1.2.1.1</w:t>
      </w:r>
      <w:r>
        <w:rPr>
          <w:rFonts w:ascii="Verdana" w:eastAsia="Times New Roman" w:hAnsi="Verdana" w:cs="Arial"/>
          <w:color w:val="000000" w:themeColor="text1"/>
          <w:lang w:eastAsia="es-CO"/>
        </w:rPr>
        <w:t xml:space="preserve"> </w:t>
      </w:r>
      <w:r w:rsidRPr="006C43EA">
        <w:rPr>
          <w:rFonts w:ascii="Verdana" w:eastAsia="Times New Roman" w:hAnsi="Verdana" w:cs="Arial"/>
          <w:i/>
          <w:iCs/>
          <w:color w:val="000000" w:themeColor="text1"/>
          <w:lang w:eastAsia="es-CO"/>
        </w:rPr>
        <w:t>ibidem</w:t>
      </w:r>
      <w:r>
        <w:rPr>
          <w:rFonts w:ascii="Verdana" w:eastAsia="Times New Roman" w:hAnsi="Verdana" w:cs="Arial"/>
          <w:color w:val="000000" w:themeColor="text1"/>
          <w:lang w:eastAsia="es-CO"/>
        </w:rPr>
        <w:t xml:space="preserve">–. Sin embargo, los contratos con organismos internacionales eventualmente pueden estar excluidos de las reglas </w:t>
      </w:r>
      <w:r>
        <w:rPr>
          <w:rFonts w:ascii="Verdana" w:eastAsia="Times New Roman" w:hAnsi="Verdana" w:cs="Arial"/>
          <w:color w:val="000000" w:themeColor="text1"/>
          <w:lang w:eastAsia="es-CO"/>
        </w:rPr>
        <w:lastRenderedPageBreak/>
        <w:t xml:space="preserve">de Estatuto General de Contratación de la Administración; razón por la cual, en dichos negocios no aplicaría el régimen de garantías del artículo 7 de la Ley 1150 de 2007 ni los artículos </w:t>
      </w:r>
      <w:r w:rsidRPr="00301772">
        <w:rPr>
          <w:rFonts w:ascii="Verdana" w:eastAsia="Times New Roman" w:hAnsi="Verdana" w:cs="Arial"/>
          <w:color w:val="000000" w:themeColor="text1"/>
          <w:lang w:eastAsia="es-CO"/>
        </w:rPr>
        <w:t>2.2.1.2.3.1.1</w:t>
      </w:r>
      <w:r>
        <w:rPr>
          <w:rFonts w:ascii="Verdana" w:eastAsia="Times New Roman" w:hAnsi="Verdana" w:cs="Arial"/>
          <w:color w:val="000000" w:themeColor="text1"/>
          <w:lang w:eastAsia="es-CO"/>
        </w:rPr>
        <w:t xml:space="preserve"> y siguientes del Decreto 1082 de 2015</w:t>
      </w:r>
    </w:p>
    <w:p w14:paraId="5D2B972A" w14:textId="77777777" w:rsidR="00FE34B6" w:rsidRDefault="00FE34B6" w:rsidP="00FE34B6">
      <w:pPr>
        <w:spacing w:after="0" w:line="276" w:lineRule="auto"/>
        <w:ind w:firstLine="708"/>
        <w:jc w:val="both"/>
        <w:rPr>
          <w:rFonts w:ascii="Verdana" w:eastAsia="Times New Roman" w:hAnsi="Verdana" w:cs="Arial"/>
          <w:color w:val="000000" w:themeColor="text1"/>
          <w:lang w:eastAsia="es-CO"/>
        </w:rPr>
      </w:pPr>
    </w:p>
    <w:p w14:paraId="6C531560" w14:textId="77777777" w:rsidR="00FE34B6" w:rsidRPr="00A679CC" w:rsidRDefault="00FE34B6" w:rsidP="00FE34B6">
      <w:pPr>
        <w:spacing w:after="120" w:line="276" w:lineRule="auto"/>
        <w:jc w:val="both"/>
        <w:rPr>
          <w:rFonts w:ascii="Verdana" w:hAnsi="Verdana" w:cs="Arial"/>
          <w:lang w:val="es-ES"/>
        </w:rPr>
      </w:pPr>
      <w:proofErr w:type="spellStart"/>
      <w:r>
        <w:rPr>
          <w:rFonts w:ascii="Verdana" w:eastAsia="Times New Roman" w:hAnsi="Verdana" w:cs="Arial"/>
          <w:color w:val="000000" w:themeColor="text1"/>
          <w:lang w:eastAsia="es-CO"/>
        </w:rPr>
        <w:t>iii</w:t>
      </w:r>
      <w:proofErr w:type="spellEnd"/>
      <w:r>
        <w:rPr>
          <w:rFonts w:ascii="Verdana" w:eastAsia="Times New Roman" w:hAnsi="Verdana" w:cs="Arial"/>
          <w:color w:val="000000" w:themeColor="text1"/>
          <w:lang w:eastAsia="es-CO"/>
        </w:rPr>
        <w:t xml:space="preserve">. </w:t>
      </w:r>
      <w:r w:rsidRPr="00A679CC">
        <w:rPr>
          <w:rFonts w:ascii="Verdana" w:hAnsi="Verdana" w:cs="Arial"/>
          <w:lang w:val="es-ES"/>
        </w:rPr>
        <w:t>Por organismo internacional se entiende aquella organización, grupo o asociación que se extiende más allá de las fronteras de un Estado y cuenta con órganos gubernamentales permanentes distintos e independientes de los Estados miembros de la organización que garantizan su vigencia y operatividad, con el propósito de cumplir objetivos comunes entre los Estados miembros</w:t>
      </w:r>
      <w:r w:rsidRPr="00A679CC">
        <w:rPr>
          <w:rStyle w:val="Refdenotaalpie"/>
          <w:rFonts w:ascii="Verdana" w:hAnsi="Verdana" w:cs="Arial"/>
        </w:rPr>
        <w:footnoteReference w:id="12"/>
      </w:r>
      <w:r w:rsidRPr="00A679CC">
        <w:rPr>
          <w:rFonts w:ascii="Verdana" w:hAnsi="Verdana" w:cs="Arial"/>
          <w:lang w:val="es-ES"/>
        </w:rPr>
        <w:t xml:space="preserve">. Conforme a su naturaleza, los organismos internacionales están facultados para suscribir contratos o convenios con los Estados, lo que supone un incidente frente a la aplicabilidad de los regímenes tanto de los Estados contratantes como de los organismos en su celebración. </w:t>
      </w:r>
    </w:p>
    <w:p w14:paraId="4A67EC06" w14:textId="77777777" w:rsidR="00FE34B6" w:rsidRDefault="00FE34B6" w:rsidP="00FE34B6">
      <w:pPr>
        <w:pStyle w:val="Prrafodelista"/>
        <w:snapToGrid w:val="0"/>
        <w:spacing w:before="120" w:after="120" w:line="276" w:lineRule="auto"/>
        <w:ind w:left="0" w:firstLine="709"/>
        <w:jc w:val="both"/>
        <w:rPr>
          <w:rFonts w:ascii="Verdana" w:eastAsia="Calibri" w:hAnsi="Verdana" w:cs="Arial"/>
        </w:rPr>
      </w:pPr>
      <w:bookmarkStart w:id="8" w:name="_Hlk99449078"/>
      <w:r w:rsidRPr="00A679CC">
        <w:rPr>
          <w:rFonts w:ascii="Verdana" w:eastAsia="Calibri" w:hAnsi="Verdana" w:cs="Arial"/>
        </w:rPr>
        <w:t>El artículo 13 de la Ley 80 de 1993 regula de forma general el régimen aplicable a los contratos que celebren las entidades referidas en el artículo segundo del estatuto, señalando en el inciso primero, como primer criterio, la aplicabilidad de las disposiciones civiles y comerciales nacionales, sin perjuicio de la aplicación prevalente de las contenidas en el Estatuto General de Contratación de la Administración Pública</w:t>
      </w:r>
      <w:r w:rsidRPr="00A679CC">
        <w:rPr>
          <w:rStyle w:val="Refdenotaalpie"/>
          <w:rFonts w:ascii="Verdana" w:hAnsi="Verdana" w:cs="Arial"/>
        </w:rPr>
        <w:footnoteReference w:id="13"/>
      </w:r>
      <w:r w:rsidRPr="00A679CC">
        <w:rPr>
          <w:rFonts w:ascii="Verdana" w:eastAsia="Calibri" w:hAnsi="Verdana" w:cs="Arial"/>
        </w:rPr>
        <w:t xml:space="preserve">. Sin embargo, en su segundo inciso, respecto a los contratos celebrados en el exterior, permite que su ejecución se realice de conformidad con las normas del país donde se hayan suscrito, salvo que deban cumplirse en Colombia, caso en el que se aplicaría el esquema señalado respecto al inciso primero. Por último, el inciso tercero permite que los contratos que se celebren en Colombia, pero deban ejecutarse o cumplirse en el extranjero, se sometan a la ley extranjera. </w:t>
      </w:r>
      <w:bookmarkEnd w:id="8"/>
    </w:p>
    <w:p w14:paraId="0FD68E74" w14:textId="77777777" w:rsidR="00FE34B6" w:rsidRPr="00A679CC" w:rsidRDefault="00FE34B6" w:rsidP="00FE34B6">
      <w:pPr>
        <w:pStyle w:val="Prrafodelista"/>
        <w:snapToGrid w:val="0"/>
        <w:spacing w:before="120" w:after="120" w:line="276" w:lineRule="auto"/>
        <w:ind w:left="0" w:firstLine="709"/>
        <w:jc w:val="both"/>
        <w:rPr>
          <w:rFonts w:ascii="Verdana" w:eastAsia="Calibri" w:hAnsi="Verdana" w:cs="Arial"/>
          <w:sz w:val="12"/>
          <w:szCs w:val="12"/>
        </w:rPr>
      </w:pPr>
    </w:p>
    <w:p w14:paraId="3523BDAD" w14:textId="77777777" w:rsidR="00FE34B6" w:rsidRPr="00A679CC" w:rsidRDefault="00FE34B6" w:rsidP="00FE34B6">
      <w:pPr>
        <w:pStyle w:val="Prrafodelista"/>
        <w:snapToGrid w:val="0"/>
        <w:spacing w:line="276" w:lineRule="auto"/>
        <w:ind w:left="0" w:firstLine="709"/>
        <w:jc w:val="both"/>
        <w:rPr>
          <w:rFonts w:ascii="Verdana" w:eastAsia="Calibri" w:hAnsi="Verdana" w:cs="Arial"/>
        </w:rPr>
      </w:pPr>
      <w:r w:rsidRPr="00A679CC">
        <w:rPr>
          <w:rFonts w:ascii="Verdana" w:eastAsia="Calibri" w:hAnsi="Verdana" w:cs="Arial"/>
        </w:rPr>
        <w:t xml:space="preserve">Nótese cómo el artículo citado permite que las entidades estatales no se rijan siempre por la normativa colombiana, permitiendo, en algunos casos, la aplicación de la ley extranjera. Además de los supuestos anteriores, el Consejo de Estado explica, en general, los siguientes escenarios, en los cuales el régimen </w:t>
      </w:r>
      <w:r w:rsidRPr="00A679CC">
        <w:rPr>
          <w:rFonts w:ascii="Verdana" w:eastAsia="Calibri" w:hAnsi="Verdana" w:cs="Arial"/>
        </w:rPr>
        <w:lastRenderedPageBreak/>
        <w:t>jurídico puede ser uno diferente al prescrito en el derecho nacional, pese a tratarse de contratos sometidos, en principio, a la Ley 80 de 1993:</w:t>
      </w:r>
    </w:p>
    <w:p w14:paraId="37305EE7" w14:textId="77777777" w:rsidR="00FE34B6" w:rsidRPr="00A679CC" w:rsidRDefault="00FE34B6" w:rsidP="00FE34B6">
      <w:pPr>
        <w:pStyle w:val="Prrafodelista"/>
        <w:snapToGrid w:val="0"/>
        <w:spacing w:line="276" w:lineRule="auto"/>
        <w:ind w:left="0" w:firstLine="709"/>
        <w:jc w:val="both"/>
        <w:rPr>
          <w:rFonts w:ascii="Verdana" w:eastAsia="Calibri" w:hAnsi="Verdana" w:cs="Arial"/>
        </w:rPr>
      </w:pPr>
    </w:p>
    <w:p w14:paraId="55B5A194" w14:textId="77777777" w:rsidR="00FE34B6" w:rsidRPr="00E77CEB" w:rsidRDefault="00FE34B6" w:rsidP="00FE34B6">
      <w:pPr>
        <w:pStyle w:val="Prrafodelista"/>
        <w:spacing w:after="0" w:line="240" w:lineRule="auto"/>
        <w:ind w:left="709" w:right="709"/>
        <w:jc w:val="both"/>
        <w:rPr>
          <w:rFonts w:ascii="Verdana" w:eastAsia="MS Mincho" w:hAnsi="Verdana" w:cs="Arial"/>
          <w:sz w:val="20"/>
          <w:szCs w:val="20"/>
          <w:lang w:eastAsia="es-ES"/>
        </w:rPr>
      </w:pPr>
      <w:r w:rsidRPr="00E77CEB">
        <w:rPr>
          <w:rFonts w:ascii="Verdana" w:eastAsia="MS Mincho" w:hAnsi="Verdana" w:cs="Arial"/>
          <w:sz w:val="20"/>
          <w:szCs w:val="20"/>
          <w:lang w:eastAsia="es-ES"/>
        </w:rPr>
        <w:t xml:space="preserve">“i) Contratos celebrados en el exterior, los cuales se podrán regir en su ejecución por las reglas del país donde se ha suscrito, salvo cuando su cumplimiento deba hacerse en Colombia, caso en el cual se aplicará la legislación nacional, </w:t>
      </w:r>
      <w:proofErr w:type="spellStart"/>
      <w:r w:rsidRPr="00E77CEB">
        <w:rPr>
          <w:rFonts w:ascii="Verdana" w:eastAsia="MS Mincho" w:hAnsi="Verdana" w:cs="Arial"/>
          <w:sz w:val="20"/>
          <w:szCs w:val="20"/>
          <w:lang w:eastAsia="es-ES"/>
        </w:rPr>
        <w:t>ii</w:t>
      </w:r>
      <w:proofErr w:type="spellEnd"/>
      <w:r w:rsidRPr="00E77CEB">
        <w:rPr>
          <w:rFonts w:ascii="Verdana" w:eastAsia="MS Mincho" w:hAnsi="Verdana" w:cs="Arial"/>
          <w:sz w:val="20"/>
          <w:szCs w:val="20"/>
          <w:lang w:eastAsia="es-ES"/>
        </w:rPr>
        <w:t xml:space="preserve">) Contratos celebrados en territorio colombiano que deben ejecutarse o cumplirse en el extranjero, en tal caso podrá regirse bajo legislación foránea, salvo aquella parte que deba ejecutarse o cumplirse en Colombia, la cual se regirá por el derecho nacional, </w:t>
      </w:r>
      <w:proofErr w:type="spellStart"/>
      <w:r w:rsidRPr="00E77CEB">
        <w:rPr>
          <w:rFonts w:ascii="Verdana" w:eastAsia="MS Mincho" w:hAnsi="Verdana" w:cs="Arial"/>
          <w:sz w:val="20"/>
          <w:szCs w:val="20"/>
          <w:lang w:eastAsia="es-ES"/>
        </w:rPr>
        <w:t>iii</w:t>
      </w:r>
      <w:proofErr w:type="spellEnd"/>
      <w:r w:rsidRPr="00E77CEB">
        <w:rPr>
          <w:rFonts w:ascii="Verdana" w:eastAsia="MS Mincho" w:hAnsi="Verdana" w:cs="Arial"/>
          <w:sz w:val="20"/>
          <w:szCs w:val="20"/>
          <w:lang w:eastAsia="es-ES"/>
        </w:rPr>
        <w:t>) a) los contratos financiados con fondos de organismos multilaterales de crédito y b) aquellos celebrados con personas extranjeras de derecho público u organismos de cooperación, asistencia o ayudas internacionales, los cuales ‘podrán someterse a los reglamentos de tales entidades en todo lo relacionado con procedimientos de formación y adjudicación y cláusulas especiales de ejecución, cumplimiento, pagos y ajustes’”</w:t>
      </w:r>
      <w:r w:rsidRPr="00E77CEB">
        <w:rPr>
          <w:rStyle w:val="Refdenotaalpie"/>
          <w:rFonts w:ascii="Verdana" w:hAnsi="Verdana" w:cs="Arial"/>
          <w:sz w:val="20"/>
          <w:szCs w:val="20"/>
        </w:rPr>
        <w:footnoteReference w:id="14"/>
      </w:r>
      <w:r w:rsidRPr="00E77CEB">
        <w:rPr>
          <w:rFonts w:ascii="Verdana" w:eastAsia="MS Mincho" w:hAnsi="Verdana" w:cs="Arial"/>
          <w:sz w:val="20"/>
          <w:szCs w:val="20"/>
          <w:lang w:eastAsia="es-ES"/>
        </w:rPr>
        <w:t xml:space="preserve">. </w:t>
      </w:r>
    </w:p>
    <w:p w14:paraId="3404868E" w14:textId="77777777" w:rsidR="00FE34B6" w:rsidRPr="00E77CEB" w:rsidRDefault="00FE34B6" w:rsidP="00FE34B6">
      <w:pPr>
        <w:spacing w:after="0" w:line="276" w:lineRule="auto"/>
        <w:ind w:right="709"/>
        <w:rPr>
          <w:rFonts w:ascii="Verdana" w:eastAsia="Calibri" w:hAnsi="Verdana" w:cs="Arial"/>
        </w:rPr>
      </w:pPr>
    </w:p>
    <w:p w14:paraId="2CAABC9F" w14:textId="77777777" w:rsidR="00FE34B6" w:rsidRPr="00A679CC" w:rsidRDefault="00FE34B6" w:rsidP="00FE34B6">
      <w:pPr>
        <w:spacing w:line="276" w:lineRule="auto"/>
        <w:ind w:firstLine="709"/>
        <w:jc w:val="both"/>
        <w:rPr>
          <w:rFonts w:ascii="Verdana" w:eastAsia="Calibri" w:hAnsi="Verdana" w:cs="Arial"/>
          <w:lang w:val="es-ES"/>
        </w:rPr>
      </w:pPr>
      <w:r w:rsidRPr="00A679CC">
        <w:rPr>
          <w:rFonts w:ascii="Verdana" w:eastAsia="Calibri" w:hAnsi="Verdana" w:cs="Arial"/>
          <w:lang w:val="es-ES"/>
        </w:rPr>
        <w:t>La redacción original del artículo 13 de la Ley 80 de 1993 incluía un inciso cuarto en el que se regulaba el régimen aplicable a los contratos suscritos con organismos internacionales, estableciendo otros supuestos donde era posible aplicar un régimen distinto al del Estatuto General de Contratación de la Administración Pública –en adelante EGCAP–</w:t>
      </w:r>
      <w:r w:rsidRPr="00A679CC">
        <w:rPr>
          <w:rStyle w:val="Refdenotaalpie"/>
          <w:rFonts w:ascii="Verdana" w:eastAsia="Calibri" w:hAnsi="Verdana" w:cs="Arial"/>
        </w:rPr>
        <w:footnoteReference w:id="15"/>
      </w:r>
      <w:r w:rsidRPr="00A679CC">
        <w:rPr>
          <w:rFonts w:ascii="Verdana" w:eastAsia="Calibri" w:hAnsi="Verdana" w:cs="Arial"/>
          <w:lang w:val="es-ES"/>
        </w:rPr>
        <w:t xml:space="preserve">. Sin embargo, el artículo 20 de la Ley 1150 de 2007 modificó el régimen contractual aplicable a los contratos o convenios suscritos con organismos internacionales, estableciendo, para algunos casos, la posible definición del régimen dependiendo del porcentaje de participación que el organismo internacional tuviera frente a dichos contratos, a partir del cual establece una potestad discrecional en torno a la elección del régimen contractual aplicable. Así, el artículo 20 de la citada norma señala que “podrán” someterse a los reglamentos de tales entidades, en lo que tiene que ver con el inciso primero de dicho artículo. </w:t>
      </w:r>
    </w:p>
    <w:p w14:paraId="2D12DABB" w14:textId="77777777" w:rsidR="00FE34B6" w:rsidRPr="00A679CC" w:rsidRDefault="00FE34B6" w:rsidP="00FE34B6">
      <w:pPr>
        <w:spacing w:before="120" w:after="120" w:line="276" w:lineRule="auto"/>
        <w:ind w:firstLine="709"/>
        <w:jc w:val="both"/>
        <w:rPr>
          <w:rFonts w:ascii="Verdana" w:eastAsia="Calibri" w:hAnsi="Verdana" w:cs="Arial"/>
          <w:lang w:val="es-ES"/>
        </w:rPr>
      </w:pPr>
      <w:r w:rsidRPr="00A679CC">
        <w:rPr>
          <w:rFonts w:ascii="Verdana" w:eastAsia="Calibri" w:hAnsi="Verdana" w:cs="Arial"/>
          <w:lang w:val="es-ES"/>
        </w:rPr>
        <w:t xml:space="preserve">Para comprender el alcance del régimen aplicable a los contratos o convenios que se suscriban con organismos internacionales, de acuerdo con la financiación de estos, resulta necesario analizar el artículo 20 de la Ley 1150 de </w:t>
      </w:r>
      <w:r w:rsidRPr="00A679CC">
        <w:rPr>
          <w:rFonts w:ascii="Verdana" w:eastAsia="Calibri" w:hAnsi="Verdana" w:cs="Arial"/>
          <w:lang w:val="es-ES"/>
        </w:rPr>
        <w:lastRenderedPageBreak/>
        <w:t>2007</w:t>
      </w:r>
      <w:r w:rsidRPr="00A679CC">
        <w:rPr>
          <w:rStyle w:val="Refdenotaalpie"/>
          <w:rFonts w:ascii="Verdana" w:eastAsia="Calibri" w:hAnsi="Verdana" w:cs="Arial"/>
        </w:rPr>
        <w:footnoteReference w:id="16"/>
      </w:r>
      <w:r w:rsidRPr="00A679CC">
        <w:rPr>
          <w:rFonts w:ascii="Verdana" w:eastAsia="Calibri" w:hAnsi="Verdana" w:cs="Arial"/>
          <w:lang w:val="es-ES"/>
        </w:rPr>
        <w:t xml:space="preserve">. De conformidad con este artículo, en lo que tiene que ver con el </w:t>
      </w:r>
      <w:r w:rsidRPr="00A679CC">
        <w:rPr>
          <w:rFonts w:ascii="Verdana" w:eastAsia="Calibri" w:hAnsi="Verdana" w:cs="Arial"/>
          <w:i/>
          <w:lang w:val="es-ES"/>
        </w:rPr>
        <w:t>inciso primero</w:t>
      </w:r>
      <w:r w:rsidRPr="00A679CC">
        <w:rPr>
          <w:rFonts w:ascii="Verdana" w:eastAsia="Calibri" w:hAnsi="Verdana" w:cs="Arial"/>
          <w:lang w:val="es-ES"/>
        </w:rPr>
        <w:t xml:space="preserve">, resulta que únicamente procederá la aplicación de los reglamentos de estas entidades y, por lo tanto, es facultativo dejar de aplicar el EGCAP cuando los contratos o convenios sean financiados en su totalidad o en sumas iguales o superiores al 50% con fondos del organismo de cooperación, asistencia o ayudas internacionales. Cuando la entidad contratante determine o establezca que los aportes del organismo internacional son inferiores al porcentaje señalado, el contrato o convenio debe someterse al EGCAP. </w:t>
      </w:r>
    </w:p>
    <w:p w14:paraId="475E0FE6" w14:textId="77777777" w:rsidR="00FE34B6" w:rsidRPr="00A679CC" w:rsidRDefault="00FE34B6" w:rsidP="00FE34B6">
      <w:pPr>
        <w:spacing w:after="120" w:line="276" w:lineRule="auto"/>
        <w:ind w:firstLine="709"/>
        <w:jc w:val="both"/>
        <w:rPr>
          <w:rFonts w:ascii="Verdana" w:hAnsi="Verdana" w:cs="Arial"/>
        </w:rPr>
      </w:pPr>
      <w:r w:rsidRPr="00A679CC">
        <w:rPr>
          <w:rFonts w:ascii="Verdana" w:eastAsia="Calibri" w:hAnsi="Verdana" w:cs="Arial"/>
          <w:lang w:val="es-ES"/>
        </w:rPr>
        <w:t>Conviene mencionar que dentro de la ejecución del contrato o convenio pueden presentarse situaciones en las que el porcentaje de los aportes sea modificado, en virtud de su adición o no ejecución en los términos pactados. Previendo este escenario, el artículo 2.2.1.2.4.4.1 del Decreto 1082 de 2015 dispuso que se deben modificar los contratos o convenios para efectos de que estos estén sujetos a las normas del sistema de compras y contratación pública, si el aporte de recursos públicos es superior al cincuenta por ciento (50%) del total o de las normas internas de la entidad de cooperación si el aporte es inferior</w:t>
      </w:r>
      <w:r w:rsidRPr="00A679CC">
        <w:rPr>
          <w:rStyle w:val="Refdenotaalpie"/>
          <w:rFonts w:ascii="Verdana" w:eastAsia="Calibri" w:hAnsi="Verdana" w:cs="Arial"/>
        </w:rPr>
        <w:footnoteReference w:id="17"/>
      </w:r>
      <w:r w:rsidRPr="00A679CC">
        <w:rPr>
          <w:rFonts w:ascii="Verdana" w:eastAsia="Calibri" w:hAnsi="Verdana" w:cs="Arial"/>
          <w:lang w:val="es-ES"/>
        </w:rPr>
        <w:t xml:space="preserve">. Así las cosas, la entidad contratante debe realizar un constante </w:t>
      </w:r>
      <w:r w:rsidRPr="00A679CC">
        <w:rPr>
          <w:rFonts w:ascii="Verdana" w:eastAsia="Calibri" w:hAnsi="Verdana" w:cs="Arial"/>
          <w:lang w:val="es-ES"/>
        </w:rPr>
        <w:lastRenderedPageBreak/>
        <w:t>monitoreo respecto de los aportes de cada una de las partes para determinar si se debe realizar un ajuste frente al régimen aplicable, esto es, en relación con los contratos regulados en el inciso primero del artículo 20 de la Ley 1150 de 2007</w:t>
      </w:r>
      <w:r w:rsidRPr="00A679CC">
        <w:rPr>
          <w:rFonts w:ascii="Verdana" w:hAnsi="Verdana" w:cs="Arial"/>
        </w:rPr>
        <w:t xml:space="preserve">. </w:t>
      </w:r>
    </w:p>
    <w:p w14:paraId="7E94CDD5" w14:textId="77777777" w:rsidR="00FE34B6" w:rsidRPr="00A679CC" w:rsidRDefault="00FE34B6" w:rsidP="00FE34B6">
      <w:pPr>
        <w:spacing w:after="120" w:line="276" w:lineRule="auto"/>
        <w:ind w:firstLine="709"/>
        <w:jc w:val="both"/>
        <w:rPr>
          <w:rFonts w:ascii="Verdana" w:hAnsi="Verdana" w:cs="Arial"/>
          <w:lang w:val="es-MX"/>
        </w:rPr>
      </w:pPr>
      <w:r w:rsidRPr="00A679CC">
        <w:rPr>
          <w:rStyle w:val="normaltextrun"/>
          <w:rFonts w:ascii="Verdana" w:hAnsi="Verdana" w:cs="Arial"/>
          <w:color w:val="000000"/>
          <w:shd w:val="clear" w:color="auto" w:fill="FFFFFF"/>
          <w:lang w:val="es-ES"/>
        </w:rPr>
        <w:t>De conformidad con lo expuesto, los contratos o convenios suscritos con organismos de cooperación, asistencia o ayudas internacionales pueden financiarse con aportes en sumas liquidas de dinero o en especie, pues el parágrafo 3 de la misma disposición así lo permite al establecer la obligación de cuantificar en moneda colombiana los aportes en especie realizados por estos organismos. En caso de que supere el 50% de la totalidad del presupuesto de la contratación, la entidad podrá someter el convenio o contrato a las reglas de contratación del referido organismo.</w:t>
      </w:r>
      <w:r w:rsidRPr="00A679CC">
        <w:rPr>
          <w:rStyle w:val="eop"/>
          <w:rFonts w:ascii="Verdana" w:hAnsi="Verdana" w:cs="Arial"/>
          <w:color w:val="000000"/>
          <w:shd w:val="clear" w:color="auto" w:fill="FFFFFF"/>
        </w:rPr>
        <w:t> </w:t>
      </w:r>
    </w:p>
    <w:p w14:paraId="2DA95812" w14:textId="77777777" w:rsidR="00FE34B6" w:rsidRPr="00A679CC" w:rsidRDefault="00FE34B6" w:rsidP="00FE34B6">
      <w:pPr>
        <w:spacing w:before="120" w:after="0" w:line="276" w:lineRule="auto"/>
        <w:ind w:firstLine="709"/>
        <w:jc w:val="both"/>
        <w:rPr>
          <w:rFonts w:ascii="Verdana" w:eastAsia="Calibri" w:hAnsi="Verdana" w:cs="Arial"/>
          <w:lang w:val="es-ES"/>
        </w:rPr>
      </w:pPr>
      <w:r w:rsidRPr="00A679CC">
        <w:rPr>
          <w:rFonts w:ascii="Verdana" w:eastAsia="Calibri" w:hAnsi="Verdana" w:cs="Arial"/>
          <w:lang w:val="es-ES"/>
        </w:rPr>
        <w:t xml:space="preserve">Por otro lado, la norma establece un criterio adicional en el </w:t>
      </w:r>
      <w:r w:rsidRPr="00A679CC">
        <w:rPr>
          <w:rFonts w:ascii="Verdana" w:eastAsia="Calibri" w:hAnsi="Verdana" w:cs="Arial"/>
          <w:i/>
          <w:lang w:val="es-ES"/>
        </w:rPr>
        <w:t>inciso segundo,</w:t>
      </w:r>
      <w:r w:rsidRPr="00A679CC">
        <w:rPr>
          <w:rFonts w:ascii="Verdana" w:eastAsia="Calibri" w:hAnsi="Verdana" w:cs="Arial"/>
          <w:lang w:val="es-ES"/>
        </w:rPr>
        <w:t xml:space="preserve"> para determinar la posible aplicación de los reglamentos de los organismos internacionales. Este segundo criterio depende del objeto del convenio o contrato a celebrar con personas extranjeras de derecho público u organismos de derecho internacional, de manera que en dichos casos puede pactarse el sometimiento a los reglamentos de estas entidades. En tal sentido, los supuestos en que es posible someter el régimen contractual a los reglamentos de los organismos internacionales son los siguientes: </w:t>
      </w:r>
    </w:p>
    <w:p w14:paraId="54A46F66" w14:textId="77777777" w:rsidR="00FE34B6" w:rsidRPr="00A679CC" w:rsidRDefault="00FE34B6" w:rsidP="00FE34B6">
      <w:pPr>
        <w:spacing w:after="0" w:line="276" w:lineRule="auto"/>
        <w:ind w:firstLine="709"/>
        <w:jc w:val="both"/>
        <w:rPr>
          <w:rFonts w:ascii="Verdana" w:eastAsia="Calibri" w:hAnsi="Verdana" w:cs="Arial"/>
          <w:lang w:val="es-ES"/>
        </w:rPr>
      </w:pPr>
    </w:p>
    <w:p w14:paraId="4352731F" w14:textId="77777777" w:rsidR="00FE34B6" w:rsidRPr="00E77CEB" w:rsidRDefault="00FE34B6" w:rsidP="00FE34B6">
      <w:pPr>
        <w:pStyle w:val="Prrafodelista"/>
        <w:numPr>
          <w:ilvl w:val="0"/>
          <w:numId w:val="18"/>
        </w:numPr>
        <w:spacing w:after="200" w:line="240" w:lineRule="auto"/>
        <w:ind w:left="1134" w:right="709" w:hanging="141"/>
        <w:jc w:val="both"/>
        <w:rPr>
          <w:rFonts w:ascii="Verdana" w:eastAsia="Calibri" w:hAnsi="Verdana" w:cs="Arial"/>
          <w:sz w:val="20"/>
          <w:szCs w:val="20"/>
        </w:rPr>
      </w:pPr>
      <w:r w:rsidRPr="00E77CEB">
        <w:rPr>
          <w:rFonts w:ascii="Verdana" w:eastAsia="Calibri" w:hAnsi="Verdana" w:cs="Arial"/>
          <w:sz w:val="20"/>
          <w:szCs w:val="20"/>
        </w:rPr>
        <w:t xml:space="preserve">Desarrollo de programas de promoción, prevención y atención en salud. </w:t>
      </w:r>
    </w:p>
    <w:p w14:paraId="4D1748A6" w14:textId="77777777" w:rsidR="00FE34B6" w:rsidRPr="00E77CEB" w:rsidRDefault="00FE34B6" w:rsidP="00FE34B6">
      <w:pPr>
        <w:pStyle w:val="Prrafodelista"/>
        <w:numPr>
          <w:ilvl w:val="0"/>
          <w:numId w:val="18"/>
        </w:numPr>
        <w:spacing w:after="0" w:line="240" w:lineRule="auto"/>
        <w:ind w:left="1134" w:right="709" w:hanging="141"/>
        <w:jc w:val="both"/>
        <w:rPr>
          <w:rFonts w:ascii="Verdana" w:hAnsi="Verdana" w:cs="Arial"/>
          <w:sz w:val="20"/>
          <w:szCs w:val="20"/>
        </w:rPr>
      </w:pPr>
      <w:r w:rsidRPr="00E77CEB">
        <w:rPr>
          <w:rFonts w:ascii="Verdana" w:hAnsi="Verdana" w:cs="Arial"/>
          <w:sz w:val="20"/>
          <w:szCs w:val="20"/>
        </w:rPr>
        <w:t>Contratos y convenios necesarios para la operación de la OIT.</w:t>
      </w:r>
    </w:p>
    <w:p w14:paraId="114AE0B9" w14:textId="77777777" w:rsidR="00FE34B6" w:rsidRPr="00E77CEB" w:rsidRDefault="00FE34B6" w:rsidP="00FE34B6">
      <w:pPr>
        <w:pStyle w:val="Prrafodelista"/>
        <w:numPr>
          <w:ilvl w:val="0"/>
          <w:numId w:val="18"/>
        </w:numPr>
        <w:spacing w:after="0" w:line="240" w:lineRule="auto"/>
        <w:ind w:left="1134" w:right="709" w:hanging="141"/>
        <w:jc w:val="both"/>
        <w:rPr>
          <w:rFonts w:ascii="Verdana" w:hAnsi="Verdana" w:cs="Arial"/>
          <w:sz w:val="20"/>
          <w:szCs w:val="20"/>
        </w:rPr>
      </w:pPr>
      <w:r w:rsidRPr="00E77CEB">
        <w:rPr>
          <w:rFonts w:ascii="Verdana" w:hAnsi="Verdana" w:cs="Arial"/>
          <w:sz w:val="20"/>
          <w:szCs w:val="20"/>
        </w:rPr>
        <w:lastRenderedPageBreak/>
        <w:t>Contratos y convenios que se ejecuten en desarrollo del sistema integrado de monitoreo de cultivos ilícitos.</w:t>
      </w:r>
    </w:p>
    <w:p w14:paraId="009BD993" w14:textId="77777777" w:rsidR="00FE34B6" w:rsidRPr="00E77CEB" w:rsidRDefault="00FE34B6" w:rsidP="00FE34B6">
      <w:pPr>
        <w:pStyle w:val="Prrafodelista"/>
        <w:numPr>
          <w:ilvl w:val="0"/>
          <w:numId w:val="18"/>
        </w:numPr>
        <w:spacing w:after="0" w:line="240" w:lineRule="auto"/>
        <w:ind w:left="1134" w:right="709" w:hanging="141"/>
        <w:jc w:val="both"/>
        <w:rPr>
          <w:rFonts w:ascii="Verdana" w:hAnsi="Verdana" w:cs="Arial"/>
          <w:sz w:val="20"/>
          <w:szCs w:val="20"/>
        </w:rPr>
      </w:pPr>
      <w:r w:rsidRPr="00E77CEB">
        <w:rPr>
          <w:rFonts w:ascii="Verdana" w:hAnsi="Verdana" w:cs="Arial"/>
          <w:sz w:val="20"/>
          <w:szCs w:val="20"/>
        </w:rPr>
        <w:t>Contratos y convenios para la operación del programa mundial de alimentos.</w:t>
      </w:r>
    </w:p>
    <w:p w14:paraId="75F69100" w14:textId="77777777" w:rsidR="00FE34B6" w:rsidRPr="00E77CEB" w:rsidRDefault="00FE34B6" w:rsidP="00FE34B6">
      <w:pPr>
        <w:pStyle w:val="Prrafodelista"/>
        <w:numPr>
          <w:ilvl w:val="0"/>
          <w:numId w:val="18"/>
        </w:numPr>
        <w:spacing w:after="0" w:line="240" w:lineRule="auto"/>
        <w:ind w:left="1134" w:right="709" w:hanging="141"/>
        <w:jc w:val="both"/>
        <w:rPr>
          <w:rFonts w:ascii="Verdana" w:hAnsi="Verdana" w:cs="Arial"/>
          <w:sz w:val="20"/>
          <w:szCs w:val="20"/>
        </w:rPr>
      </w:pPr>
      <w:r w:rsidRPr="00E77CEB">
        <w:rPr>
          <w:rFonts w:ascii="Verdana" w:hAnsi="Verdana" w:cs="Arial"/>
          <w:sz w:val="20"/>
          <w:szCs w:val="20"/>
        </w:rPr>
        <w:t>Contratos y convenios para el desarrollo de programas de apoyo educativo a población desplazada y vulnerable adelantados por la Unesco y la OIM.</w:t>
      </w:r>
    </w:p>
    <w:p w14:paraId="0F259A7A" w14:textId="77777777" w:rsidR="00FE34B6" w:rsidRPr="00E77CEB" w:rsidRDefault="00FE34B6" w:rsidP="00FE34B6">
      <w:pPr>
        <w:pStyle w:val="Prrafodelista"/>
        <w:numPr>
          <w:ilvl w:val="0"/>
          <w:numId w:val="18"/>
        </w:numPr>
        <w:spacing w:after="0" w:line="240" w:lineRule="auto"/>
        <w:ind w:left="1134" w:right="709" w:hanging="141"/>
        <w:jc w:val="both"/>
        <w:rPr>
          <w:rFonts w:ascii="Verdana" w:hAnsi="Verdana" w:cs="Arial"/>
          <w:sz w:val="20"/>
          <w:szCs w:val="20"/>
        </w:rPr>
      </w:pPr>
      <w:r w:rsidRPr="00E77CEB">
        <w:rPr>
          <w:rFonts w:ascii="Verdana" w:hAnsi="Verdana" w:cs="Arial"/>
          <w:sz w:val="20"/>
          <w:szCs w:val="20"/>
        </w:rPr>
        <w:t xml:space="preserve">Los contratos o convenios financiados con fondos de los organismos multilaterales de crédito y entes gubernamentales extranjeros. </w:t>
      </w:r>
    </w:p>
    <w:p w14:paraId="30A3E15C" w14:textId="77777777" w:rsidR="00FE34B6" w:rsidRPr="00A679CC" w:rsidRDefault="00FE34B6" w:rsidP="00FE34B6">
      <w:pPr>
        <w:pStyle w:val="Prrafodelista"/>
        <w:spacing w:after="0" w:line="276" w:lineRule="auto"/>
        <w:ind w:left="1429"/>
        <w:rPr>
          <w:rFonts w:ascii="Verdana" w:hAnsi="Verdana" w:cs="Arial"/>
        </w:rPr>
      </w:pPr>
    </w:p>
    <w:p w14:paraId="1A095240" w14:textId="77777777" w:rsidR="00FE34B6" w:rsidRPr="00A679CC" w:rsidRDefault="00FE34B6" w:rsidP="00FE34B6">
      <w:pPr>
        <w:spacing w:after="0" w:line="276" w:lineRule="auto"/>
        <w:ind w:firstLine="709"/>
        <w:jc w:val="both"/>
        <w:rPr>
          <w:rFonts w:ascii="Verdana" w:eastAsia="Calibri" w:hAnsi="Verdana" w:cs="Arial"/>
          <w:lang w:val="es-ES"/>
        </w:rPr>
      </w:pPr>
      <w:bookmarkStart w:id="11" w:name="_Hlk148447946"/>
      <w:r w:rsidRPr="00A679CC">
        <w:rPr>
          <w:rFonts w:ascii="Verdana" w:eastAsia="Calibri" w:hAnsi="Verdana" w:cs="Arial"/>
          <w:lang w:val="es-ES"/>
        </w:rPr>
        <w:t>En los supuestos anteriores, regulados en el inciso segundo del artículo 20, independientemente del monto de los aportes de cada una de las partes, es posible optar por someter el contrato a los reglamentos de dichos organismos o bien someterlos al EGCAP, es decir, configurado alguno de los presupuestos anteriores es posible elegir cualquiera de los dos (2) regímenes indicados</w:t>
      </w:r>
      <w:bookmarkEnd w:id="11"/>
      <w:r w:rsidRPr="00A679CC">
        <w:rPr>
          <w:rFonts w:ascii="Verdana" w:eastAsia="Calibri" w:hAnsi="Verdana" w:cs="Arial"/>
          <w:lang w:val="es-ES"/>
        </w:rPr>
        <w:t>. Al respecto, en el Concepto C-374 del 27 de julio de 2020, esta Agencia –después de analizar el artículo 20 de la Ley 1150 de 2007– concluyó que:</w:t>
      </w:r>
    </w:p>
    <w:p w14:paraId="72A53431" w14:textId="77777777" w:rsidR="00FE34B6" w:rsidRPr="00A679CC" w:rsidRDefault="00FE34B6" w:rsidP="00FE34B6">
      <w:pPr>
        <w:spacing w:after="0" w:line="276" w:lineRule="auto"/>
        <w:ind w:firstLine="709"/>
        <w:jc w:val="both"/>
        <w:rPr>
          <w:rFonts w:ascii="Verdana" w:eastAsia="Calibri" w:hAnsi="Verdana" w:cs="Arial"/>
          <w:lang w:val="es-ES"/>
        </w:rPr>
      </w:pPr>
    </w:p>
    <w:p w14:paraId="46D03EED" w14:textId="77777777" w:rsidR="00FE34B6" w:rsidRPr="00E77CEB" w:rsidRDefault="00FE34B6" w:rsidP="00FE34B6">
      <w:pPr>
        <w:spacing w:after="0" w:line="240" w:lineRule="auto"/>
        <w:ind w:left="709" w:right="709"/>
        <w:jc w:val="both"/>
        <w:rPr>
          <w:rFonts w:ascii="Verdana" w:eastAsia="Calibri" w:hAnsi="Verdana" w:cs="Arial"/>
          <w:sz w:val="20"/>
          <w:szCs w:val="20"/>
          <w:lang w:val="es-ES"/>
        </w:rPr>
      </w:pPr>
      <w:r w:rsidRPr="00E77CEB">
        <w:rPr>
          <w:rFonts w:ascii="Verdana" w:eastAsia="Calibri" w:hAnsi="Verdana" w:cs="Arial"/>
          <w:sz w:val="20"/>
          <w:szCs w:val="20"/>
          <w:lang w:val="es-ES"/>
        </w:rPr>
        <w:t>“[…] existen dos grupos de supuestos en el artículo 20 de la Ley 1150 de 2007, bajo los cuales es posible someter el régimen contractual aplicable a los reglamentos de los organismos internacionales: el primer grupo, regulado en el inciso primero, donde dicha posibilidad se condiciona a que los contratos o convenios  se financien en el 50% o más con fondos de dichos organismos de cooperación, asistencia o ayudas internacionales y, el segundo grupo, regulado en el inciso segundo, donde dicha posibilidad se condiciona a que se configure alguno de los 6 supuestos enlistados atrás, sin que resulte exigible algún porcentaje de incorporación de recursos. En todo caso, frente a ambos grupos, la aplicación de los reglamentos de tales entidades internacionales es una posibilidad por la que pueden optar o no las partes; es decir, configurados los requisitos indicados, las partes pueden decidir si someten los contratos a los reglamentos de las entidades internacionales o si se rigen por el Estatuto General de Contratación de la Administración Pública”.</w:t>
      </w:r>
    </w:p>
    <w:p w14:paraId="3E0ADEFE" w14:textId="77777777" w:rsidR="00FE34B6" w:rsidRPr="00A679CC" w:rsidRDefault="00FE34B6" w:rsidP="00FE34B6">
      <w:pPr>
        <w:spacing w:after="0" w:line="276" w:lineRule="auto"/>
        <w:ind w:left="709" w:right="709"/>
        <w:jc w:val="both"/>
        <w:rPr>
          <w:rFonts w:ascii="Verdana" w:eastAsia="Calibri" w:hAnsi="Verdana" w:cs="Arial"/>
          <w:sz w:val="21"/>
          <w:szCs w:val="21"/>
          <w:lang w:val="es-ES"/>
        </w:rPr>
      </w:pPr>
    </w:p>
    <w:p w14:paraId="42198865" w14:textId="77777777" w:rsidR="00FE34B6" w:rsidRDefault="00FE34B6" w:rsidP="00FE34B6">
      <w:pPr>
        <w:spacing w:after="0" w:line="276" w:lineRule="auto"/>
        <w:ind w:firstLine="709"/>
        <w:jc w:val="both"/>
        <w:rPr>
          <w:rFonts w:ascii="Verdana" w:eastAsia="Calibri" w:hAnsi="Verdana" w:cs="Arial"/>
          <w:lang w:val="es-ES"/>
        </w:rPr>
      </w:pPr>
      <w:r w:rsidRPr="00A679CC">
        <w:rPr>
          <w:rFonts w:ascii="Verdana" w:eastAsia="Calibri" w:hAnsi="Verdana" w:cs="Arial"/>
          <w:lang w:val="es-ES"/>
        </w:rPr>
        <w:t xml:space="preserve">Asimismo, el parágrafo primero del artículo 20 de la Ley 1150 de 2007 establece un tercer criterio para determinar el régimen contractual aplicable. De acuerdo con la norma, “Los contratos o acuerdos celebrados con personas extranjeras de derecho público, podrán someterse a las reglas de tales organismos”. Estos negocios jurídicos, a diferencia de los contratos del inciso primero </w:t>
      </w:r>
      <w:r w:rsidRPr="00A679CC">
        <w:rPr>
          <w:rFonts w:ascii="Verdana" w:eastAsia="Calibri" w:hAnsi="Verdana" w:cs="Arial"/>
          <w:i/>
          <w:lang w:val="es-ES"/>
        </w:rPr>
        <w:t>ibidem</w:t>
      </w:r>
      <w:r w:rsidRPr="00A679CC">
        <w:rPr>
          <w:rFonts w:ascii="Verdana" w:eastAsia="Calibri" w:hAnsi="Verdana" w:cs="Arial"/>
          <w:lang w:val="es-ES"/>
        </w:rPr>
        <w:t xml:space="preserve">, son independientes del monto de los aportes realizados por el organismo. Igualmente, en contraste con los contratos del inciso segundo </w:t>
      </w:r>
      <w:r w:rsidRPr="00A679CC">
        <w:rPr>
          <w:rFonts w:ascii="Verdana" w:eastAsia="Calibri" w:hAnsi="Verdana" w:cs="Arial"/>
          <w:i/>
          <w:lang w:val="es-ES"/>
        </w:rPr>
        <w:lastRenderedPageBreak/>
        <w:t>ibidem</w:t>
      </w:r>
      <w:r w:rsidRPr="00A679CC">
        <w:rPr>
          <w:rFonts w:ascii="Verdana" w:eastAsia="Calibri" w:hAnsi="Verdana" w:cs="Arial"/>
          <w:lang w:val="es-ES"/>
        </w:rPr>
        <w:t xml:space="preserve">, son negocios jurídicos independientes del objeto convenido. No obstante, al igual de los dos (2) supuestos explicados </w:t>
      </w:r>
      <w:r w:rsidRPr="00A679CC">
        <w:rPr>
          <w:rFonts w:ascii="Verdana" w:eastAsia="Calibri" w:hAnsi="Verdana" w:cs="Arial"/>
          <w:i/>
          <w:lang w:val="es-ES"/>
        </w:rPr>
        <w:t>ut supra</w:t>
      </w:r>
      <w:r w:rsidRPr="00A679CC">
        <w:rPr>
          <w:rFonts w:ascii="Verdana" w:eastAsia="Calibri" w:hAnsi="Verdana" w:cs="Arial"/>
          <w:lang w:val="es-ES"/>
        </w:rPr>
        <w:t>, en esta hipótesis también es posible optar por someter el contrato a los reglamentos de dichos organismos o bien someterlos a la Ley 80 de 1993.</w:t>
      </w:r>
    </w:p>
    <w:p w14:paraId="68926787" w14:textId="77777777" w:rsidR="00FE34B6" w:rsidRDefault="00FE34B6" w:rsidP="00FE34B6">
      <w:pPr>
        <w:spacing w:after="0" w:line="276" w:lineRule="auto"/>
        <w:ind w:firstLine="709"/>
        <w:jc w:val="both"/>
        <w:rPr>
          <w:rFonts w:ascii="Verdana" w:eastAsia="Calibri" w:hAnsi="Verdana" w:cs="Arial"/>
          <w:lang w:val="es-ES"/>
        </w:rPr>
      </w:pPr>
    </w:p>
    <w:p w14:paraId="539A81E7" w14:textId="77777777" w:rsidR="00FE34B6" w:rsidRPr="00CA09AA" w:rsidRDefault="00FE34B6" w:rsidP="00FE34B6">
      <w:pPr>
        <w:spacing w:after="0" w:line="276" w:lineRule="auto"/>
        <w:jc w:val="both"/>
        <w:rPr>
          <w:rFonts w:ascii="Verdana" w:hAnsi="Verdana" w:cs="Arial"/>
          <w:color w:val="000000" w:themeColor="text1"/>
          <w:lang w:val="es-ES_tradnl"/>
        </w:rPr>
      </w:pPr>
      <w:proofErr w:type="spellStart"/>
      <w:r>
        <w:rPr>
          <w:rFonts w:ascii="Verdana" w:eastAsia="Calibri" w:hAnsi="Verdana" w:cs="Arial"/>
          <w:lang w:val="es-ES"/>
        </w:rPr>
        <w:t>iv</w:t>
      </w:r>
      <w:proofErr w:type="spellEnd"/>
      <w:r>
        <w:rPr>
          <w:rFonts w:ascii="Verdana" w:eastAsia="Calibri" w:hAnsi="Verdana" w:cs="Arial"/>
          <w:lang w:val="es-ES"/>
        </w:rPr>
        <w:t xml:space="preserve">. </w:t>
      </w:r>
      <w:r w:rsidRPr="00CA09AA">
        <w:rPr>
          <w:rFonts w:ascii="Verdana" w:hAnsi="Verdana" w:cs="Arial"/>
          <w:color w:val="000000" w:themeColor="text1"/>
          <w:lang w:val="es-ES_tradnl"/>
        </w:rPr>
        <w:t xml:space="preserve">Como se explicó con anterioridad, el segundo inciso del artículo 20 de la Ley 1150 de 2007 establece que </w:t>
      </w:r>
      <w:r>
        <w:rPr>
          <w:rFonts w:ascii="Verdana" w:hAnsi="Verdana" w:cs="Arial"/>
          <w:color w:val="000000" w:themeColor="text1"/>
          <w:lang w:val="es-ES_tradnl"/>
        </w:rPr>
        <w:t>“</w:t>
      </w:r>
      <w:r w:rsidRPr="00CA09AA">
        <w:rPr>
          <w:rFonts w:ascii="Verdana" w:hAnsi="Verdana" w:cs="Arial"/>
          <w:color w:val="000000" w:themeColor="text1"/>
          <w:lang w:val="es-ES_tradnl"/>
        </w:rPr>
        <w:t>[…] los contratos o convenios financiados con fondos de los organismos multilaterales de crédito […] podrán someterse a los reglamentos de tales entidades</w:t>
      </w:r>
      <w:r>
        <w:rPr>
          <w:rFonts w:ascii="Verdana" w:hAnsi="Verdana" w:cs="Arial"/>
          <w:color w:val="000000" w:themeColor="text1"/>
          <w:lang w:val="es-ES_tradnl"/>
        </w:rPr>
        <w:t>”</w:t>
      </w:r>
      <w:r w:rsidRPr="00CA09AA">
        <w:rPr>
          <w:rFonts w:ascii="Verdana" w:hAnsi="Verdana" w:cs="Arial"/>
          <w:color w:val="000000" w:themeColor="text1"/>
          <w:lang w:val="es-ES_tradnl"/>
        </w:rPr>
        <w:t>. Esto significa que, aunque no sea obligatorio, es posible que el régimen al que se vinculen las partes del contrato respectivo sean las directrices internas de dichos organismos, independientemente de la cuantía de los recursos provenientes de los fondos de los organismos multilaterales de crédito, pues el inciso al que se ha hecho referencia no condiciona la posibilidad de someterse a tales reglamentos a un porcentaje específico. Así lo reitera el inciso quinto del artículo 2.2.1.2.4.4.1. del Decreto 1082 de 2015, cuando establece:</w:t>
      </w:r>
    </w:p>
    <w:p w14:paraId="69766F48" w14:textId="77777777" w:rsidR="00FE34B6" w:rsidRPr="00CA09AA" w:rsidRDefault="00FE34B6" w:rsidP="00FE34B6">
      <w:pPr>
        <w:spacing w:after="0" w:line="276" w:lineRule="auto"/>
        <w:jc w:val="both"/>
        <w:rPr>
          <w:rFonts w:ascii="Verdana" w:hAnsi="Verdana" w:cs="Arial"/>
          <w:color w:val="000000" w:themeColor="text1"/>
          <w:lang w:val="es-ES_tradnl"/>
        </w:rPr>
      </w:pPr>
    </w:p>
    <w:p w14:paraId="7F97FA5D" w14:textId="77777777" w:rsidR="00FE34B6" w:rsidRPr="00464B9A" w:rsidRDefault="00FE34B6" w:rsidP="00FE34B6">
      <w:pPr>
        <w:spacing w:after="0" w:line="240" w:lineRule="auto"/>
        <w:ind w:left="709" w:right="709"/>
        <w:jc w:val="both"/>
        <w:rPr>
          <w:rFonts w:ascii="Verdana" w:hAnsi="Verdana" w:cs="Arial"/>
          <w:color w:val="000000" w:themeColor="text1"/>
          <w:sz w:val="20"/>
          <w:szCs w:val="20"/>
          <w:lang w:val="es-ES_tradnl"/>
        </w:rPr>
      </w:pPr>
      <w:r w:rsidRPr="00464B9A">
        <w:rPr>
          <w:rFonts w:ascii="Verdana" w:hAnsi="Verdana" w:cs="Arial"/>
          <w:color w:val="000000" w:themeColor="text1"/>
          <w:sz w:val="20"/>
          <w:szCs w:val="20"/>
          <w:lang w:val="es-ES_tradnl"/>
        </w:rPr>
        <w:t>“Los contratos o convenios financiados con fondos de los organismos multilaterales de crédito, entes gubernamentales extranjeros o personas extranjeras de derecho público, así como aquellos a los que se refiere el inciso 2 del artículo 20 de la Ley 1150 de 2007, se ejecutarán de conformidad con lo establecido en los tratados internacionales marco y complementarios, y en los convenios celebrados, o sus reglamentos, según sea el caso, incluidos los recursos de aporte de fuente nacional o sus equivalentes vinculados a tales operaciones en dichos documentos, sin que a ellos le sea aplicable el porcentaje señalado en el inciso primero del artículo 20 de la Ley 1150 de 2007”.</w:t>
      </w:r>
    </w:p>
    <w:p w14:paraId="046CC07E" w14:textId="77777777" w:rsidR="00FE34B6" w:rsidRPr="00CA09AA" w:rsidRDefault="00FE34B6" w:rsidP="00FE34B6">
      <w:pPr>
        <w:tabs>
          <w:tab w:val="left" w:pos="0"/>
        </w:tabs>
        <w:spacing w:after="0" w:line="276" w:lineRule="auto"/>
        <w:jc w:val="both"/>
        <w:rPr>
          <w:rFonts w:ascii="Verdana" w:hAnsi="Verdana" w:cs="Arial"/>
          <w:color w:val="000000" w:themeColor="text1"/>
          <w:lang w:val="es-ES_tradnl"/>
        </w:rPr>
      </w:pPr>
      <w:r w:rsidRPr="00CA09AA">
        <w:rPr>
          <w:rFonts w:ascii="Verdana" w:hAnsi="Verdana" w:cs="Arial"/>
          <w:color w:val="000000" w:themeColor="text1"/>
          <w:lang w:val="es-ES_tradnl"/>
        </w:rPr>
        <w:t xml:space="preserve"> </w:t>
      </w:r>
    </w:p>
    <w:p w14:paraId="5B215B3E" w14:textId="77777777" w:rsidR="00FE34B6" w:rsidRPr="00CA09AA" w:rsidRDefault="00FE34B6" w:rsidP="00FE34B6">
      <w:pPr>
        <w:spacing w:after="120" w:line="276" w:lineRule="auto"/>
        <w:ind w:firstLine="709"/>
        <w:jc w:val="both"/>
        <w:rPr>
          <w:rFonts w:ascii="Verdana" w:hAnsi="Verdana" w:cs="Arial"/>
          <w:color w:val="000000" w:themeColor="text1"/>
          <w:lang w:val="es-ES_tradnl"/>
        </w:rPr>
      </w:pPr>
      <w:r w:rsidRPr="00CA09AA">
        <w:rPr>
          <w:rFonts w:ascii="Verdana" w:hAnsi="Verdana" w:cs="Arial"/>
          <w:color w:val="000000" w:themeColor="text1"/>
          <w:lang w:val="es-ES_tradnl"/>
        </w:rPr>
        <w:t xml:space="preserve">En concepto con radicado 4201714000006964 del 16 de julio de 2018, esta Subdirección ratificó dicha postura, indicando que </w:t>
      </w:r>
      <w:r>
        <w:rPr>
          <w:rFonts w:ascii="Verdana" w:hAnsi="Verdana" w:cs="Arial"/>
          <w:color w:val="000000" w:themeColor="text1"/>
          <w:lang w:val="es-ES_tradnl"/>
        </w:rPr>
        <w:t>“</w:t>
      </w:r>
      <w:r w:rsidRPr="00CA09AA">
        <w:rPr>
          <w:rFonts w:ascii="Verdana" w:hAnsi="Verdana" w:cs="Arial"/>
          <w:color w:val="000000" w:themeColor="text1"/>
          <w:lang w:val="es-ES_tradnl"/>
        </w:rPr>
        <w:t>[…] los contratos o convenios financiados con fondos de organismos multilaterales de crédito podrán someterse a sus reglamentos, sin que sea relevante el porcentaje del aporte realizado por ellos, serán sus reglamentos y políticas los encargados de establecer todo lo relacionado con procedimientos de selección, adjudicación, cláusulas especiales de ejecución, cumplimiento, pagos y ajustes, sin violar los fines estatales ni el deber de aplicar el Estatuto de la Contratación Pública</w:t>
      </w:r>
      <w:r>
        <w:rPr>
          <w:rFonts w:ascii="Verdana" w:hAnsi="Verdana" w:cs="Arial"/>
          <w:color w:val="000000" w:themeColor="text1"/>
          <w:lang w:val="es-ES_tradnl"/>
        </w:rPr>
        <w:t>”</w:t>
      </w:r>
      <w:r w:rsidRPr="00CA09AA">
        <w:rPr>
          <w:rFonts w:ascii="Verdana" w:hAnsi="Verdana" w:cs="Arial"/>
          <w:color w:val="000000" w:themeColor="text1"/>
          <w:lang w:val="es-ES_tradnl"/>
        </w:rPr>
        <w:t>.</w:t>
      </w:r>
    </w:p>
    <w:p w14:paraId="29B63F94" w14:textId="77777777" w:rsidR="00FE34B6" w:rsidRPr="00CA09AA" w:rsidRDefault="00FE34B6" w:rsidP="00FE34B6">
      <w:pPr>
        <w:spacing w:after="0" w:line="276" w:lineRule="auto"/>
        <w:ind w:firstLine="709"/>
        <w:jc w:val="both"/>
        <w:rPr>
          <w:rFonts w:ascii="Verdana" w:hAnsi="Verdana" w:cs="Arial"/>
          <w:color w:val="000000" w:themeColor="text1"/>
          <w:lang w:val="es-ES_tradnl"/>
        </w:rPr>
      </w:pPr>
      <w:r w:rsidRPr="00CA09AA">
        <w:rPr>
          <w:rFonts w:ascii="Verdana" w:hAnsi="Verdana" w:cs="Arial"/>
          <w:color w:val="000000" w:themeColor="text1"/>
          <w:lang w:val="es-ES_tradnl"/>
        </w:rPr>
        <w:t xml:space="preserve">Esta interpretación es acorde con lo expresado por la doctrina. En efecto, para José Luis Benavides, uno de los factores más influyentes en la regulación </w:t>
      </w:r>
      <w:r w:rsidRPr="00CA09AA">
        <w:rPr>
          <w:rFonts w:ascii="Verdana" w:hAnsi="Verdana" w:cs="Arial"/>
          <w:color w:val="000000" w:themeColor="text1"/>
          <w:lang w:val="es-ES_tradnl"/>
        </w:rPr>
        <w:lastRenderedPageBreak/>
        <w:t xml:space="preserve">de los contratos públicos en la actualidad </w:t>
      </w:r>
      <w:r>
        <w:rPr>
          <w:rFonts w:ascii="Verdana" w:hAnsi="Verdana" w:cs="Arial"/>
          <w:color w:val="000000" w:themeColor="text1"/>
          <w:lang w:val="es-ES_tradnl"/>
        </w:rPr>
        <w:t>“</w:t>
      </w:r>
      <w:r w:rsidRPr="00CA09AA">
        <w:rPr>
          <w:rFonts w:ascii="Verdana" w:hAnsi="Verdana" w:cs="Arial"/>
          <w:color w:val="000000" w:themeColor="text1"/>
          <w:lang w:val="es-ES_tradnl"/>
        </w:rPr>
        <w:t>[…] proviene de la banca multilateral, en particular, para los países latinoamericanos, del Banco Mundial y del Banco Interamericano de Desarrollo</w:t>
      </w:r>
      <w:r>
        <w:rPr>
          <w:rFonts w:ascii="Verdana" w:hAnsi="Verdana" w:cs="Arial"/>
          <w:color w:val="000000" w:themeColor="text1"/>
          <w:lang w:val="es-ES_tradnl"/>
        </w:rPr>
        <w:t>”</w:t>
      </w:r>
      <w:r w:rsidRPr="00CA09AA">
        <w:rPr>
          <w:rStyle w:val="Refdenotaalpie"/>
          <w:rFonts w:ascii="Verdana" w:hAnsi="Verdana" w:cs="Arial"/>
          <w:color w:val="000000" w:themeColor="text1"/>
          <w:lang w:val="es-ES_tradnl"/>
        </w:rPr>
        <w:footnoteReference w:id="18"/>
      </w:r>
      <w:r w:rsidRPr="00CA09AA">
        <w:rPr>
          <w:rFonts w:ascii="Verdana" w:hAnsi="Verdana" w:cs="Arial"/>
          <w:color w:val="000000" w:themeColor="text1"/>
          <w:lang w:val="es-ES_tradnl"/>
        </w:rPr>
        <w:t>. Al respecto, el autor mencionado señala:</w:t>
      </w:r>
    </w:p>
    <w:p w14:paraId="4FB1D360" w14:textId="77777777" w:rsidR="00FE34B6" w:rsidRPr="00CA09AA" w:rsidRDefault="00FE34B6" w:rsidP="00FE34B6">
      <w:pPr>
        <w:spacing w:after="0"/>
        <w:ind w:left="851" w:right="851"/>
        <w:jc w:val="both"/>
        <w:rPr>
          <w:rFonts w:ascii="Verdana" w:hAnsi="Verdana" w:cs="Arial"/>
          <w:color w:val="000000" w:themeColor="text1"/>
          <w:lang w:val="es-ES_tradnl"/>
        </w:rPr>
      </w:pPr>
    </w:p>
    <w:p w14:paraId="7406F612" w14:textId="77777777" w:rsidR="00FE34B6" w:rsidRPr="00F06897" w:rsidRDefault="00FE34B6" w:rsidP="00FE34B6">
      <w:pPr>
        <w:spacing w:after="0"/>
        <w:ind w:left="709" w:right="709"/>
        <w:jc w:val="both"/>
        <w:rPr>
          <w:rFonts w:ascii="Verdana" w:hAnsi="Verdana" w:cs="Arial"/>
          <w:color w:val="000000" w:themeColor="text1"/>
          <w:sz w:val="20"/>
          <w:szCs w:val="20"/>
          <w:lang w:val="es-ES_tradnl"/>
        </w:rPr>
      </w:pPr>
      <w:r w:rsidRPr="00F06897">
        <w:rPr>
          <w:rFonts w:ascii="Verdana" w:hAnsi="Verdana" w:cs="Arial"/>
          <w:color w:val="000000" w:themeColor="text1"/>
          <w:sz w:val="20"/>
          <w:szCs w:val="20"/>
          <w:lang w:val="es-ES_tradnl"/>
        </w:rPr>
        <w:t>“[…] el Banco Interamericano de Desarrollo (BID) financia, como el Banco mundial, muchos proyectos gubernamentales que se desarrollan mediante la contratación pública. El BID impone igualmente sus reglamentos de contratación, ejerciendo una importante influencia sobre los regímenes internos de contratación, y también estuvo muy presente en los proyectos de participación privada en los proyectos de infraestructura bajo los distintos modelos de concesión, después de los años noventa”</w:t>
      </w:r>
      <w:r w:rsidRPr="00F06897">
        <w:rPr>
          <w:rStyle w:val="Refdenotaalpie"/>
          <w:rFonts w:ascii="Verdana" w:hAnsi="Verdana" w:cs="Arial"/>
          <w:color w:val="000000" w:themeColor="text1"/>
          <w:sz w:val="20"/>
          <w:szCs w:val="20"/>
          <w:lang w:val="es-ES_tradnl"/>
        </w:rPr>
        <w:footnoteReference w:id="19"/>
      </w:r>
      <w:r w:rsidRPr="00F06897">
        <w:rPr>
          <w:rFonts w:ascii="Verdana" w:hAnsi="Verdana" w:cs="Arial"/>
          <w:color w:val="000000" w:themeColor="text1"/>
          <w:sz w:val="20"/>
          <w:szCs w:val="20"/>
          <w:lang w:val="es-ES_tradnl"/>
        </w:rPr>
        <w:t>.</w:t>
      </w:r>
    </w:p>
    <w:p w14:paraId="4A1AF578" w14:textId="77777777" w:rsidR="00FE34B6" w:rsidRPr="00CA09AA" w:rsidRDefault="00FE34B6" w:rsidP="00FE34B6">
      <w:pPr>
        <w:spacing w:after="0"/>
        <w:rPr>
          <w:rFonts w:ascii="Verdana" w:hAnsi="Verdana" w:cs="Arial"/>
          <w:color w:val="000000" w:themeColor="text1"/>
          <w:lang w:val="es-ES_tradnl"/>
        </w:rPr>
      </w:pPr>
    </w:p>
    <w:p w14:paraId="0747C9D9" w14:textId="77777777" w:rsidR="00FE34B6" w:rsidRDefault="00FE34B6" w:rsidP="00FE34B6">
      <w:pPr>
        <w:tabs>
          <w:tab w:val="left" w:pos="489"/>
        </w:tabs>
        <w:spacing w:after="120" w:line="276" w:lineRule="auto"/>
        <w:ind w:firstLine="709"/>
        <w:jc w:val="both"/>
        <w:rPr>
          <w:rFonts w:ascii="Verdana" w:hAnsi="Verdana" w:cs="Arial"/>
          <w:color w:val="000000" w:themeColor="text1"/>
          <w:lang w:val="es-ES_tradnl"/>
        </w:rPr>
      </w:pPr>
      <w:r w:rsidRPr="00CA09AA">
        <w:rPr>
          <w:rFonts w:ascii="Verdana" w:hAnsi="Verdana" w:cs="Arial"/>
          <w:color w:val="000000" w:themeColor="text1"/>
          <w:lang w:val="es-ES_tradnl"/>
        </w:rPr>
        <w:t xml:space="preserve">Por su parte, un sector de la doctrina explica que el segundo inciso del artículo 20 de la Ley 1150 de 2007 permite que las entidades estatales que en principio se encuentran sometidas al Estatuto General de Contratación de la Administración Pública se rijan por los reglamentos de los organismos multilaterales de créditos. En tal sentido, señala que </w:t>
      </w:r>
      <w:r>
        <w:rPr>
          <w:rFonts w:ascii="Verdana" w:hAnsi="Verdana" w:cs="Arial"/>
          <w:color w:val="000000" w:themeColor="text1"/>
          <w:lang w:val="es-ES_tradnl"/>
        </w:rPr>
        <w:t>“</w:t>
      </w:r>
      <w:r w:rsidRPr="00CA09AA">
        <w:rPr>
          <w:rFonts w:ascii="Verdana" w:hAnsi="Verdana" w:cs="Arial"/>
          <w:color w:val="000000" w:themeColor="text1"/>
          <w:lang w:val="es-ES_tradnl"/>
        </w:rPr>
        <w:t>La excepción bajo análisis abarca la contratación que haga una entidad regida por las Leyes 80 de 1993 y 1150 de 2007 […]</w:t>
      </w:r>
      <w:r>
        <w:rPr>
          <w:rFonts w:ascii="Verdana" w:hAnsi="Verdana" w:cs="Arial"/>
          <w:color w:val="000000" w:themeColor="text1"/>
          <w:lang w:val="es-ES_tradnl"/>
        </w:rPr>
        <w:t>,</w:t>
      </w:r>
      <w:r w:rsidRPr="00CA09AA">
        <w:rPr>
          <w:rFonts w:ascii="Verdana" w:hAnsi="Verdana" w:cs="Arial"/>
          <w:color w:val="000000" w:themeColor="text1"/>
          <w:lang w:val="es-ES_tradnl"/>
        </w:rPr>
        <w:t xml:space="preserve"> que va a pagar los contratos que celebre con recursos que haya obtenido de un crédito con un organismo multilateral de crédito</w:t>
      </w:r>
      <w:r>
        <w:rPr>
          <w:rFonts w:ascii="Verdana" w:hAnsi="Verdana" w:cs="Arial"/>
          <w:color w:val="000000" w:themeColor="text1"/>
          <w:lang w:val="es-ES_tradnl"/>
        </w:rPr>
        <w:t>”</w:t>
      </w:r>
      <w:r w:rsidRPr="00CA09AA">
        <w:rPr>
          <w:rStyle w:val="Refdenotaalpie"/>
          <w:rFonts w:ascii="Verdana" w:hAnsi="Verdana" w:cs="Arial"/>
          <w:color w:val="000000" w:themeColor="text1"/>
          <w:lang w:val="es-ES_tradnl"/>
        </w:rPr>
        <w:footnoteReference w:id="20"/>
      </w:r>
      <w:r w:rsidRPr="00CA09AA">
        <w:rPr>
          <w:rFonts w:ascii="Verdana" w:hAnsi="Verdana" w:cs="Arial"/>
          <w:color w:val="000000" w:themeColor="text1"/>
          <w:lang w:val="es-ES_tradnl"/>
        </w:rPr>
        <w:t xml:space="preserve">. Además, comenta que esta remisión efectuada por la Ley 1150 de 2007 a los reglamentos de dichos </w:t>
      </w:r>
      <w:r>
        <w:rPr>
          <w:rFonts w:ascii="Verdana" w:hAnsi="Verdana" w:cs="Arial"/>
          <w:color w:val="000000" w:themeColor="text1"/>
          <w:lang w:val="es-ES_tradnl"/>
        </w:rPr>
        <w:t>internacionales, éstos deben aplicarse</w:t>
      </w:r>
      <w:r w:rsidRPr="00CA09AA">
        <w:rPr>
          <w:rFonts w:ascii="Verdana" w:hAnsi="Verdana" w:cs="Arial"/>
          <w:color w:val="000000" w:themeColor="text1"/>
          <w:lang w:val="es-ES_tradnl"/>
        </w:rPr>
        <w:t xml:space="preserve"> en el sentido de que cuando las partes del contrato se someten a dicha normativa, las disposiciones reguladas en los reglamentos prevalecen sobre las del Estatuto General de Contratación de la Administración Pública</w:t>
      </w:r>
      <w:r w:rsidRPr="00CA09AA">
        <w:rPr>
          <w:rStyle w:val="Refdenotaalpie"/>
          <w:rFonts w:ascii="Verdana" w:hAnsi="Verdana" w:cs="Arial"/>
          <w:color w:val="000000" w:themeColor="text1"/>
          <w:lang w:val="es-ES_tradnl"/>
        </w:rPr>
        <w:footnoteReference w:id="21"/>
      </w:r>
      <w:r w:rsidRPr="00CA09AA">
        <w:rPr>
          <w:rFonts w:ascii="Verdana" w:hAnsi="Verdana" w:cs="Arial"/>
          <w:color w:val="000000" w:themeColor="text1"/>
          <w:lang w:val="es-ES_tradnl"/>
        </w:rPr>
        <w:t>.</w:t>
      </w:r>
    </w:p>
    <w:p w14:paraId="3066BCC0" w14:textId="0F153293" w:rsidR="004E7341" w:rsidRPr="004E7341" w:rsidRDefault="004E7341" w:rsidP="004E7341">
      <w:pPr>
        <w:widowControl w:val="0"/>
        <w:autoSpaceDE w:val="0"/>
        <w:autoSpaceDN w:val="0"/>
        <w:spacing w:after="120" w:line="276" w:lineRule="auto"/>
        <w:ind w:firstLine="737"/>
        <w:jc w:val="both"/>
        <w:rPr>
          <w:rFonts w:ascii="Verdana" w:eastAsia="Calibri" w:hAnsi="Verdana" w:cs="Arial"/>
          <w:bCs/>
          <w:color w:val="000000" w:themeColor="text1"/>
        </w:rPr>
      </w:pPr>
      <w:r w:rsidRPr="007D2741">
        <w:rPr>
          <w:rFonts w:ascii="Verdana" w:eastAsia="Calibri" w:hAnsi="Verdana" w:cs="Arial"/>
          <w:color w:val="000000" w:themeColor="text1"/>
        </w:rPr>
        <w:t xml:space="preserve">Si el artículo 5 de la Ley 1150 de 2007 entiende que “Es objetiva la selección en la cual la escogencia se haga al ofrecimiento más favorable a la entidad y a los fines que ella busca, sin tener en consideración factores de afecto o de interés y, en general, cualquier clase de motivación subjetiva […]”, dicha definición aplica principalmente a los contratos sometidos al EGCAP. Esto significa que, en los casos donde los contratos se regulen por los reglamentos de los organismos internacionales, éstos definirán el marco jurídico aplicable </w:t>
      </w:r>
      <w:r w:rsidRPr="007D2741">
        <w:rPr>
          <w:rFonts w:ascii="Verdana" w:eastAsia="Calibri" w:hAnsi="Verdana" w:cs="Arial"/>
          <w:color w:val="000000" w:themeColor="text1"/>
        </w:rPr>
        <w:lastRenderedPageBreak/>
        <w:t>para negocios que se adelanten</w:t>
      </w:r>
      <w:r w:rsidR="00780CA2" w:rsidRPr="007D2741">
        <w:rPr>
          <w:rFonts w:ascii="Verdana" w:eastAsia="Calibri" w:hAnsi="Verdana" w:cs="Arial"/>
          <w:color w:val="000000" w:themeColor="text1"/>
        </w:rPr>
        <w:t>, las cuales –por sustracción de materia– son ajenas a las del estatuto general</w:t>
      </w:r>
      <w:r w:rsidRPr="007D2741">
        <w:rPr>
          <w:rFonts w:ascii="Verdana" w:eastAsia="Calibri" w:hAnsi="Verdana" w:cs="Arial"/>
          <w:color w:val="000000" w:themeColor="text1"/>
        </w:rPr>
        <w:t>.</w:t>
      </w:r>
      <w:r>
        <w:rPr>
          <w:rFonts w:ascii="Verdana" w:eastAsia="Calibri" w:hAnsi="Verdana" w:cs="Arial"/>
          <w:bCs/>
          <w:color w:val="000000" w:themeColor="text1"/>
        </w:rPr>
        <w:t xml:space="preserve"> </w:t>
      </w:r>
    </w:p>
    <w:p w14:paraId="681747B8" w14:textId="77777777" w:rsidR="00FE34B6" w:rsidRDefault="00FE34B6" w:rsidP="00FE34B6">
      <w:pPr>
        <w:spacing w:after="120" w:line="276" w:lineRule="auto"/>
        <w:ind w:firstLine="709"/>
        <w:jc w:val="both"/>
        <w:rPr>
          <w:rFonts w:ascii="Verdana" w:hAnsi="Verdana" w:cs="Arial"/>
          <w:color w:val="000000" w:themeColor="text1"/>
          <w:lang w:val="es-ES_tradnl"/>
        </w:rPr>
      </w:pPr>
      <w:r w:rsidRPr="00CA09AA">
        <w:rPr>
          <w:rFonts w:ascii="Verdana" w:hAnsi="Verdana" w:cs="Arial"/>
          <w:color w:val="000000" w:themeColor="text1"/>
          <w:lang w:val="es-ES_tradnl"/>
        </w:rPr>
        <w:t xml:space="preserve">El segundo inciso del artículo 20 de la Ley 1150 de 2007 permite que las entidades estatales celebren convenios con las personas extranjeras de derecho público u organismos de derecho internacional –para los objetos contractuales señalados en dicha norma–, pudiendo someterse en tales casos a los reglamentos de dichas instituciones. El legislador no distinguió los aspectos sobre los cuales es factible aplicar los reglamentos de estos organismos internacionales. En consecuencia, ante dicho silencio, debe entenderse que dentro de la remisión también cabe el </w:t>
      </w:r>
      <w:r>
        <w:rPr>
          <w:rFonts w:ascii="Verdana" w:hAnsi="Verdana" w:cs="Arial"/>
          <w:color w:val="000000" w:themeColor="text1"/>
          <w:lang w:val="es-ES_tradnl"/>
        </w:rPr>
        <w:t>régimen de garantías</w:t>
      </w:r>
      <w:r w:rsidRPr="00CA09AA">
        <w:rPr>
          <w:rFonts w:ascii="Verdana" w:hAnsi="Verdana" w:cs="Arial"/>
          <w:color w:val="000000" w:themeColor="text1"/>
          <w:lang w:val="es-ES_tradnl"/>
        </w:rPr>
        <w:t>.</w:t>
      </w:r>
      <w:r>
        <w:rPr>
          <w:rFonts w:ascii="Verdana" w:hAnsi="Verdana" w:cs="Arial"/>
          <w:color w:val="000000" w:themeColor="text1"/>
          <w:lang w:val="es-ES_tradnl"/>
        </w:rPr>
        <w:t xml:space="preserve"> </w:t>
      </w:r>
      <w:r w:rsidRPr="00CA09AA">
        <w:rPr>
          <w:rFonts w:ascii="Verdana" w:hAnsi="Verdana" w:cs="Arial"/>
          <w:color w:val="000000" w:themeColor="text1"/>
          <w:lang w:val="es-ES_tradnl"/>
        </w:rPr>
        <w:t xml:space="preserve">Esto significa que las entidades estatales pueden contratar siguiendo los </w:t>
      </w:r>
      <w:r>
        <w:rPr>
          <w:rFonts w:ascii="Verdana" w:hAnsi="Verdana" w:cs="Arial"/>
          <w:color w:val="000000" w:themeColor="text1"/>
          <w:lang w:val="es-ES_tradnl"/>
        </w:rPr>
        <w:t xml:space="preserve">mecanismos de cobertura </w:t>
      </w:r>
      <w:r w:rsidRPr="00CA09AA">
        <w:rPr>
          <w:rFonts w:ascii="Verdana" w:hAnsi="Verdana" w:cs="Arial"/>
          <w:color w:val="000000" w:themeColor="text1"/>
          <w:lang w:val="es-ES_tradnl"/>
        </w:rPr>
        <w:t>establecidos en los reglamentos de los organismos internacionales a los que alude el citado artículo 20</w:t>
      </w:r>
      <w:r>
        <w:rPr>
          <w:rFonts w:ascii="Verdana" w:hAnsi="Verdana" w:cs="Arial"/>
          <w:color w:val="000000" w:themeColor="text1"/>
          <w:lang w:val="es-ES_tradnl"/>
        </w:rPr>
        <w:t>,</w:t>
      </w:r>
      <w:r w:rsidRPr="00CA09AA">
        <w:rPr>
          <w:rFonts w:ascii="Verdana" w:hAnsi="Verdana" w:cs="Arial"/>
          <w:color w:val="000000" w:themeColor="text1"/>
          <w:lang w:val="es-ES_tradnl"/>
        </w:rPr>
        <w:t xml:space="preserve"> y no los previstos en el Estatuto General de Contratación de la Administración Pública.</w:t>
      </w:r>
      <w:r>
        <w:rPr>
          <w:rFonts w:ascii="Verdana" w:hAnsi="Verdana" w:cs="Arial"/>
          <w:color w:val="000000" w:themeColor="text1"/>
          <w:lang w:val="es-ES_tradnl"/>
        </w:rPr>
        <w:t xml:space="preserve"> </w:t>
      </w:r>
    </w:p>
    <w:p w14:paraId="60275F65" w14:textId="4125F2B4" w:rsidR="00FE34B6" w:rsidRDefault="00FE34B6" w:rsidP="00FE34B6">
      <w:pPr>
        <w:spacing w:after="0" w:line="276" w:lineRule="auto"/>
        <w:ind w:firstLine="709"/>
        <w:jc w:val="both"/>
        <w:rPr>
          <w:rFonts w:ascii="Verdana" w:hAnsi="Verdana" w:cs="Arial"/>
          <w:color w:val="000000" w:themeColor="text1"/>
          <w:lang w:val="es-ES_tradnl"/>
        </w:rPr>
      </w:pPr>
      <w:r>
        <w:rPr>
          <w:rFonts w:ascii="Verdana" w:hAnsi="Verdana" w:cs="Arial"/>
          <w:color w:val="000000" w:themeColor="text1"/>
          <w:lang w:val="es-ES_tradnl"/>
        </w:rPr>
        <w:t xml:space="preserve">En esta hipótesis, no son exigibles los criterios establecidos en el EGCAP, por lo </w:t>
      </w:r>
      <w:r w:rsidR="004E07AC">
        <w:rPr>
          <w:rFonts w:ascii="Verdana" w:hAnsi="Verdana" w:cs="Arial"/>
          <w:color w:val="000000" w:themeColor="text1"/>
          <w:lang w:val="es-ES_tradnl"/>
        </w:rPr>
        <w:t>que,</w:t>
      </w:r>
      <w:r>
        <w:rPr>
          <w:rFonts w:ascii="Verdana" w:hAnsi="Verdana" w:cs="Arial"/>
          <w:color w:val="000000" w:themeColor="text1"/>
          <w:lang w:val="es-ES_tradnl"/>
        </w:rPr>
        <w:t xml:space="preserve"> al existir una remisión absoluta a los reglamentos de los organismos internacionales, éstos deben aplicarse de manera integral. </w:t>
      </w:r>
      <w:r w:rsidRPr="00815C4B">
        <w:rPr>
          <w:rFonts w:ascii="Verdana" w:hAnsi="Verdana" w:cs="Arial"/>
          <w:i/>
          <w:iCs/>
          <w:color w:val="000000" w:themeColor="text1"/>
          <w:lang w:val="es-ES_tradnl"/>
        </w:rPr>
        <w:t>Contrario sensu</w:t>
      </w:r>
      <w:r>
        <w:rPr>
          <w:rFonts w:ascii="Verdana" w:hAnsi="Verdana" w:cs="Arial"/>
          <w:color w:val="000000" w:themeColor="text1"/>
          <w:lang w:val="es-ES_tradnl"/>
        </w:rPr>
        <w:t xml:space="preserve">, si las partes deciden someter dichos contratos a la Ley 80 de 1993, los negocios suscritos se rigen por el artículo 7 de la Ley 1150 de 2007; razón por la cual, con los requisitos establecidos en el Decreto 1082 de 2015, los amparos pueden cubrirse a través de pólizas de seguro, fiducias en garantía o garantías bancarias. </w:t>
      </w:r>
    </w:p>
    <w:p w14:paraId="618381B4" w14:textId="77777777" w:rsidR="00FE34B6" w:rsidRPr="00464B9A" w:rsidRDefault="00FE34B6" w:rsidP="00FE34B6">
      <w:pPr>
        <w:spacing w:after="0" w:line="276" w:lineRule="auto"/>
        <w:ind w:firstLine="709"/>
        <w:jc w:val="both"/>
        <w:rPr>
          <w:rFonts w:ascii="Verdana" w:hAnsi="Verdana" w:cs="Arial"/>
          <w:color w:val="000000" w:themeColor="text1"/>
          <w:lang w:val="es-ES_tradnl"/>
        </w:rPr>
      </w:pPr>
    </w:p>
    <w:p w14:paraId="0D13B255" w14:textId="77777777" w:rsidR="00FE34B6" w:rsidRDefault="00FE34B6" w:rsidP="00FE34B6">
      <w:pPr>
        <w:widowControl w:val="0"/>
        <w:autoSpaceDE w:val="0"/>
        <w:autoSpaceDN w:val="0"/>
        <w:spacing w:after="120" w:line="276" w:lineRule="auto"/>
        <w:jc w:val="both"/>
        <w:rPr>
          <w:rFonts w:ascii="Verdana" w:hAnsi="Verdana" w:cs="Arial"/>
          <w:lang w:eastAsia="es-ES"/>
        </w:rPr>
      </w:pPr>
      <w:r>
        <w:rPr>
          <w:rFonts w:ascii="Verdana" w:hAnsi="Verdana" w:cs="Arial"/>
          <w:lang w:eastAsia="es-ES"/>
        </w:rPr>
        <w:t xml:space="preserve">v. </w:t>
      </w:r>
      <w:r w:rsidRPr="006539F8">
        <w:rPr>
          <w:rFonts w:ascii="Verdana" w:hAnsi="Verdana" w:cs="Arial"/>
          <w:lang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7AD157C" w14:textId="77777777" w:rsidR="00FE34B6" w:rsidRPr="00301910" w:rsidRDefault="00FE34B6" w:rsidP="00FE34B6">
      <w:pPr>
        <w:widowControl w:val="0"/>
        <w:autoSpaceDE w:val="0"/>
        <w:autoSpaceDN w:val="0"/>
        <w:spacing w:after="0" w:line="276" w:lineRule="auto"/>
        <w:ind w:firstLine="708"/>
        <w:jc w:val="both"/>
        <w:rPr>
          <w:rFonts w:ascii="Verdana" w:hAnsi="Verdana" w:cs="Arial"/>
          <w:lang w:eastAsia="es-ES"/>
        </w:rPr>
      </w:pPr>
      <w:r w:rsidRPr="006539F8">
        <w:rPr>
          <w:rFonts w:ascii="Verdana" w:hAnsi="Verdana" w:cs="Arial"/>
          <w:lang w:eastAsia="es-ES"/>
        </w:rPr>
        <w:t xml:space="preserve">Dentro de este marco, la entidad contratante definirá en cada caso concreto lo relacionado con el tema objeto de consulta. Al tratarse de un análisis </w:t>
      </w:r>
      <w:r w:rsidRPr="006539F8">
        <w:rPr>
          <w:rFonts w:ascii="Verdana" w:hAnsi="Verdana" w:cs="Arial"/>
          <w:lang w:eastAsia="es-ES"/>
        </w:rPr>
        <w:lastRenderedPageBreak/>
        <w:t>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301910">
        <w:rPr>
          <w:rFonts w:ascii="Verdana" w:hAnsi="Verdana" w:cs="Arial"/>
          <w:lang w:eastAsia="es-ES"/>
        </w:rPr>
        <w:t>.</w:t>
      </w:r>
    </w:p>
    <w:p w14:paraId="561E0F23" w14:textId="77777777" w:rsidR="00FE34B6" w:rsidRPr="00182C89" w:rsidRDefault="00FE34B6" w:rsidP="00FE34B6">
      <w:pPr>
        <w:tabs>
          <w:tab w:val="left" w:pos="709"/>
        </w:tabs>
        <w:spacing w:after="0" w:line="276" w:lineRule="auto"/>
        <w:jc w:val="both"/>
        <w:rPr>
          <w:rFonts w:ascii="Verdana" w:eastAsia="Calibri" w:hAnsi="Verdana" w:cs="Arial"/>
          <w:color w:val="000000" w:themeColor="text1"/>
        </w:rPr>
      </w:pPr>
    </w:p>
    <w:p w14:paraId="5A378A6E" w14:textId="77777777" w:rsidR="00FE34B6" w:rsidRPr="00AE65D5" w:rsidRDefault="00FE34B6" w:rsidP="00FE34B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1FC67A33" w14:textId="77777777" w:rsidR="00FE34B6" w:rsidRPr="00593A5F" w:rsidRDefault="00FE34B6" w:rsidP="00FE34B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E34B6" w:rsidRPr="002407CE" w14:paraId="51A5E1C3" w14:textId="77777777" w:rsidTr="00A03637">
        <w:trPr>
          <w:trHeight w:val="870"/>
          <w:jc w:val="center"/>
        </w:trPr>
        <w:tc>
          <w:tcPr>
            <w:tcW w:w="8647" w:type="dxa"/>
          </w:tcPr>
          <w:p w14:paraId="1C4AC102" w14:textId="77777777" w:rsidR="00FE34B6" w:rsidRDefault="00FE34B6" w:rsidP="00A0363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C60ED9">
              <w:rPr>
                <w:rFonts w:ascii="Verdana" w:hAnsi="Verdana" w:cs="Arial"/>
              </w:rPr>
              <w:t>Constitución Política de 1991, artículos 150</w:t>
            </w:r>
            <w:r>
              <w:rPr>
                <w:rFonts w:ascii="Verdana" w:hAnsi="Verdana" w:cs="Arial"/>
              </w:rPr>
              <w:t xml:space="preserve"> y 352.</w:t>
            </w:r>
          </w:p>
          <w:p w14:paraId="7ADB3254" w14:textId="77777777" w:rsidR="00FE34B6" w:rsidRDefault="00FE34B6" w:rsidP="00A0363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2, 13 y 24.</w:t>
            </w:r>
          </w:p>
          <w:p w14:paraId="4626C118" w14:textId="6B1C5194" w:rsidR="00FE34B6" w:rsidRDefault="00FE34B6" w:rsidP="00A0363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2,</w:t>
            </w:r>
            <w:r w:rsidR="00DE07DC">
              <w:rPr>
                <w:rFonts w:ascii="Verdana" w:hAnsi="Verdana" w:cs="Arial"/>
              </w:rPr>
              <w:t xml:space="preserve"> 5,</w:t>
            </w:r>
            <w:r>
              <w:rPr>
                <w:rFonts w:ascii="Verdana" w:hAnsi="Verdana" w:cs="Arial"/>
              </w:rPr>
              <w:t xml:space="preserve"> 7 y 20.</w:t>
            </w:r>
          </w:p>
          <w:p w14:paraId="57CA83DE" w14:textId="77777777" w:rsidR="00FE34B6" w:rsidRPr="005447E6" w:rsidRDefault="00FE34B6" w:rsidP="00A0363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Ley 111 de 1996, artículo 110.</w:t>
            </w:r>
          </w:p>
          <w:p w14:paraId="0F31C6CD" w14:textId="77777777" w:rsidR="00FE34B6" w:rsidRPr="00B954AE" w:rsidRDefault="00FE34B6" w:rsidP="00A0363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4076CB">
              <w:rPr>
                <w:rFonts w:ascii="Verdana" w:hAnsi="Verdana" w:cs="Arial"/>
              </w:rPr>
              <w:t>Decreto 1082 de 2015</w:t>
            </w:r>
            <w:r>
              <w:rPr>
                <w:rFonts w:ascii="Verdana" w:hAnsi="Verdana" w:cs="Arial"/>
              </w:rPr>
              <w:t xml:space="preserve">, artículos </w:t>
            </w:r>
            <w:r w:rsidRPr="006C43EA">
              <w:rPr>
                <w:rFonts w:ascii="Verdana" w:eastAsia="Times New Roman" w:hAnsi="Verdana" w:cs="Arial"/>
                <w:color w:val="000000" w:themeColor="text1"/>
                <w:lang w:eastAsia="es-CO"/>
              </w:rPr>
              <w:t>2.2.1.1.1.6.1</w:t>
            </w:r>
            <w:r>
              <w:rPr>
                <w:rFonts w:ascii="Verdana" w:eastAsia="Times New Roman" w:hAnsi="Verdana" w:cs="Arial"/>
                <w:color w:val="000000" w:themeColor="text1"/>
                <w:lang w:eastAsia="es-CO"/>
              </w:rPr>
              <w:t xml:space="preserve">, </w:t>
            </w:r>
            <w:r w:rsidRPr="006C43EA">
              <w:rPr>
                <w:rFonts w:ascii="Verdana" w:eastAsia="Times New Roman" w:hAnsi="Verdana" w:cs="Arial"/>
                <w:color w:val="000000" w:themeColor="text1"/>
                <w:lang w:eastAsia="es-CO"/>
              </w:rPr>
              <w:t>2.2.1.1.2.1.1</w:t>
            </w:r>
            <w:r>
              <w:rPr>
                <w:rFonts w:ascii="Verdana" w:eastAsia="Times New Roman" w:hAnsi="Verdana" w:cs="Arial"/>
                <w:color w:val="000000" w:themeColor="text1"/>
                <w:lang w:eastAsia="es-CO"/>
              </w:rPr>
              <w:t>,</w:t>
            </w:r>
            <w:r>
              <w:rPr>
                <w:rFonts w:ascii="Verdana" w:hAnsi="Verdana" w:cs="Arial"/>
              </w:rPr>
              <w:t xml:space="preserve"> </w:t>
            </w:r>
            <w:r w:rsidRPr="004076CB">
              <w:rPr>
                <w:rFonts w:ascii="Verdana" w:hAnsi="Verdana" w:cs="Arial"/>
              </w:rPr>
              <w:t>2.2.1.2.3.1.1 a 2.2.1.2.3.1.19</w:t>
            </w:r>
            <w:r>
              <w:rPr>
                <w:rFonts w:ascii="Verdana" w:hAnsi="Verdana" w:cs="Arial"/>
              </w:rPr>
              <w:t xml:space="preserve"> y </w:t>
            </w:r>
            <w:r w:rsidRPr="00A679CC">
              <w:rPr>
                <w:rFonts w:ascii="Verdana" w:eastAsia="Calibri" w:hAnsi="Verdana" w:cs="Arial"/>
              </w:rPr>
              <w:t>2.2.1.2.4.4.1</w:t>
            </w:r>
            <w:r>
              <w:rPr>
                <w:rFonts w:ascii="Verdana" w:hAnsi="Verdana" w:cs="Arial"/>
              </w:rPr>
              <w:t xml:space="preserve">. </w:t>
            </w:r>
          </w:p>
          <w:p w14:paraId="03A45036" w14:textId="77777777" w:rsidR="00FE34B6" w:rsidRPr="00144294" w:rsidRDefault="00FE34B6" w:rsidP="00A03637">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de Comercio, artículos 1068, 1071 y 1103.</w:t>
            </w:r>
            <w:r w:rsidRPr="002407CE">
              <w:rPr>
                <w:rFonts w:ascii="Verdana" w:hAnsi="Verdana" w:cs="Arial"/>
              </w:rPr>
              <w:t xml:space="preserve">  </w:t>
            </w:r>
          </w:p>
        </w:tc>
      </w:tr>
    </w:tbl>
    <w:p w14:paraId="63D2CDE1" w14:textId="77777777" w:rsidR="00FE34B6" w:rsidRPr="002407CE" w:rsidRDefault="00FE34B6" w:rsidP="00FE34B6">
      <w:pPr>
        <w:widowControl w:val="0"/>
        <w:autoSpaceDE w:val="0"/>
        <w:autoSpaceDN w:val="0"/>
        <w:spacing w:after="0" w:line="276" w:lineRule="auto"/>
        <w:jc w:val="both"/>
        <w:rPr>
          <w:rFonts w:ascii="Verdana" w:hAnsi="Verdana" w:cs="Arial"/>
        </w:rPr>
      </w:pPr>
    </w:p>
    <w:p w14:paraId="29311AFD" w14:textId="77777777" w:rsidR="00FE34B6" w:rsidRPr="00593A5F" w:rsidRDefault="00FE34B6" w:rsidP="00FE34B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BE5251D" w14:textId="77777777" w:rsidR="00FE34B6" w:rsidRPr="00593A5F" w:rsidRDefault="00FE34B6" w:rsidP="00FE34B6">
      <w:pPr>
        <w:widowControl w:val="0"/>
        <w:autoSpaceDE w:val="0"/>
        <w:autoSpaceDN w:val="0"/>
        <w:spacing w:after="0" w:line="276" w:lineRule="auto"/>
        <w:jc w:val="both"/>
        <w:rPr>
          <w:rFonts w:ascii="Verdana" w:hAnsi="Verdana" w:cs="Arial"/>
        </w:rPr>
      </w:pPr>
    </w:p>
    <w:p w14:paraId="00CDB523" w14:textId="77777777" w:rsidR="00FE34B6" w:rsidRPr="007E4299" w:rsidRDefault="00FE34B6" w:rsidP="00FE34B6">
      <w:pPr>
        <w:widowControl w:val="0"/>
        <w:autoSpaceDE w:val="0"/>
        <w:autoSpaceDN w:val="0"/>
        <w:spacing w:after="0" w:line="276" w:lineRule="auto"/>
        <w:jc w:val="both"/>
        <w:rPr>
          <w:rStyle w:val="normaltextrun"/>
          <w:rFonts w:ascii="Verdana" w:hAnsi="Verdana"/>
        </w:rPr>
      </w:pPr>
      <w:r w:rsidRPr="003775F4">
        <w:rPr>
          <w:rFonts w:ascii="Verdana" w:eastAsia="Calibri" w:hAnsi="Verdana" w:cs="Arial"/>
          <w:shd w:val="clear" w:color="auto" w:fill="FFFFFF"/>
        </w:rPr>
        <w:t xml:space="preserve">Esta Subdirección se ha pronunciado sobre </w:t>
      </w:r>
      <w:r>
        <w:rPr>
          <w:rFonts w:ascii="Verdana" w:eastAsia="Calibri" w:hAnsi="Verdana" w:cs="Arial"/>
          <w:shd w:val="clear" w:color="auto" w:fill="FFFFFF"/>
        </w:rPr>
        <w:t xml:space="preserve">los contratos con organismos internacionales en los Conceptos </w:t>
      </w:r>
      <w:r w:rsidRPr="00AA5E50">
        <w:rPr>
          <w:rFonts w:ascii="Verdana" w:eastAsia="Calibri" w:hAnsi="Verdana" w:cs="Arial"/>
          <w:shd w:val="clear" w:color="auto" w:fill="FFFFFF"/>
        </w:rPr>
        <w:t>C-185 del 13 de abril de 2020, C-374 del 23 de julio de 2020, C-680 del 18 de noviembre de 2020, C-771 de 13 de enero de 2021, C-781 del 19 de enero de 2021, C-377 del 28 de julio de 2021, C-049 de 8 de marzo de 2021 y C-461 de 19 de julio de 2021, C-367 de 25 de abril de 2022, C-461 de 2 de junio de 2022, C- 012 de 7 de marzo de 2023, C-039 de 29 de marzo de 2023</w:t>
      </w:r>
      <w:r>
        <w:rPr>
          <w:rFonts w:ascii="Verdana" w:eastAsia="Calibri" w:hAnsi="Verdana" w:cs="Arial"/>
          <w:shd w:val="clear" w:color="auto" w:fill="FFFFFF"/>
        </w:rPr>
        <w:t xml:space="preserve"> y C-979 del 30 de diciembre de 2024.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EAAACE5" w14:textId="77777777" w:rsidR="00FE34B6" w:rsidRPr="00096788" w:rsidRDefault="00FE34B6" w:rsidP="00FE34B6">
      <w:pPr>
        <w:widowControl w:val="0"/>
        <w:autoSpaceDE w:val="0"/>
        <w:autoSpaceDN w:val="0"/>
        <w:spacing w:after="0" w:line="276" w:lineRule="auto"/>
        <w:jc w:val="both"/>
        <w:rPr>
          <w:rFonts w:ascii="Verdana" w:hAnsi="Verdana" w:cs="Arial"/>
          <w:color w:val="000000" w:themeColor="text1"/>
          <w:shd w:val="clear" w:color="auto" w:fill="FFFFFF"/>
        </w:rPr>
      </w:pPr>
    </w:p>
    <w:p w14:paraId="24B7BB57" w14:textId="77777777" w:rsidR="00FE34B6" w:rsidRDefault="00FE34B6" w:rsidP="00FE34B6">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w:t>
      </w:r>
      <w:r w:rsidRPr="00032009">
        <w:rPr>
          <w:rFonts w:ascii="Verdana" w:hAnsi="Verdana"/>
          <w:color w:val="000000"/>
        </w:rPr>
        <w:lastRenderedPageBreak/>
        <w:t xml:space="preserve">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379AB812" w14:textId="77777777" w:rsidR="00FE34B6" w:rsidRDefault="00FE34B6" w:rsidP="00FE34B6">
      <w:pPr>
        <w:shd w:val="clear" w:color="auto" w:fill="FFFFFF"/>
        <w:spacing w:after="0" w:line="276" w:lineRule="auto"/>
        <w:jc w:val="both"/>
        <w:rPr>
          <w:rFonts w:ascii="Verdana" w:hAnsi="Verdana"/>
          <w:color w:val="000000"/>
          <w:u w:val="single"/>
        </w:rPr>
      </w:pPr>
    </w:p>
    <w:p w14:paraId="45945E9C" w14:textId="77777777" w:rsidR="00FE34B6" w:rsidRPr="0038088D" w:rsidRDefault="00FE34B6" w:rsidP="00FE34B6">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67FE58DE" w14:textId="77777777" w:rsidR="00FE34B6" w:rsidRPr="0038088D" w:rsidRDefault="00FE34B6" w:rsidP="00FE34B6">
      <w:pPr>
        <w:spacing w:after="0"/>
        <w:jc w:val="both"/>
        <w:rPr>
          <w:rFonts w:ascii="Verdana" w:hAnsi="Verdana"/>
        </w:rPr>
      </w:pPr>
    </w:p>
    <w:p w14:paraId="23A42074" w14:textId="77777777" w:rsidR="00FE34B6" w:rsidRPr="0038088D" w:rsidRDefault="00FE34B6" w:rsidP="00FE34B6">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6A7DD9E1" w14:textId="77777777" w:rsidR="00FE34B6" w:rsidRPr="0038088D" w:rsidRDefault="00FE34B6" w:rsidP="00FE34B6">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791C8179" w14:textId="77777777" w:rsidR="00FE34B6" w:rsidRPr="0038088D" w:rsidRDefault="00FE34B6" w:rsidP="00FE34B6">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3">
        <w:r w:rsidRPr="0038088D">
          <w:rPr>
            <w:rStyle w:val="Hipervnculo"/>
            <w:rFonts w:ascii="Verdana" w:eastAsia="Verdana" w:hAnsi="Verdana" w:cs="Verdana"/>
          </w:rPr>
          <w:t>ventanilladeradicacion@colombiacompra.gov.co</w:t>
        </w:r>
      </w:hyperlink>
    </w:p>
    <w:p w14:paraId="559FFF02" w14:textId="77777777" w:rsidR="00FE34B6" w:rsidRPr="0038088D" w:rsidRDefault="00FE34B6" w:rsidP="00FE34B6">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4">
        <w:r w:rsidRPr="0038088D">
          <w:rPr>
            <w:rStyle w:val="Hipervnculo"/>
            <w:rFonts w:ascii="Verdana" w:eastAsia="Verdana" w:hAnsi="Verdana" w:cs="Verdana"/>
          </w:rPr>
          <w:t>https://www.colombiacompra.gov.co/pqrsd/informacion-importante-antes-de-formular-una-pqrsd</w:t>
        </w:r>
      </w:hyperlink>
    </w:p>
    <w:p w14:paraId="7606D9E6" w14:textId="77777777" w:rsidR="00FE34B6" w:rsidRPr="0038088D" w:rsidRDefault="00FE34B6" w:rsidP="00FE34B6">
      <w:pPr>
        <w:spacing w:after="0" w:line="240" w:lineRule="auto"/>
        <w:ind w:left="720"/>
        <w:jc w:val="both"/>
        <w:rPr>
          <w:rFonts w:ascii="Verdana" w:hAnsi="Verdana"/>
        </w:rPr>
      </w:pPr>
    </w:p>
    <w:p w14:paraId="7FE23527" w14:textId="77777777" w:rsidR="00FE34B6" w:rsidRPr="0038088D" w:rsidRDefault="00FE34B6" w:rsidP="00FE34B6">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5"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241E08E3" w14:textId="77777777" w:rsidR="00FE34B6" w:rsidRPr="0038088D" w:rsidRDefault="00FE34B6" w:rsidP="00FE34B6">
      <w:pPr>
        <w:spacing w:after="0" w:line="240" w:lineRule="auto"/>
        <w:rPr>
          <w:rFonts w:ascii="Verdana" w:hAnsi="Verdana"/>
        </w:rPr>
      </w:pPr>
    </w:p>
    <w:p w14:paraId="2F47BFB6" w14:textId="77777777" w:rsidR="00FE34B6" w:rsidRPr="0038088D" w:rsidRDefault="00FE34B6" w:rsidP="00FE34B6">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6E927B63" w14:textId="77777777" w:rsidR="00FE34B6" w:rsidRPr="00116940" w:rsidRDefault="00FE34B6" w:rsidP="00FE34B6">
      <w:pPr>
        <w:spacing w:after="0" w:line="240" w:lineRule="auto"/>
        <w:jc w:val="both"/>
        <w:rPr>
          <w:rFonts w:ascii="Verdana" w:hAnsi="Verdana"/>
        </w:rPr>
      </w:pPr>
    </w:p>
    <w:p w14:paraId="04946FBE" w14:textId="77777777" w:rsidR="00FE34B6" w:rsidRPr="00116940" w:rsidRDefault="00FE34B6" w:rsidP="00FE34B6">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4D8F795B" w14:textId="77777777" w:rsidR="00FE34B6" w:rsidRPr="00116940" w:rsidRDefault="00FE34B6" w:rsidP="00FE34B6">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42F6DC8" w14:textId="77777777" w:rsidR="00FE34B6" w:rsidRPr="00E22E6E" w:rsidRDefault="00FE34B6" w:rsidP="00FE34B6">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A933D56" w14:textId="77777777" w:rsidR="00FE34B6" w:rsidRPr="009C4035" w:rsidRDefault="00FE34B6" w:rsidP="00FE34B6">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7DA50878" w14:textId="77777777" w:rsidR="00FE34B6" w:rsidRPr="00593A5F" w:rsidRDefault="00FE34B6" w:rsidP="00FE34B6">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 xml:space="preserve">y las expresiones aquí utilizadas con mayúscula inicial deben ser entendidas con el </w:t>
      </w:r>
      <w:r w:rsidRPr="00593A5F">
        <w:rPr>
          <w:rFonts w:ascii="Verdana" w:hAnsi="Verdana" w:cs="Arial"/>
          <w:lang w:val="es-ES_tradnl"/>
        </w:rPr>
        <w:lastRenderedPageBreak/>
        <w:t>significado que les otorga el artículo 2.2.1.1.1.3.1. del Decreto 1082 de 2015.</w:t>
      </w:r>
    </w:p>
    <w:p w14:paraId="3F42E9F1" w14:textId="77777777" w:rsidR="00FE34B6" w:rsidRPr="00593A5F" w:rsidRDefault="00FE34B6" w:rsidP="00FE34B6">
      <w:pPr>
        <w:widowControl w:val="0"/>
        <w:autoSpaceDE w:val="0"/>
        <w:autoSpaceDN w:val="0"/>
        <w:spacing w:after="0" w:line="276" w:lineRule="auto"/>
        <w:jc w:val="both"/>
        <w:rPr>
          <w:rFonts w:ascii="Verdana" w:hAnsi="Verdana" w:cs="Arial"/>
        </w:rPr>
      </w:pPr>
    </w:p>
    <w:p w14:paraId="05159041" w14:textId="77777777" w:rsidR="00FE34B6" w:rsidRPr="00593A5F" w:rsidRDefault="00FE34B6" w:rsidP="00FE34B6">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74BCEF4" w14:textId="4DC380A4" w:rsidR="00FE34B6" w:rsidRPr="00593A5F" w:rsidRDefault="00675F55" w:rsidP="00FE34B6">
      <w:pPr>
        <w:spacing w:line="276" w:lineRule="auto"/>
        <w:jc w:val="center"/>
        <w:rPr>
          <w:rFonts w:ascii="Verdana" w:hAnsi="Verdana" w:cs="Arial"/>
          <w:color w:val="000000"/>
          <w:lang w:val="es-ES_tradnl" w:eastAsia="es-CO"/>
        </w:rPr>
      </w:pPr>
      <w:r>
        <w:rPr>
          <w:noProof/>
        </w:rPr>
        <w:drawing>
          <wp:inline distT="0" distB="0" distL="0" distR="0" wp14:anchorId="602AF056" wp14:editId="6A530E7F">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B5B2B" w:rsidRPr="00593A5F" w14:paraId="5078D6BD" w14:textId="77777777" w:rsidTr="00A03637">
        <w:trPr>
          <w:trHeight w:val="315"/>
        </w:trPr>
        <w:tc>
          <w:tcPr>
            <w:tcW w:w="893" w:type="dxa"/>
            <w:vAlign w:val="center"/>
            <w:hideMark/>
          </w:tcPr>
          <w:p w14:paraId="224F291B" w14:textId="77777777" w:rsidR="00FE34B6" w:rsidRPr="003751C7" w:rsidRDefault="00FE34B6" w:rsidP="00A0363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1E8A8B4" w14:textId="77777777" w:rsidR="00FE34B6" w:rsidRPr="00254A7A" w:rsidRDefault="00FE34B6" w:rsidP="00A03637">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659CEE8F" w14:textId="77777777" w:rsidR="00FE34B6" w:rsidRPr="00254A7A" w:rsidRDefault="00FE34B6" w:rsidP="00A03637">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CB5B2B" w:rsidRPr="00593A5F" w14:paraId="14BBAC7E" w14:textId="77777777" w:rsidTr="00A03637">
        <w:trPr>
          <w:trHeight w:val="330"/>
        </w:trPr>
        <w:tc>
          <w:tcPr>
            <w:tcW w:w="893" w:type="dxa"/>
            <w:vAlign w:val="center"/>
            <w:hideMark/>
          </w:tcPr>
          <w:p w14:paraId="46D2F4FD" w14:textId="77777777" w:rsidR="00FE34B6" w:rsidRPr="003751C7" w:rsidRDefault="00FE34B6" w:rsidP="00A0363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60D7011" w14:textId="77777777" w:rsidR="00FE34B6" w:rsidRPr="00D54D3D" w:rsidRDefault="00FE34B6" w:rsidP="00A03637">
            <w:pPr>
              <w:pStyle w:val="paragraph"/>
              <w:spacing w:after="0"/>
              <w:contextualSpacing/>
              <w:textAlignment w:val="baseline"/>
              <w:rPr>
                <w:rStyle w:val="normaltextrun"/>
                <w:rFonts w:ascii="Verdana" w:hAnsi="Verdana" w:cs="Arial"/>
                <w:sz w:val="16"/>
                <w:szCs w:val="16"/>
                <w:lang w:val="es-ES_tradnl"/>
              </w:rPr>
            </w:pPr>
            <w:r w:rsidRPr="00D54D3D">
              <w:rPr>
                <w:rStyle w:val="normaltextrun"/>
                <w:rFonts w:ascii="Verdana" w:hAnsi="Verdana" w:cs="Arial"/>
                <w:sz w:val="16"/>
                <w:szCs w:val="16"/>
                <w:lang w:val="es-ES_tradnl"/>
              </w:rPr>
              <w:t>Alejandro Sarmiento Cantillo</w:t>
            </w:r>
          </w:p>
          <w:p w14:paraId="6C911410" w14:textId="77777777" w:rsidR="00FE34B6" w:rsidRPr="00254A7A" w:rsidRDefault="00FE34B6" w:rsidP="00A03637">
            <w:pPr>
              <w:pStyle w:val="paragraph"/>
              <w:spacing w:before="0" w:beforeAutospacing="0" w:after="0" w:afterAutospacing="0"/>
              <w:contextualSpacing/>
              <w:textAlignment w:val="baseline"/>
              <w:rPr>
                <w:rFonts w:ascii="Verdana" w:hAnsi="Verdana" w:cs="Segoe UI"/>
                <w:sz w:val="16"/>
                <w:szCs w:val="16"/>
              </w:rPr>
            </w:pPr>
            <w:r w:rsidRPr="00D54D3D">
              <w:rPr>
                <w:rStyle w:val="normaltextrun"/>
                <w:rFonts w:ascii="Verdana" w:hAnsi="Verdana" w:cs="Arial"/>
                <w:sz w:val="16"/>
                <w:szCs w:val="16"/>
                <w:lang w:val="es-ES_tradnl"/>
              </w:rPr>
              <w:t>Gestor T1 ‒ 15 de la Subdirección de Gestión Contractual</w:t>
            </w:r>
          </w:p>
        </w:tc>
      </w:tr>
      <w:tr w:rsidR="00CB5B2B" w:rsidRPr="00593A5F" w14:paraId="0C2D7B25" w14:textId="77777777" w:rsidTr="00A03637">
        <w:trPr>
          <w:trHeight w:val="300"/>
        </w:trPr>
        <w:tc>
          <w:tcPr>
            <w:tcW w:w="893" w:type="dxa"/>
            <w:vAlign w:val="center"/>
          </w:tcPr>
          <w:p w14:paraId="7ED508DB" w14:textId="77777777" w:rsidR="00FE34B6" w:rsidRPr="003751C7" w:rsidRDefault="00FE34B6" w:rsidP="00A0363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DC1A468" w14:textId="77777777" w:rsidR="00FE34B6" w:rsidRPr="007D2741" w:rsidRDefault="00FE34B6" w:rsidP="00A03637">
            <w:pPr>
              <w:contextualSpacing/>
              <w:rPr>
                <w:rFonts w:ascii="Verdana" w:eastAsia="Calibri" w:hAnsi="Verdana" w:cs="Arial"/>
                <w:sz w:val="16"/>
                <w:szCs w:val="16"/>
                <w:lang w:val="es-ES" w:eastAsia="es-ES"/>
              </w:rPr>
            </w:pPr>
            <w:r w:rsidRPr="007D2741">
              <w:rPr>
                <w:rFonts w:ascii="Verdana" w:eastAsia="Calibri" w:hAnsi="Verdana" w:cs="Arial"/>
                <w:sz w:val="16"/>
                <w:szCs w:val="16"/>
                <w:lang w:val="es-ES" w:eastAsia="es-ES"/>
              </w:rPr>
              <w:t xml:space="preserve">Carolina Quintero </w:t>
            </w:r>
            <w:proofErr w:type="spellStart"/>
            <w:r w:rsidRPr="007D2741">
              <w:rPr>
                <w:rFonts w:ascii="Verdana" w:eastAsia="Calibri" w:hAnsi="Verdana" w:cs="Arial"/>
                <w:sz w:val="16"/>
                <w:szCs w:val="16"/>
                <w:lang w:val="es-ES" w:eastAsia="es-ES"/>
              </w:rPr>
              <w:t>Gacharná</w:t>
            </w:r>
            <w:proofErr w:type="spellEnd"/>
          </w:p>
          <w:p w14:paraId="18CD045F" w14:textId="77777777" w:rsidR="00FE34B6" w:rsidRPr="003751C7" w:rsidRDefault="00FE34B6" w:rsidP="00A03637">
            <w:pPr>
              <w:contextualSpacing/>
              <w:rPr>
                <w:rFonts w:ascii="Verdana" w:eastAsia="Calibri" w:hAnsi="Verdana" w:cs="Arial"/>
                <w:sz w:val="16"/>
                <w:szCs w:val="16"/>
                <w:lang w:val="pt-BR" w:eastAsia="es-ES"/>
              </w:rPr>
            </w:pPr>
            <w:r w:rsidRPr="001133D2">
              <w:rPr>
                <w:rFonts w:ascii="Verdana" w:eastAsia="Calibri" w:hAnsi="Verdana" w:cs="Arial"/>
                <w:sz w:val="16"/>
                <w:szCs w:val="16"/>
                <w:lang w:val="es-ES_tradnl" w:eastAsia="es-ES"/>
              </w:rPr>
              <w:t>Subdirectora de Gestión Contractual ANCP – CCE</w:t>
            </w:r>
          </w:p>
        </w:tc>
      </w:tr>
    </w:tbl>
    <w:p w14:paraId="47D9EA9F" w14:textId="77777777" w:rsidR="00FE34B6" w:rsidRPr="00543BFE" w:rsidRDefault="00FE34B6" w:rsidP="00FE34B6"/>
    <w:p w14:paraId="0E0AA7BD" w14:textId="77777777" w:rsidR="00FE34B6" w:rsidRPr="00543BFE" w:rsidRDefault="00FE34B6" w:rsidP="00FE34B6"/>
    <w:p w14:paraId="0F293BF4" w14:textId="224C8A5D" w:rsidR="00127233" w:rsidRPr="00941263" w:rsidRDefault="00127233" w:rsidP="00941263">
      <w:pPr>
        <w:rPr>
          <w:lang w:val="es-ES"/>
        </w:rPr>
      </w:pPr>
    </w:p>
    <w:sectPr w:rsidR="00127233" w:rsidRPr="0094126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C78852" w14:textId="77777777" w:rsidR="005E5C6E" w:rsidRDefault="005E5C6E" w:rsidP="004A1847">
      <w:pPr>
        <w:spacing w:after="0" w:line="240" w:lineRule="auto"/>
      </w:pPr>
      <w:r>
        <w:separator/>
      </w:r>
    </w:p>
  </w:endnote>
  <w:endnote w:type="continuationSeparator" w:id="0">
    <w:p w14:paraId="2F13BCEA" w14:textId="77777777" w:rsidR="005E5C6E" w:rsidRDefault="005E5C6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D0A756" w14:textId="77777777" w:rsidR="005E5C6E" w:rsidRDefault="005E5C6E" w:rsidP="004A1847">
      <w:pPr>
        <w:spacing w:after="0" w:line="240" w:lineRule="auto"/>
      </w:pPr>
      <w:r>
        <w:separator/>
      </w:r>
    </w:p>
  </w:footnote>
  <w:footnote w:type="continuationSeparator" w:id="0">
    <w:p w14:paraId="4D9BD610" w14:textId="77777777" w:rsidR="005E5C6E" w:rsidRDefault="005E5C6E" w:rsidP="004A1847">
      <w:pPr>
        <w:spacing w:after="0" w:line="240" w:lineRule="auto"/>
      </w:pPr>
      <w:r>
        <w:continuationSeparator/>
      </w:r>
    </w:p>
  </w:footnote>
  <w:footnote w:id="1">
    <w:p w14:paraId="0F341452" w14:textId="77777777" w:rsidR="00FE34B6" w:rsidRPr="00E77CEB" w:rsidRDefault="00FE34B6" w:rsidP="00FE34B6">
      <w:pPr>
        <w:pStyle w:val="Textonotapie"/>
        <w:ind w:firstLine="708"/>
        <w:jc w:val="both"/>
        <w:rPr>
          <w:rFonts w:ascii="Verdana" w:hAnsi="Verdana"/>
          <w:sz w:val="16"/>
          <w:szCs w:val="16"/>
        </w:rPr>
      </w:pPr>
      <w:r w:rsidRPr="00E77CEB">
        <w:rPr>
          <w:rStyle w:val="Refdenotaalpie"/>
          <w:rFonts w:ascii="Verdana" w:hAnsi="Verdana"/>
          <w:sz w:val="16"/>
          <w:szCs w:val="16"/>
        </w:rPr>
        <w:footnoteRef/>
      </w:r>
      <w:r w:rsidRPr="00E77CEB">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5BFC4BAE" w14:textId="77777777" w:rsidR="00FE34B6" w:rsidRPr="00E77CEB" w:rsidRDefault="00FE34B6" w:rsidP="00FE34B6">
      <w:pPr>
        <w:pStyle w:val="Textonotapie"/>
        <w:ind w:firstLine="708"/>
        <w:jc w:val="both"/>
        <w:rPr>
          <w:rFonts w:ascii="Verdana" w:hAnsi="Verdana"/>
          <w:sz w:val="16"/>
          <w:szCs w:val="16"/>
        </w:rPr>
      </w:pPr>
      <w:r w:rsidRPr="00E77CEB">
        <w:rPr>
          <w:rFonts w:ascii="Verdana" w:hAnsi="Verdana"/>
          <w:sz w:val="16"/>
          <w:szCs w:val="16"/>
        </w:rPr>
        <w:t>[…]</w:t>
      </w:r>
    </w:p>
    <w:p w14:paraId="78F02D65" w14:textId="77777777" w:rsidR="00FE34B6" w:rsidRPr="00E77CEB" w:rsidRDefault="00FE34B6" w:rsidP="00FE34B6">
      <w:pPr>
        <w:pStyle w:val="Textonotapie"/>
        <w:ind w:firstLine="708"/>
        <w:jc w:val="both"/>
        <w:rPr>
          <w:rFonts w:ascii="Verdana" w:hAnsi="Verdana"/>
          <w:sz w:val="16"/>
          <w:szCs w:val="16"/>
        </w:rPr>
      </w:pPr>
      <w:r w:rsidRPr="00E77CEB">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310A7E11" w14:textId="77777777" w:rsidR="00FE34B6" w:rsidRPr="00E77CEB" w:rsidRDefault="00FE34B6" w:rsidP="00FE34B6">
      <w:pPr>
        <w:pStyle w:val="Textonotapie"/>
        <w:ind w:firstLine="708"/>
        <w:jc w:val="both"/>
        <w:rPr>
          <w:rFonts w:ascii="Verdana" w:hAnsi="Verdana"/>
          <w:sz w:val="16"/>
          <w:szCs w:val="16"/>
        </w:rPr>
      </w:pPr>
      <w:r w:rsidRPr="00E77CEB">
        <w:rPr>
          <w:rFonts w:ascii="Verdana" w:hAnsi="Verdana"/>
          <w:sz w:val="16"/>
          <w:szCs w:val="16"/>
        </w:rPr>
        <w:t>En todo caso, el Presidente de la República podrá celebrar contratos a nombre de la Nación”.</w:t>
      </w:r>
    </w:p>
  </w:footnote>
  <w:footnote w:id="2">
    <w:p w14:paraId="7A932E1C" w14:textId="77777777" w:rsidR="00FE34B6" w:rsidRPr="00E77CEB" w:rsidRDefault="00FE34B6" w:rsidP="00FE34B6">
      <w:pPr>
        <w:pStyle w:val="Textonotapie"/>
        <w:ind w:firstLine="708"/>
        <w:jc w:val="both"/>
        <w:rPr>
          <w:rFonts w:ascii="Verdana" w:hAnsi="Verdana" w:cs="Arial"/>
          <w:sz w:val="16"/>
          <w:szCs w:val="16"/>
        </w:rPr>
      </w:pPr>
      <w:r w:rsidRPr="00E77CEB">
        <w:rPr>
          <w:rStyle w:val="Refdenotaalpie"/>
          <w:rFonts w:ascii="Verdana" w:hAnsi="Verdana" w:cs="Arial"/>
          <w:sz w:val="16"/>
          <w:szCs w:val="16"/>
        </w:rPr>
        <w:footnoteRef/>
      </w:r>
      <w:r w:rsidRPr="00E77CEB">
        <w:rPr>
          <w:rFonts w:ascii="Verdana" w:hAnsi="Verdana" w:cs="Arial"/>
          <w:sz w:val="16"/>
          <w:szCs w:val="16"/>
        </w:rPr>
        <w:t xml:space="preserve"> El inciso primero de norma disponía que, conforme al principio de transparencia, “</w:t>
      </w:r>
      <w:r w:rsidRPr="00E77CEB">
        <w:rPr>
          <w:rFonts w:ascii="Verdana" w:hAnsi="Verdana" w:cs="Arial"/>
          <w:i/>
          <w:iCs/>
          <w:sz w:val="16"/>
          <w:szCs w:val="16"/>
        </w:rPr>
        <w:t>La escogencia del contratista se efectuará siempre a través de licitación o concurso públicos</w:t>
      </w:r>
      <w:r w:rsidRPr="00E77CEB">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3">
    <w:p w14:paraId="7B5CE380" w14:textId="77777777" w:rsidR="00FE34B6" w:rsidRPr="00E77CEB" w:rsidRDefault="00FE34B6" w:rsidP="00FE34B6">
      <w:pPr>
        <w:pStyle w:val="Textonotapie"/>
        <w:ind w:firstLine="708"/>
        <w:jc w:val="both"/>
        <w:rPr>
          <w:rFonts w:ascii="Verdana" w:hAnsi="Verdana" w:cs="Arial"/>
          <w:sz w:val="16"/>
          <w:szCs w:val="16"/>
        </w:rPr>
      </w:pPr>
      <w:r w:rsidRPr="00E77CEB">
        <w:rPr>
          <w:rStyle w:val="Refdenotaalpie"/>
          <w:rFonts w:ascii="Verdana" w:hAnsi="Verdana" w:cs="Arial"/>
          <w:sz w:val="16"/>
          <w:szCs w:val="16"/>
        </w:rPr>
        <w:footnoteRef/>
      </w:r>
      <w:r w:rsidRPr="00E77CEB">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E77CEB">
        <w:rPr>
          <w:rFonts w:ascii="Verdana" w:hAnsi="Verdana" w:cs="Arial"/>
          <w:i/>
          <w:iCs/>
          <w:sz w:val="16"/>
          <w:szCs w:val="16"/>
        </w:rPr>
        <w:t>Presentación de la oferta de manera dinámica</w:t>
      </w:r>
      <w:r w:rsidRPr="00E77CEB">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4">
    <w:p w14:paraId="3590A4F4" w14:textId="77777777" w:rsidR="00FE34B6" w:rsidRPr="00E77CEB" w:rsidRDefault="00FE34B6" w:rsidP="00FE34B6">
      <w:pPr>
        <w:pStyle w:val="Textonotapie"/>
        <w:ind w:firstLine="708"/>
        <w:jc w:val="both"/>
        <w:rPr>
          <w:rFonts w:ascii="Verdana" w:hAnsi="Verdana" w:cs="Arial"/>
          <w:color w:val="000000" w:themeColor="text1"/>
          <w:sz w:val="16"/>
          <w:szCs w:val="16"/>
        </w:rPr>
      </w:pPr>
      <w:r w:rsidRPr="00E77CEB">
        <w:rPr>
          <w:rStyle w:val="Refdenotaalpie"/>
          <w:rFonts w:ascii="Verdana" w:hAnsi="Verdana" w:cs="Arial"/>
          <w:color w:val="000000" w:themeColor="text1"/>
          <w:sz w:val="16"/>
          <w:szCs w:val="16"/>
        </w:rPr>
        <w:footnoteRef/>
      </w:r>
      <w:r w:rsidRPr="00E77CEB">
        <w:rPr>
          <w:rFonts w:ascii="Verdana" w:hAnsi="Verdana" w:cs="Arial"/>
          <w:color w:val="000000" w:themeColor="text1"/>
          <w:sz w:val="16"/>
          <w:szCs w:val="16"/>
        </w:rPr>
        <w:t xml:space="preserve"> CORTE CONSTITUCIONAL. Sentencia C-452 de 1999. M.P. Eduardo Cifuentes Muñoz. </w:t>
      </w:r>
    </w:p>
  </w:footnote>
  <w:footnote w:id="5">
    <w:p w14:paraId="0914FD6F" w14:textId="77777777" w:rsidR="00FE34B6" w:rsidRPr="00E77CEB" w:rsidRDefault="00FE34B6" w:rsidP="00FE34B6">
      <w:pPr>
        <w:pStyle w:val="Textonotapie"/>
        <w:ind w:firstLine="708"/>
        <w:jc w:val="both"/>
        <w:rPr>
          <w:rFonts w:ascii="Verdana" w:hAnsi="Verdana" w:cs="Arial"/>
          <w:color w:val="000000" w:themeColor="text1"/>
          <w:sz w:val="16"/>
          <w:szCs w:val="16"/>
        </w:rPr>
      </w:pPr>
      <w:r w:rsidRPr="00E77CEB">
        <w:rPr>
          <w:rStyle w:val="Refdenotaalpie"/>
          <w:rFonts w:ascii="Verdana" w:hAnsi="Verdana" w:cs="Arial"/>
          <w:color w:val="000000" w:themeColor="text1"/>
          <w:sz w:val="16"/>
          <w:szCs w:val="16"/>
        </w:rPr>
        <w:footnoteRef/>
      </w:r>
      <w:r w:rsidRPr="00E77CEB">
        <w:rPr>
          <w:rFonts w:ascii="Verdana" w:hAnsi="Verdana" w:cs="Arial"/>
          <w:color w:val="000000" w:themeColor="text1"/>
          <w:sz w:val="16"/>
          <w:szCs w:val="16"/>
        </w:rPr>
        <w:t xml:space="preserve"> DROMI, José Roberto. La licitación pública. Buenos Aires: Ciudad Argentina, 1980. pp. 288-289.</w:t>
      </w:r>
    </w:p>
  </w:footnote>
  <w:footnote w:id="6">
    <w:p w14:paraId="054B482B" w14:textId="77777777" w:rsidR="00FE34B6" w:rsidRPr="00E77CEB" w:rsidRDefault="00FE34B6" w:rsidP="00FE34B6">
      <w:pPr>
        <w:pStyle w:val="Textonotapie"/>
        <w:ind w:firstLine="708"/>
        <w:jc w:val="both"/>
        <w:rPr>
          <w:rFonts w:ascii="Verdana" w:hAnsi="Verdana" w:cs="Arial"/>
          <w:sz w:val="16"/>
          <w:szCs w:val="16"/>
        </w:rPr>
      </w:pPr>
      <w:r w:rsidRPr="00E77CEB">
        <w:rPr>
          <w:rStyle w:val="Refdenotaalpie"/>
          <w:rFonts w:ascii="Verdana" w:hAnsi="Verdana" w:cs="Arial"/>
          <w:sz w:val="16"/>
          <w:szCs w:val="16"/>
        </w:rPr>
        <w:footnoteRef/>
      </w:r>
      <w:r w:rsidRPr="00E77CEB">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7">
    <w:p w14:paraId="341C5FFB" w14:textId="77777777" w:rsidR="00FE34B6" w:rsidRPr="00E77CEB" w:rsidRDefault="00FE34B6" w:rsidP="00FE34B6">
      <w:pPr>
        <w:pStyle w:val="Textonotapie"/>
        <w:ind w:firstLine="709"/>
        <w:jc w:val="both"/>
        <w:rPr>
          <w:rFonts w:ascii="Verdana" w:hAnsi="Verdana" w:cs="Arial"/>
          <w:color w:val="000000" w:themeColor="text1"/>
          <w:sz w:val="16"/>
          <w:szCs w:val="16"/>
        </w:rPr>
      </w:pPr>
      <w:r w:rsidRPr="00E77CEB">
        <w:rPr>
          <w:rStyle w:val="Refdenotaalpie"/>
          <w:rFonts w:ascii="Verdana" w:hAnsi="Verdana" w:cs="Arial"/>
          <w:color w:val="000000" w:themeColor="text1"/>
          <w:sz w:val="16"/>
          <w:szCs w:val="16"/>
        </w:rPr>
        <w:footnoteRef/>
      </w:r>
      <w:r w:rsidRPr="00E77CEB">
        <w:rPr>
          <w:rFonts w:ascii="Verdana" w:hAnsi="Verdana" w:cs="Arial"/>
          <w:color w:val="000000" w:themeColor="text1"/>
          <w:sz w:val="16"/>
          <w:szCs w:val="16"/>
        </w:rPr>
        <w:t xml:space="preserve"> ORDÓÑEZ ORDÓÑEZ, Andrés E. Seguro de cumplimiento de los contratos estatales en Colombia. Bogotá: Universidad Externado de Colombia, 2011. p. 44.</w:t>
      </w:r>
    </w:p>
  </w:footnote>
  <w:footnote w:id="8">
    <w:p w14:paraId="3F9AE92A" w14:textId="77777777" w:rsidR="00FE34B6" w:rsidRPr="00E77CEB" w:rsidRDefault="00FE34B6" w:rsidP="00FE34B6">
      <w:pPr>
        <w:pStyle w:val="Textonotapie"/>
        <w:ind w:firstLine="709"/>
        <w:jc w:val="both"/>
        <w:rPr>
          <w:rFonts w:ascii="Verdana" w:hAnsi="Verdana" w:cs="Arial"/>
          <w:color w:val="000000" w:themeColor="text1"/>
          <w:sz w:val="16"/>
          <w:szCs w:val="16"/>
          <w:lang w:val="es-ES"/>
        </w:rPr>
      </w:pPr>
      <w:r w:rsidRPr="00E77CEB">
        <w:rPr>
          <w:rStyle w:val="Refdenotaalpie"/>
          <w:rFonts w:ascii="Verdana" w:hAnsi="Verdana" w:cs="Arial"/>
          <w:color w:val="000000" w:themeColor="text1"/>
          <w:sz w:val="16"/>
          <w:szCs w:val="16"/>
        </w:rPr>
        <w:footnoteRef/>
      </w:r>
      <w:r w:rsidRPr="00E77CEB">
        <w:rPr>
          <w:rFonts w:ascii="Verdana" w:hAnsi="Verdana" w:cs="Arial"/>
          <w:color w:val="000000" w:themeColor="text1"/>
          <w:sz w:val="16"/>
          <w:szCs w:val="16"/>
        </w:rPr>
        <w:t xml:space="preserve"> Al respecto, el inciso primero del artículo 1068 del Código de Comercio dispone lo siguiente: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w:t>
      </w:r>
      <w:r w:rsidRPr="00E77CEB">
        <w:rPr>
          <w:rFonts w:ascii="Verdana" w:hAnsi="Verdana" w:cs="Arial"/>
          <w:color w:val="000000" w:themeColor="text1"/>
          <w:sz w:val="16"/>
          <w:szCs w:val="16"/>
          <w:lang w:val="es-ES"/>
        </w:rPr>
        <w:t xml:space="preserve">Igualmente, el inciso primero del artículo 1071 </w:t>
      </w:r>
      <w:r w:rsidRPr="00E77CEB">
        <w:rPr>
          <w:rFonts w:ascii="Verdana" w:hAnsi="Verdana" w:cs="Arial"/>
          <w:i/>
          <w:iCs/>
          <w:color w:val="000000" w:themeColor="text1"/>
          <w:sz w:val="16"/>
          <w:szCs w:val="16"/>
          <w:lang w:val="es-ES"/>
        </w:rPr>
        <w:t>ibidem</w:t>
      </w:r>
      <w:r w:rsidRPr="00E77CEB">
        <w:rPr>
          <w:rFonts w:ascii="Verdana" w:hAnsi="Verdana" w:cs="Arial"/>
          <w:color w:val="000000" w:themeColor="text1"/>
          <w:sz w:val="16"/>
          <w:szCs w:val="16"/>
          <w:lang w:val="es-ES"/>
        </w:rPr>
        <w:t xml:space="preserve"> prescribe: “El contrato de seguro podrá ser revocado unilateralmente por los contratantes. Por el asegurador, mediante noticia escrita al asegurado, enviada a su última dirección conocida, con no menos de diez días de antelación, contados a partir de la fecha del envío; por el asegurado, en cualquier momento, mediante aviso escrito al asegurador”.  </w:t>
      </w:r>
    </w:p>
  </w:footnote>
  <w:footnote w:id="9">
    <w:p w14:paraId="34EFC6F3" w14:textId="77777777" w:rsidR="00FE34B6" w:rsidRPr="00E77CEB" w:rsidRDefault="00FE34B6" w:rsidP="00FE34B6">
      <w:pPr>
        <w:pStyle w:val="Textonotapie"/>
        <w:ind w:firstLine="709"/>
        <w:jc w:val="both"/>
        <w:rPr>
          <w:rFonts w:ascii="Verdana" w:hAnsi="Verdana" w:cs="Arial"/>
          <w:color w:val="000000" w:themeColor="text1"/>
          <w:sz w:val="16"/>
          <w:szCs w:val="16"/>
        </w:rPr>
      </w:pPr>
      <w:r w:rsidRPr="00E77CEB">
        <w:rPr>
          <w:rStyle w:val="Refdenotaalpie"/>
          <w:rFonts w:ascii="Verdana" w:hAnsi="Verdana" w:cs="Arial"/>
          <w:color w:val="000000" w:themeColor="text1"/>
          <w:sz w:val="16"/>
          <w:szCs w:val="16"/>
        </w:rPr>
        <w:footnoteRef/>
      </w:r>
      <w:r w:rsidRPr="00E77CEB">
        <w:rPr>
          <w:rFonts w:ascii="Verdana" w:hAnsi="Verdana" w:cs="Arial"/>
          <w:color w:val="000000" w:themeColor="text1"/>
          <w:sz w:val="16"/>
          <w:szCs w:val="16"/>
        </w:rPr>
        <w:t xml:space="preserve"> ESCOBAR GIL, Rodrigo. Teoría general de los contratos de la Administración pública. Bogotá: Legis, 2000. p. 247. Respecto a las pólizas, la doctrina explica que “En rigor, el seguro no elimina el daño sino que tolera que sus consecuencias resulten transferidas (trasladadas) por el sujeto amenazado por un evento económicamente desfavorable, a otro (asegurador) que, a esos fines, ha constituido una mutualidad especialmente ‘preparada para absorber el riesgo de indemnización’” (Cfr. STIGLITZ, Rubén S. Derecho de seguros. Tomo I. Tercera Edición. Buenos Aires: Abeledo – Perrot, 2001. p. 21).</w:t>
      </w:r>
    </w:p>
  </w:footnote>
  <w:footnote w:id="10">
    <w:p w14:paraId="6DB0382F" w14:textId="77777777" w:rsidR="00FE34B6" w:rsidRPr="00E77CEB" w:rsidRDefault="00FE34B6" w:rsidP="00FE34B6">
      <w:pPr>
        <w:pStyle w:val="Textonotapie"/>
        <w:ind w:firstLine="708"/>
        <w:jc w:val="both"/>
        <w:rPr>
          <w:rFonts w:ascii="Verdana" w:hAnsi="Verdana" w:cs="Arial"/>
          <w:color w:val="000000" w:themeColor="text1"/>
          <w:sz w:val="16"/>
          <w:szCs w:val="16"/>
          <w:lang w:val="es-CO"/>
        </w:rPr>
      </w:pPr>
      <w:r w:rsidRPr="00E77CEB">
        <w:rPr>
          <w:rStyle w:val="Refdenotaalpie"/>
          <w:rFonts w:ascii="Verdana" w:hAnsi="Verdana" w:cs="Arial"/>
          <w:color w:val="000000" w:themeColor="text1"/>
          <w:sz w:val="16"/>
          <w:szCs w:val="16"/>
        </w:rPr>
        <w:footnoteRef/>
      </w:r>
      <w:r w:rsidRPr="00E77CEB">
        <w:rPr>
          <w:rFonts w:ascii="Verdana" w:hAnsi="Verdana" w:cs="Arial"/>
          <w:color w:val="000000" w:themeColor="text1"/>
          <w:sz w:val="16"/>
          <w:szCs w:val="16"/>
        </w:rPr>
        <w:t xml:space="preserve"> </w:t>
      </w:r>
      <w:r w:rsidRPr="00E77CEB">
        <w:rPr>
          <w:rFonts w:ascii="Verdana" w:hAnsi="Verdana" w:cs="Arial"/>
          <w:color w:val="000000" w:themeColor="text1"/>
          <w:sz w:val="16"/>
          <w:szCs w:val="16"/>
          <w:lang w:val="es-CO"/>
        </w:rPr>
        <w:t xml:space="preserve">“Artículo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 </w:t>
      </w:r>
    </w:p>
    <w:p w14:paraId="1C685019" w14:textId="77777777" w:rsidR="00FE34B6" w:rsidRPr="00E77CEB" w:rsidRDefault="00FE34B6" w:rsidP="00FE34B6">
      <w:pPr>
        <w:pStyle w:val="Textonotapie"/>
        <w:ind w:firstLine="708"/>
        <w:jc w:val="both"/>
        <w:rPr>
          <w:rFonts w:ascii="Verdana" w:hAnsi="Verdana" w:cs="Arial"/>
          <w:color w:val="000000" w:themeColor="text1"/>
          <w:sz w:val="16"/>
          <w:szCs w:val="16"/>
          <w:lang w:val="es-CO"/>
        </w:rPr>
      </w:pPr>
      <w:r w:rsidRPr="00E77CEB">
        <w:rPr>
          <w:rFonts w:ascii="Verdana" w:hAnsi="Verdana" w:cs="Arial"/>
          <w:color w:val="000000" w:themeColor="text1"/>
          <w:sz w:val="16"/>
          <w:szCs w:val="16"/>
          <w:lang w:val="es-CO"/>
        </w:rPr>
        <w:t xml:space="preserve">En consecuencia, la Entidad Estatal en los pliegos de condiciones para la Contratación debe indicar las garantías que exige en cada Etapa del Contrato o cada Periodo Contractual así: </w:t>
      </w:r>
    </w:p>
    <w:p w14:paraId="68D58DA5" w14:textId="77777777" w:rsidR="00FE34B6" w:rsidRPr="00E77CEB" w:rsidRDefault="00FE34B6" w:rsidP="00FE34B6">
      <w:pPr>
        <w:pStyle w:val="Textonotapie"/>
        <w:ind w:firstLine="708"/>
        <w:jc w:val="both"/>
        <w:rPr>
          <w:rFonts w:ascii="Verdana" w:hAnsi="Verdana" w:cs="Arial"/>
          <w:color w:val="000000" w:themeColor="text1"/>
          <w:sz w:val="16"/>
          <w:szCs w:val="16"/>
          <w:lang w:val="es-CO"/>
        </w:rPr>
      </w:pPr>
      <w:r w:rsidRPr="00E77CEB">
        <w:rPr>
          <w:rFonts w:ascii="Verdana" w:hAnsi="Verdana" w:cs="Arial"/>
          <w:color w:val="000000" w:themeColor="text1"/>
          <w:sz w:val="16"/>
          <w:szCs w:val="16"/>
          <w:lang w:val="es-CO"/>
        </w:rPr>
        <w:t xml:space="preserve">1. La Entidad Estatal debe exigir una garantía independiente para cada Etapa del Contrato o cada Periodo Contractual o cada unidad funcional en el caso de las Asociaciones Público Privadas, cuya vigencia debe ser por lo menos la misma establecida para la Etapa del Contrato o Periodo Contractual respectivo. </w:t>
      </w:r>
    </w:p>
    <w:p w14:paraId="63A7E67B" w14:textId="77777777" w:rsidR="00FE34B6" w:rsidRPr="00E77CEB" w:rsidRDefault="00FE34B6" w:rsidP="00FE34B6">
      <w:pPr>
        <w:pStyle w:val="Textonotapie"/>
        <w:ind w:firstLine="708"/>
        <w:jc w:val="both"/>
        <w:rPr>
          <w:rFonts w:ascii="Verdana" w:hAnsi="Verdana" w:cs="Arial"/>
          <w:color w:val="000000" w:themeColor="text1"/>
          <w:sz w:val="16"/>
          <w:szCs w:val="16"/>
          <w:lang w:val="es-CO"/>
        </w:rPr>
      </w:pPr>
      <w:r w:rsidRPr="00E77CEB">
        <w:rPr>
          <w:rFonts w:ascii="Verdana" w:hAnsi="Verdana" w:cs="Arial"/>
          <w:color w:val="000000" w:themeColor="text1"/>
          <w:sz w:val="16"/>
          <w:szCs w:val="16"/>
          <w:lang w:val="es-CO"/>
        </w:rPr>
        <w:t xml:space="preserve">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3B41D9F8" w14:textId="77777777" w:rsidR="00FE34B6" w:rsidRPr="00E77CEB" w:rsidRDefault="00FE34B6" w:rsidP="00FE34B6">
      <w:pPr>
        <w:pStyle w:val="Textonotapie"/>
        <w:ind w:firstLine="708"/>
        <w:jc w:val="both"/>
        <w:rPr>
          <w:rFonts w:ascii="Verdana" w:hAnsi="Verdana" w:cs="Arial"/>
          <w:color w:val="000000" w:themeColor="text1"/>
          <w:sz w:val="16"/>
          <w:szCs w:val="16"/>
          <w:lang w:val="es-CO"/>
        </w:rPr>
      </w:pPr>
      <w:r w:rsidRPr="00E77CEB">
        <w:rPr>
          <w:rFonts w:ascii="Verdana" w:hAnsi="Verdana" w:cs="Arial"/>
          <w:color w:val="000000" w:themeColor="text1"/>
          <w:sz w:val="16"/>
          <w:szCs w:val="16"/>
          <w:lang w:val="es-CO"/>
        </w:rPr>
        <w:t xml:space="preserve">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 </w:t>
      </w:r>
    </w:p>
    <w:p w14:paraId="6853DE67" w14:textId="77777777" w:rsidR="00FE34B6" w:rsidRPr="00E77CEB" w:rsidRDefault="00FE34B6" w:rsidP="00FE34B6">
      <w:pPr>
        <w:pStyle w:val="Textonotapie"/>
        <w:ind w:firstLine="708"/>
        <w:jc w:val="both"/>
        <w:rPr>
          <w:rFonts w:ascii="Verdana" w:hAnsi="Verdana" w:cs="Arial"/>
          <w:color w:val="000000" w:themeColor="text1"/>
          <w:sz w:val="16"/>
          <w:szCs w:val="16"/>
          <w:lang w:val="es-CO"/>
        </w:rPr>
      </w:pPr>
      <w:r w:rsidRPr="00E77CEB">
        <w:rPr>
          <w:rFonts w:ascii="Verdana" w:hAnsi="Verdana" w:cs="Arial"/>
          <w:color w:val="000000" w:themeColor="text1"/>
          <w:sz w:val="16"/>
          <w:szCs w:val="16"/>
          <w:lang w:val="es-CO"/>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footnote>
  <w:footnote w:id="11">
    <w:p w14:paraId="7487F10D" w14:textId="77777777" w:rsidR="00FE34B6" w:rsidRPr="00E77CEB" w:rsidRDefault="00FE34B6" w:rsidP="00FE34B6">
      <w:pPr>
        <w:pStyle w:val="Textonotapie"/>
        <w:ind w:firstLine="708"/>
        <w:jc w:val="both"/>
        <w:rPr>
          <w:rFonts w:ascii="Verdana" w:hAnsi="Verdana" w:cs="Arial"/>
          <w:color w:val="000000" w:themeColor="text1"/>
          <w:sz w:val="16"/>
          <w:szCs w:val="16"/>
          <w:lang w:val="es-CO"/>
        </w:rPr>
      </w:pPr>
      <w:r w:rsidRPr="00E77CEB">
        <w:rPr>
          <w:rStyle w:val="Refdenotaalpie"/>
          <w:rFonts w:ascii="Verdana" w:hAnsi="Verdana" w:cs="Arial"/>
          <w:color w:val="000000" w:themeColor="text1"/>
          <w:sz w:val="16"/>
          <w:szCs w:val="16"/>
        </w:rPr>
        <w:footnoteRef/>
      </w:r>
      <w:r w:rsidRPr="00E77CEB">
        <w:rPr>
          <w:rFonts w:ascii="Verdana" w:hAnsi="Verdana" w:cs="Arial"/>
          <w:color w:val="000000" w:themeColor="text1"/>
          <w:sz w:val="16"/>
          <w:szCs w:val="16"/>
        </w:rPr>
        <w:t xml:space="preserve"> </w:t>
      </w:r>
      <w:r w:rsidRPr="00E77CEB">
        <w:rPr>
          <w:rFonts w:ascii="Verdana" w:hAnsi="Verdana" w:cs="Arial"/>
          <w:color w:val="000000" w:themeColor="text1"/>
          <w:sz w:val="16"/>
          <w:szCs w:val="16"/>
          <w:lang w:val="es-CO"/>
        </w:rPr>
        <w:t xml:space="preserve">“Artículo </w:t>
      </w:r>
      <w:bookmarkStart w:id="5" w:name="_Hlk67919994"/>
      <w:r w:rsidRPr="00E77CEB">
        <w:rPr>
          <w:rFonts w:ascii="Verdana" w:hAnsi="Verdana" w:cs="Arial"/>
          <w:color w:val="000000" w:themeColor="text1"/>
          <w:sz w:val="16"/>
          <w:szCs w:val="16"/>
          <w:lang w:val="es-CO"/>
        </w:rPr>
        <w:t>2.2.1.2.3.1.7</w:t>
      </w:r>
      <w:bookmarkEnd w:id="5"/>
      <w:r w:rsidRPr="00E77CEB">
        <w:rPr>
          <w:rFonts w:ascii="Verdana" w:hAnsi="Verdana" w:cs="Arial"/>
          <w:color w:val="000000" w:themeColor="text1"/>
          <w:sz w:val="16"/>
          <w:szCs w:val="16"/>
          <w:lang w:val="es-CO"/>
        </w:rPr>
        <w:t xml:space="preserve">. Garantía de cumplimiento. La garantía de cumplimiento del contrato debe cubrir: </w:t>
      </w:r>
    </w:p>
    <w:p w14:paraId="1E37858C" w14:textId="77777777" w:rsidR="00FE34B6" w:rsidRPr="00E77CEB" w:rsidRDefault="00FE34B6" w:rsidP="00FE34B6">
      <w:pPr>
        <w:pStyle w:val="Textonotapie"/>
        <w:jc w:val="both"/>
        <w:rPr>
          <w:rFonts w:ascii="Verdana" w:hAnsi="Verdana" w:cs="Arial"/>
          <w:color w:val="000000" w:themeColor="text1"/>
          <w:sz w:val="16"/>
          <w:szCs w:val="16"/>
          <w:lang w:val="es-CO"/>
        </w:rPr>
      </w:pPr>
      <w:r w:rsidRPr="00E77CEB">
        <w:rPr>
          <w:rFonts w:ascii="Verdana" w:hAnsi="Verdana" w:cs="Arial"/>
          <w:color w:val="000000" w:themeColor="text1"/>
          <w:sz w:val="16"/>
          <w:szCs w:val="16"/>
          <w:lang w:val="es-CO"/>
        </w:rPr>
        <w:t xml:space="preserve">  </w:t>
      </w:r>
      <w:r w:rsidRPr="00E77CEB">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530B0F12" w14:textId="77777777" w:rsidR="00FE34B6" w:rsidRPr="00E77CEB" w:rsidRDefault="00FE34B6" w:rsidP="00FE34B6">
      <w:pPr>
        <w:pStyle w:val="Textonotapie"/>
        <w:ind w:firstLine="708"/>
        <w:jc w:val="both"/>
        <w:rPr>
          <w:rFonts w:ascii="Verdana" w:hAnsi="Verdana" w:cs="Arial"/>
          <w:color w:val="000000" w:themeColor="text1"/>
          <w:sz w:val="16"/>
          <w:szCs w:val="16"/>
          <w:lang w:val="es-CO"/>
        </w:rPr>
      </w:pPr>
      <w:r w:rsidRPr="00E77CEB">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6A4DFCC1" w14:textId="77777777" w:rsidR="00FE34B6" w:rsidRPr="00E77CEB" w:rsidRDefault="00FE34B6" w:rsidP="00FE34B6">
      <w:pPr>
        <w:pStyle w:val="Textonotapie"/>
        <w:ind w:firstLine="708"/>
        <w:jc w:val="both"/>
        <w:rPr>
          <w:rFonts w:ascii="Verdana" w:hAnsi="Verdana" w:cs="Arial"/>
          <w:color w:val="000000" w:themeColor="text1"/>
          <w:sz w:val="16"/>
          <w:szCs w:val="16"/>
          <w:lang w:val="es-CO"/>
        </w:rPr>
      </w:pPr>
      <w:r w:rsidRPr="00E77CEB">
        <w:rPr>
          <w:rFonts w:ascii="Verdana" w:hAnsi="Verdana" w:cs="Arial"/>
          <w:color w:val="000000" w:themeColor="text1"/>
          <w:sz w:val="16"/>
          <w:szCs w:val="16"/>
          <w:lang w:val="es-CO"/>
        </w:rPr>
        <w:t xml:space="preserve">3. Cumplimiento del contrato. Este amparo cubre a la Entidad Estatal de los perjuicios derivados de: </w:t>
      </w:r>
    </w:p>
    <w:p w14:paraId="4CE66270" w14:textId="77777777" w:rsidR="00FE34B6" w:rsidRPr="00E77CEB" w:rsidRDefault="00FE34B6" w:rsidP="00FE34B6">
      <w:pPr>
        <w:pStyle w:val="Textonotapie"/>
        <w:jc w:val="both"/>
        <w:rPr>
          <w:rFonts w:ascii="Verdana" w:hAnsi="Verdana" w:cs="Arial"/>
          <w:color w:val="000000" w:themeColor="text1"/>
          <w:sz w:val="16"/>
          <w:szCs w:val="16"/>
          <w:lang w:val="es-CO"/>
        </w:rPr>
      </w:pPr>
      <w:r w:rsidRPr="00E77CEB">
        <w:rPr>
          <w:rFonts w:ascii="Verdana" w:hAnsi="Verdana" w:cs="Arial"/>
          <w:color w:val="000000" w:themeColor="text1"/>
          <w:sz w:val="16"/>
          <w:szCs w:val="16"/>
          <w:lang w:val="es-CO"/>
        </w:rPr>
        <w:t xml:space="preserve">  </w:t>
      </w:r>
      <w:r w:rsidRPr="00E77CEB">
        <w:rPr>
          <w:rFonts w:ascii="Verdana" w:hAnsi="Verdana" w:cs="Arial"/>
          <w:color w:val="000000" w:themeColor="text1"/>
          <w:sz w:val="16"/>
          <w:szCs w:val="16"/>
          <w:lang w:val="es-CO"/>
        </w:rPr>
        <w:tab/>
        <w:t xml:space="preserve">3.1. </w:t>
      </w:r>
      <w:bookmarkStart w:id="6" w:name="_Hlk67920056"/>
      <w:r w:rsidRPr="00E77CEB">
        <w:rPr>
          <w:rFonts w:ascii="Verdana" w:hAnsi="Verdana" w:cs="Arial"/>
          <w:color w:val="000000" w:themeColor="text1"/>
          <w:sz w:val="16"/>
          <w:szCs w:val="16"/>
          <w:lang w:val="es-CO"/>
        </w:rPr>
        <w:t xml:space="preserve">El incumplimiento total o parcial del contrato, cuando el incumplimiento es imputable al contratista; </w:t>
      </w:r>
    </w:p>
    <w:p w14:paraId="3D5B32DC" w14:textId="77777777" w:rsidR="00FE34B6" w:rsidRPr="00E77CEB" w:rsidRDefault="00FE34B6" w:rsidP="00FE34B6">
      <w:pPr>
        <w:pStyle w:val="Textonotapie"/>
        <w:jc w:val="both"/>
        <w:rPr>
          <w:rFonts w:ascii="Verdana" w:hAnsi="Verdana" w:cs="Arial"/>
          <w:color w:val="000000" w:themeColor="text1"/>
          <w:sz w:val="16"/>
          <w:szCs w:val="16"/>
          <w:lang w:val="es-CO"/>
        </w:rPr>
      </w:pPr>
      <w:r w:rsidRPr="00E77CEB">
        <w:rPr>
          <w:rFonts w:ascii="Verdana" w:hAnsi="Verdana" w:cs="Arial"/>
          <w:color w:val="000000" w:themeColor="text1"/>
          <w:sz w:val="16"/>
          <w:szCs w:val="16"/>
          <w:lang w:val="es-CO"/>
        </w:rPr>
        <w:t xml:space="preserve">  </w:t>
      </w:r>
      <w:r w:rsidRPr="00E77CEB">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6EBB0965" w14:textId="77777777" w:rsidR="00FE34B6" w:rsidRPr="00E77CEB" w:rsidRDefault="00FE34B6" w:rsidP="00FE34B6">
      <w:pPr>
        <w:pStyle w:val="Textonotapie"/>
        <w:ind w:firstLine="708"/>
        <w:jc w:val="both"/>
        <w:rPr>
          <w:rFonts w:ascii="Verdana" w:hAnsi="Verdana" w:cs="Arial"/>
          <w:color w:val="000000" w:themeColor="text1"/>
          <w:sz w:val="16"/>
          <w:szCs w:val="16"/>
          <w:lang w:val="es-CO"/>
        </w:rPr>
      </w:pPr>
      <w:r w:rsidRPr="00E77CEB">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6"/>
    <w:p w14:paraId="186461FA" w14:textId="77777777" w:rsidR="00FE34B6" w:rsidRPr="00E77CEB" w:rsidRDefault="00FE34B6" w:rsidP="00FE34B6">
      <w:pPr>
        <w:pStyle w:val="Textonotapie"/>
        <w:ind w:firstLine="708"/>
        <w:jc w:val="both"/>
        <w:rPr>
          <w:rFonts w:ascii="Verdana" w:hAnsi="Verdana" w:cs="Arial"/>
          <w:color w:val="000000" w:themeColor="text1"/>
          <w:sz w:val="16"/>
          <w:szCs w:val="16"/>
          <w:lang w:val="es-CO"/>
        </w:rPr>
      </w:pPr>
      <w:r w:rsidRPr="00E77CEB">
        <w:rPr>
          <w:rFonts w:ascii="Verdana" w:hAnsi="Verdana" w:cs="Arial"/>
          <w:color w:val="000000" w:themeColor="text1"/>
          <w:sz w:val="16"/>
          <w:szCs w:val="16"/>
          <w:lang w:val="es-CO"/>
        </w:rPr>
        <w:t xml:space="preserve">3.4. El pago del valor de las multas y de la cláusula penal pecuniaria. </w:t>
      </w:r>
    </w:p>
    <w:p w14:paraId="5E0F7814" w14:textId="77777777" w:rsidR="00FE34B6" w:rsidRPr="00E77CEB" w:rsidRDefault="00FE34B6" w:rsidP="00FE34B6">
      <w:pPr>
        <w:pStyle w:val="Textonotapie"/>
        <w:ind w:firstLine="708"/>
        <w:jc w:val="both"/>
        <w:rPr>
          <w:rFonts w:ascii="Verdana" w:hAnsi="Verdana" w:cs="Arial"/>
          <w:color w:val="000000" w:themeColor="text1"/>
          <w:sz w:val="16"/>
          <w:szCs w:val="16"/>
          <w:lang w:val="es-CO"/>
        </w:rPr>
      </w:pPr>
      <w:r w:rsidRPr="00E77CEB">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127E8351" w14:textId="77777777" w:rsidR="00FE34B6" w:rsidRPr="00E77CEB" w:rsidRDefault="00FE34B6" w:rsidP="00FE34B6">
      <w:pPr>
        <w:pStyle w:val="Textonotapie"/>
        <w:ind w:firstLine="708"/>
        <w:jc w:val="both"/>
        <w:rPr>
          <w:rFonts w:ascii="Verdana" w:hAnsi="Verdana" w:cs="Arial"/>
          <w:color w:val="000000" w:themeColor="text1"/>
          <w:sz w:val="16"/>
          <w:szCs w:val="16"/>
          <w:lang w:val="es-CO"/>
        </w:rPr>
      </w:pPr>
      <w:r w:rsidRPr="00E77CEB">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1A806B0F" w14:textId="77777777" w:rsidR="00FE34B6" w:rsidRPr="00E77CEB" w:rsidRDefault="00FE34B6" w:rsidP="00FE34B6">
      <w:pPr>
        <w:pStyle w:val="Textonotapie"/>
        <w:ind w:firstLine="708"/>
        <w:jc w:val="both"/>
        <w:rPr>
          <w:rFonts w:ascii="Verdana" w:hAnsi="Verdana" w:cs="Arial"/>
          <w:color w:val="000000" w:themeColor="text1"/>
          <w:sz w:val="16"/>
          <w:szCs w:val="16"/>
          <w:lang w:val="es-CO"/>
        </w:rPr>
      </w:pPr>
      <w:r w:rsidRPr="00E77CEB">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4B97CD81" w14:textId="77777777" w:rsidR="00FE34B6" w:rsidRPr="00E77CEB" w:rsidRDefault="00FE34B6" w:rsidP="00FE34B6">
      <w:pPr>
        <w:pStyle w:val="Textonotapie"/>
        <w:ind w:firstLine="708"/>
        <w:jc w:val="both"/>
        <w:rPr>
          <w:rFonts w:ascii="Verdana" w:hAnsi="Verdana" w:cs="Arial"/>
          <w:color w:val="000000" w:themeColor="text1"/>
          <w:sz w:val="16"/>
          <w:szCs w:val="16"/>
          <w:lang w:val="es-CO"/>
        </w:rPr>
      </w:pPr>
      <w:r w:rsidRPr="00E77CEB">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19B3AA67" w14:textId="77777777" w:rsidR="00FE34B6" w:rsidRPr="00E77CEB" w:rsidRDefault="00FE34B6" w:rsidP="00FE34B6">
      <w:pPr>
        <w:pStyle w:val="Textonotapie"/>
        <w:ind w:firstLine="708"/>
        <w:jc w:val="both"/>
        <w:rPr>
          <w:rFonts w:ascii="Verdana" w:hAnsi="Verdana" w:cs="Arial"/>
          <w:color w:val="000000" w:themeColor="text1"/>
          <w:sz w:val="16"/>
          <w:szCs w:val="16"/>
          <w:lang w:val="es-CO"/>
        </w:rPr>
      </w:pPr>
      <w:r w:rsidRPr="00E77CEB">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1C9CF169" w14:textId="77777777" w:rsidR="00FE34B6" w:rsidRPr="00E77CEB" w:rsidRDefault="00FE34B6" w:rsidP="00FE34B6">
      <w:pPr>
        <w:pStyle w:val="Textonotapie"/>
        <w:ind w:firstLine="708"/>
        <w:jc w:val="both"/>
        <w:rPr>
          <w:rFonts w:ascii="Verdana" w:hAnsi="Verdana" w:cs="Arial"/>
          <w:color w:val="000000" w:themeColor="text1"/>
          <w:sz w:val="16"/>
          <w:szCs w:val="16"/>
          <w:lang w:val="es-CO"/>
        </w:rPr>
      </w:pPr>
      <w:r w:rsidRPr="00E77CEB">
        <w:rPr>
          <w:rFonts w:ascii="Verdana" w:hAnsi="Verdana" w:cs="Arial"/>
          <w:color w:val="000000" w:themeColor="text1"/>
          <w:sz w:val="16"/>
          <w:szCs w:val="16"/>
          <w:lang w:val="es-CO"/>
        </w:rPr>
        <w:t xml:space="preserve">8. </w:t>
      </w:r>
      <w:bookmarkStart w:id="7" w:name="_Hlk143267015"/>
      <w:r w:rsidRPr="00E77CEB">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7"/>
      <w:r w:rsidRPr="00E77CEB">
        <w:rPr>
          <w:rFonts w:ascii="Verdana" w:hAnsi="Verdana" w:cs="Arial"/>
          <w:color w:val="000000" w:themeColor="text1"/>
          <w:sz w:val="16"/>
          <w:szCs w:val="16"/>
          <w:lang w:val="es-CO"/>
        </w:rPr>
        <w:t>”.</w:t>
      </w:r>
    </w:p>
    <w:p w14:paraId="4BE60144" w14:textId="77777777" w:rsidR="00FE34B6" w:rsidRPr="00E77CEB" w:rsidRDefault="00FE34B6" w:rsidP="00FE34B6">
      <w:pPr>
        <w:pStyle w:val="Textonotapie"/>
        <w:ind w:firstLine="708"/>
        <w:jc w:val="both"/>
        <w:rPr>
          <w:rFonts w:ascii="Verdana" w:hAnsi="Verdana" w:cs="Arial"/>
          <w:color w:val="000000" w:themeColor="text1"/>
          <w:sz w:val="16"/>
          <w:szCs w:val="16"/>
          <w:lang w:val="es-CO"/>
        </w:rPr>
      </w:pPr>
    </w:p>
  </w:footnote>
  <w:footnote w:id="12">
    <w:p w14:paraId="51CB696A" w14:textId="77777777" w:rsidR="00FE34B6" w:rsidRPr="00E77CEB" w:rsidRDefault="00FE34B6" w:rsidP="00FE34B6">
      <w:pPr>
        <w:pStyle w:val="Textonotapie"/>
        <w:ind w:firstLine="709"/>
        <w:jc w:val="both"/>
        <w:rPr>
          <w:rFonts w:ascii="Verdana" w:hAnsi="Verdana" w:cs="Arial"/>
          <w:color w:val="000000" w:themeColor="text1"/>
          <w:sz w:val="16"/>
          <w:szCs w:val="16"/>
          <w:lang w:val="es-CO"/>
        </w:rPr>
      </w:pPr>
      <w:r w:rsidRPr="00E77CEB">
        <w:rPr>
          <w:rStyle w:val="Refdenotaalpie"/>
          <w:rFonts w:ascii="Verdana" w:hAnsi="Verdana" w:cs="Arial"/>
          <w:sz w:val="16"/>
          <w:szCs w:val="16"/>
        </w:rPr>
        <w:footnoteRef/>
      </w:r>
      <w:r w:rsidRPr="00E77CEB">
        <w:rPr>
          <w:rFonts w:ascii="Verdana" w:hAnsi="Verdana" w:cs="Arial"/>
          <w:color w:val="000000" w:themeColor="text1"/>
          <w:sz w:val="16"/>
          <w:szCs w:val="16"/>
          <w:lang w:val="es-CO"/>
        </w:rPr>
        <w:t xml:space="preserve"> FIGUEROA U. Organismos internacionales. 2ª edición. Santiago de Chile: Editorial RIL editores, 2010.</w:t>
      </w:r>
    </w:p>
  </w:footnote>
  <w:footnote w:id="13">
    <w:p w14:paraId="0397EDF0" w14:textId="77777777" w:rsidR="00FE34B6" w:rsidRPr="00E77CEB" w:rsidRDefault="00FE34B6" w:rsidP="00FE34B6">
      <w:pPr>
        <w:pStyle w:val="NormalWeb"/>
        <w:spacing w:before="0" w:beforeAutospacing="0" w:after="0" w:afterAutospacing="0"/>
        <w:ind w:firstLine="709"/>
        <w:jc w:val="both"/>
        <w:rPr>
          <w:rFonts w:ascii="Verdana" w:hAnsi="Verdana" w:cs="Arial"/>
          <w:color w:val="000000" w:themeColor="text1"/>
          <w:sz w:val="16"/>
          <w:szCs w:val="16"/>
        </w:rPr>
      </w:pPr>
      <w:r w:rsidRPr="00E77CEB">
        <w:rPr>
          <w:rStyle w:val="Refdenotaalpie"/>
          <w:rFonts w:ascii="Verdana" w:hAnsi="Verdana" w:cs="Arial"/>
          <w:sz w:val="16"/>
          <w:szCs w:val="16"/>
        </w:rPr>
        <w:footnoteRef/>
      </w:r>
      <w:r w:rsidRPr="00E77CEB">
        <w:rPr>
          <w:rFonts w:ascii="Verdana" w:hAnsi="Verdana" w:cs="Arial"/>
          <w:color w:val="000000" w:themeColor="text1"/>
          <w:sz w:val="16"/>
          <w:szCs w:val="16"/>
        </w:rPr>
        <w:t xml:space="preserve"> Ley 80 de 1993: “Artículo 13. De la normatividad aplicable a los contratos estatales. Los contratos que celebren las entidades a que se refiere el artículo </w:t>
      </w:r>
      <w:hyperlink r:id="rId1" w:anchor="2" w:history="1">
        <w:r w:rsidRPr="00E77CEB">
          <w:rPr>
            <w:rStyle w:val="Hipervnculo"/>
            <w:rFonts w:ascii="Verdana" w:hAnsi="Verdana" w:cs="Arial"/>
            <w:color w:val="000000" w:themeColor="text1"/>
            <w:sz w:val="16"/>
            <w:szCs w:val="16"/>
          </w:rPr>
          <w:t>2</w:t>
        </w:r>
      </w:hyperlink>
      <w:r w:rsidRPr="00E77CEB">
        <w:rPr>
          <w:rFonts w:ascii="Verdana" w:hAnsi="Verdana" w:cs="Arial"/>
          <w:color w:val="000000" w:themeColor="text1"/>
          <w:sz w:val="16"/>
          <w:szCs w:val="16"/>
        </w:rPr>
        <w:t>o. del presente estatuto se regirán por las disposiciones comerciales y civiles pertinentes, salvo en las materias particularmente reguladas en esta ley.</w:t>
      </w:r>
    </w:p>
    <w:p w14:paraId="768FCF46" w14:textId="77777777" w:rsidR="00FE34B6" w:rsidRPr="00E77CEB" w:rsidRDefault="00FE34B6" w:rsidP="00FE34B6">
      <w:pPr>
        <w:pStyle w:val="NormalWeb"/>
        <w:spacing w:before="0" w:beforeAutospacing="0" w:after="0" w:afterAutospacing="0"/>
        <w:ind w:firstLine="709"/>
        <w:jc w:val="both"/>
        <w:rPr>
          <w:rFonts w:ascii="Verdana" w:hAnsi="Verdana" w:cs="Arial"/>
          <w:color w:val="000000" w:themeColor="text1"/>
          <w:sz w:val="16"/>
          <w:szCs w:val="16"/>
        </w:rPr>
      </w:pPr>
      <w:r w:rsidRPr="00E77CEB">
        <w:rPr>
          <w:rFonts w:ascii="Verdana" w:hAnsi="Verdana" w:cs="Arial"/>
          <w:color w:val="000000" w:themeColor="text1"/>
          <w:sz w:val="16"/>
          <w:szCs w:val="16"/>
        </w:rPr>
        <w:t>Los contratos celebrados en el exterior se podrán regir en su ejecución por las reglas del país en donde se hayan suscrito, a menos que deban cumplirse en Colombia.</w:t>
      </w:r>
    </w:p>
    <w:p w14:paraId="060FAE63" w14:textId="77777777" w:rsidR="00FE34B6" w:rsidRPr="00E77CEB" w:rsidRDefault="00FE34B6" w:rsidP="00FE34B6">
      <w:pPr>
        <w:pStyle w:val="NormalWeb"/>
        <w:spacing w:before="0" w:beforeAutospacing="0" w:after="0" w:afterAutospacing="0"/>
        <w:ind w:firstLine="709"/>
        <w:jc w:val="both"/>
        <w:rPr>
          <w:rFonts w:ascii="Verdana" w:hAnsi="Verdana" w:cs="Arial"/>
          <w:color w:val="000000" w:themeColor="text1"/>
          <w:sz w:val="16"/>
          <w:szCs w:val="16"/>
        </w:rPr>
      </w:pPr>
      <w:r w:rsidRPr="00E77CEB">
        <w:rPr>
          <w:rFonts w:ascii="Verdana" w:hAnsi="Verdana" w:cs="Arial"/>
          <w:color w:val="000000" w:themeColor="text1"/>
          <w:sz w:val="16"/>
          <w:szCs w:val="16"/>
        </w:rPr>
        <w:t>Los contratos que se celebren en Colombia y deban ejecutarse o cumplirse en el extranjero, podrán someterse a la ley extranjera”.</w:t>
      </w:r>
    </w:p>
  </w:footnote>
  <w:footnote w:id="14">
    <w:p w14:paraId="22A1CC7B" w14:textId="77777777" w:rsidR="00FE34B6" w:rsidRPr="00E77CEB" w:rsidRDefault="00FE34B6" w:rsidP="00FE34B6">
      <w:pPr>
        <w:pStyle w:val="Textonotapie"/>
        <w:ind w:firstLine="709"/>
        <w:jc w:val="both"/>
        <w:rPr>
          <w:rFonts w:ascii="Verdana" w:hAnsi="Verdana" w:cs="Arial"/>
          <w:color w:val="000000" w:themeColor="text1"/>
          <w:sz w:val="16"/>
          <w:szCs w:val="16"/>
          <w:lang w:val="es-CO"/>
        </w:rPr>
      </w:pPr>
      <w:r w:rsidRPr="00E77CEB">
        <w:rPr>
          <w:rStyle w:val="Refdenotaalpie"/>
          <w:rFonts w:ascii="Verdana" w:hAnsi="Verdana" w:cs="Arial"/>
          <w:sz w:val="16"/>
          <w:szCs w:val="16"/>
        </w:rPr>
        <w:footnoteRef/>
      </w:r>
      <w:r w:rsidRPr="00E77CEB">
        <w:rPr>
          <w:rFonts w:ascii="Verdana" w:hAnsi="Verdana" w:cs="Arial"/>
          <w:color w:val="000000" w:themeColor="text1"/>
          <w:sz w:val="16"/>
          <w:szCs w:val="16"/>
        </w:rPr>
        <w:t xml:space="preserve"> Consejo de Estado. Sección Tercera, Subsección C. Sentencia del 26 de noviembre de 2015. </w:t>
      </w:r>
      <w:r w:rsidRPr="00E77CEB">
        <w:rPr>
          <w:rFonts w:ascii="Verdana" w:hAnsi="Verdana" w:cs="Arial"/>
          <w:color w:val="000000" w:themeColor="text1"/>
          <w:sz w:val="16"/>
          <w:szCs w:val="16"/>
          <w:lang w:val="es-ES_tradnl"/>
        </w:rPr>
        <w:t xml:space="preserve">Exp. </w:t>
      </w:r>
      <w:r w:rsidRPr="00E77CEB">
        <w:rPr>
          <w:rFonts w:ascii="Verdana" w:hAnsi="Verdana" w:cs="Arial"/>
          <w:color w:val="000000" w:themeColor="text1"/>
          <w:sz w:val="16"/>
          <w:szCs w:val="16"/>
          <w:lang w:val="es-CO"/>
        </w:rPr>
        <w:t xml:space="preserve">54.069. C.P Jaime Orlando Santofimio Gamboa. </w:t>
      </w:r>
    </w:p>
  </w:footnote>
  <w:footnote w:id="15">
    <w:p w14:paraId="342E4D39" w14:textId="77777777" w:rsidR="00FE34B6" w:rsidRPr="00E77CEB" w:rsidRDefault="00FE34B6" w:rsidP="00FE34B6">
      <w:pPr>
        <w:pStyle w:val="Textonotapie"/>
        <w:ind w:firstLine="709"/>
        <w:jc w:val="both"/>
        <w:rPr>
          <w:rFonts w:ascii="Verdana" w:hAnsi="Verdana" w:cs="Arial"/>
          <w:color w:val="000000" w:themeColor="text1"/>
          <w:sz w:val="16"/>
          <w:szCs w:val="16"/>
          <w:lang w:eastAsia="es-CO"/>
        </w:rPr>
      </w:pPr>
      <w:r w:rsidRPr="00E77CEB">
        <w:rPr>
          <w:rStyle w:val="Refdenotaalpie"/>
          <w:rFonts w:ascii="Verdana" w:hAnsi="Verdana" w:cs="Arial"/>
          <w:sz w:val="16"/>
          <w:szCs w:val="16"/>
        </w:rPr>
        <w:footnoteRef/>
      </w:r>
      <w:r w:rsidRPr="00E77CEB">
        <w:rPr>
          <w:rFonts w:ascii="Verdana" w:hAnsi="Verdana" w:cs="Arial"/>
          <w:color w:val="000000" w:themeColor="text1"/>
          <w:sz w:val="16"/>
          <w:szCs w:val="16"/>
        </w:rPr>
        <w:t xml:space="preserve"> </w:t>
      </w:r>
      <w:r w:rsidRPr="00E77CEB">
        <w:rPr>
          <w:rFonts w:ascii="Verdana" w:hAnsi="Verdana" w:cs="Arial"/>
          <w:color w:val="000000" w:themeColor="text1"/>
          <w:sz w:val="16"/>
          <w:szCs w:val="16"/>
          <w:lang w:eastAsia="es-CO"/>
        </w:rPr>
        <w:t>“Los contratos financiados con fondos de los organismos multilaterales de crédito o celebrados con personas extranjeras de derecho público u organismos de cooperación, asistencia o ayuda internacionales, podrán someterse a los reglamentos de tales entidades en todo lo relacionado con procedimientos de formación y adjudicación y cláusulas especiales de ejecución, cumplimiento, pago y ajustes”. (Derogado por el artículo 32 de la Ley 1150 de 2007).</w:t>
      </w:r>
    </w:p>
  </w:footnote>
  <w:footnote w:id="16">
    <w:p w14:paraId="6F554292" w14:textId="77777777" w:rsidR="00FE34B6" w:rsidRPr="00E77CEB" w:rsidRDefault="00FE34B6" w:rsidP="00FE34B6">
      <w:pPr>
        <w:pStyle w:val="NormalWeb"/>
        <w:spacing w:before="0" w:beforeAutospacing="0" w:after="0" w:afterAutospacing="0"/>
        <w:ind w:firstLine="709"/>
        <w:jc w:val="both"/>
        <w:rPr>
          <w:rFonts w:ascii="Verdana" w:hAnsi="Verdana" w:cs="Arial"/>
          <w:color w:val="000000" w:themeColor="text1"/>
          <w:sz w:val="16"/>
          <w:szCs w:val="16"/>
        </w:rPr>
      </w:pPr>
      <w:r w:rsidRPr="00E77CEB">
        <w:rPr>
          <w:rStyle w:val="Refdenotaalpie"/>
          <w:rFonts w:ascii="Verdana" w:hAnsi="Verdana" w:cs="Arial"/>
          <w:sz w:val="16"/>
          <w:szCs w:val="16"/>
        </w:rPr>
        <w:footnoteRef/>
      </w:r>
      <w:r w:rsidRPr="00E77CEB">
        <w:rPr>
          <w:rFonts w:ascii="Verdana" w:hAnsi="Verdana" w:cs="Arial"/>
          <w:color w:val="000000" w:themeColor="text1"/>
          <w:sz w:val="16"/>
          <w:szCs w:val="16"/>
        </w:rPr>
        <w:t xml:space="preserve"> Ley 1150 de 2007. “Artículo 20: Los contratos o convenios financiados en su totalidad o en sumas iguales o superiores al cincuenta por ciento (50%) con fondos de los organismos de cooperación, asistencia o ayudas internacionales, podrán someterse a los reglamentos de tales entidades. En caso contrario, se someterán a los procedimientos establecidos en la Ley de 1993. Los recursos de contrapartida vinculados a estas operaciones podrán tener el mismo tratamiento.</w:t>
      </w:r>
    </w:p>
    <w:p w14:paraId="34E7C417" w14:textId="77777777" w:rsidR="00FE34B6" w:rsidRPr="00E77CEB" w:rsidRDefault="00FE34B6" w:rsidP="00FE34B6">
      <w:pPr>
        <w:pStyle w:val="NormalWeb"/>
        <w:spacing w:before="0" w:beforeAutospacing="0" w:after="0" w:afterAutospacing="0"/>
        <w:ind w:firstLine="709"/>
        <w:jc w:val="both"/>
        <w:rPr>
          <w:rFonts w:ascii="Verdana" w:hAnsi="Verdana" w:cs="Arial"/>
          <w:color w:val="000000" w:themeColor="text1"/>
          <w:sz w:val="16"/>
          <w:szCs w:val="16"/>
        </w:rPr>
      </w:pPr>
      <w:r w:rsidRPr="00E77CEB">
        <w:rPr>
          <w:rFonts w:ascii="Verdana" w:hAnsi="Verdana" w:cs="Arial"/>
          <w:color w:val="000000" w:themeColor="text1"/>
          <w:sz w:val="16"/>
          <w:szCs w:val="16"/>
        </w:rPr>
        <w:t xml:space="preserve">Los contratos o convenios celebrados con </w:t>
      </w:r>
      <w:bookmarkStart w:id="9" w:name="_Hlk148436103"/>
      <w:r w:rsidRPr="00E77CEB">
        <w:rPr>
          <w:rFonts w:ascii="Verdana" w:hAnsi="Verdana" w:cs="Arial"/>
          <w:color w:val="000000" w:themeColor="text1"/>
          <w:sz w:val="16"/>
          <w:szCs w:val="16"/>
        </w:rPr>
        <w:t>personas extranjeras de derecho público u organismos de derecho internacional</w:t>
      </w:r>
      <w:bookmarkEnd w:id="9"/>
      <w:r w:rsidRPr="00E77CEB">
        <w:rPr>
          <w:rFonts w:ascii="Verdana" w:hAnsi="Verdana" w:cs="Arial"/>
          <w:color w:val="000000" w:themeColor="text1"/>
          <w:sz w:val="16"/>
          <w:szCs w:val="16"/>
        </w:rPr>
        <w:t xml:space="preserve">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podrán someterse a los reglamentos de tales entidades.</w:t>
      </w:r>
    </w:p>
    <w:p w14:paraId="3A5A7328" w14:textId="77777777" w:rsidR="00FE34B6" w:rsidRPr="00E77CEB" w:rsidRDefault="00FE34B6" w:rsidP="00FE34B6">
      <w:pPr>
        <w:pStyle w:val="NormalWeb"/>
        <w:spacing w:before="0" w:beforeAutospacing="0" w:after="0" w:afterAutospacing="0"/>
        <w:ind w:firstLine="709"/>
        <w:jc w:val="both"/>
        <w:rPr>
          <w:rFonts w:ascii="Verdana" w:hAnsi="Verdana" w:cs="Arial"/>
          <w:color w:val="000000" w:themeColor="text1"/>
          <w:sz w:val="16"/>
          <w:szCs w:val="16"/>
        </w:rPr>
      </w:pPr>
      <w:r w:rsidRPr="00E77CEB">
        <w:rPr>
          <w:rFonts w:ascii="Verdana" w:hAnsi="Verdana" w:cs="Arial"/>
          <w:color w:val="000000" w:themeColor="text1"/>
          <w:sz w:val="16"/>
          <w:szCs w:val="16"/>
        </w:rPr>
        <w:t>Las entidades estatales no podrán celebrar contratos o convenios para la administración o gerencia de sus recursos propios o de aquellos que les asignen los presupuestos públicos, con organismos de cooperación, asistencia o ayuda internacional.</w:t>
      </w:r>
    </w:p>
    <w:p w14:paraId="3B00A657" w14:textId="77777777" w:rsidR="00FE34B6" w:rsidRPr="00E77CEB" w:rsidRDefault="00FE34B6" w:rsidP="00FE34B6">
      <w:pPr>
        <w:pStyle w:val="NormalWeb"/>
        <w:spacing w:before="0" w:beforeAutospacing="0" w:after="0" w:afterAutospacing="0"/>
        <w:ind w:firstLine="709"/>
        <w:jc w:val="both"/>
        <w:rPr>
          <w:rFonts w:ascii="Verdana" w:hAnsi="Verdana" w:cs="Arial"/>
          <w:color w:val="000000" w:themeColor="text1"/>
          <w:sz w:val="16"/>
          <w:szCs w:val="16"/>
        </w:rPr>
      </w:pPr>
      <w:r w:rsidRPr="00E77CEB">
        <w:rPr>
          <w:rStyle w:val="baj"/>
          <w:rFonts w:ascii="Verdana" w:hAnsi="Verdana" w:cs="Arial"/>
          <w:color w:val="000000" w:themeColor="text1"/>
          <w:sz w:val="16"/>
          <w:szCs w:val="16"/>
        </w:rPr>
        <w:t>PARÁGRAFO 1o.</w:t>
      </w:r>
      <w:r w:rsidRPr="00E77CEB">
        <w:rPr>
          <w:rFonts w:ascii="Verdana" w:hAnsi="Verdana" w:cs="Arial"/>
          <w:color w:val="000000" w:themeColor="text1"/>
          <w:sz w:val="16"/>
          <w:szCs w:val="16"/>
        </w:rPr>
        <w:t> </w:t>
      </w:r>
      <w:bookmarkStart w:id="10" w:name="_Hlk148436375"/>
      <w:r w:rsidRPr="00E77CEB">
        <w:rPr>
          <w:rFonts w:ascii="Verdana" w:hAnsi="Verdana" w:cs="Arial"/>
          <w:color w:val="000000" w:themeColor="text1"/>
          <w:sz w:val="16"/>
          <w:szCs w:val="16"/>
        </w:rPr>
        <w:t>Los contratos o acuerdos celebrados con personas extranjeras de derecho público, podrán someterse a las reglas de tales organismos</w:t>
      </w:r>
      <w:bookmarkEnd w:id="10"/>
      <w:r w:rsidRPr="00E77CEB">
        <w:rPr>
          <w:rFonts w:ascii="Verdana" w:hAnsi="Verdana" w:cs="Arial"/>
          <w:color w:val="000000" w:themeColor="text1"/>
          <w:sz w:val="16"/>
          <w:szCs w:val="16"/>
        </w:rPr>
        <w:t>.</w:t>
      </w:r>
    </w:p>
    <w:p w14:paraId="22FA2529" w14:textId="77777777" w:rsidR="00FE34B6" w:rsidRPr="00E77CEB" w:rsidRDefault="00FE34B6" w:rsidP="00FE34B6">
      <w:pPr>
        <w:pStyle w:val="NormalWeb"/>
        <w:spacing w:before="0" w:beforeAutospacing="0" w:after="0" w:afterAutospacing="0"/>
        <w:ind w:firstLine="709"/>
        <w:jc w:val="both"/>
        <w:rPr>
          <w:rFonts w:ascii="Verdana" w:hAnsi="Verdana" w:cs="Arial"/>
          <w:color w:val="000000" w:themeColor="text1"/>
          <w:sz w:val="16"/>
          <w:szCs w:val="16"/>
        </w:rPr>
      </w:pPr>
      <w:r w:rsidRPr="00E77CEB">
        <w:rPr>
          <w:rStyle w:val="baj"/>
          <w:rFonts w:ascii="Verdana" w:hAnsi="Verdana" w:cs="Arial"/>
          <w:color w:val="000000" w:themeColor="text1"/>
          <w:sz w:val="16"/>
          <w:szCs w:val="16"/>
        </w:rPr>
        <w:t>PARÁGRAFO 2o.</w:t>
      </w:r>
      <w:r w:rsidRPr="00E77CEB">
        <w:rPr>
          <w:rFonts w:ascii="Verdana" w:hAnsi="Verdana" w:cs="Arial"/>
          <w:color w:val="000000" w:themeColor="text1"/>
          <w:sz w:val="16"/>
          <w:szCs w:val="16"/>
        </w:rPr>
        <w:t> Las entidades estatales tendrán la obligación de reportar la información a los organismos de control y al Secop relativa a la ejecución de los contratos a los que se refiere el presente artículo.</w:t>
      </w:r>
    </w:p>
    <w:p w14:paraId="7170494B" w14:textId="77777777" w:rsidR="00FE34B6" w:rsidRPr="00E77CEB" w:rsidRDefault="00FE34B6" w:rsidP="00FE34B6">
      <w:pPr>
        <w:pStyle w:val="NormalWeb"/>
        <w:spacing w:before="0" w:beforeAutospacing="0" w:after="0" w:afterAutospacing="0"/>
        <w:ind w:firstLine="709"/>
        <w:jc w:val="both"/>
        <w:rPr>
          <w:rFonts w:ascii="Verdana" w:hAnsi="Verdana" w:cs="Arial"/>
          <w:color w:val="000000" w:themeColor="text1"/>
          <w:sz w:val="16"/>
          <w:szCs w:val="16"/>
        </w:rPr>
      </w:pPr>
      <w:r w:rsidRPr="00E77CEB">
        <w:rPr>
          <w:rStyle w:val="baj"/>
          <w:rFonts w:ascii="Verdana" w:hAnsi="Verdana" w:cs="Arial"/>
          <w:color w:val="000000" w:themeColor="text1"/>
          <w:sz w:val="16"/>
          <w:szCs w:val="16"/>
        </w:rPr>
        <w:t>PARÁGRAFO 3o.</w:t>
      </w:r>
      <w:r w:rsidRPr="00E77CEB">
        <w:rPr>
          <w:rFonts w:ascii="Verdana" w:hAnsi="Verdana" w:cs="Arial"/>
          <w:color w:val="000000" w:themeColor="text1"/>
          <w:sz w:val="16"/>
          <w:szCs w:val="16"/>
        </w:rPr>
        <w:t> En todo Proyecto de cooperación que involucre recursos estatales se deberán cuantificar en moneda nacional, los aportes en especie de la entidad, organización o persona cooperante, así como los del ente nacional colombiano. Las contralorías ejercerán el control fiscal sobre los proyectos y contratos celebrados con organismos multilaterales”.</w:t>
      </w:r>
    </w:p>
  </w:footnote>
  <w:footnote w:id="17">
    <w:p w14:paraId="7BB8B34F" w14:textId="77777777" w:rsidR="00FE34B6" w:rsidRPr="00E77CEB" w:rsidRDefault="00FE34B6" w:rsidP="00FE34B6">
      <w:pPr>
        <w:pStyle w:val="NormalWeb"/>
        <w:shd w:val="clear" w:color="auto" w:fill="FFFFFF"/>
        <w:spacing w:before="0" w:beforeAutospacing="0" w:after="0" w:afterAutospacing="0"/>
        <w:ind w:firstLine="709"/>
        <w:jc w:val="both"/>
        <w:rPr>
          <w:rFonts w:ascii="Verdana" w:hAnsi="Verdana" w:cs="Arial"/>
          <w:color w:val="000000" w:themeColor="text1"/>
          <w:sz w:val="16"/>
          <w:szCs w:val="16"/>
        </w:rPr>
      </w:pPr>
      <w:r w:rsidRPr="00E77CEB">
        <w:rPr>
          <w:rStyle w:val="Refdenotaalpie"/>
          <w:rFonts w:ascii="Verdana" w:hAnsi="Verdana" w:cs="Arial"/>
          <w:sz w:val="16"/>
          <w:szCs w:val="16"/>
        </w:rPr>
        <w:footnoteRef/>
      </w:r>
      <w:r w:rsidRPr="00E77CEB">
        <w:rPr>
          <w:rFonts w:ascii="Verdana" w:hAnsi="Verdana" w:cs="Arial"/>
          <w:color w:val="000000" w:themeColor="text1"/>
          <w:sz w:val="16"/>
          <w:szCs w:val="16"/>
        </w:rPr>
        <w:t xml:space="preserve"> Decreto 1082 de 2015. “Artículo </w:t>
      </w:r>
      <w:r w:rsidRPr="0077496D">
        <w:rPr>
          <w:rStyle w:val="Fuerte"/>
          <w:rFonts w:ascii="Verdana" w:hAnsi="Verdana" w:cs="Arial"/>
          <w:b w:val="0"/>
          <w:color w:val="000000" w:themeColor="text1"/>
          <w:sz w:val="16"/>
          <w:szCs w:val="16"/>
        </w:rPr>
        <w:t>2.2.1.2.4.4.1.</w:t>
      </w:r>
      <w:r w:rsidRPr="00E77CEB">
        <w:rPr>
          <w:rStyle w:val="Fuerte"/>
          <w:rFonts w:ascii="Verdana" w:hAnsi="Verdana" w:cs="Arial"/>
          <w:color w:val="000000" w:themeColor="text1"/>
          <w:sz w:val="16"/>
          <w:szCs w:val="16"/>
        </w:rPr>
        <w:t> </w:t>
      </w:r>
      <w:r w:rsidRPr="00E77CEB">
        <w:rPr>
          <w:rStyle w:val="nfasis"/>
          <w:rFonts w:ascii="Verdana" w:hAnsi="Verdana" w:cs="Arial"/>
          <w:color w:val="000000" w:themeColor="text1"/>
          <w:sz w:val="16"/>
          <w:szCs w:val="16"/>
        </w:rPr>
        <w:t>Régimen aplicable a los contratos o convenios de cooperación Internacional. </w:t>
      </w:r>
      <w:r w:rsidRPr="00E77CEB">
        <w:rPr>
          <w:rFonts w:ascii="Verdana" w:hAnsi="Verdana" w:cs="Arial"/>
          <w:color w:val="000000" w:themeColor="text1"/>
          <w:sz w:val="16"/>
          <w:szCs w:val="16"/>
        </w:rPr>
        <w:t>Los contratos o convenios financiados en su totalidad o en sumas iguales o superiores al cincuenta por ciento (50%) con fondos de los organismos de cooperación, asistencia o ayudas internacionales, pueden someterse a los reglamentos de tales entidades incluidos los recursos de aporte de fuente nacional o sus equivalentes vinculados a estas operaciones en los acuerdos celebrados, o sus reglamentos, según el caso. En caso contrario, los contratos o convenios que se celebren en su totalidad o en sumas iguales o superiores al cincuenta por ciento (50%) con recursos de origen nacional se someterán al presente título.</w:t>
      </w:r>
    </w:p>
    <w:p w14:paraId="77C3E1A5" w14:textId="77777777" w:rsidR="00FE34B6" w:rsidRPr="00E77CEB" w:rsidRDefault="00FE34B6" w:rsidP="00FE34B6">
      <w:pPr>
        <w:pStyle w:val="NormalWeb"/>
        <w:shd w:val="clear" w:color="auto" w:fill="FFFFFF"/>
        <w:spacing w:before="0" w:beforeAutospacing="0" w:after="0" w:afterAutospacing="0"/>
        <w:ind w:firstLine="709"/>
        <w:jc w:val="both"/>
        <w:rPr>
          <w:rFonts w:ascii="Verdana" w:hAnsi="Verdana" w:cs="Arial"/>
          <w:color w:val="000000" w:themeColor="text1"/>
          <w:sz w:val="16"/>
          <w:szCs w:val="16"/>
        </w:rPr>
      </w:pPr>
      <w:r w:rsidRPr="00E77CEB">
        <w:rPr>
          <w:rFonts w:ascii="Verdana" w:hAnsi="Verdana" w:cs="Arial"/>
          <w:color w:val="000000" w:themeColor="text1"/>
          <w:sz w:val="16"/>
          <w:szCs w:val="16"/>
        </w:rPr>
        <w:t>Si el aporte de fuente nacional o internacional de un contrato o convenio de cooperación internacional es modificado o los aportes no se ejecutan en los términos pactados, las Entidades Estatales deben modificar los contratos o convenios para efectos de que estos estén sujetos a las normas del sistema de compras y contratación pública, si el aporte de recursos públicos es superior al cincuenta por ciento (50%) del total o de las normas internas de la entidad de cooperación si el aporte es inferior.</w:t>
      </w:r>
    </w:p>
    <w:p w14:paraId="30B47233" w14:textId="77777777" w:rsidR="00FE34B6" w:rsidRPr="00E77CEB" w:rsidRDefault="00FE34B6" w:rsidP="00FE34B6">
      <w:pPr>
        <w:pStyle w:val="NormalWeb"/>
        <w:shd w:val="clear" w:color="auto" w:fill="FFFFFF"/>
        <w:spacing w:before="0" w:beforeAutospacing="0" w:after="0" w:afterAutospacing="0"/>
        <w:ind w:firstLine="709"/>
        <w:jc w:val="both"/>
        <w:rPr>
          <w:rFonts w:ascii="Verdana" w:hAnsi="Verdana" w:cs="Arial"/>
          <w:color w:val="000000" w:themeColor="text1"/>
          <w:sz w:val="16"/>
          <w:szCs w:val="16"/>
        </w:rPr>
      </w:pPr>
      <w:r w:rsidRPr="00E77CEB">
        <w:rPr>
          <w:rFonts w:ascii="Verdana" w:hAnsi="Verdana" w:cs="Arial"/>
          <w:color w:val="000000" w:themeColor="text1"/>
          <w:sz w:val="16"/>
          <w:szCs w:val="16"/>
        </w:rPr>
        <w:t>Cuando la variación de la participación de los aportes de las partes es consecuencia de las fluctuaciones de la tasa de cambio de la moneda pactada en el convenio o contrato de cooperación internacional, este seguirá sometido a las reglas establecidas en el momento de su suscripción.</w:t>
      </w:r>
    </w:p>
    <w:p w14:paraId="158DE0BA" w14:textId="77777777" w:rsidR="00FE34B6" w:rsidRPr="00E77CEB" w:rsidRDefault="00FE34B6" w:rsidP="00FE34B6">
      <w:pPr>
        <w:pStyle w:val="NormalWeb"/>
        <w:shd w:val="clear" w:color="auto" w:fill="FFFFFF"/>
        <w:spacing w:before="0" w:beforeAutospacing="0" w:after="0" w:afterAutospacing="0"/>
        <w:ind w:firstLine="709"/>
        <w:jc w:val="both"/>
        <w:rPr>
          <w:rFonts w:ascii="Verdana" w:hAnsi="Verdana" w:cs="Arial"/>
          <w:color w:val="000000" w:themeColor="text1"/>
          <w:sz w:val="16"/>
          <w:szCs w:val="16"/>
        </w:rPr>
      </w:pPr>
      <w:r w:rsidRPr="00E77CEB">
        <w:rPr>
          <w:rFonts w:ascii="Verdana" w:hAnsi="Verdana" w:cs="Arial"/>
          <w:color w:val="000000" w:themeColor="text1"/>
          <w:sz w:val="16"/>
          <w:szCs w:val="16"/>
        </w:rPr>
        <w:t>Los recursos generados en desarrollo de los contratos o convenios financiados con fondos de los organismos de cooperación, asistencia o ayudas internacionales no deben ser tenidos en cuenta para determinar los porcentajes de los aportes de las partes.</w:t>
      </w:r>
    </w:p>
    <w:p w14:paraId="7EF2FD02" w14:textId="77777777" w:rsidR="00FE34B6" w:rsidRPr="00E77CEB" w:rsidRDefault="00FE34B6" w:rsidP="00FE34B6">
      <w:pPr>
        <w:pStyle w:val="NormalWeb"/>
        <w:shd w:val="clear" w:color="auto" w:fill="FFFFFF"/>
        <w:spacing w:before="0" w:beforeAutospacing="0" w:after="0" w:afterAutospacing="0"/>
        <w:ind w:firstLine="709"/>
        <w:jc w:val="both"/>
        <w:rPr>
          <w:rFonts w:ascii="Verdana" w:hAnsi="Verdana" w:cs="Arial"/>
          <w:color w:val="000000" w:themeColor="text1"/>
          <w:sz w:val="16"/>
          <w:szCs w:val="16"/>
        </w:rPr>
      </w:pPr>
      <w:r w:rsidRPr="00E77CEB">
        <w:rPr>
          <w:rFonts w:ascii="Verdana" w:hAnsi="Verdana" w:cs="Arial"/>
          <w:color w:val="000000" w:themeColor="text1"/>
          <w:sz w:val="16"/>
          <w:szCs w:val="16"/>
        </w:rPr>
        <w:t>[…]”.</w:t>
      </w:r>
    </w:p>
  </w:footnote>
  <w:footnote w:id="18">
    <w:p w14:paraId="4AE133D5" w14:textId="77777777" w:rsidR="00FE34B6" w:rsidRPr="002D11A3" w:rsidRDefault="00FE34B6" w:rsidP="00FE34B6">
      <w:pPr>
        <w:pStyle w:val="Textonotapie"/>
        <w:ind w:firstLine="709"/>
        <w:jc w:val="both"/>
        <w:rPr>
          <w:rFonts w:ascii="Verdana" w:hAnsi="Verdana" w:cs="Arial"/>
          <w:sz w:val="16"/>
          <w:szCs w:val="16"/>
        </w:rPr>
      </w:pPr>
      <w:r w:rsidRPr="002D11A3">
        <w:rPr>
          <w:rStyle w:val="Refdenotaalpie"/>
          <w:rFonts w:ascii="Verdana" w:hAnsi="Verdana" w:cs="Arial"/>
          <w:sz w:val="16"/>
          <w:szCs w:val="16"/>
        </w:rPr>
        <w:footnoteRef/>
      </w:r>
      <w:r w:rsidRPr="002D11A3">
        <w:rPr>
          <w:rFonts w:ascii="Verdana" w:hAnsi="Verdana" w:cs="Arial"/>
          <w:sz w:val="16"/>
          <w:szCs w:val="16"/>
        </w:rPr>
        <w:t xml:space="preserve"> BENAVIDES, José Luis. La internacionalización de los contratos públicos. En: Contratos públicos. Estudios. Bogotá: Universidad Externado de Colombia, 2014, pp. 41-42.</w:t>
      </w:r>
    </w:p>
  </w:footnote>
  <w:footnote w:id="19">
    <w:p w14:paraId="3C8E40D4" w14:textId="77777777" w:rsidR="00FE34B6" w:rsidRPr="002D11A3" w:rsidRDefault="00FE34B6" w:rsidP="00FE34B6">
      <w:pPr>
        <w:pStyle w:val="Textonotapie"/>
        <w:ind w:firstLine="709"/>
        <w:jc w:val="both"/>
        <w:rPr>
          <w:rFonts w:ascii="Verdana" w:hAnsi="Verdana" w:cs="Arial"/>
          <w:sz w:val="16"/>
          <w:szCs w:val="16"/>
          <w:lang w:val="es-ES"/>
        </w:rPr>
      </w:pPr>
      <w:r w:rsidRPr="002D11A3">
        <w:rPr>
          <w:rStyle w:val="Refdenotaalpie"/>
          <w:rFonts w:ascii="Verdana" w:hAnsi="Verdana" w:cs="Arial"/>
          <w:sz w:val="16"/>
          <w:szCs w:val="16"/>
        </w:rPr>
        <w:footnoteRef/>
      </w:r>
      <w:r w:rsidRPr="002D11A3">
        <w:rPr>
          <w:rFonts w:ascii="Verdana" w:hAnsi="Verdana" w:cs="Arial"/>
          <w:sz w:val="16"/>
          <w:szCs w:val="16"/>
        </w:rPr>
        <w:t xml:space="preserve"> </w:t>
      </w:r>
      <w:r w:rsidRPr="002D11A3">
        <w:rPr>
          <w:rFonts w:ascii="Verdana" w:hAnsi="Verdana" w:cs="Arial"/>
          <w:sz w:val="16"/>
          <w:szCs w:val="16"/>
          <w:lang w:val="es-ES"/>
        </w:rPr>
        <w:t>Ibíd., p. 54.</w:t>
      </w:r>
    </w:p>
  </w:footnote>
  <w:footnote w:id="20">
    <w:p w14:paraId="3859E5AD" w14:textId="77777777" w:rsidR="00FE34B6" w:rsidRPr="00464B9A" w:rsidRDefault="00FE34B6" w:rsidP="00FE34B6">
      <w:pPr>
        <w:pStyle w:val="Textonotapie"/>
        <w:ind w:firstLine="709"/>
        <w:jc w:val="both"/>
        <w:rPr>
          <w:rFonts w:ascii="Verdana" w:hAnsi="Verdana" w:cs="Arial"/>
          <w:sz w:val="16"/>
          <w:szCs w:val="16"/>
          <w:lang w:val="es-CO"/>
        </w:rPr>
      </w:pPr>
      <w:r w:rsidRPr="002D11A3">
        <w:rPr>
          <w:rStyle w:val="Refdenotaalpie"/>
          <w:rFonts w:ascii="Verdana" w:hAnsi="Verdana" w:cs="Arial"/>
          <w:sz w:val="16"/>
          <w:szCs w:val="16"/>
        </w:rPr>
        <w:footnoteRef/>
      </w:r>
      <w:r w:rsidRPr="002D11A3">
        <w:rPr>
          <w:rFonts w:ascii="Verdana" w:hAnsi="Verdana" w:cs="Arial"/>
          <w:sz w:val="16"/>
          <w:szCs w:val="16"/>
        </w:rPr>
        <w:t xml:space="preserve"> </w:t>
      </w:r>
      <w:r w:rsidRPr="002D11A3">
        <w:rPr>
          <w:rFonts w:ascii="Verdana" w:hAnsi="Verdana" w:cs="Arial"/>
          <w:sz w:val="16"/>
          <w:szCs w:val="16"/>
          <w:lang w:val="es-ES"/>
        </w:rPr>
        <w:t xml:space="preserve">DÁVILA VINUEZA, Luis Guillermo. Régimen jurídico de la contratación estatal. </w:t>
      </w:r>
      <w:r w:rsidRPr="00464B9A">
        <w:rPr>
          <w:rFonts w:ascii="Verdana" w:hAnsi="Verdana" w:cs="Arial"/>
          <w:sz w:val="16"/>
          <w:szCs w:val="16"/>
          <w:lang w:val="es-CO"/>
        </w:rPr>
        <w:t>2ª ed. Bogotá: Legis, 2006, p. 53.</w:t>
      </w:r>
    </w:p>
  </w:footnote>
  <w:footnote w:id="21">
    <w:p w14:paraId="6BCCDD76" w14:textId="77777777" w:rsidR="00FE34B6" w:rsidRPr="00464B9A" w:rsidRDefault="00FE34B6" w:rsidP="00FE34B6">
      <w:pPr>
        <w:pStyle w:val="Textonotapie"/>
        <w:ind w:firstLine="709"/>
        <w:jc w:val="both"/>
        <w:rPr>
          <w:rFonts w:ascii="Verdana" w:hAnsi="Verdana" w:cs="Arial"/>
          <w:sz w:val="16"/>
          <w:szCs w:val="16"/>
          <w:lang w:val="es-CO"/>
        </w:rPr>
      </w:pPr>
      <w:r w:rsidRPr="002D11A3">
        <w:rPr>
          <w:rStyle w:val="Refdenotaalpie"/>
          <w:rFonts w:ascii="Verdana" w:hAnsi="Verdana" w:cs="Arial"/>
          <w:sz w:val="16"/>
          <w:szCs w:val="16"/>
        </w:rPr>
        <w:footnoteRef/>
      </w:r>
      <w:r w:rsidRPr="00464B9A">
        <w:rPr>
          <w:rFonts w:ascii="Verdana" w:hAnsi="Verdana" w:cs="Arial"/>
          <w:sz w:val="16"/>
          <w:szCs w:val="16"/>
          <w:lang w:val="es-CO"/>
        </w:rPr>
        <w:t xml:space="preserve"> Ibíd., p. 53.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5pt;height:7.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 w:numId="18" w16cid:durableId="12346555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04B6"/>
    <w:rsid w:val="00046945"/>
    <w:rsid w:val="00061B2A"/>
    <w:rsid w:val="000630E8"/>
    <w:rsid w:val="00076759"/>
    <w:rsid w:val="00082362"/>
    <w:rsid w:val="00097C6B"/>
    <w:rsid w:val="000A683E"/>
    <w:rsid w:val="000B19B9"/>
    <w:rsid w:val="000D0334"/>
    <w:rsid w:val="000D5DA7"/>
    <w:rsid w:val="000F6486"/>
    <w:rsid w:val="00101A2D"/>
    <w:rsid w:val="00116940"/>
    <w:rsid w:val="00125105"/>
    <w:rsid w:val="00127233"/>
    <w:rsid w:val="001558C9"/>
    <w:rsid w:val="0015699B"/>
    <w:rsid w:val="001737DA"/>
    <w:rsid w:val="00191FF6"/>
    <w:rsid w:val="00197CF8"/>
    <w:rsid w:val="001A33BF"/>
    <w:rsid w:val="001B0F84"/>
    <w:rsid w:val="001D23A3"/>
    <w:rsid w:val="001D41ED"/>
    <w:rsid w:val="001E4177"/>
    <w:rsid w:val="001F0B24"/>
    <w:rsid w:val="001F6A33"/>
    <w:rsid w:val="001F7DC6"/>
    <w:rsid w:val="00223C2F"/>
    <w:rsid w:val="0022400B"/>
    <w:rsid w:val="00232D0A"/>
    <w:rsid w:val="002421BB"/>
    <w:rsid w:val="00246E50"/>
    <w:rsid w:val="002536EE"/>
    <w:rsid w:val="0025796E"/>
    <w:rsid w:val="00265ECD"/>
    <w:rsid w:val="002707A2"/>
    <w:rsid w:val="002951A0"/>
    <w:rsid w:val="002962BC"/>
    <w:rsid w:val="002A093D"/>
    <w:rsid w:val="002A0DD0"/>
    <w:rsid w:val="002A49AC"/>
    <w:rsid w:val="002A58B8"/>
    <w:rsid w:val="002A64FD"/>
    <w:rsid w:val="002C7A84"/>
    <w:rsid w:val="002D25FB"/>
    <w:rsid w:val="002E2BF8"/>
    <w:rsid w:val="002E4FD9"/>
    <w:rsid w:val="002E5502"/>
    <w:rsid w:val="00304CD4"/>
    <w:rsid w:val="00305F87"/>
    <w:rsid w:val="0030657A"/>
    <w:rsid w:val="00312E09"/>
    <w:rsid w:val="00322A85"/>
    <w:rsid w:val="00324168"/>
    <w:rsid w:val="00330834"/>
    <w:rsid w:val="003448F4"/>
    <w:rsid w:val="00365AED"/>
    <w:rsid w:val="00374F5E"/>
    <w:rsid w:val="00377E3E"/>
    <w:rsid w:val="0039261C"/>
    <w:rsid w:val="003A779E"/>
    <w:rsid w:val="003B7635"/>
    <w:rsid w:val="003D0F4D"/>
    <w:rsid w:val="003D5B0D"/>
    <w:rsid w:val="003E0499"/>
    <w:rsid w:val="003E19BB"/>
    <w:rsid w:val="003E3131"/>
    <w:rsid w:val="003E4F80"/>
    <w:rsid w:val="003E6439"/>
    <w:rsid w:val="003F3941"/>
    <w:rsid w:val="00406575"/>
    <w:rsid w:val="0040668A"/>
    <w:rsid w:val="00414C74"/>
    <w:rsid w:val="0042200D"/>
    <w:rsid w:val="00425024"/>
    <w:rsid w:val="0042706C"/>
    <w:rsid w:val="0042722E"/>
    <w:rsid w:val="0044528D"/>
    <w:rsid w:val="00466E39"/>
    <w:rsid w:val="004A1847"/>
    <w:rsid w:val="004A305D"/>
    <w:rsid w:val="004E07AC"/>
    <w:rsid w:val="004E7341"/>
    <w:rsid w:val="004F21C4"/>
    <w:rsid w:val="004F66AA"/>
    <w:rsid w:val="004F685F"/>
    <w:rsid w:val="004F78C7"/>
    <w:rsid w:val="00501E93"/>
    <w:rsid w:val="00507C18"/>
    <w:rsid w:val="00530CE5"/>
    <w:rsid w:val="005368C1"/>
    <w:rsid w:val="005566E8"/>
    <w:rsid w:val="00564848"/>
    <w:rsid w:val="00571AFC"/>
    <w:rsid w:val="00574867"/>
    <w:rsid w:val="00580941"/>
    <w:rsid w:val="00591460"/>
    <w:rsid w:val="005A1710"/>
    <w:rsid w:val="005A65E0"/>
    <w:rsid w:val="005C3777"/>
    <w:rsid w:val="005C5CDC"/>
    <w:rsid w:val="005D476C"/>
    <w:rsid w:val="005E5C6E"/>
    <w:rsid w:val="005F75B3"/>
    <w:rsid w:val="00601802"/>
    <w:rsid w:val="006034EE"/>
    <w:rsid w:val="00616243"/>
    <w:rsid w:val="006200BF"/>
    <w:rsid w:val="006219F8"/>
    <w:rsid w:val="0062353D"/>
    <w:rsid w:val="006302F7"/>
    <w:rsid w:val="00637B27"/>
    <w:rsid w:val="00646B9F"/>
    <w:rsid w:val="006532C4"/>
    <w:rsid w:val="00665D70"/>
    <w:rsid w:val="00675F55"/>
    <w:rsid w:val="006900D9"/>
    <w:rsid w:val="006922AF"/>
    <w:rsid w:val="006A4DA7"/>
    <w:rsid w:val="006C37B2"/>
    <w:rsid w:val="006C6B18"/>
    <w:rsid w:val="00706C16"/>
    <w:rsid w:val="007140CC"/>
    <w:rsid w:val="007340C3"/>
    <w:rsid w:val="00734412"/>
    <w:rsid w:val="0075235A"/>
    <w:rsid w:val="00756841"/>
    <w:rsid w:val="007649AB"/>
    <w:rsid w:val="00771D0C"/>
    <w:rsid w:val="0077496D"/>
    <w:rsid w:val="00780CA2"/>
    <w:rsid w:val="007833AC"/>
    <w:rsid w:val="007851DE"/>
    <w:rsid w:val="007943DE"/>
    <w:rsid w:val="007A01C0"/>
    <w:rsid w:val="007B23F6"/>
    <w:rsid w:val="007B268C"/>
    <w:rsid w:val="007B7171"/>
    <w:rsid w:val="007C0C0F"/>
    <w:rsid w:val="007C3DC2"/>
    <w:rsid w:val="007D2741"/>
    <w:rsid w:val="007E5497"/>
    <w:rsid w:val="00800C6F"/>
    <w:rsid w:val="00806F5F"/>
    <w:rsid w:val="008070F0"/>
    <w:rsid w:val="00820278"/>
    <w:rsid w:val="0082104D"/>
    <w:rsid w:val="008258C9"/>
    <w:rsid w:val="00844AE9"/>
    <w:rsid w:val="00867F95"/>
    <w:rsid w:val="008843B6"/>
    <w:rsid w:val="00886C0D"/>
    <w:rsid w:val="00891928"/>
    <w:rsid w:val="0089205B"/>
    <w:rsid w:val="008A446D"/>
    <w:rsid w:val="008B25F1"/>
    <w:rsid w:val="008B503A"/>
    <w:rsid w:val="008C18C0"/>
    <w:rsid w:val="008D180B"/>
    <w:rsid w:val="008D2325"/>
    <w:rsid w:val="008D2CC3"/>
    <w:rsid w:val="008E67DA"/>
    <w:rsid w:val="008F0EA7"/>
    <w:rsid w:val="00921C33"/>
    <w:rsid w:val="00923EEF"/>
    <w:rsid w:val="0092660A"/>
    <w:rsid w:val="009339F5"/>
    <w:rsid w:val="00941263"/>
    <w:rsid w:val="009419F9"/>
    <w:rsid w:val="009538B0"/>
    <w:rsid w:val="00956013"/>
    <w:rsid w:val="0095685E"/>
    <w:rsid w:val="00961B09"/>
    <w:rsid w:val="00965334"/>
    <w:rsid w:val="0097093E"/>
    <w:rsid w:val="00980A2E"/>
    <w:rsid w:val="009A0DFA"/>
    <w:rsid w:val="009A1C6F"/>
    <w:rsid w:val="009B2D26"/>
    <w:rsid w:val="009C71FA"/>
    <w:rsid w:val="009C72E7"/>
    <w:rsid w:val="009C7F7E"/>
    <w:rsid w:val="009D3058"/>
    <w:rsid w:val="009F3A13"/>
    <w:rsid w:val="00A006AE"/>
    <w:rsid w:val="00A03637"/>
    <w:rsid w:val="00A122D3"/>
    <w:rsid w:val="00A126F6"/>
    <w:rsid w:val="00A13500"/>
    <w:rsid w:val="00A14468"/>
    <w:rsid w:val="00A15307"/>
    <w:rsid w:val="00A17F13"/>
    <w:rsid w:val="00A20739"/>
    <w:rsid w:val="00A22B63"/>
    <w:rsid w:val="00A23822"/>
    <w:rsid w:val="00A23AF9"/>
    <w:rsid w:val="00A32CFA"/>
    <w:rsid w:val="00A33C78"/>
    <w:rsid w:val="00A746E5"/>
    <w:rsid w:val="00A75383"/>
    <w:rsid w:val="00AA3194"/>
    <w:rsid w:val="00AA38F5"/>
    <w:rsid w:val="00AB0ADB"/>
    <w:rsid w:val="00AC74B0"/>
    <w:rsid w:val="00AD65C8"/>
    <w:rsid w:val="00AE68A1"/>
    <w:rsid w:val="00AE6EE5"/>
    <w:rsid w:val="00B00C0E"/>
    <w:rsid w:val="00B01B1A"/>
    <w:rsid w:val="00B0381D"/>
    <w:rsid w:val="00B26F6B"/>
    <w:rsid w:val="00B44A47"/>
    <w:rsid w:val="00B51BE6"/>
    <w:rsid w:val="00B53AC9"/>
    <w:rsid w:val="00B61C4C"/>
    <w:rsid w:val="00B61E1F"/>
    <w:rsid w:val="00B722A1"/>
    <w:rsid w:val="00B72CD3"/>
    <w:rsid w:val="00B72FFF"/>
    <w:rsid w:val="00BB6A60"/>
    <w:rsid w:val="00BC3D36"/>
    <w:rsid w:val="00BD54A6"/>
    <w:rsid w:val="00BD7F72"/>
    <w:rsid w:val="00BF7425"/>
    <w:rsid w:val="00C0143C"/>
    <w:rsid w:val="00C04FB3"/>
    <w:rsid w:val="00C11D8B"/>
    <w:rsid w:val="00C15139"/>
    <w:rsid w:val="00C22EA8"/>
    <w:rsid w:val="00C330EB"/>
    <w:rsid w:val="00C50D69"/>
    <w:rsid w:val="00C5365C"/>
    <w:rsid w:val="00C53DA7"/>
    <w:rsid w:val="00C57799"/>
    <w:rsid w:val="00C57F95"/>
    <w:rsid w:val="00C74F7E"/>
    <w:rsid w:val="00C754BE"/>
    <w:rsid w:val="00C76B1C"/>
    <w:rsid w:val="00C84707"/>
    <w:rsid w:val="00C925AC"/>
    <w:rsid w:val="00CB5B2B"/>
    <w:rsid w:val="00CB6357"/>
    <w:rsid w:val="00CC1B26"/>
    <w:rsid w:val="00D124EC"/>
    <w:rsid w:val="00D361FD"/>
    <w:rsid w:val="00D423A2"/>
    <w:rsid w:val="00D44E26"/>
    <w:rsid w:val="00D520D8"/>
    <w:rsid w:val="00D63AC2"/>
    <w:rsid w:val="00D7383B"/>
    <w:rsid w:val="00D7788A"/>
    <w:rsid w:val="00D84987"/>
    <w:rsid w:val="00DA231B"/>
    <w:rsid w:val="00DB2A3B"/>
    <w:rsid w:val="00DB30EB"/>
    <w:rsid w:val="00DC39FC"/>
    <w:rsid w:val="00DE058C"/>
    <w:rsid w:val="00DE07DC"/>
    <w:rsid w:val="00DF5254"/>
    <w:rsid w:val="00E02524"/>
    <w:rsid w:val="00E16408"/>
    <w:rsid w:val="00E20894"/>
    <w:rsid w:val="00E245AB"/>
    <w:rsid w:val="00E2764C"/>
    <w:rsid w:val="00E27F2E"/>
    <w:rsid w:val="00E46E26"/>
    <w:rsid w:val="00E50AFE"/>
    <w:rsid w:val="00E53BFB"/>
    <w:rsid w:val="00E71538"/>
    <w:rsid w:val="00E75C92"/>
    <w:rsid w:val="00E771DC"/>
    <w:rsid w:val="00E83DDA"/>
    <w:rsid w:val="00E8772A"/>
    <w:rsid w:val="00E90F6B"/>
    <w:rsid w:val="00E92C27"/>
    <w:rsid w:val="00E93E1A"/>
    <w:rsid w:val="00EA077E"/>
    <w:rsid w:val="00EA0E3D"/>
    <w:rsid w:val="00EC38A7"/>
    <w:rsid w:val="00EC410F"/>
    <w:rsid w:val="00EE1AA8"/>
    <w:rsid w:val="00EE317E"/>
    <w:rsid w:val="00EF2D8E"/>
    <w:rsid w:val="00F23FEA"/>
    <w:rsid w:val="00F31EDC"/>
    <w:rsid w:val="00F462B3"/>
    <w:rsid w:val="00F5664F"/>
    <w:rsid w:val="00F666C4"/>
    <w:rsid w:val="00F71621"/>
    <w:rsid w:val="00F76AFC"/>
    <w:rsid w:val="00F86BCA"/>
    <w:rsid w:val="00FA47C0"/>
    <w:rsid w:val="00FB5DD1"/>
    <w:rsid w:val="00FC2B5D"/>
    <w:rsid w:val="00FE25EE"/>
    <w:rsid w:val="00FE34B6"/>
    <w:rsid w:val="00FF1449"/>
    <w:rsid w:val="00FF7963"/>
    <w:rsid w:val="071B8F93"/>
    <w:rsid w:val="07C73DD1"/>
    <w:rsid w:val="09908A09"/>
    <w:rsid w:val="0FF4CCA8"/>
    <w:rsid w:val="13CFC91B"/>
    <w:rsid w:val="19A2EC2C"/>
    <w:rsid w:val="21779BE6"/>
    <w:rsid w:val="2859CA1B"/>
    <w:rsid w:val="2A0FAAAB"/>
    <w:rsid w:val="2EE1E026"/>
    <w:rsid w:val="30821638"/>
    <w:rsid w:val="32A4F9CF"/>
    <w:rsid w:val="356CEDFD"/>
    <w:rsid w:val="3C591AFD"/>
    <w:rsid w:val="3F2A4E8B"/>
    <w:rsid w:val="496C3680"/>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D3744F49-487C-684A-B991-CB4DAAD94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E34B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E34B6"/>
    <w:rPr>
      <w:rFonts w:ascii="Geomanist Light" w:hAnsi="Geomanist Light"/>
      <w:lang w:val="es-ES"/>
    </w:rPr>
  </w:style>
  <w:style w:type="character" w:customStyle="1" w:styleId="s15">
    <w:name w:val="s15"/>
    <w:basedOn w:val="Fuentedeprrafopredeter"/>
    <w:rsid w:val="00FE34B6"/>
  </w:style>
  <w:style w:type="character" w:styleId="Fuerte">
    <w:name w:val="Strong"/>
    <w:basedOn w:val="Fuentedeprrafopredeter"/>
    <w:uiPriority w:val="22"/>
    <w:qFormat/>
    <w:rsid w:val="00FE34B6"/>
    <w:rPr>
      <w:b/>
      <w:bCs/>
    </w:rPr>
  </w:style>
  <w:style w:type="character" w:customStyle="1" w:styleId="NormalWebCar">
    <w:name w:val="Normal (Web) Car"/>
    <w:link w:val="NormalWeb"/>
    <w:uiPriority w:val="99"/>
    <w:rsid w:val="00FE34B6"/>
    <w:rPr>
      <w:rFonts w:ascii="Times New Roman" w:eastAsia="Times New Roman" w:hAnsi="Times New Roman" w:cs="Times New Roman"/>
      <w:sz w:val="24"/>
      <w:szCs w:val="24"/>
      <w:lang w:eastAsia="es-CO"/>
    </w:rPr>
  </w:style>
  <w:style w:type="character" w:customStyle="1" w:styleId="baj">
    <w:name w:val="b_aj"/>
    <w:basedOn w:val="Fuentedeprrafopredeter"/>
    <w:rsid w:val="00FE34B6"/>
  </w:style>
  <w:style w:type="paragraph" w:styleId="Sinespaciado">
    <w:name w:val="No Spacing"/>
    <w:aliases w:val="No Indent"/>
    <w:uiPriority w:val="3"/>
    <w:qFormat/>
    <w:rsid w:val="00FE34B6"/>
    <w:pPr>
      <w:spacing w:after="0" w:line="240" w:lineRule="auto"/>
    </w:pPr>
    <w:rPr>
      <w:sz w:val="24"/>
      <w:lang w:val="es-MX"/>
    </w:rPr>
  </w:style>
  <w:style w:type="character" w:styleId="nfasis">
    <w:name w:val="Emphasis"/>
    <w:basedOn w:val="Fuentedeprrafopredeter"/>
    <w:uiPriority w:val="20"/>
    <w:qFormat/>
    <w:rsid w:val="00FE34B6"/>
    <w:rPr>
      <w:i/>
      <w:iCs/>
    </w:rPr>
  </w:style>
  <w:style w:type="character" w:styleId="Refdecomentario">
    <w:name w:val="annotation reference"/>
    <w:basedOn w:val="Fuentedeprrafopredeter"/>
    <w:uiPriority w:val="99"/>
    <w:semiHidden/>
    <w:unhideWhenUsed/>
    <w:rsid w:val="008B503A"/>
    <w:rPr>
      <w:sz w:val="16"/>
      <w:szCs w:val="16"/>
    </w:rPr>
  </w:style>
  <w:style w:type="paragraph" w:styleId="Textocomentario">
    <w:name w:val="annotation text"/>
    <w:basedOn w:val="Normal"/>
    <w:link w:val="TextocomentarioCar"/>
    <w:uiPriority w:val="99"/>
    <w:unhideWhenUsed/>
    <w:rsid w:val="008B503A"/>
    <w:pPr>
      <w:spacing w:line="240" w:lineRule="auto"/>
    </w:pPr>
    <w:rPr>
      <w:sz w:val="20"/>
      <w:szCs w:val="20"/>
    </w:rPr>
  </w:style>
  <w:style w:type="character" w:customStyle="1" w:styleId="TextocomentarioCar">
    <w:name w:val="Texto comentario Car"/>
    <w:basedOn w:val="Fuentedeprrafopredeter"/>
    <w:link w:val="Textocomentario"/>
    <w:uiPriority w:val="99"/>
    <w:rsid w:val="008B503A"/>
    <w:rPr>
      <w:sz w:val="20"/>
      <w:szCs w:val="20"/>
    </w:rPr>
  </w:style>
  <w:style w:type="paragraph" w:styleId="Asuntodelcomentario">
    <w:name w:val="annotation subject"/>
    <w:basedOn w:val="Textocomentario"/>
    <w:next w:val="Textocomentario"/>
    <w:link w:val="AsuntodelcomentarioCar"/>
    <w:uiPriority w:val="99"/>
    <w:semiHidden/>
    <w:unhideWhenUsed/>
    <w:rsid w:val="008B503A"/>
    <w:rPr>
      <w:b/>
      <w:bCs/>
    </w:rPr>
  </w:style>
  <w:style w:type="character" w:customStyle="1" w:styleId="AsuntodelcomentarioCar">
    <w:name w:val="Asunto del comentario Car"/>
    <w:basedOn w:val="TextocomentarioCar"/>
    <w:link w:val="Asuntodelcomentario"/>
    <w:uiPriority w:val="99"/>
    <w:semiHidden/>
    <w:rsid w:val="008B503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5805AC-4157-469F-86B3-07DA4A24EB42}"/>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24</Pages>
  <Words>7503</Words>
  <Characters>41272</Characters>
  <Application>Microsoft Office Word</Application>
  <DocSecurity>0</DocSecurity>
  <Lines>343</Lines>
  <Paragraphs>97</Paragraphs>
  <ScaleCrop>false</ScaleCrop>
  <Company/>
  <LinksUpToDate>false</LinksUpToDate>
  <CharactersWithSpaces>48678</CharactersWithSpaces>
  <SharedDoc>false</SharedDoc>
  <HLinks>
    <vt:vector size="42" baseType="variant">
      <vt:variant>
        <vt:i4>4456513</vt:i4>
      </vt:variant>
      <vt:variant>
        <vt:i4>15</vt:i4>
      </vt:variant>
      <vt:variant>
        <vt:i4>0</vt:i4>
      </vt:variant>
      <vt:variant>
        <vt:i4>5</vt:i4>
      </vt:variant>
      <vt:variant>
        <vt:lpwstr>https://forms.office.com/r/pPHyWVs2SZ</vt:lpwstr>
      </vt:variant>
      <vt:variant>
        <vt:lpwstr/>
      </vt:variant>
      <vt:variant>
        <vt:i4>3407926</vt:i4>
      </vt:variant>
      <vt:variant>
        <vt:i4>12</vt:i4>
      </vt:variant>
      <vt:variant>
        <vt:i4>0</vt:i4>
      </vt:variant>
      <vt:variant>
        <vt:i4>5</vt:i4>
      </vt:variant>
      <vt:variant>
        <vt:lpwstr>https://www.colombiacompra.gov.co/pqrsd/informacion-importante-antes-de-formular-una-pqrsd</vt:lpwstr>
      </vt:variant>
      <vt:variant>
        <vt:lpwstr/>
      </vt:variant>
      <vt:variant>
        <vt:i4>4980779</vt:i4>
      </vt:variant>
      <vt:variant>
        <vt:i4>9</vt:i4>
      </vt:variant>
      <vt:variant>
        <vt:i4>0</vt:i4>
      </vt:variant>
      <vt:variant>
        <vt:i4>5</vt:i4>
      </vt:variant>
      <vt:variant>
        <vt:lpwstr>mailto:ventanilladeradicacion@colombiacompra.gov.co</vt:lpwstr>
      </vt:variant>
      <vt:variant>
        <vt:lpwstr/>
      </vt:variant>
      <vt:variant>
        <vt:i4>7995518</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458807</vt:i4>
      </vt:variant>
      <vt:variant>
        <vt:i4>0</vt:i4>
      </vt:variant>
      <vt:variant>
        <vt:i4>0</vt:i4>
      </vt:variant>
      <vt:variant>
        <vt:i4>5</vt:i4>
      </vt:variant>
      <vt:variant>
        <vt:lpwstr>mailto:trincon@fasecolda.com</vt:lpwstr>
      </vt:variant>
      <vt:variant>
        <vt:lpwstr/>
      </vt:variant>
      <vt:variant>
        <vt:i4>3735572</vt:i4>
      </vt:variant>
      <vt:variant>
        <vt:i4>0</vt:i4>
      </vt:variant>
      <vt:variant>
        <vt:i4>0</vt:i4>
      </vt:variant>
      <vt:variant>
        <vt:i4>5</vt:i4>
      </vt:variant>
      <vt:variant>
        <vt:lpwstr>http://www.secretariasenado.gov.co/senado/basedoc/ley_0080_1993.html</vt:lpwstr>
      </vt:variant>
      <vt:variant>
        <vt:lpwstr>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2026-02-16T14:57:00Z</dcterms:created>
  <dcterms:modified xsi:type="dcterms:W3CDTF">2026-02-16T15:53:00Z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