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C4F1B" w14:textId="77777777" w:rsidR="00C851C7" w:rsidRPr="00C55BDE" w:rsidRDefault="00C851C7" w:rsidP="00C851C7">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4496F596"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r w:rsidR="00C43584">
        <w:rPr>
          <w:rFonts w:ascii="Verdana" w:hAnsi="Verdana" w:cs="Arial"/>
          <w:b/>
          <w:bCs/>
          <w:lang w:val="es-ES" w:eastAsia="es-ES"/>
        </w:rPr>
        <w:t xml:space="preserve"> </w:t>
      </w:r>
      <w:r w:rsidR="00C43584" w:rsidRPr="00C43584">
        <w:rPr>
          <w:rFonts w:ascii="Verdana" w:hAnsi="Verdana" w:cs="Arial"/>
          <w:b/>
          <w:bCs/>
          <w:lang w:val="es-ES" w:eastAsia="es-ES"/>
        </w:rPr>
        <w:t>‒ Celebración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Pr="00C55BDE"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47D6B28B" w14:textId="77777777" w:rsidR="00765900" w:rsidRPr="00C43584" w:rsidRDefault="00765900" w:rsidP="00765900">
      <w:pPr>
        <w:spacing w:after="0"/>
        <w:jc w:val="both"/>
        <w:rPr>
          <w:rFonts w:ascii="Verdana" w:hAnsi="Verdana" w:cs="Arial"/>
          <w:b/>
          <w:bCs/>
          <w:lang w:val="es-MX" w:eastAsia="es-ES_tradnl"/>
        </w:rPr>
      </w:pPr>
    </w:p>
    <w:p w14:paraId="7012D6DE" w14:textId="07D5A2FE" w:rsidR="00C43584" w:rsidRDefault="00C43584" w:rsidP="00765900">
      <w:pPr>
        <w:spacing w:after="0"/>
        <w:jc w:val="both"/>
        <w:rPr>
          <w:rFonts w:ascii="Verdana" w:eastAsia="Calibri" w:hAnsi="Verdana" w:cs="Arial"/>
          <w:b/>
          <w:bCs/>
          <w:lang w:val="es-ES" w:eastAsia="es-ES"/>
        </w:rPr>
      </w:pPr>
      <w:r w:rsidRPr="00C43584">
        <w:rPr>
          <w:rFonts w:ascii="Verdana" w:eastAsia="Calibri" w:hAnsi="Verdana" w:cs="Arial"/>
          <w:b/>
          <w:bCs/>
          <w:lang w:val="es-ES" w:eastAsia="es-ES"/>
        </w:rPr>
        <w:t>LEY DE GARANTÍAS ELECTORALES ‒ Artículo 33 ‒ Ámbito material ‒ Destinatarios</w:t>
      </w:r>
    </w:p>
    <w:p w14:paraId="4C5E801B" w14:textId="77777777" w:rsidR="00C43584" w:rsidRDefault="00C43584" w:rsidP="00765900">
      <w:pPr>
        <w:spacing w:after="0"/>
        <w:jc w:val="both"/>
        <w:rPr>
          <w:rFonts w:ascii="Verdana" w:eastAsia="Calibri" w:hAnsi="Verdana" w:cs="Arial"/>
          <w:b/>
          <w:bCs/>
          <w:lang w:val="es-ES" w:eastAsia="es-ES"/>
        </w:rPr>
      </w:pPr>
    </w:p>
    <w:p w14:paraId="7CF1AEC8" w14:textId="14D135DB" w:rsidR="00C43584" w:rsidRPr="00C43584" w:rsidRDefault="00C43584" w:rsidP="00C43584">
      <w:pPr>
        <w:spacing w:after="0" w:line="240" w:lineRule="auto"/>
        <w:jc w:val="both"/>
        <w:rPr>
          <w:rFonts w:ascii="Verdana" w:eastAsia="Times New Roman" w:hAnsi="Verdana" w:cs="Arial"/>
          <w:bCs/>
          <w:sz w:val="20"/>
          <w:szCs w:val="20"/>
          <w:lang w:eastAsia="x-none"/>
        </w:rPr>
      </w:pPr>
      <w:r>
        <w:rPr>
          <w:rFonts w:ascii="Verdana" w:eastAsia="Times New Roman" w:hAnsi="Verdana" w:cs="Arial"/>
          <w:sz w:val="20"/>
          <w:szCs w:val="20"/>
          <w:lang w:eastAsia="x-none"/>
        </w:rPr>
        <w:t>L</w:t>
      </w:r>
      <w:r w:rsidRPr="00C43584">
        <w:rPr>
          <w:rFonts w:ascii="Verdana" w:eastAsia="Times New Roman" w:hAnsi="Verdana" w:cs="Arial"/>
          <w:sz w:val="20"/>
          <w:szCs w:val="20"/>
          <w:lang w:eastAsia="x-none"/>
        </w:rPr>
        <w:t xml:space="preserve">a prohibición del artículo 33 de la Ley de Garantías Electorales se refiere a </w:t>
      </w:r>
      <w:r w:rsidRPr="00C43584">
        <w:rPr>
          <w:rFonts w:ascii="Verdana" w:eastAsia="Times New Roman" w:hAnsi="Verdana" w:cs="Arial"/>
          <w:sz w:val="20"/>
          <w:szCs w:val="20"/>
          <w:lang w:eastAsia="en-GB"/>
        </w:rPr>
        <w:t>“</w:t>
      </w:r>
      <w:r w:rsidRPr="00C43584">
        <w:rPr>
          <w:rFonts w:ascii="Verdana" w:eastAsia="Times New Roman" w:hAnsi="Verdana" w:cs="Arial"/>
          <w:sz w:val="20"/>
          <w:szCs w:val="20"/>
          <w:lang w:eastAsia="x-none"/>
        </w:rPr>
        <w:t>cualquier sistema que no implique convocatoria pública y posibilidad de pluralidad de oferentes</w:t>
      </w:r>
      <w:r w:rsidRPr="00C43584">
        <w:rPr>
          <w:rFonts w:ascii="Verdana" w:eastAsia="Times New Roman" w:hAnsi="Verdana" w:cs="Arial"/>
          <w:sz w:val="20"/>
          <w:szCs w:val="20"/>
          <w:lang w:eastAsia="en-GB"/>
        </w:rPr>
        <w:t>”</w:t>
      </w:r>
      <w:r w:rsidRPr="00C43584">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C43584">
        <w:rPr>
          <w:rFonts w:ascii="Verdana" w:eastAsia="Times New Roman" w:hAnsi="Verdana" w:cs="Arial"/>
          <w:sz w:val="20"/>
          <w:szCs w:val="20"/>
          <w:lang w:val="es-ES_tradnl" w:eastAsia="x-none"/>
        </w:rPr>
        <w:t xml:space="preserve">y la mínima cuantía </w:t>
      </w:r>
      <w:r w:rsidRPr="00C43584">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C43584">
        <w:rPr>
          <w:rFonts w:ascii="Verdana" w:eastAsia="Calibri" w:hAnsi="Verdana" w:cs="Arial"/>
          <w:sz w:val="20"/>
          <w:szCs w:val="20"/>
          <w:lang w:eastAsia="x-none"/>
        </w:rPr>
        <w:t xml:space="preserve">además lo es con la posterior creación de la modalidad de mínima cuantía </w:t>
      </w:r>
      <w:r w:rsidRPr="00C43584">
        <w:rPr>
          <w:rFonts w:ascii="Verdana" w:eastAsia="Calibri" w:hAnsi="Verdana" w:cs="Arial"/>
          <w:sz w:val="20"/>
          <w:szCs w:val="20"/>
          <w:lang w:eastAsia="x-none"/>
        </w:rPr>
        <w:lastRenderedPageBreak/>
        <w:t>establecida actualmente en el numeral 5 del artículo 2 de la Ley 1150 de 2007, de acuerdo con las modificaciones realizadas por leyes posteriores.</w:t>
      </w:r>
    </w:p>
    <w:p w14:paraId="1FA2BEC5" w14:textId="77777777" w:rsidR="00C43584" w:rsidRPr="00C43584" w:rsidRDefault="00C43584" w:rsidP="00C43584">
      <w:pPr>
        <w:spacing w:after="0" w:line="240" w:lineRule="auto"/>
        <w:jc w:val="both"/>
        <w:rPr>
          <w:rFonts w:ascii="Verdana" w:eastAsia="Arial" w:hAnsi="Verdana" w:cs="Arial"/>
          <w:sz w:val="20"/>
          <w:szCs w:val="20"/>
          <w:lang w:val="es-MX" w:eastAsia="es-ES" w:bidi="es-ES"/>
        </w:rPr>
      </w:pPr>
      <w:r w:rsidRPr="00C43584">
        <w:rPr>
          <w:rFonts w:ascii="Verdana" w:eastAsia="Arial" w:hAnsi="Verdana" w:cs="Arial"/>
          <w:sz w:val="20"/>
          <w:szCs w:val="20"/>
          <w:lang w:val="es-MX" w:eastAsia="es-ES" w:bidi="es-ES"/>
        </w:rPr>
        <w:t>[…]</w:t>
      </w:r>
    </w:p>
    <w:p w14:paraId="2B7DF40D" w14:textId="77777777" w:rsidR="00C43584" w:rsidRPr="00C43584" w:rsidRDefault="00C43584" w:rsidP="00C43584">
      <w:pPr>
        <w:spacing w:after="0" w:line="240" w:lineRule="auto"/>
        <w:jc w:val="both"/>
        <w:rPr>
          <w:rFonts w:ascii="Verdana" w:hAnsi="Verdana" w:cs="Arial"/>
          <w:b/>
          <w:bCs/>
          <w:sz w:val="20"/>
          <w:szCs w:val="20"/>
          <w:lang w:val="es-MX" w:eastAsia="es-ES_tradnl"/>
        </w:rPr>
      </w:pPr>
    </w:p>
    <w:p w14:paraId="656FA9E5" w14:textId="6A7EA730" w:rsidR="00C43584" w:rsidRPr="00C43584" w:rsidRDefault="00C43584" w:rsidP="00C43584">
      <w:pPr>
        <w:spacing w:after="0" w:line="240" w:lineRule="auto"/>
        <w:jc w:val="both"/>
        <w:rPr>
          <w:rFonts w:ascii="Verdana" w:eastAsia="Times New Roman" w:hAnsi="Verdana" w:cs="Arial"/>
          <w:bCs/>
          <w:sz w:val="20"/>
          <w:szCs w:val="20"/>
          <w:lang w:val="es-MX" w:eastAsia="x-none"/>
        </w:rPr>
      </w:pPr>
      <w:r w:rsidRPr="00C43584">
        <w:rPr>
          <w:rFonts w:ascii="Verdana" w:eastAsia="Times New Roman" w:hAnsi="Verdana" w:cs="Arial"/>
          <w:bCs/>
          <w:sz w:val="20"/>
          <w:szCs w:val="20"/>
          <w:lang w:val="es-MX"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C43584">
        <w:rPr>
          <w:rFonts w:ascii="Verdana" w:eastAsia="Calibri" w:hAnsi="Verdana" w:cs="Arial"/>
          <w:sz w:val="20"/>
          <w:szCs w:val="20"/>
          <w:lang w:val="es-MX"/>
        </w:rPr>
        <w:t xml:space="preserve"> </w:t>
      </w:r>
      <w:r w:rsidRPr="00C43584">
        <w:rPr>
          <w:rFonts w:ascii="Verdana" w:eastAsia="Times New Roman" w:hAnsi="Verdana" w:cs="Arial"/>
          <w:bCs/>
          <w:sz w:val="20"/>
          <w:szCs w:val="20"/>
          <w:lang w:val="es-MX" w:eastAsia="x-none"/>
        </w:rPr>
        <w:t>En efecto, tal como lo ha sostenido el Consejo de Estado, el vocablo “todos” utilizado por el legislador comprende</w:t>
      </w:r>
      <w:r w:rsidRPr="00C43584">
        <w:rPr>
          <w:rFonts w:ascii="Verdana" w:eastAsia="Calibri" w:hAnsi="Verdana" w:cs="Arial"/>
          <w:sz w:val="20"/>
          <w:szCs w:val="20"/>
          <w:lang w:val="es-MX"/>
        </w:rPr>
        <w:t xml:space="preserve"> </w:t>
      </w:r>
      <w:r w:rsidRPr="00C43584">
        <w:rPr>
          <w:rFonts w:ascii="Verdana" w:eastAsia="Times New Roman" w:hAnsi="Verdana" w:cs="Arial"/>
          <w:bCs/>
          <w:sz w:val="20"/>
          <w:szCs w:val="20"/>
          <w:lang w:val="es-MX"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B05CC62" w14:textId="77777777" w:rsidR="00C43584" w:rsidRDefault="00C43584" w:rsidP="00765900">
      <w:pPr>
        <w:spacing w:after="0"/>
        <w:jc w:val="both"/>
        <w:rPr>
          <w:rFonts w:ascii="Verdana" w:hAnsi="Verdana" w:cs="Arial"/>
          <w:b/>
          <w:lang w:val="es-MX" w:eastAsia="es-ES_tradnl"/>
        </w:rPr>
      </w:pPr>
    </w:p>
    <w:p w14:paraId="4C6EF8E9" w14:textId="1DC9E555" w:rsidR="007D4B2E" w:rsidRPr="00765900" w:rsidRDefault="00C43584" w:rsidP="00765900">
      <w:pPr>
        <w:spacing w:after="0"/>
        <w:jc w:val="both"/>
        <w:rPr>
          <w:rFonts w:ascii="Verdana" w:hAnsi="Verdana" w:cs="Arial"/>
          <w:b/>
          <w:lang w:val="es-MX" w:eastAsia="es-ES_tradnl"/>
        </w:rPr>
      </w:pPr>
      <w:r w:rsidRPr="00C43584">
        <w:rPr>
          <w:rFonts w:ascii="Verdana" w:hAnsi="Verdana" w:cs="Arial"/>
          <w:b/>
          <w:lang w:val="es-MX" w:eastAsia="es-ES_tradnl"/>
        </w:rPr>
        <w:t xml:space="preserve">EMPRESAS DE SERVICIOS TEMPORALES – Definición ‒ Aplicación ley de garantías </w:t>
      </w:r>
    </w:p>
    <w:p w14:paraId="584FD6A3" w14:textId="77777777" w:rsidR="007D4B2E" w:rsidRPr="00C55BDE" w:rsidRDefault="007D4B2E" w:rsidP="007D4B2E">
      <w:pPr>
        <w:spacing w:after="0"/>
        <w:jc w:val="both"/>
        <w:rPr>
          <w:rFonts w:ascii="Verdana" w:hAnsi="Verdana"/>
          <w:b/>
        </w:rPr>
      </w:pPr>
    </w:p>
    <w:p w14:paraId="7C0C9448" w14:textId="77777777" w:rsidR="00C43584" w:rsidRDefault="00C43584" w:rsidP="00C43584">
      <w:pPr>
        <w:spacing w:after="0" w:line="240" w:lineRule="auto"/>
        <w:jc w:val="both"/>
        <w:rPr>
          <w:rFonts w:ascii="Verdana" w:eastAsia="Arial" w:hAnsi="Verdana" w:cs="Arial"/>
          <w:sz w:val="20"/>
          <w:lang w:val="es-MX" w:eastAsia="es-ES" w:bidi="es-ES"/>
        </w:rPr>
      </w:pPr>
      <w:r w:rsidRPr="00C43584">
        <w:rPr>
          <w:rFonts w:ascii="Verdana" w:eastAsia="Arial" w:hAnsi="Verdana" w:cs="Arial"/>
          <w:sz w:val="20"/>
          <w:lang w:val="es-MX" w:eastAsia="es-ES" w:bidi="es-ES"/>
        </w:rPr>
        <w:t>de acuerdo con el artículo 71 de la Ley 50 de 1990, las empresas de servicios temporales son las que contratan “la prestación de servicios con terceros beneficiarios para colaborar temporalmente en el desarrollo de sus actividades, mediante la labor desarrollada por personas naturales, contratadas directamente por la empresa de servicios temporales, la cual tiene con respecto de éstas el carácter de empleador”.</w:t>
      </w:r>
    </w:p>
    <w:p w14:paraId="4BFE2FE1" w14:textId="77777777" w:rsidR="00C43584" w:rsidRPr="00C43584" w:rsidRDefault="00C43584" w:rsidP="00C43584">
      <w:pPr>
        <w:spacing w:after="0" w:line="240" w:lineRule="auto"/>
        <w:jc w:val="both"/>
        <w:rPr>
          <w:rFonts w:ascii="Verdana" w:eastAsia="Arial" w:hAnsi="Verdana" w:cs="Arial"/>
          <w:sz w:val="20"/>
          <w:lang w:val="es-MX" w:eastAsia="es-ES" w:bidi="es-ES"/>
        </w:rPr>
      </w:pPr>
    </w:p>
    <w:p w14:paraId="212DCED4" w14:textId="77777777" w:rsidR="00C43584" w:rsidRDefault="00C43584" w:rsidP="00C43584">
      <w:pPr>
        <w:spacing w:after="0" w:line="240" w:lineRule="auto"/>
        <w:jc w:val="both"/>
        <w:rPr>
          <w:rFonts w:ascii="Verdana" w:eastAsia="Arial" w:hAnsi="Verdana" w:cs="Arial"/>
          <w:sz w:val="20"/>
          <w:lang w:val="es-MX" w:eastAsia="es-ES" w:bidi="es-ES"/>
        </w:rPr>
      </w:pPr>
      <w:r w:rsidRPr="00C43584">
        <w:rPr>
          <w:rFonts w:ascii="Verdana" w:eastAsia="Arial" w:hAnsi="Verdana" w:cs="Arial"/>
          <w:sz w:val="20"/>
          <w:lang w:val="es-MX" w:eastAsia="es-ES" w:bidi="es-ES"/>
        </w:rPr>
        <w:t xml:space="preserve">Los contratos de servicios temporales únicamente se pueden celebrar en los supuestos definidos por el artículo 77 de la Ley 50 de 1990 y en el artículo 2.2.6.5.6. del Decreto 1072 de 2015, que disponen lo siguiente: i) cuando se trate de las labores ocasionales, accidentales o transitorias a que se refiere el artículo 6° del Código Sustantivo del Trabajo, </w:t>
      </w:r>
      <w:proofErr w:type="spellStart"/>
      <w:r w:rsidRPr="00C43584">
        <w:rPr>
          <w:rFonts w:ascii="Verdana" w:eastAsia="Arial" w:hAnsi="Verdana" w:cs="Arial"/>
          <w:sz w:val="20"/>
          <w:lang w:val="es-MX" w:eastAsia="es-ES" w:bidi="es-ES"/>
        </w:rPr>
        <w:t>ii</w:t>
      </w:r>
      <w:proofErr w:type="spellEnd"/>
      <w:r w:rsidRPr="00C43584">
        <w:rPr>
          <w:rFonts w:ascii="Verdana" w:eastAsia="Arial" w:hAnsi="Verdana" w:cs="Arial"/>
          <w:sz w:val="20"/>
          <w:lang w:val="es-MX" w:eastAsia="es-ES" w:bidi="es-ES"/>
        </w:rPr>
        <w:t xml:space="preserve">) cuando se requiere reemplazar personal en vacaciones, en uso de licencia, en incapacidad por enfermedad o maternidad, </w:t>
      </w:r>
      <w:proofErr w:type="spellStart"/>
      <w:r w:rsidRPr="00C43584">
        <w:rPr>
          <w:rFonts w:ascii="Verdana" w:eastAsia="Arial" w:hAnsi="Verdana" w:cs="Arial"/>
          <w:sz w:val="20"/>
          <w:lang w:val="es-MX" w:eastAsia="es-ES" w:bidi="es-ES"/>
        </w:rPr>
        <w:t>iii</w:t>
      </w:r>
      <w:proofErr w:type="spellEnd"/>
      <w:r w:rsidRPr="00C43584">
        <w:rPr>
          <w:rFonts w:ascii="Verdana" w:eastAsia="Arial" w:hAnsi="Verdana" w:cs="Arial"/>
          <w:sz w:val="20"/>
          <w:lang w:val="es-MX" w:eastAsia="es-ES" w:bidi="es-ES"/>
        </w:rPr>
        <w:t xml:space="preserve">) para atender incrementos en la producción, el transporte, las ventas de productos o mercancías, los períodos estacionales de cosechas y en la prestación de servicios, por un término de seis (6) meses prorrogable hasta por seis (6) meses más. </w:t>
      </w:r>
    </w:p>
    <w:p w14:paraId="2865786F" w14:textId="77777777" w:rsidR="00C43584" w:rsidRDefault="00C43584" w:rsidP="00C43584">
      <w:pPr>
        <w:spacing w:after="0" w:line="240" w:lineRule="auto"/>
        <w:jc w:val="both"/>
        <w:rPr>
          <w:rFonts w:ascii="Verdana" w:eastAsia="Arial" w:hAnsi="Verdana" w:cs="Arial"/>
          <w:sz w:val="20"/>
          <w:lang w:val="es-MX" w:eastAsia="es-ES" w:bidi="es-ES"/>
        </w:rPr>
      </w:pPr>
    </w:p>
    <w:p w14:paraId="3AAA3802" w14:textId="4C8736DE" w:rsidR="00F5369B" w:rsidRDefault="007D4B2E" w:rsidP="00C43584">
      <w:pPr>
        <w:spacing w:after="0" w:line="240" w:lineRule="auto"/>
        <w:jc w:val="both"/>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788E2730" w14:textId="77777777" w:rsidR="00C43584" w:rsidRDefault="00C43584" w:rsidP="00C43584">
      <w:pPr>
        <w:spacing w:after="0" w:line="240" w:lineRule="auto"/>
        <w:jc w:val="both"/>
        <w:rPr>
          <w:rFonts w:ascii="Verdana" w:hAnsi="Verdana"/>
        </w:rPr>
      </w:pPr>
    </w:p>
    <w:p w14:paraId="52B6D70F" w14:textId="77777777" w:rsidR="00C43584" w:rsidRDefault="00C43584" w:rsidP="00C43584">
      <w:pPr>
        <w:jc w:val="both"/>
        <w:rPr>
          <w:rFonts w:ascii="Verdana" w:eastAsia="Arial" w:hAnsi="Verdana" w:cs="Arial"/>
          <w:sz w:val="20"/>
          <w:lang w:val="es-MX" w:eastAsia="es-ES" w:bidi="es-ES"/>
        </w:rPr>
      </w:pPr>
      <w:r w:rsidRPr="00C43584">
        <w:rPr>
          <w:rFonts w:ascii="Verdana" w:eastAsia="Arial" w:hAnsi="Verdana" w:cs="Arial"/>
          <w:sz w:val="20"/>
          <w:lang w:val="es-MX" w:eastAsia="es-ES" w:bidi="es-ES"/>
        </w:rPr>
        <w:t xml:space="preserve">De esta forma, en aquellos eventos en que la entidad, previo análisis jurídico y debidamente motivado, considere viable acudir a la contratación con empresas de servicios temporales para las finalidades previstas en el artículo 77 de la Ley 50 de 1990 y se determine que no es aplicable la creación de empleos temporales en los términos de la Ley 909 de 2004, deberá establecer la modalidad de selección que corresponda, de conformidad con el régimen de contratación estatal aplicable según la naturaleza jurídica de la entidad. </w:t>
      </w:r>
    </w:p>
    <w:p w14:paraId="5DA72ED0" w14:textId="77777777" w:rsidR="00C43584" w:rsidRPr="00C43584" w:rsidRDefault="00C43584" w:rsidP="00C43584">
      <w:pPr>
        <w:spacing w:after="0" w:line="240" w:lineRule="auto"/>
        <w:jc w:val="both"/>
        <w:rPr>
          <w:rFonts w:ascii="Verdana" w:eastAsia="Arial" w:hAnsi="Verdana" w:cs="Arial"/>
          <w:sz w:val="20"/>
          <w:lang w:val="es-MX" w:eastAsia="es-ES" w:bidi="es-ES"/>
        </w:rPr>
      </w:pPr>
    </w:p>
    <w:p w14:paraId="63C526C7" w14:textId="43BB3C14" w:rsidR="00F5369B" w:rsidRPr="00C43584" w:rsidRDefault="00C43584" w:rsidP="00C43584">
      <w:pPr>
        <w:spacing w:after="0" w:line="240" w:lineRule="auto"/>
        <w:jc w:val="both"/>
        <w:rPr>
          <w:rFonts w:ascii="Verdana" w:eastAsia="Arial" w:hAnsi="Verdana" w:cs="Arial"/>
          <w:sz w:val="20"/>
          <w:lang w:val="es-MX" w:eastAsia="es-ES" w:bidi="es-ES"/>
        </w:rPr>
      </w:pPr>
      <w:r w:rsidRPr="00C43584">
        <w:rPr>
          <w:rFonts w:ascii="Verdana" w:eastAsia="Arial" w:hAnsi="Verdana" w:cs="Arial"/>
          <w:sz w:val="20"/>
          <w:lang w:val="es-MX" w:eastAsia="es-ES" w:bidi="es-ES"/>
        </w:rPr>
        <w:lastRenderedPageBreak/>
        <w:t>En este contexto, la determinación de la modalidad de selección para contratar estos servicios, cuando proceda, se realizará a partir del análisis del objeto contractual, de la cuantía, del análisis del sector, del estudio de mercado y de las actividades requeridas para su ejecución</w:t>
      </w:r>
      <w:r w:rsidR="00662C94">
        <w:rPr>
          <w:rFonts w:ascii="Verdana" w:eastAsia="Arial" w:hAnsi="Verdana" w:cs="Arial"/>
          <w:sz w:val="20"/>
          <w:lang w:val="es-MX" w:eastAsia="es-ES" w:bidi="es-ES"/>
        </w:rPr>
        <w:t>.</w:t>
      </w:r>
    </w:p>
    <w:p w14:paraId="11797C66" w14:textId="77777777" w:rsidR="00F5369B" w:rsidRDefault="00F5369B" w:rsidP="00C43584">
      <w:pPr>
        <w:spacing w:after="0" w:line="240" w:lineRule="auto"/>
        <w:jc w:val="both"/>
        <w:rPr>
          <w:rFonts w:ascii="Verdana" w:hAnsi="Verdana"/>
        </w:rPr>
      </w:pPr>
    </w:p>
    <w:p w14:paraId="096B5207" w14:textId="77777777" w:rsidR="00F5369B" w:rsidRDefault="00F5369B" w:rsidP="009B4037">
      <w:pPr>
        <w:spacing w:after="0" w:line="240" w:lineRule="auto"/>
        <w:rPr>
          <w:rFonts w:ascii="Verdana" w:hAnsi="Verdana"/>
        </w:rPr>
      </w:pPr>
    </w:p>
    <w:p w14:paraId="4B0B9473" w14:textId="77777777" w:rsidR="00F5369B" w:rsidRDefault="00F5369B" w:rsidP="009B4037">
      <w:pPr>
        <w:spacing w:after="0" w:line="240" w:lineRule="auto"/>
        <w:rPr>
          <w:rFonts w:ascii="Verdana" w:hAnsi="Verdana"/>
        </w:rPr>
      </w:pPr>
    </w:p>
    <w:p w14:paraId="51C1C61A" w14:textId="77777777" w:rsidR="00F5369B" w:rsidRDefault="00F5369B" w:rsidP="009B4037">
      <w:pPr>
        <w:spacing w:after="0" w:line="240" w:lineRule="auto"/>
        <w:rPr>
          <w:rFonts w:ascii="Verdana" w:hAnsi="Verdana"/>
        </w:rPr>
      </w:pPr>
    </w:p>
    <w:p w14:paraId="6912C195" w14:textId="77777777" w:rsidR="00F5369B" w:rsidRDefault="00F5369B" w:rsidP="009B4037">
      <w:pPr>
        <w:spacing w:after="0" w:line="240" w:lineRule="auto"/>
        <w:rPr>
          <w:rFonts w:ascii="Verdana" w:hAnsi="Verdana"/>
        </w:rPr>
      </w:pPr>
    </w:p>
    <w:p w14:paraId="0AFFAE2D" w14:textId="77777777" w:rsidR="00F5369B" w:rsidRDefault="00F5369B" w:rsidP="009B4037">
      <w:pPr>
        <w:spacing w:after="0" w:line="240" w:lineRule="auto"/>
        <w:rPr>
          <w:rFonts w:ascii="Verdana" w:hAnsi="Verdana"/>
        </w:rPr>
      </w:pPr>
    </w:p>
    <w:p w14:paraId="0ED8BD11" w14:textId="77777777" w:rsidR="00F5369B" w:rsidRDefault="00F5369B" w:rsidP="009B4037">
      <w:pPr>
        <w:spacing w:after="0" w:line="240" w:lineRule="auto"/>
        <w:rPr>
          <w:rFonts w:ascii="Verdana" w:hAnsi="Verdana"/>
        </w:rPr>
      </w:pPr>
    </w:p>
    <w:p w14:paraId="60E4AA2B" w14:textId="77777777" w:rsidR="00F5369B" w:rsidRDefault="00F5369B" w:rsidP="009B4037">
      <w:pPr>
        <w:spacing w:after="0" w:line="240" w:lineRule="auto"/>
        <w:rPr>
          <w:rFonts w:ascii="Verdana" w:hAnsi="Verdana"/>
        </w:rPr>
      </w:pPr>
    </w:p>
    <w:p w14:paraId="0A2E6F75" w14:textId="77777777" w:rsidR="00F5369B" w:rsidRDefault="00F5369B" w:rsidP="009B4037">
      <w:pPr>
        <w:spacing w:after="0" w:line="240" w:lineRule="auto"/>
        <w:rPr>
          <w:rFonts w:ascii="Verdana" w:hAnsi="Verdana"/>
        </w:rPr>
      </w:pPr>
    </w:p>
    <w:p w14:paraId="07191EB9" w14:textId="77777777" w:rsidR="00F5369B" w:rsidRDefault="00F5369B" w:rsidP="009B4037">
      <w:pPr>
        <w:spacing w:after="0" w:line="240" w:lineRule="auto"/>
        <w:rPr>
          <w:rFonts w:ascii="Verdana" w:hAnsi="Verdana"/>
        </w:rPr>
      </w:pPr>
    </w:p>
    <w:p w14:paraId="7B7475F2" w14:textId="77777777" w:rsidR="00F5369B" w:rsidRDefault="00F5369B" w:rsidP="009B4037">
      <w:pPr>
        <w:spacing w:after="0" w:line="240" w:lineRule="auto"/>
        <w:rPr>
          <w:rFonts w:ascii="Verdana" w:hAnsi="Verdana"/>
        </w:rPr>
      </w:pPr>
    </w:p>
    <w:p w14:paraId="7FD46229" w14:textId="77777777" w:rsidR="00F5369B" w:rsidRDefault="00F5369B" w:rsidP="009B4037">
      <w:pPr>
        <w:spacing w:after="0" w:line="240" w:lineRule="auto"/>
        <w:rPr>
          <w:rFonts w:ascii="Verdana" w:hAnsi="Verdana"/>
        </w:rPr>
      </w:pPr>
    </w:p>
    <w:p w14:paraId="0E50AE6B" w14:textId="77777777" w:rsidR="00F5369B" w:rsidRDefault="00F5369B" w:rsidP="009B4037">
      <w:pPr>
        <w:spacing w:after="0" w:line="240" w:lineRule="auto"/>
        <w:rPr>
          <w:rFonts w:ascii="Verdana" w:hAnsi="Verdana"/>
        </w:rPr>
      </w:pPr>
    </w:p>
    <w:p w14:paraId="5A66194D" w14:textId="77777777" w:rsidR="00F5369B" w:rsidRDefault="00F5369B" w:rsidP="009B4037">
      <w:pPr>
        <w:spacing w:after="0" w:line="240" w:lineRule="auto"/>
        <w:rPr>
          <w:rFonts w:ascii="Verdana" w:hAnsi="Verdana"/>
        </w:rPr>
      </w:pPr>
    </w:p>
    <w:p w14:paraId="160D5612" w14:textId="77777777" w:rsidR="00F5369B" w:rsidRDefault="00F5369B" w:rsidP="009B4037">
      <w:pPr>
        <w:spacing w:after="0" w:line="240" w:lineRule="auto"/>
        <w:rPr>
          <w:rFonts w:ascii="Verdana" w:hAnsi="Verdana"/>
        </w:rPr>
      </w:pPr>
    </w:p>
    <w:p w14:paraId="0C529888" w14:textId="77777777" w:rsidR="00F5369B" w:rsidRDefault="00F5369B" w:rsidP="009B4037">
      <w:pPr>
        <w:spacing w:after="0" w:line="240" w:lineRule="auto"/>
        <w:rPr>
          <w:rFonts w:ascii="Verdana" w:hAnsi="Verdana"/>
        </w:rPr>
      </w:pPr>
    </w:p>
    <w:p w14:paraId="712A8A04" w14:textId="77777777" w:rsidR="00F5369B" w:rsidRDefault="00F5369B" w:rsidP="009B4037">
      <w:pPr>
        <w:spacing w:after="0" w:line="240" w:lineRule="auto"/>
        <w:rPr>
          <w:rFonts w:ascii="Verdana" w:hAnsi="Verdana"/>
        </w:rPr>
      </w:pPr>
    </w:p>
    <w:p w14:paraId="2BCD1116" w14:textId="77777777" w:rsidR="00F5369B" w:rsidRDefault="00F5369B" w:rsidP="009B4037">
      <w:pPr>
        <w:spacing w:after="0" w:line="240" w:lineRule="auto"/>
        <w:rPr>
          <w:rFonts w:ascii="Verdana" w:hAnsi="Verdana"/>
        </w:rPr>
      </w:pPr>
    </w:p>
    <w:p w14:paraId="4E4E2498" w14:textId="77777777" w:rsidR="00F5369B" w:rsidRDefault="00F5369B" w:rsidP="009B4037">
      <w:pPr>
        <w:spacing w:after="0" w:line="240" w:lineRule="auto"/>
        <w:rPr>
          <w:rFonts w:ascii="Verdana" w:hAnsi="Verdana"/>
        </w:rPr>
      </w:pPr>
    </w:p>
    <w:p w14:paraId="488A157C" w14:textId="77777777" w:rsidR="00F5369B" w:rsidRDefault="00F5369B" w:rsidP="009B4037">
      <w:pPr>
        <w:spacing w:after="0" w:line="240" w:lineRule="auto"/>
        <w:rPr>
          <w:rFonts w:ascii="Verdana" w:hAnsi="Verdana"/>
        </w:rPr>
      </w:pPr>
    </w:p>
    <w:p w14:paraId="2F97579F" w14:textId="77777777" w:rsidR="00F5369B" w:rsidRDefault="00F5369B" w:rsidP="009B4037">
      <w:pPr>
        <w:spacing w:after="0" w:line="240" w:lineRule="auto"/>
        <w:rPr>
          <w:rFonts w:ascii="Verdana" w:hAnsi="Verdana"/>
        </w:rPr>
      </w:pPr>
    </w:p>
    <w:p w14:paraId="6B558C10" w14:textId="77777777" w:rsidR="00F5369B" w:rsidRDefault="00F5369B" w:rsidP="009B4037">
      <w:pPr>
        <w:spacing w:after="0" w:line="240" w:lineRule="auto"/>
        <w:rPr>
          <w:rFonts w:ascii="Verdana" w:hAnsi="Verdana"/>
        </w:rPr>
      </w:pPr>
    </w:p>
    <w:p w14:paraId="1995B91E" w14:textId="77777777" w:rsidR="00F5369B" w:rsidRDefault="00F5369B" w:rsidP="009B4037">
      <w:pPr>
        <w:spacing w:after="0" w:line="240" w:lineRule="auto"/>
        <w:rPr>
          <w:rFonts w:ascii="Verdana" w:hAnsi="Verdana"/>
        </w:rPr>
      </w:pPr>
    </w:p>
    <w:p w14:paraId="2902D058" w14:textId="77777777" w:rsidR="00F5369B" w:rsidRDefault="00F5369B" w:rsidP="009B4037">
      <w:pPr>
        <w:spacing w:after="0" w:line="240" w:lineRule="auto"/>
        <w:rPr>
          <w:rFonts w:ascii="Verdana" w:hAnsi="Verdana"/>
        </w:rPr>
      </w:pPr>
    </w:p>
    <w:p w14:paraId="46779A7C" w14:textId="77777777" w:rsidR="00F5369B" w:rsidRDefault="00F5369B" w:rsidP="009B4037">
      <w:pPr>
        <w:spacing w:after="0" w:line="240" w:lineRule="auto"/>
        <w:rPr>
          <w:rFonts w:ascii="Verdana" w:hAnsi="Verdana"/>
        </w:rPr>
      </w:pPr>
    </w:p>
    <w:p w14:paraId="02633CFB" w14:textId="77777777" w:rsidR="0014319F" w:rsidRDefault="0014319F" w:rsidP="0014319F">
      <w:pPr>
        <w:spacing w:after="0" w:line="240" w:lineRule="auto"/>
        <w:rPr>
          <w:rFonts w:ascii="Verdana" w:hAnsi="Verdana"/>
        </w:rPr>
      </w:pPr>
    </w:p>
    <w:p w14:paraId="586714E4" w14:textId="77777777" w:rsidR="0014319F" w:rsidRDefault="0014319F" w:rsidP="0014319F">
      <w:pPr>
        <w:spacing w:after="0" w:line="240" w:lineRule="auto"/>
        <w:rPr>
          <w:rFonts w:ascii="Verdana" w:hAnsi="Verdana"/>
        </w:rPr>
      </w:pPr>
    </w:p>
    <w:p w14:paraId="4D5E4A11" w14:textId="77777777" w:rsidR="00C43584" w:rsidRDefault="00C43584" w:rsidP="0014319F">
      <w:pPr>
        <w:spacing w:after="0" w:line="240" w:lineRule="auto"/>
        <w:rPr>
          <w:rFonts w:ascii="Verdana" w:hAnsi="Verdana"/>
        </w:rPr>
      </w:pPr>
    </w:p>
    <w:p w14:paraId="4CC9783A" w14:textId="77777777" w:rsidR="00C43584" w:rsidRDefault="00C43584" w:rsidP="0014319F">
      <w:pPr>
        <w:spacing w:after="0" w:line="240" w:lineRule="auto"/>
        <w:rPr>
          <w:rFonts w:ascii="Verdana" w:hAnsi="Verdana"/>
        </w:rPr>
      </w:pPr>
    </w:p>
    <w:p w14:paraId="323AEDDB" w14:textId="77777777" w:rsidR="00C43584" w:rsidRDefault="00C43584" w:rsidP="0014319F">
      <w:pPr>
        <w:spacing w:after="0" w:line="240" w:lineRule="auto"/>
        <w:rPr>
          <w:rFonts w:ascii="Verdana" w:hAnsi="Verdana"/>
        </w:rPr>
      </w:pPr>
    </w:p>
    <w:p w14:paraId="03ABED40" w14:textId="77777777" w:rsidR="00C43584" w:rsidRDefault="00C43584" w:rsidP="0014319F">
      <w:pPr>
        <w:spacing w:after="0" w:line="240" w:lineRule="auto"/>
        <w:rPr>
          <w:rFonts w:ascii="Verdana" w:hAnsi="Verdana"/>
        </w:rPr>
      </w:pPr>
    </w:p>
    <w:p w14:paraId="6627D1BD" w14:textId="77777777" w:rsidR="00C43584" w:rsidRDefault="00C43584" w:rsidP="0014319F">
      <w:pPr>
        <w:spacing w:after="0" w:line="240" w:lineRule="auto"/>
        <w:rPr>
          <w:rFonts w:ascii="Verdana" w:hAnsi="Verdana"/>
        </w:rPr>
      </w:pPr>
    </w:p>
    <w:p w14:paraId="20E20184" w14:textId="77777777" w:rsidR="00C43584" w:rsidRDefault="00C43584" w:rsidP="0014319F">
      <w:pPr>
        <w:spacing w:after="0" w:line="240" w:lineRule="auto"/>
        <w:rPr>
          <w:rFonts w:ascii="Verdana" w:hAnsi="Verdana"/>
        </w:rPr>
      </w:pPr>
    </w:p>
    <w:p w14:paraId="372759EC" w14:textId="77777777" w:rsidR="00C43584" w:rsidRDefault="00C43584" w:rsidP="0014319F">
      <w:pPr>
        <w:spacing w:after="0" w:line="240" w:lineRule="auto"/>
        <w:rPr>
          <w:rFonts w:ascii="Verdana" w:hAnsi="Verdana"/>
        </w:rPr>
      </w:pPr>
    </w:p>
    <w:p w14:paraId="63934A48" w14:textId="77777777" w:rsidR="00C43584" w:rsidRDefault="00C43584" w:rsidP="0014319F">
      <w:pPr>
        <w:spacing w:after="0" w:line="240" w:lineRule="auto"/>
        <w:rPr>
          <w:rFonts w:ascii="Verdana" w:hAnsi="Verdana"/>
        </w:rPr>
      </w:pPr>
    </w:p>
    <w:p w14:paraId="1AC330F6" w14:textId="77777777" w:rsidR="00C43584" w:rsidRDefault="00C43584" w:rsidP="0014319F">
      <w:pPr>
        <w:spacing w:after="0" w:line="240" w:lineRule="auto"/>
        <w:rPr>
          <w:rFonts w:ascii="Verdana" w:hAnsi="Verdana"/>
        </w:rPr>
      </w:pPr>
    </w:p>
    <w:p w14:paraId="47F6D0D8" w14:textId="77777777" w:rsidR="00C43584" w:rsidRDefault="00C43584" w:rsidP="0014319F">
      <w:pPr>
        <w:spacing w:after="0" w:line="240" w:lineRule="auto"/>
        <w:rPr>
          <w:rFonts w:ascii="Verdana" w:hAnsi="Verdana"/>
        </w:rPr>
      </w:pPr>
    </w:p>
    <w:p w14:paraId="1923D0E4" w14:textId="77777777" w:rsidR="00C43584" w:rsidRDefault="00C43584" w:rsidP="0014319F">
      <w:pPr>
        <w:spacing w:after="0" w:line="240" w:lineRule="auto"/>
        <w:rPr>
          <w:rFonts w:ascii="Verdana" w:hAnsi="Verdana"/>
        </w:rPr>
      </w:pPr>
    </w:p>
    <w:p w14:paraId="06E8612C" w14:textId="60BFA482" w:rsidR="0014319F" w:rsidRDefault="0014319F" w:rsidP="0014319F">
      <w:pPr>
        <w:spacing w:after="0" w:line="240" w:lineRule="auto"/>
        <w:rPr>
          <w:rFonts w:ascii="Verdana" w:eastAsia="Geomanist Light" w:hAnsi="Verdana" w:cs="Arial"/>
          <w:color w:val="201F1E"/>
        </w:rPr>
      </w:pPr>
      <w:r w:rsidRPr="00324A04">
        <w:rPr>
          <w:rFonts w:ascii="Verdana" w:hAnsi="Verdana"/>
        </w:rPr>
        <w:lastRenderedPageBreak/>
        <w:t xml:space="preserve">Bogotá D.C., </w:t>
      </w:r>
      <w:r w:rsidR="00383B65">
        <w:rPr>
          <w:rFonts w:ascii="Verdana" w:eastAsia="Geomanist Light" w:hAnsi="Verdana" w:cs="Arial"/>
          <w:color w:val="201F1E"/>
        </w:rPr>
        <w:t>24 de febrero de 2026</w:t>
      </w:r>
    </w:p>
    <w:p w14:paraId="56EEEAEC" w14:textId="77777777" w:rsidR="00383B65" w:rsidRPr="00324A04" w:rsidRDefault="00383B65" w:rsidP="0014319F">
      <w:pPr>
        <w:spacing w:after="0" w:line="240" w:lineRule="auto"/>
        <w:rPr>
          <w:rFonts w:ascii="Verdana" w:eastAsia="Geomanist Light" w:hAnsi="Verdana" w:cs="Arial"/>
          <w:color w:val="201F1E"/>
        </w:rPr>
      </w:pPr>
    </w:p>
    <w:p w14:paraId="1BE48C5C" w14:textId="35072D7D" w:rsidR="0014319F" w:rsidRPr="00324A04" w:rsidRDefault="00383B65" w:rsidP="00383B65">
      <w:pPr>
        <w:spacing w:after="0"/>
        <w:jc w:val="right"/>
        <w:rPr>
          <w:rFonts w:ascii="Verdana" w:hAnsi="Verdana"/>
        </w:rPr>
      </w:pPr>
      <w:r w:rsidRPr="00383B65">
        <w:rPr>
          <w:rFonts w:ascii="Verdana" w:hAnsi="Verdana"/>
          <w:noProof/>
        </w:rPr>
        <w:drawing>
          <wp:anchor distT="0" distB="0" distL="114300" distR="114300" simplePos="0" relativeHeight="251658240" behindDoc="0" locked="0" layoutInCell="1" allowOverlap="1" wp14:anchorId="6F68E568" wp14:editId="11EB413C">
            <wp:simplePos x="0" y="0"/>
            <wp:positionH relativeFrom="column">
              <wp:posOffset>2981325</wp:posOffset>
            </wp:positionH>
            <wp:positionV relativeFrom="paragraph">
              <wp:posOffset>3175</wp:posOffset>
            </wp:positionV>
            <wp:extent cx="2630805" cy="847725"/>
            <wp:effectExtent l="0" t="0" r="0" b="9525"/>
            <wp:wrapSquare wrapText="bothSides"/>
            <wp:docPr id="7790516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051609" name=""/>
                    <pic:cNvPicPr/>
                  </pic:nvPicPr>
                  <pic:blipFill>
                    <a:blip r:embed="rId11">
                      <a:extLst>
                        <a:ext uri="{28A0092B-C50C-407E-A947-70E740481C1C}">
                          <a14:useLocalDpi xmlns:a14="http://schemas.microsoft.com/office/drawing/2010/main" val="0"/>
                        </a:ext>
                      </a:extLst>
                    </a:blip>
                    <a:stretch>
                      <a:fillRect/>
                    </a:stretch>
                  </pic:blipFill>
                  <pic:spPr>
                    <a:xfrm>
                      <a:off x="0" y="0"/>
                      <a:ext cx="2630805" cy="847725"/>
                    </a:xfrm>
                    <a:prstGeom prst="rect">
                      <a:avLst/>
                    </a:prstGeom>
                  </pic:spPr>
                </pic:pic>
              </a:graphicData>
            </a:graphic>
          </wp:anchor>
        </w:drawing>
      </w:r>
    </w:p>
    <w:p w14:paraId="795A51D5" w14:textId="0ABAD841" w:rsidR="0014319F" w:rsidRPr="00383B65" w:rsidRDefault="0014319F" w:rsidP="0014319F">
      <w:pPr>
        <w:spacing w:after="0"/>
        <w:rPr>
          <w:rFonts w:ascii="Verdana" w:hAnsi="Verdana"/>
        </w:rPr>
      </w:pPr>
      <w:r w:rsidRPr="00324A04">
        <w:rPr>
          <w:rFonts w:ascii="Verdana" w:eastAsia="Calibri" w:hAnsi="Verdana" w:cs="Arial"/>
          <w:color w:val="000000" w:themeColor="text1"/>
          <w:lang w:val="es-ES" w:eastAsia="es-ES"/>
        </w:rPr>
        <w:t>Señor</w:t>
      </w:r>
    </w:p>
    <w:p w14:paraId="19026074" w14:textId="77777777" w:rsidR="0014319F" w:rsidRPr="00324A04" w:rsidRDefault="0014319F" w:rsidP="0014319F">
      <w:pPr>
        <w:spacing w:after="0"/>
        <w:rPr>
          <w:rFonts w:ascii="Verdana" w:hAnsi="Verdana"/>
          <w:b/>
          <w:bCs/>
        </w:rPr>
      </w:pPr>
      <w:r w:rsidRPr="00324A04">
        <w:rPr>
          <w:rFonts w:ascii="Verdana" w:hAnsi="Verdana"/>
          <w:b/>
          <w:bCs/>
        </w:rPr>
        <w:t>Herman Augusto Guarumo Vargas</w:t>
      </w:r>
    </w:p>
    <w:p w14:paraId="0B3AF03A" w14:textId="77777777" w:rsidR="0014319F" w:rsidRPr="00324A04" w:rsidRDefault="0014319F" w:rsidP="0014319F">
      <w:pPr>
        <w:spacing w:after="0" w:line="240" w:lineRule="auto"/>
        <w:jc w:val="both"/>
        <w:rPr>
          <w:rFonts w:ascii="Verdana" w:hAnsi="Verdana"/>
        </w:rPr>
      </w:pPr>
      <w:hyperlink r:id="rId12" w:history="1">
        <w:r w:rsidRPr="00324A04">
          <w:rPr>
            <w:rFonts w:ascii="Verdana" w:hAnsi="Verdana"/>
            <w:color w:val="0000FF"/>
            <w:u w:val="single"/>
          </w:rPr>
          <w:t>hguarumoabogados@gmail.com</w:t>
        </w:r>
      </w:hyperlink>
      <w:r w:rsidRPr="00324A04">
        <w:rPr>
          <w:rFonts w:ascii="Verdana" w:hAnsi="Verdana"/>
        </w:rPr>
        <w:t xml:space="preserve"> </w:t>
      </w:r>
    </w:p>
    <w:p w14:paraId="6F1E8961" w14:textId="77777777" w:rsidR="0014319F" w:rsidRPr="00324A04" w:rsidRDefault="0014319F" w:rsidP="0014319F">
      <w:pPr>
        <w:spacing w:after="0" w:line="240" w:lineRule="auto"/>
        <w:jc w:val="both"/>
      </w:pPr>
      <w:r w:rsidRPr="00324A04">
        <w:rPr>
          <w:rFonts w:ascii="Verdana" w:hAnsi="Verdana"/>
        </w:rPr>
        <w:t>Bogotá</w:t>
      </w:r>
      <w:r w:rsidRPr="00324A04">
        <w:rPr>
          <w:rFonts w:ascii="Verdana" w:eastAsia="Calibri" w:hAnsi="Verdana" w:cs="Arial"/>
          <w:color w:val="000000" w:themeColor="text1"/>
          <w:lang w:val="es-ES_tradnl" w:eastAsia="es-ES"/>
        </w:rPr>
        <w:t xml:space="preserve"> D.C</w:t>
      </w:r>
    </w:p>
    <w:p w14:paraId="018943CE" w14:textId="77777777" w:rsidR="0014319F" w:rsidRPr="00324A04" w:rsidRDefault="0014319F" w:rsidP="0014319F">
      <w:pPr>
        <w:spacing w:after="0" w:line="240" w:lineRule="auto"/>
        <w:rPr>
          <w:rFonts w:ascii="Verdana" w:eastAsia="Calibri" w:hAnsi="Verdana" w:cs="Arial"/>
          <w:b/>
          <w:bCs/>
          <w:color w:val="000000" w:themeColor="text1"/>
          <w:lang w:val="es-ES_tradnl" w:eastAsia="es-ES_tradnl"/>
        </w:rPr>
      </w:pPr>
    </w:p>
    <w:p w14:paraId="09FAE92A" w14:textId="77777777" w:rsidR="0014319F" w:rsidRPr="00324A04" w:rsidRDefault="0014319F" w:rsidP="0014319F">
      <w:pPr>
        <w:spacing w:after="0" w:line="240" w:lineRule="auto"/>
        <w:rPr>
          <w:rFonts w:ascii="Verdana" w:eastAsia="Calibri" w:hAnsi="Verdana" w:cs="Arial"/>
          <w:b/>
          <w:bCs/>
          <w:color w:val="000000" w:themeColor="text1"/>
          <w:lang w:val="es-ES_tradnl" w:eastAsia="es-ES_tradnl"/>
        </w:rPr>
      </w:pPr>
      <w:r w:rsidRPr="00324A04">
        <w:rPr>
          <w:rFonts w:ascii="Verdana" w:eastAsia="Calibri" w:hAnsi="Verdana" w:cs="Arial"/>
          <w:b/>
          <w:bCs/>
          <w:color w:val="000000" w:themeColor="text1"/>
          <w:lang w:val="es-ES_tradnl" w:eastAsia="es-ES_tradnl"/>
        </w:rPr>
        <w:t xml:space="preserve">                                   Concepto C-160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4319F" w:rsidRPr="00324A04" w14:paraId="30390468" w14:textId="77777777" w:rsidTr="00E30C97">
        <w:trPr>
          <w:gridAfter w:val="1"/>
          <w:wAfter w:w="6100" w:type="dxa"/>
          <w:trHeight w:val="133"/>
        </w:trPr>
        <w:tc>
          <w:tcPr>
            <w:tcW w:w="2689" w:type="dxa"/>
          </w:tcPr>
          <w:p w14:paraId="79CFB3FE" w14:textId="77777777" w:rsidR="0014319F" w:rsidRPr="00324A04" w:rsidRDefault="0014319F" w:rsidP="00E30C97">
            <w:pPr>
              <w:jc w:val="both"/>
              <w:rPr>
                <w:rFonts w:ascii="Verdana" w:eastAsia="Calibri" w:hAnsi="Verdana" w:cs="Arial"/>
                <w:b/>
                <w:bCs/>
                <w:color w:val="000000" w:themeColor="text1"/>
                <w:highlight w:val="cyan"/>
                <w:lang w:val="es-ES_tradnl" w:eastAsia="es-ES_tradnl"/>
              </w:rPr>
            </w:pPr>
          </w:p>
        </w:tc>
      </w:tr>
      <w:tr w:rsidR="0014319F" w:rsidRPr="00324A04" w14:paraId="41AEEC32" w14:textId="77777777" w:rsidTr="00E30C97">
        <w:trPr>
          <w:trHeight w:val="884"/>
        </w:trPr>
        <w:tc>
          <w:tcPr>
            <w:tcW w:w="2689" w:type="dxa"/>
          </w:tcPr>
          <w:p w14:paraId="166AE605" w14:textId="77777777" w:rsidR="0014319F" w:rsidRPr="00324A04" w:rsidRDefault="0014319F" w:rsidP="00E30C97">
            <w:pPr>
              <w:jc w:val="both"/>
              <w:rPr>
                <w:rFonts w:ascii="Verdana" w:eastAsia="Calibri" w:hAnsi="Verdana" w:cs="Arial"/>
                <w:color w:val="000000" w:themeColor="text1"/>
                <w:highlight w:val="cyan"/>
                <w:lang w:val="es-ES_tradnl" w:eastAsia="es-ES_tradnl"/>
              </w:rPr>
            </w:pPr>
            <w:r w:rsidRPr="00324A04">
              <w:rPr>
                <w:rFonts w:ascii="Verdana" w:eastAsia="Calibri" w:hAnsi="Verdana" w:cs="Arial"/>
                <w:b/>
                <w:color w:val="000000" w:themeColor="text1"/>
                <w:lang w:val="es-ES_tradnl" w:eastAsia="es-ES_tradnl"/>
              </w:rPr>
              <w:t>Temas:</w:t>
            </w:r>
            <w:r w:rsidRPr="00324A04">
              <w:rPr>
                <w:rFonts w:ascii="Verdana" w:eastAsia="Calibri" w:hAnsi="Verdana" w:cs="Arial"/>
                <w:color w:val="000000" w:themeColor="text1"/>
                <w:lang w:val="es-ES_tradnl" w:eastAsia="es-ES_tradnl"/>
              </w:rPr>
              <w:t xml:space="preserve">                   </w:t>
            </w:r>
          </w:p>
        </w:tc>
        <w:tc>
          <w:tcPr>
            <w:tcW w:w="6100" w:type="dxa"/>
          </w:tcPr>
          <w:p w14:paraId="1E07184C" w14:textId="77777777" w:rsidR="0014319F" w:rsidRPr="00324A04" w:rsidRDefault="0014319F" w:rsidP="00E30C97">
            <w:pPr>
              <w:spacing w:line="276" w:lineRule="auto"/>
              <w:jc w:val="both"/>
              <w:rPr>
                <w:rFonts w:ascii="Verdana" w:hAnsi="Verdana" w:cs="Arial"/>
                <w:lang w:val="es-ES" w:eastAsia="es-ES"/>
              </w:rPr>
            </w:pPr>
            <w:r w:rsidRPr="00324A04">
              <w:rPr>
                <w:rFonts w:ascii="Verdana" w:hAnsi="Verdana" w:cs="Arial"/>
                <w:lang w:val="es-ES" w:eastAsia="es-ES"/>
              </w:rPr>
              <w:t xml:space="preserve">LEY DE GARANTÍAS ELECTORALES – Finalidad / LEY DE GARANTÍAS ELECTORALES ‒ Restricciones ‒ Contratación ‒ Tipos de elección ‒ Celebración </w:t>
            </w:r>
            <w:r w:rsidRPr="00324A04">
              <w:rPr>
                <w:rFonts w:ascii="Verdana" w:hAnsi="Verdana" w:cs="Arial"/>
                <w:lang w:val="es-MX" w:eastAsia="es-ES_tradnl"/>
              </w:rPr>
              <w:t>/</w:t>
            </w:r>
            <w:r w:rsidRPr="00324A04">
              <w:rPr>
                <w:rFonts w:ascii="Verdana" w:hAnsi="Verdana"/>
              </w:rPr>
              <w:t xml:space="preserve"> </w:t>
            </w:r>
            <w:r w:rsidRPr="00324A04">
              <w:rPr>
                <w:rFonts w:ascii="Verdana" w:eastAsia="Calibri" w:hAnsi="Verdana" w:cs="Arial"/>
                <w:lang w:val="es-ES" w:eastAsia="es-ES"/>
              </w:rPr>
              <w:t xml:space="preserve">LEY DE GARANTÍAS ELECTORALES ‒ Artículo 33 ‒ Ámbito material ‒ Destinatarios </w:t>
            </w:r>
            <w:r w:rsidRPr="00324A04">
              <w:rPr>
                <w:rFonts w:ascii="Verdana" w:hAnsi="Verdana" w:cs="Arial"/>
                <w:lang w:val="es-MX" w:eastAsia="es-ES_tradnl"/>
              </w:rPr>
              <w:t>/ EMPRESAS DE SERVICIOS TEMPORALES</w:t>
            </w:r>
            <w:r w:rsidRPr="00324A04">
              <w:rPr>
                <w:rFonts w:ascii="Verdana" w:hAnsi="Verdana" w:cs="Arial"/>
                <w:color w:val="000000" w:themeColor="text1"/>
                <w:shd w:val="clear" w:color="auto" w:fill="FFFFFF"/>
                <w:lang w:val="es-ES"/>
              </w:rPr>
              <w:t xml:space="preserve"> </w:t>
            </w:r>
            <w:r w:rsidRPr="00324A04">
              <w:rPr>
                <w:rFonts w:ascii="Verdana" w:hAnsi="Verdana" w:cs="Arial"/>
                <w:color w:val="000000" w:themeColor="text1"/>
                <w:shd w:val="clear" w:color="auto" w:fill="FFFFFF"/>
                <w:lang w:val="es-MX"/>
              </w:rPr>
              <w:t>–</w:t>
            </w:r>
            <w:r w:rsidRPr="00324A04">
              <w:rPr>
                <w:rFonts w:ascii="Verdana" w:hAnsi="Verdana" w:cs="Arial"/>
                <w:color w:val="000000" w:themeColor="text1"/>
                <w:shd w:val="clear" w:color="auto" w:fill="FFFFFF"/>
                <w:lang w:val="es-ES"/>
              </w:rPr>
              <w:t xml:space="preserve"> Definición </w:t>
            </w:r>
            <w:r w:rsidRPr="00324A04">
              <w:rPr>
                <w:rFonts w:ascii="Verdana" w:eastAsia="Calibri" w:hAnsi="Verdana" w:cs="Arial"/>
                <w:lang w:val="es-ES" w:eastAsia="es-ES"/>
              </w:rPr>
              <w:t xml:space="preserve">‒ </w:t>
            </w:r>
            <w:r w:rsidRPr="00324A04">
              <w:rPr>
                <w:rFonts w:ascii="Verdana" w:hAnsi="Verdana" w:cs="Arial"/>
                <w:color w:val="000000" w:themeColor="text1"/>
                <w:shd w:val="clear" w:color="auto" w:fill="FFFFFF"/>
                <w:lang w:val="es-ES"/>
              </w:rPr>
              <w:t>Aplicación ley de garantías</w:t>
            </w:r>
            <w:r w:rsidRPr="00324A04">
              <w:rPr>
                <w:rFonts w:ascii="Verdana" w:hAnsi="Verdana" w:cs="Arial"/>
                <w:color w:val="000000" w:themeColor="text1"/>
                <w:shd w:val="clear" w:color="auto" w:fill="FFFFFF"/>
                <w:lang w:val="es-MX"/>
              </w:rPr>
              <w:t xml:space="preserve"> </w:t>
            </w:r>
          </w:p>
          <w:p w14:paraId="113BE438" w14:textId="77777777" w:rsidR="0014319F" w:rsidRPr="00324A04" w:rsidRDefault="0014319F" w:rsidP="00E30C97">
            <w:pPr>
              <w:spacing w:line="276" w:lineRule="auto"/>
              <w:jc w:val="both"/>
              <w:rPr>
                <w:rFonts w:ascii="Verdana" w:hAnsi="Verdana" w:cs="Arial"/>
                <w:bCs/>
                <w:color w:val="000000" w:themeColor="text1"/>
                <w:highlight w:val="cyan"/>
              </w:rPr>
            </w:pPr>
          </w:p>
        </w:tc>
      </w:tr>
      <w:tr w:rsidR="0014319F" w:rsidRPr="00324A04" w14:paraId="556E47BA" w14:textId="77777777" w:rsidTr="00E30C97">
        <w:tc>
          <w:tcPr>
            <w:tcW w:w="2689" w:type="dxa"/>
          </w:tcPr>
          <w:p w14:paraId="6EA80850" w14:textId="77777777" w:rsidR="0014319F" w:rsidRPr="00324A04" w:rsidRDefault="0014319F" w:rsidP="00E30C97">
            <w:pPr>
              <w:jc w:val="both"/>
              <w:rPr>
                <w:rFonts w:ascii="Verdana" w:eastAsia="Calibri" w:hAnsi="Verdana" w:cs="Arial"/>
                <w:b/>
                <w:color w:val="000000" w:themeColor="text1"/>
                <w:lang w:val="es-ES_tradnl" w:eastAsia="es-ES_tradnl"/>
              </w:rPr>
            </w:pPr>
            <w:r w:rsidRPr="00324A04">
              <w:rPr>
                <w:rFonts w:ascii="Verdana" w:eastAsia="Calibri" w:hAnsi="Verdana" w:cs="Arial"/>
                <w:b/>
                <w:color w:val="000000" w:themeColor="text1"/>
                <w:lang w:val="es-ES_tradnl" w:eastAsia="es-ES_tradnl"/>
              </w:rPr>
              <w:t>Radicación:</w:t>
            </w:r>
            <w:r w:rsidRPr="00324A04">
              <w:rPr>
                <w:rFonts w:ascii="Verdana" w:eastAsia="Calibri" w:hAnsi="Verdana" w:cs="Arial"/>
                <w:color w:val="000000" w:themeColor="text1"/>
                <w:lang w:val="es-ES_tradnl" w:eastAsia="es-ES_tradnl"/>
              </w:rPr>
              <w:t xml:space="preserve">               </w:t>
            </w:r>
          </w:p>
        </w:tc>
        <w:tc>
          <w:tcPr>
            <w:tcW w:w="6100" w:type="dxa"/>
          </w:tcPr>
          <w:p w14:paraId="3F53D036" w14:textId="77777777" w:rsidR="0014319F" w:rsidRPr="00324A04" w:rsidRDefault="0014319F" w:rsidP="00E30C97">
            <w:pPr>
              <w:jc w:val="both"/>
              <w:rPr>
                <w:rFonts w:ascii="Verdana" w:hAnsi="Verdana" w:cs="Arial"/>
              </w:rPr>
            </w:pPr>
            <w:r w:rsidRPr="00324A04">
              <w:rPr>
                <w:rFonts w:ascii="Verdana" w:eastAsia="Calibri" w:hAnsi="Verdana" w:cs="Arial"/>
                <w:color w:val="000000" w:themeColor="text1"/>
                <w:lang w:val="es-ES_tradnl" w:eastAsia="es-ES_tradnl"/>
              </w:rPr>
              <w:t>Respuesta a consulta con radicado No.</w:t>
            </w:r>
            <w:r w:rsidRPr="00324A04">
              <w:rPr>
                <w:rFonts w:ascii="Verdana" w:hAnsi="Verdana"/>
              </w:rPr>
              <w:t xml:space="preserve"> 1_2026_02_05_001431</w:t>
            </w:r>
          </w:p>
          <w:p w14:paraId="0D6777DE" w14:textId="77777777" w:rsidR="0014319F" w:rsidRPr="00324A04" w:rsidRDefault="0014319F" w:rsidP="00E30C97">
            <w:pPr>
              <w:jc w:val="both"/>
              <w:rPr>
                <w:rFonts w:ascii="Verdana" w:hAnsi="Verdana"/>
                <w:color w:val="000000"/>
              </w:rPr>
            </w:pPr>
          </w:p>
        </w:tc>
      </w:tr>
    </w:tbl>
    <w:p w14:paraId="02C2A0BC" w14:textId="77777777" w:rsidR="0014319F" w:rsidRPr="00324A04" w:rsidRDefault="0014319F" w:rsidP="0014319F">
      <w:pPr>
        <w:spacing w:after="0" w:line="276" w:lineRule="auto"/>
        <w:jc w:val="both"/>
        <w:rPr>
          <w:rFonts w:ascii="Verdana" w:eastAsia="Calibri" w:hAnsi="Verdana" w:cs="Arial"/>
          <w:color w:val="000000" w:themeColor="text1"/>
          <w:lang w:val="es-ES" w:eastAsia="es-ES"/>
        </w:rPr>
      </w:pPr>
      <w:r w:rsidRPr="00324A04">
        <w:rPr>
          <w:rFonts w:ascii="Verdana" w:eastAsia="Calibri" w:hAnsi="Verdana" w:cs="Arial"/>
          <w:color w:val="000000" w:themeColor="text1"/>
          <w:lang w:val="es-ES" w:eastAsia="es-ES"/>
        </w:rPr>
        <w:t xml:space="preserve">Estimado señor Guarumo: </w:t>
      </w:r>
    </w:p>
    <w:p w14:paraId="7F9D10ED" w14:textId="77777777" w:rsidR="0014319F" w:rsidRPr="00324A04" w:rsidRDefault="0014319F" w:rsidP="0014319F">
      <w:pPr>
        <w:spacing w:after="0"/>
        <w:rPr>
          <w:rFonts w:ascii="Verdana" w:eastAsia="Times New Roman" w:hAnsi="Verdana" w:cs="Segoe UI"/>
          <w:lang w:eastAsia="es-CO"/>
        </w:rPr>
      </w:pPr>
    </w:p>
    <w:p w14:paraId="479F62FD" w14:textId="77777777" w:rsidR="0014319F" w:rsidRPr="00324A04" w:rsidRDefault="0014319F" w:rsidP="0014319F">
      <w:pPr>
        <w:spacing w:after="0" w:line="276" w:lineRule="auto"/>
        <w:jc w:val="both"/>
        <w:rPr>
          <w:rFonts w:ascii="Verdana" w:hAnsi="Verdana" w:cs="Arial"/>
          <w:color w:val="000000" w:themeColor="text1"/>
        </w:rPr>
      </w:pPr>
      <w:r w:rsidRPr="00324A04">
        <w:rPr>
          <w:rFonts w:ascii="Verdana" w:eastAsia="Calibri" w:hAnsi="Verdana" w:cs="Arial"/>
          <w:color w:val="000000" w:themeColor="text1"/>
          <w:lang w:val="es-ES" w:eastAsia="es-ES"/>
        </w:rPr>
        <w:t>En ejercicio de la competencia otorgada por los artículos 3, numeral 5º, y 11, numeral 8º, del Decreto Ley 4170 de 2011,</w:t>
      </w:r>
      <w:r w:rsidRPr="00324A04">
        <w:rPr>
          <w:rFonts w:ascii="Verdana" w:eastAsia="Arial MT" w:hAnsi="Verdana" w:cs="Arial MT"/>
          <w:color w:val="000000" w:themeColor="text1"/>
          <w:lang w:val="es-ES" w:eastAsia="es-ES"/>
        </w:rPr>
        <w:t xml:space="preserve"> </w:t>
      </w:r>
      <w:r w:rsidRPr="00324A04">
        <w:rPr>
          <w:rFonts w:ascii="Verdana" w:hAnsi="Verdana" w:cs="Arial"/>
          <w:lang w:val="es-ES_tradnl"/>
        </w:rPr>
        <w:t>así como lo establecido en</w:t>
      </w:r>
      <w:r w:rsidRPr="00324A04">
        <w:rPr>
          <w:rFonts w:ascii="Verdana" w:hAnsi="Verdana" w:cs="Arial"/>
        </w:rPr>
        <w:t xml:space="preserve"> la Resolución 469 de 2025 expedida por esta Entidad</w:t>
      </w:r>
      <w:r w:rsidRPr="00324A04">
        <w:rPr>
          <w:rFonts w:ascii="Verdana" w:hAnsi="Verdana" w:cs="Arial"/>
          <w:color w:val="000000" w:themeColor="text1"/>
        </w:rPr>
        <w:t xml:space="preserve">, </w:t>
      </w:r>
      <w:r w:rsidRPr="00324A04">
        <w:rPr>
          <w:rFonts w:ascii="Verdana" w:eastAsia="Calibri" w:hAnsi="Verdana" w:cs="Arial"/>
          <w:color w:val="000000" w:themeColor="text1"/>
          <w:lang w:val="es-ES" w:eastAsia="es-ES"/>
        </w:rPr>
        <w:t xml:space="preserve">la Agencia Nacional de Contratación Pública – Colombia Compra Eficiente– responde su solicitud de consulta del 5 de febrero del 2026, en la cual manifiesta lo siguiente: </w:t>
      </w:r>
    </w:p>
    <w:p w14:paraId="48A55D4D" w14:textId="77777777" w:rsidR="0014319F" w:rsidRPr="00324A04" w:rsidRDefault="0014319F" w:rsidP="0014319F">
      <w:pPr>
        <w:autoSpaceDE w:val="0"/>
        <w:autoSpaceDN w:val="0"/>
        <w:adjustRightInd w:val="0"/>
        <w:spacing w:after="0" w:line="240" w:lineRule="auto"/>
        <w:rPr>
          <w:rFonts w:ascii="Verdana" w:hAnsi="Verdana" w:cs="Verdana"/>
          <w:color w:val="000000"/>
          <w:sz w:val="24"/>
          <w:szCs w:val="24"/>
        </w:rPr>
      </w:pPr>
    </w:p>
    <w:p w14:paraId="0AF92134" w14:textId="77777777" w:rsidR="0014319F" w:rsidRPr="00324A04" w:rsidRDefault="0014319F" w:rsidP="0014319F">
      <w:pPr>
        <w:spacing w:after="0" w:line="240" w:lineRule="auto"/>
        <w:ind w:left="709" w:right="709"/>
        <w:jc w:val="both"/>
        <w:rPr>
          <w:rFonts w:ascii="Verdana" w:hAnsi="Verdana" w:cs="Verdana"/>
          <w:color w:val="000000" w:themeColor="text1"/>
          <w:sz w:val="20"/>
          <w:szCs w:val="20"/>
        </w:rPr>
      </w:pPr>
      <w:r w:rsidRPr="00324A04">
        <w:rPr>
          <w:rFonts w:ascii="Verdana" w:hAnsi="Verdana" w:cs="Verdana"/>
          <w:color w:val="000000" w:themeColor="text1"/>
          <w:sz w:val="20"/>
          <w:szCs w:val="20"/>
        </w:rPr>
        <w:t>“</w:t>
      </w:r>
      <w:proofErr w:type="gramStart"/>
      <w:r w:rsidRPr="00324A04">
        <w:rPr>
          <w:rFonts w:ascii="Verdana" w:hAnsi="Verdana" w:cs="Verdana"/>
          <w:color w:val="000000" w:themeColor="text1"/>
          <w:sz w:val="20"/>
          <w:szCs w:val="20"/>
        </w:rPr>
        <w:t>1.¿</w:t>
      </w:r>
      <w:proofErr w:type="gramEnd"/>
      <w:r w:rsidRPr="00324A04">
        <w:rPr>
          <w:rFonts w:ascii="Verdana" w:hAnsi="Verdana" w:cs="Verdana"/>
          <w:color w:val="000000" w:themeColor="text1"/>
          <w:sz w:val="20"/>
          <w:szCs w:val="20"/>
        </w:rPr>
        <w:t>Si en vigencia de las prohibiciones de la Ley de Garantías se pueden contratar Empresas de Servicios Temporales a través de mecanismos de contratación pública para la prestación de servicios de vinculación para el personal destinado al cumplimiento de deberes públicos con cargo a recursos públicos?</w:t>
      </w:r>
    </w:p>
    <w:p w14:paraId="127B6D48" w14:textId="77777777" w:rsidR="0014319F" w:rsidRPr="00324A04" w:rsidRDefault="0014319F" w:rsidP="0014319F">
      <w:pPr>
        <w:spacing w:after="0" w:line="240" w:lineRule="auto"/>
        <w:ind w:left="709" w:right="709"/>
        <w:jc w:val="both"/>
        <w:rPr>
          <w:rFonts w:ascii="Verdana" w:hAnsi="Verdana" w:cs="Verdana"/>
          <w:color w:val="000000" w:themeColor="text1"/>
          <w:sz w:val="20"/>
          <w:szCs w:val="20"/>
        </w:rPr>
      </w:pPr>
    </w:p>
    <w:p w14:paraId="241C2F23" w14:textId="77777777" w:rsidR="0014319F" w:rsidRPr="00324A04" w:rsidRDefault="0014319F" w:rsidP="0014319F">
      <w:pPr>
        <w:spacing w:after="0" w:line="240" w:lineRule="auto"/>
        <w:ind w:left="709" w:right="709"/>
        <w:jc w:val="both"/>
        <w:rPr>
          <w:rFonts w:ascii="Verdana" w:hAnsi="Verdana" w:cs="Verdana"/>
          <w:color w:val="000000" w:themeColor="text1"/>
          <w:sz w:val="20"/>
          <w:szCs w:val="20"/>
        </w:rPr>
      </w:pPr>
      <w:r w:rsidRPr="00324A04">
        <w:rPr>
          <w:rFonts w:ascii="Verdana" w:hAnsi="Verdana" w:cs="Verdana"/>
          <w:color w:val="000000" w:themeColor="text1"/>
          <w:sz w:val="20"/>
          <w:szCs w:val="20"/>
        </w:rPr>
        <w:t>2. En concordancia con la primera pregunta, por favor infórmeme si la contratación de personal a través de EST se encuentra enmarcada o si es una excepción a la regla de la prohibición contemplada en la Ley de Garantías sobre movimiento de personal o nómina”.</w:t>
      </w:r>
    </w:p>
    <w:p w14:paraId="68490C3B" w14:textId="77777777" w:rsidR="0014319F" w:rsidRPr="00324A04" w:rsidRDefault="0014319F" w:rsidP="0014319F">
      <w:pPr>
        <w:spacing w:after="0" w:line="240" w:lineRule="auto"/>
        <w:ind w:left="709" w:right="709"/>
        <w:jc w:val="both"/>
        <w:rPr>
          <w:rFonts w:ascii="Verdana" w:eastAsia="Times New Roman" w:hAnsi="Verdana" w:cs="Arial"/>
          <w:i/>
          <w:iCs/>
          <w:sz w:val="20"/>
          <w:szCs w:val="20"/>
          <w:lang w:eastAsia="es-ES_tradnl"/>
        </w:rPr>
      </w:pPr>
    </w:p>
    <w:p w14:paraId="55672E51" w14:textId="77777777" w:rsidR="0014319F" w:rsidRPr="00324A04" w:rsidRDefault="0014319F" w:rsidP="0014319F">
      <w:pPr>
        <w:spacing w:after="120" w:line="276" w:lineRule="auto"/>
        <w:ind w:firstLine="709"/>
        <w:jc w:val="both"/>
        <w:rPr>
          <w:rFonts w:ascii="Verdana" w:eastAsia="Calibri" w:hAnsi="Verdana" w:cs="Arial"/>
          <w:color w:val="000000" w:themeColor="text1"/>
          <w:szCs w:val="24"/>
          <w:lang w:val="es-ES_tradnl" w:eastAsia="es-ES_tradnl"/>
        </w:rPr>
      </w:pPr>
      <w:r w:rsidRPr="00324A04">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24A04">
        <w:rPr>
          <w:rFonts w:ascii="Verdana" w:eastAsia="Calibri" w:hAnsi="Verdana" w:cs="Arial"/>
          <w:color w:val="000000" w:themeColor="text1"/>
          <w:szCs w:val="24"/>
          <w:lang w:val="es-ES_tradnl" w:eastAsia="es-ES_tradnl"/>
        </w:rPr>
        <w:tab/>
      </w:r>
    </w:p>
    <w:p w14:paraId="7268AF11" w14:textId="77777777" w:rsidR="0014319F" w:rsidRPr="00324A04" w:rsidRDefault="0014319F" w:rsidP="0014319F">
      <w:pPr>
        <w:spacing w:after="0" w:line="276" w:lineRule="auto"/>
        <w:ind w:firstLine="709"/>
        <w:jc w:val="both"/>
        <w:rPr>
          <w:rFonts w:ascii="Verdana" w:eastAsia="Calibri" w:hAnsi="Verdana" w:cs="Arial"/>
          <w:color w:val="000000" w:themeColor="text1"/>
          <w:lang w:val="es-ES" w:eastAsia="es-ES"/>
        </w:rPr>
      </w:pPr>
      <w:r w:rsidRPr="00324A0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511109E" w14:textId="77777777" w:rsidR="0014319F" w:rsidRPr="00324A04" w:rsidRDefault="0014319F" w:rsidP="0014319F">
      <w:pPr>
        <w:spacing w:after="0" w:line="276" w:lineRule="auto"/>
        <w:jc w:val="both"/>
        <w:rPr>
          <w:rFonts w:ascii="Verdana" w:eastAsia="Calibri" w:hAnsi="Verdana" w:cs="Arial"/>
          <w:color w:val="000000" w:themeColor="text1"/>
          <w:lang w:val="es-ES" w:eastAsia="es-ES"/>
        </w:rPr>
      </w:pPr>
    </w:p>
    <w:p w14:paraId="6AB75789" w14:textId="77777777" w:rsidR="0014319F" w:rsidRPr="00324A04" w:rsidRDefault="0014319F" w:rsidP="0014319F">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Problema planteado:</w:t>
      </w:r>
    </w:p>
    <w:p w14:paraId="16A61051" w14:textId="77777777" w:rsidR="0014319F" w:rsidRPr="00324A04" w:rsidRDefault="0014319F" w:rsidP="0014319F">
      <w:pPr>
        <w:tabs>
          <w:tab w:val="left" w:pos="426"/>
        </w:tabs>
        <w:spacing w:after="0" w:line="276" w:lineRule="auto"/>
        <w:jc w:val="both"/>
        <w:rPr>
          <w:rFonts w:ascii="Verdana" w:eastAsia="Century Gothic" w:hAnsi="Verdana" w:cs="Century Gothic"/>
          <w:color w:val="000000" w:themeColor="text1"/>
          <w:lang w:val="es-ES"/>
        </w:rPr>
      </w:pPr>
    </w:p>
    <w:p w14:paraId="7BCCBC54" w14:textId="77777777" w:rsidR="0014319F" w:rsidRPr="00324A04" w:rsidRDefault="0014319F" w:rsidP="0014319F">
      <w:pPr>
        <w:spacing w:after="0" w:line="276" w:lineRule="auto"/>
        <w:jc w:val="both"/>
        <w:rPr>
          <w:rFonts w:ascii="Verdana" w:eastAsia="Century Gothic" w:hAnsi="Verdana" w:cs="Century Gothic"/>
        </w:rPr>
      </w:pPr>
      <w:r w:rsidRPr="00324A04">
        <w:rPr>
          <w:rFonts w:ascii="Verdana" w:eastAsia="Century Gothic" w:hAnsi="Verdana" w:cs="Century Gothic"/>
          <w:color w:val="000000" w:themeColor="text1"/>
        </w:rPr>
        <w:t xml:space="preserve">De acuerdo con el contenido de su solicitud, esta Agencia resolverá el siguiente problema jurídico: </w:t>
      </w:r>
      <w:r w:rsidRPr="00324A04">
        <w:rPr>
          <w:rFonts w:ascii="Verdana" w:eastAsia="Century Gothic" w:hAnsi="Verdana" w:cs="Century Gothic"/>
        </w:rPr>
        <w:t>¿</w:t>
      </w:r>
      <w:r>
        <w:rPr>
          <w:rFonts w:ascii="Verdana" w:eastAsia="Century Gothic" w:hAnsi="Verdana" w:cs="Century Gothic"/>
        </w:rPr>
        <w:t xml:space="preserve">es jurídicamente viable celebrar contratos con empresas de servicios temporales en los periodos preelectorales en los que rige la restricción </w:t>
      </w:r>
      <w:r w:rsidRPr="00324A04">
        <w:rPr>
          <w:rFonts w:ascii="Verdana" w:eastAsia="Century Gothic" w:hAnsi="Verdana" w:cs="Century Gothic"/>
        </w:rPr>
        <w:t xml:space="preserve">artículo 33 de la Ley </w:t>
      </w:r>
      <w:r>
        <w:rPr>
          <w:rFonts w:ascii="Verdana" w:eastAsia="Century Gothic" w:hAnsi="Verdana" w:cs="Century Gothic"/>
        </w:rPr>
        <w:t>996 de 2005</w:t>
      </w:r>
      <w:r w:rsidRPr="00324A04">
        <w:rPr>
          <w:rFonts w:ascii="Verdana" w:eastAsia="Times New Roman" w:hAnsi="Verdana" w:cs="Arial"/>
          <w:lang w:eastAsia="es-MX"/>
        </w:rPr>
        <w:t>?</w:t>
      </w:r>
    </w:p>
    <w:p w14:paraId="7861D899" w14:textId="77777777" w:rsidR="0014319F" w:rsidRPr="00324A04" w:rsidRDefault="0014319F" w:rsidP="0014319F">
      <w:pPr>
        <w:spacing w:after="0" w:line="276" w:lineRule="auto"/>
        <w:jc w:val="both"/>
        <w:rPr>
          <w:rFonts w:ascii="Verdana" w:eastAsia="Century Gothic" w:hAnsi="Verdana" w:cs="Century Gothic"/>
          <w:color w:val="000000" w:themeColor="text1"/>
        </w:rPr>
      </w:pPr>
    </w:p>
    <w:p w14:paraId="5CBF6FF9" w14:textId="77777777" w:rsidR="0014319F" w:rsidRPr="00324A04" w:rsidRDefault="0014319F" w:rsidP="0014319F">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 xml:space="preserve">Respuesta: </w:t>
      </w:r>
    </w:p>
    <w:p w14:paraId="3737902E" w14:textId="77777777" w:rsidR="0014319F" w:rsidRPr="00324A04" w:rsidRDefault="0014319F" w:rsidP="0014319F">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4319F" w:rsidRPr="00324A04" w14:paraId="7CD4D962" w14:textId="77777777" w:rsidTr="00E30C97">
        <w:tc>
          <w:tcPr>
            <w:tcW w:w="8828" w:type="dxa"/>
          </w:tcPr>
          <w:p w14:paraId="69A2FDB0" w14:textId="77777777" w:rsidR="0014319F" w:rsidRPr="00324A04" w:rsidRDefault="0014319F" w:rsidP="00E30C97">
            <w:pPr>
              <w:spacing w:after="120" w:line="276" w:lineRule="auto"/>
              <w:jc w:val="both"/>
              <w:rPr>
                <w:rFonts w:ascii="Verdana" w:eastAsia="Times New Roman" w:hAnsi="Verdana" w:cs="Arial"/>
                <w:bCs/>
                <w:lang w:val="es-MX" w:eastAsia="x-none"/>
              </w:rPr>
            </w:pPr>
            <w:r w:rsidRPr="00324A04">
              <w:rPr>
                <w:rFonts w:ascii="Verdana" w:eastAsia="Calibri" w:hAnsi="Verdana" w:cs="Arial"/>
                <w:lang w:val="es-MX"/>
              </w:rPr>
              <w:t xml:space="preserve">Conforme a la interpretación general de las normas del sistema de compras públicas, la restricción prevista en el artículo 33 de la Ley 996 de 2005 cobija a cualquier entidad pública independiente del régimen jurídico, que pueda mediante la contratación directa romper el equilibrio entre los candidatos en desarrollo de las elecciones presidenciales. </w:t>
            </w:r>
            <w:r w:rsidRPr="00324A04">
              <w:rPr>
                <w:rFonts w:ascii="Verdana" w:eastAsia="Times New Roman" w:hAnsi="Verdana" w:cs="Arial"/>
                <w:bCs/>
                <w:lang w:val="es-MX" w:eastAsia="x-none"/>
              </w:rPr>
              <w:t xml:space="preserve">Dicha norma aplica frente a la contratación directa, entendida como cualquier sistema de selección o procedimiento de contratación utilizada por las entidades estatales que no incluya la convocatoria pública en alguna de sus etapas, ni permita la </w:t>
            </w:r>
            <w:r w:rsidRPr="00324A04">
              <w:rPr>
                <w:rFonts w:ascii="Verdana" w:eastAsia="Times New Roman" w:hAnsi="Verdana" w:cs="Arial"/>
                <w:bCs/>
                <w:lang w:val="es-MX" w:eastAsia="x-none"/>
              </w:rPr>
              <w:lastRenderedPageBreak/>
              <w:t>participación de una pluralidad de oferentes, ya sea en aplicación de normas del Estatuto General de Contratación de la Administración Pública, así como de regímenes especiales.</w:t>
            </w:r>
          </w:p>
          <w:p w14:paraId="2CEB45FF" w14:textId="77777777" w:rsidR="0014319F" w:rsidRPr="00324A04" w:rsidRDefault="0014319F" w:rsidP="00E30C97">
            <w:pPr>
              <w:spacing w:after="120" w:line="276" w:lineRule="auto"/>
              <w:ind w:firstLine="737"/>
              <w:jc w:val="both"/>
              <w:rPr>
                <w:rFonts w:ascii="Verdana" w:eastAsia="Times New Roman" w:hAnsi="Verdana" w:cs="Arial"/>
                <w:bCs/>
                <w:lang w:val="es-MX" w:eastAsia="x-none"/>
              </w:rPr>
            </w:pPr>
            <w:r w:rsidRPr="00324A04">
              <w:rPr>
                <w:rFonts w:ascii="Verdana" w:eastAsia="Times New Roman" w:hAnsi="Verdana" w:cs="Arial"/>
                <w:bCs/>
                <w:lang w:val="es-MX" w:eastAsia="x-none"/>
              </w:rPr>
              <w:t xml:space="preserve">Lo anterior, sin perjuicio de las excepciones a la prohibición establecidas en el inciso segundo del mismo artículo 33 </w:t>
            </w:r>
            <w:r w:rsidRPr="00324A04">
              <w:rPr>
                <w:rFonts w:ascii="Verdana" w:eastAsia="Calibri" w:hAnsi="Verdana" w:cs="Arial"/>
                <w:lang w:val="es-MX"/>
              </w:rPr>
              <w:t>de la Ley 996 de 2005</w:t>
            </w:r>
            <w:r w:rsidRPr="00324A04">
              <w:rPr>
                <w:rFonts w:ascii="Verdana" w:eastAsia="Times New Roman" w:hAnsi="Verdana" w:cs="Arial"/>
                <w:bCs/>
                <w:lang w:val="es-MX" w:eastAsia="x-none"/>
              </w:rPr>
              <w:t xml:space="preserve">, como son: i) la defensa y seguridad del Estado; </w:t>
            </w:r>
            <w:proofErr w:type="spellStart"/>
            <w:r w:rsidRPr="00324A04">
              <w:rPr>
                <w:rFonts w:ascii="Verdana" w:eastAsia="Times New Roman" w:hAnsi="Verdana" w:cs="Arial"/>
                <w:bCs/>
                <w:lang w:val="es-MX" w:eastAsia="x-none"/>
              </w:rPr>
              <w:t>ii</w:t>
            </w:r>
            <w:proofErr w:type="spellEnd"/>
            <w:r w:rsidRPr="00324A04">
              <w:rPr>
                <w:rFonts w:ascii="Verdana" w:eastAsia="Times New Roman" w:hAnsi="Verdana" w:cs="Arial"/>
                <w:bCs/>
                <w:lang w:val="es-MX" w:eastAsia="x-none"/>
              </w:rPr>
              <w:t xml:space="preserve">) los contratos de crédito público; </w:t>
            </w:r>
            <w:proofErr w:type="spellStart"/>
            <w:r w:rsidRPr="00324A04">
              <w:rPr>
                <w:rFonts w:ascii="Verdana" w:eastAsia="Times New Roman" w:hAnsi="Verdana" w:cs="Arial"/>
                <w:bCs/>
                <w:lang w:val="es-MX" w:eastAsia="x-none"/>
              </w:rPr>
              <w:t>iii</w:t>
            </w:r>
            <w:proofErr w:type="spellEnd"/>
            <w:r w:rsidRPr="00324A04">
              <w:rPr>
                <w:rFonts w:ascii="Verdana" w:eastAsia="Times New Roman" w:hAnsi="Verdana" w:cs="Arial"/>
                <w:bCs/>
                <w:lang w:val="es-MX" w:eastAsia="x-none"/>
              </w:rPr>
              <w:t xml:space="preserve">) los requeridos para cubrir las emergencias educativas, sanitarias y desastres; </w:t>
            </w:r>
            <w:proofErr w:type="spellStart"/>
            <w:r w:rsidRPr="00324A04">
              <w:rPr>
                <w:rFonts w:ascii="Verdana" w:eastAsia="Times New Roman" w:hAnsi="Verdana" w:cs="Arial"/>
                <w:bCs/>
                <w:lang w:val="es-MX" w:eastAsia="x-none"/>
              </w:rPr>
              <w:t>iv</w:t>
            </w:r>
            <w:proofErr w:type="spellEnd"/>
            <w:r w:rsidRPr="00324A04">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8E9012E" w14:textId="77777777" w:rsidR="0014319F" w:rsidRPr="00324A04" w:rsidRDefault="0014319F" w:rsidP="00E30C97">
            <w:pPr>
              <w:spacing w:after="120" w:line="276" w:lineRule="auto"/>
              <w:ind w:firstLine="737"/>
              <w:jc w:val="both"/>
              <w:rPr>
                <w:rFonts w:ascii="Verdana" w:eastAsia="Times New Roman" w:hAnsi="Verdana" w:cs="Arial"/>
                <w:lang w:val="es-MX"/>
              </w:rPr>
            </w:pPr>
            <w:r w:rsidRPr="00324A04">
              <w:rPr>
                <w:rFonts w:ascii="Verdana" w:eastAsia="Times New Roman" w:hAnsi="Verdana" w:cs="Arial"/>
                <w:lang w:eastAsia="x-none"/>
              </w:rPr>
              <w:t xml:space="preserve">En este sentido, la prohibición del artículo 33 de la Ley de Garantías Electorales se refiere a </w:t>
            </w:r>
            <w:r w:rsidRPr="00324A04">
              <w:rPr>
                <w:rFonts w:ascii="Verdana" w:eastAsia="Times New Roman" w:hAnsi="Verdana" w:cs="Arial"/>
                <w:sz w:val="19"/>
                <w:szCs w:val="19"/>
                <w:lang w:eastAsia="en-GB"/>
              </w:rPr>
              <w:t>“</w:t>
            </w:r>
            <w:r w:rsidRPr="00324A04">
              <w:rPr>
                <w:rFonts w:ascii="Verdana" w:eastAsia="Times New Roman" w:hAnsi="Verdana" w:cs="Arial"/>
                <w:lang w:eastAsia="x-none"/>
              </w:rPr>
              <w:t>cualquier sistema que no implique convocatoria pública y posibilidad de pluralidad de oferentes</w:t>
            </w:r>
            <w:r w:rsidRPr="00324A04">
              <w:rPr>
                <w:rFonts w:ascii="Verdana" w:eastAsia="Times New Roman" w:hAnsi="Verdana" w:cs="Arial"/>
                <w:lang w:eastAsia="en-GB"/>
              </w:rPr>
              <w:t>”</w:t>
            </w:r>
            <w:r w:rsidRPr="00324A04">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324A04">
              <w:rPr>
                <w:rFonts w:ascii="Verdana" w:eastAsia="Times New Roman" w:hAnsi="Verdana" w:cs="Arial"/>
                <w:lang w:val="es-ES_tradnl" w:eastAsia="x-none"/>
              </w:rPr>
              <w:t xml:space="preserve">y la mínima cuantía </w:t>
            </w:r>
            <w:r w:rsidRPr="00324A04">
              <w:rPr>
                <w:rFonts w:ascii="Verdana" w:eastAsia="Times New Roman" w:hAnsi="Verdana" w:cs="Arial"/>
                <w:lang w:eastAsia="x-none"/>
              </w:rPr>
              <w:t>u otros previstos en normas especiales</w:t>
            </w:r>
            <w:r w:rsidRPr="00324A04">
              <w:rPr>
                <w:rFonts w:ascii="Verdana" w:eastAsia="Times New Roman" w:hAnsi="Verdana" w:cs="Arial"/>
                <w:lang w:val="es-MX"/>
              </w:rPr>
              <w:t xml:space="preserve">. </w:t>
            </w:r>
          </w:p>
          <w:p w14:paraId="7DDF2EBA" w14:textId="77777777" w:rsidR="0014319F" w:rsidRPr="00324A04" w:rsidRDefault="0014319F" w:rsidP="00E30C97">
            <w:pPr>
              <w:widowControl w:val="0"/>
              <w:autoSpaceDE w:val="0"/>
              <w:autoSpaceDN w:val="0"/>
              <w:spacing w:after="120" w:line="276" w:lineRule="auto"/>
              <w:ind w:left="102" w:right="104" w:firstLine="607"/>
              <w:jc w:val="both"/>
              <w:rPr>
                <w:rFonts w:ascii="Verdana" w:eastAsia="Arial" w:hAnsi="Verdana" w:cs="Arial"/>
                <w:sz w:val="20"/>
                <w:lang w:val="es-ES"/>
              </w:rPr>
            </w:pPr>
            <w:r w:rsidRPr="00324A04">
              <w:rPr>
                <w:rFonts w:ascii="Verdana" w:eastAsia="Times New Roman" w:hAnsi="Verdana" w:cs="Arial"/>
                <w:bCs/>
                <w:lang w:val="es-MX" w:eastAsia="x-none"/>
              </w:rPr>
              <w:t xml:space="preserve">Por otra parte, es necesario tener en cuenta que </w:t>
            </w:r>
            <w:r w:rsidRPr="00324A04">
              <w:rPr>
                <w:rFonts w:ascii="Verdana" w:eastAsia="Arial" w:hAnsi="Verdana" w:cs="Arial"/>
                <w:lang w:val="es-ES"/>
              </w:rPr>
              <w:t>conforme con lo señalado por el Consejo de Estado las necesidades de personal temporal de las entidades públicas sujetas al ámbito regulador de la Ley 909 de 2004, deben ser satisfechas mediante la creación de empleos de carácter temporal en las condiciones y con los requisitos previstos en dicha ley, “cuando se trate de funciones propias de la entidad que impliquen subordinación y que no puedan suplirse con personal de planta, y no mediante el empleo de otras herramientas jurídicas como lo sería la contratación de servicios personales con terceros, en donde, casi siempre, se presentan condiciones de subordinación en el cumplimiento de las funciones contratadas, que desdibujan el vínculo, y esconden una verdadera relación de</w:t>
            </w:r>
            <w:r w:rsidRPr="00324A04">
              <w:rPr>
                <w:rFonts w:ascii="Verdana" w:eastAsia="Arial" w:hAnsi="Verdana" w:cs="Arial"/>
                <w:spacing w:val="-10"/>
                <w:lang w:val="es-ES"/>
              </w:rPr>
              <w:t xml:space="preserve"> </w:t>
            </w:r>
            <w:r w:rsidRPr="00324A04">
              <w:rPr>
                <w:rFonts w:ascii="Verdana" w:eastAsia="Arial" w:hAnsi="Verdana" w:cs="Arial"/>
                <w:lang w:val="es-ES"/>
              </w:rPr>
              <w:t>trabajo”</w:t>
            </w:r>
            <w:r w:rsidRPr="00324A04">
              <w:rPr>
                <w:rFonts w:ascii="Verdana" w:eastAsia="Arial" w:hAnsi="Verdana" w:cs="Arial"/>
                <w:sz w:val="20"/>
                <w:lang w:val="es-ES"/>
              </w:rPr>
              <w:t>.</w:t>
            </w:r>
          </w:p>
          <w:p w14:paraId="7610A0C9" w14:textId="77777777" w:rsidR="0014319F" w:rsidRPr="00324A04" w:rsidRDefault="0014319F" w:rsidP="00E30C97">
            <w:pPr>
              <w:spacing w:after="120" w:line="276" w:lineRule="auto"/>
              <w:ind w:firstLine="709"/>
              <w:jc w:val="both"/>
              <w:rPr>
                <w:rFonts w:ascii="Verdana" w:eastAsia="Times New Roman" w:hAnsi="Verdana" w:cs="Arial"/>
                <w:bCs/>
                <w:lang w:val="es-MX" w:eastAsia="x-none"/>
              </w:rPr>
            </w:pPr>
            <w:r w:rsidRPr="00324A04">
              <w:rPr>
                <w:rFonts w:ascii="Verdana" w:eastAsia="Times New Roman" w:hAnsi="Verdana" w:cs="Arial"/>
                <w:bCs/>
                <w:lang w:val="es-ES" w:eastAsia="es-CO"/>
              </w:rPr>
              <w:t>De esta forma, e</w:t>
            </w:r>
            <w:r w:rsidRPr="00324A04">
              <w:rPr>
                <w:rFonts w:ascii="Verdana" w:eastAsia="Times New Roman" w:hAnsi="Verdana" w:cs="Arial"/>
                <w:bCs/>
                <w:lang w:val="es-MX" w:eastAsia="x-none"/>
              </w:rPr>
              <w:t xml:space="preserve">n aquellos eventos en que la entidad, previo análisis jurídico y debidamente motivado, considere viable acudir a la contratación con </w:t>
            </w:r>
            <w:r w:rsidRPr="00324A04">
              <w:rPr>
                <w:rFonts w:ascii="Verdana" w:eastAsia="Times New Roman" w:hAnsi="Verdana" w:cs="Arial"/>
                <w:bCs/>
                <w:lang w:val="es-MX" w:eastAsia="x-none"/>
              </w:rPr>
              <w:lastRenderedPageBreak/>
              <w:t xml:space="preserve">empresas de servicios temporales para las finalidades previstas en el artículo 77 de la Ley 50 de 1990 y se determine que no es aplicable la creación de empleos temporales en los términos de la Ley 909 de 2004, deberá establecer la modalidad de selección que corresponda, de conformidad con el régimen de contratación estatal aplicable según la naturaleza jurídica de la entidad. </w:t>
            </w:r>
          </w:p>
          <w:p w14:paraId="76F52BBD" w14:textId="77777777" w:rsidR="0014319F" w:rsidRPr="00324A04" w:rsidRDefault="0014319F" w:rsidP="00E30C97">
            <w:pPr>
              <w:spacing w:after="120" w:line="276" w:lineRule="auto"/>
              <w:ind w:firstLine="709"/>
              <w:jc w:val="both"/>
              <w:rPr>
                <w:rFonts w:ascii="Verdana" w:eastAsia="Arial" w:hAnsi="Verdana" w:cs="Arial"/>
                <w:lang w:val="es-ES"/>
              </w:rPr>
            </w:pPr>
            <w:r w:rsidRPr="00324A04">
              <w:rPr>
                <w:rFonts w:ascii="Verdana" w:eastAsia="Times New Roman" w:hAnsi="Verdana" w:cs="Arial"/>
                <w:bCs/>
                <w:lang w:val="es-MX" w:eastAsia="x-none"/>
              </w:rPr>
              <w:t xml:space="preserve">En este contexto, la determinación de </w:t>
            </w:r>
            <w:r w:rsidRPr="00324A04">
              <w:rPr>
                <w:rFonts w:ascii="Verdana" w:eastAsia="Arial" w:hAnsi="Verdana" w:cs="Arial"/>
                <w:lang w:val="es-ES"/>
              </w:rPr>
              <w:t>la modalidad de selección para contratar estos servicios, cuando proceda, se realizará a partir del análisis del objeto contractual, de la cuantía, del análisis del sector, del estudio de mercado y de las actividades requeridas para su ejecución. Así, por regla general se adelantará el proceso m</w:t>
            </w:r>
            <w:r w:rsidRPr="00324A04">
              <w:rPr>
                <w:rFonts w:ascii="Verdana" w:eastAsia="Times New Roman" w:hAnsi="Verdana" w:cs="Arial"/>
                <w:lang w:val="es-ES" w:eastAsia="es-MX"/>
              </w:rPr>
              <w:t xml:space="preserve">ediante la modalidad de licitación pública, salvo que se configure alguno de los supuestos que la norma establece para que sea procedente un procedimiento distinto. </w:t>
            </w:r>
            <w:r w:rsidRPr="00324A04">
              <w:rPr>
                <w:rFonts w:ascii="Verdana" w:eastAsia="Arial" w:hAnsi="Verdana" w:cs="Arial"/>
                <w:lang w:val="es-ES"/>
              </w:rPr>
              <w:t xml:space="preserve">Por ejemplo, si el personal que se requiere se encuentra en el marco de una consultoría en los términos del artículo </w:t>
            </w:r>
            <w:r w:rsidRPr="00324A04">
              <w:rPr>
                <w:rFonts w:ascii="Verdana" w:hAnsi="Verdana" w:cs="Arial"/>
                <w:color w:val="000000" w:themeColor="text1"/>
                <w:lang w:val="es-ES"/>
              </w:rPr>
              <w:t xml:space="preserve">32, numeral 2, de la Ley 80 de 1993, </w:t>
            </w:r>
            <w:r w:rsidRPr="00324A04">
              <w:rPr>
                <w:rFonts w:ascii="Verdana" w:eastAsia="Arial" w:hAnsi="Verdana" w:cs="Arial"/>
                <w:lang w:val="es-ES"/>
              </w:rPr>
              <w:t xml:space="preserve">sería aplicable el concurso de méritos o si </w:t>
            </w:r>
            <w:r w:rsidRPr="00324A04">
              <w:rPr>
                <w:rFonts w:ascii="Verdana" w:hAnsi="Verdana" w:cs="Arial"/>
                <w:lang w:val="es-ES"/>
              </w:rPr>
              <w:t xml:space="preserve">el valor de la adquisición de los bienes, obras y/o servicios, no exceda el diez por ciento (10%) de la menor cuantía de la Entidad Estatal sería procedente la selección abreviada de menor cuantía. </w:t>
            </w:r>
          </w:p>
          <w:p w14:paraId="369BE114" w14:textId="77777777" w:rsidR="0014319F" w:rsidRPr="00324A04" w:rsidRDefault="0014319F" w:rsidP="00E30C97">
            <w:pPr>
              <w:spacing w:after="120" w:line="276" w:lineRule="auto"/>
              <w:ind w:firstLine="709"/>
              <w:jc w:val="both"/>
              <w:rPr>
                <w:rFonts w:ascii="Verdana" w:eastAsia="Arial" w:hAnsi="Verdana" w:cs="Arial"/>
                <w:lang w:val="es-ES"/>
              </w:rPr>
            </w:pPr>
            <w:r w:rsidRPr="00324A04">
              <w:rPr>
                <w:rFonts w:ascii="Verdana" w:eastAsia="Arial" w:hAnsi="Verdana" w:cs="Arial"/>
                <w:lang w:val="es-ES"/>
              </w:rPr>
              <w:t>En este sentido, si la entidad establece la procedencia de modalidades de selección competitivas o abiertas a competencia, como la licitación pública, selección abreviada de menor cuantía, concurso de méritos, mínima cuantía,</w:t>
            </w:r>
            <w:r w:rsidRPr="00324A04">
              <w:rPr>
                <w:rFonts w:ascii="Verdana" w:eastAsia="Times New Roman" w:hAnsi="Verdana" w:cs="Arial"/>
                <w:lang w:eastAsia="x-none"/>
              </w:rPr>
              <w:t xml:space="preserve"> o cualquier sistema de contratación que implican convocatoria pública y participación de varios oferentes</w:t>
            </w:r>
            <w:r w:rsidRPr="00324A04">
              <w:rPr>
                <w:rFonts w:ascii="Verdana" w:eastAsia="Arial" w:hAnsi="Verdana" w:cs="Arial"/>
                <w:lang w:val="es-ES"/>
              </w:rPr>
              <w:t xml:space="preserve"> no resulta aplicable la Ley de garantías Electorales en la medida en que, como se explicó, dichas modalidades se encuentran excluidas de su aplicación. </w:t>
            </w:r>
          </w:p>
          <w:p w14:paraId="15169A01" w14:textId="77777777" w:rsidR="0014319F" w:rsidRPr="00324A04" w:rsidRDefault="0014319F" w:rsidP="00E30C97">
            <w:pPr>
              <w:spacing w:after="120" w:line="276" w:lineRule="auto"/>
              <w:ind w:firstLine="567"/>
              <w:jc w:val="both"/>
              <w:rPr>
                <w:rFonts w:ascii="Verdana" w:eastAsia="Arial" w:hAnsi="Verdana" w:cs="Arial"/>
                <w:lang w:val="es-ES"/>
              </w:rPr>
            </w:pPr>
            <w:r w:rsidRPr="00324A04">
              <w:rPr>
                <w:rFonts w:ascii="Verdana" w:eastAsia="Arial" w:hAnsi="Verdana" w:cs="Arial"/>
                <w:lang w:val="es-ES"/>
              </w:rPr>
              <w:t xml:space="preserve">En contraste, la modalidad de selección de contratación directa, que no es abierta a los proponentes para que los interesados presenten sus ofertas, como se indicó, si se encuentra cobijada por las restricciones de la Ley de Garantías. Además, es importante señalar que las excepciones a la contratación directa señaladas en el artículo 33 de dicha ley son de aplicación restrictiva, por lo que solo proceden en los eventos indicados. </w:t>
            </w:r>
          </w:p>
          <w:p w14:paraId="1F1ED4C2" w14:textId="77777777" w:rsidR="0014319F" w:rsidRPr="00324A04" w:rsidRDefault="0014319F" w:rsidP="00E30C97">
            <w:pPr>
              <w:spacing w:after="120" w:line="276" w:lineRule="auto"/>
              <w:ind w:firstLine="709"/>
              <w:jc w:val="both"/>
              <w:rPr>
                <w:rFonts w:ascii="Verdana" w:eastAsia="Times New Roman" w:hAnsi="Verdana" w:cs="Arial"/>
                <w:bCs/>
                <w:lang w:eastAsia="x-none"/>
              </w:rPr>
            </w:pPr>
            <w:r w:rsidRPr="00324A04">
              <w:rPr>
                <w:rFonts w:ascii="Verdana" w:eastAsia="Times New Roman" w:hAnsi="Verdana" w:cs="Arial"/>
                <w:bCs/>
                <w:lang w:val="es-MX" w:eastAsia="x-none"/>
              </w:rPr>
              <w:t xml:space="preserve">En síntesis, la entidad debe asegurar que la vinculación del personal responda estrictamente al marco legal aplicable, evitando mecanismos contractuales que encubran relaciones de subordinación propias del empleo público. De igual manera, ningún mecanismo de vinculación puede utilizarse </w:t>
            </w:r>
            <w:r w:rsidRPr="00324A04">
              <w:rPr>
                <w:rFonts w:ascii="Verdana" w:eastAsia="Times New Roman" w:hAnsi="Verdana" w:cs="Arial"/>
                <w:bCs/>
                <w:lang w:val="es-MX" w:eastAsia="x-none"/>
              </w:rPr>
              <w:lastRenderedPageBreak/>
              <w:t>con el propósito de eludir o desconocer las restricciones previstas en la Ley de Garantías Electorales. En consecuencia, la entidad debe observar de manera estricta las prohibiciones y limitaciones aplicables durante el período electoral, evitando adoptar decisiones contractuales que, bajo una apariencia formal distinta, impliquen en la práctica la celebración de contratos o la vinculación de personal en contravía de las disposiciones legales vigentes.</w:t>
            </w:r>
          </w:p>
        </w:tc>
      </w:tr>
    </w:tbl>
    <w:p w14:paraId="0CA48CAD" w14:textId="77777777" w:rsidR="0014319F" w:rsidRPr="00324A04" w:rsidRDefault="0014319F" w:rsidP="0014319F">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FB576EE" w14:textId="77777777" w:rsidR="0014319F" w:rsidRPr="00324A04" w:rsidRDefault="0014319F" w:rsidP="0014319F">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324A04">
        <w:rPr>
          <w:rFonts w:ascii="Verdana" w:eastAsia="Century Gothic" w:hAnsi="Verdana" w:cs="Century Gothic"/>
          <w:b/>
          <w:bCs/>
          <w:color w:val="000000" w:themeColor="text1"/>
          <w:lang w:val="es-ES"/>
        </w:rPr>
        <w:t>Razones de la respuesta:</w:t>
      </w:r>
    </w:p>
    <w:p w14:paraId="0FA05724" w14:textId="77777777" w:rsidR="0014319F" w:rsidRPr="00324A04" w:rsidRDefault="0014319F" w:rsidP="0014319F">
      <w:pPr>
        <w:spacing w:after="0" w:line="276" w:lineRule="auto"/>
        <w:jc w:val="both"/>
        <w:rPr>
          <w:rFonts w:ascii="Verdana" w:eastAsia="Calibri" w:hAnsi="Verdana" w:cs="Arial"/>
          <w:color w:val="000000" w:themeColor="text1"/>
          <w:lang w:val="es-ES"/>
        </w:rPr>
      </w:pPr>
    </w:p>
    <w:p w14:paraId="153BA8EB" w14:textId="77777777" w:rsidR="0014319F" w:rsidRPr="00324A04" w:rsidRDefault="0014319F" w:rsidP="0014319F">
      <w:pPr>
        <w:spacing w:after="120" w:line="276" w:lineRule="auto"/>
        <w:jc w:val="both"/>
        <w:rPr>
          <w:rFonts w:ascii="Verdana" w:eastAsia="Calibri" w:hAnsi="Verdana" w:cs="Arial"/>
          <w:color w:val="000000" w:themeColor="text1"/>
          <w:lang w:val="es-ES"/>
        </w:rPr>
      </w:pPr>
      <w:r w:rsidRPr="00324A04">
        <w:rPr>
          <w:rFonts w:ascii="Verdana" w:eastAsia="Calibri" w:hAnsi="Verdana" w:cs="Arial"/>
          <w:color w:val="000000" w:themeColor="text1"/>
          <w:lang w:val="es-ES"/>
        </w:rPr>
        <w:t xml:space="preserve">Lo anterior se sustenta en las siguientes consideraciones: </w:t>
      </w:r>
    </w:p>
    <w:p w14:paraId="2CCBF2A0" w14:textId="77777777" w:rsidR="0014319F" w:rsidRPr="00324A04" w:rsidRDefault="0014319F" w:rsidP="0014319F">
      <w:pPr>
        <w:tabs>
          <w:tab w:val="left" w:pos="426"/>
        </w:tabs>
        <w:spacing w:after="120" w:line="276" w:lineRule="auto"/>
        <w:jc w:val="both"/>
        <w:rPr>
          <w:rFonts w:ascii="Verdana" w:eastAsia="Times New Roman" w:hAnsi="Verdana" w:cs="Arial"/>
          <w:lang w:eastAsia="es-CO"/>
        </w:rPr>
      </w:pPr>
      <w:r w:rsidRPr="00324A04">
        <w:rPr>
          <w:rFonts w:ascii="Verdana" w:eastAsia="Calibri" w:hAnsi="Verdana" w:cs="Arial"/>
        </w:rPr>
        <w:t>i. El ordenamiento jurídico colombiano contempla previsiones claras para evitar la obtención de beneficios personales en asuntos propios de la administración pública</w:t>
      </w:r>
      <w:r w:rsidRPr="00324A04">
        <w:rPr>
          <w:rFonts w:ascii="Verdana" w:eastAsia="Calibri" w:hAnsi="Verdana" w:cs="Arial"/>
          <w:i/>
        </w:rPr>
        <w:t xml:space="preserve">. </w:t>
      </w:r>
      <w:r w:rsidRPr="00324A04">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324A04">
        <w:rPr>
          <w:rFonts w:ascii="Verdana" w:hAnsi="Verdana"/>
          <w:vertAlign w:val="superscript"/>
        </w:rPr>
        <w:footnoteReference w:id="1"/>
      </w:r>
      <w:r w:rsidRPr="00324A04">
        <w:rPr>
          <w:rFonts w:ascii="Verdana" w:eastAsia="Calibri" w:hAnsi="Verdana" w:cs="Arial"/>
        </w:rPr>
        <w:t xml:space="preserve">. </w:t>
      </w:r>
    </w:p>
    <w:p w14:paraId="2727A0E5" w14:textId="77777777" w:rsidR="0014319F" w:rsidRPr="00324A04" w:rsidRDefault="0014319F" w:rsidP="0014319F">
      <w:pPr>
        <w:tabs>
          <w:tab w:val="left" w:pos="426"/>
        </w:tabs>
        <w:spacing w:after="0" w:line="276" w:lineRule="auto"/>
        <w:ind w:firstLine="709"/>
        <w:jc w:val="both"/>
        <w:rPr>
          <w:rFonts w:ascii="Verdana" w:eastAsia="Calibri" w:hAnsi="Verdana" w:cs="Arial"/>
          <w:lang w:val="es-ES_tradnl"/>
        </w:rPr>
      </w:pPr>
      <w:r w:rsidRPr="00324A04">
        <w:rPr>
          <w:rFonts w:ascii="Verdana" w:eastAsia="Times New Roman" w:hAnsi="Verdana" w:cs="Arial"/>
          <w:lang w:eastAsia="es-CO"/>
        </w:rPr>
        <w:t>En el mismo sentido</w:t>
      </w:r>
      <w:r w:rsidRPr="00324A04">
        <w:rPr>
          <w:rFonts w:ascii="Verdana" w:eastAsia="Times New Roman" w:hAnsi="Verdana" w:cs="Arial"/>
          <w:lang w:val="es-MX" w:eastAsia="es-CO"/>
        </w:rPr>
        <w:t xml:space="preserve">, </w:t>
      </w:r>
      <w:bookmarkStart w:id="1" w:name="_Hlk99576829"/>
      <w:r w:rsidRPr="00324A04">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324A04">
        <w:rPr>
          <w:rFonts w:ascii="Verdana" w:eastAsia="Times New Roman" w:hAnsi="Verdana" w:cs="Arial"/>
          <w:vertAlign w:val="superscript"/>
          <w:lang w:val="es-MX" w:eastAsia="es-CO"/>
        </w:rPr>
        <w:footnoteReference w:id="2"/>
      </w:r>
      <w:r w:rsidRPr="00324A04">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324A04">
        <w:rPr>
          <w:rFonts w:ascii="Verdana" w:eastAsia="Calibri" w:hAnsi="Verdana" w:cs="Arial"/>
          <w:lang w:val="es-ES_tradnl"/>
        </w:rPr>
        <w:t xml:space="preserve"> </w:t>
      </w:r>
      <w:bookmarkEnd w:id="1"/>
      <w:r w:rsidRPr="00324A04">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36543095" w14:textId="77777777" w:rsidR="0014319F" w:rsidRPr="00324A04" w:rsidRDefault="0014319F" w:rsidP="0014319F">
      <w:pPr>
        <w:spacing w:after="0" w:line="276" w:lineRule="auto"/>
        <w:ind w:right="709"/>
        <w:contextualSpacing/>
        <w:jc w:val="both"/>
        <w:rPr>
          <w:rFonts w:ascii="Verdana" w:eastAsia="Times New Roman" w:hAnsi="Verdana" w:cs="Arial"/>
          <w:lang w:val="es-ES" w:eastAsia="es-CO"/>
        </w:rPr>
      </w:pPr>
    </w:p>
    <w:p w14:paraId="56D8913B" w14:textId="77777777" w:rsidR="0014319F" w:rsidRPr="00324A04" w:rsidRDefault="0014319F" w:rsidP="0014319F">
      <w:pPr>
        <w:spacing w:after="0" w:line="240" w:lineRule="auto"/>
        <w:ind w:left="709" w:right="709"/>
        <w:contextualSpacing/>
        <w:jc w:val="both"/>
        <w:rPr>
          <w:rFonts w:ascii="Verdana" w:eastAsia="Times New Roman" w:hAnsi="Verdana" w:cs="Arial"/>
          <w:sz w:val="20"/>
          <w:szCs w:val="20"/>
          <w:lang w:val="es-MX" w:eastAsia="es-CO"/>
        </w:rPr>
      </w:pPr>
      <w:r w:rsidRPr="00324A04">
        <w:rPr>
          <w:rFonts w:ascii="Verdana" w:eastAsia="Times New Roman" w:hAnsi="Verdana" w:cs="Arial"/>
          <w:sz w:val="20"/>
          <w:szCs w:val="20"/>
          <w:lang w:val="es-ES" w:eastAsia="es-CO"/>
        </w:rPr>
        <w:lastRenderedPageBreak/>
        <w:t xml:space="preserve">“[…] </w:t>
      </w:r>
      <w:r w:rsidRPr="00324A04">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D485AC0" w14:textId="77777777" w:rsidR="0014319F" w:rsidRPr="00324A04" w:rsidRDefault="0014319F" w:rsidP="0014319F">
      <w:pPr>
        <w:spacing w:after="0" w:line="240" w:lineRule="auto"/>
        <w:ind w:left="709" w:right="709"/>
        <w:contextualSpacing/>
        <w:jc w:val="both"/>
        <w:rPr>
          <w:rFonts w:ascii="Verdana" w:eastAsia="Times New Roman" w:hAnsi="Verdana" w:cs="Arial"/>
          <w:sz w:val="20"/>
          <w:szCs w:val="20"/>
          <w:lang w:val="es-MX" w:eastAsia="es-CO"/>
        </w:rPr>
      </w:pPr>
      <w:r w:rsidRPr="00324A04">
        <w:rPr>
          <w:rFonts w:ascii="Verdana" w:eastAsia="Times New Roman" w:hAnsi="Verdana" w:cs="Arial"/>
          <w:sz w:val="20"/>
          <w:szCs w:val="20"/>
          <w:lang w:val="es-MX" w:eastAsia="es-CO"/>
        </w:rPr>
        <w:t xml:space="preserve">[…] </w:t>
      </w:r>
    </w:p>
    <w:p w14:paraId="6BCE5B2D" w14:textId="77777777" w:rsidR="0014319F" w:rsidRPr="00324A04" w:rsidRDefault="0014319F" w:rsidP="0014319F">
      <w:pPr>
        <w:spacing w:after="0" w:line="240" w:lineRule="auto"/>
        <w:ind w:left="709" w:right="709"/>
        <w:contextualSpacing/>
        <w:jc w:val="both"/>
        <w:rPr>
          <w:rFonts w:ascii="Verdana" w:eastAsia="Times New Roman" w:hAnsi="Verdana" w:cs="Arial"/>
          <w:sz w:val="12"/>
          <w:szCs w:val="12"/>
          <w:lang w:val="es-MX" w:eastAsia="es-CO"/>
        </w:rPr>
      </w:pPr>
    </w:p>
    <w:p w14:paraId="668CCEF9" w14:textId="77777777" w:rsidR="0014319F" w:rsidRPr="00324A04" w:rsidRDefault="0014319F" w:rsidP="0014319F">
      <w:pPr>
        <w:spacing w:after="0" w:line="240" w:lineRule="auto"/>
        <w:ind w:left="709" w:right="709"/>
        <w:contextualSpacing/>
        <w:jc w:val="both"/>
        <w:rPr>
          <w:rFonts w:ascii="Verdana" w:eastAsia="Times New Roman" w:hAnsi="Verdana" w:cs="Arial"/>
          <w:sz w:val="20"/>
          <w:szCs w:val="20"/>
          <w:lang w:val="es-MX" w:eastAsia="es-CO"/>
        </w:rPr>
      </w:pPr>
      <w:r w:rsidRPr="00324A04">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324A04">
        <w:rPr>
          <w:rFonts w:ascii="Verdana" w:eastAsia="Calibri" w:hAnsi="Verdana" w:cs="Arial"/>
          <w:sz w:val="20"/>
          <w:szCs w:val="20"/>
          <w:vertAlign w:val="superscript"/>
          <w:lang w:val="es-MX"/>
        </w:rPr>
        <w:footnoteReference w:id="3"/>
      </w:r>
    </w:p>
    <w:p w14:paraId="42ED0996" w14:textId="77777777" w:rsidR="0014319F" w:rsidRPr="00324A04" w:rsidRDefault="0014319F" w:rsidP="0014319F">
      <w:pPr>
        <w:spacing w:after="0" w:line="276" w:lineRule="auto"/>
        <w:ind w:firstLine="709"/>
        <w:jc w:val="both"/>
        <w:rPr>
          <w:rFonts w:ascii="Verdana" w:eastAsia="Times New Roman" w:hAnsi="Verdana" w:cs="Arial"/>
          <w:lang w:val="es-MX" w:eastAsia="es-CO"/>
        </w:rPr>
      </w:pPr>
      <w:bookmarkStart w:id="2" w:name="_Hlk78818186"/>
    </w:p>
    <w:p w14:paraId="1A95A53F" w14:textId="77777777" w:rsidR="0014319F" w:rsidRPr="00324A04" w:rsidRDefault="0014319F" w:rsidP="0014319F">
      <w:pPr>
        <w:spacing w:after="0" w:line="276" w:lineRule="auto"/>
        <w:ind w:firstLine="709"/>
        <w:jc w:val="both"/>
        <w:rPr>
          <w:rFonts w:ascii="Verdana" w:eastAsia="Times New Roman" w:hAnsi="Verdana" w:cs="Arial"/>
          <w:lang w:val="es-MX" w:eastAsia="es-CO"/>
        </w:rPr>
      </w:pPr>
      <w:r w:rsidRPr="00324A04">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w:t>
      </w:r>
      <w:bookmarkEnd w:id="2"/>
      <w:r w:rsidRPr="00324A04">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w:t>
      </w:r>
    </w:p>
    <w:p w14:paraId="79F12EFC" w14:textId="77777777" w:rsidR="0014319F" w:rsidRPr="00324A04" w:rsidRDefault="0014319F" w:rsidP="0014319F">
      <w:pPr>
        <w:spacing w:after="0" w:line="276" w:lineRule="auto"/>
        <w:ind w:firstLine="709"/>
        <w:jc w:val="both"/>
        <w:rPr>
          <w:rFonts w:ascii="Verdana" w:eastAsia="Times New Roman" w:hAnsi="Verdana" w:cs="Arial"/>
          <w:lang w:val="es-MX" w:eastAsia="es-CO"/>
        </w:rPr>
      </w:pPr>
    </w:p>
    <w:p w14:paraId="34A4763B" w14:textId="77777777" w:rsidR="0014319F" w:rsidRPr="00324A04" w:rsidRDefault="0014319F" w:rsidP="0014319F">
      <w:pPr>
        <w:spacing w:after="0" w:line="240" w:lineRule="auto"/>
        <w:ind w:left="709" w:right="709"/>
        <w:contextualSpacing/>
        <w:jc w:val="both"/>
        <w:rPr>
          <w:rFonts w:ascii="Verdana" w:eastAsia="Times New Roman" w:hAnsi="Verdana" w:cs="Arial"/>
          <w:sz w:val="20"/>
          <w:szCs w:val="20"/>
          <w:lang w:val="es-MX" w:eastAsia="es-CO"/>
        </w:rPr>
      </w:pPr>
      <w:r w:rsidRPr="00324A04">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324A04">
        <w:rPr>
          <w:rFonts w:ascii="Verdana" w:eastAsia="Times New Roman" w:hAnsi="Verdana" w:cs="Arial"/>
          <w:sz w:val="20"/>
          <w:szCs w:val="20"/>
          <w:lang w:val="es-MX" w:eastAsia="es-CO"/>
        </w:rPr>
        <w:t>legis</w:t>
      </w:r>
      <w:proofErr w:type="spellEnd"/>
      <w:r w:rsidRPr="00324A04">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4587281" w14:textId="77777777" w:rsidR="0014319F" w:rsidRPr="00324A04" w:rsidRDefault="0014319F" w:rsidP="0014319F">
      <w:pPr>
        <w:spacing w:after="0" w:line="240" w:lineRule="auto"/>
        <w:ind w:right="709"/>
        <w:contextualSpacing/>
        <w:jc w:val="both"/>
        <w:rPr>
          <w:rFonts w:ascii="Verdana" w:eastAsia="Times New Roman" w:hAnsi="Verdana" w:cs="Arial"/>
          <w:sz w:val="12"/>
          <w:szCs w:val="12"/>
          <w:lang w:val="es-MX" w:eastAsia="es-CO"/>
        </w:rPr>
      </w:pPr>
    </w:p>
    <w:p w14:paraId="702D73C3" w14:textId="77777777" w:rsidR="0014319F" w:rsidRPr="00324A04" w:rsidRDefault="0014319F" w:rsidP="0014319F">
      <w:pPr>
        <w:spacing w:after="0" w:line="240" w:lineRule="auto"/>
        <w:ind w:left="709" w:right="709"/>
        <w:contextualSpacing/>
        <w:jc w:val="both"/>
        <w:rPr>
          <w:rFonts w:ascii="Verdana" w:eastAsia="Times New Roman" w:hAnsi="Verdana" w:cs="Arial"/>
          <w:sz w:val="20"/>
          <w:szCs w:val="20"/>
          <w:lang w:val="es-MX" w:eastAsia="es-CO"/>
        </w:rPr>
      </w:pPr>
      <w:r w:rsidRPr="00324A04">
        <w:rPr>
          <w:rFonts w:ascii="Verdana" w:eastAsia="Times New Roman" w:hAnsi="Verdana" w:cs="Arial"/>
          <w:sz w:val="20"/>
          <w:szCs w:val="20"/>
          <w:lang w:val="es-MX" w:eastAsia="es-CO"/>
        </w:rPr>
        <w:lastRenderedPageBreak/>
        <w:t>La jurisprudencia de la Corte Constitucional</w:t>
      </w:r>
      <w:r w:rsidRPr="00324A04">
        <w:rPr>
          <w:rFonts w:ascii="Verdana" w:eastAsia="Times New Roman" w:hAnsi="Verdana" w:cs="Arial"/>
          <w:sz w:val="20"/>
          <w:szCs w:val="20"/>
          <w:vertAlign w:val="superscript"/>
          <w:lang w:val="es-MX" w:eastAsia="es-CO"/>
        </w:rPr>
        <w:footnoteReference w:id="4"/>
      </w:r>
      <w:r w:rsidRPr="00324A04">
        <w:rPr>
          <w:rFonts w:ascii="Verdana" w:eastAsia="Times New Roman" w:hAnsi="Verdana" w:cs="Arial"/>
          <w:sz w:val="20"/>
          <w:szCs w:val="20"/>
          <w:lang w:val="es-MX" w:eastAsia="es-CO"/>
        </w:rPr>
        <w:t> y del Consejo de Estado</w:t>
      </w:r>
      <w:r w:rsidRPr="00324A04">
        <w:rPr>
          <w:rFonts w:ascii="Verdana" w:eastAsia="Times New Roman" w:hAnsi="Verdana" w:cs="Arial"/>
          <w:sz w:val="20"/>
          <w:szCs w:val="20"/>
          <w:vertAlign w:val="superscript"/>
          <w:lang w:val="es-MX" w:eastAsia="es-CO"/>
        </w:rPr>
        <w:footnoteReference w:id="5"/>
      </w:r>
      <w:r w:rsidRPr="00324A04">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324A04">
        <w:rPr>
          <w:rFonts w:ascii="Verdana" w:eastAsia="Times New Roman" w:hAnsi="Verdana" w:cs="Arial"/>
          <w:sz w:val="20"/>
          <w:szCs w:val="20"/>
          <w:vertAlign w:val="superscript"/>
          <w:lang w:val="es-MX" w:eastAsia="es-CO"/>
        </w:rPr>
        <w:footnoteReference w:id="6"/>
      </w:r>
      <w:r w:rsidRPr="00324A04">
        <w:rPr>
          <w:rFonts w:ascii="Verdana" w:eastAsia="Times New Roman" w:hAnsi="Verdana" w:cs="Arial"/>
          <w:sz w:val="20"/>
          <w:szCs w:val="20"/>
          <w:lang w:val="es-MX" w:eastAsia="es-CO"/>
        </w:rPr>
        <w:t>.</w:t>
      </w:r>
    </w:p>
    <w:p w14:paraId="1ABEE2D3" w14:textId="77777777" w:rsidR="0014319F" w:rsidRPr="00324A04" w:rsidRDefault="0014319F" w:rsidP="0014319F">
      <w:pPr>
        <w:spacing w:after="0" w:line="276" w:lineRule="auto"/>
        <w:jc w:val="both"/>
        <w:rPr>
          <w:rFonts w:ascii="Verdana" w:eastAsia="Calibri" w:hAnsi="Verdana" w:cs="Arial"/>
          <w:bCs/>
          <w:lang w:val="es-ES_tradnl"/>
        </w:rPr>
      </w:pPr>
    </w:p>
    <w:p w14:paraId="28106A2F" w14:textId="77777777" w:rsidR="0014319F" w:rsidRPr="00324A04" w:rsidRDefault="0014319F" w:rsidP="0014319F">
      <w:pPr>
        <w:spacing w:after="120" w:line="276" w:lineRule="auto"/>
        <w:ind w:firstLine="709"/>
        <w:jc w:val="both"/>
        <w:rPr>
          <w:rFonts w:ascii="Verdana" w:eastAsia="Arial" w:hAnsi="Verdana" w:cs="Arial"/>
          <w:lang w:val="es-ES" w:eastAsia="es-ES" w:bidi="es-ES"/>
        </w:rPr>
      </w:pPr>
      <w:r w:rsidRPr="00324A04">
        <w:rPr>
          <w:rFonts w:ascii="Verdana" w:eastAsia="Times New Roman" w:hAnsi="Verdana" w:cs="Arial"/>
          <w:lang w:val="es-MX" w:eastAsia="es-CO"/>
        </w:rPr>
        <w:t>De</w:t>
      </w:r>
      <w:r w:rsidRPr="00324A04">
        <w:rPr>
          <w:rFonts w:ascii="Verdana" w:eastAsia="Arial" w:hAnsi="Verdana" w:cs="Arial"/>
          <w:lang w:val="es-ES" w:eastAsia="es-ES" w:bidi="es-ES"/>
        </w:rPr>
        <w:t xml:space="preserve"> conformidad con lo anterior, </w:t>
      </w:r>
      <w:bookmarkStart w:id="3" w:name="_Hlk77236098"/>
      <w:bookmarkStart w:id="4" w:name="_Hlk100679383"/>
      <w:r w:rsidRPr="00324A04">
        <w:rPr>
          <w:rFonts w:ascii="Verdana" w:eastAsia="Arial" w:hAnsi="Verdana" w:cs="Arial"/>
          <w:lang w:val="es-ES" w:eastAsia="es-ES" w:bidi="es-ES"/>
        </w:rPr>
        <w:t xml:space="preserve">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8C64306" w14:textId="77777777" w:rsidR="0014319F" w:rsidRPr="00324A04" w:rsidRDefault="0014319F" w:rsidP="0014319F">
      <w:pPr>
        <w:spacing w:after="120" w:line="276" w:lineRule="auto"/>
        <w:jc w:val="both"/>
        <w:rPr>
          <w:rFonts w:ascii="Verdana" w:eastAsia="Arial" w:hAnsi="Verdana" w:cs="Arial"/>
          <w:lang w:val="es-ES" w:eastAsia="es-ES" w:bidi="es-ES"/>
        </w:rPr>
      </w:pPr>
      <w:proofErr w:type="spellStart"/>
      <w:r w:rsidRPr="00324A04">
        <w:rPr>
          <w:rFonts w:ascii="Verdana" w:eastAsia="Arial" w:hAnsi="Verdana" w:cs="Arial"/>
          <w:lang w:val="es-ES" w:eastAsia="es-ES" w:bidi="es-ES"/>
        </w:rPr>
        <w:t>ii</w:t>
      </w:r>
      <w:proofErr w:type="spellEnd"/>
      <w:r w:rsidRPr="00324A04">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09060EA1" w14:textId="77777777" w:rsidR="0014319F" w:rsidRPr="00324A04" w:rsidRDefault="0014319F" w:rsidP="0014319F">
      <w:pPr>
        <w:spacing w:after="120" w:line="276" w:lineRule="auto"/>
        <w:ind w:firstLine="708"/>
        <w:jc w:val="both"/>
        <w:rPr>
          <w:rFonts w:ascii="Verdana" w:eastAsia="Calibri" w:hAnsi="Verdana" w:cs="Arial"/>
        </w:rPr>
      </w:pPr>
      <w:r w:rsidRPr="00324A04">
        <w:rPr>
          <w:rFonts w:ascii="Verdana" w:eastAsia="Calibri" w:hAnsi="Verdana" w:cs="Arial"/>
        </w:rPr>
        <w:t xml:space="preserve">Por un lado, el </w:t>
      </w:r>
      <w:r w:rsidRPr="00324A04">
        <w:rPr>
          <w:rFonts w:ascii="Verdana" w:eastAsia="Calibri" w:hAnsi="Verdana" w:cs="Arial"/>
          <w:i/>
          <w:iCs/>
        </w:rPr>
        <w:t>artículo 33 de la Ley 996 de 2005</w:t>
      </w:r>
      <w:r w:rsidRPr="00324A04">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324A04">
        <w:rPr>
          <w:rFonts w:ascii="Verdana" w:eastAsia="Calibri" w:hAnsi="Verdana" w:cs="Arial"/>
        </w:rPr>
        <w:lastRenderedPageBreak/>
        <w:t>acciones terroristas, desastres naturales o casos de fuerza mayor, y los que deban realizar las entidades sanitarias y hospitalarias”</w:t>
      </w:r>
      <w:r w:rsidRPr="00324A04">
        <w:rPr>
          <w:vertAlign w:val="superscript"/>
        </w:rPr>
        <w:footnoteReference w:id="7"/>
      </w:r>
      <w:r w:rsidRPr="00324A04">
        <w:rPr>
          <w:rFonts w:ascii="Verdana" w:eastAsia="Calibri" w:hAnsi="Verdana" w:cs="Arial"/>
        </w:rPr>
        <w:t>.</w:t>
      </w:r>
    </w:p>
    <w:p w14:paraId="486BFAF9" w14:textId="77777777" w:rsidR="0014319F" w:rsidRPr="00324A04" w:rsidRDefault="0014319F" w:rsidP="0014319F">
      <w:pPr>
        <w:widowControl w:val="0"/>
        <w:autoSpaceDE w:val="0"/>
        <w:autoSpaceDN w:val="0"/>
        <w:spacing w:after="120" w:line="276" w:lineRule="auto"/>
        <w:ind w:right="113" w:firstLine="709"/>
        <w:jc w:val="both"/>
        <w:rPr>
          <w:rFonts w:ascii="Verdana" w:eastAsia="Arial" w:hAnsi="Verdana" w:cs="Arial"/>
          <w:lang w:val="es-ES" w:eastAsia="es-ES" w:bidi="es-ES"/>
        </w:rPr>
      </w:pPr>
      <w:r w:rsidRPr="00324A04">
        <w:rPr>
          <w:rFonts w:ascii="Verdana" w:eastAsia="Calibri" w:hAnsi="Verdana" w:cs="Arial"/>
        </w:rPr>
        <w:t xml:space="preserve">Por otro lado, </w:t>
      </w:r>
      <w:r w:rsidRPr="00324A04">
        <w:rPr>
          <w:rFonts w:ascii="Verdana" w:eastAsia="Calibri" w:hAnsi="Verdana" w:cs="Arial"/>
          <w:i/>
          <w:iCs/>
        </w:rPr>
        <w:t>el parágrafo del artículo 38 de la Ley 996 de 2005</w:t>
      </w:r>
      <w:r w:rsidRPr="00324A04">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324A04">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24A04">
        <w:rPr>
          <w:rFonts w:ascii="Verdana" w:eastAsia="Calibri" w:hAnsi="Verdana" w:cs="Arial"/>
        </w:rPr>
        <w:t>”</w:t>
      </w:r>
      <w:bookmarkEnd w:id="4"/>
      <w:r w:rsidRPr="00324A04">
        <w:rPr>
          <w:rFonts w:ascii="Verdana" w:eastAsia="Calibri" w:hAnsi="Verdana" w:cs="Arial"/>
          <w:vertAlign w:val="superscript"/>
        </w:rPr>
        <w:footnoteReference w:id="8"/>
      </w:r>
      <w:r w:rsidRPr="00324A04">
        <w:rPr>
          <w:rFonts w:ascii="Verdana" w:eastAsia="Calibri" w:hAnsi="Verdana" w:cs="Arial"/>
          <w:lang w:val="es-MX"/>
        </w:rPr>
        <w:t>.</w:t>
      </w:r>
      <w:r w:rsidRPr="00324A04">
        <w:rPr>
          <w:rFonts w:ascii="Verdana" w:eastAsia="Arial" w:hAnsi="Verdana" w:cs="Arial"/>
          <w:lang w:val="es-ES" w:eastAsia="es-ES" w:bidi="es-ES"/>
        </w:rPr>
        <w:t xml:space="preserve"> </w:t>
      </w:r>
    </w:p>
    <w:p w14:paraId="7187FD0B" w14:textId="77777777" w:rsidR="0014319F" w:rsidRPr="00324A04" w:rsidRDefault="0014319F" w:rsidP="0014319F">
      <w:pPr>
        <w:spacing w:after="120" w:line="276" w:lineRule="auto"/>
        <w:ind w:firstLine="708"/>
        <w:jc w:val="both"/>
        <w:rPr>
          <w:rFonts w:ascii="Verdana" w:eastAsia="Times New Roman" w:hAnsi="Verdana" w:cs="Arial"/>
          <w:bCs/>
          <w:lang w:eastAsia="es-CO"/>
        </w:rPr>
      </w:pPr>
      <w:r w:rsidRPr="00324A04">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 “</w:t>
      </w:r>
      <w:r w:rsidRPr="00324A04">
        <w:rPr>
          <w:rFonts w:ascii="Verdana" w:eastAsia="Times New Roman" w:hAnsi="Verdana" w:cs="Arial"/>
          <w:bCs/>
          <w:lang w:eastAsia="es-CO"/>
        </w:rPr>
        <w:t>1. </w:t>
      </w:r>
      <w:r w:rsidRPr="00324A04">
        <w:rPr>
          <w:rFonts w:ascii="Verdana" w:eastAsia="Times New Roman" w:hAnsi="Verdana" w:cs="Arial"/>
          <w:bCs/>
          <w:i/>
          <w:iCs/>
          <w:lang w:eastAsia="es-CO"/>
        </w:rPr>
        <w:t>Gral.</w:t>
      </w:r>
      <w:r w:rsidRPr="00324A04">
        <w:rPr>
          <w:rFonts w:ascii="Verdana" w:eastAsia="Times New Roman" w:hAnsi="Verdana" w:cs="Arial"/>
          <w:bCs/>
          <w:lang w:eastAsia="es-CO"/>
        </w:rPr>
        <w:t xml:space="preserve"> Otorgar o firmar un contrato. 2. </w:t>
      </w:r>
      <w:proofErr w:type="spellStart"/>
      <w:r w:rsidRPr="00324A04">
        <w:rPr>
          <w:rFonts w:ascii="Verdana" w:eastAsia="Times New Roman" w:hAnsi="Verdana" w:cs="Arial"/>
          <w:bCs/>
          <w:i/>
          <w:iCs/>
          <w:lang w:eastAsia="es-CO"/>
        </w:rPr>
        <w:t>Proc</w:t>
      </w:r>
      <w:proofErr w:type="spellEnd"/>
      <w:r w:rsidRPr="00324A04">
        <w:rPr>
          <w:rFonts w:ascii="Verdana" w:eastAsia="Times New Roman" w:hAnsi="Verdana" w:cs="Arial"/>
          <w:bCs/>
          <w:i/>
          <w:iCs/>
          <w:lang w:eastAsia="es-CO"/>
        </w:rPr>
        <w:t>.</w:t>
      </w:r>
      <w:r w:rsidRPr="00324A04">
        <w:rPr>
          <w:rFonts w:ascii="Verdana" w:eastAsia="Times New Roman" w:hAnsi="Verdana" w:cs="Arial"/>
          <w:bCs/>
          <w:lang w:eastAsia="es-CO"/>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9037FFE" w14:textId="77777777" w:rsidR="0014319F" w:rsidRPr="00324A04" w:rsidRDefault="0014319F" w:rsidP="0014319F">
      <w:pPr>
        <w:spacing w:after="120" w:line="276" w:lineRule="auto"/>
        <w:ind w:firstLine="708"/>
        <w:jc w:val="both"/>
        <w:rPr>
          <w:rFonts w:ascii="Verdana" w:eastAsia="Times New Roman" w:hAnsi="Verdana" w:cs="Arial"/>
          <w:bCs/>
          <w:lang w:val="es-ES" w:eastAsia="es-CO"/>
        </w:rPr>
      </w:pPr>
      <w:r w:rsidRPr="00324A04">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324A04">
        <w:rPr>
          <w:rFonts w:ascii="Verdana" w:eastAsia="Times New Roman" w:hAnsi="Verdana" w:cs="Arial"/>
          <w:bCs/>
          <w:lang w:val="es-ES" w:eastAsia="es-CO"/>
        </w:rPr>
        <w:t xml:space="preserve">la existencia de los contratos estatales, es decir, la producción de efectos jurídicos en los términos del artículo 1501 </w:t>
      </w:r>
      <w:r w:rsidRPr="00324A04">
        <w:rPr>
          <w:rFonts w:ascii="Verdana" w:eastAsia="Times New Roman" w:hAnsi="Verdana" w:cs="Arial"/>
          <w:bCs/>
          <w:i/>
          <w:lang w:val="es-ES" w:eastAsia="es-CO"/>
        </w:rPr>
        <w:t>ibidem</w:t>
      </w:r>
      <w:r w:rsidRPr="00324A04">
        <w:rPr>
          <w:rFonts w:ascii="Verdana" w:eastAsia="Times New Roman" w:hAnsi="Verdana" w:cs="Arial"/>
          <w:bCs/>
          <w:lang w:val="es-ES" w:eastAsia="es-CO"/>
        </w:rPr>
        <w:t xml:space="preserve">, depende de la regulación del inciso primero de los artículos 39 y 41 de la Ley 80 de 1993. Por un lado, “Los contratos que celebren las entidades estatales constarán por escrito y no requerirán ser </w:t>
      </w:r>
      <w:r w:rsidRPr="00324A04">
        <w:rPr>
          <w:rFonts w:ascii="Verdana" w:eastAsia="Times New Roman" w:hAnsi="Verdana" w:cs="Arial"/>
          <w:bCs/>
          <w:lang w:val="es-ES" w:eastAsia="es-CO"/>
        </w:rPr>
        <w:lastRenderedPageBreak/>
        <w:t xml:space="preserve">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6651E373" w14:textId="77777777" w:rsidR="0014319F" w:rsidRPr="00324A04" w:rsidRDefault="0014319F" w:rsidP="0014319F">
      <w:pPr>
        <w:spacing w:after="120" w:line="276" w:lineRule="auto"/>
        <w:ind w:firstLine="708"/>
        <w:jc w:val="both"/>
        <w:rPr>
          <w:rFonts w:ascii="Verdana" w:eastAsia="Times New Roman" w:hAnsi="Verdana" w:cs="Arial"/>
          <w:bCs/>
          <w:lang w:val="es-ES" w:eastAsia="es-CO"/>
        </w:rPr>
      </w:pPr>
      <w:r w:rsidRPr="00324A04">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E8FAB1C" w14:textId="77777777" w:rsidR="0014319F" w:rsidRPr="00324A04" w:rsidRDefault="0014319F" w:rsidP="0014319F">
      <w:pPr>
        <w:spacing w:after="120" w:line="276" w:lineRule="auto"/>
        <w:ind w:firstLine="708"/>
        <w:jc w:val="both"/>
        <w:rPr>
          <w:rFonts w:ascii="Verdana" w:eastAsia="Times New Roman" w:hAnsi="Verdana" w:cs="Arial"/>
          <w:bCs/>
          <w:lang w:val="es-ES" w:eastAsia="es-CO"/>
        </w:rPr>
      </w:pPr>
      <w:r w:rsidRPr="00324A04">
        <w:rPr>
          <w:rFonts w:ascii="Verdana" w:eastAsia="Times New Roman" w:hAnsi="Verdana" w:cs="Arial"/>
          <w:bCs/>
          <w:lang w:val="es-ES" w:eastAsia="es-CO"/>
        </w:rPr>
        <w:t xml:space="preserve">Asimismo, </w:t>
      </w:r>
      <w:r w:rsidRPr="00324A04">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324A04">
        <w:rPr>
          <w:rFonts w:ascii="Verdana" w:eastAsia="Times New Roman" w:hAnsi="Verdana" w:cs="Arial"/>
          <w:bCs/>
          <w:lang w:val="es-MX" w:eastAsia="es-CO"/>
        </w:rPr>
        <w:t>entrada en vigencia</w:t>
      </w:r>
      <w:proofErr w:type="gramEnd"/>
      <w:r w:rsidRPr="00324A04">
        <w:rPr>
          <w:rFonts w:ascii="Verdana" w:eastAsia="Times New Roman" w:hAnsi="Verdana" w:cs="Arial"/>
          <w:bCs/>
          <w:lang w:val="es-MX" w:eastAsia="es-CO"/>
        </w:rPr>
        <w:t xml:space="preserve"> de las prohibiciones anotadas, así como la cesión de </w:t>
      </w:r>
      <w:proofErr w:type="gramStart"/>
      <w:r w:rsidRPr="00324A04">
        <w:rPr>
          <w:rFonts w:ascii="Verdana" w:eastAsia="Times New Roman" w:hAnsi="Verdana" w:cs="Arial"/>
          <w:bCs/>
          <w:lang w:val="es-MX" w:eastAsia="es-CO"/>
        </w:rPr>
        <w:t>los mismos</w:t>
      </w:r>
      <w:proofErr w:type="gramEnd"/>
      <w:r w:rsidRPr="00324A0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324A04">
        <w:rPr>
          <w:rFonts w:ascii="Verdana" w:eastAsia="Times New Roman" w:hAnsi="Verdana" w:cs="Arial"/>
          <w:bCs/>
          <w:vertAlign w:val="superscript"/>
          <w:lang w:val="es-MX" w:eastAsia="es-CO"/>
        </w:rPr>
        <w:footnoteReference w:id="9"/>
      </w:r>
      <w:r w:rsidRPr="00324A04">
        <w:rPr>
          <w:rFonts w:ascii="Verdana" w:eastAsia="Times New Roman" w:hAnsi="Verdana" w:cs="Arial"/>
          <w:bCs/>
          <w:lang w:val="es-MX" w:eastAsia="es-CO"/>
        </w:rPr>
        <w:t xml:space="preserve">. </w:t>
      </w:r>
    </w:p>
    <w:p w14:paraId="18A44670" w14:textId="77777777" w:rsidR="0014319F" w:rsidRPr="00324A04" w:rsidRDefault="0014319F" w:rsidP="0014319F">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324A0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712EF480" w14:textId="77777777" w:rsidR="0014319F" w:rsidRPr="00324A04" w:rsidRDefault="0014319F" w:rsidP="0014319F">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166CD15" w14:textId="77777777" w:rsidR="0014319F" w:rsidRPr="00324A04" w:rsidRDefault="0014319F" w:rsidP="0014319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324A04">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324A04">
        <w:rPr>
          <w:rFonts w:ascii="Verdana" w:eastAsia="Arial" w:hAnsi="Verdana" w:cs="Arial"/>
          <w:sz w:val="20"/>
          <w:szCs w:val="20"/>
          <w:lang w:eastAsia="es-ES" w:bidi="es-ES"/>
        </w:rPr>
        <w:t>se integran parcialmente</w:t>
      </w:r>
      <w:bookmarkEnd w:id="7"/>
      <w:r w:rsidRPr="00324A04">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324A04">
        <w:rPr>
          <w:rFonts w:ascii="Verdana" w:eastAsia="Arial" w:hAnsi="Verdana" w:cs="Arial"/>
          <w:sz w:val="20"/>
          <w:szCs w:val="20"/>
          <w:lang w:eastAsia="es-ES" w:bidi="es-ES"/>
        </w:rPr>
        <w:lastRenderedPageBreak/>
        <w:t xml:space="preserve">excluyendo las correspondientes a </w:t>
      </w:r>
      <w:proofErr w:type="gramStart"/>
      <w:r w:rsidRPr="00324A04">
        <w:rPr>
          <w:rFonts w:ascii="Verdana" w:eastAsia="Arial" w:hAnsi="Verdana" w:cs="Arial"/>
          <w:sz w:val="20"/>
          <w:szCs w:val="20"/>
          <w:lang w:eastAsia="es-ES" w:bidi="es-ES"/>
        </w:rPr>
        <w:t>Presidente</w:t>
      </w:r>
      <w:proofErr w:type="gramEnd"/>
      <w:r w:rsidRPr="00324A04">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324A04">
        <w:rPr>
          <w:rFonts w:ascii="Verdana" w:eastAsia="Arial" w:hAnsi="Verdana" w:cs="Arial"/>
          <w:sz w:val="20"/>
          <w:szCs w:val="20"/>
          <w:vertAlign w:val="superscript"/>
          <w:lang w:eastAsia="es-ES" w:bidi="es-ES"/>
        </w:rPr>
        <w:footnoteReference w:id="10"/>
      </w:r>
    </w:p>
    <w:p w14:paraId="4FD67EC3" w14:textId="77777777" w:rsidR="0014319F" w:rsidRPr="00324A04" w:rsidRDefault="0014319F" w:rsidP="0014319F">
      <w:pPr>
        <w:widowControl w:val="0"/>
        <w:autoSpaceDE w:val="0"/>
        <w:autoSpaceDN w:val="0"/>
        <w:spacing w:line="276" w:lineRule="auto"/>
        <w:contextualSpacing/>
        <w:rPr>
          <w:rFonts w:ascii="Verdana" w:eastAsia="Arial" w:hAnsi="Verdana" w:cs="Arial"/>
          <w:lang w:val="es-ES" w:eastAsia="es-ES" w:bidi="es-ES"/>
        </w:rPr>
      </w:pPr>
    </w:p>
    <w:p w14:paraId="72C9DA66" w14:textId="77777777" w:rsidR="0014319F" w:rsidRPr="00324A04" w:rsidRDefault="0014319F" w:rsidP="0014319F">
      <w:pPr>
        <w:spacing w:after="120" w:line="276" w:lineRule="auto"/>
        <w:ind w:firstLine="709"/>
        <w:jc w:val="both"/>
        <w:rPr>
          <w:rFonts w:ascii="Verdana" w:eastAsia="Arial" w:hAnsi="Verdana" w:cs="Arial"/>
          <w:lang w:val="es-ES" w:eastAsia="es-ES" w:bidi="es-ES"/>
        </w:rPr>
      </w:pPr>
      <w:r w:rsidRPr="00324A04">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324A04">
        <w:rPr>
          <w:rFonts w:ascii="Verdana" w:eastAsia="Arial" w:hAnsi="Verdana" w:cs="Arial"/>
          <w:lang w:val="es-ES" w:eastAsia="es-ES" w:bidi="es-ES"/>
        </w:rPr>
        <w:t xml:space="preserve">la Ley 996 de 2005 establece dos (2) tipos de restricciones en materia de contratación, las cuales coinciden parcialmente. </w:t>
      </w:r>
      <w:r w:rsidRPr="00324A04">
        <w:rPr>
          <w:rFonts w:ascii="Verdana" w:eastAsia="Arial" w:hAnsi="Verdana" w:cs="Arial"/>
          <w:i/>
          <w:lang w:val="es-ES" w:eastAsia="es-ES" w:bidi="es-ES"/>
        </w:rPr>
        <w:t>En primer lugar</w:t>
      </w:r>
      <w:r w:rsidRPr="00324A0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324A04">
        <w:rPr>
          <w:rFonts w:ascii="Verdana" w:eastAsia="Arial" w:hAnsi="Verdana" w:cs="Arial"/>
          <w:i/>
          <w:lang w:val="es-ES" w:eastAsia="es-ES" w:bidi="es-ES"/>
        </w:rPr>
        <w:t>En segundo lugar</w:t>
      </w:r>
      <w:r w:rsidRPr="00324A0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44CC79E9" w14:textId="77777777" w:rsidR="0014319F" w:rsidRPr="00324A04" w:rsidRDefault="0014319F" w:rsidP="0014319F">
      <w:pPr>
        <w:spacing w:after="120" w:line="276" w:lineRule="auto"/>
        <w:ind w:firstLine="709"/>
        <w:jc w:val="both"/>
        <w:rPr>
          <w:rFonts w:ascii="Verdana" w:eastAsia="Arial" w:hAnsi="Verdana" w:cs="Arial"/>
          <w:lang w:val="es-ES" w:eastAsia="es-ES" w:bidi="es-ES"/>
        </w:rPr>
      </w:pPr>
      <w:r w:rsidRPr="00324A0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324A04">
        <w:rPr>
          <w:rFonts w:ascii="Verdana" w:eastAsia="Arial" w:hAnsi="Verdana" w:cs="Arial"/>
          <w:lang w:val="es-ES" w:eastAsia="es-ES" w:bidi="es-ES"/>
        </w:rPr>
        <w:t>Presidente</w:t>
      </w:r>
      <w:proofErr w:type="gramEnd"/>
      <w:r w:rsidRPr="00324A04">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324A04">
        <w:rPr>
          <w:rFonts w:ascii="Verdana" w:eastAsia="Arial" w:hAnsi="Verdana" w:cs="Arial"/>
          <w:lang w:val="es-ES" w:eastAsia="es-ES" w:bidi="es-ES"/>
        </w:rPr>
        <w:t>Presidente</w:t>
      </w:r>
      <w:proofErr w:type="gramEnd"/>
      <w:r w:rsidRPr="00324A04">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736DA70C" w14:textId="77777777" w:rsidR="0014319F" w:rsidRPr="00324A04" w:rsidRDefault="0014319F" w:rsidP="0014319F">
      <w:pPr>
        <w:spacing w:after="120" w:line="276" w:lineRule="auto"/>
        <w:ind w:firstLine="709"/>
        <w:jc w:val="both"/>
        <w:rPr>
          <w:rFonts w:ascii="Verdana" w:eastAsia="Arial" w:hAnsi="Verdana" w:cs="Arial"/>
          <w:lang w:val="es-ES" w:eastAsia="es-ES" w:bidi="es-ES"/>
        </w:rPr>
      </w:pPr>
      <w:r w:rsidRPr="00324A0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324A04">
        <w:rPr>
          <w:rFonts w:ascii="Verdana" w:eastAsia="Arial" w:hAnsi="Verdana" w:cs="Arial"/>
          <w:lang w:val="es-ES" w:eastAsia="es-ES" w:bidi="es-ES"/>
        </w:rPr>
        <w:t>Presidente</w:t>
      </w:r>
      <w:proofErr w:type="gramEnd"/>
      <w:r w:rsidRPr="00324A04">
        <w:rPr>
          <w:rFonts w:ascii="Verdana" w:eastAsia="Arial" w:hAnsi="Verdana" w:cs="Arial"/>
          <w:lang w:val="es-ES" w:eastAsia="es-ES" w:bidi="es-ES"/>
        </w:rPr>
        <w:t xml:space="preserve"> o el </w:t>
      </w:r>
      <w:proofErr w:type="gramStart"/>
      <w:r w:rsidRPr="00324A04">
        <w:rPr>
          <w:rFonts w:ascii="Verdana" w:eastAsia="Arial" w:hAnsi="Verdana" w:cs="Arial"/>
          <w:lang w:val="es-ES" w:eastAsia="es-ES" w:bidi="es-ES"/>
        </w:rPr>
        <w:t>Vicepresidente</w:t>
      </w:r>
      <w:proofErr w:type="gramEnd"/>
      <w:r w:rsidRPr="00324A0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324A04">
        <w:rPr>
          <w:rFonts w:ascii="Verdana" w:eastAsia="Arial" w:hAnsi="Verdana" w:cs="Arial"/>
          <w:lang w:val="es-ES" w:eastAsia="es-ES" w:bidi="es-ES"/>
        </w:rPr>
        <w:lastRenderedPageBreak/>
        <w:t xml:space="preserve">momento en que estas restricciones empiezan a regir para el </w:t>
      </w:r>
      <w:proofErr w:type="gramStart"/>
      <w:r w:rsidRPr="00324A04">
        <w:rPr>
          <w:rFonts w:ascii="Verdana" w:eastAsia="Arial" w:hAnsi="Verdana" w:cs="Arial"/>
          <w:lang w:val="es-ES" w:eastAsia="es-ES" w:bidi="es-ES"/>
        </w:rPr>
        <w:t>Presidente</w:t>
      </w:r>
      <w:proofErr w:type="gramEnd"/>
      <w:r w:rsidRPr="00324A04">
        <w:rPr>
          <w:rFonts w:ascii="Verdana" w:eastAsia="Arial" w:hAnsi="Verdana" w:cs="Arial"/>
          <w:lang w:val="es-ES" w:eastAsia="es-ES" w:bidi="es-ES"/>
        </w:rPr>
        <w:t xml:space="preserve"> y el </w:t>
      </w:r>
      <w:proofErr w:type="gramStart"/>
      <w:r w:rsidRPr="00324A04">
        <w:rPr>
          <w:rFonts w:ascii="Verdana" w:eastAsia="Arial" w:hAnsi="Verdana" w:cs="Arial"/>
          <w:lang w:val="es-ES" w:eastAsia="es-ES" w:bidi="es-ES"/>
        </w:rPr>
        <w:t>Vicepresidente</w:t>
      </w:r>
      <w:proofErr w:type="gramEnd"/>
      <w:r w:rsidRPr="00324A04">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324A04">
        <w:rPr>
          <w:rFonts w:ascii="Verdana" w:eastAsia="Arial" w:hAnsi="Verdana" w:cs="Arial"/>
          <w:lang w:val="es-ES" w:eastAsia="es-ES" w:bidi="es-ES"/>
        </w:rPr>
        <w:t>Vicepresidente</w:t>
      </w:r>
      <w:proofErr w:type="gramEnd"/>
      <w:r w:rsidRPr="00324A0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0AE7B88" w14:textId="77777777" w:rsidR="0014319F" w:rsidRPr="00324A04" w:rsidRDefault="0014319F" w:rsidP="0014319F">
      <w:pPr>
        <w:spacing w:after="120" w:line="276" w:lineRule="auto"/>
        <w:jc w:val="both"/>
        <w:rPr>
          <w:rFonts w:ascii="Verdana" w:eastAsia="Arial" w:hAnsi="Verdana" w:cs="Arial"/>
          <w:lang w:val="es-ES" w:eastAsia="es-ES" w:bidi="es-ES"/>
        </w:rPr>
      </w:pPr>
      <w:proofErr w:type="spellStart"/>
      <w:r w:rsidRPr="00324A04">
        <w:rPr>
          <w:rFonts w:ascii="Verdana" w:eastAsia="Arial" w:hAnsi="Verdana" w:cs="Arial"/>
          <w:lang w:val="es-ES" w:eastAsia="es-ES" w:bidi="es-ES"/>
        </w:rPr>
        <w:t>iii</w:t>
      </w:r>
      <w:proofErr w:type="spellEnd"/>
      <w:r w:rsidRPr="00324A04">
        <w:rPr>
          <w:rFonts w:ascii="Verdana" w:eastAsia="Arial" w:hAnsi="Verdana" w:cs="Arial"/>
          <w:lang w:val="es-ES" w:eastAsia="es-ES" w:bidi="es-ES"/>
        </w:rPr>
        <w:t xml:space="preserve">. </w:t>
      </w:r>
      <w:r w:rsidRPr="00324A04">
        <w:rPr>
          <w:rFonts w:ascii="Verdana" w:eastAsia="Times New Roman" w:hAnsi="Verdana" w:cs="Arial"/>
          <w:bCs/>
          <w:lang w:val="es-MX" w:eastAsia="x-none"/>
        </w:rPr>
        <w:t xml:space="preserve">El ámbito material de la prohibición contenida en el artículo 33 de la ley 996 de 2005 está delimitado por la expresión </w:t>
      </w:r>
      <w:r w:rsidRPr="00324A04">
        <w:rPr>
          <w:rFonts w:ascii="Verdana" w:eastAsia="Calibri" w:hAnsi="Verdana" w:cs="Arial"/>
          <w:bCs/>
          <w:sz w:val="20"/>
          <w:szCs w:val="20"/>
          <w:lang w:val="es-MX"/>
        </w:rPr>
        <w:t>“</w:t>
      </w:r>
      <w:r w:rsidRPr="00324A04">
        <w:rPr>
          <w:rFonts w:ascii="Verdana" w:eastAsia="Times New Roman" w:hAnsi="Verdana" w:cs="Arial"/>
          <w:bCs/>
          <w:lang w:val="es-MX" w:eastAsia="x-none"/>
        </w:rPr>
        <w:t>queda prohibida la contratación directa</w:t>
      </w:r>
      <w:r w:rsidRPr="00324A04">
        <w:rPr>
          <w:rFonts w:ascii="Verdana" w:eastAsia="Calibri" w:hAnsi="Verdana" w:cs="Arial"/>
          <w:sz w:val="20"/>
          <w:szCs w:val="20"/>
          <w:lang w:val="es-MX"/>
        </w:rPr>
        <w:t>”</w:t>
      </w:r>
      <w:r w:rsidRPr="00324A04">
        <w:rPr>
          <w:rFonts w:ascii="Verdana" w:eastAsia="Times New Roman" w:hAnsi="Verdana" w:cs="Arial"/>
          <w:bCs/>
          <w:lang w:val="es-MX" w:eastAsia="x-none"/>
        </w:rPr>
        <w:t xml:space="preserve">. </w:t>
      </w:r>
      <w:r w:rsidRPr="00324A04">
        <w:rPr>
          <w:rFonts w:ascii="Verdana" w:eastAsia="Times New Roman" w:hAnsi="Verdana" w:cs="Arial"/>
          <w:lang w:val="es-MX" w:eastAsia="es-CO"/>
        </w:rPr>
        <w:t xml:space="preserve"> A propósito de </w:t>
      </w:r>
      <w:r w:rsidRPr="00324A04">
        <w:rPr>
          <w:rFonts w:ascii="Verdana" w:eastAsia="Times New Roman" w:hAnsi="Verdana" w:cs="Arial"/>
          <w:lang w:eastAsia="es-CO"/>
        </w:rPr>
        <w:t>esta restricción de la Ley de Garantías Electorales, la Sala de Consulta y Servicio Civil del Consejo de Estado ha considerado que:</w:t>
      </w:r>
    </w:p>
    <w:p w14:paraId="50C5FA21" w14:textId="77777777" w:rsidR="0014319F" w:rsidRPr="00324A04" w:rsidRDefault="0014319F" w:rsidP="0014319F">
      <w:pPr>
        <w:spacing w:after="0" w:line="276" w:lineRule="auto"/>
        <w:ind w:left="708" w:right="709"/>
        <w:jc w:val="both"/>
        <w:rPr>
          <w:rFonts w:ascii="Verdana" w:eastAsia="Calibri" w:hAnsi="Verdana" w:cs="Arial"/>
          <w:lang w:val="es-MX"/>
        </w:rPr>
      </w:pPr>
    </w:p>
    <w:p w14:paraId="5619A924" w14:textId="77777777" w:rsidR="0014319F" w:rsidRPr="00324A04" w:rsidRDefault="0014319F" w:rsidP="0014319F">
      <w:pPr>
        <w:spacing w:after="120" w:line="240" w:lineRule="auto"/>
        <w:ind w:left="709" w:right="709"/>
        <w:jc w:val="both"/>
        <w:rPr>
          <w:rFonts w:ascii="Verdana" w:eastAsia="Calibri" w:hAnsi="Verdana" w:cs="Arial"/>
          <w:sz w:val="20"/>
          <w:szCs w:val="20"/>
          <w:lang w:val="es-MX"/>
        </w:rPr>
      </w:pPr>
      <w:r w:rsidRPr="00324A04">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24A04">
        <w:rPr>
          <w:rFonts w:ascii="Verdana" w:eastAsia="Times New Roman" w:hAnsi="Verdana" w:cs="Arial"/>
          <w:sz w:val="20"/>
          <w:szCs w:val="20"/>
          <w:vertAlign w:val="superscript"/>
          <w:lang w:eastAsia="es-CO"/>
        </w:rPr>
        <w:footnoteReference w:id="11"/>
      </w:r>
      <w:r w:rsidRPr="00324A04">
        <w:rPr>
          <w:rFonts w:ascii="Verdana" w:eastAsia="Calibri" w:hAnsi="Verdana" w:cs="Arial"/>
          <w:sz w:val="20"/>
          <w:szCs w:val="20"/>
          <w:lang w:val="es-MX"/>
        </w:rPr>
        <w:t>.</w:t>
      </w:r>
    </w:p>
    <w:p w14:paraId="317AAC29" w14:textId="77777777" w:rsidR="0014319F" w:rsidRPr="00324A04" w:rsidRDefault="0014319F" w:rsidP="0014319F">
      <w:pPr>
        <w:spacing w:after="0" w:line="240" w:lineRule="auto"/>
        <w:ind w:left="708" w:right="709"/>
        <w:jc w:val="both"/>
        <w:rPr>
          <w:rFonts w:ascii="Verdana" w:eastAsia="Calibri" w:hAnsi="Verdana" w:cs="Arial"/>
          <w:sz w:val="20"/>
          <w:szCs w:val="20"/>
          <w:lang w:val="es-MX"/>
        </w:rPr>
      </w:pPr>
      <w:r w:rsidRPr="00324A04">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24A04">
        <w:rPr>
          <w:rFonts w:ascii="Verdana" w:eastAsia="Times New Roman" w:hAnsi="Verdana" w:cs="Arial"/>
          <w:sz w:val="20"/>
          <w:szCs w:val="20"/>
          <w:vertAlign w:val="superscript"/>
          <w:lang w:val="es-MX"/>
        </w:rPr>
        <w:footnoteReference w:id="12"/>
      </w:r>
      <w:r w:rsidRPr="00324A04">
        <w:rPr>
          <w:rFonts w:ascii="Verdana" w:eastAsia="Times New Roman" w:hAnsi="Verdana" w:cs="Arial"/>
          <w:sz w:val="20"/>
          <w:szCs w:val="20"/>
          <w:vertAlign w:val="superscript"/>
          <w:lang w:val="es-MX"/>
        </w:rPr>
        <w:t>.</w:t>
      </w:r>
      <w:r w:rsidRPr="00324A04">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24A04">
        <w:rPr>
          <w:rFonts w:ascii="Verdana" w:eastAsia="Times New Roman" w:hAnsi="Verdana" w:cs="Arial"/>
          <w:sz w:val="20"/>
          <w:szCs w:val="20"/>
          <w:vertAlign w:val="superscript"/>
          <w:lang w:eastAsia="es-CO"/>
        </w:rPr>
        <w:footnoteReference w:id="13"/>
      </w:r>
      <w:r w:rsidRPr="00324A04">
        <w:rPr>
          <w:rFonts w:ascii="Verdana" w:eastAsia="Calibri" w:hAnsi="Verdana" w:cs="Arial"/>
          <w:sz w:val="20"/>
          <w:szCs w:val="20"/>
          <w:lang w:val="es-MX"/>
        </w:rPr>
        <w:t>.</w:t>
      </w:r>
    </w:p>
    <w:p w14:paraId="4A2B71D1" w14:textId="77777777" w:rsidR="0014319F" w:rsidRPr="00324A04" w:rsidRDefault="0014319F" w:rsidP="0014319F">
      <w:pPr>
        <w:shd w:val="clear" w:color="auto" w:fill="FFFFFF"/>
        <w:spacing w:after="0" w:line="276" w:lineRule="auto"/>
        <w:ind w:firstLine="709"/>
        <w:jc w:val="both"/>
        <w:rPr>
          <w:rFonts w:ascii="Verdana" w:eastAsia="Times New Roman" w:hAnsi="Verdana" w:cs="Arial"/>
          <w:lang w:eastAsia="x-none"/>
        </w:rPr>
      </w:pPr>
    </w:p>
    <w:p w14:paraId="7FBA3F5B" w14:textId="77777777" w:rsidR="0014319F" w:rsidRPr="00324A04" w:rsidRDefault="0014319F" w:rsidP="0014319F">
      <w:pPr>
        <w:spacing w:after="120" w:line="276" w:lineRule="auto"/>
        <w:ind w:firstLine="708"/>
        <w:jc w:val="both"/>
        <w:rPr>
          <w:rFonts w:ascii="Verdana" w:eastAsia="Times New Roman" w:hAnsi="Verdana" w:cs="Arial"/>
          <w:bCs/>
          <w:lang w:eastAsia="x-none"/>
        </w:rPr>
      </w:pPr>
      <w:r w:rsidRPr="00324A04">
        <w:rPr>
          <w:rFonts w:ascii="Verdana" w:eastAsia="Times New Roman" w:hAnsi="Verdana" w:cs="Arial"/>
          <w:lang w:eastAsia="x-none"/>
        </w:rPr>
        <w:t xml:space="preserve">De acuerdo con el citado concepto, la prohibición del artículo 33 de la Ley de Garantías Electorales se refiere a </w:t>
      </w:r>
      <w:r w:rsidRPr="00324A04">
        <w:rPr>
          <w:rFonts w:ascii="Verdana" w:eastAsia="Times New Roman" w:hAnsi="Verdana" w:cs="Arial"/>
          <w:sz w:val="19"/>
          <w:szCs w:val="19"/>
          <w:lang w:eastAsia="en-GB"/>
        </w:rPr>
        <w:t>“</w:t>
      </w:r>
      <w:r w:rsidRPr="00324A04">
        <w:rPr>
          <w:rFonts w:ascii="Verdana" w:eastAsia="Times New Roman" w:hAnsi="Verdana" w:cs="Arial"/>
          <w:lang w:eastAsia="x-none"/>
        </w:rPr>
        <w:t>cualquier sistema que no implique convocatoria pública y posibilidad de pluralidad de oferentes</w:t>
      </w:r>
      <w:r w:rsidRPr="00324A04">
        <w:rPr>
          <w:rFonts w:ascii="Verdana" w:eastAsia="Times New Roman" w:hAnsi="Verdana" w:cs="Arial"/>
          <w:lang w:eastAsia="en-GB"/>
        </w:rPr>
        <w:t>”</w:t>
      </w:r>
      <w:r w:rsidRPr="00324A04">
        <w:rPr>
          <w:rFonts w:ascii="Verdana" w:eastAsia="Times New Roman" w:hAnsi="Verdana" w:cs="Arial"/>
          <w:lang w:eastAsia="x-none"/>
        </w:rPr>
        <w:t xml:space="preserve">, por lo que excluye </w:t>
      </w:r>
      <w:r w:rsidRPr="00324A04">
        <w:rPr>
          <w:rFonts w:ascii="Verdana" w:eastAsia="Times New Roman" w:hAnsi="Verdana" w:cs="Arial"/>
          <w:lang w:eastAsia="x-none"/>
        </w:rPr>
        <w:lastRenderedPageBreak/>
        <w:t xml:space="preserve">las demás modalidades de contratación previstas en la Ley 1150 de 2007, es decir, la licitación pública, la selección abreviada, el concurso de méritos </w:t>
      </w:r>
      <w:r w:rsidRPr="00324A04">
        <w:rPr>
          <w:rFonts w:ascii="Verdana" w:eastAsia="Times New Roman" w:hAnsi="Verdana" w:cs="Arial"/>
          <w:lang w:val="es-ES_tradnl" w:eastAsia="x-none"/>
        </w:rPr>
        <w:t xml:space="preserve">y la mínima cuantía </w:t>
      </w:r>
      <w:r w:rsidRPr="00324A0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24A04">
        <w:rPr>
          <w:rFonts w:ascii="Verdana" w:eastAsia="Times New Roman" w:hAnsi="Verdana" w:cs="Arial"/>
          <w:vertAlign w:val="superscript"/>
          <w:lang w:val="en-GB" w:eastAsia="x-none"/>
        </w:rPr>
        <w:footnoteReference w:id="14"/>
      </w:r>
      <w:r w:rsidRPr="00324A04">
        <w:rPr>
          <w:rFonts w:ascii="Verdana" w:eastAsia="Times New Roman" w:hAnsi="Verdana" w:cs="Arial"/>
          <w:lang w:eastAsia="x-none"/>
        </w:rPr>
        <w:t xml:space="preserve"> y sistematizó las causales de contratación directa</w:t>
      </w:r>
      <w:r w:rsidRPr="00324A04">
        <w:rPr>
          <w:rFonts w:ascii="Verdana" w:eastAsia="Times New Roman" w:hAnsi="Verdana" w:cs="Arial"/>
          <w:vertAlign w:val="superscript"/>
          <w:lang w:val="en-GB" w:eastAsia="x-none"/>
        </w:rPr>
        <w:footnoteReference w:id="15"/>
      </w:r>
      <w:r w:rsidRPr="00324A04">
        <w:rPr>
          <w:rFonts w:ascii="Verdana" w:eastAsia="Times New Roman" w:hAnsi="Verdana" w:cs="Arial"/>
          <w:lang w:eastAsia="x-none"/>
        </w:rPr>
        <w:t xml:space="preserve">, </w:t>
      </w:r>
      <w:r w:rsidRPr="00324A0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271D7D7F" w14:textId="77777777" w:rsidR="0014319F" w:rsidRPr="00324A04" w:rsidRDefault="0014319F" w:rsidP="0014319F">
      <w:pPr>
        <w:spacing w:after="120" w:line="276" w:lineRule="auto"/>
        <w:ind w:firstLine="708"/>
        <w:jc w:val="both"/>
        <w:rPr>
          <w:rFonts w:ascii="Verdana" w:eastAsia="Times New Roman" w:hAnsi="Verdana" w:cs="Arial"/>
          <w:lang w:val="es-MX" w:eastAsia="x-none"/>
        </w:rPr>
      </w:pPr>
      <w:r w:rsidRPr="00324A04">
        <w:rPr>
          <w:rFonts w:ascii="Verdana" w:eastAsia="Times New Roman" w:hAnsi="Verdana" w:cs="Arial"/>
          <w:lang w:eastAsia="x-none"/>
        </w:rPr>
        <w:t xml:space="preserve">De esta forma, con fundamento en la evolución de la normativa sobre la contratación pública, se ha depurado la noción de </w:t>
      </w:r>
      <w:r w:rsidRPr="00324A04">
        <w:rPr>
          <w:rFonts w:ascii="Verdana" w:eastAsia="Times New Roman" w:hAnsi="Verdana" w:cs="Arial"/>
          <w:sz w:val="19"/>
          <w:szCs w:val="19"/>
          <w:lang w:eastAsia="en-GB"/>
        </w:rPr>
        <w:t>“</w:t>
      </w:r>
      <w:r w:rsidRPr="00324A04">
        <w:rPr>
          <w:rFonts w:ascii="Verdana" w:eastAsia="Times New Roman" w:hAnsi="Verdana" w:cs="Arial"/>
          <w:lang w:eastAsia="x-none"/>
        </w:rPr>
        <w:t>contratación directa</w:t>
      </w:r>
      <w:r w:rsidRPr="00324A04">
        <w:rPr>
          <w:rFonts w:ascii="Verdana" w:eastAsia="Times New Roman" w:hAnsi="Verdana" w:cs="Arial"/>
          <w:lang w:eastAsia="en-GB"/>
        </w:rPr>
        <w:t>”</w:t>
      </w:r>
      <w:r w:rsidRPr="00324A04">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24A04">
        <w:rPr>
          <w:rFonts w:ascii="Verdana" w:eastAsia="Times New Roman" w:hAnsi="Verdana" w:cs="Arial"/>
          <w:vertAlign w:val="superscript"/>
          <w:lang w:val="en-GB" w:eastAsia="x-none"/>
        </w:rPr>
        <w:footnoteReference w:id="16"/>
      </w:r>
      <w:r w:rsidRPr="00324A04">
        <w:rPr>
          <w:rFonts w:ascii="Verdana" w:eastAsia="Times New Roman" w:hAnsi="Verdana" w:cs="Arial"/>
          <w:lang w:eastAsia="x-none"/>
        </w:rPr>
        <w:t>, han establecido sistemas de contratación que implican convocatoria pública y participación de varios oferentes</w:t>
      </w:r>
      <w:r w:rsidRPr="00324A04">
        <w:rPr>
          <w:rFonts w:ascii="Verdana" w:eastAsia="Times New Roman" w:hAnsi="Verdana" w:cs="Arial"/>
          <w:lang w:eastAsia="en-GB"/>
        </w:rPr>
        <w:t>”</w:t>
      </w:r>
      <w:r w:rsidRPr="00324A04">
        <w:rPr>
          <w:rFonts w:ascii="Verdana" w:eastAsia="Times New Roman" w:hAnsi="Verdana" w:cs="Arial"/>
          <w:lang w:eastAsia="x-none"/>
        </w:rPr>
        <w:t xml:space="preserve">. </w:t>
      </w:r>
    </w:p>
    <w:p w14:paraId="3164394B" w14:textId="77777777" w:rsidR="0014319F" w:rsidRPr="00324A04" w:rsidRDefault="0014319F" w:rsidP="0014319F">
      <w:pPr>
        <w:spacing w:after="120" w:line="276" w:lineRule="auto"/>
        <w:ind w:firstLine="708"/>
        <w:jc w:val="both"/>
        <w:rPr>
          <w:rFonts w:ascii="Verdana" w:eastAsia="Times New Roman" w:hAnsi="Verdana" w:cs="Arial"/>
          <w:bCs/>
          <w:lang w:val="es-MX" w:eastAsia="es-CO"/>
        </w:rPr>
      </w:pPr>
      <w:r w:rsidRPr="00324A04">
        <w:rPr>
          <w:rFonts w:ascii="Verdana" w:eastAsia="Times New Roman" w:hAnsi="Verdana" w:cs="Arial"/>
          <w:bCs/>
          <w:lang w:val="es-MX" w:eastAsia="x-none"/>
        </w:rPr>
        <w:t>E</w:t>
      </w:r>
      <w:r w:rsidRPr="00324A0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24A04">
        <w:rPr>
          <w:rFonts w:ascii="Verdana" w:eastAsia="Times New Roman" w:hAnsi="Verdana" w:cs="Arial"/>
          <w:vertAlign w:val="superscript"/>
          <w:lang w:eastAsia="x-none"/>
        </w:rPr>
        <w:footnoteReference w:id="17"/>
      </w:r>
      <w:r w:rsidRPr="00324A04">
        <w:rPr>
          <w:rFonts w:ascii="Verdana" w:eastAsia="Times New Roman" w:hAnsi="Verdana" w:cs="Arial"/>
          <w:lang w:eastAsia="x-none"/>
        </w:rPr>
        <w:t xml:space="preserve">. </w:t>
      </w:r>
    </w:p>
    <w:p w14:paraId="6CF6C903" w14:textId="77777777" w:rsidR="0014319F" w:rsidRPr="00324A04" w:rsidRDefault="0014319F" w:rsidP="0014319F">
      <w:pPr>
        <w:spacing w:after="120" w:line="276" w:lineRule="auto"/>
        <w:ind w:firstLine="708"/>
        <w:jc w:val="both"/>
        <w:rPr>
          <w:rFonts w:ascii="Verdana" w:eastAsia="Times New Roman" w:hAnsi="Verdana" w:cs="Arial"/>
          <w:bCs/>
          <w:lang w:val="es-MX" w:eastAsia="es-CO"/>
        </w:rPr>
      </w:pPr>
      <w:r w:rsidRPr="00324A04">
        <w:rPr>
          <w:rFonts w:ascii="Verdana" w:eastAsia="Times New Roman"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528A5EF7" w14:textId="77777777" w:rsidR="0014319F" w:rsidRPr="00324A04" w:rsidRDefault="0014319F" w:rsidP="0014319F">
      <w:pPr>
        <w:spacing w:after="120" w:line="276" w:lineRule="auto"/>
        <w:ind w:firstLine="708"/>
        <w:jc w:val="both"/>
        <w:rPr>
          <w:rFonts w:ascii="Verdana" w:eastAsia="Times New Roman" w:hAnsi="Verdana" w:cs="Arial"/>
          <w:bCs/>
          <w:lang w:val="es-MX" w:eastAsia="x-none"/>
        </w:rPr>
      </w:pPr>
      <w:r w:rsidRPr="00324A04">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24A04">
        <w:rPr>
          <w:rFonts w:ascii="Verdana" w:eastAsia="Times New Roman" w:hAnsi="Verdana" w:cs="Arial"/>
          <w:vertAlign w:val="superscript"/>
          <w:lang w:eastAsia="x-none"/>
        </w:rPr>
        <w:footnoteReference w:id="18"/>
      </w:r>
      <w:r w:rsidRPr="00324A04">
        <w:rPr>
          <w:rFonts w:ascii="Verdana" w:eastAsia="Times New Roman" w:hAnsi="Verdana" w:cs="Arial"/>
          <w:bCs/>
          <w:lang w:val="es-MX" w:eastAsia="x-none"/>
        </w:rPr>
        <w:t>.</w:t>
      </w:r>
      <w:r w:rsidRPr="00324A04">
        <w:rPr>
          <w:rFonts w:ascii="Verdana" w:eastAsia="Times New Roman" w:hAnsi="Verdana" w:cs="Arial"/>
          <w:vertAlign w:val="superscript"/>
          <w:lang w:val="es-MX" w:eastAsia="x-none"/>
        </w:rPr>
        <w:t xml:space="preserve"> </w:t>
      </w:r>
    </w:p>
    <w:p w14:paraId="216A12B5" w14:textId="77777777" w:rsidR="0014319F" w:rsidRPr="00324A04" w:rsidRDefault="0014319F" w:rsidP="0014319F">
      <w:pPr>
        <w:spacing w:after="120" w:line="276" w:lineRule="auto"/>
        <w:ind w:firstLine="708"/>
        <w:jc w:val="both"/>
        <w:rPr>
          <w:rFonts w:ascii="Verdana" w:eastAsia="Times New Roman" w:hAnsi="Verdana" w:cs="Arial"/>
          <w:lang w:eastAsia="x-none"/>
        </w:rPr>
      </w:pPr>
      <w:r w:rsidRPr="00324A04">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324A0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D5C6F95" w14:textId="77777777" w:rsidR="0014319F" w:rsidRPr="00324A04" w:rsidRDefault="0014319F" w:rsidP="0014319F">
      <w:pPr>
        <w:spacing w:after="120" w:line="276" w:lineRule="auto"/>
        <w:ind w:firstLine="708"/>
        <w:jc w:val="both"/>
        <w:rPr>
          <w:rFonts w:ascii="Verdana" w:eastAsia="Times New Roman" w:hAnsi="Verdana" w:cs="Arial"/>
          <w:bCs/>
          <w:lang w:val="es-MX" w:eastAsia="es-CO"/>
        </w:rPr>
      </w:pPr>
      <w:r w:rsidRPr="00324A04">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324A04">
        <w:rPr>
          <w:rFonts w:ascii="Verdana" w:eastAsia="Times New Roman" w:hAnsi="Verdana" w:cs="Arial"/>
          <w:bCs/>
          <w:lang w:val="es-MX" w:eastAsia="x-none"/>
        </w:rPr>
        <w:t>ii</w:t>
      </w:r>
      <w:proofErr w:type="spellEnd"/>
      <w:r w:rsidRPr="00324A04">
        <w:rPr>
          <w:rFonts w:ascii="Verdana" w:eastAsia="Times New Roman" w:hAnsi="Verdana" w:cs="Arial"/>
          <w:bCs/>
          <w:lang w:val="es-MX" w:eastAsia="x-none"/>
        </w:rPr>
        <w:t xml:space="preserve">) los contratos de crédito público; </w:t>
      </w:r>
      <w:proofErr w:type="spellStart"/>
      <w:r w:rsidRPr="00324A04">
        <w:rPr>
          <w:rFonts w:ascii="Verdana" w:eastAsia="Times New Roman" w:hAnsi="Verdana" w:cs="Arial"/>
          <w:bCs/>
          <w:lang w:val="es-MX" w:eastAsia="x-none"/>
        </w:rPr>
        <w:t>iii</w:t>
      </w:r>
      <w:proofErr w:type="spellEnd"/>
      <w:r w:rsidRPr="00324A04">
        <w:rPr>
          <w:rFonts w:ascii="Verdana" w:eastAsia="Times New Roman" w:hAnsi="Verdana" w:cs="Arial"/>
          <w:bCs/>
          <w:lang w:val="es-MX" w:eastAsia="x-none"/>
        </w:rPr>
        <w:t xml:space="preserve">) los requeridos para cubrir las emergencias educativas, sanitarias y desastres; </w:t>
      </w:r>
      <w:proofErr w:type="spellStart"/>
      <w:r w:rsidRPr="00324A04">
        <w:rPr>
          <w:rFonts w:ascii="Verdana" w:eastAsia="Times New Roman" w:hAnsi="Verdana" w:cs="Arial"/>
          <w:bCs/>
          <w:lang w:val="es-MX" w:eastAsia="x-none"/>
        </w:rPr>
        <w:t>iv</w:t>
      </w:r>
      <w:proofErr w:type="spellEnd"/>
      <w:r w:rsidRPr="00324A04">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324A04">
        <w:rPr>
          <w:rFonts w:ascii="Verdana" w:eastAsia="Times New Roman" w:hAnsi="Verdana" w:cs="Arial"/>
          <w:bCs/>
          <w:lang w:val="es-MX" w:eastAsia="es-CO"/>
        </w:rPr>
        <w:t xml:space="preserve"> Es responsabilidad del respectivo </w:t>
      </w:r>
      <w:r w:rsidRPr="00324A04">
        <w:rPr>
          <w:rFonts w:ascii="Verdana" w:eastAsia="Times New Roman" w:hAnsi="Verdana" w:cs="Arial"/>
          <w:bCs/>
          <w:lang w:val="es-MX" w:eastAsia="es-CO"/>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5E31B26B" w14:textId="77777777" w:rsidR="0014319F" w:rsidRPr="00324A04" w:rsidRDefault="0014319F" w:rsidP="0014319F">
      <w:pPr>
        <w:spacing w:after="0" w:line="276" w:lineRule="auto"/>
        <w:ind w:firstLine="709"/>
        <w:jc w:val="both"/>
        <w:rPr>
          <w:rFonts w:ascii="Verdana" w:eastAsia="Times New Roman" w:hAnsi="Verdana" w:cs="Arial"/>
          <w:bCs/>
          <w:lang w:val="es-MX" w:eastAsia="x-none"/>
        </w:rPr>
      </w:pPr>
      <w:r w:rsidRPr="00324A04">
        <w:rPr>
          <w:rFonts w:ascii="Verdana" w:eastAsia="Times New Roman" w:hAnsi="Verdana" w:cs="Arial"/>
          <w:bCs/>
          <w:lang w:val="es-MX"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24A04">
        <w:rPr>
          <w:rFonts w:ascii="Verdana" w:eastAsia="Calibri" w:hAnsi="Verdana" w:cs="Arial"/>
          <w:vertAlign w:val="superscript"/>
          <w:lang w:val="es-MX"/>
        </w:rPr>
        <w:footnoteReference w:id="19"/>
      </w:r>
      <w:r w:rsidRPr="00324A04">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3396A67D" w14:textId="77777777" w:rsidR="0014319F" w:rsidRPr="00324A04" w:rsidRDefault="0014319F" w:rsidP="0014319F">
      <w:pPr>
        <w:spacing w:after="0" w:line="276" w:lineRule="auto"/>
        <w:jc w:val="both"/>
        <w:rPr>
          <w:rFonts w:ascii="Verdana" w:eastAsia="Times New Roman" w:hAnsi="Verdana" w:cs="Arial"/>
          <w:bCs/>
          <w:lang w:val="es-MX" w:eastAsia="x-none"/>
        </w:rPr>
      </w:pPr>
    </w:p>
    <w:p w14:paraId="357DC74D" w14:textId="77777777" w:rsidR="0014319F" w:rsidRPr="00324A04" w:rsidRDefault="0014319F" w:rsidP="0014319F">
      <w:pPr>
        <w:spacing w:after="0" w:line="276" w:lineRule="auto"/>
        <w:jc w:val="both"/>
        <w:rPr>
          <w:rFonts w:ascii="Verdana" w:eastAsia="Times New Roman" w:hAnsi="Verdana" w:cs="Arial"/>
          <w:bCs/>
          <w:lang w:val="es-MX" w:eastAsia="x-none"/>
        </w:rPr>
      </w:pPr>
      <w:proofErr w:type="spellStart"/>
      <w:r w:rsidRPr="00324A04">
        <w:rPr>
          <w:rFonts w:ascii="Verdana" w:eastAsia="Times New Roman" w:hAnsi="Verdana" w:cs="Arial"/>
          <w:bCs/>
          <w:lang w:val="es-MX" w:eastAsia="x-none"/>
        </w:rPr>
        <w:t>iv</w:t>
      </w:r>
      <w:proofErr w:type="spellEnd"/>
      <w:r w:rsidRPr="00324A04">
        <w:rPr>
          <w:rFonts w:ascii="Verdana" w:eastAsia="Times New Roman" w:hAnsi="Verdana" w:cs="Arial"/>
          <w:bCs/>
          <w:lang w:val="es-MX" w:eastAsia="x-none"/>
        </w:rPr>
        <w:t>. 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24A04">
        <w:rPr>
          <w:rFonts w:ascii="Verdana" w:eastAsia="Calibri" w:hAnsi="Verdana" w:cs="Arial"/>
          <w:sz w:val="24"/>
          <w:lang w:val="es-MX"/>
        </w:rPr>
        <w:t xml:space="preserve"> </w:t>
      </w:r>
      <w:r w:rsidRPr="00324A04">
        <w:rPr>
          <w:rFonts w:ascii="Verdana" w:eastAsia="Times New Roman" w:hAnsi="Verdana" w:cs="Arial"/>
          <w:bCs/>
          <w:lang w:val="es-MX" w:eastAsia="x-none"/>
        </w:rPr>
        <w:t>En efecto, tal como lo ha sostenido el Consejo de Estado, el vocablo “todos” utilizado por el legislador comprende</w:t>
      </w:r>
      <w:r w:rsidRPr="00324A04">
        <w:rPr>
          <w:rFonts w:ascii="Verdana" w:eastAsia="Calibri" w:hAnsi="Verdana" w:cs="Arial"/>
          <w:sz w:val="24"/>
          <w:lang w:val="es-MX"/>
        </w:rPr>
        <w:t xml:space="preserve"> </w:t>
      </w:r>
      <w:r w:rsidRPr="00324A04">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324A04">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3553B029" w14:textId="77777777" w:rsidR="0014319F" w:rsidRPr="00324A04" w:rsidRDefault="0014319F" w:rsidP="0014319F">
      <w:pPr>
        <w:spacing w:after="0" w:line="276" w:lineRule="auto"/>
        <w:jc w:val="both"/>
        <w:rPr>
          <w:rFonts w:ascii="Verdana" w:eastAsia="Times New Roman" w:hAnsi="Verdana" w:cs="Arial"/>
          <w:bCs/>
          <w:lang w:val="es-MX" w:eastAsia="x-none"/>
        </w:rPr>
      </w:pPr>
    </w:p>
    <w:p w14:paraId="6699F0E8" w14:textId="77777777" w:rsidR="0014319F" w:rsidRPr="00324A04" w:rsidRDefault="0014319F" w:rsidP="0014319F">
      <w:pPr>
        <w:spacing w:after="0" w:line="240" w:lineRule="auto"/>
        <w:ind w:left="708" w:right="709"/>
        <w:jc w:val="both"/>
        <w:rPr>
          <w:rFonts w:ascii="Verdana" w:eastAsia="Times New Roman" w:hAnsi="Verdana" w:cs="Arial"/>
          <w:bCs/>
          <w:sz w:val="20"/>
          <w:szCs w:val="20"/>
          <w:lang w:val="es-MX" w:eastAsia="es-CO"/>
        </w:rPr>
      </w:pPr>
      <w:r w:rsidRPr="00324A04">
        <w:rPr>
          <w:rFonts w:ascii="Verdana" w:eastAsia="Times New Roman" w:hAnsi="Verdana" w:cs="Arial"/>
          <w:bCs/>
          <w:sz w:val="20"/>
          <w:szCs w:val="20"/>
          <w:lang w:val="es-MX" w:eastAsia="x-none"/>
        </w:rPr>
        <w:t xml:space="preserve">“El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w:t>
      </w:r>
      <w:r w:rsidRPr="00324A04">
        <w:rPr>
          <w:rFonts w:ascii="Verdana" w:eastAsia="Times New Roman" w:hAnsi="Verdana" w:cs="Arial"/>
          <w:bCs/>
          <w:sz w:val="20"/>
          <w:szCs w:val="20"/>
          <w:lang w:val="es-MX" w:eastAsia="x-none"/>
        </w:rPr>
        <w:lastRenderedPageBreak/>
        <w:t>empresas industriales y comerciales del Estado) y a los municipios prestadores directos, incluyendo las excepciones contenidas en el segundo inciso de esta norma”</w:t>
      </w:r>
      <w:r w:rsidRPr="00324A04">
        <w:rPr>
          <w:rFonts w:ascii="Verdana" w:eastAsia="Times New Roman" w:hAnsi="Verdana" w:cs="Arial"/>
          <w:bCs/>
          <w:sz w:val="20"/>
          <w:szCs w:val="20"/>
          <w:vertAlign w:val="superscript"/>
          <w:lang w:val="es-MX" w:eastAsia="x-none"/>
        </w:rPr>
        <w:footnoteReference w:id="20"/>
      </w:r>
      <w:r w:rsidRPr="00324A04">
        <w:rPr>
          <w:rFonts w:ascii="Verdana" w:eastAsia="Times New Roman" w:hAnsi="Verdana" w:cs="Arial"/>
          <w:bCs/>
          <w:sz w:val="20"/>
          <w:szCs w:val="20"/>
          <w:lang w:val="es-MX" w:eastAsia="x-none"/>
        </w:rPr>
        <w:t>.</w:t>
      </w:r>
      <w:r w:rsidRPr="00324A04">
        <w:rPr>
          <w:rFonts w:ascii="Verdana" w:eastAsia="Times New Roman" w:hAnsi="Verdana" w:cs="Arial"/>
          <w:bCs/>
          <w:sz w:val="20"/>
          <w:szCs w:val="20"/>
          <w:lang w:val="es-MX" w:eastAsia="es-CO"/>
        </w:rPr>
        <w:t xml:space="preserve"> </w:t>
      </w:r>
    </w:p>
    <w:p w14:paraId="3ABBD038" w14:textId="77777777" w:rsidR="0014319F" w:rsidRPr="00324A04" w:rsidRDefault="0014319F" w:rsidP="0014319F">
      <w:pPr>
        <w:spacing w:after="0" w:line="276" w:lineRule="auto"/>
        <w:ind w:firstLine="708"/>
        <w:jc w:val="both"/>
        <w:rPr>
          <w:rFonts w:ascii="Verdana" w:eastAsia="Times New Roman" w:hAnsi="Verdana" w:cs="Arial"/>
          <w:bCs/>
          <w:lang w:val="es-MX" w:eastAsia="es-CO"/>
        </w:rPr>
      </w:pPr>
    </w:p>
    <w:p w14:paraId="522FC950" w14:textId="77777777" w:rsidR="0014319F" w:rsidRPr="00324A04" w:rsidRDefault="0014319F" w:rsidP="0014319F">
      <w:pPr>
        <w:spacing w:after="0" w:line="276" w:lineRule="auto"/>
        <w:ind w:firstLine="708"/>
        <w:jc w:val="both"/>
        <w:rPr>
          <w:rFonts w:ascii="Verdana" w:eastAsia="Calibri" w:hAnsi="Verdana" w:cs="Arial"/>
          <w:lang w:val="es-MX"/>
        </w:rPr>
      </w:pPr>
      <w:r w:rsidRPr="00324A04">
        <w:rPr>
          <w:rFonts w:ascii="Verdana" w:eastAsia="Times New Roman" w:hAnsi="Verdana" w:cs="Arial"/>
          <w:bCs/>
          <w:lang w:val="es-MX"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24A04">
        <w:rPr>
          <w:rFonts w:ascii="Verdana" w:eastAsia="Calibri" w:hAnsi="Verdana" w:cs="Arial"/>
          <w:sz w:val="24"/>
          <w:vertAlign w:val="superscript"/>
          <w:lang w:val="es-MX"/>
        </w:rPr>
        <w:footnoteReference w:id="21"/>
      </w:r>
      <w:r w:rsidRPr="00324A04">
        <w:rPr>
          <w:rFonts w:ascii="Verdana" w:eastAsia="Times New Roman" w:hAnsi="Verdana" w:cs="Arial"/>
          <w:bCs/>
          <w:lang w:val="es-MX" w:eastAsia="x-none"/>
        </w:rPr>
        <w:t>.</w:t>
      </w:r>
      <w:r w:rsidRPr="00324A04">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E4ADB28" w14:textId="77777777" w:rsidR="0014319F" w:rsidRPr="00324A04" w:rsidRDefault="0014319F" w:rsidP="0014319F">
      <w:pPr>
        <w:spacing w:after="0" w:line="276" w:lineRule="auto"/>
        <w:jc w:val="both"/>
        <w:rPr>
          <w:rFonts w:ascii="Verdana" w:eastAsia="Calibri" w:hAnsi="Verdana" w:cs="Arial"/>
          <w:lang w:val="es-MX"/>
        </w:rPr>
      </w:pPr>
    </w:p>
    <w:p w14:paraId="68C63FE2" w14:textId="77777777" w:rsidR="0014319F" w:rsidRPr="00324A04" w:rsidRDefault="0014319F" w:rsidP="0014319F">
      <w:pPr>
        <w:spacing w:after="0" w:line="240" w:lineRule="auto"/>
        <w:ind w:left="708" w:right="709"/>
        <w:jc w:val="both"/>
        <w:rPr>
          <w:rFonts w:ascii="Verdana" w:eastAsia="Calibri" w:hAnsi="Verdana" w:cs="Arial"/>
          <w:sz w:val="20"/>
          <w:szCs w:val="20"/>
          <w:lang w:val="es-MX"/>
        </w:rPr>
      </w:pPr>
      <w:r w:rsidRPr="00324A04">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88D9D57" w14:textId="77777777" w:rsidR="0014319F" w:rsidRPr="00324A04" w:rsidRDefault="0014319F" w:rsidP="0014319F">
      <w:pPr>
        <w:spacing w:after="0" w:line="240" w:lineRule="auto"/>
        <w:ind w:right="709"/>
        <w:jc w:val="both"/>
        <w:rPr>
          <w:rFonts w:ascii="Verdana" w:eastAsia="Calibri" w:hAnsi="Verdana" w:cs="Arial"/>
          <w:sz w:val="12"/>
          <w:szCs w:val="12"/>
          <w:lang w:val="es-MX"/>
        </w:rPr>
      </w:pPr>
      <w:r w:rsidRPr="00324A04">
        <w:rPr>
          <w:rFonts w:ascii="Verdana" w:eastAsia="Calibri" w:hAnsi="Verdana" w:cs="Arial"/>
          <w:sz w:val="20"/>
          <w:szCs w:val="20"/>
          <w:lang w:val="es-MX"/>
        </w:rPr>
        <w:tab/>
      </w:r>
    </w:p>
    <w:p w14:paraId="0BD9DD16" w14:textId="77777777" w:rsidR="0014319F" w:rsidRPr="00324A04" w:rsidRDefault="0014319F" w:rsidP="0014319F">
      <w:pPr>
        <w:spacing w:after="0" w:line="240" w:lineRule="auto"/>
        <w:ind w:left="708" w:right="709"/>
        <w:jc w:val="both"/>
        <w:rPr>
          <w:rFonts w:ascii="Verdana" w:eastAsia="Calibri" w:hAnsi="Verdana" w:cs="Arial"/>
          <w:sz w:val="20"/>
          <w:szCs w:val="20"/>
          <w:lang w:val="es-MX"/>
        </w:rPr>
      </w:pPr>
      <w:r w:rsidRPr="00324A04">
        <w:rPr>
          <w:rFonts w:ascii="Verdana" w:eastAsia="Times New Roman" w:hAnsi="Verdana" w:cs="Arial"/>
          <w:bCs/>
          <w:sz w:val="20"/>
          <w:szCs w:val="20"/>
          <w:lang w:val="es-MX" w:eastAsia="x-none"/>
        </w:rPr>
        <w:lastRenderedPageBreak/>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24A04">
        <w:rPr>
          <w:rFonts w:ascii="Verdana" w:eastAsia="Calibri" w:hAnsi="Verdana" w:cs="Arial"/>
          <w:sz w:val="20"/>
          <w:szCs w:val="20"/>
          <w:vertAlign w:val="superscript"/>
          <w:lang w:val="es-MX"/>
        </w:rPr>
        <w:footnoteReference w:id="22"/>
      </w:r>
      <w:r w:rsidRPr="00324A04">
        <w:rPr>
          <w:rFonts w:ascii="Verdana" w:eastAsia="Times New Roman" w:hAnsi="Verdana" w:cs="Arial"/>
          <w:bCs/>
          <w:sz w:val="20"/>
          <w:szCs w:val="20"/>
          <w:lang w:val="es-MX" w:eastAsia="x-none"/>
        </w:rPr>
        <w:t>.</w:t>
      </w:r>
    </w:p>
    <w:p w14:paraId="40035D99" w14:textId="77777777" w:rsidR="0014319F" w:rsidRPr="00324A04" w:rsidRDefault="0014319F" w:rsidP="0014319F">
      <w:pPr>
        <w:spacing w:after="0" w:line="276" w:lineRule="auto"/>
        <w:jc w:val="both"/>
        <w:rPr>
          <w:rFonts w:ascii="Verdana" w:eastAsia="Calibri" w:hAnsi="Verdana" w:cs="Arial"/>
          <w:lang w:val="es-MX"/>
        </w:rPr>
      </w:pPr>
    </w:p>
    <w:p w14:paraId="5C2A90CB" w14:textId="77777777" w:rsidR="0014319F" w:rsidRPr="00324A04" w:rsidRDefault="0014319F" w:rsidP="0014319F">
      <w:pPr>
        <w:spacing w:after="120" w:line="276" w:lineRule="auto"/>
        <w:ind w:firstLine="709"/>
        <w:jc w:val="both"/>
        <w:rPr>
          <w:rFonts w:ascii="Verdana" w:eastAsia="Times New Roman" w:hAnsi="Verdana" w:cs="Arial"/>
          <w:lang w:eastAsia="es-CO"/>
        </w:rPr>
      </w:pPr>
      <w:r w:rsidRPr="00324A04">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324A04">
        <w:rPr>
          <w:rFonts w:ascii="Verdana" w:eastAsia="Times New Roman" w:hAnsi="Verdana" w:cs="Arial"/>
          <w:bCs/>
          <w:lang w:val="es-MX" w:eastAsia="x-none"/>
        </w:rPr>
        <w:t>establecimientos de crédito, las sociedades de servicios financieros y las entidades aseguradoras</w:t>
      </w:r>
      <w:r w:rsidRPr="00324A04">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324A04">
        <w:rPr>
          <w:rFonts w:ascii="Verdana" w:eastAsia="Calibri" w:hAnsi="Verdana" w:cs="Arial"/>
          <w:vertAlign w:val="superscript"/>
          <w:lang w:val="es-MX"/>
        </w:rPr>
        <w:footnoteReference w:id="23"/>
      </w:r>
      <w:r w:rsidRPr="00324A04">
        <w:rPr>
          <w:rFonts w:ascii="Verdana" w:eastAsia="Calibri" w:hAnsi="Verdana" w:cs="Arial"/>
          <w:lang w:val="es-MX"/>
        </w:rPr>
        <w:t>.</w:t>
      </w:r>
      <w:r w:rsidRPr="00324A04">
        <w:rPr>
          <w:rFonts w:ascii="Verdana" w:eastAsia="Times New Roman" w:hAnsi="Verdana" w:cs="Arial"/>
          <w:lang w:val="es-MX" w:eastAsia="es-CO"/>
        </w:rPr>
        <w:t xml:space="preserve"> </w:t>
      </w:r>
    </w:p>
    <w:p w14:paraId="6801B042" w14:textId="77777777" w:rsidR="0014319F" w:rsidRPr="00324A04" w:rsidRDefault="0014319F" w:rsidP="0014319F">
      <w:pPr>
        <w:spacing w:after="120" w:line="276" w:lineRule="auto"/>
        <w:ind w:firstLine="709"/>
        <w:jc w:val="both"/>
        <w:rPr>
          <w:rFonts w:ascii="Verdana" w:eastAsia="Times New Roman" w:hAnsi="Verdana" w:cs="Arial"/>
          <w:bCs/>
          <w:lang w:val="es-MX" w:eastAsia="x-none"/>
        </w:rPr>
      </w:pPr>
      <w:r w:rsidRPr="00324A04">
        <w:rPr>
          <w:rFonts w:ascii="Verdana" w:eastAsia="Times New Roman" w:hAnsi="Verdana" w:cs="Arial"/>
          <w:lang w:eastAsia="es-CO"/>
        </w:rPr>
        <w:t>Sin perjuicio de estos pronunciamientos de la Sala de Consulta y Servicio Civil</w:t>
      </w:r>
      <w:r w:rsidRPr="00324A04">
        <w:rPr>
          <w:rFonts w:ascii="Verdana" w:eastAsia="Calibri" w:hAnsi="Verdana" w:cs="Arial"/>
          <w:lang w:val="es-MX"/>
        </w:rPr>
        <w:t xml:space="preserve">, como la ha señalado esa misma Corporación, la restricción prevista en la Ley 996 de 2005 </w:t>
      </w:r>
      <w:r w:rsidRPr="00324A04">
        <w:rPr>
          <w:rFonts w:ascii="Verdana" w:eastAsia="Times New Roman" w:hAnsi="Verdana" w:cs="Arial"/>
          <w:bCs/>
          <w:lang w:val="es-MX" w:eastAsia="x-none"/>
        </w:rPr>
        <w:t xml:space="preserve">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w:t>
      </w:r>
      <w:r w:rsidRPr="00324A04">
        <w:rPr>
          <w:rFonts w:ascii="Verdana" w:eastAsia="Times New Roman" w:hAnsi="Verdana" w:cs="Arial"/>
          <w:bCs/>
          <w:lang w:val="es-MX" w:eastAsia="x-none"/>
        </w:rPr>
        <w:lastRenderedPageBreak/>
        <w:t>tanto en la contratación regulada por la Ley 80 de 1993 como en la regida por normas especiales.</w:t>
      </w:r>
    </w:p>
    <w:p w14:paraId="23D3BF20" w14:textId="77777777" w:rsidR="0014319F" w:rsidRPr="00324A04" w:rsidRDefault="0014319F" w:rsidP="0014319F">
      <w:pPr>
        <w:spacing w:after="120" w:line="276" w:lineRule="auto"/>
        <w:jc w:val="both"/>
        <w:rPr>
          <w:rFonts w:ascii="Verdana" w:eastAsia="Times New Roman" w:hAnsi="Verdana" w:cs="Arial"/>
          <w:bCs/>
          <w:lang w:val="es-MX" w:eastAsia="x-none"/>
        </w:rPr>
      </w:pPr>
      <w:r w:rsidRPr="00324A04">
        <w:rPr>
          <w:rFonts w:ascii="Verdana" w:eastAsia="Times New Roman" w:hAnsi="Verdana" w:cs="Arial"/>
          <w:bCs/>
          <w:lang w:val="es-MX" w:eastAsia="x-none"/>
        </w:rPr>
        <w:t>v. Ahora bien, de acuerdo con el artículo 71 de la Ley 50 de 1990, las empresas de servicios temporales son las que contratan “la prestación de servicios con terceros beneficiarios para colaborar temporalmente en el desarrollo de sus actividades, mediante la labor desarrollada por personas naturales, contratadas directamente por la empresa de servicios temporales, la cual tiene con respecto de éstas el carácter de empleador”.</w:t>
      </w:r>
    </w:p>
    <w:p w14:paraId="0D57FEBA" w14:textId="77777777" w:rsidR="0014319F" w:rsidRPr="00324A04" w:rsidRDefault="0014319F" w:rsidP="0014319F">
      <w:pPr>
        <w:spacing w:after="120" w:line="276" w:lineRule="auto"/>
        <w:ind w:firstLine="709"/>
        <w:jc w:val="both"/>
        <w:rPr>
          <w:rFonts w:ascii="Verdana" w:hAnsi="Verdana"/>
        </w:rPr>
      </w:pPr>
      <w:r w:rsidRPr="00324A04">
        <w:rPr>
          <w:rFonts w:ascii="Verdana" w:hAnsi="Verdana"/>
        </w:rPr>
        <w:t xml:space="preserve">Los contratos de servicios temporales únicamente se pueden celebrar en los supuestos definidos por el artículo 77 de la Ley 50 de 1990 y en el artículo 2.2.6.5.6. del Decreto 1072 de 2015, que disponen lo siguiente: i) cuando se trate de las labores ocasionales, accidentales o transitorias a que se refiere el artículo 6° del Código Sustantivo del Trabajo, </w:t>
      </w:r>
      <w:proofErr w:type="spellStart"/>
      <w:r w:rsidRPr="00324A04">
        <w:rPr>
          <w:rFonts w:ascii="Verdana" w:hAnsi="Verdana"/>
        </w:rPr>
        <w:t>ii</w:t>
      </w:r>
      <w:proofErr w:type="spellEnd"/>
      <w:r w:rsidRPr="00324A04">
        <w:rPr>
          <w:rFonts w:ascii="Verdana" w:hAnsi="Verdana"/>
        </w:rPr>
        <w:t xml:space="preserve">) cuando se requiere reemplazar personal en vacaciones, en uso de licencia, en incapacidad por enfermedad o maternidad, </w:t>
      </w:r>
      <w:proofErr w:type="spellStart"/>
      <w:r w:rsidRPr="00324A04">
        <w:rPr>
          <w:rFonts w:ascii="Verdana" w:hAnsi="Verdana"/>
        </w:rPr>
        <w:t>iii</w:t>
      </w:r>
      <w:proofErr w:type="spellEnd"/>
      <w:r w:rsidRPr="00324A04">
        <w:rPr>
          <w:rFonts w:ascii="Verdana" w:hAnsi="Verdana"/>
        </w:rPr>
        <w:t>) para atender incrementos en la producción, el transporte, las ventas de productos o mercancías, los períodos estacionales de cosechas y en la prestación de servicios, por un término de seis (6) meses prorrogable hasta por seis (6) meses más.</w:t>
      </w:r>
    </w:p>
    <w:p w14:paraId="03D3DFB8" w14:textId="77777777" w:rsidR="0014319F" w:rsidRPr="00324A04" w:rsidRDefault="0014319F" w:rsidP="0014319F">
      <w:pPr>
        <w:widowControl w:val="0"/>
        <w:autoSpaceDE w:val="0"/>
        <w:autoSpaceDN w:val="0"/>
        <w:spacing w:after="120" w:line="276" w:lineRule="auto"/>
        <w:ind w:left="102" w:right="104" w:firstLine="607"/>
        <w:jc w:val="both"/>
        <w:rPr>
          <w:rFonts w:ascii="Verdana" w:eastAsia="Arial" w:hAnsi="Verdana" w:cs="Arial"/>
          <w:lang w:val="es-ES"/>
        </w:rPr>
      </w:pPr>
      <w:r w:rsidRPr="00324A04">
        <w:rPr>
          <w:rFonts w:ascii="Verdana" w:eastAsia="Arial" w:hAnsi="Verdana" w:cs="Arial"/>
          <w:lang w:val="es-ES"/>
        </w:rPr>
        <w:t xml:space="preserve">Por su parte, es importante tener en cuenta que las entidades que se rigen por la Ley 909 de 2004 pueden contemplar, excepcionalmente en sus plantas de personal, empleos de carácter temporal o transitorio cuando de acuerdo con el artículo 21 de la citada Ley se presentan cualquiera de las siguientes condiciones: i) cumplir funciones que no realiza el personal de planta por no formar parte de las actividades permanentes de la Administración; </w:t>
      </w:r>
      <w:proofErr w:type="spellStart"/>
      <w:r w:rsidRPr="00324A04">
        <w:rPr>
          <w:rFonts w:ascii="Verdana" w:eastAsia="Arial" w:hAnsi="Verdana" w:cs="Arial"/>
          <w:lang w:val="es-ES"/>
        </w:rPr>
        <w:t>ii</w:t>
      </w:r>
      <w:proofErr w:type="spellEnd"/>
      <w:r w:rsidRPr="00324A04">
        <w:rPr>
          <w:rFonts w:ascii="Verdana" w:eastAsia="Arial" w:hAnsi="Verdana" w:cs="Arial"/>
          <w:lang w:val="es-ES"/>
        </w:rPr>
        <w:t xml:space="preserve">) desarrollar programas o proyectos de duración determinada; </w:t>
      </w:r>
      <w:proofErr w:type="spellStart"/>
      <w:r w:rsidRPr="00324A04">
        <w:rPr>
          <w:rFonts w:ascii="Verdana" w:eastAsia="Arial" w:hAnsi="Verdana" w:cs="Arial"/>
          <w:lang w:val="es-ES"/>
        </w:rPr>
        <w:t>iii</w:t>
      </w:r>
      <w:proofErr w:type="spellEnd"/>
      <w:r w:rsidRPr="00324A04">
        <w:rPr>
          <w:rFonts w:ascii="Verdana" w:eastAsia="Arial" w:hAnsi="Verdana" w:cs="Arial"/>
          <w:lang w:val="es-ES"/>
        </w:rPr>
        <w:t xml:space="preserve">) suplir necesidades de personal por sobrecarga de trabajo, determinada por hechos excepcionales; </w:t>
      </w:r>
      <w:proofErr w:type="spellStart"/>
      <w:r w:rsidRPr="00324A04">
        <w:rPr>
          <w:rFonts w:ascii="Verdana" w:eastAsia="Arial" w:hAnsi="Verdana" w:cs="Arial"/>
          <w:lang w:val="es-ES"/>
        </w:rPr>
        <w:t>iv</w:t>
      </w:r>
      <w:proofErr w:type="spellEnd"/>
      <w:r w:rsidRPr="00324A04">
        <w:rPr>
          <w:rFonts w:ascii="Verdana" w:eastAsia="Arial" w:hAnsi="Verdana" w:cs="Arial"/>
          <w:lang w:val="es-ES"/>
        </w:rPr>
        <w:t>) desarrollar labores de consultoría y asesoría institucional de duración total, no superior a doce (12) meses y que guarde relación directa con el objeto y la naturaleza de la institución.</w:t>
      </w:r>
    </w:p>
    <w:p w14:paraId="723A4785" w14:textId="77777777" w:rsidR="0014319F" w:rsidRPr="00324A04" w:rsidRDefault="0014319F" w:rsidP="0014319F">
      <w:pPr>
        <w:widowControl w:val="0"/>
        <w:autoSpaceDE w:val="0"/>
        <w:autoSpaceDN w:val="0"/>
        <w:spacing w:after="120" w:line="276" w:lineRule="auto"/>
        <w:ind w:left="102" w:right="104" w:firstLine="607"/>
        <w:jc w:val="both"/>
        <w:rPr>
          <w:rFonts w:ascii="Verdana" w:eastAsia="Arial" w:hAnsi="Verdana" w:cs="Arial"/>
          <w:lang w:val="es-ES"/>
        </w:rPr>
      </w:pPr>
      <w:r w:rsidRPr="00324A04">
        <w:rPr>
          <w:rFonts w:ascii="Verdana" w:eastAsia="Arial" w:hAnsi="Verdana" w:cs="Arial"/>
          <w:lang w:val="es-ES"/>
        </w:rPr>
        <w:t xml:space="preserve">Al respecto, es pertinente precisar que conforme con lo señalado por el Consejo de Estado las necesidades de personal temporal de las entidades públicas sujetas al ámbito regulador de la Ley 909 de 2004, deben ser satisfechas mediante la creación de empleos de carácter temporal en las condiciones y con los requisitos previstos en dicha ley, “cuando se trate de funciones propias de la entidad que impliquen subordinación y que no puedan </w:t>
      </w:r>
      <w:r w:rsidRPr="00324A04">
        <w:rPr>
          <w:rFonts w:ascii="Verdana" w:eastAsia="Arial" w:hAnsi="Verdana" w:cs="Arial"/>
          <w:lang w:val="es-ES"/>
        </w:rPr>
        <w:lastRenderedPageBreak/>
        <w:t>suplirse con personal de planta, y no mediante el empleo de otras herramientas jurídicas como lo sería la contratación de servicios personales con terceros, en donde, casi siempre, se presentan condiciones de subordinación en el cumplimiento de las funciones contratadas, que desdibujan el vínculo, y esconden una verdadera relación de</w:t>
      </w:r>
      <w:r w:rsidRPr="00324A04">
        <w:rPr>
          <w:rFonts w:ascii="Verdana" w:eastAsia="Arial" w:hAnsi="Verdana" w:cs="Arial"/>
          <w:spacing w:val="-10"/>
          <w:lang w:val="es-ES"/>
        </w:rPr>
        <w:t xml:space="preserve"> </w:t>
      </w:r>
      <w:r w:rsidRPr="00324A04">
        <w:rPr>
          <w:rFonts w:ascii="Verdana" w:eastAsia="Arial" w:hAnsi="Verdana" w:cs="Arial"/>
          <w:lang w:val="es-ES"/>
        </w:rPr>
        <w:t>trabajo”</w:t>
      </w:r>
      <w:r w:rsidRPr="00324A04">
        <w:rPr>
          <w:rFonts w:ascii="Verdana" w:eastAsia="Arial" w:hAnsi="Verdana" w:cs="Arial"/>
          <w:sz w:val="20"/>
          <w:vertAlign w:val="superscript"/>
          <w:lang w:val="es-ES"/>
        </w:rPr>
        <w:footnoteReference w:id="24"/>
      </w:r>
      <w:r w:rsidRPr="00324A04">
        <w:rPr>
          <w:rFonts w:ascii="Verdana" w:eastAsia="Arial" w:hAnsi="Verdana" w:cs="Arial"/>
          <w:sz w:val="20"/>
          <w:lang w:val="es-ES"/>
        </w:rPr>
        <w:t>.</w:t>
      </w:r>
    </w:p>
    <w:p w14:paraId="40D6A391" w14:textId="77777777" w:rsidR="0014319F" w:rsidRPr="00324A04" w:rsidRDefault="0014319F" w:rsidP="0014319F">
      <w:pPr>
        <w:widowControl w:val="0"/>
        <w:autoSpaceDE w:val="0"/>
        <w:autoSpaceDN w:val="0"/>
        <w:spacing w:after="120" w:line="276" w:lineRule="auto"/>
        <w:ind w:left="102" w:right="106" w:firstLine="607"/>
        <w:jc w:val="both"/>
        <w:rPr>
          <w:rFonts w:ascii="Verdana" w:eastAsia="Arial" w:hAnsi="Verdana" w:cs="Arial"/>
          <w:lang w:val="es-ES"/>
        </w:rPr>
      </w:pPr>
      <w:r w:rsidRPr="00324A04">
        <w:rPr>
          <w:rFonts w:ascii="Verdana" w:eastAsia="Arial" w:hAnsi="Verdana" w:cs="Arial"/>
          <w:lang w:val="es-ES"/>
        </w:rPr>
        <w:t>En este sentido, es claro para el Consejo de Estado que tratándose de empleos que impliquen subordinación y que no puedan desempeñarse con personal de planta, la entidad debe crear empleos temporales o transitorios dentro de la planta de personal, de acuerdo con las condiciones previstas en la Ley 909 de 2004, y solo cuando se reúnan los presupuestos del artículo 77 de la Ley 50 de 1990 podrá acudir a los contratos con empresas de servicios temporales.</w:t>
      </w:r>
    </w:p>
    <w:p w14:paraId="054DBB09" w14:textId="77777777" w:rsidR="0014319F" w:rsidRPr="00324A04" w:rsidRDefault="0014319F" w:rsidP="0014319F">
      <w:pPr>
        <w:widowControl w:val="0"/>
        <w:autoSpaceDE w:val="0"/>
        <w:autoSpaceDN w:val="0"/>
        <w:spacing w:after="120" w:line="276" w:lineRule="auto"/>
        <w:ind w:left="102" w:right="106" w:firstLine="607"/>
        <w:jc w:val="both"/>
        <w:rPr>
          <w:rFonts w:ascii="Verdana" w:eastAsia="Arial" w:hAnsi="Verdana" w:cs="Arial"/>
          <w:lang w:val="es-ES"/>
        </w:rPr>
      </w:pPr>
      <w:r w:rsidRPr="00324A04">
        <w:rPr>
          <w:rFonts w:ascii="Verdana" w:eastAsia="Arial" w:hAnsi="Verdana" w:cs="Arial"/>
          <w:lang w:val="es-ES"/>
        </w:rPr>
        <w:t xml:space="preserve">Sobre el particular, el Departamento Administrativo de la Función Pública ha señalado que cuando la entidad requiera desarrollar actividades que no puedan ser cumplidas con personal de planta, desarrollar programas o proyectos de duración determinada, suplir necesidades de personal por sobre carga de trabajo, o desarrollar labores de consultoría y asesoría de duración total no superior a 12 meses, “se debe estudiar, </w:t>
      </w:r>
      <w:r w:rsidRPr="00324A04">
        <w:rPr>
          <w:rFonts w:ascii="Verdana" w:eastAsia="Arial" w:hAnsi="Verdana" w:cs="Arial"/>
          <w:i/>
          <w:iCs/>
          <w:lang w:val="es-ES"/>
        </w:rPr>
        <w:t>de manera preferente</w:t>
      </w:r>
      <w:r w:rsidRPr="00324A04">
        <w:rPr>
          <w:rFonts w:ascii="Verdana" w:eastAsia="Arial" w:hAnsi="Verdana" w:cs="Arial"/>
          <w:lang w:val="es-ES"/>
        </w:rPr>
        <w:t>, la posibilidad de suplir esta necesidad con la creación de empleos temporales en los términos señalados en el artículo 21 de la Ley 909 de 2004</w:t>
      </w:r>
      <w:r w:rsidRPr="00324A04">
        <w:rPr>
          <w:rFonts w:ascii="Verdana" w:eastAsia="Arial" w:hAnsi="Verdana" w:cs="Arial"/>
          <w:vertAlign w:val="superscript"/>
          <w:lang w:val="es-ES"/>
        </w:rPr>
        <w:footnoteReference w:id="25"/>
      </w:r>
      <w:r w:rsidRPr="00324A04">
        <w:rPr>
          <w:rFonts w:ascii="Verdana" w:eastAsia="Arial" w:hAnsi="Verdana" w:cs="Arial"/>
          <w:lang w:val="es-ES"/>
        </w:rPr>
        <w:t>”.</w:t>
      </w:r>
    </w:p>
    <w:p w14:paraId="120CF514" w14:textId="77777777" w:rsidR="0014319F" w:rsidRPr="00324A04" w:rsidRDefault="0014319F" w:rsidP="0014319F">
      <w:pPr>
        <w:spacing w:after="120" w:line="276" w:lineRule="auto"/>
        <w:ind w:firstLine="709"/>
        <w:jc w:val="both"/>
        <w:rPr>
          <w:rFonts w:ascii="Verdana" w:eastAsia="Times New Roman" w:hAnsi="Verdana" w:cs="Arial"/>
          <w:bCs/>
          <w:lang w:val="es-MX" w:eastAsia="x-none"/>
        </w:rPr>
      </w:pPr>
      <w:r w:rsidRPr="00324A04">
        <w:rPr>
          <w:rFonts w:ascii="Verdana" w:eastAsia="Times New Roman" w:hAnsi="Verdana" w:cs="Arial"/>
          <w:bCs/>
          <w:lang w:val="es-MX" w:eastAsia="x-none"/>
        </w:rPr>
        <w:t xml:space="preserve">Bajo este entendimiento, cuando la entidad requiera vincular personal para el cumplimiento de actividades que constituyan funciones propias de la entidad, que impliquen subordinación y que no puedan ser atendidas con el personal de planta existente, la vía jurídica preferente es la creación de empleos de carácter temporal. Dichos empleos deberán crearse y proveerse conforme a las condiciones, requisitos y procedimientos establecidos en la Ley 909 de 2004. No obstante, en estos casos deberá tenerse en cuenta las disposiciones contempladas en la Ley de Garantías Electorales sobre </w:t>
      </w:r>
      <w:r w:rsidRPr="00324A04">
        <w:rPr>
          <w:rFonts w:ascii="Verdana" w:eastAsia="Times New Roman" w:hAnsi="Verdana" w:cs="Arial"/>
          <w:lang w:eastAsia="x-none"/>
        </w:rPr>
        <w:t>limitaciones a la vinculación de personal o modificación de la nómina estatal.</w:t>
      </w:r>
    </w:p>
    <w:p w14:paraId="1622CB92" w14:textId="77777777" w:rsidR="0014319F" w:rsidRPr="00324A04" w:rsidRDefault="0014319F" w:rsidP="0014319F">
      <w:pPr>
        <w:spacing w:after="120" w:line="276" w:lineRule="auto"/>
        <w:ind w:firstLine="709"/>
        <w:jc w:val="both"/>
        <w:rPr>
          <w:rFonts w:ascii="Verdana" w:eastAsia="Times New Roman" w:hAnsi="Verdana" w:cs="Arial"/>
          <w:bCs/>
          <w:lang w:val="es-MX" w:eastAsia="x-none"/>
        </w:rPr>
      </w:pPr>
      <w:r w:rsidRPr="00324A04">
        <w:rPr>
          <w:rFonts w:ascii="Verdana" w:eastAsia="Times New Roman" w:hAnsi="Verdana" w:cs="Arial"/>
          <w:bCs/>
          <w:lang w:val="es-MX" w:eastAsia="x-none"/>
        </w:rPr>
        <w:lastRenderedPageBreak/>
        <w:t xml:space="preserve">Sin perjuicio de lo anterior, en aquellos eventos en que la entidad, previo análisis jurídico y debidamente motivado, considere viable acudir a la contratación con empresas de servicios temporales para las finalidades previstas en el artículo 77 de la Ley 50 de 1990 y se determine que no es aplicable la creación de empleos temporales en los términos de la Ley 909 de 2004, deberá establecer la modalidad de selección que corresponda, de conformidad con el régimen de contratación estatal aplicable según la naturaleza jurídica de la entidad. </w:t>
      </w:r>
    </w:p>
    <w:p w14:paraId="4FE86892" w14:textId="77777777" w:rsidR="0014319F" w:rsidRPr="00324A04" w:rsidRDefault="0014319F" w:rsidP="0014319F">
      <w:pPr>
        <w:spacing w:after="120" w:line="276" w:lineRule="auto"/>
        <w:ind w:firstLine="709"/>
        <w:jc w:val="both"/>
        <w:rPr>
          <w:rFonts w:ascii="Verdana" w:eastAsia="Arial" w:hAnsi="Verdana" w:cs="Arial"/>
          <w:lang w:val="es-ES"/>
        </w:rPr>
      </w:pPr>
      <w:r w:rsidRPr="00324A04">
        <w:rPr>
          <w:rFonts w:ascii="Verdana" w:eastAsia="Times New Roman" w:hAnsi="Verdana" w:cs="Arial"/>
          <w:bCs/>
          <w:lang w:val="es-MX" w:eastAsia="x-none"/>
        </w:rPr>
        <w:t xml:space="preserve">En este contexto, la determinación de </w:t>
      </w:r>
      <w:r w:rsidRPr="00324A04">
        <w:rPr>
          <w:rFonts w:ascii="Verdana" w:eastAsia="Arial" w:hAnsi="Verdana" w:cs="Arial"/>
          <w:lang w:val="es-ES"/>
        </w:rPr>
        <w:t>la modalidad de selección para contratar estos servicios, cuando proceda, se realizará a partir del análisis del objeto contractual, de la cuantía, del análisis del sector, del estudio de mercado y de las actividades requeridas para su ejecución. Así, por regla general se adelantará el proceso m</w:t>
      </w:r>
      <w:r w:rsidRPr="00324A04">
        <w:rPr>
          <w:rFonts w:ascii="Verdana" w:eastAsia="Times New Roman" w:hAnsi="Verdana" w:cs="Arial"/>
          <w:lang w:val="es-ES" w:eastAsia="es-MX"/>
        </w:rPr>
        <w:t xml:space="preserve">ediante la modalidad de licitación pública, salvo que se configure alguno de los supuestos que la norma establece para que sea procedente un procedimiento distinto. </w:t>
      </w:r>
      <w:r w:rsidRPr="00324A04">
        <w:rPr>
          <w:rFonts w:ascii="Verdana" w:eastAsia="Arial" w:hAnsi="Verdana" w:cs="Arial"/>
          <w:lang w:val="es-ES"/>
        </w:rPr>
        <w:t xml:space="preserve">Por ejemplo, si el personal que se requiere se encuentra en el marco de una consultoría en los términos del artículo </w:t>
      </w:r>
      <w:r w:rsidRPr="00324A04">
        <w:rPr>
          <w:rFonts w:ascii="Verdana" w:hAnsi="Verdana" w:cs="Arial"/>
          <w:color w:val="000000" w:themeColor="text1"/>
          <w:lang w:val="es-ES"/>
        </w:rPr>
        <w:t xml:space="preserve">32, numeral 2, de la Ley 80 de 1993, </w:t>
      </w:r>
      <w:r w:rsidRPr="00324A04">
        <w:rPr>
          <w:rFonts w:ascii="Verdana" w:eastAsia="Arial" w:hAnsi="Verdana" w:cs="Arial"/>
          <w:lang w:val="es-ES"/>
        </w:rPr>
        <w:t xml:space="preserve">sería aplicable el concurso de méritos o si </w:t>
      </w:r>
      <w:r w:rsidRPr="00324A04">
        <w:rPr>
          <w:rFonts w:ascii="Verdana" w:hAnsi="Verdana" w:cs="Arial"/>
          <w:lang w:val="es-ES"/>
        </w:rPr>
        <w:t xml:space="preserve">el valor de la adquisición de los bienes, obras y/o servicios, no exceda el diez por ciento (10%) de la menor cuantía de la Entidad Estatal sería procedente la selección abreviada de menor cuantía. </w:t>
      </w:r>
    </w:p>
    <w:p w14:paraId="22007C49" w14:textId="77777777" w:rsidR="0014319F" w:rsidRPr="00324A04" w:rsidRDefault="0014319F" w:rsidP="0014319F">
      <w:pPr>
        <w:spacing w:after="120" w:line="276" w:lineRule="auto"/>
        <w:ind w:firstLine="709"/>
        <w:jc w:val="both"/>
        <w:rPr>
          <w:rFonts w:ascii="Verdana" w:eastAsia="Arial" w:hAnsi="Verdana" w:cs="Arial"/>
          <w:lang w:val="es-ES"/>
        </w:rPr>
      </w:pPr>
      <w:r w:rsidRPr="00324A04">
        <w:rPr>
          <w:rFonts w:ascii="Verdana" w:eastAsia="Arial" w:hAnsi="Verdana" w:cs="Arial"/>
          <w:lang w:val="es-ES"/>
        </w:rPr>
        <w:t>En este sentido, si la entidad establece la procedencia de modalidades de selección competitivas o abiertas a competencia, como la licitación pública, selección abreviada de menor cuantía, concurso de méritos, mínima cuantía,</w:t>
      </w:r>
      <w:r w:rsidRPr="00324A04">
        <w:rPr>
          <w:rFonts w:ascii="Verdana" w:eastAsia="Times New Roman" w:hAnsi="Verdana" w:cs="Arial"/>
          <w:lang w:eastAsia="x-none"/>
        </w:rPr>
        <w:t xml:space="preserve"> o cualquier sistema de contratación que implican convocatoria pública y participación de varios oferentes</w:t>
      </w:r>
      <w:r w:rsidRPr="00324A04">
        <w:rPr>
          <w:rFonts w:ascii="Verdana" w:eastAsia="Arial" w:hAnsi="Verdana" w:cs="Arial"/>
          <w:lang w:val="es-ES"/>
        </w:rPr>
        <w:t xml:space="preserve"> no resulta aplicable la Ley de garantías Electorales en la medida en que, como se explicó, dichas modalidades se encuentran excluidas de su aplicación. </w:t>
      </w:r>
    </w:p>
    <w:p w14:paraId="07ACCECB" w14:textId="77777777" w:rsidR="0014319F" w:rsidRPr="00324A04" w:rsidRDefault="0014319F" w:rsidP="0014319F">
      <w:pPr>
        <w:spacing w:after="120" w:line="276" w:lineRule="auto"/>
        <w:ind w:firstLine="709"/>
        <w:jc w:val="both"/>
        <w:rPr>
          <w:rFonts w:ascii="Verdana" w:eastAsia="Arial" w:hAnsi="Verdana" w:cs="Arial"/>
          <w:lang w:val="es-ES"/>
        </w:rPr>
      </w:pPr>
      <w:r w:rsidRPr="00324A04">
        <w:rPr>
          <w:rFonts w:ascii="Verdana" w:eastAsia="Arial" w:hAnsi="Verdana" w:cs="Arial"/>
          <w:lang w:val="es-ES"/>
        </w:rPr>
        <w:t xml:space="preserve">En contraste, la modalidad de selección de contratación directa, que no es abierta a los proponentes para que los interesados presenten sus ofertas, como se indicó, si se encuentra cobijada por las restricciones de la Ley de Garantías. Además, es importante señalar que las excepciones a la contratación directa señaladas en el artículo 33 de dicha ley son de aplicación restrictiva, por tanto solo procede </w:t>
      </w:r>
      <w:r w:rsidRPr="00324A04">
        <w:rPr>
          <w:rFonts w:ascii="Verdana" w:eastAsia="Times New Roman" w:hAnsi="Verdana" w:cs="Arial"/>
          <w:bCs/>
          <w:lang w:val="es-MX" w:eastAsia="x-none"/>
        </w:rPr>
        <w:t xml:space="preserve">en lo referente a i) la defensa y seguridad del Estado; </w:t>
      </w:r>
      <w:proofErr w:type="spellStart"/>
      <w:r w:rsidRPr="00324A04">
        <w:rPr>
          <w:rFonts w:ascii="Verdana" w:eastAsia="Times New Roman" w:hAnsi="Verdana" w:cs="Arial"/>
          <w:bCs/>
          <w:lang w:val="es-MX" w:eastAsia="x-none"/>
        </w:rPr>
        <w:t>ii</w:t>
      </w:r>
      <w:proofErr w:type="spellEnd"/>
      <w:r w:rsidRPr="00324A04">
        <w:rPr>
          <w:rFonts w:ascii="Verdana" w:eastAsia="Times New Roman" w:hAnsi="Verdana" w:cs="Arial"/>
          <w:bCs/>
          <w:lang w:val="es-MX" w:eastAsia="x-none"/>
        </w:rPr>
        <w:t xml:space="preserve">) los contratos de crédito público; </w:t>
      </w:r>
      <w:proofErr w:type="spellStart"/>
      <w:r w:rsidRPr="00324A04">
        <w:rPr>
          <w:rFonts w:ascii="Verdana" w:eastAsia="Times New Roman" w:hAnsi="Verdana" w:cs="Arial"/>
          <w:bCs/>
          <w:lang w:val="es-MX" w:eastAsia="x-none"/>
        </w:rPr>
        <w:t>iii</w:t>
      </w:r>
      <w:proofErr w:type="spellEnd"/>
      <w:r w:rsidRPr="00324A04">
        <w:rPr>
          <w:rFonts w:ascii="Verdana" w:eastAsia="Times New Roman" w:hAnsi="Verdana" w:cs="Arial"/>
          <w:bCs/>
          <w:lang w:val="es-MX" w:eastAsia="x-none"/>
        </w:rPr>
        <w:t xml:space="preserve">) los requeridos para cubrir las emergencias educativas, sanitarias y desastres; </w:t>
      </w:r>
      <w:proofErr w:type="spellStart"/>
      <w:r w:rsidRPr="00324A04">
        <w:rPr>
          <w:rFonts w:ascii="Verdana" w:eastAsia="Times New Roman" w:hAnsi="Verdana" w:cs="Arial"/>
          <w:bCs/>
          <w:lang w:val="es-MX" w:eastAsia="x-none"/>
        </w:rPr>
        <w:t>iv</w:t>
      </w:r>
      <w:proofErr w:type="spellEnd"/>
      <w:r w:rsidRPr="00324A04">
        <w:rPr>
          <w:rFonts w:ascii="Verdana" w:eastAsia="Times New Roman" w:hAnsi="Verdana" w:cs="Arial"/>
          <w:bCs/>
          <w:lang w:val="es-MX" w:eastAsia="x-none"/>
        </w:rPr>
        <w:t xml:space="preserve">) los utilizados para la reconstrucción de </w:t>
      </w:r>
      <w:r w:rsidRPr="00324A04">
        <w:rPr>
          <w:rFonts w:ascii="Verdana" w:eastAsia="Times New Roman" w:hAnsi="Verdana" w:cs="Arial"/>
          <w:bCs/>
          <w:lang w:val="es-MX" w:eastAsia="x-none"/>
        </w:rPr>
        <w:lastRenderedPageBreak/>
        <w:t xml:space="preserve">vías, puentes, carreteras, infraestructura energética y de comunicaciones, en caso de que hayan sido objeto de atentados, acciones terroristas, desastres naturales o casos de fuerza mayor; y, v) los que deban realizar las entidades sanitarias y hospitalarias. </w:t>
      </w:r>
    </w:p>
    <w:p w14:paraId="0B860629" w14:textId="77777777" w:rsidR="0014319F" w:rsidRPr="00324A04" w:rsidRDefault="0014319F" w:rsidP="0014319F">
      <w:pPr>
        <w:spacing w:after="120" w:line="276" w:lineRule="auto"/>
        <w:ind w:firstLine="709"/>
        <w:jc w:val="both"/>
        <w:rPr>
          <w:rFonts w:ascii="Verdana" w:eastAsia="Times New Roman" w:hAnsi="Verdana" w:cs="Arial"/>
          <w:bCs/>
          <w:lang w:eastAsia="x-none"/>
        </w:rPr>
      </w:pPr>
      <w:r w:rsidRPr="00324A04">
        <w:rPr>
          <w:rFonts w:ascii="Verdana" w:eastAsia="Times New Roman" w:hAnsi="Verdana" w:cs="Arial"/>
          <w:bCs/>
          <w:lang w:val="es-MX" w:eastAsia="x-none"/>
        </w:rPr>
        <w:t>En síntesis, la entidad debe asegurar que la vinculación del personal responda estrictamente al marco legal aplicable, evitando mecanismos contractuales que encubran relaciones de subordinación propias del empleo público. De igual manera, ningún mecanismo de vinculación puede utilizarse con el propósito de eludir o desconocer las restricciones previstas en la Ley de Garantías Electorales. En consecuencia, la entidad debe observar de manera estricta las prohibiciones y limitaciones aplicables durante el período electoral, evitando adoptar decisiones contractuales que, bajo una apariencia formal distinta, impliquen en la práctica la celebración de contratos o la vinculación de personal en contravía de las disposiciones legales vigentes.</w:t>
      </w:r>
    </w:p>
    <w:p w14:paraId="2FA70027" w14:textId="77777777" w:rsidR="0014319F" w:rsidRPr="00324A04" w:rsidRDefault="0014319F" w:rsidP="0014319F">
      <w:pPr>
        <w:spacing w:after="120" w:line="276" w:lineRule="auto"/>
        <w:jc w:val="both"/>
        <w:rPr>
          <w:rFonts w:ascii="Verdana" w:eastAsia="Times New Roman" w:hAnsi="Verdana" w:cs="Arial"/>
          <w:lang w:eastAsia="es-CO"/>
        </w:rPr>
      </w:pPr>
      <w:r w:rsidRPr="00324A04">
        <w:rPr>
          <w:rFonts w:ascii="Verdana" w:hAnsi="Verdana" w:cs="Arial"/>
          <w:bCs/>
          <w:color w:val="000000" w:themeColor="text1"/>
        </w:rPr>
        <w:t>vi.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BDA6EB" w14:textId="77777777" w:rsidR="0014319F" w:rsidRPr="00324A04" w:rsidRDefault="0014319F" w:rsidP="0014319F">
      <w:pPr>
        <w:spacing w:after="0" w:line="276" w:lineRule="auto"/>
        <w:ind w:firstLine="708"/>
        <w:jc w:val="both"/>
        <w:rPr>
          <w:rFonts w:ascii="Verdana" w:hAnsi="Verdana" w:cs="Arial"/>
          <w:bCs/>
          <w:color w:val="000000" w:themeColor="text1"/>
        </w:rPr>
      </w:pPr>
      <w:r w:rsidRPr="00324A04">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AB95B89" w14:textId="77777777" w:rsidR="0014319F" w:rsidRPr="00324A04" w:rsidRDefault="0014319F" w:rsidP="0014319F">
      <w:pPr>
        <w:spacing w:after="0" w:line="276" w:lineRule="auto"/>
        <w:ind w:firstLine="708"/>
        <w:jc w:val="both"/>
        <w:rPr>
          <w:rFonts w:ascii="Verdana" w:hAnsi="Verdana" w:cs="Arial"/>
          <w:bCs/>
          <w:color w:val="000000" w:themeColor="text1"/>
        </w:rPr>
      </w:pPr>
    </w:p>
    <w:p w14:paraId="63F992A0" w14:textId="77777777" w:rsidR="0014319F" w:rsidRPr="00324A04" w:rsidRDefault="0014319F" w:rsidP="0014319F">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324A04">
        <w:rPr>
          <w:rFonts w:ascii="Verdana" w:eastAsia="Century Gothic" w:hAnsi="Verdana" w:cs="Century Gothic"/>
          <w:b/>
          <w:bCs/>
          <w:lang w:val="es-ES_tradnl"/>
        </w:rPr>
        <w:t>Referencias normativas:</w:t>
      </w:r>
    </w:p>
    <w:p w14:paraId="787AE7A0" w14:textId="77777777" w:rsidR="0014319F" w:rsidRPr="00324A04" w:rsidRDefault="0014319F" w:rsidP="0014319F">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4319F" w:rsidRPr="00324A04" w14:paraId="792B5D83" w14:textId="77777777" w:rsidTr="00E30C97">
        <w:trPr>
          <w:trHeight w:val="491"/>
          <w:jc w:val="center"/>
        </w:trPr>
        <w:tc>
          <w:tcPr>
            <w:tcW w:w="8647" w:type="dxa"/>
          </w:tcPr>
          <w:p w14:paraId="1E14EDB9" w14:textId="77777777" w:rsidR="0014319F" w:rsidRPr="00324A04" w:rsidRDefault="0014319F" w:rsidP="00E30C97">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324A04">
              <w:rPr>
                <w:rFonts w:ascii="Verdana" w:eastAsia="Arial MT" w:hAnsi="Verdana" w:cs="Arial"/>
                <w:lang w:val="es-ES" w:eastAsia="es-ES" w:bidi="es-ES"/>
              </w:rPr>
              <w:t>Constitución Política, artículos 127, 329, 356.</w:t>
            </w:r>
          </w:p>
          <w:p w14:paraId="23F08AC8" w14:textId="77777777" w:rsidR="0014319F" w:rsidRPr="00324A04" w:rsidRDefault="0014319F" w:rsidP="00E30C97">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324A04">
              <w:rPr>
                <w:rFonts w:ascii="Verdana" w:eastAsia="Arial MT" w:hAnsi="Verdana" w:cs="Arial"/>
                <w:bCs/>
                <w:lang w:val="es-ES" w:eastAsia="es-ES" w:bidi="es-ES"/>
              </w:rPr>
              <w:t>Ley 996 de 2005, artículos 33 y 38.</w:t>
            </w:r>
          </w:p>
          <w:p w14:paraId="5E08D373" w14:textId="77777777" w:rsidR="0014319F" w:rsidRPr="00324A04" w:rsidRDefault="0014319F" w:rsidP="00E30C97">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324A04">
              <w:rPr>
                <w:rFonts w:ascii="Verdana" w:eastAsia="Arial MT" w:hAnsi="Verdana" w:cs="Arial"/>
                <w:bCs/>
                <w:lang w:val="es-ES" w:eastAsia="es-ES" w:bidi="es-ES"/>
              </w:rPr>
              <w:t>Ley 50 de 1990, artículos 71 y 77.</w:t>
            </w:r>
          </w:p>
          <w:p w14:paraId="13A4D6D8" w14:textId="77777777" w:rsidR="0014319F" w:rsidRPr="00324A04" w:rsidRDefault="0014319F" w:rsidP="00E30C97">
            <w:pPr>
              <w:widowControl w:val="0"/>
              <w:numPr>
                <w:ilvl w:val="0"/>
                <w:numId w:val="17"/>
              </w:numPr>
              <w:autoSpaceDE w:val="0"/>
              <w:autoSpaceDN w:val="0"/>
              <w:spacing w:after="120" w:line="276" w:lineRule="auto"/>
              <w:jc w:val="both"/>
              <w:rPr>
                <w:rFonts w:ascii="Verdana" w:hAnsi="Verdana" w:cs="Arial"/>
                <w:lang w:val="es-ES"/>
              </w:rPr>
            </w:pPr>
            <w:r w:rsidRPr="00324A04">
              <w:rPr>
                <w:rFonts w:ascii="Verdana" w:hAnsi="Verdana" w:cs="Arial"/>
                <w:lang w:val="es-ES"/>
              </w:rPr>
              <w:t xml:space="preserve">Consejo de Estado, Sección Primera. Sentencia de 3 de marzo de 2005, </w:t>
            </w:r>
            <w:proofErr w:type="spellStart"/>
            <w:r w:rsidRPr="00324A04">
              <w:rPr>
                <w:rFonts w:ascii="Verdana" w:hAnsi="Verdana" w:cs="Arial"/>
                <w:lang w:val="es-ES"/>
              </w:rPr>
              <w:t>Exp</w:t>
            </w:r>
            <w:proofErr w:type="spellEnd"/>
            <w:r w:rsidRPr="00324A04">
              <w:rPr>
                <w:rFonts w:ascii="Verdana" w:hAnsi="Verdana" w:cs="Arial"/>
                <w:lang w:val="es-ES"/>
              </w:rPr>
              <w:t xml:space="preserve">. 2004-00823-01(PI). </w:t>
            </w:r>
          </w:p>
          <w:p w14:paraId="35D2DDCF" w14:textId="77777777" w:rsidR="0014319F" w:rsidRPr="00324A04" w:rsidRDefault="0014319F" w:rsidP="00E30C97">
            <w:pPr>
              <w:numPr>
                <w:ilvl w:val="0"/>
                <w:numId w:val="17"/>
              </w:numPr>
              <w:spacing w:before="120" w:after="120" w:line="276" w:lineRule="auto"/>
              <w:jc w:val="both"/>
              <w:rPr>
                <w:rFonts w:ascii="Verdana" w:hAnsi="Verdana" w:cs="Arial"/>
                <w:lang w:val="es-ES"/>
              </w:rPr>
            </w:pPr>
            <w:r w:rsidRPr="00324A04">
              <w:rPr>
                <w:rFonts w:ascii="Verdana" w:hAnsi="Verdana" w:cs="Arial"/>
              </w:rPr>
              <w:t>Consejo de Estado. Sala de Consulta y Servicio Civil. Concepto del 15 de noviembre de 2007. Expediente número 1863. Consejero Ponente: Luis Fernando Álvarez Jaramillo</w:t>
            </w:r>
          </w:p>
          <w:p w14:paraId="759410A8" w14:textId="77777777" w:rsidR="0014319F" w:rsidRPr="00324A04" w:rsidRDefault="0014319F" w:rsidP="00E30C97">
            <w:pPr>
              <w:widowControl w:val="0"/>
              <w:numPr>
                <w:ilvl w:val="0"/>
                <w:numId w:val="17"/>
              </w:numPr>
              <w:autoSpaceDE w:val="0"/>
              <w:autoSpaceDN w:val="0"/>
              <w:spacing w:after="120" w:line="276" w:lineRule="auto"/>
              <w:jc w:val="both"/>
              <w:rPr>
                <w:rFonts w:ascii="Verdana" w:hAnsi="Verdana" w:cs="Arial"/>
                <w:lang w:val="es-ES"/>
              </w:rPr>
            </w:pPr>
            <w:r w:rsidRPr="00324A04">
              <w:rPr>
                <w:rFonts w:ascii="Verdana" w:hAnsi="Verdana" w:cs="Arial"/>
                <w:lang w:val="es-ES"/>
              </w:rPr>
              <w:t xml:space="preserve">Consejo de Estado, Sala de Consulta y Servicio Civil, Concepto de fecha 24 de julio de 2013, Rad. 2166, C. P. Álvaro Namén Vargas. </w:t>
            </w:r>
          </w:p>
          <w:p w14:paraId="4C5001A7" w14:textId="77777777" w:rsidR="0014319F" w:rsidRPr="00324A04" w:rsidRDefault="0014319F" w:rsidP="00E30C97">
            <w:pPr>
              <w:numPr>
                <w:ilvl w:val="0"/>
                <w:numId w:val="17"/>
              </w:numPr>
              <w:spacing w:before="120" w:after="120" w:line="276" w:lineRule="auto"/>
              <w:jc w:val="both"/>
              <w:rPr>
                <w:rFonts w:ascii="Verdana" w:hAnsi="Verdana" w:cs="Arial"/>
                <w:lang w:val="es-ES"/>
              </w:rPr>
            </w:pPr>
            <w:r w:rsidRPr="00324A04">
              <w:rPr>
                <w:rFonts w:ascii="Verdana" w:hAnsi="Verdana" w:cs="Arial"/>
              </w:rPr>
              <w:t>Consejo de Estado. Sala de Consulta y Servicio Civil. Concepto del 2 de septiembre de 2013 Radicado No: 2168. CP: Alvaro Namén Vargas.</w:t>
            </w:r>
          </w:p>
          <w:p w14:paraId="345C50FD" w14:textId="77777777" w:rsidR="0014319F" w:rsidRPr="00324A04" w:rsidRDefault="0014319F" w:rsidP="00E30C97">
            <w:pPr>
              <w:numPr>
                <w:ilvl w:val="0"/>
                <w:numId w:val="17"/>
              </w:numPr>
              <w:spacing w:before="120" w:after="120" w:line="276" w:lineRule="auto"/>
              <w:jc w:val="both"/>
              <w:rPr>
                <w:rFonts w:ascii="Verdana" w:hAnsi="Verdana" w:cs="Arial"/>
                <w:lang w:val="es-ES"/>
              </w:rPr>
            </w:pPr>
            <w:r w:rsidRPr="00324A04">
              <w:rPr>
                <w:rFonts w:ascii="Verdana" w:hAnsi="Verdana" w:cs="Arial"/>
                <w:lang w:val="es-ES"/>
              </w:rPr>
              <w:t>Consejo de Estado. Sala de Consulta y Servicio Civil. Concepto del 17 de febrero de 2015. C.P. William Zambrano Cetina. Radicación No. 11001-03-06-000-2015-00164-00(2269).</w:t>
            </w:r>
          </w:p>
          <w:p w14:paraId="549BD446" w14:textId="77777777" w:rsidR="0014319F" w:rsidRPr="00324A04" w:rsidRDefault="0014319F" w:rsidP="00E30C97">
            <w:pPr>
              <w:numPr>
                <w:ilvl w:val="0"/>
                <w:numId w:val="17"/>
              </w:numPr>
              <w:spacing w:before="120" w:after="120" w:line="276" w:lineRule="auto"/>
              <w:jc w:val="both"/>
              <w:rPr>
                <w:rFonts w:ascii="Verdana" w:hAnsi="Verdana" w:cs="Arial"/>
                <w:lang w:val="es-ES"/>
              </w:rPr>
            </w:pPr>
            <w:r w:rsidRPr="00324A04">
              <w:rPr>
                <w:rFonts w:ascii="Verdana" w:hAnsi="Verdana" w:cs="Arial"/>
                <w:lang w:val="es-ES"/>
              </w:rPr>
              <w:t>Consejo de Estado, Sala de Consulta y Servicio Civil, Concepto de fecha 8 de mayo de 2018, No. 2382. C. P. Álvaro Namén Vargas.</w:t>
            </w:r>
          </w:p>
        </w:tc>
      </w:tr>
    </w:tbl>
    <w:p w14:paraId="0FAF73DD" w14:textId="77777777" w:rsidR="0014319F" w:rsidRPr="00324A04" w:rsidRDefault="0014319F" w:rsidP="0014319F">
      <w:pPr>
        <w:widowControl w:val="0"/>
        <w:autoSpaceDE w:val="0"/>
        <w:autoSpaceDN w:val="0"/>
        <w:spacing w:after="0" w:line="276" w:lineRule="auto"/>
        <w:jc w:val="both"/>
        <w:rPr>
          <w:rFonts w:ascii="Verdana" w:hAnsi="Verdana" w:cs="Arial"/>
          <w:lang w:val="es-ES_tradnl"/>
        </w:rPr>
      </w:pPr>
    </w:p>
    <w:p w14:paraId="58FC8FC5" w14:textId="77777777" w:rsidR="0014319F" w:rsidRPr="00324A04" w:rsidRDefault="0014319F" w:rsidP="0014319F">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324A04">
        <w:rPr>
          <w:rFonts w:ascii="Verdana" w:eastAsia="Century Gothic" w:hAnsi="Verdana" w:cs="Century Gothic"/>
          <w:b/>
          <w:bCs/>
          <w:lang w:val="es-ES_tradnl"/>
        </w:rPr>
        <w:t>Doctrina de la Agencia Nacional de Contratación Pública:</w:t>
      </w:r>
    </w:p>
    <w:p w14:paraId="6C245207" w14:textId="77777777" w:rsidR="0014319F" w:rsidRPr="00324A04" w:rsidRDefault="0014319F" w:rsidP="0014319F">
      <w:pPr>
        <w:widowControl w:val="0"/>
        <w:autoSpaceDE w:val="0"/>
        <w:autoSpaceDN w:val="0"/>
        <w:spacing w:after="0" w:line="276" w:lineRule="auto"/>
        <w:jc w:val="both"/>
        <w:rPr>
          <w:rFonts w:ascii="Verdana" w:hAnsi="Verdana" w:cs="Arial"/>
          <w:lang w:val="es-ES_tradnl"/>
        </w:rPr>
      </w:pPr>
    </w:p>
    <w:p w14:paraId="486BD219" w14:textId="77777777" w:rsidR="0014319F" w:rsidRPr="00324A04" w:rsidRDefault="0014319F" w:rsidP="0014319F">
      <w:pPr>
        <w:widowControl w:val="0"/>
        <w:autoSpaceDE w:val="0"/>
        <w:autoSpaceDN w:val="0"/>
        <w:spacing w:after="120" w:line="276" w:lineRule="auto"/>
        <w:jc w:val="both"/>
        <w:rPr>
          <w:rFonts w:ascii="Verdana" w:hAnsi="Verdana" w:cs="Arial"/>
          <w:shd w:val="clear" w:color="auto" w:fill="FFFFFF"/>
        </w:rPr>
      </w:pPr>
      <w:r w:rsidRPr="00324A04">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w:t>
      </w:r>
      <w:r w:rsidRPr="00324A04">
        <w:rPr>
          <w:rFonts w:ascii="Verdana" w:hAnsi="Verdana" w:cs="Arial"/>
          <w:shd w:val="clear" w:color="auto" w:fill="FFFFFF"/>
        </w:rPr>
        <w:lastRenderedPageBreak/>
        <w:t>noviembre del 2025 y C-1492 del 21 de noviembre del 2025 y C-1608 del 4 de diciembre de 2025.</w:t>
      </w:r>
    </w:p>
    <w:p w14:paraId="6B67F726" w14:textId="77777777" w:rsidR="0014319F" w:rsidRPr="00324A04" w:rsidRDefault="0014319F" w:rsidP="0014319F">
      <w:pPr>
        <w:jc w:val="both"/>
        <w:rPr>
          <w:rFonts w:ascii="Verdana" w:hAnsi="Verdana"/>
        </w:rPr>
      </w:pPr>
      <w:r w:rsidRPr="00324A04">
        <w:rPr>
          <w:rFonts w:ascii="Verdana" w:hAnsi="Verdana"/>
        </w:rPr>
        <w:t xml:space="preserve">La sostenibilidad no es una opción, es una obligación. Por ello, la Agencia Nacional de Contratación Pública –Colombia Compra Eficiente– te invita a realizar el </w:t>
      </w:r>
      <w:r w:rsidRPr="00324A04">
        <w:rPr>
          <w:rFonts w:ascii="Verdana" w:hAnsi="Verdana"/>
          <w:b/>
          <w:bCs/>
        </w:rPr>
        <w:t>Curso de Contratación Pública Sostenible y Socialmente Responsable</w:t>
      </w:r>
      <w:r w:rsidRPr="00324A0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4A04">
        <w:rPr>
          <w:rFonts w:ascii="Verdana" w:hAnsi="Verdana"/>
        </w:rPr>
        <w:br/>
      </w:r>
      <w:hyperlink r:id="rId13" w:tgtFrame="_new" w:history="1">
        <w:r w:rsidRPr="00324A04">
          <w:rPr>
            <w:rFonts w:ascii="Verdana" w:hAnsi="Verdana"/>
            <w:color w:val="0000FF"/>
            <w:u w:val="single"/>
          </w:rPr>
          <w:t>https://formacionvirtual.colombiacompra.gov.co/mod/page/view.php?id=3718</w:t>
        </w:r>
      </w:hyperlink>
    </w:p>
    <w:p w14:paraId="0E81667E" w14:textId="77777777" w:rsidR="0014319F" w:rsidRPr="00324A04" w:rsidRDefault="0014319F" w:rsidP="0014319F">
      <w:pPr>
        <w:jc w:val="both"/>
        <w:rPr>
          <w:rFonts w:ascii="Verdana" w:hAnsi="Verdana"/>
        </w:rPr>
      </w:pPr>
      <w:r w:rsidRPr="00324A04">
        <w:rPr>
          <w:rFonts w:ascii="Verdana" w:hAnsi="Verdana"/>
        </w:rPr>
        <w:t xml:space="preserve">De otro lado, te contamos que esta Agencia ha da un paso decisivo en la estandarización y modernización del </w:t>
      </w:r>
      <w:r w:rsidRPr="00324A04">
        <w:rPr>
          <w:rFonts w:ascii="Verdana" w:hAnsi="Verdana"/>
          <w:b/>
          <w:bCs/>
        </w:rPr>
        <w:t>sector  social</w:t>
      </w:r>
      <w:r w:rsidRPr="00324A04">
        <w:rPr>
          <w:rFonts w:ascii="Verdana" w:hAnsi="Verdana"/>
        </w:rPr>
        <w:t xml:space="preserve"> con la expedición de las </w:t>
      </w:r>
      <w:r w:rsidRPr="00324A04">
        <w:rPr>
          <w:rFonts w:ascii="Verdana" w:hAnsi="Verdana"/>
          <w:b/>
          <w:bCs/>
        </w:rPr>
        <w:t>Resoluciones 539, 540, 541, 952 y 953 de 2025</w:t>
      </w:r>
      <w:r w:rsidRPr="00324A04">
        <w:rPr>
          <w:rFonts w:ascii="Verdana" w:hAnsi="Verdana"/>
        </w:rPr>
        <w:t xml:space="preserve">, </w:t>
      </w:r>
      <w:r w:rsidRPr="00324A04">
        <w:rPr>
          <w:rFonts w:ascii="Verdana" w:hAnsi="Verdana"/>
          <w:b/>
          <w:bCs/>
        </w:rPr>
        <w:t>mediante las cuales adoptó Documentos Tipo</w:t>
      </w:r>
      <w:r w:rsidRPr="00324A04">
        <w:rPr>
          <w:rFonts w:ascii="Verdana" w:hAnsi="Verdana"/>
        </w:rPr>
        <w:t xml:space="preserve"> para las modalidades de selección de</w:t>
      </w:r>
      <w:r w:rsidRPr="00324A04">
        <w:rPr>
          <w:rFonts w:ascii="Verdana" w:hAnsi="Verdana"/>
          <w:b/>
          <w:bCs/>
        </w:rPr>
        <w:t xml:space="preserve"> licitación pública (versión 2), selección abreviada de menor cuantía, mínima cuantía, consultoría e interventoría</w:t>
      </w:r>
      <w:r w:rsidRPr="00324A0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324A04">
          <w:rPr>
            <w:rFonts w:ascii="Verdana" w:hAnsi="Verdana"/>
            <w:color w:val="0000FF"/>
            <w:u w:val="single"/>
          </w:rPr>
          <w:t>https://www.colombiacompra.gov.co/normativa-y-relatoria/documentos-tipo</w:t>
        </w:r>
      </w:hyperlink>
    </w:p>
    <w:p w14:paraId="1545A2A7" w14:textId="77777777" w:rsidR="0014319F" w:rsidRPr="00324A04" w:rsidRDefault="0014319F" w:rsidP="0014319F">
      <w:pPr>
        <w:jc w:val="both"/>
        <w:rPr>
          <w:rFonts w:ascii="Verdana" w:hAnsi="Verdana"/>
          <w:color w:val="000000"/>
          <w:lang w:val="es-ES_tradnl"/>
        </w:rPr>
      </w:pPr>
      <w:r w:rsidRPr="00324A04">
        <w:rPr>
          <w:rFonts w:ascii="Verdana" w:hAnsi="Verdana"/>
        </w:rPr>
        <w:t xml:space="preserve">Si quieres conocer más sobre la aplicación de Documentos Tipo puedes consultar la última versión de la </w:t>
      </w:r>
      <w:r w:rsidRPr="00324A04">
        <w:rPr>
          <w:rFonts w:ascii="Verdana" w:hAnsi="Verdana"/>
          <w:b/>
          <w:bCs/>
        </w:rPr>
        <w:t>Guía para la comprensión e implementación de los Documentos Tipo de obra pública de infraestructura de transporte</w:t>
      </w:r>
      <w:r w:rsidRPr="00324A0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4A04">
        <w:rPr>
          <w:rFonts w:ascii="Verdana" w:hAnsi="Verdana"/>
        </w:rPr>
        <w:br/>
      </w:r>
      <w:hyperlink r:id="rId15" w:tgtFrame="_new" w:history="1">
        <w:r w:rsidRPr="00324A0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B7DA0F5" w14:textId="77777777" w:rsidR="0014319F" w:rsidRPr="00324A04" w:rsidRDefault="0014319F" w:rsidP="0014319F">
      <w:pPr>
        <w:shd w:val="clear" w:color="auto" w:fill="FFFFFF"/>
        <w:spacing w:after="0" w:line="276" w:lineRule="auto"/>
        <w:jc w:val="both"/>
        <w:rPr>
          <w:rFonts w:ascii="Verdana" w:hAnsi="Verdana"/>
          <w:color w:val="467886"/>
          <w:u w:val="single"/>
        </w:rPr>
      </w:pPr>
      <w:r w:rsidRPr="00324A04">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324A04">
        <w:rPr>
          <w:rFonts w:ascii="Verdana" w:hAnsi="Verdana"/>
        </w:rPr>
        <w:lastRenderedPageBreak/>
        <w:t xml:space="preserve">marco de nuestras funciones a través de nuestros diferentes canales de atención: </w:t>
      </w:r>
    </w:p>
    <w:p w14:paraId="0D94AB00" w14:textId="77777777" w:rsidR="0014319F" w:rsidRPr="00324A04" w:rsidRDefault="0014319F" w:rsidP="0014319F">
      <w:pPr>
        <w:spacing w:after="0"/>
        <w:jc w:val="both"/>
        <w:rPr>
          <w:rFonts w:ascii="Verdana" w:hAnsi="Verdana"/>
        </w:rPr>
      </w:pPr>
    </w:p>
    <w:p w14:paraId="1B70EA3B" w14:textId="77777777" w:rsidR="0014319F" w:rsidRPr="00324A04" w:rsidRDefault="0014319F" w:rsidP="0014319F">
      <w:pPr>
        <w:numPr>
          <w:ilvl w:val="0"/>
          <w:numId w:val="15"/>
        </w:numPr>
        <w:spacing w:after="0" w:line="240" w:lineRule="auto"/>
        <w:contextualSpacing/>
        <w:jc w:val="both"/>
        <w:rPr>
          <w:rFonts w:ascii="Verdana" w:eastAsia="Verdana" w:hAnsi="Verdana" w:cs="Verdana"/>
          <w:color w:val="4472C4" w:themeColor="accent1"/>
          <w:u w:val="single"/>
          <w:lang w:val="es-MX"/>
        </w:rPr>
      </w:pPr>
      <w:r w:rsidRPr="00324A04">
        <w:rPr>
          <w:rFonts w:ascii="Verdana" w:eastAsia="Verdana" w:hAnsi="Verdana" w:cs="Verdana"/>
          <w:lang w:val="es-MX"/>
        </w:rPr>
        <w:t xml:space="preserve">Línea nacional gratuita o servicio a la ciudadanía (Mesa de servicio): </w:t>
      </w:r>
      <w:r w:rsidRPr="00324A04">
        <w:rPr>
          <w:rFonts w:ascii="Verdana" w:hAnsi="Verdana"/>
          <w:color w:val="0000FF"/>
          <w:u w:val="single"/>
          <w:lang w:val="es-ES"/>
        </w:rPr>
        <w:t>01800 0520808</w:t>
      </w:r>
    </w:p>
    <w:p w14:paraId="55D69AFF" w14:textId="77777777" w:rsidR="0014319F" w:rsidRPr="00324A04" w:rsidRDefault="0014319F" w:rsidP="0014319F">
      <w:pPr>
        <w:numPr>
          <w:ilvl w:val="0"/>
          <w:numId w:val="15"/>
        </w:numPr>
        <w:spacing w:after="0"/>
        <w:contextualSpacing/>
        <w:rPr>
          <w:rFonts w:ascii="Verdana" w:eastAsia="Verdana" w:hAnsi="Verdana" w:cs="Verdana"/>
          <w:color w:val="4472C4" w:themeColor="accent1"/>
          <w:u w:val="single"/>
          <w:lang w:val="es-MX"/>
        </w:rPr>
      </w:pPr>
      <w:r w:rsidRPr="00324A04">
        <w:rPr>
          <w:rFonts w:ascii="Verdana" w:eastAsia="Verdana" w:hAnsi="Verdana" w:cs="Verdana"/>
          <w:lang w:val="es-MX"/>
        </w:rPr>
        <w:t>Línea en Bogotá (Mesa de servicio</w:t>
      </w:r>
      <w:proofErr w:type="gramStart"/>
      <w:r w:rsidRPr="00324A04">
        <w:rPr>
          <w:rFonts w:ascii="Verdana" w:eastAsia="Verdana" w:hAnsi="Verdana" w:cs="Verdana"/>
          <w:lang w:val="es-MX"/>
        </w:rPr>
        <w:t>):</w:t>
      </w:r>
      <w:r w:rsidRPr="00324A04">
        <w:rPr>
          <w:rFonts w:ascii="Verdana" w:hAnsi="Verdana"/>
          <w:color w:val="0000FF"/>
          <w:u w:val="single"/>
          <w:lang w:val="es-ES"/>
        </w:rPr>
        <w:t>+</w:t>
      </w:r>
      <w:proofErr w:type="gramEnd"/>
      <w:r w:rsidRPr="00324A04">
        <w:rPr>
          <w:rFonts w:ascii="Verdana" w:hAnsi="Verdana"/>
          <w:color w:val="0000FF"/>
          <w:u w:val="single"/>
          <w:lang w:val="es-ES"/>
        </w:rPr>
        <w:t>57 601 7456788</w:t>
      </w:r>
    </w:p>
    <w:p w14:paraId="25050001" w14:textId="77777777" w:rsidR="0014319F" w:rsidRPr="00324A04" w:rsidRDefault="0014319F" w:rsidP="0014319F">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MX"/>
        </w:rPr>
        <w:t xml:space="preserve">Correo de radicación de correspondencia: </w:t>
      </w:r>
      <w:hyperlink r:id="rId16" w:history="1">
        <w:r w:rsidRPr="00324A04">
          <w:rPr>
            <w:rFonts w:ascii="Verdana" w:eastAsia="Verdana" w:hAnsi="Verdana" w:cs="Verdana"/>
            <w:color w:val="0000FF"/>
            <w:u w:val="single"/>
            <w:lang w:val="es-MX"/>
          </w:rPr>
          <w:t>ventanilladeradicacion@colombiacompra.gov.co</w:t>
        </w:r>
      </w:hyperlink>
    </w:p>
    <w:p w14:paraId="4BDDF842" w14:textId="77777777" w:rsidR="0014319F" w:rsidRPr="00324A04" w:rsidRDefault="0014319F" w:rsidP="0014319F">
      <w:pPr>
        <w:numPr>
          <w:ilvl w:val="0"/>
          <w:numId w:val="15"/>
        </w:numPr>
        <w:spacing w:after="0"/>
        <w:contextualSpacing/>
        <w:rPr>
          <w:rFonts w:ascii="Verdana" w:eastAsia="Verdana" w:hAnsi="Verdana" w:cs="Verdana"/>
          <w:color w:val="0000FF"/>
          <w:u w:val="single"/>
          <w:lang w:val="es-MX"/>
        </w:rPr>
      </w:pPr>
      <w:r w:rsidRPr="00324A04">
        <w:rPr>
          <w:rFonts w:ascii="Verdana" w:eastAsia="Verdana" w:hAnsi="Verdana" w:cs="Verdana"/>
          <w:lang w:val="es-ES"/>
        </w:rPr>
        <w:t xml:space="preserve">Formulario web para PQRSD: </w:t>
      </w:r>
      <w:hyperlink r:id="rId17" w:history="1">
        <w:r w:rsidRPr="00324A04">
          <w:rPr>
            <w:rFonts w:ascii="Verdana" w:eastAsia="Verdana" w:hAnsi="Verdana" w:cs="Verdana"/>
            <w:color w:val="0000FF"/>
            <w:u w:val="single"/>
            <w:lang w:val="es-MX"/>
          </w:rPr>
          <w:t>https://www.colombiacompra.gov.co/pqrsd/informacion-importante-antes-de-formular-una-pqrsd</w:t>
        </w:r>
      </w:hyperlink>
    </w:p>
    <w:p w14:paraId="1D89EA46" w14:textId="77777777" w:rsidR="0014319F" w:rsidRPr="00324A04" w:rsidRDefault="0014319F" w:rsidP="0014319F">
      <w:pPr>
        <w:spacing w:after="0" w:line="240" w:lineRule="auto"/>
        <w:ind w:left="720"/>
        <w:jc w:val="both"/>
        <w:rPr>
          <w:rFonts w:ascii="Verdana" w:hAnsi="Verdana"/>
        </w:rPr>
      </w:pPr>
    </w:p>
    <w:p w14:paraId="4EED414B" w14:textId="77777777" w:rsidR="0014319F" w:rsidRPr="00324A04" w:rsidRDefault="0014319F" w:rsidP="0014319F">
      <w:pPr>
        <w:spacing w:after="0" w:line="276" w:lineRule="auto"/>
        <w:jc w:val="both"/>
        <w:rPr>
          <w:rFonts w:ascii="Verdana" w:hAnsi="Verdana"/>
        </w:rPr>
      </w:pPr>
      <w:r w:rsidRPr="00324A04">
        <w:rPr>
          <w:rFonts w:ascii="Verdana" w:hAnsi="Verdana"/>
        </w:rPr>
        <w:t xml:space="preserve">Evalúa el servicio que ofrece la Agencia por el canal de atención de PQRSD en el siguiente enlace: </w:t>
      </w:r>
      <w:hyperlink r:id="rId18" w:history="1">
        <w:r w:rsidRPr="00324A04">
          <w:rPr>
            <w:rFonts w:ascii="Verdana" w:hAnsi="Verdana"/>
            <w:color w:val="0000FF"/>
            <w:u w:val="single"/>
          </w:rPr>
          <w:t>https://forms.office.com/r/pPHyWVs2SZ</w:t>
        </w:r>
      </w:hyperlink>
      <w:r w:rsidRPr="00324A04">
        <w:rPr>
          <w:rFonts w:ascii="Verdana" w:hAnsi="Verdana"/>
        </w:rPr>
        <w:t xml:space="preserve"> .¡Ayúdanos a mejorar porque el compromiso es de todos!</w:t>
      </w:r>
    </w:p>
    <w:p w14:paraId="7EEEA71E" w14:textId="77777777" w:rsidR="0014319F" w:rsidRPr="00324A04" w:rsidRDefault="0014319F" w:rsidP="0014319F">
      <w:pPr>
        <w:spacing w:after="0" w:line="240" w:lineRule="auto"/>
        <w:rPr>
          <w:rFonts w:ascii="Verdana" w:hAnsi="Verdana"/>
        </w:rPr>
      </w:pPr>
    </w:p>
    <w:p w14:paraId="248E380A" w14:textId="77777777" w:rsidR="0014319F" w:rsidRPr="00324A04" w:rsidRDefault="0014319F" w:rsidP="0014319F">
      <w:pPr>
        <w:spacing w:after="0" w:line="240" w:lineRule="auto"/>
        <w:jc w:val="both"/>
        <w:rPr>
          <w:rFonts w:ascii="Verdana" w:hAnsi="Verdana"/>
        </w:rPr>
      </w:pPr>
      <w:r w:rsidRPr="00324A04">
        <w:rPr>
          <w:rFonts w:ascii="Verdana" w:hAnsi="Verdana"/>
        </w:rPr>
        <w:t xml:space="preserve">Por último, lo invitamos a seguirnos en las redes sociales en las cuales se difunde información institucional: </w:t>
      </w:r>
    </w:p>
    <w:p w14:paraId="7F08A122" w14:textId="77777777" w:rsidR="0014319F" w:rsidRPr="00324A04" w:rsidRDefault="0014319F" w:rsidP="0014319F">
      <w:pPr>
        <w:spacing w:after="0" w:line="240" w:lineRule="auto"/>
        <w:jc w:val="both"/>
        <w:rPr>
          <w:rFonts w:ascii="Verdana" w:hAnsi="Verdana"/>
        </w:rPr>
      </w:pPr>
    </w:p>
    <w:p w14:paraId="091A9CD3" w14:textId="77777777" w:rsidR="0014319F" w:rsidRPr="00324A04" w:rsidRDefault="0014319F" w:rsidP="0014319F">
      <w:pPr>
        <w:spacing w:after="0" w:line="240" w:lineRule="auto"/>
        <w:jc w:val="both"/>
        <w:rPr>
          <w:rFonts w:ascii="Verdana" w:hAnsi="Verdana"/>
        </w:rPr>
      </w:pPr>
      <w:r w:rsidRPr="00324A04">
        <w:rPr>
          <w:rFonts w:ascii="Verdana" w:hAnsi="Verdana"/>
        </w:rPr>
        <w:t xml:space="preserve">Twitter: </w:t>
      </w:r>
      <w:r w:rsidRPr="00324A04">
        <w:rPr>
          <w:rFonts w:ascii="Verdana" w:hAnsi="Verdana"/>
          <w:color w:val="0000FF"/>
          <w:u w:val="single"/>
        </w:rPr>
        <w:t>@colombiacompra</w:t>
      </w:r>
      <w:r w:rsidRPr="00324A04">
        <w:rPr>
          <w:rFonts w:ascii="Verdana" w:hAnsi="Verdana"/>
        </w:rPr>
        <w:t xml:space="preserve"> </w:t>
      </w:r>
    </w:p>
    <w:p w14:paraId="5CFF0DB6" w14:textId="77777777" w:rsidR="0014319F" w:rsidRPr="00324A04" w:rsidRDefault="0014319F" w:rsidP="0014319F">
      <w:pPr>
        <w:spacing w:after="0" w:line="240" w:lineRule="auto"/>
        <w:jc w:val="both"/>
        <w:rPr>
          <w:rFonts w:ascii="Verdana" w:hAnsi="Verdana"/>
        </w:rPr>
      </w:pPr>
      <w:r w:rsidRPr="00324A04">
        <w:rPr>
          <w:rFonts w:ascii="Verdana" w:hAnsi="Verdana"/>
        </w:rPr>
        <w:t xml:space="preserve">Facebook: </w:t>
      </w:r>
      <w:proofErr w:type="spellStart"/>
      <w:r w:rsidRPr="00324A04">
        <w:rPr>
          <w:rFonts w:ascii="Verdana" w:hAnsi="Verdana"/>
          <w:color w:val="0000FF"/>
          <w:u w:val="single"/>
        </w:rPr>
        <w:t>ColombiaCompraEficiente</w:t>
      </w:r>
      <w:proofErr w:type="spellEnd"/>
    </w:p>
    <w:p w14:paraId="3FBDEEC3" w14:textId="77777777" w:rsidR="0014319F" w:rsidRPr="00324A04" w:rsidRDefault="0014319F" w:rsidP="0014319F">
      <w:pPr>
        <w:spacing w:after="0" w:line="240" w:lineRule="auto"/>
        <w:jc w:val="both"/>
        <w:rPr>
          <w:rFonts w:ascii="Verdana" w:hAnsi="Verdana"/>
        </w:rPr>
      </w:pPr>
      <w:r w:rsidRPr="00324A04">
        <w:rPr>
          <w:rFonts w:ascii="Verdana" w:hAnsi="Verdana"/>
        </w:rPr>
        <w:t xml:space="preserve">LinkedIn: </w:t>
      </w:r>
      <w:r w:rsidRPr="00324A04">
        <w:rPr>
          <w:rFonts w:ascii="Verdana" w:hAnsi="Verdana"/>
          <w:color w:val="0000FF"/>
          <w:u w:val="single"/>
        </w:rPr>
        <w:t>Agencia Nacional de Contratación Pública - Colombia Compra Eficiente</w:t>
      </w:r>
      <w:r w:rsidRPr="00324A04">
        <w:rPr>
          <w:rFonts w:ascii="Verdana" w:hAnsi="Verdana"/>
        </w:rPr>
        <w:t xml:space="preserve"> Instagram: </w:t>
      </w:r>
      <w:r w:rsidRPr="00324A04">
        <w:rPr>
          <w:rFonts w:ascii="Verdana" w:hAnsi="Verdana"/>
          <w:color w:val="0000FF"/>
          <w:u w:val="single"/>
        </w:rPr>
        <w:t>@colombiacompraeficiente_cce</w:t>
      </w:r>
    </w:p>
    <w:p w14:paraId="747D7B0A" w14:textId="77777777" w:rsidR="0014319F" w:rsidRPr="00324A04" w:rsidRDefault="0014319F" w:rsidP="0014319F">
      <w:pPr>
        <w:widowControl w:val="0"/>
        <w:autoSpaceDE w:val="0"/>
        <w:autoSpaceDN w:val="0"/>
        <w:spacing w:after="120" w:line="276" w:lineRule="auto"/>
        <w:jc w:val="both"/>
        <w:rPr>
          <w:rFonts w:ascii="Verdana" w:hAnsi="Verdana" w:cs="Arial"/>
          <w:color w:val="FF0000"/>
          <w:shd w:val="clear" w:color="auto" w:fill="FFFFFF"/>
          <w:lang w:val="es-ES_tradnl"/>
        </w:rPr>
      </w:pPr>
      <w:r w:rsidRPr="00324A04">
        <w:rPr>
          <w:rFonts w:ascii="Verdana" w:hAnsi="Verdana" w:cs="Arial"/>
          <w:color w:val="FF0000"/>
          <w:shd w:val="clear" w:color="auto" w:fill="FFFFFF"/>
          <w:lang w:val="es-ES_tradnl"/>
        </w:rPr>
        <w:t xml:space="preserve">        </w:t>
      </w:r>
    </w:p>
    <w:p w14:paraId="0CE6246C" w14:textId="77777777" w:rsidR="0014319F" w:rsidRPr="00324A04" w:rsidRDefault="0014319F" w:rsidP="0014319F">
      <w:pPr>
        <w:widowControl w:val="0"/>
        <w:autoSpaceDE w:val="0"/>
        <w:autoSpaceDN w:val="0"/>
        <w:spacing w:after="0" w:line="276" w:lineRule="auto"/>
        <w:jc w:val="both"/>
        <w:rPr>
          <w:rFonts w:ascii="Verdana" w:hAnsi="Verdana" w:cs="Arial"/>
          <w:lang w:val="es-ES_tradnl"/>
        </w:rPr>
      </w:pPr>
      <w:r w:rsidRPr="00324A04">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74100B63" w14:textId="77777777" w:rsidR="0014319F" w:rsidRPr="00324A04" w:rsidRDefault="0014319F" w:rsidP="0014319F">
      <w:pPr>
        <w:widowControl w:val="0"/>
        <w:autoSpaceDE w:val="0"/>
        <w:autoSpaceDN w:val="0"/>
        <w:spacing w:after="0" w:line="276" w:lineRule="auto"/>
        <w:jc w:val="both"/>
        <w:rPr>
          <w:rFonts w:ascii="Verdana" w:hAnsi="Verdana" w:cs="Arial"/>
          <w:lang w:val="es-ES_tradnl"/>
        </w:rPr>
      </w:pPr>
    </w:p>
    <w:p w14:paraId="2691D219" w14:textId="77777777" w:rsidR="0014319F" w:rsidRPr="00324A04" w:rsidRDefault="0014319F" w:rsidP="0014319F">
      <w:pPr>
        <w:spacing w:after="0" w:line="240" w:lineRule="auto"/>
        <w:rPr>
          <w:rFonts w:ascii="Verdana" w:hAnsi="Verdana" w:cs="Arial"/>
          <w:lang w:val="es-ES_tradnl" w:eastAsia="es-CO"/>
        </w:rPr>
      </w:pPr>
      <w:r w:rsidRPr="00324A04">
        <w:rPr>
          <w:rFonts w:ascii="Verdana" w:eastAsia="Times New Roman" w:hAnsi="Verdana" w:cs="Arial"/>
          <w:lang w:val="es-ES" w:eastAsia="es-CO"/>
        </w:rPr>
        <w:t>Atentamente,</w:t>
      </w:r>
      <w:r w:rsidRPr="00324A04">
        <w:rPr>
          <w:rFonts w:ascii="Verdana" w:hAnsi="Verdana" w:cs="Arial"/>
          <w:lang w:val="es-ES" w:eastAsia="es-CO"/>
        </w:rPr>
        <w:t xml:space="preserve"> </w:t>
      </w:r>
    </w:p>
    <w:p w14:paraId="4335C9BF" w14:textId="1D093703" w:rsidR="0014319F" w:rsidRPr="00324A04" w:rsidRDefault="003C085E" w:rsidP="0014319F">
      <w:pPr>
        <w:spacing w:line="276" w:lineRule="auto"/>
        <w:jc w:val="center"/>
        <w:rPr>
          <w:rFonts w:ascii="Verdana" w:hAnsi="Verdana" w:cs="Arial"/>
          <w:color w:val="000000"/>
          <w:lang w:val="es-ES_tradnl" w:eastAsia="es-CO"/>
        </w:rPr>
      </w:pPr>
      <w:r>
        <w:rPr>
          <w:rFonts w:ascii="Century Gothic" w:hAnsi="Century Gothic"/>
          <w:noProof/>
        </w:rPr>
        <w:drawing>
          <wp:inline distT="0" distB="0" distL="0" distR="0" wp14:anchorId="0590308E" wp14:editId="07A36F7C">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4319F" w:rsidRPr="00324A04" w14:paraId="6E04E4E3" w14:textId="77777777" w:rsidTr="00E30C97">
        <w:trPr>
          <w:trHeight w:val="315"/>
        </w:trPr>
        <w:tc>
          <w:tcPr>
            <w:tcW w:w="893" w:type="dxa"/>
            <w:vAlign w:val="center"/>
            <w:hideMark/>
          </w:tcPr>
          <w:p w14:paraId="018974DD" w14:textId="77777777" w:rsidR="0014319F" w:rsidRPr="00324A04" w:rsidRDefault="0014319F" w:rsidP="00E30C97">
            <w:pPr>
              <w:contextualSpacing/>
              <w:rPr>
                <w:rFonts w:ascii="Verdana" w:hAnsi="Verdana" w:cs="Arial"/>
                <w:sz w:val="16"/>
                <w:szCs w:val="16"/>
                <w:lang w:val="es-ES" w:eastAsia="es-ES"/>
              </w:rPr>
            </w:pPr>
            <w:r w:rsidRPr="00324A04">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1154F8E9" w14:textId="77777777" w:rsidR="0014319F" w:rsidRPr="00324A04" w:rsidRDefault="0014319F" w:rsidP="00E30C97">
            <w:pPr>
              <w:contextualSpacing/>
              <w:rPr>
                <w:rFonts w:ascii="Verdana" w:hAnsi="Verdana"/>
                <w:sz w:val="16"/>
                <w:szCs w:val="16"/>
              </w:rPr>
            </w:pPr>
            <w:r w:rsidRPr="00324A04">
              <w:rPr>
                <w:rFonts w:ascii="Verdana" w:hAnsi="Verdana"/>
                <w:sz w:val="16"/>
                <w:szCs w:val="16"/>
              </w:rPr>
              <w:t>Tatiana Baquero Iguarán</w:t>
            </w:r>
          </w:p>
          <w:p w14:paraId="03DDC616" w14:textId="77777777" w:rsidR="0014319F" w:rsidRPr="00324A04" w:rsidRDefault="0014319F" w:rsidP="00E30C97">
            <w:pPr>
              <w:contextualSpacing/>
              <w:rPr>
                <w:rFonts w:ascii="Verdana" w:eastAsia="Arial" w:hAnsi="Verdana" w:cs="Arial"/>
                <w:sz w:val="16"/>
                <w:szCs w:val="16"/>
              </w:rPr>
            </w:pPr>
            <w:r w:rsidRPr="00324A04">
              <w:rPr>
                <w:rFonts w:ascii="Verdana" w:hAnsi="Verdana"/>
                <w:sz w:val="16"/>
                <w:szCs w:val="16"/>
              </w:rPr>
              <w:t>Contratista de la Subdirección de Gestión Contractual</w:t>
            </w:r>
          </w:p>
        </w:tc>
      </w:tr>
      <w:tr w:rsidR="0014319F" w:rsidRPr="00324A04" w14:paraId="591856DC" w14:textId="77777777" w:rsidTr="00E30C97">
        <w:trPr>
          <w:trHeight w:val="330"/>
        </w:trPr>
        <w:tc>
          <w:tcPr>
            <w:tcW w:w="893" w:type="dxa"/>
            <w:vAlign w:val="center"/>
            <w:hideMark/>
          </w:tcPr>
          <w:p w14:paraId="4CCDC513" w14:textId="77777777" w:rsidR="0014319F" w:rsidRPr="00324A04" w:rsidRDefault="0014319F" w:rsidP="00E30C97">
            <w:pPr>
              <w:contextualSpacing/>
              <w:rPr>
                <w:rFonts w:ascii="Verdana" w:hAnsi="Verdana" w:cs="Arial"/>
                <w:sz w:val="16"/>
                <w:szCs w:val="16"/>
                <w:lang w:val="es-ES" w:eastAsia="es-ES"/>
              </w:rPr>
            </w:pPr>
            <w:r w:rsidRPr="00324A0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0E3BA7" w14:textId="77777777" w:rsidR="0014319F" w:rsidRPr="00324A04" w:rsidRDefault="0014319F" w:rsidP="00E30C97">
            <w:pPr>
              <w:spacing w:before="100" w:beforeAutospacing="1" w:afterAutospacing="1"/>
              <w:contextualSpacing/>
              <w:textAlignment w:val="baseline"/>
              <w:rPr>
                <w:rFonts w:ascii="Verdana" w:eastAsia="Times New Roman" w:hAnsi="Verdana" w:cs="Arial"/>
                <w:sz w:val="16"/>
                <w:szCs w:val="16"/>
                <w:lang w:val="es-ES" w:eastAsia="es-ES_tradnl"/>
              </w:rPr>
            </w:pPr>
            <w:r w:rsidRPr="00324A04">
              <w:rPr>
                <w:rFonts w:ascii="Verdana" w:eastAsia="Times New Roman" w:hAnsi="Verdana" w:cs="Arial"/>
                <w:sz w:val="16"/>
                <w:szCs w:val="16"/>
                <w:lang w:val="es-ES" w:eastAsia="es-ES_tradnl"/>
              </w:rPr>
              <w:t>Alejandro Sarmiento Cantillo</w:t>
            </w:r>
          </w:p>
          <w:p w14:paraId="76132FA9" w14:textId="77777777" w:rsidR="0014319F" w:rsidRPr="00324A04" w:rsidRDefault="0014319F" w:rsidP="00E30C97">
            <w:pPr>
              <w:contextualSpacing/>
              <w:textAlignment w:val="baseline"/>
              <w:rPr>
                <w:rFonts w:ascii="Verdana" w:eastAsia="Times New Roman" w:hAnsi="Verdana" w:cs="Segoe UI"/>
                <w:sz w:val="16"/>
                <w:szCs w:val="16"/>
                <w:lang w:eastAsia="es-ES_tradnl"/>
              </w:rPr>
            </w:pPr>
            <w:r w:rsidRPr="00324A04">
              <w:rPr>
                <w:rFonts w:ascii="Verdana" w:eastAsia="Times New Roman" w:hAnsi="Verdana" w:cs="Arial"/>
                <w:sz w:val="16"/>
                <w:szCs w:val="16"/>
                <w:lang w:val="es-ES" w:eastAsia="es-ES_tradnl"/>
              </w:rPr>
              <w:t>Gestor T1 ‒ 15 de la Subdirección de Gestión Contractual</w:t>
            </w:r>
            <w:r w:rsidRPr="00324A04">
              <w:rPr>
                <w:rFonts w:ascii="Verdana" w:eastAsia="Times New Roman" w:hAnsi="Verdana" w:cs="Arial"/>
                <w:sz w:val="16"/>
                <w:szCs w:val="16"/>
                <w:lang w:eastAsia="es-ES_tradnl"/>
              </w:rPr>
              <w:t> </w:t>
            </w:r>
          </w:p>
        </w:tc>
      </w:tr>
      <w:tr w:rsidR="0014319F" w:rsidRPr="00324A04" w14:paraId="39834553" w14:textId="77777777" w:rsidTr="00E30C97">
        <w:trPr>
          <w:trHeight w:val="300"/>
        </w:trPr>
        <w:tc>
          <w:tcPr>
            <w:tcW w:w="893" w:type="dxa"/>
            <w:vAlign w:val="center"/>
          </w:tcPr>
          <w:p w14:paraId="15C9287D" w14:textId="77777777" w:rsidR="0014319F" w:rsidRPr="00324A04" w:rsidRDefault="0014319F" w:rsidP="00E30C97">
            <w:pPr>
              <w:contextualSpacing/>
              <w:rPr>
                <w:rFonts w:ascii="Verdana" w:hAnsi="Verdana" w:cs="Arial"/>
                <w:sz w:val="16"/>
                <w:szCs w:val="16"/>
                <w:lang w:val="es-ES" w:eastAsia="es-ES"/>
              </w:rPr>
            </w:pPr>
            <w:r w:rsidRPr="00324A0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2312D5" w14:textId="77777777" w:rsidR="0014319F" w:rsidRPr="00324A04" w:rsidRDefault="0014319F" w:rsidP="00E30C97">
            <w:pPr>
              <w:contextualSpacing/>
              <w:rPr>
                <w:rFonts w:ascii="Verdana" w:eastAsia="Calibri" w:hAnsi="Verdana" w:cs="Arial"/>
                <w:sz w:val="16"/>
                <w:szCs w:val="16"/>
                <w:lang w:val="pt-BR" w:eastAsia="es-ES"/>
              </w:rPr>
            </w:pPr>
            <w:r w:rsidRPr="00324A04">
              <w:rPr>
                <w:rFonts w:ascii="Verdana" w:eastAsia="Calibri" w:hAnsi="Verdana" w:cs="Arial"/>
                <w:sz w:val="16"/>
                <w:szCs w:val="16"/>
                <w:lang w:val="pt-BR" w:eastAsia="es-ES"/>
              </w:rPr>
              <w:t xml:space="preserve">Carolina Quintero </w:t>
            </w:r>
            <w:proofErr w:type="spellStart"/>
            <w:r w:rsidRPr="00324A04">
              <w:rPr>
                <w:rFonts w:ascii="Verdana" w:eastAsia="Calibri" w:hAnsi="Verdana" w:cs="Arial"/>
                <w:sz w:val="16"/>
                <w:szCs w:val="16"/>
                <w:lang w:val="pt-BR" w:eastAsia="es-ES"/>
              </w:rPr>
              <w:t>Gacharná</w:t>
            </w:r>
            <w:proofErr w:type="spellEnd"/>
          </w:p>
          <w:p w14:paraId="199663E7" w14:textId="77777777" w:rsidR="0014319F" w:rsidRPr="00324A04" w:rsidRDefault="0014319F" w:rsidP="00E30C97">
            <w:pPr>
              <w:contextualSpacing/>
              <w:rPr>
                <w:rFonts w:ascii="Verdana" w:eastAsia="Calibri" w:hAnsi="Verdana" w:cs="Arial"/>
                <w:sz w:val="16"/>
                <w:szCs w:val="16"/>
                <w:lang w:val="pt-BR" w:eastAsia="es-ES"/>
              </w:rPr>
            </w:pPr>
            <w:r w:rsidRPr="00324A04">
              <w:rPr>
                <w:rFonts w:ascii="Verdana" w:eastAsia="Calibri" w:hAnsi="Verdana" w:cs="Arial"/>
                <w:sz w:val="16"/>
                <w:szCs w:val="16"/>
                <w:lang w:eastAsia="es-ES"/>
              </w:rPr>
              <w:t>Subdirectora</w:t>
            </w:r>
            <w:r w:rsidRPr="00324A04">
              <w:rPr>
                <w:rFonts w:ascii="Verdana" w:eastAsia="Calibri" w:hAnsi="Verdana" w:cs="Arial"/>
                <w:sz w:val="16"/>
                <w:szCs w:val="16"/>
                <w:lang w:val="pt-BR" w:eastAsia="es-ES"/>
              </w:rPr>
              <w:t xml:space="preserve"> de Gestión Contratual ANCP – CCE</w:t>
            </w:r>
          </w:p>
        </w:tc>
      </w:tr>
    </w:tbl>
    <w:p w14:paraId="7C0741AA" w14:textId="77777777" w:rsidR="0014319F" w:rsidRPr="00915177" w:rsidRDefault="0014319F" w:rsidP="0014319F">
      <w:r w:rsidRPr="00324A04">
        <w:t xml:space="preserve"> </w:t>
      </w:r>
    </w:p>
    <w:p w14:paraId="3D6EFFA8" w14:textId="77777777" w:rsidR="0014319F" w:rsidRPr="000E2B93" w:rsidRDefault="0014319F" w:rsidP="0014319F">
      <w:pPr>
        <w:spacing w:after="0" w:line="240" w:lineRule="auto"/>
        <w:jc w:val="both"/>
        <w:textAlignment w:val="baseline"/>
        <w:rPr>
          <w:rFonts w:ascii="Verdana" w:eastAsia="Verdana" w:hAnsi="Verdana" w:cs="Verdana"/>
          <w:lang w:eastAsia="es-CO"/>
        </w:rPr>
      </w:pPr>
    </w:p>
    <w:bookmarkEnd w:id="0"/>
    <w:p w14:paraId="35CC256B" w14:textId="77777777" w:rsidR="00F5369B" w:rsidRDefault="00F5369B" w:rsidP="009B4037">
      <w:pPr>
        <w:spacing w:after="0" w:line="240" w:lineRule="auto"/>
        <w:rPr>
          <w:rFonts w:ascii="Verdana" w:hAnsi="Verdana"/>
        </w:rPr>
      </w:pPr>
    </w:p>
    <w:sectPr w:rsidR="00F5369B"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91527" w14:textId="77777777" w:rsidR="0089694D" w:rsidRDefault="0089694D" w:rsidP="004A1847">
      <w:pPr>
        <w:spacing w:after="0" w:line="240" w:lineRule="auto"/>
      </w:pPr>
      <w:r>
        <w:separator/>
      </w:r>
    </w:p>
  </w:endnote>
  <w:endnote w:type="continuationSeparator" w:id="0">
    <w:p w14:paraId="307E222B" w14:textId="77777777" w:rsidR="0089694D" w:rsidRDefault="0089694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B0C80" w14:textId="77777777" w:rsidR="0089694D" w:rsidRDefault="0089694D" w:rsidP="004A1847">
      <w:pPr>
        <w:spacing w:after="0" w:line="240" w:lineRule="auto"/>
      </w:pPr>
      <w:r>
        <w:separator/>
      </w:r>
    </w:p>
  </w:footnote>
  <w:footnote w:type="continuationSeparator" w:id="0">
    <w:p w14:paraId="5FFB54B1" w14:textId="77777777" w:rsidR="0089694D" w:rsidRDefault="0089694D" w:rsidP="004A1847">
      <w:pPr>
        <w:spacing w:after="0" w:line="240" w:lineRule="auto"/>
      </w:pPr>
      <w:r>
        <w:continuationSeparator/>
      </w:r>
    </w:p>
  </w:footnote>
  <w:footnote w:id="1">
    <w:p w14:paraId="5DECB63B" w14:textId="77777777" w:rsidR="0014319F" w:rsidRPr="00421896" w:rsidRDefault="0014319F" w:rsidP="0014319F">
      <w:pPr>
        <w:pStyle w:val="Textonotapie"/>
        <w:ind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D17E6A6" w14:textId="77777777" w:rsidR="0014319F" w:rsidRPr="00421896" w:rsidRDefault="0014319F" w:rsidP="0014319F">
      <w:pPr>
        <w:pStyle w:val="Textonotapie"/>
        <w:ind w:firstLine="709"/>
        <w:jc w:val="both"/>
        <w:rPr>
          <w:rFonts w:ascii="Verdana" w:hAnsi="Verdana" w:cs="Arial"/>
          <w:sz w:val="16"/>
          <w:szCs w:val="16"/>
        </w:rPr>
      </w:pPr>
      <w:r w:rsidRPr="00421896">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78F859C0" w14:textId="77777777" w:rsidR="0014319F" w:rsidRPr="00421896" w:rsidRDefault="0014319F" w:rsidP="0014319F">
      <w:pPr>
        <w:pStyle w:val="Textonotapie"/>
        <w:ind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Gaceta del Congreso de la República No. 71 del 2005.</w:t>
      </w:r>
    </w:p>
  </w:footnote>
  <w:footnote w:id="3">
    <w:p w14:paraId="6A9806B8" w14:textId="77777777" w:rsidR="0014319F" w:rsidRPr="00421896" w:rsidRDefault="0014319F" w:rsidP="0014319F">
      <w:pPr>
        <w:pStyle w:val="Textonotapie"/>
        <w:ind w:firstLine="709"/>
        <w:jc w:val="both"/>
        <w:rPr>
          <w:rFonts w:ascii="Verdana" w:hAnsi="Verdana" w:cs="Arial"/>
          <w:sz w:val="16"/>
          <w:szCs w:val="16"/>
          <w:lang w:val="pt-BR"/>
        </w:rPr>
      </w:pPr>
      <w:r w:rsidRPr="00421896">
        <w:rPr>
          <w:rStyle w:val="Refdenotaalpie"/>
          <w:rFonts w:ascii="Verdana" w:hAnsi="Verdana" w:cs="Arial"/>
          <w:sz w:val="16"/>
          <w:szCs w:val="16"/>
        </w:rPr>
        <w:footnoteRef/>
      </w:r>
      <w:r w:rsidRPr="00421896">
        <w:rPr>
          <w:rFonts w:ascii="Verdana" w:hAnsi="Verdana" w:cs="Arial"/>
          <w:sz w:val="16"/>
          <w:szCs w:val="16"/>
          <w:lang w:val="pt-BR"/>
        </w:rPr>
        <w:t xml:space="preserve"> Corte Constitucional, Sentencia C- 1153 de 2005, M.P. Marco Gerardo Monroy Cabra.</w:t>
      </w:r>
    </w:p>
  </w:footnote>
  <w:footnote w:id="4">
    <w:p w14:paraId="6546B74E" w14:textId="77777777" w:rsidR="0014319F" w:rsidRPr="00421896" w:rsidRDefault="0014319F" w:rsidP="0014319F">
      <w:pPr>
        <w:pStyle w:val="Textonotapie"/>
        <w:ind w:firstLine="709"/>
        <w:jc w:val="both"/>
        <w:rPr>
          <w:rFonts w:ascii="Verdana" w:hAnsi="Verdana" w:cs="Arial"/>
          <w:sz w:val="16"/>
          <w:szCs w:val="16"/>
          <w:lang w:val="pt-BR"/>
        </w:rPr>
      </w:pPr>
      <w:r w:rsidRPr="00421896">
        <w:rPr>
          <w:rStyle w:val="Refdenotaalpie"/>
          <w:rFonts w:ascii="Verdana" w:hAnsi="Verdana" w:cs="Arial"/>
          <w:sz w:val="16"/>
          <w:szCs w:val="16"/>
        </w:rPr>
        <w:footnoteRef/>
      </w:r>
      <w:r w:rsidRPr="00421896">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4F30BD7" w14:textId="77777777" w:rsidR="0014319F" w:rsidRPr="00421896" w:rsidRDefault="0014319F" w:rsidP="0014319F">
      <w:pPr>
        <w:pStyle w:val="Textonotapie"/>
        <w:ind w:firstLine="709"/>
        <w:jc w:val="both"/>
        <w:rPr>
          <w:rFonts w:ascii="Verdana" w:hAnsi="Verdana" w:cs="Arial"/>
          <w:sz w:val="16"/>
          <w:szCs w:val="16"/>
          <w:lang w:val="es-CO"/>
        </w:rPr>
      </w:pPr>
      <w:r w:rsidRPr="00421896">
        <w:rPr>
          <w:rStyle w:val="Refdenotaalpie"/>
          <w:rFonts w:ascii="Verdana" w:hAnsi="Verdana" w:cs="Arial"/>
          <w:sz w:val="16"/>
          <w:szCs w:val="16"/>
        </w:rPr>
        <w:footnoteRef/>
      </w:r>
      <w:r w:rsidRPr="00421896">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B1A3582" w14:textId="77777777" w:rsidR="0014319F" w:rsidRPr="00421896" w:rsidRDefault="0014319F" w:rsidP="0014319F">
      <w:pPr>
        <w:pStyle w:val="Textonotapie"/>
        <w:ind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de fecha 24 de julio de 2013, radicado 2166, C. P. Álvaro Namén Vargas.  </w:t>
      </w:r>
    </w:p>
  </w:footnote>
  <w:footnote w:id="7">
    <w:p w14:paraId="1783A67A" w14:textId="77777777" w:rsidR="0014319F" w:rsidRPr="00421896" w:rsidRDefault="0014319F" w:rsidP="0014319F">
      <w:pPr>
        <w:spacing w:after="0" w:line="240" w:lineRule="auto"/>
        <w:ind w:firstLine="709"/>
        <w:jc w:val="both"/>
        <w:rPr>
          <w:rFonts w:ascii="Verdana" w:eastAsia="Times New Roman"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w:t>
      </w:r>
      <w:r w:rsidRPr="00421896">
        <w:rPr>
          <w:rFonts w:ascii="Verdana" w:eastAsia="Calibri" w:hAnsi="Verdana" w:cs="Arial"/>
          <w:color w:val="000000"/>
          <w:sz w:val="16"/>
          <w:szCs w:val="16"/>
        </w:rPr>
        <w:t>“</w:t>
      </w:r>
      <w:bookmarkStart w:id="5" w:name="33"/>
      <w:r w:rsidRPr="00421896">
        <w:rPr>
          <w:rFonts w:ascii="Verdana" w:eastAsia="Times New Roman" w:hAnsi="Verdana" w:cs="Arial"/>
          <w:sz w:val="16"/>
          <w:szCs w:val="16"/>
        </w:rPr>
        <w:t>Artículo 33. Restricciones a la contratación pública.</w:t>
      </w:r>
      <w:bookmarkEnd w:id="5"/>
      <w:r w:rsidRPr="00421896">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0965F87" w14:textId="77777777" w:rsidR="0014319F" w:rsidRPr="00421896" w:rsidRDefault="0014319F" w:rsidP="0014319F">
      <w:pPr>
        <w:spacing w:after="0" w:line="240" w:lineRule="auto"/>
        <w:ind w:firstLine="709"/>
        <w:jc w:val="both"/>
        <w:rPr>
          <w:rFonts w:ascii="Verdana" w:eastAsia="Times New Roman" w:hAnsi="Verdana" w:cs="Arial"/>
          <w:sz w:val="16"/>
          <w:szCs w:val="16"/>
        </w:rPr>
      </w:pPr>
      <w:r w:rsidRPr="00421896">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21896">
        <w:rPr>
          <w:rFonts w:ascii="Verdana" w:eastAsia="Calibri" w:hAnsi="Verdana" w:cs="Arial"/>
          <w:color w:val="000000"/>
          <w:sz w:val="16"/>
          <w:szCs w:val="16"/>
        </w:rPr>
        <w:t>”</w:t>
      </w:r>
      <w:r w:rsidRPr="00421896">
        <w:rPr>
          <w:rFonts w:ascii="Verdana" w:eastAsia="Times New Roman" w:hAnsi="Verdana" w:cs="Arial"/>
          <w:sz w:val="16"/>
          <w:szCs w:val="16"/>
        </w:rPr>
        <w:t>.</w:t>
      </w:r>
    </w:p>
  </w:footnote>
  <w:footnote w:id="8">
    <w:p w14:paraId="13DB8348" w14:textId="77777777" w:rsidR="0014319F" w:rsidRPr="00421896" w:rsidRDefault="0014319F" w:rsidP="0014319F">
      <w:pPr>
        <w:pStyle w:val="NormalWeb"/>
        <w:spacing w:before="0" w:beforeAutospacing="0" w:after="0" w:afterAutospacing="0"/>
        <w:ind w:firstLine="709"/>
        <w:jc w:val="both"/>
        <w:rPr>
          <w:rFonts w:ascii="Verdana" w:hAnsi="Verdana" w:cs="Arial"/>
          <w:sz w:val="16"/>
          <w:szCs w:val="16"/>
          <w:lang w:val="es-MX"/>
        </w:rPr>
      </w:pPr>
      <w:r w:rsidRPr="00421896">
        <w:rPr>
          <w:rStyle w:val="Refdenotaalpie"/>
          <w:rFonts w:ascii="Verdana" w:hAnsi="Verdana" w:cs="Arial"/>
          <w:sz w:val="16"/>
          <w:szCs w:val="16"/>
        </w:rPr>
        <w:footnoteRef/>
      </w:r>
      <w:r w:rsidRPr="00421896">
        <w:rPr>
          <w:rFonts w:ascii="Verdana" w:hAnsi="Verdana" w:cs="Arial"/>
          <w:sz w:val="16"/>
          <w:szCs w:val="16"/>
        </w:rPr>
        <w:t xml:space="preserve"> </w:t>
      </w:r>
      <w:r w:rsidRPr="00421896">
        <w:rPr>
          <w:rFonts w:ascii="Verdana" w:eastAsia="Calibri" w:hAnsi="Verdana" w:cs="Arial"/>
          <w:color w:val="000000"/>
          <w:sz w:val="16"/>
          <w:szCs w:val="16"/>
        </w:rPr>
        <w:t>“</w:t>
      </w:r>
      <w:bookmarkStart w:id="6" w:name="38"/>
      <w:r w:rsidRPr="00421896">
        <w:rPr>
          <w:rFonts w:ascii="Verdana" w:hAnsi="Verdana" w:cs="Arial"/>
          <w:sz w:val="16"/>
          <w:szCs w:val="16"/>
          <w:lang w:val="es-MX"/>
        </w:rPr>
        <w:t>Artículo 38. Prohibiciones para los servidores públicos. A los empleados del Estado les está prohibido:</w:t>
      </w:r>
      <w:bookmarkEnd w:id="6"/>
      <w:r w:rsidRPr="00421896">
        <w:rPr>
          <w:rFonts w:ascii="Verdana" w:hAnsi="Verdana" w:cs="Arial"/>
          <w:sz w:val="16"/>
          <w:szCs w:val="16"/>
          <w:lang w:val="es-MX"/>
        </w:rPr>
        <w:t xml:space="preserve"> […]</w:t>
      </w:r>
    </w:p>
    <w:p w14:paraId="67480E56" w14:textId="77777777" w:rsidR="0014319F" w:rsidRPr="00421896" w:rsidRDefault="0014319F" w:rsidP="0014319F">
      <w:pPr>
        <w:pStyle w:val="NormalWeb"/>
        <w:spacing w:before="0" w:beforeAutospacing="0" w:after="0" w:afterAutospacing="0"/>
        <w:ind w:firstLine="709"/>
        <w:jc w:val="both"/>
        <w:rPr>
          <w:rFonts w:ascii="Verdana" w:hAnsi="Verdana" w:cs="Arial"/>
          <w:sz w:val="16"/>
          <w:szCs w:val="16"/>
          <w:lang w:val="es-MX"/>
        </w:rPr>
      </w:pPr>
      <w:r w:rsidRPr="00421896">
        <w:rPr>
          <w:rStyle w:val="baj"/>
          <w:rFonts w:ascii="Verdana" w:hAnsi="Verdana" w:cs="Arial"/>
          <w:sz w:val="16"/>
          <w:szCs w:val="16"/>
          <w:lang w:val="es-MX"/>
        </w:rPr>
        <w:t>Parágrafo.</w:t>
      </w:r>
      <w:r w:rsidRPr="00421896">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21896">
        <w:rPr>
          <w:rFonts w:ascii="Verdana" w:eastAsia="Calibri" w:hAnsi="Verdana" w:cs="Arial"/>
          <w:color w:val="000000"/>
          <w:sz w:val="16"/>
          <w:szCs w:val="16"/>
        </w:rPr>
        <w:t>”</w:t>
      </w:r>
      <w:r w:rsidRPr="00421896">
        <w:rPr>
          <w:rFonts w:ascii="Verdana" w:hAnsi="Verdana" w:cs="Arial"/>
          <w:sz w:val="16"/>
          <w:szCs w:val="16"/>
          <w:lang w:val="es-MX"/>
        </w:rPr>
        <w:t>.</w:t>
      </w:r>
    </w:p>
  </w:footnote>
  <w:footnote w:id="9">
    <w:p w14:paraId="525AE763" w14:textId="77777777" w:rsidR="0014319F" w:rsidRPr="00421896" w:rsidRDefault="0014319F" w:rsidP="0014319F">
      <w:pPr>
        <w:pStyle w:val="Textonotapie"/>
        <w:ind w:firstLine="708"/>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Colombia Compra Eficiente. Circular Externa Única. Numeral 16.5. </w:t>
      </w:r>
    </w:p>
  </w:footnote>
  <w:footnote w:id="10">
    <w:p w14:paraId="046B9B42" w14:textId="77777777" w:rsidR="0014319F" w:rsidRPr="00421896" w:rsidRDefault="0014319F" w:rsidP="0014319F">
      <w:pPr>
        <w:spacing w:after="0" w:line="240" w:lineRule="auto"/>
        <w:ind w:left="100" w:right="244" w:firstLine="608"/>
        <w:jc w:val="both"/>
        <w:rPr>
          <w:rFonts w:ascii="Verdana" w:hAnsi="Verdana" w:cs="Arial"/>
          <w:sz w:val="16"/>
          <w:szCs w:val="16"/>
          <w:lang w:val="es-ES"/>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2F2FE1BC" w14:textId="77777777" w:rsidR="0014319F" w:rsidRPr="00421896" w:rsidRDefault="0014319F" w:rsidP="0014319F">
      <w:pPr>
        <w:pStyle w:val="Textonotapie"/>
        <w:ind w:right="51"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w:t>
      </w:r>
      <w:r w:rsidRPr="00421896">
        <w:rPr>
          <w:rFonts w:ascii="Verdana" w:hAnsi="Verdana" w:cs="Arial"/>
          <w:sz w:val="16"/>
          <w:szCs w:val="16"/>
          <w:lang w:val="es-ES"/>
        </w:rPr>
        <w:t xml:space="preserve">[25] </w:t>
      </w:r>
      <w:r w:rsidRPr="00421896">
        <w:rPr>
          <w:rFonts w:ascii="Verdana" w:hAnsi="Verdana" w:cs="Arial"/>
          <w:sz w:val="16"/>
          <w:szCs w:val="16"/>
        </w:rPr>
        <w:t>Cfr. Consejo de Estado. Sección Tercera. Sentencia de 3 de diciembre de 2007. Radicados: 24.715, 25.206, 25.409, 24.524, 27.834, 25.410, 26.105, 28.244, 31.447 -acumulados-“.</w:t>
      </w:r>
    </w:p>
  </w:footnote>
  <w:footnote w:id="12">
    <w:p w14:paraId="5AF3A9F5" w14:textId="77777777" w:rsidR="0014319F" w:rsidRPr="00421896" w:rsidRDefault="0014319F" w:rsidP="0014319F">
      <w:pPr>
        <w:pStyle w:val="Textonotapie"/>
        <w:ind w:right="51"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w:t>
      </w:r>
      <w:r w:rsidRPr="00421896">
        <w:rPr>
          <w:rFonts w:ascii="Verdana" w:hAnsi="Verdana" w:cs="Arial"/>
          <w:sz w:val="16"/>
          <w:szCs w:val="16"/>
          <w:lang w:val="es-ES"/>
        </w:rPr>
        <w:t xml:space="preserve">[26] </w:t>
      </w:r>
      <w:r w:rsidRPr="00421896">
        <w:rPr>
          <w:rFonts w:ascii="Verdana" w:hAnsi="Verdana" w:cs="Arial"/>
          <w:sz w:val="16"/>
          <w:szCs w:val="16"/>
        </w:rPr>
        <w:t>Al respecto ver el concepto 1712 de 2 de febrero de 2006. Consejo de Estado Sala de Consulta y Servicio Civil”.</w:t>
      </w:r>
    </w:p>
  </w:footnote>
  <w:footnote w:id="13">
    <w:p w14:paraId="50CC12D7" w14:textId="77777777" w:rsidR="0014319F" w:rsidRPr="00421896" w:rsidRDefault="0014319F" w:rsidP="0014319F">
      <w:pPr>
        <w:pStyle w:val="Textonotapie"/>
        <w:ind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3FFB9F18" w14:textId="77777777" w:rsidR="0014319F" w:rsidRPr="00421896" w:rsidRDefault="0014319F" w:rsidP="0014319F">
      <w:pPr>
        <w:pStyle w:val="Textonotapie"/>
        <w:ind w:firstLine="709"/>
        <w:jc w:val="both"/>
        <w:rPr>
          <w:rFonts w:ascii="Verdana" w:hAnsi="Verdana" w:cs="Arial"/>
          <w:sz w:val="16"/>
          <w:szCs w:val="16"/>
          <w:lang w:val="es-ES"/>
        </w:rPr>
      </w:pPr>
      <w:r w:rsidRPr="00421896">
        <w:rPr>
          <w:rStyle w:val="Refdenotaalpie"/>
          <w:rFonts w:ascii="Verdana" w:hAnsi="Verdana" w:cs="Arial"/>
          <w:sz w:val="16"/>
          <w:szCs w:val="16"/>
        </w:rPr>
        <w:footnoteRef/>
      </w:r>
      <w:r w:rsidRPr="00421896">
        <w:rPr>
          <w:rFonts w:ascii="Verdana" w:hAnsi="Verdana" w:cs="Arial"/>
          <w:sz w:val="16"/>
          <w:szCs w:val="16"/>
        </w:rPr>
        <w:t xml:space="preserve"> </w:t>
      </w:r>
      <w:r w:rsidRPr="00421896">
        <w:rPr>
          <w:rFonts w:ascii="Verdana" w:hAnsi="Verdana" w:cs="Arial"/>
          <w:sz w:val="16"/>
          <w:szCs w:val="16"/>
          <w:lang w:val="es-ES"/>
        </w:rPr>
        <w:t xml:space="preserve">Artículo 2. </w:t>
      </w:r>
    </w:p>
  </w:footnote>
  <w:footnote w:id="15">
    <w:p w14:paraId="33131F28" w14:textId="77777777" w:rsidR="0014319F" w:rsidRPr="00421896" w:rsidRDefault="0014319F" w:rsidP="0014319F">
      <w:pPr>
        <w:pStyle w:val="Textonotapie"/>
        <w:ind w:firstLine="709"/>
        <w:jc w:val="both"/>
        <w:rPr>
          <w:rFonts w:ascii="Verdana" w:hAnsi="Verdana" w:cs="Arial"/>
          <w:sz w:val="16"/>
          <w:szCs w:val="16"/>
          <w:lang w:val="es-ES"/>
        </w:rPr>
      </w:pPr>
      <w:r w:rsidRPr="00421896">
        <w:rPr>
          <w:rStyle w:val="Refdenotaalpie"/>
          <w:rFonts w:ascii="Verdana" w:hAnsi="Verdana" w:cs="Arial"/>
          <w:sz w:val="16"/>
          <w:szCs w:val="16"/>
        </w:rPr>
        <w:footnoteRef/>
      </w:r>
      <w:r w:rsidRPr="00421896">
        <w:rPr>
          <w:rFonts w:ascii="Verdana" w:hAnsi="Verdana" w:cs="Arial"/>
          <w:sz w:val="16"/>
          <w:szCs w:val="16"/>
        </w:rPr>
        <w:t xml:space="preserve"> </w:t>
      </w:r>
      <w:r w:rsidRPr="00421896">
        <w:rPr>
          <w:rFonts w:ascii="Verdana" w:hAnsi="Verdana" w:cs="Arial"/>
          <w:i/>
          <w:sz w:val="16"/>
          <w:szCs w:val="16"/>
          <w:lang w:val="es-ES"/>
        </w:rPr>
        <w:t>Ídem</w:t>
      </w:r>
      <w:r w:rsidRPr="00421896">
        <w:rPr>
          <w:rFonts w:ascii="Verdana" w:hAnsi="Verdana" w:cs="Arial"/>
          <w:sz w:val="16"/>
          <w:szCs w:val="16"/>
          <w:lang w:val="es-ES"/>
        </w:rPr>
        <w:t>.</w:t>
      </w:r>
    </w:p>
  </w:footnote>
  <w:footnote w:id="16">
    <w:p w14:paraId="7F9F0749" w14:textId="77777777" w:rsidR="0014319F" w:rsidRPr="00421896" w:rsidRDefault="0014319F" w:rsidP="0014319F">
      <w:pPr>
        <w:pStyle w:val="Textonotapie"/>
        <w:ind w:firstLine="709"/>
        <w:jc w:val="both"/>
        <w:rPr>
          <w:rFonts w:ascii="Verdana" w:hAnsi="Verdana" w:cs="Arial"/>
          <w:sz w:val="16"/>
          <w:szCs w:val="16"/>
          <w:lang w:val="es-ES"/>
        </w:rPr>
      </w:pPr>
      <w:r w:rsidRPr="00421896">
        <w:rPr>
          <w:rStyle w:val="Refdenotaalpie"/>
          <w:rFonts w:ascii="Verdana" w:hAnsi="Verdana" w:cs="Arial"/>
          <w:sz w:val="16"/>
          <w:szCs w:val="16"/>
        </w:rPr>
        <w:footnoteRef/>
      </w:r>
      <w:r w:rsidRPr="00421896">
        <w:rPr>
          <w:rStyle w:val="Refdenotaalpie"/>
          <w:rFonts w:ascii="Verdana" w:hAnsi="Verdana" w:cs="Arial"/>
          <w:sz w:val="16"/>
          <w:szCs w:val="16"/>
        </w:rPr>
        <w:t xml:space="preserve"> </w:t>
      </w:r>
      <w:r w:rsidRPr="00421896">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12E77FD9" w14:textId="77777777" w:rsidR="0014319F" w:rsidRPr="00421896" w:rsidRDefault="0014319F" w:rsidP="0014319F">
      <w:pPr>
        <w:shd w:val="clear" w:color="auto" w:fill="FFFFFF"/>
        <w:spacing w:after="0" w:line="240" w:lineRule="auto"/>
        <w:ind w:firstLine="709"/>
        <w:jc w:val="both"/>
        <w:rPr>
          <w:rFonts w:ascii="Verdana" w:hAnsi="Verdana" w:cs="Arial"/>
          <w:sz w:val="16"/>
          <w:szCs w:val="16"/>
          <w:lang w:val="es-ES"/>
        </w:rPr>
      </w:pPr>
      <w:r w:rsidRPr="00421896">
        <w:rPr>
          <w:rStyle w:val="Refdenotaalpie"/>
          <w:rFonts w:ascii="Verdana" w:hAnsi="Verdana" w:cs="Arial"/>
          <w:sz w:val="16"/>
          <w:szCs w:val="16"/>
        </w:rPr>
        <w:footnoteRef/>
      </w:r>
      <w:r w:rsidRPr="00421896">
        <w:rPr>
          <w:rStyle w:val="Refdenotaalpie"/>
          <w:rFonts w:ascii="Verdana" w:hAnsi="Verdana" w:cs="Arial"/>
          <w:sz w:val="16"/>
          <w:szCs w:val="16"/>
        </w:rPr>
        <w:t xml:space="preserve"> </w:t>
      </w:r>
      <w:r w:rsidRPr="00421896">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562052EA" w14:textId="77777777" w:rsidR="0014319F" w:rsidRPr="00421896" w:rsidRDefault="0014319F" w:rsidP="0014319F">
      <w:pPr>
        <w:pStyle w:val="Textonotapie"/>
        <w:ind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Concepto del 08 de mayo de 2018. Exp. 2.382. C.P. Álvaro Namén Vargas.</w:t>
      </w:r>
    </w:p>
  </w:footnote>
  <w:footnote w:id="19">
    <w:p w14:paraId="3119C5DB" w14:textId="77777777" w:rsidR="0014319F" w:rsidRPr="00421896" w:rsidRDefault="0014319F" w:rsidP="0014319F">
      <w:pPr>
        <w:pStyle w:val="Textonotapie"/>
        <w:ind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0">
    <w:p w14:paraId="44C83D26" w14:textId="77777777" w:rsidR="0014319F" w:rsidRPr="00421896" w:rsidRDefault="0014319F" w:rsidP="0014319F">
      <w:pPr>
        <w:spacing w:after="0" w:line="240" w:lineRule="auto"/>
        <w:ind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50DEA56F" w14:textId="77777777" w:rsidR="0014319F" w:rsidRPr="00421896" w:rsidRDefault="0014319F" w:rsidP="0014319F">
      <w:pPr>
        <w:pStyle w:val="Textonotapie"/>
        <w:ind w:right="51" w:firstLine="709"/>
        <w:jc w:val="both"/>
        <w:rPr>
          <w:rFonts w:ascii="Verdana" w:eastAsia="Times New Roman" w:hAnsi="Verdana" w:cs="Arial"/>
          <w:bCs/>
          <w:sz w:val="16"/>
          <w:szCs w:val="16"/>
          <w:lang w:eastAsia="x-none"/>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21896">
        <w:rPr>
          <w:rFonts w:ascii="Verdana" w:eastAsia="Times New Roman" w:hAnsi="Verdana" w:cs="Arial"/>
          <w:bCs/>
          <w:sz w:val="16"/>
          <w:szCs w:val="16"/>
          <w:lang w:eastAsia="x-none"/>
        </w:rPr>
        <w:t xml:space="preserve"> “</w:t>
      </w:r>
      <w:r w:rsidRPr="00421896">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21896">
        <w:rPr>
          <w:rFonts w:ascii="Verdana" w:eastAsia="Times New Roman" w:hAnsi="Verdana" w:cs="Arial"/>
          <w:bCs/>
          <w:sz w:val="16"/>
          <w:szCs w:val="16"/>
          <w:lang w:eastAsia="x-none"/>
        </w:rPr>
        <w:t>”.</w:t>
      </w:r>
    </w:p>
  </w:footnote>
  <w:footnote w:id="22">
    <w:p w14:paraId="087D69DF" w14:textId="77777777" w:rsidR="0014319F" w:rsidRPr="00421896" w:rsidRDefault="0014319F" w:rsidP="0014319F">
      <w:pPr>
        <w:spacing w:after="0" w:line="240" w:lineRule="auto"/>
        <w:ind w:firstLine="708"/>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3">
    <w:p w14:paraId="4E533B9F" w14:textId="77777777" w:rsidR="0014319F" w:rsidRPr="00421896" w:rsidRDefault="0014319F" w:rsidP="0014319F">
      <w:pPr>
        <w:pStyle w:val="Textonotapie"/>
        <w:ind w:right="51" w:firstLine="709"/>
        <w:jc w:val="both"/>
        <w:rPr>
          <w:rFonts w:ascii="Verdana" w:hAnsi="Verdana" w:cs="Arial"/>
          <w:sz w:val="16"/>
          <w:szCs w:val="16"/>
        </w:rPr>
      </w:pPr>
      <w:r w:rsidRPr="00421896">
        <w:rPr>
          <w:rStyle w:val="Refdenotaalpie"/>
          <w:rFonts w:ascii="Verdana" w:hAnsi="Verdana" w:cs="Arial"/>
          <w:sz w:val="16"/>
          <w:szCs w:val="16"/>
        </w:rPr>
        <w:footnoteRef/>
      </w:r>
      <w:r w:rsidRPr="00421896">
        <w:rPr>
          <w:rFonts w:ascii="Verdana" w:hAnsi="Verdana" w:cs="Arial"/>
          <w:sz w:val="16"/>
          <w:szCs w:val="16"/>
        </w:rPr>
        <w:t xml:space="preserve"> Consejo de Estado. Sala de Consulta y Servicio Civil, ídem.</w:t>
      </w:r>
    </w:p>
  </w:footnote>
  <w:footnote w:id="24">
    <w:p w14:paraId="6A2311A9" w14:textId="77777777" w:rsidR="0014319F" w:rsidRPr="00421896" w:rsidRDefault="0014319F" w:rsidP="0014319F">
      <w:pPr>
        <w:pStyle w:val="Textonotapie"/>
        <w:ind w:firstLine="709"/>
        <w:jc w:val="both"/>
        <w:rPr>
          <w:rFonts w:ascii="Verdana" w:hAnsi="Verdana"/>
          <w:sz w:val="16"/>
          <w:szCs w:val="16"/>
          <w:lang w:val="es-CO"/>
        </w:rPr>
      </w:pPr>
      <w:r w:rsidRPr="00421896">
        <w:rPr>
          <w:rStyle w:val="Refdenotaalpie"/>
          <w:rFonts w:ascii="Verdana" w:hAnsi="Verdana"/>
          <w:sz w:val="16"/>
          <w:szCs w:val="16"/>
        </w:rPr>
        <w:footnoteRef/>
      </w:r>
      <w:r w:rsidRPr="00421896">
        <w:rPr>
          <w:rFonts w:ascii="Verdana" w:hAnsi="Verdana"/>
          <w:sz w:val="16"/>
          <w:szCs w:val="16"/>
        </w:rPr>
        <w:t xml:space="preserve"> Consejo de Estado. Sección Segunda. Sentencia del 27 de noviembre de 2014. Radicado No. 3222-13. C.P: Gerardo Arenas Monsalve. Disponible en: </w:t>
      </w:r>
      <w:hyperlink r:id="rId1" w:history="1">
        <w:r w:rsidRPr="00421896">
          <w:rPr>
            <w:rStyle w:val="Hipervnculo"/>
            <w:rFonts w:ascii="Verdana" w:hAnsi="Verdana"/>
            <w:sz w:val="16"/>
            <w:szCs w:val="16"/>
          </w:rPr>
          <w:t>https://www.consejodeestado.gov.co/documentos/boletines/159/S2/05001-23-33-000-2012-00275-01%20(3222-2013).pdf</w:t>
        </w:r>
      </w:hyperlink>
      <w:r w:rsidRPr="00421896">
        <w:rPr>
          <w:rFonts w:ascii="Verdana" w:hAnsi="Verdana"/>
          <w:sz w:val="16"/>
          <w:szCs w:val="16"/>
        </w:rPr>
        <w:t xml:space="preserve"> </w:t>
      </w:r>
    </w:p>
  </w:footnote>
  <w:footnote w:id="25">
    <w:p w14:paraId="5E69647F" w14:textId="77777777" w:rsidR="0014319F" w:rsidRPr="00421896" w:rsidRDefault="0014319F" w:rsidP="0014319F">
      <w:pPr>
        <w:pStyle w:val="Textonotapie"/>
        <w:ind w:firstLine="709"/>
        <w:jc w:val="both"/>
        <w:rPr>
          <w:rFonts w:ascii="Verdana" w:hAnsi="Verdana"/>
          <w:sz w:val="16"/>
          <w:szCs w:val="16"/>
          <w:lang w:val="es-CO"/>
        </w:rPr>
      </w:pPr>
      <w:r w:rsidRPr="00421896">
        <w:rPr>
          <w:rStyle w:val="Refdenotaalpie"/>
          <w:rFonts w:ascii="Verdana" w:hAnsi="Verdana"/>
          <w:sz w:val="16"/>
          <w:szCs w:val="16"/>
        </w:rPr>
        <w:footnoteRef/>
      </w:r>
      <w:r w:rsidRPr="00421896">
        <w:rPr>
          <w:rFonts w:ascii="Verdana" w:hAnsi="Verdana"/>
          <w:sz w:val="16"/>
          <w:szCs w:val="16"/>
          <w:lang w:val="es-CO"/>
        </w:rPr>
        <w:t xml:space="preserve">Concepto 357441 de 2021. Departamento Administrativo de la Función Pública. Disponible en: </w:t>
      </w:r>
      <w:hyperlink r:id="rId2" w:history="1">
        <w:r w:rsidRPr="00421896">
          <w:rPr>
            <w:rStyle w:val="Hipervnculo"/>
            <w:rFonts w:ascii="Verdana" w:hAnsi="Verdana"/>
            <w:sz w:val="16"/>
            <w:szCs w:val="16"/>
            <w:lang w:val="es-CO"/>
          </w:rPr>
          <w:t>https://www.funcionpublica.gov.co/eva/gestornormativo/norma.php?i=174086</w:t>
        </w:r>
      </w:hyperlink>
      <w:r w:rsidRPr="00421896">
        <w:rPr>
          <w:rFonts w:ascii="Verdana" w:hAnsi="Verdana"/>
          <w:sz w:val="16"/>
          <w:szCs w:val="16"/>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970"/>
    <w:rsid w:val="00005E1E"/>
    <w:rsid w:val="00013201"/>
    <w:rsid w:val="00014D9E"/>
    <w:rsid w:val="00016F78"/>
    <w:rsid w:val="0002029B"/>
    <w:rsid w:val="00020484"/>
    <w:rsid w:val="000227CC"/>
    <w:rsid w:val="000229C3"/>
    <w:rsid w:val="00023ADC"/>
    <w:rsid w:val="00031855"/>
    <w:rsid w:val="00035438"/>
    <w:rsid w:val="00040801"/>
    <w:rsid w:val="00042705"/>
    <w:rsid w:val="000466BD"/>
    <w:rsid w:val="00046945"/>
    <w:rsid w:val="0005195F"/>
    <w:rsid w:val="00052B57"/>
    <w:rsid w:val="0005321B"/>
    <w:rsid w:val="000547F7"/>
    <w:rsid w:val="0006061C"/>
    <w:rsid w:val="00061547"/>
    <w:rsid w:val="00061B2A"/>
    <w:rsid w:val="000673BA"/>
    <w:rsid w:val="00071189"/>
    <w:rsid w:val="00071D46"/>
    <w:rsid w:val="00074CDA"/>
    <w:rsid w:val="00081B47"/>
    <w:rsid w:val="00082362"/>
    <w:rsid w:val="00082F90"/>
    <w:rsid w:val="0008354C"/>
    <w:rsid w:val="000838BA"/>
    <w:rsid w:val="0009030A"/>
    <w:rsid w:val="000920EA"/>
    <w:rsid w:val="00092DCC"/>
    <w:rsid w:val="00095642"/>
    <w:rsid w:val="000A2543"/>
    <w:rsid w:val="000A50F2"/>
    <w:rsid w:val="000A683E"/>
    <w:rsid w:val="000A6D90"/>
    <w:rsid w:val="000B19B9"/>
    <w:rsid w:val="000B3DFD"/>
    <w:rsid w:val="000C6432"/>
    <w:rsid w:val="000D0334"/>
    <w:rsid w:val="000D15E3"/>
    <w:rsid w:val="000D5DA7"/>
    <w:rsid w:val="000E3C0C"/>
    <w:rsid w:val="000F131D"/>
    <w:rsid w:val="000F6486"/>
    <w:rsid w:val="00106C80"/>
    <w:rsid w:val="001078E9"/>
    <w:rsid w:val="001131F7"/>
    <w:rsid w:val="0011331B"/>
    <w:rsid w:val="00116940"/>
    <w:rsid w:val="00125105"/>
    <w:rsid w:val="001263B8"/>
    <w:rsid w:val="00127233"/>
    <w:rsid w:val="00127865"/>
    <w:rsid w:val="00130F92"/>
    <w:rsid w:val="00132DDE"/>
    <w:rsid w:val="00132F35"/>
    <w:rsid w:val="0013793B"/>
    <w:rsid w:val="0014319F"/>
    <w:rsid w:val="00151EE6"/>
    <w:rsid w:val="001525FE"/>
    <w:rsid w:val="0015683D"/>
    <w:rsid w:val="0015699B"/>
    <w:rsid w:val="00160992"/>
    <w:rsid w:val="00161946"/>
    <w:rsid w:val="0016386A"/>
    <w:rsid w:val="00186559"/>
    <w:rsid w:val="00192440"/>
    <w:rsid w:val="00196525"/>
    <w:rsid w:val="001A0022"/>
    <w:rsid w:val="001A0BF2"/>
    <w:rsid w:val="001A2CE0"/>
    <w:rsid w:val="001A33BF"/>
    <w:rsid w:val="001B04E1"/>
    <w:rsid w:val="001B2220"/>
    <w:rsid w:val="001B40D7"/>
    <w:rsid w:val="001C02BF"/>
    <w:rsid w:val="001C1076"/>
    <w:rsid w:val="001C347D"/>
    <w:rsid w:val="001C4466"/>
    <w:rsid w:val="001C4CF0"/>
    <w:rsid w:val="001C7A3B"/>
    <w:rsid w:val="001E4177"/>
    <w:rsid w:val="001F0A93"/>
    <w:rsid w:val="001F0B24"/>
    <w:rsid w:val="001F0C0A"/>
    <w:rsid w:val="001F3BFF"/>
    <w:rsid w:val="001F7DC6"/>
    <w:rsid w:val="0020131C"/>
    <w:rsid w:val="0020697A"/>
    <w:rsid w:val="002112C9"/>
    <w:rsid w:val="0021326C"/>
    <w:rsid w:val="002133AC"/>
    <w:rsid w:val="00214C78"/>
    <w:rsid w:val="002151B7"/>
    <w:rsid w:val="00220E51"/>
    <w:rsid w:val="00222418"/>
    <w:rsid w:val="0022400B"/>
    <w:rsid w:val="00225635"/>
    <w:rsid w:val="0022674B"/>
    <w:rsid w:val="002421BB"/>
    <w:rsid w:val="002439E8"/>
    <w:rsid w:val="0025796E"/>
    <w:rsid w:val="0026347A"/>
    <w:rsid w:val="002707A2"/>
    <w:rsid w:val="00274D92"/>
    <w:rsid w:val="0027500F"/>
    <w:rsid w:val="00275223"/>
    <w:rsid w:val="00285515"/>
    <w:rsid w:val="002951A0"/>
    <w:rsid w:val="002962BC"/>
    <w:rsid w:val="002979E2"/>
    <w:rsid w:val="002A093D"/>
    <w:rsid w:val="002A0DD0"/>
    <w:rsid w:val="002A1EB4"/>
    <w:rsid w:val="002A49AC"/>
    <w:rsid w:val="002A64FD"/>
    <w:rsid w:val="002B1D41"/>
    <w:rsid w:val="002C002B"/>
    <w:rsid w:val="002C1DC7"/>
    <w:rsid w:val="002C3456"/>
    <w:rsid w:val="002C7024"/>
    <w:rsid w:val="002C7A84"/>
    <w:rsid w:val="002E2BF8"/>
    <w:rsid w:val="002E43EA"/>
    <w:rsid w:val="002E4FD9"/>
    <w:rsid w:val="002E61CB"/>
    <w:rsid w:val="002F0013"/>
    <w:rsid w:val="002F10C0"/>
    <w:rsid w:val="00301509"/>
    <w:rsid w:val="003040E1"/>
    <w:rsid w:val="0030657A"/>
    <w:rsid w:val="003147A3"/>
    <w:rsid w:val="00322A85"/>
    <w:rsid w:val="00322B0F"/>
    <w:rsid w:val="00322EC5"/>
    <w:rsid w:val="00324168"/>
    <w:rsid w:val="00326C00"/>
    <w:rsid w:val="00330834"/>
    <w:rsid w:val="003448F4"/>
    <w:rsid w:val="00354826"/>
    <w:rsid w:val="00364792"/>
    <w:rsid w:val="00371077"/>
    <w:rsid w:val="00372C6B"/>
    <w:rsid w:val="00374F5E"/>
    <w:rsid w:val="0037544F"/>
    <w:rsid w:val="0037556D"/>
    <w:rsid w:val="00375627"/>
    <w:rsid w:val="00377E3E"/>
    <w:rsid w:val="003820DF"/>
    <w:rsid w:val="00383B65"/>
    <w:rsid w:val="0038750C"/>
    <w:rsid w:val="00390276"/>
    <w:rsid w:val="00391D58"/>
    <w:rsid w:val="003948B6"/>
    <w:rsid w:val="003A4E06"/>
    <w:rsid w:val="003A779E"/>
    <w:rsid w:val="003B33D4"/>
    <w:rsid w:val="003C085E"/>
    <w:rsid w:val="003C6845"/>
    <w:rsid w:val="003D0F4D"/>
    <w:rsid w:val="003D1B64"/>
    <w:rsid w:val="003D5B0D"/>
    <w:rsid w:val="003D6606"/>
    <w:rsid w:val="003D7438"/>
    <w:rsid w:val="003E0499"/>
    <w:rsid w:val="003E106F"/>
    <w:rsid w:val="003E4F80"/>
    <w:rsid w:val="003E6439"/>
    <w:rsid w:val="003E735B"/>
    <w:rsid w:val="003F0CFC"/>
    <w:rsid w:val="003F23A3"/>
    <w:rsid w:val="003F3941"/>
    <w:rsid w:val="003F5118"/>
    <w:rsid w:val="003F5802"/>
    <w:rsid w:val="003F614D"/>
    <w:rsid w:val="00406575"/>
    <w:rsid w:val="00407DAB"/>
    <w:rsid w:val="00410798"/>
    <w:rsid w:val="00411BDC"/>
    <w:rsid w:val="0041308F"/>
    <w:rsid w:val="0041459A"/>
    <w:rsid w:val="0041468A"/>
    <w:rsid w:val="00414C74"/>
    <w:rsid w:val="00421896"/>
    <w:rsid w:val="00421E16"/>
    <w:rsid w:val="0042722E"/>
    <w:rsid w:val="00441CBA"/>
    <w:rsid w:val="00442171"/>
    <w:rsid w:val="00443369"/>
    <w:rsid w:val="0044391D"/>
    <w:rsid w:val="0044528D"/>
    <w:rsid w:val="00446315"/>
    <w:rsid w:val="00447D68"/>
    <w:rsid w:val="00453F09"/>
    <w:rsid w:val="00454929"/>
    <w:rsid w:val="00460A3E"/>
    <w:rsid w:val="00466E39"/>
    <w:rsid w:val="00467A2E"/>
    <w:rsid w:val="004802F4"/>
    <w:rsid w:val="004826B6"/>
    <w:rsid w:val="004853E9"/>
    <w:rsid w:val="0049280A"/>
    <w:rsid w:val="00494A81"/>
    <w:rsid w:val="0049672E"/>
    <w:rsid w:val="004A1009"/>
    <w:rsid w:val="004A1847"/>
    <w:rsid w:val="004A305D"/>
    <w:rsid w:val="004A5FF0"/>
    <w:rsid w:val="004A6106"/>
    <w:rsid w:val="004B3CA4"/>
    <w:rsid w:val="004B6F8F"/>
    <w:rsid w:val="004D21F3"/>
    <w:rsid w:val="004D249E"/>
    <w:rsid w:val="004D516B"/>
    <w:rsid w:val="004E615E"/>
    <w:rsid w:val="004F21C4"/>
    <w:rsid w:val="004F685F"/>
    <w:rsid w:val="00500CF5"/>
    <w:rsid w:val="00504FBE"/>
    <w:rsid w:val="00505F89"/>
    <w:rsid w:val="00511259"/>
    <w:rsid w:val="0051328D"/>
    <w:rsid w:val="0051728F"/>
    <w:rsid w:val="005173C4"/>
    <w:rsid w:val="005254E6"/>
    <w:rsid w:val="0053094D"/>
    <w:rsid w:val="005326AB"/>
    <w:rsid w:val="0054375A"/>
    <w:rsid w:val="00555728"/>
    <w:rsid w:val="005566E8"/>
    <w:rsid w:val="00556C7F"/>
    <w:rsid w:val="00560E6B"/>
    <w:rsid w:val="00561941"/>
    <w:rsid w:val="00562442"/>
    <w:rsid w:val="00562602"/>
    <w:rsid w:val="005675BF"/>
    <w:rsid w:val="005725D2"/>
    <w:rsid w:val="00572A8C"/>
    <w:rsid w:val="00574867"/>
    <w:rsid w:val="00576B1A"/>
    <w:rsid w:val="00584079"/>
    <w:rsid w:val="005846EA"/>
    <w:rsid w:val="0058618A"/>
    <w:rsid w:val="00586F81"/>
    <w:rsid w:val="0059023C"/>
    <w:rsid w:val="00590E89"/>
    <w:rsid w:val="00591460"/>
    <w:rsid w:val="00591700"/>
    <w:rsid w:val="00591C5C"/>
    <w:rsid w:val="00593BF1"/>
    <w:rsid w:val="0059527A"/>
    <w:rsid w:val="005A26A0"/>
    <w:rsid w:val="005A2F05"/>
    <w:rsid w:val="005A65E0"/>
    <w:rsid w:val="005B098B"/>
    <w:rsid w:val="005B2C0B"/>
    <w:rsid w:val="005B3052"/>
    <w:rsid w:val="005B6132"/>
    <w:rsid w:val="005C3777"/>
    <w:rsid w:val="005C5CDC"/>
    <w:rsid w:val="005D2856"/>
    <w:rsid w:val="005D2ED3"/>
    <w:rsid w:val="005D476C"/>
    <w:rsid w:val="005D497E"/>
    <w:rsid w:val="005E7D8A"/>
    <w:rsid w:val="005F61CE"/>
    <w:rsid w:val="006037DF"/>
    <w:rsid w:val="00610829"/>
    <w:rsid w:val="00612C39"/>
    <w:rsid w:val="00613744"/>
    <w:rsid w:val="00617654"/>
    <w:rsid w:val="006200BF"/>
    <w:rsid w:val="006204DF"/>
    <w:rsid w:val="00621799"/>
    <w:rsid w:val="006219F8"/>
    <w:rsid w:val="006302F7"/>
    <w:rsid w:val="006369B3"/>
    <w:rsid w:val="006415FB"/>
    <w:rsid w:val="006455F3"/>
    <w:rsid w:val="00646B9F"/>
    <w:rsid w:val="00662C94"/>
    <w:rsid w:val="006638D4"/>
    <w:rsid w:val="00664C7E"/>
    <w:rsid w:val="00665D70"/>
    <w:rsid w:val="00677134"/>
    <w:rsid w:val="00681F30"/>
    <w:rsid w:val="00683CD6"/>
    <w:rsid w:val="00684307"/>
    <w:rsid w:val="006900D9"/>
    <w:rsid w:val="006918E2"/>
    <w:rsid w:val="00692589"/>
    <w:rsid w:val="00694F2A"/>
    <w:rsid w:val="00697556"/>
    <w:rsid w:val="006B1C1F"/>
    <w:rsid w:val="006C2D59"/>
    <w:rsid w:val="006C3C02"/>
    <w:rsid w:val="006C7D04"/>
    <w:rsid w:val="006D18EF"/>
    <w:rsid w:val="006E2D58"/>
    <w:rsid w:val="006E7646"/>
    <w:rsid w:val="006F3792"/>
    <w:rsid w:val="006F6F2F"/>
    <w:rsid w:val="006F73F6"/>
    <w:rsid w:val="00700FC1"/>
    <w:rsid w:val="00706C16"/>
    <w:rsid w:val="00712DFD"/>
    <w:rsid w:val="007173F3"/>
    <w:rsid w:val="00720881"/>
    <w:rsid w:val="007222D6"/>
    <w:rsid w:val="00727348"/>
    <w:rsid w:val="00727CD7"/>
    <w:rsid w:val="007340C3"/>
    <w:rsid w:val="00746BE7"/>
    <w:rsid w:val="0075226F"/>
    <w:rsid w:val="0075235A"/>
    <w:rsid w:val="00752E9E"/>
    <w:rsid w:val="0075563F"/>
    <w:rsid w:val="00756841"/>
    <w:rsid w:val="007577B7"/>
    <w:rsid w:val="007649AB"/>
    <w:rsid w:val="00765900"/>
    <w:rsid w:val="00766D7E"/>
    <w:rsid w:val="007676BE"/>
    <w:rsid w:val="00771747"/>
    <w:rsid w:val="00771CCA"/>
    <w:rsid w:val="00771D0C"/>
    <w:rsid w:val="0077223C"/>
    <w:rsid w:val="007759EA"/>
    <w:rsid w:val="00781B23"/>
    <w:rsid w:val="00782142"/>
    <w:rsid w:val="007833AC"/>
    <w:rsid w:val="00793AC1"/>
    <w:rsid w:val="0079605D"/>
    <w:rsid w:val="007A0A4B"/>
    <w:rsid w:val="007B268C"/>
    <w:rsid w:val="007B2BC2"/>
    <w:rsid w:val="007B7171"/>
    <w:rsid w:val="007C01B9"/>
    <w:rsid w:val="007C0C0F"/>
    <w:rsid w:val="007C2D7D"/>
    <w:rsid w:val="007C3DC2"/>
    <w:rsid w:val="007D1115"/>
    <w:rsid w:val="007D4B2E"/>
    <w:rsid w:val="007D57F7"/>
    <w:rsid w:val="007E0520"/>
    <w:rsid w:val="007E1089"/>
    <w:rsid w:val="007E369C"/>
    <w:rsid w:val="007E5212"/>
    <w:rsid w:val="007E5497"/>
    <w:rsid w:val="007F431E"/>
    <w:rsid w:val="007F494F"/>
    <w:rsid w:val="007F7F54"/>
    <w:rsid w:val="008036B4"/>
    <w:rsid w:val="00806F5F"/>
    <w:rsid w:val="0081175D"/>
    <w:rsid w:val="0081373F"/>
    <w:rsid w:val="00816000"/>
    <w:rsid w:val="00816A91"/>
    <w:rsid w:val="00820278"/>
    <w:rsid w:val="008258C9"/>
    <w:rsid w:val="008318E9"/>
    <w:rsid w:val="00832214"/>
    <w:rsid w:val="00834510"/>
    <w:rsid w:val="00834C77"/>
    <w:rsid w:val="0084002A"/>
    <w:rsid w:val="00840E4B"/>
    <w:rsid w:val="00844AE9"/>
    <w:rsid w:val="00846D07"/>
    <w:rsid w:val="00861E32"/>
    <w:rsid w:val="00865796"/>
    <w:rsid w:val="00867CBD"/>
    <w:rsid w:val="00867F95"/>
    <w:rsid w:val="008717DA"/>
    <w:rsid w:val="0087320F"/>
    <w:rsid w:val="00875B69"/>
    <w:rsid w:val="008778A4"/>
    <w:rsid w:val="008843B6"/>
    <w:rsid w:val="00887563"/>
    <w:rsid w:val="00890CF6"/>
    <w:rsid w:val="00891928"/>
    <w:rsid w:val="0089694D"/>
    <w:rsid w:val="008A446D"/>
    <w:rsid w:val="008A45F0"/>
    <w:rsid w:val="008A56A7"/>
    <w:rsid w:val="008A5A78"/>
    <w:rsid w:val="008B0077"/>
    <w:rsid w:val="008B0E75"/>
    <w:rsid w:val="008B25F1"/>
    <w:rsid w:val="008C17CB"/>
    <w:rsid w:val="008C26BE"/>
    <w:rsid w:val="008C71EE"/>
    <w:rsid w:val="008C7945"/>
    <w:rsid w:val="008D180B"/>
    <w:rsid w:val="008D2A2F"/>
    <w:rsid w:val="008D531B"/>
    <w:rsid w:val="008E12F2"/>
    <w:rsid w:val="008E492D"/>
    <w:rsid w:val="008E55E5"/>
    <w:rsid w:val="008F035A"/>
    <w:rsid w:val="008F0EA7"/>
    <w:rsid w:val="008F436F"/>
    <w:rsid w:val="00902F1C"/>
    <w:rsid w:val="00903D5F"/>
    <w:rsid w:val="009054DF"/>
    <w:rsid w:val="00910271"/>
    <w:rsid w:val="00911906"/>
    <w:rsid w:val="0091487B"/>
    <w:rsid w:val="009207CE"/>
    <w:rsid w:val="00920D5B"/>
    <w:rsid w:val="00923EEF"/>
    <w:rsid w:val="00926E3D"/>
    <w:rsid w:val="00930075"/>
    <w:rsid w:val="0093137C"/>
    <w:rsid w:val="00934F4F"/>
    <w:rsid w:val="0094099A"/>
    <w:rsid w:val="009419F9"/>
    <w:rsid w:val="009433C7"/>
    <w:rsid w:val="00944446"/>
    <w:rsid w:val="00955709"/>
    <w:rsid w:val="0095685E"/>
    <w:rsid w:val="00957615"/>
    <w:rsid w:val="00961B09"/>
    <w:rsid w:val="00965334"/>
    <w:rsid w:val="0097093E"/>
    <w:rsid w:val="00970FE4"/>
    <w:rsid w:val="0097436F"/>
    <w:rsid w:val="009777FA"/>
    <w:rsid w:val="009800F8"/>
    <w:rsid w:val="00985C8C"/>
    <w:rsid w:val="009877D7"/>
    <w:rsid w:val="00987C44"/>
    <w:rsid w:val="009933D4"/>
    <w:rsid w:val="009948A2"/>
    <w:rsid w:val="0099559C"/>
    <w:rsid w:val="009A0DFA"/>
    <w:rsid w:val="009A139E"/>
    <w:rsid w:val="009A1C6F"/>
    <w:rsid w:val="009B02D6"/>
    <w:rsid w:val="009B0E84"/>
    <w:rsid w:val="009B1C30"/>
    <w:rsid w:val="009B2D26"/>
    <w:rsid w:val="009B4037"/>
    <w:rsid w:val="009B604C"/>
    <w:rsid w:val="009C1F94"/>
    <w:rsid w:val="009C37BE"/>
    <w:rsid w:val="009C71FA"/>
    <w:rsid w:val="009C72E7"/>
    <w:rsid w:val="009C7F7E"/>
    <w:rsid w:val="009D3058"/>
    <w:rsid w:val="009D36B8"/>
    <w:rsid w:val="009F27D8"/>
    <w:rsid w:val="009F3A13"/>
    <w:rsid w:val="009F685C"/>
    <w:rsid w:val="009F7AD6"/>
    <w:rsid w:val="00A00289"/>
    <w:rsid w:val="00A02EAA"/>
    <w:rsid w:val="00A03375"/>
    <w:rsid w:val="00A060B6"/>
    <w:rsid w:val="00A11160"/>
    <w:rsid w:val="00A122D3"/>
    <w:rsid w:val="00A14468"/>
    <w:rsid w:val="00A17F13"/>
    <w:rsid w:val="00A2030D"/>
    <w:rsid w:val="00A20739"/>
    <w:rsid w:val="00A23AF9"/>
    <w:rsid w:val="00A23DBA"/>
    <w:rsid w:val="00A316D6"/>
    <w:rsid w:val="00A32BE2"/>
    <w:rsid w:val="00A332C8"/>
    <w:rsid w:val="00A33C78"/>
    <w:rsid w:val="00A3402F"/>
    <w:rsid w:val="00A43116"/>
    <w:rsid w:val="00A43159"/>
    <w:rsid w:val="00A45853"/>
    <w:rsid w:val="00A53532"/>
    <w:rsid w:val="00A53FD7"/>
    <w:rsid w:val="00A554C9"/>
    <w:rsid w:val="00A575FE"/>
    <w:rsid w:val="00A63DCC"/>
    <w:rsid w:val="00A7048F"/>
    <w:rsid w:val="00A7422C"/>
    <w:rsid w:val="00A90095"/>
    <w:rsid w:val="00A92EC3"/>
    <w:rsid w:val="00A95FDD"/>
    <w:rsid w:val="00A960E5"/>
    <w:rsid w:val="00AA63B5"/>
    <w:rsid w:val="00AB0ADB"/>
    <w:rsid w:val="00AB202A"/>
    <w:rsid w:val="00AB7579"/>
    <w:rsid w:val="00AC15E8"/>
    <w:rsid w:val="00AC3148"/>
    <w:rsid w:val="00AD50C5"/>
    <w:rsid w:val="00AD6C81"/>
    <w:rsid w:val="00AE07D1"/>
    <w:rsid w:val="00AF183B"/>
    <w:rsid w:val="00AF1BE5"/>
    <w:rsid w:val="00B00C0E"/>
    <w:rsid w:val="00B01B1A"/>
    <w:rsid w:val="00B0381D"/>
    <w:rsid w:val="00B060A3"/>
    <w:rsid w:val="00B134F0"/>
    <w:rsid w:val="00B140D0"/>
    <w:rsid w:val="00B23C64"/>
    <w:rsid w:val="00B249E1"/>
    <w:rsid w:val="00B32038"/>
    <w:rsid w:val="00B32FE7"/>
    <w:rsid w:val="00B37969"/>
    <w:rsid w:val="00B44A47"/>
    <w:rsid w:val="00B45858"/>
    <w:rsid w:val="00B472FB"/>
    <w:rsid w:val="00B521DF"/>
    <w:rsid w:val="00B65261"/>
    <w:rsid w:val="00B656F8"/>
    <w:rsid w:val="00B714B0"/>
    <w:rsid w:val="00B72CD3"/>
    <w:rsid w:val="00B72E30"/>
    <w:rsid w:val="00B72FFF"/>
    <w:rsid w:val="00B75AC7"/>
    <w:rsid w:val="00B75E0D"/>
    <w:rsid w:val="00B81EAA"/>
    <w:rsid w:val="00B836B6"/>
    <w:rsid w:val="00B85A64"/>
    <w:rsid w:val="00B8691F"/>
    <w:rsid w:val="00B92201"/>
    <w:rsid w:val="00BA1D42"/>
    <w:rsid w:val="00BA46C9"/>
    <w:rsid w:val="00BA4C3B"/>
    <w:rsid w:val="00BA5A57"/>
    <w:rsid w:val="00BA6EF7"/>
    <w:rsid w:val="00BB4382"/>
    <w:rsid w:val="00BB43C2"/>
    <w:rsid w:val="00BC3C46"/>
    <w:rsid w:val="00BC3D36"/>
    <w:rsid w:val="00BC4B58"/>
    <w:rsid w:val="00BD4350"/>
    <w:rsid w:val="00BD54A6"/>
    <w:rsid w:val="00BD7F72"/>
    <w:rsid w:val="00BE36EC"/>
    <w:rsid w:val="00BF04BB"/>
    <w:rsid w:val="00BF2144"/>
    <w:rsid w:val="00BF4F0E"/>
    <w:rsid w:val="00BF7425"/>
    <w:rsid w:val="00C00897"/>
    <w:rsid w:val="00C04FB3"/>
    <w:rsid w:val="00C0526B"/>
    <w:rsid w:val="00C0783E"/>
    <w:rsid w:val="00C103BE"/>
    <w:rsid w:val="00C11D8B"/>
    <w:rsid w:val="00C15139"/>
    <w:rsid w:val="00C16A37"/>
    <w:rsid w:val="00C200AD"/>
    <w:rsid w:val="00C222DC"/>
    <w:rsid w:val="00C2547E"/>
    <w:rsid w:val="00C3001A"/>
    <w:rsid w:val="00C330EB"/>
    <w:rsid w:val="00C413E9"/>
    <w:rsid w:val="00C41DE8"/>
    <w:rsid w:val="00C43584"/>
    <w:rsid w:val="00C44F26"/>
    <w:rsid w:val="00C50D69"/>
    <w:rsid w:val="00C5151D"/>
    <w:rsid w:val="00C52196"/>
    <w:rsid w:val="00C5365C"/>
    <w:rsid w:val="00C54178"/>
    <w:rsid w:val="00C541CA"/>
    <w:rsid w:val="00C546CC"/>
    <w:rsid w:val="00C55BDE"/>
    <w:rsid w:val="00C60BDB"/>
    <w:rsid w:val="00C708C9"/>
    <w:rsid w:val="00C72A81"/>
    <w:rsid w:val="00C754BE"/>
    <w:rsid w:val="00C76B1C"/>
    <w:rsid w:val="00C835AD"/>
    <w:rsid w:val="00C851C7"/>
    <w:rsid w:val="00C85FB6"/>
    <w:rsid w:val="00C925AC"/>
    <w:rsid w:val="00CA7C8E"/>
    <w:rsid w:val="00CB151F"/>
    <w:rsid w:val="00CB1D05"/>
    <w:rsid w:val="00CB24C0"/>
    <w:rsid w:val="00CB2C54"/>
    <w:rsid w:val="00CB6357"/>
    <w:rsid w:val="00CB6E42"/>
    <w:rsid w:val="00CB7F0D"/>
    <w:rsid w:val="00CC1B26"/>
    <w:rsid w:val="00CC2634"/>
    <w:rsid w:val="00CC2FD7"/>
    <w:rsid w:val="00CC3788"/>
    <w:rsid w:val="00CC629E"/>
    <w:rsid w:val="00CE3F9C"/>
    <w:rsid w:val="00CE42E8"/>
    <w:rsid w:val="00CE4C69"/>
    <w:rsid w:val="00CE58AD"/>
    <w:rsid w:val="00CF01D4"/>
    <w:rsid w:val="00CF1330"/>
    <w:rsid w:val="00CF2943"/>
    <w:rsid w:val="00CF29BA"/>
    <w:rsid w:val="00CF3D86"/>
    <w:rsid w:val="00CF4966"/>
    <w:rsid w:val="00CF6300"/>
    <w:rsid w:val="00D00C49"/>
    <w:rsid w:val="00D03E03"/>
    <w:rsid w:val="00D05B9F"/>
    <w:rsid w:val="00D07733"/>
    <w:rsid w:val="00D100C8"/>
    <w:rsid w:val="00D14BC3"/>
    <w:rsid w:val="00D16B34"/>
    <w:rsid w:val="00D177E6"/>
    <w:rsid w:val="00D201E9"/>
    <w:rsid w:val="00D25E73"/>
    <w:rsid w:val="00D26B56"/>
    <w:rsid w:val="00D27094"/>
    <w:rsid w:val="00D302D9"/>
    <w:rsid w:val="00D323D9"/>
    <w:rsid w:val="00D361FD"/>
    <w:rsid w:val="00D414FE"/>
    <w:rsid w:val="00D423A2"/>
    <w:rsid w:val="00D44844"/>
    <w:rsid w:val="00D44E26"/>
    <w:rsid w:val="00D460D0"/>
    <w:rsid w:val="00D50358"/>
    <w:rsid w:val="00D520D8"/>
    <w:rsid w:val="00D53326"/>
    <w:rsid w:val="00D63AC2"/>
    <w:rsid w:val="00D7383B"/>
    <w:rsid w:val="00D73BAF"/>
    <w:rsid w:val="00D7788A"/>
    <w:rsid w:val="00D82C96"/>
    <w:rsid w:val="00D834DB"/>
    <w:rsid w:val="00D858E0"/>
    <w:rsid w:val="00D86219"/>
    <w:rsid w:val="00D86621"/>
    <w:rsid w:val="00D86A04"/>
    <w:rsid w:val="00D87A3C"/>
    <w:rsid w:val="00D9340A"/>
    <w:rsid w:val="00D944D7"/>
    <w:rsid w:val="00D94D77"/>
    <w:rsid w:val="00D97CCD"/>
    <w:rsid w:val="00DA02A1"/>
    <w:rsid w:val="00DA1FBF"/>
    <w:rsid w:val="00DA231B"/>
    <w:rsid w:val="00DA3609"/>
    <w:rsid w:val="00DA39A2"/>
    <w:rsid w:val="00DA4A00"/>
    <w:rsid w:val="00DB2058"/>
    <w:rsid w:val="00DB2E63"/>
    <w:rsid w:val="00DB3172"/>
    <w:rsid w:val="00DB4AFD"/>
    <w:rsid w:val="00DC0256"/>
    <w:rsid w:val="00DC2676"/>
    <w:rsid w:val="00DC38B2"/>
    <w:rsid w:val="00DC39FC"/>
    <w:rsid w:val="00DC755D"/>
    <w:rsid w:val="00DC75CA"/>
    <w:rsid w:val="00DD465A"/>
    <w:rsid w:val="00DE440E"/>
    <w:rsid w:val="00DE4943"/>
    <w:rsid w:val="00DE5FC8"/>
    <w:rsid w:val="00DE665A"/>
    <w:rsid w:val="00DE79ED"/>
    <w:rsid w:val="00DF5254"/>
    <w:rsid w:val="00E02524"/>
    <w:rsid w:val="00E07A6B"/>
    <w:rsid w:val="00E1209B"/>
    <w:rsid w:val="00E13BCD"/>
    <w:rsid w:val="00E151A6"/>
    <w:rsid w:val="00E15C40"/>
    <w:rsid w:val="00E16408"/>
    <w:rsid w:val="00E17769"/>
    <w:rsid w:val="00E20894"/>
    <w:rsid w:val="00E245AB"/>
    <w:rsid w:val="00E27291"/>
    <w:rsid w:val="00E2764C"/>
    <w:rsid w:val="00E27660"/>
    <w:rsid w:val="00E27F2E"/>
    <w:rsid w:val="00E305EE"/>
    <w:rsid w:val="00E32AC2"/>
    <w:rsid w:val="00E34014"/>
    <w:rsid w:val="00E36176"/>
    <w:rsid w:val="00E420D8"/>
    <w:rsid w:val="00E42EFA"/>
    <w:rsid w:val="00E46B80"/>
    <w:rsid w:val="00E50AFE"/>
    <w:rsid w:val="00E51371"/>
    <w:rsid w:val="00E52B16"/>
    <w:rsid w:val="00E53399"/>
    <w:rsid w:val="00E70CAF"/>
    <w:rsid w:val="00E75C92"/>
    <w:rsid w:val="00E771DC"/>
    <w:rsid w:val="00E7754D"/>
    <w:rsid w:val="00E814E8"/>
    <w:rsid w:val="00E826C6"/>
    <w:rsid w:val="00E84EEF"/>
    <w:rsid w:val="00E86265"/>
    <w:rsid w:val="00E8772A"/>
    <w:rsid w:val="00E90F6B"/>
    <w:rsid w:val="00E91F51"/>
    <w:rsid w:val="00E92C27"/>
    <w:rsid w:val="00E92CEB"/>
    <w:rsid w:val="00E93496"/>
    <w:rsid w:val="00EA0E3D"/>
    <w:rsid w:val="00EA1180"/>
    <w:rsid w:val="00EB394E"/>
    <w:rsid w:val="00EB5A8E"/>
    <w:rsid w:val="00EC0561"/>
    <w:rsid w:val="00EC214E"/>
    <w:rsid w:val="00EC38A7"/>
    <w:rsid w:val="00EC74E9"/>
    <w:rsid w:val="00ED5F50"/>
    <w:rsid w:val="00EE04B9"/>
    <w:rsid w:val="00EE1AA8"/>
    <w:rsid w:val="00EF2E3F"/>
    <w:rsid w:val="00EF5BD7"/>
    <w:rsid w:val="00F013C0"/>
    <w:rsid w:val="00F01EE6"/>
    <w:rsid w:val="00F0382A"/>
    <w:rsid w:val="00F06BC6"/>
    <w:rsid w:val="00F07CE6"/>
    <w:rsid w:val="00F07F01"/>
    <w:rsid w:val="00F10689"/>
    <w:rsid w:val="00F10855"/>
    <w:rsid w:val="00F10CD0"/>
    <w:rsid w:val="00F129EB"/>
    <w:rsid w:val="00F220AF"/>
    <w:rsid w:val="00F23FEA"/>
    <w:rsid w:val="00F302DC"/>
    <w:rsid w:val="00F30F8D"/>
    <w:rsid w:val="00F31B01"/>
    <w:rsid w:val="00F31EDC"/>
    <w:rsid w:val="00F32232"/>
    <w:rsid w:val="00F34198"/>
    <w:rsid w:val="00F4296A"/>
    <w:rsid w:val="00F457CE"/>
    <w:rsid w:val="00F462B3"/>
    <w:rsid w:val="00F473B2"/>
    <w:rsid w:val="00F5369B"/>
    <w:rsid w:val="00F536D1"/>
    <w:rsid w:val="00F5664F"/>
    <w:rsid w:val="00F5666B"/>
    <w:rsid w:val="00F60C80"/>
    <w:rsid w:val="00F62CE7"/>
    <w:rsid w:val="00F63C15"/>
    <w:rsid w:val="00F65D80"/>
    <w:rsid w:val="00F666C4"/>
    <w:rsid w:val="00F76AFC"/>
    <w:rsid w:val="00F775C8"/>
    <w:rsid w:val="00F80590"/>
    <w:rsid w:val="00F8262B"/>
    <w:rsid w:val="00F85BDC"/>
    <w:rsid w:val="00F9237D"/>
    <w:rsid w:val="00F9305C"/>
    <w:rsid w:val="00F96512"/>
    <w:rsid w:val="00FA2A14"/>
    <w:rsid w:val="00FA47C0"/>
    <w:rsid w:val="00FB5DD1"/>
    <w:rsid w:val="00FC118D"/>
    <w:rsid w:val="00FC2B5D"/>
    <w:rsid w:val="00FC2CC8"/>
    <w:rsid w:val="00FC403C"/>
    <w:rsid w:val="00FC6BC9"/>
    <w:rsid w:val="00FC76FA"/>
    <w:rsid w:val="00FD16D6"/>
    <w:rsid w:val="00FD1FF0"/>
    <w:rsid w:val="00FD5B9A"/>
    <w:rsid w:val="00FD6717"/>
    <w:rsid w:val="00FE0D31"/>
    <w:rsid w:val="00FE1C9A"/>
    <w:rsid w:val="00FE31CD"/>
    <w:rsid w:val="00FE3454"/>
    <w:rsid w:val="00FE40B1"/>
    <w:rsid w:val="00FF1449"/>
    <w:rsid w:val="00FF3C16"/>
    <w:rsid w:val="00FF7157"/>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58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 w:type="character" w:customStyle="1" w:styleId="s15">
    <w:name w:val="s15"/>
    <w:basedOn w:val="Fuentedeprrafopredeter"/>
    <w:rsid w:val="00561941"/>
  </w:style>
  <w:style w:type="paragraph" w:styleId="Textoindependiente">
    <w:name w:val="Body Text"/>
    <w:basedOn w:val="Normal"/>
    <w:link w:val="TextoindependienteCar"/>
    <w:uiPriority w:val="1"/>
    <w:unhideWhenUsed/>
    <w:qFormat/>
    <w:rsid w:val="00903D5F"/>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03D5F"/>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hguarumoabogados@g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funcionpublica.gov.co/eva/gestornormativo/norma.php?i=174086" TargetMode="External"/><Relationship Id="rId1" Type="http://schemas.openxmlformats.org/officeDocument/2006/relationships/hyperlink" Target="https://www.consejodeestado.gov.co/documentos/boletines/159/S2/05001-23-33-000-2012-00275-01%20(3222-201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61CF99-5BED-4DF3-9C56-83C97F345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TotalTime>
  <Pages>27</Pages>
  <Words>8834</Words>
  <Characters>48323</Characters>
  <Application>Microsoft Office Word</Application>
  <DocSecurity>0</DocSecurity>
  <Lines>929</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2026-02-25T21:47:00Z</dcterms:created>
  <dcterms:modified xsi:type="dcterms:W3CDTF">2026-02-25T22:19:00Z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