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F6541" w14:textId="77777777" w:rsidR="003C5D1D" w:rsidRPr="00647611" w:rsidRDefault="003C5D1D" w:rsidP="003C5D1D">
      <w:pPr>
        <w:spacing w:after="0" w:line="240" w:lineRule="auto"/>
        <w:jc w:val="both"/>
        <w:rPr>
          <w:rFonts w:ascii="Verdana" w:eastAsia="Calibri" w:hAnsi="Verdana" w:cs="Arial"/>
          <w:sz w:val="20"/>
          <w:szCs w:val="20"/>
          <w:lang w:val="es-ES_tradnl" w:eastAsia="es-ES"/>
        </w:rPr>
      </w:pPr>
    </w:p>
    <w:p w14:paraId="0F2C6C59" w14:textId="77777777" w:rsidR="003C5D1D" w:rsidRPr="00647611" w:rsidRDefault="003C5D1D" w:rsidP="003C5D1D">
      <w:pPr>
        <w:spacing w:after="0" w:line="240" w:lineRule="auto"/>
        <w:jc w:val="both"/>
        <w:rPr>
          <w:rFonts w:ascii="Verdana" w:hAnsi="Verdana" w:cs="Arial"/>
          <w:b/>
          <w:lang w:val="es-MX" w:eastAsia="es-ES_tradnl"/>
        </w:rPr>
      </w:pPr>
      <w:r>
        <w:rPr>
          <w:rFonts w:ascii="Verdana" w:hAnsi="Verdana" w:cs="Arial"/>
          <w:b/>
          <w:lang w:val="es-MX" w:eastAsia="es-ES_tradnl"/>
        </w:rPr>
        <w:t>SUSPENSIÓN DEL CONTRATO</w:t>
      </w:r>
      <w:r w:rsidRPr="00647611">
        <w:rPr>
          <w:rFonts w:ascii="Verdana" w:hAnsi="Verdana" w:cs="Arial"/>
          <w:b/>
          <w:lang w:val="es-MX" w:eastAsia="es-ES_tradnl"/>
        </w:rPr>
        <w:t xml:space="preserve"> </w:t>
      </w:r>
      <w:r w:rsidRPr="00647611">
        <w:rPr>
          <w:rFonts w:ascii="Verdana" w:hAnsi="Verdana" w:cs="Arial"/>
          <w:b/>
          <w:bCs/>
          <w:lang w:val="es-MX" w:eastAsia="es-ES_tradnl"/>
        </w:rPr>
        <w:t>‒</w:t>
      </w:r>
      <w:r w:rsidRPr="00647611">
        <w:rPr>
          <w:rFonts w:ascii="Verdana" w:hAnsi="Verdana" w:cs="Arial"/>
          <w:b/>
          <w:lang w:val="es-MX" w:eastAsia="es-ES_tradnl"/>
        </w:rPr>
        <w:t xml:space="preserve"> </w:t>
      </w:r>
      <w:r>
        <w:rPr>
          <w:rFonts w:ascii="Verdana" w:hAnsi="Verdana" w:cs="Arial"/>
          <w:b/>
          <w:lang w:val="es-MX" w:eastAsia="es-ES_tradnl"/>
        </w:rPr>
        <w:t>Autonomía de la voluntad – Sometimiento a plazo o condición</w:t>
      </w:r>
      <w:r w:rsidRPr="00647611">
        <w:rPr>
          <w:rFonts w:ascii="Verdana" w:hAnsi="Verdana" w:cs="Arial"/>
          <w:b/>
          <w:lang w:val="es-MX" w:eastAsia="es-ES_tradnl"/>
        </w:rPr>
        <w:t xml:space="preserve"> </w:t>
      </w:r>
    </w:p>
    <w:p w14:paraId="36453DDE"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19633595" w14:textId="77777777" w:rsidR="003C5D1D" w:rsidRPr="00647611" w:rsidRDefault="003C5D1D" w:rsidP="003C5D1D">
      <w:pPr>
        <w:spacing w:after="0" w:line="240" w:lineRule="auto"/>
        <w:jc w:val="both"/>
        <w:rPr>
          <w:rFonts w:ascii="Verdana" w:eastAsia="Times New Roman" w:hAnsi="Verdana" w:cs="Arial"/>
          <w:sz w:val="20"/>
          <w:szCs w:val="20"/>
          <w:lang w:val="es-MX" w:eastAsia="es-CO"/>
        </w:rPr>
      </w:pPr>
      <w:r>
        <w:rPr>
          <w:rFonts w:ascii="Verdana" w:eastAsia="Times New Roman" w:hAnsi="Verdana" w:cs="Arial"/>
          <w:sz w:val="20"/>
          <w:szCs w:val="20"/>
          <w:lang w:val="es-ES_tradnl" w:eastAsia="es-CO"/>
        </w:rPr>
        <w:t>C</w:t>
      </w:r>
      <w:r w:rsidRPr="00420843">
        <w:rPr>
          <w:rFonts w:ascii="Verdana" w:eastAsia="Times New Roman" w:hAnsi="Verdana" w:cs="Arial"/>
          <w:sz w:val="20"/>
          <w:szCs w:val="20"/>
          <w:lang w:val="es-ES_tradnl" w:eastAsia="es-CO"/>
        </w:rPr>
        <w:t xml:space="preserve">uando se suscribe un </w:t>
      </w:r>
      <w:r w:rsidRPr="00420843">
        <w:rPr>
          <w:rFonts w:ascii="Verdana" w:eastAsia="Times New Roman" w:hAnsi="Verdana" w:cs="Arial"/>
          <w:i/>
          <w:iCs/>
          <w:sz w:val="20"/>
          <w:szCs w:val="20"/>
          <w:lang w:val="es-ES_tradnl" w:eastAsia="es-CO"/>
        </w:rPr>
        <w:t>acta de suspensión</w:t>
      </w:r>
      <w:r w:rsidRPr="00420843">
        <w:rPr>
          <w:rFonts w:ascii="Verdana" w:eastAsia="Times New Roman" w:hAnsi="Verdana" w:cs="Arial"/>
          <w:sz w:val="20"/>
          <w:szCs w:val="20"/>
          <w:lang w:val="es-ES_tradnl" w:eastAsia="es-CO"/>
        </w:rPr>
        <w:t xml:space="preserve"> puede establecerse, en ejercicio de la autonomía de la voluntad, que el plazo del contrato se reactivará una vez se firme el </w:t>
      </w:r>
      <w:r w:rsidRPr="00420843">
        <w:rPr>
          <w:rFonts w:ascii="Verdana" w:eastAsia="Times New Roman" w:hAnsi="Verdana" w:cs="Arial"/>
          <w:i/>
          <w:iCs/>
          <w:sz w:val="20"/>
          <w:szCs w:val="20"/>
          <w:lang w:val="es-ES_tradnl" w:eastAsia="es-CO"/>
        </w:rPr>
        <w:t>acta de reinicio</w:t>
      </w:r>
      <w:r w:rsidRPr="00420843">
        <w:rPr>
          <w:rFonts w:ascii="Verdana" w:eastAsia="Times New Roman" w:hAnsi="Verdana" w:cs="Arial"/>
          <w:sz w:val="20"/>
          <w:szCs w:val="20"/>
          <w:lang w:val="es-ES_tradnl" w:eastAsia="es-CO"/>
        </w:rPr>
        <w:t xml:space="preserve"> correspondiente. Esto sin perjuicio de que,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De esta manera, el reinicio del plazo de ejecución contractual depende de lo pactado por las partes; razón por la cual, con sujeción a lo acordado previamente con a la entidad contratante, se juzgará la adecuación de las actuaciones adelantadas posteriormente por el contratista</w:t>
      </w:r>
      <w:r w:rsidRPr="00647611">
        <w:rPr>
          <w:rFonts w:ascii="Verdana" w:eastAsia="Times New Roman" w:hAnsi="Verdana" w:cs="Arial"/>
          <w:sz w:val="20"/>
          <w:szCs w:val="20"/>
          <w:lang w:val="es-MX" w:eastAsia="es-CO"/>
        </w:rPr>
        <w:t>.</w:t>
      </w:r>
    </w:p>
    <w:p w14:paraId="0E0B56FF"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64151B26" w14:textId="77777777" w:rsidR="003C5D1D" w:rsidRPr="00647611" w:rsidRDefault="003C5D1D" w:rsidP="003C5D1D">
      <w:pPr>
        <w:spacing w:after="0" w:line="240" w:lineRule="auto"/>
        <w:jc w:val="both"/>
        <w:rPr>
          <w:rFonts w:ascii="Verdana" w:hAnsi="Verdana" w:cs="Arial"/>
          <w:b/>
          <w:lang w:val="es-MX" w:eastAsia="es-ES_tradnl"/>
        </w:rPr>
      </w:pPr>
      <w:r>
        <w:rPr>
          <w:rFonts w:ascii="Verdana" w:hAnsi="Verdana" w:cs="Arial"/>
          <w:b/>
          <w:lang w:val="es-MX" w:eastAsia="es-ES_tradnl"/>
        </w:rPr>
        <w:t>CUMPLIMIENTO EXTEMPORÁNEO</w:t>
      </w:r>
      <w:r w:rsidRPr="00647611">
        <w:rPr>
          <w:rFonts w:ascii="Verdana" w:hAnsi="Verdana" w:cs="Arial"/>
          <w:b/>
          <w:lang w:val="es-MX" w:eastAsia="es-ES_tradnl"/>
        </w:rPr>
        <w:t xml:space="preserve"> </w:t>
      </w:r>
      <w:r w:rsidRPr="00647611">
        <w:rPr>
          <w:rFonts w:ascii="Verdana" w:hAnsi="Verdana" w:cs="Arial"/>
          <w:b/>
          <w:bCs/>
          <w:lang w:val="es-MX" w:eastAsia="es-ES_tradnl"/>
        </w:rPr>
        <w:t>‒</w:t>
      </w:r>
      <w:r w:rsidRPr="00647611">
        <w:rPr>
          <w:rFonts w:ascii="Verdana" w:hAnsi="Verdana" w:cs="Arial"/>
          <w:b/>
          <w:lang w:val="es-MX" w:eastAsia="es-ES_tradnl"/>
        </w:rPr>
        <w:t xml:space="preserve"> </w:t>
      </w:r>
      <w:r>
        <w:rPr>
          <w:rFonts w:ascii="Verdana" w:hAnsi="Verdana" w:cs="Arial"/>
          <w:b/>
          <w:lang w:val="es-MX" w:eastAsia="es-ES_tradnl"/>
        </w:rPr>
        <w:t>Posibilidad – Aceptación de la entidad contratante</w:t>
      </w:r>
    </w:p>
    <w:p w14:paraId="18BF6895"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021BE590" w14:textId="77777777" w:rsidR="003C5D1D" w:rsidRDefault="003C5D1D" w:rsidP="003C5D1D">
      <w:pPr>
        <w:spacing w:after="0" w:line="240" w:lineRule="auto"/>
        <w:jc w:val="both"/>
        <w:rPr>
          <w:rFonts w:ascii="Verdana" w:eastAsia="Times New Roman" w:hAnsi="Verdana" w:cs="Arial"/>
          <w:bCs/>
          <w:sz w:val="20"/>
          <w:szCs w:val="20"/>
          <w:lang w:val="es-ES" w:eastAsia="es-CO"/>
        </w:rPr>
      </w:pPr>
      <w:r>
        <w:rPr>
          <w:rFonts w:ascii="Verdana" w:eastAsia="Calibri" w:hAnsi="Verdana" w:cs="Arial"/>
          <w:sz w:val="20"/>
          <w:szCs w:val="20"/>
        </w:rPr>
        <w:t>P</w:t>
      </w:r>
      <w:r w:rsidRPr="00CF5F3B">
        <w:rPr>
          <w:rFonts w:ascii="Verdana" w:eastAsia="Calibri" w:hAnsi="Verdana" w:cs="Arial"/>
          <w:sz w:val="20"/>
          <w:szCs w:val="20"/>
        </w:rPr>
        <w:t>or</w:t>
      </w:r>
      <w:r w:rsidRPr="00CF5F3B">
        <w:rPr>
          <w:rFonts w:ascii="Verdana" w:eastAsia="Calibri" w:hAnsi="Verdana" w:cs="Arial"/>
          <w:sz w:val="20"/>
          <w:szCs w:val="20"/>
          <w:lang w:val="es-ES_tradnl"/>
        </w:rPr>
        <w:t xml:space="preserve"> remisión de los artículos 13, 32 y 40 de la Ley 80 de 1993 a las normas de derecho privado,</w:t>
      </w:r>
      <w:r w:rsidRPr="00CF5F3B">
        <w:rPr>
          <w:rFonts w:ascii="Verdana" w:eastAsia="Calibri" w:hAnsi="Verdana" w:cs="Arial"/>
          <w:sz w:val="20"/>
          <w:szCs w:val="20"/>
        </w:rPr>
        <w:t xml:space="preserve"> el vencimiento del </w:t>
      </w:r>
      <w:r w:rsidRPr="00CF5F3B">
        <w:rPr>
          <w:rFonts w:ascii="Verdana" w:eastAsia="Calibri" w:hAnsi="Verdana" w:cs="Arial"/>
          <w:i/>
          <w:iCs/>
          <w:sz w:val="20"/>
          <w:szCs w:val="20"/>
        </w:rPr>
        <w:t>plazo de ejecución</w:t>
      </w:r>
      <w:r w:rsidRPr="00CF5F3B">
        <w:rPr>
          <w:rFonts w:ascii="Verdana" w:eastAsia="Calibri" w:hAnsi="Verdana" w:cs="Arial"/>
          <w:sz w:val="20"/>
          <w:szCs w:val="20"/>
        </w:rPr>
        <w:t xml:space="preserve"> no impide que la entidad reciba las tareas realizadas fuera de este término ni equivale a la imposibilidad de que el contratista realice prestaciones extemporáneas. Sin embargo, no basta solo con ejecutar las prestaciones por fuera del plazo del contrato sino que estas deben ser consentidas por la entidad contratante, de manera que </w:t>
      </w:r>
      <w:r w:rsidRPr="00CF5F3B">
        <w:rPr>
          <w:rFonts w:ascii="Verdana" w:eastAsia="Calibri" w:hAnsi="Verdana" w:cs="Arial"/>
          <w:sz w:val="20"/>
          <w:szCs w:val="20"/>
          <w:lang w:val="es-ES_tradnl"/>
        </w:rPr>
        <w:t>la contraprestación quedará sujeta a la aceptación de dichas actividades por parte de la entidad y siempre que aquellas cumplan con su propósito de satisfacer el interés público por el cual se concibió el contrato. De este modo, si la entidad acepta las prestaciones ejecutadas por fuera del plazo de ejecución del contrato, es procedente que el contratista reciba la contraprestación de las actividades ejecutadas y recibidas a satisfacción</w:t>
      </w:r>
      <w:r w:rsidRPr="00647611">
        <w:rPr>
          <w:rFonts w:ascii="Verdana" w:eastAsia="Times New Roman" w:hAnsi="Verdana" w:cs="Arial"/>
          <w:bCs/>
          <w:sz w:val="20"/>
          <w:szCs w:val="20"/>
          <w:lang w:val="es-ES" w:eastAsia="es-CO"/>
        </w:rPr>
        <w:t xml:space="preserve">. </w:t>
      </w:r>
    </w:p>
    <w:p w14:paraId="03427918" w14:textId="77777777" w:rsidR="003C5D1D" w:rsidRDefault="003C5D1D" w:rsidP="003C5D1D">
      <w:pPr>
        <w:spacing w:after="0" w:line="240" w:lineRule="auto"/>
        <w:jc w:val="both"/>
        <w:rPr>
          <w:rFonts w:ascii="Verdana" w:eastAsia="Times New Roman" w:hAnsi="Verdana" w:cs="Arial"/>
          <w:bCs/>
          <w:sz w:val="20"/>
          <w:szCs w:val="20"/>
          <w:lang w:val="es-ES" w:eastAsia="es-CO"/>
        </w:rPr>
      </w:pPr>
    </w:p>
    <w:p w14:paraId="282C2E8B" w14:textId="77777777" w:rsidR="003C5D1D" w:rsidRPr="00C83A2A" w:rsidRDefault="003C5D1D" w:rsidP="003C5D1D">
      <w:pPr>
        <w:spacing w:after="0" w:line="240" w:lineRule="auto"/>
        <w:jc w:val="both"/>
        <w:rPr>
          <w:rFonts w:ascii="Verdana" w:eastAsia="Times New Roman" w:hAnsi="Verdana" w:cs="Arial"/>
          <w:b/>
          <w:lang w:val="es-ES" w:eastAsia="es-CO"/>
        </w:rPr>
      </w:pPr>
      <w:r w:rsidRPr="00C83A2A">
        <w:rPr>
          <w:rFonts w:ascii="Verdana" w:eastAsia="Times New Roman" w:hAnsi="Verdana" w:cs="Arial"/>
          <w:b/>
          <w:lang w:val="es-ES" w:eastAsia="es-CO"/>
        </w:rPr>
        <w:t>APROBACIÓN DE LAS GARANTÍAS – Requisito de ejecución</w:t>
      </w:r>
    </w:p>
    <w:p w14:paraId="42024409" w14:textId="77777777" w:rsidR="003C5D1D" w:rsidRDefault="003C5D1D" w:rsidP="003C5D1D">
      <w:pPr>
        <w:spacing w:after="0" w:line="240" w:lineRule="auto"/>
        <w:jc w:val="both"/>
        <w:rPr>
          <w:rFonts w:ascii="Verdana" w:eastAsia="Times New Roman" w:hAnsi="Verdana" w:cs="Arial"/>
          <w:bCs/>
          <w:sz w:val="20"/>
          <w:szCs w:val="20"/>
          <w:lang w:val="es-ES" w:eastAsia="es-CO"/>
        </w:rPr>
      </w:pPr>
    </w:p>
    <w:p w14:paraId="6BF8F2A5" w14:textId="77777777" w:rsidR="003C5D1D" w:rsidRDefault="003C5D1D" w:rsidP="003C5D1D">
      <w:pPr>
        <w:spacing w:after="0" w:line="240" w:lineRule="auto"/>
        <w:jc w:val="both"/>
        <w:rPr>
          <w:rFonts w:ascii="Verdana" w:eastAsia="Times New Roman" w:hAnsi="Verdana" w:cs="Arial"/>
          <w:bCs/>
          <w:sz w:val="20"/>
          <w:szCs w:val="20"/>
          <w:lang w:val="es-ES" w:eastAsia="es-CO"/>
        </w:rPr>
      </w:pPr>
      <w:r>
        <w:rPr>
          <w:rFonts w:ascii="Verdana" w:eastAsia="Times New Roman" w:hAnsi="Verdana" w:cs="Arial"/>
          <w:bCs/>
          <w:sz w:val="20"/>
          <w:szCs w:val="20"/>
          <w:lang w:val="es-ES" w:eastAsia="es-CO"/>
        </w:rPr>
        <w:t>P</w:t>
      </w:r>
      <w:r w:rsidRPr="00C83A2A">
        <w:rPr>
          <w:rFonts w:ascii="Verdana" w:eastAsia="Times New Roman" w:hAnsi="Verdana" w:cs="Arial"/>
          <w:bCs/>
          <w:sz w:val="20"/>
          <w:szCs w:val="20"/>
          <w:lang w:val="es-ES" w:eastAsia="es-CO"/>
        </w:rPr>
        <w:t>ara proceder con la ejecución del contrato, el contratista debe cumplir con la obligación de constituir las garantías,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que cubren los riesgos asociados al contrato celebrado y a las obligaciones posteriores a su ejecución, esto es, la garantía única de cumplimiento –con sus respectivos amparos– y la garantía de responsabilidad civil extracontractual.</w:t>
      </w:r>
    </w:p>
    <w:p w14:paraId="48819AED" w14:textId="77777777" w:rsidR="003C5D1D" w:rsidRPr="00C83A2A" w:rsidRDefault="003C5D1D" w:rsidP="003C5D1D">
      <w:pPr>
        <w:spacing w:after="0" w:line="240" w:lineRule="auto"/>
        <w:jc w:val="both"/>
        <w:rPr>
          <w:rFonts w:ascii="Verdana" w:eastAsia="Times New Roman" w:hAnsi="Verdana" w:cs="Arial"/>
          <w:bCs/>
          <w:sz w:val="20"/>
          <w:szCs w:val="20"/>
          <w:lang w:val="es-ES" w:eastAsia="es-CO"/>
        </w:rPr>
      </w:pPr>
    </w:p>
    <w:p w14:paraId="2F216106" w14:textId="77777777" w:rsidR="003C5D1D" w:rsidRPr="00647611" w:rsidRDefault="003C5D1D" w:rsidP="003C5D1D">
      <w:pPr>
        <w:spacing w:after="0" w:line="240" w:lineRule="auto"/>
        <w:jc w:val="both"/>
        <w:rPr>
          <w:rFonts w:ascii="Verdana" w:eastAsia="Times New Roman" w:hAnsi="Verdana" w:cs="Arial"/>
          <w:bCs/>
          <w:sz w:val="20"/>
          <w:szCs w:val="20"/>
          <w:lang w:val="es-ES" w:eastAsia="es-CO"/>
        </w:rPr>
      </w:pPr>
      <w:r w:rsidRPr="00C83A2A">
        <w:rPr>
          <w:rFonts w:ascii="Verdana" w:eastAsia="Times New Roman" w:hAnsi="Verdana" w:cs="Arial"/>
          <w:bCs/>
          <w:sz w:val="20"/>
          <w:szCs w:val="20"/>
          <w:lang w:val="es-ES" w:eastAsia="es-CO"/>
        </w:rPr>
        <w:t xml:space="preserve">En este contexto, la obligación de constituir las garantías contractuales y su aprobación tiene como propósito cumplir con el requisito de ejecución del contrato, pues estas se erigen como un “instrumento para salvaguardar intereses de carácter general, garantizar </w:t>
      </w:r>
      <w:r w:rsidRPr="00C83A2A">
        <w:rPr>
          <w:rFonts w:ascii="Verdana" w:eastAsia="Times New Roman" w:hAnsi="Verdana" w:cs="Arial"/>
          <w:bCs/>
          <w:sz w:val="20"/>
          <w:szCs w:val="20"/>
          <w:lang w:val="es-ES" w:eastAsia="es-CO"/>
        </w:rPr>
        <w:lastRenderedPageBreak/>
        <w:t>el adecuado cumplimiento del objeto contractual y proteger el patrimonio público de los detrimentos que se puedan causar con ocasión de eventuales incumplimientos en que incurra el contratista”. En este sentido, previo a la aprobación de las garantías pactadas en el contrato, la entidad debe realizar la respectiva verificación de los amparos y suficiencia de las garantías exigidas, con la finalidad de asegurar que estas protejan el patrimonio del Estado de los perjuicios que eventualmente se derivarían de la materialización de los riesgos amparados.</w:t>
      </w:r>
    </w:p>
    <w:p w14:paraId="2E93DE60"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79C6CF61" w14:textId="77777777" w:rsidR="003C5D1D" w:rsidRPr="00647611" w:rsidRDefault="003C5D1D" w:rsidP="003C5D1D">
      <w:pPr>
        <w:spacing w:after="0" w:line="240" w:lineRule="auto"/>
        <w:jc w:val="both"/>
        <w:rPr>
          <w:rFonts w:ascii="Verdana" w:hAnsi="Verdana" w:cs="Arial"/>
          <w:b/>
          <w:lang w:val="es-MX" w:eastAsia="es-ES_tradnl"/>
        </w:rPr>
      </w:pPr>
      <w:r>
        <w:rPr>
          <w:rFonts w:ascii="Verdana" w:hAnsi="Verdana" w:cs="Arial"/>
          <w:b/>
          <w:lang w:val="es-MX" w:eastAsia="es-ES_tradnl"/>
        </w:rPr>
        <w:t>LÍMITE DE ADICIONES</w:t>
      </w:r>
      <w:r w:rsidRPr="00647611">
        <w:rPr>
          <w:rFonts w:ascii="Verdana" w:hAnsi="Verdana" w:cs="Arial"/>
          <w:b/>
          <w:lang w:val="es-MX" w:eastAsia="es-ES_tradnl"/>
        </w:rPr>
        <w:t xml:space="preserve"> – </w:t>
      </w:r>
      <w:r>
        <w:rPr>
          <w:rFonts w:ascii="Verdana" w:hAnsi="Verdana" w:cs="Arial"/>
          <w:b/>
          <w:lang w:val="es-MX" w:eastAsia="es-ES_tradnl"/>
        </w:rPr>
        <w:t>Causales de nulidad absoluta – Terminación unilateral</w:t>
      </w:r>
      <w:r w:rsidRPr="00647611">
        <w:rPr>
          <w:rFonts w:ascii="Verdana" w:hAnsi="Verdana" w:cs="Arial"/>
          <w:b/>
          <w:lang w:val="es-MX" w:eastAsia="es-ES_tradnl"/>
        </w:rPr>
        <w:t xml:space="preserve"> </w:t>
      </w:r>
    </w:p>
    <w:p w14:paraId="5B0EB984"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5EEFF1C4" w14:textId="77777777" w:rsidR="003C5D1D" w:rsidRDefault="003C5D1D" w:rsidP="003C5D1D">
      <w:pPr>
        <w:spacing w:after="0" w:line="240" w:lineRule="auto"/>
        <w:jc w:val="both"/>
        <w:rPr>
          <w:rFonts w:ascii="Verdana" w:eastAsia="Times New Roman" w:hAnsi="Verdana" w:cs="Arial"/>
          <w:sz w:val="20"/>
          <w:szCs w:val="20"/>
          <w:lang w:eastAsia="x-none"/>
        </w:rPr>
      </w:pPr>
      <w:r>
        <w:rPr>
          <w:rFonts w:ascii="Verdana" w:eastAsia="Times New Roman" w:hAnsi="Verdana" w:cs="Arial"/>
          <w:sz w:val="20"/>
          <w:szCs w:val="20"/>
          <w:lang w:eastAsia="x-none"/>
        </w:rPr>
        <w:t>E</w:t>
      </w:r>
      <w:r w:rsidRPr="00CF5F3B">
        <w:rPr>
          <w:rFonts w:ascii="Verdana" w:eastAsia="Times New Roman" w:hAnsi="Verdana" w:cs="Arial"/>
          <w:sz w:val="20"/>
          <w:szCs w:val="20"/>
          <w:lang w:eastAsia="x-none"/>
        </w:rPr>
        <w:t xml:space="preserve">l inciso segundo del parágrafo del artículo 40 del Estatuto General dispone que “Los contratos no podrán adicionarse en más del cincuenta por ciento (50%) de su valor inicial, expresado éste en salarios mínimos legales mensuales”. Los negocios que superen este tope están prohibidos; razón por la cual, si están viciados de nulidad absoluta –artículo 44.2 de la Ley 80 de 1993–, es posible la terminación unilateral –artículo 45 </w:t>
      </w:r>
      <w:r w:rsidRPr="00CF5F3B">
        <w:rPr>
          <w:rFonts w:ascii="Verdana" w:eastAsia="Times New Roman" w:hAnsi="Verdana" w:cs="Arial"/>
          <w:i/>
          <w:iCs/>
          <w:sz w:val="20"/>
          <w:szCs w:val="20"/>
          <w:lang w:eastAsia="x-none"/>
        </w:rPr>
        <w:t>ibidem</w:t>
      </w:r>
      <w:r w:rsidRPr="00CF5F3B">
        <w:rPr>
          <w:rFonts w:ascii="Verdana" w:eastAsia="Times New Roman" w:hAnsi="Verdana" w:cs="Arial"/>
          <w:sz w:val="20"/>
          <w:szCs w:val="20"/>
          <w:lang w:eastAsia="x-none"/>
        </w:rPr>
        <w:t xml:space="preserve">, inciso segundo–. Esta potestad tiene naturaleza administrativa y contractual, por lo que –a diferencia de la caducidad o la imposición de las multas o la cláusula penal– no implica una sanción para el contratista que lo inhabilite para participar en otros procesos de selección, decisión que además faculta al afectado para reclamar las compensaciones económicas e indemnizaciones de que trata el artículo 14.1 del EGCAP. </w:t>
      </w:r>
    </w:p>
    <w:p w14:paraId="361ACCDD" w14:textId="77777777" w:rsidR="003C5D1D" w:rsidRPr="00CF5F3B" w:rsidRDefault="003C5D1D" w:rsidP="003C5D1D">
      <w:pPr>
        <w:spacing w:after="0" w:line="240" w:lineRule="auto"/>
        <w:jc w:val="both"/>
        <w:rPr>
          <w:rFonts w:ascii="Verdana" w:eastAsia="Times New Roman" w:hAnsi="Verdana" w:cs="Arial"/>
          <w:sz w:val="20"/>
          <w:szCs w:val="20"/>
          <w:lang w:eastAsia="x-none"/>
        </w:rPr>
      </w:pPr>
    </w:p>
    <w:p w14:paraId="3D31F9E6" w14:textId="77777777" w:rsidR="003C5D1D" w:rsidRPr="00647611" w:rsidRDefault="003C5D1D" w:rsidP="003C5D1D">
      <w:pPr>
        <w:spacing w:after="0" w:line="240" w:lineRule="auto"/>
        <w:jc w:val="both"/>
        <w:rPr>
          <w:rFonts w:ascii="Verdana" w:eastAsia="Times New Roman" w:hAnsi="Verdana" w:cs="Arial"/>
          <w:bCs/>
          <w:sz w:val="20"/>
          <w:szCs w:val="20"/>
          <w:lang w:eastAsia="x-none"/>
        </w:rPr>
      </w:pPr>
      <w:r w:rsidRPr="00CF5F3B">
        <w:rPr>
          <w:rFonts w:ascii="Verdana" w:eastAsia="Times New Roman" w:hAnsi="Verdana" w:cs="Arial"/>
          <w:sz w:val="20"/>
          <w:szCs w:val="20"/>
          <w:lang w:eastAsia="x-none"/>
        </w:rPr>
        <w:t xml:space="preserve">Luego, teniendo en cuenta la remisión del artículo 77 de la Ley 80 de 1993 a las “[…] las normas que rigen los procedimientos y actuaciones en la función administrativa […]”, es aplicable el procedimiento administrativo general de los artículos 34 y siguientes de la Ley 1437 de 2011. Por lo demás, dado que el artículo 47 del EGCAP establece que “La nulidad de alguna o algunas cláusulas de un contrato, no invalidará la totalidad del acto, salvo cuando este no pudiese existir sin la parte viciada”, la terminación unilateral del inciso segundo del artículo 45 </w:t>
      </w:r>
      <w:r w:rsidRPr="00CF5F3B">
        <w:rPr>
          <w:rFonts w:ascii="Verdana" w:eastAsia="Times New Roman" w:hAnsi="Verdana" w:cs="Arial"/>
          <w:i/>
          <w:iCs/>
          <w:sz w:val="20"/>
          <w:szCs w:val="20"/>
          <w:lang w:eastAsia="x-none"/>
        </w:rPr>
        <w:t>ibidem</w:t>
      </w:r>
      <w:r w:rsidRPr="00CF5F3B">
        <w:rPr>
          <w:rFonts w:ascii="Verdana" w:eastAsia="Times New Roman" w:hAnsi="Verdana" w:cs="Arial"/>
          <w:sz w:val="20"/>
          <w:szCs w:val="20"/>
          <w:lang w:eastAsia="x-none"/>
        </w:rPr>
        <w:t xml:space="preserve"> no afecta las estipulaciones respetuosas del límite de adiciones previsto en el parágrafo del artículo 40 del Estatuto General</w:t>
      </w:r>
      <w:r w:rsidRPr="00647611">
        <w:rPr>
          <w:rFonts w:ascii="Verdana" w:eastAsia="Calibri" w:hAnsi="Verdana" w:cs="Arial"/>
          <w:sz w:val="20"/>
          <w:szCs w:val="20"/>
          <w:lang w:eastAsia="x-none"/>
        </w:rPr>
        <w:t>.</w:t>
      </w:r>
    </w:p>
    <w:p w14:paraId="414CCE90" w14:textId="77777777" w:rsidR="003C5D1D" w:rsidRPr="00647611" w:rsidRDefault="003C5D1D" w:rsidP="003C5D1D">
      <w:pPr>
        <w:spacing w:after="0" w:line="240" w:lineRule="auto"/>
        <w:jc w:val="both"/>
        <w:rPr>
          <w:rFonts w:ascii="Verdana" w:hAnsi="Verdana" w:cs="Arial"/>
          <w:b/>
          <w:sz w:val="20"/>
          <w:szCs w:val="20"/>
          <w:lang w:eastAsia="es-ES_tradnl"/>
        </w:rPr>
      </w:pPr>
    </w:p>
    <w:p w14:paraId="3A9D3444" w14:textId="77777777" w:rsidR="003C5D1D" w:rsidRPr="00647611" w:rsidRDefault="003C5D1D" w:rsidP="003C5D1D">
      <w:pPr>
        <w:spacing w:after="0" w:line="240" w:lineRule="auto"/>
        <w:jc w:val="both"/>
        <w:rPr>
          <w:rFonts w:ascii="Verdana" w:hAnsi="Verdana" w:cs="Arial"/>
          <w:b/>
          <w:lang w:val="es-MX" w:eastAsia="es-ES_tradnl"/>
        </w:rPr>
      </w:pPr>
      <w:r>
        <w:rPr>
          <w:rFonts w:ascii="Verdana" w:hAnsi="Verdana" w:cs="Arial"/>
          <w:b/>
          <w:lang w:val="es-MX" w:eastAsia="es-ES_tradnl"/>
        </w:rPr>
        <w:t>LIQUIDACIÓN – Competencia temporal – Caducidad – Medio de control de controversias contractuales</w:t>
      </w:r>
    </w:p>
    <w:p w14:paraId="3BEAF942" w14:textId="77777777" w:rsidR="003C5D1D" w:rsidRPr="00647611" w:rsidRDefault="003C5D1D" w:rsidP="003C5D1D">
      <w:pPr>
        <w:spacing w:after="0" w:line="240" w:lineRule="auto"/>
        <w:jc w:val="both"/>
        <w:rPr>
          <w:rFonts w:ascii="Verdana" w:hAnsi="Verdana" w:cs="Arial"/>
          <w:b/>
          <w:sz w:val="20"/>
          <w:szCs w:val="20"/>
          <w:lang w:val="es-MX" w:eastAsia="es-ES_tradnl"/>
        </w:rPr>
      </w:pPr>
    </w:p>
    <w:p w14:paraId="406929AD" w14:textId="77777777" w:rsidR="003C5D1D" w:rsidRPr="00CF5F3B" w:rsidRDefault="003C5D1D" w:rsidP="003C5D1D">
      <w:pPr>
        <w:spacing w:after="0" w:line="240" w:lineRule="auto"/>
        <w:jc w:val="both"/>
        <w:rPr>
          <w:rFonts w:ascii="Verdana" w:eastAsia="Times New Roman" w:hAnsi="Verdana" w:cs="Arial"/>
          <w:bCs/>
          <w:sz w:val="20"/>
          <w:szCs w:val="20"/>
          <w:lang w:val="es-ES" w:eastAsia="x-none"/>
        </w:rPr>
      </w:pPr>
      <w:r>
        <w:rPr>
          <w:rFonts w:ascii="Verdana" w:eastAsia="Times New Roman" w:hAnsi="Verdana" w:cs="Arial"/>
          <w:bCs/>
          <w:sz w:val="20"/>
          <w:szCs w:val="20"/>
          <w:lang w:val="es-ES" w:eastAsia="x-none"/>
        </w:rPr>
        <w:t>D</w:t>
      </w:r>
      <w:r w:rsidRPr="00CF5F3B">
        <w:rPr>
          <w:rFonts w:ascii="Verdana" w:eastAsia="Times New Roman" w:hAnsi="Verdana" w:cs="Arial"/>
          <w:bCs/>
          <w:sz w:val="20"/>
          <w:szCs w:val="20"/>
          <w:lang w:val="es-ES" w:eastAsia="x-none"/>
        </w:rPr>
        <w:t>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w:t>
      </w:r>
      <w:r w:rsidRPr="00647611">
        <w:rPr>
          <w:rFonts w:ascii="Verdana" w:eastAsia="Times New Roman" w:hAnsi="Verdana" w:cs="Arial"/>
          <w:bCs/>
          <w:sz w:val="20"/>
          <w:szCs w:val="20"/>
          <w:lang w:val="es-MX" w:eastAsia="es-CO"/>
        </w:rPr>
        <w:t>.</w:t>
      </w:r>
    </w:p>
    <w:p w14:paraId="1D709D61" w14:textId="77777777" w:rsidR="003C5D1D" w:rsidRPr="00647611" w:rsidRDefault="003C5D1D" w:rsidP="003C5D1D">
      <w:pPr>
        <w:spacing w:after="0" w:line="240" w:lineRule="auto"/>
        <w:rPr>
          <w:rFonts w:ascii="Verdana" w:hAnsi="Verdana"/>
          <w:sz w:val="20"/>
          <w:szCs w:val="20"/>
        </w:rPr>
      </w:pPr>
    </w:p>
    <w:p w14:paraId="21CE5453" w14:textId="77777777" w:rsidR="003C5D1D" w:rsidRDefault="003C5D1D" w:rsidP="005146EB">
      <w:pPr>
        <w:spacing w:after="0" w:line="240" w:lineRule="auto"/>
        <w:rPr>
          <w:rFonts w:ascii="Verdana" w:eastAsia="Geomanist Light" w:hAnsi="Verdana" w:cs="Arial"/>
          <w:color w:val="000000" w:themeColor="text1"/>
          <w:lang w:val="es-MX"/>
        </w:rPr>
      </w:pPr>
    </w:p>
    <w:p w14:paraId="2D328FC6" w14:textId="5204EB93" w:rsidR="005146EB" w:rsidRDefault="005146EB" w:rsidP="005146EB">
      <w:pPr>
        <w:spacing w:after="0" w:line="240" w:lineRule="auto"/>
        <w:rPr>
          <w:rFonts w:ascii="Verdana" w:eastAsia="Geomanist Light" w:hAnsi="Verdana" w:cs="Arial"/>
          <w:color w:val="000000" w:themeColor="text1"/>
          <w:lang w:val="es-MX"/>
        </w:rPr>
      </w:pPr>
      <w:r w:rsidRPr="00593A5F">
        <w:rPr>
          <w:rFonts w:ascii="Verdana" w:eastAsia="Geomanist Light" w:hAnsi="Verdana" w:cs="Arial"/>
          <w:color w:val="000000" w:themeColor="text1"/>
          <w:lang w:val="es-MX"/>
        </w:rPr>
        <w:lastRenderedPageBreak/>
        <w:t>Bogotá D.C., </w:t>
      </w:r>
      <w:r w:rsidR="006D5137" w:rsidRPr="006D5137">
        <w:rPr>
          <w:rFonts w:ascii="Verdana" w:eastAsia="Geomanist Light" w:hAnsi="Verdana" w:cs="Arial"/>
          <w:color w:val="000000" w:themeColor="text1"/>
          <w:lang w:val="es-MX"/>
        </w:rPr>
        <w:t>23 de Febrero de 2026</w:t>
      </w:r>
    </w:p>
    <w:p w14:paraId="3BD9C2CC" w14:textId="77777777" w:rsidR="006D5137" w:rsidRDefault="006D5137" w:rsidP="005146EB">
      <w:pPr>
        <w:spacing w:after="0" w:line="240" w:lineRule="auto"/>
        <w:rPr>
          <w:rFonts w:ascii="Verdana" w:eastAsia="Geomanist Light" w:hAnsi="Verdana" w:cs="Arial"/>
          <w:color w:val="000000" w:themeColor="text1"/>
          <w:lang w:val="es-MX"/>
        </w:rPr>
      </w:pPr>
    </w:p>
    <w:p w14:paraId="07C277A6" w14:textId="52B6641C" w:rsidR="005146EB" w:rsidRDefault="006D5137" w:rsidP="006D5137">
      <w:pPr>
        <w:spacing w:after="0" w:line="240" w:lineRule="auto"/>
        <w:jc w:val="right"/>
        <w:rPr>
          <w:rFonts w:ascii="Verdana" w:eastAsia="Calibri" w:hAnsi="Verdana" w:cs="Arial"/>
          <w:color w:val="000000"/>
          <w:lang w:val="es-ES"/>
        </w:rPr>
      </w:pPr>
      <w:r w:rsidRPr="006D5137">
        <w:rPr>
          <w:rFonts w:ascii="Verdana" w:eastAsia="Calibri" w:hAnsi="Verdana" w:cs="Arial"/>
          <w:noProof/>
          <w:color w:val="000000"/>
          <w:lang w:val="es-ES"/>
        </w:rPr>
        <w:drawing>
          <wp:inline distT="0" distB="0" distL="0" distR="0" wp14:anchorId="3A2B773D" wp14:editId="308A3CAC">
            <wp:extent cx="2400300" cy="622300"/>
            <wp:effectExtent l="0" t="0" r="0" b="0"/>
            <wp:docPr id="8214728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472815" name=""/>
                    <pic:cNvPicPr/>
                  </pic:nvPicPr>
                  <pic:blipFill>
                    <a:blip r:embed="rId10"/>
                    <a:stretch>
                      <a:fillRect/>
                    </a:stretch>
                  </pic:blipFill>
                  <pic:spPr>
                    <a:xfrm>
                      <a:off x="0" y="0"/>
                      <a:ext cx="2400300" cy="622300"/>
                    </a:xfrm>
                    <a:prstGeom prst="rect">
                      <a:avLst/>
                    </a:prstGeom>
                  </pic:spPr>
                </pic:pic>
              </a:graphicData>
            </a:graphic>
          </wp:inline>
        </w:drawing>
      </w:r>
    </w:p>
    <w:p w14:paraId="4A74D12E" w14:textId="77777777" w:rsidR="005146EB" w:rsidRPr="00593A5F" w:rsidRDefault="005146EB" w:rsidP="005146EB">
      <w:pPr>
        <w:spacing w:after="0" w:line="240" w:lineRule="auto"/>
        <w:jc w:val="both"/>
        <w:rPr>
          <w:rFonts w:ascii="Verdana" w:eastAsia="Calibri" w:hAnsi="Verdana" w:cs="Arial"/>
          <w:color w:val="000000"/>
          <w:lang w:val="es-ES"/>
        </w:rPr>
      </w:pPr>
    </w:p>
    <w:p w14:paraId="7E899C30" w14:textId="77777777" w:rsidR="005146EB" w:rsidRPr="00B96799" w:rsidRDefault="005146EB" w:rsidP="005146E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039CC69" w14:textId="77777777" w:rsidR="005146EB" w:rsidRPr="00E5278D" w:rsidRDefault="005146EB" w:rsidP="005146EB">
      <w:pPr>
        <w:spacing w:after="0" w:line="240" w:lineRule="auto"/>
        <w:rPr>
          <w:rFonts w:ascii="Verdana" w:eastAsia="Calibri" w:hAnsi="Verdana" w:cs="Arial"/>
          <w:b/>
          <w:lang w:val="es-ES" w:eastAsia="es-ES"/>
        </w:rPr>
      </w:pPr>
      <w:proofErr w:type="spellStart"/>
      <w:r w:rsidRPr="522B127F">
        <w:rPr>
          <w:rFonts w:ascii="Verdana" w:eastAsia="Calibri" w:hAnsi="Verdana" w:cs="Arial"/>
          <w:b/>
          <w:lang w:val="es-ES" w:eastAsia="es-ES"/>
        </w:rPr>
        <w:t>Miyer</w:t>
      </w:r>
      <w:proofErr w:type="spellEnd"/>
      <w:r w:rsidRPr="522B127F">
        <w:rPr>
          <w:rFonts w:ascii="Verdana" w:eastAsia="Calibri" w:hAnsi="Verdana" w:cs="Arial"/>
          <w:b/>
          <w:lang w:val="es-ES" w:eastAsia="es-ES"/>
        </w:rPr>
        <w:t xml:space="preserve"> Alexander </w:t>
      </w:r>
      <w:proofErr w:type="spellStart"/>
      <w:r w:rsidRPr="522B127F">
        <w:rPr>
          <w:rFonts w:ascii="Verdana" w:eastAsia="Calibri" w:hAnsi="Verdana" w:cs="Arial"/>
          <w:b/>
          <w:lang w:val="es-ES" w:eastAsia="es-ES"/>
        </w:rPr>
        <w:t>Ascuntar</w:t>
      </w:r>
      <w:proofErr w:type="spellEnd"/>
      <w:r w:rsidRPr="522B127F">
        <w:rPr>
          <w:rFonts w:ascii="Verdana" w:eastAsia="Calibri" w:hAnsi="Verdana" w:cs="Arial"/>
          <w:b/>
          <w:lang w:val="es-ES" w:eastAsia="es-ES"/>
        </w:rPr>
        <w:t xml:space="preserve"> Guerra </w:t>
      </w:r>
    </w:p>
    <w:p w14:paraId="44638C12" w14:textId="77777777" w:rsidR="005146EB" w:rsidRPr="00577A5D" w:rsidRDefault="005146EB" w:rsidP="005146EB">
      <w:pPr>
        <w:spacing w:after="0" w:line="240" w:lineRule="auto"/>
        <w:rPr>
          <w:rFonts w:ascii="Verdana" w:eastAsia="Calibri" w:hAnsi="Verdana" w:cs="Arial"/>
          <w:lang w:val="es-ES" w:eastAsia="es-ES"/>
        </w:rPr>
      </w:pPr>
      <w:hyperlink r:id="rId11" w:history="1">
        <w:r w:rsidRPr="006042EA">
          <w:rPr>
            <w:rStyle w:val="Hipervnculo"/>
            <w:rFonts w:ascii="Verdana" w:hAnsi="Verdana"/>
          </w:rPr>
          <w:t>guerra9091@hotmail.com</w:t>
        </w:r>
      </w:hyperlink>
      <w:r>
        <w:rPr>
          <w:rFonts w:ascii="Verdana" w:hAnsi="Verdana"/>
        </w:rPr>
        <w:t xml:space="preserve"> </w:t>
      </w:r>
      <w:r w:rsidRPr="00577A5D">
        <w:rPr>
          <w:rFonts w:ascii="Verdana" w:hAnsi="Verdana"/>
        </w:rPr>
        <w:t xml:space="preserve">              </w:t>
      </w:r>
      <w:r w:rsidRPr="00577A5D">
        <w:rPr>
          <w:rFonts w:ascii="Verdana" w:eastAsia="Calibri" w:hAnsi="Verdana" w:cs="Arial"/>
          <w:lang w:val="es-ES" w:eastAsia="es-ES"/>
        </w:rPr>
        <w:t xml:space="preserve">    </w:t>
      </w:r>
    </w:p>
    <w:p w14:paraId="3A0163A9" w14:textId="77777777" w:rsidR="005146EB" w:rsidRDefault="005146EB" w:rsidP="005146EB">
      <w:pPr>
        <w:spacing w:after="0" w:line="240" w:lineRule="auto"/>
        <w:rPr>
          <w:rFonts w:ascii="Verdana" w:eastAsia="Calibri" w:hAnsi="Verdana" w:cs="Arial"/>
          <w:lang w:val="es-ES" w:eastAsia="es-ES"/>
        </w:rPr>
      </w:pPr>
      <w:r>
        <w:rPr>
          <w:rFonts w:ascii="Verdana" w:eastAsia="Calibri" w:hAnsi="Verdana" w:cs="Arial"/>
          <w:lang w:val="es-ES" w:eastAsia="es-ES"/>
        </w:rPr>
        <w:t xml:space="preserve">San Juan de Pasto, Nariño </w:t>
      </w:r>
    </w:p>
    <w:p w14:paraId="62591971" w14:textId="77777777" w:rsidR="005146EB" w:rsidRPr="00593A5F" w:rsidRDefault="005146EB" w:rsidP="005146EB">
      <w:pPr>
        <w:spacing w:after="0" w:line="240" w:lineRule="auto"/>
        <w:rPr>
          <w:rFonts w:ascii="Verdana" w:eastAsia="Calibri" w:hAnsi="Verdana" w:cs="Arial"/>
          <w:b/>
          <w:bCs/>
          <w:color w:val="000000"/>
          <w:lang w:val="es-ES_tradnl" w:eastAsia="es-ES_tradnl"/>
        </w:rPr>
      </w:pPr>
    </w:p>
    <w:p w14:paraId="0F31F618" w14:textId="77777777" w:rsidR="005146EB" w:rsidRPr="00593A5F" w:rsidRDefault="005146EB" w:rsidP="005146E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46EB" w:rsidRPr="00593A5F" w14:paraId="53B5E28C" w14:textId="77777777" w:rsidTr="00D9504B">
        <w:trPr>
          <w:trHeight w:val="884"/>
        </w:trPr>
        <w:tc>
          <w:tcPr>
            <w:tcW w:w="2689" w:type="dxa"/>
          </w:tcPr>
          <w:p w14:paraId="0ABABBBB" w14:textId="77777777" w:rsidR="005146EB" w:rsidRPr="00C00976" w:rsidRDefault="005146EB" w:rsidP="00D9504B">
            <w:pPr>
              <w:jc w:val="both"/>
              <w:rPr>
                <w:rFonts w:ascii="Verdana" w:eastAsia="Calibri" w:hAnsi="Verdana" w:cs="Arial"/>
                <w:b/>
                <w:bCs/>
                <w:color w:val="7030A0"/>
                <w:lang w:val="es-ES_tradnl" w:eastAsia="es-ES_tradnl"/>
              </w:rPr>
            </w:pPr>
          </w:p>
        </w:tc>
        <w:tc>
          <w:tcPr>
            <w:tcW w:w="6100" w:type="dxa"/>
          </w:tcPr>
          <w:p w14:paraId="38C0B393" w14:textId="77777777" w:rsidR="005146EB" w:rsidRPr="00C00976" w:rsidRDefault="005146EB" w:rsidP="00D9504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169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5146EB" w:rsidRPr="00593A5F" w14:paraId="2747EB46" w14:textId="77777777" w:rsidTr="00D9504B">
        <w:trPr>
          <w:trHeight w:val="884"/>
        </w:trPr>
        <w:tc>
          <w:tcPr>
            <w:tcW w:w="2689" w:type="dxa"/>
          </w:tcPr>
          <w:p w14:paraId="03C0EE07" w14:textId="77777777" w:rsidR="005146EB" w:rsidRPr="00593A5F" w:rsidRDefault="005146EB" w:rsidP="00D9504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B783BDE" w14:textId="77777777" w:rsidR="005146EB" w:rsidRPr="00A11406" w:rsidRDefault="005146EB" w:rsidP="00D9504B">
            <w:pPr>
              <w:spacing w:line="276" w:lineRule="auto"/>
              <w:jc w:val="both"/>
              <w:rPr>
                <w:rFonts w:ascii="Verdana" w:eastAsia="Calibri" w:hAnsi="Verdana" w:cs="Arial"/>
                <w:lang w:val="es-ES" w:eastAsia="es-ES"/>
              </w:rPr>
            </w:pPr>
            <w:r w:rsidRPr="00CF5F3B">
              <w:rPr>
                <w:rFonts w:ascii="Verdana" w:eastAsia="Calibri" w:hAnsi="Verdana" w:cs="Arial"/>
                <w:lang w:val="es-ES" w:eastAsia="es-ES"/>
              </w:rPr>
              <w:t>SUSPENSIÓN DEL CONTRATO ‒ Autonomía de la voluntad – Sometimiento a plazo o condición</w:t>
            </w:r>
            <w:r>
              <w:rPr>
                <w:rFonts w:ascii="Verdana" w:eastAsia="Calibri" w:hAnsi="Verdana" w:cs="Arial"/>
                <w:lang w:val="es-ES" w:eastAsia="es-ES"/>
              </w:rPr>
              <w:t xml:space="preserve"> / </w:t>
            </w:r>
            <w:r w:rsidRPr="00CF5F3B">
              <w:rPr>
                <w:rFonts w:ascii="Verdana" w:eastAsia="Calibri" w:hAnsi="Verdana" w:cs="Arial"/>
                <w:lang w:val="es-ES" w:eastAsia="es-ES"/>
              </w:rPr>
              <w:t>CUMPLIMIENTO EXTEMPORÁNEO ‒ Posibilidad – Aceptación de la entidad co</w:t>
            </w:r>
            <w:r>
              <w:rPr>
                <w:rFonts w:ascii="Verdana" w:eastAsia="Calibri" w:hAnsi="Verdana" w:cs="Arial"/>
                <w:lang w:val="es-ES" w:eastAsia="es-ES"/>
              </w:rPr>
              <w:t>n</w:t>
            </w:r>
            <w:r w:rsidRPr="00CF5F3B">
              <w:rPr>
                <w:rFonts w:ascii="Verdana" w:eastAsia="Calibri" w:hAnsi="Verdana" w:cs="Arial"/>
                <w:lang w:val="es-ES" w:eastAsia="es-ES"/>
              </w:rPr>
              <w:t>trat</w:t>
            </w:r>
            <w:r>
              <w:rPr>
                <w:rFonts w:ascii="Verdana" w:eastAsia="Calibri" w:hAnsi="Verdana" w:cs="Arial"/>
                <w:lang w:val="es-ES" w:eastAsia="es-ES"/>
              </w:rPr>
              <w:t xml:space="preserve">ante / </w:t>
            </w:r>
            <w:r w:rsidRPr="00C83A2A">
              <w:rPr>
                <w:rFonts w:ascii="Verdana" w:eastAsia="Calibri" w:hAnsi="Verdana" w:cs="Arial"/>
                <w:lang w:val="es-ES" w:eastAsia="es-ES"/>
              </w:rPr>
              <w:t>APROBACIÓN DE LAS GARANTÍAS – Requisito de ejecución</w:t>
            </w:r>
            <w:r>
              <w:rPr>
                <w:rFonts w:ascii="Verdana" w:eastAsia="Calibri" w:hAnsi="Verdana" w:cs="Arial"/>
                <w:lang w:val="es-ES" w:eastAsia="es-ES"/>
              </w:rPr>
              <w:t xml:space="preserve"> / </w:t>
            </w:r>
            <w:r w:rsidRPr="00CF5F3B">
              <w:rPr>
                <w:rFonts w:ascii="Verdana" w:eastAsia="Calibri" w:hAnsi="Verdana" w:cs="Arial"/>
                <w:lang w:val="es-ES" w:eastAsia="es-ES"/>
              </w:rPr>
              <w:t>LÍMITE DE ADICIONES – Causales de nulidad absoluta – Terminación unilatera</w:t>
            </w:r>
            <w:r>
              <w:rPr>
                <w:rFonts w:ascii="Verdana" w:eastAsia="Calibri" w:hAnsi="Verdana" w:cs="Arial"/>
                <w:lang w:val="es-ES" w:eastAsia="es-ES"/>
              </w:rPr>
              <w:t xml:space="preserve">l / </w:t>
            </w:r>
            <w:r w:rsidRPr="00CF5F3B">
              <w:rPr>
                <w:rFonts w:ascii="Verdana" w:eastAsia="Calibri" w:hAnsi="Verdana" w:cs="Arial"/>
                <w:lang w:val="es-ES" w:eastAsia="es-ES"/>
              </w:rPr>
              <w:t>LIQUIDACIÓN – Competencia temporal – Caducidad – Medio de control de controversias contractuales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E9D6566" w14:textId="77777777" w:rsidR="005146EB" w:rsidRPr="00593A5F" w:rsidRDefault="005146EB" w:rsidP="00D9504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146EB" w:rsidRPr="008E6AD9" w14:paraId="0D26703B" w14:textId="77777777" w:rsidTr="00D9504B">
        <w:tc>
          <w:tcPr>
            <w:tcW w:w="2689" w:type="dxa"/>
          </w:tcPr>
          <w:p w14:paraId="0D19A198" w14:textId="77777777" w:rsidR="005146EB" w:rsidRPr="008E6AD9" w:rsidRDefault="005146EB" w:rsidP="00D9504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B58EA6F" w14:textId="77777777" w:rsidR="005146EB" w:rsidRPr="00B92340" w:rsidRDefault="005146EB" w:rsidP="00D9504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4E17CB">
              <w:rPr>
                <w:rFonts w:ascii="Verdana" w:eastAsia="Calibri" w:hAnsi="Verdana" w:cs="Arial"/>
                <w:lang w:val="es-ES_tradnl" w:eastAsia="es-ES_tradnl"/>
              </w:rPr>
              <w:t>1_2026_02_06_001525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6AC3AFD" w14:textId="77777777" w:rsidR="005146EB" w:rsidRPr="00593A5F" w:rsidRDefault="005146EB" w:rsidP="005146EB">
      <w:pPr>
        <w:spacing w:after="0" w:line="240" w:lineRule="auto"/>
        <w:jc w:val="both"/>
        <w:rPr>
          <w:rFonts w:ascii="Verdana" w:eastAsia="Calibri" w:hAnsi="Verdana" w:cs="Arial"/>
          <w:color w:val="000000"/>
          <w:lang w:val="es-ES_tradnl" w:eastAsia="es-ES_tradnl"/>
        </w:rPr>
      </w:pPr>
    </w:p>
    <w:p w14:paraId="685FAE2F" w14:textId="77777777" w:rsidR="005146EB" w:rsidRPr="00593A5F" w:rsidRDefault="005146EB" w:rsidP="005146EB">
      <w:pPr>
        <w:spacing w:after="0" w:line="240" w:lineRule="auto"/>
        <w:jc w:val="both"/>
        <w:rPr>
          <w:rFonts w:ascii="Verdana" w:eastAsia="Calibri" w:hAnsi="Verdana" w:cs="Arial"/>
          <w:color w:val="000000"/>
          <w:lang w:val="es-ES_tradnl" w:eastAsia="es-ES_tradnl"/>
        </w:rPr>
      </w:pPr>
    </w:p>
    <w:p w14:paraId="39AA3CB5" w14:textId="77777777" w:rsidR="005146EB" w:rsidRPr="008E6AD9" w:rsidRDefault="005146EB" w:rsidP="005146E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proofErr w:type="spellStart"/>
      <w:r w:rsidRPr="004E17CB">
        <w:rPr>
          <w:rFonts w:ascii="Verdana" w:eastAsia="Calibri" w:hAnsi="Verdana" w:cs="Arial"/>
          <w:lang w:val="es-ES" w:eastAsia="es-ES"/>
        </w:rPr>
        <w:t>Ascuntar</w:t>
      </w:r>
      <w:proofErr w:type="spellEnd"/>
      <w:r w:rsidRPr="004E17CB">
        <w:rPr>
          <w:rFonts w:ascii="Verdana" w:eastAsia="Calibri" w:hAnsi="Verdana" w:cs="Arial"/>
          <w:lang w:val="es-ES" w:eastAsia="es-ES"/>
        </w:rPr>
        <w:t xml:space="preserve"> Guerra</w:t>
      </w:r>
      <w:r w:rsidRPr="008E6AD9">
        <w:rPr>
          <w:rFonts w:ascii="Verdana" w:eastAsia="Calibri" w:hAnsi="Verdana" w:cs="Arial"/>
          <w:lang w:val="es-ES" w:eastAsia="es-ES"/>
        </w:rPr>
        <w:t xml:space="preserve">: </w:t>
      </w:r>
    </w:p>
    <w:p w14:paraId="52E7BA5A" w14:textId="77777777" w:rsidR="005146EB" w:rsidRDefault="005146EB" w:rsidP="005146E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EE4FD4B" w14:textId="77777777" w:rsidR="005146EB" w:rsidRPr="00593A5F" w:rsidRDefault="005146EB" w:rsidP="005146E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6 de febrero de 2026, donde pregunta lo siguiente</w:t>
      </w:r>
      <w:r w:rsidRPr="008E6AD9">
        <w:rPr>
          <w:rFonts w:ascii="Verdana" w:eastAsia="Calibri" w:hAnsi="Verdana" w:cs="Arial"/>
          <w:lang w:val="es-ES" w:eastAsia="es-ES"/>
        </w:rPr>
        <w:t xml:space="preserve">: </w:t>
      </w:r>
    </w:p>
    <w:p w14:paraId="51D5DD9E" w14:textId="77777777" w:rsidR="005146EB" w:rsidRPr="00272A7B" w:rsidRDefault="005146EB" w:rsidP="005146EB">
      <w:pPr>
        <w:pStyle w:val="Prrafodelista"/>
        <w:tabs>
          <w:tab w:val="left" w:pos="142"/>
          <w:tab w:val="left" w:pos="284"/>
        </w:tabs>
        <w:spacing w:after="0" w:line="276" w:lineRule="auto"/>
        <w:ind w:left="0"/>
        <w:jc w:val="both"/>
        <w:rPr>
          <w:rFonts w:ascii="Verdana" w:eastAsia="Century Gothic" w:hAnsi="Verdana" w:cs="Century Gothic"/>
          <w:b/>
          <w:bCs/>
        </w:rPr>
      </w:pPr>
    </w:p>
    <w:p w14:paraId="14A3D928" w14:textId="77777777" w:rsidR="005146EB" w:rsidRPr="0065556D" w:rsidRDefault="005146EB" w:rsidP="005146EB">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lastRenderedPageBreak/>
        <w:t>“</w:t>
      </w:r>
      <w:bookmarkEnd w:id="0"/>
      <w:r w:rsidRPr="0065556D">
        <w:rPr>
          <w:rFonts w:ascii="Verdana" w:eastAsia="Century Gothic" w:hAnsi="Verdana" w:cs="Century Gothic"/>
          <w:sz w:val="20"/>
          <w:szCs w:val="20"/>
          <w:lang w:val="es-ES"/>
        </w:rPr>
        <w:t>1. El acta de reinicio posterior a la fecha inicial pactada en el acta de suspensión goza de legalidad y validez o por el contrario su expedición se considera irregular y en consecuencia adolece de nulidad.</w:t>
      </w:r>
    </w:p>
    <w:p w14:paraId="6CCE9671" w14:textId="77777777" w:rsidR="005146EB" w:rsidRPr="0065556D"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2. Es facultativo u obligatorio cancelar el valor monetario de las actividades realizadas por fuera del plazo de ejecución del contrato, al considerarse este como un elemento esencial del mismo y ausentarse acto modificatorio de ampliación o prorroga en el tiempo.</w:t>
      </w:r>
    </w:p>
    <w:p w14:paraId="4C6E4EC2" w14:textId="77777777" w:rsidR="005146EB"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3. Es facultativo u obligatorio cancelar el valor monetario de las actividades realizadas por fuera del plazo de ejecución sin encontrarse las garantías (pólizas) vigentes al momento del pago. </w:t>
      </w:r>
    </w:p>
    <w:p w14:paraId="3ED03CEC" w14:textId="77777777" w:rsidR="005146EB" w:rsidRPr="0065556D"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4. Los anexos modificatorios que adicionan o superan el 50% del valor inicial del contrato </w:t>
      </w:r>
    </w:p>
    <w:p w14:paraId="55BDF868" w14:textId="77777777" w:rsidR="005146EB"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a. ¿Estos gozan de nulidad absoluta y debe realizarse acto administrativo de revocatoria? </w:t>
      </w:r>
    </w:p>
    <w:p w14:paraId="73EFA357" w14:textId="77777777" w:rsidR="005146EB" w:rsidRPr="0065556D"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b. ¿De realizarse acto administrativo de revocatoria cual sería el correcto procedimiento para dejar sin efectos el mismo en la etapa de ejecución y como en la etapa </w:t>
      </w:r>
      <w:proofErr w:type="spellStart"/>
      <w:r w:rsidRPr="0065556D">
        <w:rPr>
          <w:rFonts w:ascii="Verdana" w:eastAsia="Century Gothic" w:hAnsi="Verdana" w:cs="Century Gothic"/>
          <w:sz w:val="20"/>
          <w:szCs w:val="20"/>
          <w:lang w:val="es-ES"/>
        </w:rPr>
        <w:t>poscontractual</w:t>
      </w:r>
      <w:proofErr w:type="spellEnd"/>
      <w:r w:rsidRPr="0065556D">
        <w:rPr>
          <w:rFonts w:ascii="Verdana" w:eastAsia="Century Gothic" w:hAnsi="Verdana" w:cs="Century Gothic"/>
          <w:sz w:val="20"/>
          <w:szCs w:val="20"/>
          <w:lang w:val="es-ES"/>
        </w:rPr>
        <w:t xml:space="preserve"> o de liquidación?</w:t>
      </w:r>
    </w:p>
    <w:p w14:paraId="4B5A4095" w14:textId="77777777" w:rsidR="005146EB" w:rsidRPr="0065556D"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c. ¿La nulidad absoluta recae sobre todos aquellos modificatorios, incluyendo aquellos que se legalizaron sin haber superado el tope máximo o únicamente para aquellos que lo superaron?</w:t>
      </w:r>
    </w:p>
    <w:p w14:paraId="606C7742" w14:textId="77777777" w:rsidR="005146EB" w:rsidRDefault="005146EB" w:rsidP="005146EB">
      <w:pPr>
        <w:spacing w:after="12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5. Es procedente realizar el pago de obligaciones adeudas al contratista a través de resolución de vigencia expirada terminado el plazo de ejecución del contrato sin acta de liquidación o es obligatorio realizar dicho acto y posteriormente cancelar el valor debitado al contratista. </w:t>
      </w:r>
    </w:p>
    <w:p w14:paraId="3C2804BB" w14:textId="77777777" w:rsidR="005146EB" w:rsidRPr="001904AF" w:rsidRDefault="005146EB" w:rsidP="005146EB">
      <w:pPr>
        <w:spacing w:after="0" w:line="240" w:lineRule="auto"/>
        <w:ind w:left="709" w:right="709"/>
        <w:jc w:val="both"/>
        <w:rPr>
          <w:rFonts w:ascii="Verdana" w:eastAsia="Century Gothic" w:hAnsi="Verdana" w:cs="Century Gothic"/>
          <w:sz w:val="20"/>
          <w:szCs w:val="20"/>
          <w:lang w:val="es-ES"/>
        </w:rPr>
      </w:pPr>
      <w:r w:rsidRPr="0065556D">
        <w:rPr>
          <w:rFonts w:ascii="Verdana" w:eastAsia="Century Gothic" w:hAnsi="Verdana" w:cs="Century Gothic"/>
          <w:sz w:val="20"/>
          <w:szCs w:val="20"/>
          <w:lang w:val="es-ES"/>
        </w:rPr>
        <w:t xml:space="preserve">6. Es posible cancelar el valor monetario de obligaciones adeudas al contratista una vez se ha perdido competencia para liquidar bilateral, unilateral o judicialmente y de ser positivo cual sería </w:t>
      </w:r>
      <w:proofErr w:type="gramStart"/>
      <w:r w:rsidRPr="0065556D">
        <w:rPr>
          <w:rFonts w:ascii="Verdana" w:eastAsia="Century Gothic" w:hAnsi="Verdana" w:cs="Century Gothic"/>
          <w:sz w:val="20"/>
          <w:szCs w:val="20"/>
          <w:lang w:val="es-ES"/>
        </w:rPr>
        <w:t>el procedimiento a realizarse</w:t>
      </w:r>
      <w:proofErr w:type="gramEnd"/>
      <w:r w:rsidRPr="0065556D">
        <w:rPr>
          <w:rFonts w:ascii="Verdana" w:eastAsia="Century Gothic" w:hAnsi="Verdana" w:cs="Century Gothic"/>
          <w:sz w:val="20"/>
          <w:szCs w:val="20"/>
          <w:lang w:val="es-ES"/>
        </w:rPr>
        <w:t xml:space="preserve"> y de ser negativa cual sería la acción judicial y/o administrativa por parte del contratista para la cancelación del saldo adeudado</w:t>
      </w:r>
      <w:r w:rsidRPr="001904AF">
        <w:rPr>
          <w:rFonts w:ascii="Verdana" w:eastAsia="Century Gothic" w:hAnsi="Verdana" w:cs="Century Gothic"/>
          <w:sz w:val="20"/>
          <w:szCs w:val="20"/>
          <w:lang w:val="es-ES"/>
        </w:rPr>
        <w:t>”.</w:t>
      </w:r>
    </w:p>
    <w:p w14:paraId="664A4708" w14:textId="77777777" w:rsidR="005146EB" w:rsidRPr="008E6AD9" w:rsidRDefault="005146EB" w:rsidP="005146EB">
      <w:pPr>
        <w:pStyle w:val="Prrafodelista"/>
        <w:tabs>
          <w:tab w:val="left" w:pos="142"/>
          <w:tab w:val="left" w:pos="284"/>
        </w:tabs>
        <w:spacing w:after="0" w:line="276" w:lineRule="auto"/>
        <w:ind w:left="0"/>
        <w:jc w:val="both"/>
        <w:rPr>
          <w:rFonts w:ascii="Verdana" w:eastAsia="Century Gothic" w:hAnsi="Verdana" w:cs="Century Gothic"/>
          <w:b/>
          <w:bCs/>
        </w:rPr>
      </w:pPr>
    </w:p>
    <w:p w14:paraId="4A93FA96" w14:textId="77777777" w:rsidR="005146EB" w:rsidRPr="00A652FF" w:rsidRDefault="005146EB" w:rsidP="005146E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w:t>
      </w:r>
      <w:r w:rsidRPr="00593A5F">
        <w:rPr>
          <w:rFonts w:ascii="Verdana" w:eastAsia="Calibri" w:hAnsi="Verdana" w:cs="Arial"/>
          <w:color w:val="000000"/>
          <w:lang w:val="es-ES" w:eastAsia="es-ES"/>
        </w:rPr>
        <w:lastRenderedPageBreak/>
        <w:t xml:space="preserve">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A012FEC" w14:textId="77777777" w:rsidR="005146EB" w:rsidRDefault="005146EB" w:rsidP="005146E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A984C00" w14:textId="77777777" w:rsidR="005146EB" w:rsidRPr="00593A5F" w:rsidRDefault="005146EB" w:rsidP="005146EB">
      <w:pPr>
        <w:spacing w:after="0" w:line="276" w:lineRule="auto"/>
        <w:ind w:firstLine="709"/>
        <w:jc w:val="both"/>
        <w:rPr>
          <w:rFonts w:ascii="Verdana" w:eastAsia="Calibri" w:hAnsi="Verdana" w:cs="Arial"/>
          <w:color w:val="000000"/>
          <w:lang w:val="es-ES" w:eastAsia="es-ES"/>
        </w:rPr>
      </w:pPr>
    </w:p>
    <w:p w14:paraId="0FA8589F" w14:textId="77777777" w:rsidR="005146EB" w:rsidRPr="00593A5F" w:rsidRDefault="005146EB" w:rsidP="005146E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485C7D37" w14:textId="77777777" w:rsidR="005146EB" w:rsidRPr="00593A5F" w:rsidRDefault="005146EB" w:rsidP="005146EB">
      <w:pPr>
        <w:tabs>
          <w:tab w:val="left" w:pos="426"/>
        </w:tabs>
        <w:spacing w:after="0" w:line="276" w:lineRule="auto"/>
        <w:jc w:val="both"/>
        <w:rPr>
          <w:rFonts w:ascii="Verdana" w:eastAsia="Century Gothic" w:hAnsi="Verdana" w:cs="Century Gothic"/>
          <w:lang w:val="es-ES"/>
        </w:rPr>
      </w:pPr>
    </w:p>
    <w:p w14:paraId="1F3C7C53" w14:textId="77777777" w:rsidR="005146EB" w:rsidRPr="00593A5F" w:rsidRDefault="005146EB" w:rsidP="005146E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¿en qué consiste la suspensión del contrato y cómo puede ser pactada por las partes?, </w:t>
      </w:r>
      <w:proofErr w:type="spellStart"/>
      <w:r>
        <w:rPr>
          <w:rFonts w:ascii="Verdana" w:eastAsia="Century Gothic" w:hAnsi="Verdana" w:cs="Century Gothic"/>
        </w:rPr>
        <w:t>ii</w:t>
      </w:r>
      <w:proofErr w:type="spellEnd"/>
      <w:r>
        <w:rPr>
          <w:rFonts w:ascii="Verdana" w:eastAsia="Century Gothic" w:hAnsi="Verdana" w:cs="Century Gothic"/>
        </w:rPr>
        <w:t xml:space="preserve">) ¿es posible cumplir obligaciones contractuales fuera del plazo de ejecución?, </w:t>
      </w:r>
      <w:proofErr w:type="spellStart"/>
      <w:r>
        <w:rPr>
          <w:rFonts w:ascii="Verdana" w:eastAsia="Century Gothic" w:hAnsi="Verdana" w:cs="Century Gothic"/>
        </w:rPr>
        <w:t>iii</w:t>
      </w:r>
      <w:proofErr w:type="spellEnd"/>
      <w:r>
        <w:rPr>
          <w:rFonts w:ascii="Verdana" w:eastAsia="Century Gothic" w:hAnsi="Verdana" w:cs="Century Gothic"/>
        </w:rPr>
        <w:t xml:space="preserve">) ¿cuál es la consecuencia de la falta de aprobación de las garantías o del incumplimiento de los criterios de cobertura y suficiencia?, </w:t>
      </w:r>
      <w:proofErr w:type="spellStart"/>
      <w:r>
        <w:rPr>
          <w:rFonts w:ascii="Verdana" w:eastAsia="Century Gothic" w:hAnsi="Verdana" w:cs="Century Gothic"/>
        </w:rPr>
        <w:t>iv</w:t>
      </w:r>
      <w:proofErr w:type="spellEnd"/>
      <w:r>
        <w:rPr>
          <w:rFonts w:ascii="Verdana" w:eastAsia="Century Gothic" w:hAnsi="Verdana" w:cs="Century Gothic"/>
        </w:rPr>
        <w:t xml:space="preserve">) ¿cuál es el efecto derivado de sobrepasar el límite de adiciones previsto en la Ley 80 de 1993? y v) ¿es posible liquidar y hacer reconocimientos económicos fuera del plazo de caducidad del medio de control de controversias contractuales? </w:t>
      </w:r>
    </w:p>
    <w:p w14:paraId="6E7A51B8" w14:textId="77777777" w:rsidR="005146EB" w:rsidRPr="004B140F" w:rsidRDefault="005146EB" w:rsidP="005146EB">
      <w:pPr>
        <w:spacing w:after="0" w:line="276" w:lineRule="auto"/>
        <w:jc w:val="both"/>
        <w:rPr>
          <w:rFonts w:ascii="Verdana" w:eastAsia="Calibri" w:hAnsi="Verdana" w:cs="Arial"/>
          <w:color w:val="7030A0"/>
        </w:rPr>
      </w:pPr>
    </w:p>
    <w:p w14:paraId="659DEA51" w14:textId="77777777" w:rsidR="005146EB" w:rsidRPr="00593A5F" w:rsidRDefault="005146EB" w:rsidP="005146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7633039C" w14:textId="77777777" w:rsidR="005146EB" w:rsidRPr="00593A5F" w:rsidRDefault="005146EB" w:rsidP="005146E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46EB" w:rsidRPr="00593A5F" w14:paraId="5B4DAC74" w14:textId="77777777" w:rsidTr="00D9504B">
        <w:trPr>
          <w:jc w:val="center"/>
        </w:trPr>
        <w:tc>
          <w:tcPr>
            <w:tcW w:w="8828" w:type="dxa"/>
          </w:tcPr>
          <w:p w14:paraId="1E1E5DE0" w14:textId="12B4E086" w:rsidR="005146EB" w:rsidRDefault="005146EB" w:rsidP="00D9504B">
            <w:pPr>
              <w:spacing w:after="120" w:line="276" w:lineRule="auto"/>
              <w:jc w:val="both"/>
              <w:rPr>
                <w:rFonts w:ascii="Verdana" w:eastAsia="Times New Roman" w:hAnsi="Verdana" w:cs="Arial"/>
                <w:color w:val="000000"/>
                <w:lang w:val="es-ES_tradnl" w:eastAsia="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1F495D">
              <w:rPr>
                <w:rFonts w:ascii="Verdana" w:eastAsia="Times New Roman" w:hAnsi="Verdana" w:cs="Arial"/>
                <w:color w:val="000000"/>
                <w:lang w:val="es-ES_tradnl" w:eastAsia="es-ES_tradnl"/>
              </w:rPr>
              <w:t xml:space="preserve">cuando se suscribe un </w:t>
            </w:r>
            <w:r w:rsidRPr="001F495D">
              <w:rPr>
                <w:rFonts w:ascii="Verdana" w:eastAsia="Times New Roman" w:hAnsi="Verdana" w:cs="Arial"/>
                <w:i/>
                <w:iCs/>
                <w:color w:val="000000"/>
                <w:lang w:val="es-ES_tradnl" w:eastAsia="es-ES_tradnl"/>
              </w:rPr>
              <w:t>acta de suspensión</w:t>
            </w:r>
            <w:r w:rsidRPr="001F495D">
              <w:rPr>
                <w:rFonts w:ascii="Verdana" w:eastAsia="Times New Roman" w:hAnsi="Verdana" w:cs="Arial"/>
                <w:color w:val="000000"/>
                <w:lang w:val="es-ES_tradnl" w:eastAsia="es-ES_tradnl"/>
              </w:rPr>
              <w:t xml:space="preserve"> puede establecerse, en ejercicio de la autonomía de la voluntad, que el plazo del contrato se reactivará una vez se firme el </w:t>
            </w:r>
            <w:r w:rsidRPr="001F495D">
              <w:rPr>
                <w:rFonts w:ascii="Verdana" w:eastAsia="Times New Roman" w:hAnsi="Verdana" w:cs="Arial"/>
                <w:i/>
                <w:iCs/>
                <w:color w:val="000000"/>
                <w:lang w:val="es-ES_tradnl" w:eastAsia="es-ES_tradnl"/>
              </w:rPr>
              <w:t>acta de reinicio</w:t>
            </w:r>
            <w:r w:rsidRPr="001F495D">
              <w:rPr>
                <w:rFonts w:ascii="Verdana" w:eastAsia="Times New Roman" w:hAnsi="Verdana" w:cs="Arial"/>
                <w:color w:val="000000"/>
                <w:lang w:val="es-ES_tradnl" w:eastAsia="es-ES_tradnl"/>
              </w:rPr>
              <w:t xml:space="preserve"> correspondiente. Esto sin perjuicio de que,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w:t>
            </w:r>
            <w:r>
              <w:rPr>
                <w:rFonts w:ascii="Verdana" w:eastAsia="Times New Roman" w:hAnsi="Verdana" w:cs="Arial"/>
                <w:color w:val="000000"/>
                <w:lang w:val="es-ES_tradnl" w:eastAsia="es-ES_tradnl"/>
              </w:rPr>
              <w:t xml:space="preserve">De esta manera, el reinicio del plazo de ejecución contractual depende de lo pactado por las partes; razón por la cual, con sujeción a lo acordado previamente con a la entidad </w:t>
            </w:r>
            <w:r>
              <w:rPr>
                <w:rFonts w:ascii="Verdana" w:eastAsia="Times New Roman" w:hAnsi="Verdana" w:cs="Arial"/>
                <w:color w:val="000000"/>
                <w:lang w:val="es-ES_tradnl" w:eastAsia="es-ES_tradnl"/>
              </w:rPr>
              <w:lastRenderedPageBreak/>
              <w:t>contratante, se juzgará la adecuación de las actuaciones adelantadas posteriormente por el contratista. (Respuesta a la pregunta 1)</w:t>
            </w:r>
          </w:p>
          <w:p w14:paraId="0E042AED" w14:textId="77777777" w:rsidR="005146EB" w:rsidRDefault="005146EB" w:rsidP="00D9504B">
            <w:pPr>
              <w:spacing w:after="120" w:line="276" w:lineRule="auto"/>
              <w:ind w:firstLine="737"/>
              <w:jc w:val="both"/>
              <w:rPr>
                <w:rFonts w:ascii="Verdana" w:eastAsia="Calibri" w:hAnsi="Verdana" w:cs="Arial"/>
                <w:color w:val="000000"/>
                <w:lang w:val="es-ES_tradnl"/>
              </w:rPr>
            </w:pPr>
            <w:r>
              <w:rPr>
                <w:rFonts w:ascii="Verdana" w:eastAsia="Times New Roman" w:hAnsi="Verdana" w:cs="Arial"/>
                <w:lang w:eastAsia="es-CO"/>
              </w:rPr>
              <w:t>Asimismo, por</w:t>
            </w:r>
            <w:r>
              <w:rPr>
                <w:rFonts w:ascii="Verdana" w:eastAsia="Times New Roman" w:hAnsi="Verdana" w:cs="Arial"/>
                <w:color w:val="000000"/>
                <w:lang w:val="es-ES_tradnl" w:eastAsia="es-ES_tradnl"/>
              </w:rPr>
              <w:t xml:space="preserve"> remisión de los artículos 13, 32 y 40 de la Ley 80 de 1993 a las normas de derecho privado,</w:t>
            </w:r>
            <w:r w:rsidRPr="00E15D88">
              <w:rPr>
                <w:rFonts w:ascii="Verdana" w:eastAsia="Calibri" w:hAnsi="Verdana" w:cs="Arial"/>
                <w:color w:val="000000" w:themeColor="text1"/>
              </w:rPr>
              <w:t xml:space="preserve"> el vencimiento del </w:t>
            </w:r>
            <w:r w:rsidRPr="00E15D88">
              <w:rPr>
                <w:rFonts w:ascii="Verdana" w:eastAsia="Calibri" w:hAnsi="Verdana" w:cs="Arial"/>
                <w:i/>
                <w:iCs/>
                <w:color w:val="000000" w:themeColor="text1"/>
              </w:rPr>
              <w:t>plazo de ejecución</w:t>
            </w:r>
            <w:r w:rsidRPr="00E15D88">
              <w:rPr>
                <w:rFonts w:ascii="Verdana" w:eastAsia="Calibri" w:hAnsi="Verdana" w:cs="Arial"/>
                <w:color w:val="000000" w:themeColor="text1"/>
              </w:rPr>
              <w:t xml:space="preserve"> no impide que la entidad reciba las tareas realizadas fuera de este término ni equivale a la imposibilidad de que el contratista realice prestaciones extemporáneas</w:t>
            </w:r>
            <w:r>
              <w:rPr>
                <w:rFonts w:ascii="Verdana" w:eastAsia="Calibri" w:hAnsi="Verdana" w:cs="Arial"/>
                <w:color w:val="000000" w:themeColor="text1"/>
              </w:rPr>
              <w:t xml:space="preserve">. Sin embargo, no basta solo con ejecutar las prestaciones por fuera del plazo del contrato sino que estas deben ser consentidas por la entidad contratante, de manera que </w:t>
            </w:r>
            <w:r w:rsidRPr="00D96DE3">
              <w:rPr>
                <w:rFonts w:ascii="Verdana" w:eastAsia="Calibri" w:hAnsi="Verdana" w:cs="Arial"/>
                <w:color w:val="000000"/>
                <w:lang w:val="es-ES_tradnl"/>
              </w:rPr>
              <w:t>la contraprestación quedará sujeta a la aceptación de dichas actividades por parte de la entidad y siempre que aquellas cumplan con su propósito de satisfacer el interés público por el cual se concibió el contrato.</w:t>
            </w:r>
            <w:r>
              <w:rPr>
                <w:rFonts w:ascii="Verdana" w:eastAsia="Calibri" w:hAnsi="Verdana" w:cs="Arial"/>
                <w:color w:val="000000"/>
                <w:lang w:val="es-ES_tradnl"/>
              </w:rPr>
              <w:t xml:space="preserve"> </w:t>
            </w:r>
            <w:r w:rsidRPr="00D96DE3">
              <w:rPr>
                <w:rFonts w:ascii="Verdana" w:eastAsia="Calibri" w:hAnsi="Verdana" w:cs="Arial"/>
                <w:color w:val="000000"/>
                <w:lang w:val="es-ES_tradnl"/>
              </w:rPr>
              <w:t xml:space="preserve">De este modo, si la entidad acepta las prestaciones ejecutadas por fuera del plazo </w:t>
            </w:r>
            <w:r>
              <w:rPr>
                <w:rFonts w:ascii="Verdana" w:eastAsia="Calibri" w:hAnsi="Verdana" w:cs="Arial"/>
                <w:color w:val="000000"/>
                <w:lang w:val="es-ES_tradnl"/>
              </w:rPr>
              <w:t xml:space="preserve">de ejecución </w:t>
            </w:r>
            <w:r w:rsidRPr="00D96DE3">
              <w:rPr>
                <w:rFonts w:ascii="Verdana" w:eastAsia="Calibri" w:hAnsi="Verdana" w:cs="Arial"/>
                <w:color w:val="000000"/>
                <w:lang w:val="es-ES_tradnl"/>
              </w:rPr>
              <w:t>del contrato, es procedente que el contratista reciba la contraprestación de las actividades ejecutadas y recibidas a satisfacción</w:t>
            </w:r>
            <w:r>
              <w:rPr>
                <w:rFonts w:ascii="Verdana" w:eastAsia="Calibri" w:hAnsi="Verdana" w:cs="Arial"/>
                <w:color w:val="000000"/>
                <w:lang w:val="es-ES_tradnl"/>
              </w:rPr>
              <w:t>. (Respuesta a la pregunta 2)</w:t>
            </w:r>
          </w:p>
          <w:p w14:paraId="50EF83B0" w14:textId="77777777" w:rsidR="005146EB" w:rsidRPr="000C0EFB" w:rsidRDefault="005146EB" w:rsidP="00D9504B">
            <w:pPr>
              <w:spacing w:after="120" w:line="276" w:lineRule="auto"/>
              <w:ind w:firstLine="737"/>
              <w:jc w:val="both"/>
              <w:rPr>
                <w:rFonts w:ascii="Verdana" w:eastAsia="Times New Roman" w:hAnsi="Verdana" w:cs="Arial"/>
                <w:lang w:eastAsia="es-CO"/>
              </w:rPr>
            </w:pPr>
            <w:r>
              <w:rPr>
                <w:rFonts w:ascii="Verdana" w:eastAsia="Times New Roman" w:hAnsi="Verdana" w:cs="Arial"/>
                <w:color w:val="000000"/>
                <w:lang w:val="es-ES_tradnl" w:eastAsia="es-CO"/>
              </w:rPr>
              <w:t xml:space="preserve">Por otra parte, </w:t>
            </w:r>
            <w:r w:rsidRPr="00D03CE3">
              <w:rPr>
                <w:rFonts w:ascii="Verdana" w:hAnsi="Verdana" w:cs="Arial"/>
                <w:color w:val="000000" w:themeColor="text1"/>
                <w:lang w:val="es-ES_tradnl"/>
              </w:rPr>
              <w:t xml:space="preserve">con la aprobación de las garantías la entidad estatal </w:t>
            </w:r>
            <w:r w:rsidRPr="00D03CE3">
              <w:rPr>
                <w:rFonts w:ascii="Verdana" w:hAnsi="Verdana" w:cs="Arial"/>
                <w:color w:val="000000" w:themeColor="text1"/>
                <w:lang w:eastAsia="es-CO"/>
              </w:rPr>
              <w:t xml:space="preserve">estará acreditando el cumplimiento de la obligación del artículo 7 de la Ley 1150 de 2007, </w:t>
            </w:r>
            <w:r w:rsidRPr="00D03CE3">
              <w:rPr>
                <w:rFonts w:ascii="Verdana" w:hAnsi="Verdana" w:cs="Arial"/>
                <w:color w:val="000000" w:themeColor="text1"/>
                <w:lang w:val="es-ES_tradnl"/>
              </w:rPr>
              <w:t>y entonces el contrato podrá ejecutarse, siempre que se cumplan los demás requisitos establece el artículo 41 de la Ley 80 de 1993</w:t>
            </w:r>
            <w:r>
              <w:rPr>
                <w:rFonts w:ascii="Verdana" w:hAnsi="Verdana" w:cs="Arial"/>
                <w:color w:val="000000" w:themeColor="text1"/>
                <w:lang w:val="es-ES_tradnl"/>
              </w:rPr>
              <w:t>. Por tanto, los pagos autorizados sin la aprobación de las garantías o sin los requisitos de cobertura y suficiencia comprometen la responsabilidad</w:t>
            </w:r>
            <w:r w:rsidRPr="00D03CE3">
              <w:rPr>
                <w:rFonts w:ascii="Verdana" w:hAnsi="Verdana" w:cs="Arial"/>
                <w:color w:val="000000" w:themeColor="text1"/>
                <w:lang w:val="es-ES_tradnl"/>
              </w:rPr>
              <w:t xml:space="preserve"> </w:t>
            </w:r>
            <w:r>
              <w:rPr>
                <w:rFonts w:ascii="Verdana" w:hAnsi="Verdana" w:cs="Arial"/>
                <w:color w:val="000000" w:themeColor="text1"/>
                <w:lang w:val="es-ES_tradnl"/>
              </w:rPr>
              <w:t>de los servidores públicos implicados en la gestión contractual</w:t>
            </w:r>
            <w:r w:rsidRPr="00D03CE3">
              <w:rPr>
                <w:rFonts w:ascii="Verdana" w:hAnsi="Verdana" w:cs="Arial"/>
                <w:color w:val="000000" w:themeColor="text1"/>
                <w:lang w:val="es-ES"/>
              </w:rPr>
              <w:t>.</w:t>
            </w:r>
            <w:r>
              <w:rPr>
                <w:rFonts w:ascii="Verdana" w:hAnsi="Verdana" w:cs="Arial"/>
                <w:color w:val="000000" w:themeColor="text1"/>
                <w:lang w:val="es-ES"/>
              </w:rPr>
              <w:t xml:space="preserve"> (Respuesta a la pregunta 3)</w:t>
            </w:r>
          </w:p>
          <w:p w14:paraId="0F9BDC9E" w14:textId="77777777" w:rsidR="005146EB" w:rsidRDefault="005146EB" w:rsidP="00D9504B">
            <w:pPr>
              <w:pStyle w:val="Textoindependiente"/>
              <w:ind w:right="108" w:firstLine="737"/>
              <w:jc w:val="both"/>
              <w:rPr>
                <w:rFonts w:ascii="Verdana" w:hAnsi="Verdana"/>
              </w:rPr>
            </w:pPr>
            <w:r>
              <w:rPr>
                <w:rFonts w:ascii="Verdana" w:eastAsia="Times New Roman" w:hAnsi="Verdana" w:cs="Arial"/>
              </w:rPr>
              <w:t xml:space="preserve">Además, </w:t>
            </w:r>
            <w:r>
              <w:rPr>
                <w:rFonts w:ascii="Verdana" w:hAnsi="Verdana"/>
              </w:rPr>
              <w:t>el inciso segundo del parágrafo del artículo 40 del Estatuto General dispone que “</w:t>
            </w:r>
            <w:r w:rsidRPr="00081E5F">
              <w:rPr>
                <w:rFonts w:ascii="Verdana" w:hAnsi="Verdana"/>
              </w:rPr>
              <w:t>Los contratos no podrán adicionarse en más del cincuenta por ciento (50%) de su valor inicial, expresado éste en salarios mínimos legales mensuales</w:t>
            </w:r>
            <w:r>
              <w:rPr>
                <w:rFonts w:ascii="Verdana" w:hAnsi="Verdana"/>
              </w:rPr>
              <w:t>”</w:t>
            </w:r>
            <w:r w:rsidRPr="00081E5F">
              <w:rPr>
                <w:rFonts w:ascii="Verdana" w:hAnsi="Verdana"/>
              </w:rPr>
              <w:t>.</w:t>
            </w:r>
            <w:r>
              <w:rPr>
                <w:rFonts w:ascii="Verdana" w:hAnsi="Verdana"/>
              </w:rPr>
              <w:t xml:space="preserve"> Los negocios que superen este tope están prohibidos; razón por la cual, si están viciados de nulidad absoluta –artículo 44.2 de la Ley 80 de 1993–, es posible la terminación unilateral –artículo 45 </w:t>
            </w:r>
            <w:r w:rsidRPr="00D14475">
              <w:rPr>
                <w:rFonts w:ascii="Verdana" w:hAnsi="Verdana"/>
                <w:i/>
                <w:iCs/>
              </w:rPr>
              <w:t>ibidem</w:t>
            </w:r>
            <w:r>
              <w:rPr>
                <w:rFonts w:ascii="Verdana" w:hAnsi="Verdana"/>
              </w:rPr>
              <w:t xml:space="preserve">, inciso segundo–. Esta potestad tiene naturaleza </w:t>
            </w:r>
            <w:r w:rsidRPr="00D14475">
              <w:rPr>
                <w:rFonts w:ascii="Verdana" w:hAnsi="Verdana"/>
              </w:rPr>
              <w:t xml:space="preserve">administrativa y contractual, </w:t>
            </w:r>
            <w:r>
              <w:rPr>
                <w:rFonts w:ascii="Verdana" w:hAnsi="Verdana"/>
              </w:rPr>
              <w:t xml:space="preserve">por lo que –a diferencia de la caducidad o la imposición de las multas o la cláusula penal– no implica una sanción para el contratista que lo inhabilite para participar en otros procesos de selección, decisión que además faculta al afectado para reclamar las compensaciones económicas e indemnizaciones de que trata el artículo 14.1 del EGCAP. </w:t>
            </w:r>
          </w:p>
          <w:p w14:paraId="696B5F87" w14:textId="77777777" w:rsidR="005146EB" w:rsidRDefault="005146EB" w:rsidP="00D9504B">
            <w:pPr>
              <w:pStyle w:val="Textoindependiente"/>
              <w:spacing w:after="0"/>
              <w:ind w:right="108" w:firstLine="708"/>
              <w:jc w:val="both"/>
              <w:rPr>
                <w:rFonts w:ascii="Verdana" w:hAnsi="Verdana"/>
              </w:rPr>
            </w:pPr>
            <w:r>
              <w:rPr>
                <w:rFonts w:ascii="Verdana" w:hAnsi="Verdana"/>
              </w:rPr>
              <w:lastRenderedPageBreak/>
              <w:t xml:space="preserve">Luego, teniendo en cuenta la remisión del artículo 77 de la Ley 80 de 1993 a las “[…] </w:t>
            </w:r>
            <w:r w:rsidRPr="00EE267C">
              <w:rPr>
                <w:rFonts w:ascii="Verdana" w:hAnsi="Verdana"/>
              </w:rPr>
              <w:t>las normas que rigen los procedimientos y actuaciones en la función administrativa</w:t>
            </w:r>
            <w:r>
              <w:rPr>
                <w:rFonts w:ascii="Verdana" w:hAnsi="Verdana"/>
              </w:rPr>
              <w:t xml:space="preserve"> […]”, es aplicable el procedimiento administrativo general de los artículos 34 y siguientes de la Ley 1437 de 2011. Por lo demás, dado que el artículo 47 del EGCAP establece que “</w:t>
            </w:r>
            <w:r w:rsidRPr="00EE267C">
              <w:rPr>
                <w:rFonts w:ascii="Verdana" w:hAnsi="Verdana"/>
              </w:rPr>
              <w:t>La nulidad de alguna o algunas cláusulas de un contrato, no invalidará la totalidad del acto, salvo cuando este no pudiese existir sin la parte viciada</w:t>
            </w:r>
            <w:r>
              <w:rPr>
                <w:rFonts w:ascii="Verdana" w:hAnsi="Verdana"/>
              </w:rPr>
              <w:t xml:space="preserve">”, la terminación unilateral del inciso segundo del artículo 45 </w:t>
            </w:r>
            <w:r w:rsidRPr="00EE267C">
              <w:rPr>
                <w:rFonts w:ascii="Verdana" w:hAnsi="Verdana"/>
                <w:i/>
                <w:iCs/>
              </w:rPr>
              <w:t>ibidem</w:t>
            </w:r>
            <w:r>
              <w:rPr>
                <w:rFonts w:ascii="Verdana" w:hAnsi="Verdana"/>
              </w:rPr>
              <w:t xml:space="preserve"> no afecta las estipulaciones respetuosas del límite de adiciones previsto en el parágrafo del artículo 40 del Estatuto General</w:t>
            </w:r>
            <w:r w:rsidRPr="00EE267C">
              <w:rPr>
                <w:rFonts w:ascii="Verdana" w:hAnsi="Verdana"/>
              </w:rPr>
              <w:t>.</w:t>
            </w:r>
            <w:r>
              <w:rPr>
                <w:rFonts w:ascii="Verdana" w:hAnsi="Verdana"/>
              </w:rPr>
              <w:t xml:space="preserve"> (Respuesta a los literales a, b y c de la pregunta 3)</w:t>
            </w:r>
          </w:p>
          <w:p w14:paraId="573CBED8" w14:textId="77777777" w:rsidR="005146EB" w:rsidRDefault="005146EB" w:rsidP="00D9504B">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Finalmente, d</w:t>
            </w:r>
            <w:r w:rsidRPr="004D4EB9">
              <w:rPr>
                <w:rFonts w:ascii="Verdana" w:eastAsia="Times New Roman" w:hAnsi="Verdana" w:cs="Arial"/>
                <w:lang w:eastAsia="es-CO"/>
              </w:rPr>
              <w:t>e acuerdo con las condiciones que hayan pactado las partes, es posible hacer el último pago contra la firma del acta de liquidación. Si no se ha previsto esta situación, también es posible hacer dicho pago antes de que finalice el plazo para liquidar. Sin embargo, salvo restricción normativa al respecto, las partes pueden determinar cómo se articula el último pago al contratista con el cruce final de cuentas.</w:t>
            </w:r>
            <w:r>
              <w:rPr>
                <w:rFonts w:ascii="Verdana" w:eastAsia="Times New Roman" w:hAnsi="Verdana" w:cs="Arial"/>
                <w:lang w:eastAsia="es-CO"/>
              </w:rPr>
              <w:t xml:space="preserve"> (Respuesta a la pregunta 5)</w:t>
            </w:r>
          </w:p>
          <w:p w14:paraId="50724786" w14:textId="77777777" w:rsidR="005146EB" w:rsidRPr="004D4EB9" w:rsidRDefault="005146EB" w:rsidP="00D9504B">
            <w:pPr>
              <w:spacing w:before="120" w:after="120" w:line="276" w:lineRule="auto"/>
              <w:ind w:firstLine="709"/>
              <w:jc w:val="both"/>
              <w:rPr>
                <w:rFonts w:ascii="Verdana" w:eastAsia="Times New Roman" w:hAnsi="Verdana" w:cs="Arial"/>
                <w:lang w:val="es-ES_tradnl" w:eastAsia="es-CO"/>
              </w:rPr>
            </w:pPr>
            <w:r>
              <w:rPr>
                <w:rFonts w:ascii="Verdana" w:eastAsia="Times New Roman" w:hAnsi="Verdana" w:cs="Arial"/>
                <w:lang w:val="es-ES_tradnl" w:eastAsia="es-CO"/>
              </w:rPr>
              <w:t xml:space="preserve">Sin embargo,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(Respuesta a la pregunta 6)  </w:t>
            </w:r>
          </w:p>
          <w:p w14:paraId="4B2EBE77" w14:textId="77777777" w:rsidR="005146EB" w:rsidRPr="001941FD" w:rsidRDefault="005146EB" w:rsidP="00D9504B">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DDDB415" w14:textId="77777777" w:rsidR="005146EB" w:rsidRPr="00593A5F" w:rsidRDefault="005146EB" w:rsidP="005146EB">
      <w:pPr>
        <w:tabs>
          <w:tab w:val="left" w:pos="142"/>
          <w:tab w:val="left" w:pos="284"/>
        </w:tabs>
        <w:spacing w:after="0" w:line="276" w:lineRule="auto"/>
        <w:jc w:val="both"/>
        <w:rPr>
          <w:rFonts w:ascii="Verdana" w:eastAsia="Century Gothic" w:hAnsi="Verdana" w:cs="Century Gothic"/>
          <w:b/>
          <w:bCs/>
          <w:lang w:val="es-ES"/>
        </w:rPr>
      </w:pPr>
    </w:p>
    <w:bookmarkEnd w:id="1"/>
    <w:p w14:paraId="4D527094" w14:textId="77777777" w:rsidR="005146EB" w:rsidRPr="00593A5F" w:rsidRDefault="005146EB" w:rsidP="005146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6EB5CDA2" w14:textId="77777777" w:rsidR="005146EB" w:rsidRPr="00593A5F" w:rsidRDefault="005146EB" w:rsidP="005146EB">
      <w:pPr>
        <w:spacing w:after="0" w:line="276" w:lineRule="auto"/>
        <w:jc w:val="both"/>
        <w:rPr>
          <w:rFonts w:ascii="Verdana" w:eastAsia="Calibri" w:hAnsi="Verdana" w:cs="Arial"/>
          <w:color w:val="7030A0"/>
          <w:lang w:val="es-ES"/>
        </w:rPr>
      </w:pPr>
    </w:p>
    <w:p w14:paraId="4F9EA0F5" w14:textId="77777777" w:rsidR="005146EB" w:rsidRDefault="005146EB" w:rsidP="005146E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391C06E" w14:textId="77777777" w:rsidR="005146EB" w:rsidRPr="00415608" w:rsidRDefault="005146EB" w:rsidP="005146EB">
      <w:pPr>
        <w:spacing w:after="0" w:line="276" w:lineRule="auto"/>
        <w:jc w:val="both"/>
        <w:rPr>
          <w:rFonts w:ascii="Verdana" w:eastAsia="Calibri" w:hAnsi="Verdana" w:cs="Arial"/>
          <w:lang w:val="es-ES"/>
        </w:rPr>
      </w:pPr>
    </w:p>
    <w:p w14:paraId="5990053D" w14:textId="77777777" w:rsidR="005146EB" w:rsidRPr="001F495D" w:rsidRDefault="005146EB" w:rsidP="005146EB">
      <w:pPr>
        <w:spacing w:after="0" w:line="276" w:lineRule="auto"/>
        <w:jc w:val="both"/>
        <w:rPr>
          <w:rFonts w:ascii="Verdana" w:eastAsia="Times New Roman" w:hAnsi="Verdana" w:cs="Arial"/>
          <w:color w:val="000000"/>
          <w:lang w:val="es-ES_tradnl" w:eastAsia="es-ES_tradnl"/>
        </w:rPr>
      </w:pPr>
      <w:r w:rsidRPr="001F495D">
        <w:rPr>
          <w:rFonts w:ascii="Verdana" w:eastAsia="Calibri" w:hAnsi="Verdana" w:cs="Arial"/>
          <w:color w:val="000000" w:themeColor="text1"/>
        </w:rPr>
        <w:t xml:space="preserve">i. </w:t>
      </w:r>
      <w:r w:rsidRPr="001F495D">
        <w:rPr>
          <w:rFonts w:ascii="Verdana" w:eastAsia="Times New Roman" w:hAnsi="Verdana" w:cs="Arial"/>
          <w:color w:val="000000"/>
          <w:lang w:val="es-ES_tradnl" w:eastAsia="es-ES_tradnl"/>
        </w:rPr>
        <w:t xml:space="preserve">La </w:t>
      </w:r>
      <w:r w:rsidRPr="001F495D">
        <w:rPr>
          <w:rFonts w:ascii="Verdana" w:eastAsia="Times New Roman" w:hAnsi="Verdana" w:cs="Arial"/>
          <w:i/>
          <w:iCs/>
          <w:color w:val="000000"/>
          <w:lang w:val="es-ES_tradnl" w:eastAsia="es-ES_tradnl"/>
        </w:rPr>
        <w:t>suspensión</w:t>
      </w:r>
      <w:r w:rsidRPr="001F495D">
        <w:rPr>
          <w:rFonts w:ascii="Verdana" w:eastAsia="Times New Roman" w:hAnsi="Verdana" w:cs="Arial"/>
          <w:color w:val="000000"/>
          <w:lang w:val="es-ES_tradnl" w:eastAsia="es-ES_tradnl"/>
        </w:rPr>
        <w:t xml:space="preserve"> es la medida por la cual se acuerda el cese provisional de la ejecución del contrato, por la ocurrencia de circunstancias que lo impiden o lo dificultan</w:t>
      </w:r>
      <w:r w:rsidRPr="001F495D">
        <w:rPr>
          <w:rStyle w:val="Refdenotaalpie"/>
          <w:rFonts w:ascii="Verdana" w:hAnsi="Verdana" w:cs="Arial"/>
        </w:rPr>
        <w:footnoteReference w:id="1"/>
      </w:r>
      <w:r w:rsidRPr="001F495D">
        <w:rPr>
          <w:rFonts w:ascii="Verdana" w:eastAsia="Times New Roman" w:hAnsi="Verdana" w:cs="Arial"/>
          <w:color w:val="000000"/>
          <w:lang w:val="es-ES_tradnl" w:eastAsia="es-ES_tradnl"/>
        </w:rPr>
        <w:t xml:space="preserve">.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1F495D">
        <w:rPr>
          <w:rFonts w:ascii="Verdana" w:eastAsia="Times New Roman" w:hAnsi="Verdana" w:cs="Arial"/>
          <w:i/>
          <w:iCs/>
          <w:color w:val="000000"/>
          <w:lang w:val="es-ES_tradnl" w:eastAsia="es-ES_tradnl"/>
        </w:rPr>
        <w:t>de facto</w:t>
      </w:r>
      <w:r w:rsidRPr="001F495D">
        <w:rPr>
          <w:rFonts w:ascii="Verdana" w:eastAsia="Times New Roman" w:hAnsi="Verdana" w:cs="Arial"/>
          <w:color w:val="000000"/>
          <w:lang w:val="es-ES_tradnl" w:eastAsia="es-ES_tradnl"/>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w:t>
      </w:r>
      <w:r w:rsidRPr="001F495D">
        <w:rPr>
          <w:rStyle w:val="Refdenotaalpie"/>
          <w:rFonts w:ascii="Verdana" w:hAnsi="Verdana" w:cs="Arial"/>
        </w:rPr>
        <w:footnoteReference w:id="2"/>
      </w:r>
      <w:r w:rsidRPr="001F495D">
        <w:rPr>
          <w:rFonts w:ascii="Verdana" w:eastAsia="Times New Roman" w:hAnsi="Verdana" w:cs="Arial"/>
          <w:color w:val="000000"/>
          <w:lang w:val="es-ES_tradnl" w:eastAsia="es-ES_tradnl"/>
        </w:rPr>
        <w:t>; es decir, por factores que constituyan razones de fuerza mayor o caso fortuito</w:t>
      </w:r>
      <w:r w:rsidRPr="001F495D">
        <w:rPr>
          <w:rStyle w:val="Refdenotaalpie"/>
          <w:rFonts w:ascii="Verdana" w:hAnsi="Verdana" w:cs="Arial"/>
        </w:rPr>
        <w:footnoteReference w:id="3"/>
      </w:r>
      <w:r w:rsidRPr="001F495D">
        <w:rPr>
          <w:rFonts w:ascii="Verdana" w:eastAsia="Times New Roman" w:hAnsi="Verdana" w:cs="Arial"/>
          <w:color w:val="000000"/>
          <w:lang w:val="es-ES_tradnl" w:eastAsia="es-ES_tradnl"/>
        </w:rPr>
        <w:t>.</w:t>
      </w:r>
    </w:p>
    <w:p w14:paraId="0525E7BB" w14:textId="77777777" w:rsidR="005146EB" w:rsidRPr="001F495D" w:rsidRDefault="005146EB" w:rsidP="005146EB">
      <w:pPr>
        <w:spacing w:before="120" w:after="120" w:line="276" w:lineRule="auto"/>
        <w:ind w:firstLine="709"/>
        <w:jc w:val="both"/>
        <w:rPr>
          <w:rFonts w:ascii="Verdana" w:eastAsia="Times New Roman" w:hAnsi="Verdana" w:cs="Arial"/>
          <w:color w:val="000000"/>
          <w:lang w:val="es-ES_tradnl" w:eastAsia="es-ES_tradnl"/>
        </w:rPr>
      </w:pPr>
      <w:r w:rsidRPr="001F495D">
        <w:rPr>
          <w:rFonts w:ascii="Verdana" w:eastAsia="Times New Roman" w:hAnsi="Verdana" w:cs="Arial"/>
          <w:color w:val="000000"/>
          <w:lang w:val="es-ES_tradnl" w:eastAsia="es-ES_tradnl"/>
        </w:rPr>
        <w:t>Por lo tanto, aun 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sidRPr="001F495D">
        <w:rPr>
          <w:rStyle w:val="Refdenotaalpie"/>
          <w:rFonts w:ascii="Verdana" w:hAnsi="Verdana" w:cs="Arial"/>
        </w:rPr>
        <w:footnoteReference w:id="4"/>
      </w:r>
      <w:r w:rsidRPr="001F495D">
        <w:rPr>
          <w:rFonts w:ascii="Verdana" w:eastAsia="Times New Roman" w:hAnsi="Verdana" w:cs="Arial"/>
          <w:color w:val="000000"/>
          <w:lang w:val="es-ES_tradnl" w:eastAsia="es-ES_tradnl"/>
        </w:rPr>
        <w:t xml:space="preserve">. </w:t>
      </w:r>
    </w:p>
    <w:p w14:paraId="1A3799FF" w14:textId="77777777" w:rsidR="005146EB" w:rsidRDefault="005146EB" w:rsidP="005146EB">
      <w:pPr>
        <w:spacing w:after="0" w:line="276" w:lineRule="auto"/>
        <w:ind w:firstLine="709"/>
        <w:jc w:val="both"/>
        <w:rPr>
          <w:rFonts w:ascii="Verdana" w:eastAsia="Times New Roman" w:hAnsi="Verdana" w:cs="Arial"/>
          <w:color w:val="000000"/>
          <w:lang w:val="es-ES_tradnl" w:eastAsia="es-ES_tradnl"/>
        </w:rPr>
      </w:pPr>
      <w:r w:rsidRPr="001F495D">
        <w:rPr>
          <w:rFonts w:ascii="Verdana" w:eastAsia="Times New Roman" w:hAnsi="Verdana" w:cs="Arial"/>
          <w:color w:val="000000"/>
          <w:lang w:val="es-ES_tradnl" w:eastAsia="es-ES_tradnl"/>
        </w:rPr>
        <w:lastRenderedPageBreak/>
        <w:t xml:space="preserve">Ahora bien, cuando se suscribe un </w:t>
      </w:r>
      <w:r w:rsidRPr="001F495D">
        <w:rPr>
          <w:rFonts w:ascii="Verdana" w:eastAsia="Times New Roman" w:hAnsi="Verdana" w:cs="Arial"/>
          <w:i/>
          <w:iCs/>
          <w:color w:val="000000"/>
          <w:lang w:val="es-ES_tradnl" w:eastAsia="es-ES_tradnl"/>
        </w:rPr>
        <w:t>acta de suspensión</w:t>
      </w:r>
      <w:r w:rsidRPr="001F495D">
        <w:rPr>
          <w:rFonts w:ascii="Verdana" w:eastAsia="Times New Roman" w:hAnsi="Verdana" w:cs="Arial"/>
          <w:color w:val="000000"/>
          <w:lang w:val="es-ES_tradnl" w:eastAsia="es-ES_tradnl"/>
        </w:rPr>
        <w:t xml:space="preserve"> puede establecerse, en ejercicio de la autonomía de la voluntad, que el plazo del contrato se reactivará una vez se firme el </w:t>
      </w:r>
      <w:r w:rsidRPr="001F495D">
        <w:rPr>
          <w:rFonts w:ascii="Verdana" w:eastAsia="Times New Roman" w:hAnsi="Verdana" w:cs="Arial"/>
          <w:i/>
          <w:iCs/>
          <w:color w:val="000000"/>
          <w:lang w:val="es-ES_tradnl" w:eastAsia="es-ES_tradnl"/>
        </w:rPr>
        <w:t>acta de reinicio</w:t>
      </w:r>
      <w:r w:rsidRPr="001F495D">
        <w:rPr>
          <w:rFonts w:ascii="Verdana" w:eastAsia="Times New Roman" w:hAnsi="Verdana" w:cs="Arial"/>
          <w:color w:val="000000"/>
          <w:lang w:val="es-ES_tradnl" w:eastAsia="es-ES_tradnl"/>
        </w:rPr>
        <w:t xml:space="preserve"> correspondiente. La firma de estos documentos corresponde principalmente a las partes del contrato inicial. En esta medida, por ejemplo, no corresponde a los supervisores ni a los interventores acordar con el contratista la suspensión o el reinicio de las actividades. Esta facultad recae sobre el jefe de la entidad contratante –o su delegado– y el contratista. Esto sin perjuicio de que, conforme a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w:t>
      </w:r>
      <w:r>
        <w:rPr>
          <w:rFonts w:ascii="Verdana" w:eastAsia="Times New Roman" w:hAnsi="Verdana" w:cs="Arial"/>
          <w:color w:val="000000"/>
          <w:lang w:val="es-ES_tradnl" w:eastAsia="es-ES_tradnl"/>
        </w:rPr>
        <w:t>De esta manera, el reinicio del plazo de ejecución contractual depende de lo pactado por las partes; razón por la cual, con sujeción a lo acordado previamente con a la entidad contratante, se juzgará la adecuación de las actuaciones adelantadas posteriormente por el contratista.</w:t>
      </w:r>
    </w:p>
    <w:p w14:paraId="621B93CA" w14:textId="77777777" w:rsidR="005146EB" w:rsidRDefault="005146EB" w:rsidP="005146EB">
      <w:pPr>
        <w:spacing w:after="0" w:line="276" w:lineRule="auto"/>
        <w:ind w:firstLine="709"/>
        <w:jc w:val="both"/>
        <w:rPr>
          <w:rFonts w:ascii="Verdana" w:eastAsia="Times New Roman" w:hAnsi="Verdana" w:cs="Arial"/>
          <w:color w:val="000000"/>
          <w:lang w:val="es-ES_tradnl" w:eastAsia="es-ES_tradnl"/>
        </w:rPr>
      </w:pPr>
    </w:p>
    <w:p w14:paraId="5701A983" w14:textId="77777777" w:rsidR="005146EB" w:rsidRDefault="005146EB" w:rsidP="005146EB">
      <w:pPr>
        <w:spacing w:after="120" w:line="276" w:lineRule="auto"/>
        <w:jc w:val="both"/>
        <w:rPr>
          <w:rFonts w:ascii="Verdana" w:eastAsia="Calibri" w:hAnsi="Verdana" w:cs="Arial"/>
          <w:color w:val="000000" w:themeColor="text1"/>
        </w:rPr>
      </w:pPr>
      <w:proofErr w:type="spellStart"/>
      <w:r>
        <w:rPr>
          <w:rFonts w:ascii="Verdana" w:eastAsia="Times New Roman" w:hAnsi="Verdana" w:cs="Arial"/>
          <w:color w:val="000000"/>
          <w:lang w:val="es-ES_tradnl" w:eastAsia="es-ES_tradnl"/>
        </w:rPr>
        <w:t>ii</w:t>
      </w:r>
      <w:proofErr w:type="spellEnd"/>
      <w:r>
        <w:rPr>
          <w:rFonts w:ascii="Verdana" w:eastAsia="Times New Roman" w:hAnsi="Verdana" w:cs="Arial"/>
          <w:color w:val="000000"/>
          <w:lang w:val="es-ES_tradnl" w:eastAsia="es-ES_tradnl"/>
        </w:rPr>
        <w:t xml:space="preserve">. Por remisión de los artículos 13, 32 y 40 de la Ley 80 de 1993 a las normas de derecho privado, </w:t>
      </w:r>
      <w:r>
        <w:rPr>
          <w:rFonts w:ascii="Verdana" w:eastAsia="Calibri" w:hAnsi="Verdana" w:cs="Arial"/>
          <w:color w:val="000000" w:themeColor="text1"/>
        </w:rPr>
        <w:t>s</w:t>
      </w:r>
      <w:r w:rsidRPr="00E15D88">
        <w:rPr>
          <w:rFonts w:ascii="Verdana" w:eastAsia="Calibri" w:hAnsi="Verdana" w:cs="Arial"/>
          <w:color w:val="000000" w:themeColor="text1"/>
        </w:rPr>
        <w:t xml:space="preserve">in perjuicio de la responsabilidad contractual, el vencimiento del </w:t>
      </w:r>
      <w:r w:rsidRPr="00E15D88">
        <w:rPr>
          <w:rFonts w:ascii="Verdana" w:eastAsia="Calibri" w:hAnsi="Verdana" w:cs="Arial"/>
          <w:i/>
          <w:iCs/>
          <w:color w:val="000000" w:themeColor="text1"/>
        </w:rPr>
        <w:t>plazo de ejecución</w:t>
      </w:r>
      <w:r w:rsidRPr="00E15D88">
        <w:rPr>
          <w:rFonts w:ascii="Verdana" w:eastAsia="Calibri" w:hAnsi="Verdana" w:cs="Arial"/>
          <w:color w:val="000000" w:themeColor="text1"/>
        </w:rPr>
        <w:t xml:space="preserve"> no impide que la entidad reciba las tareas realizadas fuera de este término ni equivale a la imposibilidad de que el contratista realice prestaciones extemporáneas. Lo anterior se fundamenta en que el principal modo de extinción de las obligaciones es el pago efectivo, el cual define el artículo 1626 del Código Civil como </w:t>
      </w:r>
      <w:r>
        <w:rPr>
          <w:rFonts w:ascii="Verdana" w:eastAsia="Calibri" w:hAnsi="Verdana" w:cs="Arial"/>
          <w:color w:val="000000" w:themeColor="text1"/>
        </w:rPr>
        <w:t>“</w:t>
      </w:r>
      <w:r w:rsidRPr="00E15D88">
        <w:rPr>
          <w:rFonts w:ascii="Verdana" w:eastAsia="Calibri" w:hAnsi="Verdana" w:cs="Arial"/>
          <w:color w:val="000000" w:themeColor="text1"/>
        </w:rPr>
        <w:t>la prestación de lo que se debe</w:t>
      </w:r>
      <w:r>
        <w:rPr>
          <w:rFonts w:ascii="Verdana" w:eastAsia="Calibri" w:hAnsi="Verdana" w:cs="Arial"/>
          <w:color w:val="000000" w:themeColor="text1"/>
        </w:rPr>
        <w:t>”</w:t>
      </w:r>
      <w:r w:rsidRPr="00E15D88">
        <w:rPr>
          <w:rFonts w:ascii="Verdana" w:eastAsia="Calibri" w:hAnsi="Verdana" w:cs="Arial"/>
          <w:color w:val="000000" w:themeColor="text1"/>
        </w:rPr>
        <w:t xml:space="preserve">. Este pago puede ser oportuno o extemporáneo. En este último caso, ni el contrato se extingue ni la entidad pierde la oportunidad para recibir el objeto contratado, pues al cumplimiento </w:t>
      </w:r>
      <w:r w:rsidRPr="00E15D88">
        <w:rPr>
          <w:rFonts w:ascii="Verdana" w:eastAsia="Calibri" w:hAnsi="Verdana" w:cs="Arial"/>
          <w:i/>
          <w:iCs/>
          <w:color w:val="000000" w:themeColor="text1"/>
        </w:rPr>
        <w:t>in natura</w:t>
      </w:r>
      <w:r w:rsidRPr="00E15D88">
        <w:rPr>
          <w:rFonts w:ascii="Verdana" w:eastAsia="Calibri" w:hAnsi="Verdana" w:cs="Arial"/>
          <w:color w:val="000000" w:themeColor="text1"/>
        </w:rPr>
        <w:t xml:space="preserve"> se suma la responsabilidad contractual por </w:t>
      </w:r>
      <w:r>
        <w:rPr>
          <w:rFonts w:ascii="Verdana" w:eastAsia="Calibri" w:hAnsi="Verdana" w:cs="Arial"/>
          <w:color w:val="000000" w:themeColor="text1"/>
        </w:rPr>
        <w:t>“</w:t>
      </w:r>
      <w:r w:rsidRPr="00E15D88">
        <w:rPr>
          <w:rFonts w:ascii="Verdana" w:eastAsia="Calibri" w:hAnsi="Verdana" w:cs="Arial"/>
          <w:color w:val="000000" w:themeColor="text1"/>
        </w:rPr>
        <w:t>no haberse cumplido la obligación, o de haberse cumplido imperfectamente, o de haberse retardado el cumplimiento</w:t>
      </w:r>
      <w:r>
        <w:rPr>
          <w:rFonts w:ascii="Verdana" w:eastAsia="Calibri" w:hAnsi="Verdana" w:cs="Arial"/>
          <w:color w:val="000000" w:themeColor="text1"/>
        </w:rPr>
        <w:t>”</w:t>
      </w:r>
      <w:r w:rsidRPr="00E15D88">
        <w:rPr>
          <w:rFonts w:ascii="Verdana" w:eastAsia="Calibri" w:hAnsi="Verdana" w:cs="Arial"/>
          <w:color w:val="000000" w:themeColor="text1"/>
        </w:rPr>
        <w:t xml:space="preserve"> –art. 1613 </w:t>
      </w:r>
      <w:r w:rsidRPr="00E15D88">
        <w:rPr>
          <w:rFonts w:ascii="Verdana" w:eastAsia="Calibri" w:hAnsi="Verdana" w:cs="Arial"/>
          <w:i/>
          <w:iCs/>
          <w:color w:val="000000" w:themeColor="text1"/>
        </w:rPr>
        <w:t>ibidem</w:t>
      </w:r>
      <w:r w:rsidRPr="00E15D88">
        <w:rPr>
          <w:rFonts w:ascii="Verdana" w:eastAsia="Calibri" w:hAnsi="Verdana" w:cs="Arial"/>
          <w:color w:val="000000" w:themeColor="text1"/>
        </w:rPr>
        <w:t xml:space="preserve">–. </w:t>
      </w:r>
    </w:p>
    <w:p w14:paraId="75D0ED77" w14:textId="77777777" w:rsidR="005146EB" w:rsidRPr="00E15D88" w:rsidRDefault="005146EB" w:rsidP="005146EB">
      <w:pPr>
        <w:spacing w:after="120" w:line="276" w:lineRule="auto"/>
        <w:ind w:firstLine="708"/>
        <w:jc w:val="both"/>
        <w:rPr>
          <w:rFonts w:ascii="Verdana" w:eastAsia="Calibri" w:hAnsi="Verdana" w:cs="Arial"/>
          <w:color w:val="000000" w:themeColor="text1"/>
        </w:rPr>
      </w:pPr>
      <w:r w:rsidRPr="00E15D88">
        <w:rPr>
          <w:rFonts w:ascii="Verdana" w:eastAsia="Calibri" w:hAnsi="Verdana" w:cs="Arial"/>
          <w:color w:val="000000" w:themeColor="text1"/>
        </w:rPr>
        <w:lastRenderedPageBreak/>
        <w:t xml:space="preserve">Para estos efectos el vencimiento del término produce la mora </w:t>
      </w:r>
      <w:r w:rsidRPr="00E15D88">
        <w:rPr>
          <w:rFonts w:ascii="Verdana" w:eastAsia="Calibri" w:hAnsi="Verdana" w:cs="Arial"/>
          <w:i/>
          <w:iCs/>
          <w:color w:val="000000" w:themeColor="text1"/>
        </w:rPr>
        <w:t>ex re</w:t>
      </w:r>
      <w:r w:rsidRPr="00E15D88">
        <w:rPr>
          <w:rFonts w:ascii="Verdana" w:eastAsia="Calibri" w:hAnsi="Verdana" w:cs="Arial"/>
          <w:color w:val="000000" w:themeColor="text1"/>
        </w:rPr>
        <w:t xml:space="preserve">, caso en el cual se exceptúa la obligación de reconvenir en la medida que el plazo interpela por sí mismo –art- 1608.1 </w:t>
      </w:r>
      <w:r w:rsidRPr="00E15D88">
        <w:rPr>
          <w:rFonts w:ascii="Verdana" w:eastAsia="Calibri" w:hAnsi="Verdana" w:cs="Arial"/>
          <w:i/>
          <w:iCs/>
          <w:color w:val="000000" w:themeColor="text1"/>
        </w:rPr>
        <w:t>ibidem</w:t>
      </w:r>
      <w:r w:rsidRPr="00E15D88">
        <w:rPr>
          <w:rFonts w:ascii="Verdana" w:eastAsia="Calibri" w:hAnsi="Verdana" w:cs="Arial"/>
          <w:color w:val="000000" w:themeColor="text1"/>
        </w:rPr>
        <w:t xml:space="preserve">–. Además, aunque la doctrina considera que la enumeración del artículo 1625 </w:t>
      </w:r>
      <w:r w:rsidRPr="00E15D88">
        <w:rPr>
          <w:rFonts w:ascii="Verdana" w:eastAsia="Calibri" w:hAnsi="Verdana" w:cs="Arial"/>
          <w:i/>
          <w:iCs/>
          <w:color w:val="000000" w:themeColor="text1"/>
        </w:rPr>
        <w:t>ibidem</w:t>
      </w:r>
      <w:r w:rsidRPr="00E15D88">
        <w:rPr>
          <w:rFonts w:ascii="Verdana" w:eastAsia="Calibri" w:hAnsi="Verdana" w:cs="Arial"/>
          <w:color w:val="000000" w:themeColor="text1"/>
        </w:rPr>
        <w:t xml:space="preserve"> no es completa, el único plazo que elimina la fuerza obligatoria del contrato es el extintivo. Esto significa que ante el vencimiento de un plazo suspensivo –como se pacta usualmente en los contratos estatales– las obligaciones del contratista subsisten mientras no se extingan por el cumplimiento de la prestación adeudada</w:t>
      </w:r>
      <w:r>
        <w:rPr>
          <w:rFonts w:ascii="Verdana" w:eastAsia="Calibri" w:hAnsi="Verdana" w:cs="Arial"/>
          <w:color w:val="000000" w:themeColor="text1"/>
        </w:rPr>
        <w:t>.</w:t>
      </w:r>
      <w:r w:rsidRPr="00E15D88">
        <w:rPr>
          <w:rFonts w:ascii="Verdana" w:eastAsia="Calibri" w:hAnsi="Verdana" w:cs="Arial"/>
          <w:color w:val="000000" w:themeColor="text1"/>
        </w:rPr>
        <w:t xml:space="preserve"> </w:t>
      </w:r>
    </w:p>
    <w:p w14:paraId="6B32D721" w14:textId="77777777" w:rsidR="005146EB" w:rsidRDefault="005146EB" w:rsidP="005146EB">
      <w:pPr>
        <w:snapToGrid w:val="0"/>
        <w:spacing w:after="120" w:line="276" w:lineRule="auto"/>
        <w:jc w:val="both"/>
        <w:rPr>
          <w:rFonts w:ascii="Verdana" w:eastAsia="Calibri" w:hAnsi="Verdana" w:cs="Arial"/>
          <w:color w:val="000000" w:themeColor="text1"/>
        </w:rPr>
      </w:pPr>
      <w:r w:rsidRPr="00E15D88">
        <w:rPr>
          <w:rFonts w:ascii="Verdana" w:eastAsia="Calibri" w:hAnsi="Verdana" w:cs="Arial"/>
          <w:color w:val="000000" w:themeColor="text1"/>
        </w:rPr>
        <w:tab/>
        <w:t>De esta manera</w:t>
      </w:r>
      <w:r>
        <w:rPr>
          <w:rFonts w:ascii="Verdana" w:eastAsia="Calibri" w:hAnsi="Verdana" w:cs="Arial"/>
          <w:color w:val="000000" w:themeColor="text1"/>
        </w:rPr>
        <w:t>,</w:t>
      </w:r>
      <w:r>
        <w:rPr>
          <w:rFonts w:ascii="Verdana" w:eastAsia="Calibri" w:hAnsi="Verdana" w:cs="Arial"/>
          <w:bCs/>
          <w:color w:val="000000" w:themeColor="text1"/>
          <w:lang w:eastAsia="es-ES_tradnl" w:bidi="es-ES"/>
        </w:rPr>
        <w:t xml:space="preserve"> la entidad estatal podrá recibir </w:t>
      </w:r>
      <w:r>
        <w:rPr>
          <w:rFonts w:ascii="Verdana" w:eastAsia="Calibri" w:hAnsi="Verdana" w:cs="Arial"/>
          <w:color w:val="000000" w:themeColor="text1"/>
        </w:rPr>
        <w:t xml:space="preserve">las actividades realizadas después del plazo de ejecución, lo que significa que el contratista también podrá ejecutar prestaciones extemporáneas, siempre que ello sea aceptado por la entidad contratante. En efecto, en principio, </w:t>
      </w:r>
      <w:r w:rsidRPr="00E15D88">
        <w:rPr>
          <w:rFonts w:ascii="Verdana" w:eastAsia="Calibri" w:hAnsi="Verdana" w:cs="Arial"/>
          <w:color w:val="000000" w:themeColor="text1"/>
        </w:rPr>
        <w:t>el vencimiento del plazo pactado en los contratos estatales no</w:t>
      </w:r>
      <w:r>
        <w:rPr>
          <w:rFonts w:ascii="Verdana" w:eastAsia="Calibri" w:hAnsi="Verdana" w:cs="Arial"/>
          <w:color w:val="000000" w:themeColor="text1"/>
        </w:rPr>
        <w:t xml:space="preserve"> imposibilita que la entidad reciba las actividades realizadas después de este tiempo, así como tampoco impide que el contratista realice prestaciones extemporáneas</w:t>
      </w:r>
      <w:r w:rsidRPr="00E15D88">
        <w:rPr>
          <w:rFonts w:ascii="Verdana" w:eastAsia="Calibri" w:hAnsi="Verdana" w:cs="Arial"/>
          <w:color w:val="000000" w:themeColor="text1"/>
        </w:rPr>
        <w:t>. De hecho, mientras el contrato esté vigente la entidad puede emplear los medios necesarios para exigir su cumplimiento. Así las cosas, el vencimiento del plazo para el cumplimiento de las obligaciones de tracto sucesivo, por naturaleza suspensivo, no conlleva su extinción, pues el vencimiento del plazo suspensivo, en realidad, implica que la obligación se hace exigible en su totalidad a partir de ese mismo instante.</w:t>
      </w:r>
    </w:p>
    <w:p w14:paraId="1873F238" w14:textId="77777777" w:rsidR="005146EB" w:rsidRDefault="005146EB" w:rsidP="005146EB">
      <w:pPr>
        <w:spacing w:after="0" w:line="276" w:lineRule="auto"/>
        <w:ind w:firstLine="709"/>
        <w:jc w:val="both"/>
        <w:rPr>
          <w:rFonts w:ascii="Verdana" w:eastAsia="Calibri" w:hAnsi="Verdana" w:cs="Arial"/>
        </w:rPr>
      </w:pPr>
      <w:r>
        <w:rPr>
          <w:rFonts w:ascii="Verdana" w:eastAsia="Calibri" w:hAnsi="Verdana" w:cs="Arial"/>
        </w:rPr>
        <w:t>Sin embargo, si el contratista decide realizar las prestaciones de manera extemporánea no significa que la entidad este obligada a pagar las prestaciones realizadas por fuera del plazo de ejecución del contrato, pues para poder continuar con el desarrollo de dichas actividades es necesario el consentimiento de la entidad contratante, sin el cual no será posible un reconocimiento por este concepto. En efecto, s</w:t>
      </w:r>
      <w:r w:rsidRPr="005C24EF">
        <w:rPr>
          <w:rFonts w:ascii="Verdana" w:eastAsia="Calibri" w:hAnsi="Verdana" w:cs="Arial"/>
        </w:rPr>
        <w:t>obre las prestaciones desarrolladas después de vencido el plazo de ejecución de un contrato estatal</w:t>
      </w:r>
      <w:r>
        <w:rPr>
          <w:rFonts w:ascii="Verdana" w:eastAsia="Calibri" w:hAnsi="Verdana" w:cs="Arial"/>
        </w:rPr>
        <w:t xml:space="preserve"> el Consejo de Estado ha </w:t>
      </w:r>
      <w:r w:rsidRPr="00C2317E">
        <w:rPr>
          <w:rFonts w:ascii="Verdana" w:eastAsia="Calibri" w:hAnsi="Verdana" w:cs="Arial"/>
        </w:rPr>
        <w:t>explicado</w:t>
      </w:r>
      <w:r>
        <w:rPr>
          <w:rFonts w:ascii="Verdana" w:eastAsia="Calibri" w:hAnsi="Verdana" w:cs="Arial"/>
        </w:rPr>
        <w:t xml:space="preserve"> lo siguiente:</w:t>
      </w:r>
    </w:p>
    <w:p w14:paraId="3320111B" w14:textId="77777777" w:rsidR="005146EB" w:rsidRDefault="005146EB" w:rsidP="005146EB">
      <w:pPr>
        <w:spacing w:after="0" w:line="276" w:lineRule="auto"/>
        <w:ind w:firstLine="709"/>
        <w:jc w:val="both"/>
        <w:rPr>
          <w:rFonts w:ascii="Verdana" w:eastAsia="Calibri" w:hAnsi="Verdana" w:cs="Arial"/>
        </w:rPr>
      </w:pPr>
    </w:p>
    <w:p w14:paraId="703D0C93" w14:textId="77777777" w:rsidR="005146EB" w:rsidRDefault="005146EB" w:rsidP="005146EB">
      <w:pPr>
        <w:spacing w:after="0" w:line="240" w:lineRule="auto"/>
        <w:ind w:left="709" w:right="760"/>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3038DC">
        <w:rPr>
          <w:rFonts w:ascii="Verdana" w:eastAsia="Calibri" w:hAnsi="Verdana" w:cs="Arial"/>
          <w:color w:val="000000" w:themeColor="text1"/>
          <w:sz w:val="20"/>
          <w:szCs w:val="20"/>
        </w:rPr>
        <w:t xml:space="preserve">[…] si un contratista cumple con sus obligaciones contractuales por fuera del plazo de ejecución, y la entidad decide recibir la prestación que se le adeuda, resulta lógico que el contratista tenga el derecho de recibir la contraprestación de las prestaciones ejecutadas y recibidas a satisfacción. Lo anterior no implica que las entidades estatales estén obligadas a recibir las prestaciones ejecutadas fuera del plazo de ejecución. Tampoco quiere decir lo anterior que todas las obras ejecutadas fuera del plazo deban ser pagadas. De la misma manera, lo sostenido no significa que las entidades </w:t>
      </w:r>
      <w:r w:rsidRPr="003038DC">
        <w:rPr>
          <w:rFonts w:ascii="Verdana" w:eastAsia="Calibri" w:hAnsi="Verdana" w:cs="Arial"/>
          <w:color w:val="000000" w:themeColor="text1"/>
          <w:sz w:val="20"/>
          <w:szCs w:val="20"/>
        </w:rPr>
        <w:lastRenderedPageBreak/>
        <w:t>no puedan ejercer sus poderes excepcionales para declarar el incumplimiento de la obligación e imponer el pago de los perjuicios causados por entregar fuera del plazo. Menos aún, que no se puedan reclamar judicialmente tales</w:t>
      </w:r>
      <w:r w:rsidRPr="007B1039">
        <w:rPr>
          <w:rFonts w:ascii="Verdana" w:eastAsia="Calibri" w:hAnsi="Verdana" w:cs="Arial"/>
          <w:color w:val="000000" w:themeColor="text1"/>
          <w:sz w:val="21"/>
          <w:szCs w:val="21"/>
        </w:rPr>
        <w:t xml:space="preserve"> </w:t>
      </w:r>
      <w:r w:rsidRPr="003038DC">
        <w:rPr>
          <w:rFonts w:ascii="Verdana" w:eastAsia="Calibri" w:hAnsi="Verdana" w:cs="Arial"/>
          <w:color w:val="000000" w:themeColor="text1"/>
          <w:sz w:val="20"/>
          <w:szCs w:val="20"/>
        </w:rPr>
        <w:t>perjuicios o que las partes no puedan realizar acuerdos sobre este asunto en la etapa de liquidación del contrato</w:t>
      </w:r>
      <w:r>
        <w:rPr>
          <w:rFonts w:ascii="Verdana" w:eastAsia="Calibri" w:hAnsi="Verdana" w:cs="Arial"/>
          <w:color w:val="000000" w:themeColor="text1"/>
          <w:sz w:val="20"/>
          <w:szCs w:val="20"/>
        </w:rPr>
        <w:t>”</w:t>
      </w:r>
      <w:r w:rsidRPr="003038DC">
        <w:rPr>
          <w:rStyle w:val="Refdenotaalpie"/>
          <w:rFonts w:ascii="Verdana" w:eastAsia="Calibri" w:hAnsi="Verdana" w:cs="Arial"/>
          <w:color w:val="000000" w:themeColor="text1"/>
          <w:sz w:val="20"/>
          <w:szCs w:val="20"/>
        </w:rPr>
        <w:footnoteReference w:id="5"/>
      </w:r>
      <w:r w:rsidRPr="003038DC">
        <w:rPr>
          <w:rFonts w:ascii="Verdana" w:eastAsia="Calibri" w:hAnsi="Verdana" w:cs="Arial"/>
          <w:color w:val="000000" w:themeColor="text1"/>
          <w:sz w:val="20"/>
          <w:szCs w:val="20"/>
        </w:rPr>
        <w:t>.</w:t>
      </w:r>
    </w:p>
    <w:p w14:paraId="71186673" w14:textId="77777777" w:rsidR="005146EB" w:rsidRPr="003038DC" w:rsidRDefault="005146EB" w:rsidP="005146EB">
      <w:pPr>
        <w:spacing w:after="0" w:line="240" w:lineRule="auto"/>
        <w:ind w:left="709" w:right="760"/>
        <w:jc w:val="both"/>
        <w:rPr>
          <w:rFonts w:ascii="Verdana" w:eastAsia="Calibri" w:hAnsi="Verdana" w:cs="Arial"/>
          <w:sz w:val="20"/>
          <w:szCs w:val="20"/>
        </w:rPr>
      </w:pPr>
    </w:p>
    <w:p w14:paraId="501F3E24" w14:textId="77777777" w:rsidR="005146EB" w:rsidRDefault="005146EB" w:rsidP="005146EB">
      <w:pPr>
        <w:spacing w:after="120" w:line="276" w:lineRule="auto"/>
        <w:ind w:firstLine="709"/>
        <w:jc w:val="both"/>
        <w:rPr>
          <w:rFonts w:ascii="Verdana" w:eastAsia="Calibri" w:hAnsi="Verdana" w:cs="Arial"/>
        </w:rPr>
      </w:pPr>
      <w:r>
        <w:rPr>
          <w:rFonts w:ascii="Verdana" w:eastAsia="Calibri" w:hAnsi="Verdana" w:cs="Arial"/>
        </w:rPr>
        <w:t>En el mismo sentido, en sentencia posterior el Consejo de Estado señaló que el vencimiento del plazo de ejecución del contrato “</w:t>
      </w:r>
      <w:r w:rsidRPr="00625F14">
        <w:rPr>
          <w:rFonts w:ascii="Verdana" w:eastAsia="Calibri" w:hAnsi="Verdana" w:cs="Arial"/>
        </w:rPr>
        <w:t xml:space="preserve">no significa que una vez terminado el plazo de ejecución, el contratista pueda continuar con el desarrollo de prestaciones sin el consentimiento de la contratante, y menos aún, entender que por este solo hecho tiene derecho a percibir una contraprestación, pues el contrato estatal no está a merced únicamente de la liberalidad de las partes </w:t>
      </w:r>
      <w:r w:rsidRPr="00567323">
        <w:rPr>
          <w:rFonts w:ascii="Verdana" w:eastAsia="Calibri" w:hAnsi="Verdana" w:cs="Arial"/>
          <w:i/>
          <w:iCs/>
        </w:rPr>
        <w:t>sino que responde a una utilidad clara y orientada a la satisfacción del interés público, de modo que requiere algo más que la disposición a cumplir una prestación para que surja para el Estado un deber correlativo de pago</w:t>
      </w:r>
      <w:r>
        <w:rPr>
          <w:rFonts w:ascii="Verdana" w:eastAsia="Calibri" w:hAnsi="Verdana" w:cs="Arial"/>
        </w:rPr>
        <w:t>”</w:t>
      </w:r>
      <w:r>
        <w:rPr>
          <w:rStyle w:val="Refdenotaalpie"/>
          <w:rFonts w:ascii="Verdana" w:eastAsia="Calibri" w:hAnsi="Verdana" w:cs="Arial"/>
        </w:rPr>
        <w:footnoteReference w:id="6"/>
      </w:r>
      <w:r w:rsidRPr="00625F14">
        <w:rPr>
          <w:rFonts w:ascii="Verdana" w:eastAsia="Calibri" w:hAnsi="Verdana" w:cs="Arial"/>
        </w:rPr>
        <w:t>.</w:t>
      </w:r>
      <w:r>
        <w:rPr>
          <w:rFonts w:ascii="Verdana" w:eastAsia="Calibri" w:hAnsi="Verdana" w:cs="Arial"/>
        </w:rPr>
        <w:t xml:space="preserve"> (Énfasis por fuera de texto)</w:t>
      </w:r>
      <w:r>
        <w:rPr>
          <w:rFonts w:ascii="Verdana" w:eastAsia="Calibri" w:hAnsi="Verdana" w:cs="Arial"/>
        </w:rPr>
        <w:tab/>
      </w:r>
    </w:p>
    <w:p w14:paraId="599FC85D" w14:textId="77777777" w:rsidR="005146EB" w:rsidRDefault="005146EB" w:rsidP="005146EB">
      <w:pPr>
        <w:spacing w:after="0" w:line="276" w:lineRule="auto"/>
        <w:ind w:firstLine="709"/>
        <w:jc w:val="both"/>
        <w:rPr>
          <w:rFonts w:ascii="Verdana" w:eastAsia="Calibri" w:hAnsi="Verdana" w:cs="Arial"/>
          <w:color w:val="000000"/>
          <w:lang w:val="es-ES_tradnl"/>
        </w:rPr>
      </w:pPr>
      <w:r>
        <w:rPr>
          <w:rFonts w:ascii="Verdana" w:eastAsia="Calibri" w:hAnsi="Verdana" w:cs="Arial"/>
          <w:color w:val="000000" w:themeColor="text1"/>
        </w:rPr>
        <w:t xml:space="preserve">Así las cosas, no basta solo con ejecutar las prestaciones por fuera del plazo del contrato sino que estas deben ser consentidas por la entidad contratante, de manera que </w:t>
      </w:r>
      <w:r w:rsidRPr="00D96DE3">
        <w:rPr>
          <w:rFonts w:ascii="Verdana" w:eastAsia="Calibri" w:hAnsi="Verdana" w:cs="Arial"/>
          <w:color w:val="000000"/>
          <w:lang w:val="es-ES_tradnl"/>
        </w:rPr>
        <w:t>la contraprestación quedará sujeta a la aceptación de dichas actividades por parte de la entidad y siempre que aquellas cumplan con su propósito de satisfacer el interés público por el cual se concibió el contrato.</w:t>
      </w:r>
      <w:r>
        <w:rPr>
          <w:rFonts w:ascii="Verdana" w:eastAsia="Calibri" w:hAnsi="Verdana" w:cs="Arial"/>
          <w:color w:val="000000"/>
          <w:lang w:val="es-ES_tradnl"/>
        </w:rPr>
        <w:t xml:space="preserve"> </w:t>
      </w:r>
      <w:r w:rsidRPr="00D96DE3">
        <w:rPr>
          <w:rFonts w:ascii="Verdana" w:eastAsia="Calibri" w:hAnsi="Verdana" w:cs="Arial"/>
          <w:color w:val="000000"/>
          <w:lang w:val="es-ES_tradnl"/>
        </w:rPr>
        <w:t xml:space="preserve">De este modo, si la entidad acepta las prestaciones ejecutadas por fuera del plazo </w:t>
      </w:r>
      <w:r>
        <w:rPr>
          <w:rFonts w:ascii="Verdana" w:eastAsia="Calibri" w:hAnsi="Verdana" w:cs="Arial"/>
          <w:color w:val="000000"/>
          <w:lang w:val="es-ES_tradnl"/>
        </w:rPr>
        <w:t xml:space="preserve">de ejecución </w:t>
      </w:r>
      <w:r w:rsidRPr="00D96DE3">
        <w:rPr>
          <w:rFonts w:ascii="Verdana" w:eastAsia="Calibri" w:hAnsi="Verdana" w:cs="Arial"/>
          <w:color w:val="000000"/>
          <w:lang w:val="es-ES_tradnl"/>
        </w:rPr>
        <w:t>del contrato, es procedente que el contratista reciba la contraprestación de las actividades ejecutadas y recibidas a satisfacción</w:t>
      </w:r>
      <w:r>
        <w:rPr>
          <w:rFonts w:ascii="Verdana" w:eastAsia="Calibri" w:hAnsi="Verdana" w:cs="Arial"/>
          <w:color w:val="000000"/>
          <w:lang w:val="es-ES_tradnl"/>
        </w:rPr>
        <w:t>. En todo caso, cada entidad deberá analizar si las prestaciones que no se ejecutaron dan lugar a un posible incumplimiento para efectos de determinar las acciones correspondientes.</w:t>
      </w:r>
    </w:p>
    <w:p w14:paraId="61D67718" w14:textId="77777777" w:rsidR="005146EB" w:rsidRDefault="005146EB" w:rsidP="005146EB">
      <w:pPr>
        <w:spacing w:after="0" w:line="276" w:lineRule="auto"/>
        <w:ind w:firstLine="709"/>
        <w:jc w:val="both"/>
        <w:rPr>
          <w:rFonts w:ascii="Verdana" w:eastAsia="Calibri" w:hAnsi="Verdana" w:cs="Arial"/>
          <w:color w:val="000000"/>
          <w:lang w:val="es-ES_tradnl"/>
        </w:rPr>
      </w:pPr>
    </w:p>
    <w:p w14:paraId="7BA3AF5A" w14:textId="77777777" w:rsidR="005146EB" w:rsidRPr="00D03CE3" w:rsidRDefault="005146EB" w:rsidP="005146EB">
      <w:pPr>
        <w:spacing w:after="0" w:line="276" w:lineRule="auto"/>
        <w:jc w:val="both"/>
        <w:rPr>
          <w:rFonts w:ascii="Verdana" w:eastAsia="Calibri" w:hAnsi="Verdana" w:cs="Arial"/>
          <w:color w:val="000000" w:themeColor="text1"/>
          <w:lang w:val="es-ES_tradnl"/>
        </w:rPr>
      </w:pPr>
      <w:proofErr w:type="spellStart"/>
      <w:r>
        <w:rPr>
          <w:rFonts w:ascii="Verdana" w:eastAsia="Calibri" w:hAnsi="Verdana" w:cs="Arial"/>
          <w:color w:val="000000"/>
          <w:lang w:val="es-ES_tradnl"/>
        </w:rPr>
        <w:t>iii</w:t>
      </w:r>
      <w:proofErr w:type="spellEnd"/>
      <w:r>
        <w:rPr>
          <w:rFonts w:ascii="Verdana" w:eastAsia="Calibri" w:hAnsi="Verdana" w:cs="Arial"/>
          <w:color w:val="000000"/>
          <w:lang w:val="es-ES_tradnl"/>
        </w:rPr>
        <w:t xml:space="preserve">. </w:t>
      </w:r>
      <w:r w:rsidRPr="00D03CE3">
        <w:rPr>
          <w:rFonts w:ascii="Verdana" w:eastAsia="Calibri" w:hAnsi="Verdana" w:cs="Arial"/>
          <w:color w:val="000000"/>
          <w:lang w:val="es-ES_tradnl"/>
        </w:rPr>
        <w:t>De acuerdo con el Estatuto General de Contratación de la Administración Pública, p</w:t>
      </w:r>
      <w:r w:rsidRPr="00D03CE3">
        <w:rPr>
          <w:rFonts w:ascii="Verdana" w:eastAsia="Calibri" w:hAnsi="Verdana" w:cs="Arial"/>
          <w:color w:val="000000" w:themeColor="text1"/>
          <w:lang w:val="es-ES_tradnl"/>
        </w:rPr>
        <w:t xml:space="preserve">or regla general, </w:t>
      </w:r>
      <w:r w:rsidRPr="00D03CE3">
        <w:rPr>
          <w:rFonts w:ascii="Verdana" w:eastAsia="Calibri" w:hAnsi="Verdana" w:cs="Arial"/>
          <w:color w:val="000000" w:themeColor="text1"/>
          <w:lang w:val="es-ES"/>
        </w:rPr>
        <w:t>para seleccionar los contratistas y para ejecutar los contratos se requiere la constitución de garantías</w:t>
      </w:r>
      <w:r w:rsidRPr="00D03CE3">
        <w:rPr>
          <w:rFonts w:ascii="Verdana" w:eastAsia="Calibri" w:hAnsi="Verdana" w:cs="Arial"/>
          <w:color w:val="000000" w:themeColor="text1"/>
          <w:lang w:val="es-ES_tradnl"/>
        </w:rPr>
        <w:t xml:space="preserve">. Por ello, el artículo 7 de la Ley 1150 de 2007 dispone que los contratistas tienen la obligación de constituir garantías para el cumplimiento de las obligaciones surgidas del contrato, y los proponentes por el ofrecimiento realizado, pudiendo consistir en pólizas </w:t>
      </w:r>
      <w:r w:rsidRPr="00D03CE3">
        <w:rPr>
          <w:rFonts w:ascii="Verdana" w:eastAsia="Calibri" w:hAnsi="Verdana" w:cs="Arial"/>
          <w:color w:val="000000" w:themeColor="text1"/>
          <w:lang w:val="es-ES_tradnl"/>
        </w:rPr>
        <w:lastRenderedPageBreak/>
        <w:t>expedidas por compañías aseguradoras, garantías bancarias u otros mecanismos permitidos por la ley y el reglamento. Esta norma dispone lo siguiente:</w:t>
      </w:r>
    </w:p>
    <w:p w14:paraId="518B1584" w14:textId="77777777" w:rsidR="005146EB" w:rsidRPr="00D03CE3" w:rsidRDefault="005146EB" w:rsidP="005146EB">
      <w:pPr>
        <w:spacing w:after="0" w:line="276" w:lineRule="auto"/>
        <w:ind w:firstLine="708"/>
        <w:jc w:val="both"/>
        <w:rPr>
          <w:rFonts w:ascii="Verdana" w:hAnsi="Verdana" w:cs="Arial"/>
          <w:color w:val="000000" w:themeColor="text1"/>
          <w:lang w:eastAsia="es-CO"/>
        </w:rPr>
      </w:pPr>
    </w:p>
    <w:p w14:paraId="5FC55287" w14:textId="77777777" w:rsidR="005146EB" w:rsidRPr="00D03CE3" w:rsidRDefault="005146EB" w:rsidP="005146EB">
      <w:pPr>
        <w:spacing w:after="120" w:line="240" w:lineRule="auto"/>
        <w:ind w:left="709" w:right="709"/>
        <w:jc w:val="both"/>
        <w:rPr>
          <w:rFonts w:ascii="Verdana" w:hAnsi="Verdana" w:cs="Arial"/>
          <w:color w:val="000000" w:themeColor="text1"/>
          <w:sz w:val="20"/>
          <w:szCs w:val="20"/>
          <w:lang w:eastAsia="es-CO"/>
        </w:rPr>
      </w:pPr>
      <w:r w:rsidRPr="00D03CE3">
        <w:rPr>
          <w:rFonts w:ascii="Verdana" w:hAnsi="Verdana" w:cs="Arial"/>
          <w:color w:val="000000" w:themeColor="text1"/>
          <w:sz w:val="20"/>
          <w:szCs w:val="20"/>
          <w:lang w:eastAsia="es-CO"/>
        </w:rPr>
        <w:t>“Los contratistas prestarán garantía única para el cumplimiento de las obligaciones surgidas del contrato. Los proponentes prestarán garantía de seriedad de los ofrecimientos hechos. </w:t>
      </w:r>
    </w:p>
    <w:p w14:paraId="2FFBDC43" w14:textId="77777777" w:rsidR="005146EB" w:rsidRPr="00D03CE3" w:rsidRDefault="005146EB" w:rsidP="005146EB">
      <w:pPr>
        <w:spacing w:after="120" w:line="240" w:lineRule="auto"/>
        <w:ind w:left="709" w:right="709"/>
        <w:jc w:val="both"/>
        <w:rPr>
          <w:rFonts w:ascii="Verdana" w:hAnsi="Verdana" w:cs="Arial"/>
          <w:color w:val="000000" w:themeColor="text1"/>
          <w:sz w:val="20"/>
          <w:szCs w:val="20"/>
          <w:lang w:eastAsia="es-CO"/>
        </w:rPr>
      </w:pPr>
      <w:r w:rsidRPr="00D03CE3">
        <w:rPr>
          <w:rFonts w:ascii="Verdana" w:hAnsi="Verdana" w:cs="Arial"/>
          <w:color w:val="000000" w:themeColor="text1"/>
          <w:sz w:val="20"/>
          <w:szCs w:val="20"/>
          <w:lang w:eastAsia="es-CO"/>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6C3DBA4C" w14:textId="77777777" w:rsidR="005146EB" w:rsidRPr="00D03CE3" w:rsidRDefault="005146EB" w:rsidP="005146EB">
      <w:pPr>
        <w:spacing w:after="120" w:line="240" w:lineRule="auto"/>
        <w:ind w:left="709" w:right="709"/>
        <w:jc w:val="both"/>
        <w:rPr>
          <w:rFonts w:ascii="Verdana" w:hAnsi="Verdana" w:cs="Arial"/>
          <w:color w:val="000000" w:themeColor="text1"/>
          <w:sz w:val="20"/>
          <w:szCs w:val="20"/>
          <w:lang w:eastAsia="es-CO"/>
        </w:rPr>
      </w:pPr>
      <w:r w:rsidRPr="00D03CE3">
        <w:rPr>
          <w:rFonts w:ascii="Verdana" w:hAnsi="Verdana" w:cs="Arial"/>
          <w:color w:val="000000" w:themeColor="text1"/>
          <w:sz w:val="20"/>
          <w:szCs w:val="20"/>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1720EC26" w14:textId="77777777" w:rsidR="005146EB" w:rsidRPr="00D03CE3" w:rsidRDefault="005146EB" w:rsidP="005146EB">
      <w:pPr>
        <w:spacing w:after="120" w:line="240" w:lineRule="auto"/>
        <w:ind w:left="709" w:right="709"/>
        <w:jc w:val="both"/>
        <w:rPr>
          <w:rFonts w:ascii="Verdana" w:hAnsi="Verdana" w:cs="Arial"/>
          <w:color w:val="000000" w:themeColor="text1"/>
          <w:sz w:val="20"/>
          <w:szCs w:val="20"/>
          <w:lang w:eastAsia="es-CO"/>
        </w:rPr>
      </w:pPr>
      <w:r w:rsidRPr="00D03CE3">
        <w:rPr>
          <w:rFonts w:ascii="Verdana" w:hAnsi="Verdana" w:cs="Arial"/>
          <w:color w:val="000000" w:themeColor="text1"/>
          <w:sz w:val="20"/>
          <w:szCs w:val="20"/>
          <w:lang w:eastAsia="es-CO"/>
        </w:rPr>
        <w:t>El acaecimiento del siniestro que amparan las garantías será comunicado por la entidad pública al respectivo asegurador mediante la notificación del acto administrativo que así lo declare. </w:t>
      </w:r>
    </w:p>
    <w:p w14:paraId="65102EEA" w14:textId="77777777" w:rsidR="005146EB" w:rsidRPr="00D03CE3" w:rsidRDefault="005146EB" w:rsidP="005146EB">
      <w:pPr>
        <w:spacing w:after="0" w:line="240" w:lineRule="auto"/>
        <w:ind w:left="709" w:right="709"/>
        <w:jc w:val="both"/>
        <w:rPr>
          <w:rFonts w:ascii="Verdana" w:hAnsi="Verdana" w:cs="Arial"/>
          <w:color w:val="000000" w:themeColor="text1"/>
          <w:sz w:val="20"/>
          <w:szCs w:val="20"/>
          <w:lang w:eastAsia="es-CO"/>
        </w:rPr>
      </w:pPr>
      <w:r w:rsidRPr="00D03CE3">
        <w:rPr>
          <w:rFonts w:ascii="Verdana" w:hAnsi="Verdana" w:cs="Arial"/>
          <w:color w:val="000000" w:themeColor="text1"/>
          <w:sz w:val="20"/>
          <w:szCs w:val="20"/>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38E4C14B" w14:textId="77777777" w:rsidR="005146EB" w:rsidRPr="00D03CE3" w:rsidRDefault="005146EB" w:rsidP="005146EB">
      <w:pPr>
        <w:spacing w:after="0" w:line="276" w:lineRule="auto"/>
        <w:ind w:left="709" w:right="709"/>
        <w:jc w:val="both"/>
        <w:rPr>
          <w:rFonts w:ascii="Verdana" w:hAnsi="Verdana" w:cs="Arial"/>
          <w:color w:val="000000" w:themeColor="text1"/>
          <w:lang w:eastAsia="es-CO"/>
        </w:rPr>
      </w:pPr>
    </w:p>
    <w:p w14:paraId="3AD81E82" w14:textId="77777777" w:rsidR="005146EB" w:rsidRPr="00D03CE3" w:rsidRDefault="005146EB" w:rsidP="005146EB">
      <w:pPr>
        <w:spacing w:line="276" w:lineRule="auto"/>
        <w:ind w:firstLine="708"/>
        <w:jc w:val="both"/>
        <w:rPr>
          <w:rFonts w:ascii="Verdana" w:hAnsi="Verdana" w:cs="Arial"/>
          <w:color w:val="000000" w:themeColor="text1"/>
          <w:lang w:val="es-MX"/>
        </w:rPr>
      </w:pPr>
      <w:r w:rsidRPr="00D03CE3">
        <w:rPr>
          <w:rFonts w:ascii="Verdana" w:hAnsi="Verdana" w:cs="Arial"/>
          <w:color w:val="000000" w:themeColor="text1"/>
          <w:lang w:val="es-MX"/>
        </w:rPr>
        <w:t xml:space="preserve">Las condiciones en las que debe cumplirse esta obligación fueron reglamentadas por el Decreto 1082 de 2015, el cual entre sus artículos 2.2.1.2.3.1.1. y 2.2.1.2.3.1.19 se refiere a asuntos como las clases de garantías permitidas, su indivisibilidad,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101726EA" w14:textId="77777777" w:rsidR="005146EB" w:rsidRPr="00D03CE3" w:rsidRDefault="005146EB" w:rsidP="005146EB">
      <w:pPr>
        <w:spacing w:before="120" w:line="276" w:lineRule="auto"/>
        <w:ind w:firstLine="708"/>
        <w:jc w:val="both"/>
        <w:rPr>
          <w:rFonts w:ascii="Verdana" w:hAnsi="Verdana" w:cs="Arial"/>
          <w:color w:val="000000" w:themeColor="text1"/>
          <w:lang w:eastAsia="es-CO"/>
        </w:rPr>
      </w:pPr>
      <w:r w:rsidRPr="00D03CE3">
        <w:rPr>
          <w:rFonts w:ascii="Verdana" w:hAnsi="Verdana" w:cs="Arial"/>
          <w:color w:val="000000" w:themeColor="text1"/>
          <w:lang w:val="es-MX"/>
        </w:rPr>
        <w:lastRenderedPageBreak/>
        <w:t xml:space="preserve">El artículo 2.2.1.2.3.1.3, por ejemplo, establece que la “garantía de cobertura del Riesgo es indivisible”, además de la obligación de los contratantes de establecer en los pliegos de condiciones las garantías exigidas para cada periodo contractual. Seguidamente el artículo 2.2.1.3.1.7 prescribe que la garantía de cumplimiento debe cubrir: i) el buen manejo y correcta inversión del anticipo; ii) la devolución del pago anticipado; iii) cumplimiento del contrato; iv) pago de salarios, prestaciones sociales legales e indemnizaciones laborales; v) estabilidad y calidad de la obra; vi) </w:t>
      </w:r>
      <w:r w:rsidRPr="00D03CE3">
        <w:rPr>
          <w:rFonts w:ascii="Verdana" w:hAnsi="Verdana" w:cs="Arial"/>
          <w:color w:val="000000" w:themeColor="text1"/>
          <w:lang w:eastAsia="es-CO"/>
        </w:rPr>
        <w:t xml:space="preserve">calidad del servicio; </w:t>
      </w:r>
      <w:proofErr w:type="spellStart"/>
      <w:r w:rsidRPr="00D03CE3">
        <w:rPr>
          <w:rFonts w:ascii="Verdana" w:hAnsi="Verdana" w:cs="Arial"/>
          <w:color w:val="000000" w:themeColor="text1"/>
          <w:lang w:eastAsia="es-CO"/>
        </w:rPr>
        <w:t>vii</w:t>
      </w:r>
      <w:proofErr w:type="spellEnd"/>
      <w:r w:rsidRPr="00D03CE3">
        <w:rPr>
          <w:rFonts w:ascii="Verdana" w:hAnsi="Verdana" w:cs="Arial"/>
          <w:color w:val="000000" w:themeColor="text1"/>
          <w:lang w:eastAsia="es-CO"/>
        </w:rPr>
        <w:t xml:space="preserve">) calidad y correcto funcionamiento de los bienes; y </w:t>
      </w:r>
      <w:proofErr w:type="spellStart"/>
      <w:r w:rsidRPr="00D03CE3">
        <w:rPr>
          <w:rFonts w:ascii="Verdana" w:hAnsi="Verdana" w:cs="Arial"/>
          <w:color w:val="000000" w:themeColor="text1"/>
          <w:lang w:eastAsia="es-CO"/>
        </w:rPr>
        <w:t>viii</w:t>
      </w:r>
      <w:proofErr w:type="spellEnd"/>
      <w:r w:rsidRPr="00D03CE3">
        <w:rPr>
          <w:rFonts w:ascii="Verdana" w:hAnsi="Verdana" w:cs="Arial"/>
          <w:color w:val="000000" w:themeColor="text1"/>
          <w:lang w:eastAsia="es-CO"/>
        </w:rPr>
        <w:t>) los demás incumplimientos de las obligaciones que la entidad estatal considere deben ser amparados. Por su parte, el artículo 2.2.1.2.3.1.12 regula la suficiencia del amparo de cumplimiento, al determinar que esta debe tener una vigencia mínima hasta la liquidación del contrato y un valor de por lo menos el diez por ciento (10%) del total del contrato, siempre que este sea inferior a un millón (1.000.000) de S.M.M.L.V., estableciendo otros mínimos para el valor de las pólizas en contratos con montos superiores</w:t>
      </w:r>
      <w:r w:rsidRPr="00D03CE3">
        <w:rPr>
          <w:rFonts w:ascii="Verdana" w:hAnsi="Verdana" w:cs="Arial"/>
          <w:color w:val="000000" w:themeColor="text1"/>
          <w:vertAlign w:val="superscript"/>
          <w:lang w:eastAsia="es-CO"/>
        </w:rPr>
        <w:footnoteReference w:id="7"/>
      </w:r>
      <w:r w:rsidRPr="00D03CE3">
        <w:rPr>
          <w:rFonts w:ascii="Verdana" w:hAnsi="Verdana" w:cs="Arial"/>
          <w:color w:val="000000" w:themeColor="text1"/>
          <w:lang w:eastAsia="es-CO"/>
        </w:rPr>
        <w:t xml:space="preserve">.   </w:t>
      </w:r>
    </w:p>
    <w:p w14:paraId="633C8FA2" w14:textId="77777777" w:rsidR="005146EB" w:rsidRPr="00D03CE3" w:rsidRDefault="005146EB" w:rsidP="005146EB">
      <w:pPr>
        <w:spacing w:before="120" w:line="276" w:lineRule="auto"/>
        <w:ind w:firstLine="708"/>
        <w:jc w:val="both"/>
        <w:rPr>
          <w:rFonts w:ascii="Verdana" w:hAnsi="Verdana" w:cs="Arial"/>
          <w:color w:val="000000" w:themeColor="text1"/>
        </w:rPr>
      </w:pPr>
      <w:r w:rsidRPr="00D03CE3">
        <w:rPr>
          <w:rFonts w:ascii="Verdana" w:hAnsi="Verdana" w:cs="Arial"/>
          <w:color w:val="000000" w:themeColor="text1"/>
          <w:lang w:val="es-MX"/>
        </w:rPr>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D03CE3">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w:t>
      </w:r>
      <w:r w:rsidRPr="00D03CE3">
        <w:rPr>
          <w:rFonts w:ascii="Verdana" w:hAnsi="Verdana" w:cs="Arial"/>
          <w:color w:val="000000" w:themeColor="text1"/>
        </w:rPr>
        <w:lastRenderedPageBreak/>
        <w:t>exigidos, son presupuestos para la ejecución del contrato, de conformidad con el artículo 41 de la Ley 80 de 1993</w:t>
      </w:r>
      <w:r w:rsidRPr="00D03CE3">
        <w:rPr>
          <w:rFonts w:ascii="Verdana" w:eastAsia="Calibri" w:hAnsi="Verdana" w:cs="Arial"/>
        </w:rPr>
        <w:t xml:space="preserve">. </w:t>
      </w:r>
    </w:p>
    <w:p w14:paraId="255F35A3" w14:textId="77777777" w:rsidR="005146EB" w:rsidRPr="00D03CE3" w:rsidRDefault="005146EB" w:rsidP="005146EB">
      <w:pPr>
        <w:spacing w:before="120" w:line="276" w:lineRule="auto"/>
        <w:ind w:firstLine="708"/>
        <w:jc w:val="both"/>
        <w:rPr>
          <w:rFonts w:ascii="Verdana" w:hAnsi="Verdana" w:cs="Arial"/>
          <w:color w:val="000000" w:themeColor="text1"/>
          <w:lang w:val="es-ES_tradnl"/>
        </w:rPr>
      </w:pPr>
      <w:r w:rsidRPr="00D03CE3">
        <w:rPr>
          <w:rFonts w:ascii="Verdana" w:eastAsia="Calibri" w:hAnsi="Verdana" w:cs="Arial"/>
        </w:rPr>
        <w:t xml:space="preserve">En efecto, </w:t>
      </w:r>
      <w:r w:rsidRPr="00D03CE3">
        <w:rPr>
          <w:rFonts w:ascii="Verdana" w:hAnsi="Verdana" w:cs="Arial"/>
          <w:color w:val="000000" w:themeColor="text1"/>
          <w:lang w:val="es-MX"/>
        </w:rPr>
        <w:t>el referido artículo establece en su inciso primero que los contratos estatales se perfeccionan “</w:t>
      </w:r>
      <w:r w:rsidRPr="00D03CE3">
        <w:rPr>
          <w:rFonts w:ascii="Verdana" w:hAnsi="Verdana" w:cs="Arial"/>
          <w:color w:val="000000" w:themeColor="text1"/>
          <w:lang w:eastAsia="es-CO"/>
        </w:rPr>
        <w:t>cuando se logre acuerdo sobre el objeto y la contraprestación y éste se eleve a escrito</w:t>
      </w:r>
      <w:r w:rsidRPr="00D03CE3">
        <w:rPr>
          <w:rFonts w:ascii="Verdana" w:hAnsi="Verdana" w:cs="Arial"/>
          <w:color w:val="000000" w:themeColor="text1"/>
          <w:lang w:val="es-MX"/>
        </w:rPr>
        <w:t>”. Por su parte el inciso segundo establece que “P</w:t>
      </w:r>
      <w:r w:rsidRPr="00D03CE3">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p>
    <w:p w14:paraId="50996463" w14:textId="77777777" w:rsidR="005146EB" w:rsidRPr="00D03CE3" w:rsidRDefault="005146EB" w:rsidP="005146EB">
      <w:pPr>
        <w:spacing w:before="120" w:after="0" w:line="276" w:lineRule="auto"/>
        <w:ind w:firstLine="708"/>
        <w:jc w:val="both"/>
        <w:rPr>
          <w:rFonts w:ascii="Verdana" w:hAnsi="Verdana" w:cs="Arial"/>
          <w:color w:val="000000" w:themeColor="text1"/>
          <w:lang w:val="es-MX"/>
        </w:rPr>
      </w:pPr>
      <w:r w:rsidRPr="00D03CE3">
        <w:rPr>
          <w:rFonts w:ascii="Verdana" w:hAnsi="Verdana" w:cs="Arial"/>
          <w:color w:val="000000" w:themeColor="text1"/>
          <w:lang w:eastAsia="es-CO"/>
        </w:rPr>
        <w:t xml:space="preserve">Al interpretar la regulación del precitado artículo, el Consejo de Estado ha diferenciado los requisitos de perfeccionamiento del contrato de los concernientes a la ejecución, al entender que el acuerdo de voluntades elevado a escrito suscrito por las partes perfecciona el contrato estatal, mientras que la aprobación de las garantías es un requisito para su ejecución, el cual no está sometido al libre arbitrio del contratante, en la medida que tal aprobación consiste </w:t>
      </w:r>
      <w:r w:rsidRPr="00D03CE3">
        <w:rPr>
          <w:rFonts w:ascii="Verdana" w:hAnsi="Verdana" w:cs="Arial"/>
          <w:color w:val="000000" w:themeColor="text1"/>
          <w:lang w:val="es-MX"/>
        </w:rPr>
        <w:t>en un reconocimiento por parte de la Administración de que el contratista ha cumplido con la obligación de la garantía requerida por la ley y que esta se ajuste a lo pactado en el contrato.  Así lo expresó la Sección Tercera del Consejo de Estado en Sentencia del 28 de junio de 2012:</w:t>
      </w:r>
    </w:p>
    <w:p w14:paraId="27AD1052" w14:textId="77777777" w:rsidR="005146EB" w:rsidRPr="00D03CE3" w:rsidRDefault="005146EB" w:rsidP="005146EB">
      <w:pPr>
        <w:spacing w:after="0" w:line="276" w:lineRule="auto"/>
        <w:ind w:firstLine="709"/>
        <w:jc w:val="both"/>
        <w:rPr>
          <w:rFonts w:ascii="Verdana" w:hAnsi="Verdana" w:cs="Arial"/>
          <w:color w:val="000000" w:themeColor="text1"/>
          <w:lang w:eastAsia="es-CO"/>
        </w:rPr>
      </w:pPr>
    </w:p>
    <w:p w14:paraId="3557D1E9" w14:textId="77777777" w:rsidR="005146EB" w:rsidRPr="00DE4607" w:rsidRDefault="005146EB" w:rsidP="005146EB">
      <w:pPr>
        <w:spacing w:after="120" w:line="240" w:lineRule="auto"/>
        <w:ind w:left="709" w:right="709"/>
        <w:jc w:val="both"/>
        <w:rPr>
          <w:rFonts w:ascii="Verdana" w:hAnsi="Verdana" w:cs="Arial"/>
          <w:color w:val="000000" w:themeColor="text1"/>
          <w:sz w:val="20"/>
          <w:szCs w:val="20"/>
          <w:lang w:val="es-MX"/>
        </w:rPr>
      </w:pPr>
      <w:r w:rsidRPr="00DE4607">
        <w:rPr>
          <w:rFonts w:ascii="Verdana" w:hAnsi="Verdana" w:cs="Arial"/>
          <w:color w:val="000000" w:themeColor="text1"/>
          <w:sz w:val="20"/>
          <w:szCs w:val="20"/>
          <w:lang w:val="es-MX"/>
        </w:rPr>
        <w:t xml:space="preserve">“[…] Por virtud de lo dispuesto en la Ley 80 de 1993, el contrato estatal existe cuando el acuerdo sobre el objeto y la contraprestación se eleva a escrito y, es ejecutable, cuando se cumplen las condiciones previstas en el inciso segundo del artículo 41 de la ley, en concordancia con lo dispuesto en el artículo 49 de la Ley 179 de 1994, compilado en el artículo 71 del Estatuto Orgánico de Presupuesto -Decreto ley 111 de 1996-, esto es, cuando además de la aprobación de la garantía, se cuenta con las disponibilidades presupuestales correspondientes, salvo que se trate de contratación con recursos de vigencias futuras, de conformidad con lo previsto en la ley orgánica del presupuesto.  </w:t>
      </w:r>
    </w:p>
    <w:p w14:paraId="051CB35C" w14:textId="77777777" w:rsidR="005146EB" w:rsidRPr="00DE4607" w:rsidRDefault="005146EB" w:rsidP="005146EB">
      <w:pPr>
        <w:spacing w:after="120" w:line="240" w:lineRule="auto"/>
        <w:ind w:left="709" w:right="709"/>
        <w:jc w:val="both"/>
        <w:rPr>
          <w:rFonts w:ascii="Verdana" w:hAnsi="Verdana" w:cs="Arial"/>
          <w:color w:val="000000" w:themeColor="text1"/>
          <w:sz w:val="20"/>
          <w:szCs w:val="20"/>
          <w:lang w:val="es-MX"/>
        </w:rPr>
      </w:pPr>
      <w:r w:rsidRPr="00DE4607">
        <w:rPr>
          <w:rFonts w:ascii="Verdana" w:hAnsi="Verdana" w:cs="Arial"/>
          <w:color w:val="000000" w:themeColor="text1"/>
          <w:sz w:val="20"/>
          <w:szCs w:val="20"/>
          <w:lang w:val="es-MX"/>
        </w:rPr>
        <w:t xml:space="preserve">Ello significa que, una vez elevado a escrito, lo cual supone su suscripción por ambas partes, el contrato estatal existe y requiere del registro presupuestal, al igual que de la aprobación de la garantía para su ejecución, condiciones que cumplidas le otorgan eficacia. La aprobación de la póliza entonces, no tiene alcance diferente al reconocimiento de parte de la administración sobre que el contratista cumplió con la obligación de la garantía en orden a la ejecución del contrato y el registro presupuestal comporta que la contratante hizo lo propio. </w:t>
      </w:r>
    </w:p>
    <w:p w14:paraId="3919907C" w14:textId="77777777" w:rsidR="005146EB" w:rsidRPr="00DE4607" w:rsidRDefault="005146EB" w:rsidP="005146EB">
      <w:pPr>
        <w:spacing w:after="0" w:line="240" w:lineRule="auto"/>
        <w:ind w:left="709" w:right="709"/>
        <w:jc w:val="both"/>
        <w:rPr>
          <w:rFonts w:ascii="Verdana" w:hAnsi="Verdana" w:cs="Arial"/>
          <w:color w:val="000000" w:themeColor="text1"/>
          <w:sz w:val="20"/>
          <w:szCs w:val="20"/>
          <w:lang w:val="es-MX"/>
        </w:rPr>
      </w:pPr>
      <w:r w:rsidRPr="00DE4607">
        <w:rPr>
          <w:rFonts w:ascii="Verdana" w:hAnsi="Verdana" w:cs="Arial"/>
          <w:color w:val="000000" w:themeColor="text1"/>
          <w:sz w:val="20"/>
          <w:szCs w:val="20"/>
          <w:lang w:val="es-MX"/>
        </w:rPr>
        <w:lastRenderedPageBreak/>
        <w:t xml:space="preserve">En ese orden de ideas, </w:t>
      </w:r>
      <w:r w:rsidRPr="00DE4607">
        <w:rPr>
          <w:rFonts w:ascii="Verdana" w:hAnsi="Verdana" w:cs="Arial"/>
          <w:i/>
          <w:iCs/>
          <w:color w:val="000000" w:themeColor="text1"/>
          <w:sz w:val="20"/>
          <w:szCs w:val="20"/>
          <w:lang w:val="es-MX"/>
        </w:rPr>
        <w:t>si bien la aprobación de la garantía, condicionan la iniciación del contrato, su ejecución, vigencia y plazo, se sujeta a que la póliza cumpla con los requisitos legales y que la administración los avale, sin que le esté dado a la entidad hacer gala de su mera liberalidad para demorar su aprobación o negarla, porque, de no ser ello así, de nada serviría la previsión legal, pues lo sujeto a la potestad unilateral nada condiciona</w:t>
      </w:r>
      <w:r w:rsidRPr="00DE4607">
        <w:rPr>
          <w:rFonts w:ascii="Verdana" w:hAnsi="Verdana" w:cs="Arial"/>
          <w:color w:val="000000" w:themeColor="text1"/>
          <w:sz w:val="20"/>
          <w:szCs w:val="20"/>
          <w:lang w:val="es-MX"/>
        </w:rPr>
        <w:t>”</w:t>
      </w:r>
      <w:r w:rsidRPr="00DE4607">
        <w:rPr>
          <w:rFonts w:ascii="Verdana" w:hAnsi="Verdana" w:cs="Arial"/>
          <w:color w:val="000000" w:themeColor="text1"/>
          <w:sz w:val="20"/>
          <w:szCs w:val="20"/>
          <w:vertAlign w:val="superscript"/>
          <w:lang w:val="es-MX"/>
        </w:rPr>
        <w:footnoteReference w:id="8"/>
      </w:r>
      <w:r w:rsidRPr="00DE4607">
        <w:rPr>
          <w:rFonts w:ascii="Verdana" w:hAnsi="Verdana" w:cs="Arial"/>
          <w:color w:val="000000" w:themeColor="text1"/>
          <w:sz w:val="20"/>
          <w:szCs w:val="20"/>
          <w:lang w:val="es-MX"/>
        </w:rPr>
        <w:t>. (Énfasis fuera de texto)</w:t>
      </w:r>
    </w:p>
    <w:p w14:paraId="24C8CA80" w14:textId="77777777" w:rsidR="005146EB" w:rsidRPr="00D03CE3" w:rsidRDefault="005146EB" w:rsidP="005146EB">
      <w:pPr>
        <w:spacing w:after="0" w:line="276" w:lineRule="auto"/>
        <w:ind w:firstLine="708"/>
        <w:jc w:val="both"/>
        <w:rPr>
          <w:rFonts w:ascii="Verdana" w:hAnsi="Verdana" w:cs="Arial"/>
          <w:color w:val="000000" w:themeColor="text1"/>
          <w:lang w:eastAsia="es-CO"/>
        </w:rPr>
      </w:pPr>
    </w:p>
    <w:p w14:paraId="460D6817" w14:textId="77777777" w:rsidR="005146EB" w:rsidRPr="00D03CE3" w:rsidRDefault="005146EB" w:rsidP="005146EB">
      <w:pPr>
        <w:spacing w:line="276" w:lineRule="auto"/>
        <w:ind w:firstLine="709"/>
        <w:jc w:val="both"/>
        <w:rPr>
          <w:rFonts w:ascii="Verdana" w:hAnsi="Verdana" w:cs="Arial"/>
          <w:color w:val="000000" w:themeColor="text1"/>
          <w:lang w:eastAsia="es-CO"/>
        </w:rPr>
      </w:pPr>
      <w:r w:rsidRPr="00D03CE3">
        <w:rPr>
          <w:rFonts w:ascii="Verdana" w:hAnsi="Verdana" w:cs="Arial"/>
          <w:color w:val="000000" w:themeColor="text1"/>
          <w:lang w:eastAsia="es-CO"/>
        </w:rPr>
        <w:t xml:space="preserve">De esta manera, para proceder con la ejecución del contrato, el contratista debe cumplir con la obligación de constituir las garantías,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D03CE3">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D03CE3">
        <w:rPr>
          <w:rStyle w:val="Refdenotaalpie"/>
          <w:rFonts w:ascii="Verdana" w:hAnsi="Verdana" w:cs="Arial"/>
          <w:color w:val="000000" w:themeColor="text1"/>
          <w:lang w:val="es-ES_tradnl" w:eastAsia="es-CO"/>
        </w:rPr>
        <w:footnoteReference w:id="9"/>
      </w:r>
      <w:r w:rsidRPr="00D03CE3">
        <w:rPr>
          <w:rFonts w:ascii="Verdana" w:hAnsi="Verdana" w:cs="Arial"/>
          <w:color w:val="000000" w:themeColor="text1"/>
          <w:lang w:val="es-ES_tradnl" w:eastAsia="es-CO"/>
        </w:rPr>
        <w:t>.</w:t>
      </w:r>
    </w:p>
    <w:p w14:paraId="0B5F2129" w14:textId="77777777" w:rsidR="005146EB" w:rsidRPr="00D03CE3" w:rsidRDefault="005146EB" w:rsidP="005146EB">
      <w:pPr>
        <w:spacing w:before="120" w:line="276" w:lineRule="auto"/>
        <w:ind w:firstLine="709"/>
        <w:jc w:val="both"/>
        <w:rPr>
          <w:rFonts w:ascii="Verdana" w:hAnsi="Verdana" w:cs="Arial"/>
          <w:color w:val="000000" w:themeColor="text1"/>
          <w:lang w:val="es-ES"/>
        </w:rPr>
      </w:pPr>
      <w:r w:rsidRPr="00D03CE3">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D03CE3">
        <w:rPr>
          <w:rFonts w:ascii="Verdana" w:hAnsi="Verdana" w:cs="Arial"/>
          <w:color w:val="000000" w:themeColor="text1"/>
          <w:lang w:val="es-MX"/>
        </w:rPr>
        <w:t>“</w:t>
      </w:r>
      <w:r w:rsidRPr="00D03CE3">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D03CE3">
        <w:rPr>
          <w:rStyle w:val="Refdenotaalpie"/>
          <w:rFonts w:ascii="Verdana" w:eastAsia="Calibri" w:hAnsi="Verdana" w:cs="Arial"/>
          <w:color w:val="000000"/>
          <w:lang w:eastAsia="en-GB"/>
        </w:rPr>
        <w:footnoteReference w:id="10"/>
      </w:r>
      <w:r w:rsidRPr="00D03CE3">
        <w:rPr>
          <w:rFonts w:ascii="Verdana" w:hAnsi="Verdana" w:cs="Arial"/>
          <w:color w:val="000000" w:themeColor="text1"/>
          <w:lang w:eastAsia="es-CO"/>
        </w:rPr>
        <w:t>.</w:t>
      </w:r>
      <w:r w:rsidRPr="00D03CE3">
        <w:rPr>
          <w:rFonts w:ascii="Verdana" w:hAnsi="Verdana" w:cs="Arial"/>
          <w:color w:val="000000" w:themeColor="text1"/>
          <w:lang w:val="es-MX"/>
        </w:rPr>
        <w:t xml:space="preserve"> En este sentido, previo a l</w:t>
      </w:r>
      <w:r w:rsidRPr="00D03CE3">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D03CE3">
        <w:rPr>
          <w:rFonts w:ascii="Verdana" w:hAnsi="Verdana" w:cs="Arial"/>
          <w:color w:val="000000" w:themeColor="text1"/>
        </w:rPr>
        <w:t xml:space="preserve"> asegurar que estas </w:t>
      </w:r>
      <w:r w:rsidRPr="00D03CE3">
        <w:rPr>
          <w:rFonts w:ascii="Verdana" w:hAnsi="Verdana" w:cs="Arial"/>
          <w:color w:val="000000" w:themeColor="text1"/>
          <w:lang w:val="es-ES"/>
        </w:rPr>
        <w:t xml:space="preserve">protejan el patrimonio del Estado de los perjuicios que eventualmente se derivarían de la materialización de los riesgos amparados. </w:t>
      </w:r>
    </w:p>
    <w:p w14:paraId="5B87DD76" w14:textId="77777777" w:rsidR="005146EB" w:rsidRDefault="005146EB" w:rsidP="005146EB">
      <w:pPr>
        <w:spacing w:after="0" w:line="276" w:lineRule="auto"/>
        <w:ind w:firstLine="709"/>
        <w:jc w:val="both"/>
        <w:rPr>
          <w:rFonts w:ascii="Verdana" w:hAnsi="Verdana" w:cs="Arial"/>
          <w:color w:val="000000" w:themeColor="text1"/>
          <w:lang w:val="es-ES_tradnl"/>
        </w:rPr>
      </w:pPr>
      <w:r w:rsidRPr="00D03CE3">
        <w:rPr>
          <w:rFonts w:ascii="Verdana" w:hAnsi="Verdana" w:cs="Arial"/>
          <w:color w:val="000000" w:themeColor="text1"/>
          <w:lang w:val="es-ES_tradnl"/>
        </w:rPr>
        <w:t xml:space="preserve">Esta labor de verificación por parte de la entidad implica validar el origen de las garantías y revisar </w:t>
      </w:r>
      <w:r w:rsidRPr="00D03CE3">
        <w:rPr>
          <w:rFonts w:ascii="Verdana" w:hAnsi="Verdana" w:cs="Arial"/>
          <w:color w:val="000000" w:themeColor="text1"/>
          <w:lang w:val="es-MX"/>
        </w:rPr>
        <w:t>“</w:t>
      </w:r>
      <w:r w:rsidRPr="00D03CE3">
        <w:rPr>
          <w:rFonts w:ascii="Verdana" w:eastAsia="Calibri" w:hAnsi="Verdana" w:cs="Arial"/>
        </w:rPr>
        <w:t xml:space="preserve">que los valores asegurados coincidan con los que se </w:t>
      </w:r>
      <w:r w:rsidRPr="00D03CE3">
        <w:rPr>
          <w:rFonts w:ascii="Verdana" w:eastAsia="Calibri" w:hAnsi="Verdana" w:cs="Arial"/>
        </w:rPr>
        <w:lastRenderedPageBreak/>
        <w:t>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D03CE3">
        <w:rPr>
          <w:rStyle w:val="Refdenotaalpie"/>
          <w:rFonts w:ascii="Verdana" w:eastAsia="Calibri" w:hAnsi="Verdana" w:cs="Arial"/>
        </w:rPr>
        <w:footnoteReference w:id="11"/>
      </w:r>
      <w:r w:rsidRPr="00D03CE3">
        <w:rPr>
          <w:rFonts w:ascii="Verdana" w:hAnsi="Verdana" w:cs="Arial"/>
          <w:color w:val="000000" w:themeColor="text1"/>
          <w:lang w:val="es-MX"/>
        </w:rPr>
        <w:t>.</w:t>
      </w:r>
      <w:r w:rsidRPr="00D03CE3">
        <w:rPr>
          <w:rFonts w:ascii="Verdana" w:hAnsi="Verdana" w:cs="Arial"/>
          <w:color w:val="000000" w:themeColor="text1"/>
          <w:lang w:val="es-ES"/>
        </w:rPr>
        <w:t xml:space="preserve"> </w:t>
      </w:r>
      <w:r w:rsidRPr="00D03CE3">
        <w:rPr>
          <w:rFonts w:ascii="Verdana" w:hAnsi="Verdana" w:cs="Arial"/>
          <w:color w:val="000000" w:themeColor="text1"/>
          <w:lang w:val="es-MX"/>
        </w:rPr>
        <w:t xml:space="preserve">De este modo, </w:t>
      </w:r>
      <w:r w:rsidRPr="00D03CE3">
        <w:rPr>
          <w:rFonts w:ascii="Verdana" w:hAnsi="Verdana" w:cs="Arial"/>
          <w:color w:val="000000" w:themeColor="text1"/>
          <w:lang w:val="es-ES_tradnl"/>
        </w:rPr>
        <w:t xml:space="preserve">con la aprobación de las garantías la entidad estatal </w:t>
      </w:r>
      <w:r w:rsidRPr="00D03CE3">
        <w:rPr>
          <w:rFonts w:ascii="Verdana" w:hAnsi="Verdana" w:cs="Arial"/>
          <w:color w:val="000000" w:themeColor="text1"/>
          <w:lang w:eastAsia="es-CO"/>
        </w:rPr>
        <w:t xml:space="preserve">estará acreditando el cumplimiento de la obligación del artículo 7 de la Ley 1150 de 2007, </w:t>
      </w:r>
      <w:r w:rsidRPr="00D03CE3">
        <w:rPr>
          <w:rFonts w:ascii="Verdana" w:hAnsi="Verdana" w:cs="Arial"/>
          <w:color w:val="000000" w:themeColor="text1"/>
          <w:lang w:val="es-ES_tradnl"/>
        </w:rPr>
        <w:t>y entonces el contrato podrá ejecutarse, siempre que se cumplan los demás requisitos establece el artículo 41 de la Ley 80 de 1993</w:t>
      </w:r>
      <w:r>
        <w:rPr>
          <w:rFonts w:ascii="Verdana" w:hAnsi="Verdana" w:cs="Arial"/>
          <w:color w:val="000000" w:themeColor="text1"/>
          <w:lang w:val="es-ES_tradnl"/>
        </w:rPr>
        <w:t>. Por tanto, los pagos autorizados sin la aprobación de las garantías o sin los requisitos de cobertura y suficiencia comprometen la responsabilidad</w:t>
      </w:r>
      <w:r w:rsidRPr="00D03CE3">
        <w:rPr>
          <w:rFonts w:ascii="Verdana" w:hAnsi="Verdana" w:cs="Arial"/>
          <w:color w:val="000000" w:themeColor="text1"/>
          <w:lang w:val="es-ES_tradnl"/>
        </w:rPr>
        <w:t xml:space="preserve"> </w:t>
      </w:r>
      <w:r>
        <w:rPr>
          <w:rFonts w:ascii="Verdana" w:hAnsi="Verdana" w:cs="Arial"/>
          <w:color w:val="000000" w:themeColor="text1"/>
          <w:lang w:val="es-ES_tradnl"/>
        </w:rPr>
        <w:t xml:space="preserve">de los servidores públicos implicados en la gestión contractual. </w:t>
      </w:r>
    </w:p>
    <w:p w14:paraId="0647E138" w14:textId="77777777" w:rsidR="005146EB" w:rsidRDefault="005146EB" w:rsidP="005146EB">
      <w:pPr>
        <w:spacing w:after="0" w:line="276" w:lineRule="auto"/>
        <w:ind w:firstLine="709"/>
        <w:jc w:val="both"/>
        <w:rPr>
          <w:rFonts w:ascii="Verdana" w:hAnsi="Verdana" w:cs="Arial"/>
          <w:color w:val="000000" w:themeColor="text1"/>
          <w:lang w:val="es-ES_tradnl"/>
        </w:rPr>
      </w:pPr>
    </w:p>
    <w:p w14:paraId="0E97E3A9" w14:textId="77777777" w:rsidR="005146EB" w:rsidRPr="00370279" w:rsidRDefault="005146EB" w:rsidP="005146EB">
      <w:pPr>
        <w:tabs>
          <w:tab w:val="left" w:pos="426"/>
        </w:tabs>
        <w:spacing w:after="0" w:line="276" w:lineRule="auto"/>
        <w:jc w:val="both"/>
        <w:rPr>
          <w:rFonts w:ascii="Verdana" w:eastAsia="Calibri" w:hAnsi="Verdana" w:cs="Arial"/>
          <w:color w:val="000000" w:themeColor="text1"/>
          <w:lang w:val="es-ES_tradnl"/>
        </w:rPr>
      </w:pPr>
      <w:proofErr w:type="spellStart"/>
      <w:r>
        <w:rPr>
          <w:rFonts w:ascii="Verdana" w:hAnsi="Verdana" w:cs="Arial"/>
          <w:color w:val="000000" w:themeColor="text1"/>
          <w:lang w:val="es-ES_tradnl"/>
        </w:rPr>
        <w:t>iv</w:t>
      </w:r>
      <w:proofErr w:type="spellEnd"/>
      <w:r>
        <w:rPr>
          <w:rFonts w:ascii="Verdana" w:hAnsi="Verdana" w:cs="Arial"/>
          <w:color w:val="000000" w:themeColor="text1"/>
          <w:lang w:val="es-ES_tradnl"/>
        </w:rPr>
        <w:t xml:space="preserve">. </w:t>
      </w:r>
      <w:r>
        <w:rPr>
          <w:rFonts w:ascii="Verdana" w:hAnsi="Verdana" w:cs="Arial"/>
        </w:rPr>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6E45BA">
        <w:rPr>
          <w:rStyle w:val="Refdenotaalpie"/>
          <w:rFonts w:ascii="Verdana" w:hAnsi="Verdana" w:cs="Arial"/>
          <w:color w:val="000000" w:themeColor="text1"/>
        </w:rPr>
        <w:footnoteReference w:id="12"/>
      </w:r>
      <w:r w:rsidRPr="006E45BA">
        <w:rPr>
          <w:rFonts w:ascii="Verdana" w:hAnsi="Verdana" w:cs="Arial"/>
          <w:color w:val="000000" w:themeColor="text1"/>
        </w:rPr>
        <w:t xml:space="preserve">. Por ello, aunque el contrato sea ley 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7405745A" w14:textId="77777777" w:rsidR="005146EB" w:rsidRPr="006E45BA" w:rsidRDefault="005146EB" w:rsidP="005146EB">
      <w:pPr>
        <w:spacing w:after="0" w:line="276" w:lineRule="auto"/>
        <w:ind w:firstLine="708"/>
        <w:jc w:val="both"/>
        <w:rPr>
          <w:rFonts w:ascii="Verdana" w:hAnsi="Verdana" w:cs="Arial"/>
          <w:color w:val="000000" w:themeColor="text1"/>
        </w:rPr>
      </w:pPr>
    </w:p>
    <w:p w14:paraId="104D961C" w14:textId="77777777" w:rsidR="005146EB" w:rsidRPr="006E45BA" w:rsidRDefault="005146EB" w:rsidP="005146EB">
      <w:pPr>
        <w:spacing w:after="0" w:line="240" w:lineRule="auto"/>
        <w:ind w:left="709" w:right="709"/>
        <w:jc w:val="both"/>
        <w:rPr>
          <w:rFonts w:ascii="Verdana" w:eastAsia="Calibri" w:hAnsi="Verdana" w:cs="Arial"/>
          <w:sz w:val="21"/>
          <w:szCs w:val="21"/>
          <w:lang w:val="es-ES"/>
        </w:rPr>
      </w:pPr>
      <w:r w:rsidRPr="006E45BA">
        <w:rPr>
          <w:rFonts w:ascii="Verdana" w:eastAsia="Calibri" w:hAnsi="Verdana" w:cs="Arial"/>
          <w:sz w:val="21"/>
          <w:szCs w:val="21"/>
          <w:lang w:val="es-ES"/>
        </w:rPr>
        <w:lastRenderedPageBreak/>
        <w:t xml:space="preserve">“[…] La nulidad es una sanción que consiste en la privación al negocio de todos los efectos que está llamado a producir, mirando tanto al futuro como al pasado, </w:t>
      </w:r>
      <w:proofErr w:type="gramStart"/>
      <w:r w:rsidRPr="006E45BA">
        <w:rPr>
          <w:rFonts w:ascii="Verdana" w:eastAsia="Calibri" w:hAnsi="Verdana" w:cs="Arial"/>
          <w:sz w:val="21"/>
          <w:szCs w:val="21"/>
          <w:lang w:val="es-ES"/>
        </w:rPr>
        <w:t>en razón de</w:t>
      </w:r>
      <w:proofErr w:type="gramEnd"/>
      <w:r w:rsidRPr="006E45BA">
        <w:rPr>
          <w:rFonts w:ascii="Verdana" w:eastAsia="Calibri" w:hAnsi="Verdana" w:cs="Arial"/>
          <w:sz w:val="21"/>
          <w:szCs w:val="21"/>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6E45BA">
        <w:rPr>
          <w:rFonts w:ascii="Verdana" w:eastAsia="Calibri" w:hAnsi="Verdana" w:cs="Arial"/>
          <w:i/>
          <w:iCs/>
          <w:sz w:val="21"/>
          <w:szCs w:val="21"/>
          <w:lang w:val="es-ES"/>
        </w:rPr>
        <w:t>essentialia</w:t>
      </w:r>
      <w:proofErr w:type="spellEnd"/>
      <w:r w:rsidRPr="006E45BA">
        <w:rPr>
          <w:rFonts w:ascii="Verdana" w:eastAsia="Calibri" w:hAnsi="Verdana" w:cs="Arial"/>
          <w:i/>
          <w:iCs/>
          <w:sz w:val="21"/>
          <w:szCs w:val="21"/>
          <w:lang w:val="es-ES"/>
        </w:rPr>
        <w:t xml:space="preserve"> </w:t>
      </w:r>
      <w:proofErr w:type="spellStart"/>
      <w:r w:rsidRPr="006E45BA">
        <w:rPr>
          <w:rFonts w:ascii="Verdana" w:eastAsia="Calibri" w:hAnsi="Verdana" w:cs="Arial"/>
          <w:i/>
          <w:iCs/>
          <w:sz w:val="21"/>
          <w:szCs w:val="21"/>
          <w:lang w:val="es-ES"/>
        </w:rPr>
        <w:t>negotii</w:t>
      </w:r>
      <w:proofErr w:type="spellEnd"/>
      <w:r w:rsidRPr="006E45BA">
        <w:rPr>
          <w:rFonts w:ascii="Verdana" w:eastAsia="Calibri" w:hAnsi="Verdana" w:cs="Arial"/>
          <w:sz w:val="21"/>
          <w:szCs w:val="21"/>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6E45BA">
        <w:rPr>
          <w:rStyle w:val="Refdenotaalpie"/>
          <w:rFonts w:ascii="Verdana" w:eastAsia="Calibri" w:hAnsi="Verdana" w:cs="Arial"/>
          <w:sz w:val="21"/>
          <w:szCs w:val="21"/>
          <w:lang w:val="es-ES"/>
        </w:rPr>
        <w:footnoteReference w:id="13"/>
      </w:r>
      <w:r w:rsidRPr="006E45BA">
        <w:rPr>
          <w:rFonts w:ascii="Verdana" w:eastAsia="Calibri" w:hAnsi="Verdana" w:cs="Arial"/>
          <w:sz w:val="21"/>
          <w:szCs w:val="21"/>
          <w:lang w:val="es-ES"/>
        </w:rPr>
        <w:t>.</w:t>
      </w:r>
    </w:p>
    <w:p w14:paraId="0B847BEE" w14:textId="77777777" w:rsidR="005146EB" w:rsidRPr="006E45BA" w:rsidRDefault="005146EB" w:rsidP="005146EB">
      <w:pPr>
        <w:spacing w:after="0" w:line="276" w:lineRule="auto"/>
        <w:jc w:val="both"/>
        <w:rPr>
          <w:rFonts w:ascii="Verdana" w:eastAsia="Calibri" w:hAnsi="Verdana" w:cs="Arial"/>
          <w:lang w:val="es-ES"/>
        </w:rPr>
      </w:pPr>
    </w:p>
    <w:p w14:paraId="7492FF12" w14:textId="77777777" w:rsidR="005146EB" w:rsidRDefault="005146EB" w:rsidP="005146EB">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46505CC9" w14:textId="77777777" w:rsidR="005146EB" w:rsidRPr="006E45BA" w:rsidRDefault="005146EB" w:rsidP="005146EB">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 </w:t>
      </w:r>
    </w:p>
    <w:p w14:paraId="14045F9E" w14:textId="77777777" w:rsidR="005146EB" w:rsidRPr="00E86D5D" w:rsidRDefault="005146EB" w:rsidP="005146EB">
      <w:pPr>
        <w:spacing w:after="120" w:line="276" w:lineRule="auto"/>
        <w:jc w:val="both"/>
        <w:rPr>
          <w:rFonts w:ascii="Verdana" w:eastAsia="Calibri" w:hAnsi="Verdana" w:cs="Arial"/>
          <w:lang w:val="es-ES"/>
        </w:rPr>
      </w:pPr>
      <w:r>
        <w:rPr>
          <w:rFonts w:ascii="Verdana" w:eastAsia="Calibri" w:hAnsi="Verdana" w:cs="Arial"/>
          <w:lang w:val="es-ES"/>
        </w:rPr>
        <w:t xml:space="preserve">v. </w:t>
      </w:r>
      <w:r w:rsidRPr="006E45BA">
        <w:rPr>
          <w:rFonts w:ascii="Verdana" w:eastAsia="Calibri" w:hAnsi="Verdana" w:cs="Arial"/>
          <w:lang w:val="es-ES"/>
        </w:rPr>
        <w:t xml:space="preserve">De acuerdo con el artículo 1741 del Código Civil, “La nulidad producida por un </w:t>
      </w:r>
      <w:r w:rsidRPr="00E86D5D">
        <w:rPr>
          <w:rFonts w:ascii="Verdana" w:eastAsia="Calibri" w:hAnsi="Verdana" w:cs="Arial"/>
          <w:lang w:val="es-ES"/>
        </w:rPr>
        <w:t xml:space="preserve">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E86D5D">
        <w:rPr>
          <w:rFonts w:ascii="Verdana" w:eastAsia="Calibri" w:hAnsi="Verdana" w:cs="Arial"/>
          <w:lang w:val="es-ES"/>
        </w:rPr>
        <w:t>mismo nulidad absoluta</w:t>
      </w:r>
      <w:proofErr w:type="gramEnd"/>
      <w:r w:rsidRPr="00E86D5D">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w:t>
      </w:r>
      <w:r w:rsidRPr="00E86D5D">
        <w:rPr>
          <w:rFonts w:ascii="Verdana" w:eastAsia="Calibri" w:hAnsi="Verdana" w:cs="Arial"/>
          <w:lang w:val="es-ES"/>
        </w:rPr>
        <w:lastRenderedPageBreak/>
        <w:t>enorme, los actos de los relativamente incapaces, así como la omisión de formalidades habilitantes distintas a las que se enuncian en la norma precitada</w:t>
      </w:r>
      <w:r w:rsidRPr="00E86D5D">
        <w:rPr>
          <w:rStyle w:val="Refdenotaalpie"/>
          <w:rFonts w:ascii="Verdana" w:eastAsia="Calibri" w:hAnsi="Verdana" w:cs="Arial"/>
          <w:lang w:val="es-ES"/>
        </w:rPr>
        <w:footnoteReference w:id="14"/>
      </w:r>
      <w:r w:rsidRPr="00E86D5D">
        <w:rPr>
          <w:rFonts w:ascii="Verdana" w:eastAsia="Calibri" w:hAnsi="Verdana" w:cs="Arial"/>
          <w:lang w:val="es-ES"/>
        </w:rPr>
        <w:t xml:space="preserve">. </w:t>
      </w:r>
    </w:p>
    <w:p w14:paraId="06D4E6A6" w14:textId="77777777" w:rsidR="005146EB" w:rsidRPr="00E86D5D" w:rsidRDefault="005146EB" w:rsidP="005146EB">
      <w:pPr>
        <w:spacing w:after="120" w:line="276" w:lineRule="auto"/>
        <w:ind w:firstLine="708"/>
        <w:jc w:val="both"/>
        <w:rPr>
          <w:rFonts w:ascii="Verdana" w:eastAsia="Calibri" w:hAnsi="Verdana" w:cs="Arial"/>
          <w:lang w:val="es-ES"/>
        </w:rPr>
      </w:pPr>
      <w:r w:rsidRPr="00E86D5D">
        <w:rPr>
          <w:rFonts w:ascii="Verdana" w:eastAsia="Calibri" w:hAnsi="Verdana" w:cs="Arial"/>
          <w:lang w:val="es-ES"/>
        </w:rPr>
        <w:t xml:space="preserve">Asimismo, el artículo 899 del Código de Comercio dispone la </w:t>
      </w:r>
      <w:r w:rsidRPr="00E86D5D">
        <w:rPr>
          <w:rFonts w:ascii="Verdana" w:eastAsia="Calibri" w:hAnsi="Verdana" w:cs="Arial"/>
          <w:i/>
          <w:iCs/>
          <w:lang w:val="es-ES"/>
        </w:rPr>
        <w:t>nulidad absoluta</w:t>
      </w:r>
      <w:r w:rsidRPr="00E86D5D">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E86D5D">
        <w:rPr>
          <w:rStyle w:val="Refdenotaalpie"/>
          <w:rFonts w:ascii="Verdana" w:eastAsia="Calibri" w:hAnsi="Verdana" w:cs="Arial"/>
          <w:lang w:val="es-ES"/>
        </w:rPr>
        <w:footnoteReference w:id="15"/>
      </w:r>
      <w:r w:rsidRPr="00E86D5D">
        <w:rPr>
          <w:rFonts w:ascii="Verdana" w:eastAsia="Calibri" w:hAnsi="Verdana" w:cs="Arial"/>
          <w:lang w:val="es-ES"/>
        </w:rPr>
        <w:t xml:space="preserve">. Por su parte, el artículo 900 </w:t>
      </w:r>
      <w:r w:rsidRPr="00E86D5D">
        <w:rPr>
          <w:rFonts w:ascii="Verdana" w:eastAsia="Calibri" w:hAnsi="Verdana" w:cs="Arial"/>
          <w:i/>
          <w:iCs/>
          <w:lang w:val="es-ES"/>
        </w:rPr>
        <w:t>ibidem</w:t>
      </w:r>
      <w:r w:rsidRPr="00E86D5D">
        <w:rPr>
          <w:rFonts w:ascii="Verdana" w:eastAsia="Calibri" w:hAnsi="Verdana" w:cs="Arial"/>
          <w:lang w:val="es-ES"/>
        </w:rPr>
        <w:t xml:space="preserve"> precisa que la </w:t>
      </w:r>
      <w:r w:rsidRPr="00E86D5D">
        <w:rPr>
          <w:rFonts w:ascii="Verdana" w:eastAsia="Calibri" w:hAnsi="Verdana" w:cs="Arial"/>
          <w:i/>
          <w:iCs/>
          <w:lang w:val="es-ES"/>
        </w:rPr>
        <w:t>anulabilidad</w:t>
      </w:r>
      <w:r w:rsidRPr="00E86D5D">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30A13543" w14:textId="77777777" w:rsidR="005146EB" w:rsidRPr="00E86D5D" w:rsidRDefault="005146EB" w:rsidP="005146EB">
      <w:pPr>
        <w:pStyle w:val="Textoindependiente"/>
        <w:ind w:right="108" w:firstLine="709"/>
        <w:jc w:val="both"/>
        <w:rPr>
          <w:rFonts w:ascii="Verdana" w:hAnsi="Verdana"/>
        </w:rPr>
      </w:pPr>
      <w:r w:rsidRPr="00E86D5D">
        <w:rPr>
          <w:rFonts w:ascii="Verdana" w:hAnsi="Verdana"/>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E86D5D">
        <w:rPr>
          <w:rFonts w:ascii="Verdana" w:hAnsi="Verdana"/>
        </w:rPr>
        <w:t>ii</w:t>
      </w:r>
      <w:proofErr w:type="spellEnd"/>
      <w:r w:rsidRPr="00E86D5D">
        <w:rPr>
          <w:rFonts w:ascii="Verdana" w:hAnsi="Verdana"/>
        </w:rPr>
        <w:t xml:space="preserve">) se celebre contra expresa prohibición constitucional o legal, </w:t>
      </w:r>
      <w:proofErr w:type="spellStart"/>
      <w:r w:rsidRPr="00E86D5D">
        <w:rPr>
          <w:rFonts w:ascii="Verdana" w:hAnsi="Verdana"/>
        </w:rPr>
        <w:t>iii</w:t>
      </w:r>
      <w:proofErr w:type="spellEnd"/>
      <w:r w:rsidRPr="00E86D5D">
        <w:rPr>
          <w:rFonts w:ascii="Verdana" w:hAnsi="Verdana"/>
        </w:rPr>
        <w:t xml:space="preserve">) se celebre con abuso o desviación de poder, </w:t>
      </w:r>
      <w:proofErr w:type="spellStart"/>
      <w:r w:rsidRPr="00E86D5D">
        <w:rPr>
          <w:rFonts w:ascii="Verdana" w:hAnsi="Verdana"/>
        </w:rPr>
        <w:t>iv</w:t>
      </w:r>
      <w:proofErr w:type="spellEnd"/>
      <w:r w:rsidRPr="00E86D5D">
        <w:rPr>
          <w:rFonts w:ascii="Verdana" w:hAnsi="Verdana"/>
        </w:rPr>
        <w:t>) se declaren nulos los actos administrativos en que se fundamenten, v) se hubieren celebrado con desconocimiento de los criterios previstos para el tratamiento de ofertas nacionales y extranjeras o con violación de la reciprocidad</w:t>
      </w:r>
      <w:r w:rsidRPr="00E86D5D">
        <w:rPr>
          <w:rStyle w:val="Refdenotaalpie"/>
          <w:rFonts w:ascii="Verdana" w:hAnsi="Verdana"/>
        </w:rPr>
        <w:footnoteReference w:id="16"/>
      </w:r>
      <w:r w:rsidRPr="00E86D5D">
        <w:rPr>
          <w:rFonts w:ascii="Verdana" w:hAnsi="Verdana"/>
        </w:rPr>
        <w:t>.</w:t>
      </w:r>
    </w:p>
    <w:p w14:paraId="338525B4" w14:textId="77777777" w:rsidR="005146EB" w:rsidRDefault="005146EB" w:rsidP="005146EB">
      <w:pPr>
        <w:pStyle w:val="Textoindependiente"/>
        <w:spacing w:after="0"/>
        <w:ind w:right="105" w:firstLine="709"/>
        <w:jc w:val="both"/>
        <w:rPr>
          <w:rFonts w:ascii="Verdana" w:hAnsi="Verdana"/>
        </w:rPr>
      </w:pPr>
      <w:r w:rsidRPr="00E86D5D">
        <w:rPr>
          <w:rFonts w:ascii="Verdana" w:hAnsi="Verdana"/>
        </w:rPr>
        <w:lastRenderedPageBreak/>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E86D5D">
        <w:rPr>
          <w:rFonts w:ascii="Verdana" w:hAnsi="Verdana"/>
          <w:spacing w:val="-8"/>
        </w:rPr>
        <w:t xml:space="preserve"> </w:t>
      </w:r>
      <w:r w:rsidRPr="00E86D5D">
        <w:rPr>
          <w:rFonts w:ascii="Verdana" w:hAnsi="Verdana"/>
        </w:rPr>
        <w:t>vicio</w:t>
      </w:r>
      <w:r w:rsidRPr="00E86D5D">
        <w:rPr>
          <w:rStyle w:val="Refdenotaalpie"/>
          <w:rFonts w:ascii="Verdana" w:hAnsi="Verdana"/>
        </w:rPr>
        <w:footnoteReference w:id="17"/>
      </w:r>
      <w:r w:rsidRPr="00E86D5D">
        <w:rPr>
          <w:rFonts w:ascii="Verdana" w:hAnsi="Verdana"/>
        </w:rPr>
        <w:t>.</w:t>
      </w:r>
    </w:p>
    <w:p w14:paraId="1604467B" w14:textId="77777777" w:rsidR="005146EB" w:rsidRDefault="005146EB" w:rsidP="005146EB">
      <w:pPr>
        <w:pStyle w:val="Textoindependiente"/>
        <w:spacing w:after="0"/>
        <w:ind w:right="105"/>
        <w:jc w:val="both"/>
        <w:rPr>
          <w:rFonts w:ascii="Verdana" w:hAnsi="Verdana"/>
        </w:rPr>
      </w:pPr>
    </w:p>
    <w:p w14:paraId="3D10993A" w14:textId="77777777" w:rsidR="005146EB" w:rsidRDefault="005146EB" w:rsidP="005146EB">
      <w:pPr>
        <w:pStyle w:val="Textoindependiente"/>
        <w:ind w:right="108"/>
        <w:jc w:val="both"/>
        <w:rPr>
          <w:rFonts w:ascii="Verdana" w:hAnsi="Verdana"/>
        </w:rPr>
      </w:pPr>
      <w:r>
        <w:rPr>
          <w:rFonts w:ascii="Verdana" w:hAnsi="Verdana"/>
        </w:rPr>
        <w:t>vi. E</w:t>
      </w:r>
      <w:r w:rsidRPr="00081E5F">
        <w:rPr>
          <w:rFonts w:ascii="Verdana" w:hAnsi="Verdana"/>
        </w:rPr>
        <w:t>l artículo 17 de la Ley 80 de 1993 establece expresamente en qu</w:t>
      </w:r>
      <w:r>
        <w:rPr>
          <w:rFonts w:ascii="Verdana" w:hAnsi="Verdana"/>
        </w:rPr>
        <w:t>é</w:t>
      </w:r>
      <w:r w:rsidRPr="00081E5F">
        <w:rPr>
          <w:rFonts w:ascii="Verdana" w:hAnsi="Verdana"/>
        </w:rPr>
        <w:t xml:space="preserve"> eventos procede la terminación unilateral del contrato. Al efecto, la norma </w:t>
      </w:r>
      <w:r>
        <w:rPr>
          <w:rFonts w:ascii="Verdana" w:hAnsi="Verdana"/>
        </w:rPr>
        <w:t>dispone</w:t>
      </w:r>
      <w:r w:rsidRPr="00081E5F">
        <w:rPr>
          <w:rFonts w:ascii="Verdana" w:hAnsi="Verdana"/>
        </w:rPr>
        <w:t xml:space="preserve"> las siguientes causales: i) cuando las exigencias del servicio público lo requieran o la situación de orden público lo imponga; </w:t>
      </w:r>
      <w:proofErr w:type="spellStart"/>
      <w:r w:rsidRPr="00081E5F">
        <w:rPr>
          <w:rFonts w:ascii="Verdana" w:hAnsi="Verdana"/>
        </w:rPr>
        <w:t>ii</w:t>
      </w:r>
      <w:proofErr w:type="spellEnd"/>
      <w:r w:rsidRPr="00081E5F">
        <w:rPr>
          <w:rFonts w:ascii="Verdana" w:hAnsi="Verdana"/>
        </w:rPr>
        <w:t xml:space="preserve">) por muerte o incapacidad física permanente del contratista, si es persona natural, o por disolución de la persona jurídica del contratista; </w:t>
      </w:r>
      <w:proofErr w:type="spellStart"/>
      <w:r w:rsidRPr="00081E5F">
        <w:rPr>
          <w:rFonts w:ascii="Verdana" w:hAnsi="Verdana"/>
        </w:rPr>
        <w:t>iii</w:t>
      </w:r>
      <w:proofErr w:type="spellEnd"/>
      <w:r w:rsidRPr="00081E5F">
        <w:rPr>
          <w:rFonts w:ascii="Verdana" w:hAnsi="Verdana"/>
        </w:rPr>
        <w:t xml:space="preserve">) por interdicción judicial o declaración de quiebra del contratista; y </w:t>
      </w:r>
      <w:proofErr w:type="spellStart"/>
      <w:r w:rsidRPr="00081E5F">
        <w:rPr>
          <w:rFonts w:ascii="Verdana" w:hAnsi="Verdana"/>
        </w:rPr>
        <w:t>iv</w:t>
      </w:r>
      <w:proofErr w:type="spellEnd"/>
      <w:r w:rsidRPr="00081E5F">
        <w:rPr>
          <w:rFonts w:ascii="Verdana" w:hAnsi="Verdana"/>
        </w:rPr>
        <w:t xml:space="preserve">) por cesación de pagos, concurso de acreedores o embargos judiciales del contratista que afecten de manera grave el cumplimiento del contrato. Adicionalmente, conforme a los numerales 1, 2, y 4 del artículo 44 y el inciso segundo de artículo 45 del EGCAP, el jefe o representante legal de la entidad debe dar por terminado el contrato mediante acto administrativo debidamente motivado y ordenar su liquidación en el estado en que se encuentre cuando: i) se celebre con personas incursas en causales de inhabilidad o incompatibilidad previstas en la Constitución y la ley, </w:t>
      </w:r>
      <w:proofErr w:type="spellStart"/>
      <w:r w:rsidRPr="00081E5F">
        <w:rPr>
          <w:rFonts w:ascii="Verdana" w:hAnsi="Verdana"/>
        </w:rPr>
        <w:t>ii</w:t>
      </w:r>
      <w:proofErr w:type="spellEnd"/>
      <w:r w:rsidRPr="00081E5F">
        <w:rPr>
          <w:rFonts w:ascii="Verdana" w:hAnsi="Verdana"/>
        </w:rPr>
        <w:t xml:space="preserve">) se celebren contra expresa prohibición constitucional o legal y </w:t>
      </w:r>
      <w:proofErr w:type="spellStart"/>
      <w:r w:rsidRPr="00081E5F">
        <w:rPr>
          <w:rFonts w:ascii="Verdana" w:hAnsi="Verdana"/>
        </w:rPr>
        <w:t>iii</w:t>
      </w:r>
      <w:proofErr w:type="spellEnd"/>
      <w:r w:rsidRPr="00081E5F">
        <w:rPr>
          <w:rFonts w:ascii="Verdana" w:hAnsi="Verdana"/>
        </w:rPr>
        <w:t>) se declaren nulos los actos administrativos en que se fundamenten.</w:t>
      </w:r>
    </w:p>
    <w:p w14:paraId="40D316EB" w14:textId="77777777" w:rsidR="005146EB" w:rsidRDefault="005146EB" w:rsidP="005146EB">
      <w:pPr>
        <w:pStyle w:val="Textoindependiente"/>
        <w:ind w:right="108"/>
        <w:jc w:val="both"/>
        <w:rPr>
          <w:rFonts w:ascii="Verdana" w:hAnsi="Verdana"/>
        </w:rPr>
      </w:pPr>
      <w:r>
        <w:rPr>
          <w:rFonts w:ascii="Verdana" w:hAnsi="Verdana"/>
        </w:rPr>
        <w:tab/>
        <w:t>Para estos efectos, el inciso segundo del parágrafo del artículo 40 del Estatuto General dispone que “</w:t>
      </w:r>
      <w:r w:rsidRPr="00081E5F">
        <w:rPr>
          <w:rFonts w:ascii="Verdana" w:hAnsi="Verdana"/>
        </w:rPr>
        <w:t>Los contratos no podrán adicionarse en más del cincuenta por ciento (50%) de su valor inicial, expresado éste en salarios mínimos legales mensuales</w:t>
      </w:r>
      <w:r>
        <w:rPr>
          <w:rFonts w:ascii="Verdana" w:hAnsi="Verdana"/>
        </w:rPr>
        <w:t>”</w:t>
      </w:r>
      <w:r w:rsidRPr="00081E5F">
        <w:rPr>
          <w:rFonts w:ascii="Verdana" w:hAnsi="Verdana"/>
        </w:rPr>
        <w:t>.</w:t>
      </w:r>
      <w:r>
        <w:rPr>
          <w:rFonts w:ascii="Verdana" w:hAnsi="Verdana"/>
        </w:rPr>
        <w:t xml:space="preserve"> Los negocios que superen este tope están </w:t>
      </w:r>
      <w:r>
        <w:rPr>
          <w:rFonts w:ascii="Verdana" w:hAnsi="Verdana"/>
        </w:rPr>
        <w:lastRenderedPageBreak/>
        <w:t xml:space="preserve">prohibidos; razón por la cual, si están viciados de nulidad absoluta –artículo 44.2 de la Ley 80 de 1993–, es posible la terminación unilateral –artículo 45 </w:t>
      </w:r>
      <w:r w:rsidRPr="00D14475">
        <w:rPr>
          <w:rFonts w:ascii="Verdana" w:hAnsi="Verdana"/>
          <w:i/>
          <w:iCs/>
        </w:rPr>
        <w:t>ibidem</w:t>
      </w:r>
      <w:r>
        <w:rPr>
          <w:rFonts w:ascii="Verdana" w:hAnsi="Verdana"/>
        </w:rPr>
        <w:t xml:space="preserve">, inciso segundo–. Esta potestad tiene naturaleza </w:t>
      </w:r>
      <w:r w:rsidRPr="00D14475">
        <w:rPr>
          <w:rFonts w:ascii="Verdana" w:hAnsi="Verdana"/>
        </w:rPr>
        <w:t xml:space="preserve">administrativa y contractual, </w:t>
      </w:r>
      <w:r>
        <w:rPr>
          <w:rFonts w:ascii="Verdana" w:hAnsi="Verdana"/>
        </w:rPr>
        <w:t>por lo que –a diferencia de la caducidad o la imposición de las multas o la cláusula penal– no implica una sanción para el contratista que lo inhabilite para participar en otros procesos de selección, decisión que además faculta al afectado para reclamar las compensaciones económicas e indemnizaciones de que trata el artículo 14.1 del EGCAP</w:t>
      </w:r>
      <w:r>
        <w:rPr>
          <w:rStyle w:val="Refdenotaalpie"/>
          <w:rFonts w:ascii="Verdana" w:hAnsi="Verdana"/>
        </w:rPr>
        <w:footnoteReference w:id="18"/>
      </w:r>
      <w:r>
        <w:rPr>
          <w:rFonts w:ascii="Verdana" w:hAnsi="Verdana"/>
        </w:rPr>
        <w:t xml:space="preserve">. </w:t>
      </w:r>
    </w:p>
    <w:p w14:paraId="7D230ED5" w14:textId="77777777" w:rsidR="005146EB" w:rsidRDefault="005146EB" w:rsidP="005146EB">
      <w:pPr>
        <w:pStyle w:val="Textoindependiente"/>
        <w:spacing w:after="0"/>
        <w:ind w:right="108" w:firstLine="708"/>
        <w:jc w:val="both"/>
        <w:rPr>
          <w:rFonts w:ascii="Verdana" w:hAnsi="Verdana"/>
        </w:rPr>
      </w:pPr>
      <w:r>
        <w:rPr>
          <w:rFonts w:ascii="Verdana" w:hAnsi="Verdana"/>
        </w:rPr>
        <w:t xml:space="preserve">Luego, teniendo en cuenta la remisión del artículo 77 de la Ley 80 de 1993 a las “[…] </w:t>
      </w:r>
      <w:r w:rsidRPr="00EE267C">
        <w:rPr>
          <w:rFonts w:ascii="Verdana" w:hAnsi="Verdana"/>
        </w:rPr>
        <w:t>las normas que rigen los procedimientos y actuaciones en la función administrativa</w:t>
      </w:r>
      <w:r>
        <w:rPr>
          <w:rFonts w:ascii="Verdana" w:hAnsi="Verdana"/>
        </w:rPr>
        <w:t xml:space="preserve"> […]”, es aplicable el procedimiento administrativo general de los artículos 34 y siguientes de la Ley 1437 de 2011. Por lo demás, dado que el artículo 47 del EGCAP establece que “</w:t>
      </w:r>
      <w:r w:rsidRPr="00EE267C">
        <w:rPr>
          <w:rFonts w:ascii="Verdana" w:hAnsi="Verdana"/>
        </w:rPr>
        <w:t>La nulidad de alguna o algunas cláusulas de un contrato, no invalidará la totalidad del acto, salvo cuando este no pudiese existir sin la parte viciada</w:t>
      </w:r>
      <w:r>
        <w:rPr>
          <w:rFonts w:ascii="Verdana" w:hAnsi="Verdana"/>
        </w:rPr>
        <w:t xml:space="preserve">”, la terminación unilateral del inciso segundo del artículo 45 </w:t>
      </w:r>
      <w:r w:rsidRPr="00EE267C">
        <w:rPr>
          <w:rFonts w:ascii="Verdana" w:hAnsi="Verdana"/>
          <w:i/>
          <w:iCs/>
        </w:rPr>
        <w:t>ibidem</w:t>
      </w:r>
      <w:r>
        <w:rPr>
          <w:rFonts w:ascii="Verdana" w:hAnsi="Verdana"/>
        </w:rPr>
        <w:t xml:space="preserve"> no afecta las estipulaciones respetuosas del límite de adiciones previsto en el parágrafo del artículo 40 del Estatuto General</w:t>
      </w:r>
      <w:r w:rsidRPr="00EE267C">
        <w:rPr>
          <w:rFonts w:ascii="Verdana" w:hAnsi="Verdana"/>
        </w:rPr>
        <w:t>.</w:t>
      </w:r>
    </w:p>
    <w:p w14:paraId="44FCFCF0" w14:textId="77777777" w:rsidR="005146EB" w:rsidRDefault="005146EB" w:rsidP="005146EB">
      <w:pPr>
        <w:pStyle w:val="Textoindependiente"/>
        <w:spacing w:after="0"/>
        <w:ind w:right="108" w:firstLine="708"/>
        <w:jc w:val="both"/>
        <w:rPr>
          <w:rFonts w:ascii="Verdana" w:hAnsi="Verdana"/>
        </w:rPr>
      </w:pPr>
    </w:p>
    <w:p w14:paraId="38804AE5" w14:textId="77777777" w:rsidR="005146EB" w:rsidRDefault="005146EB" w:rsidP="005146EB">
      <w:pPr>
        <w:tabs>
          <w:tab w:val="left" w:pos="426"/>
        </w:tabs>
        <w:spacing w:after="120" w:line="276" w:lineRule="auto"/>
        <w:jc w:val="both"/>
        <w:rPr>
          <w:rFonts w:ascii="Verdana" w:eastAsia="Times New Roman" w:hAnsi="Verdana" w:cs="Arial"/>
          <w:color w:val="000000"/>
          <w:szCs w:val="24"/>
          <w:lang w:val="es-ES_tradnl" w:eastAsia="es-ES_tradnl"/>
        </w:rPr>
      </w:pPr>
      <w:proofErr w:type="spellStart"/>
      <w:r>
        <w:rPr>
          <w:rFonts w:ascii="Verdana" w:hAnsi="Verdana"/>
        </w:rPr>
        <w:t>vii</w:t>
      </w:r>
      <w:proofErr w:type="spellEnd"/>
      <w:r>
        <w:rPr>
          <w:rFonts w:ascii="Verdana" w:hAnsi="Verdana"/>
        </w:rPr>
        <w:t xml:space="preserve">. Finalmente, </w:t>
      </w:r>
      <w:r>
        <w:rPr>
          <w:rFonts w:ascii="Verdana" w:eastAsia="Calibri" w:hAnsi="Verdana" w:cs="Arial"/>
          <w:color w:val="000000" w:themeColor="text1"/>
          <w:lang w:eastAsia="es-ES"/>
        </w:rPr>
        <w:t xml:space="preserve">la liquidación </w:t>
      </w:r>
      <w:r>
        <w:rPr>
          <w:rFonts w:ascii="Verdana" w:eastAsia="Calibri" w:hAnsi="Verdana" w:cs="Arial"/>
          <w:color w:val="000000"/>
          <w:lang w:val="es-ES_tradnl"/>
        </w:rPr>
        <w:t>corresponde</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a</w:t>
      </w:r>
      <w:r w:rsidRPr="00FB5FC4">
        <w:rPr>
          <w:rFonts w:ascii="Verdana" w:eastAsia="Calibri" w:hAnsi="Verdana" w:cs="Arial"/>
          <w:color w:val="000000"/>
          <w:lang w:val="es-ES_tradnl"/>
        </w:rPr>
        <w:t>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19"/>
      </w:r>
      <w:r w:rsidRPr="00FB5FC4">
        <w:rPr>
          <w:rFonts w:ascii="Verdana" w:eastAsia="Calibri" w:hAnsi="Verdana" w:cs="Arial"/>
          <w:color w:val="000000"/>
          <w:lang w:val="es-ES_tradnl"/>
        </w:rPr>
        <w:t>.</w:t>
      </w:r>
      <w:r>
        <w:rPr>
          <w:rFonts w:ascii="Verdana" w:eastAsia="Calibri" w:hAnsi="Verdana" w:cs="Arial"/>
          <w:color w:val="000000" w:themeColor="text1"/>
          <w:lang w:eastAsia="es-ES"/>
        </w:rPr>
        <w:t xml:space="preserve">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w:t>
      </w:r>
      <w:r w:rsidRPr="00FB5FC4">
        <w:rPr>
          <w:rFonts w:ascii="Verdana" w:eastAsia="Times New Roman" w:hAnsi="Verdana" w:cs="Arial"/>
          <w:color w:val="000000"/>
          <w:szCs w:val="24"/>
          <w:lang w:val="es-ES_tradnl" w:eastAsia="es-ES_tradnl"/>
        </w:rPr>
        <w:lastRenderedPageBreak/>
        <w:t xml:space="preserve">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20"/>
      </w:r>
      <w:r w:rsidRPr="00FB5FC4">
        <w:rPr>
          <w:rFonts w:ascii="Verdana" w:eastAsia="Times New Roman" w:hAnsi="Verdana" w:cs="Arial"/>
          <w:color w:val="000000"/>
          <w:szCs w:val="24"/>
          <w:lang w:val="es-ES_tradnl" w:eastAsia="es-ES_tradnl"/>
        </w:rPr>
        <w:t xml:space="preserve">. </w:t>
      </w:r>
    </w:p>
    <w:p w14:paraId="2CC60683" w14:textId="77777777" w:rsidR="005146EB" w:rsidRDefault="005146EB" w:rsidP="005146EB">
      <w:pPr>
        <w:tabs>
          <w:tab w:val="left" w:pos="426"/>
        </w:tabs>
        <w:spacing w:after="120" w:line="276" w:lineRule="auto"/>
        <w:jc w:val="both"/>
        <w:rPr>
          <w:rFonts w:ascii="Verdana" w:eastAsia="Times New Roman" w:hAnsi="Verdana" w:cs="Arial"/>
          <w:color w:val="000000"/>
          <w:lang w:eastAsia="es-ES"/>
        </w:rPr>
      </w:pPr>
      <w:r>
        <w:rPr>
          <w:rFonts w:ascii="Verdana" w:eastAsia="Times New Roman" w:hAnsi="Verdana" w:cs="Arial"/>
          <w:color w:val="000000"/>
          <w:szCs w:val="24"/>
          <w:lang w:val="es-ES_tradnl" w:eastAsia="es-ES_tradnl"/>
        </w:rPr>
        <w:tab/>
      </w:r>
      <w:r>
        <w:rPr>
          <w:rFonts w:ascii="Verdana" w:eastAsia="Times New Roman" w:hAnsi="Verdana" w:cs="Arial"/>
          <w:color w:val="000000"/>
          <w:szCs w:val="24"/>
          <w:lang w:val="es-ES_tradnl" w:eastAsia="es-ES_tradnl"/>
        </w:rPr>
        <w:tab/>
      </w:r>
      <w:r w:rsidRPr="522B127F">
        <w:rPr>
          <w:rFonts w:ascii="Verdana" w:eastAsia="Times New Roman" w:hAnsi="Verdana" w:cs="Arial"/>
          <w:color w:val="000000"/>
          <w:lang w:eastAsia="es-ES"/>
        </w:rPr>
        <w:t>Respecto al contenido de la liquidación, conforme 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medio para resolver asuntos relacionados con el desequilibrio económico del contrato, sino también un mecanismo alternativo de solución de conflictos. En esta última faceta, las liquidaciones corresponden a negocios de fijación, esto es, “[…] declaraciones de voluntad, unilaterales o bilaterales, emitidas por aquéllos que estando ya vinculados en virtud de una relación jurídica previa incierta que todavía no se ha extinguido, decide o deciden dotarla de certidumbre y seguridad asumiendo una obligación: la de pasar y estar a las consecuencias derivadas de la admisión de la relación jurídica fijada […]”</w:t>
      </w:r>
      <w:r w:rsidRPr="522B127F">
        <w:rPr>
          <w:rStyle w:val="Refdenotaalpie"/>
          <w:rFonts w:ascii="Verdana" w:eastAsia="Times New Roman" w:hAnsi="Verdana" w:cs="Arial"/>
          <w:color w:val="000000"/>
          <w:lang w:eastAsia="es-ES"/>
        </w:rPr>
        <w:footnoteReference w:id="21"/>
      </w:r>
      <w:r w:rsidRPr="522B127F">
        <w:rPr>
          <w:rFonts w:ascii="Verdana" w:eastAsia="Times New Roman" w:hAnsi="Verdana" w:cs="Arial"/>
          <w:color w:val="000000"/>
          <w:lang w:eastAsia="es-ES"/>
        </w:rPr>
        <w:t xml:space="preserve">. </w:t>
      </w:r>
    </w:p>
    <w:p w14:paraId="43F4A8D4" w14:textId="77777777" w:rsidR="005146EB" w:rsidRDefault="005146EB" w:rsidP="005146EB">
      <w:pPr>
        <w:tabs>
          <w:tab w:val="left" w:pos="426"/>
        </w:tabs>
        <w:spacing w:after="120" w:line="276" w:lineRule="auto"/>
        <w:ind w:firstLine="709"/>
        <w:jc w:val="both"/>
        <w:rPr>
          <w:rFonts w:ascii="Verdana" w:eastAsia="Times New Roman" w:hAnsi="Verdana" w:cs="Arial"/>
          <w:color w:val="000000"/>
          <w:lang w:val="es-ES" w:eastAsia="es-ES"/>
        </w:rPr>
      </w:pPr>
      <w:r w:rsidRPr="522B127F">
        <w:rPr>
          <w:rFonts w:ascii="Verdana" w:eastAsia="Times New Roman" w:hAnsi="Verdana" w:cs="Arial"/>
          <w:color w:val="000000" w:themeColor="text1"/>
          <w:lang w:val="es-ES" w:eastAsia="es-ES"/>
        </w:rPr>
        <w:lastRenderedPageBreak/>
        <w:t xml:space="preserve">De acuerdo con las condiciones que hayan pactado las partes, es posible hacer el último pago contra la firma del acta de liquidación. Si no se ha previsto esta situación, también es posible hacer dicho pago antes de que finalice el plazo para liquidar. Sin embargo, salvo restricción normativa al respecto, las partes pueden determinar cómo se articula el último pago al contratista con el cruce final de cuentas. </w:t>
      </w:r>
    </w:p>
    <w:p w14:paraId="1BFDB3AB" w14:textId="77777777" w:rsidR="005146EB" w:rsidRDefault="005146EB" w:rsidP="005146EB">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eastAsia="Times New Roman" w:hAnsi="Verdana" w:cs="Arial"/>
          <w:color w:val="000000"/>
          <w:szCs w:val="24"/>
          <w:lang w:val="es-ES_tradnl" w:eastAsia="es-ES_tradnl"/>
        </w:rPr>
        <w:tab/>
      </w:r>
      <w:r w:rsidRPr="522B127F">
        <w:rPr>
          <w:rFonts w:ascii="Verdana" w:eastAsia="Times New Roman" w:hAnsi="Verdana" w:cs="Arial"/>
          <w:color w:val="000000"/>
          <w:lang w:val="es-ES" w:eastAsia="es-ES"/>
        </w:rPr>
        <w:t xml:space="preserve">En todo caso, </w:t>
      </w:r>
      <w:r w:rsidRPr="522B127F">
        <w:rPr>
          <w:rFonts w:ascii="Verdana" w:eastAsia="Times New Roman" w:hAnsi="Verdana" w:cs="Arial"/>
          <w:color w:val="000000"/>
          <w:bdr w:val="none" w:sz="0" w:space="0" w:color="auto" w:frame="1"/>
          <w:shd w:val="clear" w:color="auto" w:fill="FFFFFF"/>
          <w:lang w:val="es-ES" w:eastAsia="es-ES"/>
        </w:rPr>
        <w:t xml:space="preserve">de acuerdo con el artículo 11 de la Ley 1150 de 2007, existen tres (3) tipos de liquidación: i) bilateral, </w:t>
      </w:r>
      <w:proofErr w:type="spellStart"/>
      <w:r w:rsidRPr="522B127F">
        <w:rPr>
          <w:rFonts w:ascii="Verdana" w:eastAsia="Times New Roman" w:hAnsi="Verdana" w:cs="Arial"/>
          <w:color w:val="000000"/>
          <w:bdr w:val="none" w:sz="0" w:space="0" w:color="auto" w:frame="1"/>
          <w:shd w:val="clear" w:color="auto" w:fill="FFFFFF"/>
          <w:lang w:val="es-ES" w:eastAsia="es-ES"/>
        </w:rPr>
        <w:t>ii</w:t>
      </w:r>
      <w:proofErr w:type="spellEnd"/>
      <w:r w:rsidRPr="522B127F">
        <w:rPr>
          <w:rFonts w:ascii="Verdana" w:eastAsia="Times New Roman" w:hAnsi="Verdana" w:cs="Arial"/>
          <w:color w:val="000000"/>
          <w:bdr w:val="none" w:sz="0" w:space="0" w:color="auto" w:frame="1"/>
          <w:shd w:val="clear" w:color="auto" w:fill="FFFFFF"/>
          <w:lang w:val="es-ES" w:eastAsia="es-ES"/>
        </w:rPr>
        <w:t xml:space="preserve">) unilateral y </w:t>
      </w:r>
      <w:proofErr w:type="spellStart"/>
      <w:r w:rsidRPr="522B127F">
        <w:rPr>
          <w:rFonts w:ascii="Verdana" w:eastAsia="Times New Roman" w:hAnsi="Verdana" w:cs="Arial"/>
          <w:color w:val="000000"/>
          <w:bdr w:val="none" w:sz="0" w:space="0" w:color="auto" w:frame="1"/>
          <w:shd w:val="clear" w:color="auto" w:fill="FFFFFF"/>
          <w:lang w:val="es-ES" w:eastAsia="es-ES"/>
        </w:rPr>
        <w:t>iii</w:t>
      </w:r>
      <w:proofErr w:type="spellEnd"/>
      <w:r w:rsidRPr="522B127F">
        <w:rPr>
          <w:rFonts w:ascii="Verdana" w:eastAsia="Times New Roman" w:hAnsi="Verdana" w:cs="Arial"/>
          <w:color w:val="000000"/>
          <w:bdr w:val="none" w:sz="0" w:space="0" w:color="auto" w:frame="1"/>
          <w:shd w:val="clear" w:color="auto" w:fill="FFFFFF"/>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6EE27B1D" w14:textId="77777777" w:rsidR="005146EB" w:rsidRPr="00882C9A" w:rsidRDefault="005146EB" w:rsidP="005146EB">
      <w:pPr>
        <w:spacing w:after="0" w:line="276" w:lineRule="auto"/>
        <w:ind w:firstLine="708"/>
        <w:jc w:val="both"/>
        <w:rPr>
          <w:rFonts w:ascii="Verdana" w:eastAsia="Times New Roman" w:hAnsi="Verdana" w:cs="Arial"/>
          <w:color w:val="000000" w:themeColor="text1"/>
          <w:lang w:eastAsia="es-CO"/>
        </w:rPr>
      </w:pPr>
      <w:r w:rsidRPr="00882C9A">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0199F921" w14:textId="77777777" w:rsidR="005146EB" w:rsidRPr="00882C9A" w:rsidRDefault="005146EB" w:rsidP="005146EB">
      <w:pPr>
        <w:spacing w:after="0" w:line="276" w:lineRule="auto"/>
        <w:jc w:val="both"/>
        <w:rPr>
          <w:rFonts w:ascii="Verdana" w:eastAsia="Times New Roman" w:hAnsi="Verdana" w:cs="Arial"/>
          <w:color w:val="000000" w:themeColor="text1"/>
          <w:lang w:eastAsia="es-CO"/>
        </w:rPr>
      </w:pPr>
    </w:p>
    <w:p w14:paraId="0AF7288E" w14:textId="77777777" w:rsidR="005146EB" w:rsidRPr="00882C9A" w:rsidRDefault="005146EB" w:rsidP="005146EB">
      <w:pPr>
        <w:spacing w:after="0" w:line="240" w:lineRule="auto"/>
        <w:ind w:left="709" w:right="709"/>
        <w:jc w:val="both"/>
        <w:rPr>
          <w:rFonts w:ascii="Verdana" w:eastAsia="Times New Roman" w:hAnsi="Verdana" w:cs="Arial"/>
          <w:color w:val="000000" w:themeColor="text1"/>
          <w:sz w:val="20"/>
          <w:szCs w:val="20"/>
          <w:lang w:eastAsia="es-CO"/>
        </w:rPr>
      </w:pPr>
      <w:r w:rsidRPr="00882C9A">
        <w:rPr>
          <w:rFonts w:ascii="Verdana" w:eastAsia="Times New Roman" w:hAnsi="Verdana" w:cs="Arial"/>
          <w:color w:val="000000" w:themeColor="text1"/>
          <w:sz w:val="20"/>
          <w:szCs w:val="20"/>
          <w:lang w:eastAsia="es-CO"/>
        </w:rPr>
        <w:t xml:space="preserve">“Suele argüirse, en la práctica, que es factible efectuar la liquidación del contrato, así haya operado la caducidad de la acción, con base en la existencia de una obligación natural, que fundamentaría pagarle al </w:t>
      </w:r>
      <w:r w:rsidRPr="00882C9A">
        <w:rPr>
          <w:rFonts w:ascii="Verdana" w:eastAsia="Times New Roman" w:hAnsi="Verdana" w:cs="Arial"/>
          <w:color w:val="000000" w:themeColor="text1"/>
          <w:sz w:val="20"/>
          <w:szCs w:val="20"/>
          <w:lang w:eastAsia="es-CO"/>
        </w:rPr>
        <w:lastRenderedPageBreak/>
        <w:t>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882C9A">
        <w:rPr>
          <w:rStyle w:val="Refdenotaalpie"/>
          <w:rFonts w:ascii="Verdana" w:eastAsia="Times New Roman" w:hAnsi="Verdana" w:cs="Arial"/>
          <w:color w:val="000000" w:themeColor="text1"/>
          <w:sz w:val="20"/>
          <w:szCs w:val="20"/>
          <w:lang w:eastAsia="es-CO"/>
        </w:rPr>
        <w:footnoteReference w:id="22"/>
      </w:r>
      <w:r w:rsidRPr="00882C9A">
        <w:rPr>
          <w:rFonts w:ascii="Verdana" w:eastAsia="Times New Roman" w:hAnsi="Verdana" w:cs="Arial"/>
          <w:color w:val="000000" w:themeColor="text1"/>
          <w:sz w:val="20"/>
          <w:szCs w:val="20"/>
          <w:lang w:eastAsia="es-CO"/>
        </w:rPr>
        <w:t xml:space="preserve">.   </w:t>
      </w:r>
    </w:p>
    <w:p w14:paraId="46DB8097" w14:textId="77777777" w:rsidR="005146EB" w:rsidRPr="00882C9A" w:rsidRDefault="005146EB" w:rsidP="005146EB">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DE0FE40" w14:textId="77777777" w:rsidR="005146EB" w:rsidRDefault="005146EB" w:rsidP="005146EB">
      <w:pPr>
        <w:tabs>
          <w:tab w:val="left" w:pos="709"/>
        </w:tabs>
        <w:spacing w:after="0" w:line="276" w:lineRule="auto"/>
        <w:jc w:val="both"/>
        <w:rPr>
          <w:rFonts w:ascii="Verdana" w:eastAsia="Calibri" w:hAnsi="Verdana" w:cs="Arial"/>
          <w:color w:val="000000"/>
          <w:lang w:val="es-ES" w:eastAsia="es-ES"/>
        </w:rPr>
      </w:pPr>
      <w:r>
        <w:rPr>
          <w:rFonts w:ascii="Verdana" w:eastAsia="Times New Roman" w:hAnsi="Verdana" w:cs="Arial"/>
          <w:color w:val="000000"/>
          <w:bdr w:val="none" w:sz="0" w:space="0" w:color="auto" w:frame="1"/>
          <w:shd w:val="clear" w:color="auto" w:fill="FFFFFF"/>
          <w:lang w:eastAsia="es-ES_tradnl"/>
        </w:rPr>
        <w:tab/>
      </w:r>
      <w:r>
        <w:rPr>
          <w:rFonts w:ascii="Verdana" w:eastAsia="Calibri" w:hAnsi="Verdana" w:cs="Arial"/>
          <w:color w:val="000000"/>
          <w:lang w:val="es-ES" w:eastAsia="es-ES"/>
        </w:rPr>
        <w:t xml:space="preserve">En consecuencia,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6B86DA3A" w14:textId="77777777" w:rsidR="005146EB" w:rsidRPr="006E3F60" w:rsidRDefault="005146EB" w:rsidP="005146EB">
      <w:pPr>
        <w:tabs>
          <w:tab w:val="left" w:pos="426"/>
        </w:tabs>
        <w:spacing w:after="0" w:line="276" w:lineRule="auto"/>
        <w:ind w:firstLine="709"/>
        <w:jc w:val="both"/>
        <w:rPr>
          <w:rFonts w:ascii="Verdana" w:eastAsia="Times New Roman" w:hAnsi="Verdana" w:cs="Arial"/>
          <w:color w:val="000000"/>
          <w:szCs w:val="24"/>
          <w:lang w:val="es-ES_tradnl" w:eastAsia="es-ES_tradnl"/>
        </w:rPr>
      </w:pPr>
    </w:p>
    <w:p w14:paraId="2F6EE260" w14:textId="77777777" w:rsidR="005146EB" w:rsidRPr="003A380F" w:rsidRDefault="005146EB" w:rsidP="005146EB">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viii</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BEF47BA" w14:textId="77777777" w:rsidR="005146EB" w:rsidRPr="00185EE9" w:rsidRDefault="005146EB" w:rsidP="005146EB">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3A380F">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59F9605" w14:textId="77777777" w:rsidR="005146EB" w:rsidRPr="00182C89" w:rsidRDefault="005146EB" w:rsidP="005146EB">
      <w:pPr>
        <w:tabs>
          <w:tab w:val="left" w:pos="709"/>
        </w:tabs>
        <w:spacing w:after="0" w:line="276" w:lineRule="auto"/>
        <w:jc w:val="both"/>
        <w:rPr>
          <w:rFonts w:ascii="Verdana" w:eastAsia="Calibri" w:hAnsi="Verdana" w:cs="Arial"/>
          <w:color w:val="000000" w:themeColor="text1"/>
        </w:rPr>
      </w:pPr>
    </w:p>
    <w:p w14:paraId="464B036D" w14:textId="77777777" w:rsidR="005146EB" w:rsidRPr="00593A5F" w:rsidRDefault="005146EB" w:rsidP="005146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6CF3C9F" w14:textId="77777777" w:rsidR="005146EB" w:rsidRPr="00593A5F" w:rsidRDefault="005146EB" w:rsidP="005146E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46EB" w:rsidRPr="002407CE" w14:paraId="5EAAE789" w14:textId="77777777" w:rsidTr="00D9504B">
        <w:trPr>
          <w:trHeight w:val="870"/>
          <w:jc w:val="center"/>
        </w:trPr>
        <w:tc>
          <w:tcPr>
            <w:tcW w:w="8647" w:type="dxa"/>
          </w:tcPr>
          <w:p w14:paraId="1755794E" w14:textId="77777777" w:rsidR="005146EB" w:rsidRDefault="005146EB" w:rsidP="00D950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14, 17, 32, 40, 41, 44, 45, 46, 47, 60 y 77.</w:t>
            </w:r>
          </w:p>
          <w:p w14:paraId="451B5B22" w14:textId="77777777" w:rsidR="005146EB" w:rsidRDefault="005146EB" w:rsidP="00D950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7 y 11.</w:t>
            </w:r>
          </w:p>
          <w:p w14:paraId="4584113A" w14:textId="77777777" w:rsidR="005146EB" w:rsidRDefault="005146EB" w:rsidP="00D950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34 y 164.</w:t>
            </w:r>
          </w:p>
          <w:p w14:paraId="7695AACB" w14:textId="77777777" w:rsidR="005146EB" w:rsidRDefault="005146EB" w:rsidP="00D950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w:t>
            </w:r>
            <w:r w:rsidRPr="00D03CE3">
              <w:rPr>
                <w:rFonts w:ascii="Verdana" w:hAnsi="Verdana" w:cs="Arial"/>
                <w:color w:val="000000" w:themeColor="text1"/>
                <w:lang w:val="es-MX"/>
              </w:rPr>
              <w:t xml:space="preserve">artículos 2.2.1.2.3.1.1 </w:t>
            </w:r>
            <w:r>
              <w:rPr>
                <w:rFonts w:ascii="Verdana" w:hAnsi="Verdana" w:cs="Arial"/>
                <w:color w:val="000000" w:themeColor="text1"/>
                <w:lang w:val="es-MX"/>
              </w:rPr>
              <w:t>a</w:t>
            </w:r>
            <w:r w:rsidRPr="00D03CE3">
              <w:rPr>
                <w:rFonts w:ascii="Verdana" w:hAnsi="Verdana" w:cs="Arial"/>
                <w:color w:val="000000" w:themeColor="text1"/>
                <w:lang w:val="es-MX"/>
              </w:rPr>
              <w:t xml:space="preserve"> 2.2.1.2.3.1.19</w:t>
            </w:r>
            <w:r>
              <w:rPr>
                <w:rFonts w:ascii="Verdana" w:hAnsi="Verdana" w:cs="Arial"/>
                <w:color w:val="000000" w:themeColor="text1"/>
                <w:lang w:val="es-MX"/>
              </w:rPr>
              <w:t>.</w:t>
            </w:r>
          </w:p>
          <w:p w14:paraId="66C62DF2" w14:textId="77777777" w:rsidR="005146EB" w:rsidRPr="00D4031C" w:rsidRDefault="005146EB" w:rsidP="00D950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6, 16, 1602, 1608, 1613, 1625, 1626 y 1741</w:t>
            </w:r>
            <w:r w:rsidRPr="00185EE9">
              <w:rPr>
                <w:rFonts w:ascii="Verdana" w:hAnsi="Verdana" w:cs="Arial"/>
              </w:rPr>
              <w:t>.</w:t>
            </w:r>
          </w:p>
          <w:p w14:paraId="5BDD9506" w14:textId="77777777" w:rsidR="005146EB" w:rsidRPr="00FC335C" w:rsidRDefault="005146EB" w:rsidP="00D9504B">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de Comercio, artículos 822, 899 y 900.</w:t>
            </w:r>
          </w:p>
        </w:tc>
      </w:tr>
    </w:tbl>
    <w:p w14:paraId="5D81633C" w14:textId="77777777" w:rsidR="005146EB" w:rsidRPr="002407CE" w:rsidRDefault="005146EB" w:rsidP="005146EB">
      <w:pPr>
        <w:widowControl w:val="0"/>
        <w:autoSpaceDE w:val="0"/>
        <w:autoSpaceDN w:val="0"/>
        <w:spacing w:after="0" w:line="276" w:lineRule="auto"/>
        <w:jc w:val="both"/>
        <w:rPr>
          <w:rFonts w:ascii="Verdana" w:hAnsi="Verdana" w:cs="Arial"/>
        </w:rPr>
      </w:pPr>
    </w:p>
    <w:p w14:paraId="47C8E74A" w14:textId="77777777" w:rsidR="005146EB" w:rsidRPr="00593A5F" w:rsidRDefault="005146EB" w:rsidP="005146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5DCA58" w14:textId="77777777" w:rsidR="005146EB" w:rsidRPr="00593A5F" w:rsidRDefault="005146EB" w:rsidP="005146EB">
      <w:pPr>
        <w:widowControl w:val="0"/>
        <w:autoSpaceDE w:val="0"/>
        <w:autoSpaceDN w:val="0"/>
        <w:spacing w:after="0" w:line="276" w:lineRule="auto"/>
        <w:jc w:val="both"/>
        <w:rPr>
          <w:rFonts w:ascii="Verdana" w:hAnsi="Verdana" w:cs="Arial"/>
        </w:rPr>
      </w:pPr>
    </w:p>
    <w:p w14:paraId="062837E3" w14:textId="77777777" w:rsidR="005146EB" w:rsidRPr="00ED0098" w:rsidRDefault="005146EB" w:rsidP="005146EB">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FF4AF7F" w14:textId="77777777" w:rsidR="005146EB" w:rsidRPr="00096788" w:rsidRDefault="005146EB" w:rsidP="005146EB">
      <w:pPr>
        <w:widowControl w:val="0"/>
        <w:autoSpaceDE w:val="0"/>
        <w:autoSpaceDN w:val="0"/>
        <w:spacing w:after="0" w:line="276" w:lineRule="auto"/>
        <w:jc w:val="both"/>
        <w:rPr>
          <w:rFonts w:ascii="Verdana" w:hAnsi="Verdana" w:cs="Arial"/>
          <w:color w:val="000000" w:themeColor="text1"/>
          <w:shd w:val="clear" w:color="auto" w:fill="FFFFFF"/>
        </w:rPr>
      </w:pPr>
    </w:p>
    <w:p w14:paraId="78FD6AAC" w14:textId="77777777" w:rsidR="005146EB" w:rsidRPr="00E440FD" w:rsidRDefault="005146EB" w:rsidP="005146EB">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CF22E50" w14:textId="77777777" w:rsidR="005146EB" w:rsidRDefault="005146EB" w:rsidP="005146EB">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lastRenderedPageBreak/>
        <w:t xml:space="preserve"> </w:t>
      </w:r>
    </w:p>
    <w:p w14:paraId="61E78735" w14:textId="77777777" w:rsidR="005146EB" w:rsidRPr="00116940" w:rsidRDefault="005146EB" w:rsidP="005146E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A3AD56C" w14:textId="77777777" w:rsidR="005146EB" w:rsidRPr="00116940" w:rsidRDefault="005146EB" w:rsidP="005146EB">
      <w:pPr>
        <w:spacing w:after="0"/>
        <w:jc w:val="both"/>
        <w:rPr>
          <w:rFonts w:ascii="Verdana" w:hAnsi="Verdana"/>
        </w:rPr>
      </w:pPr>
    </w:p>
    <w:p w14:paraId="0E1A498F" w14:textId="77777777" w:rsidR="005146EB" w:rsidRPr="00116940" w:rsidRDefault="005146EB" w:rsidP="005146E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184A4B4" w14:textId="77777777" w:rsidR="005146EB" w:rsidRPr="00116940" w:rsidRDefault="005146EB" w:rsidP="005146E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8AF583E" w14:textId="77777777" w:rsidR="005146EB" w:rsidRPr="00116940" w:rsidRDefault="005146EB" w:rsidP="005146E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79D92DF8" w14:textId="77777777" w:rsidR="005146EB" w:rsidRPr="00116940" w:rsidRDefault="005146EB" w:rsidP="005146E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BC56F11" w14:textId="77777777" w:rsidR="005146EB" w:rsidRPr="00116940" w:rsidRDefault="005146EB" w:rsidP="005146EB">
      <w:pPr>
        <w:spacing w:after="0" w:line="240" w:lineRule="auto"/>
        <w:ind w:left="720"/>
        <w:jc w:val="both"/>
        <w:rPr>
          <w:rFonts w:ascii="Verdana" w:hAnsi="Verdana"/>
        </w:rPr>
      </w:pPr>
    </w:p>
    <w:p w14:paraId="0042AF47" w14:textId="77777777" w:rsidR="005146EB" w:rsidRPr="00116940" w:rsidRDefault="005146EB" w:rsidP="005146E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94AF0F1" w14:textId="77777777" w:rsidR="005146EB" w:rsidRPr="00116940" w:rsidRDefault="005146EB" w:rsidP="005146EB">
      <w:pPr>
        <w:spacing w:after="0" w:line="240" w:lineRule="auto"/>
        <w:rPr>
          <w:rFonts w:ascii="Verdana" w:hAnsi="Verdana"/>
        </w:rPr>
      </w:pPr>
    </w:p>
    <w:p w14:paraId="6B09FF3A" w14:textId="77777777" w:rsidR="005146EB" w:rsidRPr="00116940" w:rsidRDefault="005146EB" w:rsidP="005146E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9914CAF" w14:textId="77777777" w:rsidR="005146EB" w:rsidRPr="00116940" w:rsidRDefault="005146EB" w:rsidP="005146EB">
      <w:pPr>
        <w:spacing w:after="0" w:line="240" w:lineRule="auto"/>
        <w:jc w:val="both"/>
        <w:rPr>
          <w:rFonts w:ascii="Verdana" w:hAnsi="Verdana"/>
        </w:rPr>
      </w:pPr>
    </w:p>
    <w:p w14:paraId="5637C823" w14:textId="77777777" w:rsidR="005146EB" w:rsidRPr="00116940" w:rsidRDefault="005146EB" w:rsidP="005146E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505DC94" w14:textId="77777777" w:rsidR="005146EB" w:rsidRPr="00116940" w:rsidRDefault="005146EB" w:rsidP="005146E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CEBE8E4" w14:textId="77777777" w:rsidR="005146EB" w:rsidRPr="00116940" w:rsidRDefault="005146EB" w:rsidP="005146E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1524579" w14:textId="77777777" w:rsidR="005146EB" w:rsidRPr="009C4035" w:rsidRDefault="005146EB" w:rsidP="005146E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C401A36" w14:textId="77777777" w:rsidR="005146EB" w:rsidRPr="00593A5F" w:rsidRDefault="005146EB" w:rsidP="005146E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23A48A3" w14:textId="77777777" w:rsidR="005146EB" w:rsidRPr="00593A5F" w:rsidRDefault="005146EB" w:rsidP="005146EB">
      <w:pPr>
        <w:widowControl w:val="0"/>
        <w:autoSpaceDE w:val="0"/>
        <w:autoSpaceDN w:val="0"/>
        <w:spacing w:after="0" w:line="276" w:lineRule="auto"/>
        <w:jc w:val="both"/>
        <w:rPr>
          <w:rFonts w:ascii="Verdana" w:hAnsi="Verdana" w:cs="Arial"/>
        </w:rPr>
      </w:pPr>
    </w:p>
    <w:p w14:paraId="61013F79" w14:textId="77777777" w:rsidR="005146EB" w:rsidRPr="00593A5F" w:rsidRDefault="005146EB" w:rsidP="005146E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7ECEFE2" w14:textId="26989D16" w:rsidR="005146EB" w:rsidRPr="00593A5F" w:rsidRDefault="00B37E95" w:rsidP="005146EB">
      <w:pPr>
        <w:spacing w:line="276" w:lineRule="auto"/>
        <w:jc w:val="center"/>
        <w:rPr>
          <w:rFonts w:ascii="Verdana" w:hAnsi="Verdana" w:cs="Arial"/>
          <w:color w:val="000000"/>
          <w:lang w:val="es-ES_tradnl" w:eastAsia="es-CO"/>
        </w:rPr>
      </w:pPr>
      <w:r>
        <w:rPr>
          <w:noProof/>
        </w:rPr>
        <w:lastRenderedPageBreak/>
        <w:drawing>
          <wp:inline distT="0" distB="0" distL="0" distR="0" wp14:anchorId="47CF18A7" wp14:editId="6EF19954">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46EB" w:rsidRPr="00593A5F" w14:paraId="2D1A1761" w14:textId="77777777" w:rsidTr="00D9504B">
        <w:trPr>
          <w:trHeight w:val="315"/>
        </w:trPr>
        <w:tc>
          <w:tcPr>
            <w:tcW w:w="893" w:type="dxa"/>
            <w:vAlign w:val="center"/>
            <w:hideMark/>
          </w:tcPr>
          <w:p w14:paraId="27BB6C4C" w14:textId="77777777" w:rsidR="005146EB" w:rsidRPr="003751C7" w:rsidRDefault="005146EB" w:rsidP="00D9504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36661E" w14:textId="77777777" w:rsidR="005146EB" w:rsidRPr="00254A7A" w:rsidRDefault="005146EB" w:rsidP="00D9504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DF863D1" w14:textId="77777777" w:rsidR="005146EB" w:rsidRPr="00254A7A" w:rsidRDefault="005146EB" w:rsidP="00D9504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146EB" w:rsidRPr="00593A5F" w14:paraId="21A7ACA1" w14:textId="77777777" w:rsidTr="00D9504B">
        <w:trPr>
          <w:trHeight w:val="330"/>
        </w:trPr>
        <w:tc>
          <w:tcPr>
            <w:tcW w:w="893" w:type="dxa"/>
            <w:vAlign w:val="center"/>
            <w:hideMark/>
          </w:tcPr>
          <w:p w14:paraId="5CFF9E88" w14:textId="77777777" w:rsidR="005146EB" w:rsidRPr="003751C7" w:rsidRDefault="005146EB" w:rsidP="00D9504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71AD62" w14:textId="77777777" w:rsidR="005146EB" w:rsidRPr="00FE00BE" w:rsidRDefault="005146EB" w:rsidP="00D9504B">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05156A9D" w14:textId="77777777" w:rsidR="005146EB" w:rsidRPr="00FE00BE" w:rsidRDefault="005146EB" w:rsidP="00D9504B">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5146EB" w:rsidRPr="00593A5F" w14:paraId="33CB906C" w14:textId="77777777" w:rsidTr="00D9504B">
        <w:trPr>
          <w:trHeight w:val="300"/>
        </w:trPr>
        <w:tc>
          <w:tcPr>
            <w:tcW w:w="893" w:type="dxa"/>
            <w:vAlign w:val="center"/>
          </w:tcPr>
          <w:p w14:paraId="38965AAE" w14:textId="77777777" w:rsidR="005146EB" w:rsidRPr="003751C7" w:rsidRDefault="005146EB" w:rsidP="00D9504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2195E8" w14:textId="77777777" w:rsidR="005146EB" w:rsidRPr="00FE00BE" w:rsidRDefault="005146EB" w:rsidP="00D9504B">
            <w:pPr>
              <w:contextualSpacing/>
              <w:rPr>
                <w:rFonts w:ascii="Verdana" w:eastAsia="Calibri" w:hAnsi="Verdana" w:cs="Arial"/>
                <w:sz w:val="16"/>
                <w:szCs w:val="16"/>
                <w:lang w:val="es-ES" w:eastAsia="es-ES"/>
              </w:rPr>
            </w:pPr>
            <w:r w:rsidRPr="5CE74723">
              <w:rPr>
                <w:rFonts w:ascii="Verdana" w:eastAsia="Calibri" w:hAnsi="Verdana" w:cs="Arial"/>
                <w:sz w:val="16"/>
                <w:szCs w:val="16"/>
                <w:lang w:val="es-ES" w:eastAsia="es-ES"/>
              </w:rPr>
              <w:t xml:space="preserve">Carolina Quintero </w:t>
            </w:r>
            <w:proofErr w:type="spellStart"/>
            <w:r w:rsidRPr="5CE74723">
              <w:rPr>
                <w:rFonts w:ascii="Verdana" w:eastAsia="Calibri" w:hAnsi="Verdana" w:cs="Arial"/>
                <w:sz w:val="16"/>
                <w:szCs w:val="16"/>
                <w:lang w:val="es-ES" w:eastAsia="es-ES"/>
              </w:rPr>
              <w:t>Gacharná</w:t>
            </w:r>
            <w:proofErr w:type="spellEnd"/>
          </w:p>
          <w:p w14:paraId="5280D72C" w14:textId="77777777" w:rsidR="005146EB" w:rsidRPr="00FE00BE" w:rsidRDefault="005146EB" w:rsidP="00D9504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2370461E" w14:textId="787196BB" w:rsidR="005146EB" w:rsidRPr="00543BFE" w:rsidRDefault="008960DD" w:rsidP="005146EB">
      <w:r>
        <w:rPr>
          <w:noProof/>
        </w:rPr>
        <w:drawing>
          <wp:inline distT="0" distB="0" distL="0" distR="0" wp14:anchorId="38B06CC2" wp14:editId="63492CCF">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42211E85" w:rsidR="00127233" w:rsidRPr="005146EB" w:rsidRDefault="00127233" w:rsidP="005146EB"/>
    <w:sectPr w:rsidR="00127233" w:rsidRPr="005146E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0A6EA" w14:textId="77777777" w:rsidR="00F745C4" w:rsidRDefault="00F745C4" w:rsidP="004A1847">
      <w:pPr>
        <w:spacing w:after="0" w:line="240" w:lineRule="auto"/>
      </w:pPr>
      <w:r>
        <w:separator/>
      </w:r>
    </w:p>
  </w:endnote>
  <w:endnote w:type="continuationSeparator" w:id="0">
    <w:p w14:paraId="54B33431" w14:textId="77777777" w:rsidR="00F745C4" w:rsidRDefault="00F745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510C36"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510C36">
      <w:rPr>
        <w:rFonts w:ascii="Verdana" w:eastAsia="Verdana" w:hAnsi="Verdana" w:cs="Verdana"/>
        <w:b/>
        <w:color w:val="000000" w:themeColor="text1"/>
        <w:sz w:val="18"/>
        <w:szCs w:val="18"/>
        <w:lang w:val="pt-BR" w:eastAsia="es-CO"/>
      </w:rPr>
      <w:t xml:space="preserve">Código: </w:t>
    </w:r>
    <w:r w:rsidRPr="00510C36">
      <w:rPr>
        <w:rFonts w:ascii="Verdana" w:eastAsia="Verdana" w:hAnsi="Verdana" w:cs="Verdana"/>
        <w:color w:val="000000" w:themeColor="text1"/>
        <w:sz w:val="18"/>
        <w:szCs w:val="18"/>
        <w:lang w:val="pt-BR" w:eastAsia="es-CO"/>
      </w:rPr>
      <w:t xml:space="preserve">CCE-REC-FM-17 </w:t>
    </w:r>
    <w:r w:rsidRPr="00510C36">
      <w:rPr>
        <w:rFonts w:ascii="Verdana" w:eastAsia="Verdana" w:hAnsi="Verdana" w:cs="Verdana"/>
        <w:b/>
        <w:color w:val="000000" w:themeColor="text1"/>
        <w:sz w:val="18"/>
        <w:szCs w:val="18"/>
        <w:lang w:val="pt-BR" w:eastAsia="es-CO"/>
      </w:rPr>
      <w:t xml:space="preserve">V: </w:t>
    </w:r>
    <w:r w:rsidRPr="00510C36">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2B363" w14:textId="77777777" w:rsidR="00F745C4" w:rsidRDefault="00F745C4" w:rsidP="004A1847">
      <w:pPr>
        <w:spacing w:after="0" w:line="240" w:lineRule="auto"/>
      </w:pPr>
      <w:r>
        <w:separator/>
      </w:r>
    </w:p>
  </w:footnote>
  <w:footnote w:type="continuationSeparator" w:id="0">
    <w:p w14:paraId="43D7DCFE" w14:textId="77777777" w:rsidR="00F745C4" w:rsidRDefault="00F745C4" w:rsidP="004A1847">
      <w:pPr>
        <w:spacing w:after="0" w:line="240" w:lineRule="auto"/>
      </w:pPr>
      <w:r>
        <w:continuationSeparator/>
      </w:r>
    </w:p>
  </w:footnote>
  <w:footnote w:id="1">
    <w:p w14:paraId="59338DAC" w14:textId="77777777" w:rsidR="005146EB" w:rsidRPr="00CD5960" w:rsidRDefault="005146EB" w:rsidP="005146EB">
      <w:pPr>
        <w:pStyle w:val="Textonotapie"/>
        <w:ind w:firstLine="709"/>
        <w:jc w:val="both"/>
        <w:rPr>
          <w:rFonts w:ascii="Verdana" w:hAnsi="Verdana" w:cs="Arial"/>
          <w:sz w:val="16"/>
          <w:szCs w:val="16"/>
        </w:rPr>
      </w:pPr>
      <w:r w:rsidRPr="00CD5960">
        <w:rPr>
          <w:rStyle w:val="Refdenotaalpie"/>
          <w:rFonts w:ascii="Verdana" w:hAnsi="Verdana"/>
          <w:sz w:val="16"/>
          <w:szCs w:val="16"/>
        </w:rPr>
        <w:footnoteRef/>
      </w:r>
      <w:r w:rsidRPr="00CD5960">
        <w:rPr>
          <w:rFonts w:ascii="Verdana" w:hAnsi="Verdana" w:cs="Arial"/>
          <w:sz w:val="16"/>
          <w:szCs w:val="16"/>
        </w:rPr>
        <w:t xml:space="preserve"> Consejo de Estado. Sección Tercera. Sentencia del 1 de octubre de 2018. Consejera Ponente: Marta Nubia Velásquez Rico. Expediente: 57.897.</w:t>
      </w:r>
    </w:p>
  </w:footnote>
  <w:footnote w:id="2">
    <w:p w14:paraId="29CED3EE" w14:textId="77777777" w:rsidR="005146EB" w:rsidRPr="00CD5960" w:rsidRDefault="005146EB" w:rsidP="005146EB">
      <w:pPr>
        <w:pStyle w:val="Textonotapie"/>
        <w:ind w:firstLine="709"/>
        <w:jc w:val="both"/>
        <w:rPr>
          <w:rFonts w:ascii="Verdana" w:hAnsi="Verdana" w:cs="Arial"/>
          <w:sz w:val="16"/>
          <w:szCs w:val="16"/>
        </w:rPr>
      </w:pPr>
      <w:r w:rsidRPr="00CD5960">
        <w:rPr>
          <w:rStyle w:val="Refdenotaalpie"/>
          <w:rFonts w:ascii="Verdana" w:hAnsi="Verdana"/>
          <w:sz w:val="16"/>
          <w:szCs w:val="16"/>
        </w:rPr>
        <w:footnoteRef/>
      </w:r>
      <w:r w:rsidRPr="00CD5960">
        <w:rPr>
          <w:rFonts w:ascii="Verdana" w:hAnsi="Verdana" w:cs="Arial"/>
          <w:sz w:val="16"/>
          <w:szCs w:val="16"/>
        </w:rPr>
        <w:t xml:space="preserve"> Cfr. Consejo de Estado. Sección Tercera. Sentencia del 1 de junio de 2017. Consejero Ponente: Ramiro Pazos Guerrero. Expediente: 36.117, en la cual se analizó la suspensión de un contrato estatal debido a un paro armado promovido por grupos al margen de la ley en el sitio de ejecución de la obra.</w:t>
      </w:r>
    </w:p>
  </w:footnote>
  <w:footnote w:id="3">
    <w:p w14:paraId="7EA52022" w14:textId="77777777" w:rsidR="005146EB" w:rsidRPr="00CD5960" w:rsidRDefault="005146EB" w:rsidP="005146EB">
      <w:pPr>
        <w:pStyle w:val="Textonotapie"/>
        <w:ind w:firstLine="709"/>
        <w:jc w:val="both"/>
        <w:rPr>
          <w:rFonts w:ascii="Verdana" w:hAnsi="Verdana" w:cs="Arial"/>
          <w:sz w:val="16"/>
          <w:szCs w:val="16"/>
          <w:lang w:val="es-ES"/>
        </w:rPr>
      </w:pPr>
      <w:r w:rsidRPr="00CD5960">
        <w:rPr>
          <w:rStyle w:val="Refdenotaalpie"/>
          <w:rFonts w:ascii="Verdana" w:hAnsi="Verdana"/>
          <w:sz w:val="16"/>
          <w:szCs w:val="16"/>
        </w:rPr>
        <w:footnoteRef/>
      </w:r>
      <w:r w:rsidRPr="00CD5960">
        <w:rPr>
          <w:rFonts w:ascii="Verdana" w:hAnsi="Verdana" w:cs="Arial"/>
          <w:sz w:val="16"/>
          <w:szCs w:val="16"/>
        </w:rPr>
        <w:t xml:space="preserve"> </w:t>
      </w:r>
      <w:r w:rsidRPr="00CD5960">
        <w:rPr>
          <w:rFonts w:ascii="Verdana" w:hAnsi="Verdana" w:cs="Arial"/>
          <w:sz w:val="16"/>
          <w:szCs w:val="16"/>
          <w:lang w:val="es-ES"/>
        </w:rPr>
        <w:t>El artículo 64 del Código Civil define la fuerza mayor o caso fortuito como “el imprevisto o que no es posible resistir, como un naufragio, un terremoto, el apresamiento de enemigos, los actos de autoridad ejercidos por un funcionario público, etc.”.</w:t>
      </w:r>
    </w:p>
  </w:footnote>
  <w:footnote w:id="4">
    <w:p w14:paraId="1FCEADEB" w14:textId="77777777" w:rsidR="005146EB" w:rsidRPr="00CD5960" w:rsidRDefault="005146EB" w:rsidP="005146EB">
      <w:pPr>
        <w:pStyle w:val="Textonotapie"/>
        <w:ind w:firstLine="709"/>
        <w:jc w:val="both"/>
        <w:rPr>
          <w:rFonts w:ascii="Verdana" w:hAnsi="Verdana" w:cs="Arial"/>
          <w:sz w:val="16"/>
          <w:szCs w:val="16"/>
        </w:rPr>
      </w:pPr>
      <w:r w:rsidRPr="00CD5960">
        <w:rPr>
          <w:rStyle w:val="Refdenotaalpie"/>
          <w:rFonts w:ascii="Verdana" w:hAnsi="Verdana"/>
          <w:sz w:val="16"/>
          <w:szCs w:val="16"/>
        </w:rPr>
        <w:footnoteRef/>
      </w:r>
      <w:r w:rsidRPr="00CD5960">
        <w:rPr>
          <w:rFonts w:ascii="Verdana" w:hAnsi="Verdana" w:cs="Arial"/>
          <w:sz w:val="16"/>
          <w:szCs w:val="16"/>
        </w:rPr>
        <w:t xml:space="preserve"> “[…]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(Consejo de Estado. Sección Tercera. Sentencia del 16 de julio de 2015. Consejero Ponente: Carlos Alberto Zambrano Barrera. Expediente: 31.634).</w:t>
      </w:r>
    </w:p>
  </w:footnote>
  <w:footnote w:id="5">
    <w:p w14:paraId="56F2C3B2" w14:textId="77777777" w:rsidR="005146EB" w:rsidRPr="00CD5960" w:rsidRDefault="005146EB" w:rsidP="005146EB">
      <w:pPr>
        <w:pStyle w:val="Textonotapie"/>
        <w:ind w:firstLine="709"/>
        <w:jc w:val="both"/>
        <w:rPr>
          <w:rFonts w:ascii="Verdana" w:hAnsi="Verdana"/>
          <w:sz w:val="16"/>
          <w:szCs w:val="16"/>
          <w:lang w:val="es-CO"/>
        </w:rPr>
      </w:pPr>
      <w:r w:rsidRPr="00CD5960">
        <w:rPr>
          <w:rStyle w:val="Refdenotaalpie"/>
          <w:rFonts w:ascii="Verdana" w:hAnsi="Verdana"/>
          <w:sz w:val="16"/>
          <w:szCs w:val="16"/>
        </w:rPr>
        <w:footnoteRef/>
      </w:r>
      <w:r w:rsidRPr="00CD5960">
        <w:rPr>
          <w:rFonts w:ascii="Verdana" w:hAnsi="Verdana"/>
          <w:sz w:val="16"/>
          <w:szCs w:val="16"/>
        </w:rPr>
        <w:t xml:space="preserve"> </w:t>
      </w:r>
      <w:r w:rsidRPr="00CD5960">
        <w:rPr>
          <w:rFonts w:ascii="Verdana" w:hAnsi="Verdana" w:cs="Arial"/>
          <w:sz w:val="16"/>
          <w:szCs w:val="16"/>
        </w:rPr>
        <w:t>CONSEJO DE ESTADO. Sección Tercera. Sentencia del 18 de noviembre de 2021. Exp. 61641. C.P. Alberto Montaña Plata</w:t>
      </w:r>
    </w:p>
  </w:footnote>
  <w:footnote w:id="6">
    <w:p w14:paraId="3A4A6DC3" w14:textId="77777777" w:rsidR="005146EB" w:rsidRPr="00CD5960" w:rsidRDefault="005146EB" w:rsidP="005146EB">
      <w:pPr>
        <w:pStyle w:val="Textonotapie"/>
        <w:ind w:firstLine="709"/>
        <w:jc w:val="both"/>
        <w:rPr>
          <w:rFonts w:ascii="Verdana" w:hAnsi="Verdana"/>
          <w:sz w:val="16"/>
          <w:szCs w:val="16"/>
          <w:lang w:val="es-CO"/>
        </w:rPr>
      </w:pPr>
      <w:r w:rsidRPr="00CD5960">
        <w:rPr>
          <w:rStyle w:val="Refdenotaalpie"/>
          <w:rFonts w:ascii="Verdana" w:hAnsi="Verdana"/>
          <w:sz w:val="16"/>
          <w:szCs w:val="16"/>
        </w:rPr>
        <w:footnoteRef/>
      </w:r>
      <w:r w:rsidRPr="00CD5960">
        <w:rPr>
          <w:rFonts w:ascii="Verdana" w:hAnsi="Verdana"/>
          <w:sz w:val="16"/>
          <w:szCs w:val="16"/>
        </w:rPr>
        <w:t xml:space="preserve"> </w:t>
      </w:r>
      <w:r w:rsidRPr="00CD5960">
        <w:rPr>
          <w:rFonts w:ascii="Verdana" w:hAnsi="Verdana" w:cs="Arial"/>
          <w:sz w:val="16"/>
          <w:szCs w:val="16"/>
        </w:rPr>
        <w:t>CONSEJO DE ESTADO. Sección Tercera. Sentencia del 19 de febrero de 2024. Exp. 62023. C.P. José Roberto Sáchica Méndez.</w:t>
      </w:r>
    </w:p>
  </w:footnote>
  <w:footnote w:id="7">
    <w:p w14:paraId="5461B378" w14:textId="77777777" w:rsidR="005146EB" w:rsidRPr="00CD5960" w:rsidRDefault="005146EB" w:rsidP="005146EB">
      <w:pPr>
        <w:pStyle w:val="Textonotapie"/>
        <w:ind w:firstLine="708"/>
        <w:jc w:val="both"/>
        <w:rPr>
          <w:rFonts w:ascii="Verdana" w:hAnsi="Verdana" w:cs="Arial"/>
          <w:sz w:val="16"/>
          <w:szCs w:val="16"/>
        </w:rPr>
      </w:pPr>
      <w:r w:rsidRPr="00CD5960">
        <w:rPr>
          <w:rStyle w:val="Refdenotaalpie"/>
          <w:rFonts w:ascii="Verdana" w:hAnsi="Verdana" w:cs="Arial"/>
          <w:sz w:val="16"/>
          <w:szCs w:val="16"/>
        </w:rPr>
        <w:footnoteRef/>
      </w:r>
      <w:r w:rsidRPr="00CD5960">
        <w:rPr>
          <w:rFonts w:ascii="Verdana" w:hAnsi="Verdana" w:cs="Arial"/>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432EF66F" w14:textId="77777777" w:rsidR="005146EB" w:rsidRPr="00CD5960" w:rsidRDefault="005146EB" w:rsidP="005146EB">
      <w:pPr>
        <w:pStyle w:val="Textonotapie"/>
        <w:ind w:firstLine="708"/>
        <w:jc w:val="both"/>
        <w:rPr>
          <w:rFonts w:ascii="Verdana" w:hAnsi="Verdana" w:cs="Arial"/>
          <w:sz w:val="16"/>
          <w:szCs w:val="16"/>
        </w:rPr>
      </w:pPr>
      <w:r w:rsidRPr="00CD5960">
        <w:rPr>
          <w:rFonts w:ascii="Verdana" w:hAnsi="Verdana" w:cs="Arial"/>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7BB0D31E" w14:textId="77777777" w:rsidR="005146EB" w:rsidRPr="00CD5960" w:rsidRDefault="005146EB" w:rsidP="005146EB">
      <w:pPr>
        <w:pStyle w:val="Textonotapie"/>
        <w:ind w:firstLine="708"/>
        <w:jc w:val="both"/>
        <w:rPr>
          <w:rFonts w:ascii="Verdana" w:hAnsi="Verdana" w:cs="Arial"/>
          <w:sz w:val="16"/>
          <w:szCs w:val="16"/>
        </w:rPr>
      </w:pPr>
      <w:r w:rsidRPr="00CD5960">
        <w:rPr>
          <w:rFonts w:ascii="Verdana" w:hAnsi="Verdana" w:cs="Arial"/>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49A01B16" w14:textId="77777777" w:rsidR="005146EB" w:rsidRPr="00CD5960" w:rsidRDefault="005146EB" w:rsidP="005146EB">
      <w:pPr>
        <w:pStyle w:val="Textonotapie"/>
        <w:ind w:firstLine="708"/>
        <w:jc w:val="both"/>
        <w:rPr>
          <w:rFonts w:ascii="Verdana" w:hAnsi="Verdana" w:cs="Arial"/>
          <w:sz w:val="16"/>
          <w:szCs w:val="16"/>
        </w:rPr>
      </w:pPr>
      <w:r w:rsidRPr="00CD5960">
        <w:rPr>
          <w:rFonts w:ascii="Verdana" w:hAnsi="Verdana" w:cs="Arial"/>
          <w:sz w:val="16"/>
          <w:szCs w:val="16"/>
        </w:rPr>
        <w:t>3. Si el valor del contrato es superior a diez millones (10.000.000) de smmlv, la Entidad Estatal puede aceptar garantías que cubran al menos el cero punto cinco por ciento (0,5%) del valor del contrato.</w:t>
      </w:r>
    </w:p>
    <w:p w14:paraId="1E3BF821" w14:textId="77777777" w:rsidR="005146EB" w:rsidRPr="00CD5960" w:rsidRDefault="005146EB" w:rsidP="005146EB">
      <w:pPr>
        <w:pStyle w:val="Textonotapie"/>
        <w:ind w:firstLine="708"/>
        <w:jc w:val="both"/>
        <w:rPr>
          <w:rFonts w:ascii="Verdana" w:hAnsi="Verdana" w:cs="Arial"/>
          <w:sz w:val="16"/>
          <w:szCs w:val="16"/>
          <w:lang w:val="es-CO"/>
        </w:rPr>
      </w:pPr>
      <w:r w:rsidRPr="00CD5960">
        <w:rPr>
          <w:rFonts w:ascii="Verdana" w:hAnsi="Verdana" w:cs="Arial"/>
          <w:sz w:val="16"/>
          <w:szCs w:val="16"/>
        </w:rPr>
        <w:t>4. Colombia Compra Eficiente debe determinar el valor de la garantía única de cumplimiento del Acuerdo Marco de Precios de acuerdo con el objeto, el valor, la naturaleza y las obligaciones contenidas en este”.</w:t>
      </w:r>
    </w:p>
  </w:footnote>
  <w:footnote w:id="8">
    <w:p w14:paraId="7DAADB5B" w14:textId="77777777" w:rsidR="005146EB" w:rsidRPr="00CD5960" w:rsidRDefault="005146EB" w:rsidP="005146EB">
      <w:pPr>
        <w:pStyle w:val="Textonotapie"/>
        <w:ind w:firstLine="708"/>
        <w:jc w:val="both"/>
        <w:rPr>
          <w:rFonts w:ascii="Verdana" w:hAnsi="Verdana" w:cs="Arial"/>
          <w:sz w:val="16"/>
          <w:szCs w:val="16"/>
        </w:rPr>
      </w:pPr>
      <w:r w:rsidRPr="00CD5960">
        <w:rPr>
          <w:rStyle w:val="Refdenotaalpie"/>
          <w:rFonts w:ascii="Verdana" w:hAnsi="Verdana" w:cs="Arial"/>
          <w:sz w:val="16"/>
          <w:szCs w:val="16"/>
        </w:rPr>
        <w:footnoteRef/>
      </w:r>
      <w:r w:rsidRPr="00CD5960">
        <w:rPr>
          <w:rFonts w:ascii="Verdana" w:hAnsi="Verdana" w:cs="Arial"/>
          <w:sz w:val="16"/>
          <w:szCs w:val="16"/>
        </w:rPr>
        <w:t xml:space="preserve"> Consejo de Estado, Sección Tercera, Subsección B. Sentencia de 28 de junio de 2012. Radicación número: 25000-23-26-000-1997-05346-01(23966). C.P: Stella Conto Diaz Del Castillo.</w:t>
      </w:r>
    </w:p>
  </w:footnote>
  <w:footnote w:id="9">
    <w:p w14:paraId="1EAE3C4E" w14:textId="77777777" w:rsidR="005146EB" w:rsidRPr="00CD5960" w:rsidRDefault="005146EB" w:rsidP="005146EB">
      <w:pPr>
        <w:pStyle w:val="Textonotapie"/>
        <w:ind w:firstLine="708"/>
        <w:jc w:val="both"/>
        <w:rPr>
          <w:rFonts w:ascii="Verdana" w:hAnsi="Verdana" w:cs="Arial"/>
          <w:sz w:val="16"/>
          <w:szCs w:val="16"/>
          <w:shd w:val="clear" w:color="auto" w:fill="FFFFFF"/>
        </w:rPr>
      </w:pPr>
      <w:r w:rsidRPr="00CD5960">
        <w:rPr>
          <w:rStyle w:val="Refdenotaalpie"/>
          <w:rFonts w:ascii="Verdana" w:hAnsi="Verdana" w:cs="Arial"/>
          <w:sz w:val="16"/>
          <w:szCs w:val="16"/>
        </w:rPr>
        <w:footnoteRef/>
      </w:r>
      <w:r w:rsidRPr="00CD5960">
        <w:rPr>
          <w:rFonts w:ascii="Verdana" w:hAnsi="Verdana" w:cs="Arial"/>
          <w:sz w:val="16"/>
          <w:szCs w:val="16"/>
        </w:rPr>
        <w:t xml:space="preserve"> De conformidad con el artículo </w:t>
      </w:r>
      <w:r w:rsidRPr="00CD5960">
        <w:rPr>
          <w:rStyle w:val="Fuerte"/>
          <w:rFonts w:ascii="Verdana" w:hAnsi="Verdana" w:cs="Arial"/>
          <w:sz w:val="16"/>
          <w:szCs w:val="16"/>
          <w:shd w:val="clear" w:color="auto" w:fill="FFFFFF"/>
        </w:rPr>
        <w:t>2.2.1.2.3.1.5</w:t>
      </w:r>
      <w:r w:rsidRPr="00CD5960">
        <w:rPr>
          <w:rFonts w:ascii="Verdana" w:hAnsi="Verdana" w:cs="Arial"/>
          <w:sz w:val="16"/>
          <w:szCs w:val="16"/>
          <w:shd w:val="clear" w:color="auto" w:fill="FFFFFF"/>
        </w:rPr>
        <w:t xml:space="preserve"> del Decreto 1082 de 2015, </w:t>
      </w:r>
      <w:r w:rsidRPr="00CD5960">
        <w:rPr>
          <w:rFonts w:ascii="Verdana" w:hAnsi="Verdana" w:cs="Arial"/>
          <w:sz w:val="16"/>
          <w:szCs w:val="16"/>
        </w:rPr>
        <w:t>“</w:t>
      </w:r>
      <w:r w:rsidRPr="00CD5960">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CD5960">
        <w:rPr>
          <w:rFonts w:ascii="Verdana" w:hAnsi="Verdana" w:cs="Arial"/>
          <w:sz w:val="16"/>
          <w:szCs w:val="16"/>
        </w:rPr>
        <w:t>”</w:t>
      </w:r>
      <w:r w:rsidRPr="00CD5960">
        <w:rPr>
          <w:rFonts w:ascii="Verdana" w:hAnsi="Verdana" w:cs="Arial"/>
          <w:sz w:val="16"/>
          <w:szCs w:val="16"/>
          <w:shd w:val="clear" w:color="auto" w:fill="FFFFFF"/>
        </w:rPr>
        <w:t>.</w:t>
      </w:r>
    </w:p>
  </w:footnote>
  <w:footnote w:id="10">
    <w:p w14:paraId="1D4C34C2" w14:textId="77777777" w:rsidR="005146EB" w:rsidRPr="00CD5960" w:rsidRDefault="005146EB" w:rsidP="005146EB">
      <w:pPr>
        <w:pStyle w:val="Textonotapie"/>
        <w:ind w:firstLine="709"/>
        <w:jc w:val="both"/>
        <w:rPr>
          <w:rFonts w:ascii="Verdana" w:hAnsi="Verdana" w:cs="Arial"/>
          <w:sz w:val="16"/>
          <w:szCs w:val="16"/>
        </w:rPr>
      </w:pPr>
      <w:r w:rsidRPr="00CD5960">
        <w:rPr>
          <w:rStyle w:val="Refdenotaalpie"/>
          <w:rFonts w:ascii="Verdana" w:hAnsi="Verdana" w:cs="Arial"/>
          <w:sz w:val="16"/>
          <w:szCs w:val="16"/>
        </w:rPr>
        <w:footnoteRef/>
      </w:r>
      <w:r w:rsidRPr="00CD5960">
        <w:rPr>
          <w:rFonts w:ascii="Verdana" w:hAnsi="Verdana" w:cs="Arial"/>
          <w:sz w:val="16"/>
          <w:szCs w:val="16"/>
        </w:rPr>
        <w:t xml:space="preserve"> Consejo de Estado, Sección Tercera, Subsección A. Sentencia del 14 de junio del 2019. Radicación número: 11001 03 26 000 2009 00047 00 (36860)</w:t>
      </w:r>
      <w:r w:rsidRPr="00CD5960">
        <w:rPr>
          <w:rFonts w:ascii="Verdana" w:hAnsi="Verdana" w:cs="Arial"/>
          <w:sz w:val="16"/>
          <w:szCs w:val="16"/>
          <w:lang w:val="es-CO"/>
        </w:rPr>
        <w:t xml:space="preserve">. </w:t>
      </w:r>
      <w:r w:rsidRPr="00CD5960">
        <w:rPr>
          <w:rFonts w:ascii="Verdana" w:hAnsi="Verdana" w:cs="Arial"/>
          <w:sz w:val="16"/>
          <w:szCs w:val="16"/>
        </w:rPr>
        <w:t>C.P: Carlos Alberto Zambrano Barrera.</w:t>
      </w:r>
    </w:p>
  </w:footnote>
  <w:footnote w:id="11">
    <w:p w14:paraId="0F90C7B4" w14:textId="77777777" w:rsidR="005146EB" w:rsidRPr="00CD5960" w:rsidRDefault="005146EB" w:rsidP="005146EB">
      <w:pPr>
        <w:pStyle w:val="Textonotapie"/>
        <w:ind w:firstLine="709"/>
        <w:jc w:val="both"/>
        <w:rPr>
          <w:rFonts w:ascii="Verdana" w:hAnsi="Verdana" w:cs="Arial"/>
          <w:sz w:val="16"/>
          <w:szCs w:val="16"/>
          <w:lang w:val="es-CO"/>
        </w:rPr>
      </w:pPr>
      <w:r w:rsidRPr="00CD5960">
        <w:rPr>
          <w:rStyle w:val="Refdenotaalpie"/>
          <w:rFonts w:ascii="Verdana" w:hAnsi="Verdana" w:cs="Arial"/>
          <w:sz w:val="16"/>
          <w:szCs w:val="16"/>
        </w:rPr>
        <w:footnoteRef/>
      </w:r>
      <w:r w:rsidRPr="00CD5960">
        <w:rPr>
          <w:rFonts w:ascii="Verdana" w:hAnsi="Verdana" w:cs="Arial"/>
          <w:sz w:val="16"/>
          <w:szCs w:val="16"/>
        </w:rPr>
        <w:t xml:space="preserve"> Consejo de Estado, Sección Segunda, Subsección A. Sentencia del 25 de enero del 2018. Radicación número: </w:t>
      </w:r>
      <w:r w:rsidRPr="00CD5960">
        <w:rPr>
          <w:rFonts w:ascii="Verdana" w:hAnsi="Verdana" w:cs="Arial"/>
          <w:sz w:val="16"/>
          <w:szCs w:val="16"/>
          <w:lang w:val="es-CO"/>
        </w:rPr>
        <w:t xml:space="preserve">11001-03-25-000-2011-00489-00(1924-11). </w:t>
      </w:r>
      <w:r w:rsidRPr="00CD5960">
        <w:rPr>
          <w:rFonts w:ascii="Verdana" w:hAnsi="Verdana" w:cs="Arial"/>
          <w:sz w:val="16"/>
          <w:szCs w:val="16"/>
        </w:rPr>
        <w:t>C.P: Gabriel Valbuena Hernández.</w:t>
      </w:r>
    </w:p>
  </w:footnote>
  <w:footnote w:id="12">
    <w:p w14:paraId="4049F3F8" w14:textId="77777777" w:rsidR="005146EB" w:rsidRPr="006E45BA" w:rsidRDefault="005146EB" w:rsidP="005146EB">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7021580B" w14:textId="77777777" w:rsidR="005146EB" w:rsidRPr="006E45BA" w:rsidRDefault="005146EB" w:rsidP="005146EB">
      <w:pPr>
        <w:pStyle w:val="Textonotapie"/>
        <w:ind w:firstLine="708"/>
        <w:jc w:val="both"/>
        <w:rPr>
          <w:rFonts w:ascii="Verdana" w:hAnsi="Verdana"/>
          <w:sz w:val="16"/>
          <w:szCs w:val="16"/>
        </w:rPr>
      </w:pPr>
      <w:r w:rsidRPr="006E45BA">
        <w:rPr>
          <w:rFonts w:ascii="Verdana" w:hAnsi="Verdana"/>
          <w:sz w:val="16"/>
          <w:szCs w:val="16"/>
        </w:rPr>
        <w:t>[…]</w:t>
      </w:r>
    </w:p>
    <w:p w14:paraId="4A3B8DDD" w14:textId="77777777" w:rsidR="005146EB" w:rsidRPr="006E45BA" w:rsidRDefault="005146EB" w:rsidP="005146EB">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r w:rsidRPr="006E45BA">
        <w:rPr>
          <w:rFonts w:ascii="Verdana" w:hAnsi="Verdana"/>
          <w:i/>
          <w:iCs/>
          <w:sz w:val="16"/>
          <w:szCs w:val="16"/>
        </w:rPr>
        <w:t>selbstherrlich</w:t>
      </w:r>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69BE3877" w14:textId="77777777" w:rsidR="005146EB" w:rsidRPr="006E45BA" w:rsidRDefault="005146EB" w:rsidP="005146EB">
      <w:pPr>
        <w:pStyle w:val="Textonotapie"/>
        <w:ind w:firstLine="708"/>
        <w:jc w:val="both"/>
        <w:rPr>
          <w:rFonts w:ascii="Verdana" w:hAnsi="Verdana"/>
          <w:sz w:val="16"/>
          <w:szCs w:val="16"/>
        </w:rPr>
      </w:pPr>
      <w:r w:rsidRPr="006E45BA">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13">
    <w:p w14:paraId="41891DA0" w14:textId="77777777" w:rsidR="005146EB" w:rsidRPr="006E45BA" w:rsidRDefault="005146EB" w:rsidP="005146EB">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14">
    <w:p w14:paraId="44424849" w14:textId="77777777" w:rsidR="005146EB" w:rsidRPr="006E45BA" w:rsidRDefault="005146EB" w:rsidP="005146EB">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15">
    <w:p w14:paraId="3DDBE519" w14:textId="77777777" w:rsidR="005146EB" w:rsidRPr="006E45BA" w:rsidRDefault="005146EB" w:rsidP="005146EB">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16">
    <w:p w14:paraId="37F0BBFC" w14:textId="77777777" w:rsidR="005146EB" w:rsidRPr="006E45BA" w:rsidRDefault="005146EB" w:rsidP="005146EB">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29688C76" w14:textId="77777777" w:rsidR="005146EB" w:rsidRPr="006E45BA" w:rsidRDefault="005146EB" w:rsidP="005146EB">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2AE16382" w14:textId="77777777" w:rsidR="005146EB" w:rsidRPr="006E45BA" w:rsidRDefault="005146EB" w:rsidP="005146EB">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23B3477F" w14:textId="77777777" w:rsidR="005146EB" w:rsidRPr="006E45BA" w:rsidRDefault="005146EB" w:rsidP="005146EB">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2FCAA1BD" w14:textId="77777777" w:rsidR="005146EB" w:rsidRPr="006E45BA" w:rsidRDefault="005146EB" w:rsidP="005146EB">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0BAB97E5" w14:textId="77777777" w:rsidR="005146EB" w:rsidRPr="006E45BA" w:rsidRDefault="005146EB" w:rsidP="005146EB">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footnote>
  <w:footnote w:id="17">
    <w:p w14:paraId="50EEE390" w14:textId="77777777" w:rsidR="005146EB" w:rsidRPr="001A0C7A" w:rsidRDefault="005146EB" w:rsidP="005146EB">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 w:id="18">
    <w:p w14:paraId="779CEE11" w14:textId="77777777" w:rsidR="005146EB" w:rsidRDefault="005146EB" w:rsidP="005146EB">
      <w:pPr>
        <w:pStyle w:val="Textonotapie"/>
        <w:ind w:firstLine="708"/>
        <w:jc w:val="both"/>
        <w:rPr>
          <w:rFonts w:ascii="Verdana" w:hAnsi="Verdana"/>
          <w:sz w:val="16"/>
          <w:szCs w:val="16"/>
        </w:rPr>
      </w:pPr>
      <w:r w:rsidRPr="00481E93">
        <w:rPr>
          <w:rStyle w:val="Refdenotaalpie"/>
          <w:rFonts w:ascii="Verdana" w:hAnsi="Verdana"/>
          <w:sz w:val="16"/>
          <w:szCs w:val="16"/>
        </w:rPr>
        <w:footnoteRef/>
      </w:r>
      <w:r w:rsidRPr="00481E93">
        <w:rPr>
          <w:rFonts w:ascii="Verdana" w:hAnsi="Verdana"/>
          <w:sz w:val="16"/>
          <w:szCs w:val="16"/>
        </w:rPr>
        <w:t xml:space="preserve"> </w:t>
      </w:r>
      <w:r>
        <w:rPr>
          <w:rFonts w:ascii="Verdana" w:hAnsi="Verdana"/>
          <w:sz w:val="16"/>
          <w:szCs w:val="16"/>
        </w:rPr>
        <w:t>Para la jurisprudencia, “</w:t>
      </w:r>
      <w:r w:rsidRPr="00481E93">
        <w:rPr>
          <w:rFonts w:ascii="Verdana" w:hAnsi="Verdana"/>
          <w:sz w:val="16"/>
          <w:szCs w:val="16"/>
        </w:rPr>
        <w:t>Cada vez que un organismo o entidad estatal ejerce la potestad excepcional de</w:t>
      </w:r>
      <w:r>
        <w:rPr>
          <w:rFonts w:ascii="Verdana" w:hAnsi="Verdana"/>
          <w:sz w:val="16"/>
          <w:szCs w:val="16"/>
        </w:rPr>
        <w:t xml:space="preserve"> </w:t>
      </w:r>
      <w:r w:rsidRPr="00481E93">
        <w:rPr>
          <w:rFonts w:ascii="Verdana" w:hAnsi="Verdana"/>
          <w:sz w:val="16"/>
          <w:szCs w:val="16"/>
        </w:rPr>
        <w:t>terminación unilateral del contrato, debe proceder al reconocimiento y pago de</w:t>
      </w:r>
      <w:r>
        <w:rPr>
          <w:rFonts w:ascii="Verdana" w:hAnsi="Verdana"/>
          <w:sz w:val="16"/>
          <w:szCs w:val="16"/>
        </w:rPr>
        <w:t xml:space="preserve"> </w:t>
      </w:r>
      <w:r w:rsidRPr="00481E93">
        <w:rPr>
          <w:rFonts w:ascii="Verdana" w:hAnsi="Verdana"/>
          <w:sz w:val="16"/>
          <w:szCs w:val="16"/>
        </w:rPr>
        <w:t xml:space="preserve">las compensaciones </w:t>
      </w:r>
      <w:r>
        <w:rPr>
          <w:rFonts w:ascii="Verdana" w:hAnsi="Verdana"/>
          <w:sz w:val="16"/>
          <w:szCs w:val="16"/>
        </w:rPr>
        <w:t>‘</w:t>
      </w:r>
      <w:r w:rsidRPr="00481E93">
        <w:rPr>
          <w:rFonts w:ascii="Verdana" w:hAnsi="Verdana"/>
          <w:sz w:val="16"/>
          <w:szCs w:val="16"/>
        </w:rPr>
        <w:t>… e indemnizaciones a que tengan derecho las personas</w:t>
      </w:r>
      <w:r>
        <w:rPr>
          <w:rFonts w:ascii="Verdana" w:hAnsi="Verdana"/>
          <w:sz w:val="16"/>
          <w:szCs w:val="16"/>
        </w:rPr>
        <w:t xml:space="preserve"> </w:t>
      </w:r>
      <w:r w:rsidRPr="00481E93">
        <w:rPr>
          <w:rFonts w:ascii="Verdana" w:hAnsi="Verdana"/>
          <w:sz w:val="16"/>
          <w:szCs w:val="16"/>
        </w:rPr>
        <w:t>objeto de tales medidas y se aplicarán los mecanismos de ajuste de las</w:t>
      </w:r>
      <w:r>
        <w:rPr>
          <w:rFonts w:ascii="Verdana" w:hAnsi="Verdana"/>
          <w:sz w:val="16"/>
          <w:szCs w:val="16"/>
        </w:rPr>
        <w:t xml:space="preserve"> </w:t>
      </w:r>
      <w:r w:rsidRPr="00481E93">
        <w:rPr>
          <w:rFonts w:ascii="Verdana" w:hAnsi="Verdana"/>
          <w:sz w:val="16"/>
          <w:szCs w:val="16"/>
        </w:rPr>
        <w:t>condiciones y términos contractuales a que haya lugar, todo ello con el fin de</w:t>
      </w:r>
      <w:r>
        <w:rPr>
          <w:rFonts w:ascii="Verdana" w:hAnsi="Verdana"/>
          <w:sz w:val="16"/>
          <w:szCs w:val="16"/>
        </w:rPr>
        <w:t xml:space="preserve"> </w:t>
      </w:r>
      <w:r w:rsidRPr="00481E93">
        <w:rPr>
          <w:rFonts w:ascii="Verdana" w:hAnsi="Verdana"/>
          <w:sz w:val="16"/>
          <w:szCs w:val="16"/>
        </w:rPr>
        <w:t>mantener la ecuación o equilibrio inicial</w:t>
      </w:r>
      <w:r>
        <w:rPr>
          <w:rFonts w:ascii="Verdana" w:hAnsi="Verdana"/>
          <w:sz w:val="16"/>
          <w:szCs w:val="16"/>
        </w:rPr>
        <w:t>’</w:t>
      </w:r>
      <w:r w:rsidRPr="00481E93">
        <w:rPr>
          <w:rFonts w:ascii="Verdana" w:hAnsi="Verdana"/>
          <w:sz w:val="16"/>
          <w:szCs w:val="16"/>
        </w:rPr>
        <w:t xml:space="preserve"> (artículo 14, numeral 1, inciso 2, Ley 80).</w:t>
      </w:r>
      <w:r>
        <w:rPr>
          <w:rFonts w:ascii="Verdana" w:hAnsi="Verdana"/>
          <w:sz w:val="16"/>
          <w:szCs w:val="16"/>
        </w:rPr>
        <w:t xml:space="preserve"> </w:t>
      </w:r>
      <w:r w:rsidRPr="00481E93">
        <w:rPr>
          <w:rFonts w:ascii="Verdana" w:hAnsi="Verdana"/>
          <w:sz w:val="16"/>
          <w:szCs w:val="16"/>
        </w:rPr>
        <w:t>Lo anterior pone de manifiesto que esta especie o modalidad de terminación</w:t>
      </w:r>
      <w:r>
        <w:rPr>
          <w:rFonts w:ascii="Verdana" w:hAnsi="Verdana"/>
          <w:sz w:val="16"/>
          <w:szCs w:val="16"/>
        </w:rPr>
        <w:t xml:space="preserve"> </w:t>
      </w:r>
      <w:r w:rsidRPr="00481E93">
        <w:rPr>
          <w:rFonts w:ascii="Verdana" w:hAnsi="Verdana"/>
          <w:sz w:val="16"/>
          <w:szCs w:val="16"/>
        </w:rPr>
        <w:t>unilateral de los contratos no comporta ninguna sanción y, por tanto, tampoco</w:t>
      </w:r>
      <w:r>
        <w:rPr>
          <w:rFonts w:ascii="Verdana" w:hAnsi="Verdana"/>
          <w:sz w:val="16"/>
          <w:szCs w:val="16"/>
        </w:rPr>
        <w:t xml:space="preserve"> </w:t>
      </w:r>
      <w:r w:rsidRPr="00481E93">
        <w:rPr>
          <w:rFonts w:ascii="Verdana" w:hAnsi="Verdana"/>
          <w:sz w:val="16"/>
          <w:szCs w:val="16"/>
        </w:rPr>
        <w:t>genera inhabilidad alguna para el contratista afectado (contrario a lo que</w:t>
      </w:r>
      <w:r>
        <w:rPr>
          <w:rFonts w:ascii="Verdana" w:hAnsi="Verdana"/>
          <w:sz w:val="16"/>
          <w:szCs w:val="16"/>
        </w:rPr>
        <w:t xml:space="preserve"> </w:t>
      </w:r>
      <w:r w:rsidRPr="00481E93">
        <w:rPr>
          <w:rFonts w:ascii="Verdana" w:hAnsi="Verdana"/>
          <w:sz w:val="16"/>
          <w:szCs w:val="16"/>
        </w:rPr>
        <w:t>sucede con la caducidad)</w:t>
      </w:r>
      <w:r>
        <w:rPr>
          <w:rFonts w:ascii="Verdana" w:hAnsi="Verdana"/>
          <w:sz w:val="16"/>
          <w:szCs w:val="16"/>
        </w:rPr>
        <w:t xml:space="preserve">” (Cfr. CONSEJO DE ESTADO. Sección Tercera. Subsección A. Sentencia del 10 de noviembre de 2017. Exp. </w:t>
      </w:r>
      <w:r w:rsidRPr="0023537F">
        <w:rPr>
          <w:rFonts w:ascii="Verdana" w:hAnsi="Verdana"/>
          <w:sz w:val="16"/>
          <w:szCs w:val="16"/>
        </w:rPr>
        <w:t>39536</w:t>
      </w:r>
      <w:r>
        <w:rPr>
          <w:rFonts w:ascii="Verdana" w:hAnsi="Verdana"/>
          <w:sz w:val="16"/>
          <w:szCs w:val="16"/>
        </w:rPr>
        <w:t xml:space="preserve">. C.P. </w:t>
      </w:r>
      <w:r w:rsidRPr="0023537F">
        <w:rPr>
          <w:rFonts w:ascii="Verdana" w:hAnsi="Verdana"/>
          <w:sz w:val="16"/>
          <w:szCs w:val="16"/>
        </w:rPr>
        <w:t>Carlos Alberto Zambrano Barrera</w:t>
      </w:r>
      <w:r>
        <w:rPr>
          <w:rFonts w:ascii="Verdana" w:hAnsi="Verdana"/>
          <w:sz w:val="16"/>
          <w:szCs w:val="16"/>
        </w:rPr>
        <w:t xml:space="preserve">). </w:t>
      </w:r>
    </w:p>
    <w:p w14:paraId="5A65EB73" w14:textId="77777777" w:rsidR="005146EB" w:rsidRPr="00481E93" w:rsidRDefault="005146EB" w:rsidP="005146EB">
      <w:pPr>
        <w:pStyle w:val="Textonotapie"/>
        <w:ind w:firstLine="708"/>
        <w:jc w:val="both"/>
        <w:rPr>
          <w:rFonts w:ascii="Verdana" w:hAnsi="Verdana"/>
          <w:sz w:val="16"/>
          <w:szCs w:val="16"/>
        </w:rPr>
      </w:pPr>
      <w:r>
        <w:rPr>
          <w:rFonts w:ascii="Verdana" w:hAnsi="Verdana"/>
          <w:sz w:val="16"/>
          <w:szCs w:val="16"/>
        </w:rPr>
        <w:t>En este contexto, “</w:t>
      </w:r>
      <w:r w:rsidRPr="003D3150">
        <w:rPr>
          <w:rFonts w:ascii="Verdana" w:hAnsi="Verdana"/>
          <w:sz w:val="16"/>
          <w:szCs w:val="16"/>
        </w:rPr>
        <w:t>La terminación unilateral solo tiene como propósito y efecto la finalización anticipada de un determinado contrato estatal, sin que ello signifique ni pretenda</w:t>
      </w:r>
      <w:r>
        <w:rPr>
          <w:rFonts w:ascii="Verdana" w:hAnsi="Verdana"/>
          <w:sz w:val="16"/>
          <w:szCs w:val="16"/>
        </w:rPr>
        <w:t xml:space="preserve"> </w:t>
      </w:r>
      <w:r w:rsidRPr="003D3150">
        <w:rPr>
          <w:rFonts w:ascii="Verdana" w:hAnsi="Verdana"/>
          <w:sz w:val="16"/>
          <w:szCs w:val="16"/>
        </w:rPr>
        <w:t>desconocer y mucho menos deshacer todo lo que hasta ese momento se hubiere ejecutado con base en dicho contrato, amén de que tal decisión de terminación anticipada tampoco comporta reproche alguno para las partes o al menos</w:t>
      </w:r>
      <w:r>
        <w:rPr>
          <w:rFonts w:ascii="Verdana" w:hAnsi="Verdana"/>
          <w:sz w:val="16"/>
          <w:szCs w:val="16"/>
        </w:rPr>
        <w:t xml:space="preserve"> </w:t>
      </w:r>
      <w:r w:rsidRPr="003D3150">
        <w:rPr>
          <w:rFonts w:ascii="Verdana" w:hAnsi="Verdana"/>
          <w:sz w:val="16"/>
          <w:szCs w:val="16"/>
        </w:rPr>
        <w:t>para una de ellas, así sea implícito, respecto de los elementos existentes al momento del perfeccionamiento del respectivo contrato</w:t>
      </w:r>
      <w:r>
        <w:rPr>
          <w:rFonts w:ascii="Verdana" w:hAnsi="Verdana"/>
          <w:sz w:val="16"/>
          <w:szCs w:val="16"/>
        </w:rPr>
        <w:t xml:space="preserve">” (Cfr. CONSEJO DE ESTADO. Sección Tercera. </w:t>
      </w:r>
      <w:r w:rsidRPr="003D3150">
        <w:rPr>
          <w:rFonts w:ascii="Verdana" w:hAnsi="Verdana"/>
          <w:sz w:val="16"/>
          <w:szCs w:val="16"/>
        </w:rPr>
        <w:t>entencia del 2 de mayo de 2007. Exp. 15559. C.P.</w:t>
      </w:r>
      <w:r>
        <w:rPr>
          <w:rFonts w:ascii="Verdana" w:hAnsi="Verdana"/>
          <w:sz w:val="16"/>
          <w:szCs w:val="16"/>
        </w:rPr>
        <w:t xml:space="preserve"> </w:t>
      </w:r>
      <w:r w:rsidRPr="003D3150">
        <w:rPr>
          <w:rFonts w:ascii="Verdana" w:hAnsi="Verdana"/>
          <w:sz w:val="16"/>
          <w:szCs w:val="16"/>
        </w:rPr>
        <w:t>Mauricio Fajardo Gómez</w:t>
      </w:r>
      <w:r>
        <w:rPr>
          <w:rFonts w:ascii="Verdana" w:hAnsi="Verdana"/>
          <w:sz w:val="16"/>
          <w:szCs w:val="16"/>
        </w:rPr>
        <w:t>)</w:t>
      </w:r>
      <w:r w:rsidRPr="003D3150">
        <w:rPr>
          <w:rFonts w:ascii="Verdana" w:hAnsi="Verdana"/>
          <w:sz w:val="16"/>
          <w:szCs w:val="16"/>
        </w:rPr>
        <w:t>.</w:t>
      </w:r>
    </w:p>
  </w:footnote>
  <w:footnote w:id="19">
    <w:p w14:paraId="13067C90" w14:textId="77777777" w:rsidR="005146EB" w:rsidRPr="004438B9" w:rsidRDefault="005146EB" w:rsidP="005146EB">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4438B9">
        <w:rPr>
          <w:rFonts w:ascii="Verdana" w:hAnsi="Verdana" w:cs="Arial"/>
          <w:color w:val="000000"/>
          <w:sz w:val="16"/>
          <w:szCs w:val="16"/>
          <w:shd w:val="clear" w:color="auto" w:fill="FFFFFF"/>
        </w:rPr>
        <w:t>” (</w:t>
      </w:r>
      <w:r w:rsidRPr="004438B9">
        <w:rPr>
          <w:rFonts w:ascii="Verdana" w:hAnsi="Verdana" w:cs="Arial"/>
          <w:color w:val="000000"/>
          <w:sz w:val="16"/>
          <w:szCs w:val="16"/>
        </w:rPr>
        <w:t>EXPOSITO, Juan Carlos. Forma y contenido del contrato estatal. Bogotá: Universidad Externado de Colombia, p</w:t>
      </w:r>
      <w:r>
        <w:rPr>
          <w:rFonts w:ascii="Verdana" w:hAnsi="Verdana" w:cs="Arial"/>
          <w:color w:val="000000"/>
          <w:sz w:val="16"/>
          <w:szCs w:val="16"/>
        </w:rPr>
        <w:t>p</w:t>
      </w:r>
      <w:r w:rsidRPr="004438B9">
        <w:rPr>
          <w:rFonts w:ascii="Verdana" w:hAnsi="Verdana" w:cs="Arial"/>
          <w:color w:val="000000"/>
          <w:sz w:val="16"/>
          <w:szCs w:val="16"/>
        </w:rPr>
        <w:t>. 89</w:t>
      </w:r>
      <w:r>
        <w:rPr>
          <w:rFonts w:ascii="Verdana" w:hAnsi="Verdana" w:cs="Arial"/>
          <w:color w:val="000000"/>
          <w:sz w:val="16"/>
          <w:szCs w:val="16"/>
        </w:rPr>
        <w:t>-</w:t>
      </w:r>
      <w:r w:rsidRPr="004438B9">
        <w:rPr>
          <w:rFonts w:ascii="Verdana" w:hAnsi="Verdana" w:cs="Arial"/>
          <w:color w:val="000000"/>
          <w:sz w:val="16"/>
          <w:szCs w:val="16"/>
        </w:rPr>
        <w:t>90).</w:t>
      </w:r>
    </w:p>
  </w:footnote>
  <w:footnote w:id="20">
    <w:p w14:paraId="7AE5555C" w14:textId="77777777" w:rsidR="005146EB" w:rsidRPr="004438B9" w:rsidRDefault="005146EB" w:rsidP="005146EB">
      <w:pPr>
        <w:spacing w:after="0"/>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21">
    <w:p w14:paraId="4B089B57" w14:textId="77777777" w:rsidR="005146EB" w:rsidRPr="006B5DDD" w:rsidRDefault="005146EB" w:rsidP="005146EB">
      <w:pPr>
        <w:pStyle w:val="Textonotapie"/>
        <w:ind w:firstLine="708"/>
        <w:jc w:val="both"/>
        <w:rPr>
          <w:rFonts w:ascii="Verdana" w:hAnsi="Verdana"/>
          <w:sz w:val="16"/>
          <w:szCs w:val="16"/>
        </w:rPr>
      </w:pPr>
      <w:r w:rsidRPr="00577560">
        <w:rPr>
          <w:rStyle w:val="Refdenotaalpie"/>
          <w:rFonts w:ascii="Verdana" w:hAnsi="Verdana"/>
          <w:sz w:val="16"/>
          <w:szCs w:val="16"/>
        </w:rPr>
        <w:footnoteRef/>
      </w:r>
      <w:r w:rsidRPr="00577560">
        <w:rPr>
          <w:rFonts w:ascii="Verdana" w:hAnsi="Verdana"/>
          <w:sz w:val="16"/>
          <w:szCs w:val="16"/>
        </w:rPr>
        <w:t xml:space="preserve"> </w:t>
      </w:r>
      <w:r w:rsidRPr="002A483D">
        <w:rPr>
          <w:rFonts w:ascii="Verdana" w:hAnsi="Verdana"/>
          <w:sz w:val="16"/>
          <w:szCs w:val="16"/>
        </w:rPr>
        <w:t>SÁNCHEZ HERNÁNDEZ</w:t>
      </w:r>
      <w:r>
        <w:rPr>
          <w:rFonts w:ascii="Verdana" w:hAnsi="Verdana"/>
          <w:sz w:val="16"/>
          <w:szCs w:val="16"/>
        </w:rPr>
        <w:t xml:space="preserve">, Carmen. Los negocios de fijación. Valencia: Tirant lo Blach, 2003 pp. 214-215. Para la autora, “[…] </w:t>
      </w:r>
      <w:r w:rsidRPr="006B5DDD">
        <w:rPr>
          <w:rFonts w:ascii="Verdana" w:hAnsi="Verdana"/>
          <w:sz w:val="16"/>
          <w:szCs w:val="16"/>
        </w:rPr>
        <w:t>En la medida en que</w:t>
      </w:r>
      <w:r>
        <w:rPr>
          <w:rFonts w:ascii="Verdana" w:hAnsi="Verdana"/>
          <w:sz w:val="16"/>
          <w:szCs w:val="16"/>
        </w:rPr>
        <w:t xml:space="preserve"> </w:t>
      </w:r>
      <w:r w:rsidRPr="006B5DDD">
        <w:rPr>
          <w:rFonts w:ascii="Verdana" w:hAnsi="Verdana"/>
          <w:sz w:val="16"/>
          <w:szCs w:val="16"/>
        </w:rPr>
        <w:t>mediante los negocios de fijación, los interesados deciden sustituir el conocimiento jurisdiccional del asunto controvertido</w:t>
      </w:r>
      <w:r>
        <w:rPr>
          <w:rFonts w:ascii="Verdana" w:hAnsi="Verdana"/>
          <w:sz w:val="16"/>
          <w:szCs w:val="16"/>
        </w:rPr>
        <w:t xml:space="preserve"> </w:t>
      </w:r>
      <w:r w:rsidRPr="006B5DDD">
        <w:rPr>
          <w:rFonts w:ascii="Verdana" w:hAnsi="Verdana"/>
          <w:sz w:val="16"/>
          <w:szCs w:val="16"/>
        </w:rPr>
        <w:t>por la autocomposición negocial del conflicto, desde un punto de</w:t>
      </w:r>
      <w:r>
        <w:rPr>
          <w:rFonts w:ascii="Verdana" w:hAnsi="Verdana"/>
          <w:sz w:val="16"/>
          <w:szCs w:val="16"/>
        </w:rPr>
        <w:t xml:space="preserve"> </w:t>
      </w:r>
      <w:r w:rsidRPr="006B5DDD">
        <w:rPr>
          <w:rFonts w:ascii="Verdana" w:hAnsi="Verdana"/>
          <w:sz w:val="16"/>
          <w:szCs w:val="16"/>
        </w:rPr>
        <w:t>vista procesal, aparecen en la que llamamos fase previa, evitando, en su caso, la celebración de un juicio</w:t>
      </w:r>
      <w:r>
        <w:rPr>
          <w:rFonts w:ascii="Verdana" w:hAnsi="Verdana"/>
          <w:sz w:val="16"/>
          <w:szCs w:val="16"/>
        </w:rPr>
        <w:t>” (</w:t>
      </w:r>
      <w:r w:rsidRPr="006B5DDD">
        <w:rPr>
          <w:rFonts w:ascii="Verdana" w:hAnsi="Verdana"/>
          <w:i/>
          <w:iCs/>
          <w:sz w:val="16"/>
          <w:szCs w:val="16"/>
        </w:rPr>
        <w:t>Ibidem</w:t>
      </w:r>
      <w:r>
        <w:rPr>
          <w:rFonts w:ascii="Verdana" w:hAnsi="Verdana"/>
          <w:sz w:val="16"/>
          <w:szCs w:val="16"/>
        </w:rPr>
        <w:t xml:space="preserve">, p. 216). En un sentido similar, JARAMILLO, Carlos Ignacio. </w:t>
      </w:r>
      <w:r w:rsidRPr="009377DD">
        <w:rPr>
          <w:rFonts w:ascii="Verdana" w:hAnsi="Verdana"/>
          <w:sz w:val="16"/>
          <w:szCs w:val="16"/>
        </w:rPr>
        <w:t>El 'iter'contractual</w:t>
      </w:r>
      <w:r>
        <w:rPr>
          <w:rFonts w:ascii="Verdana" w:hAnsi="Verdana"/>
          <w:sz w:val="16"/>
          <w:szCs w:val="16"/>
        </w:rPr>
        <w:t xml:space="preserve"> </w:t>
      </w:r>
      <w:r w:rsidRPr="009377DD">
        <w:rPr>
          <w:rFonts w:ascii="Verdana" w:hAnsi="Verdana"/>
          <w:sz w:val="16"/>
          <w:szCs w:val="16"/>
        </w:rPr>
        <w:t>y</w:t>
      </w:r>
      <w:r>
        <w:rPr>
          <w:rFonts w:ascii="Verdana" w:hAnsi="Verdana"/>
          <w:sz w:val="16"/>
          <w:szCs w:val="16"/>
        </w:rPr>
        <w:t xml:space="preserve"> </w:t>
      </w:r>
      <w:r w:rsidRPr="009377DD">
        <w:rPr>
          <w:rFonts w:ascii="Verdana" w:hAnsi="Verdana"/>
          <w:sz w:val="16"/>
          <w:szCs w:val="16"/>
        </w:rPr>
        <w:t>la liquidación</w:t>
      </w:r>
      <w:r>
        <w:rPr>
          <w:rFonts w:ascii="Verdana" w:hAnsi="Verdana"/>
          <w:sz w:val="16"/>
          <w:szCs w:val="16"/>
        </w:rPr>
        <w:t xml:space="preserve"> </w:t>
      </w:r>
      <w:r w:rsidRPr="009377DD">
        <w:rPr>
          <w:rFonts w:ascii="Verdana" w:hAnsi="Verdana"/>
          <w:sz w:val="16"/>
          <w:szCs w:val="16"/>
        </w:rPr>
        <w:t>del contrato. Aproximacion a los</w:t>
      </w:r>
      <w:r>
        <w:rPr>
          <w:rFonts w:ascii="Verdana" w:hAnsi="Verdana"/>
          <w:sz w:val="16"/>
          <w:szCs w:val="16"/>
        </w:rPr>
        <w:t xml:space="preserve"> </w:t>
      </w:r>
      <w:r w:rsidRPr="009377DD">
        <w:rPr>
          <w:rFonts w:ascii="Verdana" w:hAnsi="Verdana"/>
          <w:sz w:val="16"/>
          <w:szCs w:val="16"/>
        </w:rPr>
        <w:t>actos, o negocios jurídicos de</w:t>
      </w:r>
      <w:r>
        <w:rPr>
          <w:rFonts w:ascii="Verdana" w:hAnsi="Verdana"/>
          <w:sz w:val="16"/>
          <w:szCs w:val="16"/>
        </w:rPr>
        <w:t xml:space="preserve"> </w:t>
      </w:r>
      <w:r w:rsidRPr="009377DD">
        <w:rPr>
          <w:rFonts w:ascii="Verdana" w:hAnsi="Verdana"/>
          <w:sz w:val="16"/>
          <w:szCs w:val="16"/>
        </w:rPr>
        <w:t>fijación y a las declaraciones</w:t>
      </w:r>
      <w:r>
        <w:rPr>
          <w:rFonts w:ascii="Verdana" w:hAnsi="Verdana"/>
          <w:sz w:val="16"/>
          <w:szCs w:val="16"/>
        </w:rPr>
        <w:t xml:space="preserve"> </w:t>
      </w:r>
      <w:r w:rsidRPr="009377DD">
        <w:rPr>
          <w:rFonts w:ascii="Verdana" w:hAnsi="Verdana"/>
          <w:sz w:val="16"/>
          <w:szCs w:val="16"/>
        </w:rPr>
        <w:t xml:space="preserve">constitutivas de un </w:t>
      </w:r>
      <w:r>
        <w:rPr>
          <w:rFonts w:ascii="Verdana" w:hAnsi="Verdana"/>
          <w:sz w:val="16"/>
          <w:szCs w:val="16"/>
        </w:rPr>
        <w:t>“</w:t>
      </w:r>
      <w:r w:rsidRPr="009377DD">
        <w:rPr>
          <w:rFonts w:ascii="Verdana" w:hAnsi="Verdana"/>
          <w:sz w:val="16"/>
          <w:szCs w:val="16"/>
        </w:rPr>
        <w:t>paz y salvo</w:t>
      </w:r>
      <w:r>
        <w:rPr>
          <w:rFonts w:ascii="Verdana" w:hAnsi="Verdana"/>
          <w:sz w:val="16"/>
          <w:szCs w:val="16"/>
        </w:rPr>
        <w:t>”</w:t>
      </w:r>
      <w:r w:rsidRPr="009377DD">
        <w:rPr>
          <w:rFonts w:ascii="Verdana" w:hAnsi="Verdana"/>
          <w:sz w:val="16"/>
          <w:szCs w:val="16"/>
        </w:rPr>
        <w:t>,</w:t>
      </w:r>
      <w:r>
        <w:rPr>
          <w:rFonts w:ascii="Verdana" w:hAnsi="Verdana"/>
          <w:sz w:val="16"/>
          <w:szCs w:val="16"/>
        </w:rPr>
        <w:t xml:space="preserve"> “</w:t>
      </w:r>
      <w:r w:rsidRPr="009377DD">
        <w:rPr>
          <w:rFonts w:ascii="Verdana" w:hAnsi="Verdana"/>
          <w:sz w:val="16"/>
          <w:szCs w:val="16"/>
        </w:rPr>
        <w:t>corte de cuentas</w:t>
      </w:r>
      <w:r>
        <w:rPr>
          <w:rFonts w:ascii="Verdana" w:hAnsi="Verdana"/>
          <w:sz w:val="16"/>
          <w:szCs w:val="16"/>
        </w:rPr>
        <w:t>”</w:t>
      </w:r>
      <w:r w:rsidRPr="009377DD">
        <w:rPr>
          <w:rFonts w:ascii="Verdana" w:hAnsi="Verdana"/>
          <w:sz w:val="16"/>
          <w:szCs w:val="16"/>
        </w:rPr>
        <w:t xml:space="preserve">, o un </w:t>
      </w:r>
      <w:r>
        <w:rPr>
          <w:rFonts w:ascii="Verdana" w:hAnsi="Verdana"/>
          <w:sz w:val="16"/>
          <w:szCs w:val="16"/>
        </w:rPr>
        <w:t>“</w:t>
      </w:r>
      <w:r w:rsidRPr="009377DD">
        <w:rPr>
          <w:rFonts w:ascii="Verdana" w:hAnsi="Verdana"/>
          <w:sz w:val="16"/>
          <w:szCs w:val="16"/>
        </w:rPr>
        <w:t>finiquito</w:t>
      </w:r>
      <w:r>
        <w:rPr>
          <w:rFonts w:ascii="Verdana" w:hAnsi="Verdana"/>
          <w:sz w:val="16"/>
          <w:szCs w:val="16"/>
        </w:rPr>
        <w:t xml:space="preserve">”: </w:t>
      </w:r>
      <w:r w:rsidRPr="009377DD">
        <w:rPr>
          <w:rFonts w:ascii="Verdana" w:hAnsi="Verdana"/>
          <w:sz w:val="16"/>
          <w:szCs w:val="16"/>
        </w:rPr>
        <w:t xml:space="preserve">aplicación de la regla </w:t>
      </w:r>
      <w:r w:rsidRPr="00675291">
        <w:rPr>
          <w:rFonts w:ascii="Verdana" w:hAnsi="Verdana"/>
          <w:i/>
          <w:iCs/>
          <w:sz w:val="16"/>
          <w:szCs w:val="16"/>
        </w:rPr>
        <w:t>venire contra factum proprium non valet</w:t>
      </w:r>
      <w:r w:rsidRPr="009377DD">
        <w:rPr>
          <w:rFonts w:ascii="Verdana" w:hAnsi="Verdana"/>
          <w:sz w:val="16"/>
          <w:szCs w:val="16"/>
        </w:rPr>
        <w:t xml:space="preserve"> y de la</w:t>
      </w:r>
      <w:r>
        <w:rPr>
          <w:rFonts w:ascii="Verdana" w:hAnsi="Verdana"/>
          <w:sz w:val="16"/>
          <w:szCs w:val="16"/>
        </w:rPr>
        <w:t xml:space="preserve"> </w:t>
      </w:r>
      <w:r w:rsidRPr="009377DD">
        <w:rPr>
          <w:rFonts w:ascii="Verdana" w:hAnsi="Verdana"/>
          <w:sz w:val="16"/>
          <w:szCs w:val="16"/>
        </w:rPr>
        <w:t>doctrina de los actos propios</w:t>
      </w:r>
      <w:r>
        <w:rPr>
          <w:rFonts w:ascii="Verdana" w:hAnsi="Verdana"/>
          <w:sz w:val="16"/>
          <w:szCs w:val="16"/>
        </w:rPr>
        <w:t xml:space="preserve">. En: Derecho privado: estudios y escritos de derecho patrimonial. Tomo III. Volumen 5. Bogotá: Grupo Editorial Ibañez – Universidad Pontificia Javeriana – Centro de Estudios de Derecho Privado, 2025. pp. 3089-3105.  </w:t>
      </w:r>
    </w:p>
  </w:footnote>
  <w:footnote w:id="22">
    <w:p w14:paraId="243C2842" w14:textId="77777777" w:rsidR="005146EB" w:rsidRPr="00224A89" w:rsidRDefault="005146EB" w:rsidP="005146EB">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w:t>
      </w:r>
      <w:r w:rsidRPr="00224A89">
        <w:rPr>
          <w:rFonts w:ascii="Verdana" w:hAnsi="Verdana" w:cs="Arial"/>
          <w:color w:val="000000"/>
          <w:sz w:val="16"/>
          <w:szCs w:val="16"/>
        </w:rPr>
        <w:t>DÍAZ DÍEZ, Cristian Andrés. La liquidación. Serie: Las Cláusulas del Contrato Estatal. Medellín: Librería Jurídica Sánchez y Centro de Estudios de Derecho Administrativo –CEDA–, 2013.</w:t>
      </w:r>
      <w:r w:rsidRPr="00224A89">
        <w:rPr>
          <w:rFonts w:ascii="Verdana" w:hAnsi="Verdana" w:cs="Arial"/>
          <w:sz w:val="16"/>
          <w:szCs w:val="16"/>
        </w:rPr>
        <w:t xml:space="preserve"> pp. 255-256.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DF4"/>
    <w:rsid w:val="00016F78"/>
    <w:rsid w:val="00046945"/>
    <w:rsid w:val="00061B2A"/>
    <w:rsid w:val="00082362"/>
    <w:rsid w:val="000A683E"/>
    <w:rsid w:val="000B19B9"/>
    <w:rsid w:val="000D0334"/>
    <w:rsid w:val="000D5DA7"/>
    <w:rsid w:val="000F6486"/>
    <w:rsid w:val="00116940"/>
    <w:rsid w:val="00125105"/>
    <w:rsid w:val="00127233"/>
    <w:rsid w:val="00141F56"/>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5D1D"/>
    <w:rsid w:val="003D0F4D"/>
    <w:rsid w:val="003D5B0D"/>
    <w:rsid w:val="003E0499"/>
    <w:rsid w:val="003E4F80"/>
    <w:rsid w:val="003E6439"/>
    <w:rsid w:val="003F3941"/>
    <w:rsid w:val="00406575"/>
    <w:rsid w:val="00414C74"/>
    <w:rsid w:val="0042722E"/>
    <w:rsid w:val="0044528D"/>
    <w:rsid w:val="00446EBF"/>
    <w:rsid w:val="00466E39"/>
    <w:rsid w:val="004A1847"/>
    <w:rsid w:val="004A305D"/>
    <w:rsid w:val="004F21C4"/>
    <w:rsid w:val="004F685F"/>
    <w:rsid w:val="00510C36"/>
    <w:rsid w:val="005146EB"/>
    <w:rsid w:val="005566E8"/>
    <w:rsid w:val="00574867"/>
    <w:rsid w:val="00591460"/>
    <w:rsid w:val="005A65E0"/>
    <w:rsid w:val="005C3777"/>
    <w:rsid w:val="005C5CDC"/>
    <w:rsid w:val="005D476C"/>
    <w:rsid w:val="006200BF"/>
    <w:rsid w:val="006219F8"/>
    <w:rsid w:val="006302F7"/>
    <w:rsid w:val="00634BDA"/>
    <w:rsid w:val="00646B9F"/>
    <w:rsid w:val="00665D70"/>
    <w:rsid w:val="006900D9"/>
    <w:rsid w:val="006D5137"/>
    <w:rsid w:val="006F1278"/>
    <w:rsid w:val="00706C16"/>
    <w:rsid w:val="007134CA"/>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8596E"/>
    <w:rsid w:val="00891928"/>
    <w:rsid w:val="008960DD"/>
    <w:rsid w:val="008A446D"/>
    <w:rsid w:val="008B25F1"/>
    <w:rsid w:val="008C42F7"/>
    <w:rsid w:val="008D180B"/>
    <w:rsid w:val="008F0EA7"/>
    <w:rsid w:val="00923EEF"/>
    <w:rsid w:val="009264C7"/>
    <w:rsid w:val="009414C2"/>
    <w:rsid w:val="009419F9"/>
    <w:rsid w:val="0095685E"/>
    <w:rsid w:val="00961B09"/>
    <w:rsid w:val="00965334"/>
    <w:rsid w:val="0097093E"/>
    <w:rsid w:val="00973E3E"/>
    <w:rsid w:val="009A0DFA"/>
    <w:rsid w:val="009A1C6F"/>
    <w:rsid w:val="009B2D26"/>
    <w:rsid w:val="009C71FA"/>
    <w:rsid w:val="009C72E7"/>
    <w:rsid w:val="009C7F7E"/>
    <w:rsid w:val="009D3058"/>
    <w:rsid w:val="009F3A13"/>
    <w:rsid w:val="00A07413"/>
    <w:rsid w:val="00A122D3"/>
    <w:rsid w:val="00A14468"/>
    <w:rsid w:val="00A17F13"/>
    <w:rsid w:val="00A20739"/>
    <w:rsid w:val="00A23AF9"/>
    <w:rsid w:val="00A33C78"/>
    <w:rsid w:val="00A9378E"/>
    <w:rsid w:val="00AB0ADB"/>
    <w:rsid w:val="00B00C0E"/>
    <w:rsid w:val="00B01B1A"/>
    <w:rsid w:val="00B0381D"/>
    <w:rsid w:val="00B37E95"/>
    <w:rsid w:val="00B44A47"/>
    <w:rsid w:val="00B72CD3"/>
    <w:rsid w:val="00B72FFF"/>
    <w:rsid w:val="00BC3D36"/>
    <w:rsid w:val="00BD54A6"/>
    <w:rsid w:val="00BD7F72"/>
    <w:rsid w:val="00BF7425"/>
    <w:rsid w:val="00C04FB3"/>
    <w:rsid w:val="00C11D8B"/>
    <w:rsid w:val="00C15139"/>
    <w:rsid w:val="00C2027E"/>
    <w:rsid w:val="00C330EB"/>
    <w:rsid w:val="00C50D69"/>
    <w:rsid w:val="00C5365C"/>
    <w:rsid w:val="00C7151D"/>
    <w:rsid w:val="00C754BE"/>
    <w:rsid w:val="00C76B1C"/>
    <w:rsid w:val="00C925AC"/>
    <w:rsid w:val="00CB6357"/>
    <w:rsid w:val="00CC1B26"/>
    <w:rsid w:val="00D35F9C"/>
    <w:rsid w:val="00D361FD"/>
    <w:rsid w:val="00D423A2"/>
    <w:rsid w:val="00D44E26"/>
    <w:rsid w:val="00D520D8"/>
    <w:rsid w:val="00D63AC2"/>
    <w:rsid w:val="00D7383B"/>
    <w:rsid w:val="00D7788A"/>
    <w:rsid w:val="00DA231B"/>
    <w:rsid w:val="00DC39FC"/>
    <w:rsid w:val="00DC719C"/>
    <w:rsid w:val="00DF5254"/>
    <w:rsid w:val="00E02524"/>
    <w:rsid w:val="00E16408"/>
    <w:rsid w:val="00E20894"/>
    <w:rsid w:val="00E245AB"/>
    <w:rsid w:val="00E2764C"/>
    <w:rsid w:val="00E27F2E"/>
    <w:rsid w:val="00E50AFE"/>
    <w:rsid w:val="00E75C92"/>
    <w:rsid w:val="00E771DC"/>
    <w:rsid w:val="00E8772A"/>
    <w:rsid w:val="00E90F6B"/>
    <w:rsid w:val="00E92C27"/>
    <w:rsid w:val="00E947CA"/>
    <w:rsid w:val="00EA0E3D"/>
    <w:rsid w:val="00EC38A7"/>
    <w:rsid w:val="00EE1AA8"/>
    <w:rsid w:val="00F23FEA"/>
    <w:rsid w:val="00F31EDC"/>
    <w:rsid w:val="00F462B3"/>
    <w:rsid w:val="00F5664F"/>
    <w:rsid w:val="00F666C4"/>
    <w:rsid w:val="00F745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522B127F"/>
    <w:rsid w:val="5CE74723"/>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8596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8596E"/>
    <w:rPr>
      <w:rFonts w:ascii="Geomanist Light" w:hAnsi="Geomanist Light"/>
      <w:lang w:val="es-ES"/>
    </w:rPr>
  </w:style>
  <w:style w:type="paragraph" w:styleId="Textoindependiente">
    <w:name w:val="Body Text"/>
    <w:basedOn w:val="Normal"/>
    <w:link w:val="TextoindependienteCar"/>
    <w:uiPriority w:val="99"/>
    <w:unhideWhenUsed/>
    <w:rsid w:val="0088596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88596E"/>
    <w:rPr>
      <w:rFonts w:eastAsiaTheme="minorEastAsia"/>
      <w:lang w:eastAsia="es-CO"/>
    </w:rPr>
  </w:style>
  <w:style w:type="character" w:customStyle="1" w:styleId="s15">
    <w:name w:val="s15"/>
    <w:basedOn w:val="Fuentedeprrafopredeter"/>
    <w:rsid w:val="0088596E"/>
  </w:style>
  <w:style w:type="character" w:styleId="Fuerte">
    <w:name w:val="Strong"/>
    <w:basedOn w:val="Fuentedeprrafopredeter"/>
    <w:uiPriority w:val="22"/>
    <w:qFormat/>
    <w:rsid w:val="008859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uerra9091@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4E35D2C-734E-4FA6-8DA8-64358B85E1E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26</Pages>
  <Words>8560</Words>
  <Characters>47081</Characters>
  <Application>Microsoft Office Word</Application>
  <DocSecurity>0</DocSecurity>
  <Lines>392</Lines>
  <Paragraphs>111</Paragraphs>
  <ScaleCrop>false</ScaleCrop>
  <Company/>
  <LinksUpToDate>false</LinksUpToDate>
  <CharactersWithSpaces>55530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2026-02-23T14:40:00Z</dcterms:created>
  <dcterms:modified xsi:type="dcterms:W3CDTF">2026-02-23T23:59:00Z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