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FE4CF3" w14:textId="77777777" w:rsidR="002B6427" w:rsidRPr="00682C93" w:rsidRDefault="002B6427" w:rsidP="00D447EB">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 Prohibición artículo 33 – Contratación directa – Alcance </w:t>
      </w:r>
    </w:p>
    <w:p w14:paraId="78DAC165" w14:textId="77777777" w:rsidR="002B6427" w:rsidRDefault="002B6427" w:rsidP="00D447EB">
      <w:pPr>
        <w:spacing w:after="0" w:line="240" w:lineRule="auto"/>
        <w:jc w:val="both"/>
        <w:rPr>
          <w:rFonts w:ascii="Verdana" w:hAnsi="Verdana" w:cs="Arial"/>
          <w:b/>
          <w:lang w:val="es-MX" w:eastAsia="es-ES_tradnl"/>
        </w:rPr>
      </w:pPr>
    </w:p>
    <w:p w14:paraId="7B3A2597" w14:textId="77777777" w:rsidR="002B6427" w:rsidRPr="00E41F23" w:rsidRDefault="002B6427" w:rsidP="00D447EB">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00C11343" w14:textId="77777777" w:rsidR="002B6427" w:rsidRPr="00E41F23" w:rsidRDefault="002B6427" w:rsidP="00D447EB">
      <w:pPr>
        <w:spacing w:after="0" w:line="240" w:lineRule="auto"/>
        <w:jc w:val="both"/>
        <w:rPr>
          <w:rFonts w:ascii="Verdana" w:hAnsi="Verdana" w:cs="Arial"/>
          <w:b/>
          <w:lang w:eastAsia="es-ES_tradnl"/>
        </w:rPr>
      </w:pPr>
    </w:p>
    <w:p w14:paraId="0A0C9921" w14:textId="77777777" w:rsidR="002B6427" w:rsidRPr="00682C93" w:rsidRDefault="002B6427" w:rsidP="00D447EB">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205B4BC7" w14:textId="77777777" w:rsidR="002B6427" w:rsidRPr="00E41F23" w:rsidRDefault="002B6427" w:rsidP="00D447EB">
      <w:pPr>
        <w:spacing w:after="0" w:line="240" w:lineRule="auto"/>
        <w:jc w:val="both"/>
        <w:rPr>
          <w:rFonts w:ascii="Verdana" w:hAnsi="Verdana" w:cs="Arial"/>
          <w:b/>
          <w:sz w:val="20"/>
          <w:lang w:val="es-MX" w:eastAsia="es-ES_tradnl"/>
        </w:rPr>
      </w:pPr>
    </w:p>
    <w:p w14:paraId="6976C687" w14:textId="77777777" w:rsidR="002B6427" w:rsidRPr="00E41F23" w:rsidRDefault="002B6427" w:rsidP="00D447EB">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E41F23">
        <w:rPr>
          <w:rFonts w:ascii="Verdana" w:eastAsia="Times New Roman" w:hAnsi="Verdana" w:cs="Arial"/>
          <w:bCs/>
          <w:sz w:val="20"/>
          <w:lang w:val="es-MX" w:eastAsia="x-none"/>
        </w:rPr>
        <w:t>ii</w:t>
      </w:r>
      <w:proofErr w:type="spellEnd"/>
      <w:r w:rsidRPr="00E41F23">
        <w:rPr>
          <w:rFonts w:ascii="Verdana" w:eastAsia="Times New Roman" w:hAnsi="Verdana" w:cs="Arial"/>
          <w:bCs/>
          <w:sz w:val="20"/>
          <w:lang w:val="es-MX" w:eastAsia="x-none"/>
        </w:rPr>
        <w:t xml:space="preserve">) los contratos de crédito público; </w:t>
      </w:r>
      <w:proofErr w:type="spellStart"/>
      <w:r w:rsidRPr="00E41F23">
        <w:rPr>
          <w:rFonts w:ascii="Verdana" w:eastAsia="Times New Roman" w:hAnsi="Verdana" w:cs="Arial"/>
          <w:bCs/>
          <w:sz w:val="20"/>
          <w:lang w:val="es-MX" w:eastAsia="x-none"/>
        </w:rPr>
        <w:t>iii</w:t>
      </w:r>
      <w:proofErr w:type="spellEnd"/>
      <w:r w:rsidRPr="00E41F23">
        <w:rPr>
          <w:rFonts w:ascii="Verdana" w:eastAsia="Times New Roman" w:hAnsi="Verdana" w:cs="Arial"/>
          <w:bCs/>
          <w:sz w:val="20"/>
          <w:lang w:val="es-MX" w:eastAsia="x-none"/>
        </w:rPr>
        <w:t xml:space="preserve">) los requeridos para cubrir las emergencias educativas, sanitarias y desastres; </w:t>
      </w:r>
      <w:proofErr w:type="spellStart"/>
      <w:r w:rsidRPr="00E41F23">
        <w:rPr>
          <w:rFonts w:ascii="Verdana" w:eastAsia="Times New Roman" w:hAnsi="Verdana" w:cs="Arial"/>
          <w:bCs/>
          <w:sz w:val="20"/>
          <w:lang w:val="es-MX" w:eastAsia="x-none"/>
        </w:rPr>
        <w:t>iv</w:t>
      </w:r>
      <w:proofErr w:type="spellEnd"/>
      <w:r w:rsidRPr="00E41F23">
        <w:rPr>
          <w:rFonts w:ascii="Verdana" w:eastAsia="Times New Roman" w:hAnsi="Verdana" w:cs="Arial"/>
          <w:bCs/>
          <w:sz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CAB1834" w14:textId="77777777" w:rsidR="002B6427" w:rsidRPr="00682C93" w:rsidRDefault="002B6427" w:rsidP="00D447EB">
      <w:pPr>
        <w:spacing w:after="0" w:line="240" w:lineRule="auto"/>
        <w:jc w:val="both"/>
        <w:rPr>
          <w:rFonts w:ascii="Verdana" w:hAnsi="Verdana" w:cs="Arial"/>
          <w:b/>
          <w:lang w:val="es-MX" w:eastAsia="es-ES_tradnl"/>
        </w:rPr>
      </w:pPr>
    </w:p>
    <w:p w14:paraId="1ACC34F2" w14:textId="77777777" w:rsidR="002B6427" w:rsidRPr="00682C93" w:rsidRDefault="002B6427" w:rsidP="00D447EB">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2717E848" w14:textId="77777777" w:rsidR="002B6427" w:rsidRDefault="002B6427" w:rsidP="00D447EB">
      <w:pPr>
        <w:spacing w:after="0" w:line="240" w:lineRule="auto"/>
        <w:rPr>
          <w:rFonts w:ascii="Verdana" w:hAnsi="Verdana" w:cs="Arial"/>
          <w:lang w:val="es-MX" w:eastAsia="es-ES_tradnl"/>
        </w:rPr>
      </w:pPr>
    </w:p>
    <w:p w14:paraId="5B36C6C1" w14:textId="77777777" w:rsidR="002B6427" w:rsidRDefault="002B6427" w:rsidP="00D447EB">
      <w:pPr>
        <w:spacing w:after="0" w:line="240" w:lineRule="auto"/>
        <w:jc w:val="both"/>
        <w:rPr>
          <w:rFonts w:ascii="Verdana" w:eastAsia="Calibri" w:hAnsi="Verdana" w:cs="Arial"/>
          <w:sz w:val="20"/>
          <w:lang w:val="es-MX"/>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E41F23">
        <w:rPr>
          <w:rFonts w:ascii="Verdana" w:eastAsia="Calibri" w:hAnsi="Verdana" w:cs="Arial"/>
          <w:sz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sz w:val="20"/>
          <w:lang w:val="es-MX"/>
        </w:rPr>
        <w:t>.</w:t>
      </w:r>
    </w:p>
    <w:p w14:paraId="5F73C795" w14:textId="77777777" w:rsidR="002B6427" w:rsidRPr="00925E66" w:rsidRDefault="002B6427" w:rsidP="00D447EB">
      <w:pPr>
        <w:spacing w:after="0" w:line="240" w:lineRule="auto"/>
        <w:jc w:val="both"/>
        <w:rPr>
          <w:rFonts w:ascii="Verdana" w:eastAsia="Verdana" w:hAnsi="Verdana" w:cs="Verdana"/>
          <w:b/>
          <w:lang w:val="es-MX"/>
        </w:rPr>
      </w:pPr>
    </w:p>
    <w:p w14:paraId="77BC876D" w14:textId="77777777" w:rsidR="002B6427" w:rsidRPr="00925E66" w:rsidRDefault="002B6427" w:rsidP="00D447EB">
      <w:pPr>
        <w:spacing w:after="0" w:line="240" w:lineRule="auto"/>
        <w:jc w:val="both"/>
        <w:rPr>
          <w:rFonts w:ascii="Verdana" w:eastAsia="Verdana" w:hAnsi="Verdana" w:cs="Verdana"/>
          <w:b/>
          <w:lang w:val="es-MX"/>
        </w:rPr>
      </w:pPr>
      <w:r w:rsidRPr="00925E66">
        <w:rPr>
          <w:rFonts w:ascii="Verdana" w:eastAsia="Verdana" w:hAnsi="Verdana" w:cs="Verdana"/>
          <w:b/>
          <w:lang w:val="es-MX"/>
        </w:rPr>
        <w:t xml:space="preserve">MINISTERIO DE RELACIONES EXTERIORES – Funciones </w:t>
      </w:r>
    </w:p>
    <w:p w14:paraId="16A45ACF" w14:textId="77777777" w:rsidR="002B6427" w:rsidRPr="00925E66" w:rsidRDefault="002B6427" w:rsidP="00D447EB">
      <w:pPr>
        <w:spacing w:after="0" w:line="240" w:lineRule="auto"/>
        <w:jc w:val="both"/>
        <w:rPr>
          <w:rFonts w:ascii="Verdana" w:eastAsia="Verdana" w:hAnsi="Verdana" w:cs="Verdana"/>
          <w:b/>
          <w:lang w:val="es-MX"/>
        </w:rPr>
      </w:pPr>
    </w:p>
    <w:p w14:paraId="3A3C7491" w14:textId="77777777" w:rsidR="002B6427" w:rsidRDefault="002B6427" w:rsidP="00D447EB">
      <w:pPr>
        <w:spacing w:after="0" w:line="240" w:lineRule="auto"/>
        <w:jc w:val="both"/>
        <w:rPr>
          <w:rFonts w:ascii="Verdana" w:eastAsia="Verdana" w:hAnsi="Verdana" w:cs="Verdana"/>
          <w:sz w:val="20"/>
          <w:lang w:val="es-ES"/>
        </w:rPr>
      </w:pPr>
      <w:r>
        <w:rPr>
          <w:rFonts w:ascii="Verdana" w:eastAsia="Verdana" w:hAnsi="Verdana" w:cs="Verdana"/>
          <w:sz w:val="20"/>
          <w:lang w:val="es-ES"/>
        </w:rPr>
        <w:t xml:space="preserve">[…] </w:t>
      </w:r>
      <w:r w:rsidRPr="00925E66">
        <w:rPr>
          <w:rFonts w:ascii="Verdana" w:eastAsia="Verdana" w:hAnsi="Verdana" w:cs="Verdana"/>
          <w:sz w:val="20"/>
          <w:lang w:val="es-ES"/>
        </w:rPr>
        <w:t xml:space="preserve">es pertinente señalar que el Ministerio de Relaciones Exteriores es el organismo rector del Sector Administrativo de Relaciones Exteriores y, bajo la dirección del </w:t>
      </w:r>
      <w:proofErr w:type="gramStart"/>
      <w:r w:rsidRPr="00925E66">
        <w:rPr>
          <w:rFonts w:ascii="Verdana" w:eastAsia="Verdana" w:hAnsi="Verdana" w:cs="Verdana"/>
          <w:sz w:val="20"/>
          <w:lang w:val="es-ES"/>
        </w:rPr>
        <w:t>Presidente</w:t>
      </w:r>
      <w:proofErr w:type="gramEnd"/>
      <w:r w:rsidRPr="00925E66">
        <w:rPr>
          <w:rFonts w:ascii="Verdana" w:eastAsia="Verdana" w:hAnsi="Verdana" w:cs="Verdana"/>
          <w:sz w:val="20"/>
          <w:lang w:val="es-ES"/>
        </w:rPr>
        <w:t xml:space="preserve"> de la República, tiene la responsabilidad de formular, coordinar, ejecutar y evaluar la política exterior de Colombia. También administra el servicio exterior y gestiona las relaciones internacionales del país, asegurando que estas respondan a los intereses nacionales y a los principios del Derecho Internacional.</w:t>
      </w:r>
    </w:p>
    <w:p w14:paraId="3C50AF73" w14:textId="77777777" w:rsidR="002B6427" w:rsidRPr="00925E66" w:rsidRDefault="002B6427" w:rsidP="00D447EB">
      <w:pPr>
        <w:spacing w:after="0" w:line="240" w:lineRule="auto"/>
        <w:jc w:val="both"/>
        <w:rPr>
          <w:rFonts w:ascii="Verdana" w:eastAsia="Verdana" w:hAnsi="Verdana" w:cs="Verdana"/>
          <w:sz w:val="20"/>
          <w:lang w:val="es-ES"/>
        </w:rPr>
      </w:pPr>
    </w:p>
    <w:p w14:paraId="7E67A145" w14:textId="77777777" w:rsidR="002B6427" w:rsidRDefault="002B6427" w:rsidP="00D447EB">
      <w:pPr>
        <w:spacing w:after="0" w:line="240" w:lineRule="auto"/>
        <w:jc w:val="both"/>
        <w:rPr>
          <w:rFonts w:ascii="Verdana" w:eastAsia="Verdana" w:hAnsi="Verdana" w:cs="Verdana"/>
          <w:sz w:val="20"/>
          <w:lang w:val="es-ES"/>
        </w:rPr>
      </w:pPr>
      <w:r w:rsidRPr="00925E66">
        <w:rPr>
          <w:rFonts w:ascii="Verdana" w:eastAsia="Verdana" w:hAnsi="Verdana" w:cs="Verdana"/>
          <w:sz w:val="20"/>
          <w:lang w:val="es-ES"/>
        </w:rPr>
        <w:t>Entre sus funciones principales reguladas en el Decreto 869 de 2016, “</w:t>
      </w:r>
      <w:r w:rsidRPr="00925E66">
        <w:rPr>
          <w:rFonts w:ascii="Verdana" w:eastAsia="Verdana" w:hAnsi="Verdana" w:cs="Verdana"/>
          <w:sz w:val="20"/>
        </w:rPr>
        <w:t>Por medio del cual se modifica la estructura del Ministerio de Relaciones Exteriores y se dictan otras disposiciones”</w:t>
      </w:r>
      <w:r w:rsidRPr="00925E66">
        <w:rPr>
          <w:rFonts w:ascii="Verdana" w:eastAsia="Verdana" w:hAnsi="Verdana" w:cs="Verdana"/>
          <w:sz w:val="20"/>
          <w:lang w:val="es-ES"/>
        </w:rPr>
        <w:t xml:space="preserve"> se encuentran diseñar y proponer la política exterior, mantener relaciones con Estados y organismos internacionales, coordinar la acción del Estado en asuntos internacionales y participar en negociaciones de tratados y acuerdos. Además, articula políticas sectoriales con impacto internacional, fortalece la capacidad negociadora del país, orienta la cooperación internacional y participa en la formulación de la política de comercio exterior y de integración regional.</w:t>
      </w:r>
    </w:p>
    <w:p w14:paraId="3EF10CD0" w14:textId="43FB8638" w:rsidR="002B6427" w:rsidRDefault="002B6427" w:rsidP="00D447EB">
      <w:pPr>
        <w:spacing w:after="0" w:line="240" w:lineRule="auto"/>
        <w:rPr>
          <w:rFonts w:ascii="Verdana" w:eastAsia="Verdana" w:hAnsi="Verdana" w:cs="Verdana"/>
          <w:lang w:val="es-ES"/>
        </w:rPr>
      </w:pPr>
    </w:p>
    <w:p w14:paraId="39B4A7C8" w14:textId="77777777" w:rsidR="002B6427" w:rsidRPr="002B6427" w:rsidRDefault="002B6427" w:rsidP="00D447EB">
      <w:pPr>
        <w:spacing w:after="0" w:line="240" w:lineRule="auto"/>
        <w:jc w:val="both"/>
        <w:rPr>
          <w:rFonts w:ascii="Verdana" w:eastAsia="Verdana" w:hAnsi="Verdana" w:cs="Verdana"/>
          <w:b/>
          <w:lang w:val="es-MX"/>
        </w:rPr>
      </w:pPr>
      <w:r w:rsidRPr="002B6427">
        <w:rPr>
          <w:rFonts w:ascii="Verdana" w:eastAsia="Verdana" w:hAnsi="Verdana" w:cs="Verdana"/>
          <w:b/>
          <w:lang w:val="es-MX"/>
        </w:rPr>
        <w:t xml:space="preserve">MINISTERIO DE RELACIONES EXTERIORES – Estructura Administrativa – Desconcentración Administrativa – Misiones Diplomáticas - Embajadas – Consulados </w:t>
      </w:r>
    </w:p>
    <w:p w14:paraId="28F98486" w14:textId="559B1873" w:rsidR="002B6427" w:rsidRPr="00D447EB" w:rsidRDefault="002B6427" w:rsidP="00D447EB">
      <w:pPr>
        <w:spacing w:after="0" w:line="240" w:lineRule="auto"/>
        <w:jc w:val="both"/>
        <w:rPr>
          <w:rFonts w:ascii="Verdana" w:eastAsia="Verdana" w:hAnsi="Verdana" w:cs="Verdana"/>
          <w:sz w:val="20"/>
          <w:lang w:val="es-MX"/>
        </w:rPr>
      </w:pPr>
    </w:p>
    <w:p w14:paraId="61AD212F" w14:textId="7B81FBBA" w:rsidR="00D447EB" w:rsidRDefault="00D447EB" w:rsidP="00D447EB">
      <w:pPr>
        <w:spacing w:after="0" w:line="240" w:lineRule="auto"/>
        <w:jc w:val="both"/>
        <w:rPr>
          <w:rFonts w:ascii="Verdana" w:eastAsia="Verdana" w:hAnsi="Verdana" w:cs="Verdana"/>
          <w:sz w:val="20"/>
        </w:rPr>
      </w:pPr>
      <w:r w:rsidRPr="00D447EB">
        <w:rPr>
          <w:rFonts w:ascii="Verdana" w:eastAsia="Verdana" w:hAnsi="Verdana" w:cs="Verdana"/>
          <w:sz w:val="20"/>
          <w:lang w:val="es-ES"/>
        </w:rPr>
        <w:t xml:space="preserve">En el marco de la desconcentración administrativa, el Ministerio de Relaciones Exteriores en su estructura administrativa cuenta con Misiones Diplomáticas Acreditadas en el Exterior, como son Las </w:t>
      </w:r>
      <w:r w:rsidRPr="00D447EB">
        <w:rPr>
          <w:rFonts w:ascii="Verdana" w:eastAsia="Verdana" w:hAnsi="Verdana" w:cs="Verdana"/>
          <w:sz w:val="20"/>
        </w:rPr>
        <w:t>Misiones Permanentes ante Organismos Internacionales Multilaterales y Regionales, Embajadas y Consulados. En este asunto, el artículo 24 del Decreto 869 de 2016 dispone que las misiones diplomáticas de Colombia, como son embajadas y delegaciones permanentes ante organismos internacionales, se caracterizan por tener funciones esenciales orientadas a la promoción y defensa de los intereses nacionales en el ámbito internacional. Entre estas funciones se destacan: la ejecución de la política exterior en relaciones bilaterales y multilaterales, la participación en negociaciones internacionales, el seguimiento del contexto político, económico, social y cultural de los países y organismos acreditados, así como la identificación de oportunidades para fortalecer la presencia y los intereses de Colombia en el exterior. Además, cumplen un papel clave en la representación oficial del país en reuniones internacionales, en la implementación de la política migratoria y fronteriza, y en la coordinación de acciones con los viceministerios y direcciones del Ministerio de Relaciones Exteriores.</w:t>
      </w:r>
    </w:p>
    <w:p w14:paraId="44A3113F" w14:textId="77777777" w:rsidR="00D447EB" w:rsidRPr="00D447EB" w:rsidRDefault="00D447EB" w:rsidP="00D447EB">
      <w:pPr>
        <w:spacing w:after="0" w:line="240" w:lineRule="auto"/>
        <w:jc w:val="both"/>
        <w:rPr>
          <w:rFonts w:ascii="Verdana" w:eastAsia="Verdana" w:hAnsi="Verdana" w:cs="Verdana"/>
          <w:sz w:val="20"/>
        </w:rPr>
      </w:pPr>
    </w:p>
    <w:p w14:paraId="49DF0342" w14:textId="72E11DAA" w:rsidR="00D447EB" w:rsidRDefault="00D447EB" w:rsidP="00D447EB">
      <w:pPr>
        <w:spacing w:after="0" w:line="240" w:lineRule="auto"/>
        <w:jc w:val="both"/>
        <w:rPr>
          <w:rFonts w:ascii="Verdana" w:eastAsia="Verdana" w:hAnsi="Verdana" w:cs="Verdana"/>
          <w:sz w:val="20"/>
        </w:rPr>
      </w:pPr>
      <w:r w:rsidRPr="00D447EB">
        <w:rPr>
          <w:rFonts w:ascii="Verdana" w:eastAsia="Verdana" w:hAnsi="Verdana" w:cs="Verdana"/>
          <w:sz w:val="20"/>
        </w:rPr>
        <w:t xml:space="preserve">De igual manera, estas misiones –embajadas y delegaciones permanentes ante organismos internacionales- tienen responsabilidades administrativas y de gestión, </w:t>
      </w:r>
      <w:r w:rsidRPr="00D447EB">
        <w:rPr>
          <w:rFonts w:ascii="Verdana" w:eastAsia="Verdana" w:hAnsi="Verdana" w:cs="Verdana"/>
          <w:sz w:val="20"/>
        </w:rPr>
        <w:lastRenderedPageBreak/>
        <w:t>como remitir informes de contratos, apoyar la defensa jurídica, dar seguimiento a planes de acción y coordinar con consulados bajo su jurisdicción para garantizar la protección de los derechos de los colombianos en el exterior. También promueven la cultura y la imagen de Colombia, fortalecen los vínculos con las comunidades colombianas en el extranjero y contribuyen al desarrollo del Sistema Integrado de Gestión Institucional. En suma, las misiones diplomáticas son instrumentos permanentes de la política exterior que articulan la representación, protección y promoción de los intereses nacionales en el escenario internacional.</w:t>
      </w:r>
    </w:p>
    <w:p w14:paraId="413BF88C" w14:textId="77777777" w:rsidR="00D447EB" w:rsidRPr="00D447EB" w:rsidRDefault="00D447EB" w:rsidP="00D447EB">
      <w:pPr>
        <w:spacing w:after="0" w:line="240" w:lineRule="auto"/>
        <w:jc w:val="both"/>
        <w:rPr>
          <w:rFonts w:ascii="Verdana" w:eastAsia="Verdana" w:hAnsi="Verdana" w:cs="Verdana"/>
          <w:sz w:val="20"/>
        </w:rPr>
      </w:pPr>
    </w:p>
    <w:p w14:paraId="0B8CC622" w14:textId="3A6D4B08" w:rsidR="00D447EB" w:rsidRPr="00D447EB" w:rsidRDefault="00D447EB" w:rsidP="00D447EB">
      <w:pPr>
        <w:spacing w:after="0" w:line="240" w:lineRule="auto"/>
        <w:jc w:val="both"/>
        <w:rPr>
          <w:rFonts w:ascii="Verdana" w:eastAsia="Verdana" w:hAnsi="Verdana" w:cs="Verdana"/>
          <w:sz w:val="20"/>
        </w:rPr>
      </w:pPr>
      <w:r w:rsidRPr="00D447EB">
        <w:rPr>
          <w:rFonts w:ascii="Verdana" w:eastAsia="Verdana" w:hAnsi="Verdana" w:cs="Verdana"/>
          <w:sz w:val="20"/>
        </w:rPr>
        <w:t>Por otro lado, los consulados son oficinas del Ministerio de Relaciones Exteriores o de la Cancillería del país establecidas en ciudades extranjeras, encargadas de proteger y asistir a sus ciudadanos en el exterior. Dentro de las funciones principales de los Consulados el artículo 25 del Decreto 869 de 2016 se concentran en proteger y representar al Estado y a sus nacionales en el exterior, prestando asistencia jurídica, social y administrativa; expidiendo documentos como pasaportes y registros civiles; apoyando la promoción económica, cultural y turística del país; informando a la misión diplomática sobre asuntos migratorios y de servicios consulares; manteniendo registros actualizados de la comunidad colombiana; y actuando ante autoridades locales para salvaguardar los derechos fundamentales de los connacionales, todo dentro del marco del Derecho Internacional y las normas del Estado receptor.</w:t>
      </w:r>
    </w:p>
    <w:p w14:paraId="3A05E286" w14:textId="77777777" w:rsidR="002B6427" w:rsidRPr="00D447EB" w:rsidRDefault="002B6427" w:rsidP="00D447EB">
      <w:pPr>
        <w:spacing w:after="0" w:line="240" w:lineRule="auto"/>
        <w:jc w:val="both"/>
        <w:rPr>
          <w:rFonts w:ascii="Verdana" w:eastAsia="Verdana" w:hAnsi="Verdana" w:cs="Verdana"/>
          <w:b/>
        </w:rPr>
      </w:pPr>
    </w:p>
    <w:p w14:paraId="772F400B" w14:textId="77777777" w:rsidR="002B6427" w:rsidRPr="002B6427" w:rsidRDefault="002B6427" w:rsidP="00D447EB">
      <w:pPr>
        <w:spacing w:after="0" w:line="240" w:lineRule="auto"/>
        <w:jc w:val="both"/>
        <w:rPr>
          <w:rFonts w:ascii="Verdana" w:eastAsia="Verdana" w:hAnsi="Verdana" w:cs="Verdana"/>
          <w:b/>
          <w:lang w:val="es-MX"/>
        </w:rPr>
      </w:pPr>
      <w:r w:rsidRPr="002B6427">
        <w:rPr>
          <w:rFonts w:ascii="Verdana" w:eastAsia="Verdana" w:hAnsi="Verdana" w:cs="Verdana"/>
          <w:b/>
          <w:lang w:val="es-MX"/>
        </w:rPr>
        <w:t xml:space="preserve">MISIONES DIPLOMÁTICAS – Consulados – Embajadas - Competencia Contractual – Delegación – Contratos en el Extranjero </w:t>
      </w:r>
    </w:p>
    <w:p w14:paraId="685B304C" w14:textId="44C40421" w:rsidR="002B6427" w:rsidRDefault="002B6427" w:rsidP="00D447EB">
      <w:pPr>
        <w:spacing w:after="0" w:line="240" w:lineRule="auto"/>
        <w:jc w:val="both"/>
        <w:rPr>
          <w:rFonts w:ascii="Verdana" w:eastAsia="Verdana" w:hAnsi="Verdana" w:cs="Verdana"/>
          <w:b/>
          <w:lang w:val="es-MX"/>
        </w:rPr>
      </w:pPr>
    </w:p>
    <w:p w14:paraId="23883F70" w14:textId="44F553BF" w:rsidR="00573B22" w:rsidRDefault="00573B22" w:rsidP="00D447EB">
      <w:pPr>
        <w:spacing w:after="0" w:line="240" w:lineRule="auto"/>
        <w:jc w:val="both"/>
        <w:rPr>
          <w:rFonts w:ascii="Verdana" w:eastAsia="Verdana" w:hAnsi="Verdana" w:cs="Verdana"/>
          <w:sz w:val="20"/>
        </w:rPr>
      </w:pPr>
      <w:r w:rsidRPr="00573B22">
        <w:rPr>
          <w:rFonts w:ascii="Verdana" w:eastAsia="Verdana" w:hAnsi="Verdana" w:cs="Verdana"/>
          <w:sz w:val="20"/>
        </w:rPr>
        <w:t xml:space="preserve">Del análisis del artículo se concluye que los jefes de Misiones Diplomáticas, de Delegaciones Permanentes y de Oficinas Consulares de Colombia en el exterior —o a quienes hagan sus veces— se les delegó la competencia para celebrar, modificar, adicionar, prorrogar, terminar y supervisar los contratos, en nombre y representación del Ministerio de Relaciones Exteriores y de su Fondo Rotatorio. Esta delegación no aplica a los contratos que se celebren y ejecuten en el territorio nacional, los cuales permanecen bajo la competencia de la autoridad correspondiente en Colombia.  </w:t>
      </w:r>
    </w:p>
    <w:p w14:paraId="129AA94C" w14:textId="77777777" w:rsidR="00573B22" w:rsidRPr="00573B22" w:rsidRDefault="00573B22" w:rsidP="00D447EB">
      <w:pPr>
        <w:spacing w:after="0" w:line="240" w:lineRule="auto"/>
        <w:jc w:val="both"/>
        <w:rPr>
          <w:rFonts w:ascii="Verdana" w:eastAsia="Verdana" w:hAnsi="Verdana" w:cs="Verdana"/>
          <w:sz w:val="20"/>
        </w:rPr>
      </w:pPr>
    </w:p>
    <w:p w14:paraId="3CF67A83" w14:textId="2257F624" w:rsidR="00573B22" w:rsidRPr="00573B22" w:rsidRDefault="00573B22" w:rsidP="00D447EB">
      <w:pPr>
        <w:spacing w:after="0" w:line="240" w:lineRule="auto"/>
        <w:jc w:val="both"/>
        <w:rPr>
          <w:rFonts w:ascii="Verdana" w:eastAsia="Verdana" w:hAnsi="Verdana" w:cs="Verdana"/>
          <w:sz w:val="20"/>
          <w:lang w:val="es-ES"/>
        </w:rPr>
      </w:pPr>
      <w:r w:rsidRPr="00573B22">
        <w:rPr>
          <w:rFonts w:ascii="Verdana" w:eastAsia="Verdana" w:hAnsi="Verdana" w:cs="Verdana"/>
          <w:sz w:val="20"/>
        </w:rPr>
        <w:t xml:space="preserve">Teniendo en cuenta estas precisiones sobre la competencia de los jefes de las Misiones Diplomáticas, como son los embajadas, así como los consulados para suscribir contratos, es necesario revisar el ámbito territorial del régimen de contratación aplicable, regulado en el artículo 13 de la Ley 80 de 1993, el cual </w:t>
      </w:r>
      <w:r w:rsidRPr="00573B22">
        <w:rPr>
          <w:rFonts w:ascii="Verdana" w:eastAsia="Verdana" w:hAnsi="Verdana" w:cs="Verdana"/>
          <w:sz w:val="20"/>
          <w:lang w:val="es-ES"/>
        </w:rPr>
        <w:t xml:space="preserve">regula de forma general el régimen aplicable a los contratos que celebren las entidades referidas en el artículo segundo del estatuto, señalando en el inciso primero, como primer criterio, la aplicabilidad de las disposiciones civiles y comerciales nacionales, sin perjuicio de la aplicación prevalente de las contenidas en el Estatuto General de Contratación de la Administración Pública.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w:t>
      </w:r>
      <w:r w:rsidRPr="00573B22">
        <w:rPr>
          <w:rFonts w:ascii="Verdana" w:eastAsia="Verdana" w:hAnsi="Verdana" w:cs="Verdana"/>
          <w:sz w:val="20"/>
          <w:lang w:val="es-ES"/>
        </w:rPr>
        <w:lastRenderedPageBreak/>
        <w:t xml:space="preserve">los contratos que se celebren en Colombia, pero deban ejecutarse o cumplirse en el extranjero, se sometan a la ley extranjera. </w:t>
      </w:r>
    </w:p>
    <w:p w14:paraId="2EDF4E11" w14:textId="77777777" w:rsidR="00573B22" w:rsidRPr="00573B22" w:rsidRDefault="00573B22" w:rsidP="00D447EB">
      <w:pPr>
        <w:spacing w:after="0" w:line="240" w:lineRule="auto"/>
        <w:jc w:val="both"/>
        <w:rPr>
          <w:rFonts w:ascii="Verdana" w:eastAsia="Verdana" w:hAnsi="Verdana" w:cs="Verdana"/>
          <w:b/>
          <w:lang w:val="es-ES"/>
        </w:rPr>
      </w:pPr>
    </w:p>
    <w:p w14:paraId="2358FA0C" w14:textId="7C7337E3" w:rsidR="002B6427" w:rsidRPr="002B6427" w:rsidRDefault="002B6427" w:rsidP="00D447EB">
      <w:pPr>
        <w:spacing w:after="0" w:line="240" w:lineRule="auto"/>
        <w:jc w:val="both"/>
        <w:rPr>
          <w:rFonts w:ascii="Verdana" w:eastAsia="Verdana" w:hAnsi="Verdana" w:cs="Verdana"/>
          <w:b/>
          <w:lang w:val="es-ES"/>
        </w:rPr>
      </w:pPr>
      <w:r w:rsidRPr="002B6427">
        <w:rPr>
          <w:rFonts w:ascii="Verdana" w:eastAsia="Verdana" w:hAnsi="Verdana" w:cs="Verdana"/>
          <w:b/>
          <w:lang w:val="es-MX"/>
        </w:rPr>
        <w:t>CONSULADOS Y EMBAJADAS – No aplicación – Ley de Garantías - Restricción – Artículo 33 – Artículo 38</w:t>
      </w:r>
    </w:p>
    <w:p w14:paraId="7A531E5E" w14:textId="77777777" w:rsidR="002B6427" w:rsidRDefault="002B6427" w:rsidP="00D447EB">
      <w:pPr>
        <w:spacing w:after="0" w:line="240" w:lineRule="auto"/>
        <w:rPr>
          <w:rFonts w:ascii="Verdana" w:eastAsia="Verdana" w:hAnsi="Verdana" w:cs="Verdana"/>
        </w:rPr>
      </w:pPr>
    </w:p>
    <w:p w14:paraId="2EA98333" w14:textId="698A82FD" w:rsidR="00573B22" w:rsidRDefault="00D447EB" w:rsidP="00D447EB">
      <w:pPr>
        <w:spacing w:after="0" w:line="240" w:lineRule="auto"/>
        <w:jc w:val="both"/>
        <w:rPr>
          <w:rFonts w:ascii="Verdana" w:eastAsia="Verdana" w:hAnsi="Verdana" w:cs="Verdana"/>
          <w:sz w:val="20"/>
          <w:lang w:val="es-ES"/>
        </w:rPr>
      </w:pPr>
      <w:r>
        <w:rPr>
          <w:rFonts w:ascii="Verdana" w:eastAsia="Verdana" w:hAnsi="Verdana" w:cs="Verdana"/>
          <w:sz w:val="20"/>
          <w:lang w:val="es-ES"/>
        </w:rPr>
        <w:t xml:space="preserve">[…] </w:t>
      </w:r>
      <w:r w:rsidR="00573B22" w:rsidRPr="00D447EB">
        <w:rPr>
          <w:rFonts w:ascii="Verdana" w:eastAsia="Verdana" w:hAnsi="Verdana" w:cs="Verdana"/>
          <w:sz w:val="20"/>
          <w:lang w:val="es-ES"/>
        </w:rPr>
        <w:t>la celebración de contratos o de convenios en el exterior exige un análisis previo sobre la territorialidad y el ámbito de aplicación del ordenamiento jurídico colombiano. En este aspecto, este tipo de organismos en el marco de sus competencias y funciones establecidas por el ordenamiento jurídico colombiano, pero deberán adelantar la contratación, teniendo en cuenta la normatividad extranjera del país receptor. En efecto, las embajadas y los consulados operan en un entorno jurídico distinto al colombiano, por lo que no es posible extender la regulación dispuesta en la Ley 80 de 1993 ni mucho menos lo dispuesto en el Decreto 092 de 2017, que remite al EGCAP en lo no regulado en este último. Esto implica que el marco normativo colombiano se aplica a las embajadas y los consulados como órganos del Estado, pero su ejecución práctica requiere respetar las condiciones jurídicas del país receptor. Esto supone que la celebración de contratos y convenios en el exterior debe regirse por las reglas locales, tanto en materia contractual como en los requisitos de constitución, operación y supervisión de las organizaciones participantes.</w:t>
      </w:r>
    </w:p>
    <w:p w14:paraId="0B473FC9" w14:textId="77777777" w:rsidR="00D447EB" w:rsidRPr="00D447EB" w:rsidRDefault="00D447EB" w:rsidP="00D447EB">
      <w:pPr>
        <w:spacing w:after="0" w:line="240" w:lineRule="auto"/>
        <w:jc w:val="both"/>
        <w:rPr>
          <w:rFonts w:ascii="Verdana" w:eastAsia="Verdana" w:hAnsi="Verdana" w:cs="Verdana"/>
          <w:sz w:val="20"/>
          <w:lang w:val="es-ES"/>
        </w:rPr>
      </w:pPr>
    </w:p>
    <w:p w14:paraId="381B1811" w14:textId="485F3A32" w:rsidR="00573B22" w:rsidRDefault="00573B22" w:rsidP="00D447EB">
      <w:pPr>
        <w:spacing w:after="0" w:line="240" w:lineRule="auto"/>
        <w:jc w:val="both"/>
        <w:rPr>
          <w:rFonts w:ascii="Verdana" w:eastAsia="Verdana" w:hAnsi="Verdana" w:cs="Verdana"/>
          <w:sz w:val="20"/>
          <w:lang w:val="es-ES"/>
        </w:rPr>
      </w:pPr>
      <w:r w:rsidRPr="00D447EB">
        <w:rPr>
          <w:rFonts w:ascii="Verdana" w:eastAsia="Verdana" w:hAnsi="Verdana" w:cs="Verdana"/>
          <w:sz w:val="20"/>
          <w:lang w:val="es-ES"/>
        </w:rPr>
        <w:t xml:space="preserve">Bajo esta lógica, la restricción prevista en el artículo 33 de la Ley 996 de 2005 respecto a la imposibilidad de celebrar contratos de manera directa durante los cuatro meses previos a las elecciones presidenciales no resulta aplicable a los convenios que los consulados celebren en el exterior. Ello se debe a que el ámbito de aplicación de dicha ley se circunscribe a la contratación estatal sometida al régimen jurídico colombiano y ejecutada dentro del territorio nacional, lo que excluye los actos contractuales desarrollados íntegramente fuera del país. En consecuencia, los convenios suscritos por consulados con entidades sin ánimo de lucro en el exterior se rigen por las normas del país receptor y no por las restricciones propias de la Ley de Garantías Electorales colombiano. </w:t>
      </w:r>
    </w:p>
    <w:p w14:paraId="08487B64" w14:textId="77777777" w:rsidR="00D447EB" w:rsidRPr="00D447EB" w:rsidRDefault="00D447EB" w:rsidP="00D447EB">
      <w:pPr>
        <w:spacing w:after="0" w:line="240" w:lineRule="auto"/>
        <w:jc w:val="both"/>
        <w:rPr>
          <w:rFonts w:ascii="Verdana" w:eastAsia="Verdana" w:hAnsi="Verdana" w:cs="Verdana"/>
          <w:sz w:val="20"/>
          <w:lang w:val="es-ES"/>
        </w:rPr>
      </w:pPr>
    </w:p>
    <w:p w14:paraId="0277042B" w14:textId="77777777" w:rsidR="00573B22" w:rsidRPr="00D447EB" w:rsidRDefault="00573B22" w:rsidP="00D447EB">
      <w:pPr>
        <w:spacing w:after="0" w:line="240" w:lineRule="auto"/>
        <w:jc w:val="both"/>
        <w:rPr>
          <w:rFonts w:ascii="Verdana" w:eastAsia="Verdana" w:hAnsi="Verdana" w:cs="Verdana"/>
          <w:sz w:val="20"/>
          <w:lang w:val="es-ES"/>
        </w:rPr>
      </w:pPr>
      <w:r w:rsidRPr="00D447EB">
        <w:rPr>
          <w:rFonts w:ascii="Verdana" w:eastAsia="Verdana" w:hAnsi="Verdana" w:cs="Verdana"/>
          <w:sz w:val="20"/>
          <w:lang w:val="es-ES"/>
        </w:rPr>
        <w:t>De igual modo, se señala que no es posible aludir a la restricción de convenios interadministrativos para la ejecución de recursos públicos del artículo 38 de la Ley 996 de 2005 –Ley de Garantías Electorales- porque las empresas o corporaciones extranjeras no pueden considerarse como entidades públicas en el ordenamiento jurídico nacional. En tal sentido, no es jurídicamente válido extender dicha limitación a organizaciones privadas extranjeras que, aunque puedan recibir recursos o participar en proyectos, no forman parte de la administración pública nacional. Por tanto, las reglas de la Ley de Garantías Electorales solo pueden operar dentro del marco normativo nacional, sin que sea posible proyectarlas hacia relaciones jurídicas que se rigen por sistemas legales distintos, preservando así la coherencia y el alcance propio del derecho interno colombiano.</w:t>
      </w:r>
    </w:p>
    <w:p w14:paraId="574C3E0A" w14:textId="77777777" w:rsidR="002B6427" w:rsidRPr="00573B22" w:rsidRDefault="002B6427" w:rsidP="00195C45">
      <w:pPr>
        <w:spacing w:after="0" w:line="240" w:lineRule="auto"/>
        <w:rPr>
          <w:rFonts w:ascii="Verdana" w:eastAsia="Verdana" w:hAnsi="Verdana" w:cs="Verdana"/>
          <w:lang w:val="es-ES"/>
        </w:rPr>
      </w:pPr>
    </w:p>
    <w:p w14:paraId="6B378478" w14:textId="11548CDC" w:rsidR="002B6427" w:rsidRDefault="002B6427" w:rsidP="00195C45">
      <w:pPr>
        <w:spacing w:after="0" w:line="240" w:lineRule="auto"/>
        <w:rPr>
          <w:rFonts w:ascii="Verdana" w:eastAsia="Verdana" w:hAnsi="Verdana" w:cs="Verdana"/>
        </w:rPr>
      </w:pPr>
    </w:p>
    <w:p w14:paraId="776D5C45" w14:textId="23ED6B9F" w:rsidR="00195C45" w:rsidRPr="009B39AC" w:rsidRDefault="00D447EB" w:rsidP="00195C45">
      <w:pPr>
        <w:spacing w:after="0" w:line="240" w:lineRule="auto"/>
        <w:rPr>
          <w:rFonts w:ascii="Verdana" w:hAnsi="Verdana"/>
        </w:rPr>
      </w:pPr>
      <w:r w:rsidRPr="00D447EB">
        <w:rPr>
          <w:noProof/>
          <w:lang w:val="en-US"/>
        </w:rPr>
        <w:lastRenderedPageBreak/>
        <w:drawing>
          <wp:anchor distT="0" distB="0" distL="114300" distR="114300" simplePos="0" relativeHeight="251658240" behindDoc="0" locked="0" layoutInCell="1" allowOverlap="1" wp14:anchorId="4B1762F8" wp14:editId="6D1B554C">
            <wp:simplePos x="0" y="0"/>
            <wp:positionH relativeFrom="margin">
              <wp:posOffset>2832100</wp:posOffset>
            </wp:positionH>
            <wp:positionV relativeFrom="paragraph">
              <wp:posOffset>74295</wp:posOffset>
            </wp:positionV>
            <wp:extent cx="2782570" cy="77089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82570" cy="7708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95C45" w:rsidRPr="30821638">
        <w:rPr>
          <w:rFonts w:ascii="Verdana" w:eastAsia="Verdana" w:hAnsi="Verdana" w:cs="Verdana"/>
        </w:rPr>
        <w:t>Bogotá D.C.,</w:t>
      </w:r>
      <w:r w:rsidR="002B6427">
        <w:rPr>
          <w:rFonts w:ascii="Verdana" w:eastAsia="Verdana" w:hAnsi="Verdana" w:cs="Verdana"/>
        </w:rPr>
        <w:t xml:space="preserve"> 19 de febrero de 2026</w:t>
      </w:r>
      <w:r w:rsidR="00195C45">
        <w:tab/>
      </w:r>
      <w:r w:rsidR="00195C45">
        <w:br/>
      </w:r>
    </w:p>
    <w:p w14:paraId="3979ADD7" w14:textId="44A17E66" w:rsidR="00195C45" w:rsidRDefault="00195C45" w:rsidP="00195C45">
      <w:pPr>
        <w:spacing w:after="0" w:line="240" w:lineRule="auto"/>
        <w:jc w:val="both"/>
        <w:rPr>
          <w:rFonts w:ascii="Verdana" w:eastAsia="Calibri" w:hAnsi="Verdana" w:cs="Arial"/>
          <w:color w:val="000000"/>
          <w:lang w:val="es-ES"/>
        </w:rPr>
      </w:pPr>
    </w:p>
    <w:p w14:paraId="027AE813" w14:textId="77777777" w:rsidR="00D447EB" w:rsidRPr="00593A5F" w:rsidRDefault="00D447EB" w:rsidP="00195C45">
      <w:pPr>
        <w:spacing w:after="0" w:line="240" w:lineRule="auto"/>
        <w:jc w:val="both"/>
        <w:rPr>
          <w:rFonts w:ascii="Verdana" w:eastAsia="Calibri" w:hAnsi="Verdana" w:cs="Arial"/>
          <w:color w:val="000000"/>
          <w:lang w:val="es-ES"/>
        </w:rPr>
      </w:pPr>
    </w:p>
    <w:p w14:paraId="0C0EE4CE" w14:textId="74E08D48" w:rsidR="00195C45" w:rsidRPr="00555482" w:rsidRDefault="00195C45" w:rsidP="00195C45">
      <w:pPr>
        <w:spacing w:after="0" w:line="240" w:lineRule="auto"/>
        <w:jc w:val="both"/>
        <w:rPr>
          <w:rFonts w:ascii="Verdana" w:eastAsia="Calibri" w:hAnsi="Verdana" w:cs="Arial"/>
          <w:lang w:val="es-ES" w:eastAsia="es-ES"/>
        </w:rPr>
      </w:pPr>
      <w:r w:rsidRPr="00555482">
        <w:rPr>
          <w:rFonts w:ascii="Verdana" w:eastAsia="Calibri" w:hAnsi="Verdana" w:cs="Arial"/>
          <w:lang w:val="es-ES" w:eastAsia="es-ES"/>
        </w:rPr>
        <w:t>Doctora</w:t>
      </w:r>
    </w:p>
    <w:p w14:paraId="326C6231" w14:textId="77777777" w:rsidR="00195C45" w:rsidRPr="00555482" w:rsidRDefault="00195C45" w:rsidP="00195C45">
      <w:pPr>
        <w:spacing w:after="0" w:line="240" w:lineRule="auto"/>
        <w:rPr>
          <w:rFonts w:ascii="Verdana" w:eastAsia="Calibri" w:hAnsi="Verdana" w:cs="Arial"/>
          <w:b/>
          <w:lang w:val="es-ES" w:eastAsia="es-ES"/>
        </w:rPr>
      </w:pPr>
      <w:r w:rsidRPr="00555482">
        <w:rPr>
          <w:rFonts w:ascii="Verdana" w:eastAsia="Calibri" w:hAnsi="Verdana" w:cs="Arial"/>
          <w:b/>
          <w:lang w:val="es-ES" w:eastAsia="es-ES"/>
        </w:rPr>
        <w:t>Elvira de las Mercedes Sanabria Salazar</w:t>
      </w:r>
    </w:p>
    <w:p w14:paraId="02FFC3DA" w14:textId="77777777" w:rsidR="00195C45" w:rsidRPr="00555482" w:rsidRDefault="00195C45" w:rsidP="00195C45">
      <w:pPr>
        <w:spacing w:after="0" w:line="240" w:lineRule="auto"/>
        <w:rPr>
          <w:rFonts w:ascii="Verdana" w:hAnsi="Verdana"/>
        </w:rPr>
      </w:pPr>
      <w:r w:rsidRPr="00555482">
        <w:rPr>
          <w:rFonts w:ascii="Verdana" w:hAnsi="Verdana"/>
        </w:rPr>
        <w:t xml:space="preserve">Secretaria General Encargada </w:t>
      </w:r>
    </w:p>
    <w:p w14:paraId="290931B4" w14:textId="77777777" w:rsidR="00195C45" w:rsidRPr="00555482" w:rsidRDefault="00195C45" w:rsidP="00195C45">
      <w:pPr>
        <w:spacing w:after="0" w:line="240" w:lineRule="auto"/>
        <w:rPr>
          <w:rFonts w:ascii="Verdana" w:hAnsi="Verdana"/>
        </w:rPr>
      </w:pPr>
      <w:r w:rsidRPr="00555482">
        <w:rPr>
          <w:rFonts w:ascii="Verdana" w:hAnsi="Verdana"/>
        </w:rPr>
        <w:t>Ministerio de Relaciones Exteriores</w:t>
      </w:r>
    </w:p>
    <w:p w14:paraId="60C48003" w14:textId="77777777" w:rsidR="00195C45" w:rsidRPr="00555482" w:rsidRDefault="00195C45" w:rsidP="00195C45">
      <w:pPr>
        <w:spacing w:after="0" w:line="240" w:lineRule="auto"/>
        <w:rPr>
          <w:rFonts w:ascii="Verdana" w:hAnsi="Verdana"/>
        </w:rPr>
      </w:pPr>
      <w:hyperlink r:id="rId12" w:history="1">
        <w:r w:rsidRPr="000A61F7">
          <w:rPr>
            <w:rStyle w:val="Hipervnculo"/>
            <w:rFonts w:ascii="Verdana" w:hAnsi="Verdana"/>
          </w:rPr>
          <w:t>secretariageneral@cancilleria.gov.co</w:t>
        </w:r>
      </w:hyperlink>
      <w:r>
        <w:rPr>
          <w:rFonts w:ascii="Verdana" w:hAnsi="Verdana"/>
        </w:rPr>
        <w:t xml:space="preserve"> </w:t>
      </w:r>
    </w:p>
    <w:p w14:paraId="6D6FD7B7" w14:textId="77777777" w:rsidR="00195C45" w:rsidRPr="00555482" w:rsidRDefault="00195C45" w:rsidP="00195C45">
      <w:pPr>
        <w:spacing w:after="0" w:line="240" w:lineRule="auto"/>
        <w:rPr>
          <w:rFonts w:ascii="Verdana" w:eastAsia="Calibri" w:hAnsi="Verdana" w:cs="Arial"/>
          <w:bCs/>
          <w:color w:val="000000"/>
          <w:lang w:val="es-ES_tradnl" w:eastAsia="es-ES_tradnl"/>
        </w:rPr>
      </w:pPr>
      <w:r w:rsidRPr="00555482">
        <w:rPr>
          <w:rFonts w:ascii="Verdana" w:eastAsia="Calibri" w:hAnsi="Verdana" w:cs="Arial"/>
          <w:bCs/>
          <w:color w:val="000000"/>
          <w:lang w:val="es-ES_tradnl" w:eastAsia="es-ES_tradnl"/>
        </w:rPr>
        <w:t>Bogotá D.C.</w:t>
      </w:r>
    </w:p>
    <w:p w14:paraId="76B38582" w14:textId="77777777" w:rsidR="00195C45" w:rsidRPr="00555482" w:rsidRDefault="00195C45" w:rsidP="00195C45">
      <w:pPr>
        <w:spacing w:after="0" w:line="240" w:lineRule="auto"/>
        <w:rPr>
          <w:rFonts w:ascii="Verdana" w:eastAsia="Calibri" w:hAnsi="Verdana" w:cs="Times New Roman"/>
        </w:rPr>
      </w:pPr>
    </w:p>
    <w:p w14:paraId="6015BA25" w14:textId="77777777" w:rsidR="00195C45" w:rsidRPr="00A12CB6" w:rsidRDefault="00195C45" w:rsidP="00195C45">
      <w:pPr>
        <w:spacing w:after="0" w:line="240" w:lineRule="auto"/>
        <w:rPr>
          <w:rFonts w:ascii="Verdana" w:eastAsia="Calibri" w:hAnsi="Verdana" w:cs="Times New Roman"/>
        </w:rPr>
      </w:pPr>
    </w:p>
    <w:p w14:paraId="3C930944" w14:textId="77777777" w:rsidR="00195C45" w:rsidRPr="00A12CB6" w:rsidRDefault="00195C45" w:rsidP="00195C45">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C- 172 de 2026</w:t>
      </w:r>
    </w:p>
    <w:p w14:paraId="6FD737CA" w14:textId="77777777" w:rsidR="00195C45" w:rsidRPr="00A12CB6" w:rsidRDefault="00195C45" w:rsidP="00195C45">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195C45" w:rsidRPr="00A12CB6" w14:paraId="0818E61A" w14:textId="77777777" w:rsidTr="00101855">
        <w:trPr>
          <w:trHeight w:val="645"/>
        </w:trPr>
        <w:tc>
          <w:tcPr>
            <w:tcW w:w="2685" w:type="dxa"/>
            <w:hideMark/>
          </w:tcPr>
          <w:p w14:paraId="2E84222A" w14:textId="77777777" w:rsidR="00195C45" w:rsidRPr="00A12CB6" w:rsidRDefault="00195C45" w:rsidP="00101855">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1E1F80BF" w14:textId="77777777" w:rsidR="00195C45" w:rsidRPr="00021A39" w:rsidRDefault="00195C45" w:rsidP="00101855">
            <w:pPr>
              <w:spacing w:line="276" w:lineRule="auto"/>
              <w:jc w:val="both"/>
              <w:rPr>
                <w:rFonts w:ascii="Verdana" w:hAnsi="Verdana" w:cs="Arial"/>
                <w:lang w:val="es-MX" w:eastAsia="es-ES_tradnl"/>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MINISTERIO DE RELACIONES EXTERIORES – Funciones / MINISTERIO DE RELACIONES EXTERIORES – Estructura Administrativa – Desconcentración Administrativa – Misiones Diplomáticas - Embajadas – Consulados / MISIONES DIPLOMÁTICAS – Consulados – Embajadas - Competencia Contractual – Delegación – Contratos en el Extranjero / </w:t>
            </w:r>
            <w:r w:rsidRPr="00CD2652">
              <w:rPr>
                <w:rFonts w:ascii="Verdana" w:hAnsi="Verdana" w:cs="Arial"/>
                <w:lang w:val="es-MX" w:eastAsia="es-ES_tradnl"/>
              </w:rPr>
              <w:t>CONSULADOS</w:t>
            </w:r>
            <w:r>
              <w:rPr>
                <w:rFonts w:ascii="Verdana" w:hAnsi="Verdana" w:cs="Arial"/>
                <w:lang w:val="es-MX" w:eastAsia="es-ES_tradnl"/>
              </w:rPr>
              <w:t xml:space="preserve"> Y EMBAJADAS</w:t>
            </w:r>
            <w:r w:rsidRPr="00CD2652">
              <w:rPr>
                <w:rFonts w:ascii="Verdana" w:hAnsi="Verdana" w:cs="Arial"/>
                <w:lang w:val="es-MX" w:eastAsia="es-ES_tradnl"/>
              </w:rPr>
              <w:t xml:space="preserve"> – No aplicación – Ley de Garantías - Restricción – Artículo 33 – Artículo 38. </w:t>
            </w:r>
          </w:p>
        </w:tc>
        <w:tc>
          <w:tcPr>
            <w:tcW w:w="6237" w:type="dxa"/>
          </w:tcPr>
          <w:p w14:paraId="399AF0E9" w14:textId="77777777" w:rsidR="00195C45" w:rsidRPr="00A30CF9" w:rsidRDefault="00195C45" w:rsidP="00101855">
            <w:pPr>
              <w:spacing w:line="256" w:lineRule="auto"/>
              <w:rPr>
                <w:rFonts w:ascii="Verdana" w:hAnsi="Verdana"/>
                <w:lang w:val="es-MX"/>
              </w:rPr>
            </w:pPr>
          </w:p>
        </w:tc>
      </w:tr>
    </w:tbl>
    <w:p w14:paraId="3E40238D" w14:textId="77777777" w:rsidR="00195C45" w:rsidRPr="00593A5F" w:rsidRDefault="00195C45" w:rsidP="00195C4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95C45" w:rsidRPr="008E6AD9" w14:paraId="3BF04516" w14:textId="77777777" w:rsidTr="00101855">
        <w:tc>
          <w:tcPr>
            <w:tcW w:w="2689" w:type="dxa"/>
          </w:tcPr>
          <w:p w14:paraId="3DA0A33A" w14:textId="77777777" w:rsidR="00195C45" w:rsidRPr="008E6AD9" w:rsidRDefault="00195C45" w:rsidP="00101855">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56A2BB17" w14:textId="77777777" w:rsidR="00195C45" w:rsidRPr="00AD67E7" w:rsidRDefault="00195C45" w:rsidP="00101855">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3354A4">
              <w:rPr>
                <w:rFonts w:ascii="Verdana" w:eastAsia="Calibri" w:hAnsi="Verdana" w:cs="Arial"/>
                <w:lang w:eastAsia="es-ES_tradnl"/>
              </w:rPr>
              <w:t>1_2026_02_06_001539</w:t>
            </w:r>
            <w:r>
              <w:rPr>
                <w:rFonts w:ascii="Verdana" w:eastAsia="Calibri" w:hAnsi="Verdana" w:cs="Arial"/>
                <w:lang w:eastAsia="es-ES_tradnl"/>
              </w:rPr>
              <w:t xml:space="preserve"> </w:t>
            </w:r>
          </w:p>
        </w:tc>
      </w:tr>
    </w:tbl>
    <w:p w14:paraId="0B972DC5" w14:textId="77777777" w:rsidR="00195C45" w:rsidRPr="00593A5F" w:rsidRDefault="00195C45" w:rsidP="00195C45">
      <w:pPr>
        <w:spacing w:after="0" w:line="240" w:lineRule="auto"/>
        <w:jc w:val="both"/>
        <w:rPr>
          <w:rFonts w:ascii="Verdana" w:eastAsia="Calibri" w:hAnsi="Verdana" w:cs="Arial"/>
          <w:color w:val="000000"/>
          <w:lang w:val="es-ES_tradnl" w:eastAsia="es-ES_tradnl"/>
        </w:rPr>
      </w:pPr>
    </w:p>
    <w:p w14:paraId="41C38AB3" w14:textId="77777777" w:rsidR="00195C45" w:rsidRPr="00593A5F" w:rsidRDefault="00195C45" w:rsidP="00195C45">
      <w:pPr>
        <w:spacing w:after="0" w:line="240" w:lineRule="auto"/>
        <w:jc w:val="both"/>
        <w:rPr>
          <w:rFonts w:ascii="Verdana" w:eastAsia="Calibri" w:hAnsi="Verdana" w:cs="Arial"/>
          <w:color w:val="000000"/>
          <w:lang w:val="es-ES_tradnl" w:eastAsia="es-ES_tradnl"/>
        </w:rPr>
      </w:pPr>
    </w:p>
    <w:p w14:paraId="05ACCE59" w14:textId="77777777" w:rsidR="00195C45" w:rsidRPr="008E6AD9" w:rsidRDefault="00195C45" w:rsidP="00195C45">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 Doctora Sanabria</w:t>
      </w:r>
      <w:r w:rsidRPr="008E6AD9">
        <w:rPr>
          <w:rFonts w:ascii="Verdana" w:eastAsia="Calibri" w:hAnsi="Verdana" w:cs="Arial"/>
          <w:lang w:val="es-ES" w:eastAsia="es-ES"/>
        </w:rPr>
        <w:t xml:space="preserve">: </w:t>
      </w:r>
    </w:p>
    <w:p w14:paraId="5174CD3A" w14:textId="77777777" w:rsidR="00195C45" w:rsidRDefault="00195C45" w:rsidP="00195C4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8F1F9F3" w14:textId="77777777" w:rsidR="00195C45" w:rsidRDefault="00195C45" w:rsidP="00195C45">
      <w:pPr>
        <w:spacing w:after="0" w:line="276" w:lineRule="auto"/>
        <w:jc w:val="both"/>
        <w:rPr>
          <w:rFonts w:ascii="Verdana" w:eastAsia="Calibri" w:hAnsi="Verdana" w:cs="Arial"/>
          <w:bCs/>
          <w:color w:val="000000" w:themeColor="text1"/>
          <w:lang w:val="es-ES" w:eastAsia="es-ES" w:bidi="es-ES"/>
        </w:rPr>
      </w:pPr>
      <w:r w:rsidRPr="00C26C4E">
        <w:rPr>
          <w:rFonts w:ascii="Verdana" w:eastAsia="Calibri" w:hAnsi="Verdana" w:cs="Arial"/>
          <w:bCs/>
          <w:color w:val="000000" w:themeColor="text1"/>
          <w:lang w:val="es-ES" w:eastAsia="es-ES" w:bidi="es-ES"/>
        </w:rPr>
        <w:lastRenderedPageBreak/>
        <w:t xml:space="preserve">En ejercicio de la competencia otorgada por los artículos 3, numeral 5º, y 11, numeral 8º, del Decreto Ley 4170 de 2011, </w:t>
      </w:r>
      <w:r w:rsidRPr="00C26C4E">
        <w:rPr>
          <w:rFonts w:ascii="Verdana" w:eastAsia="Calibri" w:hAnsi="Verdana" w:cs="Arial"/>
          <w:bCs/>
          <w:color w:val="000000" w:themeColor="text1"/>
          <w:lang w:eastAsia="es-ES"/>
        </w:rPr>
        <w:t xml:space="preserve">así como lo establecido por la Resolución 469 de 2025 expedida por esta Entidad, </w:t>
      </w:r>
      <w:r w:rsidRPr="00C26C4E">
        <w:rPr>
          <w:rFonts w:ascii="Verdana" w:eastAsia="Calibri" w:hAnsi="Verdana" w:cs="Arial"/>
          <w:bCs/>
          <w:color w:val="000000" w:themeColor="text1"/>
          <w:lang w:val="es-ES" w:eastAsia="es-ES" w:bidi="es-ES"/>
        </w:rPr>
        <w:t>la Agencia Nacional de Contratación Pública – Colombia Compra Eficiente– responde la soli</w:t>
      </w:r>
      <w:r>
        <w:rPr>
          <w:rFonts w:ascii="Verdana" w:eastAsia="Calibri" w:hAnsi="Verdana" w:cs="Arial"/>
          <w:bCs/>
          <w:color w:val="000000" w:themeColor="text1"/>
          <w:lang w:val="es-ES" w:eastAsia="es-ES" w:bidi="es-ES"/>
        </w:rPr>
        <w:t>citud de consulta remitida el 6 de febrero de 2026</w:t>
      </w:r>
      <w:r w:rsidRPr="00C26C4E">
        <w:rPr>
          <w:rFonts w:ascii="Verdana" w:eastAsia="Calibri" w:hAnsi="Verdana" w:cs="Arial"/>
          <w:bCs/>
          <w:color w:val="000000" w:themeColor="text1"/>
          <w:lang w:val="es-ES" w:eastAsia="es-ES" w:bidi="es-ES"/>
        </w:rPr>
        <w:t xml:space="preserve">, en la cual manifiesta: </w:t>
      </w:r>
      <w:bookmarkStart w:id="1" w:name="_Hlk95313578"/>
      <w:r w:rsidRPr="00C26C4E">
        <w:rPr>
          <w:rFonts w:ascii="Verdana" w:eastAsia="Calibri" w:hAnsi="Verdana" w:cs="Arial"/>
          <w:bCs/>
          <w:color w:val="000000" w:themeColor="text1"/>
          <w:lang w:val="es-ES" w:eastAsia="es-ES" w:bidi="es-ES"/>
        </w:rPr>
        <w:t xml:space="preserve"> </w:t>
      </w:r>
      <w:bookmarkEnd w:id="1"/>
    </w:p>
    <w:p w14:paraId="460E8484" w14:textId="77777777" w:rsidR="00195C45" w:rsidRDefault="00195C45" w:rsidP="00195C45">
      <w:pPr>
        <w:spacing w:after="0" w:line="240" w:lineRule="auto"/>
        <w:jc w:val="both"/>
        <w:rPr>
          <w:rFonts w:ascii="Verdana" w:eastAsia="Calibri" w:hAnsi="Verdana" w:cs="Arial"/>
          <w:bCs/>
          <w:color w:val="000000" w:themeColor="text1"/>
          <w:lang w:val="es-ES" w:eastAsia="es-ES" w:bidi="es-ES"/>
        </w:rPr>
      </w:pPr>
    </w:p>
    <w:p w14:paraId="35FEA05C" w14:textId="77777777" w:rsidR="00195C45" w:rsidRPr="001C6750" w:rsidRDefault="00195C45" w:rsidP="00195C45">
      <w:pPr>
        <w:pStyle w:val="Prrafodelista"/>
        <w:numPr>
          <w:ilvl w:val="0"/>
          <w:numId w:val="21"/>
        </w:numPr>
        <w:spacing w:after="0" w:line="240" w:lineRule="auto"/>
        <w:ind w:left="1066" w:right="709" w:hanging="357"/>
        <w:contextualSpacing w:val="0"/>
        <w:jc w:val="both"/>
        <w:rPr>
          <w:rFonts w:ascii="Verdana" w:eastAsia="Calibri" w:hAnsi="Verdana" w:cs="Arial"/>
          <w:bCs/>
          <w:color w:val="000000" w:themeColor="text1"/>
          <w:sz w:val="20"/>
          <w:szCs w:val="20"/>
          <w:lang w:eastAsia="es-ES" w:bidi="es-ES"/>
        </w:rPr>
      </w:pPr>
      <w:r w:rsidRPr="001C6750">
        <w:rPr>
          <w:rFonts w:ascii="Verdana" w:eastAsia="Century Gothic" w:hAnsi="Verdana" w:cs="Century Gothic"/>
          <w:sz w:val="20"/>
          <w:szCs w:val="20"/>
        </w:rPr>
        <w:t xml:space="preserve">¿Como aplica la ley de garantías para el caso de las Embajadas y Consulados teniendo en cuenta que la contratación realizada en el exterior se realiza con recursos de la </w:t>
      </w:r>
      <w:proofErr w:type="gramStart"/>
      <w:r w:rsidRPr="001C6750">
        <w:rPr>
          <w:rFonts w:ascii="Verdana" w:eastAsia="Century Gothic" w:hAnsi="Verdana" w:cs="Century Gothic"/>
          <w:sz w:val="20"/>
          <w:szCs w:val="20"/>
        </w:rPr>
        <w:t>Nación</w:t>
      </w:r>
      <w:proofErr w:type="gramEnd"/>
      <w:r w:rsidRPr="001C6750">
        <w:rPr>
          <w:rFonts w:ascii="Verdana" w:eastAsia="Century Gothic" w:hAnsi="Verdana" w:cs="Century Gothic"/>
          <w:sz w:val="20"/>
          <w:szCs w:val="20"/>
        </w:rPr>
        <w:t xml:space="preserve"> pero se debe hacer acorde a la legislación extranjera?</w:t>
      </w:r>
    </w:p>
    <w:p w14:paraId="045AAC30" w14:textId="77777777" w:rsidR="00195C45" w:rsidRPr="001C6750" w:rsidRDefault="00195C45" w:rsidP="00195C45">
      <w:pPr>
        <w:pStyle w:val="Prrafodelista"/>
        <w:numPr>
          <w:ilvl w:val="0"/>
          <w:numId w:val="21"/>
        </w:numPr>
        <w:spacing w:after="0" w:line="240" w:lineRule="auto"/>
        <w:ind w:left="1066" w:right="709" w:hanging="357"/>
        <w:contextualSpacing w:val="0"/>
        <w:jc w:val="both"/>
        <w:rPr>
          <w:rFonts w:ascii="Verdana" w:eastAsia="Calibri" w:hAnsi="Verdana" w:cs="Arial"/>
          <w:bCs/>
          <w:color w:val="000000" w:themeColor="text1"/>
          <w:sz w:val="20"/>
          <w:szCs w:val="20"/>
          <w:lang w:eastAsia="es-ES" w:bidi="es-ES"/>
        </w:rPr>
      </w:pPr>
      <w:r w:rsidRPr="001C6750">
        <w:rPr>
          <w:rFonts w:ascii="Verdana" w:eastAsia="Century Gothic" w:hAnsi="Verdana" w:cs="Century Gothic"/>
          <w:sz w:val="20"/>
          <w:szCs w:val="20"/>
        </w:rPr>
        <w:t xml:space="preserve">¿Teniendo en cuenta que para la adquisición de bienes y servicios en el extranjero se utilizan modalidades de selección de contratistas diferentes a las de la Ley 1150 de 2007, a los Embajadores o Cónsules como representantes legales de su respectiva misión les aplica las restricciones de la Ley de Garantías? </w:t>
      </w:r>
    </w:p>
    <w:p w14:paraId="258C5AD9" w14:textId="77777777" w:rsidR="00195C45" w:rsidRPr="00C26C4E" w:rsidRDefault="00195C45" w:rsidP="00195C45">
      <w:pPr>
        <w:spacing w:after="0" w:line="240" w:lineRule="auto"/>
        <w:jc w:val="both"/>
        <w:rPr>
          <w:rFonts w:ascii="Verdana" w:eastAsia="Calibri" w:hAnsi="Verdana" w:cs="Arial"/>
          <w:bCs/>
          <w:color w:val="000000" w:themeColor="text1"/>
          <w:lang w:val="es-ES" w:eastAsia="es-ES" w:bidi="es-ES"/>
        </w:rPr>
      </w:pPr>
    </w:p>
    <w:p w14:paraId="1485ED28" w14:textId="77777777" w:rsidR="00195C45" w:rsidRPr="00A652FF" w:rsidRDefault="00195C45" w:rsidP="00195C45">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0E7E574" w14:textId="77777777" w:rsidR="00195C45" w:rsidRPr="00423BE7" w:rsidRDefault="00195C45" w:rsidP="00195C45">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 xml:space="preserve">el problema jurídico de su consulta. </w:t>
      </w:r>
    </w:p>
    <w:p w14:paraId="0B5A8FC0" w14:textId="77777777" w:rsidR="00195C45" w:rsidRPr="00593A5F" w:rsidRDefault="00195C45" w:rsidP="00195C45">
      <w:pPr>
        <w:spacing w:after="0" w:line="276" w:lineRule="auto"/>
        <w:ind w:firstLine="709"/>
        <w:jc w:val="both"/>
        <w:rPr>
          <w:rFonts w:ascii="Verdana" w:eastAsia="Calibri" w:hAnsi="Verdana" w:cs="Arial"/>
          <w:color w:val="000000"/>
          <w:lang w:val="es-ES" w:eastAsia="es-ES"/>
        </w:rPr>
      </w:pPr>
    </w:p>
    <w:p w14:paraId="2C496EED" w14:textId="77777777" w:rsidR="00195C45" w:rsidRPr="00593A5F" w:rsidRDefault="00195C45" w:rsidP="00195C4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8313A17" w14:textId="77777777" w:rsidR="00195C45" w:rsidRPr="00593A5F" w:rsidRDefault="00195C45" w:rsidP="00195C45">
      <w:pPr>
        <w:tabs>
          <w:tab w:val="left" w:pos="426"/>
        </w:tabs>
        <w:spacing w:after="0" w:line="276" w:lineRule="auto"/>
        <w:jc w:val="both"/>
        <w:rPr>
          <w:rFonts w:ascii="Verdana" w:eastAsia="Century Gothic" w:hAnsi="Verdana" w:cs="Century Gothic"/>
          <w:lang w:val="es-ES"/>
        </w:rPr>
      </w:pPr>
    </w:p>
    <w:p w14:paraId="338E3C7A" w14:textId="77777777" w:rsidR="00195C45" w:rsidRDefault="00195C45" w:rsidP="00195C45">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 siguiente problema jurídico</w:t>
      </w:r>
      <w:r w:rsidRPr="00906BE9">
        <w:rPr>
          <w:rFonts w:ascii="Verdana" w:eastAsia="Century Gothic" w:hAnsi="Verdana" w:cs="Century Gothic"/>
        </w:rPr>
        <w:t>:</w:t>
      </w:r>
      <w:r>
        <w:rPr>
          <w:rFonts w:ascii="Verdana" w:eastAsia="Century Gothic" w:hAnsi="Verdana" w:cs="Century Gothic"/>
        </w:rPr>
        <w:t xml:space="preserve"> </w:t>
      </w:r>
      <w:r w:rsidRPr="0091791F">
        <w:rPr>
          <w:rFonts w:ascii="Verdana" w:eastAsia="Century Gothic" w:hAnsi="Verdana" w:cs="Century Gothic"/>
        </w:rPr>
        <w:t xml:space="preserve">¿De qué manera aplica </w:t>
      </w:r>
      <w:r>
        <w:rPr>
          <w:rFonts w:ascii="Verdana" w:eastAsia="Century Gothic" w:hAnsi="Verdana" w:cs="Century Gothic"/>
        </w:rPr>
        <w:t>la Ley</w:t>
      </w:r>
      <w:r w:rsidRPr="0091791F">
        <w:rPr>
          <w:rFonts w:ascii="Verdana" w:eastAsia="Century Gothic" w:hAnsi="Verdana" w:cs="Century Gothic"/>
        </w:rPr>
        <w:t xml:space="preserve"> de Garantías Electorales a las </w:t>
      </w:r>
      <w:r w:rsidRPr="0091791F">
        <w:rPr>
          <w:rFonts w:ascii="Verdana" w:eastAsia="Century Gothic" w:hAnsi="Verdana" w:cs="Century Gothic"/>
        </w:rPr>
        <w:lastRenderedPageBreak/>
        <w:t>Embajadas y Consulados de Colombia cuando realizan contratación en el exterior con recursos de la Nación, pero bajo legislación extranjera, y si en ese contexto los Embajadores y Cónsules están sujetos a las restricciones de dicha ley aun cuando emplean modalidades de selección distintas a las previstas en la Ley 1150 de 2007?</w:t>
      </w:r>
    </w:p>
    <w:p w14:paraId="72B2F008" w14:textId="77777777" w:rsidR="00195C45" w:rsidRPr="004B140F" w:rsidRDefault="00195C45" w:rsidP="00195C45">
      <w:pPr>
        <w:spacing w:after="0" w:line="276" w:lineRule="auto"/>
        <w:jc w:val="both"/>
        <w:rPr>
          <w:rFonts w:ascii="Verdana" w:eastAsia="Calibri" w:hAnsi="Verdana" w:cs="Arial"/>
          <w:color w:val="7030A0"/>
        </w:rPr>
      </w:pPr>
    </w:p>
    <w:p w14:paraId="55AF4955" w14:textId="77777777" w:rsidR="00195C45" w:rsidRPr="00593A5F" w:rsidRDefault="00195C45" w:rsidP="00195C4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09D2768" w14:textId="77777777" w:rsidR="00195C45" w:rsidRPr="00593A5F" w:rsidRDefault="00195C45" w:rsidP="00195C4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95C45" w:rsidRPr="00593A5F" w14:paraId="3C8A83C1" w14:textId="77777777" w:rsidTr="00101855">
        <w:trPr>
          <w:jc w:val="center"/>
        </w:trPr>
        <w:tc>
          <w:tcPr>
            <w:tcW w:w="8828" w:type="dxa"/>
          </w:tcPr>
          <w:p w14:paraId="67FD9F57" w14:textId="77777777" w:rsidR="00195C45" w:rsidRPr="00A30CF9" w:rsidRDefault="00195C45" w:rsidP="00101855">
            <w:pPr>
              <w:spacing w:before="120" w:after="120" w:line="276" w:lineRule="auto"/>
              <w:jc w:val="both"/>
              <w:rPr>
                <w:rFonts w:ascii="Verdana" w:eastAsia="Calibri" w:hAnsi="Verdana" w:cs="Arial"/>
              </w:rPr>
            </w:pPr>
            <w:bookmarkStart w:id="2" w:name="_Hlk171694685"/>
            <w:r w:rsidRPr="004F1C0A">
              <w:rPr>
                <w:rFonts w:ascii="Verdana" w:eastAsia="Calibri" w:hAnsi="Verdana" w:cs="Arial"/>
                <w:lang w:val="es-MX"/>
              </w:rPr>
              <w:t xml:space="preserve">De acuerdo con el problema jurídico, objeto de consulta, </w:t>
            </w:r>
            <w:r>
              <w:rPr>
                <w:rFonts w:ascii="Verdana" w:eastAsia="Calibri" w:hAnsi="Verdana" w:cs="Arial"/>
                <w:lang w:val="es-MX"/>
              </w:rPr>
              <w:t xml:space="preserve">se precisa que </w:t>
            </w:r>
            <w:r>
              <w:rPr>
                <w:rFonts w:ascii="Verdana" w:eastAsia="Calibri" w:hAnsi="Verdana" w:cs="Arial"/>
              </w:rPr>
              <w:t xml:space="preserve">teniendo en cuenta las competencias que se delegaron mediante la </w:t>
            </w:r>
            <w:r w:rsidRPr="00C26C4E">
              <w:rPr>
                <w:rFonts w:ascii="Verdana" w:eastAsia="Calibri" w:hAnsi="Verdana" w:cs="Arial"/>
              </w:rPr>
              <w:t>Resolución 5992 de 2005</w:t>
            </w:r>
            <w:r>
              <w:rPr>
                <w:rFonts w:ascii="Verdana" w:eastAsia="Calibri" w:hAnsi="Verdana" w:cs="Arial"/>
              </w:rPr>
              <w:t xml:space="preserve"> por parte del Ministerio de Relaciones Exteriores a </w:t>
            </w:r>
            <w:r w:rsidRPr="006120A6">
              <w:rPr>
                <w:rFonts w:ascii="Verdana" w:eastAsia="Calibri" w:hAnsi="Verdana" w:cs="Arial"/>
              </w:rPr>
              <w:t>los jefes de Misiones Diplomáticas</w:t>
            </w:r>
            <w:r>
              <w:rPr>
                <w:rFonts w:ascii="Verdana" w:eastAsia="Calibri" w:hAnsi="Verdana" w:cs="Arial"/>
              </w:rPr>
              <w:t xml:space="preserve"> (embajadas y </w:t>
            </w:r>
            <w:r w:rsidRPr="00A30CF9">
              <w:rPr>
                <w:rFonts w:ascii="Verdana" w:eastAsia="Calibri" w:hAnsi="Verdana" w:cs="Arial"/>
              </w:rPr>
              <w:t>Delegaciones Permanentes ante Organismos Internacionales</w:t>
            </w:r>
            <w:r>
              <w:rPr>
                <w:rFonts w:ascii="Verdana" w:eastAsia="Calibri" w:hAnsi="Verdana" w:cs="Arial"/>
              </w:rPr>
              <w:t>) y las</w:t>
            </w:r>
            <w:r w:rsidRPr="006120A6">
              <w:rPr>
                <w:rFonts w:ascii="Verdana" w:eastAsia="Calibri" w:hAnsi="Verdana" w:cs="Arial"/>
              </w:rPr>
              <w:t xml:space="preserve"> Oficinas Consulares de Colombia en el exterior —o a quienes hagan sus veces—</w:t>
            </w:r>
            <w:r>
              <w:rPr>
                <w:rFonts w:ascii="Verdana" w:eastAsia="Calibri" w:hAnsi="Verdana" w:cs="Arial"/>
              </w:rPr>
              <w:t xml:space="preserve">solo para contratos que se celebran en el exterior, se constata que el régimen aplicable será el de exterior, de acuerdo a lo que se expone en las razones de la respuesta. </w:t>
            </w:r>
          </w:p>
          <w:p w14:paraId="07D6AF4A" w14:textId="77777777" w:rsidR="00195C45" w:rsidRPr="003070D5" w:rsidRDefault="00195C45" w:rsidP="00101855">
            <w:pPr>
              <w:spacing w:before="120" w:after="120" w:line="276" w:lineRule="auto"/>
              <w:ind w:firstLine="708"/>
              <w:jc w:val="both"/>
              <w:rPr>
                <w:rFonts w:ascii="Verdana" w:eastAsia="Calibri" w:hAnsi="Verdana" w:cs="Arial"/>
                <w:lang w:val="es-ES"/>
              </w:rPr>
            </w:pPr>
            <w:r>
              <w:rPr>
                <w:rFonts w:ascii="Verdana" w:eastAsia="Calibri" w:hAnsi="Verdana" w:cs="Arial"/>
              </w:rPr>
              <w:t>En este sentido</w:t>
            </w:r>
            <w:r>
              <w:rPr>
                <w:rFonts w:ascii="Verdana" w:eastAsia="Calibri" w:hAnsi="Verdana" w:cs="Arial"/>
                <w:lang w:val="es-ES"/>
              </w:rPr>
              <w:t>, l</w:t>
            </w:r>
            <w:r w:rsidRPr="003070D5">
              <w:rPr>
                <w:rFonts w:ascii="Verdana" w:eastAsia="Calibri" w:hAnsi="Verdana" w:cs="Arial"/>
                <w:lang w:val="es-ES"/>
              </w:rPr>
              <w:t xml:space="preserve">a celebración de </w:t>
            </w:r>
            <w:r>
              <w:rPr>
                <w:rFonts w:ascii="Verdana" w:eastAsia="Calibri" w:hAnsi="Verdana" w:cs="Arial"/>
                <w:lang w:val="es-ES"/>
              </w:rPr>
              <w:t xml:space="preserve">contratos o de convenios </w:t>
            </w:r>
            <w:r w:rsidRPr="003070D5">
              <w:rPr>
                <w:rFonts w:ascii="Verdana" w:eastAsia="Calibri" w:hAnsi="Verdana" w:cs="Arial"/>
                <w:lang w:val="es-ES"/>
              </w:rPr>
              <w:t>en el exterior exige un análisis previo sobre la territorialidad y el ámbito de aplicación del ordenamiento jurídico colombiano.</w:t>
            </w:r>
            <w:r>
              <w:rPr>
                <w:rFonts w:ascii="Verdana" w:eastAsia="Calibri" w:hAnsi="Verdana" w:cs="Arial"/>
                <w:lang w:val="es-ES"/>
              </w:rPr>
              <w:t xml:space="preserve"> En este aspecto, este tipo de organismos en el marco de sus competencias y funciones establecidas por el ordenamiento jurídico colombiano, pero deberán adelantar la contratación, teniendo en cuenta la normatividad extranjera del país receptor. </w:t>
            </w:r>
            <w:r w:rsidRPr="003070D5">
              <w:rPr>
                <w:rFonts w:ascii="Verdana" w:eastAsia="Calibri" w:hAnsi="Verdana" w:cs="Arial"/>
                <w:lang w:val="es-ES"/>
              </w:rPr>
              <w:t xml:space="preserve">En efecto, </w:t>
            </w:r>
            <w:r>
              <w:rPr>
                <w:rFonts w:ascii="Verdana" w:eastAsia="Calibri" w:hAnsi="Verdana" w:cs="Arial"/>
                <w:lang w:val="es-ES"/>
              </w:rPr>
              <w:t xml:space="preserve">las embajadas y los </w:t>
            </w:r>
            <w:r w:rsidRPr="003070D5">
              <w:rPr>
                <w:rFonts w:ascii="Verdana" w:eastAsia="Calibri" w:hAnsi="Verdana" w:cs="Arial"/>
                <w:lang w:val="es-ES"/>
              </w:rPr>
              <w:t>consulados operan en un entorno jurídico distinto al colombiano</w:t>
            </w:r>
            <w:r>
              <w:rPr>
                <w:rFonts w:ascii="Verdana" w:eastAsia="Calibri" w:hAnsi="Verdana" w:cs="Arial"/>
                <w:lang w:val="es-ES"/>
              </w:rPr>
              <w:t xml:space="preserve">, por lo que no es posible extender la regulación dispuesta en la Ley 80 de 1993 ni mucho menos lo dispuesto en el Decreto 092 de 2017, que remite al EGCAP en lo no regulado en este último. </w:t>
            </w:r>
            <w:r w:rsidRPr="00021A39">
              <w:rPr>
                <w:rFonts w:ascii="Verdana" w:eastAsia="Calibri" w:hAnsi="Verdana" w:cs="Arial"/>
                <w:lang w:val="es-ES"/>
              </w:rPr>
              <w:t>Esto impli</w:t>
            </w:r>
            <w:r>
              <w:rPr>
                <w:rFonts w:ascii="Verdana" w:eastAsia="Calibri" w:hAnsi="Verdana" w:cs="Arial"/>
                <w:lang w:val="es-ES"/>
              </w:rPr>
              <w:t xml:space="preserve">ca que el marco normativo colombiano se aplica a las embajadas y </w:t>
            </w:r>
            <w:r w:rsidRPr="00021A39">
              <w:rPr>
                <w:rFonts w:ascii="Verdana" w:eastAsia="Calibri" w:hAnsi="Verdana" w:cs="Arial"/>
                <w:lang w:val="es-ES"/>
              </w:rPr>
              <w:t xml:space="preserve">los consulados como órganos del Estado, pero su ejecución práctica requiere respetar las condiciones jurídicas del país receptor. </w:t>
            </w:r>
            <w:r w:rsidRPr="003070D5">
              <w:rPr>
                <w:rFonts w:ascii="Verdana" w:eastAsia="Calibri" w:hAnsi="Verdana" w:cs="Arial"/>
                <w:lang w:val="es-ES"/>
              </w:rPr>
              <w:t xml:space="preserve">Esto supone que la celebración de </w:t>
            </w:r>
            <w:r>
              <w:rPr>
                <w:rFonts w:ascii="Verdana" w:eastAsia="Calibri" w:hAnsi="Verdana" w:cs="Arial"/>
                <w:lang w:val="es-ES"/>
              </w:rPr>
              <w:t xml:space="preserve">contratos y convenios </w:t>
            </w:r>
            <w:r w:rsidRPr="003070D5">
              <w:rPr>
                <w:rFonts w:ascii="Verdana" w:eastAsia="Calibri" w:hAnsi="Verdana" w:cs="Arial"/>
                <w:lang w:val="es-ES"/>
              </w:rPr>
              <w:t>en el exterior debe regirse por las reglas locales, tanto en materia contractual como en los requisitos de constitución, operación y supervisión de las organizaciones participantes.</w:t>
            </w:r>
          </w:p>
          <w:p w14:paraId="520F65D3" w14:textId="77777777" w:rsidR="00195C45" w:rsidRDefault="00195C45" w:rsidP="00101855">
            <w:pPr>
              <w:spacing w:before="120" w:after="120" w:line="276" w:lineRule="auto"/>
              <w:ind w:firstLine="708"/>
              <w:jc w:val="both"/>
              <w:rPr>
                <w:rFonts w:ascii="Verdana" w:eastAsia="Calibri" w:hAnsi="Verdana" w:cs="Arial"/>
                <w:lang w:val="es-ES"/>
              </w:rPr>
            </w:pPr>
            <w:r w:rsidRPr="003070D5">
              <w:rPr>
                <w:rFonts w:ascii="Verdana" w:eastAsia="Calibri" w:hAnsi="Verdana" w:cs="Arial"/>
                <w:lang w:val="es-ES"/>
              </w:rPr>
              <w:t xml:space="preserve">Bajo esta lógica, </w:t>
            </w:r>
            <w:r>
              <w:rPr>
                <w:rFonts w:ascii="Verdana" w:eastAsia="Calibri" w:hAnsi="Verdana" w:cs="Arial"/>
                <w:lang w:val="es-ES"/>
              </w:rPr>
              <w:t>la restricción prevista en el artículo 33 de la</w:t>
            </w:r>
            <w:r w:rsidRPr="00C26C4E">
              <w:rPr>
                <w:rFonts w:ascii="Verdana" w:eastAsia="Calibri" w:hAnsi="Verdana" w:cs="Arial"/>
                <w:lang w:val="es-ES"/>
              </w:rPr>
              <w:t xml:space="preserve"> Ley 996 de 2005 respecto a la imposibilidad de celebrar contratos de manera directa durante los cuatro meses previos a las elecciones presidenciales no resulta </w:t>
            </w:r>
            <w:r w:rsidRPr="00C26C4E">
              <w:rPr>
                <w:rFonts w:ascii="Verdana" w:eastAsia="Calibri" w:hAnsi="Verdana" w:cs="Arial"/>
                <w:lang w:val="es-ES"/>
              </w:rPr>
              <w:lastRenderedPageBreak/>
              <w:t>aplicable a los convenios que los consulados celebren en el exterior. Ello se debe a que el ámbito de aplicación de dicha ley se circunscribe a la contratación estatal sometida al régimen jurídico colombiano y ejecutada dentro del territorio nacional, lo que excluye los actos contractuales desarrollados íntegramente fuera del país.</w:t>
            </w:r>
            <w:r>
              <w:rPr>
                <w:rFonts w:ascii="Verdana" w:eastAsia="Calibri" w:hAnsi="Verdana" w:cs="Arial"/>
                <w:lang w:val="es-ES"/>
              </w:rPr>
              <w:t xml:space="preserve"> </w:t>
            </w:r>
            <w:r w:rsidRPr="00C26C4E">
              <w:rPr>
                <w:rFonts w:ascii="Verdana" w:eastAsia="Calibri" w:hAnsi="Verdana" w:cs="Arial"/>
                <w:lang w:val="es-ES"/>
              </w:rPr>
              <w:t>En consecuencia, los convenios suscritos por consulados con entidades sin ánimo de lucro en el exterior se rigen por las normas del país receptor y no por las restricciones propias de</w:t>
            </w:r>
            <w:r>
              <w:rPr>
                <w:rFonts w:ascii="Verdana" w:eastAsia="Calibri" w:hAnsi="Verdana" w:cs="Arial"/>
                <w:lang w:val="es-ES"/>
              </w:rPr>
              <w:t xml:space="preserve"> la Ley de Garantías Electorales </w:t>
            </w:r>
            <w:r w:rsidRPr="00C26C4E">
              <w:rPr>
                <w:rFonts w:ascii="Verdana" w:eastAsia="Calibri" w:hAnsi="Verdana" w:cs="Arial"/>
                <w:lang w:val="es-ES"/>
              </w:rPr>
              <w:t xml:space="preserve">colombiano. </w:t>
            </w:r>
          </w:p>
          <w:p w14:paraId="33C2357B" w14:textId="77777777" w:rsidR="00195C45" w:rsidRPr="00DD7357" w:rsidRDefault="00195C45" w:rsidP="00101855">
            <w:pPr>
              <w:spacing w:before="120" w:after="120" w:line="276" w:lineRule="auto"/>
              <w:ind w:firstLine="708"/>
              <w:jc w:val="both"/>
              <w:rPr>
                <w:rFonts w:ascii="Verdana" w:eastAsia="Calibri" w:hAnsi="Verdana" w:cs="Arial"/>
                <w:lang w:val="es-ES"/>
              </w:rPr>
            </w:pPr>
            <w:r>
              <w:rPr>
                <w:rFonts w:ascii="Verdana" w:eastAsia="Calibri" w:hAnsi="Verdana" w:cs="Arial"/>
                <w:lang w:val="es-ES"/>
              </w:rPr>
              <w:t xml:space="preserve">De igual modo, se señala que no es posible aludir a la restricción de convenios interadministrativos para la ejecución de recursos públicos del artículo 38 de la Ley 996 de 2005 –Ley de Garantías Electorales- porque las empresas o corporaciones extranjeras no pueden considerarse como entidades públicas en el ordenamiento jurídico nacional. </w:t>
            </w:r>
            <w:r w:rsidRPr="00ED61D5">
              <w:rPr>
                <w:rFonts w:ascii="Verdana" w:eastAsia="Calibri" w:hAnsi="Verdana" w:cs="Arial"/>
                <w:lang w:val="es-ES"/>
              </w:rPr>
              <w:t>En</w:t>
            </w:r>
            <w:r>
              <w:rPr>
                <w:rFonts w:ascii="Verdana" w:eastAsia="Calibri" w:hAnsi="Verdana" w:cs="Arial"/>
                <w:lang w:val="es-ES"/>
              </w:rPr>
              <w:t xml:space="preserve"> tal sentido</w:t>
            </w:r>
            <w:r w:rsidRPr="00ED61D5">
              <w:rPr>
                <w:rFonts w:ascii="Verdana" w:eastAsia="Calibri" w:hAnsi="Verdana" w:cs="Arial"/>
                <w:lang w:val="es-ES"/>
              </w:rPr>
              <w:t>, no es jurídicamente válido extender dicha limitación a organizaciones privadas</w:t>
            </w:r>
            <w:r>
              <w:rPr>
                <w:rFonts w:ascii="Verdana" w:eastAsia="Calibri" w:hAnsi="Verdana" w:cs="Arial"/>
                <w:lang w:val="es-ES"/>
              </w:rPr>
              <w:t xml:space="preserve"> extranjeras</w:t>
            </w:r>
            <w:r w:rsidRPr="00ED61D5">
              <w:rPr>
                <w:rFonts w:ascii="Verdana" w:eastAsia="Calibri" w:hAnsi="Verdana" w:cs="Arial"/>
                <w:lang w:val="es-ES"/>
              </w:rPr>
              <w:t xml:space="preserve"> que, aunque puedan recibir recursos o participar en proyectos, no forman parte de la administración pública</w:t>
            </w:r>
            <w:r>
              <w:rPr>
                <w:rFonts w:ascii="Verdana" w:eastAsia="Calibri" w:hAnsi="Verdana" w:cs="Arial"/>
                <w:lang w:val="es-ES"/>
              </w:rPr>
              <w:t xml:space="preserve"> nacional</w:t>
            </w:r>
            <w:r w:rsidRPr="00ED61D5">
              <w:rPr>
                <w:rFonts w:ascii="Verdana" w:eastAsia="Calibri" w:hAnsi="Verdana" w:cs="Arial"/>
                <w:lang w:val="es-ES"/>
              </w:rPr>
              <w:t>.</w:t>
            </w:r>
            <w:r>
              <w:rPr>
                <w:rFonts w:ascii="Verdana" w:eastAsia="Calibri" w:hAnsi="Verdana" w:cs="Arial"/>
                <w:lang w:val="es-ES"/>
              </w:rPr>
              <w:t xml:space="preserve"> Por tanto</w:t>
            </w:r>
            <w:r w:rsidRPr="001F7CD6">
              <w:rPr>
                <w:rFonts w:ascii="Verdana" w:eastAsia="Calibri" w:hAnsi="Verdana" w:cs="Arial"/>
                <w:lang w:val="es-ES"/>
              </w:rPr>
              <w:t>, las reglas de la Ley de Garantías Electorales solo pueden operar dentro del marco normativo nacional, sin que sea posible proyectarlas hacia relaciones jurídicas que se rigen por sistemas legales distintos, preservando así la coherencia y el alcance propio del derecho interno colombiano.</w:t>
            </w:r>
          </w:p>
        </w:tc>
      </w:tr>
    </w:tbl>
    <w:p w14:paraId="28ED5550" w14:textId="77777777" w:rsidR="00195C45" w:rsidRPr="00593A5F" w:rsidRDefault="00195C45" w:rsidP="00195C45">
      <w:pPr>
        <w:tabs>
          <w:tab w:val="left" w:pos="142"/>
          <w:tab w:val="left" w:pos="284"/>
        </w:tabs>
        <w:spacing w:after="0" w:line="276" w:lineRule="auto"/>
        <w:jc w:val="both"/>
        <w:rPr>
          <w:rFonts w:ascii="Verdana" w:eastAsia="Century Gothic" w:hAnsi="Verdana" w:cs="Century Gothic"/>
          <w:b/>
          <w:bCs/>
          <w:lang w:val="es-ES"/>
        </w:rPr>
      </w:pPr>
    </w:p>
    <w:bookmarkEnd w:id="2"/>
    <w:p w14:paraId="33EE9B81" w14:textId="77777777" w:rsidR="00195C45" w:rsidRPr="00593A5F" w:rsidRDefault="00195C45" w:rsidP="00195C4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3D07B9A" w14:textId="77777777" w:rsidR="00195C45" w:rsidRPr="00593A5F" w:rsidRDefault="00195C45" w:rsidP="00195C45">
      <w:pPr>
        <w:spacing w:after="0" w:line="276" w:lineRule="auto"/>
        <w:jc w:val="both"/>
        <w:rPr>
          <w:rFonts w:ascii="Verdana" w:eastAsia="Calibri" w:hAnsi="Verdana" w:cs="Arial"/>
          <w:color w:val="7030A0"/>
          <w:lang w:val="es-ES"/>
        </w:rPr>
      </w:pPr>
    </w:p>
    <w:p w14:paraId="5022B7AF" w14:textId="77777777" w:rsidR="00195C45" w:rsidRDefault="00195C45" w:rsidP="00195C45">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EED8E43" w14:textId="77777777" w:rsidR="00195C45" w:rsidRDefault="00195C45" w:rsidP="00195C45">
      <w:pPr>
        <w:spacing w:after="0" w:line="276" w:lineRule="auto"/>
        <w:jc w:val="both"/>
        <w:rPr>
          <w:rFonts w:ascii="Verdana" w:eastAsia="Calibri" w:hAnsi="Verdana" w:cs="Arial"/>
          <w:lang w:val="es-ES"/>
        </w:rPr>
      </w:pPr>
    </w:p>
    <w:p w14:paraId="5A778A70" w14:textId="77777777" w:rsidR="00195C45" w:rsidRPr="002D6B43" w:rsidRDefault="00195C45" w:rsidP="00195C45">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3706CC52" w14:textId="77777777" w:rsidR="00195C45" w:rsidRPr="006B14B5" w:rsidRDefault="00195C45" w:rsidP="00195C45">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lastRenderedPageBreak/>
        <w:t>En el mismo sentido</w:t>
      </w:r>
      <w:r w:rsidRPr="00E2397D">
        <w:rPr>
          <w:rFonts w:ascii="Verdana" w:eastAsia="Times New Roman" w:hAnsi="Verdana" w:cs="Arial"/>
          <w:lang w:val="es-MX" w:eastAsia="es-CO"/>
        </w:rPr>
        <w:t xml:space="preserve">, </w:t>
      </w:r>
      <w:bookmarkStart w:id="3"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3"/>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1AD93344" w14:textId="77777777" w:rsidR="00195C45" w:rsidRPr="00E2397D" w:rsidRDefault="00195C45" w:rsidP="00195C45">
      <w:pPr>
        <w:spacing w:after="0" w:line="276" w:lineRule="auto"/>
        <w:ind w:right="709"/>
        <w:contextualSpacing/>
        <w:jc w:val="both"/>
        <w:rPr>
          <w:rFonts w:ascii="Verdana" w:eastAsia="Times New Roman" w:hAnsi="Verdana" w:cs="Arial"/>
          <w:lang w:val="es-ES" w:eastAsia="es-CO"/>
        </w:rPr>
      </w:pPr>
    </w:p>
    <w:p w14:paraId="19908A80" w14:textId="77777777" w:rsidR="00195C45" w:rsidRPr="00E2397D" w:rsidRDefault="00195C45" w:rsidP="00195C45">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591E1F53" w14:textId="77777777" w:rsidR="00195C45" w:rsidRPr="00D07CEE" w:rsidRDefault="00195C45" w:rsidP="00195C45">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73A49049" w14:textId="77777777" w:rsidR="00195C45" w:rsidRPr="00E2397D" w:rsidRDefault="00195C45" w:rsidP="00195C45">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0B403842" w14:textId="77777777" w:rsidR="00195C45" w:rsidRPr="00E2397D" w:rsidRDefault="00195C45" w:rsidP="00195C45">
      <w:pPr>
        <w:spacing w:after="0" w:line="276" w:lineRule="auto"/>
        <w:ind w:firstLine="709"/>
        <w:jc w:val="both"/>
        <w:rPr>
          <w:rFonts w:ascii="Verdana" w:eastAsia="Times New Roman" w:hAnsi="Verdana" w:cs="Arial"/>
          <w:lang w:val="es-MX" w:eastAsia="es-CO"/>
        </w:rPr>
      </w:pPr>
      <w:bookmarkStart w:id="4" w:name="_Hlk78818186"/>
    </w:p>
    <w:p w14:paraId="39BAF9A5" w14:textId="77777777" w:rsidR="00195C45" w:rsidRPr="00E2397D" w:rsidRDefault="00195C45" w:rsidP="00195C45">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4"/>
      <w:r w:rsidRPr="00E2397D">
        <w:rPr>
          <w:rFonts w:ascii="Verdana" w:eastAsia="Times New Roman" w:hAnsi="Verdana" w:cs="Arial"/>
          <w:lang w:val="es-MX" w:eastAsia="es-CO"/>
        </w:rPr>
        <w:t xml:space="preserve">Por ello, varias de las disposiciones de la Ley 996 de </w:t>
      </w:r>
      <w:r w:rsidRPr="00E2397D">
        <w:rPr>
          <w:rFonts w:ascii="Verdana" w:eastAsia="Times New Roman" w:hAnsi="Verdana" w:cs="Arial"/>
          <w:lang w:val="es-MX" w:eastAsia="es-CO"/>
        </w:rPr>
        <w:lastRenderedPageBreak/>
        <w:t>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5507F539" w14:textId="77777777" w:rsidR="00195C45" w:rsidRPr="00886C02" w:rsidRDefault="00195C45" w:rsidP="00195C45">
      <w:pPr>
        <w:spacing w:after="0" w:line="276" w:lineRule="auto"/>
        <w:ind w:firstLine="709"/>
        <w:jc w:val="both"/>
        <w:rPr>
          <w:rFonts w:ascii="Verdana" w:eastAsia="Times New Roman" w:hAnsi="Verdana" w:cs="Arial"/>
          <w:lang w:val="es-MX" w:eastAsia="es-CO"/>
        </w:rPr>
      </w:pPr>
    </w:p>
    <w:p w14:paraId="2D577415" w14:textId="77777777" w:rsidR="00195C45" w:rsidRPr="00E2397D" w:rsidRDefault="00195C45" w:rsidP="00195C45">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F0D2472" w14:textId="77777777" w:rsidR="00195C45" w:rsidRPr="000B35C5" w:rsidRDefault="00195C45" w:rsidP="00195C45">
      <w:pPr>
        <w:spacing w:after="0" w:line="240" w:lineRule="auto"/>
        <w:ind w:right="709"/>
        <w:contextualSpacing/>
        <w:jc w:val="both"/>
        <w:rPr>
          <w:rFonts w:ascii="Verdana" w:eastAsia="Times New Roman" w:hAnsi="Verdana" w:cs="Arial"/>
          <w:sz w:val="12"/>
          <w:szCs w:val="12"/>
          <w:lang w:val="es-MX" w:eastAsia="es-CO"/>
        </w:rPr>
      </w:pPr>
    </w:p>
    <w:p w14:paraId="063BE297" w14:textId="77777777" w:rsidR="00195C45" w:rsidRPr="00E2397D" w:rsidRDefault="00195C45" w:rsidP="00195C45">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42705EAC" w14:textId="77777777" w:rsidR="00195C45" w:rsidRPr="00E2397D" w:rsidRDefault="00195C45" w:rsidP="00195C45">
      <w:pPr>
        <w:spacing w:after="0" w:line="276" w:lineRule="auto"/>
        <w:jc w:val="both"/>
        <w:rPr>
          <w:rFonts w:ascii="Verdana" w:eastAsia="Calibri" w:hAnsi="Verdana" w:cs="Arial"/>
          <w:bCs/>
          <w:lang w:val="es-ES_tradnl"/>
        </w:rPr>
      </w:pPr>
    </w:p>
    <w:p w14:paraId="6BECBF94" w14:textId="77777777" w:rsidR="00195C45" w:rsidRDefault="00195C45" w:rsidP="00195C45">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5" w:name="_Hlk77236098"/>
      <w:bookmarkStart w:id="6"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47E7B76" w14:textId="77777777" w:rsidR="00195C45" w:rsidRPr="00E2397D" w:rsidRDefault="00195C45" w:rsidP="00195C45">
      <w:pPr>
        <w:spacing w:after="0" w:line="276" w:lineRule="auto"/>
        <w:ind w:firstLine="709"/>
        <w:jc w:val="both"/>
        <w:rPr>
          <w:rFonts w:ascii="Verdana" w:eastAsia="Arial" w:hAnsi="Verdana" w:cs="Arial"/>
          <w:lang w:val="es-ES" w:eastAsia="es-ES" w:bidi="es-ES"/>
        </w:rPr>
      </w:pPr>
    </w:p>
    <w:p w14:paraId="335350E2" w14:textId="77777777" w:rsidR="00195C45" w:rsidRPr="00E2397D" w:rsidRDefault="00195C45" w:rsidP="00195C45">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xml:space="preserve">. Precisado el propósito de la Ley, es pertinente señalar que las restricciones consagradas en la citada Ley se dirigen a dos (2) tipos de campañas electorales </w:t>
      </w:r>
      <w:r w:rsidRPr="00E2397D">
        <w:rPr>
          <w:rFonts w:ascii="Verdana" w:eastAsia="Arial" w:hAnsi="Verdana" w:cs="Arial"/>
          <w:lang w:val="es-ES" w:eastAsia="es-ES" w:bidi="es-ES"/>
        </w:rPr>
        <w:lastRenderedPageBreak/>
        <w:t>claramente diferenciadas: las presidenciales y las demás que se adelanten para la elección de los demás cargos de elección popular, tanto a nivel nacional como territorial.</w:t>
      </w:r>
      <w:bookmarkEnd w:id="5"/>
    </w:p>
    <w:p w14:paraId="1E52C10D" w14:textId="77777777" w:rsidR="00195C45" w:rsidRPr="00E2397D" w:rsidRDefault="00195C45" w:rsidP="00195C45">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67C4C61E" w14:textId="77777777" w:rsidR="00195C45" w:rsidRDefault="00195C45" w:rsidP="00195C45">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6"/>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02F16829" w14:textId="77777777" w:rsidR="00195C45" w:rsidRDefault="00195C45" w:rsidP="00195C45">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w:t>
      </w:r>
      <w:r>
        <w:rPr>
          <w:rFonts w:ascii="Verdana" w:eastAsia="Times New Roman" w:hAnsi="Verdana" w:cs="Arial"/>
          <w:bCs/>
          <w:lang w:eastAsia="es-CO"/>
        </w:rPr>
        <w:lastRenderedPageBreak/>
        <w:t xml:space="preserve">la que se acerca a la expresión “celebrar” en el contexto de la Ley de Garantías Electorales es la primera, esto es, al perfeccionamiento del contrato. </w:t>
      </w:r>
    </w:p>
    <w:p w14:paraId="023598A8" w14:textId="77777777" w:rsidR="00195C45" w:rsidRDefault="00195C45" w:rsidP="00195C45">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5D2E1B81" w14:textId="77777777" w:rsidR="00195C45" w:rsidRDefault="00195C45" w:rsidP="00195C45">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4CE216B9" w14:textId="77777777" w:rsidR="00195C45" w:rsidRPr="00D07CEE" w:rsidRDefault="00195C45" w:rsidP="00195C45">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r>
        <w:rPr>
          <w:rFonts w:ascii="Verdana" w:eastAsia="Times New Roman" w:hAnsi="Verdana" w:cs="Arial"/>
          <w:bCs/>
          <w:lang w:val="es-MX" w:eastAsia="es-CO"/>
        </w:rPr>
        <w:t>Al respecto, l</w:t>
      </w:r>
      <w:r w:rsidRPr="00E2397D">
        <w:rPr>
          <w:rFonts w:ascii="Verdana" w:eastAsia="Arial" w:hAnsi="Verdana" w:cs="Arial"/>
          <w:lang w:val="es-ES" w:eastAsia="es-ES" w:bidi="es-ES"/>
        </w:rPr>
        <w:t>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188E9ADD" w14:textId="77777777" w:rsidR="00195C45" w:rsidRPr="00E2397D" w:rsidRDefault="00195C45" w:rsidP="00195C45">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31D7DA17" w14:textId="77777777" w:rsidR="00195C45" w:rsidRPr="00E2397D" w:rsidRDefault="00195C45" w:rsidP="00195C45">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lastRenderedPageBreak/>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E2397D">
        <w:rPr>
          <w:rFonts w:ascii="Verdana" w:eastAsia="Arial" w:hAnsi="Verdana" w:cs="Arial"/>
          <w:sz w:val="20"/>
          <w:szCs w:val="20"/>
          <w:lang w:eastAsia="es-ES" w:bidi="es-ES"/>
        </w:rPr>
        <w:t>se integran parcialmente</w:t>
      </w:r>
      <w:bookmarkEnd w:id="9"/>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40D67AF9" w14:textId="77777777" w:rsidR="00195C45" w:rsidRPr="00E2397D" w:rsidRDefault="00195C45" w:rsidP="00195C45">
      <w:pPr>
        <w:widowControl w:val="0"/>
        <w:autoSpaceDE w:val="0"/>
        <w:autoSpaceDN w:val="0"/>
        <w:spacing w:after="0" w:line="276" w:lineRule="auto"/>
        <w:contextualSpacing/>
        <w:rPr>
          <w:rFonts w:ascii="Verdana" w:eastAsia="Arial" w:hAnsi="Verdana" w:cs="Arial"/>
          <w:lang w:val="es-ES" w:eastAsia="es-ES" w:bidi="es-ES"/>
        </w:rPr>
      </w:pPr>
    </w:p>
    <w:p w14:paraId="7F387B65" w14:textId="77777777" w:rsidR="00195C45" w:rsidRPr="00E2397D" w:rsidRDefault="00195C45" w:rsidP="00195C45">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34E2C2D6" w14:textId="77777777" w:rsidR="00195C45" w:rsidRPr="00E2397D" w:rsidRDefault="00195C45" w:rsidP="00195C45">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w:t>
      </w:r>
      <w:r w:rsidRPr="00E2397D">
        <w:rPr>
          <w:rFonts w:ascii="Verdana" w:eastAsia="Arial" w:hAnsi="Verdana" w:cs="Arial"/>
          <w:lang w:val="es-ES" w:eastAsia="es-ES" w:bidi="es-ES"/>
        </w:rPr>
        <w:lastRenderedPageBreak/>
        <w:t xml:space="preserve">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2"/>
    <w:p w14:paraId="7A594A01" w14:textId="77777777" w:rsidR="00195C45" w:rsidRDefault="00195C45" w:rsidP="00195C45">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4E790664" w14:textId="77777777" w:rsidR="00195C45" w:rsidRPr="00E2397D" w:rsidRDefault="00195C45" w:rsidP="00195C45">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3" w:name="_Hlk78820161"/>
    </w:p>
    <w:p w14:paraId="13F71840" w14:textId="77777777" w:rsidR="00195C45" w:rsidRPr="0057193B" w:rsidRDefault="00195C45" w:rsidP="00195C45">
      <w:pPr>
        <w:spacing w:line="276" w:lineRule="auto"/>
        <w:jc w:val="both"/>
        <w:rPr>
          <w:rFonts w:ascii="Verdana" w:eastAsia="Times New Roman" w:hAnsi="Verdana" w:cs="Arial"/>
          <w:bCs/>
          <w:lang w:val="es-MX" w:eastAsia="es-CO"/>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w:t>
      </w:r>
      <w:r w:rsidRPr="0057193B">
        <w:rPr>
          <w:rFonts w:ascii="Verdana" w:eastAsia="Arial" w:hAnsi="Verdana" w:cs="Arial"/>
          <w:lang w:val="es-ES" w:eastAsia="es-ES" w:bidi="es-ES"/>
        </w:rPr>
        <w:t xml:space="preserve"> </w:t>
      </w:r>
      <w:bookmarkEnd w:id="13"/>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096A14A3" w14:textId="77777777" w:rsidR="00195C45" w:rsidRPr="00817856" w:rsidRDefault="00195C45" w:rsidP="00195C45">
      <w:pPr>
        <w:spacing w:after="0" w:line="240" w:lineRule="auto"/>
        <w:ind w:left="708" w:right="709"/>
        <w:jc w:val="both"/>
        <w:rPr>
          <w:rFonts w:ascii="Verdana" w:eastAsia="Calibri" w:hAnsi="Verdana" w:cs="Arial"/>
          <w:sz w:val="20"/>
          <w:szCs w:val="20"/>
          <w:lang w:val="es-MX"/>
        </w:rPr>
      </w:pPr>
    </w:p>
    <w:p w14:paraId="45A66C55" w14:textId="77777777" w:rsidR="00195C45" w:rsidRDefault="00195C45" w:rsidP="00195C45">
      <w:pPr>
        <w:spacing w:after="0" w:line="240" w:lineRule="auto"/>
        <w:ind w:left="709" w:right="709"/>
        <w:jc w:val="both"/>
        <w:rPr>
          <w:rFonts w:ascii="Verdana" w:eastAsia="Calibri" w:hAnsi="Verdana" w:cs="Arial"/>
          <w:sz w:val="20"/>
          <w:szCs w:val="20"/>
          <w:lang w:val="es-MX"/>
        </w:rPr>
      </w:pPr>
      <w:r w:rsidRPr="00817856">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817856">
        <w:rPr>
          <w:rFonts w:ascii="Verdana" w:eastAsia="Times New Roman" w:hAnsi="Verdana" w:cs="Arial"/>
          <w:sz w:val="20"/>
          <w:szCs w:val="20"/>
          <w:vertAlign w:val="superscript"/>
          <w:lang w:eastAsia="es-CO"/>
        </w:rPr>
        <w:footnoteReference w:id="12"/>
      </w:r>
      <w:r w:rsidRPr="00817856">
        <w:rPr>
          <w:rFonts w:ascii="Verdana" w:eastAsia="Calibri" w:hAnsi="Verdana" w:cs="Arial"/>
          <w:sz w:val="20"/>
          <w:szCs w:val="20"/>
          <w:lang w:val="es-MX"/>
        </w:rPr>
        <w:t>.</w:t>
      </w:r>
    </w:p>
    <w:p w14:paraId="1C96DEC9" w14:textId="77777777" w:rsidR="00195C45" w:rsidRPr="00817856" w:rsidRDefault="00195C45" w:rsidP="00195C45">
      <w:pPr>
        <w:spacing w:after="0" w:line="240" w:lineRule="auto"/>
        <w:ind w:left="709" w:right="709"/>
        <w:jc w:val="both"/>
        <w:rPr>
          <w:rFonts w:ascii="Verdana" w:eastAsia="Calibri" w:hAnsi="Verdana" w:cs="Arial"/>
          <w:sz w:val="20"/>
          <w:szCs w:val="20"/>
          <w:lang w:val="es-MX"/>
        </w:rPr>
      </w:pPr>
    </w:p>
    <w:p w14:paraId="62ED79B1" w14:textId="77777777" w:rsidR="00195C45" w:rsidRPr="00817856" w:rsidRDefault="00195C45" w:rsidP="00195C45">
      <w:pPr>
        <w:spacing w:after="0" w:line="240" w:lineRule="auto"/>
        <w:ind w:left="708" w:right="709"/>
        <w:jc w:val="both"/>
        <w:rPr>
          <w:rFonts w:ascii="Verdana" w:eastAsia="Calibri" w:hAnsi="Verdana" w:cs="Arial"/>
          <w:sz w:val="20"/>
          <w:szCs w:val="20"/>
          <w:lang w:val="es-MX"/>
        </w:rPr>
      </w:pPr>
      <w:r w:rsidRPr="00817856">
        <w:rPr>
          <w:rFonts w:ascii="Verdana" w:eastAsia="Calibri" w:hAnsi="Verdana" w:cs="Arial"/>
          <w:sz w:val="20"/>
          <w:szCs w:val="20"/>
          <w:lang w:val="es-MX"/>
        </w:rPr>
        <w:t xml:space="preserve">Esta Sala ha entendido </w:t>
      </w:r>
      <w:proofErr w:type="gramStart"/>
      <w:r w:rsidRPr="00817856">
        <w:rPr>
          <w:rFonts w:ascii="Verdana" w:eastAsia="Calibri" w:hAnsi="Verdana" w:cs="Arial"/>
          <w:sz w:val="20"/>
          <w:szCs w:val="20"/>
          <w:lang w:val="es-MX"/>
        </w:rPr>
        <w:t>que</w:t>
      </w:r>
      <w:proofErr w:type="gramEnd"/>
      <w:r w:rsidRPr="00817856">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w:t>
      </w:r>
      <w:r w:rsidRPr="00817856">
        <w:rPr>
          <w:rFonts w:ascii="Verdana" w:eastAsia="Calibri" w:hAnsi="Verdana" w:cs="Arial"/>
          <w:sz w:val="20"/>
          <w:szCs w:val="20"/>
          <w:lang w:val="es-MX"/>
        </w:rPr>
        <w:lastRenderedPageBreak/>
        <w:t>cualquier otro que prescinda de un proceso de licitación pública o concurso</w:t>
      </w:r>
      <w:r w:rsidRPr="00817856">
        <w:rPr>
          <w:rFonts w:ascii="Verdana" w:eastAsia="Times New Roman" w:hAnsi="Verdana" w:cs="Arial"/>
          <w:sz w:val="20"/>
          <w:szCs w:val="20"/>
          <w:vertAlign w:val="superscript"/>
          <w:lang w:val="es-MX"/>
        </w:rPr>
        <w:footnoteReference w:id="13"/>
      </w:r>
      <w:r w:rsidRPr="00817856">
        <w:rPr>
          <w:rFonts w:ascii="Verdana" w:eastAsia="Times New Roman" w:hAnsi="Verdana" w:cs="Arial"/>
          <w:sz w:val="20"/>
          <w:szCs w:val="20"/>
          <w:vertAlign w:val="superscript"/>
          <w:lang w:val="es-MX"/>
        </w:rPr>
        <w:t>.</w:t>
      </w:r>
      <w:r w:rsidRPr="00817856">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817856">
        <w:rPr>
          <w:rFonts w:ascii="Verdana" w:eastAsia="Times New Roman" w:hAnsi="Verdana" w:cs="Arial"/>
          <w:sz w:val="20"/>
          <w:szCs w:val="20"/>
          <w:vertAlign w:val="superscript"/>
          <w:lang w:eastAsia="es-CO"/>
        </w:rPr>
        <w:footnoteReference w:id="14"/>
      </w:r>
      <w:r w:rsidRPr="00817856">
        <w:rPr>
          <w:rFonts w:ascii="Verdana" w:eastAsia="Calibri" w:hAnsi="Verdana" w:cs="Arial"/>
          <w:sz w:val="20"/>
          <w:szCs w:val="20"/>
          <w:lang w:val="es-MX"/>
        </w:rPr>
        <w:t xml:space="preserve"> .</w:t>
      </w:r>
    </w:p>
    <w:p w14:paraId="4B626FBD" w14:textId="77777777" w:rsidR="00195C45" w:rsidRPr="0057193B" w:rsidRDefault="00195C45" w:rsidP="00195C45">
      <w:pPr>
        <w:shd w:val="clear" w:color="auto" w:fill="FFFFFF"/>
        <w:spacing w:after="0" w:line="276" w:lineRule="auto"/>
        <w:ind w:firstLine="709"/>
        <w:jc w:val="both"/>
        <w:rPr>
          <w:rFonts w:ascii="Verdana" w:eastAsia="Times New Roman" w:hAnsi="Verdana" w:cs="Arial"/>
          <w:lang w:eastAsia="x-none"/>
        </w:rPr>
      </w:pPr>
    </w:p>
    <w:p w14:paraId="1A6589D8" w14:textId="77777777" w:rsidR="00195C45" w:rsidRPr="0057193B" w:rsidRDefault="00195C45" w:rsidP="00195C45">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4465D153" w14:textId="77777777" w:rsidR="00195C45" w:rsidRPr="0057193B" w:rsidRDefault="00195C45" w:rsidP="00195C45">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precisando el Consejo de Estad</w:t>
      </w:r>
      <w:r>
        <w:rPr>
          <w:rFonts w:ascii="Verdana" w:eastAsia="Times New Roman" w:hAnsi="Verdana" w:cs="Arial"/>
          <w:lang w:eastAsia="x-none"/>
        </w:rPr>
        <w:t>o –en el concepto citado– que, “</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111C3D4A" w14:textId="77777777" w:rsidR="00195C45" w:rsidRPr="005154AE" w:rsidRDefault="00195C45" w:rsidP="00195C45">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lastRenderedPageBreak/>
        <w:t>E</w:t>
      </w:r>
      <w:r w:rsidRPr="0057193B">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w:t>
      </w:r>
      <w:r>
        <w:rPr>
          <w:rFonts w:ascii="Verdana" w:eastAsia="Times New Roman" w:hAnsi="Verdana" w:cs="Arial"/>
          <w:lang w:eastAsia="x-none"/>
        </w:rPr>
        <w:t>ue dicho sistema no constituye “contratación directa”</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lang w:eastAsia="x-none"/>
        </w:rPr>
        <w:t xml:space="preserve">. </w:t>
      </w:r>
    </w:p>
    <w:p w14:paraId="0367F516" w14:textId="77777777" w:rsidR="00195C45" w:rsidRPr="0057193B" w:rsidRDefault="00195C45" w:rsidP="00195C45">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4631FF1F" w14:textId="77777777" w:rsidR="00195C45" w:rsidRPr="0057193B" w:rsidRDefault="00195C45" w:rsidP="00195C45">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07150F99" w14:textId="77777777" w:rsidR="00195C45" w:rsidRPr="0057193B" w:rsidRDefault="00195C45" w:rsidP="00195C45">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E04110F" w14:textId="77777777" w:rsidR="00195C45" w:rsidRPr="0057193B" w:rsidRDefault="00195C45" w:rsidP="00195C45">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lastRenderedPageBreak/>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57193B">
        <w:rPr>
          <w:rFonts w:ascii="Verdana" w:eastAsia="Times New Roman" w:hAnsi="Verdana" w:cs="Arial"/>
          <w:bCs/>
          <w:lang w:val="es-MX" w:eastAsia="x-none"/>
        </w:rPr>
        <w:t>ii</w:t>
      </w:r>
      <w:proofErr w:type="spellEnd"/>
      <w:r w:rsidRPr="0057193B">
        <w:rPr>
          <w:rFonts w:ascii="Verdana" w:eastAsia="Times New Roman" w:hAnsi="Verdana" w:cs="Arial"/>
          <w:bCs/>
          <w:lang w:val="es-MX" w:eastAsia="x-none"/>
        </w:rPr>
        <w:t xml:space="preserve">) los contratos de crédito público; </w:t>
      </w:r>
      <w:proofErr w:type="spellStart"/>
      <w:r w:rsidRPr="0057193B">
        <w:rPr>
          <w:rFonts w:ascii="Verdana" w:eastAsia="Times New Roman" w:hAnsi="Verdana" w:cs="Arial"/>
          <w:bCs/>
          <w:lang w:val="es-MX" w:eastAsia="x-none"/>
        </w:rPr>
        <w:t>iii</w:t>
      </w:r>
      <w:proofErr w:type="spellEnd"/>
      <w:r w:rsidRPr="0057193B">
        <w:rPr>
          <w:rFonts w:ascii="Verdana" w:eastAsia="Times New Roman" w:hAnsi="Verdana" w:cs="Arial"/>
          <w:bCs/>
          <w:lang w:val="es-MX" w:eastAsia="x-none"/>
        </w:rPr>
        <w:t xml:space="preserve">) los requeridos para cubrir las emergencias educativas, sanitarias y desastres; </w:t>
      </w:r>
      <w:proofErr w:type="spellStart"/>
      <w:r w:rsidRPr="0057193B">
        <w:rPr>
          <w:rFonts w:ascii="Verdana" w:eastAsia="Times New Roman" w:hAnsi="Verdana" w:cs="Arial"/>
          <w:bCs/>
          <w:lang w:val="es-MX" w:eastAsia="x-none"/>
        </w:rPr>
        <w:t>iv</w:t>
      </w:r>
      <w:proofErr w:type="spellEnd"/>
      <w:r w:rsidRPr="005719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D0F5A4C" w14:textId="77777777" w:rsidR="00195C45" w:rsidRPr="0057193B" w:rsidRDefault="00195C45" w:rsidP="00195C45">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0"/>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2107D407" w14:textId="77777777" w:rsidR="00195C45" w:rsidRPr="0057193B" w:rsidRDefault="00195C45" w:rsidP="00195C45">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w:t>
      </w:r>
      <w:r w:rsidRPr="0057193B">
        <w:rPr>
          <w:rFonts w:ascii="Verdana" w:eastAsia="Times New Roman" w:hAnsi="Verdana" w:cs="Arial"/>
          <w:bCs/>
          <w:lang w:val="es-MX" w:eastAsia="x-none"/>
        </w:rPr>
        <w:lastRenderedPageBreak/>
        <w:t xml:space="preserve">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445DCFC8" w14:textId="77777777" w:rsidR="00195C45" w:rsidRPr="0057193B" w:rsidRDefault="00195C45" w:rsidP="00195C45">
      <w:pPr>
        <w:spacing w:after="0" w:line="276" w:lineRule="auto"/>
        <w:jc w:val="both"/>
        <w:rPr>
          <w:rFonts w:ascii="Verdana" w:eastAsia="Times New Roman" w:hAnsi="Verdana" w:cs="Arial"/>
          <w:bCs/>
          <w:lang w:val="es-MX" w:eastAsia="x-none"/>
        </w:rPr>
      </w:pPr>
    </w:p>
    <w:p w14:paraId="5DF9112F" w14:textId="77777777" w:rsidR="00195C45" w:rsidRPr="0057193B" w:rsidRDefault="00195C45" w:rsidP="00195C45">
      <w:pPr>
        <w:spacing w:after="0" w:line="240" w:lineRule="auto"/>
        <w:ind w:left="708" w:right="709"/>
        <w:jc w:val="both"/>
        <w:rPr>
          <w:rFonts w:ascii="Verdana" w:eastAsia="Times New Roman" w:hAnsi="Verdana" w:cs="Arial"/>
          <w:bCs/>
          <w:sz w:val="21"/>
          <w:szCs w:val="21"/>
          <w:lang w:val="es-MX" w:eastAsia="es-CO"/>
        </w:rPr>
      </w:pPr>
      <w:r w:rsidRPr="0057193B">
        <w:rPr>
          <w:rFonts w:ascii="Verdana" w:eastAsia="Times New Roman" w:hAnsi="Verdana" w:cs="Arial"/>
          <w:bCs/>
          <w:sz w:val="21"/>
          <w:szCs w:val="21"/>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57193B">
        <w:rPr>
          <w:rFonts w:ascii="Verdana" w:eastAsia="Times New Roman" w:hAnsi="Verdana" w:cs="Arial"/>
          <w:bCs/>
          <w:sz w:val="21"/>
          <w:szCs w:val="21"/>
          <w:vertAlign w:val="superscript"/>
          <w:lang w:val="es-MX" w:eastAsia="x-none"/>
        </w:rPr>
        <w:footnoteReference w:id="21"/>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371516A2" w14:textId="77777777" w:rsidR="00195C45" w:rsidRPr="0057193B" w:rsidRDefault="00195C45" w:rsidP="00195C45">
      <w:pPr>
        <w:spacing w:after="0" w:line="276" w:lineRule="auto"/>
        <w:ind w:firstLine="708"/>
        <w:jc w:val="both"/>
        <w:rPr>
          <w:rFonts w:ascii="Verdana" w:eastAsia="Times New Roman" w:hAnsi="Verdana" w:cs="Arial"/>
          <w:bCs/>
          <w:lang w:val="es-MX" w:eastAsia="es-CO"/>
        </w:rPr>
      </w:pPr>
    </w:p>
    <w:p w14:paraId="3F122788" w14:textId="77777777" w:rsidR="00195C45" w:rsidRPr="0057193B" w:rsidRDefault="00195C45" w:rsidP="00195C45">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2"/>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36836EB7" w14:textId="77777777" w:rsidR="00195C45" w:rsidRPr="0057193B" w:rsidRDefault="00195C45" w:rsidP="00195C45">
      <w:pPr>
        <w:spacing w:after="0" w:line="276" w:lineRule="auto"/>
        <w:jc w:val="both"/>
        <w:rPr>
          <w:rFonts w:ascii="Verdana" w:eastAsia="Calibri" w:hAnsi="Verdana" w:cs="Arial"/>
          <w:lang w:val="es-MX"/>
        </w:rPr>
      </w:pPr>
    </w:p>
    <w:p w14:paraId="6B3B21F1" w14:textId="77777777" w:rsidR="00195C45" w:rsidRPr="001924B7" w:rsidRDefault="00195C45" w:rsidP="00195C45">
      <w:pPr>
        <w:spacing w:after="0" w:line="240" w:lineRule="auto"/>
        <w:ind w:left="708" w:right="709"/>
        <w:jc w:val="both"/>
        <w:rPr>
          <w:rFonts w:ascii="Verdana" w:eastAsia="Calibri" w:hAnsi="Verdana" w:cs="Arial"/>
          <w:sz w:val="20"/>
          <w:szCs w:val="20"/>
          <w:lang w:val="es-MX"/>
        </w:rPr>
      </w:pPr>
      <w:r w:rsidRPr="001924B7">
        <w:rPr>
          <w:rFonts w:ascii="Verdana" w:eastAsia="Calibri"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w:t>
      </w:r>
      <w:r w:rsidRPr="001924B7">
        <w:rPr>
          <w:rFonts w:ascii="Verdana" w:eastAsia="Calibri" w:hAnsi="Verdana" w:cs="Arial"/>
          <w:sz w:val="20"/>
          <w:szCs w:val="20"/>
          <w:lang w:val="es-MX"/>
        </w:rPr>
        <w:lastRenderedPageBreak/>
        <w:t>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569214FC" w14:textId="77777777" w:rsidR="00195C45" w:rsidRPr="001924B7" w:rsidRDefault="00195C45" w:rsidP="00195C45">
      <w:pPr>
        <w:spacing w:after="0" w:line="240" w:lineRule="auto"/>
        <w:ind w:left="708" w:right="709"/>
        <w:jc w:val="both"/>
        <w:rPr>
          <w:rFonts w:ascii="Verdana" w:eastAsia="Calibri" w:hAnsi="Verdana" w:cs="Arial"/>
          <w:sz w:val="20"/>
          <w:szCs w:val="20"/>
          <w:lang w:val="es-MX"/>
        </w:rPr>
      </w:pPr>
    </w:p>
    <w:p w14:paraId="3D3BD9E5" w14:textId="77777777" w:rsidR="00195C45" w:rsidRPr="001924B7" w:rsidRDefault="00195C45" w:rsidP="00195C45">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924B7">
        <w:rPr>
          <w:rFonts w:ascii="Verdana" w:eastAsia="Calibri" w:hAnsi="Verdana" w:cs="Arial"/>
          <w:sz w:val="20"/>
          <w:szCs w:val="20"/>
          <w:vertAlign w:val="superscript"/>
          <w:lang w:val="es-MX"/>
        </w:rPr>
        <w:footnoteReference w:id="23"/>
      </w:r>
      <w:r w:rsidRPr="001924B7">
        <w:rPr>
          <w:rFonts w:ascii="Verdana" w:eastAsia="Times New Roman" w:hAnsi="Verdana" w:cs="Arial"/>
          <w:bCs/>
          <w:sz w:val="20"/>
          <w:szCs w:val="20"/>
          <w:lang w:val="es-MX" w:eastAsia="x-none"/>
        </w:rPr>
        <w:t>.</w:t>
      </w:r>
    </w:p>
    <w:p w14:paraId="3C22F192" w14:textId="77777777" w:rsidR="00195C45" w:rsidRPr="0057193B" w:rsidRDefault="00195C45" w:rsidP="00195C45">
      <w:pPr>
        <w:spacing w:after="0" w:line="276" w:lineRule="auto"/>
        <w:jc w:val="both"/>
        <w:rPr>
          <w:rFonts w:ascii="Verdana" w:eastAsia="Calibri" w:hAnsi="Verdana" w:cs="Arial"/>
          <w:lang w:val="es-MX"/>
        </w:rPr>
      </w:pPr>
    </w:p>
    <w:p w14:paraId="239A3D8A" w14:textId="77777777" w:rsidR="00195C45" w:rsidRPr="0057193B" w:rsidRDefault="00195C45" w:rsidP="00195C45">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4"/>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6F37A641" w14:textId="77777777" w:rsidR="00195C45" w:rsidRDefault="00195C45" w:rsidP="00195C45">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w:t>
      </w:r>
      <w:r w:rsidRPr="0057193B">
        <w:rPr>
          <w:rFonts w:ascii="Verdana" w:eastAsia="Calibri" w:hAnsi="Verdana" w:cs="Arial"/>
          <w:lang w:val="es-MX"/>
        </w:rPr>
        <w:lastRenderedPageBreak/>
        <w:t xml:space="preserve">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44F2049F" w14:textId="77777777" w:rsidR="00195C45" w:rsidRPr="00186DE9" w:rsidRDefault="00195C45" w:rsidP="00195C45">
      <w:pPr>
        <w:spacing w:after="120" w:line="276" w:lineRule="auto"/>
        <w:ind w:firstLine="709"/>
        <w:jc w:val="both"/>
        <w:rPr>
          <w:rFonts w:ascii="Verdana" w:eastAsia="Times New Roman" w:hAnsi="Verdana" w:cs="Arial"/>
          <w:bCs/>
          <w:lang w:val="es-MX" w:eastAsia="x-none" w:bidi="es-ES"/>
        </w:rPr>
      </w:pPr>
      <w:r w:rsidRPr="00186DE9">
        <w:rPr>
          <w:rFonts w:ascii="Verdana" w:eastAsia="Times New Roman" w:hAnsi="Verdana" w:cs="Arial"/>
          <w:bCs/>
          <w:lang w:val="es-MX" w:eastAsia="x-none"/>
        </w:rPr>
        <w:t xml:space="preserve"> En este sentido, todos los entes del Estado, independiente del régimen jurídico aplicable, están sujetos a la restricción del artículo 33 de la Ley 996 de 2005, es decir, no podrán adelantar sistema que implique contratación directa respecto de </w:t>
      </w:r>
      <w:r w:rsidRPr="00186DE9">
        <w:rPr>
          <w:rFonts w:ascii="Verdana" w:eastAsia="Times New Roman" w:hAnsi="Verdana" w:cs="Arial"/>
          <w:bCs/>
          <w:lang w:val="es-MX" w:eastAsia="x-none" w:bidi="es-ES"/>
        </w:rPr>
        <w:t xml:space="preserve">las elecciones presidenciales, dentro de los cuatro (4) meses anteriores a la celebración de los comicios, salvo las excepciones dispuestas en esta. </w:t>
      </w:r>
      <w:r w:rsidRPr="00186DE9">
        <w:rPr>
          <w:rFonts w:ascii="Verdana" w:eastAsia="Times New Roman" w:hAnsi="Verdana" w:cs="Arial"/>
          <w:bCs/>
          <w:lang w:val="es-MX" w:eastAsia="x-none"/>
        </w:rPr>
        <w:t>En efecto, los entes del Estado independiente de su régimen especial no podrán celebrar contratos de forma directa desde el 31 de enero de 2026, teniendo en cuenta que la Resolución 02580 del 5 de marzo de 2025 de la Registraduría Nacional del Estado Civil dispuso que las elecciones presidenciales se celebrarán el 31 de mayo de 2026.</w:t>
      </w:r>
    </w:p>
    <w:p w14:paraId="13A82F17" w14:textId="77777777" w:rsidR="00195C45" w:rsidRPr="00A63F17" w:rsidRDefault="00195C45" w:rsidP="00195C45">
      <w:pPr>
        <w:spacing w:after="120" w:line="276" w:lineRule="auto"/>
        <w:ind w:firstLine="709"/>
        <w:jc w:val="both"/>
        <w:rPr>
          <w:rFonts w:ascii="Verdana" w:eastAsia="Times New Roman" w:hAnsi="Verdana" w:cs="Arial"/>
          <w:bCs/>
          <w:lang w:val="es-MX" w:eastAsia="x-none"/>
        </w:rPr>
      </w:pPr>
      <w:r w:rsidRPr="00355EA0">
        <w:rPr>
          <w:rFonts w:ascii="Verdana" w:eastAsia="Times New Roman" w:hAnsi="Verdana" w:cs="Arial"/>
          <w:bCs/>
          <w:lang w:val="es-MX" w:eastAsia="x-none" w:bidi="es-ES"/>
        </w:rPr>
        <w:t>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w:t>
      </w:r>
      <w:r>
        <w:rPr>
          <w:rFonts w:ascii="Verdana" w:eastAsia="Times New Roman" w:hAnsi="Verdana" w:cs="Arial"/>
          <w:bCs/>
          <w:lang w:val="es-MX" w:eastAsia="x-none" w:bidi="es-ES"/>
        </w:rPr>
        <w:t>, que, de acuerdo con lo expuesto, se celebraría el 21 de junio de 2026.</w:t>
      </w:r>
    </w:p>
    <w:p w14:paraId="36234B57" w14:textId="77777777" w:rsidR="00195C45" w:rsidRPr="003B7D6C" w:rsidRDefault="00195C45" w:rsidP="00195C45">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 xml:space="preserve">i) la defensa y seguridad del Estado; </w:t>
      </w:r>
      <w:proofErr w:type="spellStart"/>
      <w:r w:rsidRPr="00333EDB">
        <w:rPr>
          <w:rFonts w:ascii="Verdana" w:eastAsia="Times New Roman" w:hAnsi="Verdana" w:cs="Arial"/>
          <w:bCs/>
          <w:lang w:val="es-MX" w:eastAsia="x-none"/>
        </w:rPr>
        <w:t>ii</w:t>
      </w:r>
      <w:proofErr w:type="spellEnd"/>
      <w:r w:rsidRPr="00333EDB">
        <w:rPr>
          <w:rFonts w:ascii="Verdana" w:eastAsia="Times New Roman" w:hAnsi="Verdana" w:cs="Arial"/>
          <w:bCs/>
          <w:lang w:val="es-MX" w:eastAsia="x-none"/>
        </w:rPr>
        <w:t xml:space="preserve">) los contratos de crédito público; </w:t>
      </w:r>
      <w:proofErr w:type="spellStart"/>
      <w:r w:rsidRPr="00333EDB">
        <w:rPr>
          <w:rFonts w:ascii="Verdana" w:eastAsia="Times New Roman" w:hAnsi="Verdana" w:cs="Arial"/>
          <w:bCs/>
          <w:lang w:val="es-MX" w:eastAsia="x-none"/>
        </w:rPr>
        <w:t>iii</w:t>
      </w:r>
      <w:proofErr w:type="spellEnd"/>
      <w:r w:rsidRPr="00333EDB">
        <w:rPr>
          <w:rFonts w:ascii="Verdana" w:eastAsia="Times New Roman" w:hAnsi="Verdana" w:cs="Arial"/>
          <w:bCs/>
          <w:lang w:val="es-MX" w:eastAsia="x-none"/>
        </w:rPr>
        <w:t xml:space="preserve">) los requeridos para cubrir las emergencias educativas, sanitarias y desastres; </w:t>
      </w:r>
      <w:proofErr w:type="spellStart"/>
      <w:r w:rsidRPr="00333EDB">
        <w:rPr>
          <w:rFonts w:ascii="Verdana" w:eastAsia="Times New Roman" w:hAnsi="Verdana" w:cs="Arial"/>
          <w:bCs/>
          <w:lang w:val="es-MX" w:eastAsia="x-none"/>
        </w:rPr>
        <w:t>iv</w:t>
      </w:r>
      <w:proofErr w:type="spellEnd"/>
      <w:r w:rsidRPr="00333EDB">
        <w:rPr>
          <w:rFonts w:ascii="Verdana" w:eastAsia="Times New Roman" w:hAnsi="Verdana" w:cs="Arial"/>
          <w:bCs/>
          <w:lang w:val="es-MX" w:eastAsia="x-none"/>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w:t>
      </w:r>
      <w:r w:rsidRPr="00333EDB">
        <w:rPr>
          <w:rFonts w:ascii="Verdana" w:eastAsia="Times New Roman" w:hAnsi="Verdana" w:cs="Arial"/>
          <w:bCs/>
          <w:lang w:val="es-MX" w:eastAsia="x-none"/>
        </w:rPr>
        <w:lastRenderedPageBreak/>
        <w:t>ente del Estado, examinar en cada caso la naturaleza de las actividades que adelanta y determinar si las mismas se enmarcan en alguna de las mencionadas excepciones, de manera que se le permita realizar la contratación que necesite en forma directa.</w:t>
      </w:r>
    </w:p>
    <w:p w14:paraId="030E151C" w14:textId="77777777" w:rsidR="00195C45" w:rsidRDefault="00195C45" w:rsidP="00195C45">
      <w:pPr>
        <w:spacing w:after="120" w:line="276" w:lineRule="auto"/>
        <w:ind w:firstLine="709"/>
        <w:jc w:val="both"/>
        <w:rPr>
          <w:rFonts w:ascii="Verdana" w:eastAsia="Times New Roman" w:hAnsi="Verdana" w:cs="Arial"/>
          <w:bCs/>
          <w:lang w:val="es-MX" w:eastAsia="es-CO"/>
        </w:rPr>
      </w:pPr>
      <w:r w:rsidRPr="0057193B">
        <w:rPr>
          <w:rFonts w:ascii="Verdana" w:eastAsia="Times New Roman" w:hAnsi="Verdana" w:cs="Arial"/>
          <w:bCs/>
          <w:lang w:val="es-MX" w:eastAsia="x-none"/>
        </w:rPr>
        <w:t>Finalmente, se reitera, c</w:t>
      </w:r>
      <w:r w:rsidRPr="0057193B">
        <w:rPr>
          <w:rFonts w:ascii="Verdana" w:eastAsia="Times New Roman" w:hAnsi="Verdana" w:cs="Arial"/>
          <w:bCs/>
          <w:lang w:val="es-MX" w:eastAsia="es-CO"/>
        </w:rPr>
        <w:t>omo en otras oportunidades lo ha manifestado esta Agencia, que las prórrogas, modificaciones o adiciones de los contratos suscritos antes de la entrada en vigor de las prohibiciones anotadas, así como la cesión de</w:t>
      </w:r>
      <w:r>
        <w:rPr>
          <w:rFonts w:ascii="Verdana" w:eastAsia="Times New Roman" w:hAnsi="Verdana" w:cs="Arial"/>
          <w:bCs/>
          <w:lang w:val="es-MX" w:eastAsia="es-CO"/>
        </w:rPr>
        <w:t xml:space="preserve"> estos</w:t>
      </w:r>
      <w:r w:rsidRPr="0057193B">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5"/>
      </w:r>
      <w:r w:rsidRPr="0057193B">
        <w:rPr>
          <w:rFonts w:ascii="Verdana" w:eastAsia="Times New Roman" w:hAnsi="Verdana" w:cs="Arial"/>
          <w:bCs/>
          <w:lang w:val="es-MX" w:eastAsia="es-CO"/>
        </w:rPr>
        <w:t>. Además, también es posible que contratos celebrados previamente se continúen ejecutando con normalidad.</w:t>
      </w:r>
    </w:p>
    <w:p w14:paraId="4E4C981B" w14:textId="77777777" w:rsidR="00195C45" w:rsidRDefault="00195C45" w:rsidP="00195C45">
      <w:pPr>
        <w:spacing w:after="120" w:line="276" w:lineRule="auto"/>
        <w:jc w:val="both"/>
        <w:rPr>
          <w:rFonts w:ascii="Verdana" w:eastAsia="Times New Roman" w:hAnsi="Verdana" w:cs="Arial"/>
          <w:bCs/>
          <w:lang w:val="es-MX" w:eastAsia="es-CO"/>
        </w:rPr>
      </w:pPr>
    </w:p>
    <w:p w14:paraId="6B7421D8" w14:textId="77777777" w:rsidR="00195C45" w:rsidRPr="00B57ED5" w:rsidRDefault="00195C45" w:rsidP="00195C45">
      <w:pPr>
        <w:spacing w:before="120" w:after="120" w:line="276" w:lineRule="auto"/>
        <w:jc w:val="both"/>
        <w:rPr>
          <w:rFonts w:ascii="Verdana" w:eastAsia="Calibri" w:hAnsi="Verdana" w:cs="Arial"/>
          <w:lang w:val="es-ES"/>
        </w:rPr>
      </w:pPr>
      <w:proofErr w:type="spellStart"/>
      <w:r w:rsidRPr="00021A39">
        <w:rPr>
          <w:rFonts w:ascii="Verdana" w:eastAsia="Times New Roman" w:hAnsi="Verdana" w:cs="Arial"/>
          <w:bCs/>
          <w:lang w:val="es-MX" w:eastAsia="es-CO"/>
        </w:rPr>
        <w:t>iv</w:t>
      </w:r>
      <w:proofErr w:type="spellEnd"/>
      <w:r w:rsidRPr="00021A39">
        <w:rPr>
          <w:rFonts w:ascii="Verdana" w:eastAsia="Times New Roman" w:hAnsi="Verdana" w:cs="Arial"/>
          <w:bCs/>
          <w:lang w:val="es-MX" w:eastAsia="es-CO"/>
        </w:rPr>
        <w:t xml:space="preserve">. </w:t>
      </w:r>
      <w:r w:rsidRPr="00021A39">
        <w:rPr>
          <w:rFonts w:ascii="Verdana" w:eastAsia="Calibri" w:hAnsi="Verdana" w:cs="Arial"/>
          <w:lang w:val="es-ES"/>
        </w:rPr>
        <w:t xml:space="preserve">En torno a la </w:t>
      </w:r>
      <w:r>
        <w:rPr>
          <w:rFonts w:ascii="Verdana" w:eastAsia="Calibri" w:hAnsi="Verdana" w:cs="Arial"/>
          <w:lang w:val="es-ES"/>
        </w:rPr>
        <w:t xml:space="preserve">contratación de los consulados y la posibilidad de aplicación de la Ley 996 de 2005 -Ley de Garantías Electorales- es pertinente revisar las funciones de estos organismos como dependencias del Ministerio de Relaciones Exteriores. Para ello, es pertinente señalar que el </w:t>
      </w:r>
      <w:r w:rsidRPr="00B57ED5">
        <w:rPr>
          <w:rFonts w:ascii="Verdana" w:eastAsia="Calibri" w:hAnsi="Verdana" w:cs="Arial"/>
          <w:lang w:val="es-ES"/>
        </w:rPr>
        <w:t xml:space="preserve">Ministerio de Relaciones Exteriores es el organismo rector del Sector Administrativo de Relaciones Exteriores y, bajo la dirección del </w:t>
      </w:r>
      <w:proofErr w:type="gramStart"/>
      <w:r w:rsidRPr="00B57ED5">
        <w:rPr>
          <w:rFonts w:ascii="Verdana" w:eastAsia="Calibri" w:hAnsi="Verdana" w:cs="Arial"/>
          <w:lang w:val="es-ES"/>
        </w:rPr>
        <w:t>Presidente</w:t>
      </w:r>
      <w:proofErr w:type="gramEnd"/>
      <w:r w:rsidRPr="00B57ED5">
        <w:rPr>
          <w:rFonts w:ascii="Verdana" w:eastAsia="Calibri" w:hAnsi="Verdana" w:cs="Arial"/>
          <w:lang w:val="es-ES"/>
        </w:rPr>
        <w:t xml:space="preserve"> de la República, tiene la responsabilidad de formular, coordinar, ejecutar y evaluar la política exterior de Colombia. También administra el servicio exterior y gestiona las relaciones internacionales del país, asegurando que estas respondan a los intereses nacionales y a los principios del Derecho Internacional.</w:t>
      </w:r>
    </w:p>
    <w:p w14:paraId="61434ABC" w14:textId="77777777" w:rsidR="00195C45" w:rsidRPr="00B57ED5" w:rsidRDefault="00195C45" w:rsidP="00195C45">
      <w:pPr>
        <w:spacing w:before="120" w:after="120" w:line="276" w:lineRule="auto"/>
        <w:ind w:firstLine="709"/>
        <w:jc w:val="both"/>
        <w:rPr>
          <w:rFonts w:ascii="Verdana" w:eastAsia="Calibri" w:hAnsi="Verdana" w:cs="Arial"/>
          <w:lang w:val="es-ES"/>
        </w:rPr>
      </w:pPr>
      <w:r w:rsidRPr="00B57ED5">
        <w:rPr>
          <w:rFonts w:ascii="Verdana" w:eastAsia="Calibri" w:hAnsi="Verdana" w:cs="Arial"/>
          <w:lang w:val="es-ES"/>
        </w:rPr>
        <w:t>Entre sus funciones principales</w:t>
      </w:r>
      <w:r>
        <w:rPr>
          <w:rFonts w:ascii="Verdana" w:eastAsia="Calibri" w:hAnsi="Verdana" w:cs="Arial"/>
          <w:lang w:val="es-ES"/>
        </w:rPr>
        <w:t xml:space="preserve"> reguladas en el Decreto 869 de 2016, “</w:t>
      </w:r>
      <w:r w:rsidRPr="00AA05E1">
        <w:rPr>
          <w:rFonts w:ascii="Verdana" w:eastAsia="Calibri" w:hAnsi="Verdana" w:cs="Arial"/>
        </w:rPr>
        <w:t>Por medio del cual se modifica la estructura del Ministerio de Relaciones Exteriores y se dictan otras disposiciones</w:t>
      </w:r>
      <w:r>
        <w:rPr>
          <w:rFonts w:ascii="Verdana" w:eastAsia="Calibri" w:hAnsi="Verdana" w:cs="Arial"/>
        </w:rPr>
        <w:t>”</w:t>
      </w:r>
      <w:r w:rsidRPr="00B57ED5">
        <w:rPr>
          <w:rFonts w:ascii="Verdana" w:eastAsia="Calibri" w:hAnsi="Verdana" w:cs="Arial"/>
          <w:lang w:val="es-ES"/>
        </w:rPr>
        <w:t xml:space="preserve"> se encuentran diseñar y proponer la política exterior, mantener relaciones con Estados y organismos internacionales, coordinar la acción del Estado en asuntos internacionales y participar en negociaciones de tratados y acuerdos. Además, articula políticas sectoriales con impacto internacional, fortalece la capacidad negociadora del país, orienta la cooperación internacional y participa en la formulación de la política de comercio exterior y de integración regional.</w:t>
      </w:r>
    </w:p>
    <w:p w14:paraId="6D970475" w14:textId="77777777" w:rsidR="00195C45" w:rsidRDefault="00195C45" w:rsidP="00195C45">
      <w:pPr>
        <w:spacing w:before="120" w:after="120" w:line="276" w:lineRule="auto"/>
        <w:ind w:firstLine="709"/>
        <w:jc w:val="both"/>
        <w:rPr>
          <w:rFonts w:ascii="Verdana" w:eastAsia="Calibri" w:hAnsi="Verdana" w:cs="Arial"/>
          <w:lang w:val="es-ES"/>
        </w:rPr>
      </w:pPr>
      <w:r w:rsidRPr="00B57ED5">
        <w:rPr>
          <w:rFonts w:ascii="Verdana" w:eastAsia="Calibri" w:hAnsi="Verdana" w:cs="Arial"/>
          <w:lang w:val="es-ES"/>
        </w:rPr>
        <w:lastRenderedPageBreak/>
        <w:t xml:space="preserve">El Ministerio también administra la política migratoria, la integración y el desarrollo fronterizo, protege los derechos de los colombianos en el exterior, aplica el régimen de privilegios e inmunidades, tramita naturalizaciones y expide pasaportes. Asimismo, preside o coordina delegaciones internacionales cuando corresponde, actúa como Secretaría Técnica de la Comisión Asesora de Relaciones Exteriores y ejerce las demás funciones que le asignen la ley o el </w:t>
      </w:r>
      <w:proofErr w:type="gramStart"/>
      <w:r w:rsidRPr="00B57ED5">
        <w:rPr>
          <w:rFonts w:ascii="Verdana" w:eastAsia="Calibri" w:hAnsi="Verdana" w:cs="Arial"/>
          <w:lang w:val="es-ES"/>
        </w:rPr>
        <w:t>Presidente</w:t>
      </w:r>
      <w:proofErr w:type="gramEnd"/>
      <w:r w:rsidRPr="00B57ED5">
        <w:rPr>
          <w:rFonts w:ascii="Verdana" w:eastAsia="Calibri" w:hAnsi="Verdana" w:cs="Arial"/>
          <w:lang w:val="es-ES"/>
        </w:rPr>
        <w:t xml:space="preserve">. </w:t>
      </w:r>
    </w:p>
    <w:p w14:paraId="5592E780" w14:textId="77777777" w:rsidR="00195C45" w:rsidRPr="00AA05E1" w:rsidRDefault="00195C45" w:rsidP="00195C45">
      <w:pPr>
        <w:spacing w:before="120" w:after="120" w:line="276" w:lineRule="auto"/>
        <w:ind w:firstLine="709"/>
        <w:jc w:val="both"/>
        <w:rPr>
          <w:rFonts w:ascii="Verdana" w:eastAsia="Calibri" w:hAnsi="Verdana" w:cs="Arial"/>
          <w:lang w:val="es-ES_tradnl"/>
        </w:rPr>
      </w:pPr>
      <w:r w:rsidRPr="00AA05E1">
        <w:rPr>
          <w:rFonts w:ascii="Verdana" w:eastAsia="Calibri" w:hAnsi="Verdana" w:cs="Arial"/>
          <w:lang w:val="es-ES_tradnl"/>
        </w:rPr>
        <w:t xml:space="preserve">En el ejercicio de sus competencias, el Ministerio de Relaciones Exteriores opera </w:t>
      </w:r>
      <w:r>
        <w:rPr>
          <w:rFonts w:ascii="Verdana" w:eastAsia="Calibri" w:hAnsi="Verdana" w:cs="Arial"/>
          <w:lang w:val="es-ES_tradnl"/>
        </w:rPr>
        <w:t xml:space="preserve">mediante </w:t>
      </w:r>
      <w:r w:rsidRPr="00AA05E1">
        <w:rPr>
          <w:rFonts w:ascii="Verdana" w:eastAsia="Calibri" w:hAnsi="Verdana" w:cs="Arial"/>
          <w:lang w:val="es-ES_tradnl"/>
        </w:rPr>
        <w:t>diversas dependencias y misiones que desarrollan funciones y propósitos específicos. Estas estructuras constituyen manifestaciones de la desconcentración administrativa, orientadas a garantizar una gestión más eficiente, especializada y territorialmente articulada de los asuntos exteriores del Estado.</w:t>
      </w:r>
      <w:r>
        <w:rPr>
          <w:rFonts w:ascii="Verdana" w:eastAsia="Calibri" w:hAnsi="Verdana" w:cs="Arial"/>
          <w:lang w:val="es-ES_tradnl"/>
        </w:rPr>
        <w:t xml:space="preserve"> </w:t>
      </w:r>
      <w:r w:rsidRPr="00AA05E1">
        <w:rPr>
          <w:rFonts w:ascii="Verdana" w:eastAsia="Calibri" w:hAnsi="Verdana" w:cs="Arial"/>
          <w:lang w:val="es-ES_tradnl"/>
        </w:rPr>
        <w:t>Para estos efectos, la doctrina define la desconcentración como “[…] el proceso a través del cual las funciones de una entidad u organismo son distribuidas en diferentes áreas; funcionales o unidades territoriales, las cuales cuentan generalmente con una estructura administrativa, y cuyo fin último es, al igual que la descentralización y la delegación, garantizar los fines esenciales del Estado”</w:t>
      </w:r>
      <w:r w:rsidRPr="00AA05E1">
        <w:rPr>
          <w:rFonts w:ascii="Verdana" w:eastAsia="Calibri" w:hAnsi="Verdana" w:cs="Arial"/>
          <w:vertAlign w:val="superscript"/>
          <w:lang w:val="es-ES_tradnl"/>
        </w:rPr>
        <w:footnoteReference w:id="26"/>
      </w:r>
      <w:r w:rsidRPr="00AA05E1">
        <w:rPr>
          <w:rFonts w:ascii="Verdana" w:eastAsia="Calibri" w:hAnsi="Verdana" w:cs="Arial"/>
          <w:lang w:val="es-ES_tradnl"/>
        </w:rPr>
        <w:t>. En otras palabras, se trata de una atribución que tiene el superior jerárquico para repartir algunas competencias entre los subalternos, sin que les otorgue autonomía en el cumplimiento de sus funciones; razón por la cual, implica una adecuada distribución del trabajo en la que el titular de las funciones conserva la dirección y el control de las tareas asignadas</w:t>
      </w:r>
      <w:r w:rsidRPr="00AA05E1">
        <w:rPr>
          <w:rFonts w:ascii="Verdana" w:eastAsia="Calibri" w:hAnsi="Verdana" w:cs="Arial"/>
          <w:vertAlign w:val="superscript"/>
          <w:lang w:val="es-ES_tradnl"/>
        </w:rPr>
        <w:footnoteReference w:id="27"/>
      </w:r>
      <w:r w:rsidRPr="00AA05E1">
        <w:rPr>
          <w:rFonts w:ascii="Verdana" w:eastAsia="Calibri" w:hAnsi="Verdana" w:cs="Arial"/>
          <w:lang w:val="es-ES_tradnl"/>
        </w:rPr>
        <w:t xml:space="preserve">. </w:t>
      </w:r>
    </w:p>
    <w:p w14:paraId="7FC80205" w14:textId="77777777" w:rsidR="00195C45" w:rsidRPr="00FF7BDB" w:rsidRDefault="00195C45" w:rsidP="00195C45">
      <w:pPr>
        <w:spacing w:before="120" w:after="120" w:line="276" w:lineRule="auto"/>
        <w:ind w:firstLine="709"/>
        <w:jc w:val="both"/>
        <w:rPr>
          <w:rFonts w:ascii="Verdana" w:eastAsia="Calibri" w:hAnsi="Verdana" w:cs="Arial"/>
        </w:rPr>
      </w:pPr>
      <w:r>
        <w:rPr>
          <w:rFonts w:ascii="Verdana" w:eastAsia="Calibri" w:hAnsi="Verdana" w:cs="Arial"/>
          <w:lang w:val="es-ES"/>
        </w:rPr>
        <w:t xml:space="preserve">En el marco de la desconcentración administrativa, el Ministerio de Relaciones Exteriores en su estructura administrativa cuenta con Misiones Diplomáticas Acreditadas en el Exterior, como son Las </w:t>
      </w:r>
      <w:r w:rsidRPr="009B6FCF">
        <w:rPr>
          <w:rFonts w:ascii="Verdana" w:eastAsia="Calibri" w:hAnsi="Verdana" w:cs="Arial"/>
        </w:rPr>
        <w:t>Misiones Permanentes ante Organismos Internacionales Multilaterales y Regionales</w:t>
      </w:r>
      <w:r>
        <w:rPr>
          <w:rFonts w:ascii="Verdana" w:eastAsia="Calibri" w:hAnsi="Verdana" w:cs="Arial"/>
        </w:rPr>
        <w:t xml:space="preserve">, </w:t>
      </w:r>
      <w:r w:rsidRPr="009B6FCF">
        <w:rPr>
          <w:rFonts w:ascii="Verdana" w:eastAsia="Calibri" w:hAnsi="Verdana" w:cs="Arial"/>
        </w:rPr>
        <w:t>Embajadas</w:t>
      </w:r>
      <w:r>
        <w:rPr>
          <w:rFonts w:ascii="Verdana" w:eastAsia="Calibri" w:hAnsi="Verdana" w:cs="Arial"/>
        </w:rPr>
        <w:t xml:space="preserve"> y </w:t>
      </w:r>
      <w:r w:rsidRPr="009B6FCF">
        <w:rPr>
          <w:rFonts w:ascii="Verdana" w:eastAsia="Calibri" w:hAnsi="Verdana" w:cs="Arial"/>
        </w:rPr>
        <w:lastRenderedPageBreak/>
        <w:t>Consulados.</w:t>
      </w:r>
      <w:r>
        <w:rPr>
          <w:rFonts w:ascii="Verdana" w:eastAsia="Calibri" w:hAnsi="Verdana" w:cs="Arial"/>
        </w:rPr>
        <w:t xml:space="preserve"> En este asunto, el artículo 24 del Decreto 869 de 2016</w:t>
      </w:r>
      <w:r>
        <w:rPr>
          <w:rStyle w:val="Refdenotaalpie"/>
          <w:rFonts w:ascii="Verdana" w:eastAsia="Calibri" w:hAnsi="Verdana" w:cs="Arial"/>
        </w:rPr>
        <w:footnoteReference w:id="28"/>
      </w:r>
      <w:r>
        <w:rPr>
          <w:rFonts w:ascii="Verdana" w:eastAsia="Calibri" w:hAnsi="Verdana" w:cs="Arial"/>
        </w:rPr>
        <w:t xml:space="preserve"> dispone que l</w:t>
      </w:r>
      <w:r w:rsidRPr="00FF7BDB">
        <w:rPr>
          <w:rFonts w:ascii="Verdana" w:eastAsia="Calibri" w:hAnsi="Verdana" w:cs="Arial"/>
        </w:rPr>
        <w:t xml:space="preserve">as misiones diplomáticas de Colombia, como </w:t>
      </w:r>
      <w:r>
        <w:rPr>
          <w:rFonts w:ascii="Verdana" w:eastAsia="Calibri" w:hAnsi="Verdana" w:cs="Arial"/>
        </w:rPr>
        <w:t xml:space="preserve">son </w:t>
      </w:r>
      <w:r w:rsidRPr="00FF7BDB">
        <w:rPr>
          <w:rFonts w:ascii="Verdana" w:eastAsia="Calibri" w:hAnsi="Verdana" w:cs="Arial"/>
        </w:rPr>
        <w:t>embajadas y delegaciones permanentes ante organismos internacionales,</w:t>
      </w:r>
      <w:r>
        <w:rPr>
          <w:rFonts w:ascii="Verdana" w:eastAsia="Calibri" w:hAnsi="Verdana" w:cs="Arial"/>
        </w:rPr>
        <w:t xml:space="preserve"> se caracterizan por tener</w:t>
      </w:r>
      <w:r w:rsidRPr="00FF7BDB">
        <w:rPr>
          <w:rFonts w:ascii="Verdana" w:eastAsia="Calibri" w:hAnsi="Verdana" w:cs="Arial"/>
        </w:rPr>
        <w:t xml:space="preserve"> funciones esenciales orientadas a la promoción y defensa de los intereses nacionales en el á</w:t>
      </w:r>
      <w:r>
        <w:rPr>
          <w:rFonts w:ascii="Verdana" w:eastAsia="Calibri" w:hAnsi="Verdana" w:cs="Arial"/>
        </w:rPr>
        <w:t>mbito internacional. Entre estas funciones</w:t>
      </w:r>
      <w:r w:rsidRPr="00FF7BDB">
        <w:rPr>
          <w:rFonts w:ascii="Verdana" w:eastAsia="Calibri" w:hAnsi="Verdana" w:cs="Arial"/>
        </w:rPr>
        <w:t xml:space="preserve"> se destacan</w:t>
      </w:r>
      <w:r>
        <w:rPr>
          <w:rFonts w:ascii="Verdana" w:eastAsia="Calibri" w:hAnsi="Verdana" w:cs="Arial"/>
        </w:rPr>
        <w:t>:</w:t>
      </w:r>
      <w:r w:rsidRPr="00FF7BDB">
        <w:rPr>
          <w:rFonts w:ascii="Verdana" w:eastAsia="Calibri" w:hAnsi="Verdana" w:cs="Arial"/>
        </w:rPr>
        <w:t xml:space="preserve"> la ejecución de la política exterior en relaciones bilaterales y multilaterales, la participación en negociaciones internacionales, el seguimiento del contexto político, económico, social y cultural de los países y organismos acreditados, así </w:t>
      </w:r>
      <w:r w:rsidRPr="00FF7BDB">
        <w:rPr>
          <w:rFonts w:ascii="Verdana" w:eastAsia="Calibri" w:hAnsi="Verdana" w:cs="Arial"/>
        </w:rPr>
        <w:lastRenderedPageBreak/>
        <w:t>como la identificación de oportunidades para fortalecer la presencia y los intereses de Colombia en el exterior. Además, cumplen un papel clave en la representación oficial del país en reuniones internacionales, en la implementación de la política migratoria y fronteriza, y en la coordinación de acciones con los viceministerios y direcciones del Ministerio de Relaciones Exteriores.</w:t>
      </w:r>
    </w:p>
    <w:p w14:paraId="370288EE" w14:textId="77777777" w:rsidR="00195C45" w:rsidRDefault="00195C45" w:rsidP="00195C45">
      <w:pPr>
        <w:spacing w:before="120" w:after="120" w:line="276" w:lineRule="auto"/>
        <w:ind w:firstLine="709"/>
        <w:jc w:val="both"/>
        <w:rPr>
          <w:rFonts w:ascii="Verdana" w:eastAsia="Calibri" w:hAnsi="Verdana" w:cs="Arial"/>
        </w:rPr>
      </w:pPr>
      <w:r w:rsidRPr="00FF7BDB">
        <w:rPr>
          <w:rFonts w:ascii="Verdana" w:eastAsia="Calibri" w:hAnsi="Verdana" w:cs="Arial"/>
        </w:rPr>
        <w:t>De igual manera, estas misiones</w:t>
      </w:r>
      <w:r>
        <w:rPr>
          <w:rFonts w:ascii="Verdana" w:eastAsia="Calibri" w:hAnsi="Verdana" w:cs="Arial"/>
        </w:rPr>
        <w:t xml:space="preserve"> –embajadas y delegaciones permanentes ante organismos internacionales-</w:t>
      </w:r>
      <w:r w:rsidRPr="00FF7BDB">
        <w:rPr>
          <w:rFonts w:ascii="Verdana" w:eastAsia="Calibri" w:hAnsi="Verdana" w:cs="Arial"/>
        </w:rPr>
        <w:t xml:space="preserve"> tienen responsabilidades administrativas y de gestión, como remitir informes de contratos, apoyar la defensa jurídica, dar seguimiento a planes de acción y coordinar con consulados bajo su jurisdicción para garantizar la protección de los derechos de los colombianos en el exterior. También promueven la cultura y la imagen de Colombia, fortalecen los vínculos con las comunidades colombianas en el extranjero y contribuyen al desarrollo del Sistema Integrado de Gestión Institucional. En suma, las misiones diplomáticas son instrumentos permanentes de la política exterior que articulan la representación, protección y promoción de los intereses nacionales en el escenario internacional.</w:t>
      </w:r>
    </w:p>
    <w:p w14:paraId="774BE9E6" w14:textId="77777777" w:rsidR="00195C45" w:rsidRDefault="00195C45" w:rsidP="00195C45">
      <w:pPr>
        <w:spacing w:before="120" w:after="120" w:line="276" w:lineRule="auto"/>
        <w:ind w:firstLine="709"/>
        <w:jc w:val="both"/>
        <w:rPr>
          <w:rFonts w:ascii="Verdana" w:eastAsia="Calibri" w:hAnsi="Verdana" w:cs="Arial"/>
        </w:rPr>
      </w:pPr>
      <w:r>
        <w:rPr>
          <w:rFonts w:ascii="Verdana" w:eastAsia="Calibri" w:hAnsi="Verdana" w:cs="Arial"/>
        </w:rPr>
        <w:t xml:space="preserve">Por otro lado, los consulados son oficinas </w:t>
      </w:r>
      <w:r w:rsidRPr="00863A7F">
        <w:rPr>
          <w:rFonts w:ascii="Verdana" w:eastAsia="Calibri" w:hAnsi="Verdana" w:cs="Arial"/>
        </w:rPr>
        <w:t xml:space="preserve">del Ministerio de Relaciones Exteriores </w:t>
      </w:r>
      <w:r>
        <w:rPr>
          <w:rFonts w:ascii="Verdana" w:eastAsia="Calibri" w:hAnsi="Verdana" w:cs="Arial"/>
        </w:rPr>
        <w:t xml:space="preserve">o de la Cancillería </w:t>
      </w:r>
      <w:r w:rsidRPr="00863A7F">
        <w:rPr>
          <w:rFonts w:ascii="Verdana" w:eastAsia="Calibri" w:hAnsi="Verdana" w:cs="Arial"/>
        </w:rPr>
        <w:t>de</w:t>
      </w:r>
      <w:r>
        <w:rPr>
          <w:rFonts w:ascii="Verdana" w:eastAsia="Calibri" w:hAnsi="Verdana" w:cs="Arial"/>
        </w:rPr>
        <w:t xml:space="preserve">l </w:t>
      </w:r>
      <w:r w:rsidRPr="00863A7F">
        <w:rPr>
          <w:rFonts w:ascii="Verdana" w:eastAsia="Calibri" w:hAnsi="Verdana" w:cs="Arial"/>
        </w:rPr>
        <w:t>país establecidas en ciudades extranjeras, encargadas de proteger y asistir a sus ciudadanos en el exterior</w:t>
      </w:r>
      <w:r>
        <w:rPr>
          <w:rFonts w:ascii="Verdana" w:eastAsia="Calibri" w:hAnsi="Verdana" w:cs="Arial"/>
        </w:rPr>
        <w:t>. Dentro de las funciones principales de los Consulados el artículo 25 del Decreto 869 de 2016</w:t>
      </w:r>
      <w:r w:rsidRPr="00024E88">
        <w:rPr>
          <w:rFonts w:ascii="Verdana" w:eastAsia="Calibri" w:hAnsi="Verdana" w:cs="Arial"/>
          <w:vertAlign w:val="superscript"/>
        </w:rPr>
        <w:footnoteReference w:id="29"/>
      </w:r>
      <w:r>
        <w:rPr>
          <w:rFonts w:ascii="Verdana" w:eastAsia="Calibri" w:hAnsi="Verdana" w:cs="Arial"/>
        </w:rPr>
        <w:t xml:space="preserve"> </w:t>
      </w:r>
      <w:r w:rsidRPr="00024E88">
        <w:rPr>
          <w:rFonts w:ascii="Verdana" w:eastAsia="Calibri" w:hAnsi="Verdana" w:cs="Arial"/>
        </w:rPr>
        <w:lastRenderedPageBreak/>
        <w:t>se concentran en proteger y representar al Estado y a sus nacionales en el exterior, prestando asistencia jurídica, social y administrativa; expidiendo documentos como pasaportes y registros civiles; apoyando la promoción económica, cultural y turística del país; informando a la misión diplomática sobre asuntos migratorios y de servicios consulares; manteniendo registros actualizados de la comunidad colombiana; y actuando ante autoridades locales para salvaguardar los derechos fundamentales de los connacionales, todo dentro del marco del Derecho Internacional y las normas del Estado receptor</w:t>
      </w:r>
      <w:r>
        <w:rPr>
          <w:rFonts w:ascii="Verdana" w:eastAsia="Calibri" w:hAnsi="Verdana" w:cs="Arial"/>
        </w:rPr>
        <w:t>.</w:t>
      </w:r>
    </w:p>
    <w:p w14:paraId="36591BC9" w14:textId="77777777" w:rsidR="00195C45" w:rsidRDefault="00195C45" w:rsidP="00195C45">
      <w:pPr>
        <w:spacing w:before="120" w:after="0" w:line="276" w:lineRule="auto"/>
        <w:ind w:firstLine="709"/>
        <w:jc w:val="both"/>
        <w:rPr>
          <w:rFonts w:ascii="Verdana" w:eastAsia="Calibri" w:hAnsi="Verdana" w:cs="Arial"/>
        </w:rPr>
      </w:pPr>
      <w:r w:rsidRPr="0049524E">
        <w:rPr>
          <w:rFonts w:ascii="Verdana" w:eastAsia="Calibri" w:hAnsi="Verdana" w:cs="Arial"/>
        </w:rPr>
        <w:t xml:space="preserve">En relación con la celebración de contratos por parte de los consulados y </w:t>
      </w:r>
      <w:r>
        <w:rPr>
          <w:rFonts w:ascii="Verdana" w:eastAsia="Calibri" w:hAnsi="Verdana" w:cs="Arial"/>
        </w:rPr>
        <w:t xml:space="preserve">demás </w:t>
      </w:r>
      <w:r w:rsidRPr="0049524E">
        <w:rPr>
          <w:rFonts w:ascii="Verdana" w:eastAsia="Calibri" w:hAnsi="Verdana" w:cs="Arial"/>
        </w:rPr>
        <w:t xml:space="preserve">misiones diplomáticas en el exterior, es importante señalar que, en principio, estos organismos no cuentan con </w:t>
      </w:r>
      <w:r>
        <w:rPr>
          <w:rFonts w:ascii="Verdana" w:eastAsia="Calibri" w:hAnsi="Verdana" w:cs="Arial"/>
        </w:rPr>
        <w:t xml:space="preserve">la </w:t>
      </w:r>
      <w:r w:rsidRPr="0049524E">
        <w:rPr>
          <w:rFonts w:ascii="Verdana" w:eastAsia="Calibri" w:hAnsi="Verdana" w:cs="Arial"/>
        </w:rPr>
        <w:t>competencia propia para suscribirlos. No obstante, la Resolución 5992 de 2005, expedida por este Ministerio, les delegó determinadas funciones, entre ellas la facultad de celebrar contratos. En ese sentido, el artículo 9° de la citada Resolución dispone:</w:t>
      </w:r>
    </w:p>
    <w:p w14:paraId="138BB1FC" w14:textId="77777777" w:rsidR="00195C45" w:rsidRDefault="00195C45" w:rsidP="00195C45">
      <w:pPr>
        <w:spacing w:before="120" w:after="0" w:line="276" w:lineRule="auto"/>
        <w:ind w:firstLine="709"/>
        <w:jc w:val="both"/>
        <w:rPr>
          <w:rFonts w:ascii="Verdana" w:eastAsia="Calibri" w:hAnsi="Verdana" w:cs="Arial"/>
        </w:rPr>
      </w:pPr>
      <w:r>
        <w:rPr>
          <w:rFonts w:ascii="Verdana" w:eastAsia="Calibri" w:hAnsi="Verdana" w:cs="Arial"/>
        </w:rPr>
        <w:t xml:space="preserve"> </w:t>
      </w:r>
    </w:p>
    <w:p w14:paraId="7137BA5B" w14:textId="77777777" w:rsidR="00195C45" w:rsidRDefault="00195C45" w:rsidP="00195C45">
      <w:pPr>
        <w:spacing w:after="0" w:line="240" w:lineRule="auto"/>
        <w:ind w:left="709" w:right="709"/>
        <w:jc w:val="both"/>
        <w:rPr>
          <w:rFonts w:ascii="Verdana" w:eastAsia="Times New Roman" w:hAnsi="Verdana" w:cs="Times New Roman"/>
          <w:b/>
          <w:bCs/>
          <w:spacing w:val="2"/>
          <w:sz w:val="20"/>
          <w:szCs w:val="20"/>
          <w:lang w:eastAsia="es-CO"/>
        </w:rPr>
      </w:pPr>
      <w:bookmarkStart w:id="16" w:name="9"/>
      <w:r w:rsidRPr="0049524E">
        <w:rPr>
          <w:rFonts w:ascii="Verdana" w:eastAsia="Times New Roman" w:hAnsi="Verdana" w:cs="Times New Roman"/>
          <w:spacing w:val="2"/>
          <w:sz w:val="20"/>
          <w:szCs w:val="20"/>
          <w:lang w:eastAsia="es-CO"/>
        </w:rPr>
        <w:t>ARTÍCULO 9. DELEGACIÓN EN LOS JEFES DE MISIONES DIPLOMÁTICAS, EN LOS JEFES DE DELEGACIONES PERMANENTES Y EN LOS JEFES DE OFICINAS CONSULARES DE COLOMBIA EN EL EXTERIOR.</w:t>
      </w:r>
      <w:r w:rsidRPr="0049524E">
        <w:rPr>
          <w:rFonts w:ascii="Verdana" w:eastAsia="Times New Roman" w:hAnsi="Verdana" w:cs="Times New Roman"/>
          <w:b/>
          <w:bCs/>
          <w:spacing w:val="2"/>
          <w:sz w:val="20"/>
          <w:szCs w:val="20"/>
          <w:lang w:eastAsia="es-CO"/>
        </w:rPr>
        <w:t> </w:t>
      </w:r>
      <w:bookmarkEnd w:id="16"/>
      <w:r w:rsidRPr="0049524E">
        <w:rPr>
          <w:rFonts w:ascii="Verdana" w:eastAsia="Times New Roman" w:hAnsi="Verdana" w:cs="Times New Roman"/>
          <w:b/>
          <w:bCs/>
          <w:spacing w:val="2"/>
          <w:sz w:val="20"/>
          <w:szCs w:val="20"/>
          <w:lang w:eastAsia="es-CO"/>
        </w:rPr>
        <w:t>Deléguese en los jefes de Misiones Diplomáticas, en los jefes de Delegaciones Permanentes y en los jefes de Oficinas Consulares de Colombia en el exterior o quienes hagan sus veces, las siguientes funciones:</w:t>
      </w:r>
    </w:p>
    <w:p w14:paraId="01F51C8A" w14:textId="77777777" w:rsidR="00195C45" w:rsidRPr="0049524E" w:rsidRDefault="00195C45" w:rsidP="00195C45">
      <w:pPr>
        <w:spacing w:after="0" w:line="240" w:lineRule="auto"/>
        <w:ind w:left="709" w:right="709"/>
        <w:jc w:val="both"/>
        <w:rPr>
          <w:rFonts w:ascii="Verdana" w:eastAsia="Times New Roman" w:hAnsi="Verdana" w:cs="Times New Roman"/>
          <w:b/>
          <w:bCs/>
          <w:spacing w:val="2"/>
          <w:sz w:val="20"/>
          <w:szCs w:val="20"/>
          <w:lang w:eastAsia="es-CO"/>
        </w:rPr>
      </w:pPr>
    </w:p>
    <w:p w14:paraId="335487C4" w14:textId="77777777" w:rsidR="00195C45" w:rsidRPr="0049524E" w:rsidRDefault="00195C45" w:rsidP="00195C45">
      <w:pPr>
        <w:spacing w:after="0" w:line="240" w:lineRule="auto"/>
        <w:ind w:left="709" w:right="709"/>
        <w:jc w:val="both"/>
        <w:rPr>
          <w:rFonts w:ascii="Verdana" w:eastAsia="Times New Roman" w:hAnsi="Verdana" w:cs="Times New Roman"/>
          <w:spacing w:val="2"/>
          <w:sz w:val="20"/>
          <w:szCs w:val="20"/>
          <w:lang w:eastAsia="es-CO"/>
        </w:rPr>
      </w:pPr>
      <w:r w:rsidRPr="0049524E">
        <w:rPr>
          <w:rFonts w:ascii="Verdana" w:eastAsia="Times New Roman" w:hAnsi="Verdana" w:cs="Times New Roman"/>
          <w:spacing w:val="2"/>
          <w:sz w:val="20"/>
          <w:szCs w:val="20"/>
          <w:lang w:eastAsia="es-CO"/>
        </w:rPr>
        <w:t xml:space="preserve">1. Ordenar el gasto por objeto, alineado con el monto del rubro </w:t>
      </w:r>
      <w:proofErr w:type="gramStart"/>
      <w:r w:rsidRPr="0049524E">
        <w:rPr>
          <w:rFonts w:ascii="Verdana" w:eastAsia="Times New Roman" w:hAnsi="Verdana" w:cs="Times New Roman"/>
          <w:spacing w:val="2"/>
          <w:sz w:val="20"/>
          <w:szCs w:val="20"/>
          <w:lang w:eastAsia="es-CO"/>
        </w:rPr>
        <w:t>presupuestal</w:t>
      </w:r>
      <w:proofErr w:type="gramEnd"/>
      <w:r w:rsidRPr="0049524E">
        <w:rPr>
          <w:rFonts w:ascii="Verdana" w:eastAsia="Times New Roman" w:hAnsi="Verdana" w:cs="Times New Roman"/>
          <w:spacing w:val="2"/>
          <w:sz w:val="20"/>
          <w:szCs w:val="20"/>
          <w:lang w:eastAsia="es-CO"/>
        </w:rPr>
        <w:t xml:space="preserve"> así como el pago en nombre del ministerio de Relaciones Exteriores y de su Fondo Rotatorio de los gastos de sostenimiento, servicios y demás conceptos inherentes a la función diplomática y consular.</w:t>
      </w:r>
    </w:p>
    <w:p w14:paraId="4CE9356F" w14:textId="77777777" w:rsidR="00195C45" w:rsidRPr="0049524E" w:rsidRDefault="00195C45" w:rsidP="00195C45">
      <w:pPr>
        <w:spacing w:after="0" w:line="240" w:lineRule="auto"/>
        <w:ind w:left="709" w:right="709"/>
        <w:jc w:val="both"/>
        <w:rPr>
          <w:rFonts w:ascii="Verdana" w:eastAsia="Times New Roman" w:hAnsi="Verdana" w:cs="Times New Roman"/>
          <w:b/>
          <w:bCs/>
          <w:i/>
          <w:iCs/>
          <w:spacing w:val="2"/>
          <w:sz w:val="20"/>
          <w:szCs w:val="20"/>
          <w:lang w:eastAsia="es-CO"/>
        </w:rPr>
      </w:pPr>
      <w:r w:rsidRPr="0049524E">
        <w:rPr>
          <w:rFonts w:ascii="Verdana" w:eastAsia="Times New Roman" w:hAnsi="Verdana" w:cs="Times New Roman"/>
          <w:b/>
          <w:bCs/>
          <w:i/>
          <w:iCs/>
          <w:spacing w:val="2"/>
          <w:sz w:val="20"/>
          <w:szCs w:val="20"/>
          <w:lang w:eastAsia="es-CO"/>
        </w:rPr>
        <w:t xml:space="preserve">2. Celebrar, terminar, modificar, adicionar prorrogar y supervisar los contratos, en nombre y representación del ministerio de Relaciones Exteriores y de su Fondo Rotatorio, con excepción de </w:t>
      </w:r>
      <w:r w:rsidRPr="0049524E">
        <w:rPr>
          <w:rFonts w:ascii="Verdana" w:eastAsia="Times New Roman" w:hAnsi="Verdana" w:cs="Times New Roman"/>
          <w:b/>
          <w:bCs/>
          <w:i/>
          <w:iCs/>
          <w:spacing w:val="2"/>
          <w:sz w:val="20"/>
          <w:szCs w:val="20"/>
          <w:lang w:eastAsia="es-CO"/>
        </w:rPr>
        <w:lastRenderedPageBreak/>
        <w:t>los contratos a ser celebrados y ejecutados en el territorio nacional.</w:t>
      </w:r>
    </w:p>
    <w:p w14:paraId="29B3BBE4" w14:textId="77777777" w:rsidR="00195C45" w:rsidRPr="0049524E" w:rsidRDefault="00195C45" w:rsidP="00195C45">
      <w:pPr>
        <w:spacing w:after="0" w:line="240" w:lineRule="auto"/>
        <w:ind w:left="709" w:right="709"/>
        <w:jc w:val="both"/>
        <w:rPr>
          <w:rFonts w:ascii="Verdana" w:eastAsia="Times New Roman" w:hAnsi="Verdana" w:cs="Times New Roman"/>
          <w:spacing w:val="2"/>
          <w:sz w:val="20"/>
          <w:szCs w:val="20"/>
          <w:lang w:eastAsia="es-CO"/>
        </w:rPr>
      </w:pPr>
      <w:r w:rsidRPr="0049524E">
        <w:rPr>
          <w:rFonts w:ascii="Verdana" w:eastAsia="Times New Roman" w:hAnsi="Verdana" w:cs="Times New Roman"/>
          <w:spacing w:val="2"/>
          <w:sz w:val="20"/>
          <w:szCs w:val="20"/>
          <w:lang w:eastAsia="es-CO"/>
        </w:rPr>
        <w:t>3. Ejercer la representación judicial de los procesos ante las diferentes jurisdicciones, así como en las actuaciones extrajudiciales y administrativas en los cuales sean parte las Misiones Diplomáticas, Delegaciones Permanentes u Oficinas Consulares de Colombia en el exterior, para lo cual podrá otorgar poderes dentro de la jurisdicción de la Misión u Oficina consular.</w:t>
      </w:r>
    </w:p>
    <w:p w14:paraId="6F3BE820" w14:textId="77777777" w:rsidR="00195C45" w:rsidRPr="0049524E" w:rsidRDefault="00195C45" w:rsidP="00195C45">
      <w:pPr>
        <w:spacing w:after="0" w:line="240" w:lineRule="auto"/>
        <w:ind w:left="709" w:right="709"/>
        <w:jc w:val="both"/>
        <w:rPr>
          <w:rFonts w:ascii="Verdana" w:eastAsia="Times New Roman" w:hAnsi="Verdana" w:cs="Times New Roman"/>
          <w:spacing w:val="2"/>
          <w:sz w:val="20"/>
          <w:szCs w:val="20"/>
          <w:lang w:eastAsia="es-CO"/>
        </w:rPr>
      </w:pPr>
      <w:r w:rsidRPr="0049524E">
        <w:rPr>
          <w:rFonts w:ascii="Verdana" w:eastAsia="Times New Roman" w:hAnsi="Verdana" w:cs="Times New Roman"/>
          <w:spacing w:val="2"/>
          <w:sz w:val="20"/>
          <w:szCs w:val="20"/>
          <w:lang w:eastAsia="es-CO"/>
        </w:rPr>
        <w:t>4. Celebrar contratos con las personas nacionales o residenciadas de manera permanente en el país en el que se encuentra ubicada la respectiva misión u oficina consular; suscribir las modificaciones, adiciones, prórrogas, suspensiones temporales de los contratos y declarar la terminación y liquidación de los mismos, de acuerdo con las necesidades del servicio y con sujeción a la legislación laboral del país receptor, así como afiliar a los trabajadores locales al sistema de seguridad social que el país receptor imponga a los empleadores, dando aplicación y cabal cumplimiento a la Convención de Viena sobre Asuntos Diplomáticos de 1961, la Convención de Viena sobre Asuntos Consulares de 1963, el artículo </w:t>
      </w:r>
      <w:hyperlink r:id="rId13" w:anchor="88" w:history="1">
        <w:r w:rsidRPr="0049524E">
          <w:rPr>
            <w:rFonts w:ascii="Verdana" w:eastAsia="Times New Roman" w:hAnsi="Verdana" w:cs="Times New Roman"/>
            <w:spacing w:val="2"/>
            <w:sz w:val="20"/>
            <w:szCs w:val="20"/>
            <w:u w:val="single"/>
            <w:lang w:eastAsia="es-CO"/>
          </w:rPr>
          <w:t>88</w:t>
        </w:r>
      </w:hyperlink>
      <w:r w:rsidRPr="0049524E">
        <w:rPr>
          <w:rFonts w:ascii="Verdana" w:eastAsia="Times New Roman" w:hAnsi="Verdana" w:cs="Times New Roman"/>
          <w:spacing w:val="2"/>
          <w:sz w:val="20"/>
          <w:szCs w:val="20"/>
          <w:lang w:eastAsia="es-CO"/>
        </w:rPr>
        <w:t> del Decreto Ley 274 de 2000, el Artículo </w:t>
      </w:r>
      <w:hyperlink r:id="rId14" w:anchor="5" w:history="1">
        <w:r w:rsidRPr="0049524E">
          <w:rPr>
            <w:rFonts w:ascii="Verdana" w:eastAsia="Times New Roman" w:hAnsi="Verdana" w:cs="Times New Roman"/>
            <w:spacing w:val="2"/>
            <w:sz w:val="20"/>
            <w:szCs w:val="20"/>
            <w:u w:val="single"/>
            <w:lang w:eastAsia="es-CO"/>
          </w:rPr>
          <w:t>5o</w:t>
        </w:r>
      </w:hyperlink>
      <w:r w:rsidRPr="0049524E">
        <w:rPr>
          <w:rFonts w:ascii="Verdana" w:eastAsia="Times New Roman" w:hAnsi="Verdana" w:cs="Times New Roman"/>
          <w:spacing w:val="2"/>
          <w:sz w:val="20"/>
          <w:szCs w:val="20"/>
          <w:lang w:eastAsia="es-CO"/>
        </w:rPr>
        <w:t> del Decreto 2078 de 2004, el artículo </w:t>
      </w:r>
      <w:hyperlink r:id="rId15" w:anchor="1" w:history="1">
        <w:r w:rsidRPr="0049524E">
          <w:rPr>
            <w:rFonts w:ascii="Verdana" w:eastAsia="Times New Roman" w:hAnsi="Verdana" w:cs="Times New Roman"/>
            <w:spacing w:val="2"/>
            <w:sz w:val="20"/>
            <w:szCs w:val="20"/>
            <w:u w:val="single"/>
            <w:lang w:eastAsia="es-CO"/>
          </w:rPr>
          <w:t>1o</w:t>
        </w:r>
      </w:hyperlink>
      <w:r w:rsidRPr="0049524E">
        <w:rPr>
          <w:rFonts w:ascii="Verdana" w:eastAsia="Times New Roman" w:hAnsi="Verdana" w:cs="Times New Roman"/>
          <w:spacing w:val="2"/>
          <w:sz w:val="20"/>
          <w:szCs w:val="20"/>
          <w:lang w:eastAsia="es-CO"/>
        </w:rPr>
        <w:t> del Decreto 3357 de 2009 y el parágrafo del artículo </w:t>
      </w:r>
      <w:hyperlink r:id="rId16" w:anchor="1" w:history="1">
        <w:r w:rsidRPr="0049524E">
          <w:rPr>
            <w:rFonts w:ascii="Verdana" w:eastAsia="Times New Roman" w:hAnsi="Verdana" w:cs="Times New Roman"/>
            <w:spacing w:val="2"/>
            <w:sz w:val="20"/>
            <w:szCs w:val="20"/>
            <w:u w:val="single"/>
            <w:lang w:eastAsia="es-CO"/>
          </w:rPr>
          <w:t>1o</w:t>
        </w:r>
      </w:hyperlink>
      <w:r w:rsidRPr="0049524E">
        <w:rPr>
          <w:rFonts w:ascii="Verdana" w:eastAsia="Times New Roman" w:hAnsi="Verdana" w:cs="Times New Roman"/>
          <w:spacing w:val="2"/>
          <w:sz w:val="20"/>
          <w:szCs w:val="20"/>
          <w:lang w:eastAsia="es-CO"/>
        </w:rPr>
        <w:t> del Decreto 2348 de 2014 y demás normas que lo modifiquen, adicionen o deroguen.</w:t>
      </w:r>
    </w:p>
    <w:p w14:paraId="68450CB5" w14:textId="77777777" w:rsidR="00195C45" w:rsidRPr="0049524E" w:rsidRDefault="00195C45" w:rsidP="00195C45">
      <w:pPr>
        <w:spacing w:after="0" w:line="240" w:lineRule="auto"/>
        <w:ind w:left="709" w:right="709"/>
        <w:jc w:val="both"/>
        <w:rPr>
          <w:rFonts w:ascii="Verdana" w:eastAsia="Times New Roman" w:hAnsi="Verdana" w:cs="Times New Roman"/>
          <w:spacing w:val="2"/>
          <w:sz w:val="20"/>
          <w:szCs w:val="20"/>
          <w:lang w:eastAsia="es-CO"/>
        </w:rPr>
      </w:pPr>
      <w:r w:rsidRPr="0049524E">
        <w:rPr>
          <w:rFonts w:ascii="Verdana" w:eastAsia="Times New Roman" w:hAnsi="Verdana" w:cs="Times New Roman"/>
          <w:spacing w:val="2"/>
          <w:sz w:val="20"/>
          <w:szCs w:val="20"/>
          <w:lang w:eastAsia="es-CO"/>
        </w:rPr>
        <w:t>5. Ejercer las funciones de supervisión e interventoría de los contratos autorizados por el ministerio de Relaciones Exteriores, velando por el estricto cumplimiento del objeto contenido en los mismos, absteniéndose de asignar a los contratistas autorizados por el ministerio de Relaciones Exteriores, funciones que correspondan a personal de servicio exterior de la República y todas aquellas actividades que vayan en contra de la naturaleza de dichos contratos.</w:t>
      </w:r>
    </w:p>
    <w:p w14:paraId="3C0569F9" w14:textId="77777777" w:rsidR="00195C45" w:rsidRPr="0049524E" w:rsidRDefault="00195C45" w:rsidP="00195C45">
      <w:pPr>
        <w:spacing w:after="0" w:line="240" w:lineRule="auto"/>
        <w:ind w:left="709" w:right="709"/>
        <w:jc w:val="both"/>
        <w:rPr>
          <w:rFonts w:ascii="Verdana" w:eastAsia="Times New Roman" w:hAnsi="Verdana" w:cs="Times New Roman"/>
          <w:spacing w:val="2"/>
          <w:sz w:val="20"/>
          <w:szCs w:val="20"/>
          <w:lang w:eastAsia="es-CO"/>
        </w:rPr>
      </w:pPr>
      <w:r w:rsidRPr="0049524E">
        <w:rPr>
          <w:rFonts w:ascii="Verdana" w:eastAsia="Times New Roman" w:hAnsi="Verdana" w:cs="Times New Roman"/>
          <w:spacing w:val="2"/>
          <w:sz w:val="20"/>
          <w:szCs w:val="20"/>
          <w:lang w:eastAsia="es-CO"/>
        </w:rPr>
        <w:t>6. Posesionar a los funcionarios del ministerio de Relaciones Exteriores que hayan sido designados a prestar sus servicios en la Misión Diplomática, Delegación Permanente u Oficina Consular bajo su dirección.</w:t>
      </w:r>
    </w:p>
    <w:p w14:paraId="36BF56B7" w14:textId="77777777" w:rsidR="00195C45" w:rsidRPr="0049524E" w:rsidRDefault="00195C45" w:rsidP="00195C45">
      <w:pPr>
        <w:spacing w:after="0" w:line="240" w:lineRule="auto"/>
        <w:ind w:left="709" w:right="709"/>
        <w:jc w:val="both"/>
        <w:rPr>
          <w:rFonts w:ascii="Verdana" w:eastAsia="Times New Roman" w:hAnsi="Verdana" w:cs="Times New Roman"/>
          <w:spacing w:val="2"/>
          <w:sz w:val="20"/>
          <w:szCs w:val="20"/>
          <w:lang w:eastAsia="es-CO"/>
        </w:rPr>
      </w:pPr>
      <w:r w:rsidRPr="0049524E">
        <w:rPr>
          <w:rFonts w:ascii="Verdana" w:eastAsia="Times New Roman" w:hAnsi="Verdana" w:cs="Times New Roman"/>
          <w:spacing w:val="2"/>
          <w:sz w:val="20"/>
          <w:szCs w:val="20"/>
          <w:lang w:eastAsia="es-CO"/>
        </w:rPr>
        <w:t>7. Acudir a los mecanismos alternativos de solución de controversias para dirimir los conflictos que se originen en desarrollo de la relación laboral, previa autorización del Comité de Conciliación del ministerio de Relaciones Exteriores y su Fondo Rotatorio.</w:t>
      </w:r>
    </w:p>
    <w:p w14:paraId="656E7B7A" w14:textId="77777777" w:rsidR="00195C45" w:rsidRPr="0049524E" w:rsidRDefault="00195C45" w:rsidP="00195C45">
      <w:pPr>
        <w:spacing w:after="0" w:line="240" w:lineRule="auto"/>
        <w:ind w:left="709" w:right="709"/>
        <w:jc w:val="both"/>
        <w:rPr>
          <w:rFonts w:ascii="Verdana" w:eastAsia="Times New Roman" w:hAnsi="Verdana" w:cs="Times New Roman"/>
          <w:spacing w:val="2"/>
          <w:sz w:val="20"/>
          <w:szCs w:val="20"/>
          <w:lang w:eastAsia="es-CO"/>
        </w:rPr>
      </w:pPr>
      <w:r w:rsidRPr="0049524E">
        <w:rPr>
          <w:rFonts w:ascii="Verdana" w:eastAsia="Times New Roman" w:hAnsi="Verdana" w:cs="Times New Roman"/>
          <w:spacing w:val="2"/>
          <w:sz w:val="20"/>
          <w:szCs w:val="20"/>
          <w:lang w:eastAsia="es-CO"/>
        </w:rPr>
        <w:t>8. Ordenar el gasto y los pagos de sentencias y acuerdos de conciliación judicial y extrajudicial, adelantadas en el territorio de la jurisdicción de la Misión que dirige, previa solicitud de exequátur de que trata el artículo </w:t>
      </w:r>
      <w:hyperlink r:id="rId17" w:anchor="605" w:history="1">
        <w:r w:rsidRPr="0049524E">
          <w:rPr>
            <w:rFonts w:ascii="Verdana" w:eastAsia="Times New Roman" w:hAnsi="Verdana" w:cs="Times New Roman"/>
            <w:spacing w:val="2"/>
            <w:sz w:val="20"/>
            <w:szCs w:val="20"/>
            <w:u w:val="single"/>
            <w:lang w:eastAsia="es-CO"/>
          </w:rPr>
          <w:t>605</w:t>
        </w:r>
      </w:hyperlink>
      <w:r w:rsidRPr="0049524E">
        <w:rPr>
          <w:rFonts w:ascii="Verdana" w:eastAsia="Times New Roman" w:hAnsi="Verdana" w:cs="Times New Roman"/>
          <w:spacing w:val="2"/>
          <w:sz w:val="20"/>
          <w:szCs w:val="20"/>
          <w:lang w:eastAsia="es-CO"/>
        </w:rPr>
        <w:t> y siguientes del Código General del Proceso.</w:t>
      </w:r>
    </w:p>
    <w:p w14:paraId="5A83DEB8" w14:textId="77777777" w:rsidR="00195C45" w:rsidRPr="0049524E" w:rsidRDefault="00195C45" w:rsidP="00195C45">
      <w:pPr>
        <w:spacing w:after="0" w:line="240" w:lineRule="auto"/>
        <w:ind w:left="709" w:right="709"/>
        <w:jc w:val="both"/>
        <w:rPr>
          <w:rFonts w:ascii="Verdana" w:eastAsia="Times New Roman" w:hAnsi="Verdana" w:cs="Times New Roman"/>
          <w:spacing w:val="2"/>
          <w:sz w:val="20"/>
          <w:szCs w:val="20"/>
          <w:lang w:eastAsia="es-CO"/>
        </w:rPr>
      </w:pPr>
      <w:r w:rsidRPr="0049524E">
        <w:rPr>
          <w:rFonts w:ascii="Verdana" w:eastAsia="Times New Roman" w:hAnsi="Verdana" w:cs="Times New Roman"/>
          <w:spacing w:val="2"/>
          <w:sz w:val="20"/>
          <w:szCs w:val="20"/>
          <w:lang w:eastAsia="es-CO"/>
        </w:rPr>
        <w:t xml:space="preserve">9. Suscribir, previo visto bueno del (la) secretario(a) General, de acuerdo con las normas sobre el particular en el Estado receptor y en aquellos en los cuales tenga concurrencia, convenios para prácticas laborales ad honorem con las Instituciones extranjeras de Educación Superior, debidamente reconocidas y acreditadas por el Organismo competente en </w:t>
      </w:r>
      <w:r w:rsidRPr="0049524E">
        <w:rPr>
          <w:rFonts w:ascii="Verdana" w:eastAsia="Times New Roman" w:hAnsi="Verdana" w:cs="Times New Roman"/>
          <w:spacing w:val="2"/>
          <w:sz w:val="20"/>
          <w:szCs w:val="20"/>
          <w:lang w:eastAsia="es-CO"/>
        </w:rPr>
        <w:lastRenderedPageBreak/>
        <w:t>cada Estado, siempre que se encuentren dentro de su circunscripción.</w:t>
      </w:r>
      <w:r>
        <w:rPr>
          <w:rFonts w:ascii="Verdana" w:eastAsia="Times New Roman" w:hAnsi="Verdana" w:cs="Times New Roman"/>
          <w:spacing w:val="2"/>
          <w:sz w:val="20"/>
          <w:szCs w:val="20"/>
          <w:lang w:eastAsia="es-CO"/>
        </w:rPr>
        <w:t xml:space="preserve"> (énfasis fuera de texto). </w:t>
      </w:r>
    </w:p>
    <w:p w14:paraId="10042C29" w14:textId="77777777" w:rsidR="00195C45" w:rsidRDefault="00195C45" w:rsidP="00195C45">
      <w:pPr>
        <w:spacing w:before="120" w:after="120" w:line="276" w:lineRule="auto"/>
        <w:ind w:firstLine="709"/>
        <w:jc w:val="both"/>
        <w:rPr>
          <w:rFonts w:ascii="Verdana" w:eastAsia="Calibri" w:hAnsi="Verdana" w:cs="Arial"/>
        </w:rPr>
      </w:pPr>
    </w:p>
    <w:p w14:paraId="0B1EE947" w14:textId="77777777" w:rsidR="00195C45" w:rsidRDefault="00195C45" w:rsidP="00195C45">
      <w:pPr>
        <w:spacing w:before="120" w:after="120" w:line="276" w:lineRule="auto"/>
        <w:ind w:firstLine="709"/>
        <w:jc w:val="both"/>
        <w:rPr>
          <w:rFonts w:ascii="Verdana" w:eastAsia="Calibri" w:hAnsi="Verdana" w:cs="Arial"/>
        </w:rPr>
      </w:pPr>
      <w:r w:rsidRPr="006120A6">
        <w:rPr>
          <w:rFonts w:ascii="Verdana" w:eastAsia="Calibri" w:hAnsi="Verdana" w:cs="Arial"/>
        </w:rPr>
        <w:t>Del análisi</w:t>
      </w:r>
      <w:r>
        <w:rPr>
          <w:rFonts w:ascii="Verdana" w:eastAsia="Calibri" w:hAnsi="Verdana" w:cs="Arial"/>
        </w:rPr>
        <w:t>s del artículo se concluye que</w:t>
      </w:r>
      <w:r w:rsidRPr="006120A6">
        <w:rPr>
          <w:rFonts w:ascii="Verdana" w:eastAsia="Calibri" w:hAnsi="Verdana" w:cs="Arial"/>
        </w:rPr>
        <w:t xml:space="preserve"> los jefes de Misiones Diplomáticas, de Delegaciones Permanentes y de Oficinas Consulares de Colombia en el exterior —o a quienes hagan sus veces— se les delegó la competencia para celebrar, modificar, adicionar, prorrogar, terminar y supervisar los contratos, en nombre y representación del Ministerio de Relaciones Exteriores y de su Fondo Rotatorio.</w:t>
      </w:r>
      <w:r>
        <w:rPr>
          <w:rFonts w:ascii="Verdana" w:eastAsia="Calibri" w:hAnsi="Verdana" w:cs="Arial"/>
        </w:rPr>
        <w:t xml:space="preserve"> </w:t>
      </w:r>
      <w:r w:rsidRPr="006120A6">
        <w:rPr>
          <w:rFonts w:ascii="Verdana" w:eastAsia="Calibri" w:hAnsi="Verdana" w:cs="Arial"/>
        </w:rPr>
        <w:t>Esta delegación no aplica a los contratos que se celebren y ejecuten en el territorio nacional, los cuales permanecen bajo la competencia de la autoridad correspondiente en Colombia.</w:t>
      </w:r>
      <w:r w:rsidRPr="0049524E">
        <w:rPr>
          <w:rFonts w:ascii="Verdana" w:eastAsia="Calibri" w:hAnsi="Verdana" w:cs="Arial"/>
        </w:rPr>
        <w:t xml:space="preserve"> </w:t>
      </w:r>
      <w:r>
        <w:rPr>
          <w:rFonts w:ascii="Verdana" w:eastAsia="Calibri" w:hAnsi="Verdana" w:cs="Arial"/>
        </w:rPr>
        <w:t xml:space="preserve"> </w:t>
      </w:r>
    </w:p>
    <w:p w14:paraId="3BE80E1A" w14:textId="77777777" w:rsidR="00195C45" w:rsidRPr="00EA569D" w:rsidRDefault="00195C45" w:rsidP="00195C45">
      <w:pPr>
        <w:spacing w:before="120" w:after="120" w:line="276" w:lineRule="auto"/>
        <w:ind w:firstLine="709"/>
        <w:jc w:val="both"/>
        <w:rPr>
          <w:rFonts w:ascii="Verdana" w:eastAsia="Calibri" w:hAnsi="Verdana" w:cs="Arial"/>
          <w:lang w:val="es-ES"/>
        </w:rPr>
      </w:pPr>
      <w:r>
        <w:rPr>
          <w:rFonts w:ascii="Verdana" w:eastAsia="Calibri" w:hAnsi="Verdana" w:cs="Arial"/>
        </w:rPr>
        <w:t xml:space="preserve">Teniendo en cuenta estas precisiones sobre la competencia de los jefes de las Misiones Diplomáticas, como son los embajadas, así como los consulados para suscribir contratos, es necesario revisar el ámbito territorial del régimen de contratación aplicable, regulado en el artículo 13 de la Ley 80 de 1993, </w:t>
      </w:r>
      <w:bookmarkStart w:id="17" w:name="_Hlk99449078"/>
      <w:r>
        <w:rPr>
          <w:rFonts w:ascii="Verdana" w:eastAsia="Calibri" w:hAnsi="Verdana" w:cs="Arial"/>
        </w:rPr>
        <w:t xml:space="preserve">el cual </w:t>
      </w:r>
      <w:r w:rsidRPr="00EA569D">
        <w:rPr>
          <w:rFonts w:ascii="Verdana" w:eastAsia="Calibri" w:hAnsi="Verdana" w:cs="Arial"/>
          <w:lang w:val="es-ES"/>
        </w:rPr>
        <w:t>regula de forma general el régimen aplicable a los contratos que celebren las entidades referidas en el artículo segundo del estatuto, señalando en el inciso primero, como primer criterio, la aplicabilidad de las disposiciones civiles y comerciales nacionales, sin perjuicio de la aplicación prevalente de las contenidas en el Estatuto General de Contratación de la Administración Pública</w:t>
      </w:r>
      <w:r w:rsidRPr="00EA569D">
        <w:rPr>
          <w:rFonts w:ascii="Verdana" w:eastAsia="Calibri" w:hAnsi="Verdana" w:cs="Arial"/>
          <w:vertAlign w:val="superscript"/>
          <w:lang w:val="es-ES"/>
        </w:rPr>
        <w:footnoteReference w:id="30"/>
      </w:r>
      <w:r w:rsidRPr="00EA569D">
        <w:rPr>
          <w:rFonts w:ascii="Verdana" w:eastAsia="Calibri" w:hAnsi="Verdana" w:cs="Arial"/>
          <w:lang w:val="es-ES"/>
        </w:rPr>
        <w:t xml:space="preserve">.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 extranjero, se sometan a la ley extranjera. </w:t>
      </w:r>
    </w:p>
    <w:bookmarkEnd w:id="17"/>
    <w:p w14:paraId="5071D5F5" w14:textId="77777777" w:rsidR="00195C45" w:rsidRDefault="00195C45" w:rsidP="00195C45">
      <w:pPr>
        <w:spacing w:before="120" w:after="0" w:line="276" w:lineRule="auto"/>
        <w:ind w:firstLine="709"/>
        <w:jc w:val="both"/>
        <w:rPr>
          <w:rFonts w:ascii="Verdana" w:eastAsia="Calibri" w:hAnsi="Verdana" w:cs="Arial"/>
          <w:lang w:val="es-ES"/>
        </w:rPr>
      </w:pPr>
      <w:r w:rsidRPr="00EA569D">
        <w:rPr>
          <w:rFonts w:ascii="Verdana" w:eastAsia="Calibri" w:hAnsi="Verdana" w:cs="Arial"/>
          <w:lang w:val="es-ES"/>
        </w:rPr>
        <w:t xml:space="preserve">Nótese cómo el artículo citado permite que las entidades estatales no se rijan siempre por la normativa colombiana, permitiendo, en algunos casos, la aplicación de la ley extranjera. Además de los supuestos anteriores, el Consejo de Estado explica, en general, los siguientes escenarios, en los cuales el régimen </w:t>
      </w:r>
      <w:r w:rsidRPr="00EA569D">
        <w:rPr>
          <w:rFonts w:ascii="Verdana" w:eastAsia="Calibri" w:hAnsi="Verdana" w:cs="Arial"/>
          <w:lang w:val="es-ES"/>
        </w:rPr>
        <w:lastRenderedPageBreak/>
        <w:t>jurídico puede ser uno diferente al prescrito en el derecho nacional, pese a tratarse de contratos sometidos, en principio, a la Ley 80 de 1993:</w:t>
      </w:r>
      <w:r>
        <w:rPr>
          <w:rFonts w:ascii="Verdana" w:eastAsia="Calibri" w:hAnsi="Verdana" w:cs="Arial"/>
          <w:lang w:val="es-ES"/>
        </w:rPr>
        <w:t xml:space="preserve"> </w:t>
      </w:r>
    </w:p>
    <w:p w14:paraId="3A2A0207" w14:textId="77777777" w:rsidR="00195C45" w:rsidRPr="00EA569D" w:rsidRDefault="00195C45" w:rsidP="00195C45">
      <w:pPr>
        <w:spacing w:before="120" w:after="0" w:line="276" w:lineRule="auto"/>
        <w:ind w:firstLine="709"/>
        <w:jc w:val="both"/>
        <w:rPr>
          <w:rFonts w:ascii="Verdana" w:eastAsia="Calibri" w:hAnsi="Verdana" w:cs="Arial"/>
          <w:lang w:val="es-ES"/>
        </w:rPr>
      </w:pPr>
    </w:p>
    <w:p w14:paraId="789CA134" w14:textId="77777777" w:rsidR="00195C45" w:rsidRPr="00EA569D" w:rsidRDefault="00195C45" w:rsidP="00195C45">
      <w:pPr>
        <w:spacing w:after="0" w:line="240" w:lineRule="auto"/>
        <w:ind w:left="709" w:right="709"/>
        <w:jc w:val="both"/>
        <w:rPr>
          <w:rFonts w:ascii="Verdana" w:eastAsia="Calibri" w:hAnsi="Verdana" w:cs="Arial"/>
          <w:sz w:val="20"/>
          <w:szCs w:val="20"/>
          <w:lang w:val="es-ES"/>
        </w:rPr>
      </w:pPr>
      <w:r w:rsidRPr="00EA569D">
        <w:rPr>
          <w:rFonts w:ascii="Verdana" w:eastAsia="Calibri" w:hAnsi="Verdana" w:cs="Arial"/>
          <w:sz w:val="20"/>
          <w:szCs w:val="20"/>
          <w:lang w:val="es-ES"/>
        </w:rPr>
        <w:t xml:space="preserve">“i) Contratos celebrados en el exterior, los cuales se podrán regir en su ejecución por las reglas del país donde se ha suscrito, salvo cuando su cumplimiento deba hacerse en Colombia, caso en el cual se aplicará la legislación nacional, </w:t>
      </w:r>
      <w:proofErr w:type="spellStart"/>
      <w:r w:rsidRPr="00EA569D">
        <w:rPr>
          <w:rFonts w:ascii="Verdana" w:eastAsia="Calibri" w:hAnsi="Verdana" w:cs="Arial"/>
          <w:sz w:val="20"/>
          <w:szCs w:val="20"/>
          <w:lang w:val="es-ES"/>
        </w:rPr>
        <w:t>ii</w:t>
      </w:r>
      <w:proofErr w:type="spellEnd"/>
      <w:r w:rsidRPr="00EA569D">
        <w:rPr>
          <w:rFonts w:ascii="Verdana" w:eastAsia="Calibri" w:hAnsi="Verdana" w:cs="Arial"/>
          <w:sz w:val="20"/>
          <w:szCs w:val="20"/>
          <w:lang w:val="es-ES"/>
        </w:rPr>
        <w:t xml:space="preserve">) Contratos celebrados en territorio colombiano que deben ejecutarse o cumplirse en el extranjero, en tal caso podrá regirse bajo legislación foránea, salvo aquella parte que deba ejecutarse o cumplirse en Colombia, la cual se regirá por el derecho nacional, </w:t>
      </w:r>
      <w:proofErr w:type="spellStart"/>
      <w:r w:rsidRPr="00EA569D">
        <w:rPr>
          <w:rFonts w:ascii="Verdana" w:eastAsia="Calibri" w:hAnsi="Verdana" w:cs="Arial"/>
          <w:sz w:val="20"/>
          <w:szCs w:val="20"/>
          <w:lang w:val="es-ES"/>
        </w:rPr>
        <w:t>iii</w:t>
      </w:r>
      <w:proofErr w:type="spellEnd"/>
      <w:r w:rsidRPr="00EA569D">
        <w:rPr>
          <w:rFonts w:ascii="Verdana" w:eastAsia="Calibri" w:hAnsi="Verdana" w:cs="Arial"/>
          <w:sz w:val="20"/>
          <w:szCs w:val="20"/>
          <w:lang w:val="es-ES"/>
        </w:rPr>
        <w:t>) a) los contratos financiados con fondos de organismos multilaterales de crédito y b) aquellos celebrados con personas extranjeras de derecho público u organismos de cooperación, asistencia o ayudas internacionales, los cuales ‘podrán someterse a los reglamentos de tales entidades en todo lo relacionado con procedimientos de formación y adjudicación y cláusulas especiales de ejecución, cumplimiento, pagos y ajustes’”</w:t>
      </w:r>
      <w:r w:rsidRPr="00EA569D">
        <w:rPr>
          <w:rFonts w:ascii="Verdana" w:eastAsia="Calibri" w:hAnsi="Verdana" w:cs="Arial"/>
          <w:sz w:val="20"/>
          <w:szCs w:val="20"/>
          <w:vertAlign w:val="superscript"/>
          <w:lang w:val="es-ES"/>
        </w:rPr>
        <w:footnoteReference w:id="31"/>
      </w:r>
      <w:r w:rsidRPr="00EA569D">
        <w:rPr>
          <w:rFonts w:ascii="Verdana" w:eastAsia="Calibri" w:hAnsi="Verdana" w:cs="Arial"/>
          <w:sz w:val="20"/>
          <w:szCs w:val="20"/>
          <w:lang w:val="es-ES"/>
        </w:rPr>
        <w:t xml:space="preserve">. </w:t>
      </w:r>
    </w:p>
    <w:p w14:paraId="2BE13FDA" w14:textId="77777777" w:rsidR="00195C45" w:rsidRPr="00021A39" w:rsidRDefault="00195C45" w:rsidP="00195C45">
      <w:pPr>
        <w:spacing w:before="120" w:after="120" w:line="276" w:lineRule="auto"/>
        <w:jc w:val="both"/>
        <w:rPr>
          <w:rFonts w:ascii="Verdana" w:eastAsia="Calibri" w:hAnsi="Verdana" w:cs="Arial"/>
        </w:rPr>
      </w:pPr>
    </w:p>
    <w:p w14:paraId="7B5B60B0" w14:textId="77777777" w:rsidR="00195C45" w:rsidRPr="00A30CF9" w:rsidRDefault="00195C45" w:rsidP="00195C45">
      <w:pPr>
        <w:spacing w:before="120" w:after="120" w:line="276" w:lineRule="auto"/>
        <w:ind w:firstLine="708"/>
        <w:jc w:val="both"/>
        <w:rPr>
          <w:rFonts w:ascii="Verdana" w:eastAsia="Calibri" w:hAnsi="Verdana" w:cs="Arial"/>
        </w:rPr>
      </w:pPr>
      <w:r>
        <w:rPr>
          <w:rFonts w:ascii="Verdana" w:eastAsia="Calibri" w:hAnsi="Verdana" w:cs="Arial"/>
        </w:rPr>
        <w:t xml:space="preserve">A partir de lo expuesto y teniendo en cuenta las competencias que se delegaron mediante la </w:t>
      </w:r>
      <w:r w:rsidRPr="00C26C4E">
        <w:rPr>
          <w:rFonts w:ascii="Verdana" w:eastAsia="Calibri" w:hAnsi="Verdana" w:cs="Arial"/>
        </w:rPr>
        <w:t>Resolución 5992 de 2005</w:t>
      </w:r>
      <w:r>
        <w:rPr>
          <w:rFonts w:ascii="Verdana" w:eastAsia="Calibri" w:hAnsi="Verdana" w:cs="Arial"/>
        </w:rPr>
        <w:t xml:space="preserve"> por parte del Ministerio de Relaciones Exteriores a </w:t>
      </w:r>
      <w:r w:rsidRPr="006120A6">
        <w:rPr>
          <w:rFonts w:ascii="Verdana" w:eastAsia="Calibri" w:hAnsi="Verdana" w:cs="Arial"/>
        </w:rPr>
        <w:t>los jefes de Misiones Diplomáticas</w:t>
      </w:r>
      <w:r>
        <w:rPr>
          <w:rFonts w:ascii="Verdana" w:eastAsia="Calibri" w:hAnsi="Verdana" w:cs="Arial"/>
        </w:rPr>
        <w:t xml:space="preserve"> (embajadas y </w:t>
      </w:r>
      <w:r w:rsidRPr="00A30CF9">
        <w:rPr>
          <w:rFonts w:ascii="Verdana" w:eastAsia="Calibri" w:hAnsi="Verdana" w:cs="Arial"/>
        </w:rPr>
        <w:t>Delegaciones Permanentes ante Organismos Internacionales</w:t>
      </w:r>
      <w:r>
        <w:rPr>
          <w:rFonts w:ascii="Verdana" w:eastAsia="Calibri" w:hAnsi="Verdana" w:cs="Arial"/>
        </w:rPr>
        <w:t>) y las</w:t>
      </w:r>
      <w:r w:rsidRPr="006120A6">
        <w:rPr>
          <w:rFonts w:ascii="Verdana" w:eastAsia="Calibri" w:hAnsi="Verdana" w:cs="Arial"/>
        </w:rPr>
        <w:t xml:space="preserve"> Oficinas Consulares de Colombia en el exterior —o a quienes hagan sus veces—</w:t>
      </w:r>
      <w:r>
        <w:rPr>
          <w:rFonts w:ascii="Verdana" w:eastAsia="Calibri" w:hAnsi="Verdana" w:cs="Arial"/>
        </w:rPr>
        <w:t xml:space="preserve">solo para contratos que se celebran en el exterior, se constata que el régimen aplicable será el de exterior. </w:t>
      </w:r>
    </w:p>
    <w:p w14:paraId="7B993F9D" w14:textId="77777777" w:rsidR="00195C45" w:rsidRPr="003070D5" w:rsidRDefault="00195C45" w:rsidP="00195C45">
      <w:pPr>
        <w:spacing w:before="120" w:after="120" w:line="276" w:lineRule="auto"/>
        <w:ind w:firstLine="708"/>
        <w:jc w:val="both"/>
        <w:rPr>
          <w:rFonts w:ascii="Verdana" w:eastAsia="Calibri" w:hAnsi="Verdana" w:cs="Arial"/>
          <w:lang w:val="es-ES"/>
        </w:rPr>
      </w:pPr>
      <w:r>
        <w:rPr>
          <w:rFonts w:ascii="Verdana" w:eastAsia="Calibri" w:hAnsi="Verdana" w:cs="Arial"/>
          <w:lang w:val="es-ES"/>
        </w:rPr>
        <w:t>Ahora bien, l</w:t>
      </w:r>
      <w:r w:rsidRPr="003070D5">
        <w:rPr>
          <w:rFonts w:ascii="Verdana" w:eastAsia="Calibri" w:hAnsi="Verdana" w:cs="Arial"/>
          <w:lang w:val="es-ES"/>
        </w:rPr>
        <w:t xml:space="preserve">a celebración de </w:t>
      </w:r>
      <w:r>
        <w:rPr>
          <w:rFonts w:ascii="Verdana" w:eastAsia="Calibri" w:hAnsi="Verdana" w:cs="Arial"/>
          <w:lang w:val="es-ES"/>
        </w:rPr>
        <w:t xml:space="preserve">contratos o de convenios </w:t>
      </w:r>
      <w:r w:rsidRPr="003070D5">
        <w:rPr>
          <w:rFonts w:ascii="Verdana" w:eastAsia="Calibri" w:hAnsi="Verdana" w:cs="Arial"/>
          <w:lang w:val="es-ES"/>
        </w:rPr>
        <w:t>en el exterior exige un análisis previo sobre la territorialidad y el ámbito de aplicación del ordenamiento jurídico colombiano.</w:t>
      </w:r>
      <w:r>
        <w:rPr>
          <w:rFonts w:ascii="Verdana" w:eastAsia="Calibri" w:hAnsi="Verdana" w:cs="Arial"/>
          <w:lang w:val="es-ES"/>
        </w:rPr>
        <w:t xml:space="preserve"> En este aspecto, este tipo de organismos en el marco de sus competencias y funciones establecidas por el ordenamiento jurídico colombiano, pero deberán adelantar la contratación, teniendo en cuenta la normatividad extranjera del país receptor. </w:t>
      </w:r>
      <w:r w:rsidRPr="003070D5">
        <w:rPr>
          <w:rFonts w:ascii="Verdana" w:eastAsia="Calibri" w:hAnsi="Verdana" w:cs="Arial"/>
          <w:lang w:val="es-ES"/>
        </w:rPr>
        <w:t xml:space="preserve">En efecto, </w:t>
      </w:r>
      <w:r>
        <w:rPr>
          <w:rFonts w:ascii="Verdana" w:eastAsia="Calibri" w:hAnsi="Verdana" w:cs="Arial"/>
          <w:lang w:val="es-ES"/>
        </w:rPr>
        <w:t xml:space="preserve">las embajadas y los </w:t>
      </w:r>
      <w:r w:rsidRPr="003070D5">
        <w:rPr>
          <w:rFonts w:ascii="Verdana" w:eastAsia="Calibri" w:hAnsi="Verdana" w:cs="Arial"/>
          <w:lang w:val="es-ES"/>
        </w:rPr>
        <w:t>consulados operan en un entorno jurídico distinto al colombiano</w:t>
      </w:r>
      <w:r>
        <w:rPr>
          <w:rFonts w:ascii="Verdana" w:eastAsia="Calibri" w:hAnsi="Verdana" w:cs="Arial"/>
          <w:lang w:val="es-ES"/>
        </w:rPr>
        <w:t xml:space="preserve">, por lo que no es posible extender la regulación dispuesta en la Ley 80 de 1993 ni mucho menos lo dispuesto en el Decreto 092 de 2017, que remite al EGCAP en lo no regulado en este último. </w:t>
      </w:r>
      <w:r w:rsidRPr="00021A39">
        <w:rPr>
          <w:rFonts w:ascii="Verdana" w:eastAsia="Calibri" w:hAnsi="Verdana" w:cs="Arial"/>
          <w:lang w:val="es-ES"/>
        </w:rPr>
        <w:t>Esto impli</w:t>
      </w:r>
      <w:r>
        <w:rPr>
          <w:rFonts w:ascii="Verdana" w:eastAsia="Calibri" w:hAnsi="Verdana" w:cs="Arial"/>
          <w:lang w:val="es-ES"/>
        </w:rPr>
        <w:t xml:space="preserve">ca que el marco normativo colombiano se aplica a las embajadas y </w:t>
      </w:r>
      <w:r w:rsidRPr="00021A39">
        <w:rPr>
          <w:rFonts w:ascii="Verdana" w:eastAsia="Calibri" w:hAnsi="Verdana" w:cs="Arial"/>
          <w:lang w:val="es-ES"/>
        </w:rPr>
        <w:t xml:space="preserve">los consulados como órganos del Estado, pero su ejecución práctica </w:t>
      </w:r>
      <w:r w:rsidRPr="00021A39">
        <w:rPr>
          <w:rFonts w:ascii="Verdana" w:eastAsia="Calibri" w:hAnsi="Verdana" w:cs="Arial"/>
          <w:lang w:val="es-ES"/>
        </w:rPr>
        <w:lastRenderedPageBreak/>
        <w:t xml:space="preserve">requiere respetar las condiciones jurídicas del país receptor. </w:t>
      </w:r>
      <w:r w:rsidRPr="003070D5">
        <w:rPr>
          <w:rFonts w:ascii="Verdana" w:eastAsia="Calibri" w:hAnsi="Verdana" w:cs="Arial"/>
          <w:lang w:val="es-ES"/>
        </w:rPr>
        <w:t xml:space="preserve">Esto supone que la celebración de </w:t>
      </w:r>
      <w:r>
        <w:rPr>
          <w:rFonts w:ascii="Verdana" w:eastAsia="Calibri" w:hAnsi="Verdana" w:cs="Arial"/>
          <w:lang w:val="es-ES"/>
        </w:rPr>
        <w:t xml:space="preserve">contratos y convenios </w:t>
      </w:r>
      <w:r w:rsidRPr="003070D5">
        <w:rPr>
          <w:rFonts w:ascii="Verdana" w:eastAsia="Calibri" w:hAnsi="Verdana" w:cs="Arial"/>
          <w:lang w:val="es-ES"/>
        </w:rPr>
        <w:t>en el exterior debe regirse por las reglas locales, tanto en materia contractual como en los requisitos de constitución, operación y supervisión de las organizaciones participantes.</w:t>
      </w:r>
    </w:p>
    <w:p w14:paraId="412A57A8" w14:textId="77777777" w:rsidR="00195C45" w:rsidRDefault="00195C45" w:rsidP="00195C45">
      <w:pPr>
        <w:spacing w:before="120" w:after="120" w:line="276" w:lineRule="auto"/>
        <w:ind w:firstLine="708"/>
        <w:jc w:val="both"/>
        <w:rPr>
          <w:rFonts w:ascii="Verdana" w:eastAsia="Calibri" w:hAnsi="Verdana" w:cs="Arial"/>
          <w:lang w:val="es-ES"/>
        </w:rPr>
      </w:pPr>
      <w:r w:rsidRPr="003070D5">
        <w:rPr>
          <w:rFonts w:ascii="Verdana" w:eastAsia="Calibri" w:hAnsi="Verdana" w:cs="Arial"/>
          <w:lang w:val="es-ES"/>
        </w:rPr>
        <w:t xml:space="preserve">Bajo esta lógica, </w:t>
      </w:r>
      <w:r>
        <w:rPr>
          <w:rFonts w:ascii="Verdana" w:eastAsia="Calibri" w:hAnsi="Verdana" w:cs="Arial"/>
          <w:lang w:val="es-ES"/>
        </w:rPr>
        <w:t>la restricción prevista en el artículo 33 de la</w:t>
      </w:r>
      <w:r w:rsidRPr="00C26C4E">
        <w:rPr>
          <w:rFonts w:ascii="Verdana" w:eastAsia="Calibri" w:hAnsi="Verdana" w:cs="Arial"/>
          <w:lang w:val="es-ES"/>
        </w:rPr>
        <w:t xml:space="preserve"> Ley 996 de 2005 respecto a la imposibilidad de celebrar contratos de manera directa durante los cuatro meses previos a las elecciones presidenciales no resulta aplicable a los convenios que los consulados celebren en el exterior. Ello se debe a que el ámbito de aplicación de dicha ley se circunscribe a la contratación estatal sometida al régimen jurídico colombiano y ejecutada dentro del territorio nacional, lo que excluye los actos contractuales desarrollados íntegramente fuera del país.</w:t>
      </w:r>
      <w:r>
        <w:rPr>
          <w:rFonts w:ascii="Verdana" w:eastAsia="Calibri" w:hAnsi="Verdana" w:cs="Arial"/>
          <w:lang w:val="es-ES"/>
        </w:rPr>
        <w:t xml:space="preserve"> </w:t>
      </w:r>
      <w:r w:rsidRPr="00C26C4E">
        <w:rPr>
          <w:rFonts w:ascii="Verdana" w:eastAsia="Calibri" w:hAnsi="Verdana" w:cs="Arial"/>
          <w:lang w:val="es-ES"/>
        </w:rPr>
        <w:t>En consecuencia, los convenios suscritos por consulados con entidades sin ánimo de lucro en el exterior se rigen por las normas del país receptor y no por las restricciones propias de</w:t>
      </w:r>
      <w:r>
        <w:rPr>
          <w:rFonts w:ascii="Verdana" w:eastAsia="Calibri" w:hAnsi="Verdana" w:cs="Arial"/>
          <w:lang w:val="es-ES"/>
        </w:rPr>
        <w:t xml:space="preserve"> la Ley de Garantías Electorales </w:t>
      </w:r>
      <w:r w:rsidRPr="00C26C4E">
        <w:rPr>
          <w:rFonts w:ascii="Verdana" w:eastAsia="Calibri" w:hAnsi="Verdana" w:cs="Arial"/>
          <w:lang w:val="es-ES"/>
        </w:rPr>
        <w:t xml:space="preserve">colombiano. </w:t>
      </w:r>
    </w:p>
    <w:p w14:paraId="107197FC" w14:textId="77777777" w:rsidR="00195C45" w:rsidRPr="00881848" w:rsidRDefault="00195C45" w:rsidP="00195C45">
      <w:pPr>
        <w:spacing w:before="120" w:after="120" w:line="276" w:lineRule="auto"/>
        <w:ind w:firstLine="708"/>
        <w:jc w:val="both"/>
        <w:rPr>
          <w:rFonts w:ascii="Verdana" w:eastAsia="Calibri" w:hAnsi="Verdana" w:cs="Arial"/>
          <w:lang w:val="es-ES"/>
        </w:rPr>
      </w:pPr>
      <w:r>
        <w:rPr>
          <w:rFonts w:ascii="Verdana" w:eastAsia="Calibri" w:hAnsi="Verdana" w:cs="Arial"/>
          <w:lang w:val="es-ES"/>
        </w:rPr>
        <w:t xml:space="preserve">De igual modo, se señala que no es posible aludir a la restricción de convenios interadministrativos para la ejecución de recursos públicos del artículo 38 de la Ley 996 de 2005 –Ley de Garantías Electorales- porque las empresas o corporaciones extranjeras no pueden considerarse como entidades públicas en el ordenamiento jurídico nacional. </w:t>
      </w:r>
      <w:r w:rsidRPr="00ED61D5">
        <w:rPr>
          <w:rFonts w:ascii="Verdana" w:eastAsia="Calibri" w:hAnsi="Verdana" w:cs="Arial"/>
          <w:lang w:val="es-ES"/>
        </w:rPr>
        <w:t>En</w:t>
      </w:r>
      <w:r>
        <w:rPr>
          <w:rFonts w:ascii="Verdana" w:eastAsia="Calibri" w:hAnsi="Verdana" w:cs="Arial"/>
          <w:lang w:val="es-ES"/>
        </w:rPr>
        <w:t xml:space="preserve"> tal sentido</w:t>
      </w:r>
      <w:r w:rsidRPr="00ED61D5">
        <w:rPr>
          <w:rFonts w:ascii="Verdana" w:eastAsia="Calibri" w:hAnsi="Verdana" w:cs="Arial"/>
          <w:lang w:val="es-ES"/>
        </w:rPr>
        <w:t>, no es jurídicamente válido extender dicha limitación a organizaciones privadas</w:t>
      </w:r>
      <w:r>
        <w:rPr>
          <w:rFonts w:ascii="Verdana" w:eastAsia="Calibri" w:hAnsi="Verdana" w:cs="Arial"/>
          <w:lang w:val="es-ES"/>
        </w:rPr>
        <w:t xml:space="preserve"> extranjeras</w:t>
      </w:r>
      <w:r w:rsidRPr="00ED61D5">
        <w:rPr>
          <w:rFonts w:ascii="Verdana" w:eastAsia="Calibri" w:hAnsi="Verdana" w:cs="Arial"/>
          <w:lang w:val="es-ES"/>
        </w:rPr>
        <w:t xml:space="preserve"> que, aunque puedan recibir recursos o participar en proyectos, no forman parte de la administración pública</w:t>
      </w:r>
      <w:r>
        <w:rPr>
          <w:rFonts w:ascii="Verdana" w:eastAsia="Calibri" w:hAnsi="Verdana" w:cs="Arial"/>
          <w:lang w:val="es-ES"/>
        </w:rPr>
        <w:t xml:space="preserve"> nacional</w:t>
      </w:r>
      <w:r w:rsidRPr="00ED61D5">
        <w:rPr>
          <w:rFonts w:ascii="Verdana" w:eastAsia="Calibri" w:hAnsi="Verdana" w:cs="Arial"/>
          <w:lang w:val="es-ES"/>
        </w:rPr>
        <w:t>.</w:t>
      </w:r>
      <w:r>
        <w:rPr>
          <w:rFonts w:ascii="Verdana" w:eastAsia="Calibri" w:hAnsi="Verdana" w:cs="Arial"/>
          <w:lang w:val="es-ES"/>
        </w:rPr>
        <w:t xml:space="preserve"> Por tanto</w:t>
      </w:r>
      <w:r w:rsidRPr="001F7CD6">
        <w:rPr>
          <w:rFonts w:ascii="Verdana" w:eastAsia="Calibri" w:hAnsi="Verdana" w:cs="Arial"/>
          <w:lang w:val="es-ES"/>
        </w:rPr>
        <w:t>, las reglas de la Ley de Garantías Electorales solo pueden operar dentro del marco normativo nacional, sin que sea posible proyectarlas hacia relaciones jurídicas que se rigen por sistemas legales distintos, preservando así la coherencia y el alcance propio del derecho interno colombiano.</w:t>
      </w:r>
    </w:p>
    <w:p w14:paraId="70E04AC0" w14:textId="77777777" w:rsidR="00195C45" w:rsidRPr="00C26C4E" w:rsidRDefault="00195C45" w:rsidP="00195C45">
      <w:pPr>
        <w:spacing w:after="120" w:line="276" w:lineRule="auto"/>
        <w:jc w:val="both"/>
        <w:rPr>
          <w:rFonts w:ascii="Verdana" w:eastAsia="Arial" w:hAnsi="Verdana" w:cs="Arial"/>
          <w:lang w:eastAsia="es-ES" w:bidi="es-ES"/>
        </w:rPr>
      </w:pPr>
    </w:p>
    <w:p w14:paraId="67A0AE65" w14:textId="77777777" w:rsidR="00195C45" w:rsidRPr="005154AE" w:rsidRDefault="00195C45" w:rsidP="00195C45">
      <w:pPr>
        <w:spacing w:after="120" w:line="276" w:lineRule="auto"/>
        <w:jc w:val="both"/>
        <w:rPr>
          <w:rFonts w:ascii="Verdana" w:eastAsia="Arial" w:hAnsi="Verdana" w:cs="Arial"/>
          <w:bCs/>
          <w:color w:val="000000" w:themeColor="text1"/>
        </w:rPr>
      </w:pPr>
      <w:proofErr w:type="spellStart"/>
      <w:r>
        <w:rPr>
          <w:rFonts w:ascii="Verdana" w:eastAsia="Arial" w:hAnsi="Verdana" w:cs="Arial"/>
          <w:lang w:val="es-ES" w:eastAsia="es-ES" w:bidi="es-ES"/>
        </w:rPr>
        <w:t>iv</w:t>
      </w:r>
      <w:proofErr w:type="spellEnd"/>
      <w:r>
        <w:rPr>
          <w:rFonts w:ascii="Verdana" w:eastAsia="Arial" w:hAnsi="Verdana" w:cs="Arial"/>
          <w:lang w:val="es-ES" w:eastAsia="es-ES" w:bidi="es-ES"/>
        </w:rPr>
        <w:t xml:space="preserve">. </w:t>
      </w:r>
      <w:r w:rsidRPr="00F4158D">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w:t>
      </w:r>
      <w:r>
        <w:rPr>
          <w:rFonts w:ascii="Verdana" w:eastAsia="Calibri" w:hAnsi="Verdana" w:cs="Arial"/>
          <w:bCs/>
          <w:color w:val="000000" w:themeColor="text1"/>
        </w:rPr>
        <w:t xml:space="preserve">las entidades públicas debe realizarse </w:t>
      </w:r>
      <w:r w:rsidRPr="00F4158D">
        <w:rPr>
          <w:rFonts w:ascii="Verdana" w:eastAsia="Calibri" w:hAnsi="Verdana" w:cs="Arial"/>
          <w:bCs/>
          <w:color w:val="000000" w:themeColor="text1"/>
        </w:rPr>
        <w:t xml:space="preserve">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w:t>
      </w:r>
      <w:r w:rsidRPr="00F4158D">
        <w:rPr>
          <w:rFonts w:ascii="Verdana" w:eastAsia="Calibri" w:hAnsi="Verdana" w:cs="Arial"/>
          <w:bCs/>
          <w:color w:val="000000" w:themeColor="text1"/>
        </w:rPr>
        <w:lastRenderedPageBreak/>
        <w:t>de situaciones particulares corresponde a los interesados adoptar la decisión correspondiente y, en caso de conflicto, a las autoridades judiciales, fiscales y disciplinarias.</w:t>
      </w:r>
    </w:p>
    <w:p w14:paraId="1A4F4245" w14:textId="77777777" w:rsidR="00195C45" w:rsidRPr="00F4158D" w:rsidRDefault="00195C45" w:rsidP="00195C45">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DAE01EB" w14:textId="77777777" w:rsidR="00195C45" w:rsidRPr="00F4158D" w:rsidRDefault="00195C45" w:rsidP="00195C45">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478C7EB2" w14:textId="77777777" w:rsidR="00195C45" w:rsidRPr="00593A5F" w:rsidRDefault="00195C45" w:rsidP="00195C4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r>
        <w:rPr>
          <w:rFonts w:ascii="Verdana" w:eastAsia="Century Gothic" w:hAnsi="Verdana" w:cs="Century Gothic"/>
          <w:b/>
          <w:bCs/>
        </w:rPr>
        <w:t>, jurisprudenciales y otras fuentes</w:t>
      </w:r>
      <w:r w:rsidRPr="00593A5F">
        <w:rPr>
          <w:rFonts w:ascii="Verdana" w:eastAsia="Century Gothic" w:hAnsi="Verdana" w:cs="Century Gothic"/>
          <w:b/>
          <w:bCs/>
        </w:rPr>
        <w:t>:</w:t>
      </w:r>
    </w:p>
    <w:p w14:paraId="73E542E9" w14:textId="77777777" w:rsidR="00195C45" w:rsidRPr="00593A5F" w:rsidRDefault="00195C45" w:rsidP="00195C4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95C45" w:rsidRPr="002407CE" w14:paraId="738697C7" w14:textId="77777777" w:rsidTr="00101855">
        <w:trPr>
          <w:trHeight w:val="311"/>
          <w:jc w:val="center"/>
        </w:trPr>
        <w:tc>
          <w:tcPr>
            <w:tcW w:w="8647" w:type="dxa"/>
          </w:tcPr>
          <w:p w14:paraId="3D44D317" w14:textId="77777777" w:rsidR="00195C45" w:rsidRDefault="00195C45" w:rsidP="00101855">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Constitución Política de 1991, artículo 127.</w:t>
            </w:r>
          </w:p>
          <w:p w14:paraId="1462E94F" w14:textId="77777777" w:rsidR="00195C45" w:rsidRDefault="00195C45" w:rsidP="00101855">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80 de 1993, artículos 2, 13, 39 y 41.</w:t>
            </w:r>
          </w:p>
          <w:p w14:paraId="319D27E8" w14:textId="77777777" w:rsidR="00195C45" w:rsidRDefault="00195C45" w:rsidP="00101855">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996 de 2005, artículos 33 y 38.</w:t>
            </w:r>
          </w:p>
          <w:p w14:paraId="7510CF90" w14:textId="77777777" w:rsidR="00195C45" w:rsidRDefault="00195C45" w:rsidP="00101855">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1150 de 2007, artículo 2.</w:t>
            </w:r>
          </w:p>
          <w:p w14:paraId="20F7B0D0" w14:textId="77777777" w:rsidR="00195C45" w:rsidRPr="00566660" w:rsidRDefault="00195C45" w:rsidP="00101855">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sidRPr="00566660">
              <w:rPr>
                <w:rFonts w:ascii="Verdana" w:hAnsi="Verdana" w:cs="Arial"/>
              </w:rPr>
              <w:t>Código Civil, artículos 31 y 1501.</w:t>
            </w:r>
            <w:r w:rsidRPr="00566660">
              <w:rPr>
                <w:rFonts w:ascii="Verdana" w:eastAsia="Calibri" w:hAnsi="Verdana" w:cs="Arial"/>
                <w:bCs/>
              </w:rPr>
              <w:t xml:space="preserve"> </w:t>
            </w:r>
          </w:p>
          <w:p w14:paraId="5946EBCF" w14:textId="77777777" w:rsidR="00195C45" w:rsidRPr="00566660" w:rsidRDefault="00195C45" w:rsidP="00101855">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sidRPr="00566660">
              <w:rPr>
                <w:rFonts w:ascii="Verdana" w:eastAsia="Calibri" w:hAnsi="Verdana" w:cs="Arial"/>
                <w:bCs/>
              </w:rPr>
              <w:t xml:space="preserve">Resolución 5992 de 2015 del Ministerio de Relaciones Exteriores, artículo 9. </w:t>
            </w:r>
          </w:p>
          <w:p w14:paraId="10D152A6" w14:textId="408C996A" w:rsidR="00195C45" w:rsidRPr="00566660" w:rsidRDefault="00195C45" w:rsidP="00101855">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Decreto 869 de 2016, artículos 6, 24 y 25</w:t>
            </w:r>
            <w:r w:rsidR="002A3854">
              <w:rPr>
                <w:rFonts w:ascii="Verdana" w:hAnsi="Verdana" w:cs="Arial"/>
              </w:rPr>
              <w:t>.</w:t>
            </w:r>
          </w:p>
          <w:p w14:paraId="495C53BD" w14:textId="77777777" w:rsidR="00195C45" w:rsidRPr="00566660" w:rsidRDefault="00195C45" w:rsidP="00101855">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t xml:space="preserve">Consejo de Estado, Sala de Consulta y Servicio Civil. Concepto de 20 de febrero de 2006. C.P. Enrique José Arboleda Perdomo. Rad. 1727. </w:t>
            </w:r>
          </w:p>
          <w:p w14:paraId="760564A8" w14:textId="77777777" w:rsidR="00195C45" w:rsidRPr="00566660" w:rsidRDefault="00195C45" w:rsidP="00101855">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t>Consejo de Estado. Sala de Consulta y Servicio Civil. Concepto de 6 de abril de 2006.C.P. Enrique José Arboleda Perdomo. Rad. 1738 “</w:t>
            </w:r>
          </w:p>
          <w:p w14:paraId="47F3698E" w14:textId="77777777" w:rsidR="00195C45" w:rsidRPr="00566660" w:rsidRDefault="00195C45" w:rsidP="00101855">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t xml:space="preserve">Consejo de Estado, Sala de Consulta y Servicio Civil. Concepto del 24 de julio de 2013. C. P. Álvaro Namén Vargas. Rad. 2166.  </w:t>
            </w:r>
          </w:p>
          <w:p w14:paraId="60255569" w14:textId="77777777" w:rsidR="00195C45" w:rsidRPr="00566660" w:rsidRDefault="00195C45" w:rsidP="00101855">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t>Consejo de Estado, Sala de Consulta y Servicio Civil. Concepto del 2 de septiembre de 2013. C.P. Álvaro Namén Vargas. Rad. 2168.</w:t>
            </w:r>
          </w:p>
          <w:p w14:paraId="134A7B68" w14:textId="77777777" w:rsidR="00195C45" w:rsidRPr="00566660" w:rsidRDefault="00195C45" w:rsidP="00101855">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lastRenderedPageBreak/>
              <w:t>Consejo de Estado, Sala de Consulta y Servicio Civil. Concepto del 17 de febrero de 2015. C.P. William Zambrano Cetina. Rad. 2269.</w:t>
            </w:r>
          </w:p>
          <w:p w14:paraId="2B6D0B97" w14:textId="77777777" w:rsidR="00195C45" w:rsidRPr="00566660" w:rsidRDefault="00195C45" w:rsidP="00101855">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t xml:space="preserve">Consejo de Estado. Sección Tercera, Subsección C. Sentencia del 26 de noviembre de 2015. C.P Jaime Orlando Santofimio Gamboa. </w:t>
            </w:r>
            <w:proofErr w:type="spellStart"/>
            <w:r w:rsidRPr="00566660">
              <w:rPr>
                <w:rFonts w:ascii="Verdana" w:hAnsi="Verdana" w:cs="Arial"/>
              </w:rPr>
              <w:t>Exp</w:t>
            </w:r>
            <w:proofErr w:type="spellEnd"/>
            <w:r w:rsidRPr="00566660">
              <w:rPr>
                <w:rFonts w:ascii="Verdana" w:hAnsi="Verdana" w:cs="Arial"/>
              </w:rPr>
              <w:t xml:space="preserve">. 54.069. </w:t>
            </w:r>
          </w:p>
          <w:p w14:paraId="11626C49" w14:textId="77777777" w:rsidR="00195C45" w:rsidRPr="00566660" w:rsidRDefault="00195C45" w:rsidP="00101855">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t>Consejo de Estado, Sala de Consulta y Servicio Civil, Concepto de 8 de mayo de 2018. C.P. Álvaro Namén Vargas. Rad. 2382.</w:t>
            </w:r>
          </w:p>
          <w:p w14:paraId="07E0EA7D" w14:textId="77777777" w:rsidR="00195C45" w:rsidRPr="00566660" w:rsidRDefault="00195C45" w:rsidP="00101855">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t>Corte Constitucional, Sentencia C- 1153 de 2005, M.P. Marco Gerardo Monroy Cabra.</w:t>
            </w:r>
          </w:p>
          <w:p w14:paraId="5A907934" w14:textId="77777777" w:rsidR="00195C45" w:rsidRPr="00585673" w:rsidRDefault="00195C45" w:rsidP="00101855">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t xml:space="preserve">HERNÁNDEZ, Pedro Alfonso. Descentralización, desconcentración y delegación en Colombia. Bogotá: Legis, 1999. </w:t>
            </w:r>
          </w:p>
        </w:tc>
      </w:tr>
    </w:tbl>
    <w:p w14:paraId="0D79AFF9" w14:textId="77777777" w:rsidR="00195C45" w:rsidRPr="002407CE" w:rsidRDefault="00195C45" w:rsidP="00195C45">
      <w:pPr>
        <w:widowControl w:val="0"/>
        <w:autoSpaceDE w:val="0"/>
        <w:autoSpaceDN w:val="0"/>
        <w:spacing w:after="0" w:line="276" w:lineRule="auto"/>
        <w:jc w:val="both"/>
        <w:rPr>
          <w:rFonts w:ascii="Verdana" w:hAnsi="Verdana" w:cs="Arial"/>
        </w:rPr>
      </w:pPr>
    </w:p>
    <w:p w14:paraId="10608E8B" w14:textId="77777777" w:rsidR="00195C45" w:rsidRPr="00593A5F" w:rsidRDefault="00195C45" w:rsidP="00195C4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3492EFB" w14:textId="77777777" w:rsidR="00195C45" w:rsidRPr="00593A5F" w:rsidRDefault="00195C45" w:rsidP="00195C45">
      <w:pPr>
        <w:widowControl w:val="0"/>
        <w:autoSpaceDE w:val="0"/>
        <w:autoSpaceDN w:val="0"/>
        <w:spacing w:after="0" w:line="276" w:lineRule="auto"/>
        <w:jc w:val="both"/>
        <w:rPr>
          <w:rFonts w:ascii="Verdana" w:hAnsi="Verdana" w:cs="Arial"/>
        </w:rPr>
      </w:pPr>
    </w:p>
    <w:p w14:paraId="099C2DC7" w14:textId="77777777" w:rsidR="00195C45" w:rsidRPr="007D6CC8" w:rsidRDefault="00195C45" w:rsidP="00195C45">
      <w:pPr>
        <w:widowControl w:val="0"/>
        <w:autoSpaceDE w:val="0"/>
        <w:autoSpaceDN w:val="0"/>
        <w:spacing w:after="0" w:line="276" w:lineRule="auto"/>
        <w:jc w:val="both"/>
        <w:rPr>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C-1401 del 22 de octubre de 2025, C-1512 del 27 de octubre de 2025, C-1488 del 30 de octubre de 2025, C-1596 del 6 de noviembre de 2025, C-1509 </w:t>
      </w:r>
      <w:r>
        <w:rPr>
          <w:rFonts w:ascii="Verdana" w:hAnsi="Verdana" w:cs="Arial"/>
          <w:shd w:val="clear" w:color="auto" w:fill="FFFFFF"/>
        </w:rPr>
        <w:lastRenderedPageBreak/>
        <w:t>del 19 de noviembre de 2025, C-1773 del 5 de diciembre de 2025, C-1646 del 17 de diciembre de 2025, C-1703 del 29 de diciembre de 2025, C-068 del 27 de enero de 2026, C-111 del 6 de febrero de 2026, C-127 del 6 de febrero de 2026, entre otros</w:t>
      </w:r>
      <w:r>
        <w:rPr>
          <w:rFonts w:ascii="Verdana" w:hAnsi="Verdana"/>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794CF8F" w14:textId="77777777" w:rsidR="00195C45" w:rsidRPr="00185EE9" w:rsidRDefault="00195C45" w:rsidP="00195C45">
      <w:pPr>
        <w:spacing w:after="0" w:line="256" w:lineRule="auto"/>
        <w:jc w:val="both"/>
        <w:rPr>
          <w:rFonts w:ascii="Verdana" w:eastAsia="Calibri" w:hAnsi="Verdana" w:cs="Times New Roman"/>
        </w:rPr>
      </w:pPr>
      <w:hyperlink r:id="rId18"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32EB777E" w14:textId="77777777" w:rsidR="00195C45" w:rsidRPr="00096788" w:rsidRDefault="00195C45" w:rsidP="00195C45">
      <w:pPr>
        <w:widowControl w:val="0"/>
        <w:autoSpaceDE w:val="0"/>
        <w:autoSpaceDN w:val="0"/>
        <w:spacing w:after="0" w:line="276" w:lineRule="auto"/>
        <w:jc w:val="both"/>
        <w:rPr>
          <w:rFonts w:ascii="Verdana" w:hAnsi="Verdana" w:cs="Arial"/>
          <w:color w:val="000000" w:themeColor="text1"/>
          <w:shd w:val="clear" w:color="auto" w:fill="FFFFFF"/>
        </w:rPr>
      </w:pPr>
    </w:p>
    <w:p w14:paraId="0E53EEC0" w14:textId="77777777" w:rsidR="00195C45" w:rsidRDefault="00195C45" w:rsidP="00195C45">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9"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44FAE449" w14:textId="77777777" w:rsidR="00195C45" w:rsidRDefault="00195C45" w:rsidP="00195C45">
      <w:pPr>
        <w:shd w:val="clear" w:color="auto" w:fill="FFFFFF"/>
        <w:spacing w:after="0" w:line="276" w:lineRule="auto"/>
        <w:jc w:val="both"/>
        <w:rPr>
          <w:rFonts w:ascii="Verdana" w:hAnsi="Verdana"/>
          <w:color w:val="000000"/>
          <w:u w:val="single"/>
        </w:rPr>
      </w:pPr>
    </w:p>
    <w:p w14:paraId="6814A89F" w14:textId="77777777" w:rsidR="00195C45" w:rsidRPr="00116940" w:rsidRDefault="00195C45" w:rsidP="00195C45">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B95CF5F" w14:textId="77777777" w:rsidR="00195C45" w:rsidRPr="00116940" w:rsidRDefault="00195C45" w:rsidP="00195C45">
      <w:pPr>
        <w:spacing w:after="0"/>
        <w:jc w:val="both"/>
        <w:rPr>
          <w:rFonts w:ascii="Verdana" w:hAnsi="Verdana"/>
        </w:rPr>
      </w:pPr>
    </w:p>
    <w:p w14:paraId="3D417A21" w14:textId="77777777" w:rsidR="00195C45" w:rsidRPr="00116940" w:rsidRDefault="00195C45" w:rsidP="00195C45">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3F71F54" w14:textId="77777777" w:rsidR="00195C45" w:rsidRPr="00116940" w:rsidRDefault="00195C45" w:rsidP="00195C45">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0A799D1B" w14:textId="77777777" w:rsidR="00195C45" w:rsidRPr="00116940" w:rsidRDefault="00195C45" w:rsidP="00195C45">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20">
        <w:r w:rsidRPr="00116940">
          <w:rPr>
            <w:rStyle w:val="Hipervnculo"/>
            <w:rFonts w:ascii="Verdana" w:eastAsia="Verdana" w:hAnsi="Verdana" w:cs="Verdana"/>
            <w:lang w:val="es-MX"/>
          </w:rPr>
          <w:t>ventanilladeradicacion@colombiacompra.gov.co</w:t>
        </w:r>
      </w:hyperlink>
    </w:p>
    <w:p w14:paraId="768CC223" w14:textId="77777777" w:rsidR="00195C45" w:rsidRPr="00116940" w:rsidRDefault="00195C45" w:rsidP="00195C45">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21">
        <w:r w:rsidRPr="00116940">
          <w:rPr>
            <w:rStyle w:val="Hipervnculo"/>
            <w:rFonts w:ascii="Verdana" w:eastAsia="Verdana" w:hAnsi="Verdana" w:cs="Verdana"/>
            <w:lang w:val="es-MX"/>
          </w:rPr>
          <w:t>https://www.colombiacompra.gov.co/pqrsd/informacion-importante-antes-de-formular-una-pqrsd</w:t>
        </w:r>
      </w:hyperlink>
    </w:p>
    <w:p w14:paraId="1100B4CD" w14:textId="77777777" w:rsidR="00195C45" w:rsidRPr="00116940" w:rsidRDefault="00195C45" w:rsidP="00195C45">
      <w:pPr>
        <w:spacing w:after="0" w:line="240" w:lineRule="auto"/>
        <w:ind w:left="720"/>
        <w:jc w:val="both"/>
        <w:rPr>
          <w:rFonts w:ascii="Verdana" w:hAnsi="Verdana"/>
        </w:rPr>
      </w:pPr>
    </w:p>
    <w:p w14:paraId="6324C827" w14:textId="77777777" w:rsidR="00195C45" w:rsidRPr="00116940" w:rsidRDefault="00195C45" w:rsidP="00195C45">
      <w:pPr>
        <w:spacing w:after="0" w:line="240" w:lineRule="auto"/>
        <w:rPr>
          <w:rFonts w:ascii="Verdana" w:hAnsi="Verdana"/>
        </w:rPr>
      </w:pPr>
      <w:r w:rsidRPr="00116940">
        <w:rPr>
          <w:rFonts w:ascii="Verdana" w:hAnsi="Verdana"/>
        </w:rPr>
        <w:lastRenderedPageBreak/>
        <w:t xml:space="preserve">Evalúa el servicio que ofrece la Agencia por el canal de atención de PQRSD en el siguiente </w:t>
      </w:r>
      <w:proofErr w:type="gramStart"/>
      <w:r w:rsidRPr="00116940">
        <w:rPr>
          <w:rFonts w:ascii="Verdana" w:hAnsi="Verdana"/>
        </w:rPr>
        <w:t>enlace :</w:t>
      </w:r>
      <w:proofErr w:type="gramEnd"/>
      <w:hyperlink r:id="rId22"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51F7C67" w14:textId="77777777" w:rsidR="00195C45" w:rsidRPr="00116940" w:rsidRDefault="00195C45" w:rsidP="00195C45">
      <w:pPr>
        <w:spacing w:after="0" w:line="240" w:lineRule="auto"/>
        <w:rPr>
          <w:rFonts w:ascii="Verdana" w:hAnsi="Verdana"/>
        </w:rPr>
      </w:pPr>
    </w:p>
    <w:p w14:paraId="73F43509" w14:textId="77777777" w:rsidR="00195C45" w:rsidRPr="00116940" w:rsidRDefault="00195C45" w:rsidP="00195C45">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AA38E41" w14:textId="77777777" w:rsidR="00195C45" w:rsidRPr="00116940" w:rsidRDefault="00195C45" w:rsidP="00195C45">
      <w:pPr>
        <w:spacing w:after="0" w:line="240" w:lineRule="auto"/>
        <w:jc w:val="both"/>
        <w:rPr>
          <w:rFonts w:ascii="Verdana" w:hAnsi="Verdana"/>
        </w:rPr>
      </w:pPr>
    </w:p>
    <w:p w14:paraId="6F955AB5" w14:textId="77777777" w:rsidR="00195C45" w:rsidRPr="00116940" w:rsidRDefault="00195C45" w:rsidP="00195C45">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FC5BEC6" w14:textId="77777777" w:rsidR="00195C45" w:rsidRPr="00116940" w:rsidRDefault="00195C45" w:rsidP="00195C45">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03496DB" w14:textId="77777777" w:rsidR="00195C45" w:rsidRPr="00116940" w:rsidRDefault="00195C45" w:rsidP="00195C45">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C8C4319" w14:textId="77777777" w:rsidR="00195C45" w:rsidRPr="00116940" w:rsidRDefault="00195C45" w:rsidP="00195C45">
      <w:pPr>
        <w:spacing w:after="0" w:line="240" w:lineRule="auto"/>
        <w:jc w:val="both"/>
        <w:rPr>
          <w:rFonts w:ascii="Verdana" w:hAnsi="Verdana"/>
        </w:rPr>
      </w:pPr>
    </w:p>
    <w:p w14:paraId="1BF6F385" w14:textId="77777777" w:rsidR="00195C45" w:rsidRPr="009037F6" w:rsidRDefault="00195C45" w:rsidP="00195C45">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BE8FC32" w14:textId="77777777" w:rsidR="00195C45" w:rsidRPr="00492C4A" w:rsidRDefault="00195C45" w:rsidP="00195C45">
      <w:pPr>
        <w:spacing w:after="0" w:line="256" w:lineRule="auto"/>
        <w:jc w:val="both"/>
        <w:rPr>
          <w:rFonts w:ascii="Verdana" w:eastAsia="Calibri" w:hAnsi="Verdana" w:cs="Times New Roman"/>
          <w:lang w:val="es-ES_tradnl"/>
        </w:rPr>
      </w:pPr>
    </w:p>
    <w:p w14:paraId="642003EC" w14:textId="77777777" w:rsidR="00195C45" w:rsidRDefault="00195C45" w:rsidP="00195C45">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3B435505" w14:textId="77777777" w:rsidR="00195C45" w:rsidRDefault="00195C45" w:rsidP="00195C45">
      <w:pPr>
        <w:spacing w:after="0" w:line="256" w:lineRule="auto"/>
        <w:jc w:val="both"/>
        <w:rPr>
          <w:rFonts w:ascii="Verdana" w:eastAsia="Calibri" w:hAnsi="Verdana" w:cs="Times New Roman"/>
        </w:rPr>
      </w:pPr>
    </w:p>
    <w:p w14:paraId="212163F4" w14:textId="63293B96" w:rsidR="00195C45" w:rsidRPr="00286830" w:rsidRDefault="00573B22" w:rsidP="00195C45">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3FDFCCD9" wp14:editId="07C27521">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3"/>
                    <a:stretch>
                      <a:fillRect/>
                    </a:stretch>
                  </pic:blipFill>
                  <pic:spPr>
                    <a:xfrm>
                      <a:off x="0" y="0"/>
                      <a:ext cx="3312722" cy="1229722"/>
                    </a:xfrm>
                    <a:prstGeom prst="rect">
                      <a:avLst/>
                    </a:prstGeom>
                  </pic:spPr>
                </pic:pic>
              </a:graphicData>
            </a:graphic>
          </wp:inline>
        </w:drawing>
      </w:r>
      <w:r w:rsidR="00195C45" w:rsidRPr="00FD1DDC">
        <w:rPr>
          <w:rFonts w:ascii="Verdana" w:hAnsi="Verdana"/>
          <w:sz w:val="16"/>
          <w:szCs w:val="16"/>
        </w:rPr>
        <w:t xml:space="preserve"> </w:t>
      </w:r>
    </w:p>
    <w:p w14:paraId="190457E4" w14:textId="77777777" w:rsidR="00195C45" w:rsidRPr="00286830" w:rsidRDefault="00195C45" w:rsidP="00195C45">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195C45" w:rsidRPr="00286830" w14:paraId="7494B1E2" w14:textId="77777777" w:rsidTr="00101855">
        <w:trPr>
          <w:trHeight w:val="409"/>
        </w:trPr>
        <w:tc>
          <w:tcPr>
            <w:tcW w:w="817" w:type="dxa"/>
            <w:tcBorders>
              <w:top w:val="nil"/>
              <w:left w:val="nil"/>
              <w:bottom w:val="nil"/>
              <w:right w:val="nil"/>
            </w:tcBorders>
            <w:vAlign w:val="center"/>
            <w:hideMark/>
          </w:tcPr>
          <w:p w14:paraId="56AC8DE8" w14:textId="77777777" w:rsidR="00195C45" w:rsidRPr="00286830" w:rsidRDefault="00195C45" w:rsidP="00101855">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4CCF372" w14:textId="77777777" w:rsidR="00195C45" w:rsidRPr="00286830" w:rsidRDefault="00195C45" w:rsidP="00101855">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José Luis Sánchez Cardona</w:t>
            </w:r>
          </w:p>
          <w:p w14:paraId="35A4210D" w14:textId="77777777" w:rsidR="00195C45" w:rsidRPr="00286830" w:rsidRDefault="00195C45" w:rsidP="00101855">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Contratista de la Subdirección de Gestión Contractual</w:t>
            </w:r>
          </w:p>
        </w:tc>
      </w:tr>
      <w:tr w:rsidR="00195C45" w:rsidRPr="00286830" w14:paraId="52E8C870" w14:textId="77777777" w:rsidTr="00101855">
        <w:trPr>
          <w:trHeight w:val="409"/>
        </w:trPr>
        <w:tc>
          <w:tcPr>
            <w:tcW w:w="817" w:type="dxa"/>
            <w:tcBorders>
              <w:top w:val="nil"/>
              <w:left w:val="nil"/>
              <w:bottom w:val="nil"/>
              <w:right w:val="nil"/>
            </w:tcBorders>
            <w:vAlign w:val="center"/>
            <w:hideMark/>
          </w:tcPr>
          <w:p w14:paraId="077913DB" w14:textId="77777777" w:rsidR="00195C45" w:rsidRPr="00286830" w:rsidRDefault="00195C45" w:rsidP="00101855">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AFB69A3" w14:textId="77777777" w:rsidR="00195C45" w:rsidRPr="00286830" w:rsidRDefault="00195C45" w:rsidP="00101855">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 xml:space="preserve">Alejandro </w:t>
            </w:r>
            <w:r>
              <w:rPr>
                <w:rFonts w:ascii="Verdana" w:eastAsia="Calibri" w:hAnsi="Verdana" w:cs="Times New Roman"/>
                <w:sz w:val="16"/>
                <w:szCs w:val="16"/>
              </w:rPr>
              <w:t xml:space="preserve">R. </w:t>
            </w:r>
            <w:r w:rsidRPr="00286830">
              <w:rPr>
                <w:rFonts w:ascii="Verdana" w:eastAsia="Calibri" w:hAnsi="Verdana" w:cs="Times New Roman"/>
                <w:sz w:val="16"/>
                <w:szCs w:val="16"/>
              </w:rPr>
              <w:t>Sarmiento Cantillo</w:t>
            </w:r>
          </w:p>
          <w:p w14:paraId="2A106B15" w14:textId="77777777" w:rsidR="00195C45" w:rsidRPr="00286830" w:rsidRDefault="00195C45" w:rsidP="00101855">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Gestor T1-15 de la Subdirección de Gestión Contractual </w:t>
            </w:r>
          </w:p>
        </w:tc>
      </w:tr>
      <w:tr w:rsidR="00195C45" w:rsidRPr="00286830" w14:paraId="303CE02F" w14:textId="77777777" w:rsidTr="00101855">
        <w:trPr>
          <w:trHeight w:val="389"/>
        </w:trPr>
        <w:tc>
          <w:tcPr>
            <w:tcW w:w="817" w:type="dxa"/>
            <w:tcBorders>
              <w:top w:val="nil"/>
              <w:left w:val="nil"/>
              <w:bottom w:val="nil"/>
              <w:right w:val="nil"/>
            </w:tcBorders>
            <w:vAlign w:val="center"/>
            <w:hideMark/>
          </w:tcPr>
          <w:p w14:paraId="475E594A" w14:textId="77777777" w:rsidR="00195C45" w:rsidRPr="00286830" w:rsidRDefault="00195C45" w:rsidP="00101855">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994353E" w14:textId="77777777" w:rsidR="00195C45" w:rsidRPr="00286830" w:rsidRDefault="00195C45" w:rsidP="00101855">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Carolina Quintero Gacharná</w:t>
            </w:r>
          </w:p>
          <w:p w14:paraId="15CB3855" w14:textId="77777777" w:rsidR="00195C45" w:rsidRPr="00286830" w:rsidRDefault="00195C45" w:rsidP="00101855">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Subdirectora de Gestión Contractual ANCP – CCE</w:t>
            </w:r>
          </w:p>
        </w:tc>
      </w:tr>
      <w:bookmarkEnd w:id="0"/>
    </w:tbl>
    <w:p w14:paraId="41FD1E17" w14:textId="034D25E6" w:rsidR="004674CF" w:rsidRPr="00573B22" w:rsidRDefault="004674CF" w:rsidP="00573B22">
      <w:pPr>
        <w:spacing w:after="0" w:line="240" w:lineRule="auto"/>
        <w:textAlignment w:val="baseline"/>
        <w:rPr>
          <w:rFonts w:ascii="Verdana" w:eastAsia="Verdana" w:hAnsi="Verdana" w:cs="Verdana"/>
          <w:lang w:eastAsia="es-CO"/>
        </w:rPr>
      </w:pPr>
    </w:p>
    <w:sectPr w:rsidR="004674CF" w:rsidRPr="00573B22" w:rsidSect="007C0C0F">
      <w:headerReference w:type="default" r:id="rId24"/>
      <w:footerReference w:type="default" r:id="rId2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6D1078" w14:textId="77777777" w:rsidR="006E24BD" w:rsidRDefault="006E24BD" w:rsidP="004A1847">
      <w:pPr>
        <w:spacing w:after="0" w:line="240" w:lineRule="auto"/>
      </w:pPr>
      <w:r>
        <w:separator/>
      </w:r>
    </w:p>
  </w:endnote>
  <w:endnote w:type="continuationSeparator" w:id="0">
    <w:p w14:paraId="49A35B92" w14:textId="77777777" w:rsidR="006E24BD" w:rsidRDefault="006E24BD" w:rsidP="004A1847">
      <w:pPr>
        <w:spacing w:after="0" w:line="240" w:lineRule="auto"/>
      </w:pPr>
      <w:r>
        <w:continuationSeparator/>
      </w:r>
    </w:p>
  </w:endnote>
  <w:endnote w:type="continuationNotice" w:id="1">
    <w:p w14:paraId="70B0F933" w14:textId="77777777" w:rsidR="006E24BD" w:rsidRDefault="006E24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5B75DB55"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D447EB" w:rsidRPr="00D447EB">
      <w:rPr>
        <w:rFonts w:ascii="Verdana" w:eastAsiaTheme="minorEastAsia" w:hAnsi="Verdana"/>
        <w:b/>
        <w:bCs/>
        <w:noProof/>
        <w:sz w:val="16"/>
        <w:szCs w:val="16"/>
      </w:rPr>
      <w:t>7</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C90F0B" w14:textId="77777777" w:rsidR="006E24BD" w:rsidRDefault="006E24BD" w:rsidP="004A1847">
      <w:pPr>
        <w:spacing w:after="0" w:line="240" w:lineRule="auto"/>
      </w:pPr>
      <w:r>
        <w:separator/>
      </w:r>
    </w:p>
  </w:footnote>
  <w:footnote w:type="continuationSeparator" w:id="0">
    <w:p w14:paraId="046362A1" w14:textId="77777777" w:rsidR="006E24BD" w:rsidRDefault="006E24BD" w:rsidP="004A1847">
      <w:pPr>
        <w:spacing w:after="0" w:line="240" w:lineRule="auto"/>
      </w:pPr>
      <w:r>
        <w:continuationSeparator/>
      </w:r>
    </w:p>
  </w:footnote>
  <w:footnote w:type="continuationNotice" w:id="1">
    <w:p w14:paraId="5C01C886" w14:textId="77777777" w:rsidR="006E24BD" w:rsidRDefault="006E24BD">
      <w:pPr>
        <w:spacing w:after="0" w:line="240" w:lineRule="auto"/>
      </w:pPr>
    </w:p>
  </w:footnote>
  <w:footnote w:id="2">
    <w:p w14:paraId="7D5A015C" w14:textId="77777777" w:rsidR="00195C45" w:rsidRPr="00DD7357" w:rsidRDefault="00195C45" w:rsidP="00195C45">
      <w:pPr>
        <w:pStyle w:val="Textonotapie"/>
        <w:ind w:firstLine="709"/>
        <w:jc w:val="both"/>
        <w:rPr>
          <w:rFonts w:ascii="Verdana" w:hAnsi="Verdana" w:cs="Arial"/>
          <w:sz w:val="15"/>
          <w:szCs w:val="15"/>
        </w:rPr>
      </w:pPr>
      <w:r w:rsidRPr="00DD7357">
        <w:rPr>
          <w:rStyle w:val="Refdenotaalpie"/>
          <w:rFonts w:ascii="Verdana" w:hAnsi="Verdana" w:cs="Arial"/>
          <w:sz w:val="15"/>
          <w:szCs w:val="15"/>
        </w:rPr>
        <w:footnoteRef/>
      </w:r>
      <w:r w:rsidRPr="00DD7357">
        <w:rPr>
          <w:rFonts w:ascii="Verdana" w:hAnsi="Verdana" w:cs="Arial"/>
          <w:sz w:val="15"/>
          <w:szCs w:val="15"/>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0F3304B" w14:textId="77777777" w:rsidR="00195C45" w:rsidRPr="00DD7357" w:rsidRDefault="00195C45" w:rsidP="00195C45">
      <w:pPr>
        <w:pStyle w:val="Textonotapie"/>
        <w:ind w:firstLine="709"/>
        <w:jc w:val="both"/>
        <w:rPr>
          <w:rFonts w:ascii="Verdana" w:hAnsi="Verdana" w:cs="Arial"/>
          <w:sz w:val="15"/>
          <w:szCs w:val="15"/>
        </w:rPr>
      </w:pPr>
      <w:r w:rsidRPr="00DD7357">
        <w:rPr>
          <w:rFonts w:ascii="Verdana" w:hAnsi="Verdana" w:cs="Arial"/>
          <w:sz w:val="15"/>
          <w:szCs w:val="15"/>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0C90691E" w14:textId="77777777" w:rsidR="00195C45" w:rsidRPr="00DD7357" w:rsidRDefault="00195C45" w:rsidP="00195C45">
      <w:pPr>
        <w:pStyle w:val="Textonotapie"/>
        <w:ind w:firstLine="709"/>
        <w:jc w:val="both"/>
        <w:rPr>
          <w:rFonts w:ascii="Verdana" w:hAnsi="Verdana" w:cs="Arial"/>
          <w:sz w:val="15"/>
          <w:szCs w:val="15"/>
        </w:rPr>
      </w:pPr>
      <w:r w:rsidRPr="00DD7357">
        <w:rPr>
          <w:rStyle w:val="Refdenotaalpie"/>
          <w:rFonts w:ascii="Verdana" w:hAnsi="Verdana" w:cs="Arial"/>
          <w:sz w:val="15"/>
          <w:szCs w:val="15"/>
        </w:rPr>
        <w:footnoteRef/>
      </w:r>
      <w:r w:rsidRPr="00DD7357">
        <w:rPr>
          <w:rFonts w:ascii="Verdana" w:hAnsi="Verdana" w:cs="Arial"/>
          <w:sz w:val="15"/>
          <w:szCs w:val="15"/>
        </w:rPr>
        <w:t xml:space="preserve"> Gaceta del Congreso de la República No. 71 del 2005.</w:t>
      </w:r>
    </w:p>
  </w:footnote>
  <w:footnote w:id="4">
    <w:p w14:paraId="1B1D5C66" w14:textId="77777777" w:rsidR="00195C45" w:rsidRPr="00DD7357" w:rsidRDefault="00195C45" w:rsidP="00195C45">
      <w:pPr>
        <w:pStyle w:val="Textonotapie"/>
        <w:ind w:firstLine="709"/>
        <w:jc w:val="both"/>
        <w:rPr>
          <w:rFonts w:ascii="Verdana" w:hAnsi="Verdana" w:cs="Arial"/>
          <w:sz w:val="15"/>
          <w:szCs w:val="15"/>
          <w:lang w:val="pt-BR"/>
        </w:rPr>
      </w:pPr>
      <w:r w:rsidRPr="00DD7357">
        <w:rPr>
          <w:rStyle w:val="Refdenotaalpie"/>
          <w:rFonts w:ascii="Verdana" w:hAnsi="Verdana" w:cs="Arial"/>
          <w:sz w:val="15"/>
          <w:szCs w:val="15"/>
        </w:rPr>
        <w:footnoteRef/>
      </w:r>
      <w:r w:rsidRPr="00DD7357">
        <w:rPr>
          <w:rFonts w:ascii="Verdana" w:hAnsi="Verdana" w:cs="Arial"/>
          <w:sz w:val="15"/>
          <w:szCs w:val="15"/>
          <w:lang w:val="pt-BR"/>
        </w:rPr>
        <w:t xml:space="preserve"> Corte Constitucional, Sentencia C- 1153 de 2005, M.P. Marco Gerardo Monroy Cabra.</w:t>
      </w:r>
    </w:p>
  </w:footnote>
  <w:footnote w:id="5">
    <w:p w14:paraId="506E7262" w14:textId="77777777" w:rsidR="00195C45" w:rsidRPr="00DD7357" w:rsidRDefault="00195C45" w:rsidP="00195C45">
      <w:pPr>
        <w:pStyle w:val="Textonotapie"/>
        <w:ind w:firstLine="709"/>
        <w:jc w:val="both"/>
        <w:rPr>
          <w:rFonts w:ascii="Verdana" w:hAnsi="Verdana" w:cs="Arial"/>
          <w:sz w:val="15"/>
          <w:szCs w:val="15"/>
          <w:lang w:val="pt-BR"/>
        </w:rPr>
      </w:pPr>
      <w:r w:rsidRPr="00DD7357">
        <w:rPr>
          <w:rStyle w:val="Refdenotaalpie"/>
          <w:rFonts w:ascii="Verdana" w:hAnsi="Verdana" w:cs="Arial"/>
          <w:sz w:val="15"/>
          <w:szCs w:val="15"/>
        </w:rPr>
        <w:footnoteRef/>
      </w:r>
      <w:r w:rsidRPr="00DD7357">
        <w:rPr>
          <w:rFonts w:ascii="Verdana" w:hAnsi="Verdana" w:cs="Arial"/>
          <w:sz w:val="15"/>
          <w:szCs w:val="15"/>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3826FA13" w14:textId="77777777" w:rsidR="00195C45" w:rsidRPr="00DD7357" w:rsidRDefault="00195C45" w:rsidP="00195C45">
      <w:pPr>
        <w:pStyle w:val="Textonotapie"/>
        <w:ind w:firstLine="709"/>
        <w:jc w:val="both"/>
        <w:rPr>
          <w:rFonts w:ascii="Verdana" w:hAnsi="Verdana" w:cs="Arial"/>
          <w:sz w:val="15"/>
          <w:szCs w:val="15"/>
          <w:lang w:val="es-CO"/>
        </w:rPr>
      </w:pPr>
      <w:r w:rsidRPr="00DD7357">
        <w:rPr>
          <w:rStyle w:val="Refdenotaalpie"/>
          <w:rFonts w:ascii="Verdana" w:hAnsi="Verdana" w:cs="Arial"/>
          <w:sz w:val="15"/>
          <w:szCs w:val="15"/>
        </w:rPr>
        <w:footnoteRef/>
      </w:r>
      <w:r w:rsidRPr="00DD7357">
        <w:rPr>
          <w:rFonts w:ascii="Verdana" w:hAnsi="Verdana" w:cs="Arial"/>
          <w:sz w:val="15"/>
          <w:szCs w:val="15"/>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4A546C3D" w14:textId="77777777" w:rsidR="00195C45" w:rsidRPr="00DD7357" w:rsidRDefault="00195C45" w:rsidP="00195C45">
      <w:pPr>
        <w:pStyle w:val="Textonotapie"/>
        <w:ind w:firstLine="709"/>
        <w:jc w:val="both"/>
        <w:rPr>
          <w:rFonts w:ascii="Verdana" w:hAnsi="Verdana" w:cs="Arial"/>
          <w:sz w:val="15"/>
          <w:szCs w:val="15"/>
        </w:rPr>
      </w:pPr>
      <w:r w:rsidRPr="00DD7357">
        <w:rPr>
          <w:rStyle w:val="Refdenotaalpie"/>
          <w:rFonts w:ascii="Verdana" w:hAnsi="Verdana" w:cs="Arial"/>
          <w:sz w:val="15"/>
          <w:szCs w:val="15"/>
        </w:rPr>
        <w:footnoteRef/>
      </w:r>
      <w:r w:rsidRPr="00DD7357">
        <w:rPr>
          <w:rFonts w:ascii="Verdana" w:hAnsi="Verdana" w:cs="Arial"/>
          <w:sz w:val="15"/>
          <w:szCs w:val="15"/>
        </w:rPr>
        <w:t xml:space="preserve"> Consejo de Estado, Sala de Consulta y Servicio Civil de fecha 24 de julio de 2013, radicado 2166, C. P. Álvaro Namén Vargas.  </w:t>
      </w:r>
    </w:p>
  </w:footnote>
  <w:footnote w:id="8">
    <w:p w14:paraId="23C948FD" w14:textId="77777777" w:rsidR="00195C45" w:rsidRPr="00DD7357" w:rsidRDefault="00195C45" w:rsidP="00195C45">
      <w:pPr>
        <w:spacing w:after="0" w:line="240" w:lineRule="auto"/>
        <w:ind w:firstLine="709"/>
        <w:jc w:val="both"/>
        <w:rPr>
          <w:rFonts w:ascii="Verdana" w:eastAsia="Times New Roman" w:hAnsi="Verdana" w:cs="Arial"/>
          <w:sz w:val="15"/>
          <w:szCs w:val="15"/>
        </w:rPr>
      </w:pPr>
      <w:r w:rsidRPr="00DD7357">
        <w:rPr>
          <w:rStyle w:val="Refdenotaalpie"/>
          <w:rFonts w:ascii="Verdana" w:hAnsi="Verdana" w:cs="Arial"/>
          <w:sz w:val="15"/>
          <w:szCs w:val="15"/>
        </w:rPr>
        <w:footnoteRef/>
      </w:r>
      <w:r w:rsidRPr="00DD7357">
        <w:rPr>
          <w:rFonts w:ascii="Verdana" w:hAnsi="Verdana" w:cs="Arial"/>
          <w:sz w:val="15"/>
          <w:szCs w:val="15"/>
        </w:rPr>
        <w:t xml:space="preserve"> </w:t>
      </w:r>
      <w:bookmarkStart w:id="7" w:name="33"/>
      <w:r w:rsidRPr="00DD7357">
        <w:rPr>
          <w:rFonts w:ascii="Verdana" w:eastAsia="Calibri" w:hAnsi="Verdana" w:cs="Arial"/>
          <w:color w:val="000000"/>
          <w:sz w:val="15"/>
          <w:szCs w:val="15"/>
        </w:rPr>
        <w:t>“</w:t>
      </w:r>
      <w:r w:rsidRPr="00DD7357">
        <w:rPr>
          <w:rFonts w:ascii="Verdana" w:eastAsia="Times New Roman" w:hAnsi="Verdana" w:cs="Arial"/>
          <w:sz w:val="15"/>
          <w:szCs w:val="15"/>
        </w:rPr>
        <w:t>Artículo 33. Restricciones a la contratación pública.</w:t>
      </w:r>
      <w:bookmarkEnd w:id="7"/>
      <w:r w:rsidRPr="00DD7357">
        <w:rPr>
          <w:rFonts w:ascii="Verdana" w:eastAsia="Times New Roman" w:hAnsi="Verdana" w:cs="Arial"/>
          <w:sz w:val="15"/>
          <w:szCs w:val="15"/>
        </w:rPr>
        <w:t> Durante los cuatro (4) meses anteriores a la elección presidencial y hasta la realización de la elección en la segunda vuelta, si fuere el caso, queda prohibida la contratación directa por parte de todos los entes del Estado.</w:t>
      </w:r>
    </w:p>
    <w:p w14:paraId="7C01C9CE" w14:textId="77777777" w:rsidR="00195C45" w:rsidRPr="00DD7357" w:rsidRDefault="00195C45" w:rsidP="00195C45">
      <w:pPr>
        <w:spacing w:after="0" w:line="240" w:lineRule="auto"/>
        <w:ind w:firstLine="709"/>
        <w:jc w:val="both"/>
        <w:rPr>
          <w:rFonts w:ascii="Verdana" w:eastAsia="Times New Roman" w:hAnsi="Verdana" w:cs="Arial"/>
          <w:sz w:val="15"/>
          <w:szCs w:val="15"/>
        </w:rPr>
      </w:pPr>
      <w:r w:rsidRPr="00DD7357">
        <w:rPr>
          <w:rFonts w:ascii="Verdana" w:eastAsia="Times New Roman" w:hAnsi="Verdana" w:cs="Arial"/>
          <w:sz w:val="15"/>
          <w:szCs w:val="15"/>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DD7357">
        <w:rPr>
          <w:rFonts w:ascii="Verdana" w:eastAsia="Calibri" w:hAnsi="Verdana" w:cs="Arial"/>
          <w:color w:val="000000"/>
          <w:sz w:val="15"/>
          <w:szCs w:val="15"/>
        </w:rPr>
        <w:t>”</w:t>
      </w:r>
      <w:r w:rsidRPr="00DD7357">
        <w:rPr>
          <w:rFonts w:ascii="Verdana" w:eastAsia="Times New Roman" w:hAnsi="Verdana" w:cs="Arial"/>
          <w:sz w:val="15"/>
          <w:szCs w:val="15"/>
        </w:rPr>
        <w:t>.</w:t>
      </w:r>
    </w:p>
  </w:footnote>
  <w:footnote w:id="9">
    <w:p w14:paraId="6BA7D101" w14:textId="77777777" w:rsidR="00195C45" w:rsidRPr="00DD7357" w:rsidRDefault="00195C45" w:rsidP="00195C45">
      <w:pPr>
        <w:pStyle w:val="NormalWeb"/>
        <w:spacing w:before="0" w:beforeAutospacing="0" w:after="0" w:afterAutospacing="0"/>
        <w:ind w:firstLine="709"/>
        <w:jc w:val="both"/>
        <w:rPr>
          <w:rFonts w:ascii="Verdana" w:hAnsi="Verdana" w:cs="Arial"/>
          <w:sz w:val="15"/>
          <w:szCs w:val="15"/>
          <w:lang w:val="es-MX"/>
        </w:rPr>
      </w:pPr>
      <w:r w:rsidRPr="00DD7357">
        <w:rPr>
          <w:rStyle w:val="Refdenotaalpie"/>
          <w:rFonts w:ascii="Verdana" w:hAnsi="Verdana" w:cs="Arial"/>
          <w:sz w:val="15"/>
          <w:szCs w:val="15"/>
        </w:rPr>
        <w:footnoteRef/>
      </w:r>
      <w:r w:rsidRPr="00DD7357">
        <w:rPr>
          <w:rFonts w:ascii="Verdana" w:hAnsi="Verdana" w:cs="Arial"/>
          <w:sz w:val="15"/>
          <w:szCs w:val="15"/>
        </w:rPr>
        <w:t xml:space="preserve"> </w:t>
      </w:r>
      <w:bookmarkStart w:id="8" w:name="38"/>
      <w:r w:rsidRPr="00DD7357">
        <w:rPr>
          <w:rFonts w:ascii="Verdana" w:eastAsia="Calibri" w:hAnsi="Verdana" w:cs="Arial"/>
          <w:color w:val="000000"/>
          <w:sz w:val="15"/>
          <w:szCs w:val="15"/>
        </w:rPr>
        <w:t>“</w:t>
      </w:r>
      <w:r w:rsidRPr="00DD7357">
        <w:rPr>
          <w:rFonts w:ascii="Verdana" w:hAnsi="Verdana" w:cs="Arial"/>
          <w:sz w:val="15"/>
          <w:szCs w:val="15"/>
          <w:lang w:val="es-MX"/>
        </w:rPr>
        <w:t>Artículo 38. Prohibiciones para los servidores públicos. A los empleados del Estado les está prohibido:</w:t>
      </w:r>
      <w:bookmarkEnd w:id="8"/>
      <w:r w:rsidRPr="00DD7357">
        <w:rPr>
          <w:rFonts w:ascii="Verdana" w:hAnsi="Verdana" w:cs="Arial"/>
          <w:sz w:val="15"/>
          <w:szCs w:val="15"/>
          <w:lang w:val="es-MX"/>
        </w:rPr>
        <w:t xml:space="preserve"> […]</w:t>
      </w:r>
    </w:p>
    <w:p w14:paraId="200A063B" w14:textId="77777777" w:rsidR="00195C45" w:rsidRPr="00DD7357" w:rsidRDefault="00195C45" w:rsidP="00195C45">
      <w:pPr>
        <w:pStyle w:val="NormalWeb"/>
        <w:spacing w:before="0" w:beforeAutospacing="0" w:after="0" w:afterAutospacing="0"/>
        <w:ind w:firstLine="709"/>
        <w:jc w:val="both"/>
        <w:rPr>
          <w:rFonts w:ascii="Verdana" w:hAnsi="Verdana" w:cs="Arial"/>
          <w:sz w:val="15"/>
          <w:szCs w:val="15"/>
          <w:lang w:val="es-MX"/>
        </w:rPr>
      </w:pPr>
      <w:r w:rsidRPr="00DD7357">
        <w:rPr>
          <w:rStyle w:val="baj"/>
          <w:rFonts w:ascii="Verdana" w:hAnsi="Verdana" w:cs="Arial"/>
          <w:sz w:val="15"/>
          <w:szCs w:val="15"/>
          <w:lang w:val="es-MX"/>
        </w:rPr>
        <w:t>Parágrafo.</w:t>
      </w:r>
      <w:r w:rsidRPr="00DD7357">
        <w:rPr>
          <w:rFonts w:ascii="Verdana" w:hAnsi="Verdana" w:cs="Arial"/>
          <w:sz w:val="15"/>
          <w:szCs w:val="15"/>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D7357">
        <w:rPr>
          <w:rFonts w:ascii="Verdana" w:eastAsia="Calibri" w:hAnsi="Verdana" w:cs="Arial"/>
          <w:color w:val="000000"/>
          <w:sz w:val="15"/>
          <w:szCs w:val="15"/>
        </w:rPr>
        <w:t>”</w:t>
      </w:r>
      <w:r w:rsidRPr="00DD7357">
        <w:rPr>
          <w:rFonts w:ascii="Verdana" w:hAnsi="Verdana" w:cs="Arial"/>
          <w:sz w:val="15"/>
          <w:szCs w:val="15"/>
          <w:lang w:val="es-MX"/>
        </w:rPr>
        <w:t>.</w:t>
      </w:r>
    </w:p>
  </w:footnote>
  <w:footnote w:id="10">
    <w:p w14:paraId="3B9DCA71" w14:textId="77777777" w:rsidR="00195C45" w:rsidRPr="00DD7357" w:rsidRDefault="00195C45" w:rsidP="00195C45">
      <w:pPr>
        <w:pStyle w:val="Textonotapie"/>
        <w:ind w:firstLine="708"/>
        <w:jc w:val="both"/>
        <w:rPr>
          <w:rFonts w:ascii="Verdana" w:hAnsi="Verdana" w:cs="Arial"/>
          <w:sz w:val="15"/>
          <w:szCs w:val="15"/>
        </w:rPr>
      </w:pPr>
      <w:r w:rsidRPr="00DD7357">
        <w:rPr>
          <w:rStyle w:val="Refdenotaalpie"/>
          <w:rFonts w:ascii="Verdana" w:hAnsi="Verdana" w:cs="Arial"/>
          <w:sz w:val="15"/>
          <w:szCs w:val="15"/>
        </w:rPr>
        <w:footnoteRef/>
      </w:r>
      <w:r w:rsidRPr="00DD7357">
        <w:rPr>
          <w:rFonts w:ascii="Verdana" w:hAnsi="Verdana" w:cs="Arial"/>
          <w:sz w:val="15"/>
          <w:szCs w:val="15"/>
        </w:rPr>
        <w:t xml:space="preserve"> Colombia Compra Eficiente. Circular Externa Única. Numeral 16.5. </w:t>
      </w:r>
    </w:p>
  </w:footnote>
  <w:footnote w:id="11">
    <w:p w14:paraId="2F6C360E" w14:textId="77777777" w:rsidR="00195C45" w:rsidRPr="00DD7357" w:rsidRDefault="00195C45" w:rsidP="00195C45">
      <w:pPr>
        <w:spacing w:after="0" w:line="240" w:lineRule="auto"/>
        <w:ind w:left="100" w:right="244" w:firstLine="608"/>
        <w:jc w:val="both"/>
        <w:rPr>
          <w:rFonts w:ascii="Verdana" w:hAnsi="Verdana" w:cs="Arial"/>
          <w:sz w:val="15"/>
          <w:szCs w:val="15"/>
          <w:lang w:val="es-ES"/>
        </w:rPr>
      </w:pPr>
      <w:r w:rsidRPr="00DD7357">
        <w:rPr>
          <w:rStyle w:val="Refdenotaalpie"/>
          <w:rFonts w:ascii="Verdana" w:hAnsi="Verdana" w:cs="Arial"/>
          <w:sz w:val="15"/>
          <w:szCs w:val="15"/>
        </w:rPr>
        <w:footnoteRef/>
      </w:r>
      <w:r w:rsidRPr="00DD7357">
        <w:rPr>
          <w:rFonts w:ascii="Verdana" w:hAnsi="Verdana" w:cs="Arial"/>
          <w:sz w:val="15"/>
          <w:szCs w:val="15"/>
        </w:rPr>
        <w:t xml:space="preserve"> Consejo de Estado. Sala de Consulta y Servicio Civil. Concepto del 17 de febrero de 2015. C.P. William Zambrano Cetina. Radicación No. 11001-03-06-000-2015-00164-00(2269).</w:t>
      </w:r>
    </w:p>
  </w:footnote>
  <w:footnote w:id="12">
    <w:p w14:paraId="65628B3A" w14:textId="77777777" w:rsidR="00195C45" w:rsidRPr="00DD7357" w:rsidRDefault="00195C45" w:rsidP="00195C45">
      <w:pPr>
        <w:pStyle w:val="Textonotapie"/>
        <w:ind w:right="51" w:firstLine="709"/>
        <w:jc w:val="both"/>
        <w:rPr>
          <w:rFonts w:ascii="Verdana" w:hAnsi="Verdana" w:cs="Arial"/>
          <w:sz w:val="15"/>
          <w:szCs w:val="15"/>
        </w:rPr>
      </w:pPr>
      <w:r w:rsidRPr="00DD7357">
        <w:rPr>
          <w:rStyle w:val="Refdenotaalpie"/>
          <w:rFonts w:ascii="Verdana" w:hAnsi="Verdana" w:cs="Arial"/>
          <w:sz w:val="15"/>
          <w:szCs w:val="15"/>
        </w:rPr>
        <w:footnoteRef/>
      </w:r>
      <w:r w:rsidRPr="00DD7357">
        <w:rPr>
          <w:rFonts w:ascii="Verdana" w:hAnsi="Verdana" w:cs="Arial"/>
          <w:sz w:val="15"/>
          <w:szCs w:val="15"/>
        </w:rPr>
        <w:t xml:space="preserve"> “</w:t>
      </w:r>
      <w:r w:rsidRPr="00DD7357">
        <w:rPr>
          <w:rFonts w:ascii="Verdana" w:hAnsi="Verdana" w:cs="Arial"/>
          <w:sz w:val="15"/>
          <w:szCs w:val="15"/>
          <w:lang w:val="es-ES"/>
        </w:rPr>
        <w:t xml:space="preserve">[25] </w:t>
      </w:r>
      <w:r w:rsidRPr="00DD7357">
        <w:rPr>
          <w:rFonts w:ascii="Verdana" w:hAnsi="Verdana" w:cs="Arial"/>
          <w:sz w:val="15"/>
          <w:szCs w:val="15"/>
        </w:rPr>
        <w:t>Cfr. Consejo de Estado. Sección Tercera. Sentencia de 3 de diciembre de 2007. Radicados: 24.715, 25.206, 25.409, 24.524, 27.834, 25.410, 26.105, 28.244, 31.447 -acumulados-“.</w:t>
      </w:r>
    </w:p>
  </w:footnote>
  <w:footnote w:id="13">
    <w:p w14:paraId="10842F9A" w14:textId="77777777" w:rsidR="00195C45" w:rsidRPr="00DD7357" w:rsidRDefault="00195C45" w:rsidP="00195C45">
      <w:pPr>
        <w:pStyle w:val="Textonotapie"/>
        <w:ind w:right="51" w:firstLine="709"/>
        <w:jc w:val="both"/>
        <w:rPr>
          <w:rFonts w:ascii="Verdana" w:hAnsi="Verdana" w:cs="Arial"/>
          <w:sz w:val="15"/>
          <w:szCs w:val="15"/>
        </w:rPr>
      </w:pPr>
      <w:r w:rsidRPr="00DD7357">
        <w:rPr>
          <w:rStyle w:val="Refdenotaalpie"/>
          <w:rFonts w:ascii="Verdana" w:hAnsi="Verdana" w:cs="Arial"/>
          <w:sz w:val="15"/>
          <w:szCs w:val="15"/>
        </w:rPr>
        <w:footnoteRef/>
      </w:r>
      <w:r w:rsidRPr="00DD7357">
        <w:rPr>
          <w:rFonts w:ascii="Verdana" w:hAnsi="Verdana" w:cs="Arial"/>
          <w:sz w:val="15"/>
          <w:szCs w:val="15"/>
        </w:rPr>
        <w:t xml:space="preserve"> “</w:t>
      </w:r>
      <w:r w:rsidRPr="00DD7357">
        <w:rPr>
          <w:rFonts w:ascii="Verdana" w:hAnsi="Verdana" w:cs="Arial"/>
          <w:sz w:val="15"/>
          <w:szCs w:val="15"/>
          <w:lang w:val="es-ES"/>
        </w:rPr>
        <w:t xml:space="preserve">[26] </w:t>
      </w:r>
      <w:r w:rsidRPr="00DD7357">
        <w:rPr>
          <w:rFonts w:ascii="Verdana" w:hAnsi="Verdana" w:cs="Arial"/>
          <w:sz w:val="15"/>
          <w:szCs w:val="15"/>
        </w:rPr>
        <w:t>Al respecto ver el concepto 1712 de 2 de febrero de 2006. Consejo de Estado Sala de Consulta y Servicio Civil”.</w:t>
      </w:r>
    </w:p>
  </w:footnote>
  <w:footnote w:id="14">
    <w:p w14:paraId="3A22E044" w14:textId="77777777" w:rsidR="00195C45" w:rsidRPr="00DD7357" w:rsidRDefault="00195C45" w:rsidP="00195C45">
      <w:pPr>
        <w:pStyle w:val="Textonotapie"/>
        <w:ind w:firstLine="709"/>
        <w:jc w:val="both"/>
        <w:rPr>
          <w:rFonts w:ascii="Verdana" w:hAnsi="Verdana" w:cs="Arial"/>
          <w:sz w:val="15"/>
          <w:szCs w:val="15"/>
        </w:rPr>
      </w:pPr>
      <w:r w:rsidRPr="00DD7357">
        <w:rPr>
          <w:rStyle w:val="Refdenotaalpie"/>
          <w:rFonts w:ascii="Verdana" w:hAnsi="Verdana" w:cs="Arial"/>
          <w:sz w:val="15"/>
          <w:szCs w:val="15"/>
        </w:rPr>
        <w:footnoteRef/>
      </w:r>
      <w:r w:rsidRPr="00DD7357">
        <w:rPr>
          <w:rFonts w:ascii="Verdana" w:hAnsi="Verdana" w:cs="Arial"/>
          <w:sz w:val="15"/>
          <w:szCs w:val="15"/>
        </w:rPr>
        <w:t xml:space="preserve"> Consejo de Estado. Sala de Consulta y Servicio Civil. Concepto del 2 de septiembre de 2013. Radicación número: 11001-03-06-000-2013-00412-00 (2168). Consejero Ponente: Álvaro Namén Vargas.</w:t>
      </w:r>
    </w:p>
  </w:footnote>
  <w:footnote w:id="15">
    <w:p w14:paraId="670268D1" w14:textId="77777777" w:rsidR="00195C45" w:rsidRPr="00DD7357" w:rsidRDefault="00195C45" w:rsidP="00195C45">
      <w:pPr>
        <w:pStyle w:val="Textonotapie"/>
        <w:ind w:firstLine="709"/>
        <w:jc w:val="both"/>
        <w:rPr>
          <w:rFonts w:ascii="Verdana" w:hAnsi="Verdana" w:cs="Arial"/>
          <w:sz w:val="15"/>
          <w:szCs w:val="15"/>
          <w:lang w:val="es-ES"/>
        </w:rPr>
      </w:pPr>
      <w:r w:rsidRPr="00DD7357">
        <w:rPr>
          <w:rStyle w:val="Refdenotaalpie"/>
          <w:rFonts w:ascii="Verdana" w:hAnsi="Verdana" w:cs="Arial"/>
          <w:sz w:val="15"/>
          <w:szCs w:val="15"/>
        </w:rPr>
        <w:footnoteRef/>
      </w:r>
      <w:r w:rsidRPr="00DD7357">
        <w:rPr>
          <w:rFonts w:ascii="Verdana" w:hAnsi="Verdana" w:cs="Arial"/>
          <w:sz w:val="15"/>
          <w:szCs w:val="15"/>
        </w:rPr>
        <w:t xml:space="preserve"> </w:t>
      </w:r>
      <w:r w:rsidRPr="00DD7357">
        <w:rPr>
          <w:rFonts w:ascii="Verdana" w:hAnsi="Verdana" w:cs="Arial"/>
          <w:sz w:val="15"/>
          <w:szCs w:val="15"/>
          <w:lang w:val="es-ES"/>
        </w:rPr>
        <w:t xml:space="preserve">Artículo 2. </w:t>
      </w:r>
    </w:p>
  </w:footnote>
  <w:footnote w:id="16">
    <w:p w14:paraId="627C0B24" w14:textId="77777777" w:rsidR="00195C45" w:rsidRPr="00DD7357" w:rsidRDefault="00195C45" w:rsidP="00195C45">
      <w:pPr>
        <w:pStyle w:val="Textonotapie"/>
        <w:ind w:firstLine="709"/>
        <w:jc w:val="both"/>
        <w:rPr>
          <w:rFonts w:ascii="Verdana" w:hAnsi="Verdana" w:cs="Arial"/>
          <w:sz w:val="15"/>
          <w:szCs w:val="15"/>
          <w:lang w:val="es-ES"/>
        </w:rPr>
      </w:pPr>
      <w:r w:rsidRPr="00DD7357">
        <w:rPr>
          <w:rStyle w:val="Refdenotaalpie"/>
          <w:rFonts w:ascii="Verdana" w:hAnsi="Verdana" w:cs="Arial"/>
          <w:sz w:val="15"/>
          <w:szCs w:val="15"/>
        </w:rPr>
        <w:footnoteRef/>
      </w:r>
      <w:r w:rsidRPr="00DD7357">
        <w:rPr>
          <w:rFonts w:ascii="Verdana" w:hAnsi="Verdana" w:cs="Arial"/>
          <w:sz w:val="15"/>
          <w:szCs w:val="15"/>
        </w:rPr>
        <w:t xml:space="preserve"> </w:t>
      </w:r>
      <w:r w:rsidRPr="00DD7357">
        <w:rPr>
          <w:rFonts w:ascii="Verdana" w:hAnsi="Verdana" w:cs="Arial"/>
          <w:i/>
          <w:sz w:val="15"/>
          <w:szCs w:val="15"/>
          <w:lang w:val="es-ES"/>
        </w:rPr>
        <w:t>Ídem</w:t>
      </w:r>
      <w:r w:rsidRPr="00DD7357">
        <w:rPr>
          <w:rFonts w:ascii="Verdana" w:hAnsi="Verdana" w:cs="Arial"/>
          <w:sz w:val="15"/>
          <w:szCs w:val="15"/>
          <w:lang w:val="es-ES"/>
        </w:rPr>
        <w:t>.</w:t>
      </w:r>
    </w:p>
  </w:footnote>
  <w:footnote w:id="17">
    <w:p w14:paraId="4BC44F86" w14:textId="77777777" w:rsidR="00195C45" w:rsidRPr="00DD7357" w:rsidRDefault="00195C45" w:rsidP="00195C45">
      <w:pPr>
        <w:pStyle w:val="Textonotapie"/>
        <w:ind w:firstLine="709"/>
        <w:jc w:val="both"/>
        <w:rPr>
          <w:rFonts w:ascii="Verdana" w:hAnsi="Verdana" w:cs="Arial"/>
          <w:sz w:val="15"/>
          <w:szCs w:val="15"/>
          <w:lang w:val="es-ES"/>
        </w:rPr>
      </w:pPr>
      <w:r w:rsidRPr="00DD7357">
        <w:rPr>
          <w:rStyle w:val="Refdenotaalpie"/>
          <w:rFonts w:ascii="Verdana" w:hAnsi="Verdana" w:cs="Arial"/>
          <w:sz w:val="15"/>
          <w:szCs w:val="15"/>
        </w:rPr>
        <w:footnoteRef/>
      </w:r>
      <w:r w:rsidRPr="00DD7357">
        <w:rPr>
          <w:rStyle w:val="Refdenotaalpie"/>
          <w:rFonts w:ascii="Verdana" w:hAnsi="Verdana" w:cs="Arial"/>
          <w:sz w:val="15"/>
          <w:szCs w:val="15"/>
        </w:rPr>
        <w:t xml:space="preserve"> </w:t>
      </w:r>
      <w:r w:rsidRPr="00DD7357">
        <w:rPr>
          <w:rFonts w:ascii="Verdana" w:hAnsi="Verdana" w:cs="Arial"/>
          <w:sz w:val="15"/>
          <w:szCs w:val="15"/>
          <w:lang w:val="es-ES"/>
        </w:rPr>
        <w:t xml:space="preserve">“[…] A este respecto, cabe recordar que el artículo 860 del Código de Comercio regula la licitación en el derecho privado”. </w:t>
      </w:r>
    </w:p>
  </w:footnote>
  <w:footnote w:id="18">
    <w:p w14:paraId="452BB3A7" w14:textId="77777777" w:rsidR="00195C45" w:rsidRPr="00DD7357" w:rsidRDefault="00195C45" w:rsidP="00195C45">
      <w:pPr>
        <w:shd w:val="clear" w:color="auto" w:fill="FFFFFF"/>
        <w:spacing w:after="0" w:line="240" w:lineRule="auto"/>
        <w:ind w:firstLine="709"/>
        <w:jc w:val="both"/>
        <w:rPr>
          <w:rFonts w:ascii="Verdana" w:hAnsi="Verdana" w:cs="Arial"/>
          <w:sz w:val="15"/>
          <w:szCs w:val="15"/>
          <w:lang w:val="es-ES"/>
        </w:rPr>
      </w:pPr>
      <w:r w:rsidRPr="00DD7357">
        <w:rPr>
          <w:rStyle w:val="Refdenotaalpie"/>
          <w:rFonts w:ascii="Verdana" w:hAnsi="Verdana" w:cs="Arial"/>
          <w:sz w:val="15"/>
          <w:szCs w:val="15"/>
        </w:rPr>
        <w:footnoteRef/>
      </w:r>
      <w:r w:rsidRPr="00DD7357">
        <w:rPr>
          <w:rStyle w:val="Refdenotaalpie"/>
          <w:rFonts w:ascii="Verdana" w:hAnsi="Verdana" w:cs="Arial"/>
          <w:sz w:val="15"/>
          <w:szCs w:val="15"/>
        </w:rPr>
        <w:t xml:space="preserve"> </w:t>
      </w:r>
      <w:r w:rsidRPr="00DD7357">
        <w:rPr>
          <w:rFonts w:ascii="Verdana" w:hAnsi="Verdana" w:cs="Arial"/>
          <w:sz w:val="15"/>
          <w:szCs w:val="15"/>
          <w:lang w:val="es-ES"/>
        </w:rPr>
        <w:t>Consejo de Estado. Sala de Consulta y Servicio Civil, Concepto de 8 de mayo de 2018. C.P. Álvaro Namén Vargas. Rad. 2382.</w:t>
      </w:r>
    </w:p>
  </w:footnote>
  <w:footnote w:id="19">
    <w:p w14:paraId="3897DDB1" w14:textId="77777777" w:rsidR="00195C45" w:rsidRPr="00DD7357" w:rsidRDefault="00195C45" w:rsidP="00195C45">
      <w:pPr>
        <w:pStyle w:val="Textonotapie"/>
        <w:ind w:firstLine="709"/>
        <w:jc w:val="both"/>
        <w:rPr>
          <w:rFonts w:ascii="Verdana" w:hAnsi="Verdana" w:cs="Arial"/>
          <w:sz w:val="15"/>
          <w:szCs w:val="15"/>
        </w:rPr>
      </w:pPr>
      <w:r w:rsidRPr="00DD7357">
        <w:rPr>
          <w:rStyle w:val="Refdenotaalpie"/>
          <w:rFonts w:ascii="Verdana" w:hAnsi="Verdana" w:cs="Arial"/>
          <w:sz w:val="15"/>
          <w:szCs w:val="15"/>
        </w:rPr>
        <w:footnoteRef/>
      </w:r>
      <w:r w:rsidRPr="00DD7357">
        <w:rPr>
          <w:rFonts w:ascii="Verdana" w:hAnsi="Verdana" w:cs="Arial"/>
          <w:sz w:val="15"/>
          <w:szCs w:val="15"/>
        </w:rPr>
        <w:t xml:space="preserve"> Consejo de Estado. Sala de Consulta y Servicio Civil. Concepto del 08 de mayo de 2018.</w:t>
      </w:r>
      <w:r w:rsidRPr="00DD7357">
        <w:rPr>
          <w:rFonts w:ascii="Verdana" w:hAnsi="Verdana" w:cs="Arial"/>
          <w:sz w:val="15"/>
          <w:szCs w:val="15"/>
          <w:lang w:val="es-CO"/>
        </w:rPr>
        <w:t xml:space="preserve"> C.P. Álvaro Namén Vargas.</w:t>
      </w:r>
      <w:r w:rsidRPr="00DD7357">
        <w:rPr>
          <w:rFonts w:ascii="Verdana" w:hAnsi="Verdana" w:cs="Arial"/>
          <w:sz w:val="15"/>
          <w:szCs w:val="15"/>
        </w:rPr>
        <w:t xml:space="preserve"> Exp. 2.382.</w:t>
      </w:r>
    </w:p>
  </w:footnote>
  <w:footnote w:id="20">
    <w:p w14:paraId="3520A8D7" w14:textId="77777777" w:rsidR="00195C45" w:rsidRPr="00DD7357" w:rsidRDefault="00195C45" w:rsidP="00195C45">
      <w:pPr>
        <w:pStyle w:val="Textonotapie"/>
        <w:ind w:firstLine="709"/>
        <w:jc w:val="both"/>
        <w:rPr>
          <w:rFonts w:ascii="Verdana" w:hAnsi="Verdana" w:cs="Arial"/>
          <w:sz w:val="15"/>
          <w:szCs w:val="15"/>
        </w:rPr>
      </w:pPr>
      <w:r w:rsidRPr="00DD7357">
        <w:rPr>
          <w:rStyle w:val="Refdenotaalpie"/>
          <w:rFonts w:ascii="Verdana" w:hAnsi="Verdana" w:cs="Arial"/>
          <w:sz w:val="15"/>
          <w:szCs w:val="15"/>
        </w:rPr>
        <w:footnoteRef/>
      </w:r>
      <w:r w:rsidRPr="00DD7357">
        <w:rPr>
          <w:rFonts w:ascii="Verdana" w:hAnsi="Verdana" w:cs="Arial"/>
          <w:sz w:val="15"/>
          <w:szCs w:val="15"/>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40FA1C44" w14:textId="77777777" w:rsidR="00195C45" w:rsidRPr="00DD7357" w:rsidRDefault="00195C45" w:rsidP="00195C45">
      <w:pPr>
        <w:spacing w:after="0" w:line="240" w:lineRule="auto"/>
        <w:ind w:firstLine="709"/>
        <w:jc w:val="both"/>
        <w:rPr>
          <w:rFonts w:ascii="Verdana" w:hAnsi="Verdana" w:cs="Arial"/>
          <w:sz w:val="15"/>
          <w:szCs w:val="15"/>
        </w:rPr>
      </w:pPr>
      <w:r w:rsidRPr="00DD7357">
        <w:rPr>
          <w:rStyle w:val="Refdenotaalpie"/>
          <w:rFonts w:ascii="Verdana" w:hAnsi="Verdana" w:cs="Arial"/>
          <w:sz w:val="15"/>
          <w:szCs w:val="15"/>
        </w:rPr>
        <w:footnoteRef/>
      </w:r>
      <w:r w:rsidRPr="00DD7357">
        <w:rPr>
          <w:rFonts w:ascii="Verdana" w:hAnsi="Verdana" w:cs="Arial"/>
          <w:sz w:val="15"/>
          <w:szCs w:val="15"/>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561B4693" w14:textId="77777777" w:rsidR="00195C45" w:rsidRPr="00DD7357" w:rsidRDefault="00195C45" w:rsidP="00195C45">
      <w:pPr>
        <w:pStyle w:val="Textonotapie"/>
        <w:ind w:right="51" w:firstLine="709"/>
        <w:jc w:val="both"/>
        <w:rPr>
          <w:rFonts w:ascii="Verdana" w:eastAsia="Times New Roman" w:hAnsi="Verdana" w:cs="Arial"/>
          <w:bCs/>
          <w:sz w:val="15"/>
          <w:szCs w:val="15"/>
          <w:lang w:eastAsia="x-none"/>
        </w:rPr>
      </w:pPr>
      <w:r w:rsidRPr="00DD7357">
        <w:rPr>
          <w:rStyle w:val="Refdenotaalpie"/>
          <w:rFonts w:ascii="Verdana" w:hAnsi="Verdana" w:cs="Arial"/>
          <w:sz w:val="15"/>
          <w:szCs w:val="15"/>
        </w:rPr>
        <w:footnoteRef/>
      </w:r>
      <w:r w:rsidRPr="00DD7357">
        <w:rPr>
          <w:rFonts w:ascii="Verdana" w:hAnsi="Verdana" w:cs="Arial"/>
          <w:sz w:val="15"/>
          <w:szCs w:val="15"/>
        </w:rPr>
        <w:t xml:space="preserve"> Consejo de Estado. Sala de Consulta y Servicio Civil. Concepto de 6 de abril de 2006.C.P. Enrique José Arboleda Perdomo. </w:t>
      </w:r>
      <w:r w:rsidRPr="00DD7357">
        <w:rPr>
          <w:rFonts w:ascii="Verdana" w:hAnsi="Verdana" w:cs="Arial"/>
          <w:sz w:val="15"/>
          <w:szCs w:val="15"/>
          <w:lang w:val="es-CO"/>
        </w:rPr>
        <w:t>Rad. 1738</w:t>
      </w:r>
      <w:r w:rsidRPr="00DD7357">
        <w:rPr>
          <w:rFonts w:ascii="Verdana" w:eastAsia="Times New Roman" w:hAnsi="Verdana" w:cs="Arial"/>
          <w:bCs/>
          <w:sz w:val="15"/>
          <w:szCs w:val="15"/>
          <w:lang w:eastAsia="x-none"/>
        </w:rPr>
        <w:t xml:space="preserve"> “</w:t>
      </w:r>
      <w:r w:rsidRPr="00DD7357">
        <w:rPr>
          <w:rFonts w:ascii="Verdana" w:hAnsi="Verdana" w:cs="Arial"/>
          <w:sz w:val="15"/>
          <w:szCs w:val="15"/>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DD7357">
        <w:rPr>
          <w:rFonts w:ascii="Verdana" w:eastAsia="Times New Roman" w:hAnsi="Verdana" w:cs="Arial"/>
          <w:bCs/>
          <w:sz w:val="15"/>
          <w:szCs w:val="15"/>
          <w:lang w:eastAsia="x-none"/>
        </w:rPr>
        <w:t>”.</w:t>
      </w:r>
    </w:p>
  </w:footnote>
  <w:footnote w:id="23">
    <w:p w14:paraId="6F6F687D" w14:textId="77777777" w:rsidR="00195C45" w:rsidRPr="00DD7357" w:rsidRDefault="00195C45" w:rsidP="00195C45">
      <w:pPr>
        <w:spacing w:after="0" w:line="240" w:lineRule="auto"/>
        <w:ind w:firstLine="708"/>
        <w:jc w:val="both"/>
        <w:rPr>
          <w:rFonts w:ascii="Verdana" w:hAnsi="Verdana" w:cs="Arial"/>
          <w:sz w:val="15"/>
          <w:szCs w:val="15"/>
        </w:rPr>
      </w:pPr>
      <w:r w:rsidRPr="00DD7357">
        <w:rPr>
          <w:rStyle w:val="Refdenotaalpie"/>
          <w:rFonts w:ascii="Verdana" w:hAnsi="Verdana" w:cs="Arial"/>
          <w:sz w:val="15"/>
          <w:szCs w:val="15"/>
        </w:rPr>
        <w:footnoteRef/>
      </w:r>
      <w:r w:rsidRPr="00DD7357">
        <w:rPr>
          <w:rFonts w:ascii="Verdana" w:hAnsi="Verdana" w:cs="Arial"/>
          <w:sz w:val="15"/>
          <w:szCs w:val="15"/>
        </w:rPr>
        <w:t xml:space="preserve"> Consejo de Estado. Sala de Consulta y Servicio Civil. Concepto de 6 de abril de 2006. C.P. Enrique José Arboleda Perdomo. Rad. 1738. </w:t>
      </w:r>
    </w:p>
  </w:footnote>
  <w:footnote w:id="24">
    <w:p w14:paraId="2008839D" w14:textId="77777777" w:rsidR="00195C45" w:rsidRPr="00DD7357" w:rsidRDefault="00195C45" w:rsidP="00195C45">
      <w:pPr>
        <w:pStyle w:val="Textonotapie"/>
        <w:ind w:right="51" w:firstLine="709"/>
        <w:jc w:val="both"/>
        <w:rPr>
          <w:rFonts w:ascii="Verdana" w:hAnsi="Verdana" w:cs="Arial"/>
          <w:sz w:val="15"/>
          <w:szCs w:val="15"/>
        </w:rPr>
      </w:pPr>
      <w:r w:rsidRPr="00DD7357">
        <w:rPr>
          <w:rStyle w:val="Refdenotaalpie"/>
          <w:rFonts w:ascii="Verdana" w:hAnsi="Verdana" w:cs="Arial"/>
          <w:sz w:val="15"/>
          <w:szCs w:val="15"/>
        </w:rPr>
        <w:footnoteRef/>
      </w:r>
      <w:r w:rsidRPr="00DD7357">
        <w:rPr>
          <w:rFonts w:ascii="Verdana" w:hAnsi="Verdana" w:cs="Arial"/>
          <w:sz w:val="15"/>
          <w:szCs w:val="15"/>
        </w:rPr>
        <w:t xml:space="preserve"> Consejo de Estado. Sala de Consulta y Servicio Civil, ídem.</w:t>
      </w:r>
    </w:p>
  </w:footnote>
  <w:footnote w:id="25">
    <w:p w14:paraId="01ADEFC9" w14:textId="77777777" w:rsidR="00195C45" w:rsidRPr="00DD7357" w:rsidRDefault="00195C45" w:rsidP="00195C45">
      <w:pPr>
        <w:pStyle w:val="Textonotapie"/>
        <w:ind w:firstLine="708"/>
        <w:jc w:val="both"/>
        <w:rPr>
          <w:rFonts w:ascii="Verdana" w:hAnsi="Verdana" w:cs="Arial"/>
          <w:sz w:val="15"/>
          <w:szCs w:val="15"/>
        </w:rPr>
      </w:pPr>
      <w:r w:rsidRPr="00DD7357">
        <w:rPr>
          <w:rStyle w:val="Refdenotaalpie"/>
          <w:rFonts w:ascii="Verdana" w:hAnsi="Verdana" w:cs="Arial"/>
          <w:sz w:val="15"/>
          <w:szCs w:val="15"/>
        </w:rPr>
        <w:footnoteRef/>
      </w:r>
      <w:r w:rsidRPr="00DD7357">
        <w:rPr>
          <w:rFonts w:ascii="Verdana" w:hAnsi="Verdana" w:cs="Arial"/>
          <w:sz w:val="15"/>
          <w:szCs w:val="15"/>
        </w:rPr>
        <w:t xml:space="preserve"> Colombia Compra Eficiente. Circular Externa Única. Numeral 15.5.</w:t>
      </w:r>
    </w:p>
  </w:footnote>
  <w:footnote w:id="26">
    <w:p w14:paraId="08D4AC05" w14:textId="77777777" w:rsidR="00195C45" w:rsidRPr="00DD7357" w:rsidRDefault="00195C45" w:rsidP="00195C45">
      <w:pPr>
        <w:pStyle w:val="Textonotapie"/>
        <w:ind w:firstLine="709"/>
        <w:jc w:val="both"/>
        <w:rPr>
          <w:rFonts w:ascii="Verdana" w:eastAsia="Calibri" w:hAnsi="Verdana" w:cs="Arial"/>
          <w:sz w:val="15"/>
          <w:szCs w:val="15"/>
          <w:lang w:val="es-ES_tradnl"/>
        </w:rPr>
      </w:pPr>
      <w:r w:rsidRPr="00DD7357">
        <w:rPr>
          <w:rStyle w:val="Refdenotaalpie"/>
          <w:rFonts w:ascii="Verdana" w:hAnsi="Verdana" w:cs="Arial"/>
          <w:sz w:val="15"/>
          <w:szCs w:val="15"/>
        </w:rPr>
        <w:footnoteRef/>
      </w:r>
      <w:r w:rsidRPr="00DD7357">
        <w:rPr>
          <w:rFonts w:ascii="Verdana" w:hAnsi="Verdana" w:cs="Arial"/>
          <w:sz w:val="15"/>
          <w:szCs w:val="15"/>
        </w:rPr>
        <w:t xml:space="preserve"> </w:t>
      </w:r>
      <w:r w:rsidRPr="00DD7357">
        <w:rPr>
          <w:rFonts w:ascii="Verdana" w:eastAsia="Calibri" w:hAnsi="Verdana" w:cs="Arial"/>
          <w:sz w:val="15"/>
          <w:szCs w:val="15"/>
          <w:lang w:val="es-ES_tradnl"/>
        </w:rPr>
        <w:t>HERNÁNDEZ, Pedro Alfonso. Descentralización, desconcentración y delegación en Colombia. Bogotá: Legis, 1999. p. 158.</w:t>
      </w:r>
    </w:p>
  </w:footnote>
  <w:footnote w:id="27">
    <w:p w14:paraId="61D7DF8F" w14:textId="77777777" w:rsidR="00195C45" w:rsidRPr="00DD7357" w:rsidRDefault="00195C45" w:rsidP="00195C45">
      <w:pPr>
        <w:pStyle w:val="Textonotapie"/>
        <w:ind w:firstLine="709"/>
        <w:jc w:val="both"/>
        <w:rPr>
          <w:rFonts w:ascii="Verdana" w:hAnsi="Verdana" w:cs="Arial"/>
          <w:sz w:val="15"/>
          <w:szCs w:val="15"/>
          <w:lang w:val="es-ES"/>
        </w:rPr>
      </w:pPr>
      <w:r w:rsidRPr="00DD7357">
        <w:rPr>
          <w:rStyle w:val="Refdenotaalpie"/>
          <w:rFonts w:ascii="Verdana" w:hAnsi="Verdana" w:cs="Arial"/>
          <w:sz w:val="15"/>
          <w:szCs w:val="15"/>
        </w:rPr>
        <w:footnoteRef/>
      </w:r>
      <w:r w:rsidRPr="00DD7357">
        <w:rPr>
          <w:rFonts w:ascii="Verdana" w:hAnsi="Verdana" w:cs="Arial"/>
          <w:sz w:val="15"/>
          <w:szCs w:val="15"/>
        </w:rPr>
        <w:t xml:space="preserve"> </w:t>
      </w:r>
      <w:r w:rsidRPr="00DD7357">
        <w:rPr>
          <w:rFonts w:ascii="Verdana" w:eastAsia="Calibri" w:hAnsi="Verdana" w:cs="Arial"/>
          <w:sz w:val="15"/>
          <w:szCs w:val="15"/>
          <w:lang w:val="es-ES_tradnl"/>
        </w:rPr>
        <w:t xml:space="preserve">En esta medida, “Difiere […] la delegación y la desconcentración, en que la primera supone una asignación específica de funciones de un órgano que las ejecuta bajo su entera autonomía y responsabilidad, salvo que el delegante obre con dolo o culpa grave en sus funciones generales de vigilancia y control, evento en el que también sería responsable, mientras que en la segunda, esto es, la desconcentración, es el encargo que el superior hace a sus dependientes para que éstos, actuando a nombre y dirección de aquel, descongestionen la actividad administrativa” (Cfr. PALACIO HINCAPÉ, Juan Ángel. La contratación de las entidades estatales. Séptima Edición. Medellín: Librería Jurídica Sánchez, 2014. p. 97).   </w:t>
      </w:r>
      <w:r w:rsidRPr="00DD7357">
        <w:rPr>
          <w:rFonts w:ascii="Verdana" w:hAnsi="Verdana" w:cs="Arial"/>
          <w:sz w:val="15"/>
          <w:szCs w:val="15"/>
        </w:rPr>
        <w:t xml:space="preserve">       </w:t>
      </w:r>
    </w:p>
  </w:footnote>
  <w:footnote w:id="28">
    <w:p w14:paraId="31A85412" w14:textId="77777777" w:rsidR="00195C45" w:rsidRPr="00DD7357" w:rsidRDefault="00195C45" w:rsidP="00195C45">
      <w:pPr>
        <w:pStyle w:val="Textonotapie"/>
        <w:ind w:firstLine="708"/>
        <w:jc w:val="both"/>
        <w:rPr>
          <w:rFonts w:ascii="Verdana" w:hAnsi="Verdana"/>
          <w:sz w:val="15"/>
          <w:szCs w:val="15"/>
          <w:lang w:val="es-CO"/>
        </w:rPr>
      </w:pPr>
      <w:r w:rsidRPr="00DD7357">
        <w:rPr>
          <w:rStyle w:val="Refdenotaalpie"/>
          <w:rFonts w:ascii="Verdana" w:hAnsi="Verdana"/>
          <w:sz w:val="15"/>
          <w:szCs w:val="15"/>
        </w:rPr>
        <w:footnoteRef/>
      </w:r>
      <w:r w:rsidRPr="00DD7357">
        <w:rPr>
          <w:rFonts w:ascii="Verdana" w:hAnsi="Verdana"/>
          <w:sz w:val="15"/>
          <w:szCs w:val="15"/>
        </w:rPr>
        <w:t xml:space="preserve"> </w:t>
      </w:r>
      <w:bookmarkStart w:id="14" w:name="24"/>
      <w:r w:rsidRPr="00DD7357">
        <w:rPr>
          <w:rFonts w:ascii="Verdana" w:hAnsi="Verdana"/>
          <w:bCs/>
          <w:sz w:val="15"/>
          <w:szCs w:val="15"/>
          <w:lang w:val="es-CO"/>
        </w:rPr>
        <w:t>Artículo 24. Misiones Diplomáticas.</w:t>
      </w:r>
      <w:bookmarkEnd w:id="14"/>
      <w:r w:rsidRPr="00DD7357">
        <w:rPr>
          <w:rFonts w:ascii="Verdana" w:hAnsi="Verdana"/>
          <w:sz w:val="15"/>
          <w:szCs w:val="15"/>
          <w:lang w:val="es-CO"/>
        </w:rPr>
        <w:t> Sin perjuicio de las funciones establecidas en la Convención de Viena de 1961, son funciones permanentes de las Misiones Diplomáticas (Embajadas y Delegaciones Permanentes ante Organismos Internacionales), las siguientes:</w:t>
      </w:r>
    </w:p>
    <w:p w14:paraId="21AE0D02"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 Promover y salvaguardar los intereses del país y de sus nacionales ante los demás Estados, Organismos y Conferencias Internacionales y la Comunidad Internacional.</w:t>
      </w:r>
    </w:p>
    <w:p w14:paraId="2D35D0BB"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2. Ejecutar la política exterior colombiana en materia de relaciones bilaterales y multilaterales ante los países y Organismos Internacionales a su cargo, con fundamento en los lineamientos del Ministerio de Relaciones Exteriores.</w:t>
      </w:r>
    </w:p>
    <w:p w14:paraId="049568F5"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3. Participar en las negociaciones internacionales que involucren a Colombia y a los países y Organismos Internacionales ante los cuales se encuentre acreditado.</w:t>
      </w:r>
    </w:p>
    <w:p w14:paraId="72E83C5E"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4. Hacer seguimiento a la evolución del contexto político, económico, social, cultural, de los países y Organismos Internacionales ante los cuales se encuentre acreditado, así como prever las posibles implicaciones que pueda tener sobre la política exterior e intereses nacionales, e informar y proponer oportunamente a los Viceministerios correspondientes, los ajustes pertinentes a la política exterior colombiana.</w:t>
      </w:r>
    </w:p>
    <w:p w14:paraId="5260D949"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5. Identificar los espacios políticos, económicos, culturales, de los países y organismos internacionales correspondientes, que pueden ser aprovechados para la ejecución de la política exterior y para la promoción de los intereses de Colombia.</w:t>
      </w:r>
    </w:p>
    <w:p w14:paraId="687C982A"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6. Presidir las delegaciones que representen al país, cuando así lo disponga el Ministerio de Relaciones Exteriores, en las reuniones de carácter bilateral y multilateral.</w:t>
      </w:r>
    </w:p>
    <w:p w14:paraId="0EE66A83"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7. Ejecutar la política migratoria bajo su jurisdicción y proponer acciones en la materia.</w:t>
      </w:r>
    </w:p>
    <w:p w14:paraId="3890E29B"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8. Ejecutar la política en materia de desarrollo fronterizo del país, en el caso de las representaciones ante países fronterizos y proponer acciones en la materia cuando proceda.</w:t>
      </w:r>
    </w:p>
    <w:p w14:paraId="295224EF"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9. Suministrar a las Direcciones de los Viceministerios correspondientes los elementos técnicos y conceptuales para la definición de la política exterior en materia de las relaciones bilaterales y multilaterales con los países y Organismos Internacionales a su cargo ante los cuales está acreditado.</w:t>
      </w:r>
    </w:p>
    <w:p w14:paraId="4F5FA962"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10. Remitir a la Oficina Asesora Jurídica Interna la información relativa a las conciliaciones y a la defensa jurídica que se adelanten en su jurisdicción, en los que el Ministerio de Relaciones Exteriores y su Fondo Rotatorio hagan parte a través de sus misiones.</w:t>
      </w:r>
    </w:p>
    <w:p w14:paraId="23F1F629"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11. Transmitir a la Dirección Administrativa y Financiera el informe de los contratos que suscriba la Misión.</w:t>
      </w:r>
    </w:p>
    <w:p w14:paraId="147D4968"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12. Mantener permanentemente informadas a las Direcciones de los Viceministerios correspondientes, sobre el estado de ejecución de las directrices de política exterior en materia de relaciones bilaterales y multilaterales a su cargo.</w:t>
      </w:r>
    </w:p>
    <w:p w14:paraId="2575CB56"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13. Ejecutar y dar seguimiento al plan de acción de los países y Organismos Internacionales a su cargo, con fundamento en las directrices, métodos y criterios que establezca la Oficina Asesora de Planeación y Desarrollo Organizacional.</w:t>
      </w:r>
    </w:p>
    <w:p w14:paraId="330670B1"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14. Ejercer funciones consulares, cuando sea el caso, en coordinación con la Dirección de Asuntos Migratorios, Consulares y Servicio al Ciudadano.</w:t>
      </w:r>
    </w:p>
    <w:p w14:paraId="191E16F6"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15. Ejecutar la política de promoción de Colombia en el exterior, en coordinación con la Dirección de Asuntos Culturales.</w:t>
      </w:r>
    </w:p>
    <w:p w14:paraId="32639AFC"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16. Orientar, evaluar y hacer seguimiento a la gestión de los Consulados de su jurisdicción, teniendo en cuenta los intereses del país y la necesaria protección de los derechos fundamentales de los colombianos en el exterior y coordinar lo pertinente con las políticas adoptadas por el Ministerio en esta materia.</w:t>
      </w:r>
    </w:p>
    <w:p w14:paraId="323D7131"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17. Coadyuvar en la promoción de los vínculos de todo orden de las comunidades colombianas en el exterior con el país, como medio de exaltar la identidad y valores nacionales y contribuir al mantenimiento de la buena imagen de Colombia en el exterior.</w:t>
      </w:r>
    </w:p>
    <w:p w14:paraId="7A2C2EC0"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18. Apoyar el desarrollo y sostenimiento del Sistema Integrado de Gestión Institucional.</w:t>
      </w:r>
    </w:p>
    <w:p w14:paraId="0C0A86AC"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19. Las demás que se le asignen y que correspondan a la naturaleza de la dependencia.</w:t>
      </w:r>
    </w:p>
  </w:footnote>
  <w:footnote w:id="29">
    <w:p w14:paraId="0ADD1EF9" w14:textId="77777777" w:rsidR="00195C45" w:rsidRPr="00DD7357" w:rsidRDefault="00195C45" w:rsidP="00195C45">
      <w:pPr>
        <w:pStyle w:val="Textonotapie"/>
        <w:ind w:firstLine="708"/>
        <w:jc w:val="both"/>
        <w:rPr>
          <w:rFonts w:ascii="Verdana" w:hAnsi="Verdana"/>
          <w:sz w:val="15"/>
          <w:szCs w:val="15"/>
          <w:lang w:val="es-CO"/>
        </w:rPr>
      </w:pPr>
      <w:r w:rsidRPr="00DD7357">
        <w:rPr>
          <w:rStyle w:val="Refdenotaalpie"/>
          <w:rFonts w:ascii="Verdana" w:hAnsi="Verdana"/>
          <w:sz w:val="15"/>
          <w:szCs w:val="15"/>
        </w:rPr>
        <w:footnoteRef/>
      </w:r>
      <w:r w:rsidRPr="00DD7357">
        <w:rPr>
          <w:rFonts w:ascii="Verdana" w:hAnsi="Verdana"/>
          <w:sz w:val="15"/>
          <w:szCs w:val="15"/>
        </w:rPr>
        <w:t xml:space="preserve"> </w:t>
      </w:r>
      <w:bookmarkStart w:id="15" w:name="25"/>
      <w:r w:rsidRPr="00DD7357">
        <w:rPr>
          <w:rFonts w:ascii="Verdana" w:hAnsi="Verdana"/>
          <w:sz w:val="15"/>
          <w:szCs w:val="15"/>
        </w:rPr>
        <w:t xml:space="preserve">Artículo 25. </w:t>
      </w:r>
      <w:r w:rsidRPr="00DD7357">
        <w:rPr>
          <w:rFonts w:ascii="Verdana" w:hAnsi="Verdana"/>
          <w:sz w:val="15"/>
          <w:szCs w:val="15"/>
          <w:lang w:val="es-CO"/>
        </w:rPr>
        <w:t>Consulados.</w:t>
      </w:r>
      <w:bookmarkEnd w:id="15"/>
      <w:r w:rsidRPr="00DD7357">
        <w:rPr>
          <w:rFonts w:ascii="Verdana" w:hAnsi="Verdana"/>
          <w:sz w:val="15"/>
          <w:szCs w:val="15"/>
          <w:lang w:val="es-CO"/>
        </w:rPr>
        <w:t> Sin perjuicio de las funciones establecidas en la Convención de Viena de 1963, son funciones permanentes de los consulados, las siguientes:</w:t>
      </w:r>
    </w:p>
    <w:p w14:paraId="5FF9E98E"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 Promover y salvaguardar los intereses del país y de sus nacionales en las áreas de su jurisdicción.</w:t>
      </w:r>
    </w:p>
    <w:p w14:paraId="1181E825"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2. Brindar asesoría jurídica, social y asistencia requerida por los connacionales.</w:t>
      </w:r>
    </w:p>
    <w:p w14:paraId="3FB39B13"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3. Velar, dentro de los límites que impongan las leyes y reglamentos del Estado receptor, por los intereses de los connacionales menores de edad y de otras personas que carezcan de capacidad plena.</w:t>
      </w:r>
    </w:p>
    <w:p w14:paraId="6850F441"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4. Actuar en calidad de notario, de funcionario de Registro Civil, y en funciones similares y ejercitar otras de carácter administrativo.</w:t>
      </w:r>
    </w:p>
    <w:p w14:paraId="04B73EFA"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5. Expedir pasaportes y documentos de viaje a los connacionales, y visados o documentos adecuados a las personas que deseen viajar a Colombia.</w:t>
      </w:r>
    </w:p>
    <w:p w14:paraId="04F7BCBD"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6. Apoyar dentro de su jurisdicción, las labores de promoción económica, turística, científica, cultural, entre otras, conforme a los lineamientos de la Misión Diplomática correspondiente.</w:t>
      </w:r>
    </w:p>
    <w:p w14:paraId="2F104FD1"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7. Rendir informes, de conformidad con el reglamento, a la Misión Diplomática correspondiente sobre la evolución de la política migratoria bajo su jurisdicción.</w:t>
      </w:r>
    </w:p>
    <w:p w14:paraId="1FD2BE66"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8. Presentar informes, de conformidad con el reglamento, a la Misión Diplomática correspondiente, a la Dirección de Asuntos Migratorios, Consulares y Servicio al Ciudadano y a la Dirección Administrativa y Financiera sobre la evolución de los servicios de trámites consulares, documentación, asistencia y asesorías prestados a la comunidad.</w:t>
      </w:r>
    </w:p>
    <w:p w14:paraId="72DF0EBE"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9. Remitir a la Oficina Asesora Jurídica Interna la información relativa a las conciliaciones y a la defensa jurídica que se adelanten en su jurisdicción, en los que el Ministerio de Relaciones Exteriores y su Fondo Rotatorio hagan parte, a través de sus oficinas consulares.</w:t>
      </w:r>
    </w:p>
    <w:p w14:paraId="724577FF"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10. Transmitir a la Dirección Administrativa y Financiera, el informe de los contratos que suscriba el consulado.</w:t>
      </w:r>
    </w:p>
    <w:p w14:paraId="6E195DE8"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11. Llevar un registro oportuno y confiable sobre el número y caracterización de la población colombiana que se encuentra en su jurisdicción.</w:t>
      </w:r>
    </w:p>
    <w:p w14:paraId="5E347940"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12. Mantener actualizados los sistemas de información referente al número y tipo de trámites consulares, documentación emitida, asistencia a connacionales, colombianos detenidos y asesorías prestadas, entre otros.</w:t>
      </w:r>
    </w:p>
    <w:p w14:paraId="1E1C82B7"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13. Formular y ejecutar actividades de protección de los derechos fundamentales de los colombianos en el exterior y ejercer ante las autoridades del país donde se encuentren, las acciones pertinentes, de conformidad con los principios y normas del Derecho Internacional.</w:t>
      </w:r>
    </w:p>
    <w:p w14:paraId="46CF60A0"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14. Apoyar el desarrollo y sostenimiento del Sistema Integrado de Gestión Institucional.</w:t>
      </w:r>
    </w:p>
    <w:p w14:paraId="1CBAB22B" w14:textId="77777777" w:rsidR="00195C45" w:rsidRPr="00DD7357" w:rsidRDefault="00195C45" w:rsidP="00195C45">
      <w:pPr>
        <w:pStyle w:val="Textonotapie"/>
        <w:ind w:firstLine="708"/>
        <w:jc w:val="both"/>
        <w:rPr>
          <w:rFonts w:ascii="Verdana" w:hAnsi="Verdana"/>
          <w:sz w:val="15"/>
          <w:szCs w:val="15"/>
          <w:lang w:val="es-CO"/>
        </w:rPr>
      </w:pPr>
      <w:r w:rsidRPr="00DD7357">
        <w:rPr>
          <w:rFonts w:ascii="Verdana" w:hAnsi="Verdana"/>
          <w:sz w:val="15"/>
          <w:szCs w:val="15"/>
          <w:lang w:val="es-CO"/>
        </w:rPr>
        <w:t>15. Las demás que se le asignen y que correspondan a la naturaleza de la dependencia.</w:t>
      </w:r>
    </w:p>
    <w:p w14:paraId="4151DF82" w14:textId="77777777" w:rsidR="00195C45" w:rsidRPr="00DD7357" w:rsidRDefault="00195C45" w:rsidP="00195C45">
      <w:pPr>
        <w:pStyle w:val="Textonotapie"/>
        <w:jc w:val="both"/>
        <w:rPr>
          <w:rFonts w:ascii="Verdana" w:hAnsi="Verdana"/>
          <w:sz w:val="15"/>
          <w:szCs w:val="15"/>
          <w:lang w:val="es-CO"/>
        </w:rPr>
      </w:pPr>
    </w:p>
  </w:footnote>
  <w:footnote w:id="30">
    <w:p w14:paraId="7CF8476E" w14:textId="77777777" w:rsidR="00195C45" w:rsidRPr="00DD7357" w:rsidRDefault="00195C45" w:rsidP="00195C45">
      <w:pPr>
        <w:pStyle w:val="NormalWeb"/>
        <w:spacing w:before="0" w:beforeAutospacing="0" w:after="0" w:afterAutospacing="0"/>
        <w:ind w:firstLine="709"/>
        <w:jc w:val="both"/>
        <w:rPr>
          <w:rFonts w:ascii="Verdana" w:hAnsi="Verdana" w:cs="Arial"/>
          <w:color w:val="000000" w:themeColor="text1"/>
          <w:sz w:val="15"/>
          <w:szCs w:val="15"/>
        </w:rPr>
      </w:pPr>
      <w:r w:rsidRPr="00DD7357">
        <w:rPr>
          <w:rStyle w:val="Refdenotaalpie"/>
          <w:rFonts w:ascii="Verdana" w:hAnsi="Verdana" w:cs="Arial"/>
          <w:sz w:val="15"/>
          <w:szCs w:val="15"/>
        </w:rPr>
        <w:footnoteRef/>
      </w:r>
      <w:r w:rsidRPr="00DD7357">
        <w:rPr>
          <w:rFonts w:ascii="Verdana" w:hAnsi="Verdana" w:cs="Arial"/>
          <w:color w:val="000000" w:themeColor="text1"/>
          <w:sz w:val="15"/>
          <w:szCs w:val="15"/>
        </w:rPr>
        <w:t xml:space="preserve"> Ley 80 de 1993: “Artículo 13. De la normatividad aplicable a los contratos estatales. Los contratos que celebren las entidades a que se refiere el artículo </w:t>
      </w:r>
      <w:hyperlink r:id="rId1" w:anchor="2" w:history="1">
        <w:r w:rsidRPr="00DD7357">
          <w:rPr>
            <w:rStyle w:val="Hipervnculo"/>
            <w:rFonts w:ascii="Verdana" w:hAnsi="Verdana" w:cs="Arial"/>
            <w:color w:val="000000" w:themeColor="text1"/>
            <w:sz w:val="15"/>
            <w:szCs w:val="15"/>
          </w:rPr>
          <w:t>2</w:t>
        </w:r>
      </w:hyperlink>
      <w:r w:rsidRPr="00DD7357">
        <w:rPr>
          <w:rFonts w:ascii="Verdana" w:hAnsi="Verdana" w:cs="Arial"/>
          <w:color w:val="000000" w:themeColor="text1"/>
          <w:sz w:val="15"/>
          <w:szCs w:val="15"/>
        </w:rPr>
        <w:t>o. del presente estatuto se regirán por las disposiciones comerciales y civiles pertinentes, salvo en las materias particularmente reguladas en esta ley.</w:t>
      </w:r>
    </w:p>
    <w:p w14:paraId="5BD9328E" w14:textId="77777777" w:rsidR="00195C45" w:rsidRPr="00DD7357" w:rsidRDefault="00195C45" w:rsidP="00195C45">
      <w:pPr>
        <w:pStyle w:val="NormalWeb"/>
        <w:spacing w:before="0" w:beforeAutospacing="0" w:after="0" w:afterAutospacing="0"/>
        <w:ind w:firstLine="709"/>
        <w:jc w:val="both"/>
        <w:rPr>
          <w:rFonts w:ascii="Verdana" w:hAnsi="Verdana" w:cs="Arial"/>
          <w:color w:val="000000" w:themeColor="text1"/>
          <w:sz w:val="15"/>
          <w:szCs w:val="15"/>
        </w:rPr>
      </w:pPr>
      <w:r w:rsidRPr="00DD7357">
        <w:rPr>
          <w:rFonts w:ascii="Verdana" w:hAnsi="Verdana" w:cs="Arial"/>
          <w:color w:val="000000" w:themeColor="text1"/>
          <w:sz w:val="15"/>
          <w:szCs w:val="15"/>
        </w:rPr>
        <w:t>Los contratos celebrados en el exterior se podrán regir en su ejecución por las reglas del país en donde se hayan suscrito, a menos que deban cumplirse en Colombia.</w:t>
      </w:r>
    </w:p>
    <w:p w14:paraId="36756B7F" w14:textId="77777777" w:rsidR="00195C45" w:rsidRPr="00DD7357" w:rsidRDefault="00195C45" w:rsidP="00195C45">
      <w:pPr>
        <w:pStyle w:val="NormalWeb"/>
        <w:spacing w:before="0" w:beforeAutospacing="0" w:after="0" w:afterAutospacing="0"/>
        <w:ind w:firstLine="709"/>
        <w:jc w:val="both"/>
        <w:rPr>
          <w:rFonts w:ascii="Verdana" w:hAnsi="Verdana" w:cs="Arial"/>
          <w:color w:val="000000" w:themeColor="text1"/>
          <w:sz w:val="15"/>
          <w:szCs w:val="15"/>
        </w:rPr>
      </w:pPr>
      <w:r w:rsidRPr="00DD7357">
        <w:rPr>
          <w:rFonts w:ascii="Verdana" w:hAnsi="Verdana" w:cs="Arial"/>
          <w:color w:val="000000" w:themeColor="text1"/>
          <w:sz w:val="15"/>
          <w:szCs w:val="15"/>
        </w:rPr>
        <w:t>Los contratos que se celebren en Colombia y deban ejecutarse o cumplirse en el extranjero, podrán someterse a la ley extranjera”.</w:t>
      </w:r>
    </w:p>
  </w:footnote>
  <w:footnote w:id="31">
    <w:p w14:paraId="51A9AEEB" w14:textId="77777777" w:rsidR="00195C45" w:rsidRPr="007B3DC1" w:rsidRDefault="00195C45" w:rsidP="00195C45">
      <w:pPr>
        <w:pStyle w:val="Textonotapie"/>
        <w:ind w:firstLine="709"/>
        <w:jc w:val="both"/>
        <w:rPr>
          <w:rFonts w:ascii="Verdana" w:hAnsi="Verdana" w:cs="Arial"/>
          <w:color w:val="000000" w:themeColor="text1"/>
          <w:sz w:val="16"/>
          <w:szCs w:val="16"/>
          <w:lang w:val="es-CO"/>
        </w:rPr>
      </w:pPr>
      <w:r w:rsidRPr="00DD7357">
        <w:rPr>
          <w:rStyle w:val="Refdenotaalpie"/>
          <w:rFonts w:ascii="Verdana" w:hAnsi="Verdana" w:cs="Arial"/>
          <w:sz w:val="15"/>
          <w:szCs w:val="15"/>
        </w:rPr>
        <w:footnoteRef/>
      </w:r>
      <w:r w:rsidRPr="00DD7357">
        <w:rPr>
          <w:rFonts w:ascii="Verdana" w:hAnsi="Verdana" w:cs="Arial"/>
          <w:color w:val="000000" w:themeColor="text1"/>
          <w:sz w:val="15"/>
          <w:szCs w:val="15"/>
        </w:rPr>
        <w:t xml:space="preserve"> Consejo de Estado. Sección Tercera, Subsección C. Sentencia del 26 de noviembre de 2015.</w:t>
      </w:r>
      <w:r w:rsidRPr="00DD7357">
        <w:rPr>
          <w:rFonts w:ascii="Verdana" w:hAnsi="Verdana" w:cs="Arial"/>
          <w:color w:val="000000" w:themeColor="text1"/>
          <w:sz w:val="15"/>
          <w:szCs w:val="15"/>
          <w:lang w:val="es-CO"/>
        </w:rPr>
        <w:t xml:space="preserve"> C.P Jaime Orlando Santofimio Gamboa.</w:t>
      </w:r>
      <w:r w:rsidRPr="00DD7357">
        <w:rPr>
          <w:rFonts w:ascii="Verdana" w:hAnsi="Verdana" w:cs="Arial"/>
          <w:color w:val="000000" w:themeColor="text1"/>
          <w:sz w:val="15"/>
          <w:szCs w:val="15"/>
        </w:rPr>
        <w:t xml:space="preserve"> </w:t>
      </w:r>
      <w:r w:rsidRPr="00DD7357">
        <w:rPr>
          <w:rFonts w:ascii="Verdana" w:hAnsi="Verdana" w:cs="Arial"/>
          <w:color w:val="000000" w:themeColor="text1"/>
          <w:sz w:val="15"/>
          <w:szCs w:val="15"/>
          <w:lang w:val="es-ES_tradnl"/>
        </w:rPr>
        <w:t xml:space="preserve">Exp. </w:t>
      </w:r>
      <w:r w:rsidRPr="00DD7357">
        <w:rPr>
          <w:rFonts w:ascii="Verdana" w:hAnsi="Verdana" w:cs="Arial"/>
          <w:color w:val="000000" w:themeColor="text1"/>
          <w:sz w:val="15"/>
          <w:szCs w:val="15"/>
          <w:lang w:val="es-CO"/>
        </w:rPr>
        <w:t>54.069.</w:t>
      </w:r>
      <w:r w:rsidRPr="007B3DC1">
        <w:rPr>
          <w:rFonts w:ascii="Verdana" w:hAnsi="Verdana" w:cs="Arial"/>
          <w:color w:val="000000" w:themeColor="text1"/>
          <w:sz w:val="16"/>
          <w:szCs w:val="16"/>
          <w:lang w:val="es-CO"/>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5pt;height:13.1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6F0D26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565E0F49"/>
    <w:multiLevelType w:val="hybridMultilevel"/>
    <w:tmpl w:val="28604C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40497782">
    <w:abstractNumId w:val="8"/>
  </w:num>
  <w:num w:numId="2" w16cid:durableId="1113087386">
    <w:abstractNumId w:val="2"/>
  </w:num>
  <w:num w:numId="3" w16cid:durableId="1440686139">
    <w:abstractNumId w:val="6"/>
  </w:num>
  <w:num w:numId="4" w16cid:durableId="13869384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85652945">
    <w:abstractNumId w:val="2"/>
  </w:num>
  <w:num w:numId="6" w16cid:durableId="1440249150">
    <w:abstractNumId w:val="17"/>
  </w:num>
  <w:num w:numId="7" w16cid:durableId="1493449245">
    <w:abstractNumId w:val="7"/>
  </w:num>
  <w:num w:numId="8" w16cid:durableId="1813866293">
    <w:abstractNumId w:val="16"/>
  </w:num>
  <w:num w:numId="9" w16cid:durableId="1928347038">
    <w:abstractNumId w:val="9"/>
  </w:num>
  <w:num w:numId="10" w16cid:durableId="2126463239">
    <w:abstractNumId w:val="15"/>
  </w:num>
  <w:num w:numId="11" w16cid:durableId="58865643">
    <w:abstractNumId w:val="10"/>
  </w:num>
  <w:num w:numId="12" w16cid:durableId="309405370">
    <w:abstractNumId w:val="1"/>
  </w:num>
  <w:num w:numId="13" w16cid:durableId="1651977342">
    <w:abstractNumId w:val="5"/>
  </w:num>
  <w:num w:numId="14" w16cid:durableId="880361644">
    <w:abstractNumId w:val="18"/>
  </w:num>
  <w:num w:numId="15" w16cid:durableId="229124059">
    <w:abstractNumId w:val="14"/>
  </w:num>
  <w:num w:numId="16" w16cid:durableId="1148859072">
    <w:abstractNumId w:val="0"/>
  </w:num>
  <w:num w:numId="17" w16cid:durableId="1481531427">
    <w:abstractNumId w:val="11"/>
  </w:num>
  <w:num w:numId="18" w16cid:durableId="1922368504">
    <w:abstractNumId w:val="12"/>
  </w:num>
  <w:num w:numId="19" w16cid:durableId="282154600">
    <w:abstractNumId w:val="4"/>
  </w:num>
  <w:num w:numId="20" w16cid:durableId="159659303">
    <w:abstractNumId w:val="3"/>
  </w:num>
  <w:num w:numId="21" w16cid:durableId="2942670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452B"/>
    <w:rsid w:val="000067F4"/>
    <w:rsid w:val="0001041D"/>
    <w:rsid w:val="00016F78"/>
    <w:rsid w:val="00021A39"/>
    <w:rsid w:val="00021DCE"/>
    <w:rsid w:val="00024E88"/>
    <w:rsid w:val="00046945"/>
    <w:rsid w:val="00061B2A"/>
    <w:rsid w:val="000714B7"/>
    <w:rsid w:val="00081367"/>
    <w:rsid w:val="00082362"/>
    <w:rsid w:val="000825A6"/>
    <w:rsid w:val="000919CA"/>
    <w:rsid w:val="00095DAE"/>
    <w:rsid w:val="000A683E"/>
    <w:rsid w:val="000B19B9"/>
    <w:rsid w:val="000D0334"/>
    <w:rsid w:val="000D26E9"/>
    <w:rsid w:val="000D5040"/>
    <w:rsid w:val="000D5DA7"/>
    <w:rsid w:val="000F4BC5"/>
    <w:rsid w:val="000F6486"/>
    <w:rsid w:val="00102203"/>
    <w:rsid w:val="00116940"/>
    <w:rsid w:val="00125105"/>
    <w:rsid w:val="00127233"/>
    <w:rsid w:val="0012746B"/>
    <w:rsid w:val="00127474"/>
    <w:rsid w:val="001419CB"/>
    <w:rsid w:val="0015699B"/>
    <w:rsid w:val="00186DE9"/>
    <w:rsid w:val="0019173C"/>
    <w:rsid w:val="00192907"/>
    <w:rsid w:val="00195C45"/>
    <w:rsid w:val="001967FD"/>
    <w:rsid w:val="001A2350"/>
    <w:rsid w:val="001A33BF"/>
    <w:rsid w:val="001A6E15"/>
    <w:rsid w:val="001C6750"/>
    <w:rsid w:val="001D5D59"/>
    <w:rsid w:val="001E194B"/>
    <w:rsid w:val="001E4177"/>
    <w:rsid w:val="001E5EA0"/>
    <w:rsid w:val="001F0B24"/>
    <w:rsid w:val="001F7DC6"/>
    <w:rsid w:val="0020079E"/>
    <w:rsid w:val="0022400B"/>
    <w:rsid w:val="002421BB"/>
    <w:rsid w:val="0024692A"/>
    <w:rsid w:val="0025796E"/>
    <w:rsid w:val="00261121"/>
    <w:rsid w:val="002707A2"/>
    <w:rsid w:val="00272A28"/>
    <w:rsid w:val="002826F0"/>
    <w:rsid w:val="002845F4"/>
    <w:rsid w:val="002854F9"/>
    <w:rsid w:val="002857D9"/>
    <w:rsid w:val="00293441"/>
    <w:rsid w:val="002951A0"/>
    <w:rsid w:val="002962BC"/>
    <w:rsid w:val="002A093D"/>
    <w:rsid w:val="002A0DD0"/>
    <w:rsid w:val="002A3854"/>
    <w:rsid w:val="002A49AC"/>
    <w:rsid w:val="002A64FD"/>
    <w:rsid w:val="002A760C"/>
    <w:rsid w:val="002B6427"/>
    <w:rsid w:val="002C5725"/>
    <w:rsid w:val="002C7A84"/>
    <w:rsid w:val="002E2BF8"/>
    <w:rsid w:val="002E4FD9"/>
    <w:rsid w:val="002E60E4"/>
    <w:rsid w:val="002F3CDF"/>
    <w:rsid w:val="0030657A"/>
    <w:rsid w:val="003070D5"/>
    <w:rsid w:val="00322A85"/>
    <w:rsid w:val="00324168"/>
    <w:rsid w:val="00330834"/>
    <w:rsid w:val="00330F80"/>
    <w:rsid w:val="003318AB"/>
    <w:rsid w:val="003354A4"/>
    <w:rsid w:val="003448F4"/>
    <w:rsid w:val="00355EA0"/>
    <w:rsid w:val="003604F5"/>
    <w:rsid w:val="003618B0"/>
    <w:rsid w:val="00374F5E"/>
    <w:rsid w:val="00377E3E"/>
    <w:rsid w:val="003A1BC6"/>
    <w:rsid w:val="003A251F"/>
    <w:rsid w:val="003A779E"/>
    <w:rsid w:val="003C5B9E"/>
    <w:rsid w:val="003C64B8"/>
    <w:rsid w:val="003D0F4D"/>
    <w:rsid w:val="003D1CF9"/>
    <w:rsid w:val="003D5B0D"/>
    <w:rsid w:val="003E0499"/>
    <w:rsid w:val="003E4F80"/>
    <w:rsid w:val="003E5A1D"/>
    <w:rsid w:val="003E6439"/>
    <w:rsid w:val="003E6646"/>
    <w:rsid w:val="003F3941"/>
    <w:rsid w:val="00406575"/>
    <w:rsid w:val="00407E39"/>
    <w:rsid w:val="00414C74"/>
    <w:rsid w:val="00417B5B"/>
    <w:rsid w:val="0042722E"/>
    <w:rsid w:val="00437377"/>
    <w:rsid w:val="0044528D"/>
    <w:rsid w:val="00447D22"/>
    <w:rsid w:val="00466302"/>
    <w:rsid w:val="00466E39"/>
    <w:rsid w:val="004674CF"/>
    <w:rsid w:val="00473BEB"/>
    <w:rsid w:val="0047772E"/>
    <w:rsid w:val="00494C69"/>
    <w:rsid w:val="0049524E"/>
    <w:rsid w:val="004A1847"/>
    <w:rsid w:val="004A305D"/>
    <w:rsid w:val="004A4D79"/>
    <w:rsid w:val="004A63D3"/>
    <w:rsid w:val="004B7D74"/>
    <w:rsid w:val="004D420F"/>
    <w:rsid w:val="004F1C0A"/>
    <w:rsid w:val="004F21C4"/>
    <w:rsid w:val="004F32E3"/>
    <w:rsid w:val="004F685F"/>
    <w:rsid w:val="004F7C2B"/>
    <w:rsid w:val="00515363"/>
    <w:rsid w:val="005154AE"/>
    <w:rsid w:val="0053199F"/>
    <w:rsid w:val="005461C4"/>
    <w:rsid w:val="00555482"/>
    <w:rsid w:val="005566E8"/>
    <w:rsid w:val="00566660"/>
    <w:rsid w:val="00570014"/>
    <w:rsid w:val="00573B22"/>
    <w:rsid w:val="00574867"/>
    <w:rsid w:val="00580BC6"/>
    <w:rsid w:val="00585673"/>
    <w:rsid w:val="00591460"/>
    <w:rsid w:val="00597A19"/>
    <w:rsid w:val="005A10AB"/>
    <w:rsid w:val="005A65E0"/>
    <w:rsid w:val="005B0452"/>
    <w:rsid w:val="005C3777"/>
    <w:rsid w:val="005C5CDC"/>
    <w:rsid w:val="005C6BC8"/>
    <w:rsid w:val="005D476C"/>
    <w:rsid w:val="005E6B20"/>
    <w:rsid w:val="005F181C"/>
    <w:rsid w:val="00604687"/>
    <w:rsid w:val="006120A6"/>
    <w:rsid w:val="00614323"/>
    <w:rsid w:val="006200BF"/>
    <w:rsid w:val="006219F8"/>
    <w:rsid w:val="006229C7"/>
    <w:rsid w:val="006302F7"/>
    <w:rsid w:val="00646B9F"/>
    <w:rsid w:val="00656F96"/>
    <w:rsid w:val="00662D62"/>
    <w:rsid w:val="00665485"/>
    <w:rsid w:val="00665D70"/>
    <w:rsid w:val="00686C01"/>
    <w:rsid w:val="006900D9"/>
    <w:rsid w:val="006A615D"/>
    <w:rsid w:val="006C04F1"/>
    <w:rsid w:val="006D47E3"/>
    <w:rsid w:val="006D76F7"/>
    <w:rsid w:val="006E24BD"/>
    <w:rsid w:val="006E2BF4"/>
    <w:rsid w:val="00706C16"/>
    <w:rsid w:val="00721364"/>
    <w:rsid w:val="007317FA"/>
    <w:rsid w:val="007340C3"/>
    <w:rsid w:val="00737DF0"/>
    <w:rsid w:val="0075235A"/>
    <w:rsid w:val="00752490"/>
    <w:rsid w:val="00756841"/>
    <w:rsid w:val="007636F9"/>
    <w:rsid w:val="007649AB"/>
    <w:rsid w:val="007713E2"/>
    <w:rsid w:val="00771D0C"/>
    <w:rsid w:val="007744FB"/>
    <w:rsid w:val="007829E1"/>
    <w:rsid w:val="007833AC"/>
    <w:rsid w:val="0078433B"/>
    <w:rsid w:val="007A153F"/>
    <w:rsid w:val="007B0207"/>
    <w:rsid w:val="007B268C"/>
    <w:rsid w:val="007B3DC1"/>
    <w:rsid w:val="007B7171"/>
    <w:rsid w:val="007C0C0F"/>
    <w:rsid w:val="007C3DC2"/>
    <w:rsid w:val="007D3968"/>
    <w:rsid w:val="007E5497"/>
    <w:rsid w:val="007F21D5"/>
    <w:rsid w:val="00806F5F"/>
    <w:rsid w:val="00815B83"/>
    <w:rsid w:val="00817856"/>
    <w:rsid w:val="00820169"/>
    <w:rsid w:val="00820278"/>
    <w:rsid w:val="00824114"/>
    <w:rsid w:val="008258C9"/>
    <w:rsid w:val="00826EE8"/>
    <w:rsid w:val="00844AE9"/>
    <w:rsid w:val="00863A7F"/>
    <w:rsid w:val="00867F95"/>
    <w:rsid w:val="00872A2A"/>
    <w:rsid w:val="00881848"/>
    <w:rsid w:val="008835B4"/>
    <w:rsid w:val="008843B6"/>
    <w:rsid w:val="00891928"/>
    <w:rsid w:val="008934CB"/>
    <w:rsid w:val="00895356"/>
    <w:rsid w:val="008A446D"/>
    <w:rsid w:val="008B104D"/>
    <w:rsid w:val="008B25F1"/>
    <w:rsid w:val="008C571F"/>
    <w:rsid w:val="008C5A84"/>
    <w:rsid w:val="008D180B"/>
    <w:rsid w:val="008E5070"/>
    <w:rsid w:val="008E72AF"/>
    <w:rsid w:val="008E796F"/>
    <w:rsid w:val="008F0EA7"/>
    <w:rsid w:val="008F1894"/>
    <w:rsid w:val="008F327E"/>
    <w:rsid w:val="008F588A"/>
    <w:rsid w:val="0091791F"/>
    <w:rsid w:val="00923EEF"/>
    <w:rsid w:val="009305DC"/>
    <w:rsid w:val="00930D50"/>
    <w:rsid w:val="009419F9"/>
    <w:rsid w:val="0095685E"/>
    <w:rsid w:val="00961B09"/>
    <w:rsid w:val="00965334"/>
    <w:rsid w:val="0097093E"/>
    <w:rsid w:val="00990BF1"/>
    <w:rsid w:val="009A027F"/>
    <w:rsid w:val="009A0DFA"/>
    <w:rsid w:val="009A1C6F"/>
    <w:rsid w:val="009B2D26"/>
    <w:rsid w:val="009B6FCF"/>
    <w:rsid w:val="009B7652"/>
    <w:rsid w:val="009C63EB"/>
    <w:rsid w:val="009C71FA"/>
    <w:rsid w:val="009C72E7"/>
    <w:rsid w:val="009C7F7E"/>
    <w:rsid w:val="009D3058"/>
    <w:rsid w:val="009D31B2"/>
    <w:rsid w:val="009E1EA6"/>
    <w:rsid w:val="009E4E34"/>
    <w:rsid w:val="009E6333"/>
    <w:rsid w:val="009F3A13"/>
    <w:rsid w:val="00A07EBF"/>
    <w:rsid w:val="00A1025E"/>
    <w:rsid w:val="00A111B6"/>
    <w:rsid w:val="00A122D3"/>
    <w:rsid w:val="00A14468"/>
    <w:rsid w:val="00A17F13"/>
    <w:rsid w:val="00A20739"/>
    <w:rsid w:val="00A218FA"/>
    <w:rsid w:val="00A23AF9"/>
    <w:rsid w:val="00A30CF9"/>
    <w:rsid w:val="00A33C78"/>
    <w:rsid w:val="00A63F17"/>
    <w:rsid w:val="00A81AFD"/>
    <w:rsid w:val="00A83161"/>
    <w:rsid w:val="00A86E5C"/>
    <w:rsid w:val="00AA05E1"/>
    <w:rsid w:val="00AB0ADB"/>
    <w:rsid w:val="00AD67E7"/>
    <w:rsid w:val="00B00C0E"/>
    <w:rsid w:val="00B01B1A"/>
    <w:rsid w:val="00B0381D"/>
    <w:rsid w:val="00B075A8"/>
    <w:rsid w:val="00B13882"/>
    <w:rsid w:val="00B14F11"/>
    <w:rsid w:val="00B14F36"/>
    <w:rsid w:val="00B44A47"/>
    <w:rsid w:val="00B564A8"/>
    <w:rsid w:val="00B57D98"/>
    <w:rsid w:val="00B57ED5"/>
    <w:rsid w:val="00B72CD3"/>
    <w:rsid w:val="00B72FFF"/>
    <w:rsid w:val="00B7443D"/>
    <w:rsid w:val="00B80D44"/>
    <w:rsid w:val="00B82816"/>
    <w:rsid w:val="00B944AA"/>
    <w:rsid w:val="00B95ED8"/>
    <w:rsid w:val="00BA15D8"/>
    <w:rsid w:val="00BA7A2E"/>
    <w:rsid w:val="00BC3D36"/>
    <w:rsid w:val="00BC6E4E"/>
    <w:rsid w:val="00BD54A6"/>
    <w:rsid w:val="00BD7F72"/>
    <w:rsid w:val="00BE0FC4"/>
    <w:rsid w:val="00BF05E4"/>
    <w:rsid w:val="00BF58CD"/>
    <w:rsid w:val="00BF6651"/>
    <w:rsid w:val="00BF7425"/>
    <w:rsid w:val="00C04FB3"/>
    <w:rsid w:val="00C11D8B"/>
    <w:rsid w:val="00C15139"/>
    <w:rsid w:val="00C26C4E"/>
    <w:rsid w:val="00C330EB"/>
    <w:rsid w:val="00C50D69"/>
    <w:rsid w:val="00C5365C"/>
    <w:rsid w:val="00C66D1E"/>
    <w:rsid w:val="00C67C8B"/>
    <w:rsid w:val="00C729D3"/>
    <w:rsid w:val="00C754BE"/>
    <w:rsid w:val="00C76B1C"/>
    <w:rsid w:val="00C925AC"/>
    <w:rsid w:val="00C946BF"/>
    <w:rsid w:val="00C958D1"/>
    <w:rsid w:val="00CA0E68"/>
    <w:rsid w:val="00CB6357"/>
    <w:rsid w:val="00CC1B26"/>
    <w:rsid w:val="00CD2652"/>
    <w:rsid w:val="00CD6067"/>
    <w:rsid w:val="00CE4589"/>
    <w:rsid w:val="00CE72C3"/>
    <w:rsid w:val="00CF4861"/>
    <w:rsid w:val="00D07CEE"/>
    <w:rsid w:val="00D118E4"/>
    <w:rsid w:val="00D13C5D"/>
    <w:rsid w:val="00D13D79"/>
    <w:rsid w:val="00D14E75"/>
    <w:rsid w:val="00D31EC6"/>
    <w:rsid w:val="00D350D3"/>
    <w:rsid w:val="00D361FD"/>
    <w:rsid w:val="00D417C8"/>
    <w:rsid w:val="00D423A2"/>
    <w:rsid w:val="00D439FC"/>
    <w:rsid w:val="00D447EB"/>
    <w:rsid w:val="00D44E26"/>
    <w:rsid w:val="00D520D8"/>
    <w:rsid w:val="00D53F94"/>
    <w:rsid w:val="00D63AC2"/>
    <w:rsid w:val="00D7383B"/>
    <w:rsid w:val="00D7788A"/>
    <w:rsid w:val="00DA231B"/>
    <w:rsid w:val="00DC39FC"/>
    <w:rsid w:val="00DD0992"/>
    <w:rsid w:val="00DE2965"/>
    <w:rsid w:val="00DF3F1B"/>
    <w:rsid w:val="00DF5254"/>
    <w:rsid w:val="00E02524"/>
    <w:rsid w:val="00E16408"/>
    <w:rsid w:val="00E20894"/>
    <w:rsid w:val="00E22A1A"/>
    <w:rsid w:val="00E245AB"/>
    <w:rsid w:val="00E2764C"/>
    <w:rsid w:val="00E27F2E"/>
    <w:rsid w:val="00E35083"/>
    <w:rsid w:val="00E5016B"/>
    <w:rsid w:val="00E50AFE"/>
    <w:rsid w:val="00E54338"/>
    <w:rsid w:val="00E54809"/>
    <w:rsid w:val="00E56EE8"/>
    <w:rsid w:val="00E60AD8"/>
    <w:rsid w:val="00E65A42"/>
    <w:rsid w:val="00E75C92"/>
    <w:rsid w:val="00E760D9"/>
    <w:rsid w:val="00E771DC"/>
    <w:rsid w:val="00E8252C"/>
    <w:rsid w:val="00E83EFE"/>
    <w:rsid w:val="00E8772A"/>
    <w:rsid w:val="00E90AC3"/>
    <w:rsid w:val="00E90F6B"/>
    <w:rsid w:val="00E92C27"/>
    <w:rsid w:val="00EA0E3D"/>
    <w:rsid w:val="00EA4B5D"/>
    <w:rsid w:val="00EA569D"/>
    <w:rsid w:val="00EC38A7"/>
    <w:rsid w:val="00EE1AA8"/>
    <w:rsid w:val="00EE64B3"/>
    <w:rsid w:val="00F04FFA"/>
    <w:rsid w:val="00F163B0"/>
    <w:rsid w:val="00F16BC8"/>
    <w:rsid w:val="00F23FEA"/>
    <w:rsid w:val="00F25C35"/>
    <w:rsid w:val="00F278E4"/>
    <w:rsid w:val="00F31A4A"/>
    <w:rsid w:val="00F31EDC"/>
    <w:rsid w:val="00F462B3"/>
    <w:rsid w:val="00F52719"/>
    <w:rsid w:val="00F5664F"/>
    <w:rsid w:val="00F624DD"/>
    <w:rsid w:val="00F666C4"/>
    <w:rsid w:val="00F7339B"/>
    <w:rsid w:val="00F76AFC"/>
    <w:rsid w:val="00F85A36"/>
    <w:rsid w:val="00FA3E17"/>
    <w:rsid w:val="00FA47C0"/>
    <w:rsid w:val="00FB2271"/>
    <w:rsid w:val="00FB5DD1"/>
    <w:rsid w:val="00FC2B5D"/>
    <w:rsid w:val="00FC687C"/>
    <w:rsid w:val="00FD63E7"/>
    <w:rsid w:val="00FF1449"/>
    <w:rsid w:val="00FF7963"/>
    <w:rsid w:val="00FF7BDB"/>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5C4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88082545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ancilleria.gov.co/normograma/compilacion/docs/decreto_0274_2000.htm" TargetMode="External"/><Relationship Id="rId18" Type="http://schemas.openxmlformats.org/officeDocument/2006/relationships/hyperlink" Target="https://relatoria.colombiacompra.gov.co/busqueda/conceptos"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colombiacompra.gov.co/pqrsd/informacion-importante-antes-de-formular-una-pqrsd" TargetMode="External"/><Relationship Id="rId7" Type="http://schemas.openxmlformats.org/officeDocument/2006/relationships/settings" Target="settings.xml"/><Relationship Id="rId12" Type="http://schemas.openxmlformats.org/officeDocument/2006/relationships/hyperlink" Target="mailto:secretariageneral@cancilleria.gov.co" TargetMode="External"/><Relationship Id="rId17" Type="http://schemas.openxmlformats.org/officeDocument/2006/relationships/hyperlink" Target="https://www.cancilleria.gov.co/normograma/compilacion/docs/ley_1564_2012.htm"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cancilleria.gov.co/normograma/compilacion/docs/decreto_2348_2014.htm" TargetMode="External"/><Relationship Id="rId20" Type="http://schemas.openxmlformats.org/officeDocument/2006/relationships/hyperlink" Target="mailto:ventanilladeradicacion@colombiacompra.gov.c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cancilleria.gov.co/normograma/compilacion/docs/decreto_3357_2009.htm" TargetMode="External"/><Relationship Id="rId23"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ancilleria.gov.co/normograma/compilacion/docs/decreto_2078_2004.htm" TargetMode="External"/><Relationship Id="rId22" Type="http://schemas.openxmlformats.org/officeDocument/2006/relationships/hyperlink" Target="https://forms.office.com/r/pPHyWVs2SZ"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D51CC3F-A799-4ECD-B3BC-1CBF82AEC8B4}">
  <ds:schemaRefs>
    <ds:schemaRef ds:uri="http://schemas.openxmlformats.org/officeDocument/2006/bibliography"/>
  </ds:schemaRefs>
</ds:datastoreItem>
</file>

<file path=customXml/itemProps3.xml><?xml version="1.0" encoding="utf-8"?>
<ds:datastoreItem xmlns:ds="http://schemas.openxmlformats.org/officeDocument/2006/customXml" ds:itemID="{21F1AD1B-4D1C-4764-BAEB-7AE3B80D88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25</TotalTime>
  <Pages>33</Pages>
  <Words>11467</Words>
  <Characters>63184</Characters>
  <Application>Microsoft Office Word</Application>
  <DocSecurity>0</DocSecurity>
  <Lines>1148</Lines>
  <Paragraphs>192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2026-02-19T10:30:00Z</dcterms:created>
  <dcterms:modified xsi:type="dcterms:W3CDTF">2026-02-19T16:33:00Z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