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A076F3" w:rsidR="000F13DA" w:rsidP="000F13DA" w:rsidRDefault="000F13DA" w14:paraId="0AF4E6D5" w14:textId="445A738B">
      <w:pPr>
        <w:spacing w:after="0" w:line="240" w:lineRule="auto"/>
        <w:jc w:val="both"/>
        <w:rPr>
          <w:rFonts w:ascii="Verdana" w:hAnsi="Verdana" w:eastAsia="Calibri" w:cs="Arial"/>
          <w:b/>
          <w:lang w:eastAsia="es-ES"/>
        </w:rPr>
      </w:pPr>
      <w:bookmarkStart w:name="_Hlk143780582" w:id="0"/>
      <w:r w:rsidRPr="00A076F3">
        <w:rPr>
          <w:rFonts w:ascii="Verdana" w:hAnsi="Verdana" w:eastAsia="Calibri" w:cs="Arial"/>
          <w:b/>
          <w:lang w:eastAsia="es-ES"/>
        </w:rPr>
        <w:t>CONVOCATORIAS LIMITADAS A MIPYMES NACIONALES – Requisitos – presupuestos mínimos</w:t>
      </w:r>
    </w:p>
    <w:p w:rsidRPr="00A076F3" w:rsidR="000F13DA" w:rsidP="000F13DA" w:rsidRDefault="000F13DA" w14:paraId="70481F5D" w14:textId="77777777">
      <w:pPr>
        <w:spacing w:after="0" w:line="240" w:lineRule="auto"/>
        <w:jc w:val="both"/>
        <w:rPr>
          <w:rFonts w:ascii="Verdana" w:hAnsi="Verdana" w:eastAsia="Calibri" w:cs="Arial"/>
          <w:b/>
          <w:lang w:eastAsia="es-ES"/>
        </w:rPr>
      </w:pPr>
    </w:p>
    <w:p w:rsidRPr="00A076F3" w:rsidR="000F13DA" w:rsidP="000F13DA" w:rsidRDefault="000F13DA" w14:paraId="19E83683" w14:textId="77777777">
      <w:pPr>
        <w:spacing w:after="0" w:line="240" w:lineRule="auto"/>
        <w:jc w:val="both"/>
        <w:rPr>
          <w:rFonts w:ascii="Verdana" w:hAnsi="Verdana" w:eastAsia="Calibri" w:cs="Arial"/>
          <w:sz w:val="20"/>
          <w:lang w:val="es-ES" w:eastAsia="es-ES"/>
        </w:rPr>
      </w:pPr>
      <w:r w:rsidRPr="00A076F3">
        <w:rPr>
          <w:rFonts w:ascii="Verdana" w:hAnsi="Verdana" w:eastAsia="Calibri" w:cs="Arial"/>
          <w:sz w:val="20"/>
          <w:lang w:val="es-ES" w:eastAsia="es-ES"/>
        </w:rPr>
        <w:t xml:space="preserve">Ahora bien, </w:t>
      </w:r>
      <w:r w:rsidRPr="00A076F3">
        <w:rPr>
          <w:rFonts w:ascii="Verdana" w:hAnsi="Verdana" w:eastAsia="Calibri" w:cs="Arial"/>
          <w:sz w:val="20"/>
          <w:lang w:val="es-ES_tradnl" w:eastAsia="es-ES"/>
        </w:rPr>
        <w:t xml:space="preserve">de la redacción del parágrafo 1 del artículo 34 de la Ley 2069 de 2020, según el cual, “En los procesos de selección que se desarrollen con base en el primer inciso, las entidades podrán realizar las convocatorias limitadas que beneficien a las MiPymes del ámbito </w:t>
      </w:r>
      <w:r w:rsidRPr="00A076F3">
        <w:rPr>
          <w:rFonts w:ascii="Verdana" w:hAnsi="Verdana" w:eastAsia="Calibri" w:cs="Arial"/>
          <w:i/>
          <w:iCs/>
          <w:sz w:val="20"/>
          <w:lang w:val="es-ES_tradnl" w:eastAsia="es-ES"/>
        </w:rPr>
        <w:t>municipal o departamental</w:t>
      </w:r>
      <w:r w:rsidRPr="00A076F3">
        <w:rPr>
          <w:rFonts w:ascii="Verdana" w:hAnsi="Verdana" w:eastAsia="Calibri" w:cs="Arial"/>
          <w:sz w:val="20"/>
          <w:lang w:val="es-ES_tradnl" w:eastAsia="es-ES"/>
        </w:rPr>
        <w:t xml:space="preserve"> correspondiente al de la ejecución del contrato” [Énfasis fuera del texto], se infiere que en tales términos, la norma citada solo contempla la posibilidad de limitar convocatorias a Mipymes con domicilio en esos dos tipos de entidades territoriales. </w:t>
      </w:r>
      <w:r w:rsidRPr="00A076F3">
        <w:rPr>
          <w:rFonts w:ascii="Verdana" w:hAnsi="Verdana" w:eastAsia="Calibri" w:cs="Arial"/>
          <w:sz w:val="20"/>
          <w:lang w:val="es-ES" w:eastAsia="es-ES"/>
        </w:rPr>
        <w:t xml:space="preserve">En ese sentido, toda empresa constituida bajo las leyes colombianas o que tenga su domicilio principal en el territorio colombiano y, además, cumpla los criterios previstos por la Ley 590 de 2000 y el Decreto 957 de 2019, será considerada Mipyme nacional. Además, las normas de contratación permiten que las Mipyme nacionales puedan beneficiarse de la ejecución de un contrato dentro de la entidad territorial en la que tienen su “domicilio”. </w:t>
      </w:r>
    </w:p>
    <w:p w:rsidRPr="00A076F3" w:rsidR="000F13DA" w:rsidP="000F13DA" w:rsidRDefault="000F13DA" w14:paraId="7C7FFFA6" w14:textId="77777777">
      <w:pPr>
        <w:spacing w:after="0" w:line="240" w:lineRule="auto"/>
        <w:jc w:val="both"/>
        <w:rPr>
          <w:rFonts w:ascii="Verdana" w:hAnsi="Verdana" w:eastAsia="Calibri" w:cs="Arial"/>
          <w:sz w:val="20"/>
          <w:lang w:val="es-ES" w:eastAsia="es-ES"/>
        </w:rPr>
      </w:pPr>
      <w:r w:rsidRPr="00A076F3">
        <w:rPr>
          <w:rFonts w:ascii="Verdana" w:hAnsi="Verdana" w:eastAsia="Calibri" w:cs="Arial"/>
          <w:sz w:val="20"/>
          <w:lang w:val="es-ES" w:eastAsia="es-ES"/>
        </w:rPr>
        <w:t>[…]</w:t>
      </w:r>
    </w:p>
    <w:p w:rsidRPr="00A076F3" w:rsidR="000F13DA" w:rsidP="000F13DA" w:rsidRDefault="000F13DA" w14:paraId="557F8F1F" w14:textId="77777777">
      <w:pPr>
        <w:spacing w:after="0" w:line="240" w:lineRule="auto"/>
        <w:jc w:val="both"/>
        <w:rPr>
          <w:rFonts w:ascii="Verdana" w:hAnsi="Verdana" w:eastAsia="Calibri" w:cs="Arial"/>
          <w:sz w:val="20"/>
          <w:lang w:val="es-ES" w:eastAsia="es-ES"/>
        </w:rPr>
      </w:pPr>
      <w:r w:rsidRPr="00A076F3">
        <w:rPr>
          <w:rFonts w:ascii="Verdana" w:hAnsi="Verdana" w:eastAsia="Calibri" w:cs="Arial"/>
          <w:sz w:val="20"/>
          <w:lang w:val="es-ES" w:eastAsia="es-ES"/>
        </w:rPr>
        <w:t xml:space="preserve">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Es decir, deben cumplirse las dos condiciones: i) </w:t>
      </w:r>
      <w:r w:rsidRPr="00A076F3">
        <w:rPr>
          <w:rFonts w:ascii="Verdana" w:hAnsi="Verdana" w:eastAsia="Calibri" w:cs="Arial"/>
          <w:sz w:val="20"/>
          <w:lang w:eastAsia="es-ES"/>
        </w:rPr>
        <w:t xml:space="preserve">El valor del Proceso de Contratación sea menor a ciento veinticinco mil dólares de los Estados Unidos de América (US$125.000), liquidados con la tasa de cambio que para el efecto determina cada dos años el Ministerio de Comercio, Industria y Turismo; y </w:t>
      </w:r>
      <w:proofErr w:type="spellStart"/>
      <w:r w:rsidRPr="00A076F3">
        <w:rPr>
          <w:rFonts w:ascii="Verdana" w:hAnsi="Verdana" w:eastAsia="Calibri" w:cs="Arial"/>
          <w:sz w:val="20"/>
          <w:lang w:eastAsia="es-ES"/>
        </w:rPr>
        <w:t>ii</w:t>
      </w:r>
      <w:proofErr w:type="spellEnd"/>
      <w:r w:rsidRPr="00A076F3">
        <w:rPr>
          <w:rFonts w:ascii="Verdana" w:hAnsi="Verdana" w:eastAsia="Calibri" w:cs="Arial"/>
          <w:sz w:val="20"/>
          <w:lang w:eastAsia="es-ES"/>
        </w:rPr>
        <w:t>) Se hayan recibido solicitudes de por lo menos dos (2) Mipyme colombianas para limitar la convocatoria a Mipyme colombianas. Las Entidades Estatales independientemente de su régimen de contratación, los patrimonios autónomos constituidos por Entidades Estatales y los particulares</w:t>
      </w:r>
      <w:r>
        <w:rPr>
          <w:rFonts w:ascii="Verdana" w:hAnsi="Verdana" w:eastAsia="Calibri" w:cs="Arial"/>
          <w:sz w:val="20"/>
          <w:lang w:eastAsia="es-ES"/>
        </w:rPr>
        <w:t xml:space="preserve"> que ejecuten recursos públicos;</w:t>
      </w:r>
      <w:r w:rsidRPr="00A076F3">
        <w:rPr>
          <w:rFonts w:ascii="Verdana" w:hAnsi="Verdana" w:eastAsia="Calibri" w:cs="Arial"/>
          <w:sz w:val="20"/>
          <w:lang w:eastAsia="es-ES"/>
        </w:rPr>
        <w:t xml:space="preserve"> y </w:t>
      </w:r>
      <w:proofErr w:type="spellStart"/>
      <w:r w:rsidRPr="00A076F3">
        <w:rPr>
          <w:rFonts w:ascii="Verdana" w:hAnsi="Verdana" w:eastAsia="Calibri" w:cs="Arial"/>
          <w:sz w:val="20"/>
          <w:lang w:eastAsia="es-ES"/>
        </w:rPr>
        <w:t>iii</w:t>
      </w:r>
      <w:proofErr w:type="spellEnd"/>
      <w:r w:rsidRPr="00A076F3">
        <w:rPr>
          <w:rFonts w:ascii="Verdana" w:hAnsi="Verdana" w:eastAsia="Calibri" w:cs="Arial"/>
          <w:sz w:val="20"/>
          <w:lang w:eastAsia="es-ES"/>
        </w:rPr>
        <w:t>) deben recibir estas solicitudes por lo menos un (1) día hábil antes de la expedición del acto administrativo de apertura, o el que haga sus veces de acuerdo con la normativa aplicable a cada Proceso de Contratación.</w:t>
      </w:r>
    </w:p>
    <w:p w:rsidRPr="00A076F3" w:rsidR="000F13DA" w:rsidP="000F13DA" w:rsidRDefault="000F13DA" w14:paraId="19A27001" w14:textId="77777777">
      <w:pPr>
        <w:spacing w:after="0" w:line="240" w:lineRule="auto"/>
        <w:jc w:val="both"/>
        <w:rPr>
          <w:rFonts w:ascii="Verdana" w:hAnsi="Verdana" w:eastAsia="Calibri" w:cs="Arial"/>
          <w:sz w:val="20"/>
          <w:lang w:val="es-ES" w:eastAsia="es-ES"/>
        </w:rPr>
      </w:pPr>
    </w:p>
    <w:p w:rsidRPr="00A076F3" w:rsidR="000F13DA" w:rsidP="000F13DA" w:rsidRDefault="000F13DA" w14:paraId="07AFA4BE" w14:textId="3ECDCD0A">
      <w:pPr>
        <w:spacing w:after="0" w:line="240" w:lineRule="auto"/>
        <w:jc w:val="both"/>
        <w:rPr>
          <w:rFonts w:ascii="Verdana" w:hAnsi="Verdana" w:eastAsia="Calibri" w:cs="Arial"/>
          <w:b/>
          <w:lang w:eastAsia="es-ES"/>
        </w:rPr>
      </w:pPr>
      <w:r w:rsidRPr="00A076F3">
        <w:rPr>
          <w:rFonts w:ascii="Verdana" w:hAnsi="Verdana" w:eastAsia="Calibri" w:cs="Arial"/>
          <w:b/>
          <w:lang w:eastAsia="es-ES"/>
        </w:rPr>
        <w:t>CONVOCATORIAS LIMITADAS A MIPYMES EN EL ÁMBITO TERRITORIAL – Limitación territorial – Facultad discrecional</w:t>
      </w:r>
    </w:p>
    <w:p w:rsidR="000F13DA" w:rsidP="000F13DA" w:rsidRDefault="000F13DA" w14:paraId="784FC059" w14:textId="77777777">
      <w:pPr>
        <w:spacing w:after="0" w:line="240" w:lineRule="auto"/>
        <w:rPr>
          <w:rFonts w:ascii="Verdana" w:hAnsi="Verdana" w:eastAsia="Calibri" w:cs="Arial"/>
          <w:lang w:eastAsia="es-ES"/>
        </w:rPr>
      </w:pPr>
    </w:p>
    <w:p w:rsidRPr="00A076F3" w:rsidR="000F13DA" w:rsidP="000F13DA" w:rsidRDefault="000F13DA" w14:paraId="2693006F" w14:textId="77777777">
      <w:pPr>
        <w:spacing w:after="0" w:line="240" w:lineRule="auto"/>
        <w:jc w:val="both"/>
        <w:rPr>
          <w:rFonts w:ascii="Verdana" w:hAnsi="Verdana" w:eastAsia="Calibri" w:cs="Arial"/>
          <w:sz w:val="20"/>
          <w:lang w:val="es-ES" w:eastAsia="es-ES"/>
        </w:rPr>
      </w:pPr>
      <w:r w:rsidRPr="00A076F3">
        <w:rPr>
          <w:rFonts w:ascii="Verdana" w:hAnsi="Verdana" w:eastAsia="Calibri" w:cs="Arial"/>
          <w:sz w:val="20"/>
          <w:lang w:val="es-ES" w:eastAsia="es-ES"/>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proofErr w:type="spellStart"/>
      <w:r w:rsidRPr="00A076F3">
        <w:rPr>
          <w:rFonts w:ascii="Verdana" w:hAnsi="Verdana" w:eastAsia="Calibri" w:cs="Arial"/>
          <w:i/>
          <w:iCs/>
          <w:sz w:val="20"/>
          <w:lang w:val="es-ES" w:eastAsia="es-ES"/>
        </w:rPr>
        <w:t>ibídem</w:t>
      </w:r>
      <w:proofErr w:type="spellEnd"/>
      <w:r w:rsidRPr="00A076F3">
        <w:rPr>
          <w:rFonts w:ascii="Verdana" w:hAnsi="Verdana" w:eastAsia="Calibri" w:cs="Arial"/>
          <w:sz w:val="20"/>
          <w:lang w:val="es-ES" w:eastAsia="es-ES"/>
        </w:rPr>
        <w:t xml:space="preserve">, pues esta es facultativa para la Entidad. Las únicas exigencias son que la convocatoria esté limitada a las Mipyme colombianas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rsidR="000F13DA" w:rsidP="000F13DA" w:rsidRDefault="000F13DA" w14:paraId="70845D97" w14:textId="77777777">
      <w:pPr>
        <w:spacing w:after="0" w:line="240" w:lineRule="auto"/>
        <w:jc w:val="both"/>
        <w:rPr>
          <w:rFonts w:ascii="Verdana" w:hAnsi="Verdana" w:eastAsia="Calibri" w:cs="Arial"/>
          <w:sz w:val="20"/>
          <w:lang w:eastAsia="es-ES"/>
        </w:rPr>
      </w:pPr>
    </w:p>
    <w:p w:rsidRPr="00A076F3" w:rsidR="000F13DA" w:rsidP="000F13DA" w:rsidRDefault="000F13DA" w14:paraId="21075DB2" w14:textId="77777777">
      <w:pPr>
        <w:spacing w:after="0" w:line="240" w:lineRule="auto"/>
        <w:jc w:val="both"/>
        <w:rPr>
          <w:rFonts w:ascii="Verdana" w:hAnsi="Verdana" w:eastAsia="Calibri" w:cs="Arial"/>
          <w:sz w:val="20"/>
          <w:lang w:eastAsia="es-ES"/>
        </w:rPr>
      </w:pPr>
      <w:r w:rsidRPr="00A076F3">
        <w:rPr>
          <w:rFonts w:ascii="Verdana" w:hAnsi="Verdana" w:eastAsia="Calibri" w:cs="Arial"/>
          <w:sz w:val="20"/>
          <w:lang w:eastAsia="es-ES"/>
        </w:rPr>
        <w:lastRenderedPageBreak/>
        <w:t>El origen de las Mipyme que solicitan la “limitación territorial” no es relevante frente a dicha decisión por dos razones: primero, porque las Mipyme no están habilitadas para pedir la “limitación territorial”, lo están para pedir la “convocatoria limitada a MiPymes”, y, segundo, porque el único criterio para tener en cuenta, una vez se ha decidido justificadamente limitar territorialmente la convocatoria previamente limitada a Mipyme, es el lugar donde se va a ejecutar el contrato.</w:t>
      </w:r>
    </w:p>
    <w:p w:rsidR="000F13DA" w:rsidP="000F13DA" w:rsidRDefault="000F13DA" w14:paraId="32A2489C" w14:textId="77777777">
      <w:pPr>
        <w:spacing w:after="0" w:line="240" w:lineRule="auto"/>
        <w:jc w:val="both"/>
        <w:rPr>
          <w:rFonts w:ascii="Verdana" w:hAnsi="Verdana" w:eastAsia="Calibri" w:cs="Arial"/>
          <w:sz w:val="20"/>
          <w:lang w:eastAsia="es-ES"/>
        </w:rPr>
      </w:pPr>
      <w:r>
        <w:rPr>
          <w:rFonts w:ascii="Verdana" w:hAnsi="Verdana" w:eastAsia="Calibri" w:cs="Arial"/>
          <w:sz w:val="20"/>
          <w:lang w:eastAsia="es-ES"/>
        </w:rPr>
        <w:t>[…]</w:t>
      </w:r>
    </w:p>
    <w:p w:rsidRPr="00A076F3" w:rsidR="000F13DA" w:rsidP="000F13DA" w:rsidRDefault="000F13DA" w14:paraId="16C86570" w14:textId="77777777">
      <w:pPr>
        <w:spacing w:after="0" w:line="240" w:lineRule="auto"/>
        <w:jc w:val="both"/>
        <w:rPr>
          <w:rFonts w:ascii="Verdana" w:hAnsi="Verdana" w:eastAsia="Calibri" w:cs="Arial"/>
          <w:sz w:val="20"/>
          <w:lang w:eastAsia="es-ES"/>
        </w:rPr>
      </w:pPr>
      <w:r w:rsidRPr="00A076F3">
        <w:rPr>
          <w:rFonts w:ascii="Verdana" w:hAnsi="Verdana" w:eastAsia="Calibri" w:cs="Arial"/>
          <w:sz w:val="20"/>
          <w:lang w:eastAsia="es-ES"/>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rsidR="000F13DA" w:rsidP="000F13DA" w:rsidRDefault="000F13DA" w14:paraId="20E82838" w14:textId="1F50164A">
      <w:pPr>
        <w:spacing w:after="0" w:line="240" w:lineRule="auto"/>
        <w:rPr>
          <w:rFonts w:ascii="Verdana" w:hAnsi="Verdana" w:eastAsia="Calibri" w:cs="Arial"/>
          <w:lang w:eastAsia="es-ES"/>
        </w:rPr>
      </w:pPr>
    </w:p>
    <w:p w:rsidRPr="009F314A" w:rsidR="000F13DA" w:rsidP="009F314A" w:rsidRDefault="009F314A" w14:paraId="055BBE78" w14:textId="713A4B78">
      <w:pPr>
        <w:spacing w:after="0" w:line="240" w:lineRule="auto"/>
        <w:jc w:val="both"/>
        <w:rPr>
          <w:rFonts w:ascii="Verdana" w:hAnsi="Verdana" w:eastAsia="Calibri" w:cs="Arial"/>
          <w:b/>
          <w:lang w:eastAsia="es-ES"/>
        </w:rPr>
      </w:pPr>
      <w:r w:rsidRPr="009F314A">
        <w:rPr>
          <w:rFonts w:ascii="Verdana" w:hAnsi="Verdana" w:eastAsia="Calibri" w:cs="Arial"/>
          <w:b/>
          <w:lang w:eastAsia="es-ES"/>
        </w:rPr>
        <w:t>LIMITACIÓN TERRITORIAL – Municipio – Área metropolitana</w:t>
      </w:r>
    </w:p>
    <w:p w:rsidR="00E11DF8" w:rsidP="00F808BA" w:rsidRDefault="00E11DF8" w14:paraId="552C811E" w14:textId="77777777">
      <w:pPr>
        <w:spacing w:after="0"/>
        <w:rPr>
          <w:rFonts w:ascii="Verdana" w:hAnsi="Verdana" w:cs="Arial"/>
          <w:bCs/>
          <w:lang w:eastAsia="es-ES" w:bidi="es-ES"/>
        </w:rPr>
      </w:pPr>
    </w:p>
    <w:p w:rsidR="0032585A" w:rsidP="0032585A" w:rsidRDefault="0032585A" w14:paraId="26FEE330" w14:textId="77777777">
      <w:pPr>
        <w:spacing w:after="0" w:line="240" w:lineRule="auto"/>
        <w:jc w:val="both"/>
        <w:rPr>
          <w:rFonts w:ascii="Verdana" w:hAnsi="Verdana" w:eastAsia="Calibri" w:cs="Arial"/>
          <w:sz w:val="20"/>
          <w:lang w:eastAsia="es-ES"/>
        </w:rPr>
      </w:pPr>
      <w:r w:rsidRPr="0032585A">
        <w:rPr>
          <w:rFonts w:ascii="Verdana" w:hAnsi="Verdana" w:eastAsia="Calibri" w:cs="Arial"/>
          <w:sz w:val="20"/>
          <w:lang w:eastAsia="es-ES"/>
        </w:rPr>
        <w:t>Frente al problema jurídico objeto de consulta, se ha señalado que la limitación territorial a Mipymes constituye una facultad discrecional de la entidad pública. De acuerdo con el artículo 2.2.1.2.4.2.3. del Decreto 1082 de 2015, solo es posible limitar convocatorias a la participación de Mipymes “[…] del ámbito municipal o departamental correspondiente al de la ejecución del contrato”. En tales términos, la norma citada contempla la posibilidad de limitar convocatorias a Mipymes con domicilio en esos dos tipos de ámbitos territoriales, lo cual no incluye el área metropolitana.</w:t>
      </w:r>
    </w:p>
    <w:p w:rsidRPr="0032585A" w:rsidR="0032585A" w:rsidP="0032585A" w:rsidRDefault="0032585A" w14:paraId="7E5F4CAF" w14:textId="77777777">
      <w:pPr>
        <w:spacing w:after="0" w:line="240" w:lineRule="auto"/>
        <w:jc w:val="both"/>
        <w:rPr>
          <w:rFonts w:ascii="Verdana" w:hAnsi="Verdana" w:eastAsia="Calibri" w:cs="Arial"/>
          <w:sz w:val="20"/>
          <w:lang w:eastAsia="es-ES"/>
        </w:rPr>
      </w:pPr>
    </w:p>
    <w:p w:rsidRPr="0032585A" w:rsidR="00E11DF8" w:rsidP="0032585A" w:rsidRDefault="0032585A" w14:paraId="7FA88ED3" w14:textId="1B5E6C1A">
      <w:pPr>
        <w:spacing w:after="0" w:line="240" w:lineRule="auto"/>
        <w:jc w:val="both"/>
        <w:rPr>
          <w:rFonts w:ascii="Verdana" w:hAnsi="Verdana" w:eastAsia="Calibri" w:cs="Arial"/>
          <w:sz w:val="20"/>
          <w:lang w:eastAsia="es-ES"/>
        </w:rPr>
      </w:pPr>
      <w:r w:rsidRPr="0032585A">
        <w:rPr>
          <w:rFonts w:ascii="Verdana" w:hAnsi="Verdana" w:eastAsia="Calibri" w:cs="Arial"/>
          <w:sz w:val="20"/>
          <w:lang w:eastAsia="es-ES"/>
        </w:rPr>
        <w:t>El artículo 2.2.1.2.4.2.3 del Decreto 1082 de 2015, modificado por el artículo 5 del Decreto 1860 de 2021, se refiere a las “Mipyme colombianas que tengan domicilio en los departamentos o municipios en donde se va a ejecutar el contrato”. Esta precisión es importante, pues el incentivo previsto en la norma únicamente aplica en el lugar de ejecución del contrato en el que la Mipyme tiene su “domicilio”, y no en donde tiene sucursales o establecimientos de comercio. De este modo, la participación en los procesos de contratación limitados territorialmente está condicionada al domicilio principal de la Mipyme respectiva.</w:t>
      </w:r>
    </w:p>
    <w:p w:rsidRPr="0032585A" w:rsidR="00E11DF8" w:rsidP="0032585A" w:rsidRDefault="00E11DF8" w14:paraId="39B973A6" w14:textId="77777777">
      <w:pPr>
        <w:spacing w:after="0" w:line="240" w:lineRule="auto"/>
        <w:jc w:val="both"/>
        <w:rPr>
          <w:rFonts w:ascii="Verdana" w:hAnsi="Verdana" w:eastAsia="Calibri" w:cs="Arial"/>
          <w:sz w:val="20"/>
          <w:lang w:eastAsia="es-ES"/>
        </w:rPr>
      </w:pPr>
    </w:p>
    <w:p w:rsidR="00E11DF8" w:rsidP="00F808BA" w:rsidRDefault="00E11DF8" w14:paraId="19FC700E" w14:textId="77777777">
      <w:pPr>
        <w:spacing w:after="0"/>
        <w:rPr>
          <w:rFonts w:ascii="Verdana" w:hAnsi="Verdana" w:cs="Arial"/>
          <w:bCs/>
          <w:lang w:eastAsia="es-ES" w:bidi="es-ES"/>
        </w:rPr>
      </w:pPr>
    </w:p>
    <w:p w:rsidR="00E11DF8" w:rsidP="00F808BA" w:rsidRDefault="00E11DF8" w14:paraId="7A71922B" w14:textId="77777777">
      <w:pPr>
        <w:spacing w:after="0"/>
        <w:rPr>
          <w:rFonts w:ascii="Verdana" w:hAnsi="Verdana" w:cs="Arial"/>
          <w:bCs/>
          <w:lang w:eastAsia="es-ES" w:bidi="es-ES"/>
        </w:rPr>
      </w:pPr>
    </w:p>
    <w:p w:rsidR="00E11DF8" w:rsidP="00F808BA" w:rsidRDefault="00E11DF8" w14:paraId="3B743C5E" w14:textId="77777777">
      <w:pPr>
        <w:spacing w:after="0"/>
        <w:rPr>
          <w:rFonts w:ascii="Verdana" w:hAnsi="Verdana" w:cs="Arial"/>
          <w:bCs/>
          <w:lang w:eastAsia="es-ES" w:bidi="es-ES"/>
        </w:rPr>
      </w:pPr>
    </w:p>
    <w:p w:rsidR="00E11DF8" w:rsidP="00F808BA" w:rsidRDefault="00E11DF8" w14:paraId="375D9B10" w14:textId="77777777">
      <w:pPr>
        <w:spacing w:after="0"/>
        <w:rPr>
          <w:rFonts w:ascii="Verdana" w:hAnsi="Verdana" w:cs="Arial"/>
          <w:bCs/>
          <w:lang w:eastAsia="es-ES" w:bidi="es-ES"/>
        </w:rPr>
      </w:pPr>
    </w:p>
    <w:p w:rsidR="00E11DF8" w:rsidP="00F808BA" w:rsidRDefault="00E11DF8" w14:paraId="6C8CE79D" w14:textId="77777777">
      <w:pPr>
        <w:spacing w:after="0"/>
        <w:rPr>
          <w:rFonts w:ascii="Verdana" w:hAnsi="Verdana" w:cs="Arial"/>
          <w:bCs/>
          <w:lang w:eastAsia="es-ES" w:bidi="es-ES"/>
        </w:rPr>
      </w:pPr>
    </w:p>
    <w:p w:rsidR="00E11DF8" w:rsidP="00F808BA" w:rsidRDefault="00E11DF8" w14:paraId="7A21C77A" w14:textId="77777777">
      <w:pPr>
        <w:spacing w:after="0"/>
        <w:rPr>
          <w:rFonts w:ascii="Verdana" w:hAnsi="Verdana" w:cs="Arial"/>
          <w:bCs/>
          <w:lang w:eastAsia="es-ES" w:bidi="es-ES"/>
        </w:rPr>
      </w:pPr>
    </w:p>
    <w:p w:rsidR="00E11DF8" w:rsidP="00F808BA" w:rsidRDefault="00E11DF8" w14:paraId="67DD8A94" w14:textId="77777777">
      <w:pPr>
        <w:spacing w:after="0"/>
        <w:rPr>
          <w:rFonts w:ascii="Verdana" w:hAnsi="Verdana" w:cs="Arial"/>
          <w:bCs/>
          <w:lang w:eastAsia="es-ES" w:bidi="es-ES"/>
        </w:rPr>
      </w:pPr>
    </w:p>
    <w:p w:rsidR="00E11DF8" w:rsidP="00F808BA" w:rsidRDefault="00E11DF8" w14:paraId="4060FB71" w14:textId="77777777">
      <w:pPr>
        <w:spacing w:after="0"/>
        <w:rPr>
          <w:rFonts w:ascii="Verdana" w:hAnsi="Verdana" w:cs="Arial"/>
          <w:bCs/>
          <w:lang w:eastAsia="es-ES" w:bidi="es-ES"/>
        </w:rPr>
      </w:pPr>
    </w:p>
    <w:p w:rsidR="00F808BA" w:rsidP="00F808BA" w:rsidRDefault="00F808BA" w14:paraId="64822402" w14:textId="3B929A88">
      <w:pPr>
        <w:spacing w:after="0"/>
        <w:rPr>
          <w:rFonts w:ascii="Verdana" w:hAnsi="Verdana" w:cs="Arial"/>
          <w:bCs/>
          <w:lang w:eastAsia="es-ES" w:bidi="es-ES"/>
        </w:rPr>
      </w:pPr>
      <w:r w:rsidRPr="00A72EEA">
        <w:rPr>
          <w:rFonts w:ascii="Verdana" w:hAnsi="Verdana" w:cs="Arial"/>
          <w:bCs/>
          <w:lang w:eastAsia="es-ES" w:bidi="es-ES"/>
        </w:rPr>
        <w:lastRenderedPageBreak/>
        <w:t xml:space="preserve">Bogotá D.C., </w:t>
      </w:r>
      <w:r w:rsidR="00C55A07">
        <w:rPr>
          <w:rFonts w:ascii="Verdana" w:hAnsi="Verdana" w:cs="Arial"/>
          <w:bCs/>
          <w:lang w:eastAsia="es-ES" w:bidi="es-ES"/>
        </w:rPr>
        <w:t>16 de febrero de 2026</w:t>
      </w:r>
    </w:p>
    <w:p w:rsidR="00C55A07" w:rsidP="00F808BA" w:rsidRDefault="00C55A07" w14:paraId="205335AC" w14:textId="77777777">
      <w:pPr>
        <w:spacing w:after="0"/>
        <w:rPr>
          <w:rFonts w:ascii="Verdana" w:hAnsi="Verdana" w:cs="Arial"/>
          <w:bCs/>
          <w:lang w:eastAsia="es-ES" w:bidi="es-ES"/>
        </w:rPr>
      </w:pPr>
    </w:p>
    <w:p w:rsidRPr="00A72EEA" w:rsidR="00C55A07" w:rsidP="00C55A07" w:rsidRDefault="00C55A07" w14:paraId="0C09B957" w14:textId="4970FF05">
      <w:pPr>
        <w:spacing w:after="0"/>
        <w:jc w:val="right"/>
        <w:rPr>
          <w:rFonts w:ascii="Verdana" w:hAnsi="Verdana"/>
        </w:rPr>
      </w:pPr>
      <w:r w:rsidRPr="00C55A07">
        <w:rPr>
          <w:rFonts w:ascii="Verdana" w:hAnsi="Verdana"/>
        </w:rPr>
        <w:drawing>
          <wp:inline distT="0" distB="0" distL="0" distR="0" wp14:anchorId="0EF43BAF" wp14:editId="362FB2B8">
            <wp:extent cx="3686689" cy="1028844"/>
            <wp:effectExtent l="0" t="0" r="0" b="0"/>
            <wp:docPr id="4592357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23571" name="Imagen 1" descr="Texto&#10;&#10;El contenido generado por IA puede ser incorrecto."/>
                    <pic:cNvPicPr/>
                  </pic:nvPicPr>
                  <pic:blipFill>
                    <a:blip r:embed="rId11"/>
                    <a:stretch>
                      <a:fillRect/>
                    </a:stretch>
                  </pic:blipFill>
                  <pic:spPr>
                    <a:xfrm>
                      <a:off x="0" y="0"/>
                      <a:ext cx="3686689" cy="1028844"/>
                    </a:xfrm>
                    <a:prstGeom prst="rect">
                      <a:avLst/>
                    </a:prstGeom>
                  </pic:spPr>
                </pic:pic>
              </a:graphicData>
            </a:graphic>
          </wp:inline>
        </w:drawing>
      </w:r>
    </w:p>
    <w:p w:rsidRPr="0044528D" w:rsidR="004429DD" w:rsidP="004429DD" w:rsidRDefault="004429DD" w14:paraId="22715C78" w14:textId="3FB381AA">
      <w:pPr>
        <w:spacing w:after="0"/>
        <w:rPr>
          <w:rFonts w:ascii="Verdana" w:hAnsi="Verdana"/>
        </w:rPr>
      </w:pPr>
      <w:r w:rsidRPr="0044528D">
        <w:rPr>
          <w:rFonts w:ascii="Verdana" w:hAnsi="Verdana"/>
        </w:rPr>
        <w:tab/>
      </w:r>
    </w:p>
    <w:p w:rsidRPr="00474910" w:rsidR="004429DD" w:rsidP="004429DD" w:rsidRDefault="004429DD" w14:paraId="64D9DF2A" w14:textId="77777777">
      <w:pPr>
        <w:spacing w:after="0" w:line="240" w:lineRule="auto"/>
        <w:jc w:val="both"/>
        <w:rPr>
          <w:rFonts w:ascii="Verdana" w:hAnsi="Verdana" w:eastAsia="Calibri" w:cs="Arial"/>
          <w:color w:val="000000"/>
          <w:lang w:val="es-ES"/>
        </w:rPr>
      </w:pPr>
    </w:p>
    <w:p w:rsidRPr="001D5C94" w:rsidR="004429DD" w:rsidP="004429DD" w:rsidRDefault="004429DD" w14:paraId="15533523" w14:textId="77777777">
      <w:pPr>
        <w:spacing w:after="0" w:line="240" w:lineRule="auto"/>
        <w:jc w:val="both"/>
        <w:rPr>
          <w:rFonts w:ascii="Verdana" w:hAnsi="Verdana" w:eastAsia="Calibri" w:cs="Arial"/>
          <w:lang w:val="es-ES" w:eastAsia="es-ES"/>
        </w:rPr>
      </w:pPr>
      <w:r w:rsidRPr="001D5C94">
        <w:rPr>
          <w:rFonts w:ascii="Verdana" w:hAnsi="Verdana" w:eastAsia="Calibri" w:cs="Arial"/>
          <w:lang w:val="es-ES" w:eastAsia="es-ES"/>
        </w:rPr>
        <w:t>Señora</w:t>
      </w:r>
    </w:p>
    <w:p w:rsidRPr="001D5C94" w:rsidR="004429DD" w:rsidP="004429DD" w:rsidRDefault="004D654A" w14:paraId="342A4241" w14:textId="48410500">
      <w:pPr>
        <w:spacing w:after="0" w:line="240" w:lineRule="auto"/>
        <w:rPr>
          <w:rFonts w:ascii="Verdana" w:hAnsi="Verdana" w:eastAsia="Calibri" w:cs="Arial"/>
          <w:b/>
          <w:lang w:eastAsia="es-ES_tradnl"/>
        </w:rPr>
      </w:pPr>
      <w:r w:rsidRPr="001D5C94">
        <w:rPr>
          <w:rFonts w:ascii="Verdana" w:hAnsi="Verdana" w:eastAsia="Calibri" w:cs="Arial"/>
          <w:b/>
          <w:lang w:eastAsia="es-ES_tradnl"/>
        </w:rPr>
        <w:t>Valentina Mejía Echeverri</w:t>
      </w:r>
    </w:p>
    <w:p w:rsidRPr="001D5C94" w:rsidR="001D5C94" w:rsidP="001D5C94" w:rsidRDefault="001D5C94" w14:paraId="14C8A679" w14:textId="14CE2420">
      <w:pPr>
        <w:spacing w:after="0" w:line="240" w:lineRule="auto"/>
        <w:rPr>
          <w:rFonts w:ascii="Verdana" w:hAnsi="Verdana"/>
        </w:rPr>
      </w:pPr>
      <w:hyperlink w:history="1" r:id="rId12">
        <w:r w:rsidRPr="001D5C94">
          <w:rPr>
            <w:rStyle w:val="Hipervnculo"/>
            <w:rFonts w:ascii="Verdana" w:hAnsi="Verdana"/>
          </w:rPr>
          <w:t>valenmejiae@gmail.co</w:t>
        </w:r>
      </w:hyperlink>
    </w:p>
    <w:p w:rsidRPr="001D5C94" w:rsidR="004429DD" w:rsidP="004429DD" w:rsidRDefault="001D5C94" w14:paraId="674C7C50" w14:textId="0DE86923">
      <w:pPr>
        <w:spacing w:after="0" w:line="240" w:lineRule="auto"/>
        <w:rPr>
          <w:rFonts w:ascii="Verdana" w:hAnsi="Verdana" w:eastAsia="Calibri" w:cs="Arial"/>
          <w:b/>
          <w:bCs/>
          <w:color w:val="000000"/>
          <w:lang w:eastAsia="es-ES_tradnl"/>
        </w:rPr>
      </w:pPr>
      <w:r w:rsidRPr="001D5C94">
        <w:rPr>
          <w:rFonts w:ascii="Verdana" w:hAnsi="Verdana" w:eastAsia="Calibri" w:cs="Arial"/>
          <w:lang w:eastAsia="es-ES"/>
        </w:rPr>
        <w:t>Villamaría, Caldas</w:t>
      </w:r>
    </w:p>
    <w:p w:rsidRPr="00712581" w:rsidR="004429DD" w:rsidP="004429DD" w:rsidRDefault="004429DD" w14:paraId="7C49E9DE" w14:textId="77777777">
      <w:pPr>
        <w:spacing w:after="0" w:line="240" w:lineRule="auto"/>
        <w:rPr>
          <w:rFonts w:ascii="Verdana" w:hAnsi="Verdana" w:eastAsia="Calibri" w:cs="Arial"/>
          <w:b/>
          <w:bCs/>
          <w:color w:val="000000"/>
          <w:lang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474910" w:rsidR="004429DD" w:rsidTr="008C13C8" w14:paraId="2206257F" w14:textId="77777777">
        <w:trPr>
          <w:trHeight w:val="194"/>
        </w:trPr>
        <w:tc>
          <w:tcPr>
            <w:tcW w:w="2689" w:type="dxa"/>
          </w:tcPr>
          <w:p w:rsidRPr="00712581" w:rsidR="004429DD" w:rsidP="008C13C8" w:rsidRDefault="004429DD" w14:paraId="3A9DDD90" w14:textId="77777777">
            <w:pPr>
              <w:jc w:val="both"/>
              <w:rPr>
                <w:rFonts w:ascii="Verdana" w:hAnsi="Verdana" w:eastAsia="Calibri" w:cs="Arial"/>
                <w:b/>
                <w:bCs/>
                <w:color w:val="7030A0"/>
                <w:lang w:eastAsia="es-ES_tradnl"/>
              </w:rPr>
            </w:pPr>
          </w:p>
        </w:tc>
        <w:tc>
          <w:tcPr>
            <w:tcW w:w="6100" w:type="dxa"/>
          </w:tcPr>
          <w:p w:rsidRPr="00446EAA" w:rsidR="004429DD" w:rsidP="008C13C8" w:rsidRDefault="004429DD" w14:paraId="5549B727" w14:textId="4FC76AE2">
            <w:pPr>
              <w:jc w:val="both"/>
              <w:rPr>
                <w:rFonts w:ascii="Verdana" w:hAnsi="Verdana" w:eastAsia="Calibri" w:cs="Arial"/>
                <w:b/>
                <w:bCs/>
                <w:lang w:val="es-ES" w:eastAsia="es-ES"/>
              </w:rPr>
            </w:pPr>
            <w:r>
              <w:rPr>
                <w:rFonts w:ascii="Verdana" w:hAnsi="Verdana" w:eastAsia="Calibri" w:cs="Arial"/>
                <w:b/>
                <w:bCs/>
                <w:lang w:val="es-ES" w:eastAsia="es-ES"/>
              </w:rPr>
              <w:t xml:space="preserve">Concepto C – </w:t>
            </w:r>
            <w:r w:rsidR="008C49B2">
              <w:rPr>
                <w:rFonts w:ascii="Verdana" w:hAnsi="Verdana" w:eastAsia="Calibri" w:cs="Arial"/>
                <w:b/>
                <w:bCs/>
                <w:lang w:val="es-ES" w:eastAsia="es-ES"/>
              </w:rPr>
              <w:t>174</w:t>
            </w:r>
            <w:r w:rsidRPr="00474910">
              <w:rPr>
                <w:rFonts w:ascii="Verdana" w:hAnsi="Verdana" w:eastAsia="Calibri" w:cs="Arial"/>
                <w:b/>
                <w:bCs/>
                <w:lang w:val="es-ES" w:eastAsia="es-ES"/>
              </w:rPr>
              <w:t xml:space="preserve"> de 202</w:t>
            </w:r>
            <w:r w:rsidR="00590FBA">
              <w:rPr>
                <w:rFonts w:ascii="Verdana" w:hAnsi="Verdana" w:eastAsia="Calibri" w:cs="Arial"/>
                <w:b/>
                <w:bCs/>
                <w:lang w:val="es-ES" w:eastAsia="es-ES"/>
              </w:rPr>
              <w:t>6</w:t>
            </w:r>
          </w:p>
          <w:p w:rsidRPr="00474910" w:rsidR="004429DD" w:rsidP="008C13C8" w:rsidRDefault="004429DD" w14:paraId="080424D8" w14:textId="77777777">
            <w:pPr>
              <w:jc w:val="both"/>
              <w:rPr>
                <w:rFonts w:ascii="Verdana" w:hAnsi="Verdana" w:eastAsia="Calibri" w:cs="Arial"/>
                <w:b/>
                <w:bCs/>
                <w:color w:val="7030A0"/>
                <w:lang w:val="es-ES" w:eastAsia="es-ES"/>
              </w:rPr>
            </w:pPr>
          </w:p>
        </w:tc>
      </w:tr>
      <w:tr w:rsidRPr="00474910" w:rsidR="004429DD" w:rsidTr="008C13C8" w14:paraId="20189B0E" w14:textId="77777777">
        <w:trPr>
          <w:trHeight w:val="884"/>
        </w:trPr>
        <w:tc>
          <w:tcPr>
            <w:tcW w:w="2689" w:type="dxa"/>
          </w:tcPr>
          <w:p w:rsidRPr="00474910" w:rsidR="004429DD" w:rsidP="008C13C8" w:rsidRDefault="004429DD" w14:paraId="60D9475C" w14:textId="77777777">
            <w:pPr>
              <w:jc w:val="both"/>
              <w:rPr>
                <w:rFonts w:ascii="Verdana" w:hAnsi="Verdana" w:eastAsia="Calibri" w:cs="Arial"/>
                <w:color w:val="000000"/>
                <w:lang w:val="es-ES_tradnl" w:eastAsia="es-ES_tradnl"/>
              </w:rPr>
            </w:pPr>
            <w:r w:rsidRPr="00474910">
              <w:rPr>
                <w:rFonts w:ascii="Verdana" w:hAnsi="Verdana" w:eastAsia="Calibri" w:cs="Arial"/>
                <w:b/>
                <w:color w:val="000000"/>
                <w:lang w:val="es-ES_tradnl" w:eastAsia="es-ES_tradnl"/>
              </w:rPr>
              <w:t>Temas:</w:t>
            </w:r>
            <w:r w:rsidRPr="00474910">
              <w:rPr>
                <w:rFonts w:ascii="Verdana" w:hAnsi="Verdana" w:eastAsia="Calibri" w:cs="Arial"/>
                <w:color w:val="000000"/>
                <w:lang w:val="es-ES_tradnl" w:eastAsia="es-ES_tradnl"/>
              </w:rPr>
              <w:t xml:space="preserve">                   </w:t>
            </w:r>
          </w:p>
        </w:tc>
        <w:tc>
          <w:tcPr>
            <w:tcW w:w="6100" w:type="dxa"/>
          </w:tcPr>
          <w:p w:rsidRPr="00474910" w:rsidR="004429DD" w:rsidP="00656AF2" w:rsidRDefault="004429DD" w14:paraId="589D281C" w14:textId="7A34D88C">
            <w:pPr>
              <w:jc w:val="both"/>
              <w:rPr>
                <w:rFonts w:ascii="Verdana" w:hAnsi="Verdana" w:eastAsia="Calibri" w:cs="Arial"/>
                <w:lang w:val="es-ES" w:eastAsia="es-ES"/>
              </w:rPr>
            </w:pPr>
            <w:r w:rsidRPr="00656AF2">
              <w:rPr>
                <w:rFonts w:ascii="Verdana" w:hAnsi="Verdana" w:eastAsia="Calibri" w:cs="Arial"/>
                <w:lang w:eastAsia="es-ES"/>
              </w:rPr>
              <w:t>CONVOCATORIAS LIMITADAS A MIPYMES NACIONALES – Requisitos – presupuestos mínimos / CONVOCATORIAS LIMITADAS A MIPYMES EN EL ÁMBITO TERRITORIAL – Limitación territorial – Facultad discrecional</w:t>
            </w:r>
            <w:r w:rsidRPr="00656AF2">
              <w:rPr>
                <w:rFonts w:ascii="Verdana" w:hAnsi="Verdana" w:eastAsia="Calibri" w:cs="Arial"/>
                <w:lang w:val="es-ES" w:eastAsia="es-ES"/>
              </w:rPr>
              <w:t xml:space="preserve"> </w:t>
            </w:r>
            <w:r w:rsidRPr="00656AF2" w:rsidR="009F314A">
              <w:rPr>
                <w:rFonts w:ascii="Verdana" w:hAnsi="Verdana" w:eastAsia="Calibri" w:cs="Arial"/>
                <w:lang w:val="es-ES" w:eastAsia="es-ES"/>
              </w:rPr>
              <w:t xml:space="preserve">/ LIMITACIÓN TERRITORIAL </w:t>
            </w:r>
            <w:r w:rsidRPr="00656AF2" w:rsidR="009F314A">
              <w:rPr>
                <w:rFonts w:ascii="Verdana" w:hAnsi="Verdana" w:eastAsia="Calibri" w:cs="Arial"/>
                <w:lang w:eastAsia="es-ES"/>
              </w:rPr>
              <w:t>– Municipio – Área metropolitana</w:t>
            </w:r>
          </w:p>
        </w:tc>
      </w:tr>
      <w:tr w:rsidRPr="00474910" w:rsidR="004429DD" w:rsidTr="008C13C8" w14:paraId="02C8EACC" w14:textId="77777777">
        <w:tc>
          <w:tcPr>
            <w:tcW w:w="2689" w:type="dxa"/>
          </w:tcPr>
          <w:p w:rsidRPr="00474910" w:rsidR="004429DD" w:rsidP="008C13C8" w:rsidRDefault="004429DD" w14:paraId="6B013C9A" w14:textId="77777777">
            <w:pPr>
              <w:jc w:val="both"/>
              <w:rPr>
                <w:rFonts w:ascii="Verdana" w:hAnsi="Verdana" w:eastAsia="Calibri" w:cs="Arial"/>
                <w:b/>
                <w:lang w:val="es-ES_tradnl" w:eastAsia="es-ES_tradnl"/>
              </w:rPr>
            </w:pPr>
            <w:r w:rsidRPr="00474910">
              <w:rPr>
                <w:rFonts w:ascii="Verdana" w:hAnsi="Verdana" w:eastAsia="Calibri" w:cs="Arial"/>
                <w:b/>
                <w:lang w:val="es-ES_tradnl" w:eastAsia="es-ES_tradnl"/>
              </w:rPr>
              <w:t>Radicación:</w:t>
            </w:r>
            <w:r w:rsidRPr="00474910">
              <w:rPr>
                <w:rFonts w:ascii="Verdana" w:hAnsi="Verdana" w:eastAsia="Calibri" w:cs="Arial"/>
                <w:lang w:val="es-ES_tradnl" w:eastAsia="es-ES_tradnl"/>
              </w:rPr>
              <w:t xml:space="preserve">               </w:t>
            </w:r>
          </w:p>
        </w:tc>
        <w:tc>
          <w:tcPr>
            <w:tcW w:w="6100" w:type="dxa"/>
          </w:tcPr>
          <w:p w:rsidRPr="00474910" w:rsidR="004429DD" w:rsidP="008C13C8" w:rsidRDefault="004429DD" w14:paraId="297EDBF4" w14:textId="1101D68E">
            <w:pPr>
              <w:jc w:val="both"/>
              <w:rPr>
                <w:rFonts w:ascii="Verdana" w:hAnsi="Verdana" w:eastAsia="Calibri" w:cs="Arial"/>
                <w:lang w:eastAsia="es-ES_tradnl"/>
              </w:rPr>
            </w:pPr>
            <w:r w:rsidRPr="00474910">
              <w:rPr>
                <w:rFonts w:ascii="Verdana" w:hAnsi="Verdana" w:eastAsia="Calibri" w:cs="Arial"/>
                <w:lang w:val="es-ES_tradnl" w:eastAsia="es-ES_tradnl"/>
              </w:rPr>
              <w:t xml:space="preserve">Respuesta a la consulta con radicado No. </w:t>
            </w:r>
            <w:r w:rsidRPr="009A7BC9" w:rsidR="009A7BC9">
              <w:rPr>
                <w:rFonts w:ascii="Verdana" w:hAnsi="Verdana" w:eastAsia="Calibri" w:cs="Arial"/>
                <w:lang w:eastAsia="es-ES_tradnl"/>
              </w:rPr>
              <w:t>1_2026_02_06_001499</w:t>
            </w:r>
          </w:p>
        </w:tc>
      </w:tr>
    </w:tbl>
    <w:p w:rsidRPr="00F354A2" w:rsidR="004429DD" w:rsidP="004429DD" w:rsidRDefault="004429DD" w14:paraId="70E44EB3" w14:textId="77777777">
      <w:pPr>
        <w:spacing w:after="0" w:line="240" w:lineRule="auto"/>
        <w:jc w:val="both"/>
        <w:rPr>
          <w:rFonts w:ascii="Verdana" w:hAnsi="Verdana" w:eastAsia="Calibri" w:cs="Arial"/>
          <w:color w:val="000000"/>
          <w:lang w:eastAsia="es-ES_tradnl"/>
        </w:rPr>
      </w:pPr>
    </w:p>
    <w:p w:rsidRPr="00474910" w:rsidR="004429DD" w:rsidP="004429DD" w:rsidRDefault="004429DD" w14:paraId="01AC2AE2" w14:textId="77777777">
      <w:pPr>
        <w:spacing w:after="0" w:line="240" w:lineRule="auto"/>
        <w:jc w:val="both"/>
        <w:rPr>
          <w:rFonts w:ascii="Verdana" w:hAnsi="Verdana" w:eastAsia="Calibri" w:cs="Arial"/>
          <w:color w:val="000000"/>
          <w:lang w:val="es-ES_tradnl" w:eastAsia="es-ES_tradnl"/>
        </w:rPr>
      </w:pPr>
    </w:p>
    <w:p w:rsidR="004429DD" w:rsidP="004429DD" w:rsidRDefault="004429DD" w14:paraId="44F5E243" w14:textId="396DD446">
      <w:pPr>
        <w:spacing w:after="0" w:line="276" w:lineRule="auto"/>
        <w:jc w:val="both"/>
        <w:rPr>
          <w:rFonts w:ascii="Verdana" w:hAnsi="Verdana" w:eastAsia="Calibri" w:cs="Arial"/>
          <w:lang w:val="es-ES" w:eastAsia="es-ES"/>
        </w:rPr>
      </w:pPr>
      <w:r w:rsidRPr="008E6AD9">
        <w:rPr>
          <w:rFonts w:ascii="Verdana" w:hAnsi="Verdana" w:eastAsia="Calibri" w:cs="Arial"/>
          <w:lang w:val="es-ES" w:eastAsia="es-ES"/>
        </w:rPr>
        <w:t>Estimad</w:t>
      </w:r>
      <w:r>
        <w:rPr>
          <w:rFonts w:ascii="Verdana" w:hAnsi="Verdana" w:eastAsia="Calibri" w:cs="Arial"/>
          <w:lang w:val="es-ES" w:eastAsia="es-ES"/>
        </w:rPr>
        <w:t>a</w:t>
      </w:r>
      <w:r w:rsidRPr="008E6AD9">
        <w:rPr>
          <w:rFonts w:ascii="Verdana" w:hAnsi="Verdana" w:eastAsia="Calibri" w:cs="Arial"/>
          <w:lang w:val="es-ES" w:eastAsia="es-ES"/>
        </w:rPr>
        <w:t xml:space="preserve"> </w:t>
      </w:r>
      <w:r>
        <w:rPr>
          <w:rFonts w:ascii="Verdana" w:hAnsi="Verdana" w:eastAsia="Calibri" w:cs="Arial"/>
          <w:lang w:val="es-ES" w:eastAsia="es-ES"/>
        </w:rPr>
        <w:t>Señora M</w:t>
      </w:r>
      <w:r w:rsidR="00D1618F">
        <w:rPr>
          <w:rFonts w:ascii="Verdana" w:hAnsi="Verdana" w:eastAsia="Calibri" w:cs="Arial"/>
          <w:lang w:val="es-ES" w:eastAsia="es-ES"/>
        </w:rPr>
        <w:t>ejía</w:t>
      </w:r>
      <w:r w:rsidRPr="008E6AD9">
        <w:rPr>
          <w:rFonts w:ascii="Verdana" w:hAnsi="Verdana" w:eastAsia="Calibri" w:cs="Arial"/>
          <w:lang w:val="es-ES" w:eastAsia="es-ES"/>
        </w:rPr>
        <w:t xml:space="preserve">: </w:t>
      </w:r>
    </w:p>
    <w:p w:rsidR="004429DD" w:rsidP="004429DD" w:rsidRDefault="004429DD" w14:paraId="27F60D18" w14:textId="77777777">
      <w:pPr>
        <w:spacing w:after="0" w:line="276" w:lineRule="auto"/>
        <w:jc w:val="both"/>
        <w:rPr>
          <w:rFonts w:ascii="Verdana" w:hAnsi="Verdana" w:eastAsia="Calibri" w:cs="Arial"/>
          <w:lang w:val="es-ES" w:eastAsia="es-ES"/>
        </w:rPr>
      </w:pPr>
    </w:p>
    <w:p w:rsidRPr="0041694B" w:rsidR="004429DD" w:rsidP="004429DD" w:rsidRDefault="004429DD" w14:paraId="256119A7" w14:textId="6FB56843">
      <w:pPr>
        <w:spacing w:after="0" w:line="276" w:lineRule="auto"/>
        <w:jc w:val="both"/>
        <w:rPr>
          <w:rFonts w:ascii="Verdana" w:hAnsi="Verdana" w:cs="Arial"/>
          <w:bCs/>
          <w:lang w:val="es-ES" w:eastAsia="es-ES" w:bidi="es-ES"/>
        </w:rPr>
      </w:pPr>
      <w:r w:rsidRPr="00EC0E3F">
        <w:rPr>
          <w:rFonts w:ascii="Verdana" w:hAnsi="Verdana" w:cs="Arial"/>
          <w:bCs/>
          <w:lang w:val="es-ES" w:eastAsia="es-ES" w:bidi="es-ES"/>
        </w:rPr>
        <w:t xml:space="preserve">En ejercicio de la competencia otorgada por los artículos 3, numeral 5º, y 11, numeral 8º, del Decreto Ley 4170 de 2011, </w:t>
      </w:r>
      <w:r w:rsidRPr="00EC0E3F">
        <w:rPr>
          <w:rFonts w:ascii="Verdana" w:hAnsi="Verdana" w:cs="Arial"/>
          <w:bCs/>
          <w:lang w:eastAsia="es-ES" w:bidi="es-ES"/>
        </w:rPr>
        <w:t xml:space="preserve">así como lo establecido por la Resolución 469 de 2025 expedida por esta Entidad, </w:t>
      </w:r>
      <w:r w:rsidRPr="00EC0E3F">
        <w:rPr>
          <w:rFonts w:ascii="Verdana" w:hAnsi="Verdana" w:cs="Arial"/>
          <w:bCs/>
          <w:lang w:val="es-ES" w:eastAsia="es-ES" w:bidi="es-ES"/>
        </w:rPr>
        <w:t xml:space="preserve">la Agencia Nacional de Contratación Pública – Colombia Compra Eficiente– responde </w:t>
      </w:r>
      <w:r>
        <w:rPr>
          <w:rFonts w:ascii="Verdana" w:hAnsi="Verdana" w:cs="Arial"/>
          <w:bCs/>
          <w:lang w:val="es-ES" w:eastAsia="es-ES" w:bidi="es-ES"/>
        </w:rPr>
        <w:t xml:space="preserve">la solicitud </w:t>
      </w:r>
      <w:r w:rsidRPr="00EC0E3F">
        <w:rPr>
          <w:rFonts w:ascii="Verdana" w:hAnsi="Verdana" w:cs="Arial"/>
          <w:bCs/>
          <w:lang w:val="es-ES" w:eastAsia="es-ES" w:bidi="es-ES"/>
        </w:rPr>
        <w:t>del</w:t>
      </w:r>
      <w:r>
        <w:rPr>
          <w:rFonts w:ascii="Verdana" w:hAnsi="Verdana" w:cs="Arial"/>
          <w:bCs/>
          <w:lang w:val="es-ES" w:eastAsia="es-ES" w:bidi="es-ES"/>
        </w:rPr>
        <w:t xml:space="preserve"> </w:t>
      </w:r>
      <w:r w:rsidR="00F6577D">
        <w:rPr>
          <w:rFonts w:ascii="Verdana" w:hAnsi="Verdana" w:cs="Arial"/>
          <w:bCs/>
          <w:lang w:val="es-ES" w:eastAsia="es-ES" w:bidi="es-ES"/>
        </w:rPr>
        <w:t>6</w:t>
      </w:r>
      <w:r>
        <w:rPr>
          <w:rFonts w:ascii="Verdana" w:hAnsi="Verdana" w:cs="Arial"/>
          <w:bCs/>
          <w:lang w:val="es-ES" w:eastAsia="es-ES" w:bidi="es-ES"/>
        </w:rPr>
        <w:t xml:space="preserve"> de </w:t>
      </w:r>
      <w:r w:rsidR="00F6577D">
        <w:rPr>
          <w:rFonts w:ascii="Verdana" w:hAnsi="Verdana" w:cs="Arial"/>
          <w:bCs/>
          <w:lang w:val="es-ES" w:eastAsia="es-ES" w:bidi="es-ES"/>
        </w:rPr>
        <w:t>febrero</w:t>
      </w:r>
      <w:r>
        <w:rPr>
          <w:rFonts w:ascii="Verdana" w:hAnsi="Verdana" w:cs="Arial"/>
          <w:bCs/>
          <w:lang w:val="es-ES" w:eastAsia="es-ES" w:bidi="es-ES"/>
        </w:rPr>
        <w:t xml:space="preserve"> de 202</w:t>
      </w:r>
      <w:r w:rsidR="00F6577D">
        <w:rPr>
          <w:rFonts w:ascii="Verdana" w:hAnsi="Verdana" w:cs="Arial"/>
          <w:bCs/>
          <w:lang w:val="es-ES" w:eastAsia="es-ES" w:bidi="es-ES"/>
        </w:rPr>
        <w:t>6</w:t>
      </w:r>
      <w:r w:rsidRPr="00EC0E3F">
        <w:rPr>
          <w:rFonts w:ascii="Verdana" w:hAnsi="Verdana" w:cs="Arial"/>
          <w:bCs/>
          <w:lang w:val="es-ES" w:eastAsia="es-ES" w:bidi="es-ES"/>
        </w:rPr>
        <w:t>, en la cual manifiesta:</w:t>
      </w:r>
      <w:r w:rsidRPr="0041694B">
        <w:rPr>
          <w:rFonts w:ascii="Verdana" w:hAnsi="Verdana" w:cs="Arial"/>
          <w:bCs/>
          <w:lang w:val="es-ES" w:eastAsia="es-ES" w:bidi="es-ES"/>
        </w:rPr>
        <w:t xml:space="preserve"> </w:t>
      </w:r>
    </w:p>
    <w:p w:rsidRPr="00521386" w:rsidR="004429DD" w:rsidP="004429DD" w:rsidRDefault="004429DD" w14:paraId="1921DD88" w14:textId="77777777">
      <w:pPr>
        <w:tabs>
          <w:tab w:val="left" w:pos="3768"/>
        </w:tabs>
        <w:spacing w:after="0" w:line="276" w:lineRule="auto"/>
        <w:jc w:val="both"/>
        <w:rPr>
          <w:rFonts w:ascii="Verdana" w:hAnsi="Verdana" w:eastAsia="Calibri" w:cs="Arial"/>
          <w:color w:val="000000" w:themeColor="text1"/>
          <w:lang w:val="es-ES" w:eastAsia="es-ES"/>
        </w:rPr>
      </w:pPr>
    </w:p>
    <w:p w:rsidRPr="006A533C" w:rsidR="006A533C" w:rsidP="59E263DD" w:rsidRDefault="004429DD" w14:paraId="010361CB" w14:textId="70A634A2">
      <w:pPr>
        <w:pStyle w:val="Prrafodelista"/>
        <w:spacing w:line="240" w:lineRule="auto"/>
        <w:ind w:left="709" w:right="709"/>
        <w:jc w:val="both"/>
        <w:rPr>
          <w:rFonts w:ascii="Verdana" w:hAnsi="Verdana" w:eastAsia="Century Gothic" w:cs="Century Gothic"/>
          <w:sz w:val="20"/>
          <w:szCs w:val="20"/>
          <w:lang w:val="es-ES"/>
        </w:rPr>
      </w:pPr>
      <w:r w:rsidRPr="59E263DD" w:rsidR="004429DD">
        <w:rPr>
          <w:rFonts w:ascii="Verdana" w:hAnsi="Verdana" w:eastAsia="Century Gothic" w:cs="Century Gothic"/>
          <w:sz w:val="20"/>
          <w:szCs w:val="20"/>
          <w:lang w:val="es-ES"/>
        </w:rPr>
        <w:t>“</w:t>
      </w:r>
      <w:r w:rsidRPr="59E263DD" w:rsidR="004429DD">
        <w:rPr>
          <w:rFonts w:ascii="Verdana" w:hAnsi="Verdana" w:eastAsia="Century Gothic" w:cs="Century Gothic"/>
          <w:sz w:val="20"/>
          <w:szCs w:val="20"/>
          <w:lang w:val="es-ES"/>
        </w:rPr>
        <w:t>[….</w:t>
      </w:r>
      <w:r w:rsidRPr="59E263DD" w:rsidR="004429DD">
        <w:rPr>
          <w:rFonts w:ascii="Verdana" w:hAnsi="Verdana" w:eastAsia="Century Gothic" w:cs="Century Gothic"/>
          <w:sz w:val="20"/>
          <w:szCs w:val="20"/>
          <w:lang w:val="es-ES"/>
        </w:rPr>
        <w:t xml:space="preserve">] </w:t>
      </w:r>
      <w:r w:rsidRPr="59E263DD" w:rsidR="006A533C">
        <w:rPr>
          <w:rFonts w:ascii="Verdana" w:hAnsi="Verdana" w:eastAsia="Century Gothic" w:cs="Century Gothic"/>
          <w:sz w:val="20"/>
          <w:szCs w:val="20"/>
          <w:lang w:val="es-ES"/>
        </w:rPr>
        <w:t>1. ¿Cuál es el alcance del concepto de “limitación a MIPYME municipal” previsto en el Decreto 1082 de 2015, cuando el municipio que adelanta el proceso de selección</w:t>
      </w:r>
      <w:r w:rsidRPr="59E263DD" w:rsidR="006A533C">
        <w:rPr>
          <w:rFonts w:ascii="Verdana" w:hAnsi="Verdana" w:eastAsia="Century Gothic" w:cs="Century Gothic"/>
          <w:sz w:val="20"/>
          <w:szCs w:val="20"/>
          <w:lang w:val="es-ES"/>
        </w:rPr>
        <w:t xml:space="preserve"> </w:t>
      </w:r>
      <w:r w:rsidRPr="59E263DD" w:rsidR="006A533C">
        <w:rPr>
          <w:rFonts w:ascii="Verdana" w:hAnsi="Verdana" w:eastAsia="Century Gothic" w:cs="Century Gothic"/>
          <w:sz w:val="20"/>
          <w:szCs w:val="20"/>
          <w:lang w:val="es-ES"/>
        </w:rPr>
        <w:t>forma parte de un área metropolitana?</w:t>
      </w:r>
    </w:p>
    <w:p w:rsidR="006A533C" w:rsidP="006A533C" w:rsidRDefault="006A533C" w14:paraId="592B2B26" w14:textId="77777777">
      <w:pPr>
        <w:pStyle w:val="Prrafodelista"/>
        <w:spacing w:line="240" w:lineRule="auto"/>
        <w:ind w:left="709" w:right="709"/>
        <w:jc w:val="both"/>
        <w:rPr>
          <w:rFonts w:ascii="Verdana" w:hAnsi="Verdana" w:eastAsia="Century Gothic" w:cs="Century Gothic"/>
          <w:sz w:val="20"/>
          <w:szCs w:val="20"/>
          <w:lang w:val="es-CO"/>
        </w:rPr>
      </w:pPr>
      <w:r w:rsidRPr="006A533C">
        <w:rPr>
          <w:rFonts w:ascii="Verdana" w:hAnsi="Verdana" w:eastAsia="Century Gothic" w:cs="Century Gothic"/>
          <w:sz w:val="20"/>
          <w:szCs w:val="20"/>
          <w:lang w:val="es-CO"/>
        </w:rPr>
        <w:t>2. ¿Resulta jurídicamente válido que una entidad estatal limite un proceso de selección exclusivamente a MIPYME domiciliadas en el municipio sede del proceso, excluyendo a las MIPYME domiciliadas en los demás municipios que integran el área metropolitana?</w:t>
      </w:r>
    </w:p>
    <w:p w:rsidRPr="00382117" w:rsidR="00382117" w:rsidP="00382117" w:rsidRDefault="00382117" w14:paraId="318C2E50" w14:textId="4F3FB5E1">
      <w:pPr>
        <w:pStyle w:val="Prrafodelista"/>
        <w:spacing w:line="240" w:lineRule="auto"/>
        <w:ind w:left="709" w:right="709"/>
        <w:jc w:val="both"/>
        <w:rPr>
          <w:rFonts w:ascii="Verdana" w:hAnsi="Verdana" w:eastAsia="Century Gothic" w:cs="Century Gothic"/>
          <w:sz w:val="20"/>
          <w:szCs w:val="20"/>
          <w:lang w:val="es-CO"/>
        </w:rPr>
      </w:pPr>
      <w:r w:rsidRPr="00382117">
        <w:rPr>
          <w:rFonts w:ascii="Verdana" w:hAnsi="Verdana" w:eastAsia="Century Gothic" w:cs="Century Gothic"/>
          <w:sz w:val="20"/>
          <w:szCs w:val="20"/>
          <w:lang w:val="es-CO"/>
        </w:rPr>
        <w:lastRenderedPageBreak/>
        <w:t>3. ¿Debe la entidad estatal motivar de manera expresa y suficiente la decisión de restringir la limitación territorial al municipio, en contextos de integración metropolitana?</w:t>
      </w:r>
    </w:p>
    <w:p w:rsidRPr="00382117" w:rsidR="00382117" w:rsidP="00382117" w:rsidRDefault="00382117" w14:paraId="3853F6F9" w14:textId="2E9FB05F">
      <w:pPr>
        <w:pStyle w:val="Prrafodelista"/>
        <w:spacing w:line="240" w:lineRule="auto"/>
        <w:ind w:left="709" w:right="709"/>
        <w:jc w:val="both"/>
        <w:rPr>
          <w:rFonts w:ascii="Verdana" w:hAnsi="Verdana" w:eastAsia="Century Gothic" w:cs="Century Gothic"/>
          <w:sz w:val="20"/>
          <w:szCs w:val="20"/>
          <w:lang w:val="es-CO"/>
        </w:rPr>
      </w:pPr>
      <w:r w:rsidRPr="00382117">
        <w:rPr>
          <w:rFonts w:ascii="Verdana" w:hAnsi="Verdana" w:eastAsia="Century Gothic" w:cs="Century Gothic"/>
          <w:sz w:val="20"/>
          <w:szCs w:val="20"/>
          <w:lang w:val="es-CO"/>
        </w:rPr>
        <w:t>4. ¿Qué criterios jurídicos y técnicos deberían orientar a las entidades estatales para definir el ámbito territorial de la limitación a MIPYME (municipal, metropolitano,</w:t>
      </w:r>
      <w:r>
        <w:rPr>
          <w:rFonts w:ascii="Verdana" w:hAnsi="Verdana" w:eastAsia="Century Gothic" w:cs="Century Gothic"/>
          <w:sz w:val="20"/>
          <w:szCs w:val="20"/>
          <w:lang w:val="es-CO"/>
        </w:rPr>
        <w:t xml:space="preserve"> </w:t>
      </w:r>
      <w:r w:rsidRPr="00382117">
        <w:rPr>
          <w:rFonts w:ascii="Verdana" w:hAnsi="Verdana" w:eastAsia="Century Gothic" w:cs="Century Gothic"/>
          <w:sz w:val="20"/>
          <w:szCs w:val="20"/>
          <w:lang w:val="es-CO"/>
        </w:rPr>
        <w:t>departamental o nacional) en territorios integrados?</w:t>
      </w:r>
    </w:p>
    <w:p w:rsidRPr="00382117" w:rsidR="00382117" w:rsidP="00382117" w:rsidRDefault="00382117" w14:paraId="2C90542A" w14:textId="7C2D17D4">
      <w:pPr>
        <w:pStyle w:val="Prrafodelista"/>
        <w:spacing w:line="240" w:lineRule="auto"/>
        <w:ind w:left="709" w:right="709"/>
        <w:jc w:val="both"/>
        <w:rPr>
          <w:rFonts w:ascii="Verdana" w:hAnsi="Verdana" w:eastAsia="Century Gothic" w:cs="Century Gothic"/>
          <w:sz w:val="20"/>
          <w:szCs w:val="20"/>
          <w:lang w:val="es-CO"/>
        </w:rPr>
      </w:pPr>
      <w:r w:rsidRPr="00382117">
        <w:rPr>
          <w:rFonts w:ascii="Verdana" w:hAnsi="Verdana" w:eastAsia="Century Gothic" w:cs="Century Gothic"/>
          <w:sz w:val="20"/>
          <w:szCs w:val="20"/>
          <w:lang w:val="es-CO"/>
        </w:rPr>
        <w:t>5. ¿Cómo debe armonizarse la aplicación del régimen de limitación a MIPYME con los principios de pluralidad de oferentes, libre concurrencia, selección objetiva y proporcionalidad, en el contexto de las áreas metropolitanas?</w:t>
      </w:r>
    </w:p>
    <w:p w:rsidRPr="00521386" w:rsidR="004429DD" w:rsidP="00382117" w:rsidRDefault="00382117" w14:paraId="433C7748" w14:textId="6C9BA8D3">
      <w:pPr>
        <w:pStyle w:val="Prrafodelista"/>
        <w:spacing w:line="240" w:lineRule="auto"/>
        <w:ind w:left="709" w:right="709"/>
        <w:jc w:val="both"/>
        <w:rPr>
          <w:rFonts w:ascii="Verdana" w:hAnsi="Verdana" w:eastAsia="Century Gothic" w:cs="Century Gothic"/>
          <w:sz w:val="20"/>
          <w:szCs w:val="20"/>
          <w:lang w:val="es-CO"/>
        </w:rPr>
      </w:pPr>
      <w:r w:rsidRPr="00382117">
        <w:rPr>
          <w:rFonts w:ascii="Verdana" w:hAnsi="Verdana" w:eastAsia="Century Gothic" w:cs="Century Gothic"/>
          <w:sz w:val="20"/>
          <w:szCs w:val="20"/>
          <w:lang w:val="es-CO"/>
        </w:rPr>
        <w:t>6. ¿Podría considerarse que la exclusión de MIPYME domiciliadas en los municipios integrantes del área metropolitana constituye una restricción injustificada a la competencia y, eventualmente, un indicio de direccionamiento del proceso de selección?</w:t>
      </w:r>
      <w:r w:rsidRPr="68695445" w:rsidR="004429DD">
        <w:rPr>
          <w:rFonts w:ascii="Verdana" w:hAnsi="Verdana" w:eastAsia="Century Gothic" w:cs="Century Gothic"/>
          <w:sz w:val="20"/>
          <w:szCs w:val="20"/>
          <w:lang w:val="es-CO"/>
        </w:rPr>
        <w:t xml:space="preserve">”. </w:t>
      </w:r>
    </w:p>
    <w:p w:rsidRPr="008E6AD9" w:rsidR="004429DD" w:rsidP="004429DD" w:rsidRDefault="004429DD" w14:paraId="01B8ECF0" w14:textId="77777777">
      <w:pPr>
        <w:pStyle w:val="Prrafodelista"/>
        <w:tabs>
          <w:tab w:val="left" w:pos="142"/>
          <w:tab w:val="left" w:pos="284"/>
        </w:tabs>
        <w:spacing w:after="0" w:line="276" w:lineRule="auto"/>
        <w:ind w:left="709" w:right="709"/>
        <w:contextualSpacing w:val="0"/>
        <w:jc w:val="both"/>
        <w:rPr>
          <w:rFonts w:ascii="Verdana" w:hAnsi="Verdana" w:eastAsia="Century Gothic" w:cs="Century Gothic"/>
          <w:b/>
          <w:bCs/>
        </w:rPr>
      </w:pPr>
    </w:p>
    <w:p w:rsidRPr="00A652FF" w:rsidR="004429DD" w:rsidP="004429DD" w:rsidRDefault="004429DD" w14:paraId="2E665641" w14:textId="77777777">
      <w:pPr>
        <w:spacing w:after="120" w:line="276" w:lineRule="auto"/>
        <w:ind w:firstLine="709"/>
        <w:jc w:val="both"/>
        <w:rPr>
          <w:rFonts w:ascii="Verdana" w:hAnsi="Verdana" w:eastAsia="Calibri" w:cs="Arial"/>
          <w:color w:val="000000"/>
          <w:lang w:val="es-ES" w:eastAsia="es-ES"/>
        </w:rPr>
      </w:pPr>
      <w:r>
        <w:rPr>
          <w:rFonts w:ascii="Verdana" w:hAnsi="Verdana" w:eastAsia="Calibri" w:cs="Arial"/>
          <w:color w:val="000000"/>
          <w:lang w:val="es-ES" w:eastAsia="es-ES"/>
        </w:rPr>
        <w:t>De manera preliminar</w:t>
      </w:r>
      <w:r w:rsidRPr="00593A5F">
        <w:rPr>
          <w:rFonts w:ascii="Verdana" w:hAnsi="Verdana" w:eastAsia="Calibri" w:cs="Arial"/>
          <w:color w:val="000000"/>
          <w:lang w:val="es-ES" w:eastAsia="es-ES"/>
        </w:rPr>
        <w:t>, resulta necesario acotar que esta entidad s</w:t>
      </w:r>
      <w:r>
        <w:rPr>
          <w:rFonts w:ascii="Verdana" w:hAnsi="Verdana" w:eastAsia="Calibri" w:cs="Arial"/>
          <w:color w:val="000000"/>
          <w:lang w:val="es-ES" w:eastAsia="es-ES"/>
        </w:rPr>
        <w:t>ó</w:t>
      </w:r>
      <w:r w:rsidRPr="00593A5F">
        <w:rPr>
          <w:rFonts w:ascii="Verdana" w:hAnsi="Verdana" w:eastAsia="Calibri"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hAnsi="Verdana" w:eastAsia="Calibri" w:cs="Arial"/>
          <w:color w:val="000000"/>
          <w:lang w:val="es-ES" w:eastAsia="es-ES"/>
        </w:rPr>
        <w:t>concretos</w:t>
      </w:r>
      <w:r w:rsidRPr="00593A5F">
        <w:rPr>
          <w:rFonts w:ascii="Verdana" w:hAnsi="Verdana" w:eastAsia="Calibri"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hAnsi="Verdana" w:eastAsia="Calibri" w:cs="Arial"/>
          <w:color w:val="000000"/>
          <w:szCs w:val="24"/>
          <w:lang w:val="es-ES_tradnl" w:eastAsia="es-ES_tradnl"/>
        </w:rPr>
        <w:tab/>
      </w:r>
    </w:p>
    <w:p w:rsidR="004429DD" w:rsidP="004429DD" w:rsidRDefault="004429DD" w14:paraId="2707D5C2" w14:textId="77777777">
      <w:pPr>
        <w:spacing w:after="0" w:line="276" w:lineRule="auto"/>
        <w:ind w:firstLine="709"/>
        <w:jc w:val="both"/>
        <w:rPr>
          <w:rFonts w:ascii="Verdana" w:hAnsi="Verdana" w:eastAsia="Calibri" w:cs="Arial"/>
          <w:color w:val="000000"/>
          <w:lang w:val="es-ES" w:eastAsia="es-ES"/>
        </w:rPr>
      </w:pPr>
      <w:r w:rsidRPr="00593A5F">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hAnsi="Verdana" w:eastAsia="Calibri" w:cs="Arial"/>
          <w:color w:val="000000"/>
          <w:lang w:val="es-ES" w:eastAsia="es-ES"/>
        </w:rPr>
        <w:t>s circunstancias</w:t>
      </w:r>
      <w:r w:rsidRPr="00593A5F">
        <w:rPr>
          <w:rFonts w:ascii="Verdana" w:hAnsi="Verdana" w:eastAsia="Calibri" w:cs="Arial"/>
          <w:color w:val="000000"/>
          <w:lang w:val="es-ES" w:eastAsia="es-ES"/>
        </w:rPr>
        <w:t xml:space="preserve"> </w:t>
      </w:r>
      <w:r>
        <w:rPr>
          <w:rFonts w:ascii="Verdana" w:hAnsi="Verdana" w:eastAsia="Calibri" w:cs="Arial"/>
          <w:color w:val="000000"/>
          <w:lang w:val="es-ES" w:eastAsia="es-ES"/>
        </w:rPr>
        <w:t>específicas que la hayan motivado</w:t>
      </w:r>
      <w:r w:rsidRPr="00593A5F">
        <w:rPr>
          <w:rFonts w:ascii="Verdana" w:hAnsi="Verdana" w:eastAsia="Calibri" w:cs="Arial"/>
          <w:color w:val="000000"/>
          <w:lang w:val="es-ES" w:eastAsia="es-ES"/>
        </w:rPr>
        <w:t xml:space="preserve">, pero </w:t>
      </w:r>
      <w:r>
        <w:rPr>
          <w:rFonts w:ascii="Verdana" w:hAnsi="Verdana" w:eastAsia="Calibri" w:cs="Arial"/>
          <w:color w:val="000000"/>
          <w:lang w:val="es-ES" w:eastAsia="es-ES"/>
        </w:rPr>
        <w:t>señalando</w:t>
      </w:r>
      <w:r w:rsidRPr="00593A5F">
        <w:rPr>
          <w:rFonts w:ascii="Verdana" w:hAnsi="Verdana" w:eastAsia="Calibri" w:cs="Arial"/>
          <w:color w:val="000000"/>
          <w:lang w:val="es-ES" w:eastAsia="es-ES"/>
        </w:rPr>
        <w:t xml:space="preserve"> </w:t>
      </w:r>
      <w:r>
        <w:rPr>
          <w:rFonts w:ascii="Verdana" w:hAnsi="Verdana" w:eastAsia="Calibri" w:cs="Arial"/>
          <w:color w:val="000000"/>
          <w:lang w:val="es-ES" w:eastAsia="es-ES"/>
        </w:rPr>
        <w:t>alg</w:t>
      </w:r>
      <w:r w:rsidRPr="00593A5F">
        <w:rPr>
          <w:rFonts w:ascii="Verdana" w:hAnsi="Verdana" w:eastAsia="Calibri" w:cs="Arial"/>
          <w:color w:val="000000"/>
          <w:lang w:val="es-ES" w:eastAsia="es-ES"/>
        </w:rPr>
        <w:t xml:space="preserve">unas consideraciones sobre las normas generales relacionadas con </w:t>
      </w:r>
      <w:r>
        <w:rPr>
          <w:rFonts w:ascii="Verdana" w:hAnsi="Verdana" w:eastAsia="Calibri" w:cs="Arial"/>
          <w:color w:val="000000"/>
          <w:lang w:val="es-ES" w:eastAsia="es-ES"/>
        </w:rPr>
        <w:t>el</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problema</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jurídico</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de su</w:t>
      </w:r>
      <w:r w:rsidRPr="00593A5F">
        <w:rPr>
          <w:rFonts w:ascii="Verdana" w:hAnsi="Verdana" w:eastAsia="Calibri" w:cs="Arial"/>
          <w:color w:val="000000"/>
          <w:lang w:val="es-ES" w:eastAsia="es-ES"/>
        </w:rPr>
        <w:t xml:space="preserve"> consulta.</w:t>
      </w:r>
      <w:r>
        <w:rPr>
          <w:rFonts w:ascii="Verdana" w:hAnsi="Verdana" w:eastAsia="Calibri" w:cs="Arial"/>
          <w:color w:val="000000"/>
          <w:lang w:val="es-ES" w:eastAsia="es-ES"/>
        </w:rPr>
        <w:t xml:space="preserve"> </w:t>
      </w:r>
      <w:r w:rsidRPr="00593A5F">
        <w:rPr>
          <w:rFonts w:ascii="Verdana" w:hAnsi="Verdana" w:eastAsia="Calibri" w:cs="Arial"/>
          <w:color w:val="000000"/>
          <w:lang w:val="es-ES" w:eastAsia="es-ES"/>
        </w:rPr>
        <w:t xml:space="preserve"> </w:t>
      </w:r>
    </w:p>
    <w:p w:rsidRPr="00593A5F" w:rsidR="004429DD" w:rsidP="004429DD" w:rsidRDefault="004429DD" w14:paraId="72A02B4C" w14:textId="77777777">
      <w:pPr>
        <w:spacing w:after="0" w:line="276" w:lineRule="auto"/>
        <w:jc w:val="both"/>
        <w:rPr>
          <w:rFonts w:ascii="Verdana" w:hAnsi="Verdana" w:eastAsia="Calibri" w:cs="Arial"/>
          <w:color w:val="000000"/>
          <w:lang w:val="es-ES" w:eastAsia="es-ES"/>
        </w:rPr>
      </w:pPr>
    </w:p>
    <w:p w:rsidRPr="00593A5F" w:rsidR="004429DD" w:rsidP="004429DD" w:rsidRDefault="004429DD" w14:paraId="05A9E8D1"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Pr>
          <w:rFonts w:ascii="Verdana" w:hAnsi="Verdana" w:eastAsia="Century Gothic" w:cs="Century Gothic"/>
          <w:b/>
          <w:bCs/>
        </w:rPr>
        <w:t xml:space="preserve"> </w:t>
      </w:r>
      <w:r w:rsidRPr="00593A5F">
        <w:rPr>
          <w:rFonts w:ascii="Verdana" w:hAnsi="Verdana" w:eastAsia="Century Gothic" w:cs="Century Gothic"/>
          <w:b/>
          <w:bCs/>
        </w:rPr>
        <w:t>Problema planteado:</w:t>
      </w:r>
    </w:p>
    <w:p w:rsidRPr="00593A5F" w:rsidR="004429DD" w:rsidP="004429DD" w:rsidRDefault="004429DD" w14:paraId="6255441C" w14:textId="77777777">
      <w:pPr>
        <w:tabs>
          <w:tab w:val="left" w:pos="426"/>
        </w:tabs>
        <w:spacing w:after="0" w:line="276" w:lineRule="auto"/>
        <w:jc w:val="both"/>
        <w:rPr>
          <w:rFonts w:ascii="Verdana" w:hAnsi="Verdana" w:eastAsia="Century Gothic" w:cs="Century Gothic"/>
          <w:lang w:val="es-ES"/>
        </w:rPr>
      </w:pPr>
    </w:p>
    <w:p w:rsidRPr="00B47324" w:rsidR="004429DD" w:rsidP="004429DD" w:rsidRDefault="004429DD" w14:paraId="7C22CA1F" w14:textId="4786666A">
      <w:pPr>
        <w:spacing w:after="0" w:line="276" w:lineRule="auto"/>
        <w:jc w:val="both"/>
        <w:rPr>
          <w:rFonts w:ascii="Verdana" w:hAnsi="Verdana" w:eastAsia="Century Gothic" w:cs="Century Gothic"/>
        </w:rPr>
      </w:pPr>
      <w:r>
        <w:rPr>
          <w:rFonts w:ascii="Verdana" w:hAnsi="Verdana" w:eastAsia="Century Gothic" w:cs="Century Gothic"/>
        </w:rPr>
        <w:t xml:space="preserve">De acuerdo con el contenido de </w:t>
      </w:r>
      <w:r w:rsidRPr="00B47324">
        <w:rPr>
          <w:rFonts w:ascii="Verdana" w:hAnsi="Verdana" w:eastAsia="Century Gothic" w:cs="Century Gothic"/>
        </w:rPr>
        <w:t xml:space="preserve">su solicitud, esta Agencia resolverá el siguiente problema jurídico: </w:t>
      </w:r>
      <w:r>
        <w:rPr>
          <w:rFonts w:ascii="Verdana" w:hAnsi="Verdana" w:eastAsia="Century Gothic" w:cs="Century Gothic"/>
        </w:rPr>
        <w:t>¿</w:t>
      </w:r>
      <w:r w:rsidR="00F64B57">
        <w:rPr>
          <w:rFonts w:ascii="Verdana" w:hAnsi="Verdana" w:eastAsia="Century Gothic" w:cs="Century Gothic"/>
        </w:rPr>
        <w:t>Cómo opera la limitación</w:t>
      </w:r>
      <w:r>
        <w:rPr>
          <w:rFonts w:ascii="Verdana" w:hAnsi="Verdana" w:eastAsia="Century Gothic" w:cs="Century Gothic"/>
        </w:rPr>
        <w:t xml:space="preserve"> a </w:t>
      </w:r>
      <w:r w:rsidR="0096782D">
        <w:rPr>
          <w:rFonts w:ascii="Verdana" w:hAnsi="Verdana" w:eastAsia="Century Gothic" w:cs="Century Gothic"/>
        </w:rPr>
        <w:t>Mipymes</w:t>
      </w:r>
      <w:r>
        <w:rPr>
          <w:rFonts w:ascii="Verdana" w:hAnsi="Verdana" w:eastAsia="Century Gothic" w:cs="Century Gothic"/>
        </w:rPr>
        <w:t xml:space="preserve"> territorial</w:t>
      </w:r>
      <w:r w:rsidR="00F64B57">
        <w:rPr>
          <w:rFonts w:ascii="Verdana" w:hAnsi="Verdana" w:eastAsia="Century Gothic" w:cs="Century Gothic"/>
        </w:rPr>
        <w:t xml:space="preserve"> cuando el municipio pertenece a un área metropolitana</w:t>
      </w:r>
      <w:r>
        <w:rPr>
          <w:rFonts w:ascii="Verdana" w:hAnsi="Verdana" w:eastAsia="Century Gothic" w:cs="Century Gothic"/>
        </w:rPr>
        <w:t>?</w:t>
      </w:r>
    </w:p>
    <w:p w:rsidRPr="004B140F" w:rsidR="004429DD" w:rsidP="004429DD" w:rsidRDefault="004429DD" w14:paraId="5DB1134D" w14:textId="77777777">
      <w:pPr>
        <w:spacing w:after="0" w:line="276" w:lineRule="auto"/>
        <w:jc w:val="both"/>
        <w:rPr>
          <w:rFonts w:ascii="Verdana" w:hAnsi="Verdana" w:eastAsia="Calibri" w:cs="Arial"/>
          <w:color w:val="7030A0"/>
        </w:rPr>
      </w:pPr>
    </w:p>
    <w:p w:rsidRPr="00593A5F" w:rsidR="004429DD" w:rsidP="004429DD" w:rsidRDefault="004429DD" w14:paraId="6D3E5D8B"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Pr>
          <w:rFonts w:ascii="Verdana" w:hAnsi="Verdana" w:eastAsia="Century Gothic" w:cs="Century Gothic"/>
          <w:b/>
          <w:bCs/>
        </w:rPr>
        <w:lastRenderedPageBreak/>
        <w:t xml:space="preserve"> </w:t>
      </w:r>
      <w:r w:rsidRPr="00593A5F">
        <w:rPr>
          <w:rFonts w:ascii="Verdana" w:hAnsi="Verdana" w:eastAsia="Century Gothic" w:cs="Century Gothic"/>
          <w:b/>
          <w:bCs/>
        </w:rPr>
        <w:t>Respuesta:</w:t>
      </w:r>
    </w:p>
    <w:p w:rsidRPr="00593A5F" w:rsidR="004429DD" w:rsidP="004429DD" w:rsidRDefault="004429DD" w14:paraId="0C977EE8"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93A5F" w:rsidR="004429DD" w:rsidTr="008C13C8" w14:paraId="4404FD2C" w14:textId="77777777">
        <w:trPr>
          <w:jc w:val="center"/>
        </w:trPr>
        <w:tc>
          <w:tcPr>
            <w:tcW w:w="8828" w:type="dxa"/>
          </w:tcPr>
          <w:p w:rsidRPr="00E91C0C" w:rsidR="00E91C0C" w:rsidP="00E91C0C" w:rsidRDefault="004429DD" w14:paraId="68C2BC60" w14:textId="559F2ABE">
            <w:pPr>
              <w:spacing w:before="120" w:after="120" w:line="276" w:lineRule="auto"/>
              <w:jc w:val="both"/>
              <w:rPr>
                <w:rFonts w:ascii="Verdana" w:hAnsi="Verdana" w:eastAsia="Verdana" w:cs="Verdana"/>
              </w:rPr>
            </w:pPr>
            <w:bookmarkStart w:name="_Hlk171694685" w:id="1"/>
            <w:r w:rsidRPr="00282654">
              <w:rPr>
                <w:rFonts w:ascii="Verdana" w:hAnsi="Verdana" w:eastAsia="Verdana" w:cs="Verdana"/>
              </w:rPr>
              <w:t>Frente al problema jurídico objeto de consulta, se ha señalado que la limitación territorial a Mipymes constituye una facultad discrecional de la entidad pública.</w:t>
            </w:r>
            <w:r w:rsidR="00A4586B">
              <w:rPr>
                <w:rFonts w:ascii="Verdana" w:hAnsi="Verdana" w:eastAsia="Verdana" w:cs="Verdana"/>
              </w:rPr>
              <w:t xml:space="preserve"> De acuerdo con el artículo </w:t>
            </w:r>
            <w:r w:rsidRPr="00A4586B" w:rsidR="00A4586B">
              <w:rPr>
                <w:rFonts w:ascii="Verdana" w:hAnsi="Verdana" w:eastAsia="Verdana" w:cs="Verdana"/>
              </w:rPr>
              <w:t>2.2.1.2.4.2.3.</w:t>
            </w:r>
            <w:r w:rsidR="00A4586B">
              <w:rPr>
                <w:rFonts w:ascii="Verdana" w:hAnsi="Verdana" w:eastAsia="Verdana" w:cs="Verdana"/>
              </w:rPr>
              <w:t xml:space="preserve"> del Decreto 1082 de 2015, </w:t>
            </w:r>
            <w:r w:rsidRPr="00E91C0C" w:rsidR="00E91C0C">
              <w:rPr>
                <w:rFonts w:ascii="Verdana" w:hAnsi="Verdana" w:eastAsia="Verdana" w:cs="Verdana"/>
              </w:rPr>
              <w:t xml:space="preserve">solo es posible limitar convocatorias a la participación de </w:t>
            </w:r>
            <w:r w:rsidRPr="00E91C0C" w:rsidR="00375B0B">
              <w:rPr>
                <w:rFonts w:ascii="Verdana" w:hAnsi="Verdana" w:eastAsia="Verdana" w:cs="Verdana"/>
              </w:rPr>
              <w:t>Mipymes</w:t>
            </w:r>
            <w:r w:rsidRPr="00E91C0C" w:rsidR="00E91C0C">
              <w:rPr>
                <w:rFonts w:ascii="Verdana" w:hAnsi="Verdana" w:eastAsia="Verdana" w:cs="Verdana"/>
              </w:rPr>
              <w:t xml:space="preserve"> </w:t>
            </w:r>
            <w:r w:rsidR="00E91C0C">
              <w:rPr>
                <w:rFonts w:ascii="Verdana" w:hAnsi="Verdana" w:eastAsia="Verdana" w:cs="Verdana"/>
              </w:rPr>
              <w:t>“</w:t>
            </w:r>
            <w:r w:rsidRPr="00E91C0C" w:rsidR="00E91C0C">
              <w:rPr>
                <w:rFonts w:ascii="Verdana" w:hAnsi="Verdana" w:eastAsia="Verdana" w:cs="Verdana"/>
              </w:rPr>
              <w:t>[…] del ámbito municipal o departamental correspondiente al de la ejecución del contrato</w:t>
            </w:r>
            <w:r w:rsidR="00E91C0C">
              <w:rPr>
                <w:rFonts w:ascii="Verdana" w:hAnsi="Verdana" w:eastAsia="Verdana" w:cs="Verdana"/>
              </w:rPr>
              <w:t>”</w:t>
            </w:r>
            <w:r w:rsidRPr="00E91C0C" w:rsidR="00E91C0C">
              <w:rPr>
                <w:rFonts w:ascii="Verdana" w:hAnsi="Verdana" w:eastAsia="Verdana" w:cs="Verdana"/>
              </w:rPr>
              <w:t xml:space="preserve">. En tales términos, la norma citada contempla la posibilidad de limitar convocatorias a </w:t>
            </w:r>
            <w:r w:rsidRPr="00E91C0C" w:rsidR="00375B0B">
              <w:rPr>
                <w:rFonts w:ascii="Verdana" w:hAnsi="Verdana" w:eastAsia="Verdana" w:cs="Verdana"/>
              </w:rPr>
              <w:t>Mipymes</w:t>
            </w:r>
            <w:r w:rsidRPr="00E91C0C" w:rsidR="00E91C0C">
              <w:rPr>
                <w:rFonts w:ascii="Verdana" w:hAnsi="Verdana" w:eastAsia="Verdana" w:cs="Verdana"/>
              </w:rPr>
              <w:t xml:space="preserve"> con domicilio en esos dos tipos de ámbitos territoriales</w:t>
            </w:r>
            <w:r w:rsidR="00DE3BFD">
              <w:rPr>
                <w:rFonts w:ascii="Verdana" w:hAnsi="Verdana" w:eastAsia="Verdana" w:cs="Verdana"/>
              </w:rPr>
              <w:t>, lo cual no incluye el área metropolitana</w:t>
            </w:r>
            <w:r w:rsidRPr="00E91C0C" w:rsidR="00E91C0C">
              <w:rPr>
                <w:rFonts w:ascii="Verdana" w:hAnsi="Verdana" w:eastAsia="Verdana" w:cs="Verdana"/>
              </w:rPr>
              <w:t>.</w:t>
            </w:r>
          </w:p>
          <w:p w:rsidRPr="00E91C0C" w:rsidR="00E91C0C" w:rsidP="00235FBC" w:rsidRDefault="00E91C0C" w14:paraId="4AF10BC5" w14:textId="48CCA918">
            <w:pPr>
              <w:spacing w:before="120" w:after="120" w:line="276" w:lineRule="auto"/>
              <w:ind w:firstLine="709"/>
              <w:jc w:val="both"/>
              <w:rPr>
                <w:rFonts w:ascii="Verdana" w:hAnsi="Verdana" w:eastAsia="Verdana" w:cs="Verdana"/>
              </w:rPr>
            </w:pPr>
            <w:r w:rsidRPr="00E91C0C">
              <w:rPr>
                <w:rFonts w:ascii="Verdana" w:hAnsi="Verdana" w:eastAsia="Verdana" w:cs="Verdana"/>
              </w:rPr>
              <w:t xml:space="preserve">El artículo 2.2.1.2.4.2.3 del Decreto 1082 de 2015, modificado por el artículo 5 del Decreto 1860 de 2021, se refiere a las </w:t>
            </w:r>
            <w:r w:rsidR="00375B0B">
              <w:rPr>
                <w:rFonts w:ascii="Verdana" w:hAnsi="Verdana" w:eastAsia="Verdana" w:cs="Verdana"/>
              </w:rPr>
              <w:t>“</w:t>
            </w:r>
            <w:r w:rsidRPr="00E91C0C" w:rsidR="00375B0B">
              <w:rPr>
                <w:rFonts w:ascii="Verdana" w:hAnsi="Verdana" w:eastAsia="Verdana" w:cs="Verdana"/>
              </w:rPr>
              <w:t>Mipyme</w:t>
            </w:r>
            <w:r w:rsidRPr="00E91C0C">
              <w:rPr>
                <w:rFonts w:ascii="Verdana" w:hAnsi="Verdana" w:eastAsia="Verdana" w:cs="Verdana"/>
              </w:rPr>
              <w:t xml:space="preserve"> colombianas que tengan domicilio en los departamentos o municipios en donde se va a ejecutar el contrato</w:t>
            </w:r>
            <w:r w:rsidR="00375B0B">
              <w:rPr>
                <w:rFonts w:ascii="Verdana" w:hAnsi="Verdana" w:eastAsia="Verdana" w:cs="Verdana"/>
              </w:rPr>
              <w:t>”</w:t>
            </w:r>
            <w:r w:rsidRPr="00E91C0C">
              <w:rPr>
                <w:rFonts w:ascii="Verdana" w:hAnsi="Verdana" w:eastAsia="Verdana" w:cs="Verdana"/>
              </w:rPr>
              <w:t xml:space="preserve">. Esta precisión es importante, pues el incentivo previsto en la norma únicamente aplica en el lugar de ejecución del contrato en el que la Mipyme tiene su </w:t>
            </w:r>
            <w:r w:rsidR="00375B0B">
              <w:rPr>
                <w:rFonts w:ascii="Verdana" w:hAnsi="Verdana" w:eastAsia="Verdana" w:cs="Verdana"/>
              </w:rPr>
              <w:t>“</w:t>
            </w:r>
            <w:r w:rsidRPr="00E91C0C">
              <w:rPr>
                <w:rFonts w:ascii="Verdana" w:hAnsi="Verdana" w:eastAsia="Verdana" w:cs="Verdana"/>
              </w:rPr>
              <w:t>domicilio</w:t>
            </w:r>
            <w:r w:rsidR="00375B0B">
              <w:rPr>
                <w:rFonts w:ascii="Verdana" w:hAnsi="Verdana" w:eastAsia="Verdana" w:cs="Verdana"/>
              </w:rPr>
              <w:t>”</w:t>
            </w:r>
            <w:r w:rsidRPr="00E91C0C">
              <w:rPr>
                <w:rFonts w:ascii="Verdana" w:hAnsi="Verdana" w:eastAsia="Verdana" w:cs="Verdana"/>
              </w:rPr>
              <w:t xml:space="preserve">, y no en donde tiene sucursales o establecimientos de comercio. De este modo, la participación en los procesos de contratación limitados territorialmente está condicionada al domicilio principal de la Mipyme respectiva. </w:t>
            </w:r>
          </w:p>
          <w:p w:rsidRPr="00E91C0C" w:rsidR="00E91C0C" w:rsidP="00235FBC" w:rsidRDefault="00E91C0C" w14:paraId="4568C88A" w14:textId="3E37FC5A">
            <w:pPr>
              <w:spacing w:before="120" w:after="120" w:line="276" w:lineRule="auto"/>
              <w:ind w:firstLine="709"/>
              <w:jc w:val="both"/>
              <w:rPr>
                <w:rFonts w:ascii="Verdana" w:hAnsi="Verdana" w:eastAsia="Verdana" w:cs="Verdana"/>
              </w:rPr>
            </w:pPr>
            <w:r w:rsidRPr="00E91C0C">
              <w:rPr>
                <w:rFonts w:ascii="Verdana" w:hAnsi="Verdana" w:eastAsia="Verdana" w:cs="Verdana"/>
              </w:rPr>
              <w:t xml:space="preserve">Si la entidad ejerce la facultad que le confiere el artículo 2.2.1.2.4.2.3. del Decreto 1082 de 2015, tendrá que justificar dicha decisión, una vez ha decidido limitar territorialmente la convocatoria a los departamentos o municipios donde se vaya a ejecutar el contrato. Por lo anterior, en la fase de planeación la entidad deberá analizar la conveniencia y pertinencia de hacer la </w:t>
            </w:r>
            <w:r w:rsidR="0061602B">
              <w:rPr>
                <w:rFonts w:ascii="Verdana" w:hAnsi="Verdana" w:eastAsia="Verdana" w:cs="Verdana"/>
              </w:rPr>
              <w:t>“</w:t>
            </w:r>
            <w:r w:rsidRPr="00E91C0C">
              <w:rPr>
                <w:rFonts w:ascii="Verdana" w:hAnsi="Verdana" w:eastAsia="Verdana" w:cs="Verdana"/>
              </w:rPr>
              <w:t>limitación territorial</w:t>
            </w:r>
            <w:r w:rsidR="0061602B">
              <w:rPr>
                <w:rFonts w:ascii="Verdana" w:hAnsi="Verdana" w:eastAsia="Verdana" w:cs="Verdana"/>
              </w:rPr>
              <w:t>”</w:t>
            </w:r>
            <w:r w:rsidRPr="00E91C0C">
              <w:rPr>
                <w:rFonts w:ascii="Verdana" w:hAnsi="Verdana" w:eastAsia="Verdana" w:cs="Verdana"/>
              </w:rPr>
              <w:t xml:space="preserve"> del proceso de selección y, en tal medida, incluir en los documentos previos del proceso, dicho análisis o justificación y establecer los aspectos que se requieran a efectos de verificar el cumplimiento de los requisitos de procedibilidad para el efecto.</w:t>
            </w:r>
          </w:p>
          <w:p w:rsidR="004429DD" w:rsidP="00235FBC" w:rsidRDefault="00E91C0C" w14:paraId="2AEC42DB" w14:textId="4E29FA8A">
            <w:pPr>
              <w:spacing w:before="120" w:after="120" w:line="276" w:lineRule="auto"/>
              <w:ind w:firstLine="709"/>
              <w:jc w:val="both"/>
              <w:rPr>
                <w:rFonts w:ascii="Verdana" w:hAnsi="Verdana" w:eastAsia="Verdana" w:cs="Verdana"/>
              </w:rPr>
            </w:pPr>
            <w:r w:rsidRPr="00E91C0C">
              <w:rPr>
                <w:rFonts w:ascii="Verdana" w:hAnsi="Verdana" w:eastAsia="Verdana" w:cs="Verdana"/>
              </w:rPr>
              <w:t xml:space="preserve">Ahora bien, la decisión de limitar </w:t>
            </w:r>
            <w:r w:rsidR="0061602B">
              <w:rPr>
                <w:rFonts w:ascii="Verdana" w:hAnsi="Verdana" w:eastAsia="Verdana" w:cs="Verdana"/>
              </w:rPr>
              <w:t>“</w:t>
            </w:r>
            <w:r w:rsidRPr="00E91C0C">
              <w:rPr>
                <w:rFonts w:ascii="Verdana" w:hAnsi="Verdana" w:eastAsia="Verdana" w:cs="Verdana"/>
              </w:rPr>
              <w:t>a Mipyme colombianas que tengan domicilio en los departamentos o municipios en donde se va a ejecutar el contrato</w:t>
            </w:r>
            <w:r w:rsidR="0061602B">
              <w:rPr>
                <w:rFonts w:ascii="Verdana" w:hAnsi="Verdana" w:eastAsia="Verdana" w:cs="Verdana"/>
              </w:rPr>
              <w:t>”</w:t>
            </w:r>
            <w:r w:rsidRPr="00E91C0C">
              <w:rPr>
                <w:rFonts w:ascii="Verdana" w:hAnsi="Verdana" w:eastAsia="Verdana" w:cs="Verdana"/>
              </w:rPr>
              <w:t xml:space="preserve">,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w:t>
            </w:r>
            <w:r w:rsidRPr="00E91C0C" w:rsidR="00B11855">
              <w:rPr>
                <w:rFonts w:ascii="Verdana" w:hAnsi="Verdana" w:eastAsia="Verdana" w:cs="Verdana"/>
              </w:rPr>
              <w:t>motu proprio</w:t>
            </w:r>
            <w:r w:rsidRPr="00E91C0C">
              <w:rPr>
                <w:rFonts w:ascii="Verdana" w:hAnsi="Verdana" w:eastAsia="Verdana" w:cs="Verdana"/>
              </w:rPr>
              <w:t xml:space="preserve"> proceder con la </w:t>
            </w:r>
            <w:r w:rsidR="0061602B">
              <w:rPr>
                <w:rFonts w:ascii="Verdana" w:hAnsi="Verdana" w:eastAsia="Verdana" w:cs="Verdana"/>
              </w:rPr>
              <w:t>“</w:t>
            </w:r>
            <w:r w:rsidRPr="00E91C0C">
              <w:rPr>
                <w:rFonts w:ascii="Verdana" w:hAnsi="Verdana" w:eastAsia="Verdana" w:cs="Verdana"/>
              </w:rPr>
              <w:t xml:space="preserve">limitación </w:t>
            </w:r>
            <w:r w:rsidRPr="00E91C0C">
              <w:rPr>
                <w:rFonts w:ascii="Verdana" w:hAnsi="Verdana" w:eastAsia="Verdana" w:cs="Verdana"/>
              </w:rPr>
              <w:lastRenderedPageBreak/>
              <w:t>territorial</w:t>
            </w:r>
            <w:r w:rsidR="0061602B">
              <w:rPr>
                <w:rFonts w:ascii="Verdana" w:hAnsi="Verdana" w:eastAsia="Verdana" w:cs="Verdana"/>
              </w:rPr>
              <w:t>”</w:t>
            </w:r>
            <w:r w:rsidRPr="00E91C0C">
              <w:rPr>
                <w:rFonts w:ascii="Verdana" w:hAnsi="Verdana" w:eastAsia="Verdana" w:cs="Verdana"/>
              </w:rPr>
              <w:t xml:space="preserve"> de que trata el artículo 2.2.1.2.4.2.3. del Decreto 1082 de 2015. Esto debido a que el ejercicio de esta facultad solo puede darse ante la </w:t>
            </w:r>
            <w:r w:rsidR="0061602B">
              <w:rPr>
                <w:rFonts w:ascii="Verdana" w:hAnsi="Verdana" w:eastAsia="Verdana" w:cs="Verdana"/>
              </w:rPr>
              <w:t>“</w:t>
            </w:r>
            <w:r w:rsidRPr="00E91C0C">
              <w:rPr>
                <w:rFonts w:ascii="Verdana" w:hAnsi="Verdana" w:eastAsia="Verdana" w:cs="Verdana"/>
              </w:rPr>
              <w:t>limitación a Mipymes colombianas</w:t>
            </w:r>
            <w:r w:rsidR="0061602B">
              <w:rPr>
                <w:rFonts w:ascii="Verdana" w:hAnsi="Verdana" w:eastAsia="Verdana" w:cs="Verdana"/>
              </w:rPr>
              <w:t>”</w:t>
            </w:r>
            <w:r w:rsidRPr="00E91C0C">
              <w:rPr>
                <w:rFonts w:ascii="Verdana" w:hAnsi="Verdana" w:eastAsia="Verdana" w:cs="Verdana"/>
              </w:rPr>
              <w:t>, lo cual supone verificar los supuestos legales establecidos en los mencionados numerales.</w:t>
            </w:r>
          </w:p>
          <w:p w:rsidRPr="00F27344" w:rsidR="004429DD" w:rsidP="008C13C8" w:rsidRDefault="004429DD" w14:paraId="1C354E2E" w14:textId="77777777">
            <w:pPr>
              <w:spacing w:before="120" w:after="120" w:line="276" w:lineRule="auto"/>
              <w:ind w:firstLine="709"/>
              <w:jc w:val="both"/>
              <w:rPr>
                <w:rFonts w:ascii="Verdana" w:hAnsi="Verdana" w:eastAsia="Calibri" w:cs="Arial"/>
                <w:bCs/>
              </w:rPr>
            </w:pPr>
            <w:r w:rsidRPr="00282654">
              <w:rPr>
                <w:rFonts w:ascii="Verdana" w:hAnsi="Verdana" w:eastAsia="Verdana" w:cs="Verdana"/>
              </w:rPr>
              <w:t>En todo caso, al tratarse de un análisis que debe realizarse en el marco específico de cada procedimiento contractual, esta Agencia no puede emitir un criterio universal ni vinculante por vía consultiva, sino que ofrece elementos generales para orientar decisiones conforme al principio de juridicidad, sin que le corresponda validar la gestión contractual de las entidades</w:t>
            </w:r>
            <w:r>
              <w:rPr>
                <w:rFonts w:ascii="Verdana" w:hAnsi="Verdana" w:eastAsia="Calibri" w:cs="Arial"/>
                <w:bCs/>
                <w:lang w:val="es-ES_tradnl"/>
              </w:rPr>
              <w:t>.</w:t>
            </w:r>
          </w:p>
        </w:tc>
      </w:tr>
    </w:tbl>
    <w:p w:rsidRPr="00593A5F" w:rsidR="004429DD" w:rsidP="004429DD" w:rsidRDefault="004429DD" w14:paraId="0E715F3F" w14:textId="77777777">
      <w:pPr>
        <w:tabs>
          <w:tab w:val="left" w:pos="142"/>
          <w:tab w:val="left" w:pos="284"/>
        </w:tabs>
        <w:spacing w:after="0" w:line="276" w:lineRule="auto"/>
        <w:jc w:val="both"/>
        <w:rPr>
          <w:rFonts w:ascii="Verdana" w:hAnsi="Verdana" w:eastAsia="Century Gothic" w:cs="Century Gothic"/>
          <w:b/>
          <w:bCs/>
          <w:lang w:val="es-ES"/>
        </w:rPr>
      </w:pPr>
    </w:p>
    <w:bookmarkEnd w:id="1"/>
    <w:p w:rsidRPr="00593A5F" w:rsidR="004429DD" w:rsidP="004429DD" w:rsidRDefault="004429DD" w14:paraId="2E5FBAB2"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A5F">
        <w:rPr>
          <w:rFonts w:ascii="Verdana" w:hAnsi="Verdana" w:eastAsia="Century Gothic" w:cs="Century Gothic"/>
          <w:b/>
          <w:bCs/>
        </w:rPr>
        <w:t>Razones de la respuesta:</w:t>
      </w:r>
    </w:p>
    <w:p w:rsidRPr="00593A5F" w:rsidR="004429DD" w:rsidP="004429DD" w:rsidRDefault="004429DD" w14:paraId="298A0B18" w14:textId="77777777">
      <w:pPr>
        <w:spacing w:after="0" w:line="276" w:lineRule="auto"/>
        <w:jc w:val="both"/>
        <w:rPr>
          <w:rFonts w:ascii="Verdana" w:hAnsi="Verdana" w:eastAsia="Calibri" w:cs="Arial"/>
          <w:color w:val="7030A0"/>
          <w:lang w:val="es-ES"/>
        </w:rPr>
      </w:pPr>
    </w:p>
    <w:p w:rsidR="004429DD" w:rsidP="004429DD" w:rsidRDefault="004429DD" w14:paraId="2FD855B0" w14:textId="77777777">
      <w:pPr>
        <w:spacing w:after="0" w:line="276" w:lineRule="auto"/>
        <w:jc w:val="both"/>
        <w:rPr>
          <w:rFonts w:ascii="Verdana" w:hAnsi="Verdana" w:eastAsia="Calibri" w:cs="Arial"/>
          <w:lang w:val="es-ES"/>
        </w:rPr>
      </w:pPr>
      <w:r w:rsidRPr="00B96799">
        <w:rPr>
          <w:rFonts w:ascii="Verdana" w:hAnsi="Verdana" w:eastAsia="Calibri" w:cs="Arial"/>
          <w:lang w:val="es-ES"/>
        </w:rPr>
        <w:t>Lo anterior se sustenta en las siguientes consideraciones:</w:t>
      </w:r>
    </w:p>
    <w:p w:rsidR="004429DD" w:rsidP="004429DD" w:rsidRDefault="004429DD" w14:paraId="195BFCBC" w14:textId="77777777">
      <w:pPr>
        <w:spacing w:after="0" w:line="276" w:lineRule="auto"/>
        <w:jc w:val="both"/>
        <w:rPr>
          <w:rFonts w:ascii="Verdana" w:hAnsi="Verdana" w:eastAsia="Calibri" w:cs="Arial"/>
          <w:lang w:val="es-ES"/>
        </w:rPr>
      </w:pPr>
    </w:p>
    <w:p w:rsidRPr="0022587E" w:rsidR="004429DD" w:rsidP="004429DD" w:rsidRDefault="004429DD" w14:paraId="78FB69D2" w14:textId="77777777">
      <w:pPr>
        <w:spacing w:after="120" w:line="276" w:lineRule="auto"/>
        <w:jc w:val="both"/>
        <w:rPr>
          <w:rFonts w:ascii="Verdana" w:hAnsi="Verdana"/>
          <w:lang w:val="es-ES"/>
        </w:rPr>
      </w:pPr>
      <w:r w:rsidRPr="68695445">
        <w:rPr>
          <w:rFonts w:ascii="Verdana" w:hAnsi="Verdana"/>
          <w:lang w:val="es-ES"/>
        </w:rPr>
        <w:t xml:space="preserve">i) Respecto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rsidRPr="0022587E" w:rsidR="004429DD" w:rsidP="004429DD" w:rsidRDefault="004429DD" w14:paraId="60179FF6" w14:textId="77777777">
      <w:pPr>
        <w:spacing w:after="120" w:line="276" w:lineRule="auto"/>
        <w:ind w:firstLine="708"/>
        <w:jc w:val="both"/>
        <w:rPr>
          <w:rFonts w:ascii="Verdana" w:hAnsi="Verdana"/>
          <w:lang w:val="es-ES"/>
        </w:rPr>
      </w:pPr>
      <w:r w:rsidRPr="0022587E">
        <w:rPr>
          <w:rFonts w:ascii="Verdana" w:hAnsi="Verdana"/>
          <w:lang w:val="es-ES_tradnl"/>
        </w:rPr>
        <w:t>En desarrollo de esta finalidad, se establecen medidas de apoyo para las micro, pequeñas y medianas empresas –Mi</w:t>
      </w:r>
      <w:r>
        <w:rPr>
          <w:rFonts w:ascii="Verdana" w:hAnsi="Verdana"/>
          <w:lang w:val="es-ES_tradnl"/>
        </w:rPr>
        <w:t>p</w:t>
      </w:r>
      <w:r w:rsidRPr="0022587E">
        <w:rPr>
          <w:rFonts w:ascii="Verdana" w:hAnsi="Verdana"/>
          <w:lang w:val="es-ES_tradnl"/>
        </w:rPr>
        <w:t>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rsidRPr="0022587E" w:rsidR="004429DD" w:rsidP="004429DD" w:rsidRDefault="004429DD" w14:paraId="0560982E" w14:textId="77777777">
      <w:pPr>
        <w:spacing w:after="120" w:line="276" w:lineRule="auto"/>
        <w:ind w:firstLine="708"/>
        <w:jc w:val="both"/>
        <w:rPr>
          <w:rFonts w:ascii="Verdana" w:hAnsi="Verdana"/>
          <w:lang w:val="es-ES"/>
        </w:rPr>
      </w:pPr>
      <w:r w:rsidRPr="0022587E">
        <w:rPr>
          <w:rFonts w:ascii="Verdana" w:hAnsi="Verdana"/>
          <w:lang w:val="es-ES"/>
        </w:rPr>
        <w:t xml:space="preserve">Como se indicó, parte de la Ley 2069 de 2020 </w:t>
      </w:r>
      <w:r>
        <w:rPr>
          <w:rFonts w:ascii="Verdana" w:hAnsi="Verdana"/>
          <w:lang w:val="es-ES"/>
        </w:rPr>
        <w:t>introduce</w:t>
      </w:r>
      <w:r w:rsidRPr="0022587E">
        <w:rPr>
          <w:rFonts w:ascii="Verdana" w:hAnsi="Verdana"/>
          <w:lang w:val="es-ES"/>
        </w:rPr>
        <w:t xml:space="preserve"> normas que modifican algunos aspectos de la contratación estatal para promover el emprendimiento. Concretamente, aquellas se encuentran en el Capítulo III –artículos 30 al 36–. Teniendo en cuenta que la consulta está relacionada con las convocatorias limitadas a Mipymes, a continuación de se estudiará el contenido y alcance del artículo 34.</w:t>
      </w:r>
    </w:p>
    <w:p w:rsidR="004429DD" w:rsidP="004429DD" w:rsidRDefault="004429DD" w14:paraId="65BAE132" w14:textId="77777777">
      <w:pPr>
        <w:spacing w:after="120" w:line="276" w:lineRule="auto"/>
        <w:ind w:firstLine="708"/>
        <w:jc w:val="both"/>
        <w:rPr>
          <w:rFonts w:ascii="Verdana" w:hAnsi="Verdana"/>
          <w:lang w:val="es-ES"/>
        </w:rPr>
      </w:pPr>
      <w:r w:rsidRPr="0022587E">
        <w:rPr>
          <w:rFonts w:ascii="Verdana" w:hAnsi="Verdana"/>
          <w:lang w:val="es-ES"/>
        </w:rPr>
        <w:lastRenderedPageBreak/>
        <w:t>El artículo 34 de la Ley 2069 de 2020</w:t>
      </w:r>
      <w:r>
        <w:rPr>
          <w:rFonts w:ascii="Verdana" w:hAnsi="Verdana"/>
          <w:lang w:val="es-ES"/>
        </w:rPr>
        <w:t>, el cual</w:t>
      </w:r>
      <w:r w:rsidRPr="0022587E">
        <w:rPr>
          <w:rFonts w:ascii="Verdana" w:hAnsi="Verdana"/>
          <w:lang w:val="es-ES"/>
        </w:rPr>
        <w:t xml:space="preserve"> modificó el artículo 12 de la Ley 1150 de 2007, regula la promoción del desarrollo en la contratación pública, cambiando los requisitos esenciales para que procedan las convocatorias limitadas a Mipymes,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22587E">
        <w:rPr>
          <w:rFonts w:ascii="Verdana" w:hAnsi="Verdana"/>
          <w:lang w:val="es-ES"/>
        </w:rPr>
        <w:t>ii</w:t>
      </w:r>
      <w:proofErr w:type="spellEnd"/>
      <w:r w:rsidRPr="0022587E">
        <w:rPr>
          <w:rFonts w:ascii="Verdana" w:hAnsi="Verdana"/>
          <w:lang w:val="es-ES"/>
        </w:rPr>
        <w:t xml:space="preserve">) señaló que los patrimonios autónomos constituidos por Entidades Estatales y los particulares que ejecuten recursos públicos también son destinatarios de esta exigencia; y,  </w:t>
      </w:r>
      <w:proofErr w:type="spellStart"/>
      <w:r w:rsidRPr="0022587E">
        <w:rPr>
          <w:rFonts w:ascii="Verdana" w:hAnsi="Verdana"/>
          <w:lang w:val="es-ES"/>
        </w:rPr>
        <w:t>iii</w:t>
      </w:r>
      <w:proofErr w:type="spellEnd"/>
      <w:r w:rsidRPr="0022587E">
        <w:rPr>
          <w:rFonts w:ascii="Verdana" w:hAnsi="Verdana"/>
          <w:lang w:val="es-ES"/>
        </w:rPr>
        <w:t>) indicó que para que pueda haber convocatorias limitadas a Mi</w:t>
      </w:r>
      <w:r>
        <w:rPr>
          <w:rFonts w:ascii="Verdana" w:hAnsi="Verdana"/>
          <w:lang w:val="es-ES"/>
        </w:rPr>
        <w:t>p</w:t>
      </w:r>
      <w:r w:rsidRPr="0022587E">
        <w:rPr>
          <w:rFonts w:ascii="Verdana" w:hAnsi="Verdana"/>
          <w:lang w:val="es-ES"/>
        </w:rPr>
        <w:t xml:space="preserve">ymes, dos (2) de ellas deben manifestar su interés. </w:t>
      </w:r>
    </w:p>
    <w:p w:rsidRPr="009A051F" w:rsidR="004429DD" w:rsidP="004429DD" w:rsidRDefault="004429DD" w14:paraId="4D5E15C0" w14:textId="77777777">
      <w:pPr>
        <w:spacing w:after="0"/>
        <w:ind w:firstLine="708"/>
        <w:jc w:val="both"/>
        <w:rPr>
          <w:rFonts w:ascii="Verdana" w:hAnsi="Verdana" w:eastAsia="Calibri" w:cs="Arial"/>
          <w:lang w:val="es-ES"/>
        </w:rPr>
      </w:pPr>
      <w:r>
        <w:rPr>
          <w:rFonts w:ascii="Verdana" w:hAnsi="Verdana" w:eastAsia="Verdana" w:cs="Verdana"/>
          <w:lang w:val="es-ES"/>
        </w:rPr>
        <w:t>En desarrollo de la anterior disposición, e</w:t>
      </w:r>
      <w:r w:rsidRPr="00D96ED6">
        <w:rPr>
          <w:rFonts w:ascii="Verdana" w:hAnsi="Verdana" w:eastAsia="Verdana" w:cs="Verdana"/>
          <w:lang w:val="es-ES"/>
        </w:rPr>
        <w:t>l artículo 2.2.1.2.4.2.2. del Decreto 1082 de 2015 -modificado por el Decreto 1860</w:t>
      </w:r>
      <w:r w:rsidRPr="00D96ED6">
        <w:rPr>
          <w:rFonts w:ascii="Verdana" w:hAnsi="Verdana" w:eastAsia="Verdana" w:cs="Verdana"/>
          <w:spacing w:val="66"/>
          <w:w w:val="150"/>
          <w:lang w:val="es-ES"/>
        </w:rPr>
        <w:t xml:space="preserve"> </w:t>
      </w:r>
      <w:r w:rsidRPr="00D96ED6">
        <w:rPr>
          <w:rFonts w:ascii="Verdana" w:hAnsi="Verdana" w:eastAsia="Verdana" w:cs="Verdana"/>
          <w:lang w:val="es-ES"/>
        </w:rPr>
        <w:t>de</w:t>
      </w:r>
      <w:r w:rsidRPr="00D96ED6">
        <w:rPr>
          <w:rFonts w:ascii="Verdana" w:hAnsi="Verdana" w:eastAsia="Verdana" w:cs="Verdana"/>
          <w:spacing w:val="65"/>
          <w:w w:val="150"/>
          <w:lang w:val="es-ES"/>
        </w:rPr>
        <w:t xml:space="preserve"> </w:t>
      </w:r>
      <w:r w:rsidRPr="00D96ED6">
        <w:rPr>
          <w:rFonts w:ascii="Verdana" w:hAnsi="Verdana" w:eastAsia="Verdana" w:cs="Verdana"/>
          <w:lang w:val="es-ES"/>
        </w:rPr>
        <w:t>2021-</w:t>
      </w:r>
      <w:r w:rsidRPr="00D96ED6">
        <w:rPr>
          <w:rFonts w:ascii="Verdana" w:hAnsi="Verdana" w:eastAsia="Verdana" w:cs="Verdana"/>
          <w:spacing w:val="66"/>
          <w:w w:val="150"/>
          <w:lang w:val="es-ES"/>
        </w:rPr>
        <w:t xml:space="preserve"> </w:t>
      </w:r>
      <w:r w:rsidRPr="00D96ED6">
        <w:rPr>
          <w:rFonts w:ascii="Verdana" w:hAnsi="Verdana" w:eastAsia="Verdana" w:cs="Verdana"/>
          <w:lang w:val="es-ES"/>
        </w:rPr>
        <w:t>establece</w:t>
      </w:r>
      <w:r w:rsidRPr="00D96ED6">
        <w:rPr>
          <w:rFonts w:ascii="Verdana" w:hAnsi="Verdana" w:eastAsia="Verdana" w:cs="Verdana"/>
          <w:spacing w:val="68"/>
          <w:w w:val="150"/>
          <w:lang w:val="es-ES"/>
        </w:rPr>
        <w:t xml:space="preserve"> </w:t>
      </w:r>
      <w:r w:rsidRPr="00D96ED6">
        <w:rPr>
          <w:rFonts w:ascii="Verdana" w:hAnsi="Verdana" w:eastAsia="Verdana" w:cs="Verdana"/>
          <w:lang w:val="es-ES"/>
        </w:rPr>
        <w:t>los</w:t>
      </w:r>
      <w:r w:rsidRPr="00D96ED6">
        <w:rPr>
          <w:rFonts w:ascii="Verdana" w:hAnsi="Verdana" w:eastAsia="Verdana" w:cs="Verdana"/>
          <w:spacing w:val="65"/>
          <w:w w:val="150"/>
          <w:lang w:val="es-ES"/>
        </w:rPr>
        <w:t xml:space="preserve"> </w:t>
      </w:r>
      <w:r w:rsidRPr="00D96ED6">
        <w:rPr>
          <w:rFonts w:ascii="Verdana" w:hAnsi="Verdana" w:eastAsia="Verdana" w:cs="Verdana"/>
          <w:lang w:val="es-ES"/>
        </w:rPr>
        <w:t>requisitos</w:t>
      </w:r>
      <w:r w:rsidRPr="00D96ED6">
        <w:rPr>
          <w:rFonts w:ascii="Verdana" w:hAnsi="Verdana" w:eastAsia="Verdana" w:cs="Verdana"/>
          <w:spacing w:val="67"/>
          <w:w w:val="150"/>
          <w:lang w:val="es-ES"/>
        </w:rPr>
        <w:t xml:space="preserve"> </w:t>
      </w:r>
      <w:r w:rsidRPr="00D96ED6">
        <w:rPr>
          <w:rFonts w:ascii="Verdana" w:hAnsi="Verdana" w:eastAsia="Verdana" w:cs="Verdana"/>
          <w:lang w:val="es-ES"/>
        </w:rPr>
        <w:t>que</w:t>
      </w:r>
      <w:r w:rsidRPr="00D96ED6">
        <w:rPr>
          <w:rFonts w:ascii="Verdana" w:hAnsi="Verdana" w:eastAsia="Verdana" w:cs="Verdana"/>
          <w:spacing w:val="66"/>
          <w:w w:val="150"/>
          <w:lang w:val="es-ES"/>
        </w:rPr>
        <w:t xml:space="preserve"> </w:t>
      </w:r>
      <w:r w:rsidRPr="00D96ED6">
        <w:rPr>
          <w:rFonts w:ascii="Verdana" w:hAnsi="Verdana" w:eastAsia="Verdana" w:cs="Verdana"/>
          <w:lang w:val="es-ES"/>
        </w:rPr>
        <w:t>se</w:t>
      </w:r>
      <w:r w:rsidRPr="00D96ED6">
        <w:rPr>
          <w:rFonts w:ascii="Verdana" w:hAnsi="Verdana" w:eastAsia="Verdana" w:cs="Verdana"/>
          <w:spacing w:val="65"/>
          <w:w w:val="150"/>
          <w:lang w:val="es-ES"/>
        </w:rPr>
        <w:t xml:space="preserve"> </w:t>
      </w:r>
      <w:r w:rsidRPr="00D96ED6">
        <w:rPr>
          <w:rFonts w:ascii="Verdana" w:hAnsi="Verdana" w:eastAsia="Verdana" w:cs="Verdana"/>
          <w:lang w:val="es-ES"/>
        </w:rPr>
        <w:t>deben</w:t>
      </w:r>
      <w:r w:rsidRPr="00D96ED6">
        <w:rPr>
          <w:rFonts w:ascii="Verdana" w:hAnsi="Verdana" w:eastAsia="Verdana" w:cs="Verdana"/>
          <w:spacing w:val="66"/>
          <w:w w:val="150"/>
          <w:lang w:val="es-ES"/>
        </w:rPr>
        <w:t xml:space="preserve"> </w:t>
      </w:r>
      <w:r w:rsidRPr="00D96ED6">
        <w:rPr>
          <w:rFonts w:ascii="Verdana" w:hAnsi="Verdana" w:eastAsia="Verdana" w:cs="Verdana"/>
          <w:lang w:val="es-ES"/>
        </w:rPr>
        <w:t>acreditar</w:t>
      </w:r>
      <w:r w:rsidRPr="00D96ED6">
        <w:rPr>
          <w:rFonts w:ascii="Verdana" w:hAnsi="Verdana" w:eastAsia="Verdana" w:cs="Verdana"/>
          <w:spacing w:val="68"/>
          <w:w w:val="150"/>
          <w:lang w:val="es-ES"/>
        </w:rPr>
        <w:t xml:space="preserve"> </w:t>
      </w:r>
      <w:r w:rsidRPr="00D96ED6">
        <w:rPr>
          <w:rFonts w:ascii="Verdana" w:hAnsi="Verdana" w:eastAsia="Verdana" w:cs="Verdana"/>
          <w:lang w:val="es-ES"/>
        </w:rPr>
        <w:t>en</w:t>
      </w:r>
      <w:r w:rsidRPr="00D96ED6">
        <w:rPr>
          <w:rFonts w:ascii="Verdana" w:hAnsi="Verdana" w:eastAsia="Verdana" w:cs="Verdana"/>
          <w:spacing w:val="65"/>
          <w:w w:val="150"/>
          <w:lang w:val="es-ES"/>
        </w:rPr>
        <w:t xml:space="preserve"> </w:t>
      </w:r>
      <w:r w:rsidRPr="00D96ED6">
        <w:rPr>
          <w:rFonts w:ascii="Verdana" w:hAnsi="Verdana" w:eastAsia="Verdana" w:cs="Verdana"/>
          <w:lang w:val="es-ES"/>
        </w:rPr>
        <w:t>las “convocatorias limitadas a Mipymes”. Al respecto indica lo siguiente:</w:t>
      </w:r>
    </w:p>
    <w:p w:rsidR="004429DD" w:rsidP="004429DD" w:rsidRDefault="004429DD" w14:paraId="2D7557BE" w14:textId="77777777">
      <w:pPr>
        <w:widowControl w:val="0"/>
        <w:tabs>
          <w:tab w:val="left" w:pos="382"/>
        </w:tabs>
        <w:autoSpaceDE w:val="0"/>
        <w:autoSpaceDN w:val="0"/>
        <w:spacing w:after="0" w:line="276" w:lineRule="auto"/>
        <w:jc w:val="both"/>
        <w:outlineLvl w:val="0"/>
        <w:rPr>
          <w:rFonts w:ascii="Verdana" w:hAnsi="Verdana" w:eastAsia="Verdana" w:cs="Verdana"/>
          <w:b/>
          <w:bCs/>
          <w:lang w:val="es-ES"/>
        </w:rPr>
      </w:pPr>
    </w:p>
    <w:p w:rsidRPr="00594E5E" w:rsidR="004429DD" w:rsidP="004429DD" w:rsidRDefault="004429DD" w14:paraId="09B3EA92" w14:textId="77777777">
      <w:pPr>
        <w:widowControl w:val="0"/>
        <w:tabs>
          <w:tab w:val="left" w:pos="382"/>
        </w:tabs>
        <w:autoSpaceDE w:val="0"/>
        <w:autoSpaceDN w:val="0"/>
        <w:spacing w:after="0" w:line="240" w:lineRule="auto"/>
        <w:ind w:left="709" w:right="709"/>
        <w:jc w:val="both"/>
        <w:outlineLvl w:val="0"/>
        <w:rPr>
          <w:rFonts w:ascii="Verdana" w:hAnsi="Verdana" w:eastAsia="Verdana" w:cs="Verdana"/>
          <w:b/>
          <w:bCs/>
          <w:sz w:val="20"/>
          <w:szCs w:val="20"/>
          <w:lang w:val="es-ES"/>
        </w:rPr>
      </w:pPr>
      <w:r w:rsidRPr="00594E5E">
        <w:rPr>
          <w:rFonts w:ascii="Verdana" w:hAnsi="Verdana" w:eastAsia="Verdana" w:cs="Verdana"/>
          <w:sz w:val="20"/>
          <w:szCs w:val="20"/>
          <w:lang w:val="es-ES"/>
        </w:rPr>
        <w:t>“Artículo 2.2.1.2.4.2.2. Convocatorias Imitadas a Mipyme. Las Entidades Estatales independientemente de su régimen de contratación, los patrimonios autónomos constituidos por Entidades Estatales y los particulares</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que</w:t>
      </w:r>
      <w:r w:rsidRPr="00594E5E">
        <w:rPr>
          <w:rFonts w:ascii="Verdana" w:hAnsi="Verdana" w:eastAsia="Verdana" w:cs="Verdana"/>
          <w:spacing w:val="-7"/>
          <w:sz w:val="20"/>
          <w:szCs w:val="20"/>
          <w:lang w:val="es-ES"/>
        </w:rPr>
        <w:t xml:space="preserve"> </w:t>
      </w:r>
      <w:r w:rsidRPr="00594E5E">
        <w:rPr>
          <w:rFonts w:ascii="Verdana" w:hAnsi="Verdana" w:eastAsia="Verdana" w:cs="Verdana"/>
          <w:sz w:val="20"/>
          <w:szCs w:val="20"/>
          <w:lang w:val="es-ES"/>
        </w:rPr>
        <w:t>ejecuten</w:t>
      </w:r>
      <w:r w:rsidRPr="00594E5E">
        <w:rPr>
          <w:rFonts w:ascii="Verdana" w:hAnsi="Verdana" w:eastAsia="Verdana" w:cs="Verdana"/>
          <w:spacing w:val="-5"/>
          <w:sz w:val="20"/>
          <w:szCs w:val="20"/>
          <w:lang w:val="es-ES"/>
        </w:rPr>
        <w:t xml:space="preserve"> </w:t>
      </w:r>
      <w:r w:rsidRPr="00594E5E">
        <w:rPr>
          <w:rFonts w:ascii="Verdana" w:hAnsi="Verdana" w:eastAsia="Verdana" w:cs="Verdana"/>
          <w:sz w:val="20"/>
          <w:szCs w:val="20"/>
          <w:lang w:val="es-ES"/>
        </w:rPr>
        <w:t>recursos</w:t>
      </w:r>
      <w:r w:rsidRPr="00594E5E">
        <w:rPr>
          <w:rFonts w:ascii="Verdana" w:hAnsi="Verdana" w:eastAsia="Verdana" w:cs="Verdana"/>
          <w:spacing w:val="-5"/>
          <w:sz w:val="20"/>
          <w:szCs w:val="20"/>
          <w:lang w:val="es-ES"/>
        </w:rPr>
        <w:t xml:space="preserve"> </w:t>
      </w:r>
      <w:r w:rsidRPr="00594E5E">
        <w:rPr>
          <w:rFonts w:ascii="Verdana" w:hAnsi="Verdana" w:eastAsia="Verdana" w:cs="Verdana"/>
          <w:sz w:val="20"/>
          <w:szCs w:val="20"/>
          <w:lang w:val="es-ES"/>
        </w:rPr>
        <w:t>públicos,</w:t>
      </w:r>
      <w:r w:rsidRPr="00594E5E">
        <w:rPr>
          <w:rFonts w:ascii="Verdana" w:hAnsi="Verdana" w:eastAsia="Verdana" w:cs="Verdana"/>
          <w:spacing w:val="-5"/>
          <w:sz w:val="20"/>
          <w:szCs w:val="20"/>
          <w:lang w:val="es-ES"/>
        </w:rPr>
        <w:t xml:space="preserve"> </w:t>
      </w:r>
      <w:r w:rsidRPr="00594E5E">
        <w:rPr>
          <w:rFonts w:ascii="Verdana" w:hAnsi="Verdana" w:eastAsia="Verdana" w:cs="Verdana"/>
          <w:sz w:val="20"/>
          <w:szCs w:val="20"/>
          <w:lang w:val="es-ES"/>
        </w:rPr>
        <w:t>deben</w:t>
      </w:r>
      <w:r w:rsidRPr="00594E5E">
        <w:rPr>
          <w:rFonts w:ascii="Verdana" w:hAnsi="Verdana" w:eastAsia="Verdana" w:cs="Verdana"/>
          <w:spacing w:val="-6"/>
          <w:sz w:val="20"/>
          <w:szCs w:val="20"/>
          <w:lang w:val="es-ES"/>
        </w:rPr>
        <w:t xml:space="preserve"> </w:t>
      </w:r>
      <w:r w:rsidRPr="00594E5E">
        <w:rPr>
          <w:rFonts w:ascii="Verdana" w:hAnsi="Verdana" w:eastAsia="Verdana" w:cs="Verdana"/>
          <w:sz w:val="20"/>
          <w:szCs w:val="20"/>
          <w:lang w:val="es-ES"/>
        </w:rPr>
        <w:t>limitar</w:t>
      </w:r>
      <w:r w:rsidRPr="00594E5E">
        <w:rPr>
          <w:rFonts w:ascii="Verdana" w:hAnsi="Verdana" w:eastAsia="Verdana" w:cs="Verdana"/>
          <w:spacing w:val="-6"/>
          <w:sz w:val="20"/>
          <w:szCs w:val="20"/>
          <w:lang w:val="es-ES"/>
        </w:rPr>
        <w:t xml:space="preserve"> </w:t>
      </w:r>
      <w:r w:rsidRPr="00594E5E">
        <w:rPr>
          <w:rFonts w:ascii="Verdana" w:hAnsi="Verdana" w:eastAsia="Verdana" w:cs="Verdana"/>
          <w:sz w:val="20"/>
          <w:szCs w:val="20"/>
          <w:lang w:val="es-ES"/>
        </w:rPr>
        <w:t>la</w:t>
      </w:r>
      <w:r w:rsidRPr="00594E5E">
        <w:rPr>
          <w:rFonts w:ascii="Verdana" w:hAnsi="Verdana" w:eastAsia="Verdana" w:cs="Verdana"/>
          <w:spacing w:val="-7"/>
          <w:sz w:val="20"/>
          <w:szCs w:val="20"/>
          <w:lang w:val="es-ES"/>
        </w:rPr>
        <w:t xml:space="preserve"> </w:t>
      </w:r>
      <w:r w:rsidRPr="00594E5E">
        <w:rPr>
          <w:rFonts w:ascii="Verdana" w:hAnsi="Verdana" w:eastAsia="Verdana" w:cs="Verdana"/>
          <w:sz w:val="20"/>
          <w:szCs w:val="20"/>
          <w:lang w:val="es-ES"/>
        </w:rPr>
        <w:t>convocatoria de</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los</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Procesos</w:t>
      </w:r>
      <w:r w:rsidRPr="00594E5E">
        <w:rPr>
          <w:rFonts w:ascii="Verdana" w:hAnsi="Verdana" w:eastAsia="Verdana" w:cs="Verdana"/>
          <w:spacing w:val="-2"/>
          <w:sz w:val="20"/>
          <w:szCs w:val="20"/>
          <w:lang w:val="es-ES"/>
        </w:rPr>
        <w:t xml:space="preserve"> </w:t>
      </w:r>
      <w:r w:rsidRPr="00594E5E">
        <w:rPr>
          <w:rFonts w:ascii="Verdana" w:hAnsi="Verdana" w:eastAsia="Verdana" w:cs="Verdana"/>
          <w:sz w:val="20"/>
          <w:szCs w:val="20"/>
          <w:lang w:val="es-ES"/>
        </w:rPr>
        <w:t>de</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Contratación</w:t>
      </w:r>
      <w:r w:rsidRPr="00594E5E">
        <w:rPr>
          <w:rFonts w:ascii="Verdana" w:hAnsi="Verdana" w:eastAsia="Verdana" w:cs="Verdana"/>
          <w:spacing w:val="-1"/>
          <w:sz w:val="20"/>
          <w:szCs w:val="20"/>
          <w:lang w:val="es-ES"/>
        </w:rPr>
        <w:t xml:space="preserve"> </w:t>
      </w:r>
      <w:r w:rsidRPr="00594E5E">
        <w:rPr>
          <w:rFonts w:ascii="Verdana" w:hAnsi="Verdana" w:eastAsia="Verdana" w:cs="Verdana"/>
          <w:sz w:val="20"/>
          <w:szCs w:val="20"/>
          <w:lang w:val="es-ES"/>
        </w:rPr>
        <w:t>con</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pluralidad</w:t>
      </w:r>
      <w:r w:rsidRPr="00594E5E">
        <w:rPr>
          <w:rFonts w:ascii="Verdana" w:hAnsi="Verdana" w:eastAsia="Verdana" w:cs="Verdana"/>
          <w:spacing w:val="-2"/>
          <w:sz w:val="20"/>
          <w:szCs w:val="20"/>
          <w:lang w:val="es-ES"/>
        </w:rPr>
        <w:t xml:space="preserve"> </w:t>
      </w:r>
      <w:r w:rsidRPr="00594E5E">
        <w:rPr>
          <w:rFonts w:ascii="Verdana" w:hAnsi="Verdana" w:eastAsia="Verdana" w:cs="Verdana"/>
          <w:sz w:val="20"/>
          <w:szCs w:val="20"/>
          <w:lang w:val="es-ES"/>
        </w:rPr>
        <w:t>de</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oferentes</w:t>
      </w:r>
      <w:r w:rsidRPr="00594E5E">
        <w:rPr>
          <w:rFonts w:ascii="Verdana" w:hAnsi="Verdana" w:eastAsia="Verdana" w:cs="Verdana"/>
          <w:spacing w:val="-2"/>
          <w:sz w:val="20"/>
          <w:szCs w:val="20"/>
          <w:lang w:val="es-ES"/>
        </w:rPr>
        <w:t xml:space="preserve"> </w:t>
      </w:r>
      <w:r w:rsidRPr="00594E5E">
        <w:rPr>
          <w:rFonts w:ascii="Verdana" w:hAnsi="Verdana" w:eastAsia="Verdana" w:cs="Verdana"/>
          <w:sz w:val="20"/>
          <w:szCs w:val="20"/>
          <w:lang w:val="es-ES"/>
        </w:rPr>
        <w:t>a</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las</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Mipyme colombianas con mínimo un (1) año de existencia, cuando concurran los siguientes requisitos:</w:t>
      </w:r>
    </w:p>
    <w:p w:rsidRPr="00594E5E" w:rsidR="004429DD" w:rsidP="004429DD" w:rsidRDefault="004429DD" w14:paraId="563A8EA5" w14:textId="77777777">
      <w:pPr>
        <w:widowControl w:val="0"/>
        <w:tabs>
          <w:tab w:val="left" w:pos="382"/>
        </w:tabs>
        <w:autoSpaceDE w:val="0"/>
        <w:autoSpaceDN w:val="0"/>
        <w:spacing w:after="0" w:line="240" w:lineRule="auto"/>
        <w:ind w:left="709" w:right="709"/>
        <w:jc w:val="both"/>
        <w:outlineLvl w:val="0"/>
        <w:rPr>
          <w:rFonts w:ascii="Verdana" w:hAnsi="Verdana" w:eastAsia="Verdana" w:cs="Verdana"/>
          <w:b/>
          <w:bCs/>
          <w:sz w:val="20"/>
          <w:szCs w:val="20"/>
          <w:lang w:val="es-ES"/>
        </w:rPr>
      </w:pPr>
    </w:p>
    <w:p w:rsidRPr="00594E5E" w:rsidR="004429DD" w:rsidP="004429DD" w:rsidRDefault="004429DD" w14:paraId="1F7F4535" w14:textId="77777777">
      <w:pPr>
        <w:widowControl w:val="0"/>
        <w:tabs>
          <w:tab w:val="left" w:pos="382"/>
        </w:tabs>
        <w:autoSpaceDE w:val="0"/>
        <w:autoSpaceDN w:val="0"/>
        <w:spacing w:after="0" w:line="240" w:lineRule="auto"/>
        <w:ind w:left="709" w:right="709"/>
        <w:jc w:val="both"/>
        <w:outlineLvl w:val="0"/>
        <w:rPr>
          <w:rFonts w:ascii="Verdana" w:hAnsi="Verdana" w:eastAsia="Verdana" w:cs="Verdana"/>
          <w:sz w:val="20"/>
          <w:szCs w:val="20"/>
          <w:lang w:val="es-ES"/>
        </w:rPr>
      </w:pPr>
      <w:r w:rsidRPr="00594E5E">
        <w:rPr>
          <w:rFonts w:ascii="Verdana" w:hAnsi="Verdana" w:eastAsia="Verdana" w:cs="Verdana"/>
          <w:sz w:val="20"/>
          <w:szCs w:val="20"/>
          <w:lang w:val="es-ES"/>
        </w:rPr>
        <w:t>1. El</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valor</w:t>
      </w:r>
      <w:r w:rsidRPr="00594E5E">
        <w:rPr>
          <w:rFonts w:ascii="Verdana" w:hAnsi="Verdana" w:eastAsia="Verdana" w:cs="Verdana"/>
          <w:spacing w:val="-3"/>
          <w:sz w:val="20"/>
          <w:szCs w:val="20"/>
          <w:lang w:val="es-ES"/>
        </w:rPr>
        <w:t xml:space="preserve"> </w:t>
      </w:r>
      <w:r w:rsidRPr="00594E5E">
        <w:rPr>
          <w:rFonts w:ascii="Verdana" w:hAnsi="Verdana" w:eastAsia="Verdana" w:cs="Verdana"/>
          <w:sz w:val="20"/>
          <w:szCs w:val="20"/>
          <w:lang w:val="es-ES"/>
        </w:rPr>
        <w:t>del</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Proceso</w:t>
      </w:r>
      <w:r w:rsidRPr="00594E5E">
        <w:rPr>
          <w:rFonts w:ascii="Verdana" w:hAnsi="Verdana" w:eastAsia="Verdana" w:cs="Verdana"/>
          <w:spacing w:val="-2"/>
          <w:sz w:val="20"/>
          <w:szCs w:val="20"/>
          <w:lang w:val="es-ES"/>
        </w:rPr>
        <w:t xml:space="preserve"> </w:t>
      </w:r>
      <w:r w:rsidRPr="00594E5E">
        <w:rPr>
          <w:rFonts w:ascii="Verdana" w:hAnsi="Verdana" w:eastAsia="Verdana" w:cs="Verdana"/>
          <w:sz w:val="20"/>
          <w:szCs w:val="20"/>
          <w:lang w:val="es-ES"/>
        </w:rPr>
        <w:t>de</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Contratación</w:t>
      </w:r>
      <w:r w:rsidRPr="00594E5E">
        <w:rPr>
          <w:rFonts w:ascii="Verdana" w:hAnsi="Verdana" w:eastAsia="Verdana" w:cs="Verdana"/>
          <w:spacing w:val="-1"/>
          <w:sz w:val="20"/>
          <w:szCs w:val="20"/>
          <w:lang w:val="es-ES"/>
        </w:rPr>
        <w:t xml:space="preserve"> </w:t>
      </w:r>
      <w:r w:rsidRPr="00594E5E">
        <w:rPr>
          <w:rFonts w:ascii="Verdana" w:hAnsi="Verdana" w:eastAsia="Verdana" w:cs="Verdana"/>
          <w:sz w:val="20"/>
          <w:szCs w:val="20"/>
          <w:lang w:val="es-ES"/>
        </w:rPr>
        <w:t>sea</w:t>
      </w:r>
      <w:r w:rsidRPr="00594E5E">
        <w:rPr>
          <w:rFonts w:ascii="Verdana" w:hAnsi="Verdana" w:eastAsia="Verdana" w:cs="Verdana"/>
          <w:spacing w:val="-3"/>
          <w:sz w:val="20"/>
          <w:szCs w:val="20"/>
          <w:lang w:val="es-ES"/>
        </w:rPr>
        <w:t xml:space="preserve"> </w:t>
      </w:r>
      <w:r w:rsidRPr="00594E5E">
        <w:rPr>
          <w:rFonts w:ascii="Verdana" w:hAnsi="Verdana" w:eastAsia="Verdana" w:cs="Verdana"/>
          <w:sz w:val="20"/>
          <w:szCs w:val="20"/>
          <w:lang w:val="es-ES"/>
        </w:rPr>
        <w:t>menor</w:t>
      </w:r>
      <w:r w:rsidRPr="00594E5E">
        <w:rPr>
          <w:rFonts w:ascii="Verdana" w:hAnsi="Verdana" w:eastAsia="Verdana" w:cs="Verdana"/>
          <w:spacing w:val="-3"/>
          <w:sz w:val="20"/>
          <w:szCs w:val="20"/>
          <w:lang w:val="es-ES"/>
        </w:rPr>
        <w:t xml:space="preserve"> </w:t>
      </w:r>
      <w:r w:rsidRPr="00594E5E">
        <w:rPr>
          <w:rFonts w:ascii="Verdana" w:hAnsi="Verdana" w:eastAsia="Verdana" w:cs="Verdana"/>
          <w:sz w:val="20"/>
          <w:szCs w:val="20"/>
          <w:lang w:val="es-ES"/>
        </w:rPr>
        <w:t>a</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ciento</w:t>
      </w:r>
      <w:r w:rsidRPr="00594E5E">
        <w:rPr>
          <w:rFonts w:ascii="Verdana" w:hAnsi="Verdana" w:eastAsia="Verdana" w:cs="Verdana"/>
          <w:spacing w:val="-2"/>
          <w:sz w:val="20"/>
          <w:szCs w:val="20"/>
          <w:lang w:val="es-ES"/>
        </w:rPr>
        <w:t xml:space="preserve"> </w:t>
      </w:r>
      <w:r w:rsidRPr="00594E5E">
        <w:rPr>
          <w:rFonts w:ascii="Verdana" w:hAnsi="Verdana" w:eastAsia="Verdana" w:cs="Verdana"/>
          <w:sz w:val="20"/>
          <w:szCs w:val="20"/>
          <w:lang w:val="es-ES"/>
        </w:rPr>
        <w:t>veinticinco</w:t>
      </w:r>
      <w:r w:rsidRPr="00594E5E">
        <w:rPr>
          <w:rFonts w:ascii="Verdana" w:hAnsi="Verdana" w:eastAsia="Verdana" w:cs="Verdana"/>
          <w:spacing w:val="-1"/>
          <w:sz w:val="20"/>
          <w:szCs w:val="20"/>
          <w:lang w:val="es-ES"/>
        </w:rPr>
        <w:t xml:space="preserve"> </w:t>
      </w:r>
      <w:r w:rsidRPr="00594E5E">
        <w:rPr>
          <w:rFonts w:ascii="Verdana" w:hAnsi="Verdana" w:eastAsia="Verdana" w:cs="Verdana"/>
          <w:sz w:val="20"/>
          <w:szCs w:val="20"/>
          <w:lang w:val="es-ES"/>
        </w:rPr>
        <w:t>mil dólares</w:t>
      </w:r>
      <w:r w:rsidRPr="00594E5E">
        <w:rPr>
          <w:rFonts w:ascii="Verdana" w:hAnsi="Verdana" w:eastAsia="Verdana" w:cs="Verdana"/>
          <w:spacing w:val="-13"/>
          <w:sz w:val="20"/>
          <w:szCs w:val="20"/>
          <w:lang w:val="es-ES"/>
        </w:rPr>
        <w:t xml:space="preserve"> </w:t>
      </w:r>
      <w:r w:rsidRPr="00594E5E">
        <w:rPr>
          <w:rFonts w:ascii="Verdana" w:hAnsi="Verdana" w:eastAsia="Verdana" w:cs="Verdana"/>
          <w:sz w:val="20"/>
          <w:szCs w:val="20"/>
          <w:lang w:val="es-ES"/>
        </w:rPr>
        <w:t>de</w:t>
      </w:r>
      <w:r w:rsidRPr="00594E5E">
        <w:rPr>
          <w:rFonts w:ascii="Verdana" w:hAnsi="Verdana" w:eastAsia="Verdana" w:cs="Verdana"/>
          <w:spacing w:val="-14"/>
          <w:sz w:val="20"/>
          <w:szCs w:val="20"/>
          <w:lang w:val="es-ES"/>
        </w:rPr>
        <w:t xml:space="preserve"> </w:t>
      </w:r>
      <w:r w:rsidRPr="00594E5E">
        <w:rPr>
          <w:rFonts w:ascii="Verdana" w:hAnsi="Verdana" w:eastAsia="Verdana" w:cs="Verdana"/>
          <w:sz w:val="20"/>
          <w:szCs w:val="20"/>
          <w:lang w:val="es-ES"/>
        </w:rPr>
        <w:t>los</w:t>
      </w:r>
      <w:r w:rsidRPr="00594E5E">
        <w:rPr>
          <w:rFonts w:ascii="Verdana" w:hAnsi="Verdana" w:eastAsia="Verdana" w:cs="Verdana"/>
          <w:spacing w:val="-14"/>
          <w:sz w:val="20"/>
          <w:szCs w:val="20"/>
          <w:lang w:val="es-ES"/>
        </w:rPr>
        <w:t xml:space="preserve"> </w:t>
      </w:r>
      <w:r w:rsidRPr="00594E5E">
        <w:rPr>
          <w:rFonts w:ascii="Verdana" w:hAnsi="Verdana" w:eastAsia="Verdana" w:cs="Verdana"/>
          <w:sz w:val="20"/>
          <w:szCs w:val="20"/>
          <w:lang w:val="es-ES"/>
        </w:rPr>
        <w:t>Estados</w:t>
      </w:r>
      <w:r w:rsidRPr="00594E5E">
        <w:rPr>
          <w:rFonts w:ascii="Verdana" w:hAnsi="Verdana" w:eastAsia="Verdana" w:cs="Verdana"/>
          <w:spacing w:val="-13"/>
          <w:sz w:val="20"/>
          <w:szCs w:val="20"/>
          <w:lang w:val="es-ES"/>
        </w:rPr>
        <w:t xml:space="preserve"> </w:t>
      </w:r>
      <w:r w:rsidRPr="00594E5E">
        <w:rPr>
          <w:rFonts w:ascii="Verdana" w:hAnsi="Verdana" w:eastAsia="Verdana" w:cs="Verdana"/>
          <w:sz w:val="20"/>
          <w:szCs w:val="20"/>
          <w:lang w:val="es-ES"/>
        </w:rPr>
        <w:t>Unidos</w:t>
      </w:r>
      <w:r w:rsidRPr="00594E5E">
        <w:rPr>
          <w:rFonts w:ascii="Verdana" w:hAnsi="Verdana" w:eastAsia="Verdana" w:cs="Verdana"/>
          <w:spacing w:val="-13"/>
          <w:sz w:val="20"/>
          <w:szCs w:val="20"/>
          <w:lang w:val="es-ES"/>
        </w:rPr>
        <w:t xml:space="preserve"> </w:t>
      </w:r>
      <w:r w:rsidRPr="00594E5E">
        <w:rPr>
          <w:rFonts w:ascii="Verdana" w:hAnsi="Verdana" w:eastAsia="Verdana" w:cs="Verdana"/>
          <w:sz w:val="20"/>
          <w:szCs w:val="20"/>
          <w:lang w:val="es-ES"/>
        </w:rPr>
        <w:t>de</w:t>
      </w:r>
      <w:r w:rsidRPr="00594E5E">
        <w:rPr>
          <w:rFonts w:ascii="Verdana" w:hAnsi="Verdana" w:eastAsia="Verdana" w:cs="Verdana"/>
          <w:spacing w:val="-14"/>
          <w:sz w:val="20"/>
          <w:szCs w:val="20"/>
          <w:lang w:val="es-ES"/>
        </w:rPr>
        <w:t xml:space="preserve"> </w:t>
      </w:r>
      <w:r w:rsidRPr="00594E5E">
        <w:rPr>
          <w:rFonts w:ascii="Verdana" w:hAnsi="Verdana" w:eastAsia="Verdana" w:cs="Verdana"/>
          <w:sz w:val="20"/>
          <w:szCs w:val="20"/>
          <w:lang w:val="es-ES"/>
        </w:rPr>
        <w:t>América</w:t>
      </w:r>
      <w:r w:rsidRPr="00594E5E">
        <w:rPr>
          <w:rFonts w:ascii="Verdana" w:hAnsi="Verdana" w:eastAsia="Verdana" w:cs="Verdana"/>
          <w:spacing w:val="-13"/>
          <w:sz w:val="20"/>
          <w:szCs w:val="20"/>
          <w:lang w:val="es-ES"/>
        </w:rPr>
        <w:t xml:space="preserve"> </w:t>
      </w:r>
      <w:r w:rsidRPr="00594E5E">
        <w:rPr>
          <w:rFonts w:ascii="Verdana" w:hAnsi="Verdana" w:eastAsia="Verdana" w:cs="Verdana"/>
          <w:sz w:val="20"/>
          <w:szCs w:val="20"/>
          <w:lang w:val="es-ES"/>
        </w:rPr>
        <w:t>(US$125.000),</w:t>
      </w:r>
      <w:r w:rsidRPr="00594E5E">
        <w:rPr>
          <w:rFonts w:ascii="Verdana" w:hAnsi="Verdana" w:eastAsia="Verdana" w:cs="Verdana"/>
          <w:spacing w:val="-11"/>
          <w:sz w:val="20"/>
          <w:szCs w:val="20"/>
          <w:lang w:val="es-ES"/>
        </w:rPr>
        <w:t xml:space="preserve"> </w:t>
      </w:r>
      <w:r w:rsidRPr="00594E5E">
        <w:rPr>
          <w:rFonts w:ascii="Verdana" w:hAnsi="Verdana" w:eastAsia="Verdana" w:cs="Verdana"/>
          <w:sz w:val="20"/>
          <w:szCs w:val="20"/>
          <w:lang w:val="es-ES"/>
        </w:rPr>
        <w:t>liquidados</w:t>
      </w:r>
      <w:r w:rsidRPr="00594E5E">
        <w:rPr>
          <w:rFonts w:ascii="Verdana" w:hAnsi="Verdana" w:eastAsia="Verdana" w:cs="Verdana"/>
          <w:spacing w:val="-13"/>
          <w:sz w:val="20"/>
          <w:szCs w:val="20"/>
          <w:lang w:val="es-ES"/>
        </w:rPr>
        <w:t xml:space="preserve"> </w:t>
      </w:r>
      <w:r w:rsidRPr="00594E5E">
        <w:rPr>
          <w:rFonts w:ascii="Verdana" w:hAnsi="Verdana" w:eastAsia="Verdana" w:cs="Verdana"/>
          <w:sz w:val="20"/>
          <w:szCs w:val="20"/>
          <w:lang w:val="es-ES"/>
        </w:rPr>
        <w:t>con</w:t>
      </w:r>
      <w:r w:rsidRPr="00594E5E">
        <w:rPr>
          <w:rFonts w:ascii="Verdana" w:hAnsi="Verdana" w:eastAsia="Verdana" w:cs="Verdana"/>
          <w:spacing w:val="-14"/>
          <w:sz w:val="20"/>
          <w:szCs w:val="20"/>
          <w:lang w:val="es-ES"/>
        </w:rPr>
        <w:t xml:space="preserve"> </w:t>
      </w:r>
      <w:r w:rsidRPr="00594E5E">
        <w:rPr>
          <w:rFonts w:ascii="Verdana" w:hAnsi="Verdana" w:eastAsia="Verdana" w:cs="Verdana"/>
          <w:sz w:val="20"/>
          <w:szCs w:val="20"/>
          <w:lang w:val="es-ES"/>
        </w:rPr>
        <w:t>la tasa de cambio que para el efecto determina cada dos años el Ministerio de Comercio, Industria y Turismo.</w:t>
      </w:r>
    </w:p>
    <w:p w:rsidRPr="00594E5E" w:rsidR="004429DD" w:rsidP="004429DD" w:rsidRDefault="004429DD" w14:paraId="708EBFFE" w14:textId="77777777">
      <w:pPr>
        <w:widowControl w:val="0"/>
        <w:tabs>
          <w:tab w:val="left" w:pos="382"/>
        </w:tabs>
        <w:autoSpaceDE w:val="0"/>
        <w:autoSpaceDN w:val="0"/>
        <w:spacing w:after="0" w:line="240" w:lineRule="auto"/>
        <w:ind w:left="709" w:right="709"/>
        <w:jc w:val="both"/>
        <w:outlineLvl w:val="0"/>
        <w:rPr>
          <w:rFonts w:ascii="Verdana" w:hAnsi="Verdana" w:eastAsia="Verdana" w:cs="Verdana"/>
          <w:sz w:val="20"/>
          <w:szCs w:val="20"/>
          <w:lang w:val="es-ES"/>
        </w:rPr>
      </w:pPr>
    </w:p>
    <w:p w:rsidRPr="00594E5E" w:rsidR="004429DD" w:rsidP="004429DD" w:rsidRDefault="004429DD" w14:paraId="2F6866E4" w14:textId="77777777">
      <w:pPr>
        <w:widowControl w:val="0"/>
        <w:tabs>
          <w:tab w:val="left" w:pos="382"/>
        </w:tabs>
        <w:autoSpaceDE w:val="0"/>
        <w:autoSpaceDN w:val="0"/>
        <w:spacing w:after="0" w:line="240" w:lineRule="auto"/>
        <w:ind w:left="709" w:right="709"/>
        <w:jc w:val="both"/>
        <w:outlineLvl w:val="0"/>
        <w:rPr>
          <w:rFonts w:ascii="Verdana" w:hAnsi="Verdana" w:eastAsia="Verdana" w:cs="Verdana"/>
          <w:b/>
          <w:bCs/>
          <w:sz w:val="20"/>
          <w:szCs w:val="20"/>
          <w:lang w:val="es-ES"/>
        </w:rPr>
      </w:pPr>
      <w:r w:rsidRPr="00594E5E">
        <w:rPr>
          <w:rFonts w:ascii="Verdana" w:hAnsi="Verdana" w:eastAsia="Verdana" w:cs="Verdana"/>
          <w:sz w:val="20"/>
          <w:szCs w:val="20"/>
          <w:lang w:val="es-ES"/>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que</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ejecuten</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recursos</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públicos,</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deben</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recibir</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estas</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solicitudes por</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lo</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menos</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un</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(1)</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día</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hábil</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antes</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de</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la</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expedición</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del</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acto</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administrativo de</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apertura,</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o</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el</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que</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haga</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sus</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veces</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de</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acuerdo</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con</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la</w:t>
      </w:r>
      <w:r w:rsidRPr="00594E5E">
        <w:rPr>
          <w:rFonts w:ascii="Verdana" w:hAnsi="Verdana" w:eastAsia="Verdana" w:cs="Verdana"/>
          <w:spacing w:val="-17"/>
          <w:sz w:val="20"/>
          <w:szCs w:val="20"/>
          <w:lang w:val="es-ES"/>
        </w:rPr>
        <w:t xml:space="preserve"> </w:t>
      </w:r>
      <w:r w:rsidRPr="00594E5E">
        <w:rPr>
          <w:rFonts w:ascii="Verdana" w:hAnsi="Verdana" w:eastAsia="Verdana" w:cs="Verdana"/>
          <w:sz w:val="20"/>
          <w:szCs w:val="20"/>
          <w:lang w:val="es-ES"/>
        </w:rPr>
        <w:t>normativa</w:t>
      </w:r>
      <w:r w:rsidRPr="00594E5E">
        <w:rPr>
          <w:rFonts w:ascii="Verdana" w:hAnsi="Verdana" w:eastAsia="Verdana" w:cs="Verdana"/>
          <w:spacing w:val="-18"/>
          <w:sz w:val="20"/>
          <w:szCs w:val="20"/>
          <w:lang w:val="es-ES"/>
        </w:rPr>
        <w:t xml:space="preserve"> </w:t>
      </w:r>
      <w:r w:rsidRPr="00594E5E">
        <w:rPr>
          <w:rFonts w:ascii="Verdana" w:hAnsi="Verdana" w:eastAsia="Verdana" w:cs="Verdana"/>
          <w:sz w:val="20"/>
          <w:szCs w:val="20"/>
          <w:lang w:val="es-ES"/>
        </w:rPr>
        <w:t>aplicable a cada Proceso de Contratación. Tratándose de personas jurídicas, las solicitudes</w:t>
      </w:r>
      <w:r w:rsidRPr="00594E5E">
        <w:rPr>
          <w:rFonts w:ascii="Verdana" w:hAnsi="Verdana" w:eastAsia="Verdana" w:cs="Verdana"/>
          <w:spacing w:val="-6"/>
          <w:sz w:val="20"/>
          <w:szCs w:val="20"/>
          <w:lang w:val="es-ES"/>
        </w:rPr>
        <w:t xml:space="preserve"> </w:t>
      </w:r>
      <w:r w:rsidRPr="00594E5E">
        <w:rPr>
          <w:rFonts w:ascii="Verdana" w:hAnsi="Verdana" w:eastAsia="Verdana" w:cs="Verdana"/>
          <w:sz w:val="20"/>
          <w:szCs w:val="20"/>
          <w:lang w:val="es-ES"/>
        </w:rPr>
        <w:t>solo</w:t>
      </w:r>
      <w:r w:rsidRPr="00594E5E">
        <w:rPr>
          <w:rFonts w:ascii="Verdana" w:hAnsi="Verdana" w:eastAsia="Verdana" w:cs="Verdana"/>
          <w:spacing w:val="-8"/>
          <w:sz w:val="20"/>
          <w:szCs w:val="20"/>
          <w:lang w:val="es-ES"/>
        </w:rPr>
        <w:t xml:space="preserve"> </w:t>
      </w:r>
      <w:r w:rsidRPr="00594E5E">
        <w:rPr>
          <w:rFonts w:ascii="Verdana" w:hAnsi="Verdana" w:eastAsia="Verdana" w:cs="Verdana"/>
          <w:sz w:val="20"/>
          <w:szCs w:val="20"/>
          <w:lang w:val="es-ES"/>
        </w:rPr>
        <w:t>las</w:t>
      </w:r>
      <w:r w:rsidRPr="00594E5E">
        <w:rPr>
          <w:rFonts w:ascii="Verdana" w:hAnsi="Verdana" w:eastAsia="Verdana" w:cs="Verdana"/>
          <w:spacing w:val="-8"/>
          <w:sz w:val="20"/>
          <w:szCs w:val="20"/>
          <w:lang w:val="es-ES"/>
        </w:rPr>
        <w:t xml:space="preserve"> </w:t>
      </w:r>
      <w:r w:rsidRPr="00594E5E">
        <w:rPr>
          <w:rFonts w:ascii="Verdana" w:hAnsi="Verdana" w:eastAsia="Verdana" w:cs="Verdana"/>
          <w:sz w:val="20"/>
          <w:szCs w:val="20"/>
          <w:lang w:val="es-ES"/>
        </w:rPr>
        <w:t>podrán</w:t>
      </w:r>
      <w:r w:rsidRPr="00594E5E">
        <w:rPr>
          <w:rFonts w:ascii="Verdana" w:hAnsi="Verdana" w:eastAsia="Verdana" w:cs="Verdana"/>
          <w:spacing w:val="-7"/>
          <w:sz w:val="20"/>
          <w:szCs w:val="20"/>
          <w:lang w:val="es-ES"/>
        </w:rPr>
        <w:t xml:space="preserve"> </w:t>
      </w:r>
      <w:r w:rsidRPr="00594E5E">
        <w:rPr>
          <w:rFonts w:ascii="Verdana" w:hAnsi="Verdana" w:eastAsia="Verdana" w:cs="Verdana"/>
          <w:sz w:val="20"/>
          <w:szCs w:val="20"/>
          <w:lang w:val="es-ES"/>
        </w:rPr>
        <w:t>realizar</w:t>
      </w:r>
      <w:r w:rsidRPr="00594E5E">
        <w:rPr>
          <w:rFonts w:ascii="Verdana" w:hAnsi="Verdana" w:eastAsia="Verdana" w:cs="Verdana"/>
          <w:spacing w:val="-6"/>
          <w:sz w:val="20"/>
          <w:szCs w:val="20"/>
          <w:lang w:val="es-ES"/>
        </w:rPr>
        <w:t xml:space="preserve"> </w:t>
      </w:r>
      <w:r w:rsidRPr="00594E5E">
        <w:rPr>
          <w:rFonts w:ascii="Verdana" w:hAnsi="Verdana" w:eastAsia="Verdana" w:cs="Verdana"/>
          <w:sz w:val="20"/>
          <w:szCs w:val="20"/>
          <w:lang w:val="es-ES"/>
        </w:rPr>
        <w:t>Mipyme,</w:t>
      </w:r>
      <w:r w:rsidRPr="00594E5E">
        <w:rPr>
          <w:rFonts w:ascii="Verdana" w:hAnsi="Verdana" w:eastAsia="Verdana" w:cs="Verdana"/>
          <w:spacing w:val="-9"/>
          <w:sz w:val="20"/>
          <w:szCs w:val="20"/>
          <w:lang w:val="es-ES"/>
        </w:rPr>
        <w:t xml:space="preserve"> </w:t>
      </w:r>
      <w:r w:rsidRPr="00594E5E">
        <w:rPr>
          <w:rFonts w:ascii="Verdana" w:hAnsi="Verdana" w:eastAsia="Verdana" w:cs="Verdana"/>
          <w:sz w:val="20"/>
          <w:szCs w:val="20"/>
          <w:lang w:val="es-ES"/>
        </w:rPr>
        <w:t>cuyo</w:t>
      </w:r>
      <w:r w:rsidRPr="00594E5E">
        <w:rPr>
          <w:rFonts w:ascii="Verdana" w:hAnsi="Verdana" w:eastAsia="Verdana" w:cs="Verdana"/>
          <w:spacing w:val="-7"/>
          <w:sz w:val="20"/>
          <w:szCs w:val="20"/>
          <w:lang w:val="es-ES"/>
        </w:rPr>
        <w:t xml:space="preserve"> </w:t>
      </w:r>
      <w:r w:rsidRPr="00594E5E">
        <w:rPr>
          <w:rFonts w:ascii="Verdana" w:hAnsi="Verdana" w:eastAsia="Verdana" w:cs="Verdana"/>
          <w:sz w:val="20"/>
          <w:szCs w:val="20"/>
          <w:lang w:val="es-ES"/>
        </w:rPr>
        <w:t>objeto</w:t>
      </w:r>
      <w:r w:rsidRPr="00594E5E">
        <w:rPr>
          <w:rFonts w:ascii="Verdana" w:hAnsi="Verdana" w:eastAsia="Verdana" w:cs="Verdana"/>
          <w:spacing w:val="-7"/>
          <w:sz w:val="20"/>
          <w:szCs w:val="20"/>
          <w:lang w:val="es-ES"/>
        </w:rPr>
        <w:t xml:space="preserve"> </w:t>
      </w:r>
      <w:r w:rsidRPr="00594E5E">
        <w:rPr>
          <w:rFonts w:ascii="Verdana" w:hAnsi="Verdana" w:eastAsia="Verdana" w:cs="Verdana"/>
          <w:sz w:val="20"/>
          <w:szCs w:val="20"/>
          <w:lang w:val="es-ES"/>
        </w:rPr>
        <w:t>social</w:t>
      </w:r>
      <w:r w:rsidRPr="00594E5E">
        <w:rPr>
          <w:rFonts w:ascii="Verdana" w:hAnsi="Verdana" w:eastAsia="Verdana" w:cs="Verdana"/>
          <w:spacing w:val="-7"/>
          <w:sz w:val="20"/>
          <w:szCs w:val="20"/>
          <w:lang w:val="es-ES"/>
        </w:rPr>
        <w:t xml:space="preserve"> </w:t>
      </w:r>
      <w:r w:rsidRPr="00594E5E">
        <w:rPr>
          <w:rFonts w:ascii="Verdana" w:hAnsi="Verdana" w:eastAsia="Verdana" w:cs="Verdana"/>
          <w:sz w:val="20"/>
          <w:szCs w:val="20"/>
          <w:lang w:val="es-ES"/>
        </w:rPr>
        <w:t>les</w:t>
      </w:r>
      <w:r w:rsidRPr="00594E5E">
        <w:rPr>
          <w:rFonts w:ascii="Verdana" w:hAnsi="Verdana" w:eastAsia="Verdana" w:cs="Verdana"/>
          <w:spacing w:val="-8"/>
          <w:sz w:val="20"/>
          <w:szCs w:val="20"/>
          <w:lang w:val="es-ES"/>
        </w:rPr>
        <w:t xml:space="preserve"> </w:t>
      </w:r>
      <w:r w:rsidRPr="00594E5E">
        <w:rPr>
          <w:rFonts w:ascii="Verdana" w:hAnsi="Verdana" w:eastAsia="Verdana" w:cs="Verdana"/>
          <w:sz w:val="20"/>
          <w:szCs w:val="20"/>
          <w:lang w:val="es-ES"/>
        </w:rPr>
        <w:t>permita ejecutar el contrato relacionado con el proceso contractual.</w:t>
      </w:r>
    </w:p>
    <w:p w:rsidRPr="00594E5E" w:rsidR="004429DD" w:rsidP="004429DD" w:rsidRDefault="004429DD" w14:paraId="533FF6CB" w14:textId="77777777">
      <w:pPr>
        <w:widowControl w:val="0"/>
        <w:tabs>
          <w:tab w:val="left" w:pos="382"/>
        </w:tabs>
        <w:autoSpaceDE w:val="0"/>
        <w:autoSpaceDN w:val="0"/>
        <w:spacing w:after="0" w:line="240" w:lineRule="auto"/>
        <w:ind w:left="709" w:right="709"/>
        <w:jc w:val="both"/>
        <w:outlineLvl w:val="0"/>
        <w:rPr>
          <w:rFonts w:ascii="Verdana" w:hAnsi="Verdana" w:eastAsia="Verdana" w:cs="Verdana"/>
          <w:sz w:val="20"/>
          <w:szCs w:val="20"/>
          <w:lang w:val="es-ES"/>
        </w:rPr>
      </w:pPr>
    </w:p>
    <w:p w:rsidRPr="00594E5E" w:rsidR="004429DD" w:rsidP="004429DD" w:rsidRDefault="004429DD" w14:paraId="57EBABE7" w14:textId="77777777">
      <w:pPr>
        <w:widowControl w:val="0"/>
        <w:tabs>
          <w:tab w:val="left" w:pos="382"/>
        </w:tabs>
        <w:autoSpaceDE w:val="0"/>
        <w:autoSpaceDN w:val="0"/>
        <w:spacing w:after="0" w:line="240" w:lineRule="auto"/>
        <w:ind w:left="709" w:right="709"/>
        <w:jc w:val="both"/>
        <w:outlineLvl w:val="0"/>
        <w:rPr>
          <w:rFonts w:ascii="Verdana" w:hAnsi="Verdana" w:eastAsia="Verdana" w:cs="Verdana"/>
          <w:b/>
          <w:bCs/>
          <w:lang w:val="es-ES"/>
        </w:rPr>
      </w:pPr>
      <w:r w:rsidRPr="00594E5E">
        <w:rPr>
          <w:rFonts w:ascii="Verdana" w:hAnsi="Verdana" w:eastAsia="Verdana" w:cs="Verdana"/>
          <w:sz w:val="20"/>
          <w:szCs w:val="20"/>
          <w:lang w:val="es-ES"/>
        </w:rPr>
        <w:t>Parágrafo. Las cooperativas y demás entidades de economía solidaria, siempre</w:t>
      </w:r>
      <w:r w:rsidRPr="00594E5E">
        <w:rPr>
          <w:rFonts w:ascii="Verdana" w:hAnsi="Verdana" w:eastAsia="Verdana" w:cs="Verdana"/>
          <w:spacing w:val="-3"/>
          <w:sz w:val="20"/>
          <w:szCs w:val="20"/>
          <w:lang w:val="es-ES"/>
        </w:rPr>
        <w:t xml:space="preserve"> </w:t>
      </w:r>
      <w:r w:rsidRPr="00594E5E">
        <w:rPr>
          <w:rFonts w:ascii="Verdana" w:hAnsi="Verdana" w:eastAsia="Verdana" w:cs="Verdana"/>
          <w:sz w:val="20"/>
          <w:szCs w:val="20"/>
          <w:lang w:val="es-ES"/>
        </w:rPr>
        <w:t>que</w:t>
      </w:r>
      <w:r w:rsidRPr="00594E5E">
        <w:rPr>
          <w:rFonts w:ascii="Verdana" w:hAnsi="Verdana" w:eastAsia="Verdana" w:cs="Verdana"/>
          <w:spacing w:val="-4"/>
          <w:sz w:val="20"/>
          <w:szCs w:val="20"/>
          <w:lang w:val="es-ES"/>
        </w:rPr>
        <w:t xml:space="preserve"> </w:t>
      </w:r>
      <w:r w:rsidRPr="00594E5E">
        <w:rPr>
          <w:rFonts w:ascii="Verdana" w:hAnsi="Verdana" w:eastAsia="Verdana" w:cs="Verdana"/>
          <w:sz w:val="20"/>
          <w:szCs w:val="20"/>
          <w:lang w:val="es-ES"/>
        </w:rPr>
        <w:t>tengan</w:t>
      </w:r>
      <w:r w:rsidRPr="00594E5E">
        <w:rPr>
          <w:rFonts w:ascii="Verdana" w:hAnsi="Verdana" w:eastAsia="Verdana" w:cs="Verdana"/>
          <w:spacing w:val="-3"/>
          <w:sz w:val="20"/>
          <w:szCs w:val="20"/>
          <w:lang w:val="es-ES"/>
        </w:rPr>
        <w:t xml:space="preserve"> </w:t>
      </w:r>
      <w:r w:rsidRPr="00594E5E">
        <w:rPr>
          <w:rFonts w:ascii="Verdana" w:hAnsi="Verdana" w:eastAsia="Verdana" w:cs="Verdana"/>
          <w:sz w:val="20"/>
          <w:szCs w:val="20"/>
          <w:lang w:val="es-ES"/>
        </w:rPr>
        <w:t>la</w:t>
      </w:r>
      <w:r w:rsidRPr="00594E5E">
        <w:rPr>
          <w:rFonts w:ascii="Verdana" w:hAnsi="Verdana" w:eastAsia="Verdana" w:cs="Verdana"/>
          <w:spacing w:val="-5"/>
          <w:sz w:val="20"/>
          <w:szCs w:val="20"/>
          <w:lang w:val="es-ES"/>
        </w:rPr>
        <w:t xml:space="preserve"> </w:t>
      </w:r>
      <w:r w:rsidRPr="00594E5E">
        <w:rPr>
          <w:rFonts w:ascii="Verdana" w:hAnsi="Verdana" w:eastAsia="Verdana" w:cs="Verdana"/>
          <w:sz w:val="20"/>
          <w:szCs w:val="20"/>
          <w:lang w:val="es-ES"/>
        </w:rPr>
        <w:t>calidad</w:t>
      </w:r>
      <w:r w:rsidRPr="00594E5E">
        <w:rPr>
          <w:rFonts w:ascii="Verdana" w:hAnsi="Verdana" w:eastAsia="Verdana" w:cs="Verdana"/>
          <w:spacing w:val="-3"/>
          <w:sz w:val="20"/>
          <w:szCs w:val="20"/>
          <w:lang w:val="es-ES"/>
        </w:rPr>
        <w:t xml:space="preserve"> </w:t>
      </w:r>
      <w:r w:rsidRPr="00594E5E">
        <w:rPr>
          <w:rFonts w:ascii="Verdana" w:hAnsi="Verdana" w:eastAsia="Verdana" w:cs="Verdana"/>
          <w:sz w:val="20"/>
          <w:szCs w:val="20"/>
          <w:lang w:val="es-ES"/>
        </w:rPr>
        <w:t>de</w:t>
      </w:r>
      <w:r w:rsidRPr="00594E5E">
        <w:rPr>
          <w:rFonts w:ascii="Verdana" w:hAnsi="Verdana" w:eastAsia="Verdana" w:cs="Verdana"/>
          <w:spacing w:val="-5"/>
          <w:sz w:val="20"/>
          <w:szCs w:val="20"/>
          <w:lang w:val="es-ES"/>
        </w:rPr>
        <w:t xml:space="preserve"> </w:t>
      </w:r>
      <w:r w:rsidRPr="00594E5E">
        <w:rPr>
          <w:rFonts w:ascii="Verdana" w:hAnsi="Verdana" w:eastAsia="Verdana" w:cs="Verdana"/>
          <w:sz w:val="20"/>
          <w:szCs w:val="20"/>
          <w:lang w:val="es-ES"/>
        </w:rPr>
        <w:t>Mipyme,</w:t>
      </w:r>
      <w:r w:rsidRPr="00594E5E">
        <w:rPr>
          <w:rFonts w:ascii="Verdana" w:hAnsi="Verdana" w:eastAsia="Verdana" w:cs="Verdana"/>
          <w:spacing w:val="-5"/>
          <w:sz w:val="20"/>
          <w:szCs w:val="20"/>
          <w:lang w:val="es-ES"/>
        </w:rPr>
        <w:t xml:space="preserve"> </w:t>
      </w:r>
      <w:r w:rsidRPr="00594E5E">
        <w:rPr>
          <w:rFonts w:ascii="Verdana" w:hAnsi="Verdana" w:eastAsia="Verdana" w:cs="Verdana"/>
          <w:sz w:val="20"/>
          <w:szCs w:val="20"/>
          <w:lang w:val="es-ES"/>
        </w:rPr>
        <w:t>podrán</w:t>
      </w:r>
      <w:r w:rsidRPr="00594E5E">
        <w:rPr>
          <w:rFonts w:ascii="Verdana" w:hAnsi="Verdana" w:eastAsia="Verdana" w:cs="Verdana"/>
          <w:spacing w:val="-3"/>
          <w:sz w:val="20"/>
          <w:szCs w:val="20"/>
          <w:lang w:val="es-ES"/>
        </w:rPr>
        <w:t xml:space="preserve"> </w:t>
      </w:r>
      <w:r w:rsidRPr="00594E5E">
        <w:rPr>
          <w:rFonts w:ascii="Verdana" w:hAnsi="Verdana" w:eastAsia="Verdana" w:cs="Verdana"/>
          <w:sz w:val="20"/>
          <w:szCs w:val="20"/>
          <w:lang w:val="es-ES"/>
        </w:rPr>
        <w:t>solicitar</w:t>
      </w:r>
      <w:r w:rsidRPr="00594E5E">
        <w:rPr>
          <w:rFonts w:ascii="Verdana" w:hAnsi="Verdana" w:eastAsia="Verdana" w:cs="Verdana"/>
          <w:spacing w:val="-2"/>
          <w:sz w:val="20"/>
          <w:szCs w:val="20"/>
          <w:lang w:val="es-ES"/>
        </w:rPr>
        <w:t xml:space="preserve"> </w:t>
      </w:r>
      <w:r w:rsidRPr="00594E5E">
        <w:rPr>
          <w:rFonts w:ascii="Verdana" w:hAnsi="Verdana" w:eastAsia="Verdana" w:cs="Verdana"/>
          <w:sz w:val="20"/>
          <w:szCs w:val="20"/>
          <w:lang w:val="es-ES"/>
        </w:rPr>
        <w:t>y</w:t>
      </w:r>
      <w:r w:rsidRPr="00594E5E">
        <w:rPr>
          <w:rFonts w:ascii="Verdana" w:hAnsi="Verdana" w:eastAsia="Verdana" w:cs="Verdana"/>
          <w:spacing w:val="-5"/>
          <w:sz w:val="20"/>
          <w:szCs w:val="20"/>
          <w:lang w:val="es-ES"/>
        </w:rPr>
        <w:t xml:space="preserve"> </w:t>
      </w:r>
      <w:r w:rsidRPr="00594E5E">
        <w:rPr>
          <w:rFonts w:ascii="Verdana" w:hAnsi="Verdana" w:eastAsia="Verdana" w:cs="Verdana"/>
          <w:sz w:val="20"/>
          <w:szCs w:val="20"/>
          <w:lang w:val="es-ES"/>
        </w:rPr>
        <w:t>participar</w:t>
      </w:r>
      <w:r w:rsidRPr="00594E5E">
        <w:rPr>
          <w:rFonts w:ascii="Verdana" w:hAnsi="Verdana" w:eastAsia="Verdana" w:cs="Verdana"/>
          <w:spacing w:val="-2"/>
          <w:sz w:val="20"/>
          <w:szCs w:val="20"/>
          <w:lang w:val="es-ES"/>
        </w:rPr>
        <w:t xml:space="preserve"> </w:t>
      </w:r>
      <w:r w:rsidRPr="00594E5E">
        <w:rPr>
          <w:rFonts w:ascii="Verdana" w:hAnsi="Verdana" w:eastAsia="Verdana" w:cs="Verdana"/>
          <w:sz w:val="20"/>
          <w:szCs w:val="20"/>
          <w:lang w:val="es-ES"/>
        </w:rPr>
        <w:t xml:space="preserve">en las convocatorias limitadas en las mismas condiciones dispuestas en el </w:t>
      </w:r>
      <w:r w:rsidRPr="00594E5E">
        <w:rPr>
          <w:rFonts w:ascii="Verdana" w:hAnsi="Verdana" w:eastAsia="Verdana" w:cs="Verdana"/>
          <w:sz w:val="20"/>
          <w:szCs w:val="20"/>
          <w:lang w:val="es-ES"/>
        </w:rPr>
        <w:lastRenderedPageBreak/>
        <w:t>presente artículo”.</w:t>
      </w:r>
    </w:p>
    <w:p w:rsidR="004429DD" w:rsidP="004429DD" w:rsidRDefault="004429DD" w14:paraId="072E94D0" w14:textId="77777777">
      <w:pPr>
        <w:spacing w:after="0" w:line="276" w:lineRule="auto"/>
        <w:ind w:firstLine="708"/>
        <w:jc w:val="both"/>
        <w:rPr>
          <w:rFonts w:ascii="Verdana" w:hAnsi="Verdana"/>
          <w:lang w:val="es-ES"/>
        </w:rPr>
      </w:pPr>
    </w:p>
    <w:p w:rsidRPr="0022587E" w:rsidR="004429DD" w:rsidP="004429DD" w:rsidRDefault="004429DD" w14:paraId="210FA583" w14:textId="77777777">
      <w:pPr>
        <w:spacing w:after="120" w:line="276" w:lineRule="auto"/>
        <w:ind w:firstLine="708"/>
        <w:jc w:val="both"/>
        <w:rPr>
          <w:rFonts w:ascii="Verdana" w:hAnsi="Verdana"/>
          <w:lang w:val="es-ES"/>
        </w:rPr>
      </w:pPr>
      <w:r w:rsidRPr="0022587E">
        <w:rPr>
          <w:rFonts w:ascii="Verdana" w:hAnsi="Verdana"/>
          <w:lang w:val="es-ES"/>
        </w:rPr>
        <w:t xml:space="preserve">Según se evidencia, el numeral primero del </w:t>
      </w:r>
      <w:r w:rsidRPr="0022587E">
        <w:rPr>
          <w:rFonts w:ascii="Verdana" w:hAnsi="Verdana"/>
          <w:lang w:val="es-ES_tradnl"/>
        </w:rPr>
        <w:t xml:space="preserve">artículo 2.2.1.2.4.2.2 del Decreto 1082 de 2015 </w:t>
      </w:r>
      <w:r w:rsidRPr="0022587E">
        <w:rPr>
          <w:rFonts w:ascii="Verdana" w:hAnsi="Verdana"/>
          <w:lang w:val="es-ES"/>
        </w:rPr>
        <w:t>limita cuantitativamente los procesos contractuales para las convocatorias limitadas a Mipyme, puesto que el valor del proceso de contratación debe ser “menor a ciento veinticinco mil dólares de los Estados Unidos de América”. Esto de acuerdo con la tasa que determine cada dos</w:t>
      </w:r>
      <w:r>
        <w:rPr>
          <w:rFonts w:ascii="Verdana" w:hAnsi="Verdana"/>
          <w:lang w:val="es-ES"/>
        </w:rPr>
        <w:t xml:space="preserve"> (2)</w:t>
      </w:r>
      <w:r w:rsidRPr="0022587E">
        <w:rPr>
          <w:rFonts w:ascii="Verdana" w:hAnsi="Verdana"/>
          <w:lang w:val="es-ES"/>
        </w:rPr>
        <w:t xml:space="preserve"> años el Ministerio de Comercio, Industria y Turismo. </w:t>
      </w:r>
      <w:r>
        <w:rPr>
          <w:rFonts w:ascii="Verdana" w:hAnsi="Verdana"/>
          <w:lang w:val="es-ES"/>
        </w:rPr>
        <w:t>E</w:t>
      </w:r>
      <w:r w:rsidRPr="0022587E">
        <w:rPr>
          <w:rFonts w:ascii="Verdana" w:hAnsi="Verdana"/>
          <w:lang w:val="es-ES"/>
        </w:rPr>
        <w:t>l numeral segundo establece</w:t>
      </w:r>
      <w:r>
        <w:rPr>
          <w:rFonts w:ascii="Verdana" w:hAnsi="Verdana"/>
          <w:lang w:val="es-ES"/>
        </w:rPr>
        <w:t>, por un lado,</w:t>
      </w:r>
      <w:r w:rsidRPr="0022587E">
        <w:rPr>
          <w:rFonts w:ascii="Verdana" w:hAnsi="Verdana"/>
          <w:lang w:val="es-ES"/>
        </w:rPr>
        <w:t xml:space="preserve"> que al menos dos (2) Mi</w:t>
      </w:r>
      <w:r>
        <w:rPr>
          <w:rFonts w:ascii="Verdana" w:hAnsi="Verdana"/>
          <w:lang w:val="es-ES"/>
        </w:rPr>
        <w:t>p</w:t>
      </w:r>
      <w:r w:rsidRPr="0022587E">
        <w:rPr>
          <w:rFonts w:ascii="Verdana" w:hAnsi="Verdana"/>
          <w:lang w:val="es-ES"/>
        </w:rPr>
        <w:t xml:space="preserve">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rsidRPr="0022587E" w:rsidR="004429DD" w:rsidP="004429DD" w:rsidRDefault="004429DD" w14:paraId="704D6409" w14:textId="46C88E2C">
      <w:pPr>
        <w:spacing w:after="120" w:line="276" w:lineRule="auto"/>
        <w:ind w:firstLine="708"/>
        <w:jc w:val="both"/>
        <w:rPr>
          <w:rFonts w:ascii="Verdana" w:hAnsi="Verdana" w:eastAsia="Calibri" w:cs="Arial"/>
          <w:color w:val="000000" w:themeColor="text1"/>
        </w:rPr>
      </w:pPr>
      <w:r w:rsidRPr="0022587E">
        <w:rPr>
          <w:rFonts w:ascii="Verdana" w:hAnsi="Verdana"/>
          <w:lang w:val="es-ES"/>
        </w:rPr>
        <w:t>Asimism</w:t>
      </w:r>
      <w:r>
        <w:rPr>
          <w:rFonts w:ascii="Verdana" w:hAnsi="Verdana"/>
          <w:lang w:val="es-ES"/>
        </w:rPr>
        <w:t>o, la norma dispone</w:t>
      </w:r>
      <w:r w:rsidRPr="0022587E">
        <w:rPr>
          <w:rFonts w:ascii="Verdana" w:hAnsi="Verdana"/>
          <w:lang w:val="es-ES"/>
        </w:rPr>
        <w:t xml:space="preserve"> que, tratándose de personas jurídicas, las solicitudes solo las podrán realizar la</w:t>
      </w:r>
      <w:r>
        <w:rPr>
          <w:rFonts w:ascii="Verdana" w:hAnsi="Verdana"/>
          <w:lang w:val="es-ES"/>
        </w:rPr>
        <w:t>s</w:t>
      </w:r>
      <w:r w:rsidRPr="0022587E">
        <w:rPr>
          <w:rFonts w:ascii="Verdana" w:hAnsi="Verdana"/>
          <w:lang w:val="es-ES"/>
        </w:rPr>
        <w:t xml:space="preserve"> Mipyme</w:t>
      </w:r>
      <w:r>
        <w:rPr>
          <w:rFonts w:ascii="Verdana" w:hAnsi="Verdana"/>
          <w:lang w:val="es-ES"/>
        </w:rPr>
        <w:t xml:space="preserve"> </w:t>
      </w:r>
      <w:r w:rsidRPr="0022587E">
        <w:rPr>
          <w:rFonts w:ascii="Verdana" w:hAnsi="Verdana"/>
          <w:lang w:val="es-ES"/>
        </w:rPr>
        <w:t xml:space="preserve">cuyo objeto social les permita ejecutar el contrato relacionado con el proceso contractual. </w:t>
      </w:r>
      <w:r w:rsidRPr="0022587E">
        <w:rPr>
          <w:rFonts w:ascii="Verdana" w:hAnsi="Verdana" w:eastAsia="Calibri" w:cs="Arial"/>
          <w:color w:val="000000" w:themeColor="text1"/>
        </w:rPr>
        <w:t xml:space="preserve">En relación con la posibilidad que una sociedad por acciones simplificada pueda solicitar la limitación de la convocatoria a Mipyme debido a la necesidad de que el objeto social </w:t>
      </w:r>
      <w:r w:rsidRPr="0022587E">
        <w:rPr>
          <w:rFonts w:ascii="Verdana" w:hAnsi="Verdana"/>
          <w:lang w:val="es-ES"/>
        </w:rPr>
        <w:t xml:space="preserve">les permita ejecutar el contrato relacionado con el proceso contractual debe señalarse que, </w:t>
      </w:r>
      <w:r w:rsidRPr="0022587E">
        <w:rPr>
          <w:rFonts w:ascii="Verdana" w:hAnsi="Verdana" w:eastAsia="Calibri" w:cs="Arial"/>
          <w:color w:val="000000" w:themeColor="text1"/>
        </w:rPr>
        <w:t xml:space="preserve">la capacidad </w:t>
      </w:r>
      <w:r w:rsidRPr="0022587E" w:rsidR="00F11C93">
        <w:rPr>
          <w:rFonts w:ascii="Verdana" w:hAnsi="Verdana" w:eastAsia="Calibri" w:cs="Arial"/>
          <w:color w:val="000000" w:themeColor="text1"/>
        </w:rPr>
        <w:t>jurídica</w:t>
      </w:r>
      <w:r w:rsidRPr="0022587E">
        <w:rPr>
          <w:rFonts w:ascii="Verdana" w:hAnsi="Verdana" w:eastAsia="Calibri" w:cs="Arial"/>
          <w:color w:val="000000" w:themeColor="text1"/>
        </w:rPr>
        <w:t xml:space="preserve"> de las </w:t>
      </w:r>
      <w:r w:rsidRPr="0022587E">
        <w:rPr>
          <w:rFonts w:ascii="Verdana" w:hAnsi="Verdana" w:eastAsia="Calibri" w:cs="Arial"/>
          <w:i/>
          <w:iCs/>
          <w:color w:val="000000" w:themeColor="text1"/>
        </w:rPr>
        <w:t>personas jurídicas</w:t>
      </w:r>
      <w:r w:rsidRPr="0022587E">
        <w:rPr>
          <w:rFonts w:ascii="Verdana" w:hAnsi="Verdana" w:eastAsia="Calibri" w:cs="Arial"/>
          <w:color w:val="000000" w:themeColor="text1"/>
        </w:rPr>
        <w:t xml:space="preserve"> se circunscribe a las actividades principales y conexas del objeto social. </w:t>
      </w:r>
    </w:p>
    <w:p w:rsidRPr="0022587E" w:rsidR="004429DD" w:rsidP="004429DD" w:rsidRDefault="004429DD" w14:paraId="6403981E" w14:textId="77777777">
      <w:pPr>
        <w:spacing w:after="120" w:line="276" w:lineRule="auto"/>
        <w:ind w:firstLine="708"/>
        <w:jc w:val="both"/>
        <w:rPr>
          <w:rFonts w:ascii="Verdana" w:hAnsi="Verdana"/>
          <w:lang w:val="es-ES"/>
        </w:rPr>
      </w:pPr>
      <w:r w:rsidRPr="0022587E">
        <w:rPr>
          <w:rFonts w:ascii="Verdana" w:hAnsi="Verdana" w:eastAsia="Calibri" w:cs="Arial"/>
          <w:color w:val="000000" w:themeColor="text1"/>
        </w:rPr>
        <w:t>Las primeras constituyen la verdadera labor empresarial del ente societario, es decir, la “[…] actividad económica organizada para la producción, transformación, circulación, administración o custodia de bienes, o para la prestación de servicios […]” en los términos del artículo 25 del Código de Comercio: su explotación rentable contribuye al ánimo de lucro de quienes tengan la calidad de socios, accionistas o constituyentes. Por su parte, las segundas son aquellas que complementan, facilitan o guardan relación directa con las actividades principales, por lo que contribuyen al cumplimiento de los fines principales de la empresa, así como los necesarios para el ejercicio de los derechos de la sociedad o para cumplir obligaciones derivadas de su existencia o actividad</w:t>
      </w:r>
      <w:r w:rsidRPr="0022587E">
        <w:rPr>
          <w:rStyle w:val="Refdenotaalpie"/>
          <w:rFonts w:ascii="Verdana" w:hAnsi="Verdana" w:eastAsia="Calibri" w:cs="Arial"/>
          <w:color w:val="000000" w:themeColor="text1"/>
        </w:rPr>
        <w:footnoteReference w:id="1"/>
      </w:r>
      <w:r w:rsidRPr="0022587E">
        <w:rPr>
          <w:rFonts w:ascii="Verdana" w:hAnsi="Verdana" w:eastAsia="Calibri" w:cs="Arial"/>
          <w:color w:val="000000" w:themeColor="text1"/>
        </w:rPr>
        <w:t xml:space="preserve">. Estas limitaciones a la capacidad se justifican en la medida que "[…] </w:t>
      </w:r>
      <w:r w:rsidRPr="0022587E">
        <w:rPr>
          <w:rFonts w:ascii="Verdana" w:hAnsi="Verdana" w:eastAsia="Calibri" w:cs="Arial"/>
          <w:color w:val="000000" w:themeColor="text1"/>
        </w:rPr>
        <w:lastRenderedPageBreak/>
        <w:t>los aportes al fondo social se hacen precisamente para los negocios sociales y, por eso, no pueden ser distraídos en actividades distintas, para no desvirtuar y dejar de cumplir el contrato social”</w:t>
      </w:r>
      <w:r w:rsidRPr="0022587E">
        <w:rPr>
          <w:rStyle w:val="Refdenotaalpie"/>
          <w:rFonts w:ascii="Verdana" w:hAnsi="Verdana" w:eastAsia="Calibri" w:cs="Arial"/>
          <w:color w:val="000000" w:themeColor="text1"/>
        </w:rPr>
        <w:footnoteReference w:id="2"/>
      </w:r>
      <w:r w:rsidRPr="0022587E">
        <w:rPr>
          <w:rFonts w:ascii="Verdana" w:hAnsi="Verdana" w:eastAsia="Calibri" w:cs="Arial"/>
          <w:color w:val="000000" w:themeColor="text1"/>
        </w:rPr>
        <w:t>.</w:t>
      </w:r>
    </w:p>
    <w:p w:rsidRPr="0022587E" w:rsidR="004429DD" w:rsidP="004429DD" w:rsidRDefault="004429DD" w14:paraId="78EF91A2" w14:textId="77777777">
      <w:pPr>
        <w:pBdr>
          <w:top w:val="nil"/>
          <w:left w:val="nil"/>
          <w:bottom w:val="nil"/>
          <w:right w:val="nil"/>
          <w:between w:val="nil"/>
        </w:pBdr>
        <w:spacing w:after="120" w:line="276" w:lineRule="auto"/>
        <w:ind w:firstLine="708"/>
        <w:jc w:val="both"/>
        <w:rPr>
          <w:rFonts w:ascii="Verdana" w:hAnsi="Verdana" w:eastAsia="Calibri" w:cs="Arial"/>
          <w:color w:val="000000" w:themeColor="text1"/>
        </w:rPr>
      </w:pPr>
      <w:r w:rsidRPr="0022587E">
        <w:rPr>
          <w:rFonts w:ascii="Verdana" w:hAnsi="Verdana" w:eastAsia="Calibri" w:cs="Arial"/>
          <w:color w:val="000000" w:themeColor="text1"/>
        </w:rPr>
        <w:t>Aunque lo descrito en los párrafos precedentes constituye la regla general, excepcionalmente el ordenamiento jurídico permite la constitución de personas jurídicas con objeto indeterminado. Este es el caso de las sociedades por acciones simplificadas, especialmente,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sidRPr="0022587E">
        <w:rPr>
          <w:rStyle w:val="Refdenotaalpie"/>
          <w:rFonts w:ascii="Verdana" w:hAnsi="Verdana" w:eastAsia="Calibri" w:cs="Arial"/>
          <w:color w:val="000000" w:themeColor="text1"/>
        </w:rPr>
        <w:footnoteReference w:id="3"/>
      </w:r>
      <w:r w:rsidRPr="0022587E">
        <w:rPr>
          <w:rFonts w:ascii="Verdana" w:hAnsi="Verdana" w:eastAsia="Calibri" w:cs="Arial"/>
          <w:color w:val="000000" w:themeColor="text1"/>
        </w:rPr>
        <w:t>. En ese sen</w:t>
      </w:r>
      <w:r>
        <w:rPr>
          <w:rFonts w:ascii="Verdana" w:hAnsi="Verdana" w:eastAsia="Calibri" w:cs="Arial"/>
          <w:color w:val="000000" w:themeColor="text1"/>
        </w:rPr>
        <w:t xml:space="preserve">tido, </w:t>
      </w:r>
      <w:r w:rsidRPr="0022587E">
        <w:rPr>
          <w:rFonts w:ascii="Verdana" w:hAnsi="Verdana" w:eastAsia="Calibri" w:cs="Arial"/>
          <w:color w:val="000000" w:themeColor="text1"/>
        </w:rPr>
        <w:t>debe señalarse que, las sociedades con objeto indeterminado –como las sociedades por acciones simplificadas– pueden solicitar la limitación de la convocatoria a Mipymes,</w:t>
      </w:r>
      <w:r w:rsidRPr="0022587E">
        <w:rPr>
          <w:rFonts w:ascii="Verdana" w:hAnsi="Verdana" w:eastAsia="Times New Roman" w:cs="Arial"/>
          <w:color w:val="000000" w:themeColor="text1"/>
          <w:lang w:val="es-ES_tradnl" w:eastAsia="es-ES_tradnl"/>
        </w:rPr>
        <w:t xml:space="preserve"> ya que –en las condiciones </w:t>
      </w:r>
      <w:r w:rsidRPr="0022587E">
        <w:rPr>
          <w:rFonts w:ascii="Verdana" w:hAnsi="Verdana" w:eastAsia="Times New Roman" w:cs="Arial"/>
          <w:color w:val="000000" w:themeColor="text1"/>
          <w:lang w:val="es-ES_tradnl" w:eastAsia="es-ES_tradnl"/>
        </w:rPr>
        <w:lastRenderedPageBreak/>
        <w:t>del</w:t>
      </w:r>
      <w:r w:rsidRPr="0022587E">
        <w:rPr>
          <w:rFonts w:ascii="Verdana" w:hAnsi="Verdana" w:eastAsia="Calibri" w:cs="Arial"/>
          <w:color w:val="000000" w:themeColor="text1"/>
        </w:rPr>
        <w:t xml:space="preserve"> artículo 5.4 de la Ley 1258 de 2008– </w:t>
      </w:r>
      <w:r w:rsidRPr="0022587E">
        <w:rPr>
          <w:rFonts w:ascii="Verdana" w:hAnsi="Verdana" w:eastAsia="Times New Roman" w:cs="Arial"/>
          <w:color w:val="000000" w:themeColor="text1"/>
          <w:lang w:val="es-ES_tradnl" w:eastAsia="es-ES_tradnl"/>
        </w:rPr>
        <w:t>pueden ejecutar cualquier actividad lícita.</w:t>
      </w:r>
      <w:r w:rsidRPr="0022587E">
        <w:rPr>
          <w:rFonts w:ascii="Verdana" w:hAnsi="Verdana" w:eastAsia="Calibri" w:cs="Arial"/>
          <w:color w:val="000000" w:themeColor="text1"/>
        </w:rPr>
        <w:t xml:space="preserve"> </w:t>
      </w:r>
    </w:p>
    <w:p w:rsidRPr="0022587E" w:rsidR="004429DD" w:rsidP="004429DD" w:rsidRDefault="004429DD" w14:paraId="19B2F2C8" w14:textId="77777777">
      <w:pPr>
        <w:spacing w:after="120" w:line="276" w:lineRule="auto"/>
        <w:ind w:firstLine="708"/>
        <w:jc w:val="both"/>
        <w:rPr>
          <w:rFonts w:ascii="Verdana" w:hAnsi="Verdana"/>
          <w:lang w:val="es-ES"/>
        </w:rPr>
      </w:pPr>
      <w:r w:rsidRPr="0022587E">
        <w:rPr>
          <w:rFonts w:ascii="Verdana" w:hAnsi="Verdana"/>
          <w:lang w:val="es-ES"/>
        </w:rPr>
        <w:t xml:space="preserve">Por lo demás, el artículo </w:t>
      </w:r>
      <w:r w:rsidRPr="0022587E">
        <w:rPr>
          <w:rFonts w:ascii="Verdana" w:hAnsi="Verdana"/>
          <w:lang w:val="es-ES_tradnl"/>
        </w:rPr>
        <w:t xml:space="preserve">.2.1.2.4.2.2 del Decreto 1082 de 2015 </w:t>
      </w:r>
      <w:r w:rsidRPr="0022587E">
        <w:rPr>
          <w:rFonts w:ascii="Verdana" w:hAnsi="Verdana"/>
          <w:lang w:val="es-ES"/>
        </w:rPr>
        <w:t>incluye a las cooperativas y demás entidades de economía solidaria dentro de los sujetos que pueden solicitar y participar en las convocatorias limitadas a Mipyme, siempre que estas cumplan con las condiciones señaladas en el artículo.</w:t>
      </w:r>
    </w:p>
    <w:p w:rsidRPr="0022587E" w:rsidR="004429DD" w:rsidP="004429DD" w:rsidRDefault="004429DD" w14:paraId="0118B11C" w14:textId="77777777">
      <w:pPr>
        <w:spacing w:after="120" w:line="276" w:lineRule="auto"/>
        <w:ind w:firstLine="708"/>
        <w:jc w:val="both"/>
        <w:rPr>
          <w:rFonts w:ascii="Verdana" w:hAnsi="Verdana"/>
          <w:lang w:val="es-ES"/>
        </w:rPr>
      </w:pPr>
      <w:r w:rsidRPr="0022587E">
        <w:rPr>
          <w:rFonts w:ascii="Verdana" w:hAnsi="Verdana"/>
          <w:lang w:val="es-ES"/>
        </w:rPr>
        <w:t xml:space="preserve">Ahora bien, </w:t>
      </w:r>
      <w:r w:rsidRPr="0022587E">
        <w:rPr>
          <w:rFonts w:ascii="Verdana" w:hAnsi="Verdana"/>
          <w:lang w:val="es-ES_tradnl"/>
        </w:rPr>
        <w:t xml:space="preserve">de la redacción del parágrafo 1 del artículo 34 de la Ley 2069 de 2020, según el cual, “En los procesos de selección que se desarrollen con base en el primer inciso, las entidades podrán realizar las convocatorias limitadas que beneficien a las MiPymes del ámbito </w:t>
      </w:r>
      <w:r w:rsidRPr="0022587E">
        <w:rPr>
          <w:rFonts w:ascii="Verdana" w:hAnsi="Verdana"/>
          <w:i/>
          <w:iCs/>
          <w:lang w:val="es-ES_tradnl"/>
        </w:rPr>
        <w:t>municipal o departamental</w:t>
      </w:r>
      <w:r w:rsidRPr="0022587E">
        <w:rPr>
          <w:rFonts w:ascii="Verdana" w:hAnsi="Verdana"/>
          <w:lang w:val="es-ES_tradnl"/>
        </w:rPr>
        <w:t xml:space="preserve"> correspondiente al de la ejecución del contrato” [Én</w:t>
      </w:r>
      <w:r>
        <w:rPr>
          <w:rFonts w:ascii="Verdana" w:hAnsi="Verdana"/>
          <w:lang w:val="es-ES_tradnl"/>
        </w:rPr>
        <w:t>fasis fuera del texto], se infiere</w:t>
      </w:r>
      <w:r w:rsidRPr="0022587E">
        <w:rPr>
          <w:rFonts w:ascii="Verdana" w:hAnsi="Verdana"/>
          <w:lang w:val="es-ES_tradnl"/>
        </w:rPr>
        <w:t xml:space="preserve"> que en tales términos, la norma citada solo contempla la posibilidad de limitar convocatorias a Mipymes con domicilio en esos dos tipos de entidades territoriales.</w:t>
      </w:r>
      <w:r>
        <w:rPr>
          <w:rFonts w:ascii="Verdana" w:hAnsi="Verdana"/>
          <w:lang w:val="es-ES_tradnl"/>
        </w:rPr>
        <w:t xml:space="preserve"> </w:t>
      </w:r>
      <w:r w:rsidRPr="0022587E">
        <w:rPr>
          <w:rFonts w:ascii="Verdana" w:hAnsi="Verdana"/>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 nacional. Además, las normas de contratación permiten que las Mipyme nacionales puedan beneficiarse de la ejecución de un contrato dentro de la entidad territorial en la que tienen su “domicilio”. </w:t>
      </w:r>
    </w:p>
    <w:p w:rsidR="004429DD" w:rsidP="004429DD" w:rsidRDefault="004429DD" w14:paraId="2B4F3978" w14:textId="77777777">
      <w:pPr>
        <w:spacing w:after="120" w:line="276" w:lineRule="auto"/>
        <w:ind w:firstLine="708"/>
        <w:jc w:val="both"/>
        <w:rPr>
          <w:rFonts w:ascii="Verdana" w:hAnsi="Verdana"/>
          <w:lang w:val="es-ES"/>
        </w:rPr>
      </w:pPr>
      <w:r>
        <w:rPr>
          <w:rFonts w:ascii="Verdana" w:hAnsi="Verdana"/>
          <w:lang w:val="es-ES"/>
        </w:rPr>
        <w:t>N</w:t>
      </w:r>
      <w:r w:rsidRPr="0022587E">
        <w:rPr>
          <w:rFonts w:ascii="Verdana" w:hAnsi="Verdana"/>
          <w:lang w:val="es-ES"/>
        </w:rPr>
        <w:t>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w:t>
      </w:r>
      <w:r>
        <w:rPr>
          <w:rFonts w:ascii="Verdana" w:hAnsi="Verdana"/>
          <w:lang w:val="es-ES"/>
        </w:rPr>
        <w:t xml:space="preserve"> Es decir, deben cumplirse las dos condiciones: i) </w:t>
      </w:r>
      <w:r w:rsidRPr="00560DD2">
        <w:rPr>
          <w:rFonts w:ascii="Verdana" w:hAnsi="Verdana"/>
        </w:rPr>
        <w:t>El valor del Proceso de Contratación sea menor a ciento veinticinco mil dólares de los Estados Unidos de América (US$125.000), liquidados con la tasa de cambio que para el efecto determina cada dos años el Mini</w:t>
      </w:r>
      <w:r>
        <w:rPr>
          <w:rFonts w:ascii="Verdana" w:hAnsi="Verdana"/>
        </w:rPr>
        <w:t xml:space="preserve">sterio de Comercio, Industria y Turismo; y </w:t>
      </w:r>
      <w:proofErr w:type="spellStart"/>
      <w:r>
        <w:rPr>
          <w:rFonts w:ascii="Verdana" w:hAnsi="Verdana"/>
        </w:rPr>
        <w:t>ii</w:t>
      </w:r>
      <w:proofErr w:type="spellEnd"/>
      <w:r>
        <w:rPr>
          <w:rFonts w:ascii="Verdana" w:hAnsi="Verdana"/>
        </w:rPr>
        <w:t xml:space="preserve">) </w:t>
      </w:r>
      <w:r w:rsidRPr="00560DD2">
        <w:rPr>
          <w:rFonts w:ascii="Verdana" w:hAnsi="Verdana"/>
        </w:rPr>
        <w:t>Se hayan recibido solicitudes de por lo menos dos (2) Mipyme colombianas para limitar la convocatoria a Mipyme colombianas. Las Entidades Estatales independientemente de su régimen de contratación, los patrimonios autónomos constituidos por Entidades Estatales y los particulares</w:t>
      </w:r>
      <w:r>
        <w:rPr>
          <w:rFonts w:ascii="Verdana" w:hAnsi="Verdana"/>
        </w:rPr>
        <w:t xml:space="preserve"> que ejecuten recursos públicos;</w:t>
      </w:r>
      <w:r w:rsidRPr="00560DD2">
        <w:rPr>
          <w:rFonts w:ascii="Verdana" w:hAnsi="Verdana"/>
        </w:rPr>
        <w:t xml:space="preserve"> </w:t>
      </w:r>
      <w:r>
        <w:rPr>
          <w:rFonts w:ascii="Verdana" w:hAnsi="Verdana"/>
        </w:rPr>
        <w:t xml:space="preserve">y </w:t>
      </w:r>
      <w:proofErr w:type="spellStart"/>
      <w:r>
        <w:rPr>
          <w:rFonts w:ascii="Verdana" w:hAnsi="Verdana"/>
        </w:rPr>
        <w:t>iii</w:t>
      </w:r>
      <w:proofErr w:type="spellEnd"/>
      <w:r>
        <w:rPr>
          <w:rFonts w:ascii="Verdana" w:hAnsi="Verdana"/>
        </w:rPr>
        <w:t xml:space="preserve">) </w:t>
      </w:r>
      <w:r w:rsidRPr="00560DD2">
        <w:rPr>
          <w:rFonts w:ascii="Verdana" w:hAnsi="Verdana"/>
        </w:rPr>
        <w:t>deben recibir estas solicitudes por lo menos un (1) día hábil antes de la expedición del acto administrativo de apertura, o el que haga sus veces de acuerdo con la normativa aplicable a cada Proceso de Contratación.</w:t>
      </w:r>
    </w:p>
    <w:p w:rsidR="004429DD" w:rsidP="004429DD" w:rsidRDefault="004429DD" w14:paraId="195C7036" w14:textId="77777777">
      <w:pPr>
        <w:spacing w:after="120" w:line="276" w:lineRule="auto"/>
        <w:ind w:firstLine="708"/>
        <w:jc w:val="both"/>
        <w:rPr>
          <w:rFonts w:ascii="Verdana" w:hAnsi="Verdana"/>
          <w:lang w:val="es-ES"/>
        </w:rPr>
      </w:pPr>
      <w:r>
        <w:rPr>
          <w:rFonts w:ascii="Verdana" w:hAnsi="Verdana" w:eastAsia="Verdana" w:cs="Verdana"/>
          <w:lang w:val="es-ES"/>
        </w:rPr>
        <w:lastRenderedPageBreak/>
        <w:t xml:space="preserve">Al respecto, </w:t>
      </w:r>
      <w:r w:rsidRPr="0033740A">
        <w:rPr>
          <w:rFonts w:ascii="Verdana" w:hAnsi="Verdana" w:eastAsia="Verdana" w:cs="Verdana"/>
          <w:lang w:val="es-ES"/>
        </w:rPr>
        <w:t xml:space="preserve">debe señalarse que, </w:t>
      </w:r>
      <w:r w:rsidRPr="0033740A">
        <w:rPr>
          <w:rFonts w:ascii="Verdana" w:hAnsi="Verdana" w:eastAsia="Arial" w:cs="Arial"/>
        </w:rPr>
        <w:t xml:space="preserve">para limitar una convocatoria a Mipymes, las entidades contratantes </w:t>
      </w:r>
      <w:r>
        <w:rPr>
          <w:rFonts w:ascii="Verdana" w:hAnsi="Verdana" w:eastAsia="Arial" w:cs="Arial"/>
        </w:rPr>
        <w:t>deben</w:t>
      </w:r>
      <w:r w:rsidRPr="0033740A">
        <w:rPr>
          <w:rFonts w:ascii="Verdana" w:hAnsi="Verdana" w:eastAsia="Arial" w:cs="Arial"/>
        </w:rPr>
        <w:t xml:space="preserve"> exigir los requisitos señalados en la </w:t>
      </w:r>
      <w:r>
        <w:rPr>
          <w:rFonts w:ascii="Verdana" w:hAnsi="Verdana" w:eastAsia="Arial" w:cs="Arial"/>
        </w:rPr>
        <w:t>L</w:t>
      </w:r>
      <w:r w:rsidRPr="0033740A">
        <w:rPr>
          <w:rFonts w:ascii="Verdana" w:hAnsi="Verdana" w:eastAsia="Arial" w:cs="Arial"/>
        </w:rPr>
        <w:t>ey</w:t>
      </w:r>
      <w:r>
        <w:rPr>
          <w:rFonts w:ascii="Verdana" w:hAnsi="Verdana" w:eastAsia="Arial" w:cs="Arial"/>
        </w:rPr>
        <w:t xml:space="preserve"> 2069 de 2020</w:t>
      </w:r>
      <w:r w:rsidRPr="0033740A">
        <w:rPr>
          <w:rFonts w:ascii="Verdana" w:hAnsi="Verdana" w:eastAsia="Arial" w:cs="Arial"/>
        </w:rPr>
        <w:t xml:space="preserve"> y en el Decreto 1082 del 2015 –modificado por el Decreto 1860 de 2021–. </w:t>
      </w:r>
      <w:r w:rsidRPr="0022587E">
        <w:rPr>
          <w:rFonts w:ascii="Verdana" w:hAnsi="Verdana"/>
          <w:lang w:val="es-ES"/>
        </w:rPr>
        <w:t>En ese sen</w:t>
      </w:r>
      <w:r>
        <w:rPr>
          <w:rFonts w:ascii="Verdana" w:hAnsi="Verdana"/>
          <w:lang w:val="es-ES"/>
        </w:rPr>
        <w:t xml:space="preserve">tido, la Entidad Pública no tiene la potestad de aplicar de forma discrecional las dos condiciones para limitar la convocatoria Mipymes. Por tanto, no es posible limitar Procesos de Contratación cuya cuantía supere los </w:t>
      </w:r>
      <w:r w:rsidRPr="00560DD2">
        <w:rPr>
          <w:rFonts w:ascii="Verdana" w:hAnsi="Verdana"/>
        </w:rPr>
        <w:t>ciento veinticinco mil dólares de los Estados Unidos de América (US$125.000), liquidados con la tasa de cambio que para el efecto determina cada dos años el Ministerio de Comercio, Industria y Turismo</w:t>
      </w:r>
      <w:r>
        <w:rPr>
          <w:rFonts w:ascii="Verdana" w:hAnsi="Verdana"/>
        </w:rPr>
        <w:t xml:space="preserve">. Es decir, se está ante una condición dentro del Decreto 1082 de 2015 que tiene la naturaleza de un mandato, en la que no se establece una excepción.  </w:t>
      </w:r>
    </w:p>
    <w:p w:rsidRPr="0022587E" w:rsidR="004429DD" w:rsidP="004429DD" w:rsidRDefault="004429DD" w14:paraId="0A498EC4" w14:textId="77777777">
      <w:pPr>
        <w:spacing w:after="0" w:line="276" w:lineRule="auto"/>
        <w:ind w:firstLine="708"/>
        <w:jc w:val="both"/>
        <w:rPr>
          <w:rFonts w:ascii="Verdana" w:hAnsi="Verdana"/>
          <w:lang w:val="es-ES"/>
        </w:rPr>
      </w:pPr>
      <w:r>
        <w:rPr>
          <w:rFonts w:ascii="Verdana" w:hAnsi="Verdana"/>
          <w:lang w:val="es-ES"/>
        </w:rPr>
        <w:t xml:space="preserve">Así mismo, </w:t>
      </w:r>
      <w:r w:rsidRPr="0022587E">
        <w:rPr>
          <w:rFonts w:ascii="Verdana" w:hAnsi="Verdana"/>
          <w:lang w:val="es-ES"/>
        </w:rPr>
        <w:t xml:space="preserve">si la Entidad no recibió las solicitudes para limitar la convocatoria a Mipyme, no puede </w:t>
      </w:r>
      <w:r w:rsidRPr="0022587E">
        <w:rPr>
          <w:rFonts w:ascii="Verdana" w:hAnsi="Verdana"/>
          <w:i/>
          <w:iCs/>
          <w:lang w:val="es-ES"/>
        </w:rPr>
        <w:t xml:space="preserve">motu proprio </w:t>
      </w:r>
      <w:r w:rsidRPr="0022587E">
        <w:rPr>
          <w:rFonts w:ascii="Verdana" w:hAnsi="Verdana"/>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r>
        <w:rPr>
          <w:rFonts w:ascii="Verdana" w:hAnsi="Verdana"/>
          <w:lang w:val="es-ES"/>
        </w:rPr>
        <w:t xml:space="preserve"> </w:t>
      </w:r>
    </w:p>
    <w:p w:rsidR="004429DD" w:rsidP="004429DD" w:rsidRDefault="004429DD" w14:paraId="42F6A771" w14:textId="77777777">
      <w:pPr>
        <w:spacing w:after="0" w:line="276" w:lineRule="auto"/>
        <w:jc w:val="both"/>
        <w:rPr>
          <w:rFonts w:ascii="Verdana" w:hAnsi="Verdana"/>
          <w:lang w:val="es-ES"/>
        </w:rPr>
      </w:pPr>
    </w:p>
    <w:p w:rsidRPr="0022587E" w:rsidR="004429DD" w:rsidP="004429DD" w:rsidRDefault="004429DD" w14:paraId="0B827F05" w14:textId="77777777">
      <w:pPr>
        <w:spacing w:after="120" w:line="276" w:lineRule="auto"/>
        <w:jc w:val="both"/>
        <w:rPr>
          <w:rFonts w:ascii="Verdana" w:hAnsi="Verdana"/>
          <w:lang w:val="es-ES"/>
        </w:rPr>
      </w:pPr>
      <w:proofErr w:type="spellStart"/>
      <w:r>
        <w:rPr>
          <w:rFonts w:ascii="Verdana" w:hAnsi="Verdana"/>
          <w:lang w:val="es-ES"/>
        </w:rPr>
        <w:t>ii</w:t>
      </w:r>
      <w:proofErr w:type="spellEnd"/>
      <w:r>
        <w:rPr>
          <w:rFonts w:ascii="Verdana" w:hAnsi="Verdana"/>
          <w:lang w:val="es-ES"/>
        </w:rPr>
        <w:t>) Ahora bien, tratándose de limitaciones territoriales, c</w:t>
      </w:r>
      <w:r w:rsidRPr="0022587E">
        <w:rPr>
          <w:rFonts w:ascii="Verdana" w:hAnsi="Verdana"/>
          <w:lang w:val="es-ES"/>
        </w:rPr>
        <w:t xml:space="preserve">umplidos los dos requisitos del artículo 2.2.1.2.4.2.2 </w:t>
      </w:r>
      <w:proofErr w:type="spellStart"/>
      <w:r w:rsidRPr="0022587E">
        <w:rPr>
          <w:rFonts w:ascii="Verdana" w:hAnsi="Verdana"/>
          <w:i/>
          <w:iCs/>
          <w:lang w:val="es-ES"/>
        </w:rPr>
        <w:t>ibídem</w:t>
      </w:r>
      <w:proofErr w:type="spellEnd"/>
      <w:r w:rsidRPr="0022587E">
        <w:rPr>
          <w:rFonts w:ascii="Verdana" w:hAnsi="Verdana"/>
          <w:lang w:val="es-ES"/>
        </w:rPr>
        <w:t xml:space="preserve">, la Entidad Estatal, independientemente de su régimen de contratación, los patrimonios autónomos constituidos por Entidades Estatales y los particulares que ejecuten recursos públicos, pueden ─sin estar obligadas─ decidir si limitan la convocatoria a las Mipyme colombianas domiciliadas en el municipio o departamento en el que se ejecutará el contrato. Esto de acuerdo con el artículo 2.2.1.2.4.2.3 del Decreto 1082 de 2015 </w:t>
      </w:r>
      <w:r w:rsidRPr="0022587E">
        <w:rPr>
          <w:rFonts w:ascii="Verdana" w:hAnsi="Verdana"/>
          <w:lang w:val="es-ES_tradnl"/>
        </w:rPr>
        <w:t>modificado por el Decreto 1860 de 2021</w:t>
      </w:r>
      <w:r w:rsidRPr="0022587E">
        <w:rPr>
          <w:rFonts w:ascii="Verdana" w:hAnsi="Verdana"/>
          <w:lang w:val="es-ES"/>
        </w:rPr>
        <w:t xml:space="preserve">, norma que se refiere a la facultad de la administración con el verbo infinitivo “poder”, no “deber”. </w:t>
      </w:r>
    </w:p>
    <w:p w:rsidRPr="0022587E" w:rsidR="004429DD" w:rsidP="004429DD" w:rsidRDefault="004429DD" w14:paraId="284FA042" w14:textId="77777777">
      <w:pPr>
        <w:spacing w:after="120" w:line="276" w:lineRule="auto"/>
        <w:ind w:firstLine="708"/>
        <w:jc w:val="both"/>
        <w:rPr>
          <w:rFonts w:ascii="Verdana" w:hAnsi="Verdana"/>
          <w:lang w:val="es-ES"/>
        </w:rPr>
      </w:pPr>
      <w:r w:rsidRPr="0022587E">
        <w:rPr>
          <w:rFonts w:ascii="Verdana" w:hAnsi="Verdana"/>
          <w:lang w:val="es-ES"/>
        </w:rPr>
        <w:t>En tal sentido, lo que debe adoptarse obligatoriamente es la limitación a Mi</w:t>
      </w:r>
      <w:r>
        <w:rPr>
          <w:rFonts w:ascii="Verdana" w:hAnsi="Verdana"/>
          <w:lang w:val="es-ES"/>
        </w:rPr>
        <w:t>p</w:t>
      </w:r>
      <w:r w:rsidRPr="0022587E">
        <w:rPr>
          <w:rFonts w:ascii="Verdana" w:hAnsi="Verdana"/>
          <w:lang w:val="es-ES"/>
        </w:rPr>
        <w:t xml:space="preserve">ymes colombianas siempre que se cumplan las condiciones del artículo 2.2.1.2.4.2.2 del Decreto 1082 de 2015, pero no la “limitación territorial” referida en el artículo 2.2.1.2.4.2.3 </w:t>
      </w:r>
      <w:proofErr w:type="spellStart"/>
      <w:r w:rsidRPr="0022587E">
        <w:rPr>
          <w:rFonts w:ascii="Verdana" w:hAnsi="Verdana"/>
          <w:i/>
          <w:iCs/>
          <w:lang w:val="es-ES"/>
        </w:rPr>
        <w:t>ibídem</w:t>
      </w:r>
      <w:proofErr w:type="spellEnd"/>
      <w:r w:rsidRPr="0022587E">
        <w:rPr>
          <w:rFonts w:ascii="Verdana" w:hAnsi="Verdana"/>
          <w:lang w:val="es-ES"/>
        </w:rPr>
        <w:t xml:space="preserve">, pues esta es facultativa para la Entidad. Las únicas exigencias son que la convocatoria esté limitada a las Mipyme colombianas “domiciliadas en los departamentos o municipios en donde se va a ejecutar el contrato” y que la entidad justifique su decisión con base en </w:t>
      </w:r>
      <w:r w:rsidRPr="0022587E">
        <w:rPr>
          <w:rFonts w:ascii="Verdana" w:hAnsi="Verdana"/>
          <w:lang w:val="es-ES"/>
        </w:rPr>
        <w:lastRenderedPageBreak/>
        <w:t>los “estudios del sector”</w:t>
      </w:r>
      <w:r w:rsidRPr="0022587E">
        <w:rPr>
          <w:rFonts w:ascii="Verdana" w:hAnsi="Verdana"/>
          <w:vertAlign w:val="superscript"/>
          <w:lang w:val="es-ES"/>
        </w:rPr>
        <w:footnoteReference w:id="4"/>
      </w:r>
      <w:r w:rsidRPr="0022587E">
        <w:rPr>
          <w:rFonts w:ascii="Verdana" w:hAnsi="Verdana"/>
          <w:lang w:val="es-ES"/>
        </w:rPr>
        <w:t xml:space="preserve"> No es procedente, entonces, que sean las MiPymes las que soliciten la “limitación territorial” a la que se refiere el artículo 2.2.1.2.4.2.3 del Decreto 1082 de 2015. </w:t>
      </w:r>
    </w:p>
    <w:p w:rsidRPr="0022587E" w:rsidR="004429DD" w:rsidP="004429DD" w:rsidRDefault="004429DD" w14:paraId="11C3DBB9" w14:textId="77777777">
      <w:pPr>
        <w:spacing w:after="120" w:line="276" w:lineRule="auto"/>
        <w:ind w:firstLine="708"/>
        <w:jc w:val="both"/>
        <w:rPr>
          <w:rFonts w:ascii="Verdana" w:hAnsi="Verdana"/>
        </w:rPr>
      </w:pPr>
      <w:r w:rsidRPr="0022587E">
        <w:rPr>
          <w:rFonts w:ascii="Verdana" w:hAnsi="Verdana"/>
        </w:rPr>
        <w:t>El origen de las Mipyme que solicitan la “limitación territorial” no es relevante frente a dicha decisión por dos razones: primero, porque las Mipyme no están habilitadas para pedir la “limitación territorial”, lo están para pedir la “convocatoria limitada a MiPymes”, y, segundo, porque el único criterio para tener en cuenta, una vez se ha decidido justificadamente limitar territorialmente la convocatoria previamente limitada a Mipyme, es el lugar donde se va a ejecutar el contrato.</w:t>
      </w:r>
    </w:p>
    <w:p w:rsidRPr="0022587E" w:rsidR="004429DD" w:rsidP="004429DD" w:rsidRDefault="004429DD" w14:paraId="21D0F039" w14:textId="77777777">
      <w:pPr>
        <w:spacing w:after="120" w:line="276" w:lineRule="auto"/>
        <w:ind w:firstLine="708"/>
        <w:jc w:val="both"/>
        <w:rPr>
          <w:rFonts w:ascii="Verdana" w:hAnsi="Verdana"/>
        </w:rPr>
      </w:pPr>
      <w:r w:rsidRPr="0022587E">
        <w:rPr>
          <w:rFonts w:ascii="Verdana" w:hAnsi="Verdana"/>
        </w:rPr>
        <w:t>En resumen, la decisión de limitar o no territorialmente una convocatoria limitada a Mi</w:t>
      </w:r>
      <w:r>
        <w:rPr>
          <w:rFonts w:ascii="Verdana" w:hAnsi="Verdana"/>
        </w:rPr>
        <w:t>p</w:t>
      </w:r>
      <w:r w:rsidRPr="0022587E">
        <w:rPr>
          <w:rFonts w:ascii="Verdana" w:hAnsi="Verdana"/>
        </w:rPr>
        <w:t xml:space="preserve">ymes nacionales es una facultad discrecional, de manera que la Entidad contratante valorará si es oportuno y conveniente adoptarla. Sin embargo, aunque la discrecionalidad implica una elección administrativa, no puede ser una decisión irracional o arbitraria. </w:t>
      </w:r>
    </w:p>
    <w:p w:rsidRPr="0022587E" w:rsidR="004429DD" w:rsidP="004429DD" w:rsidRDefault="004429DD" w14:paraId="679C6E08" w14:textId="77777777">
      <w:pPr>
        <w:spacing w:after="120" w:line="276" w:lineRule="auto"/>
        <w:ind w:firstLine="708"/>
        <w:jc w:val="both"/>
        <w:rPr>
          <w:rFonts w:ascii="Verdana" w:hAnsi="Verdana"/>
        </w:rPr>
      </w:pPr>
      <w:r w:rsidRPr="0022587E">
        <w:rPr>
          <w:rFonts w:ascii="Verdana" w:hAnsi="Verdana"/>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w:t>
      </w:r>
      <w:r w:rsidRPr="0022587E">
        <w:rPr>
          <w:rFonts w:ascii="Verdana" w:hAnsi="Verdana"/>
        </w:rPr>
        <w:lastRenderedPageBreak/>
        <w:t xml:space="preserve">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rsidR="004429DD" w:rsidP="004429DD" w:rsidRDefault="004429DD" w14:paraId="77361300" w14:textId="77777777">
      <w:pPr>
        <w:spacing w:after="120" w:line="276" w:lineRule="auto"/>
        <w:ind w:firstLine="708"/>
        <w:jc w:val="both"/>
        <w:rPr>
          <w:rFonts w:ascii="Verdana" w:hAnsi="Verdana"/>
        </w:rPr>
      </w:pPr>
      <w:r w:rsidRPr="0022587E">
        <w:rPr>
          <w:rFonts w:ascii="Verdana" w:hAnsi="Verdana"/>
        </w:rPr>
        <w:t xml:space="preserve">En todo caso, situaciones en las que se presentan un ejercicio de la potestad de limitar a </w:t>
      </w:r>
      <w:proofErr w:type="spellStart"/>
      <w:r w:rsidRPr="0022587E">
        <w:rPr>
          <w:rFonts w:ascii="Verdana" w:hAnsi="Verdana"/>
        </w:rPr>
        <w:t>Miymes</w:t>
      </w:r>
      <w:proofErr w:type="spellEnd"/>
      <w:r w:rsidRPr="0022587E">
        <w:rPr>
          <w:rFonts w:ascii="Verdana" w:hAnsi="Verdana"/>
        </w:rPr>
        <w:t xml:space="preserve"> desconociendo los anteriores presupuestos mínimos, bien podrían ser cuestionadas por los proponentes, veedores y ciudadanía en general ya sea a través de observaciones, en el ejercicio del derecho fundamental de petición ante la respectiva entidad</w:t>
      </w:r>
      <w:r>
        <w:rPr>
          <w:rFonts w:ascii="Verdana" w:hAnsi="Verdana"/>
        </w:rPr>
        <w:t xml:space="preserve"> estatal o la presentación de quejas o denuncias ante</w:t>
      </w:r>
      <w:r w:rsidRPr="0022587E">
        <w:rPr>
          <w:rFonts w:ascii="Verdana" w:hAnsi="Verdana"/>
        </w:rPr>
        <w:t xml:space="preserve"> las autoridades competentes en el caso de que se evidencien prácticas restrictivas a la competencia, o con relevancia penal o disciplinaria. </w:t>
      </w:r>
    </w:p>
    <w:p w:rsidRPr="0022587E" w:rsidR="004429DD" w:rsidP="004429DD" w:rsidRDefault="004429DD" w14:paraId="5508D42E" w14:textId="77777777">
      <w:pPr>
        <w:spacing w:after="0" w:line="276" w:lineRule="auto"/>
        <w:jc w:val="both"/>
        <w:rPr>
          <w:rFonts w:ascii="Verdana" w:hAnsi="Verdana"/>
        </w:rPr>
      </w:pPr>
    </w:p>
    <w:p w:rsidRPr="00593914" w:rsidR="004429DD" w:rsidP="004429DD" w:rsidRDefault="004429DD" w14:paraId="4EC0BD4E"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914">
        <w:rPr>
          <w:rFonts w:ascii="Verdana" w:hAnsi="Verdana" w:eastAsia="Century Gothic" w:cs="Century Gothic"/>
          <w:b/>
          <w:bCs/>
        </w:rPr>
        <w:t>Referencias normativas, jurisprudenciales y otras fuentes:</w:t>
      </w:r>
    </w:p>
    <w:p w:rsidRPr="003E3E88" w:rsidR="004429DD" w:rsidP="004429DD" w:rsidRDefault="004429DD" w14:paraId="532B35F2" w14:textId="77777777">
      <w:pPr>
        <w:spacing w:after="0"/>
        <w:jc w:val="both"/>
        <w:rPr>
          <w:rFonts w:ascii="Verdana" w:hAnsi="Verdana"/>
          <w:lang w:val="es-ES"/>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22587E" w:rsidR="004429DD" w:rsidTr="008C13C8" w14:paraId="7CA0AF46" w14:textId="77777777">
        <w:trPr>
          <w:trHeight w:val="870"/>
        </w:trPr>
        <w:tc>
          <w:tcPr>
            <w:tcW w:w="8647" w:type="dxa"/>
          </w:tcPr>
          <w:p w:rsidRPr="00687870" w:rsidR="004429DD" w:rsidP="008C13C8" w:rsidRDefault="004429DD" w14:paraId="3BC1723C" w14:textId="77777777">
            <w:pPr>
              <w:pStyle w:val="Prrafodelista"/>
              <w:numPr>
                <w:ilvl w:val="0"/>
                <w:numId w:val="17"/>
              </w:numPr>
              <w:spacing w:before="120"/>
              <w:rPr>
                <w:rFonts w:ascii="Verdana" w:hAnsi="Verdana" w:cs="Arial"/>
                <w:bCs/>
                <w:lang w:val="es-ES_tradnl" w:eastAsia="es-ES"/>
              </w:rPr>
            </w:pPr>
            <w:r w:rsidRPr="00687870">
              <w:rPr>
                <w:rFonts w:ascii="Verdana" w:hAnsi="Verdana" w:cs="Arial"/>
                <w:bCs/>
                <w:lang w:val="es-ES_tradnl" w:eastAsia="es-ES"/>
              </w:rPr>
              <w:t xml:space="preserve">Código de Comercio. Artículos 25, 110, 111. </w:t>
            </w:r>
          </w:p>
          <w:p w:rsidRPr="00687870" w:rsidR="004429DD" w:rsidP="008C13C8" w:rsidRDefault="004429DD" w14:paraId="0748422A" w14:textId="77777777">
            <w:pPr>
              <w:numPr>
                <w:ilvl w:val="0"/>
                <w:numId w:val="17"/>
              </w:numPr>
              <w:spacing w:before="120" w:after="120" w:line="276" w:lineRule="auto"/>
              <w:ind w:left="714" w:hanging="357"/>
              <w:jc w:val="both"/>
              <w:rPr>
                <w:rFonts w:ascii="Verdana" w:hAnsi="Verdana"/>
                <w:lang w:val="es-ES"/>
              </w:rPr>
            </w:pPr>
            <w:r w:rsidRPr="00687870">
              <w:rPr>
                <w:rFonts w:ascii="Verdana" w:hAnsi="Verdana"/>
                <w:lang w:val="es-ES_tradnl"/>
              </w:rPr>
              <w:t>Ley 80 de 1993, artículo</w:t>
            </w:r>
            <w:r>
              <w:rPr>
                <w:rFonts w:ascii="Verdana" w:hAnsi="Verdana"/>
                <w:lang w:val="es-ES_tradnl"/>
              </w:rPr>
              <w:t>s 50, 51 y</w:t>
            </w:r>
            <w:r w:rsidRPr="00687870">
              <w:rPr>
                <w:rFonts w:ascii="Verdana" w:hAnsi="Verdana"/>
                <w:lang w:val="es-ES_tradnl"/>
              </w:rPr>
              <w:t xml:space="preserve"> 77. </w:t>
            </w:r>
          </w:p>
          <w:p w:rsidRPr="00687870" w:rsidR="004429DD" w:rsidP="008C13C8" w:rsidRDefault="004429DD" w14:paraId="7A1EFAFA" w14:textId="77777777">
            <w:pPr>
              <w:numPr>
                <w:ilvl w:val="0"/>
                <w:numId w:val="17"/>
              </w:numPr>
              <w:spacing w:before="120" w:after="120" w:line="276" w:lineRule="auto"/>
              <w:ind w:left="714" w:hanging="357"/>
              <w:jc w:val="both"/>
              <w:rPr>
                <w:rFonts w:ascii="Verdana" w:hAnsi="Verdana"/>
                <w:lang w:val="es-ES"/>
              </w:rPr>
            </w:pPr>
            <w:r w:rsidRPr="00687870">
              <w:rPr>
                <w:rFonts w:ascii="Verdana" w:hAnsi="Verdana"/>
                <w:lang w:val="es-ES_tradnl"/>
              </w:rPr>
              <w:t>Ley 1150 de 2007 parágrafo 1, Artículo 5 y 12.</w:t>
            </w:r>
          </w:p>
          <w:p w:rsidRPr="00687870" w:rsidR="004429DD" w:rsidP="008C13C8" w:rsidRDefault="004429DD" w14:paraId="118F5218" w14:textId="77777777">
            <w:pPr>
              <w:numPr>
                <w:ilvl w:val="0"/>
                <w:numId w:val="17"/>
              </w:numPr>
              <w:spacing w:before="120" w:after="120" w:line="276" w:lineRule="auto"/>
              <w:ind w:left="714" w:hanging="357"/>
              <w:jc w:val="both"/>
              <w:rPr>
                <w:rFonts w:ascii="Verdana" w:hAnsi="Verdana"/>
                <w:lang w:val="es-ES"/>
              </w:rPr>
            </w:pPr>
            <w:r w:rsidRPr="00687870">
              <w:rPr>
                <w:rFonts w:ascii="Verdana" w:hAnsi="Verdana"/>
                <w:lang w:val="es-ES_tradnl"/>
              </w:rPr>
              <w:t xml:space="preserve">Ley 1258 de 2008, artículo 5. </w:t>
            </w:r>
          </w:p>
          <w:p w:rsidRPr="00687870" w:rsidR="004429DD" w:rsidP="008C13C8" w:rsidRDefault="004429DD" w14:paraId="424D0D34" w14:textId="77777777">
            <w:pPr>
              <w:numPr>
                <w:ilvl w:val="0"/>
                <w:numId w:val="17"/>
              </w:numPr>
              <w:spacing w:before="120" w:after="120" w:line="276" w:lineRule="auto"/>
              <w:ind w:left="714" w:hanging="357"/>
              <w:jc w:val="both"/>
              <w:rPr>
                <w:rFonts w:ascii="Verdana" w:hAnsi="Verdana"/>
                <w:lang w:val="es-ES"/>
              </w:rPr>
            </w:pPr>
            <w:r w:rsidRPr="00687870">
              <w:rPr>
                <w:rFonts w:ascii="Verdana" w:hAnsi="Verdana"/>
                <w:lang w:val="es-ES_tradnl"/>
              </w:rPr>
              <w:t xml:space="preserve">Ley 1437 de 2011, artículos 44 y 137. </w:t>
            </w:r>
          </w:p>
          <w:p w:rsidRPr="00687870" w:rsidR="004429DD" w:rsidP="008C13C8" w:rsidRDefault="004429DD" w14:paraId="21005D5B" w14:textId="77777777">
            <w:pPr>
              <w:numPr>
                <w:ilvl w:val="0"/>
                <w:numId w:val="17"/>
              </w:numPr>
              <w:spacing w:before="120" w:after="120" w:line="276" w:lineRule="auto"/>
              <w:ind w:left="714" w:hanging="357"/>
              <w:jc w:val="both"/>
              <w:rPr>
                <w:rFonts w:ascii="Verdana" w:hAnsi="Verdana"/>
                <w:lang w:val="es-ES"/>
              </w:rPr>
            </w:pPr>
            <w:r w:rsidRPr="00687870">
              <w:rPr>
                <w:rFonts w:ascii="Verdana" w:hAnsi="Verdana"/>
                <w:lang w:val="es-ES"/>
              </w:rPr>
              <w:t>Ley 2069 de 2020. Artículos 30 y 34.</w:t>
            </w:r>
          </w:p>
          <w:p w:rsidRPr="00687870" w:rsidR="004429DD" w:rsidP="008C13C8" w:rsidRDefault="004429DD" w14:paraId="260A4141" w14:textId="77777777">
            <w:pPr>
              <w:numPr>
                <w:ilvl w:val="0"/>
                <w:numId w:val="17"/>
              </w:numPr>
              <w:spacing w:before="120" w:after="120" w:line="276" w:lineRule="auto"/>
              <w:ind w:left="714" w:hanging="357"/>
              <w:jc w:val="both"/>
              <w:rPr>
                <w:rFonts w:ascii="Verdana" w:hAnsi="Verdana"/>
                <w:lang w:val="es-ES"/>
              </w:rPr>
            </w:pPr>
            <w:r w:rsidRPr="00687870">
              <w:rPr>
                <w:rFonts w:ascii="Verdana" w:hAnsi="Verdana"/>
                <w:lang w:val="es-ES"/>
              </w:rPr>
              <w:t xml:space="preserve">Decreto 1082 de 2015. Artículos </w:t>
            </w:r>
            <w:r w:rsidRPr="00687870">
              <w:rPr>
                <w:rFonts w:ascii="Verdana" w:hAnsi="Verdana"/>
                <w:bCs/>
                <w:lang w:val="es-ES"/>
              </w:rPr>
              <w:t>2.2.1.2.4.2.2., 2.2.1.2.4.2.3., 2.2.1.2.4.2.4.</w:t>
            </w:r>
          </w:p>
          <w:p w:rsidRPr="00687870" w:rsidR="004429DD" w:rsidP="008C13C8" w:rsidRDefault="004429DD" w14:paraId="7276223E" w14:textId="77777777">
            <w:pPr>
              <w:pStyle w:val="Prrafodelista"/>
              <w:numPr>
                <w:ilvl w:val="0"/>
                <w:numId w:val="17"/>
              </w:numPr>
              <w:spacing w:before="120" w:after="120" w:line="276" w:lineRule="auto"/>
              <w:ind w:left="714" w:hanging="357"/>
              <w:contextualSpacing w:val="0"/>
              <w:jc w:val="both"/>
              <w:rPr>
                <w:rFonts w:ascii="Verdana" w:hAnsi="Verdana"/>
              </w:rPr>
            </w:pPr>
            <w:r w:rsidRPr="00687870">
              <w:rPr>
                <w:rFonts w:ascii="Verdana" w:hAnsi="Verdana" w:eastAsia="Calibri" w:cs="Arial"/>
                <w:lang w:val="es-ES_tradnl"/>
              </w:rPr>
              <w:t>Decreto 957 de 2019.</w:t>
            </w:r>
          </w:p>
          <w:p w:rsidRPr="00376DAC" w:rsidR="004429DD" w:rsidP="008C13C8" w:rsidRDefault="004429DD" w14:paraId="390C973D" w14:textId="77777777">
            <w:pPr>
              <w:numPr>
                <w:ilvl w:val="0"/>
                <w:numId w:val="17"/>
              </w:numPr>
              <w:spacing w:before="120" w:after="120" w:line="276" w:lineRule="auto"/>
              <w:ind w:left="714" w:hanging="357"/>
              <w:jc w:val="both"/>
              <w:rPr>
                <w:rFonts w:ascii="Verdana" w:hAnsi="Verdana"/>
                <w:lang w:val="es-ES"/>
              </w:rPr>
            </w:pPr>
            <w:r w:rsidRPr="00687870">
              <w:rPr>
                <w:rFonts w:ascii="Verdana" w:hAnsi="Verdana"/>
              </w:rPr>
              <w:t>Decreto 1860 de 2021. Artículos 2, 5 y 8.</w:t>
            </w:r>
          </w:p>
          <w:p w:rsidRPr="00687870" w:rsidR="004429DD" w:rsidP="008C13C8" w:rsidRDefault="004429DD" w14:paraId="3312DC99" w14:textId="77777777">
            <w:pPr>
              <w:numPr>
                <w:ilvl w:val="0"/>
                <w:numId w:val="17"/>
              </w:numPr>
              <w:spacing w:before="120" w:after="120" w:line="276" w:lineRule="auto"/>
              <w:jc w:val="both"/>
              <w:rPr>
                <w:rFonts w:ascii="Verdana" w:hAnsi="Verdana"/>
                <w:lang w:val="es-ES"/>
              </w:rPr>
            </w:pPr>
            <w:r w:rsidRPr="00376DAC">
              <w:rPr>
                <w:rFonts w:ascii="Verdana" w:hAnsi="Verdana"/>
                <w:lang w:val="es-ES"/>
              </w:rPr>
              <w:t>DÍEZ SASTRE, Silvia. El precedente administrativo. Fundamentos y eficacia vinculante. Barcelona: Marcial Pons, 2008.</w:t>
            </w:r>
          </w:p>
          <w:p w:rsidRPr="00687870" w:rsidR="004429DD" w:rsidP="008C13C8" w:rsidRDefault="004429DD" w14:paraId="6E09C8A0" w14:textId="77777777">
            <w:pPr>
              <w:numPr>
                <w:ilvl w:val="0"/>
                <w:numId w:val="17"/>
              </w:numPr>
              <w:spacing w:before="120" w:after="120" w:line="276" w:lineRule="auto"/>
              <w:jc w:val="both"/>
              <w:rPr>
                <w:rFonts w:ascii="Verdana" w:hAnsi="Verdana"/>
                <w:lang w:val="es-ES"/>
              </w:rPr>
            </w:pPr>
            <w:r w:rsidRPr="00687870">
              <w:rPr>
                <w:rFonts w:ascii="Verdana" w:hAnsi="Verdana"/>
                <w:lang w:val="es-ES"/>
              </w:rPr>
              <w:t>PINZÓN, Gabino. Sociedades comerciales. Bogotá: Temis, 1977.</w:t>
            </w:r>
          </w:p>
          <w:p w:rsidRPr="00687870" w:rsidR="004429DD" w:rsidP="008C13C8" w:rsidRDefault="004429DD" w14:paraId="08628269" w14:textId="77777777">
            <w:pPr>
              <w:numPr>
                <w:ilvl w:val="0"/>
                <w:numId w:val="17"/>
              </w:numPr>
              <w:spacing w:before="120" w:after="120" w:line="276" w:lineRule="auto"/>
              <w:jc w:val="both"/>
              <w:rPr>
                <w:rFonts w:ascii="Verdana" w:hAnsi="Verdana"/>
                <w:lang w:val="es-ES"/>
              </w:rPr>
            </w:pPr>
            <w:r w:rsidRPr="00687870">
              <w:rPr>
                <w:rFonts w:ascii="Verdana" w:hAnsi="Verdana"/>
                <w:lang w:val="es-ES"/>
              </w:rPr>
              <w:t xml:space="preserve">REYES VILLAMIZAR, Francisco. Derecho societario. Cuarta edición. Bogotá: Temis, 2020. </w:t>
            </w:r>
          </w:p>
          <w:p w:rsidRPr="0022587E" w:rsidR="004429DD" w:rsidP="008C13C8" w:rsidRDefault="004429DD" w14:paraId="4631B95B" w14:textId="77777777">
            <w:pPr>
              <w:numPr>
                <w:ilvl w:val="0"/>
                <w:numId w:val="17"/>
              </w:numPr>
              <w:spacing w:before="120" w:after="120" w:line="276" w:lineRule="auto"/>
              <w:jc w:val="both"/>
              <w:rPr>
                <w:rFonts w:ascii="Verdana" w:hAnsi="Verdana"/>
                <w:lang w:val="es-ES"/>
              </w:rPr>
            </w:pPr>
            <w:r w:rsidRPr="00687870">
              <w:rPr>
                <w:rFonts w:ascii="Verdana" w:hAnsi="Verdana"/>
                <w:lang w:val="es-ES"/>
              </w:rPr>
              <w:lastRenderedPageBreak/>
              <w:t>SUPERINTENDENCIA DE SOCIEDADES. Oficio 220-060112 del 8 de agosto de 2012.</w:t>
            </w:r>
          </w:p>
        </w:tc>
      </w:tr>
    </w:tbl>
    <w:p w:rsidRPr="00606FF7" w:rsidR="004429DD" w:rsidP="004429DD" w:rsidRDefault="004429DD" w14:paraId="3B70FAC1" w14:textId="77777777">
      <w:pPr>
        <w:spacing w:after="0" w:line="276" w:lineRule="auto"/>
        <w:jc w:val="both"/>
        <w:rPr>
          <w:rFonts w:ascii="Verdana" w:hAnsi="Verdana" w:cs="Arial"/>
          <w:color w:val="000000"/>
          <w:lang w:eastAsia="es-ES"/>
        </w:rPr>
      </w:pPr>
    </w:p>
    <w:p w:rsidRPr="00593914" w:rsidR="004429DD" w:rsidP="004429DD" w:rsidRDefault="004429DD" w14:paraId="78508E5C"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914">
        <w:rPr>
          <w:rFonts w:ascii="Verdana" w:hAnsi="Verdana" w:eastAsia="Century Gothic" w:cs="Century Gothic"/>
          <w:b/>
          <w:bCs/>
        </w:rPr>
        <w:t>Doctrina de la Agencia Nacional de Contratación Pública:</w:t>
      </w:r>
    </w:p>
    <w:p w:rsidRPr="00606FF7" w:rsidR="004429DD" w:rsidP="004429DD" w:rsidRDefault="004429DD" w14:paraId="45724DDE" w14:textId="77777777">
      <w:pPr>
        <w:widowControl w:val="0"/>
        <w:autoSpaceDE w:val="0"/>
        <w:autoSpaceDN w:val="0"/>
        <w:spacing w:after="0" w:line="276" w:lineRule="auto"/>
        <w:jc w:val="both"/>
        <w:rPr>
          <w:rFonts w:ascii="Verdana" w:hAnsi="Verdana" w:cs="Arial"/>
        </w:rPr>
      </w:pPr>
    </w:p>
    <w:p w:rsidRPr="009C0E03" w:rsidR="004429DD" w:rsidP="004429DD" w:rsidRDefault="004429DD" w14:paraId="4D220D99" w14:textId="652738CD">
      <w:pPr>
        <w:widowControl w:val="0"/>
        <w:autoSpaceDE w:val="0"/>
        <w:autoSpaceDN w:val="0"/>
        <w:spacing w:after="0" w:line="276" w:lineRule="auto"/>
        <w:jc w:val="both"/>
        <w:rPr>
          <w:rFonts w:ascii="Verdana" w:hAnsi="Verdana" w:cs="Arial"/>
          <w:bCs/>
          <w:shd w:val="clear" w:color="auto" w:fill="FFFFFF"/>
        </w:rPr>
      </w:pPr>
      <w:r w:rsidRPr="00606FF7">
        <w:rPr>
          <w:rFonts w:ascii="Verdana" w:hAnsi="Verdana"/>
        </w:rPr>
        <w:t xml:space="preserve">En lo relacionado con el ámbito de la consulta, esta Subdirección se ha pronunciado </w:t>
      </w:r>
      <w:r w:rsidRPr="00606FF7">
        <w:rPr>
          <w:rFonts w:ascii="Verdana" w:hAnsi="Verdana" w:cs="Arial"/>
        </w:rPr>
        <w:t xml:space="preserve">sobre las convocatorias limitadas a MiPymes, sus requisitos y características, en los </w:t>
      </w:r>
      <w:r w:rsidR="0032672F">
        <w:rPr>
          <w:rFonts w:ascii="Verdana" w:hAnsi="Verdana" w:cs="Arial"/>
        </w:rPr>
        <w:t>c</w:t>
      </w:r>
      <w:r w:rsidRPr="00606FF7">
        <w:rPr>
          <w:rFonts w:ascii="Verdana" w:hAnsi="Verdana" w:cs="Arial"/>
        </w:rPr>
        <w:t>onceptos Nro.</w:t>
      </w:r>
      <w:r w:rsidR="00E91C0C">
        <w:rPr>
          <w:rFonts w:ascii="Verdana" w:hAnsi="Verdana" w:cs="Arial"/>
        </w:rPr>
        <w:t xml:space="preserve"> C-643 del</w:t>
      </w:r>
      <w:r w:rsidRPr="00606FF7">
        <w:rPr>
          <w:rFonts w:ascii="Verdana" w:hAnsi="Verdana" w:cs="Arial"/>
        </w:rPr>
        <w:t xml:space="preserve"> </w:t>
      </w:r>
      <w:r w:rsidR="00295DF2">
        <w:rPr>
          <w:rFonts w:ascii="Verdana" w:hAnsi="Verdana" w:cs="Arial"/>
        </w:rPr>
        <w:t xml:space="preserve">10 de octubre de 2022, </w:t>
      </w:r>
      <w:r w:rsidRPr="00606FF7">
        <w:rPr>
          <w:rFonts w:ascii="Verdana" w:hAnsi="Verdana" w:cs="Arial"/>
        </w:rPr>
        <w:t>C − 366 del 8 de</w:t>
      </w:r>
      <w:r w:rsidRPr="00606FF7">
        <w:rPr>
          <w:rFonts w:ascii="Verdana" w:hAnsi="Verdana"/>
        </w:rPr>
        <w:t xml:space="preserve"> septiembre de 2023</w:t>
      </w:r>
      <w:r w:rsidR="00E91C0C">
        <w:rPr>
          <w:rFonts w:ascii="Verdana" w:hAnsi="Verdana"/>
        </w:rPr>
        <w:t>,</w:t>
      </w:r>
      <w:r w:rsidRPr="00606FF7">
        <w:rPr>
          <w:rFonts w:ascii="Verdana" w:hAnsi="Verdana"/>
        </w:rPr>
        <w:t xml:space="preserve"> 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 C-829 del 03 de diciembre del 2024, C-100 del 25 de febrero de 2025, C -263 del 7 de abril de 2025 y el C -542 del 16 de junio 2025, C-559 del 18 de junio de 2025, C-590 del 25 de junio de 2025, </w:t>
      </w:r>
      <w:r>
        <w:rPr>
          <w:rFonts w:ascii="Verdana" w:hAnsi="Verdana"/>
        </w:rPr>
        <w:t>C-715 del 14 de julio de 2025,</w:t>
      </w:r>
      <w:r w:rsidR="0035237E">
        <w:rPr>
          <w:rFonts w:ascii="Verdana" w:hAnsi="Verdana"/>
        </w:rPr>
        <w:t xml:space="preserve"> C-1234 del 6 de octubre de 2025</w:t>
      </w:r>
      <w:r w:rsidR="00B84EC9">
        <w:rPr>
          <w:rFonts w:ascii="Verdana" w:hAnsi="Verdana"/>
        </w:rPr>
        <w:t>,</w:t>
      </w:r>
      <w:r>
        <w:rPr>
          <w:rFonts w:ascii="Verdana" w:hAnsi="Verdana"/>
        </w:rPr>
        <w:t xml:space="preserve"> </w:t>
      </w:r>
      <w:r w:rsidRPr="00B84EC9" w:rsidR="00B84EC9">
        <w:rPr>
          <w:rFonts w:ascii="Verdana" w:hAnsi="Verdana"/>
        </w:rPr>
        <w:t>C-1562 de</w:t>
      </w:r>
      <w:r w:rsidR="00B84EC9">
        <w:rPr>
          <w:rFonts w:ascii="Verdana" w:hAnsi="Verdana"/>
        </w:rPr>
        <w:t>l 4 de diciembre de</w:t>
      </w:r>
      <w:r w:rsidRPr="00B84EC9" w:rsidR="00B84EC9">
        <w:rPr>
          <w:rFonts w:ascii="Verdana" w:hAnsi="Verdana"/>
        </w:rPr>
        <w:t xml:space="preserve"> 2025</w:t>
      </w:r>
      <w:r w:rsidR="00B84EC9">
        <w:rPr>
          <w:rFonts w:ascii="Verdana" w:hAnsi="Verdana"/>
        </w:rPr>
        <w:t xml:space="preserve">, </w:t>
      </w:r>
      <w:r w:rsidRPr="00606FF7">
        <w:rPr>
          <w:rFonts w:ascii="Verdana" w:hAnsi="Verdana"/>
        </w:rPr>
        <w:t xml:space="preserve">entre otros. </w:t>
      </w:r>
      <w:r w:rsidRPr="00392E13">
        <w:rPr>
          <w:rFonts w:ascii="Verdana" w:hAnsi="Verdana" w:eastAsia="Calibri"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rsidRPr="005D2193" w:rsidR="004429DD" w:rsidP="004429DD" w:rsidRDefault="004429DD" w14:paraId="2E707928" w14:textId="77777777">
      <w:pPr>
        <w:spacing w:after="0" w:line="256" w:lineRule="auto"/>
        <w:jc w:val="both"/>
        <w:rPr>
          <w:rStyle w:val="normaltextrun"/>
          <w:rFonts w:ascii="Verdana" w:hAnsi="Verdana" w:eastAsia="Calibri" w:cs="Times New Roman"/>
        </w:rPr>
      </w:pPr>
      <w:hyperlink w:history="1" r:id="rId13">
        <w:r w:rsidRPr="00E47CAB">
          <w:rPr>
            <w:rStyle w:val="Hipervnculo"/>
            <w:rFonts w:ascii="Verdana" w:hAnsi="Verdana"/>
          </w:rPr>
          <w:t>https://www.colombiacompra.gov.co/normativa-y-relatoria/conoce-la-relatoria</w:t>
        </w:r>
      </w:hyperlink>
      <w:r w:rsidRPr="00E47CAB">
        <w:rPr>
          <w:rFonts w:ascii="Verdana" w:hAnsi="Verdana"/>
        </w:rPr>
        <w:t xml:space="preserve"> </w:t>
      </w:r>
    </w:p>
    <w:p w:rsidRPr="00D069D8" w:rsidR="004429DD" w:rsidP="004429DD" w:rsidRDefault="004429DD" w14:paraId="2BE4AD74" w14:textId="77777777">
      <w:pPr>
        <w:spacing w:after="0" w:line="276" w:lineRule="auto"/>
        <w:jc w:val="both"/>
        <w:rPr>
          <w:rFonts w:ascii="Verdana" w:hAnsi="Verdana"/>
        </w:rPr>
      </w:pPr>
    </w:p>
    <w:bookmarkEnd w:id="0"/>
    <w:p w:rsidRPr="00A72EEA" w:rsidR="00C64D09" w:rsidP="00C64D09" w:rsidRDefault="00C64D09" w14:paraId="3032268E" w14:textId="77777777">
      <w:pPr>
        <w:spacing w:after="0" w:line="256" w:lineRule="auto"/>
        <w:jc w:val="both"/>
        <w:rPr>
          <w:rFonts w:ascii="Verdana" w:hAnsi="Verdana" w:eastAsia="Calibri" w:cs="Times New Roman"/>
          <w:lang w:val="es-ES"/>
        </w:rPr>
      </w:pPr>
      <w:r w:rsidRPr="00A72EEA">
        <w:rPr>
          <w:rFonts w:ascii="Verdana" w:hAnsi="Verdana" w:cs="Arial"/>
          <w:shd w:val="clear" w:color="auto" w:fill="FFFFFF"/>
        </w:rPr>
        <w:t>También le contamos que ya se encuentra disponible la </w:t>
      </w:r>
      <w:r w:rsidRPr="00A72EEA">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72EEA">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72EEA">
        <w:rPr>
          <w:rFonts w:ascii="Verdana" w:hAnsi="Verdana" w:cs="Arial"/>
          <w:shd w:val="clear" w:color="auto" w:fill="FFFFFF"/>
        </w:rPr>
        <w:t>Wayúu</w:t>
      </w:r>
      <w:proofErr w:type="spellEnd"/>
      <w:r w:rsidRPr="00A72EEA">
        <w:rPr>
          <w:rFonts w:ascii="Verdana" w:hAnsi="Verdana" w:cs="Arial"/>
          <w:shd w:val="clear" w:color="auto" w:fill="FFFFFF"/>
        </w:rPr>
        <w:t>. Puede consultar la guía en el siguiente enlace: </w:t>
      </w:r>
      <w:hyperlink w:tgtFrame="_blank" w:tooltip="Dirección URL original: https://www.colombiacompra.gov.co/wp-content/uploads/2025/05/GUIA-DE-LINEAMIENTOS-DE-TRANSPARENCIA-Y-SELECCION-OBJETIVA-1.0.pdf. Haga clic o pulse si confía en este vínculo." w:history="1" r:id="rId14">
        <w:r w:rsidRPr="00A72EEA">
          <w:rPr>
            <w:rFonts w:ascii="Verdana" w:hAnsi="Verdana"/>
            <w:color w:val="0000FF"/>
            <w:u w:val="single"/>
          </w:rPr>
          <w:t>Guía de lineamientos de transparencia y selección objetiva para el departamento de La Guajira – Objetivo sexto constitucional de la Sentencia T-302 del 2017</w:t>
        </w:r>
      </w:hyperlink>
    </w:p>
    <w:p w:rsidRPr="00A72EEA" w:rsidR="00C64D09" w:rsidP="00C64D09" w:rsidRDefault="00C64D09" w14:paraId="0EFDEED4" w14:textId="77777777">
      <w:pPr>
        <w:spacing w:after="0" w:line="256" w:lineRule="auto"/>
        <w:jc w:val="both"/>
        <w:rPr>
          <w:rFonts w:ascii="Verdana" w:hAnsi="Verdana" w:eastAsia="Calibri" w:cs="Times New Roman"/>
          <w:lang w:val="es-ES"/>
        </w:rPr>
      </w:pPr>
    </w:p>
    <w:p w:rsidRPr="00A72EEA" w:rsidR="00C64D09" w:rsidP="00C64D09" w:rsidRDefault="00C64D09" w14:paraId="3EBFFB4E" w14:textId="77777777">
      <w:pPr>
        <w:spacing w:after="0"/>
        <w:jc w:val="both"/>
        <w:rPr>
          <w:rFonts w:ascii="Verdana" w:hAnsi="Verdana"/>
        </w:rPr>
      </w:pPr>
      <w:r w:rsidRPr="00A72EEA">
        <w:rPr>
          <w:rFonts w:ascii="Verdana" w:hAnsi="Verdana"/>
        </w:rPr>
        <w:lastRenderedPageBreak/>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rsidRPr="00A72EEA" w:rsidR="00C64D09" w:rsidP="00C64D09" w:rsidRDefault="00C64D09" w14:paraId="6618B354" w14:textId="77777777">
      <w:pPr>
        <w:spacing w:after="0" w:line="240" w:lineRule="auto"/>
        <w:jc w:val="both"/>
        <w:rPr>
          <w:rFonts w:ascii="Verdana" w:hAnsi="Verdana"/>
        </w:rPr>
      </w:pPr>
    </w:p>
    <w:p w:rsidRPr="00A72EEA" w:rsidR="00C64D09" w:rsidP="00C64D09" w:rsidRDefault="00C64D09" w14:paraId="5CA48F1B" w14:textId="77777777">
      <w:pPr>
        <w:pStyle w:val="Prrafodelista"/>
        <w:numPr>
          <w:ilvl w:val="0"/>
          <w:numId w:val="15"/>
        </w:numPr>
        <w:spacing w:after="0" w:line="240" w:lineRule="auto"/>
        <w:jc w:val="both"/>
        <w:rPr>
          <w:rFonts w:ascii="Verdana" w:hAnsi="Verdana"/>
        </w:rPr>
      </w:pPr>
      <w:r w:rsidRPr="00A72EEA">
        <w:rPr>
          <w:rFonts w:ascii="Verdana" w:hAnsi="Verdana"/>
        </w:rPr>
        <w:t>Línea nacional gratuita o servicio a la ciudadanía: 01800 0520808</w:t>
      </w:r>
    </w:p>
    <w:p w:rsidRPr="00A72EEA" w:rsidR="00C64D09" w:rsidP="00C64D09" w:rsidRDefault="00C64D09" w14:paraId="3012E6BC" w14:textId="77777777">
      <w:pPr>
        <w:pStyle w:val="Prrafodelista"/>
        <w:numPr>
          <w:ilvl w:val="0"/>
          <w:numId w:val="15"/>
        </w:numPr>
        <w:spacing w:after="0" w:line="240" w:lineRule="auto"/>
        <w:jc w:val="both"/>
        <w:rPr>
          <w:rFonts w:ascii="Verdana" w:hAnsi="Verdana"/>
        </w:rPr>
      </w:pPr>
      <w:r w:rsidRPr="00A72EEA">
        <w:rPr>
          <w:rFonts w:ascii="Verdana" w:hAnsi="Verdana"/>
        </w:rPr>
        <w:t>Línea en Bogotá (Mesa de servicio): +57 601 7456788</w:t>
      </w:r>
    </w:p>
    <w:p w:rsidRPr="00A72EEA" w:rsidR="00C64D09" w:rsidP="00C64D09" w:rsidRDefault="00C64D09" w14:paraId="602A91A9" w14:textId="77777777">
      <w:pPr>
        <w:pStyle w:val="Prrafodelista"/>
        <w:numPr>
          <w:ilvl w:val="0"/>
          <w:numId w:val="15"/>
        </w:numPr>
        <w:spacing w:after="0" w:line="240" w:lineRule="auto"/>
        <w:jc w:val="both"/>
        <w:rPr>
          <w:rFonts w:ascii="Verdana" w:hAnsi="Verdana"/>
        </w:rPr>
      </w:pPr>
      <w:r w:rsidRPr="00A72EEA">
        <w:rPr>
          <w:rFonts w:ascii="Verdana" w:hAnsi="Verdana"/>
        </w:rPr>
        <w:t>Línea de servicio y atención al ciudadano: +57 601 7956600</w:t>
      </w:r>
    </w:p>
    <w:p w:rsidRPr="00A72EEA" w:rsidR="00C64D09" w:rsidP="00C64D09" w:rsidRDefault="00C64D09" w14:paraId="5C22F8A7" w14:textId="77777777">
      <w:pPr>
        <w:pStyle w:val="Prrafodelista"/>
        <w:numPr>
          <w:ilvl w:val="0"/>
          <w:numId w:val="15"/>
        </w:numPr>
        <w:spacing w:after="0" w:line="240" w:lineRule="auto"/>
        <w:jc w:val="both"/>
        <w:rPr>
          <w:rFonts w:ascii="Verdana" w:hAnsi="Verdana"/>
        </w:rPr>
      </w:pPr>
      <w:r w:rsidRPr="00A72EEA">
        <w:rPr>
          <w:rFonts w:ascii="Verdana" w:hAnsi="Verdana"/>
        </w:rPr>
        <w:t xml:space="preserve">Página web: </w:t>
      </w:r>
      <w:hyperlink w:history="1" r:id="rId15">
        <w:r w:rsidRPr="00A72EEA">
          <w:rPr>
            <w:rStyle w:val="Hipervnculo"/>
            <w:rFonts w:ascii="Verdana" w:hAnsi="Verdana"/>
          </w:rPr>
          <w:t>www.colombiacompra.gov.co</w:t>
        </w:r>
      </w:hyperlink>
    </w:p>
    <w:p w:rsidRPr="00A72EEA" w:rsidR="00C64D09" w:rsidP="00C64D09" w:rsidRDefault="00C64D09" w14:paraId="44AA0CF6" w14:textId="77777777">
      <w:pPr>
        <w:pStyle w:val="Prrafodelista"/>
        <w:spacing w:after="0" w:line="240" w:lineRule="auto"/>
        <w:ind w:left="785"/>
        <w:jc w:val="both"/>
        <w:rPr>
          <w:rFonts w:ascii="Verdana" w:hAnsi="Verdana"/>
        </w:rPr>
      </w:pPr>
    </w:p>
    <w:p w:rsidRPr="00A72EEA" w:rsidR="00C64D09" w:rsidP="00C64D09" w:rsidRDefault="00C64D09" w14:paraId="4AC02198" w14:textId="77777777">
      <w:pPr>
        <w:spacing w:after="0" w:line="240" w:lineRule="auto"/>
        <w:jc w:val="both"/>
        <w:rPr>
          <w:rFonts w:ascii="Verdana" w:hAnsi="Verdana"/>
        </w:rPr>
      </w:pPr>
      <w:r w:rsidRPr="00A72EEA">
        <w:rPr>
          <w:rFonts w:ascii="Verdana" w:hAnsi="Verdana"/>
        </w:rPr>
        <w:t xml:space="preserve">Lo invitamos a seguirnos en las redes sociales en las cuales se difunde información institucional: </w:t>
      </w:r>
    </w:p>
    <w:p w:rsidRPr="00A72EEA" w:rsidR="00C64D09" w:rsidP="00C64D09" w:rsidRDefault="00C64D09" w14:paraId="47D59118" w14:textId="77777777">
      <w:pPr>
        <w:spacing w:after="0" w:line="240" w:lineRule="auto"/>
        <w:jc w:val="both"/>
        <w:rPr>
          <w:rFonts w:ascii="Verdana" w:hAnsi="Verdana"/>
        </w:rPr>
      </w:pPr>
    </w:p>
    <w:p w:rsidRPr="00A72EEA" w:rsidR="00C64D09" w:rsidP="00C64D09" w:rsidRDefault="00C64D09" w14:paraId="672C2D7E" w14:textId="77777777">
      <w:pPr>
        <w:spacing w:after="0" w:line="240" w:lineRule="auto"/>
        <w:jc w:val="both"/>
        <w:rPr>
          <w:rFonts w:ascii="Verdana" w:hAnsi="Verdana"/>
        </w:rPr>
      </w:pPr>
      <w:r w:rsidRPr="00A72EEA">
        <w:rPr>
          <w:rFonts w:ascii="Verdana" w:hAnsi="Verdana"/>
        </w:rPr>
        <w:t xml:space="preserve">Twitter: </w:t>
      </w:r>
      <w:r w:rsidRPr="00A72EEA">
        <w:rPr>
          <w:rStyle w:val="Hipervnculo"/>
          <w:rFonts w:ascii="Verdana" w:hAnsi="Verdana"/>
        </w:rPr>
        <w:t>@colombiacompra</w:t>
      </w:r>
      <w:r w:rsidRPr="00A72EEA">
        <w:rPr>
          <w:rFonts w:ascii="Verdana" w:hAnsi="Verdana"/>
        </w:rPr>
        <w:t xml:space="preserve"> </w:t>
      </w:r>
    </w:p>
    <w:p w:rsidRPr="00A72EEA" w:rsidR="00C64D09" w:rsidP="00C64D09" w:rsidRDefault="00C64D09" w14:paraId="24DA2A92" w14:textId="77777777">
      <w:pPr>
        <w:spacing w:after="0" w:line="240" w:lineRule="auto"/>
        <w:jc w:val="both"/>
        <w:rPr>
          <w:rFonts w:ascii="Verdana" w:hAnsi="Verdana"/>
        </w:rPr>
      </w:pPr>
      <w:r w:rsidRPr="00A72EEA">
        <w:rPr>
          <w:rFonts w:ascii="Verdana" w:hAnsi="Verdana"/>
        </w:rPr>
        <w:t xml:space="preserve">Facebook: </w:t>
      </w:r>
      <w:proofErr w:type="spellStart"/>
      <w:r w:rsidRPr="00A72EEA">
        <w:rPr>
          <w:rStyle w:val="Hipervnculo"/>
          <w:rFonts w:ascii="Verdana" w:hAnsi="Verdana"/>
        </w:rPr>
        <w:t>ColombiaCompraEficiente</w:t>
      </w:r>
      <w:proofErr w:type="spellEnd"/>
    </w:p>
    <w:p w:rsidRPr="00A72EEA" w:rsidR="00C64D09" w:rsidP="00C64D09" w:rsidRDefault="00C64D09" w14:paraId="609FD6D0" w14:textId="77777777">
      <w:pPr>
        <w:spacing w:after="0" w:line="240" w:lineRule="auto"/>
        <w:jc w:val="both"/>
        <w:rPr>
          <w:rFonts w:ascii="Verdana" w:hAnsi="Verdana"/>
        </w:rPr>
      </w:pPr>
      <w:r w:rsidRPr="00A72EEA">
        <w:rPr>
          <w:rFonts w:ascii="Verdana" w:hAnsi="Verdana"/>
        </w:rPr>
        <w:t xml:space="preserve">LinkedIn: </w:t>
      </w:r>
      <w:r w:rsidRPr="00A72EEA">
        <w:rPr>
          <w:rStyle w:val="Hipervnculo"/>
          <w:rFonts w:ascii="Verdana" w:hAnsi="Verdana"/>
        </w:rPr>
        <w:t>Agencia Nacional de Contratación Pública - Colombia Compra Eficiente</w:t>
      </w:r>
      <w:r w:rsidRPr="00A72EEA">
        <w:rPr>
          <w:rFonts w:ascii="Verdana" w:hAnsi="Verdana"/>
        </w:rPr>
        <w:t xml:space="preserve"> Instagram: </w:t>
      </w:r>
      <w:r w:rsidRPr="00A72EEA">
        <w:rPr>
          <w:rStyle w:val="Hipervnculo"/>
          <w:rFonts w:ascii="Verdana" w:hAnsi="Verdana"/>
        </w:rPr>
        <w:t>@colombiacompraeficiente_cce</w:t>
      </w:r>
    </w:p>
    <w:p w:rsidRPr="00A72EEA" w:rsidR="00C64D09" w:rsidP="00C64D09" w:rsidRDefault="00C64D09" w14:paraId="6F00D71B" w14:textId="77777777">
      <w:pPr>
        <w:spacing w:after="0" w:line="240" w:lineRule="auto"/>
        <w:jc w:val="both"/>
        <w:rPr>
          <w:rFonts w:ascii="Verdana" w:hAnsi="Verdana"/>
        </w:rPr>
      </w:pPr>
    </w:p>
    <w:p w:rsidRPr="00A72EEA" w:rsidR="00C64D09" w:rsidP="00C64D09" w:rsidRDefault="00C64D09" w14:paraId="0E491615" w14:textId="77777777">
      <w:pPr>
        <w:spacing w:after="0" w:line="256" w:lineRule="auto"/>
        <w:jc w:val="both"/>
        <w:rPr>
          <w:rFonts w:ascii="Verdana" w:hAnsi="Verdana" w:eastAsia="Calibri" w:cs="Times New Roman"/>
          <w:bCs/>
          <w:lang w:val="es-ES_tradnl"/>
        </w:rPr>
      </w:pPr>
      <w:r w:rsidRPr="00A72EEA">
        <w:rPr>
          <w:rFonts w:ascii="Verdana" w:hAnsi="Verdana" w:eastAsia="Calibri"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rsidRPr="00A72EEA" w:rsidR="00C64D09" w:rsidP="00C64D09" w:rsidRDefault="00C64D09" w14:paraId="24E0CD11" w14:textId="77777777">
      <w:pPr>
        <w:spacing w:after="0" w:line="256" w:lineRule="auto"/>
        <w:jc w:val="both"/>
        <w:rPr>
          <w:rFonts w:ascii="Verdana" w:hAnsi="Verdana" w:eastAsia="Calibri" w:cs="Times New Roman"/>
        </w:rPr>
      </w:pPr>
    </w:p>
    <w:p w:rsidRPr="00A72EEA" w:rsidR="00C64D09" w:rsidP="00C64D09" w:rsidRDefault="00C64D09" w14:paraId="5F27C9CF" w14:textId="77777777">
      <w:pPr>
        <w:spacing w:after="0" w:line="256" w:lineRule="auto"/>
        <w:jc w:val="both"/>
        <w:rPr>
          <w:rFonts w:ascii="Verdana" w:hAnsi="Verdana" w:eastAsia="Calibri" w:cs="Times New Roman"/>
        </w:rPr>
      </w:pPr>
      <w:r w:rsidRPr="00A72EEA">
        <w:rPr>
          <w:rFonts w:ascii="Verdana" w:hAnsi="Verdana" w:eastAsia="Calibri" w:cs="Times New Roman"/>
        </w:rPr>
        <w:t>Atentamente,</w:t>
      </w:r>
    </w:p>
    <w:p w:rsidRPr="00A72EEA" w:rsidR="00C64D09" w:rsidP="00C64D09" w:rsidRDefault="0024799F" w14:paraId="1475F2BA" w14:textId="0C47EA48">
      <w:pPr>
        <w:spacing w:after="0" w:line="256" w:lineRule="auto"/>
        <w:jc w:val="center"/>
        <w:rPr>
          <w:rFonts w:ascii="Verdana" w:hAnsi="Verdana" w:eastAsia="Times New Roman" w:cs="Arial"/>
          <w:noProof/>
          <w:sz w:val="24"/>
          <w:szCs w:val="24"/>
          <w:lang w:val="en-US"/>
        </w:rPr>
      </w:pPr>
      <w:r>
        <w:rPr>
          <w:noProof/>
        </w:rPr>
        <w:drawing>
          <wp:inline distT="0" distB="0" distL="0" distR="0" wp14:anchorId="3DF392D0" wp14:editId="44541A6B">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p w:rsidRPr="00A72EEA" w:rsidR="00C64D09" w:rsidP="00C64D09" w:rsidRDefault="00C64D09" w14:paraId="0BED8BF6" w14:textId="77777777">
      <w:pPr>
        <w:spacing w:after="0" w:line="256" w:lineRule="auto"/>
        <w:rPr>
          <w:rFonts w:ascii="Verdana" w:hAnsi="Verdana" w:eastAsia="Calibri" w:cs="Times New Roman"/>
          <w:lang w:val="es-ES"/>
        </w:rPr>
      </w:pPr>
    </w:p>
    <w:tbl>
      <w:tblPr>
        <w:tblW w:w="5754"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17"/>
        <w:gridCol w:w="4937"/>
      </w:tblGrid>
      <w:tr w:rsidRPr="00A72EEA" w:rsidR="00C64D09" w:rsidTr="004D4ADE" w14:paraId="590EA3EC" w14:textId="77777777">
        <w:trPr>
          <w:trHeight w:val="409"/>
        </w:trPr>
        <w:tc>
          <w:tcPr>
            <w:tcW w:w="817" w:type="dxa"/>
            <w:tcBorders>
              <w:top w:val="nil"/>
              <w:left w:val="nil"/>
              <w:bottom w:val="nil"/>
              <w:right w:val="nil"/>
            </w:tcBorders>
            <w:vAlign w:val="center"/>
            <w:hideMark/>
          </w:tcPr>
          <w:p w:rsidRPr="00A72EEA" w:rsidR="00C64D09" w:rsidP="004D4ADE" w:rsidRDefault="00C64D09" w14:paraId="331F0D4C" w14:textId="77777777">
            <w:pPr>
              <w:spacing w:after="0" w:line="240" w:lineRule="auto"/>
              <w:rPr>
                <w:rFonts w:ascii="Verdana" w:hAnsi="Verdana" w:eastAsia="Calibri" w:cs="Times New Roman"/>
                <w:sz w:val="16"/>
                <w:szCs w:val="16"/>
              </w:rPr>
            </w:pPr>
            <w:r w:rsidRPr="00A72EEA">
              <w:rPr>
                <w:rFonts w:ascii="Verdana" w:hAnsi="Verdana" w:eastAsia="Calibri" w:cs="Times New Roman"/>
                <w:sz w:val="16"/>
                <w:szCs w:val="16"/>
              </w:rPr>
              <w:t>Elaboró: </w:t>
            </w:r>
          </w:p>
        </w:tc>
        <w:tc>
          <w:tcPr>
            <w:tcW w:w="4937" w:type="dxa"/>
            <w:tcBorders>
              <w:top w:val="nil"/>
              <w:left w:val="nil"/>
              <w:bottom w:val="dotted" w:color="7F7F7F" w:themeColor="text1" w:themeTint="80" w:sz="6" w:space="0"/>
              <w:right w:val="nil"/>
            </w:tcBorders>
            <w:vAlign w:val="center"/>
            <w:hideMark/>
          </w:tcPr>
          <w:p w:rsidRPr="00A72EEA" w:rsidR="00C64D09" w:rsidP="004D4ADE" w:rsidRDefault="00C64D09" w14:paraId="494DE78A" w14:textId="77777777">
            <w:pPr>
              <w:spacing w:after="0" w:line="240" w:lineRule="auto"/>
              <w:rPr>
                <w:rFonts w:ascii="Verdana" w:hAnsi="Verdana" w:eastAsia="Calibri" w:cs="Times New Roman"/>
                <w:sz w:val="16"/>
                <w:szCs w:val="16"/>
              </w:rPr>
            </w:pPr>
            <w:r w:rsidRPr="00A72EEA">
              <w:rPr>
                <w:rFonts w:ascii="Verdana" w:hAnsi="Verdana" w:eastAsia="Calibri" w:cs="Times New Roman"/>
                <w:sz w:val="16"/>
                <w:szCs w:val="16"/>
              </w:rPr>
              <w:t>Ximena Ríos López</w:t>
            </w:r>
          </w:p>
          <w:p w:rsidRPr="00A72EEA" w:rsidR="00C64D09" w:rsidP="004D4ADE" w:rsidRDefault="00C64D09" w14:paraId="4CB8652F" w14:textId="77777777">
            <w:pPr>
              <w:spacing w:after="0" w:line="240" w:lineRule="auto"/>
              <w:rPr>
                <w:rFonts w:ascii="Verdana" w:hAnsi="Verdana" w:eastAsia="Calibri" w:cs="Times New Roman"/>
                <w:sz w:val="16"/>
                <w:szCs w:val="16"/>
              </w:rPr>
            </w:pPr>
            <w:r w:rsidRPr="00A72EEA">
              <w:rPr>
                <w:rFonts w:ascii="Verdana" w:hAnsi="Verdana" w:eastAsia="Calibri" w:cs="Times New Roman"/>
                <w:sz w:val="16"/>
                <w:szCs w:val="16"/>
              </w:rPr>
              <w:t>Gestor T1-11 de la Subdirección de Gestión Contractual</w:t>
            </w:r>
          </w:p>
        </w:tc>
      </w:tr>
      <w:tr w:rsidRPr="00A72EEA" w:rsidR="00C64D09" w:rsidTr="004D4ADE" w14:paraId="2D4B2AD1" w14:textId="77777777">
        <w:trPr>
          <w:trHeight w:val="409"/>
        </w:trPr>
        <w:tc>
          <w:tcPr>
            <w:tcW w:w="817" w:type="dxa"/>
            <w:tcBorders>
              <w:top w:val="nil"/>
              <w:left w:val="nil"/>
              <w:bottom w:val="nil"/>
              <w:right w:val="nil"/>
            </w:tcBorders>
            <w:vAlign w:val="center"/>
            <w:hideMark/>
          </w:tcPr>
          <w:p w:rsidRPr="00A72EEA" w:rsidR="00C64D09" w:rsidP="004D4ADE" w:rsidRDefault="00C64D09" w14:paraId="21B38B7F" w14:textId="77777777">
            <w:pPr>
              <w:spacing w:after="0" w:line="240" w:lineRule="auto"/>
              <w:rPr>
                <w:rFonts w:ascii="Verdana" w:hAnsi="Verdana" w:eastAsia="Calibri" w:cs="Times New Roman"/>
                <w:sz w:val="16"/>
                <w:szCs w:val="16"/>
              </w:rPr>
            </w:pPr>
            <w:r w:rsidRPr="00A72EEA">
              <w:rPr>
                <w:rFonts w:ascii="Verdana" w:hAnsi="Verdana" w:eastAsia="Calibri" w:cs="Times New Roman"/>
                <w:sz w:val="16"/>
                <w:szCs w:val="16"/>
              </w:rPr>
              <w:t>Revisó </w:t>
            </w:r>
          </w:p>
        </w:tc>
        <w:tc>
          <w:tcPr>
            <w:tcW w:w="4937" w:type="dxa"/>
            <w:tcBorders>
              <w:top w:val="dotted" w:color="7F7F7F" w:themeColor="text1" w:themeTint="80" w:sz="6" w:space="0"/>
              <w:left w:val="nil"/>
              <w:bottom w:val="dotted" w:color="7F7F7F" w:themeColor="text1" w:themeTint="80" w:sz="6" w:space="0"/>
              <w:right w:val="nil"/>
            </w:tcBorders>
            <w:vAlign w:val="center"/>
            <w:hideMark/>
          </w:tcPr>
          <w:p w:rsidRPr="00A72EEA" w:rsidR="00C64D09" w:rsidP="004D4ADE" w:rsidRDefault="00C64D09" w14:paraId="7FFB5D27" w14:textId="4C8B460B">
            <w:pPr>
              <w:spacing w:after="0" w:line="240" w:lineRule="auto"/>
              <w:rPr>
                <w:rFonts w:ascii="Verdana" w:hAnsi="Verdana" w:eastAsia="Calibri" w:cs="Times New Roman"/>
                <w:sz w:val="16"/>
                <w:szCs w:val="16"/>
              </w:rPr>
            </w:pPr>
            <w:r>
              <w:rPr>
                <w:rFonts w:ascii="Verdana" w:hAnsi="Verdana" w:eastAsia="Calibri" w:cs="Times New Roman"/>
                <w:sz w:val="16"/>
                <w:szCs w:val="16"/>
              </w:rPr>
              <w:t>Adriana López</w:t>
            </w:r>
          </w:p>
          <w:p w:rsidRPr="00A72EEA" w:rsidR="00C64D09" w:rsidP="004D4ADE" w:rsidRDefault="00C64D09" w14:paraId="69318F16" w14:textId="77777777">
            <w:pPr>
              <w:spacing w:after="0" w:line="240" w:lineRule="auto"/>
              <w:rPr>
                <w:rFonts w:ascii="Verdana" w:hAnsi="Verdana" w:eastAsia="Calibri" w:cs="Times New Roman"/>
                <w:sz w:val="16"/>
                <w:szCs w:val="16"/>
                <w:highlight w:val="yellow"/>
              </w:rPr>
            </w:pPr>
            <w:r w:rsidRPr="00A72EEA">
              <w:rPr>
                <w:rFonts w:ascii="Verdana" w:hAnsi="Verdana" w:eastAsia="Calibri" w:cs="Times New Roman"/>
                <w:sz w:val="16"/>
                <w:szCs w:val="16"/>
              </w:rPr>
              <w:t>Contratista de la Subdirección de Gestión Contractual </w:t>
            </w:r>
          </w:p>
        </w:tc>
      </w:tr>
      <w:tr w:rsidRPr="00A72EEA" w:rsidR="00C64D09" w:rsidTr="004D4ADE" w14:paraId="058B3028" w14:textId="77777777">
        <w:trPr>
          <w:trHeight w:val="389"/>
        </w:trPr>
        <w:tc>
          <w:tcPr>
            <w:tcW w:w="817" w:type="dxa"/>
            <w:tcBorders>
              <w:top w:val="nil"/>
              <w:left w:val="nil"/>
              <w:bottom w:val="nil"/>
              <w:right w:val="nil"/>
            </w:tcBorders>
            <w:vAlign w:val="center"/>
            <w:hideMark/>
          </w:tcPr>
          <w:p w:rsidRPr="00A72EEA" w:rsidR="00C64D09" w:rsidP="004D4ADE" w:rsidRDefault="00C64D09" w14:paraId="37B65603" w14:textId="77777777">
            <w:pPr>
              <w:spacing w:after="0" w:line="240" w:lineRule="auto"/>
              <w:rPr>
                <w:rFonts w:ascii="Verdana" w:hAnsi="Verdana" w:eastAsia="Calibri" w:cs="Times New Roman"/>
                <w:sz w:val="16"/>
                <w:szCs w:val="16"/>
              </w:rPr>
            </w:pPr>
            <w:r w:rsidRPr="00A72EEA">
              <w:rPr>
                <w:rFonts w:ascii="Verdana" w:hAnsi="Verdana" w:eastAsia="Calibri" w:cs="Times New Roman"/>
                <w:sz w:val="16"/>
                <w:szCs w:val="16"/>
              </w:rPr>
              <w:t>Aprobó: </w:t>
            </w:r>
          </w:p>
        </w:tc>
        <w:tc>
          <w:tcPr>
            <w:tcW w:w="4937" w:type="dxa"/>
            <w:tcBorders>
              <w:top w:val="dotted" w:color="7F7F7F" w:themeColor="text1" w:themeTint="80" w:sz="6" w:space="0"/>
              <w:left w:val="nil"/>
              <w:bottom w:val="dotted" w:color="7F7F7F" w:themeColor="text1" w:themeTint="80" w:sz="6" w:space="0"/>
              <w:right w:val="nil"/>
            </w:tcBorders>
            <w:vAlign w:val="center"/>
            <w:hideMark/>
          </w:tcPr>
          <w:p w:rsidRPr="00A72EEA" w:rsidR="00C64D09" w:rsidP="004D4ADE" w:rsidRDefault="00C64D09" w14:paraId="690E92DE" w14:textId="77777777">
            <w:pPr>
              <w:spacing w:after="0" w:line="240" w:lineRule="auto"/>
              <w:rPr>
                <w:rFonts w:ascii="Verdana" w:hAnsi="Verdana" w:eastAsia="Calibri" w:cs="Times New Roman"/>
                <w:sz w:val="16"/>
                <w:szCs w:val="16"/>
              </w:rPr>
            </w:pPr>
            <w:r w:rsidRPr="00A72EEA">
              <w:rPr>
                <w:rFonts w:ascii="Verdana" w:hAnsi="Verdana" w:eastAsia="Calibri" w:cs="Times New Roman"/>
                <w:sz w:val="16"/>
                <w:szCs w:val="16"/>
              </w:rPr>
              <w:t>Carolina Quintero Gacharná</w:t>
            </w:r>
          </w:p>
          <w:p w:rsidRPr="00A72EEA" w:rsidR="00C64D09" w:rsidP="004D4ADE" w:rsidRDefault="00C64D09" w14:paraId="6F25506C" w14:textId="77777777">
            <w:pPr>
              <w:spacing w:after="0" w:line="240" w:lineRule="auto"/>
              <w:rPr>
                <w:rFonts w:ascii="Verdana" w:hAnsi="Verdana" w:eastAsia="Calibri" w:cs="Times New Roman"/>
                <w:sz w:val="16"/>
                <w:szCs w:val="16"/>
              </w:rPr>
            </w:pPr>
            <w:r w:rsidRPr="00A72EEA">
              <w:rPr>
                <w:rFonts w:ascii="Verdana" w:hAnsi="Verdana" w:eastAsia="Calibri" w:cs="Times New Roman"/>
                <w:sz w:val="16"/>
                <w:szCs w:val="16"/>
              </w:rPr>
              <w:t>Subdirectora de Gestión Contractual ANCP – CCE</w:t>
            </w:r>
          </w:p>
        </w:tc>
      </w:tr>
    </w:tbl>
    <w:p w:rsidRPr="00A72EEA" w:rsidR="00C64D09" w:rsidP="00C64D09" w:rsidRDefault="00C64D09" w14:paraId="47C317D1" w14:textId="77777777">
      <w:pPr>
        <w:rPr>
          <w:rFonts w:ascii="Verdana" w:hAnsi="Verdana"/>
          <w:lang w:val="es-ES"/>
        </w:rPr>
      </w:pPr>
    </w:p>
    <w:p w:rsidRPr="004429DD" w:rsidR="005B6641" w:rsidP="00C64D09" w:rsidRDefault="00FC680E" w14:paraId="1121BE4C" w14:textId="27C918D7">
      <w:pPr>
        <w:spacing w:after="0" w:line="256" w:lineRule="auto"/>
        <w:jc w:val="both"/>
        <w:rPr>
          <w:rStyle w:val="Hipervnculo"/>
          <w:color w:val="auto"/>
          <w:u w:val="none"/>
          <w:lang w:val="es-ES"/>
        </w:rPr>
      </w:pPr>
      <w:r>
        <w:rPr>
          <w:noProof/>
        </w:rPr>
        <w:drawing>
          <wp:inline distT="0" distB="0" distL="0" distR="0" wp14:anchorId="68CAB410" wp14:editId="436AC05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sectPr w:rsidRPr="004429DD" w:rsidR="005B6641" w:rsidSect="007C0C0F">
      <w:headerReference w:type="default" r:id="rId18"/>
      <w:footerReference w:type="default" r:id="rId19"/>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666FD" w:rsidP="004A1847" w:rsidRDefault="001666FD" w14:paraId="60517671" w14:textId="77777777">
      <w:pPr>
        <w:spacing w:after="0" w:line="240" w:lineRule="auto"/>
      </w:pPr>
      <w:r>
        <w:separator/>
      </w:r>
    </w:p>
  </w:endnote>
  <w:endnote w:type="continuationSeparator" w:id="0">
    <w:p w:rsidR="001666FD" w:rsidP="004A1847" w:rsidRDefault="001666FD" w14:paraId="32AF8BC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57A26AA9">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sidRPr="000F13DA" w:rsidR="000F13DA">
      <w:rPr>
        <w:rFonts w:ascii="Verdana" w:hAnsi="Verdana" w:eastAsiaTheme="minorEastAsia"/>
        <w:b/>
        <w:bCs/>
        <w:noProof/>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666FD" w:rsidP="004A1847" w:rsidRDefault="001666FD" w14:paraId="4BFE80B3" w14:textId="77777777">
      <w:pPr>
        <w:spacing w:after="0" w:line="240" w:lineRule="auto"/>
      </w:pPr>
      <w:r>
        <w:separator/>
      </w:r>
    </w:p>
  </w:footnote>
  <w:footnote w:type="continuationSeparator" w:id="0">
    <w:p w:rsidR="001666FD" w:rsidP="004A1847" w:rsidRDefault="001666FD" w14:paraId="6CEAA160" w14:textId="77777777">
      <w:pPr>
        <w:spacing w:after="0" w:line="240" w:lineRule="auto"/>
      </w:pPr>
      <w:r>
        <w:continuationSeparator/>
      </w:r>
    </w:p>
  </w:footnote>
  <w:footnote w:id="1">
    <w:p w:rsidRPr="00F22A64" w:rsidR="004429DD" w:rsidP="004429DD" w:rsidRDefault="004429DD" w14:paraId="7D32F3E0" w14:textId="77777777">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Sobre este punto, “La doctrina distingue entre un objeto social </w:t>
      </w:r>
      <w:r w:rsidRPr="00F22A64">
        <w:rPr>
          <w:rFonts w:ascii="Verdana" w:hAnsi="Verdana"/>
          <w:i/>
          <w:iCs/>
          <w:sz w:val="16"/>
          <w:szCs w:val="16"/>
        </w:rPr>
        <w:t>principal</w:t>
      </w:r>
      <w:r w:rsidRPr="00F22A64">
        <w:rPr>
          <w:rFonts w:ascii="Verdana" w:hAnsi="Verdana"/>
          <w:sz w:val="16"/>
          <w:szCs w:val="16"/>
        </w:rPr>
        <w:t xml:space="preserve"> representado por las actividades que forman parte de la </w:t>
      </w:r>
      <w:r w:rsidRPr="00F22A64">
        <w:rPr>
          <w:rFonts w:ascii="Verdana" w:hAnsi="Verdana"/>
          <w:i/>
          <w:iCs/>
          <w:sz w:val="16"/>
          <w:szCs w:val="16"/>
        </w:rPr>
        <w:t>empresa socia</w:t>
      </w:r>
      <w:r w:rsidRPr="00F22A64">
        <w:rPr>
          <w:rFonts w:ascii="Verdana" w:hAnsi="Verdana"/>
          <w:sz w:val="16"/>
          <w:szCs w:val="16"/>
        </w:rPr>
        <w:t xml:space="preserve">l, y un objeto </w:t>
      </w:r>
      <w:r w:rsidRPr="00F22A64">
        <w:rPr>
          <w:rFonts w:ascii="Verdana" w:hAnsi="Verdana"/>
          <w:i/>
          <w:iCs/>
          <w:sz w:val="16"/>
          <w:szCs w:val="16"/>
        </w:rPr>
        <w:t>secundario</w:t>
      </w:r>
      <w:r w:rsidRPr="00F22A64">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22A64">
        <w:rPr>
          <w:rFonts w:ascii="Verdana" w:hAnsi="Verdana"/>
          <w:i/>
          <w:iCs/>
          <w:sz w:val="16"/>
          <w:szCs w:val="16"/>
        </w:rPr>
        <w:t>secundario</w:t>
      </w:r>
      <w:r w:rsidRPr="00F22A64">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rsidR="004429DD" w:rsidP="004429DD" w:rsidRDefault="004429DD" w14:paraId="26C2CF23" w14:textId="77777777">
      <w:pPr>
        <w:pStyle w:val="Textonotapie"/>
        <w:ind w:firstLine="709"/>
        <w:jc w:val="both"/>
        <w:rPr>
          <w:rFonts w:ascii="Verdana" w:hAnsi="Verdana"/>
          <w:sz w:val="16"/>
          <w:szCs w:val="16"/>
        </w:rPr>
      </w:pPr>
      <w:r w:rsidRPr="00F22A64">
        <w:rPr>
          <w:rFonts w:ascii="Verdana" w:hAnsi="Verdana"/>
          <w:sz w:val="16"/>
          <w:szCs w:val="16"/>
        </w:rPr>
        <w:t xml:space="preserve">Podría, inclusive, afirmarse que el objeto social </w:t>
      </w:r>
      <w:r w:rsidRPr="00F22A64">
        <w:rPr>
          <w:rFonts w:ascii="Verdana" w:hAnsi="Verdana"/>
          <w:i/>
          <w:iCs/>
          <w:sz w:val="16"/>
          <w:szCs w:val="16"/>
        </w:rPr>
        <w:t>secundario</w:t>
      </w:r>
      <w:r w:rsidRPr="00F22A64">
        <w:rPr>
          <w:rFonts w:ascii="Verdana" w:hAnsi="Verdana"/>
          <w:sz w:val="16"/>
          <w:szCs w:val="16"/>
        </w:rPr>
        <w:t xml:space="preserve"> es presunto o que por ser un elemento de la </w:t>
      </w:r>
      <w:r w:rsidRPr="00F22A64">
        <w:rPr>
          <w:rFonts w:ascii="Verdana" w:hAnsi="Verdana"/>
          <w:i/>
          <w:iCs/>
          <w:sz w:val="16"/>
          <w:szCs w:val="16"/>
        </w:rPr>
        <w:t>naturaleza</w:t>
      </w:r>
      <w:r w:rsidRPr="00F22A64">
        <w:rPr>
          <w:rFonts w:ascii="Verdana" w:hAnsi="Verdana"/>
          <w:sz w:val="16"/>
          <w:szCs w:val="16"/>
        </w:rPr>
        <w:t xml:space="preserve"> del contrato de sociedad, rige de manera supletiva,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22A64">
        <w:rPr>
          <w:rFonts w:ascii="Verdana" w:hAnsi="Verdana"/>
          <w:i/>
          <w:iCs/>
          <w:sz w:val="16"/>
          <w:szCs w:val="16"/>
        </w:rPr>
        <w:t>desarrollo de su objeto social</w:t>
      </w:r>
      <w:r w:rsidRPr="00F22A64">
        <w:rPr>
          <w:rFonts w:ascii="Verdana" w:hAnsi="Verdana"/>
          <w:sz w:val="16"/>
          <w:szCs w:val="16"/>
        </w:rPr>
        <w:t>, según la conocida expresión que se utiliza para dividir el objeto principal del secundario […]” (REYES VILLAMIZAR, Francisco. Derecho societario. Cuarta edición. Bogotá: Temis, 2020. pp. 196-197).</w:t>
      </w:r>
    </w:p>
    <w:p w:rsidRPr="00F22A64" w:rsidR="00F11C93" w:rsidP="004429DD" w:rsidRDefault="00F11C93" w14:paraId="68A68E76" w14:textId="77777777">
      <w:pPr>
        <w:pStyle w:val="Textonotapie"/>
        <w:ind w:firstLine="709"/>
        <w:jc w:val="both"/>
        <w:rPr>
          <w:rFonts w:ascii="Verdana" w:hAnsi="Verdana"/>
          <w:sz w:val="16"/>
          <w:szCs w:val="16"/>
        </w:rPr>
      </w:pPr>
    </w:p>
  </w:footnote>
  <w:footnote w:id="2">
    <w:p w:rsidRPr="00F22A64" w:rsidR="004429DD" w:rsidP="004429DD" w:rsidRDefault="004429DD" w14:paraId="1A9147CF" w14:textId="77777777">
      <w:pPr>
        <w:pStyle w:val="Textonotapie"/>
        <w:ind w:firstLine="709"/>
        <w:jc w:val="both"/>
        <w:rPr>
          <w:rFonts w:ascii="Verdana" w:hAnsi="Verdana"/>
          <w:sz w:val="16"/>
          <w:szCs w:val="16"/>
          <w:lang w:val="es-CO"/>
        </w:rPr>
      </w:pPr>
      <w:r w:rsidRPr="00F22A64">
        <w:rPr>
          <w:rStyle w:val="Refdenotaalpie"/>
          <w:rFonts w:ascii="Verdana" w:hAnsi="Verdana"/>
          <w:sz w:val="16"/>
          <w:szCs w:val="16"/>
        </w:rPr>
        <w:footnoteRef/>
      </w:r>
      <w:r w:rsidRPr="00F22A64">
        <w:rPr>
          <w:rFonts w:ascii="Verdana" w:hAnsi="Verdana"/>
          <w:sz w:val="16"/>
          <w:szCs w:val="16"/>
        </w:rPr>
        <w:t xml:space="preserve"> PINZÓN, Gabino. Sociedades comerciales. Bogotá: Temis, 1977. p. 186.</w:t>
      </w:r>
    </w:p>
  </w:footnote>
  <w:footnote w:id="3">
    <w:p w:rsidR="00F11C93" w:rsidP="004429DD" w:rsidRDefault="00F11C93" w14:paraId="1623DCB7" w14:textId="77777777">
      <w:pPr>
        <w:pStyle w:val="Textonotapie"/>
        <w:ind w:firstLine="709"/>
        <w:jc w:val="both"/>
        <w:rPr>
          <w:rFonts w:ascii="Verdana" w:hAnsi="Verdana"/>
          <w:sz w:val="16"/>
          <w:szCs w:val="16"/>
        </w:rPr>
      </w:pPr>
    </w:p>
    <w:p w:rsidRPr="00F22A64" w:rsidR="004429DD" w:rsidP="004429DD" w:rsidRDefault="004429DD" w14:paraId="527C9EB9" w14:textId="58B440B9">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d e establecer igualmente en consideración a las actividades en él enunciadas, con sujeción a las reglas y las consecuencias que al efecto prevén las disposiciones consagradas el Código de Comercio, particularmente el artículo 110, ordinal 4°, en concordancia con el 99 </w:t>
      </w:r>
      <w:r w:rsidRPr="00F22A64">
        <w:rPr>
          <w:rFonts w:ascii="Verdana" w:hAnsi="Verdana"/>
          <w:i/>
          <w:iCs/>
          <w:sz w:val="16"/>
          <w:szCs w:val="16"/>
        </w:rPr>
        <w:t>ibidem</w:t>
      </w:r>
      <w:r w:rsidRPr="00F22A64">
        <w:rPr>
          <w:rFonts w:ascii="Verdana" w:hAnsi="Verdana"/>
          <w:sz w:val="16"/>
          <w:szCs w:val="16"/>
        </w:rPr>
        <w:t>.</w:t>
      </w:r>
    </w:p>
    <w:p w:rsidRPr="00F22A64" w:rsidR="004429DD" w:rsidP="004429DD" w:rsidRDefault="004429DD" w14:paraId="11E206D6" w14:textId="77777777">
      <w:pPr>
        <w:pStyle w:val="Textonotapie"/>
        <w:ind w:firstLine="709"/>
        <w:jc w:val="both"/>
        <w:rPr>
          <w:rFonts w:ascii="Verdana" w:hAnsi="Verdana"/>
          <w:sz w:val="16"/>
          <w:szCs w:val="16"/>
        </w:rPr>
      </w:pPr>
      <w:r w:rsidRPr="00F22A64">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rsidRPr="00F22A64" w:rsidR="004429DD" w:rsidP="004429DD" w:rsidRDefault="004429DD" w14:paraId="272CFB3D" w14:textId="77777777">
      <w:pPr>
        <w:pStyle w:val="Textonotapie"/>
        <w:ind w:firstLine="709"/>
        <w:jc w:val="both"/>
        <w:rPr>
          <w:rFonts w:ascii="Verdana" w:hAnsi="Verdana"/>
          <w:sz w:val="16"/>
          <w:szCs w:val="16"/>
        </w:rPr>
      </w:pPr>
      <w:r w:rsidRPr="00F22A64">
        <w:rPr>
          <w:rFonts w:ascii="Verdana" w:hAnsi="Verdana"/>
          <w:sz w:val="16"/>
          <w:szCs w:val="16"/>
        </w:rPr>
        <w:t>vii)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rsidRPr="00F22A64" w:rsidR="004429DD" w:rsidP="004429DD" w:rsidRDefault="004429DD" w14:paraId="03AF0F2F" w14:textId="77777777">
      <w:pPr>
        <w:pStyle w:val="Textonotapie"/>
        <w:ind w:firstLine="709"/>
        <w:jc w:val="both"/>
        <w:rPr>
          <w:rFonts w:ascii="Verdana" w:hAnsi="Verdana"/>
          <w:sz w:val="16"/>
          <w:szCs w:val="16"/>
        </w:rPr>
      </w:pPr>
      <w:r w:rsidRPr="00F22A64">
        <w:rPr>
          <w:rFonts w:ascii="Verdana" w:hAnsi="Verdana"/>
          <w:sz w:val="16"/>
          <w:szCs w:val="16"/>
        </w:rPr>
        <w:t>De no expresarse nada en los estatutos, necesariamente debe entenderse que la compañía puede efectuar cualquier actividad licita”.</w:t>
      </w:r>
    </w:p>
  </w:footnote>
  <w:footnote w:id="4">
    <w:p w:rsidR="004429DD" w:rsidP="004429DD" w:rsidRDefault="004429DD" w14:paraId="6DE61E24" w14:textId="77777777">
      <w:pPr>
        <w:pStyle w:val="Textonotapie"/>
        <w:ind w:firstLine="709"/>
        <w:jc w:val="both"/>
        <w:rPr>
          <w:rFonts w:ascii="Verdana" w:hAnsi="Verdana" w:cs="Arial"/>
          <w:sz w:val="16"/>
          <w:szCs w:val="16"/>
        </w:rPr>
      </w:pPr>
      <w:r w:rsidRPr="000C6E44">
        <w:rPr>
          <w:rFonts w:ascii="Verdana" w:hAnsi="Verdana" w:cs="Arial"/>
          <w:sz w:val="16"/>
          <w:szCs w:val="16"/>
          <w:vertAlign w:val="superscript"/>
        </w:rPr>
        <w:footnoteRef/>
      </w:r>
      <w:r w:rsidRPr="000C6E44">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rsidRPr="00007847" w:rsidR="004429DD" w:rsidP="004429DD" w:rsidRDefault="004429DD" w14:paraId="301F4164" w14:textId="77777777">
      <w:pPr>
        <w:pStyle w:val="Textonotapie"/>
        <w:ind w:firstLine="709"/>
        <w:jc w:val="both"/>
        <w:rPr>
          <w:rFonts w:ascii="Verdana" w:hAnsi="Verdana" w:cs="Arial"/>
          <w:sz w:val="16"/>
          <w:szCs w:val="16"/>
        </w:rPr>
      </w:pPr>
      <w:r w:rsidRPr="00007847">
        <w:rPr>
          <w:rFonts w:ascii="Verdana" w:hAnsi="Verdana" w:cs="Arial"/>
          <w:sz w:val="16"/>
          <w:szCs w:val="16"/>
          <w:lang w:val="es-CO"/>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r>
        <w:rPr>
          <w:rFonts w:ascii="Verdana" w:hAnsi="Verdana" w:cs="Arial"/>
          <w:sz w:val="16"/>
          <w:szCs w:val="16"/>
          <w:lang w:val="es-CO"/>
        </w:rPr>
        <w:t>”</w:t>
      </w:r>
      <w:r w:rsidRPr="00007847">
        <w:rPr>
          <w:rFonts w:ascii="Verdana" w:hAnsi="Verdana" w:cs="Arial"/>
          <w:sz w:val="16"/>
          <w:szCs w:val="16"/>
          <w:lang w:val="es-CO"/>
        </w:rPr>
        <w:t xml:space="preserve">. </w:t>
      </w:r>
    </w:p>
    <w:p w:rsidRPr="000C6E44" w:rsidR="004429DD" w:rsidP="004429DD" w:rsidRDefault="004429DD" w14:paraId="3A1C6BFA" w14:textId="77777777">
      <w:pPr>
        <w:pStyle w:val="Textonotapie"/>
        <w:ind w:firstLine="709"/>
        <w:jc w:val="both"/>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RDefault="009D3058" w14:paraId="435F4D03" w14:textId="0903BF04">
    <w:pPr>
      <w:pStyle w:val="Encabezad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DC39FC" w:rsidP="004A305D" w:rsidRDefault="00DC39FC" w14:paraId="3079FC11" w14:textId="77777777">
    <w:pPr>
      <w:spacing w:after="0"/>
      <w:rPr>
        <w:rFonts w:ascii="Verdana" w:hAnsi="Verdana"/>
        <w:b/>
        <w:bCs/>
      </w:rPr>
    </w:pPr>
  </w:p>
  <w:p w:rsidRPr="00DC39FC" w:rsidR="004A305D" w:rsidP="004A305D" w:rsidRDefault="004A305D" w14:paraId="7FE1230C" w14:textId="77E53D9F">
    <w:pPr>
      <w:spacing w:after="0"/>
      <w:rPr>
        <w:rFonts w:ascii="Verdana" w:hAnsi="Verdana"/>
        <w:b/>
        <w:bCs/>
      </w:rPr>
    </w:pPr>
    <w:r w:rsidRPr="00DC39FC">
      <w:rPr>
        <w:rFonts w:ascii="Verdana" w:hAnsi="Verdana"/>
        <w:b/>
        <w:bCs/>
      </w:rPr>
      <w:t>FORMATO PQRSD</w:t>
    </w: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1.85pt;height:11.85pt;visibility:visible;mso-wrap-style:square" o:bullet="t" type="#_x0000_t75">
        <v:imagedata o:title="" r:id="rId1"/>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0D233426"/>
    <w:multiLevelType w:val="hybridMultilevel"/>
    <w:tmpl w:val="645EE75E"/>
    <w:lvl w:ilvl="0" w:tplc="CB122088">
      <w:start w:val="1"/>
      <w:numFmt w:val="decimal"/>
      <w:lvlText w:val="%1."/>
      <w:lvlJc w:val="left"/>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 w15:restartNumberingAfterBreak="0">
    <w:nsid w:val="204B0D11"/>
    <w:multiLevelType w:val="hybridMultilevel"/>
    <w:tmpl w:val="FFFFFFFF"/>
    <w:lvl w:ilvl="0" w:tplc="952A0668">
      <w:start w:val="4"/>
      <w:numFmt w:val="decimal"/>
      <w:lvlText w:val="%1."/>
      <w:lvlJc w:val="left"/>
      <w:pPr>
        <w:ind w:left="360" w:hanging="360"/>
      </w:pPr>
      <w:rPr>
        <w:rFonts w:hint="default" w:cs="Times New Roman"/>
      </w:rPr>
    </w:lvl>
    <w:lvl w:ilvl="1" w:tplc="240A0019" w:tentative="1">
      <w:start w:val="1"/>
      <w:numFmt w:val="lowerLetter"/>
      <w:lvlText w:val="%2."/>
      <w:lvlJc w:val="left"/>
      <w:pPr>
        <w:ind w:left="1080" w:hanging="360"/>
      </w:pPr>
      <w:rPr>
        <w:rFonts w:cs="Times New Roman"/>
      </w:rPr>
    </w:lvl>
    <w:lvl w:ilvl="2" w:tplc="240A001B" w:tentative="1">
      <w:start w:val="1"/>
      <w:numFmt w:val="lowerRoman"/>
      <w:lvlText w:val="%3."/>
      <w:lvlJc w:val="right"/>
      <w:pPr>
        <w:ind w:left="1800" w:hanging="180"/>
      </w:pPr>
      <w:rPr>
        <w:rFonts w:cs="Times New Roman"/>
      </w:rPr>
    </w:lvl>
    <w:lvl w:ilvl="3" w:tplc="240A000F" w:tentative="1">
      <w:start w:val="1"/>
      <w:numFmt w:val="decimal"/>
      <w:lvlText w:val="%4."/>
      <w:lvlJc w:val="left"/>
      <w:pPr>
        <w:ind w:left="2520" w:hanging="360"/>
      </w:pPr>
      <w:rPr>
        <w:rFonts w:cs="Times New Roman"/>
      </w:rPr>
    </w:lvl>
    <w:lvl w:ilvl="4" w:tplc="240A0019" w:tentative="1">
      <w:start w:val="1"/>
      <w:numFmt w:val="lowerLetter"/>
      <w:lvlText w:val="%5."/>
      <w:lvlJc w:val="left"/>
      <w:pPr>
        <w:ind w:left="3240" w:hanging="360"/>
      </w:pPr>
      <w:rPr>
        <w:rFonts w:cs="Times New Roman"/>
      </w:rPr>
    </w:lvl>
    <w:lvl w:ilvl="5" w:tplc="240A001B" w:tentative="1">
      <w:start w:val="1"/>
      <w:numFmt w:val="lowerRoman"/>
      <w:lvlText w:val="%6."/>
      <w:lvlJc w:val="right"/>
      <w:pPr>
        <w:ind w:left="3960" w:hanging="180"/>
      </w:pPr>
      <w:rPr>
        <w:rFonts w:cs="Times New Roman"/>
      </w:rPr>
    </w:lvl>
    <w:lvl w:ilvl="6" w:tplc="240A000F" w:tentative="1">
      <w:start w:val="1"/>
      <w:numFmt w:val="decimal"/>
      <w:lvlText w:val="%7."/>
      <w:lvlJc w:val="left"/>
      <w:pPr>
        <w:ind w:left="4680" w:hanging="360"/>
      </w:pPr>
      <w:rPr>
        <w:rFonts w:cs="Times New Roman"/>
      </w:rPr>
    </w:lvl>
    <w:lvl w:ilvl="7" w:tplc="240A0019" w:tentative="1">
      <w:start w:val="1"/>
      <w:numFmt w:val="lowerLetter"/>
      <w:lvlText w:val="%8."/>
      <w:lvlJc w:val="left"/>
      <w:pPr>
        <w:ind w:left="5400" w:hanging="360"/>
      </w:pPr>
      <w:rPr>
        <w:rFonts w:cs="Times New Roman"/>
      </w:rPr>
    </w:lvl>
    <w:lvl w:ilvl="8" w:tplc="240A001B" w:tentative="1">
      <w:start w:val="1"/>
      <w:numFmt w:val="lowerRoman"/>
      <w:lvlText w:val="%9."/>
      <w:lvlJc w:val="right"/>
      <w:pPr>
        <w:ind w:left="6120" w:hanging="180"/>
      </w:pPr>
      <w:rPr>
        <w:rFonts w:cs="Times New Roman"/>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3" w15:restartNumberingAfterBreak="0">
    <w:nsid w:val="646554C2"/>
    <w:multiLevelType w:val="hybridMultilevel"/>
    <w:tmpl w:val="3DE6EB1C"/>
    <w:lvl w:ilvl="0" w:tplc="401C07A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C9241D"/>
    <w:multiLevelType w:val="hybridMultilevel"/>
    <w:tmpl w:val="B0B487B8"/>
    <w:lvl w:ilvl="0" w:tplc="AAC4AE08">
      <w:start w:val="1"/>
      <w:numFmt w:val="lowerRoman"/>
      <w:lvlText w:val="%1."/>
      <w:lvlJc w:val="right"/>
      <w:pPr>
        <w:ind w:left="1429" w:hanging="360"/>
      </w:pPr>
      <w:rPr>
        <w:rFonts w:ascii="Arial" w:hAnsi="Arial" w:eastAsia="Calibri"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2036495484">
    <w:abstractNumId w:val="8"/>
  </w:num>
  <w:num w:numId="2" w16cid:durableId="492111256">
    <w:abstractNumId w:val="2"/>
  </w:num>
  <w:num w:numId="3" w16cid:durableId="1115710430">
    <w:abstractNumId w:val="6"/>
  </w:num>
  <w:num w:numId="4" w16cid:durableId="2855498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21157974">
    <w:abstractNumId w:val="2"/>
  </w:num>
  <w:num w:numId="6" w16cid:durableId="2100363695">
    <w:abstractNumId w:val="16"/>
  </w:num>
  <w:num w:numId="7" w16cid:durableId="1805269037">
    <w:abstractNumId w:val="7"/>
  </w:num>
  <w:num w:numId="8" w16cid:durableId="1008600607">
    <w:abstractNumId w:val="15"/>
  </w:num>
  <w:num w:numId="9" w16cid:durableId="2041516567">
    <w:abstractNumId w:val="9"/>
  </w:num>
  <w:num w:numId="10" w16cid:durableId="1789548358">
    <w:abstractNumId w:val="14"/>
  </w:num>
  <w:num w:numId="11" w16cid:durableId="1184398845">
    <w:abstractNumId w:val="10"/>
  </w:num>
  <w:num w:numId="12" w16cid:durableId="1321540408">
    <w:abstractNumId w:val="1"/>
  </w:num>
  <w:num w:numId="13" w16cid:durableId="1698047938">
    <w:abstractNumId w:val="5"/>
  </w:num>
  <w:num w:numId="14" w16cid:durableId="2134670961">
    <w:abstractNumId w:val="17"/>
  </w:num>
  <w:num w:numId="15" w16cid:durableId="1796366371">
    <w:abstractNumId w:val="12"/>
  </w:num>
  <w:num w:numId="16" w16cid:durableId="613948210">
    <w:abstractNumId w:val="0"/>
  </w:num>
  <w:num w:numId="17" w16cid:durableId="1528107009">
    <w:abstractNumId w:val="11"/>
  </w:num>
  <w:num w:numId="18" w16cid:durableId="13518345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65642859">
    <w:abstractNumId w:val="13"/>
  </w:num>
  <w:num w:numId="20" w16cid:durableId="1767458501">
    <w:abstractNumId w:val="3"/>
  </w:num>
  <w:num w:numId="21" w16cid:durableId="848130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7847"/>
    <w:rsid w:val="00016F78"/>
    <w:rsid w:val="000217B4"/>
    <w:rsid w:val="0002557F"/>
    <w:rsid w:val="00027ED1"/>
    <w:rsid w:val="00032A07"/>
    <w:rsid w:val="000414DD"/>
    <w:rsid w:val="00046945"/>
    <w:rsid w:val="00055FF5"/>
    <w:rsid w:val="00061B2A"/>
    <w:rsid w:val="00082362"/>
    <w:rsid w:val="000A4B4B"/>
    <w:rsid w:val="000A683E"/>
    <w:rsid w:val="000B19B9"/>
    <w:rsid w:val="000D0334"/>
    <w:rsid w:val="000F13DA"/>
    <w:rsid w:val="000F1874"/>
    <w:rsid w:val="000F24EC"/>
    <w:rsid w:val="000F3386"/>
    <w:rsid w:val="000F5200"/>
    <w:rsid w:val="000F6486"/>
    <w:rsid w:val="00100CD6"/>
    <w:rsid w:val="00124D10"/>
    <w:rsid w:val="00125105"/>
    <w:rsid w:val="00127233"/>
    <w:rsid w:val="001275D9"/>
    <w:rsid w:val="001511A0"/>
    <w:rsid w:val="001602EB"/>
    <w:rsid w:val="001666FD"/>
    <w:rsid w:val="0017459B"/>
    <w:rsid w:val="00175366"/>
    <w:rsid w:val="00192294"/>
    <w:rsid w:val="001C3918"/>
    <w:rsid w:val="001D5C94"/>
    <w:rsid w:val="001E2EBE"/>
    <w:rsid w:val="001E4177"/>
    <w:rsid w:val="001F2EBB"/>
    <w:rsid w:val="001F7DC6"/>
    <w:rsid w:val="00213E85"/>
    <w:rsid w:val="00235FBC"/>
    <w:rsid w:val="002421BB"/>
    <w:rsid w:val="0024799F"/>
    <w:rsid w:val="0025796E"/>
    <w:rsid w:val="002707A2"/>
    <w:rsid w:val="002776DA"/>
    <w:rsid w:val="00282654"/>
    <w:rsid w:val="002951A0"/>
    <w:rsid w:val="00295DF2"/>
    <w:rsid w:val="002962BC"/>
    <w:rsid w:val="002A093D"/>
    <w:rsid w:val="002A0DD0"/>
    <w:rsid w:val="002A49AC"/>
    <w:rsid w:val="002A64FD"/>
    <w:rsid w:val="002B6C14"/>
    <w:rsid w:val="002B7D08"/>
    <w:rsid w:val="002C7A84"/>
    <w:rsid w:val="002E4FD9"/>
    <w:rsid w:val="00310400"/>
    <w:rsid w:val="00322A85"/>
    <w:rsid w:val="00324168"/>
    <w:rsid w:val="0032585A"/>
    <w:rsid w:val="0032672F"/>
    <w:rsid w:val="00344210"/>
    <w:rsid w:val="003448F4"/>
    <w:rsid w:val="00344BAA"/>
    <w:rsid w:val="0035237E"/>
    <w:rsid w:val="00374F5E"/>
    <w:rsid w:val="00375B0B"/>
    <w:rsid w:val="00376DAC"/>
    <w:rsid w:val="00377E3E"/>
    <w:rsid w:val="00382117"/>
    <w:rsid w:val="003841A8"/>
    <w:rsid w:val="003A64A1"/>
    <w:rsid w:val="003A779E"/>
    <w:rsid w:val="003B439C"/>
    <w:rsid w:val="003B5ACD"/>
    <w:rsid w:val="003C0592"/>
    <w:rsid w:val="003D0F4D"/>
    <w:rsid w:val="003D46CF"/>
    <w:rsid w:val="003D5B0D"/>
    <w:rsid w:val="003E0499"/>
    <w:rsid w:val="003E3E88"/>
    <w:rsid w:val="003F3941"/>
    <w:rsid w:val="00401FAA"/>
    <w:rsid w:val="00406575"/>
    <w:rsid w:val="00414C74"/>
    <w:rsid w:val="0042722E"/>
    <w:rsid w:val="004429DD"/>
    <w:rsid w:val="0044528D"/>
    <w:rsid w:val="00451DD2"/>
    <w:rsid w:val="00466F98"/>
    <w:rsid w:val="00475C29"/>
    <w:rsid w:val="00494AB3"/>
    <w:rsid w:val="004A1847"/>
    <w:rsid w:val="004A305D"/>
    <w:rsid w:val="004C0560"/>
    <w:rsid w:val="004D654A"/>
    <w:rsid w:val="004F21C4"/>
    <w:rsid w:val="004F685F"/>
    <w:rsid w:val="00514553"/>
    <w:rsid w:val="00521386"/>
    <w:rsid w:val="005325F6"/>
    <w:rsid w:val="00535DE4"/>
    <w:rsid w:val="00553939"/>
    <w:rsid w:val="005566E8"/>
    <w:rsid w:val="00560DD2"/>
    <w:rsid w:val="00574867"/>
    <w:rsid w:val="00583CCA"/>
    <w:rsid w:val="00590FBA"/>
    <w:rsid w:val="00591460"/>
    <w:rsid w:val="005B3816"/>
    <w:rsid w:val="005B6641"/>
    <w:rsid w:val="005C3777"/>
    <w:rsid w:val="005C5CDC"/>
    <w:rsid w:val="005D2193"/>
    <w:rsid w:val="005D476C"/>
    <w:rsid w:val="005E2C0E"/>
    <w:rsid w:val="005E5420"/>
    <w:rsid w:val="00610872"/>
    <w:rsid w:val="0061602B"/>
    <w:rsid w:val="006219F8"/>
    <w:rsid w:val="006311C1"/>
    <w:rsid w:val="00656AF2"/>
    <w:rsid w:val="00665D70"/>
    <w:rsid w:val="00687870"/>
    <w:rsid w:val="006900D9"/>
    <w:rsid w:val="00691361"/>
    <w:rsid w:val="006A1658"/>
    <w:rsid w:val="006A3D28"/>
    <w:rsid w:val="006A533C"/>
    <w:rsid w:val="006E7987"/>
    <w:rsid w:val="0070334F"/>
    <w:rsid w:val="00704331"/>
    <w:rsid w:val="00706C16"/>
    <w:rsid w:val="00712581"/>
    <w:rsid w:val="00723DC0"/>
    <w:rsid w:val="00725DB4"/>
    <w:rsid w:val="00741FAD"/>
    <w:rsid w:val="00756841"/>
    <w:rsid w:val="007649AB"/>
    <w:rsid w:val="00771D0C"/>
    <w:rsid w:val="007833AC"/>
    <w:rsid w:val="007B268C"/>
    <w:rsid w:val="007B7171"/>
    <w:rsid w:val="007C0C0F"/>
    <w:rsid w:val="007C3DC2"/>
    <w:rsid w:val="007D279E"/>
    <w:rsid w:val="007E5497"/>
    <w:rsid w:val="007F631A"/>
    <w:rsid w:val="007F7A98"/>
    <w:rsid w:val="00806F5F"/>
    <w:rsid w:val="00807013"/>
    <w:rsid w:val="00820278"/>
    <w:rsid w:val="00845518"/>
    <w:rsid w:val="0085664B"/>
    <w:rsid w:val="00857466"/>
    <w:rsid w:val="00867F95"/>
    <w:rsid w:val="008843B6"/>
    <w:rsid w:val="00886B27"/>
    <w:rsid w:val="00891928"/>
    <w:rsid w:val="008A37D7"/>
    <w:rsid w:val="008A446D"/>
    <w:rsid w:val="008B17CA"/>
    <w:rsid w:val="008C3B72"/>
    <w:rsid w:val="008C49B2"/>
    <w:rsid w:val="008D180B"/>
    <w:rsid w:val="008E05F5"/>
    <w:rsid w:val="008F0232"/>
    <w:rsid w:val="008F0EA7"/>
    <w:rsid w:val="00903868"/>
    <w:rsid w:val="00904570"/>
    <w:rsid w:val="00923EEF"/>
    <w:rsid w:val="009407EE"/>
    <w:rsid w:val="009419F9"/>
    <w:rsid w:val="0095685E"/>
    <w:rsid w:val="009618C7"/>
    <w:rsid w:val="00961B09"/>
    <w:rsid w:val="00965334"/>
    <w:rsid w:val="0096782D"/>
    <w:rsid w:val="0097093E"/>
    <w:rsid w:val="00980E74"/>
    <w:rsid w:val="009844BD"/>
    <w:rsid w:val="00986AC5"/>
    <w:rsid w:val="009A0DFA"/>
    <w:rsid w:val="009A7BC9"/>
    <w:rsid w:val="009B2D26"/>
    <w:rsid w:val="009C5AB0"/>
    <w:rsid w:val="009C71FA"/>
    <w:rsid w:val="009C72E7"/>
    <w:rsid w:val="009D3058"/>
    <w:rsid w:val="009F314A"/>
    <w:rsid w:val="009F3A13"/>
    <w:rsid w:val="00A076F3"/>
    <w:rsid w:val="00A122D3"/>
    <w:rsid w:val="00A17F13"/>
    <w:rsid w:val="00A20739"/>
    <w:rsid w:val="00A33C78"/>
    <w:rsid w:val="00A4586B"/>
    <w:rsid w:val="00A46FEB"/>
    <w:rsid w:val="00A61B63"/>
    <w:rsid w:val="00A72F6C"/>
    <w:rsid w:val="00A8590B"/>
    <w:rsid w:val="00AB0ADB"/>
    <w:rsid w:val="00AB3069"/>
    <w:rsid w:val="00AD28F9"/>
    <w:rsid w:val="00B01B1A"/>
    <w:rsid w:val="00B07B75"/>
    <w:rsid w:val="00B11855"/>
    <w:rsid w:val="00B30C7C"/>
    <w:rsid w:val="00B66319"/>
    <w:rsid w:val="00B72CD3"/>
    <w:rsid w:val="00B72FFF"/>
    <w:rsid w:val="00B84EC9"/>
    <w:rsid w:val="00BB7094"/>
    <w:rsid w:val="00BC3D36"/>
    <w:rsid w:val="00BD7F72"/>
    <w:rsid w:val="00C00892"/>
    <w:rsid w:val="00C04FB3"/>
    <w:rsid w:val="00C330EB"/>
    <w:rsid w:val="00C347AF"/>
    <w:rsid w:val="00C36CC2"/>
    <w:rsid w:val="00C41061"/>
    <w:rsid w:val="00C52273"/>
    <w:rsid w:val="00C531BC"/>
    <w:rsid w:val="00C55A07"/>
    <w:rsid w:val="00C64D09"/>
    <w:rsid w:val="00C754BE"/>
    <w:rsid w:val="00C76B1C"/>
    <w:rsid w:val="00CB6357"/>
    <w:rsid w:val="00CC1B26"/>
    <w:rsid w:val="00CE3DD4"/>
    <w:rsid w:val="00CF3793"/>
    <w:rsid w:val="00D1618F"/>
    <w:rsid w:val="00D26BDA"/>
    <w:rsid w:val="00D423A2"/>
    <w:rsid w:val="00D520D8"/>
    <w:rsid w:val="00D54211"/>
    <w:rsid w:val="00D63AC2"/>
    <w:rsid w:val="00D7383B"/>
    <w:rsid w:val="00DA231B"/>
    <w:rsid w:val="00DA4EC5"/>
    <w:rsid w:val="00DC39FC"/>
    <w:rsid w:val="00DD32A6"/>
    <w:rsid w:val="00DE3BFD"/>
    <w:rsid w:val="00DF5254"/>
    <w:rsid w:val="00E11DF8"/>
    <w:rsid w:val="00E16408"/>
    <w:rsid w:val="00E20894"/>
    <w:rsid w:val="00E245AB"/>
    <w:rsid w:val="00E2764C"/>
    <w:rsid w:val="00E27F2E"/>
    <w:rsid w:val="00E37122"/>
    <w:rsid w:val="00E43782"/>
    <w:rsid w:val="00E50AFE"/>
    <w:rsid w:val="00E75C92"/>
    <w:rsid w:val="00E771DC"/>
    <w:rsid w:val="00E8772A"/>
    <w:rsid w:val="00E90F6B"/>
    <w:rsid w:val="00E91C0C"/>
    <w:rsid w:val="00E92C27"/>
    <w:rsid w:val="00EA0E3D"/>
    <w:rsid w:val="00EA4A8D"/>
    <w:rsid w:val="00EB4209"/>
    <w:rsid w:val="00EC38A7"/>
    <w:rsid w:val="00EC4127"/>
    <w:rsid w:val="00ED7384"/>
    <w:rsid w:val="00EE1AA8"/>
    <w:rsid w:val="00F11C93"/>
    <w:rsid w:val="00F27344"/>
    <w:rsid w:val="00F31EDC"/>
    <w:rsid w:val="00F354A2"/>
    <w:rsid w:val="00F462B3"/>
    <w:rsid w:val="00F46944"/>
    <w:rsid w:val="00F51474"/>
    <w:rsid w:val="00F5664F"/>
    <w:rsid w:val="00F64B57"/>
    <w:rsid w:val="00F6577D"/>
    <w:rsid w:val="00F666C4"/>
    <w:rsid w:val="00F76AFC"/>
    <w:rsid w:val="00F808BA"/>
    <w:rsid w:val="00FA47C0"/>
    <w:rsid w:val="00FB5DD1"/>
    <w:rsid w:val="00FC2B5D"/>
    <w:rsid w:val="00FC680E"/>
    <w:rsid w:val="00FF1449"/>
    <w:rsid w:val="42DC7EE9"/>
    <w:rsid w:val="59E263D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429DD"/>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1" w:customStyle="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845518"/>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45518"/>
    <w:rPr>
      <w:rFonts w:ascii="Geomanist Light" w:hAnsi="Geomanist Light"/>
      <w:lang w:val="es-ES"/>
    </w:rPr>
  </w:style>
  <w:style w:type="character" w:styleId="Fuerte">
    <w:name w:val="Strong"/>
    <w:basedOn w:val="Fuentedeprrafopredeter"/>
    <w:uiPriority w:val="22"/>
    <w:qFormat/>
    <w:rsid w:val="00845518"/>
    <w:rPr>
      <w:b/>
      <w:bCs/>
    </w:rPr>
  </w:style>
  <w:style w:type="character" w:styleId="nfasis">
    <w:name w:val="Emphasis"/>
    <w:basedOn w:val="Fuentedeprrafopredeter"/>
    <w:uiPriority w:val="20"/>
    <w:qFormat/>
    <w:rsid w:val="00845518"/>
    <w:rPr>
      <w:i/>
      <w:iCs/>
    </w:rPr>
  </w:style>
  <w:style w:type="paragraph" w:styleId="Sinespaciado">
    <w:name w:val="No Spacing"/>
    <w:aliases w:val="No Indent"/>
    <w:uiPriority w:val="3"/>
    <w:qFormat/>
    <w:rsid w:val="00845518"/>
    <w:pPr>
      <w:spacing w:after="0" w:line="240" w:lineRule="auto"/>
    </w:pPr>
    <w:rPr>
      <w:sz w:val="24"/>
      <w:lang w:val="es-MX"/>
    </w:rPr>
  </w:style>
  <w:style w:type="character" w:styleId="NormalWebCar" w:customStyle="1">
    <w:name w:val="Normal (Web) Car"/>
    <w:link w:val="NormalWeb"/>
    <w:uiPriority w:val="99"/>
    <w:rsid w:val="00845518"/>
    <w:rPr>
      <w:rFonts w:ascii="Times New Roman" w:hAnsi="Times New Roman" w:eastAsia="Times New Roman" w:cs="Times New Roman"/>
      <w:sz w:val="24"/>
      <w:szCs w:val="24"/>
      <w:lang w:eastAsia="es-CO"/>
    </w:rPr>
  </w:style>
  <w:style w:type="character" w:styleId="baj" w:customStyle="1">
    <w:name w:val="b_aj"/>
    <w:basedOn w:val="Fuentedeprrafopredeter"/>
    <w:rsid w:val="00845518"/>
  </w:style>
  <w:style w:type="paragraph" w:styleId="bodytext21" w:customStyle="1">
    <w:name w:val="bodytext21"/>
    <w:basedOn w:val="Normal"/>
    <w:rsid w:val="00845518"/>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Mencinsinresolver">
    <w:name w:val="Unresolved Mention"/>
    <w:basedOn w:val="Fuentedeprrafopredeter"/>
    <w:uiPriority w:val="99"/>
    <w:semiHidden/>
    <w:unhideWhenUsed/>
    <w:rsid w:val="001D5C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18755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colombiacompra.gov.co/normativa-y-relatoria/conoce-la-relatoria"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hyperlink" Target="mailto:valenmejiae@gmail.co" TargetMode="External" Id="rId12" /><Relationship Type="http://schemas.openxmlformats.org/officeDocument/2006/relationships/image" Target="media/image4.png" Id="rId17" /><Relationship Type="http://schemas.openxmlformats.org/officeDocument/2006/relationships/customXml" Target="../customXml/item2.xml" Id="rId2" /><Relationship Type="http://schemas.openxmlformats.org/officeDocument/2006/relationships/image" Target="media/image3.png"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numbering" Target="numbering.xml" Id="rId5" /><Relationship Type="http://schemas.openxmlformats.org/officeDocument/2006/relationships/hyperlink" Target="http://www.colombiacompra.gov.co" TargetMode="External" Id="rId15" /><Relationship Type="http://schemas.openxmlformats.org/officeDocument/2006/relationships/endnotes" Target="endnotes.xml" Id="rId10" /><Relationship Type="http://schemas.openxmlformats.org/officeDocument/2006/relationships/footer" Target="foot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0B11EE-C761-4475-82A6-6D5B3B2C7D8E}"/>
</file>

<file path=customXml/itemProps2.xml><?xml version="1.0" encoding="utf-8"?>
<ds:datastoreItem xmlns:ds="http://schemas.openxmlformats.org/officeDocument/2006/customXml" ds:itemID="{9607CDF9-4BFF-4C32-A725-ADF5A8E517B2}">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Andrea Camila Polo Paz</lastModifiedBy>
  <revision>53</revision>
  <lastPrinted>2023-01-10T21:18:00.0000000Z</lastPrinted>
  <dcterms:created xsi:type="dcterms:W3CDTF">2026-02-11T20:50:00.0000000Z</dcterms:created>
  <dcterms:modified xsi:type="dcterms:W3CDTF">2026-02-16T16:54:47.4583371Z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