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7636B" w14:textId="77777777" w:rsidR="00C21D07" w:rsidRPr="00647611" w:rsidRDefault="00C21D07" w:rsidP="00C21D07">
      <w:pPr>
        <w:spacing w:after="0" w:line="240" w:lineRule="auto"/>
        <w:jc w:val="both"/>
        <w:rPr>
          <w:rFonts w:ascii="Verdana" w:hAnsi="Verdana" w:cs="Arial"/>
          <w:b/>
          <w:lang w:val="es-MX" w:eastAsia="es-ES_tradnl"/>
        </w:rPr>
      </w:pPr>
      <w:bookmarkStart w:id="0" w:name="_Hlk143780582"/>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716DBDAF"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1A12DD29" w14:textId="77777777" w:rsidR="00C21D07" w:rsidRPr="00647611" w:rsidRDefault="00C21D07" w:rsidP="00C21D07">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60BB27AA"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06ED8053" w14:textId="77777777" w:rsidR="00C21D07" w:rsidRPr="00647611" w:rsidRDefault="00C21D07" w:rsidP="00C21D07">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6060A247"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763E6B7C" w14:textId="77777777" w:rsidR="00C21D07" w:rsidRPr="00647611" w:rsidRDefault="00C21D07" w:rsidP="00C21D07">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3AE7140" w14:textId="77777777" w:rsidR="00C21D07" w:rsidRPr="00647611" w:rsidRDefault="00C21D07" w:rsidP="00C21D07">
      <w:pPr>
        <w:spacing w:after="0" w:line="240" w:lineRule="auto"/>
        <w:jc w:val="both"/>
        <w:rPr>
          <w:rFonts w:ascii="Verdana" w:eastAsia="Calibri" w:hAnsi="Verdana" w:cs="Arial"/>
          <w:sz w:val="20"/>
          <w:szCs w:val="20"/>
        </w:rPr>
      </w:pPr>
    </w:p>
    <w:p w14:paraId="663B922B" w14:textId="77777777" w:rsidR="00C21D07" w:rsidRPr="00647611" w:rsidRDefault="00C21D07" w:rsidP="00C21D07">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1663675F" w14:textId="77777777" w:rsidR="00C21D07" w:rsidRPr="00647611" w:rsidRDefault="00C21D07" w:rsidP="00C21D07">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7E8162A0" w14:textId="77777777" w:rsidR="00C21D07" w:rsidRPr="00647611" w:rsidRDefault="00C21D07" w:rsidP="00C21D07">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4B1A064"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6D62F75D" w14:textId="77777777" w:rsidR="00C21D07" w:rsidRPr="00647611" w:rsidRDefault="00C21D07" w:rsidP="00C21D07">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08B89F3A"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2DC131E3" w14:textId="77777777" w:rsidR="00C21D07" w:rsidRPr="00647611" w:rsidRDefault="00C21D07" w:rsidP="00C21D07">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67A3A5AF" w14:textId="77777777" w:rsidR="00C21D07" w:rsidRPr="00647611" w:rsidRDefault="00C21D07" w:rsidP="00C21D07">
      <w:pPr>
        <w:spacing w:after="0" w:line="240" w:lineRule="auto"/>
        <w:jc w:val="both"/>
        <w:rPr>
          <w:rFonts w:ascii="Verdana" w:hAnsi="Verdana" w:cs="Arial"/>
          <w:b/>
          <w:sz w:val="20"/>
          <w:szCs w:val="20"/>
          <w:lang w:eastAsia="es-ES_tradnl"/>
        </w:rPr>
      </w:pPr>
    </w:p>
    <w:p w14:paraId="0C180AB6" w14:textId="77777777" w:rsidR="00C21D07" w:rsidRPr="00647611" w:rsidRDefault="00C21D07" w:rsidP="00C21D07">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115F9D52"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1C2304EB" w14:textId="77777777" w:rsidR="00C21D07" w:rsidRPr="00647611" w:rsidRDefault="00C21D07" w:rsidP="00C21D07">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68072B5" w14:textId="77777777" w:rsidR="00C21D07" w:rsidRPr="00647611" w:rsidRDefault="00C21D07" w:rsidP="00C21D07">
      <w:pPr>
        <w:spacing w:after="0" w:line="240" w:lineRule="auto"/>
        <w:jc w:val="both"/>
        <w:rPr>
          <w:rFonts w:ascii="Verdana" w:hAnsi="Verdana" w:cs="Arial"/>
          <w:b/>
          <w:sz w:val="20"/>
          <w:szCs w:val="20"/>
          <w:lang w:val="es-MX" w:eastAsia="es-ES_tradnl"/>
        </w:rPr>
      </w:pPr>
    </w:p>
    <w:p w14:paraId="08BD3A3C" w14:textId="77777777" w:rsidR="00C21D07" w:rsidRPr="00647611" w:rsidRDefault="00C21D07" w:rsidP="00C21D07">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5E6FD747" w14:textId="77777777" w:rsidR="00C21D07" w:rsidRPr="00647611" w:rsidRDefault="00C21D07" w:rsidP="00C21D07">
      <w:pPr>
        <w:spacing w:after="0" w:line="240" w:lineRule="auto"/>
        <w:rPr>
          <w:rFonts w:ascii="Verdana" w:hAnsi="Verdana" w:cs="Arial"/>
          <w:sz w:val="20"/>
          <w:szCs w:val="20"/>
          <w:lang w:val="es-MX" w:eastAsia="es-ES_tradnl"/>
        </w:rPr>
      </w:pPr>
    </w:p>
    <w:p w14:paraId="03A2A393" w14:textId="77777777" w:rsidR="00C21D07" w:rsidRPr="00647611" w:rsidRDefault="00C21D07" w:rsidP="00C21D07">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1169FDA5" w14:textId="77777777" w:rsidR="00C21D07" w:rsidRPr="00647611" w:rsidRDefault="00C21D07" w:rsidP="00C21D07">
      <w:pPr>
        <w:spacing w:after="0" w:line="240" w:lineRule="auto"/>
        <w:rPr>
          <w:rFonts w:ascii="Verdana" w:hAnsi="Verdana"/>
          <w:sz w:val="20"/>
          <w:szCs w:val="20"/>
        </w:rPr>
      </w:pPr>
    </w:p>
    <w:p w14:paraId="2A34621C" w14:textId="77777777" w:rsidR="00C21D07" w:rsidRPr="00647611" w:rsidRDefault="00C21D07" w:rsidP="00C21D07">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36A4845E" w14:textId="77777777" w:rsidR="00C21D07" w:rsidRPr="00647611" w:rsidRDefault="00C21D07" w:rsidP="00C21D07">
      <w:pPr>
        <w:spacing w:after="0" w:line="240" w:lineRule="auto"/>
        <w:rPr>
          <w:rFonts w:ascii="Verdana" w:hAnsi="Verdana"/>
          <w:sz w:val="20"/>
          <w:szCs w:val="20"/>
        </w:rPr>
      </w:pPr>
    </w:p>
    <w:p w14:paraId="6076ECD4" w14:textId="77777777" w:rsidR="00C21D07" w:rsidRDefault="00C21D07" w:rsidP="00C21D07">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4D686352" w14:textId="77777777" w:rsidR="00C21D07" w:rsidRPr="00E41F23" w:rsidRDefault="00C21D07" w:rsidP="00C21D07">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val="es-ES" w:eastAsia="es-CO"/>
        </w:rPr>
        <w:t xml:space="preserve"> </w:t>
      </w:r>
    </w:p>
    <w:p w14:paraId="38B7269E" w14:textId="77777777" w:rsidR="00C21D07" w:rsidRPr="001B51A1" w:rsidRDefault="00C21D07" w:rsidP="00C21D07">
      <w:pPr>
        <w:tabs>
          <w:tab w:val="left" w:pos="709"/>
        </w:tabs>
        <w:spacing w:after="0" w:line="240" w:lineRule="auto"/>
        <w:jc w:val="both"/>
        <w:rPr>
          <w:rFonts w:ascii="Verdana" w:eastAsia="Calibri" w:hAnsi="Verdana" w:cs="Arial"/>
          <w:color w:val="000000" w:themeColor="text1"/>
          <w:sz w:val="20"/>
          <w:szCs w:val="20"/>
        </w:rPr>
      </w:pPr>
    </w:p>
    <w:p w14:paraId="65514F77" w14:textId="77777777" w:rsidR="00C21D07" w:rsidRPr="00DE2AC7" w:rsidRDefault="00C21D07" w:rsidP="00C21D07">
      <w:pPr>
        <w:spacing w:after="0" w:line="240" w:lineRule="auto"/>
        <w:rPr>
          <w:rFonts w:ascii="Verdana" w:eastAsia="Geomanist Light" w:hAnsi="Verdana" w:cs="Arial"/>
          <w:color w:val="000000" w:themeColor="text1"/>
        </w:rPr>
      </w:pPr>
    </w:p>
    <w:p w14:paraId="7B6280C9" w14:textId="77777777" w:rsidR="00C21D07" w:rsidRDefault="00C21D07" w:rsidP="00C21D07">
      <w:pPr>
        <w:spacing w:after="0" w:line="240" w:lineRule="auto"/>
        <w:rPr>
          <w:rFonts w:ascii="Verdana" w:eastAsia="Geomanist Light" w:hAnsi="Verdana" w:cs="Arial"/>
          <w:color w:val="000000" w:themeColor="text1"/>
        </w:rPr>
      </w:pPr>
    </w:p>
    <w:p w14:paraId="0CF3A931" w14:textId="77777777" w:rsidR="00C21D07" w:rsidRDefault="00C21D07" w:rsidP="00C21D07">
      <w:pPr>
        <w:spacing w:after="0" w:line="240" w:lineRule="auto"/>
        <w:rPr>
          <w:rFonts w:ascii="Verdana" w:eastAsia="Geomanist Light" w:hAnsi="Verdana" w:cs="Arial"/>
          <w:color w:val="000000" w:themeColor="text1"/>
          <w:lang w:val="es-MX"/>
        </w:rPr>
      </w:pPr>
    </w:p>
    <w:p w14:paraId="7AAE6E2D" w14:textId="77777777" w:rsidR="00C21D07" w:rsidRDefault="00C21D07" w:rsidP="00C21D07">
      <w:pPr>
        <w:spacing w:after="0" w:line="240" w:lineRule="auto"/>
        <w:rPr>
          <w:rFonts w:ascii="Verdana" w:eastAsia="Geomanist Light" w:hAnsi="Verdana" w:cs="Arial"/>
          <w:color w:val="000000" w:themeColor="text1"/>
          <w:lang w:val="es-MX"/>
        </w:rPr>
      </w:pPr>
    </w:p>
    <w:p w14:paraId="10C5A917" w14:textId="77777777" w:rsidR="00C21D07" w:rsidRDefault="00C21D07" w:rsidP="00C21D07">
      <w:pPr>
        <w:spacing w:after="0" w:line="240" w:lineRule="auto"/>
        <w:rPr>
          <w:rFonts w:ascii="Verdana" w:eastAsia="Geomanist Light" w:hAnsi="Verdana" w:cs="Arial"/>
          <w:color w:val="000000" w:themeColor="text1"/>
          <w:lang w:val="es-MX"/>
        </w:rPr>
      </w:pPr>
    </w:p>
    <w:p w14:paraId="09F48AAF" w14:textId="77777777" w:rsidR="00C21D07" w:rsidRDefault="00C21D07" w:rsidP="00C21D07">
      <w:pPr>
        <w:spacing w:after="0" w:line="240" w:lineRule="auto"/>
        <w:rPr>
          <w:rFonts w:ascii="Verdana" w:eastAsia="Geomanist Light" w:hAnsi="Verdana" w:cs="Arial"/>
          <w:color w:val="000000" w:themeColor="text1"/>
          <w:lang w:val="es-MX"/>
        </w:rPr>
      </w:pPr>
    </w:p>
    <w:p w14:paraId="05791F50" w14:textId="77777777" w:rsidR="00C21D07" w:rsidRDefault="00C21D07" w:rsidP="00C21D07">
      <w:pPr>
        <w:spacing w:after="0" w:line="240" w:lineRule="auto"/>
        <w:rPr>
          <w:rFonts w:ascii="Verdana" w:eastAsia="Geomanist Light" w:hAnsi="Verdana" w:cs="Arial"/>
          <w:color w:val="000000" w:themeColor="text1"/>
          <w:lang w:val="es-MX"/>
        </w:rPr>
      </w:pPr>
    </w:p>
    <w:p w14:paraId="12B2FB55" w14:textId="77777777" w:rsidR="00C21D07" w:rsidRDefault="00C21D07" w:rsidP="00C21D07">
      <w:pPr>
        <w:spacing w:after="0" w:line="240" w:lineRule="auto"/>
        <w:rPr>
          <w:rFonts w:ascii="Verdana" w:eastAsia="Geomanist Light" w:hAnsi="Verdana" w:cs="Arial"/>
          <w:color w:val="000000" w:themeColor="text1"/>
          <w:lang w:val="es-MX"/>
        </w:rPr>
      </w:pPr>
    </w:p>
    <w:p w14:paraId="7760B95A" w14:textId="77777777" w:rsidR="00C21D07" w:rsidRDefault="00C21D07" w:rsidP="00C21D07">
      <w:pPr>
        <w:spacing w:after="0" w:line="240" w:lineRule="auto"/>
        <w:rPr>
          <w:rFonts w:ascii="Verdana" w:eastAsia="Geomanist Light" w:hAnsi="Verdana" w:cs="Arial"/>
          <w:color w:val="000000" w:themeColor="text1"/>
          <w:lang w:val="es-MX"/>
        </w:rPr>
      </w:pPr>
    </w:p>
    <w:p w14:paraId="54B3AADA" w14:textId="77777777" w:rsidR="00C21D07" w:rsidRDefault="00C21D07" w:rsidP="00C21D07">
      <w:pPr>
        <w:spacing w:after="0" w:line="240" w:lineRule="auto"/>
        <w:rPr>
          <w:rFonts w:ascii="Verdana" w:eastAsia="Geomanist Light" w:hAnsi="Verdana" w:cs="Arial"/>
          <w:color w:val="000000" w:themeColor="text1"/>
          <w:lang w:val="es-MX"/>
        </w:rPr>
      </w:pPr>
    </w:p>
    <w:p w14:paraId="0BAE6276" w14:textId="77777777" w:rsidR="00C21D07" w:rsidRDefault="00C21D07" w:rsidP="00C21D07">
      <w:pPr>
        <w:spacing w:after="0" w:line="240" w:lineRule="auto"/>
        <w:rPr>
          <w:rFonts w:ascii="Verdana" w:eastAsia="Geomanist Light" w:hAnsi="Verdana" w:cs="Arial"/>
          <w:color w:val="000000" w:themeColor="text1"/>
          <w:lang w:val="es-MX"/>
        </w:rPr>
      </w:pPr>
    </w:p>
    <w:p w14:paraId="3C04069C" w14:textId="77777777" w:rsidR="00C21D07" w:rsidRDefault="00C21D07" w:rsidP="00C21D07">
      <w:pPr>
        <w:spacing w:after="0" w:line="240" w:lineRule="auto"/>
        <w:rPr>
          <w:rFonts w:ascii="Verdana" w:eastAsia="Geomanist Light" w:hAnsi="Verdana" w:cs="Arial"/>
          <w:color w:val="000000" w:themeColor="text1"/>
          <w:lang w:val="es-MX"/>
        </w:rPr>
      </w:pPr>
    </w:p>
    <w:p w14:paraId="017E5BED" w14:textId="77777777" w:rsidR="00C21D07" w:rsidRDefault="00C21D07" w:rsidP="00C21D07">
      <w:pPr>
        <w:spacing w:after="0" w:line="240" w:lineRule="auto"/>
        <w:rPr>
          <w:rFonts w:ascii="Verdana" w:eastAsia="Geomanist Light" w:hAnsi="Verdana" w:cs="Arial"/>
          <w:color w:val="000000" w:themeColor="text1"/>
          <w:lang w:val="es-MX"/>
        </w:rPr>
      </w:pPr>
    </w:p>
    <w:p w14:paraId="679950FD" w14:textId="77777777" w:rsidR="00C21D07" w:rsidRDefault="00C21D07" w:rsidP="00C21D07">
      <w:pPr>
        <w:spacing w:after="0" w:line="240" w:lineRule="auto"/>
        <w:rPr>
          <w:rFonts w:ascii="Verdana" w:eastAsia="Geomanist Light" w:hAnsi="Verdana" w:cs="Arial"/>
          <w:color w:val="000000" w:themeColor="text1"/>
          <w:lang w:val="es-MX"/>
        </w:rPr>
      </w:pPr>
    </w:p>
    <w:p w14:paraId="7FC4D518" w14:textId="77777777" w:rsidR="00C21D07" w:rsidRDefault="00C21D07" w:rsidP="00C21D07">
      <w:pPr>
        <w:spacing w:after="0" w:line="240" w:lineRule="auto"/>
        <w:rPr>
          <w:rFonts w:ascii="Verdana" w:eastAsia="Geomanist Light" w:hAnsi="Verdana" w:cs="Arial"/>
          <w:color w:val="000000" w:themeColor="text1"/>
          <w:lang w:val="es-MX"/>
        </w:rPr>
      </w:pPr>
    </w:p>
    <w:p w14:paraId="3D30078F" w14:textId="77777777" w:rsidR="00C21D07" w:rsidRDefault="00C21D07" w:rsidP="00C21D07">
      <w:pPr>
        <w:spacing w:after="0" w:line="240" w:lineRule="auto"/>
        <w:rPr>
          <w:rFonts w:ascii="Verdana" w:eastAsia="Geomanist Light" w:hAnsi="Verdana" w:cs="Arial"/>
          <w:color w:val="000000" w:themeColor="text1"/>
          <w:lang w:val="es-MX"/>
        </w:rPr>
      </w:pPr>
    </w:p>
    <w:p w14:paraId="769ECCF1" w14:textId="77777777" w:rsidR="00C21D07" w:rsidRDefault="00C21D07" w:rsidP="00C21D07">
      <w:pPr>
        <w:spacing w:after="0" w:line="240" w:lineRule="auto"/>
        <w:rPr>
          <w:rFonts w:ascii="Verdana" w:eastAsia="Geomanist Light" w:hAnsi="Verdana" w:cs="Arial"/>
          <w:color w:val="000000" w:themeColor="text1"/>
          <w:lang w:val="es-MX"/>
        </w:rPr>
      </w:pPr>
    </w:p>
    <w:p w14:paraId="45292B24" w14:textId="77777777" w:rsidR="00C21D07" w:rsidRDefault="00C21D07" w:rsidP="00C21D07">
      <w:pPr>
        <w:spacing w:after="0" w:line="240" w:lineRule="auto"/>
        <w:rPr>
          <w:rFonts w:ascii="Verdana" w:eastAsia="Geomanist Light" w:hAnsi="Verdana" w:cs="Arial"/>
          <w:color w:val="000000" w:themeColor="text1"/>
          <w:lang w:val="es-MX"/>
        </w:rPr>
      </w:pPr>
    </w:p>
    <w:p w14:paraId="5768EC01" w14:textId="77777777" w:rsidR="00C21D07" w:rsidRDefault="00C21D07" w:rsidP="00C21D07">
      <w:pPr>
        <w:spacing w:after="0" w:line="240" w:lineRule="auto"/>
        <w:rPr>
          <w:rFonts w:ascii="Verdana" w:eastAsia="Geomanist Light" w:hAnsi="Verdana" w:cs="Arial"/>
          <w:color w:val="000000" w:themeColor="text1"/>
          <w:lang w:val="es-MX"/>
        </w:rPr>
      </w:pPr>
    </w:p>
    <w:p w14:paraId="6F32B9BA" w14:textId="77777777" w:rsidR="00C21D07" w:rsidRDefault="00C21D07" w:rsidP="00C21D07">
      <w:pPr>
        <w:spacing w:after="0" w:line="240" w:lineRule="auto"/>
        <w:rPr>
          <w:rFonts w:ascii="Verdana" w:eastAsia="Geomanist Light" w:hAnsi="Verdana" w:cs="Arial"/>
          <w:color w:val="000000" w:themeColor="text1"/>
          <w:lang w:val="es-MX"/>
        </w:rPr>
      </w:pPr>
    </w:p>
    <w:p w14:paraId="080C0CD5" w14:textId="77777777" w:rsidR="00C21D07" w:rsidRDefault="00C21D07" w:rsidP="00C21D07">
      <w:pPr>
        <w:spacing w:after="0" w:line="240" w:lineRule="auto"/>
        <w:rPr>
          <w:rFonts w:ascii="Verdana" w:eastAsia="Geomanist Light" w:hAnsi="Verdana" w:cs="Arial"/>
          <w:color w:val="000000" w:themeColor="text1"/>
          <w:lang w:val="es-MX"/>
        </w:rPr>
      </w:pPr>
    </w:p>
    <w:p w14:paraId="51550F62" w14:textId="77777777" w:rsidR="00C21D07" w:rsidRDefault="00C21D07" w:rsidP="00C21D07">
      <w:pPr>
        <w:spacing w:after="0" w:line="240" w:lineRule="auto"/>
        <w:rPr>
          <w:rFonts w:ascii="Verdana" w:eastAsia="Geomanist Light" w:hAnsi="Verdana" w:cs="Arial"/>
          <w:color w:val="000000" w:themeColor="text1"/>
          <w:lang w:val="es-MX"/>
        </w:rPr>
      </w:pPr>
    </w:p>
    <w:p w14:paraId="473C11CC" w14:textId="77777777" w:rsidR="00C21D07" w:rsidRDefault="00C21D07" w:rsidP="00C21D07">
      <w:pPr>
        <w:spacing w:after="0" w:line="240" w:lineRule="auto"/>
        <w:rPr>
          <w:rFonts w:ascii="Verdana" w:eastAsia="Geomanist Light" w:hAnsi="Verdana" w:cs="Arial"/>
          <w:color w:val="000000" w:themeColor="text1"/>
          <w:lang w:val="es-MX"/>
        </w:rPr>
      </w:pPr>
    </w:p>
    <w:p w14:paraId="668387DD" w14:textId="77777777" w:rsidR="00C21D07" w:rsidRDefault="00C21D07" w:rsidP="00C21D07">
      <w:pPr>
        <w:spacing w:after="0" w:line="240" w:lineRule="auto"/>
        <w:rPr>
          <w:rFonts w:ascii="Verdana" w:eastAsia="Geomanist Light" w:hAnsi="Verdana" w:cs="Arial"/>
          <w:color w:val="000000" w:themeColor="text1"/>
          <w:lang w:val="es-MX"/>
        </w:rPr>
      </w:pPr>
    </w:p>
    <w:p w14:paraId="5F00116F" w14:textId="77777777" w:rsidR="00C21D07" w:rsidRDefault="00C21D07" w:rsidP="00C21D07">
      <w:pPr>
        <w:spacing w:after="0" w:line="240" w:lineRule="auto"/>
        <w:rPr>
          <w:rFonts w:ascii="Verdana" w:eastAsia="Geomanist Light" w:hAnsi="Verdana" w:cs="Arial"/>
          <w:color w:val="000000" w:themeColor="text1"/>
          <w:lang w:val="es-MX"/>
        </w:rPr>
      </w:pPr>
    </w:p>
    <w:p w14:paraId="20A9BB99" w14:textId="77777777" w:rsidR="00C21D07" w:rsidRDefault="00C21D07" w:rsidP="00C21D07">
      <w:pPr>
        <w:spacing w:after="0" w:line="240" w:lineRule="auto"/>
        <w:rPr>
          <w:rFonts w:ascii="Verdana" w:eastAsia="Geomanist Light" w:hAnsi="Verdana" w:cs="Arial"/>
          <w:color w:val="000000" w:themeColor="text1"/>
          <w:lang w:val="es-MX"/>
        </w:rPr>
      </w:pPr>
    </w:p>
    <w:p w14:paraId="77311897" w14:textId="77777777" w:rsidR="00C21D07" w:rsidRDefault="00C21D07" w:rsidP="00205F15">
      <w:pPr>
        <w:spacing w:after="0" w:line="240" w:lineRule="auto"/>
        <w:rPr>
          <w:rFonts w:ascii="Verdana" w:eastAsia="Geomanist Light" w:hAnsi="Verdana" w:cs="Arial"/>
          <w:color w:val="000000" w:themeColor="text1"/>
          <w:lang w:val="es-MX"/>
        </w:rPr>
      </w:pPr>
    </w:p>
    <w:p w14:paraId="78957DC3" w14:textId="6A8B25AC" w:rsidR="00205F15" w:rsidRPr="00DE56BC" w:rsidRDefault="00205F15" w:rsidP="00205F15">
      <w:pPr>
        <w:spacing w:after="0" w:line="240" w:lineRule="auto"/>
        <w:rPr>
          <w:rFonts w:ascii="Verdana" w:eastAsia="Geomanist Light" w:hAnsi="Verdana" w:cs="Arial"/>
          <w:color w:val="201F1E"/>
        </w:rPr>
      </w:pPr>
      <w:r w:rsidRPr="00593A5F">
        <w:rPr>
          <w:rFonts w:ascii="Verdana" w:eastAsia="Geomanist Light" w:hAnsi="Verdana" w:cs="Arial"/>
          <w:color w:val="000000" w:themeColor="text1"/>
          <w:lang w:val="es-MX"/>
        </w:rPr>
        <w:lastRenderedPageBreak/>
        <w:t>Bogotá D.C., </w:t>
      </w:r>
      <w:r w:rsidR="00DE56BC" w:rsidRPr="00DE56BC">
        <w:rPr>
          <w:rFonts w:ascii="Verdana" w:eastAsia="Geomanist Light" w:hAnsi="Verdana" w:cs="Arial"/>
          <w:color w:val="000000" w:themeColor="text1"/>
          <w:lang w:val="es-MX"/>
        </w:rPr>
        <w:t>18 de Febrero de 2026</w:t>
      </w:r>
    </w:p>
    <w:p w14:paraId="1A0699A7" w14:textId="77777777" w:rsidR="00205F15" w:rsidRDefault="00205F15" w:rsidP="00205F15">
      <w:pPr>
        <w:spacing w:after="0" w:line="240" w:lineRule="auto"/>
        <w:jc w:val="both"/>
        <w:rPr>
          <w:rFonts w:ascii="Verdana" w:eastAsia="Calibri" w:hAnsi="Verdana" w:cs="Arial"/>
          <w:color w:val="000000"/>
        </w:rPr>
      </w:pPr>
    </w:p>
    <w:p w14:paraId="0C56D254" w14:textId="6CFC85D1" w:rsidR="00DE56BC" w:rsidRPr="00DE56BC" w:rsidRDefault="00DE56BC" w:rsidP="00DE56BC">
      <w:pPr>
        <w:spacing w:after="0" w:line="240" w:lineRule="auto"/>
        <w:jc w:val="right"/>
        <w:rPr>
          <w:rFonts w:ascii="Verdana" w:eastAsia="Calibri" w:hAnsi="Verdana" w:cs="Arial"/>
          <w:color w:val="000000"/>
        </w:rPr>
      </w:pPr>
      <w:r w:rsidRPr="00DE56BC">
        <w:rPr>
          <w:rFonts w:ascii="Verdana" w:eastAsia="Calibri" w:hAnsi="Verdana" w:cs="Arial"/>
          <w:noProof/>
          <w:color w:val="000000"/>
        </w:rPr>
        <w:drawing>
          <wp:inline distT="0" distB="0" distL="0" distR="0" wp14:anchorId="2EA6A288" wp14:editId="49B5FBC5">
            <wp:extent cx="2400300" cy="622300"/>
            <wp:effectExtent l="0" t="0" r="0" b="0"/>
            <wp:docPr id="2702391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39196" name=""/>
                    <pic:cNvPicPr/>
                  </pic:nvPicPr>
                  <pic:blipFill>
                    <a:blip r:embed="rId10"/>
                    <a:stretch>
                      <a:fillRect/>
                    </a:stretch>
                  </pic:blipFill>
                  <pic:spPr>
                    <a:xfrm>
                      <a:off x="0" y="0"/>
                      <a:ext cx="2400300" cy="622300"/>
                    </a:xfrm>
                    <a:prstGeom prst="rect">
                      <a:avLst/>
                    </a:prstGeom>
                  </pic:spPr>
                </pic:pic>
              </a:graphicData>
            </a:graphic>
          </wp:inline>
        </w:drawing>
      </w:r>
    </w:p>
    <w:p w14:paraId="0A41603B" w14:textId="77777777" w:rsidR="00205F15" w:rsidRPr="00593A5F" w:rsidRDefault="00205F15" w:rsidP="00205F15">
      <w:pPr>
        <w:spacing w:after="0" w:line="240" w:lineRule="auto"/>
        <w:jc w:val="both"/>
        <w:rPr>
          <w:rFonts w:ascii="Verdana" w:eastAsia="Calibri" w:hAnsi="Verdana" w:cs="Arial"/>
          <w:color w:val="000000"/>
          <w:lang w:val="es-ES"/>
        </w:rPr>
      </w:pPr>
    </w:p>
    <w:p w14:paraId="091572A1" w14:textId="77777777" w:rsidR="00205F15" w:rsidRPr="00B96799" w:rsidRDefault="00205F15" w:rsidP="00205F15">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6DB5100" w14:textId="77777777" w:rsidR="00205F15" w:rsidRPr="00E5278D" w:rsidRDefault="00205F15" w:rsidP="00205F15">
      <w:pPr>
        <w:spacing w:after="0" w:line="240" w:lineRule="auto"/>
        <w:rPr>
          <w:rFonts w:ascii="Verdana" w:eastAsia="Calibri" w:hAnsi="Verdana" w:cs="Arial"/>
          <w:b/>
          <w:lang w:val="es-ES_tradnl" w:eastAsia="es-ES_tradnl"/>
        </w:rPr>
      </w:pPr>
      <w:r w:rsidRPr="003231A7">
        <w:rPr>
          <w:rFonts w:ascii="Verdana" w:eastAsia="Calibri" w:hAnsi="Verdana" w:cs="Arial"/>
          <w:b/>
          <w:lang w:val="es-ES_tradnl" w:eastAsia="es-ES_tradnl"/>
        </w:rPr>
        <w:t>Astrid Natalia Trujillo Campo</w:t>
      </w:r>
      <w:r>
        <w:rPr>
          <w:rFonts w:ascii="Verdana" w:eastAsia="Calibri" w:hAnsi="Verdana" w:cs="Arial"/>
          <w:b/>
          <w:lang w:val="es-ES_tradnl" w:eastAsia="es-ES_tradnl"/>
        </w:rPr>
        <w:t xml:space="preserve"> </w:t>
      </w:r>
    </w:p>
    <w:p w14:paraId="76BF1D8D" w14:textId="77777777" w:rsidR="00205F15" w:rsidRPr="00E5278D" w:rsidRDefault="00205F15" w:rsidP="00205F15">
      <w:pPr>
        <w:spacing w:after="0" w:line="240" w:lineRule="auto"/>
        <w:rPr>
          <w:rFonts w:ascii="Verdana" w:eastAsia="Calibri" w:hAnsi="Verdana" w:cs="Arial"/>
          <w:lang w:val="es-ES" w:eastAsia="es-ES"/>
        </w:rPr>
      </w:pPr>
      <w:hyperlink r:id="rId11" w:history="1">
        <w:r w:rsidRPr="00A571C5">
          <w:rPr>
            <w:rStyle w:val="Hipervnculo"/>
            <w:rFonts w:ascii="Verdana" w:hAnsi="Verdana"/>
          </w:rPr>
          <w:t>info@nasakiwe.gov.co</w:t>
        </w:r>
      </w:hyperlink>
      <w:r>
        <w:rPr>
          <w:rFonts w:ascii="Verdana" w:hAnsi="Verdana"/>
        </w:rPr>
        <w:t xml:space="preserve"> </w:t>
      </w:r>
      <w:r w:rsidRPr="00E5278D">
        <w:rPr>
          <w:rFonts w:ascii="Verdana" w:hAnsi="Verdana"/>
        </w:rPr>
        <w:t xml:space="preserve">             </w:t>
      </w:r>
      <w:r w:rsidRPr="00E5278D">
        <w:rPr>
          <w:rFonts w:ascii="Verdana" w:eastAsia="Calibri" w:hAnsi="Verdana" w:cs="Arial"/>
          <w:lang w:val="es-ES" w:eastAsia="es-ES"/>
        </w:rPr>
        <w:t xml:space="preserve">    </w:t>
      </w:r>
    </w:p>
    <w:p w14:paraId="1CDD9F0A" w14:textId="77777777" w:rsidR="00205F15" w:rsidRDefault="00205F15" w:rsidP="00205F15">
      <w:pPr>
        <w:spacing w:after="0" w:line="240" w:lineRule="auto"/>
        <w:rPr>
          <w:rFonts w:ascii="Verdana" w:eastAsia="Calibri" w:hAnsi="Verdana" w:cs="Arial"/>
          <w:lang w:val="es-ES" w:eastAsia="es-ES"/>
        </w:rPr>
      </w:pPr>
      <w:r w:rsidRPr="00B96CC4">
        <w:rPr>
          <w:rFonts w:ascii="Verdana" w:eastAsia="Calibri" w:hAnsi="Verdana" w:cs="Arial"/>
          <w:lang w:val="es-ES" w:eastAsia="es-ES"/>
        </w:rPr>
        <w:t>Asunción de Popayán</w:t>
      </w:r>
      <w:r>
        <w:rPr>
          <w:rFonts w:ascii="Verdana" w:eastAsia="Calibri" w:hAnsi="Verdana" w:cs="Arial"/>
          <w:lang w:val="es-ES" w:eastAsia="es-ES"/>
        </w:rPr>
        <w:t xml:space="preserve">, Valle del Cauca </w:t>
      </w:r>
    </w:p>
    <w:p w14:paraId="7D2AFD00" w14:textId="77777777" w:rsidR="00205F15" w:rsidRPr="00593A5F" w:rsidRDefault="00205F15" w:rsidP="00205F15">
      <w:pPr>
        <w:spacing w:after="0" w:line="240" w:lineRule="auto"/>
        <w:rPr>
          <w:rFonts w:ascii="Verdana" w:eastAsia="Calibri" w:hAnsi="Verdana" w:cs="Arial"/>
          <w:b/>
          <w:bCs/>
          <w:color w:val="000000"/>
          <w:lang w:val="es-ES_tradnl" w:eastAsia="es-ES_tradnl"/>
        </w:rPr>
      </w:pPr>
    </w:p>
    <w:p w14:paraId="7538D5F1" w14:textId="77777777" w:rsidR="00205F15" w:rsidRPr="00593A5F" w:rsidRDefault="00205F15" w:rsidP="00205F1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5F15" w:rsidRPr="00593A5F" w14:paraId="6CBCC560" w14:textId="77777777" w:rsidTr="00916988">
        <w:trPr>
          <w:trHeight w:val="884"/>
        </w:trPr>
        <w:tc>
          <w:tcPr>
            <w:tcW w:w="2689" w:type="dxa"/>
          </w:tcPr>
          <w:p w14:paraId="207482CD" w14:textId="77777777" w:rsidR="00205F15" w:rsidRPr="00C00976" w:rsidRDefault="00205F15" w:rsidP="00916988">
            <w:pPr>
              <w:jc w:val="both"/>
              <w:rPr>
                <w:rFonts w:ascii="Verdana" w:eastAsia="Calibri" w:hAnsi="Verdana" w:cs="Arial"/>
                <w:b/>
                <w:bCs/>
                <w:color w:val="7030A0"/>
                <w:lang w:val="es-ES_tradnl" w:eastAsia="es-ES_tradnl"/>
              </w:rPr>
            </w:pPr>
          </w:p>
        </w:tc>
        <w:tc>
          <w:tcPr>
            <w:tcW w:w="6100" w:type="dxa"/>
          </w:tcPr>
          <w:p w14:paraId="30CABCE1" w14:textId="77777777" w:rsidR="00205F15" w:rsidRPr="00C00976" w:rsidRDefault="00205F15" w:rsidP="0091698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176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205F15" w:rsidRPr="00593A5F" w14:paraId="51826E3B" w14:textId="77777777" w:rsidTr="00916988">
        <w:trPr>
          <w:trHeight w:val="884"/>
        </w:trPr>
        <w:tc>
          <w:tcPr>
            <w:tcW w:w="2689" w:type="dxa"/>
          </w:tcPr>
          <w:p w14:paraId="20ECD236" w14:textId="77777777" w:rsidR="00205F15" w:rsidRPr="00593A5F" w:rsidRDefault="00205F15" w:rsidP="0091698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8492F78" w14:textId="77777777" w:rsidR="00205F15" w:rsidRPr="00A11406" w:rsidRDefault="00205F15" w:rsidP="00916988">
            <w:pPr>
              <w:spacing w:line="276" w:lineRule="auto"/>
              <w:jc w:val="both"/>
              <w:rPr>
                <w:rFonts w:ascii="Verdana" w:eastAsia="Calibri" w:hAnsi="Verdana" w:cs="Arial"/>
                <w:lang w:val="es-ES" w:eastAsia="es-ES"/>
              </w:rPr>
            </w:pPr>
            <w:r w:rsidRPr="00D2281E">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AAEDDDE" w14:textId="77777777" w:rsidR="00205F15" w:rsidRPr="00593A5F" w:rsidRDefault="00205F15" w:rsidP="0091698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205F15" w:rsidRPr="008E6AD9" w14:paraId="1F6E1B4B" w14:textId="77777777" w:rsidTr="00916988">
        <w:tc>
          <w:tcPr>
            <w:tcW w:w="2689" w:type="dxa"/>
          </w:tcPr>
          <w:p w14:paraId="13CBAC72" w14:textId="77777777" w:rsidR="00205F15" w:rsidRPr="008E6AD9" w:rsidRDefault="00205F15" w:rsidP="0091698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7A3512F" w14:textId="77777777" w:rsidR="00205F15" w:rsidRPr="00B92340" w:rsidRDefault="00205F15" w:rsidP="0091698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4B5111">
              <w:rPr>
                <w:rFonts w:ascii="Verdana" w:eastAsia="Calibri" w:hAnsi="Verdana" w:cs="Arial"/>
                <w:lang w:val="es-ES_tradnl" w:eastAsia="es-ES_tradnl"/>
              </w:rPr>
              <w:t>1_2026_02_06_001556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E19CDF5" w14:textId="77777777" w:rsidR="00205F15" w:rsidRPr="00593A5F" w:rsidRDefault="00205F15" w:rsidP="00205F15">
      <w:pPr>
        <w:spacing w:after="0" w:line="240" w:lineRule="auto"/>
        <w:jc w:val="both"/>
        <w:rPr>
          <w:rFonts w:ascii="Verdana" w:eastAsia="Calibri" w:hAnsi="Verdana" w:cs="Arial"/>
          <w:color w:val="000000"/>
          <w:lang w:val="es-ES_tradnl" w:eastAsia="es-ES_tradnl"/>
        </w:rPr>
      </w:pPr>
    </w:p>
    <w:p w14:paraId="1EFF154F" w14:textId="77777777" w:rsidR="00205F15" w:rsidRPr="00593A5F" w:rsidRDefault="00205F15" w:rsidP="00205F15">
      <w:pPr>
        <w:spacing w:after="0" w:line="240" w:lineRule="auto"/>
        <w:jc w:val="both"/>
        <w:rPr>
          <w:rFonts w:ascii="Verdana" w:eastAsia="Calibri" w:hAnsi="Verdana" w:cs="Arial"/>
          <w:color w:val="000000"/>
          <w:lang w:val="es-ES_tradnl" w:eastAsia="es-ES_tradnl"/>
        </w:rPr>
      </w:pPr>
    </w:p>
    <w:p w14:paraId="3AE1415B" w14:textId="77777777" w:rsidR="00205F15" w:rsidRPr="008E6AD9" w:rsidRDefault="00205F15" w:rsidP="00205F1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B96CC4">
        <w:rPr>
          <w:rFonts w:ascii="Verdana" w:eastAsia="Calibri" w:hAnsi="Verdana" w:cs="Arial"/>
          <w:lang w:val="es-ES" w:eastAsia="es-ES"/>
        </w:rPr>
        <w:t>Trujillo Campo</w:t>
      </w:r>
      <w:r w:rsidRPr="008E6AD9">
        <w:rPr>
          <w:rFonts w:ascii="Verdana" w:eastAsia="Calibri" w:hAnsi="Verdana" w:cs="Arial"/>
          <w:lang w:val="es-ES" w:eastAsia="es-ES"/>
        </w:rPr>
        <w:t xml:space="preserve">: </w:t>
      </w:r>
    </w:p>
    <w:p w14:paraId="6E9508BD" w14:textId="77777777" w:rsidR="00205F15" w:rsidRDefault="00205F15" w:rsidP="00205F1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67D1BD7" w14:textId="77777777" w:rsidR="00205F15" w:rsidRPr="00593A5F" w:rsidRDefault="00205F15" w:rsidP="00205F15">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6 de febrero de 2026, donde pregunta lo siguiente</w:t>
      </w:r>
      <w:r w:rsidRPr="008E6AD9">
        <w:rPr>
          <w:rFonts w:ascii="Verdana" w:eastAsia="Calibri" w:hAnsi="Verdana" w:cs="Arial"/>
          <w:lang w:val="es-ES" w:eastAsia="es-ES"/>
        </w:rPr>
        <w:t xml:space="preserve">: </w:t>
      </w:r>
    </w:p>
    <w:p w14:paraId="68A1F792" w14:textId="77777777" w:rsidR="00205F15" w:rsidRPr="00272A7B" w:rsidRDefault="00205F15" w:rsidP="00205F15">
      <w:pPr>
        <w:pStyle w:val="Prrafodelista"/>
        <w:tabs>
          <w:tab w:val="left" w:pos="142"/>
          <w:tab w:val="left" w:pos="284"/>
        </w:tabs>
        <w:spacing w:after="0" w:line="276" w:lineRule="auto"/>
        <w:ind w:left="0"/>
        <w:jc w:val="both"/>
        <w:rPr>
          <w:rFonts w:ascii="Verdana" w:eastAsia="Century Gothic" w:hAnsi="Verdana" w:cs="Century Gothic"/>
          <w:b/>
          <w:bCs/>
        </w:rPr>
      </w:pPr>
    </w:p>
    <w:p w14:paraId="28A38E88" w14:textId="77777777" w:rsidR="00205F15" w:rsidRPr="001904AF" w:rsidRDefault="00205F15" w:rsidP="00205F15">
      <w:pPr>
        <w:spacing w:after="0" w:line="240" w:lineRule="auto"/>
        <w:ind w:left="709" w:right="709"/>
        <w:jc w:val="both"/>
        <w:rPr>
          <w:rFonts w:ascii="Verdana" w:eastAsia="Century Gothic" w:hAnsi="Verdana" w:cs="Century Gothic"/>
          <w:sz w:val="20"/>
          <w:szCs w:val="20"/>
          <w:lang w:val="es-ES"/>
        </w:rPr>
      </w:pPr>
      <w:bookmarkStart w:id="1" w:name="_Hlk95313578"/>
      <w:r w:rsidRPr="001904AF">
        <w:rPr>
          <w:rFonts w:ascii="Verdana" w:eastAsia="Century Gothic" w:hAnsi="Verdana" w:cs="Century Gothic"/>
          <w:sz w:val="20"/>
          <w:szCs w:val="20"/>
          <w:lang w:val="es-ES"/>
        </w:rPr>
        <w:lastRenderedPageBreak/>
        <w:t>“</w:t>
      </w:r>
      <w:bookmarkEnd w:id="1"/>
      <w:r w:rsidRPr="000945F4">
        <w:rPr>
          <w:rFonts w:ascii="Verdana" w:eastAsia="Century Gothic" w:hAnsi="Verdana" w:cs="Century Gothic"/>
          <w:sz w:val="20"/>
          <w:szCs w:val="20"/>
          <w:lang w:val="es-ES"/>
        </w:rPr>
        <w:t>¿Es aplicable la Ley de Garantías Electorales a la Corporación NASA KIWE, teniendo en cuenta que la Entidad tiene régimen especial único de Contratación Directa por urgencia manifiesta y su objeto es adelantar proyectos y programas para la atención de las necesidades básicas de los habitantes de los municipios y la reconstrucción y rehabilitación de la zona afectada por la calamidad pública establecida en el Decreto 1178 de 1994, además de realizar la atención de población vulnerable beneficiaria de provectos sociales?</w:t>
      </w:r>
      <w:r w:rsidRPr="001904AF">
        <w:rPr>
          <w:rFonts w:ascii="Verdana" w:eastAsia="Century Gothic" w:hAnsi="Verdana" w:cs="Century Gothic"/>
          <w:sz w:val="20"/>
          <w:szCs w:val="20"/>
          <w:lang w:val="es-ES"/>
        </w:rPr>
        <w:t>”.</w:t>
      </w:r>
    </w:p>
    <w:p w14:paraId="259FBFDD" w14:textId="77777777" w:rsidR="00205F15" w:rsidRPr="008E6AD9" w:rsidRDefault="00205F15" w:rsidP="00205F15">
      <w:pPr>
        <w:pStyle w:val="Prrafodelista"/>
        <w:tabs>
          <w:tab w:val="left" w:pos="142"/>
          <w:tab w:val="left" w:pos="284"/>
        </w:tabs>
        <w:spacing w:after="0" w:line="276" w:lineRule="auto"/>
        <w:ind w:left="0"/>
        <w:jc w:val="both"/>
        <w:rPr>
          <w:rFonts w:ascii="Verdana" w:eastAsia="Century Gothic" w:hAnsi="Verdana" w:cs="Century Gothic"/>
          <w:b/>
          <w:bCs/>
        </w:rPr>
      </w:pPr>
    </w:p>
    <w:p w14:paraId="7C904D8F" w14:textId="77777777" w:rsidR="00205F15" w:rsidRPr="00A652FF" w:rsidRDefault="00205F15" w:rsidP="00205F1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6FC63B4" w14:textId="77777777" w:rsidR="00205F15" w:rsidRDefault="00205F15" w:rsidP="00205F1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B89DADD" w14:textId="77777777" w:rsidR="00205F15" w:rsidRPr="00593A5F" w:rsidRDefault="00205F15" w:rsidP="00205F15">
      <w:pPr>
        <w:spacing w:after="0" w:line="276" w:lineRule="auto"/>
        <w:ind w:firstLine="709"/>
        <w:jc w:val="both"/>
        <w:rPr>
          <w:rFonts w:ascii="Verdana" w:eastAsia="Calibri" w:hAnsi="Verdana" w:cs="Arial"/>
          <w:color w:val="000000"/>
          <w:lang w:val="es-ES" w:eastAsia="es-ES"/>
        </w:rPr>
      </w:pPr>
    </w:p>
    <w:p w14:paraId="529E2E65" w14:textId="77777777" w:rsidR="00205F15" w:rsidRPr="00593A5F" w:rsidRDefault="00205F15" w:rsidP="00205F1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966B7EE" w14:textId="77777777" w:rsidR="00205F15" w:rsidRPr="00593A5F" w:rsidRDefault="00205F15" w:rsidP="00205F15">
      <w:pPr>
        <w:tabs>
          <w:tab w:val="left" w:pos="426"/>
        </w:tabs>
        <w:spacing w:after="0" w:line="276" w:lineRule="auto"/>
        <w:jc w:val="both"/>
        <w:rPr>
          <w:rFonts w:ascii="Verdana" w:eastAsia="Century Gothic" w:hAnsi="Verdana" w:cs="Century Gothic"/>
          <w:lang w:val="es-ES"/>
        </w:rPr>
      </w:pPr>
    </w:p>
    <w:p w14:paraId="14AAD3C5" w14:textId="1A587A9C" w:rsidR="00205F15" w:rsidRPr="00593A5F" w:rsidRDefault="00205F15" w:rsidP="00205F1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para interpretación general de las restricciones previstas en el artículo 33 de la Ley 996 de 2005?</w:t>
      </w:r>
    </w:p>
    <w:p w14:paraId="788AE9C8" w14:textId="77777777" w:rsidR="00205F15" w:rsidRPr="004B140F" w:rsidRDefault="00205F15" w:rsidP="00205F15">
      <w:pPr>
        <w:spacing w:after="0" w:line="276" w:lineRule="auto"/>
        <w:jc w:val="both"/>
        <w:rPr>
          <w:rFonts w:ascii="Verdana" w:eastAsia="Calibri" w:hAnsi="Verdana" w:cs="Arial"/>
          <w:color w:val="7030A0"/>
        </w:rPr>
      </w:pPr>
    </w:p>
    <w:p w14:paraId="043786DC" w14:textId="77777777" w:rsidR="00205F15" w:rsidRPr="00593A5F" w:rsidRDefault="00205F15" w:rsidP="00205F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13D5A4C" w14:textId="77777777" w:rsidR="00205F15" w:rsidRPr="00593A5F" w:rsidRDefault="00205F15" w:rsidP="00205F1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5F15" w:rsidRPr="00593A5F" w14:paraId="504B17ED" w14:textId="77777777" w:rsidTr="00916988">
        <w:trPr>
          <w:jc w:val="center"/>
        </w:trPr>
        <w:tc>
          <w:tcPr>
            <w:tcW w:w="8828" w:type="dxa"/>
          </w:tcPr>
          <w:p w14:paraId="09BDEE2E" w14:textId="77777777" w:rsidR="00205F15" w:rsidRDefault="00205F15" w:rsidP="00916988">
            <w:pPr>
              <w:spacing w:after="120" w:line="276" w:lineRule="auto"/>
              <w:jc w:val="both"/>
              <w:rPr>
                <w:rFonts w:ascii="Verdana" w:eastAsia="Times New Roman" w:hAnsi="Verdana" w:cs="Arial"/>
                <w:bCs/>
                <w:lang w:val="es-MX" w:eastAsia="x-none"/>
              </w:rPr>
            </w:pPr>
            <w:bookmarkStart w:id="2"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 xml:space="preserve">, </w:t>
            </w:r>
            <w:r w:rsidRPr="00C53E3E">
              <w:rPr>
                <w:rFonts w:ascii="Verdana" w:eastAsia="Calibri" w:hAnsi="Verdana" w:cs="Arial"/>
                <w:lang w:val="es-MX"/>
              </w:rPr>
              <w:t xml:space="preserve">la restricción prevista en el artículo 33 de la Ley 996 de 2005 cobija </w:t>
            </w:r>
            <w:r w:rsidRPr="00C53E3E">
              <w:rPr>
                <w:rFonts w:ascii="Verdana" w:eastAsia="Calibri" w:hAnsi="Verdana" w:cs="Arial"/>
                <w:lang w:val="es-MX"/>
              </w:rPr>
              <w:lastRenderedPageBreak/>
              <w:t>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w:t>
            </w:r>
          </w:p>
          <w:p w14:paraId="566702A6" w14:textId="77777777" w:rsidR="00205F15" w:rsidRDefault="00205F15" w:rsidP="00916988">
            <w:pPr>
              <w:spacing w:after="120" w:line="276" w:lineRule="auto"/>
              <w:ind w:firstLine="737"/>
              <w:jc w:val="both"/>
              <w:rPr>
                <w:rFonts w:ascii="Verdana" w:eastAsia="Times New Roman" w:hAnsi="Verdana" w:cs="Arial"/>
                <w:bCs/>
                <w:lang w:val="es-MX" w:eastAsia="x-none"/>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8DD6D06" w14:textId="77777777" w:rsidR="00205F15" w:rsidRPr="000945F4" w:rsidRDefault="00205F15" w:rsidP="00916988">
            <w:pPr>
              <w:spacing w:line="276" w:lineRule="auto"/>
              <w:ind w:firstLine="737"/>
              <w:jc w:val="both"/>
              <w:rPr>
                <w:rFonts w:ascii="Verdana" w:eastAsia="Times New Roman" w:hAnsi="Verdana" w:cs="Arial"/>
                <w:lang w:val="es-MX" w:eastAsia="es-CO"/>
              </w:rPr>
            </w:pPr>
            <w:r>
              <w:rPr>
                <w:rFonts w:ascii="Verdana" w:eastAsia="Times New Roman" w:hAnsi="Verdana" w:cs="Arial"/>
                <w:lang w:val="es-MX" w:eastAsia="es-CO"/>
              </w:rPr>
              <w:t xml:space="preserve">Si bien la Ley 1523 de 2012 </w:t>
            </w:r>
            <w:r>
              <w:rPr>
                <w:rFonts w:ascii="Verdana" w:eastAsia="Calibri" w:hAnsi="Verdana" w:cs="Arial"/>
                <w:lang w:val="es-ES"/>
              </w:rPr>
              <w:t xml:space="preserve">constituye regla general para entender el alcance de la excepción relativa a los contratos requeridos para </w:t>
            </w:r>
            <w:r w:rsidRPr="00333EDB">
              <w:rPr>
                <w:rFonts w:ascii="Verdana" w:eastAsia="Times New Roman" w:hAnsi="Verdana" w:cs="Arial"/>
                <w:bCs/>
                <w:lang w:val="es-MX" w:eastAsia="x-none"/>
              </w:rPr>
              <w:t>cubrir emergencias educativas, sanitarias y desastres</w:t>
            </w:r>
            <w:r>
              <w:rPr>
                <w:rFonts w:ascii="Verdana" w:eastAsia="Times New Roman" w:hAnsi="Verdana" w:cs="Arial"/>
                <w:bCs/>
                <w:lang w:val="es-MX" w:eastAsia="x-none"/>
              </w:rPr>
              <w:t xml:space="preserve">, </w:t>
            </w:r>
            <w:r>
              <w:rPr>
                <w:rFonts w:ascii="Verdana" w:hAnsi="Verdana" w:cs="Arial"/>
                <w:bCs/>
                <w:lang w:val="es-MX" w:eastAsia="x-none"/>
              </w:rPr>
              <w:t>nada obsta para constatar la existencia de normas especiales anteriores a su expedición. De acuerdo con la competencia prevista en el artículo 215 superior, este es el caso del Decreto Legislativo 1178 de 1994, “P</w:t>
            </w:r>
            <w:r w:rsidRPr="00CA1643">
              <w:rPr>
                <w:rFonts w:ascii="Verdana" w:hAnsi="Verdana" w:cs="Arial"/>
                <w:bCs/>
                <w:lang w:val="es-MX" w:eastAsia="x-none"/>
              </w:rPr>
              <w:t>or el cual se decreta el Estado de Emergencia por razón de grave calamidad pública</w:t>
            </w:r>
            <w:r>
              <w:rPr>
                <w:rFonts w:ascii="Verdana" w:hAnsi="Verdana" w:cs="Arial"/>
                <w:bCs/>
                <w:lang w:val="es-MX" w:eastAsia="x-none"/>
              </w:rPr>
              <w:t xml:space="preserve">”. </w:t>
            </w:r>
          </w:p>
          <w:p w14:paraId="71AC6D66" w14:textId="77777777" w:rsidR="00205F15" w:rsidRDefault="00205F15" w:rsidP="00916988">
            <w:pPr>
              <w:spacing w:before="120" w:after="120" w:line="276" w:lineRule="auto"/>
              <w:ind w:firstLine="709"/>
              <w:jc w:val="both"/>
              <w:rPr>
                <w:rFonts w:ascii="Verdana" w:hAnsi="Verdana" w:cs="Arial"/>
                <w:bCs/>
                <w:lang w:val="es-MX" w:eastAsia="x-none"/>
              </w:rPr>
            </w:pPr>
            <w:r>
              <w:rPr>
                <w:rFonts w:ascii="Verdana" w:hAnsi="Verdana" w:cs="Arial"/>
                <w:bCs/>
                <w:lang w:val="es-MX" w:eastAsia="x-none"/>
              </w:rPr>
              <w:t>Al amparo de esta situación, el Gobierno Nacional expidió el Decreto Legislativo 1179 de 1994, adicionado por el Decreto 1252 de 1994 y modificado por el Decreto 1263 de 1994, “P</w:t>
            </w:r>
            <w:r w:rsidRPr="00445047">
              <w:rPr>
                <w:rFonts w:ascii="Verdana" w:hAnsi="Verdana" w:cs="Arial"/>
                <w:bCs/>
                <w:lang w:val="es-MX" w:eastAsia="x-none"/>
              </w:rPr>
              <w:t xml:space="preserve">or el cual se crea la Corporación para la Reconstrucción de la Cuenca del Río Páez y zonas aledañas, </w:t>
            </w:r>
            <w:r w:rsidRPr="00CC7AAE">
              <w:rPr>
                <w:rFonts w:ascii="Verdana" w:hAnsi="Verdana" w:cs="Arial"/>
                <w:bCs/>
                <w:lang w:val="es-MX" w:eastAsia="x-none"/>
              </w:rPr>
              <w:t>Nasa Ki'We</w:t>
            </w:r>
            <w:r>
              <w:rPr>
                <w:rFonts w:ascii="Verdana" w:hAnsi="Verdana" w:cs="Arial"/>
                <w:bCs/>
                <w:lang w:val="es-MX" w:eastAsia="x-none"/>
              </w:rPr>
              <w:t xml:space="preserve">”. Conforme al artículo 1 del Decreto Legislativo 1179 de 1994, se trata de un </w:t>
            </w:r>
            <w:r w:rsidRPr="00445047">
              <w:rPr>
                <w:rFonts w:ascii="Verdana" w:hAnsi="Verdana" w:cs="Arial"/>
                <w:bCs/>
                <w:lang w:val="es-MX" w:eastAsia="x-none"/>
              </w:rPr>
              <w:t>establecimiento público del orden nacional dotado de personería jurídica, autonomía administrativa y patrimonio propio</w:t>
            </w:r>
            <w:r>
              <w:rPr>
                <w:rFonts w:ascii="Verdana" w:hAnsi="Verdana" w:cs="Arial"/>
                <w:bCs/>
                <w:lang w:val="es-MX" w:eastAsia="x-none"/>
              </w:rPr>
              <w:t xml:space="preserve">, adscrita al Ministerio de </w:t>
            </w:r>
            <w:r>
              <w:rPr>
                <w:rFonts w:ascii="Verdana" w:hAnsi="Verdana" w:cs="Arial"/>
                <w:bCs/>
                <w:lang w:val="es-MX" w:eastAsia="x-none"/>
              </w:rPr>
              <w:lastRenderedPageBreak/>
              <w:t xml:space="preserve">Interior, que tiene por objeto “[…] </w:t>
            </w:r>
            <w:r w:rsidRPr="00825A6F">
              <w:rPr>
                <w:rFonts w:ascii="Verdana" w:hAnsi="Verdana" w:cs="Arial"/>
                <w:bCs/>
                <w:lang w:val="es-MX" w:eastAsia="x-none"/>
              </w:rPr>
              <w:t>adelantar proyectos y programas para la atención de las necesidades básicas de los habitantes de los municipios, así como la reconstrucción y rehabilitación de la zona afectada 1178 de 1994</w:t>
            </w:r>
            <w:r>
              <w:rPr>
                <w:rFonts w:ascii="Verdana" w:hAnsi="Verdana" w:cs="Arial"/>
                <w:bCs/>
                <w:lang w:val="es-MX" w:eastAsia="x-none"/>
              </w:rPr>
              <w:t>”.</w:t>
            </w:r>
          </w:p>
          <w:p w14:paraId="7EEDC34F" w14:textId="77777777" w:rsidR="00205F15" w:rsidRPr="000C0EFB" w:rsidRDefault="00205F15" w:rsidP="00916988">
            <w:pPr>
              <w:spacing w:before="120" w:after="120" w:line="276" w:lineRule="auto"/>
              <w:ind w:firstLine="709"/>
              <w:jc w:val="both"/>
              <w:rPr>
                <w:rFonts w:ascii="Verdana" w:eastAsia="Times New Roman" w:hAnsi="Verdana" w:cs="Arial"/>
                <w:lang w:eastAsia="es-CO"/>
              </w:rPr>
            </w:pPr>
            <w:r>
              <w:rPr>
                <w:rFonts w:ascii="Verdana" w:hAnsi="Verdana" w:cs="Arial"/>
                <w:bCs/>
                <w:lang w:val="es-MX" w:eastAsia="x-none"/>
              </w:rPr>
              <w:t xml:space="preserve">Respecto a su régimen contractual, la Corporación –en su calidad de establecimiento público– se somete al EGCAP en virtud del literal a) del artículo 2.1 de la Ley 80 de 1993. Aunque de forma prevalente debería aplicar los procedimientos de selección competitivos del artículo 2 de la Ley 1150 de 2007, está facultada para desarrollar su gestión a través de la causal de contratación directa del literal a) del artículo 2.4 </w:t>
            </w:r>
            <w:r w:rsidRPr="00EB55BC">
              <w:rPr>
                <w:rFonts w:ascii="Verdana" w:hAnsi="Verdana" w:cs="Arial"/>
                <w:bCs/>
                <w:i/>
                <w:iCs/>
                <w:lang w:val="es-MX" w:eastAsia="x-none"/>
              </w:rPr>
              <w:t>ibidem</w:t>
            </w:r>
            <w:r>
              <w:rPr>
                <w:rFonts w:ascii="Verdana" w:hAnsi="Verdana" w:cs="Arial"/>
                <w:bCs/>
                <w:lang w:val="es-MX" w:eastAsia="x-none"/>
              </w:rPr>
              <w:t>. No en vano, el artículo 11 del Decreto Legislativo 1179 de 1994 establece que “[…]</w:t>
            </w:r>
            <w:r w:rsidRPr="00F63F71">
              <w:rPr>
                <w:rFonts w:ascii="Verdana" w:hAnsi="Verdana" w:cs="Arial"/>
                <w:bCs/>
                <w:lang w:val="es-MX" w:eastAsia="x-none"/>
              </w:rPr>
              <w:t xml:space="preserve"> los contratos que celebre la Corporación se entenderán celebrados por razón de urgencia manifiesta, sin que sea necesario declaratoria expresa en tal sentido</w:t>
            </w:r>
            <w:r>
              <w:rPr>
                <w:rFonts w:ascii="Verdana" w:hAnsi="Verdana" w:cs="Arial"/>
                <w:bCs/>
                <w:lang w:val="es-MX" w:eastAsia="x-none"/>
              </w:rPr>
              <w:t>”</w:t>
            </w:r>
            <w:r w:rsidRPr="00F63F71">
              <w:rPr>
                <w:rFonts w:ascii="Verdana" w:hAnsi="Verdana" w:cs="Arial"/>
                <w:bCs/>
                <w:lang w:val="es-MX" w:eastAsia="x-none"/>
              </w:rPr>
              <w:t>.</w:t>
            </w:r>
            <w:r>
              <w:rPr>
                <w:rFonts w:ascii="Verdana" w:hAnsi="Verdana" w:cs="Arial"/>
                <w:bCs/>
                <w:lang w:val="es-MX" w:eastAsia="x-none"/>
              </w:rPr>
              <w:t xml:space="preserve"> Según el artículo 42 del EGCAP, la urgencia manifiesta tiene </w:t>
            </w:r>
            <w:r w:rsidRPr="3683B926">
              <w:rPr>
                <w:rFonts w:ascii="Verdana" w:eastAsia="Calibri" w:hAnsi="Verdana" w:cs="Arial"/>
                <w:lang w:val="es-ES"/>
              </w:rPr>
              <w:t>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w:t>
            </w:r>
            <w:r w:rsidRPr="00534717">
              <w:rPr>
                <w:rFonts w:ascii="Verdana" w:eastAsia="Calibri" w:hAnsi="Verdana" w:cs="Arial"/>
                <w:lang w:val="es-ES"/>
              </w:rPr>
              <w:t xml:space="preserve">Luego, los contratos de la Corporación Nasa </w:t>
            </w:r>
            <w:proofErr w:type="spellStart"/>
            <w:r w:rsidRPr="00534717">
              <w:rPr>
                <w:rFonts w:ascii="Verdana" w:eastAsia="Calibri" w:hAnsi="Verdana" w:cs="Arial"/>
                <w:lang w:val="es-ES"/>
              </w:rPr>
              <w:t>Ki'We</w:t>
            </w:r>
            <w:proofErr w:type="spellEnd"/>
            <w:r w:rsidRPr="00534717">
              <w:rPr>
                <w:rFonts w:ascii="Verdana" w:eastAsia="Calibri" w:hAnsi="Verdana" w:cs="Arial"/>
                <w:lang w:val="es-ES"/>
              </w:rPr>
              <w:t xml:space="preserve"> que tengan por objeto cubrir situaciones de desastres están exceptuados de la prohibición del inciso primero del artículo 33 de la Ley de Garantías</w:t>
            </w:r>
            <w:r>
              <w:rPr>
                <w:rFonts w:ascii="Verdana" w:hAnsi="Verdana" w:cs="Arial"/>
                <w:bCs/>
                <w:lang w:val="es-MX" w:eastAsia="x-none"/>
              </w:rPr>
              <w:t>.</w:t>
            </w:r>
          </w:p>
          <w:p w14:paraId="026AA510" w14:textId="77777777" w:rsidR="00205F15" w:rsidRPr="001941FD" w:rsidRDefault="00205F15" w:rsidP="00916988">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6BE1B304" w14:textId="77777777" w:rsidR="00205F15" w:rsidRPr="00593A5F" w:rsidRDefault="00205F15" w:rsidP="00205F15">
      <w:pPr>
        <w:tabs>
          <w:tab w:val="left" w:pos="142"/>
          <w:tab w:val="left" w:pos="284"/>
        </w:tabs>
        <w:spacing w:after="0" w:line="276" w:lineRule="auto"/>
        <w:jc w:val="both"/>
        <w:rPr>
          <w:rFonts w:ascii="Verdana" w:eastAsia="Century Gothic" w:hAnsi="Verdana" w:cs="Century Gothic"/>
          <w:b/>
          <w:bCs/>
          <w:lang w:val="es-ES"/>
        </w:rPr>
      </w:pPr>
    </w:p>
    <w:bookmarkEnd w:id="2"/>
    <w:p w14:paraId="4C9DA214" w14:textId="77777777" w:rsidR="00205F15" w:rsidRPr="00593A5F" w:rsidRDefault="00205F15" w:rsidP="00205F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65FBC3F" w14:textId="77777777" w:rsidR="00205F15" w:rsidRPr="00593A5F" w:rsidRDefault="00205F15" w:rsidP="00205F15">
      <w:pPr>
        <w:spacing w:after="0" w:line="276" w:lineRule="auto"/>
        <w:jc w:val="both"/>
        <w:rPr>
          <w:rFonts w:ascii="Verdana" w:eastAsia="Calibri" w:hAnsi="Verdana" w:cs="Arial"/>
          <w:color w:val="7030A0"/>
          <w:lang w:val="es-ES"/>
        </w:rPr>
      </w:pPr>
    </w:p>
    <w:p w14:paraId="31C594B4" w14:textId="77777777" w:rsidR="00205F15" w:rsidRDefault="00205F15" w:rsidP="00205F1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3E692BD" w14:textId="77777777" w:rsidR="00205F15" w:rsidRPr="00415608" w:rsidRDefault="00205F15" w:rsidP="00205F15">
      <w:pPr>
        <w:spacing w:after="0" w:line="276" w:lineRule="auto"/>
        <w:jc w:val="both"/>
        <w:rPr>
          <w:rFonts w:ascii="Verdana" w:eastAsia="Calibri" w:hAnsi="Verdana" w:cs="Arial"/>
          <w:lang w:val="es-ES"/>
        </w:rPr>
      </w:pPr>
    </w:p>
    <w:p w14:paraId="3F980BDE" w14:textId="77777777" w:rsidR="00205F15" w:rsidRPr="009E105D" w:rsidRDefault="00205F15" w:rsidP="00205F15">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 xml:space="preserve">El ordenamiento jurídico colombiano contempla previsiones claras para evitar la obtención de beneficios personales en asuntos propios de la administración </w:t>
      </w:r>
      <w:r w:rsidRPr="009E105D">
        <w:rPr>
          <w:rFonts w:ascii="Verdana" w:eastAsia="Calibri" w:hAnsi="Verdana" w:cs="Arial"/>
        </w:rPr>
        <w:lastRenderedPageBreak/>
        <w:t>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1"/>
      </w:r>
      <w:r w:rsidRPr="009E105D">
        <w:rPr>
          <w:rFonts w:ascii="Verdana" w:eastAsia="Calibri" w:hAnsi="Verdana" w:cs="Arial"/>
        </w:rPr>
        <w:t xml:space="preserve">. </w:t>
      </w:r>
    </w:p>
    <w:p w14:paraId="470C07C2" w14:textId="77777777" w:rsidR="00205F15" w:rsidRPr="009E105D" w:rsidRDefault="00205F15" w:rsidP="00205F15">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3" w:name="_Hlk99576829"/>
      <w:r w:rsidRPr="009E105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9E105D">
        <w:rPr>
          <w:rFonts w:ascii="Verdana" w:eastAsia="Times New Roman" w:hAnsi="Verdana" w:cs="Arial"/>
          <w:vertAlign w:val="superscript"/>
          <w:lang w:val="es-MX" w:eastAsia="es-CO"/>
        </w:rPr>
        <w:footnoteReference w:id="2"/>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3"/>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3927B96" w14:textId="77777777" w:rsidR="00205F15" w:rsidRPr="009E105D" w:rsidRDefault="00205F15" w:rsidP="00205F15">
      <w:pPr>
        <w:spacing w:after="0" w:line="276" w:lineRule="auto"/>
        <w:ind w:right="709"/>
        <w:contextualSpacing/>
        <w:jc w:val="both"/>
        <w:rPr>
          <w:rFonts w:ascii="Verdana" w:eastAsia="Times New Roman" w:hAnsi="Verdana" w:cs="Arial"/>
          <w:sz w:val="21"/>
          <w:szCs w:val="21"/>
          <w:lang w:val="es-ES" w:eastAsia="es-CO"/>
        </w:rPr>
      </w:pPr>
    </w:p>
    <w:p w14:paraId="159C08BB" w14:textId="77777777" w:rsidR="00205F15" w:rsidRPr="00E066AC" w:rsidRDefault="00205F15" w:rsidP="00205F15">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1E079C3E" w14:textId="77777777" w:rsidR="00205F15" w:rsidRDefault="00205F15" w:rsidP="00205F15">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2501B3BE" w14:textId="77777777" w:rsidR="00205F15" w:rsidRPr="00E066AC" w:rsidRDefault="00205F15" w:rsidP="00205F15">
      <w:pPr>
        <w:spacing w:after="120" w:line="240" w:lineRule="auto"/>
        <w:ind w:left="709" w:right="709"/>
        <w:contextualSpacing/>
        <w:jc w:val="both"/>
        <w:rPr>
          <w:rFonts w:ascii="Verdana" w:eastAsia="Times New Roman" w:hAnsi="Verdana" w:cs="Arial"/>
          <w:sz w:val="12"/>
          <w:szCs w:val="12"/>
          <w:lang w:val="es-MX" w:eastAsia="es-CO"/>
        </w:rPr>
      </w:pPr>
    </w:p>
    <w:p w14:paraId="4D5942DC" w14:textId="77777777" w:rsidR="00205F15" w:rsidRPr="00E066AC" w:rsidRDefault="00205F15" w:rsidP="00205F15">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3"/>
      </w:r>
      <w:r w:rsidRPr="00E066AC">
        <w:rPr>
          <w:rFonts w:ascii="Verdana" w:eastAsia="Times New Roman" w:hAnsi="Verdana" w:cs="Arial"/>
          <w:sz w:val="20"/>
          <w:szCs w:val="20"/>
          <w:lang w:val="es-MX" w:eastAsia="es-CO"/>
        </w:rPr>
        <w:t>.</w:t>
      </w:r>
    </w:p>
    <w:p w14:paraId="7466CCA8" w14:textId="77777777" w:rsidR="00205F15" w:rsidRPr="009E105D" w:rsidRDefault="00205F15" w:rsidP="00205F15">
      <w:pPr>
        <w:spacing w:after="0" w:line="276" w:lineRule="auto"/>
        <w:ind w:left="709" w:right="709"/>
        <w:contextualSpacing/>
        <w:jc w:val="both"/>
        <w:rPr>
          <w:rFonts w:ascii="Verdana" w:eastAsia="Times New Roman" w:hAnsi="Verdana" w:cs="Arial"/>
          <w:sz w:val="21"/>
          <w:szCs w:val="21"/>
          <w:lang w:val="es-MX" w:eastAsia="es-CO"/>
        </w:rPr>
      </w:pPr>
    </w:p>
    <w:p w14:paraId="26C647F6" w14:textId="77777777" w:rsidR="00205F15" w:rsidRPr="009E105D" w:rsidRDefault="00205F15" w:rsidP="00205F15">
      <w:pPr>
        <w:spacing w:after="0" w:line="276" w:lineRule="auto"/>
        <w:ind w:firstLine="709"/>
        <w:jc w:val="both"/>
        <w:rPr>
          <w:rFonts w:ascii="Verdana" w:eastAsia="Times New Roman" w:hAnsi="Verdana" w:cs="Arial"/>
          <w:lang w:val="es-MX" w:eastAsia="es-CO"/>
        </w:rPr>
      </w:pPr>
      <w:bookmarkStart w:id="4"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1FC376AB" w14:textId="77777777" w:rsidR="00205F15" w:rsidRPr="009E105D" w:rsidRDefault="00205F15" w:rsidP="00205F15">
      <w:pPr>
        <w:spacing w:after="0" w:line="276" w:lineRule="auto"/>
        <w:ind w:firstLine="709"/>
        <w:contextualSpacing/>
        <w:jc w:val="both"/>
        <w:rPr>
          <w:rFonts w:ascii="Verdana" w:eastAsia="Times New Roman" w:hAnsi="Verdana" w:cs="Arial"/>
          <w:lang w:val="es-MX" w:eastAsia="es-CO"/>
        </w:rPr>
      </w:pPr>
    </w:p>
    <w:p w14:paraId="28AC50D8" w14:textId="77777777" w:rsidR="00205F15" w:rsidRPr="00E066AC" w:rsidRDefault="00205F15" w:rsidP="00205F15">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5A63652" w14:textId="77777777" w:rsidR="00205F15" w:rsidRPr="00E066AC" w:rsidRDefault="00205F15" w:rsidP="00205F15">
      <w:pPr>
        <w:spacing w:after="0" w:line="240" w:lineRule="auto"/>
        <w:ind w:right="709"/>
        <w:contextualSpacing/>
        <w:jc w:val="both"/>
        <w:rPr>
          <w:rFonts w:ascii="Verdana" w:eastAsia="Times New Roman" w:hAnsi="Verdana" w:cs="Arial"/>
          <w:sz w:val="12"/>
          <w:szCs w:val="12"/>
          <w:lang w:val="es-MX" w:eastAsia="es-CO"/>
        </w:rPr>
      </w:pPr>
    </w:p>
    <w:p w14:paraId="047EEF6A" w14:textId="77777777" w:rsidR="00205F15" w:rsidRPr="00E066AC" w:rsidRDefault="00205F15" w:rsidP="00205F15">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La jurisprudencia de la Corte Constitucional</w:t>
      </w:r>
      <w:r w:rsidRPr="00E066AC">
        <w:rPr>
          <w:rFonts w:ascii="Verdana" w:eastAsia="Times New Roman" w:hAnsi="Verdana" w:cs="Arial"/>
          <w:sz w:val="20"/>
          <w:szCs w:val="20"/>
          <w:vertAlign w:val="superscript"/>
          <w:lang w:val="es-MX" w:eastAsia="es-CO"/>
        </w:rPr>
        <w:footnoteReference w:id="4"/>
      </w:r>
      <w:r w:rsidRPr="00E066AC">
        <w:rPr>
          <w:rFonts w:ascii="Verdana" w:eastAsia="Times New Roman" w:hAnsi="Verdana" w:cs="Arial"/>
          <w:sz w:val="20"/>
          <w:szCs w:val="20"/>
          <w:lang w:val="es-MX" w:eastAsia="es-CO"/>
        </w:rPr>
        <w:t> y del Consejo de Estado</w:t>
      </w:r>
      <w:r w:rsidRPr="00E066AC">
        <w:rPr>
          <w:rFonts w:ascii="Verdana" w:eastAsia="Times New Roman" w:hAnsi="Verdana" w:cs="Arial"/>
          <w:sz w:val="20"/>
          <w:szCs w:val="20"/>
          <w:vertAlign w:val="superscript"/>
          <w:lang w:val="es-MX" w:eastAsia="es-CO"/>
        </w:rPr>
        <w:footnoteReference w:id="5"/>
      </w:r>
      <w:r w:rsidRPr="00E066AC">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066AC">
        <w:rPr>
          <w:rFonts w:ascii="Verdana" w:eastAsia="Times New Roman" w:hAnsi="Verdana" w:cs="Arial"/>
          <w:sz w:val="20"/>
          <w:szCs w:val="20"/>
          <w:vertAlign w:val="superscript"/>
          <w:lang w:val="es-MX" w:eastAsia="es-CO"/>
        </w:rPr>
        <w:footnoteReference w:id="6"/>
      </w:r>
      <w:r w:rsidRPr="00E066AC">
        <w:rPr>
          <w:rFonts w:ascii="Verdana" w:eastAsia="Times New Roman" w:hAnsi="Verdana" w:cs="Arial"/>
          <w:sz w:val="20"/>
          <w:szCs w:val="20"/>
          <w:lang w:val="es-MX" w:eastAsia="es-CO"/>
        </w:rPr>
        <w:t>.</w:t>
      </w:r>
    </w:p>
    <w:p w14:paraId="14B36025" w14:textId="77777777" w:rsidR="00205F15" w:rsidRPr="009E105D" w:rsidRDefault="00205F15" w:rsidP="00205F15">
      <w:pPr>
        <w:spacing w:after="0" w:line="276" w:lineRule="auto"/>
        <w:ind w:right="709"/>
        <w:contextualSpacing/>
        <w:jc w:val="both"/>
        <w:rPr>
          <w:rFonts w:ascii="Verdana" w:eastAsia="Times New Roman" w:hAnsi="Verdana" w:cs="Arial"/>
          <w:sz w:val="21"/>
          <w:szCs w:val="21"/>
          <w:lang w:val="es-MX" w:eastAsia="es-CO"/>
        </w:rPr>
      </w:pPr>
    </w:p>
    <w:p w14:paraId="407C2C7B" w14:textId="77777777" w:rsidR="00205F15" w:rsidRPr="009E105D" w:rsidRDefault="00205F15" w:rsidP="00205F15">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lastRenderedPageBreak/>
        <w:tab/>
        <w:t>De</w:t>
      </w:r>
      <w:r w:rsidRPr="009E105D">
        <w:rPr>
          <w:rFonts w:ascii="Verdana" w:eastAsia="Arial" w:hAnsi="Verdana" w:cs="Arial"/>
          <w:lang w:val="es-ES" w:eastAsia="es-ES" w:bidi="es-ES"/>
        </w:rPr>
        <w:t xml:space="preserve"> conformidad con lo anterior, </w:t>
      </w:r>
      <w:bookmarkStart w:id="5" w:name="_Hlk77236098"/>
      <w:bookmarkStart w:id="6"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76C337A2" w14:textId="77777777" w:rsidR="00205F15" w:rsidRPr="009E105D" w:rsidRDefault="00205F15" w:rsidP="00205F15">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9E105D">
        <w:rPr>
          <w:rFonts w:ascii="Verdana" w:eastAsia="Calibri" w:hAnsi="Verdana" w:cs="Arial"/>
          <w:vertAlign w:val="superscript"/>
        </w:rPr>
        <w:footnoteReference w:id="7"/>
      </w:r>
      <w:r w:rsidRPr="009E105D">
        <w:rPr>
          <w:rFonts w:ascii="Verdana" w:eastAsia="Calibri" w:hAnsi="Verdana" w:cs="Arial"/>
        </w:rPr>
        <w:t>.</w:t>
      </w:r>
    </w:p>
    <w:p w14:paraId="3A3A3099" w14:textId="77777777" w:rsidR="00205F15" w:rsidRPr="009E105D" w:rsidRDefault="00205F15" w:rsidP="00205F15">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6"/>
      <w:r w:rsidRPr="009E105D">
        <w:rPr>
          <w:rFonts w:ascii="Verdana" w:eastAsia="Calibri" w:hAnsi="Verdana" w:cs="Arial"/>
          <w:sz w:val="19"/>
          <w:szCs w:val="19"/>
          <w:vertAlign w:val="superscript"/>
        </w:rPr>
        <w:footnoteReference w:id="8"/>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w:t>
      </w:r>
      <w:r w:rsidRPr="009E105D">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656722E4" w14:textId="77777777" w:rsidR="00205F15" w:rsidRPr="009E105D" w:rsidRDefault="00205F15" w:rsidP="00205F15">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40B25F57" w14:textId="77777777" w:rsidR="00205F15" w:rsidRPr="00E066AC" w:rsidRDefault="00205F15" w:rsidP="00205F15">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066AC">
        <w:rPr>
          <w:rFonts w:ascii="Verdana" w:eastAsia="Arial" w:hAnsi="Verdana" w:cs="Arial"/>
          <w:sz w:val="20"/>
          <w:szCs w:val="20"/>
          <w:lang w:val="es-ES" w:eastAsia="es-ES" w:bidi="es-ES"/>
        </w:rPr>
        <w:t>se integran parcialmente</w:t>
      </w:r>
      <w:bookmarkEnd w:id="9"/>
      <w:r w:rsidRPr="00E066AC">
        <w:rPr>
          <w:rFonts w:ascii="Verdana" w:eastAsia="Arial" w:hAnsi="Verdana" w:cs="Arial"/>
          <w:sz w:val="20"/>
          <w:szCs w:val="20"/>
          <w:lang w:val="es-ES"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066AC">
        <w:rPr>
          <w:rFonts w:ascii="Verdana" w:eastAsia="Arial" w:hAnsi="Verdana" w:cs="Arial"/>
          <w:sz w:val="20"/>
          <w:szCs w:val="20"/>
          <w:vertAlign w:val="superscript"/>
          <w:lang w:val="es-ES" w:eastAsia="es-ES" w:bidi="es-ES"/>
        </w:rPr>
        <w:footnoteReference w:id="9"/>
      </w:r>
      <w:r w:rsidRPr="00E066AC">
        <w:rPr>
          <w:rFonts w:ascii="Verdana" w:eastAsia="Arial" w:hAnsi="Verdana" w:cs="Arial"/>
          <w:sz w:val="20"/>
          <w:szCs w:val="20"/>
          <w:lang w:val="es-ES" w:eastAsia="es-ES" w:bidi="es-ES"/>
        </w:rPr>
        <w:t>.</w:t>
      </w:r>
    </w:p>
    <w:p w14:paraId="160076A2" w14:textId="77777777" w:rsidR="00205F15" w:rsidRPr="009E105D" w:rsidRDefault="00205F15" w:rsidP="00205F15">
      <w:pPr>
        <w:widowControl w:val="0"/>
        <w:autoSpaceDE w:val="0"/>
        <w:autoSpaceDN w:val="0"/>
        <w:spacing w:after="0" w:line="276" w:lineRule="auto"/>
        <w:contextualSpacing/>
        <w:rPr>
          <w:rFonts w:ascii="Verdana" w:eastAsia="Arial" w:hAnsi="Verdana" w:cs="Arial"/>
          <w:lang w:val="es-ES" w:eastAsia="es-ES" w:bidi="es-ES"/>
        </w:rPr>
      </w:pPr>
    </w:p>
    <w:p w14:paraId="2AD3D927" w14:textId="77777777" w:rsidR="00205F15" w:rsidRPr="009E105D" w:rsidRDefault="00205F15" w:rsidP="00205F15">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xml:space="preserve">, también se encuentra la prohibición del parágrafo del artículo 38, el cual debe aplicarse respecto de cualquier tipo de </w:t>
      </w:r>
      <w:r w:rsidRPr="009E105D">
        <w:rPr>
          <w:rFonts w:ascii="Verdana" w:eastAsia="Arial" w:hAnsi="Verdana" w:cs="Arial"/>
          <w:lang w:val="es-ES" w:eastAsia="es-ES" w:bidi="es-ES"/>
        </w:rPr>
        <w:lastRenderedPageBreak/>
        <w:t>contienda electoral, y que prohíbe la celebración de convenios interadministrativos que impliquen la ejecución de recursos públicos dentro de los cuatro (4) meses anteriores a la respectiva jornada de votaciones.</w:t>
      </w:r>
      <w:bookmarkEnd w:id="10"/>
    </w:p>
    <w:bookmarkEnd w:id="11"/>
    <w:p w14:paraId="1C3E7EC4" w14:textId="77777777" w:rsidR="00205F15" w:rsidRPr="009E105D" w:rsidRDefault="00205F15" w:rsidP="00205F15">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2491F7A0" w14:textId="77777777" w:rsidR="00205F15" w:rsidRDefault="00205F15" w:rsidP="00205F15">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0ED58779" w14:textId="77777777" w:rsidR="00205F15" w:rsidRDefault="00205F15" w:rsidP="00205F15">
      <w:pPr>
        <w:spacing w:after="0" w:line="276" w:lineRule="auto"/>
        <w:jc w:val="both"/>
        <w:rPr>
          <w:rFonts w:ascii="Verdana" w:eastAsia="Arial" w:hAnsi="Verdana" w:cs="Arial"/>
          <w:lang w:val="es-ES" w:eastAsia="es-ES" w:bidi="es-ES"/>
        </w:rPr>
      </w:pPr>
    </w:p>
    <w:p w14:paraId="30BAF856" w14:textId="77777777" w:rsidR="00205F15" w:rsidRPr="00F8199A" w:rsidRDefault="00205F15" w:rsidP="00205F15">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sidRPr="00F8199A">
        <w:rPr>
          <w:rFonts w:ascii="Verdana" w:hAnsi="Verdana" w:cs="Arial"/>
          <w:bCs/>
          <w:lang w:val="es-MX" w:eastAsia="x-none"/>
        </w:rPr>
        <w:t xml:space="preserve">. </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0FD5CABF" w14:textId="77777777" w:rsidR="00205F15" w:rsidRPr="00F8199A" w:rsidRDefault="00205F15" w:rsidP="00205F15">
      <w:pPr>
        <w:spacing w:after="0" w:line="276" w:lineRule="auto"/>
        <w:ind w:left="708" w:right="709"/>
        <w:jc w:val="both"/>
        <w:rPr>
          <w:rFonts w:ascii="Verdana" w:hAnsi="Verdana" w:cs="Arial"/>
          <w:lang w:val="es-MX"/>
        </w:rPr>
      </w:pPr>
    </w:p>
    <w:p w14:paraId="17CFAA27" w14:textId="77777777" w:rsidR="00205F15" w:rsidRPr="00F8199A" w:rsidRDefault="00205F15" w:rsidP="00205F15">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F8199A">
        <w:rPr>
          <w:rFonts w:ascii="Verdana" w:hAnsi="Verdana" w:cs="Arial"/>
          <w:sz w:val="20"/>
          <w:szCs w:val="20"/>
          <w:lang w:val="es-MX"/>
        </w:rPr>
        <w:lastRenderedPageBreak/>
        <w:t>2, ley 1150 de 2007), y cumpliendo siempre los principios que rigen la contratación pública</w:t>
      </w:r>
      <w:r w:rsidRPr="00F8199A">
        <w:rPr>
          <w:rFonts w:ascii="Verdana" w:hAnsi="Verdana" w:cs="Arial"/>
          <w:sz w:val="20"/>
          <w:szCs w:val="20"/>
          <w:vertAlign w:val="superscript"/>
          <w:lang w:eastAsia="es-CO"/>
        </w:rPr>
        <w:footnoteReference w:id="10"/>
      </w:r>
      <w:r w:rsidRPr="00F8199A">
        <w:rPr>
          <w:rFonts w:ascii="Verdana" w:hAnsi="Verdana" w:cs="Arial"/>
          <w:sz w:val="20"/>
          <w:szCs w:val="20"/>
          <w:lang w:val="es-MX"/>
        </w:rPr>
        <w:t>.</w:t>
      </w:r>
    </w:p>
    <w:p w14:paraId="14BF4674" w14:textId="77777777" w:rsidR="00205F15" w:rsidRPr="00F8199A" w:rsidRDefault="00205F15" w:rsidP="00205F15">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que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1"/>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2"/>
      </w:r>
      <w:r w:rsidRPr="00F8199A">
        <w:rPr>
          <w:rFonts w:ascii="Verdana" w:hAnsi="Verdana" w:cs="Arial"/>
          <w:sz w:val="20"/>
          <w:szCs w:val="20"/>
          <w:lang w:val="es-MX"/>
        </w:rPr>
        <w:t>.</w:t>
      </w:r>
    </w:p>
    <w:p w14:paraId="08FE9108" w14:textId="77777777" w:rsidR="00205F15" w:rsidRPr="00F8199A" w:rsidRDefault="00205F15" w:rsidP="00205F15">
      <w:pPr>
        <w:shd w:val="clear" w:color="auto" w:fill="FFFFFF"/>
        <w:spacing w:after="0" w:line="276" w:lineRule="auto"/>
        <w:ind w:firstLine="709"/>
        <w:jc w:val="both"/>
        <w:rPr>
          <w:rFonts w:ascii="Verdana" w:hAnsi="Verdana" w:cs="Arial"/>
          <w:lang w:eastAsia="x-none"/>
        </w:rPr>
      </w:pPr>
    </w:p>
    <w:p w14:paraId="290E9EEC" w14:textId="77777777" w:rsidR="00205F15" w:rsidRPr="00F8199A" w:rsidRDefault="00205F15" w:rsidP="00205F15">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3"/>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w:t>
      </w:r>
    </w:p>
    <w:p w14:paraId="30F3945C" w14:textId="77777777" w:rsidR="00205F15" w:rsidRPr="00F8199A" w:rsidRDefault="00205F15" w:rsidP="00205F15">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F8199A">
        <w:rPr>
          <w:rFonts w:ascii="Verdana" w:hAnsi="Verdana" w:cs="Arial"/>
          <w:lang w:eastAsia="x-none"/>
        </w:rPr>
        <w:lastRenderedPageBreak/>
        <w:t>especiales e, incluso, en el derecho privado</w:t>
      </w:r>
      <w:r w:rsidRPr="00F8199A">
        <w:rPr>
          <w:rFonts w:ascii="Verdana" w:hAnsi="Verdana" w:cs="Arial"/>
          <w:vertAlign w:val="superscript"/>
          <w:lang w:val="en-GB" w:eastAsia="x-none"/>
        </w:rPr>
        <w:footnoteReference w:id="15"/>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0B8F51FC" w14:textId="77777777" w:rsidR="00205F15" w:rsidRPr="00F8199A" w:rsidRDefault="00205F15" w:rsidP="00205F15">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6"/>
      </w:r>
      <w:r w:rsidRPr="00F8199A">
        <w:rPr>
          <w:rFonts w:ascii="Verdana" w:hAnsi="Verdana" w:cs="Arial"/>
          <w:lang w:eastAsia="x-none"/>
        </w:rPr>
        <w:t xml:space="preserve">. </w:t>
      </w:r>
    </w:p>
    <w:p w14:paraId="1448EBBE" w14:textId="77777777" w:rsidR="00205F15" w:rsidRPr="00F8199A" w:rsidRDefault="00205F15" w:rsidP="00205F15">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4C889E88" w14:textId="77777777" w:rsidR="00205F15" w:rsidRPr="00F8199A" w:rsidRDefault="00205F15" w:rsidP="00205F15">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30369E53" w14:textId="77777777" w:rsidR="00205F15" w:rsidRPr="00F8199A" w:rsidRDefault="00205F15" w:rsidP="00205F15">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w:t>
      </w:r>
      <w:r w:rsidRPr="00F8199A">
        <w:rPr>
          <w:rFonts w:ascii="Verdana" w:hAnsi="Verdana" w:cs="Arial"/>
          <w:lang w:eastAsia="x-none"/>
        </w:rPr>
        <w:lastRenderedPageBreak/>
        <w:t>en la Ley 1150 de 2007, es decir, la licitación pública, el concurso de méritos y la selección abreviada, razón por la cual en ese período preelectoral de que trata la disposición pueden las entidades públicas seguir contratando bajo estos sistemas.</w:t>
      </w:r>
    </w:p>
    <w:p w14:paraId="3A64A49A" w14:textId="77777777" w:rsidR="00205F15" w:rsidRPr="00F8199A" w:rsidRDefault="00205F15" w:rsidP="00205F15">
      <w:pPr>
        <w:spacing w:after="120" w:line="276" w:lineRule="auto"/>
        <w:ind w:firstLine="708"/>
        <w:jc w:val="both"/>
        <w:rPr>
          <w:rFonts w:ascii="Verdana" w:hAnsi="Verdana" w:cs="Arial"/>
          <w:bCs/>
          <w:lang w:val="es-MX" w:eastAsia="x-none"/>
        </w:rPr>
      </w:pPr>
      <w:bookmarkStart w:id="13" w:name="_Hlk77237094"/>
      <w:r w:rsidRPr="00F8199A">
        <w:rPr>
          <w:rFonts w:ascii="Verdana"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3"/>
    </w:p>
    <w:p w14:paraId="420B889A" w14:textId="77777777" w:rsidR="00205F15" w:rsidRPr="00F8199A" w:rsidRDefault="00205F15" w:rsidP="00205F15">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F8461EC" w14:textId="77777777" w:rsidR="00205F15" w:rsidRDefault="00205F15" w:rsidP="00205F15">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4" w:name="_Hlk74309042"/>
      <w:r w:rsidRPr="00F8199A">
        <w:rPr>
          <w:rFonts w:ascii="Verdana" w:hAnsi="Verdana" w:cs="Arial"/>
          <w:bCs/>
          <w:lang w:val="es-MX" w:eastAsia="x-none"/>
        </w:rPr>
        <w:t xml:space="preserve">que </w:t>
      </w:r>
      <w:r>
        <w:rPr>
          <w:rFonts w:ascii="Verdana" w:hAnsi="Verdana" w:cs="Arial"/>
          <w:bCs/>
          <w:lang w:val="es-MX" w:eastAsia="x-none"/>
        </w:rPr>
        <w:t>“</w:t>
      </w:r>
      <w:bookmarkEnd w:id="14"/>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5"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8"/>
      </w:r>
      <w:r w:rsidRPr="00F8199A">
        <w:rPr>
          <w:rFonts w:ascii="Verdana" w:hAnsi="Verdana" w:cs="Arial"/>
          <w:bCs/>
          <w:lang w:val="es-MX" w:eastAsia="x-none"/>
        </w:rPr>
        <w:t xml:space="preserve">. De ahí que la Corte haya señalado que las excepciones a la restricción protegen diversos tipos de </w:t>
      </w:r>
      <w:r w:rsidRPr="00F8199A">
        <w:rPr>
          <w:rFonts w:ascii="Verdana" w:hAnsi="Verdana" w:cs="Arial"/>
          <w:bCs/>
          <w:lang w:val="es-MX"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5"/>
    </w:p>
    <w:p w14:paraId="24AD7CBE" w14:textId="77777777" w:rsidR="00205F15" w:rsidRPr="00F8199A" w:rsidRDefault="00205F15" w:rsidP="00205F15">
      <w:pPr>
        <w:spacing w:after="0" w:line="276" w:lineRule="auto"/>
        <w:ind w:firstLine="708"/>
        <w:jc w:val="both"/>
        <w:rPr>
          <w:rFonts w:ascii="Verdana" w:hAnsi="Verdana" w:cs="Arial"/>
          <w:bCs/>
          <w:lang w:val="es-MX" w:eastAsia="x-none"/>
        </w:rPr>
      </w:pPr>
    </w:p>
    <w:p w14:paraId="2E974EFB" w14:textId="77777777" w:rsidR="00205F15" w:rsidRPr="00A45D99" w:rsidRDefault="00205F15" w:rsidP="00205F15">
      <w:pPr>
        <w:spacing w:after="0" w:line="276" w:lineRule="auto"/>
        <w:jc w:val="both"/>
        <w:rPr>
          <w:rFonts w:ascii="Verdana" w:hAnsi="Verdana" w:cs="Arial"/>
          <w:bCs/>
          <w:lang w:val="es-MX" w:eastAsia="x-none"/>
        </w:rPr>
      </w:pPr>
      <w:r w:rsidRPr="00A45D99">
        <w:rPr>
          <w:rFonts w:ascii="Verdana" w:eastAsia="Arial" w:hAnsi="Verdana" w:cs="Arial"/>
          <w:lang w:val="es-MX" w:eastAsia="es-ES" w:bidi="es-ES"/>
        </w:rPr>
        <w:t xml:space="preserve">iii.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7DBDB15F" w14:textId="77777777" w:rsidR="00205F15" w:rsidRPr="00A45D99" w:rsidRDefault="00205F15" w:rsidP="00205F15">
      <w:pPr>
        <w:spacing w:after="0" w:line="276" w:lineRule="auto"/>
        <w:ind w:firstLine="708"/>
        <w:jc w:val="both"/>
        <w:rPr>
          <w:rFonts w:ascii="Verdana" w:hAnsi="Verdana" w:cs="Arial"/>
          <w:bCs/>
          <w:lang w:val="es-MX" w:eastAsia="x-none"/>
        </w:rPr>
      </w:pPr>
    </w:p>
    <w:p w14:paraId="714A8092" w14:textId="77777777" w:rsidR="00205F15" w:rsidRPr="00A45D99" w:rsidRDefault="00205F15" w:rsidP="00205F15">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6" w:name="_Hlk75787147"/>
      <w:r w:rsidRPr="00A45D99">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19"/>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52335301" w14:textId="77777777" w:rsidR="00205F15" w:rsidRPr="00A45D99" w:rsidRDefault="00205F15" w:rsidP="00205F15">
      <w:pPr>
        <w:spacing w:after="0" w:line="276" w:lineRule="auto"/>
        <w:ind w:firstLine="708"/>
        <w:jc w:val="both"/>
        <w:rPr>
          <w:rFonts w:ascii="Verdana" w:hAnsi="Verdana" w:cs="Arial"/>
          <w:bCs/>
          <w:lang w:val="es-MX" w:eastAsia="es-CO"/>
        </w:rPr>
      </w:pPr>
    </w:p>
    <w:p w14:paraId="160431D8" w14:textId="77777777" w:rsidR="00205F15" w:rsidRPr="00A45D99" w:rsidRDefault="00205F15" w:rsidP="00205F15">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w:t>
      </w:r>
      <w:r w:rsidRPr="00A45D99">
        <w:rPr>
          <w:rFonts w:ascii="Verdana" w:hAnsi="Verdana" w:cs="Arial"/>
          <w:bCs/>
          <w:lang w:val="es-MX" w:eastAsia="x-none"/>
        </w:rPr>
        <w:lastRenderedPageBreak/>
        <w:t>interadministrativo sea ordenada, para ambas partes, por el Legislador</w:t>
      </w:r>
      <w:r>
        <w:rPr>
          <w:rFonts w:ascii="Verdana" w:hAnsi="Verdana" w:cs="Arial"/>
          <w:bCs/>
          <w:lang w:val="es-MX" w:eastAsia="x-none"/>
        </w:rPr>
        <w:t>”</w:t>
      </w:r>
      <w:bookmarkStart w:id="17" w:name="_Hlk75758868"/>
      <w:bookmarkStart w:id="18" w:name="_Hlk75741220"/>
      <w:r w:rsidRPr="00A45D99">
        <w:rPr>
          <w:rFonts w:ascii="Verdana" w:hAnsi="Verdana" w:cs="Arial"/>
          <w:vertAlign w:val="superscript"/>
          <w:lang w:val="es-MX"/>
        </w:rPr>
        <w:footnoteReference w:id="20"/>
      </w:r>
      <w:bookmarkEnd w:id="17"/>
      <w:bookmarkEnd w:id="18"/>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39F8F533" w14:textId="77777777" w:rsidR="00205F15" w:rsidRPr="00A45D99" w:rsidRDefault="00205F15" w:rsidP="00205F15">
      <w:pPr>
        <w:spacing w:after="0" w:line="276" w:lineRule="auto"/>
        <w:jc w:val="both"/>
        <w:rPr>
          <w:rFonts w:ascii="Verdana" w:hAnsi="Verdana" w:cs="Arial"/>
          <w:lang w:val="es-MX"/>
        </w:rPr>
      </w:pPr>
    </w:p>
    <w:p w14:paraId="1EE3752E" w14:textId="77777777" w:rsidR="00205F15" w:rsidRPr="00A45D99" w:rsidRDefault="00205F15" w:rsidP="00205F15">
      <w:pPr>
        <w:spacing w:after="0" w:line="240" w:lineRule="auto"/>
        <w:ind w:left="708" w:right="709"/>
        <w:jc w:val="both"/>
        <w:rPr>
          <w:rFonts w:ascii="Verdana" w:hAnsi="Verdana" w:cs="Arial"/>
          <w:sz w:val="20"/>
          <w:szCs w:val="20"/>
          <w:lang w:val="es-MX"/>
        </w:rPr>
      </w:pPr>
      <w:bookmarkStart w:id="20" w:name="_Hlk75811446"/>
      <w:r w:rsidRPr="00A45D9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20"/>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1"/>
      </w:r>
      <w:r w:rsidRPr="00A45D99">
        <w:rPr>
          <w:rFonts w:ascii="Verdana" w:hAnsi="Verdana" w:cs="Arial"/>
          <w:bCs/>
          <w:sz w:val="20"/>
          <w:szCs w:val="20"/>
          <w:lang w:val="es-MX" w:eastAsia="x-none"/>
        </w:rPr>
        <w:t>.</w:t>
      </w:r>
    </w:p>
    <w:p w14:paraId="17131C69" w14:textId="77777777" w:rsidR="00205F15" w:rsidRPr="00A45D99" w:rsidRDefault="00205F15" w:rsidP="00205F15">
      <w:pPr>
        <w:spacing w:after="0" w:line="276" w:lineRule="auto"/>
        <w:jc w:val="both"/>
        <w:rPr>
          <w:rFonts w:ascii="Verdana" w:hAnsi="Verdana" w:cs="Arial"/>
          <w:lang w:val="es-MX"/>
        </w:rPr>
      </w:pPr>
    </w:p>
    <w:p w14:paraId="5335B28C" w14:textId="77777777" w:rsidR="00205F15" w:rsidRPr="00A45D99" w:rsidRDefault="00205F15" w:rsidP="00205F15">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21" w:name="_Hlk75811096"/>
      <w:r w:rsidRPr="00A45D99">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lang w:val="es-MX"/>
        </w:rPr>
        <w:t>“</w:t>
      </w:r>
      <w:r w:rsidRPr="00A45D99">
        <w:rPr>
          <w:rFonts w:ascii="Verdana" w:hAnsi="Verdana" w:cs="Arial"/>
          <w:lang w:val="es-MX"/>
        </w:rPr>
        <w:t>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1"/>
      <w:r>
        <w:rPr>
          <w:rFonts w:ascii="Verdana" w:hAnsi="Verdana" w:cs="Arial"/>
          <w:lang w:val="es-MX"/>
        </w:rPr>
        <w:t>”</w:t>
      </w:r>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2"/>
      </w:r>
      <w:r w:rsidRPr="00A45D99">
        <w:rPr>
          <w:rFonts w:ascii="Verdana" w:hAnsi="Verdana" w:cs="Arial"/>
          <w:lang w:val="es-MX"/>
        </w:rPr>
        <w:t>.</w:t>
      </w:r>
    </w:p>
    <w:p w14:paraId="4E0F8CDC" w14:textId="77777777" w:rsidR="00205F15" w:rsidRDefault="00205F15" w:rsidP="00205F15">
      <w:pPr>
        <w:spacing w:after="0" w:line="276" w:lineRule="auto"/>
        <w:ind w:firstLine="708"/>
        <w:jc w:val="both"/>
        <w:rPr>
          <w:rFonts w:ascii="Verdana" w:hAnsi="Verdana" w:cs="Arial"/>
          <w:bCs/>
          <w:lang w:val="es-MX" w:eastAsia="x-none"/>
        </w:rPr>
      </w:pPr>
      <w:bookmarkStart w:id="22" w:name="_Hlk77237229"/>
      <w:bookmarkEnd w:id="16"/>
      <w:r w:rsidRPr="00A45D99">
        <w:rPr>
          <w:rFonts w:ascii="Verdana" w:hAnsi="Verdana" w:cs="Arial"/>
          <w:lang w:val="es-MX"/>
        </w:rPr>
        <w:t>Por lo tanto, la restricción prevista en la Ley 996 de 200</w:t>
      </w:r>
      <w:bookmarkStart w:id="23" w:name="_Hlk75741539"/>
      <w:r w:rsidRPr="00A45D99">
        <w:rPr>
          <w:rFonts w:ascii="Verdana" w:hAnsi="Verdana" w:cs="Arial"/>
          <w:lang w:val="es-MX"/>
        </w:rPr>
        <w:t xml:space="preserve">5, </w:t>
      </w:r>
      <w:r w:rsidRPr="00A45D99">
        <w:rPr>
          <w:rFonts w:ascii="Verdana" w:hAnsi="Verdana" w:cs="Arial"/>
          <w:bCs/>
          <w:lang w:val="es-MX" w:eastAsia="x-none"/>
        </w:rPr>
        <w:t xml:space="preserve">teniendo en cuenta la finalidad de la ley de garantías electorales, cobija a cualquier ente </w:t>
      </w:r>
      <w:r w:rsidRPr="00A45D99">
        <w:rPr>
          <w:rFonts w:ascii="Verdana" w:hAnsi="Verdana" w:cs="Arial"/>
          <w:bCs/>
          <w:lang w:val="es-MX" w:eastAsia="x-none"/>
        </w:rPr>
        <w:lastRenderedPageBreak/>
        <w:t>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459BB242" w14:textId="77777777" w:rsidR="00205F15" w:rsidRDefault="00205F15" w:rsidP="00205F15">
      <w:pPr>
        <w:spacing w:after="0" w:line="276" w:lineRule="auto"/>
        <w:ind w:firstLine="708"/>
        <w:jc w:val="both"/>
        <w:rPr>
          <w:rFonts w:ascii="Verdana" w:hAnsi="Verdana" w:cs="Arial"/>
          <w:bCs/>
          <w:lang w:val="es-MX" w:eastAsia="x-none"/>
        </w:rPr>
      </w:pPr>
    </w:p>
    <w:p w14:paraId="01125BC2" w14:textId="77777777" w:rsidR="00205F15" w:rsidRPr="0004207F" w:rsidRDefault="00205F15" w:rsidP="00205F15">
      <w:pPr>
        <w:spacing w:line="276" w:lineRule="auto"/>
        <w:jc w:val="both"/>
        <w:rPr>
          <w:rFonts w:ascii="Verdana" w:hAnsi="Verdana" w:cs="Arial"/>
          <w:bCs/>
          <w:lang w:val="es-MX" w:eastAsia="x-none"/>
        </w:rPr>
      </w:pPr>
      <w:r w:rsidRPr="0004207F">
        <w:rPr>
          <w:rFonts w:ascii="Verdana" w:hAnsi="Verdana" w:cs="Arial"/>
          <w:bCs/>
          <w:lang w:val="es-MX" w:eastAsia="x-none"/>
        </w:rPr>
        <w:t>iv.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04207F">
        <w:rPr>
          <w:rStyle w:val="Refdenotaalpie"/>
          <w:rFonts w:ascii="Verdana" w:hAnsi="Verdana" w:cs="Arial"/>
          <w:lang w:val="es-ES_tradnl" w:eastAsia="es-CO"/>
        </w:rPr>
        <w:footnoteReference w:id="23"/>
      </w:r>
      <w:r w:rsidRPr="0004207F">
        <w:rPr>
          <w:rFonts w:ascii="Verdana" w:hAnsi="Verdana" w:cs="Arial"/>
          <w:bCs/>
          <w:lang w:val="es-MX" w:eastAsia="x-none"/>
        </w:rPr>
        <w:t>.</w:t>
      </w:r>
    </w:p>
    <w:p w14:paraId="3856C36B" w14:textId="77777777" w:rsidR="00205F15" w:rsidRPr="0004207F" w:rsidRDefault="00205F15" w:rsidP="2E79A5E2">
      <w:pPr>
        <w:shd w:val="clear" w:color="auto" w:fill="FFFFFF" w:themeFill="background1"/>
        <w:spacing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4"/>
      </w:r>
      <w:r w:rsidRPr="2E79A5E2">
        <w:rPr>
          <w:rFonts w:ascii="Verdana" w:hAnsi="Verdana" w:cs="Arial"/>
          <w:lang w:val="es-ES" w:eastAsia="es-CO"/>
        </w:rPr>
        <w:t xml:space="preserve">. </w:t>
      </w:r>
    </w:p>
    <w:p w14:paraId="7393C493" w14:textId="77777777" w:rsidR="00205F15" w:rsidRPr="0004207F" w:rsidRDefault="00205F15" w:rsidP="00205F15">
      <w:pPr>
        <w:shd w:val="clear" w:color="auto" w:fill="FFFFFF"/>
        <w:spacing w:line="276" w:lineRule="auto"/>
        <w:ind w:firstLine="709"/>
        <w:jc w:val="both"/>
        <w:rPr>
          <w:rFonts w:ascii="Verdana" w:hAnsi="Verdana" w:cs="Arial"/>
          <w:lang w:val="es-ES_tradnl" w:eastAsia="es-CO"/>
        </w:rPr>
      </w:pPr>
      <w:r w:rsidRPr="0004207F">
        <w:rPr>
          <w:rFonts w:ascii="Verdana" w:hAnsi="Verdana" w:cs="Arial"/>
          <w:bCs/>
          <w:lang w:val="es-ES_tradnl"/>
        </w:rPr>
        <w:t xml:space="preserve">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w:t>
      </w:r>
      <w:r w:rsidRPr="0004207F">
        <w:rPr>
          <w:rFonts w:ascii="Verdana" w:hAnsi="Verdana" w:cs="Arial"/>
          <w:bCs/>
          <w:lang w:val="es-ES_tradnl"/>
        </w:rPr>
        <w:lastRenderedPageBreak/>
        <w:t>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06E92581" w14:textId="77777777" w:rsidR="00205F15" w:rsidRPr="0004207F" w:rsidRDefault="00205F15" w:rsidP="00205F15">
      <w:pPr>
        <w:spacing w:line="276" w:lineRule="auto"/>
        <w:ind w:firstLine="708"/>
        <w:jc w:val="both"/>
        <w:rPr>
          <w:rFonts w:ascii="Verdana" w:eastAsia="Calibri" w:hAnsi="Verdana" w:cs="Arial"/>
        </w:rPr>
      </w:pPr>
      <w:r w:rsidRPr="0004207F">
        <w:rPr>
          <w:rFonts w:ascii="Verdana" w:hAnsi="Verdana" w:cs="Arial"/>
          <w:bCs/>
          <w:lang w:val="es-MX" w:eastAsia="x-none"/>
        </w:rPr>
        <w:t>Entre las excepciones del artículo en comento se encuentran “[…] l</w:t>
      </w:r>
      <w:r w:rsidRPr="0004207F">
        <w:rPr>
          <w:rFonts w:ascii="Verdana" w:hAnsi="Verdana" w:cs="Arial"/>
          <w:bCs/>
          <w:lang w:eastAsia="x-none"/>
        </w:rPr>
        <w:t>os requeridos para cubrir las emergencias educativas, sanitarias y desastres […]</w:t>
      </w:r>
      <w:r w:rsidRPr="0004207F">
        <w:rPr>
          <w:rFonts w:ascii="Verdana" w:hAnsi="Verdana" w:cs="Arial"/>
          <w:bCs/>
          <w:lang w:val="es-MX" w:eastAsia="x-none"/>
        </w:rPr>
        <w:t>”</w:t>
      </w:r>
      <w:r w:rsidRPr="0004207F">
        <w:rPr>
          <w:rFonts w:ascii="Verdana" w:eastAsia="Calibri" w:hAnsi="Verdana" w:cs="Arial"/>
        </w:rPr>
        <w:t xml:space="preserve">. Sobre el alcance de estas excepciones, es necesario tener en cuenta que el </w:t>
      </w:r>
      <w:r w:rsidRPr="0004207F">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04207F">
        <w:rPr>
          <w:rFonts w:ascii="Verdana" w:eastAsia="Calibri" w:hAnsi="Verdana" w:cs="Arial"/>
          <w:bCs/>
          <w:i/>
          <w:iCs/>
          <w:color w:val="000000" w:themeColor="text1"/>
        </w:rPr>
        <w:t>ibidem</w:t>
      </w:r>
      <w:r w:rsidRPr="0004207F">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04207F">
        <w:rPr>
          <w:rStyle w:val="Refdenotaalpie"/>
          <w:rFonts w:ascii="Verdana" w:eastAsia="Calibri" w:hAnsi="Verdana" w:cs="Arial"/>
          <w:bCs/>
          <w:color w:val="000000" w:themeColor="text1"/>
        </w:rPr>
        <w:footnoteReference w:id="25"/>
      </w:r>
      <w:r w:rsidRPr="0004207F">
        <w:rPr>
          <w:rFonts w:ascii="Verdana" w:eastAsia="Calibri" w:hAnsi="Verdana" w:cs="Arial"/>
          <w:bCs/>
          <w:color w:val="000000" w:themeColor="text1"/>
        </w:rPr>
        <w:t>.</w:t>
      </w:r>
    </w:p>
    <w:p w14:paraId="39508122" w14:textId="77777777" w:rsidR="00205F15" w:rsidRPr="00AB6523" w:rsidRDefault="00205F15" w:rsidP="00205F15">
      <w:pPr>
        <w:spacing w:line="276" w:lineRule="auto"/>
        <w:jc w:val="both"/>
        <w:rPr>
          <w:rFonts w:ascii="Verdana" w:eastAsia="Calibri" w:hAnsi="Verdana" w:cs="Arial"/>
          <w:bCs/>
          <w:color w:val="000000" w:themeColor="text1"/>
        </w:rPr>
      </w:pPr>
      <w:r w:rsidRPr="0004207F">
        <w:rPr>
          <w:rFonts w:ascii="Verdana" w:eastAsia="Calibri" w:hAnsi="Verdana" w:cs="Arial"/>
          <w:bCs/>
          <w:color w:val="000000" w:themeColor="text1"/>
        </w:rPr>
        <w:tab/>
        <w:t>Dentro de este marco</w:t>
      </w:r>
      <w:r>
        <w:rPr>
          <w:rFonts w:ascii="Verdana" w:eastAsia="Calibri" w:hAnsi="Verdana" w:cs="Arial"/>
          <w:bCs/>
          <w:color w:val="000000" w:themeColor="text1"/>
        </w:rPr>
        <w:t xml:space="preserve">, </w:t>
      </w:r>
      <w:r>
        <w:rPr>
          <w:rFonts w:ascii="Verdana" w:eastAsia="Calibri" w:hAnsi="Verdana" w:cs="Arial"/>
          <w:lang w:val="es-ES"/>
        </w:rPr>
        <w:t>e</w:t>
      </w:r>
      <w:r w:rsidRPr="3683B926">
        <w:rPr>
          <w:rFonts w:ascii="Verdana" w:eastAsia="Calibri" w:hAnsi="Verdana" w:cs="Arial"/>
          <w:lang w:val="es-ES"/>
        </w:rPr>
        <w:t>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E</w:t>
      </w:r>
      <w:r w:rsidRPr="3683B926">
        <w:rPr>
          <w:rFonts w:ascii="Verdana" w:eastAsia="Calibri" w:hAnsi="Verdana" w:cs="Arial"/>
          <w:lang w:val="es-ES"/>
        </w:rPr>
        <w:t xml:space="preserv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6076C2D3" w14:textId="77777777" w:rsidR="00205F15" w:rsidRPr="00D93A6C" w:rsidRDefault="00205F15" w:rsidP="00205F15">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24" w:name="_Hlk35871146"/>
      <w:r w:rsidRPr="00D93A6C">
        <w:rPr>
          <w:rFonts w:ascii="Verdana" w:eastAsia="Calibri" w:hAnsi="Verdana" w:cs="Arial"/>
          <w:lang w:val="es-ES_tradnl"/>
        </w:rPr>
        <w:t xml:space="preserve">el apresamiento de enemigos, los actos de autoridad ejercidos por un funcionario </w:t>
      </w:r>
      <w:r w:rsidRPr="00D93A6C">
        <w:rPr>
          <w:rFonts w:ascii="Verdana" w:eastAsia="Calibri" w:hAnsi="Verdana" w:cs="Arial"/>
          <w:lang w:val="es-ES_tradnl"/>
        </w:rPr>
        <w:lastRenderedPageBreak/>
        <w:t>público</w:t>
      </w:r>
      <w:bookmarkEnd w:id="24"/>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26"/>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25" w:name="_Hlk35879271"/>
      <w:r w:rsidRPr="00D93A6C">
        <w:rPr>
          <w:rFonts w:ascii="Verdana" w:eastAsia="Calibri" w:hAnsi="Verdana" w:cs="Arial"/>
          <w:lang w:val="es-ES_tradnl"/>
        </w:rPr>
        <w:t>el artículo 4, numerales 5 y 8, de la Ley 1523 de 2012</w:t>
      </w:r>
      <w:bookmarkEnd w:id="25"/>
      <w:r w:rsidRPr="00D93A6C">
        <w:rPr>
          <w:rFonts w:ascii="Verdana" w:eastAsia="Calibri" w:hAnsi="Verdana" w:cs="Arial"/>
          <w:lang w:val="es-ES_tradnl"/>
        </w:rPr>
        <w:t>:</w:t>
      </w:r>
    </w:p>
    <w:p w14:paraId="471D11D0" w14:textId="77777777" w:rsidR="00205F15" w:rsidRPr="00D93A6C" w:rsidRDefault="00205F15" w:rsidP="00205F15">
      <w:pPr>
        <w:spacing w:after="0" w:line="276" w:lineRule="auto"/>
        <w:ind w:firstLine="708"/>
        <w:jc w:val="both"/>
        <w:rPr>
          <w:rFonts w:ascii="Verdana" w:eastAsia="Calibri" w:hAnsi="Verdana" w:cs="Arial"/>
          <w:lang w:val="es-ES_tradnl"/>
        </w:rPr>
      </w:pPr>
    </w:p>
    <w:p w14:paraId="41412763" w14:textId="77777777" w:rsidR="00205F15" w:rsidRPr="00DB5641" w:rsidRDefault="00205F15" w:rsidP="00205F15">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7B90DE19" w14:textId="77777777" w:rsidR="00205F15" w:rsidRPr="00DB5641" w:rsidRDefault="00205F15" w:rsidP="00205F15">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7FA55CD0" w14:textId="77777777" w:rsidR="00205F15" w:rsidRPr="00DB5641" w:rsidRDefault="00205F15" w:rsidP="00205F15">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26"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27" w:name="_Hlk35870820"/>
      <w:r w:rsidRPr="00DB5641">
        <w:rPr>
          <w:rFonts w:ascii="Verdana" w:eastAsia="Calibri" w:hAnsi="Verdana" w:cs="Arial"/>
          <w:sz w:val="20"/>
          <w:szCs w:val="20"/>
          <w:lang w:val="es-ES_tradnl"/>
        </w:rPr>
        <w:t xml:space="preserve">o antropogénicos no intencionales </w:t>
      </w:r>
      <w:bookmarkEnd w:id="27"/>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w:t>
      </w:r>
      <w:r w:rsidRPr="00DB5641">
        <w:rPr>
          <w:rFonts w:ascii="Verdana" w:eastAsia="Calibri" w:hAnsi="Verdana" w:cs="Arial"/>
          <w:sz w:val="20"/>
          <w:szCs w:val="20"/>
          <w:lang w:val="es-ES_tradnl"/>
        </w:rPr>
        <w:lastRenderedPageBreak/>
        <w:t xml:space="preserve">funcionamiento </w:t>
      </w:r>
      <w:bookmarkEnd w:id="26"/>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05E6A1CF" w14:textId="77777777" w:rsidR="00205F15" w:rsidRPr="00DB5641" w:rsidRDefault="00205F15" w:rsidP="00205F15">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7BDA3A9E" w14:textId="77777777" w:rsidR="00205F15" w:rsidRPr="00D93A6C" w:rsidRDefault="00205F15" w:rsidP="00205F15">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7E07B6FB" w14:textId="77777777" w:rsidR="00205F15" w:rsidRPr="00D93A6C" w:rsidRDefault="00205F15" w:rsidP="00205F15">
      <w:pPr>
        <w:spacing w:after="0" w:line="276" w:lineRule="auto"/>
        <w:ind w:left="709" w:right="709"/>
        <w:jc w:val="both"/>
        <w:rPr>
          <w:rFonts w:ascii="Verdana" w:eastAsia="Calibri" w:hAnsi="Verdana" w:cs="Arial"/>
          <w:lang w:val="es-ES_tradnl"/>
        </w:rPr>
      </w:pPr>
    </w:p>
    <w:p w14:paraId="0903B77E" w14:textId="77777777" w:rsidR="00205F15" w:rsidRDefault="00205F15" w:rsidP="00205F15">
      <w:pPr>
        <w:spacing w:after="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7"/>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xml:space="preserve">, en los respectivos </w:t>
      </w:r>
      <w:r w:rsidRPr="3683B926">
        <w:rPr>
          <w:rFonts w:ascii="Verdana" w:eastAsia="Calibri" w:hAnsi="Verdana" w:cs="Arial"/>
          <w:lang w:val="es-ES"/>
        </w:rPr>
        <w:lastRenderedPageBreak/>
        <w:t>ámbitos, facultad que, en cambio, no puede ejercer el presidente de la república</w:t>
      </w:r>
      <w:r w:rsidRPr="3683B926">
        <w:rPr>
          <w:rStyle w:val="Refdenotaalpie"/>
          <w:rFonts w:ascii="Verdana" w:eastAsia="Calibri" w:hAnsi="Verdana" w:cs="Arial"/>
          <w:lang w:val="es-ES"/>
        </w:rPr>
        <w:footnoteReference w:id="28"/>
      </w:r>
      <w:r w:rsidRPr="3683B926">
        <w:rPr>
          <w:rFonts w:ascii="Verdana" w:eastAsia="Calibri" w:hAnsi="Verdana" w:cs="Arial"/>
          <w:lang w:val="es-ES"/>
        </w:rPr>
        <w:t xml:space="preserve">. </w:t>
      </w:r>
    </w:p>
    <w:p w14:paraId="6EA31D6F" w14:textId="77777777" w:rsidR="00205F15" w:rsidRDefault="00205F15" w:rsidP="00205F15">
      <w:pPr>
        <w:spacing w:after="0" w:line="276" w:lineRule="auto"/>
        <w:ind w:firstLine="709"/>
        <w:jc w:val="both"/>
        <w:rPr>
          <w:rFonts w:ascii="Verdana" w:eastAsia="Calibri" w:hAnsi="Verdana" w:cs="Arial"/>
          <w:lang w:val="es-ES"/>
        </w:rPr>
      </w:pPr>
    </w:p>
    <w:p w14:paraId="02AD222A" w14:textId="77777777" w:rsidR="00205F15" w:rsidRDefault="00205F15" w:rsidP="00205F15">
      <w:pPr>
        <w:spacing w:after="0" w:line="276" w:lineRule="auto"/>
        <w:jc w:val="both"/>
        <w:rPr>
          <w:rFonts w:ascii="Verdana" w:hAnsi="Verdana" w:cs="Arial"/>
          <w:bCs/>
          <w:lang w:val="es-MX" w:eastAsia="x-none"/>
        </w:rPr>
      </w:pPr>
      <w:r>
        <w:rPr>
          <w:rFonts w:ascii="Verdana" w:eastAsia="Calibri" w:hAnsi="Verdana" w:cs="Arial"/>
          <w:lang w:val="es-ES"/>
        </w:rPr>
        <w:t xml:space="preserve">v. Si bien las normas citadas </w:t>
      </w:r>
      <w:r w:rsidRPr="00CA1643">
        <w:rPr>
          <w:rFonts w:ascii="Verdana" w:eastAsia="Calibri" w:hAnsi="Verdana" w:cs="Arial"/>
          <w:i/>
          <w:iCs/>
          <w:lang w:val="es-ES"/>
        </w:rPr>
        <w:t>ut supra</w:t>
      </w:r>
      <w:r>
        <w:rPr>
          <w:rFonts w:ascii="Verdana" w:eastAsia="Calibri" w:hAnsi="Verdana" w:cs="Arial"/>
          <w:lang w:val="es-ES"/>
        </w:rPr>
        <w:t xml:space="preserve"> constituyen regla general para entender el alcance de la excepción prevista en </w:t>
      </w:r>
      <w:r w:rsidRPr="0004207F">
        <w:rPr>
          <w:rFonts w:ascii="Verdana" w:hAnsi="Verdana" w:cs="Arial"/>
          <w:bCs/>
          <w:lang w:val="es-MX" w:eastAsia="x-none"/>
        </w:rPr>
        <w:t>el segundo inciso del artículo 33 de la Ley de Garantías Electorales</w:t>
      </w:r>
      <w:r>
        <w:rPr>
          <w:rFonts w:ascii="Verdana" w:hAnsi="Verdana" w:cs="Arial"/>
          <w:bCs/>
          <w:lang w:val="es-MX" w:eastAsia="x-none"/>
        </w:rPr>
        <w:t>, nada obsta para constatar la existencia de normas especiales anteriores a la expedición de la Ley 1523 de 2012. De acuerdo con la competencia prevista en el artículo 215 superior, este es el caso del Decreto Legislativo 1178 de 1994, “P</w:t>
      </w:r>
      <w:r w:rsidRPr="00CA1643">
        <w:rPr>
          <w:rFonts w:ascii="Verdana" w:hAnsi="Verdana" w:cs="Arial"/>
          <w:bCs/>
          <w:lang w:val="es-MX" w:eastAsia="x-none"/>
        </w:rPr>
        <w:t>or el cual se decreta el Estado de Emergencia por razón de grave calamidad pública</w:t>
      </w:r>
      <w:r>
        <w:rPr>
          <w:rFonts w:ascii="Verdana" w:hAnsi="Verdana" w:cs="Arial"/>
          <w:bCs/>
          <w:lang w:val="es-MX" w:eastAsia="x-none"/>
        </w:rPr>
        <w:t>”</w:t>
      </w:r>
      <w:r>
        <w:rPr>
          <w:rStyle w:val="Refdenotaalpie"/>
          <w:rFonts w:ascii="Verdana" w:hAnsi="Verdana" w:cs="Arial"/>
          <w:bCs/>
          <w:lang w:val="es-MX" w:eastAsia="x-none"/>
        </w:rPr>
        <w:footnoteReference w:id="29"/>
      </w:r>
      <w:r>
        <w:rPr>
          <w:rFonts w:ascii="Verdana" w:hAnsi="Verdana" w:cs="Arial"/>
          <w:bCs/>
          <w:lang w:val="es-MX" w:eastAsia="x-none"/>
        </w:rPr>
        <w:t xml:space="preserve">. Dicha norma fue declarada exequible por la Corte Constitucional en la Sentencia C-366 de 1994, con ponencia del Margistrado </w:t>
      </w:r>
      <w:r w:rsidRPr="00287395">
        <w:rPr>
          <w:rFonts w:ascii="Verdana" w:hAnsi="Verdana" w:cs="Arial"/>
          <w:bCs/>
          <w:lang w:val="es-MX" w:eastAsia="x-none"/>
        </w:rPr>
        <w:t>Alejandro Martinez Caballero</w:t>
      </w:r>
      <w:r>
        <w:rPr>
          <w:rFonts w:ascii="Verdana" w:hAnsi="Verdana" w:cs="Arial"/>
          <w:bCs/>
          <w:lang w:val="es-MX" w:eastAsia="x-none"/>
        </w:rPr>
        <w:t xml:space="preserve">, sobre la base de que en </w:t>
      </w:r>
      <w:r w:rsidRPr="009657F9">
        <w:rPr>
          <w:rFonts w:ascii="Verdana" w:hAnsi="Verdana" w:cs="Arial"/>
          <w:bCs/>
          <w:lang w:val="es-MX" w:eastAsia="x-none"/>
        </w:rPr>
        <w:t>en varios municipios de los Departamentos del Cauca y del Huila</w:t>
      </w:r>
      <w:r>
        <w:rPr>
          <w:rFonts w:ascii="Verdana" w:hAnsi="Verdana" w:cs="Arial"/>
          <w:bCs/>
          <w:lang w:val="es-MX" w:eastAsia="x-none"/>
        </w:rPr>
        <w:t xml:space="preserve">: </w:t>
      </w:r>
    </w:p>
    <w:p w14:paraId="47045BE1" w14:textId="77777777" w:rsidR="00205F15" w:rsidRDefault="00205F15" w:rsidP="00205F15">
      <w:pPr>
        <w:spacing w:after="0" w:line="276" w:lineRule="auto"/>
        <w:jc w:val="both"/>
        <w:rPr>
          <w:rFonts w:ascii="Verdana" w:hAnsi="Verdana" w:cs="Arial"/>
          <w:bCs/>
          <w:lang w:val="es-MX" w:eastAsia="x-none"/>
        </w:rPr>
      </w:pPr>
    </w:p>
    <w:p w14:paraId="0D45B08B" w14:textId="77777777" w:rsidR="00205F15" w:rsidRPr="00576803" w:rsidRDefault="00205F15" w:rsidP="00205F15">
      <w:pPr>
        <w:spacing w:after="0" w:line="240" w:lineRule="auto"/>
        <w:ind w:left="709" w:right="709"/>
        <w:jc w:val="both"/>
        <w:rPr>
          <w:rFonts w:ascii="Verdana" w:hAnsi="Verdana" w:cs="Arial"/>
          <w:bCs/>
          <w:sz w:val="20"/>
          <w:szCs w:val="20"/>
          <w:lang w:val="es-MX" w:eastAsia="x-none"/>
        </w:rPr>
      </w:pPr>
      <w:r w:rsidRPr="00576803">
        <w:rPr>
          <w:rFonts w:ascii="Verdana" w:hAnsi="Verdana" w:cs="Arial"/>
          <w:bCs/>
          <w:sz w:val="20"/>
          <w:szCs w:val="20"/>
          <w:lang w:val="es-MX" w:eastAsia="x-none"/>
        </w:rPr>
        <w:t xml:space="preserve">“[…] se ha presentado un hecho sobreviniente, distinto de la guerra exterior y la conmoción interior, puesto que el sismo y los desbordamientos de ríos que lo acompañaron son hechos naturales de irrupción repentina que tuvieron graves consecuencias materiales y humanas, de suerte que alteraron de manera intensa las condiciones normales de vida en el área. En efecto, tales fenómenos naturales provocaron una calamidad pública, como lo demuestra no sólo el elevado número de muertos, desaparecidos y afectados sino además la destrucción física de varias poblaciones que obligó al desplazamiento de una población considerable, en una región en donde la atención de las víctimas es compleja y difícil por su diversidad topográfica y étnica. Todo ello desbordó efectivamente la capacidad de atención ordinaria del sistema nacional para prevención y atención de desastres, por lo cual era adecuado adoptar medidas de excepción a fin de conjurar la crisis e impedir la extensión de sus efectos […]”. </w:t>
      </w:r>
    </w:p>
    <w:p w14:paraId="45927AE5" w14:textId="77777777" w:rsidR="00205F15" w:rsidRDefault="00205F15" w:rsidP="00205F15">
      <w:pPr>
        <w:spacing w:after="0" w:line="276" w:lineRule="auto"/>
        <w:jc w:val="both"/>
        <w:rPr>
          <w:rFonts w:ascii="Verdana" w:hAnsi="Verdana" w:cs="Arial"/>
          <w:bCs/>
          <w:lang w:val="es-MX" w:eastAsia="x-none"/>
        </w:rPr>
      </w:pPr>
      <w:r>
        <w:rPr>
          <w:rFonts w:ascii="Verdana" w:hAnsi="Verdana" w:cs="Arial"/>
          <w:bCs/>
          <w:lang w:val="es-MX" w:eastAsia="x-none"/>
        </w:rPr>
        <w:t xml:space="preserve"> </w:t>
      </w:r>
    </w:p>
    <w:p w14:paraId="1F817816" w14:textId="77777777" w:rsidR="00205F15" w:rsidRDefault="00205F15" w:rsidP="00205F15">
      <w:pPr>
        <w:spacing w:after="120" w:line="276" w:lineRule="auto"/>
        <w:jc w:val="both"/>
        <w:rPr>
          <w:rFonts w:ascii="Verdana" w:hAnsi="Verdana" w:cs="Arial"/>
          <w:bCs/>
          <w:lang w:val="es-MX" w:eastAsia="x-none"/>
        </w:rPr>
      </w:pPr>
      <w:r>
        <w:rPr>
          <w:rFonts w:ascii="Verdana" w:hAnsi="Verdana" w:cs="Arial"/>
          <w:bCs/>
          <w:lang w:val="es-MX" w:eastAsia="x-none"/>
        </w:rPr>
        <w:lastRenderedPageBreak/>
        <w:tab/>
        <w:t>Al amparo de esta situación, el Gobierno Nacional expidió el Decreto Legislativo 1179 de 1994, adicionado por el Decreto 1252 de 1994 y modificado por el Decreto 1263 de 1994, “P</w:t>
      </w:r>
      <w:r w:rsidRPr="00445047">
        <w:rPr>
          <w:rFonts w:ascii="Verdana" w:hAnsi="Verdana" w:cs="Arial"/>
          <w:bCs/>
          <w:lang w:val="es-MX" w:eastAsia="x-none"/>
        </w:rPr>
        <w:t xml:space="preserve">or el cual se crea la Corporación para la Reconstrucción de la Cuenca del Río Páez y zonas aledañas, </w:t>
      </w:r>
      <w:r w:rsidRPr="00CC7AAE">
        <w:rPr>
          <w:rFonts w:ascii="Verdana" w:hAnsi="Verdana" w:cs="Arial"/>
          <w:bCs/>
          <w:lang w:val="es-MX" w:eastAsia="x-none"/>
        </w:rPr>
        <w:t>Nasa Ki'We</w:t>
      </w:r>
      <w:r>
        <w:rPr>
          <w:rFonts w:ascii="Verdana" w:hAnsi="Verdana" w:cs="Arial"/>
          <w:bCs/>
          <w:lang w:val="es-MX" w:eastAsia="x-none"/>
        </w:rPr>
        <w:t xml:space="preserve">”. Conforme al artículo 1 del Decreto Legislativo 1179 de 1994, se trata de un </w:t>
      </w:r>
      <w:r w:rsidRPr="00445047">
        <w:rPr>
          <w:rFonts w:ascii="Verdana" w:hAnsi="Verdana" w:cs="Arial"/>
          <w:bCs/>
          <w:lang w:val="es-MX" w:eastAsia="x-none"/>
        </w:rPr>
        <w:t>establecimiento público del orden nacional dotado de personería jurídica, autonomía administrativa y patrimonio propio</w:t>
      </w:r>
      <w:r>
        <w:rPr>
          <w:rFonts w:ascii="Verdana" w:hAnsi="Verdana" w:cs="Arial"/>
          <w:bCs/>
          <w:lang w:val="es-MX" w:eastAsia="x-none"/>
        </w:rPr>
        <w:t xml:space="preserve">, adscrita al Ministerio de Interior, que tiene por objeto “[…] </w:t>
      </w:r>
      <w:r w:rsidRPr="00825A6F">
        <w:rPr>
          <w:rFonts w:ascii="Verdana" w:hAnsi="Verdana" w:cs="Arial"/>
          <w:bCs/>
          <w:lang w:val="es-MX" w:eastAsia="x-none"/>
        </w:rPr>
        <w:t>adelantar proyectos y programas para la atención de las necesidades básicas de los habitantes de los municipios, así como la reconstrucción y rehabilitación de la zona afectada 1178 de 1994</w:t>
      </w:r>
      <w:r>
        <w:rPr>
          <w:rFonts w:ascii="Verdana" w:hAnsi="Verdana" w:cs="Arial"/>
          <w:bCs/>
          <w:lang w:val="es-MX" w:eastAsia="x-none"/>
        </w:rPr>
        <w:t>”.</w:t>
      </w:r>
    </w:p>
    <w:p w14:paraId="44E8B61D" w14:textId="77777777" w:rsidR="00205F15" w:rsidRDefault="00205F15" w:rsidP="00205F15">
      <w:pPr>
        <w:spacing w:after="120" w:line="276" w:lineRule="auto"/>
        <w:ind w:firstLine="709"/>
        <w:jc w:val="both"/>
        <w:rPr>
          <w:rFonts w:ascii="Verdana" w:hAnsi="Verdana" w:cs="Arial"/>
          <w:bCs/>
          <w:lang w:val="es-MX" w:eastAsia="x-none"/>
        </w:rPr>
      </w:pPr>
      <w:r>
        <w:rPr>
          <w:rFonts w:ascii="Verdana" w:hAnsi="Verdana" w:cs="Arial"/>
          <w:bCs/>
          <w:lang w:val="es-MX" w:eastAsia="x-none"/>
        </w:rPr>
        <w:t xml:space="preserve">Aunque los estados de emergencia tienen una duración </w:t>
      </w:r>
      <w:r w:rsidRPr="005927C2">
        <w:rPr>
          <w:rFonts w:ascii="Verdana" w:hAnsi="Verdana" w:cs="Arial"/>
          <w:bCs/>
          <w:i/>
          <w:iCs/>
          <w:lang w:val="es-MX" w:eastAsia="x-none"/>
        </w:rPr>
        <w:t>pro tempore</w:t>
      </w:r>
      <w:r>
        <w:rPr>
          <w:rFonts w:ascii="Verdana" w:hAnsi="Verdana" w:cs="Arial"/>
          <w:bCs/>
          <w:lang w:val="es-MX" w:eastAsia="x-none"/>
        </w:rPr>
        <w:t xml:space="preserve">, el artículo 14 </w:t>
      </w:r>
      <w:r w:rsidRPr="005927C2">
        <w:rPr>
          <w:rFonts w:ascii="Verdana" w:hAnsi="Verdana" w:cs="Arial"/>
          <w:bCs/>
          <w:i/>
          <w:iCs/>
          <w:lang w:val="es-MX" w:eastAsia="x-none"/>
        </w:rPr>
        <w:t>ibidem</w:t>
      </w:r>
      <w:r>
        <w:rPr>
          <w:rFonts w:ascii="Verdana" w:hAnsi="Verdana" w:cs="Arial"/>
          <w:bCs/>
          <w:lang w:val="es-MX" w:eastAsia="x-none"/>
        </w:rPr>
        <w:t xml:space="preserve"> dispone que “[…] </w:t>
      </w:r>
      <w:r w:rsidRPr="005927C2">
        <w:rPr>
          <w:rFonts w:ascii="Verdana" w:hAnsi="Verdana" w:cs="Arial"/>
          <w:bCs/>
          <w:lang w:val="es-MX" w:eastAsia="x-none"/>
        </w:rPr>
        <w:t>el Gobierno Nacional suprimirá la Corporación cuando el mismo haya cumplido su objeto. Los derechos y obligaciones que posea la Corporación al momento de su extinción se transferirán a la entidad nacional que determine el Gobierno Nacional</w:t>
      </w:r>
      <w:r>
        <w:rPr>
          <w:rFonts w:ascii="Verdana" w:hAnsi="Verdana" w:cs="Arial"/>
          <w:bCs/>
          <w:lang w:val="es-MX" w:eastAsia="x-none"/>
        </w:rPr>
        <w:t xml:space="preserve">”. La Corte Constitucional declaró la exequibilidad del decreto mediante Sentencia C-367 de 1994, con ponencia del Magistrado </w:t>
      </w:r>
      <w:r w:rsidRPr="005927C2">
        <w:rPr>
          <w:rFonts w:ascii="Verdana" w:hAnsi="Verdana" w:cs="Arial"/>
          <w:bCs/>
          <w:lang w:val="es-MX" w:eastAsia="x-none"/>
        </w:rPr>
        <w:t>Eduardo Cifuentes Muñoz</w:t>
      </w:r>
      <w:r>
        <w:rPr>
          <w:rFonts w:ascii="Verdana" w:hAnsi="Verdana" w:cs="Arial"/>
          <w:bCs/>
          <w:lang w:val="es-MX" w:eastAsia="x-none"/>
        </w:rPr>
        <w:t xml:space="preserve">, pues si bien “[…] </w:t>
      </w:r>
      <w:r w:rsidRPr="005927C2">
        <w:rPr>
          <w:rFonts w:ascii="Verdana" w:hAnsi="Verdana" w:cs="Arial"/>
          <w:bCs/>
          <w:lang w:val="es-MX" w:eastAsia="x-none"/>
        </w:rPr>
        <w:t>los efectos de una medida adoptada por el Gobierno, al amparo del artículo 215 de la CP, superan en el tiempo el período del Estado de Emergencia, debe anotarse que, salvo las normas tributarias que en su desarrollo se expidan, las restantes pueden tener vocación de permanencia</w:t>
      </w:r>
      <w:r>
        <w:rPr>
          <w:rFonts w:ascii="Verdana" w:hAnsi="Verdana" w:cs="Arial"/>
          <w:bCs/>
          <w:lang w:val="es-MX" w:eastAsia="x-none"/>
        </w:rPr>
        <w:t xml:space="preserve"> […]”. </w:t>
      </w:r>
    </w:p>
    <w:p w14:paraId="2E9F535F" w14:textId="77777777" w:rsidR="00205F15" w:rsidRDefault="00205F15" w:rsidP="00205F15">
      <w:pPr>
        <w:spacing w:after="120" w:line="276" w:lineRule="auto"/>
        <w:ind w:firstLine="709"/>
        <w:jc w:val="both"/>
        <w:rPr>
          <w:rFonts w:ascii="Verdana" w:hAnsi="Verdana" w:cs="Arial"/>
          <w:bCs/>
          <w:lang w:val="es-MX" w:eastAsia="x-none"/>
        </w:rPr>
      </w:pPr>
      <w:r>
        <w:rPr>
          <w:rFonts w:ascii="Verdana" w:hAnsi="Verdana" w:cs="Arial"/>
          <w:bCs/>
          <w:lang w:val="es-MX" w:eastAsia="x-none"/>
        </w:rPr>
        <w:t xml:space="preserve">Pese a que el Decreto Ley 1136 de 1999 suprimía </w:t>
      </w:r>
      <w:r w:rsidRPr="00DB5BFC">
        <w:rPr>
          <w:rFonts w:ascii="Verdana" w:hAnsi="Verdana" w:cs="Arial"/>
          <w:bCs/>
          <w:lang w:val="es-MX" w:eastAsia="x-none"/>
        </w:rPr>
        <w:t>la Corporación Nasa Ki'We</w:t>
      </w:r>
      <w:r>
        <w:rPr>
          <w:rFonts w:ascii="Verdana" w:hAnsi="Verdana" w:cs="Arial"/>
          <w:bCs/>
          <w:lang w:val="es-MX" w:eastAsia="x-none"/>
        </w:rPr>
        <w:t xml:space="preserve">, éste fue declarado inexequible por la Corte Constitucional mediante la Sentencia C-969 de 1999 con ponencia del Magistrado </w:t>
      </w:r>
      <w:r w:rsidRPr="00DB5BFC">
        <w:rPr>
          <w:rFonts w:ascii="Verdana" w:hAnsi="Verdana" w:cs="Arial"/>
          <w:bCs/>
          <w:lang w:val="es-MX" w:eastAsia="x-none"/>
        </w:rPr>
        <w:t>Fabio Mor</w:t>
      </w:r>
      <w:r>
        <w:rPr>
          <w:rFonts w:ascii="Verdana" w:hAnsi="Verdana" w:cs="Arial"/>
          <w:bCs/>
          <w:lang w:val="es-MX" w:eastAsia="x-none"/>
        </w:rPr>
        <w:t>ó</w:t>
      </w:r>
      <w:r w:rsidRPr="00DB5BFC">
        <w:rPr>
          <w:rFonts w:ascii="Verdana" w:hAnsi="Verdana" w:cs="Arial"/>
          <w:bCs/>
          <w:lang w:val="es-MX" w:eastAsia="x-none"/>
        </w:rPr>
        <w:t>n D</w:t>
      </w:r>
      <w:r>
        <w:rPr>
          <w:rFonts w:ascii="Verdana" w:hAnsi="Verdana" w:cs="Arial"/>
          <w:bCs/>
          <w:lang w:val="es-MX" w:eastAsia="x-none"/>
        </w:rPr>
        <w:t>í</w:t>
      </w:r>
      <w:r w:rsidRPr="00DB5BFC">
        <w:rPr>
          <w:rFonts w:ascii="Verdana" w:hAnsi="Verdana" w:cs="Arial"/>
          <w:bCs/>
          <w:lang w:val="es-MX" w:eastAsia="x-none"/>
        </w:rPr>
        <w:t>az</w:t>
      </w:r>
      <w:r>
        <w:rPr>
          <w:rFonts w:ascii="Verdana" w:hAnsi="Verdana" w:cs="Arial"/>
          <w:bCs/>
          <w:lang w:val="es-MX" w:eastAsia="x-none"/>
        </w:rPr>
        <w:t xml:space="preserve">. Dicho decreto se fundamentó en el artículo 120 de la Ley 489 de 1998, el cual fue declarado inconstitucional en la Sentencia C-702 de 1999, por lo que se aplicó la figura de la “inexequibilidad por consecuencia”. Por ello, la mencionada corporación subsiste en el ordenamiento jurídico, pues hace parte del Sector Administrativo del Interior en los términos del artículo </w:t>
      </w:r>
      <w:r w:rsidRPr="00CE4F1F">
        <w:rPr>
          <w:rFonts w:ascii="Verdana" w:hAnsi="Verdana" w:cs="Arial"/>
          <w:bCs/>
          <w:lang w:val="es-MX" w:eastAsia="x-none"/>
        </w:rPr>
        <w:t>1.2.1.2</w:t>
      </w:r>
      <w:r>
        <w:rPr>
          <w:rFonts w:ascii="Verdana" w:hAnsi="Verdana" w:cs="Arial"/>
          <w:bCs/>
          <w:lang w:val="es-MX" w:eastAsia="x-none"/>
        </w:rPr>
        <w:t xml:space="preserve"> del Decreto Único Reglamentario 1066 de 2015.</w:t>
      </w:r>
    </w:p>
    <w:p w14:paraId="314E3F60" w14:textId="77777777" w:rsidR="00205F15" w:rsidRDefault="00205F15" w:rsidP="00205F15">
      <w:pPr>
        <w:spacing w:after="0" w:line="276" w:lineRule="auto"/>
        <w:ind w:firstLine="709"/>
        <w:jc w:val="both"/>
        <w:rPr>
          <w:rFonts w:ascii="Verdana" w:hAnsi="Verdana" w:cs="Arial"/>
          <w:bCs/>
          <w:lang w:val="es-MX" w:eastAsia="x-none"/>
        </w:rPr>
      </w:pPr>
      <w:r>
        <w:rPr>
          <w:rFonts w:ascii="Verdana" w:hAnsi="Verdana" w:cs="Arial"/>
          <w:bCs/>
          <w:lang w:val="es-MX" w:eastAsia="x-none"/>
        </w:rPr>
        <w:t>Ahora bien, respecto a su régimen contractual, la Corporación –en su calidad de establecimiento público– se somete al EGCAP en virtud del literal a) del artículo 2.1 de la Ley 80 de 1993</w:t>
      </w:r>
      <w:r>
        <w:rPr>
          <w:rStyle w:val="Refdenotaalpie"/>
          <w:rFonts w:ascii="Verdana" w:hAnsi="Verdana" w:cs="Arial"/>
          <w:bCs/>
          <w:lang w:val="es-MX" w:eastAsia="x-none"/>
        </w:rPr>
        <w:footnoteReference w:id="30"/>
      </w:r>
      <w:r>
        <w:rPr>
          <w:rFonts w:ascii="Verdana" w:hAnsi="Verdana" w:cs="Arial"/>
          <w:bCs/>
          <w:lang w:val="es-MX" w:eastAsia="x-none"/>
        </w:rPr>
        <w:t xml:space="preserve">. Aunque de forma prevalente debería </w:t>
      </w:r>
      <w:r>
        <w:rPr>
          <w:rFonts w:ascii="Verdana" w:hAnsi="Verdana" w:cs="Arial"/>
          <w:bCs/>
          <w:lang w:val="es-MX" w:eastAsia="x-none"/>
        </w:rPr>
        <w:lastRenderedPageBreak/>
        <w:t xml:space="preserve">aplicar los procedimientos de selección competitivos del artículo 2 de la Ley 1150 de 2007, está facultada para desarrollar su gestión a través de la causal de contratación directa del literal a) del artículo 2.4 </w:t>
      </w:r>
      <w:r w:rsidRPr="00EB55BC">
        <w:rPr>
          <w:rFonts w:ascii="Verdana" w:hAnsi="Verdana" w:cs="Arial"/>
          <w:bCs/>
          <w:i/>
          <w:iCs/>
          <w:lang w:val="es-MX" w:eastAsia="x-none"/>
        </w:rPr>
        <w:t>ibidem</w:t>
      </w:r>
      <w:r>
        <w:rPr>
          <w:rFonts w:ascii="Verdana" w:hAnsi="Verdana" w:cs="Arial"/>
          <w:bCs/>
          <w:lang w:val="es-MX" w:eastAsia="x-none"/>
        </w:rPr>
        <w:t>. No en vano, el artículo 11 del Decreto Legislativo 1179 de 1994 establece que “[…]</w:t>
      </w:r>
      <w:r w:rsidRPr="00F63F71">
        <w:rPr>
          <w:rFonts w:ascii="Verdana" w:hAnsi="Verdana" w:cs="Arial"/>
          <w:bCs/>
          <w:lang w:val="es-MX" w:eastAsia="x-none"/>
        </w:rPr>
        <w:t xml:space="preserve"> los contratos que celebre la Corporación se entenderán celebrados por razón de urgencia manifiesta, sin que sea necesario declaratoria expresa en tal sentido</w:t>
      </w:r>
      <w:r>
        <w:rPr>
          <w:rFonts w:ascii="Verdana" w:hAnsi="Verdana" w:cs="Arial"/>
          <w:bCs/>
          <w:lang w:val="es-MX" w:eastAsia="x-none"/>
        </w:rPr>
        <w:t>”</w:t>
      </w:r>
      <w:r w:rsidRPr="00F63F71">
        <w:rPr>
          <w:rFonts w:ascii="Verdana" w:hAnsi="Verdana" w:cs="Arial"/>
          <w:bCs/>
          <w:lang w:val="es-MX" w:eastAsia="x-none"/>
        </w:rPr>
        <w:t>.</w:t>
      </w:r>
      <w:r>
        <w:rPr>
          <w:rFonts w:ascii="Verdana" w:hAnsi="Verdana" w:cs="Arial"/>
          <w:bCs/>
          <w:lang w:val="es-MX" w:eastAsia="x-none"/>
        </w:rPr>
        <w:t xml:space="preserve"> La urgencia manifiesta tiene </w:t>
      </w:r>
      <w:r w:rsidRPr="3683B926">
        <w:rPr>
          <w:rFonts w:ascii="Verdana" w:eastAsia="Calibri" w:hAnsi="Verdana" w:cs="Arial"/>
          <w:lang w:val="es-ES"/>
        </w:rPr>
        <w:t>la finalidad de “[…] conjurar situaciones excepcionales relacionadas con hechos de calamidad o constitutivos de fuerza mayor o desastre que demanden actuaciones inmediatas […]”</w:t>
      </w:r>
      <w:r>
        <w:rPr>
          <w:rFonts w:ascii="Verdana" w:eastAsia="Calibri" w:hAnsi="Verdana" w:cs="Arial"/>
          <w:lang w:val="es-ES"/>
        </w:rPr>
        <w:t xml:space="preserve">. </w:t>
      </w:r>
      <w:r w:rsidRPr="00A26977">
        <w:rPr>
          <w:rFonts w:ascii="Verdana" w:eastAsia="Calibri" w:hAnsi="Verdana" w:cs="Arial"/>
          <w:lang w:val="es-ES"/>
        </w:rPr>
        <w:t xml:space="preserve">Luego, los contratos de la Corporación Nasa </w:t>
      </w:r>
      <w:proofErr w:type="spellStart"/>
      <w:r w:rsidRPr="00A26977">
        <w:rPr>
          <w:rFonts w:ascii="Verdana" w:eastAsia="Calibri" w:hAnsi="Verdana" w:cs="Arial"/>
          <w:lang w:val="es-ES"/>
        </w:rPr>
        <w:t>Ki'We</w:t>
      </w:r>
      <w:proofErr w:type="spellEnd"/>
      <w:r w:rsidRPr="00A26977">
        <w:rPr>
          <w:rFonts w:ascii="Verdana" w:eastAsia="Calibri" w:hAnsi="Verdana" w:cs="Arial"/>
          <w:lang w:val="es-ES"/>
        </w:rPr>
        <w:t xml:space="preserve"> que tengan por objeto cubrir situaciones de desastres están exceptuados de la prohibición del inciso primero del artículo 33 de la Ley de Garantías.</w:t>
      </w:r>
      <w:r>
        <w:rPr>
          <w:rFonts w:ascii="Verdana" w:hAnsi="Verdana" w:cs="Arial"/>
          <w:bCs/>
          <w:lang w:val="es-MX" w:eastAsia="x-none"/>
        </w:rPr>
        <w:t xml:space="preserve">  </w:t>
      </w:r>
      <w:bookmarkEnd w:id="22"/>
      <w:bookmarkEnd w:id="23"/>
    </w:p>
    <w:p w14:paraId="21E213E1" w14:textId="77777777" w:rsidR="00205F15" w:rsidRPr="003301F0" w:rsidRDefault="00205F15" w:rsidP="00205F15">
      <w:pPr>
        <w:spacing w:after="0" w:line="276" w:lineRule="auto"/>
        <w:ind w:firstLine="709"/>
        <w:jc w:val="both"/>
        <w:rPr>
          <w:rFonts w:ascii="Verdana" w:hAnsi="Verdana" w:cs="Arial"/>
          <w:bCs/>
          <w:lang w:val="es-MX" w:eastAsia="x-none"/>
        </w:rPr>
      </w:pPr>
    </w:p>
    <w:p w14:paraId="79215595" w14:textId="77777777" w:rsidR="00205F15" w:rsidRPr="003A380F" w:rsidRDefault="00205F15" w:rsidP="00205F15">
      <w:pPr>
        <w:spacing w:after="120" w:line="276" w:lineRule="auto"/>
        <w:jc w:val="both"/>
        <w:rPr>
          <w:rFonts w:ascii="Verdana" w:eastAsia="Calibri" w:hAnsi="Verdana" w:cs="Arial"/>
          <w:bCs/>
          <w:color w:val="000000" w:themeColor="text1"/>
        </w:rPr>
      </w:pPr>
      <w:r>
        <w:rPr>
          <w:rFonts w:ascii="Verdana" w:eastAsia="Calibri" w:hAnsi="Verdana" w:cs="Arial"/>
          <w:lang w:val="es-ES"/>
        </w:rPr>
        <w:t xml:space="preserve">vi.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EDD33D6" w14:textId="77777777" w:rsidR="00205F15" w:rsidRPr="00185EE9" w:rsidRDefault="00205F15" w:rsidP="00205F15">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3A380F">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571A5236" w14:textId="77777777" w:rsidR="00205F15" w:rsidRPr="00182C89" w:rsidRDefault="00205F15" w:rsidP="00205F15">
      <w:pPr>
        <w:tabs>
          <w:tab w:val="left" w:pos="709"/>
        </w:tabs>
        <w:spacing w:after="0" w:line="276" w:lineRule="auto"/>
        <w:jc w:val="both"/>
        <w:rPr>
          <w:rFonts w:ascii="Verdana" w:eastAsia="Calibri" w:hAnsi="Verdana" w:cs="Arial"/>
          <w:color w:val="000000" w:themeColor="text1"/>
        </w:rPr>
      </w:pPr>
    </w:p>
    <w:p w14:paraId="27D0C7AC" w14:textId="77777777" w:rsidR="00205F15" w:rsidRPr="00593A5F" w:rsidRDefault="00205F15" w:rsidP="00205F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F88D419" w14:textId="77777777" w:rsidR="00205F15" w:rsidRPr="00593A5F" w:rsidRDefault="00205F15" w:rsidP="00205F1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05F15" w:rsidRPr="002407CE" w14:paraId="11839727" w14:textId="77777777" w:rsidTr="00916988">
        <w:trPr>
          <w:trHeight w:val="870"/>
          <w:jc w:val="center"/>
        </w:trPr>
        <w:tc>
          <w:tcPr>
            <w:tcW w:w="8647" w:type="dxa"/>
          </w:tcPr>
          <w:p w14:paraId="0F3D88EB"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6, 127, 190, 197 y 215.</w:t>
            </w:r>
          </w:p>
          <w:p w14:paraId="46BA5DF0"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y 42.</w:t>
            </w:r>
          </w:p>
          <w:p w14:paraId="76B28D5C"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9 y 33.</w:t>
            </w:r>
          </w:p>
          <w:p w14:paraId="3AE60612"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2583BFED"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1523 de 2012, artículos 4, 56 y 57.</w:t>
            </w:r>
          </w:p>
          <w:p w14:paraId="4A66A357"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1753 de 2015, artículo 69.</w:t>
            </w:r>
          </w:p>
          <w:p w14:paraId="5E951BF1" w14:textId="77777777" w:rsidR="00205F15"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Legislativo 1178 de 1994, artículo 1.</w:t>
            </w:r>
          </w:p>
          <w:p w14:paraId="195DD681" w14:textId="77777777" w:rsidR="00205F15" w:rsidRPr="00185EE9"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bCs/>
                <w:lang w:val="es-MX" w:eastAsia="x-none"/>
              </w:rPr>
              <w:t>Decreto Legislativo 1179 de 1994, artículos 1, 11 y 14.</w:t>
            </w:r>
          </w:p>
          <w:p w14:paraId="3FFAC032" w14:textId="77777777" w:rsidR="00205F15" w:rsidRPr="00D32D4C" w:rsidRDefault="00205F15" w:rsidP="0091698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185EE9">
              <w:rPr>
                <w:rFonts w:ascii="Verdana" w:hAnsi="Verdana" w:cs="Arial"/>
              </w:rPr>
              <w:t xml:space="preserve">Código Civil, artículos </w:t>
            </w:r>
            <w:r>
              <w:rPr>
                <w:rFonts w:ascii="Verdana" w:hAnsi="Verdana" w:cs="Arial"/>
              </w:rPr>
              <w:t>28, 29, 31 y 64</w:t>
            </w:r>
            <w:r w:rsidRPr="00185EE9">
              <w:rPr>
                <w:rFonts w:ascii="Verdana" w:hAnsi="Verdana" w:cs="Arial"/>
              </w:rPr>
              <w:t>.</w:t>
            </w:r>
          </w:p>
          <w:p w14:paraId="11AC13E3" w14:textId="77777777" w:rsidR="00205F15" w:rsidRPr="00640C91" w:rsidRDefault="00205F15" w:rsidP="00916988">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Decreto 1066 de 2015, artículo </w:t>
            </w:r>
            <w:r w:rsidRPr="00D32D4C">
              <w:rPr>
                <w:rFonts w:ascii="Verdana" w:hAnsi="Verdana" w:cs="Arial"/>
              </w:rPr>
              <w:t>1.2.1.2</w:t>
            </w:r>
            <w:r>
              <w:rPr>
                <w:rFonts w:ascii="Verdana" w:hAnsi="Verdana" w:cs="Arial"/>
              </w:rPr>
              <w:t>.</w:t>
            </w:r>
          </w:p>
        </w:tc>
      </w:tr>
    </w:tbl>
    <w:p w14:paraId="004A62AD" w14:textId="77777777" w:rsidR="00205F15" w:rsidRPr="002407CE" w:rsidRDefault="00205F15" w:rsidP="00205F15">
      <w:pPr>
        <w:widowControl w:val="0"/>
        <w:autoSpaceDE w:val="0"/>
        <w:autoSpaceDN w:val="0"/>
        <w:spacing w:after="0" w:line="276" w:lineRule="auto"/>
        <w:jc w:val="both"/>
        <w:rPr>
          <w:rFonts w:ascii="Verdana" w:hAnsi="Verdana" w:cs="Arial"/>
        </w:rPr>
      </w:pPr>
    </w:p>
    <w:p w14:paraId="40B84078" w14:textId="77777777" w:rsidR="00205F15" w:rsidRPr="00593A5F" w:rsidRDefault="00205F15" w:rsidP="00205F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78E0938" w14:textId="77777777" w:rsidR="00205F15" w:rsidRPr="00593A5F" w:rsidRDefault="00205F15" w:rsidP="00205F15">
      <w:pPr>
        <w:widowControl w:val="0"/>
        <w:autoSpaceDE w:val="0"/>
        <w:autoSpaceDN w:val="0"/>
        <w:spacing w:after="0" w:line="276" w:lineRule="auto"/>
        <w:jc w:val="both"/>
        <w:rPr>
          <w:rFonts w:ascii="Verdana" w:hAnsi="Verdana" w:cs="Arial"/>
        </w:rPr>
      </w:pPr>
    </w:p>
    <w:p w14:paraId="1F049877" w14:textId="77777777" w:rsidR="00205F15" w:rsidRPr="00ED0098" w:rsidRDefault="00205F15" w:rsidP="00205F15">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la finalidad y propósito de la Ley de Garantías Electorales en los </w:t>
      </w:r>
      <w:r>
        <w:rPr>
          <w:rFonts w:ascii="Verdana" w:hAnsi="Verdana" w:cs="Arial"/>
          <w:shd w:val="clear" w:color="auto" w:fill="FFFFFF"/>
        </w:rPr>
        <w:t>C</w:t>
      </w:r>
      <w:r w:rsidRPr="00BC7FC8">
        <w:rPr>
          <w:rFonts w:ascii="Verdana" w:hAnsi="Verdana" w:cs="Arial"/>
          <w:shd w:val="clear" w:color="auto" w:fill="FFFFFF"/>
        </w:rPr>
        <w:t>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w:t>
      </w:r>
      <w:r>
        <w:rPr>
          <w:rFonts w:ascii="Verdana" w:hAnsi="Verdana" w:cs="Arial"/>
          <w:shd w:val="clear" w:color="auto" w:fill="FFFFFF"/>
        </w:rPr>
        <w:t>, C-1186 del 17 de septiembre de 2025 y C-1350 del 1˚ de octubre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E59CF19" w14:textId="77777777" w:rsidR="00205F15" w:rsidRPr="00096788" w:rsidRDefault="00205F15" w:rsidP="00205F15">
      <w:pPr>
        <w:widowControl w:val="0"/>
        <w:autoSpaceDE w:val="0"/>
        <w:autoSpaceDN w:val="0"/>
        <w:spacing w:after="0" w:line="276" w:lineRule="auto"/>
        <w:jc w:val="both"/>
        <w:rPr>
          <w:rFonts w:ascii="Verdana" w:hAnsi="Verdana" w:cs="Arial"/>
          <w:color w:val="000000" w:themeColor="text1"/>
          <w:shd w:val="clear" w:color="auto" w:fill="FFFFFF"/>
        </w:rPr>
      </w:pPr>
    </w:p>
    <w:p w14:paraId="266A9899" w14:textId="77777777" w:rsidR="00205F15" w:rsidRPr="00E440FD" w:rsidRDefault="00205F15" w:rsidP="00205F15">
      <w:pPr>
        <w:shd w:val="clear" w:color="auto" w:fill="FFFFFF"/>
        <w:spacing w:after="0" w:line="276" w:lineRule="auto"/>
        <w:jc w:val="both"/>
        <w:rPr>
          <w:rFonts w:ascii="Verdana" w:hAnsi="Verdana"/>
          <w:color w:val="467886"/>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626CE6FE" w14:textId="77777777" w:rsidR="00205F15" w:rsidRDefault="00205F15" w:rsidP="00205F15">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06E68E12" w14:textId="77777777" w:rsidR="00205F15" w:rsidRPr="00116940" w:rsidRDefault="00205F15" w:rsidP="00205F15">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5E4FC50" w14:textId="77777777" w:rsidR="00205F15" w:rsidRPr="00116940" w:rsidRDefault="00205F15" w:rsidP="00205F15">
      <w:pPr>
        <w:spacing w:after="0"/>
        <w:jc w:val="both"/>
        <w:rPr>
          <w:rFonts w:ascii="Verdana" w:hAnsi="Verdana"/>
        </w:rPr>
      </w:pPr>
    </w:p>
    <w:p w14:paraId="4CB0769B" w14:textId="77777777" w:rsidR="00205F15" w:rsidRPr="00116940" w:rsidRDefault="00205F15" w:rsidP="00205F1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8C30794" w14:textId="77777777" w:rsidR="00205F15" w:rsidRPr="00116940" w:rsidRDefault="00205F15" w:rsidP="00205F1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5D06887D" w14:textId="77777777" w:rsidR="00205F15" w:rsidRPr="00116940" w:rsidRDefault="00205F15" w:rsidP="00205F1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5EAF0770" w14:textId="77777777" w:rsidR="00205F15" w:rsidRPr="00116940" w:rsidRDefault="00205F15" w:rsidP="00205F1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7BBD4055" w14:textId="77777777" w:rsidR="00205F15" w:rsidRPr="00116940" w:rsidRDefault="00205F15" w:rsidP="00205F15">
      <w:pPr>
        <w:spacing w:after="0" w:line="240" w:lineRule="auto"/>
        <w:ind w:left="720"/>
        <w:jc w:val="both"/>
        <w:rPr>
          <w:rFonts w:ascii="Verdana" w:hAnsi="Verdana"/>
        </w:rPr>
      </w:pPr>
    </w:p>
    <w:p w14:paraId="2659E542" w14:textId="77777777" w:rsidR="00205F15" w:rsidRPr="00116940" w:rsidRDefault="00205F15" w:rsidP="00205F15">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1BCC980" w14:textId="77777777" w:rsidR="00205F15" w:rsidRPr="00116940" w:rsidRDefault="00205F15" w:rsidP="00205F15">
      <w:pPr>
        <w:spacing w:after="0" w:line="240" w:lineRule="auto"/>
        <w:rPr>
          <w:rFonts w:ascii="Verdana" w:hAnsi="Verdana"/>
        </w:rPr>
      </w:pPr>
    </w:p>
    <w:p w14:paraId="228B1A01" w14:textId="77777777" w:rsidR="00205F15" w:rsidRPr="00116940" w:rsidRDefault="00205F15" w:rsidP="00205F1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D715E6C" w14:textId="77777777" w:rsidR="00205F15" w:rsidRPr="00116940" w:rsidRDefault="00205F15" w:rsidP="00205F15">
      <w:pPr>
        <w:spacing w:after="0" w:line="240" w:lineRule="auto"/>
        <w:jc w:val="both"/>
        <w:rPr>
          <w:rFonts w:ascii="Verdana" w:hAnsi="Verdana"/>
        </w:rPr>
      </w:pPr>
    </w:p>
    <w:p w14:paraId="114028B5" w14:textId="77777777" w:rsidR="00205F15" w:rsidRPr="00116940" w:rsidRDefault="00205F15" w:rsidP="00205F1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5666891" w14:textId="77777777" w:rsidR="00205F15" w:rsidRPr="00116940" w:rsidRDefault="00205F15" w:rsidP="00205F15">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4C66116" w14:textId="77777777" w:rsidR="00205F15" w:rsidRPr="00116940" w:rsidRDefault="00205F15" w:rsidP="00205F1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9875DBC" w14:textId="77777777" w:rsidR="00205F15" w:rsidRPr="009C4035" w:rsidRDefault="00205F15" w:rsidP="00205F15">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0923DFD9" w14:textId="77777777" w:rsidR="00205F15" w:rsidRPr="00593A5F" w:rsidRDefault="00205F15" w:rsidP="00205F15">
      <w:pPr>
        <w:widowControl w:val="0"/>
        <w:autoSpaceDE w:val="0"/>
        <w:autoSpaceDN w:val="0"/>
        <w:spacing w:after="0" w:line="276" w:lineRule="auto"/>
        <w:jc w:val="both"/>
        <w:rPr>
          <w:rFonts w:ascii="Verdana" w:hAnsi="Verdana" w:cs="Arial"/>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04F468C" w14:textId="77777777" w:rsidR="00205F15" w:rsidRPr="00593A5F" w:rsidRDefault="00205F15" w:rsidP="00205F15">
      <w:pPr>
        <w:widowControl w:val="0"/>
        <w:autoSpaceDE w:val="0"/>
        <w:autoSpaceDN w:val="0"/>
        <w:spacing w:after="0" w:line="276" w:lineRule="auto"/>
        <w:jc w:val="both"/>
        <w:rPr>
          <w:rFonts w:ascii="Verdana" w:hAnsi="Verdana" w:cs="Arial"/>
        </w:rPr>
      </w:pPr>
    </w:p>
    <w:p w14:paraId="3C5243F9" w14:textId="77777777" w:rsidR="00205F15" w:rsidRPr="00593A5F" w:rsidRDefault="00205F15" w:rsidP="00205F1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B067C80" w14:textId="00C01025" w:rsidR="00205F15" w:rsidRPr="00593A5F" w:rsidRDefault="00035DA9" w:rsidP="00205F15">
      <w:pPr>
        <w:spacing w:line="276" w:lineRule="auto"/>
        <w:jc w:val="center"/>
        <w:rPr>
          <w:rFonts w:ascii="Verdana" w:hAnsi="Verdana" w:cs="Arial"/>
          <w:color w:val="000000"/>
          <w:lang w:val="es-ES_tradnl" w:eastAsia="es-CO"/>
        </w:rPr>
      </w:pPr>
      <w:r>
        <w:rPr>
          <w:noProof/>
        </w:rPr>
        <w:drawing>
          <wp:inline distT="0" distB="0" distL="0" distR="0" wp14:anchorId="633804A6" wp14:editId="771750C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5F15" w:rsidRPr="00593A5F" w14:paraId="35F3B122" w14:textId="77777777" w:rsidTr="00916988">
        <w:trPr>
          <w:trHeight w:val="315"/>
        </w:trPr>
        <w:tc>
          <w:tcPr>
            <w:tcW w:w="893" w:type="dxa"/>
            <w:vAlign w:val="center"/>
            <w:hideMark/>
          </w:tcPr>
          <w:p w14:paraId="02E31A90" w14:textId="77777777" w:rsidR="00205F15" w:rsidRPr="003751C7" w:rsidRDefault="00205F15" w:rsidP="0091698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D7EB48B" w14:textId="77777777" w:rsidR="00205F15" w:rsidRPr="00254A7A" w:rsidRDefault="00205F15" w:rsidP="0091698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0E1151C" w14:textId="77777777" w:rsidR="00205F15" w:rsidRPr="00254A7A" w:rsidRDefault="00205F15" w:rsidP="00916988">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205F15" w:rsidRPr="00593A5F" w14:paraId="0D4F0885" w14:textId="77777777" w:rsidTr="00916988">
        <w:trPr>
          <w:trHeight w:val="330"/>
        </w:trPr>
        <w:tc>
          <w:tcPr>
            <w:tcW w:w="893" w:type="dxa"/>
            <w:vAlign w:val="center"/>
            <w:hideMark/>
          </w:tcPr>
          <w:p w14:paraId="60DF36A6" w14:textId="77777777" w:rsidR="00205F15" w:rsidRPr="003751C7" w:rsidRDefault="00205F15" w:rsidP="0091698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405B37" w14:textId="77777777" w:rsidR="00205F15" w:rsidRPr="00FE00BE" w:rsidRDefault="00205F15" w:rsidP="00916988">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35F82FD0" w14:textId="77777777" w:rsidR="00205F15" w:rsidRPr="00FE00BE" w:rsidRDefault="00205F15" w:rsidP="00916988">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205F15" w:rsidRPr="00593A5F" w14:paraId="3BE65190" w14:textId="77777777" w:rsidTr="00916988">
        <w:trPr>
          <w:trHeight w:val="300"/>
        </w:trPr>
        <w:tc>
          <w:tcPr>
            <w:tcW w:w="893" w:type="dxa"/>
            <w:vAlign w:val="center"/>
          </w:tcPr>
          <w:p w14:paraId="2C069482" w14:textId="77777777" w:rsidR="00205F15" w:rsidRPr="003751C7" w:rsidRDefault="00205F15" w:rsidP="0091698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37C0FED" w14:textId="77777777" w:rsidR="00205F15" w:rsidRPr="00FE00BE" w:rsidRDefault="00205F15" w:rsidP="00916988">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197BC2A1" w14:textId="77777777" w:rsidR="00205F15" w:rsidRPr="00FE00BE" w:rsidRDefault="00205F15" w:rsidP="00916988">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157F75FD" w14:textId="77777777" w:rsidR="00875A22" w:rsidRPr="000E2B93" w:rsidRDefault="00875A22" w:rsidP="30821638">
      <w:pPr>
        <w:spacing w:after="0" w:line="240" w:lineRule="auto"/>
        <w:jc w:val="both"/>
        <w:textAlignment w:val="baseline"/>
        <w:rPr>
          <w:rFonts w:ascii="Verdana" w:eastAsia="Verdana" w:hAnsi="Verdana" w:cs="Verdana"/>
          <w:lang w:eastAsia="es-CO"/>
        </w:rPr>
      </w:pPr>
    </w:p>
    <w:p w14:paraId="69BC4D14" w14:textId="0700FAF4"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4E13191F" w:rsidR="00127233" w:rsidRPr="0015699B" w:rsidRDefault="00127233" w:rsidP="00875A22">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CFA99" w14:textId="77777777" w:rsidR="00992D9C" w:rsidRDefault="00992D9C" w:rsidP="004A1847">
      <w:pPr>
        <w:spacing w:after="0" w:line="240" w:lineRule="auto"/>
      </w:pPr>
      <w:r>
        <w:separator/>
      </w:r>
    </w:p>
  </w:endnote>
  <w:endnote w:type="continuationSeparator" w:id="0">
    <w:p w14:paraId="2ED678E2" w14:textId="77777777" w:rsidR="00992D9C" w:rsidRDefault="00992D9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4F7BBA"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4F7BBA">
      <w:rPr>
        <w:rFonts w:ascii="Verdana" w:eastAsia="Verdana" w:hAnsi="Verdana" w:cs="Verdana"/>
        <w:b/>
        <w:color w:val="000000" w:themeColor="text1"/>
        <w:sz w:val="18"/>
        <w:szCs w:val="18"/>
        <w:lang w:val="pt-BR" w:eastAsia="es-CO"/>
      </w:rPr>
      <w:t xml:space="preserve">Código: </w:t>
    </w:r>
    <w:r w:rsidRPr="004F7BBA">
      <w:rPr>
        <w:rFonts w:ascii="Verdana" w:eastAsia="Verdana" w:hAnsi="Verdana" w:cs="Verdana"/>
        <w:color w:val="000000" w:themeColor="text1"/>
        <w:sz w:val="18"/>
        <w:szCs w:val="18"/>
        <w:lang w:val="pt-BR" w:eastAsia="es-CO"/>
      </w:rPr>
      <w:t xml:space="preserve">CCE-REC-FM-17 </w:t>
    </w:r>
    <w:r w:rsidRPr="004F7BBA">
      <w:rPr>
        <w:rFonts w:ascii="Verdana" w:eastAsia="Verdana" w:hAnsi="Verdana" w:cs="Verdana"/>
        <w:b/>
        <w:color w:val="000000" w:themeColor="text1"/>
        <w:sz w:val="18"/>
        <w:szCs w:val="18"/>
        <w:lang w:val="pt-BR" w:eastAsia="es-CO"/>
      </w:rPr>
      <w:t xml:space="preserve">V: </w:t>
    </w:r>
    <w:r w:rsidRPr="004F7BBA">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F0B9B6" w14:textId="77777777" w:rsidR="00992D9C" w:rsidRDefault="00992D9C" w:rsidP="004A1847">
      <w:pPr>
        <w:spacing w:after="0" w:line="240" w:lineRule="auto"/>
      </w:pPr>
      <w:r>
        <w:separator/>
      </w:r>
    </w:p>
  </w:footnote>
  <w:footnote w:type="continuationSeparator" w:id="0">
    <w:p w14:paraId="25A15968" w14:textId="77777777" w:rsidR="00992D9C" w:rsidRDefault="00992D9C" w:rsidP="004A1847">
      <w:pPr>
        <w:spacing w:after="0" w:line="240" w:lineRule="auto"/>
      </w:pPr>
      <w:r>
        <w:continuationSeparator/>
      </w:r>
    </w:p>
  </w:footnote>
  <w:footnote w:id="1">
    <w:p w14:paraId="5140B810" w14:textId="77777777" w:rsidR="00205F15" w:rsidRPr="006C7BAC" w:rsidRDefault="00205F15" w:rsidP="00205F15">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AE2122F" w14:textId="77777777" w:rsidR="00205F15" w:rsidRPr="006C7BAC" w:rsidRDefault="00205F15" w:rsidP="00205F15">
      <w:pPr>
        <w:pStyle w:val="Textonotapie"/>
        <w:ind w:firstLine="709"/>
        <w:contextualSpacing/>
        <w:jc w:val="both"/>
        <w:rPr>
          <w:rFonts w:ascii="Verdana" w:hAnsi="Verdana" w:cs="Arial"/>
          <w:sz w:val="16"/>
          <w:szCs w:val="16"/>
        </w:rPr>
      </w:pPr>
      <w:r w:rsidRPr="006C7B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DE05CC9" w14:textId="77777777" w:rsidR="00205F15" w:rsidRPr="006C7BAC" w:rsidRDefault="00205F15" w:rsidP="00205F15">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Gaceta del Congreso de la República No. 71 del 2005.</w:t>
      </w:r>
    </w:p>
  </w:footnote>
  <w:footnote w:id="3">
    <w:p w14:paraId="735437F9" w14:textId="77777777" w:rsidR="00205F15" w:rsidRPr="00F3725C" w:rsidRDefault="00205F15" w:rsidP="00205F15">
      <w:pPr>
        <w:pStyle w:val="Textonotapie"/>
        <w:ind w:firstLine="709"/>
        <w:contextualSpacing/>
        <w:jc w:val="both"/>
        <w:rPr>
          <w:rFonts w:ascii="Verdana" w:hAnsi="Verdana" w:cs="Arial"/>
          <w:sz w:val="16"/>
          <w:szCs w:val="16"/>
          <w:lang w:val="pt-BR"/>
        </w:rPr>
      </w:pPr>
      <w:r w:rsidRPr="006C7BAC">
        <w:rPr>
          <w:rStyle w:val="Refdenotaalpie"/>
          <w:rFonts w:ascii="Verdana" w:hAnsi="Verdana" w:cs="Arial"/>
          <w:sz w:val="16"/>
          <w:szCs w:val="16"/>
        </w:rPr>
        <w:footnoteRef/>
      </w:r>
      <w:r w:rsidRPr="00F3725C">
        <w:rPr>
          <w:rFonts w:ascii="Verdana" w:hAnsi="Verdana" w:cs="Arial"/>
          <w:sz w:val="16"/>
          <w:szCs w:val="16"/>
          <w:lang w:val="pt-BR"/>
        </w:rPr>
        <w:t xml:space="preserve"> Corte Constitucional, Sentencia C- 1153 de 2005, M.P. Marco Gerardo Monroy Cabra.</w:t>
      </w:r>
    </w:p>
  </w:footnote>
  <w:footnote w:id="4">
    <w:p w14:paraId="00F44B10" w14:textId="77777777" w:rsidR="00205F15" w:rsidRPr="00F3725C" w:rsidRDefault="00205F15" w:rsidP="00205F15">
      <w:pPr>
        <w:pStyle w:val="Textonotapie"/>
        <w:ind w:firstLine="709"/>
        <w:contextualSpacing/>
        <w:jc w:val="both"/>
        <w:rPr>
          <w:rFonts w:ascii="Verdana" w:hAnsi="Verdana" w:cs="Arial"/>
          <w:sz w:val="16"/>
          <w:szCs w:val="16"/>
          <w:lang w:val="pt-BR"/>
        </w:rPr>
      </w:pPr>
      <w:r w:rsidRPr="006C7BAC">
        <w:rPr>
          <w:rStyle w:val="Refdenotaalpie"/>
          <w:rFonts w:ascii="Verdana" w:hAnsi="Verdana" w:cs="Arial"/>
          <w:sz w:val="16"/>
          <w:szCs w:val="16"/>
        </w:rPr>
        <w:footnoteRef/>
      </w:r>
      <w:r w:rsidRPr="00F3725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36F0652D" w14:textId="77777777" w:rsidR="00205F15" w:rsidRPr="006C7BAC" w:rsidRDefault="00205F15" w:rsidP="00205F15">
      <w:pPr>
        <w:pStyle w:val="Textonotapie"/>
        <w:ind w:firstLine="709"/>
        <w:contextualSpacing/>
        <w:jc w:val="both"/>
        <w:rPr>
          <w:rFonts w:ascii="Verdana" w:hAnsi="Verdana" w:cs="Arial"/>
          <w:sz w:val="16"/>
          <w:szCs w:val="16"/>
          <w:lang w:val="es-CO"/>
        </w:rPr>
      </w:pPr>
      <w:r w:rsidRPr="006C7BAC">
        <w:rPr>
          <w:rStyle w:val="Refdenotaalpie"/>
          <w:rFonts w:ascii="Verdana" w:hAnsi="Verdana" w:cs="Arial"/>
          <w:sz w:val="16"/>
          <w:szCs w:val="16"/>
        </w:rPr>
        <w:footnoteRef/>
      </w:r>
      <w:r w:rsidRPr="006C7B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F664A50" w14:textId="77777777" w:rsidR="00205F15" w:rsidRPr="006C7BAC" w:rsidRDefault="00205F15" w:rsidP="00205F15">
      <w:pPr>
        <w:pStyle w:val="Textonotapie"/>
        <w:ind w:firstLine="709"/>
        <w:contextualSpacing/>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523DB1A2" w14:textId="77777777" w:rsidR="00205F15" w:rsidRPr="006C7BAC" w:rsidRDefault="00205F15" w:rsidP="00205F15">
      <w:pPr>
        <w:spacing w:after="0" w:line="240" w:lineRule="auto"/>
        <w:ind w:firstLine="709"/>
        <w:contextualSpacing/>
        <w:jc w:val="both"/>
        <w:rPr>
          <w:rFonts w:ascii="Verdana" w:eastAsia="Times New Roman"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7" w:name="33"/>
      <w:r w:rsidRPr="006C7BAC">
        <w:rPr>
          <w:rFonts w:ascii="Verdana" w:eastAsia="Calibri" w:hAnsi="Verdana" w:cs="Arial"/>
          <w:color w:val="000000"/>
          <w:sz w:val="16"/>
          <w:szCs w:val="16"/>
        </w:rPr>
        <w:t>“</w:t>
      </w:r>
      <w:r w:rsidRPr="006C7BAC">
        <w:rPr>
          <w:rFonts w:ascii="Verdana" w:eastAsia="Times New Roman" w:hAnsi="Verdana" w:cs="Arial"/>
          <w:sz w:val="16"/>
          <w:szCs w:val="16"/>
        </w:rPr>
        <w:t>Artículo 33. Restricciones a la contratación pública.</w:t>
      </w:r>
      <w:bookmarkEnd w:id="7"/>
      <w:r w:rsidRPr="006C7B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23D47423" w14:textId="77777777" w:rsidR="00205F15" w:rsidRPr="006C7BAC" w:rsidRDefault="00205F15" w:rsidP="00205F15">
      <w:pPr>
        <w:spacing w:after="0" w:line="240" w:lineRule="auto"/>
        <w:ind w:firstLine="709"/>
        <w:contextualSpacing/>
        <w:jc w:val="both"/>
        <w:rPr>
          <w:rFonts w:ascii="Verdana" w:eastAsia="Times New Roman" w:hAnsi="Verdana" w:cs="Arial"/>
          <w:sz w:val="16"/>
          <w:szCs w:val="16"/>
        </w:rPr>
      </w:pPr>
      <w:r w:rsidRPr="006C7B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C7BAC">
        <w:rPr>
          <w:rFonts w:ascii="Verdana" w:eastAsia="Calibri" w:hAnsi="Verdana" w:cs="Arial"/>
          <w:color w:val="000000"/>
          <w:sz w:val="16"/>
          <w:szCs w:val="16"/>
        </w:rPr>
        <w:t>”</w:t>
      </w:r>
      <w:r w:rsidRPr="006C7BAC">
        <w:rPr>
          <w:rFonts w:ascii="Verdana" w:eastAsia="Times New Roman" w:hAnsi="Verdana" w:cs="Arial"/>
          <w:sz w:val="16"/>
          <w:szCs w:val="16"/>
        </w:rPr>
        <w:t>.</w:t>
      </w:r>
    </w:p>
  </w:footnote>
  <w:footnote w:id="8">
    <w:p w14:paraId="287825DA" w14:textId="77777777" w:rsidR="00205F15" w:rsidRPr="006C7BAC" w:rsidRDefault="00205F15" w:rsidP="00205F15">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8" w:name="38"/>
      <w:r w:rsidRPr="006C7BAC">
        <w:rPr>
          <w:rFonts w:ascii="Verdana" w:eastAsia="Calibri" w:hAnsi="Verdana" w:cs="Arial"/>
          <w:color w:val="000000"/>
          <w:sz w:val="16"/>
          <w:szCs w:val="16"/>
        </w:rPr>
        <w:t>“</w:t>
      </w:r>
      <w:r w:rsidRPr="006C7BAC">
        <w:rPr>
          <w:rFonts w:ascii="Verdana" w:hAnsi="Verdana" w:cs="Arial"/>
          <w:sz w:val="16"/>
          <w:szCs w:val="16"/>
          <w:lang w:val="es-MX"/>
        </w:rPr>
        <w:t>Artículo 38. Prohibiciones para los servidores públicos. A los empleados del Estado les está prohibido:</w:t>
      </w:r>
      <w:bookmarkEnd w:id="8"/>
    </w:p>
    <w:p w14:paraId="2450EC72" w14:textId="77777777" w:rsidR="00205F15" w:rsidRPr="006C7BAC" w:rsidRDefault="00205F15" w:rsidP="00205F15">
      <w:pPr>
        <w:pStyle w:val="NormalWeb"/>
        <w:spacing w:before="0" w:beforeAutospacing="0" w:after="0" w:afterAutospacing="0"/>
        <w:ind w:firstLine="709"/>
        <w:contextualSpacing/>
        <w:jc w:val="both"/>
        <w:rPr>
          <w:rFonts w:ascii="Verdana" w:hAnsi="Verdana" w:cs="Arial"/>
          <w:sz w:val="16"/>
          <w:szCs w:val="16"/>
          <w:lang w:val="es-MX"/>
        </w:rPr>
      </w:pPr>
      <w:r w:rsidRPr="006C7BAC">
        <w:rPr>
          <w:rFonts w:ascii="Verdana" w:hAnsi="Verdana" w:cs="Arial"/>
          <w:sz w:val="16"/>
          <w:szCs w:val="16"/>
          <w:lang w:val="es-MX"/>
        </w:rPr>
        <w:t>[…]</w:t>
      </w:r>
    </w:p>
    <w:p w14:paraId="4F8B997F" w14:textId="77777777" w:rsidR="00205F15" w:rsidRPr="006C7BAC" w:rsidRDefault="00205F15" w:rsidP="00205F15">
      <w:pPr>
        <w:pStyle w:val="NormalWeb"/>
        <w:spacing w:before="0" w:beforeAutospacing="0" w:after="0" w:afterAutospacing="0"/>
        <w:ind w:firstLine="709"/>
        <w:contextualSpacing/>
        <w:jc w:val="both"/>
        <w:rPr>
          <w:rFonts w:ascii="Verdana" w:hAnsi="Verdana" w:cs="Arial"/>
          <w:sz w:val="16"/>
          <w:szCs w:val="16"/>
          <w:lang w:val="es-MX"/>
        </w:rPr>
      </w:pPr>
      <w:r w:rsidRPr="006C7BAC">
        <w:rPr>
          <w:rStyle w:val="baj"/>
          <w:rFonts w:ascii="Verdana" w:eastAsiaTheme="minorEastAsia" w:hAnsi="Verdana" w:cs="Arial"/>
          <w:sz w:val="16"/>
          <w:szCs w:val="16"/>
          <w:lang w:val="es-MX"/>
        </w:rPr>
        <w:t>Parágrafo.</w:t>
      </w:r>
      <w:r w:rsidRPr="006C7B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C7BAC">
        <w:rPr>
          <w:rFonts w:ascii="Verdana" w:eastAsia="Calibri" w:hAnsi="Verdana" w:cs="Arial"/>
          <w:color w:val="000000"/>
          <w:sz w:val="16"/>
          <w:szCs w:val="16"/>
        </w:rPr>
        <w:t>”</w:t>
      </w:r>
      <w:r w:rsidRPr="006C7BAC">
        <w:rPr>
          <w:rFonts w:ascii="Verdana" w:hAnsi="Verdana" w:cs="Arial"/>
          <w:sz w:val="16"/>
          <w:szCs w:val="16"/>
          <w:lang w:val="es-MX"/>
        </w:rPr>
        <w:t>.</w:t>
      </w:r>
    </w:p>
  </w:footnote>
  <w:footnote w:id="9">
    <w:p w14:paraId="398C6CF0" w14:textId="77777777" w:rsidR="00205F15" w:rsidRPr="006C7BAC" w:rsidRDefault="00205F15" w:rsidP="00205F15">
      <w:pPr>
        <w:spacing w:after="0" w:line="240" w:lineRule="auto"/>
        <w:ind w:left="100" w:right="244" w:firstLine="709"/>
        <w:contextualSpacing/>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5B3BF7D2" w14:textId="77777777" w:rsidR="00205F15" w:rsidRPr="006C7BAC" w:rsidRDefault="00205F15" w:rsidP="00205F15">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[25] </w:t>
      </w:r>
      <w:r w:rsidRPr="006C7BAC">
        <w:rPr>
          <w:rFonts w:ascii="Verdana" w:hAnsi="Verdana" w:cs="Arial"/>
          <w:sz w:val="16"/>
          <w:szCs w:val="16"/>
        </w:rPr>
        <w:t>Cfr. Consejo de Estado. Sección Tercera. Sentencia de 3 de diciembre de 2007. Radicados: 24.715, 25.206, 25.409, 24.524, 27.834, 25.410, 26.105, 28.244, 31.447 -acumulados-”.</w:t>
      </w:r>
    </w:p>
  </w:footnote>
  <w:footnote w:id="11">
    <w:p w14:paraId="269F1BD1" w14:textId="77777777" w:rsidR="00205F15" w:rsidRPr="006C7BAC" w:rsidRDefault="00205F15" w:rsidP="00205F15">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[26] </w:t>
      </w:r>
      <w:r w:rsidRPr="006C7BAC">
        <w:rPr>
          <w:rFonts w:ascii="Verdana" w:hAnsi="Verdana" w:cs="Arial"/>
          <w:sz w:val="16"/>
          <w:szCs w:val="16"/>
        </w:rPr>
        <w:t>Al respecto ver el concepto 1712 de 2 de febrero de 2006. Consejo de Estado Sala de Consulta y Servicio Civil”.</w:t>
      </w:r>
    </w:p>
  </w:footnote>
  <w:footnote w:id="12">
    <w:p w14:paraId="40FAE350" w14:textId="77777777" w:rsidR="00205F15" w:rsidRPr="006C7BAC" w:rsidRDefault="00205F15" w:rsidP="00205F15">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73EF4B5A" w14:textId="77777777" w:rsidR="00205F15" w:rsidRPr="006C7BAC" w:rsidRDefault="00205F15" w:rsidP="00205F15">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sz w:val="16"/>
          <w:szCs w:val="16"/>
          <w:lang w:val="es-ES"/>
        </w:rPr>
        <w:t xml:space="preserve">Artículo 2. </w:t>
      </w:r>
    </w:p>
  </w:footnote>
  <w:footnote w:id="14">
    <w:p w14:paraId="3E2AACFD" w14:textId="77777777" w:rsidR="00205F15" w:rsidRPr="006C7BAC" w:rsidRDefault="00205F15" w:rsidP="00205F15">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Fonts w:ascii="Verdana" w:hAnsi="Verdana" w:cs="Arial"/>
          <w:sz w:val="16"/>
          <w:szCs w:val="16"/>
        </w:rPr>
        <w:t xml:space="preserve"> </w:t>
      </w:r>
      <w:r w:rsidRPr="006C7BAC">
        <w:rPr>
          <w:rFonts w:ascii="Verdana" w:hAnsi="Verdana" w:cs="Arial"/>
          <w:i/>
          <w:sz w:val="16"/>
          <w:szCs w:val="16"/>
          <w:lang w:val="es-ES"/>
        </w:rPr>
        <w:t>Ibidem</w:t>
      </w:r>
      <w:r w:rsidRPr="006C7BAC">
        <w:rPr>
          <w:rFonts w:ascii="Verdana" w:hAnsi="Verdana" w:cs="Arial"/>
          <w:sz w:val="16"/>
          <w:szCs w:val="16"/>
          <w:lang w:val="es-ES"/>
        </w:rPr>
        <w:t>.</w:t>
      </w:r>
    </w:p>
  </w:footnote>
  <w:footnote w:id="15">
    <w:p w14:paraId="063B31F7" w14:textId="77777777" w:rsidR="00205F15" w:rsidRPr="006C7BAC" w:rsidRDefault="00205F15" w:rsidP="00205F15">
      <w:pPr>
        <w:pStyle w:val="Textonotapie"/>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27F89238" w14:textId="77777777" w:rsidR="00205F15" w:rsidRPr="006C7BAC" w:rsidRDefault="00205F15" w:rsidP="00205F15">
      <w:pPr>
        <w:shd w:val="clear" w:color="auto" w:fill="FFFFFF"/>
        <w:spacing w:after="0"/>
        <w:ind w:firstLine="709"/>
        <w:jc w:val="both"/>
        <w:rPr>
          <w:rFonts w:ascii="Verdana" w:hAnsi="Verdana" w:cs="Arial"/>
          <w:sz w:val="16"/>
          <w:szCs w:val="16"/>
          <w:lang w:val="es-ES"/>
        </w:rPr>
      </w:pPr>
      <w:r w:rsidRPr="006C7BAC">
        <w:rPr>
          <w:rStyle w:val="Refdenotaalpie"/>
          <w:rFonts w:ascii="Verdana" w:hAnsi="Verdana" w:cs="Arial"/>
          <w:sz w:val="16"/>
          <w:szCs w:val="16"/>
        </w:rPr>
        <w:footnoteRef/>
      </w:r>
      <w:r w:rsidRPr="006C7BAC">
        <w:rPr>
          <w:rStyle w:val="Refdenotaalpie"/>
          <w:rFonts w:ascii="Verdana" w:hAnsi="Verdana" w:cs="Arial"/>
          <w:sz w:val="16"/>
          <w:szCs w:val="16"/>
        </w:rPr>
        <w:t xml:space="preserve"> </w:t>
      </w:r>
      <w:r w:rsidRPr="006C7BAC">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060E3EBF" w14:textId="77777777" w:rsidR="00205F15" w:rsidRPr="006C7BAC" w:rsidRDefault="00205F15" w:rsidP="00205F15">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08 de mayo de 2018. Exp. 2.382. C.P. Álvaro Namén Vargas.</w:t>
      </w:r>
    </w:p>
  </w:footnote>
  <w:footnote w:id="18">
    <w:p w14:paraId="6B89D50A" w14:textId="77777777" w:rsidR="00205F15" w:rsidRPr="006C7BAC" w:rsidRDefault="00205F15" w:rsidP="00205F15">
      <w:pPr>
        <w:pStyle w:val="Textonotapie"/>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21BECE8E" w14:textId="77777777" w:rsidR="00205F15" w:rsidRPr="006C7BAC" w:rsidRDefault="00205F15" w:rsidP="00205F15">
      <w:pPr>
        <w:spacing w:after="0"/>
        <w:ind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0">
    <w:p w14:paraId="3006E30C" w14:textId="77777777" w:rsidR="00205F15" w:rsidRPr="006C7BAC" w:rsidRDefault="00205F15" w:rsidP="00205F15">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w:t>
      </w:r>
      <w:bookmarkStart w:id="19" w:name="_Hlk75633115"/>
      <w:r w:rsidRPr="006C7BAC">
        <w:rPr>
          <w:rFonts w:ascii="Verdana" w:hAnsi="Verdana" w:cs="Arial"/>
          <w:sz w:val="16"/>
          <w:szCs w:val="16"/>
        </w:rPr>
        <w:t xml:space="preserve">Consejo de Estado. Sala de Consulta y Servicio Civil. Concepto </w:t>
      </w:r>
      <w:bookmarkEnd w:id="19"/>
      <w:r w:rsidRPr="006C7BAC">
        <w:rPr>
          <w:rFonts w:ascii="Verdana" w:hAnsi="Verdana" w:cs="Arial"/>
          <w:sz w:val="16"/>
          <w:szCs w:val="16"/>
        </w:rPr>
        <w:t>de 6 de abril de 2006. Radicación Número: 11001-03-06-000-2006-00038-00(1738). Consejero Ponente: Enrique José Arboleda Perdomo:</w:t>
      </w:r>
      <w:r w:rsidRPr="006C7BAC">
        <w:rPr>
          <w:rFonts w:ascii="Verdana" w:eastAsia="Times New Roman" w:hAnsi="Verdana" w:cs="Arial"/>
          <w:bCs/>
          <w:sz w:val="16"/>
          <w:szCs w:val="16"/>
          <w:lang w:eastAsia="x-none"/>
        </w:rPr>
        <w:t xml:space="preserve"> “</w:t>
      </w:r>
      <w:r w:rsidRPr="006C7B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6C7BAC">
        <w:rPr>
          <w:rFonts w:ascii="Verdana" w:eastAsia="Times New Roman" w:hAnsi="Verdana" w:cs="Arial"/>
          <w:bCs/>
          <w:sz w:val="16"/>
          <w:szCs w:val="16"/>
          <w:lang w:eastAsia="x-none"/>
        </w:rPr>
        <w:t>”.</w:t>
      </w:r>
    </w:p>
  </w:footnote>
  <w:footnote w:id="21">
    <w:p w14:paraId="13410573" w14:textId="77777777" w:rsidR="00205F15" w:rsidRPr="006C7BAC" w:rsidRDefault="00205F15" w:rsidP="00205F15">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2">
    <w:p w14:paraId="407AC832" w14:textId="77777777" w:rsidR="00205F15" w:rsidRPr="006C7BAC" w:rsidRDefault="00205F15" w:rsidP="00205F15">
      <w:pPr>
        <w:pStyle w:val="Textonotapie"/>
        <w:ind w:right="51" w:firstLine="709"/>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w:t>
      </w:r>
      <w:r w:rsidRPr="006C7BAC">
        <w:rPr>
          <w:rFonts w:ascii="Verdana" w:hAnsi="Verdana" w:cs="Arial"/>
          <w:i/>
          <w:iCs/>
          <w:sz w:val="16"/>
          <w:szCs w:val="16"/>
        </w:rPr>
        <w:t>ibidem</w:t>
      </w:r>
      <w:r w:rsidRPr="006C7BAC">
        <w:rPr>
          <w:rFonts w:ascii="Verdana" w:hAnsi="Verdana" w:cs="Arial"/>
          <w:sz w:val="16"/>
          <w:szCs w:val="16"/>
        </w:rPr>
        <w:t>.</w:t>
      </w:r>
    </w:p>
  </w:footnote>
  <w:footnote w:id="23">
    <w:p w14:paraId="415F0194" w14:textId="77777777" w:rsidR="00205F15" w:rsidRPr="006C7BAC" w:rsidRDefault="00205F15" w:rsidP="00205F15">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Consejo de Estado. Sala de Consulta y Servicio Civil. Concepto del 18 de febrero 2010. Rad. 11001-03-06-000-2010-00006-00 (1985). C.P. Enrique José Arboleda Perdomo.</w:t>
      </w:r>
    </w:p>
  </w:footnote>
  <w:footnote w:id="24">
    <w:p w14:paraId="74CC5551" w14:textId="77777777" w:rsidR="00205F15" w:rsidRPr="006C7BAC" w:rsidRDefault="00205F15" w:rsidP="00205F15">
      <w:pPr>
        <w:pStyle w:val="Textonotapie"/>
        <w:ind w:firstLine="708"/>
        <w:jc w:val="both"/>
        <w:rPr>
          <w:rFonts w:ascii="Verdana" w:hAnsi="Verdana" w:cs="Arial"/>
          <w:sz w:val="16"/>
          <w:szCs w:val="16"/>
        </w:rPr>
      </w:pPr>
      <w:r w:rsidRPr="006C7BAC">
        <w:rPr>
          <w:rStyle w:val="Refdenotaalpie"/>
          <w:rFonts w:ascii="Verdana" w:hAnsi="Verdana" w:cs="Arial"/>
          <w:sz w:val="16"/>
          <w:szCs w:val="16"/>
        </w:rPr>
        <w:footnoteRef/>
      </w:r>
      <w:r w:rsidRPr="006C7BAC">
        <w:rPr>
          <w:rFonts w:ascii="Verdana" w:hAnsi="Verdana" w:cs="Arial"/>
          <w:sz w:val="16"/>
          <w:szCs w:val="16"/>
        </w:rPr>
        <w:t xml:space="preserve"> Corte Constitucional. Sentencia C-1153 de 2005 M.P. Marco Gerardo Monroy Cabra. </w:t>
      </w:r>
    </w:p>
  </w:footnote>
  <w:footnote w:id="25">
    <w:p w14:paraId="5DF1FA5D" w14:textId="77777777" w:rsidR="00205F15" w:rsidRPr="006C7BAC" w:rsidRDefault="00205F15" w:rsidP="00205F15">
      <w:pPr>
        <w:pStyle w:val="Textonotapie"/>
        <w:ind w:firstLine="708"/>
        <w:jc w:val="both"/>
        <w:rPr>
          <w:rFonts w:ascii="Verdana" w:hAnsi="Verdana"/>
          <w:sz w:val="16"/>
          <w:szCs w:val="16"/>
          <w:lang w:val="es-CO"/>
        </w:rPr>
      </w:pPr>
      <w:r w:rsidRPr="006C7BAC">
        <w:rPr>
          <w:rStyle w:val="Refdenotaalpie"/>
          <w:rFonts w:ascii="Verdana" w:hAnsi="Verdana"/>
          <w:sz w:val="16"/>
          <w:szCs w:val="16"/>
        </w:rPr>
        <w:footnoteRef/>
      </w:r>
      <w:r w:rsidRPr="006C7BA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C7BAC">
        <w:rPr>
          <w:rFonts w:ascii="Verdana" w:hAnsi="Verdana"/>
          <w:i/>
          <w:iCs/>
          <w:sz w:val="16"/>
          <w:szCs w:val="16"/>
        </w:rPr>
        <w:t>las palabras de la ley se entenderán en su sentido natural y obvio, según el uso general de las mismas palabras</w:t>
      </w:r>
      <w:r w:rsidRPr="006C7BAC">
        <w:rPr>
          <w:rFonts w:ascii="Verdana" w:hAnsi="Verdana"/>
          <w:sz w:val="16"/>
          <w:szCs w:val="16"/>
        </w:rPr>
        <w:t>’, es decir, el uso de la gente educada. El Diccionario de la Lengua publicado por la Real Academia Española goza a este respecto de gran autoridad. ‘</w:t>
      </w:r>
      <w:r w:rsidRPr="006C7BAC">
        <w:rPr>
          <w:rFonts w:ascii="Verdana" w:hAnsi="Verdana"/>
          <w:i/>
          <w:iCs/>
          <w:sz w:val="16"/>
          <w:szCs w:val="16"/>
        </w:rPr>
        <w:t>Pero cuando el legislador</w:t>
      </w:r>
      <w:r w:rsidRPr="006C7BAC">
        <w:rPr>
          <w:rFonts w:ascii="Verdana" w:hAnsi="Verdana"/>
          <w:sz w:val="16"/>
          <w:szCs w:val="16"/>
        </w:rPr>
        <w:t xml:space="preserve">, agrega el artículo 20, </w:t>
      </w:r>
      <w:r w:rsidRPr="006C7BAC">
        <w:rPr>
          <w:rFonts w:ascii="Verdana" w:hAnsi="Verdana"/>
          <w:i/>
          <w:iCs/>
          <w:sz w:val="16"/>
          <w:szCs w:val="16"/>
        </w:rPr>
        <w:t>las haya definido expresamente para ciertas materias se les dará en éstas su significado legal</w:t>
      </w:r>
      <w:r w:rsidRPr="006C7BA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26">
    <w:p w14:paraId="271E97E1" w14:textId="77777777" w:rsidR="00205F15" w:rsidRPr="00817BE8" w:rsidRDefault="00205F15" w:rsidP="00205F15">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La jurisprudencia delimita su sentido y alcance de la siguiente manera –</w:t>
      </w:r>
      <w:r w:rsidRPr="00817BE8">
        <w:rPr>
          <w:rFonts w:ascii="Verdana" w:hAnsi="Verdana" w:cs="Arial"/>
          <w:sz w:val="16"/>
          <w:szCs w:val="16"/>
          <w:lang w:val="es-ES"/>
        </w:rPr>
        <w:t>CORTE SUPREMA DE JUSTICIA. Sala de Casación Civil. Sentencia 20 de noviembre de 1989. MP. Alberto Ospina Botero. Publicada en la Gaceta Judicial. Tomo CXCVI. N° 2435. p. 93</w:t>
      </w:r>
      <w:r w:rsidRPr="00817BE8">
        <w:rPr>
          <w:rFonts w:ascii="Verdana" w:hAnsi="Verdana" w:cs="Arial"/>
          <w:sz w:val="16"/>
          <w:szCs w:val="16"/>
          <w:lang w:val="es-ES_tradnl"/>
        </w:rPr>
        <w:t>–:</w:t>
      </w:r>
    </w:p>
    <w:p w14:paraId="5BB56143" w14:textId="77777777" w:rsidR="00205F15" w:rsidRPr="00817BE8" w:rsidRDefault="00205F15" w:rsidP="00205F15">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“6. […] la fuerza mayor o caso fortuito se configura por la concurrencia de dos factores:</w:t>
      </w:r>
    </w:p>
    <w:p w14:paraId="58612EF7" w14:textId="77777777" w:rsidR="00205F15" w:rsidRPr="00817BE8" w:rsidRDefault="00205F15" w:rsidP="00205F15">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23539B97" w14:textId="77777777" w:rsidR="00205F15" w:rsidRPr="00817BE8" w:rsidRDefault="00205F15" w:rsidP="00205F15">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b) Que el hecho sea irresistible, o sea, que el agente no pueda evitar su acaecimiento ni superar sus consecuencias.</w:t>
      </w:r>
    </w:p>
    <w:p w14:paraId="5984ABDF" w14:textId="77777777" w:rsidR="00205F15" w:rsidRPr="00817BE8" w:rsidRDefault="00205F15" w:rsidP="00205F15">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51C276CF" w14:textId="77777777" w:rsidR="00205F15" w:rsidRPr="00817BE8" w:rsidRDefault="00205F15" w:rsidP="00205F15">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C54B326" w14:textId="77777777" w:rsidR="00205F15" w:rsidRPr="00817BE8" w:rsidRDefault="00205F15" w:rsidP="00205F15">
      <w:pPr>
        <w:spacing w:after="0" w:line="240" w:lineRule="auto"/>
        <w:ind w:right="49"/>
        <w:jc w:val="both"/>
        <w:rPr>
          <w:rFonts w:ascii="Verdana" w:eastAsia="Calibri" w:hAnsi="Verdana" w:cs="Arial"/>
          <w:sz w:val="16"/>
          <w:szCs w:val="16"/>
          <w:lang w:val="es-ES_tradnl"/>
        </w:rPr>
      </w:pPr>
      <w:r w:rsidRPr="00817BE8">
        <w:rPr>
          <w:rFonts w:ascii="Verdana" w:eastAsia="Calibri" w:hAnsi="Verdana" w:cs="Arial"/>
          <w:sz w:val="16"/>
          <w:szCs w:val="16"/>
          <w:lang w:val="es-ES_tradnl"/>
        </w:rPr>
        <w:t>[…]</w:t>
      </w:r>
    </w:p>
    <w:p w14:paraId="48698B60" w14:textId="77777777" w:rsidR="00205F15" w:rsidRPr="00817BE8" w:rsidRDefault="00205F15" w:rsidP="00205F15">
      <w:pPr>
        <w:pStyle w:val="Textonotapie"/>
        <w:ind w:right="49" w:firstLine="708"/>
        <w:jc w:val="both"/>
        <w:rPr>
          <w:rFonts w:ascii="Verdana" w:hAnsi="Verdana" w:cs="Arial"/>
          <w:sz w:val="16"/>
          <w:szCs w:val="16"/>
          <w:lang w:val="es-CO"/>
        </w:rPr>
      </w:pPr>
      <w:r w:rsidRPr="00817BE8">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7">
    <w:p w14:paraId="1414C229" w14:textId="77777777" w:rsidR="00205F15" w:rsidRPr="00817BE8" w:rsidRDefault="00205F15" w:rsidP="00205F15">
      <w:pPr>
        <w:pStyle w:val="Textonotapie"/>
        <w:ind w:firstLine="708"/>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7B696207" w14:textId="77777777" w:rsidR="00205F15" w:rsidRPr="00817BE8" w:rsidRDefault="00205F15" w:rsidP="00205F15">
      <w:pPr>
        <w:pStyle w:val="Textonotapie"/>
        <w:ind w:firstLine="708"/>
        <w:jc w:val="both"/>
        <w:rPr>
          <w:rFonts w:ascii="Verdana" w:hAnsi="Verdana" w:cs="Arial"/>
          <w:sz w:val="16"/>
          <w:szCs w:val="16"/>
          <w:lang w:val="es-ES"/>
        </w:rPr>
      </w:pPr>
      <w:r w:rsidRPr="00817BE8">
        <w:rPr>
          <w:rFonts w:ascii="Verdana" w:hAnsi="Verdana" w:cs="Arial"/>
          <w:sz w:val="16"/>
          <w:szCs w:val="16"/>
          <w:lang w:val="es-ES"/>
        </w:rPr>
        <w:t>1. Nacional. Existirá una situación de desastre nacional:</w:t>
      </w:r>
    </w:p>
    <w:p w14:paraId="14E29D28" w14:textId="77777777" w:rsidR="00205F15" w:rsidRPr="00817BE8" w:rsidRDefault="00205F15" w:rsidP="00205F15">
      <w:pPr>
        <w:pStyle w:val="Textonotapie"/>
        <w:ind w:firstLine="708"/>
        <w:jc w:val="both"/>
        <w:rPr>
          <w:rFonts w:ascii="Verdana" w:hAnsi="Verdana" w:cs="Arial"/>
          <w:sz w:val="16"/>
          <w:szCs w:val="16"/>
          <w:lang w:val="es-ES"/>
        </w:rPr>
      </w:pPr>
      <w:r w:rsidRPr="00817BE8">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54B3CFB0" w14:textId="77777777" w:rsidR="00205F15" w:rsidRPr="00817BE8" w:rsidRDefault="00205F15" w:rsidP="00205F15">
      <w:pPr>
        <w:pStyle w:val="Textonotapie"/>
        <w:ind w:firstLine="708"/>
        <w:jc w:val="both"/>
        <w:rPr>
          <w:rFonts w:ascii="Verdana" w:hAnsi="Verdana" w:cs="Arial"/>
          <w:sz w:val="16"/>
          <w:szCs w:val="16"/>
          <w:lang w:val="es-ES"/>
        </w:rPr>
      </w:pPr>
      <w:r w:rsidRPr="00817BE8">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113369B5" w14:textId="77777777" w:rsidR="00205F15" w:rsidRPr="00817BE8" w:rsidRDefault="00205F15" w:rsidP="00205F15">
      <w:pPr>
        <w:pStyle w:val="Textonotapie"/>
        <w:ind w:firstLine="708"/>
        <w:jc w:val="both"/>
        <w:rPr>
          <w:rFonts w:ascii="Verdana" w:hAnsi="Verdana" w:cs="Arial"/>
          <w:sz w:val="16"/>
          <w:szCs w:val="16"/>
          <w:lang w:val="es-ES"/>
        </w:rPr>
      </w:pPr>
      <w:r w:rsidRPr="00817BE8">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7C6B0544" w14:textId="77777777" w:rsidR="00205F15" w:rsidRPr="00817BE8" w:rsidRDefault="00205F15" w:rsidP="00205F15">
      <w:pPr>
        <w:pStyle w:val="Textonotapie"/>
        <w:ind w:firstLine="708"/>
        <w:jc w:val="both"/>
        <w:rPr>
          <w:rFonts w:ascii="Verdana" w:hAnsi="Verdana" w:cs="Arial"/>
          <w:sz w:val="16"/>
          <w:szCs w:val="16"/>
          <w:lang w:val="es-ES"/>
        </w:rPr>
      </w:pPr>
      <w:r w:rsidRPr="00817BE8">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30B5EA9B" w14:textId="77777777" w:rsidR="00205F15" w:rsidRPr="00817BE8" w:rsidRDefault="00205F15" w:rsidP="00205F15">
      <w:pPr>
        <w:pStyle w:val="Textonotapie"/>
        <w:ind w:firstLine="708"/>
        <w:jc w:val="both"/>
        <w:rPr>
          <w:rFonts w:ascii="Verdana" w:hAnsi="Verdana" w:cs="Arial"/>
          <w:sz w:val="16"/>
          <w:szCs w:val="16"/>
          <w:lang w:val="es-ES"/>
        </w:rPr>
      </w:pPr>
      <w:r w:rsidRPr="00817BE8">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8">
    <w:p w14:paraId="4DF5FB2C" w14:textId="77777777" w:rsidR="00205F15" w:rsidRPr="00817BE8" w:rsidRDefault="00205F15" w:rsidP="00205F15">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Artículo 57. Declaratoria de situación de calamidad pública. </w:t>
      </w:r>
      <w:bookmarkStart w:id="28" w:name="_Hlk132729568"/>
      <w:r w:rsidRPr="00817BE8">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28"/>
      <w:r w:rsidRPr="00817BE8">
        <w:rPr>
          <w:rFonts w:ascii="Verdana" w:hAnsi="Verdana" w:cs="Arial"/>
          <w:sz w:val="16"/>
          <w:szCs w:val="16"/>
          <w:lang w:val="es-ES"/>
        </w:rPr>
        <w:t>”.</w:t>
      </w:r>
    </w:p>
  </w:footnote>
  <w:footnote w:id="29">
    <w:p w14:paraId="70B1B008" w14:textId="77777777" w:rsidR="00205F15" w:rsidRPr="00C91DFD" w:rsidRDefault="00205F15" w:rsidP="00205F15">
      <w:pPr>
        <w:pStyle w:val="Textonotapie"/>
        <w:ind w:firstLine="708"/>
        <w:jc w:val="both"/>
        <w:rPr>
          <w:rFonts w:ascii="Verdana" w:hAnsi="Verdana"/>
          <w:sz w:val="16"/>
          <w:szCs w:val="16"/>
          <w:lang w:val="es-CO"/>
        </w:rPr>
      </w:pPr>
      <w:r w:rsidRPr="00C91DFD">
        <w:rPr>
          <w:rStyle w:val="Refdenotaalpie"/>
          <w:rFonts w:ascii="Verdana" w:hAnsi="Verdana"/>
          <w:sz w:val="16"/>
          <w:szCs w:val="16"/>
        </w:rPr>
        <w:footnoteRef/>
      </w:r>
      <w:r w:rsidRPr="00C91DFD">
        <w:rPr>
          <w:rFonts w:ascii="Verdana" w:hAnsi="Verdana"/>
          <w:sz w:val="16"/>
          <w:szCs w:val="16"/>
        </w:rPr>
        <w:t xml:space="preserve"> </w:t>
      </w:r>
      <w:r>
        <w:rPr>
          <w:rFonts w:ascii="Verdana" w:hAnsi="Verdana"/>
          <w:sz w:val="16"/>
          <w:szCs w:val="16"/>
        </w:rPr>
        <w:t>El inciso primero del artículo 215 de la Constitución Política de 1991 dispone que “</w:t>
      </w:r>
      <w:r w:rsidRPr="00C91DFD">
        <w:rPr>
          <w:rFonts w:ascii="Verdana" w:hAnsi="Verdana"/>
          <w:i/>
          <w:iCs/>
          <w:sz w:val="16"/>
          <w:szCs w:val="16"/>
        </w:rPr>
        <w:t>Cuando sobrevengan hechos distintos de los previstos en los artículos 212 y 213</w:t>
      </w:r>
      <w:r w:rsidRPr="00C91DFD">
        <w:rPr>
          <w:rFonts w:ascii="Verdana" w:hAnsi="Verdana"/>
          <w:sz w:val="16"/>
          <w:szCs w:val="16"/>
        </w:rPr>
        <w:t xml:space="preserve"> que perturben o amenacen perturbar en forma grave e inminente el orden económico, social y ecológico del país, o que </w:t>
      </w:r>
      <w:r w:rsidRPr="00C91DFD">
        <w:rPr>
          <w:rFonts w:ascii="Verdana" w:hAnsi="Verdana"/>
          <w:i/>
          <w:iCs/>
          <w:sz w:val="16"/>
          <w:szCs w:val="16"/>
        </w:rPr>
        <w:t>constituyan grave calamidad pública, podrá el Presidente, con la firma de todos los ministros, declarar el Estado de Emergencia</w:t>
      </w:r>
      <w:r w:rsidRPr="00C91DFD">
        <w:rPr>
          <w:rFonts w:ascii="Verdana" w:hAnsi="Verdana"/>
          <w:sz w:val="16"/>
          <w:szCs w:val="16"/>
        </w:rPr>
        <w:t xml:space="preserve"> por períodos hasta de treinta días en cada caso, que sumados no podrán exceder de noventa días en el año calendario</w:t>
      </w:r>
      <w:r>
        <w:rPr>
          <w:rFonts w:ascii="Verdana" w:hAnsi="Verdana"/>
          <w:sz w:val="16"/>
          <w:szCs w:val="16"/>
        </w:rPr>
        <w:t>” (Énfasis fuera de texto)</w:t>
      </w:r>
      <w:r w:rsidRPr="00C91DFD">
        <w:rPr>
          <w:rFonts w:ascii="Verdana" w:hAnsi="Verdana"/>
          <w:sz w:val="16"/>
          <w:szCs w:val="16"/>
        </w:rPr>
        <w:t>.</w:t>
      </w:r>
    </w:p>
  </w:footnote>
  <w:footnote w:id="30">
    <w:p w14:paraId="6BBB1612" w14:textId="77777777" w:rsidR="00205F15" w:rsidRPr="00EB55BC" w:rsidRDefault="00205F15" w:rsidP="00205F15">
      <w:pPr>
        <w:pStyle w:val="Textonotapie"/>
        <w:ind w:firstLine="708"/>
        <w:jc w:val="both"/>
        <w:rPr>
          <w:rFonts w:ascii="Verdana" w:hAnsi="Verdana"/>
          <w:sz w:val="16"/>
          <w:szCs w:val="16"/>
          <w:lang w:val="es-CO"/>
        </w:rPr>
      </w:pPr>
      <w:r w:rsidRPr="00EB55BC">
        <w:rPr>
          <w:rStyle w:val="Refdenotaalpie"/>
          <w:rFonts w:ascii="Verdana" w:hAnsi="Verdana"/>
          <w:sz w:val="16"/>
          <w:szCs w:val="16"/>
        </w:rPr>
        <w:footnoteRef/>
      </w:r>
      <w:r w:rsidRPr="00EB55BC">
        <w:rPr>
          <w:rFonts w:ascii="Verdana" w:hAnsi="Verdana"/>
          <w:sz w:val="16"/>
          <w:szCs w:val="16"/>
        </w:rPr>
        <w:t xml:space="preserve"> </w:t>
      </w:r>
      <w:r>
        <w:rPr>
          <w:rFonts w:ascii="Verdana" w:hAnsi="Verdana"/>
          <w:sz w:val="16"/>
          <w:szCs w:val="16"/>
        </w:rPr>
        <w:t>E</w:t>
      </w:r>
      <w:r w:rsidRPr="00EB55BC">
        <w:rPr>
          <w:rFonts w:ascii="Verdana" w:hAnsi="Verdana"/>
          <w:sz w:val="16"/>
          <w:szCs w:val="16"/>
        </w:rPr>
        <w:t>l literal a) del artículo 2.1 de la Ley 80 de 1993</w:t>
      </w:r>
      <w:r>
        <w:rPr>
          <w:rFonts w:ascii="Verdana" w:hAnsi="Verdana"/>
          <w:sz w:val="16"/>
          <w:szCs w:val="16"/>
        </w:rPr>
        <w:t xml:space="preserve"> dispone que, para efectos de la aplicación del Estatuto General de Constratación de la Administración Pública, son entidades estatales “</w:t>
      </w:r>
      <w:r w:rsidRPr="00EB55BC">
        <w:rPr>
          <w:rFonts w:ascii="Verdana" w:hAnsi="Verdana"/>
          <w:sz w:val="16"/>
          <w:szCs w:val="16"/>
        </w:rPr>
        <w:t xml:space="preserve">La Nación, las regiones, los departamentos, las provincias, el distrito capital y los distritos especiales, las áreas metropolitanas, las asociaciones de municipios, los territorios indígenas y los municipios; </w:t>
      </w:r>
      <w:r w:rsidRPr="00EB55BC">
        <w:rPr>
          <w:rFonts w:ascii="Verdana" w:hAnsi="Verdana"/>
          <w:i/>
          <w:iCs/>
          <w:sz w:val="16"/>
          <w:szCs w:val="16"/>
        </w:rPr>
        <w:t>los establecimientos públicos</w:t>
      </w:r>
      <w:r w:rsidRPr="00EB55BC">
        <w:rPr>
          <w:rFonts w:ascii="Verdana" w:hAnsi="Verdana"/>
          <w:sz w:val="16"/>
          <w:szCs w:val="16"/>
        </w:rPr>
        <w:t>,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r>
        <w:rPr>
          <w:rFonts w:ascii="Verdana" w:hAnsi="Verdana"/>
          <w:sz w:val="16"/>
          <w:szCs w:val="16"/>
        </w:rPr>
        <w:t>”</w:t>
      </w:r>
      <w:r w:rsidRPr="00EB55BC">
        <w:rPr>
          <w:rFonts w:ascii="Verdana" w:hAnsi="Verdana"/>
          <w:sz w:val="16"/>
          <w:szCs w:val="16"/>
        </w:rPr>
        <w:t>.</w:t>
      </w:r>
      <w:r>
        <w:rPr>
          <w:rFonts w:ascii="Verdana" w:hAnsi="Verdana"/>
          <w:sz w:val="16"/>
          <w:szCs w:val="16"/>
        </w:rPr>
        <w:t xml:space="preserve"> (Énfasis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DA9"/>
    <w:rsid w:val="00046945"/>
    <w:rsid w:val="00050CDE"/>
    <w:rsid w:val="00061B2A"/>
    <w:rsid w:val="00064D33"/>
    <w:rsid w:val="00082362"/>
    <w:rsid w:val="000A683E"/>
    <w:rsid w:val="000B19B9"/>
    <w:rsid w:val="000D0334"/>
    <w:rsid w:val="000D5DA7"/>
    <w:rsid w:val="000E452D"/>
    <w:rsid w:val="000F6486"/>
    <w:rsid w:val="00101BF5"/>
    <w:rsid w:val="00116940"/>
    <w:rsid w:val="00125105"/>
    <w:rsid w:val="00127233"/>
    <w:rsid w:val="0015699B"/>
    <w:rsid w:val="00177449"/>
    <w:rsid w:val="001A33BF"/>
    <w:rsid w:val="001A4649"/>
    <w:rsid w:val="001E4177"/>
    <w:rsid w:val="001F0B24"/>
    <w:rsid w:val="001F7DC6"/>
    <w:rsid w:val="00205F15"/>
    <w:rsid w:val="00211572"/>
    <w:rsid w:val="0022400B"/>
    <w:rsid w:val="002421BB"/>
    <w:rsid w:val="0025796E"/>
    <w:rsid w:val="002707A2"/>
    <w:rsid w:val="00273D8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60C6"/>
    <w:rsid w:val="00374F5E"/>
    <w:rsid w:val="00377E3E"/>
    <w:rsid w:val="00390029"/>
    <w:rsid w:val="003A779E"/>
    <w:rsid w:val="003D0F4D"/>
    <w:rsid w:val="003D5B0D"/>
    <w:rsid w:val="003E0499"/>
    <w:rsid w:val="003E4F80"/>
    <w:rsid w:val="003E6439"/>
    <w:rsid w:val="003F3941"/>
    <w:rsid w:val="00406575"/>
    <w:rsid w:val="00414C74"/>
    <w:rsid w:val="0042722E"/>
    <w:rsid w:val="00433C82"/>
    <w:rsid w:val="0044528D"/>
    <w:rsid w:val="004538D9"/>
    <w:rsid w:val="00466E39"/>
    <w:rsid w:val="004A1847"/>
    <w:rsid w:val="004A305D"/>
    <w:rsid w:val="004F21C4"/>
    <w:rsid w:val="004F685F"/>
    <w:rsid w:val="004F7BBA"/>
    <w:rsid w:val="005566E8"/>
    <w:rsid w:val="00574867"/>
    <w:rsid w:val="00591460"/>
    <w:rsid w:val="005A65E0"/>
    <w:rsid w:val="005C3777"/>
    <w:rsid w:val="005C5CDC"/>
    <w:rsid w:val="005D476C"/>
    <w:rsid w:val="006200BF"/>
    <w:rsid w:val="006219F8"/>
    <w:rsid w:val="006302F7"/>
    <w:rsid w:val="00646B9F"/>
    <w:rsid w:val="00652F2E"/>
    <w:rsid w:val="00665D70"/>
    <w:rsid w:val="006900D9"/>
    <w:rsid w:val="006C20A2"/>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5A22"/>
    <w:rsid w:val="008843B6"/>
    <w:rsid w:val="00891928"/>
    <w:rsid w:val="008A446D"/>
    <w:rsid w:val="008B25F1"/>
    <w:rsid w:val="008C42F7"/>
    <w:rsid w:val="008D180B"/>
    <w:rsid w:val="008F0EA7"/>
    <w:rsid w:val="00905B42"/>
    <w:rsid w:val="00923EEF"/>
    <w:rsid w:val="009419F9"/>
    <w:rsid w:val="0095685E"/>
    <w:rsid w:val="00961B09"/>
    <w:rsid w:val="00965334"/>
    <w:rsid w:val="0097093E"/>
    <w:rsid w:val="00992D9C"/>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1D07"/>
    <w:rsid w:val="00C330EB"/>
    <w:rsid w:val="00C50D69"/>
    <w:rsid w:val="00C5365C"/>
    <w:rsid w:val="00C754BE"/>
    <w:rsid w:val="00C76B1C"/>
    <w:rsid w:val="00C925AC"/>
    <w:rsid w:val="00CB6357"/>
    <w:rsid w:val="00CC1B26"/>
    <w:rsid w:val="00D361FD"/>
    <w:rsid w:val="00D423A2"/>
    <w:rsid w:val="00D44E26"/>
    <w:rsid w:val="00D44E73"/>
    <w:rsid w:val="00D520D8"/>
    <w:rsid w:val="00D61EBD"/>
    <w:rsid w:val="00D63AC2"/>
    <w:rsid w:val="00D7383B"/>
    <w:rsid w:val="00D7788A"/>
    <w:rsid w:val="00DA231B"/>
    <w:rsid w:val="00DC38BE"/>
    <w:rsid w:val="00DC39FC"/>
    <w:rsid w:val="00DE161C"/>
    <w:rsid w:val="00DE2907"/>
    <w:rsid w:val="00DE3B20"/>
    <w:rsid w:val="00DE56BC"/>
    <w:rsid w:val="00DF5254"/>
    <w:rsid w:val="00E02524"/>
    <w:rsid w:val="00E16408"/>
    <w:rsid w:val="00E20894"/>
    <w:rsid w:val="00E245AB"/>
    <w:rsid w:val="00E2764C"/>
    <w:rsid w:val="00E27F2E"/>
    <w:rsid w:val="00E504B5"/>
    <w:rsid w:val="00E50AFE"/>
    <w:rsid w:val="00E75C92"/>
    <w:rsid w:val="00E771DC"/>
    <w:rsid w:val="00E8772A"/>
    <w:rsid w:val="00E90F6B"/>
    <w:rsid w:val="00E92C27"/>
    <w:rsid w:val="00EA0E3D"/>
    <w:rsid w:val="00EC38A7"/>
    <w:rsid w:val="00EE1AA8"/>
    <w:rsid w:val="00F23FEA"/>
    <w:rsid w:val="00F31EDC"/>
    <w:rsid w:val="00F3725C"/>
    <w:rsid w:val="00F462B3"/>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79A5E2"/>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05F1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05F15"/>
    <w:rPr>
      <w:rFonts w:ascii="Geomanist Light" w:hAnsi="Geomanist Light"/>
      <w:lang w:val="es-ES"/>
    </w:rPr>
  </w:style>
  <w:style w:type="character" w:customStyle="1" w:styleId="s15">
    <w:name w:val="s15"/>
    <w:basedOn w:val="Fuentedeprrafopredeter"/>
    <w:rsid w:val="00205F15"/>
  </w:style>
  <w:style w:type="character" w:customStyle="1" w:styleId="NormalWebCar">
    <w:name w:val="Normal (Web) Car"/>
    <w:link w:val="NormalWeb"/>
    <w:uiPriority w:val="99"/>
    <w:rsid w:val="00205F15"/>
    <w:rPr>
      <w:rFonts w:ascii="Times New Roman" w:eastAsia="Times New Roman" w:hAnsi="Times New Roman" w:cs="Times New Roman"/>
      <w:sz w:val="24"/>
      <w:szCs w:val="24"/>
      <w:lang w:eastAsia="es-CO"/>
    </w:rPr>
  </w:style>
  <w:style w:type="character" w:customStyle="1" w:styleId="baj">
    <w:name w:val="b_aj"/>
    <w:basedOn w:val="Fuentedeprrafopredeter"/>
    <w:rsid w:val="00205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nasakiwe.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329C87-DE6C-4B30-A610-55F5B7F49A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27</Pages>
  <Words>8645</Words>
  <Characters>47032</Characters>
  <Application>Microsoft Office Word</Application>
  <DocSecurity>0</DocSecurity>
  <Lines>904</Lines>
  <Paragraphs>155</Paragraphs>
  <ScaleCrop>false</ScaleCrop>
  <Company/>
  <LinksUpToDate>false</LinksUpToDate>
  <CharactersWithSpaces>55522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2026-02-18T15:00:00Z</dcterms:created>
  <dcterms:modified xsi:type="dcterms:W3CDTF">2026-02-24T14:14:00Z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