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EE2ED1" w14:textId="77777777" w:rsidR="00A41D37" w:rsidRPr="00682C93" w:rsidRDefault="00A41D37" w:rsidP="00AC47E2">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2786BEED" w14:textId="77777777" w:rsidR="00A41D37" w:rsidRDefault="00A41D37" w:rsidP="00AC47E2">
      <w:pPr>
        <w:spacing w:after="0" w:line="240" w:lineRule="auto"/>
        <w:jc w:val="both"/>
        <w:rPr>
          <w:rFonts w:ascii="Verdana" w:hAnsi="Verdana" w:cs="Arial"/>
          <w:b/>
          <w:lang w:val="es-MX" w:eastAsia="es-ES_tradnl"/>
        </w:rPr>
      </w:pPr>
    </w:p>
    <w:p w14:paraId="77574A02" w14:textId="77777777" w:rsidR="00A41D37" w:rsidRDefault="00A41D37" w:rsidP="00AC47E2">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6ABF2C9B" w14:textId="77777777" w:rsidR="00A41D37" w:rsidRPr="00682C93" w:rsidRDefault="00A41D37" w:rsidP="00AC47E2">
      <w:pPr>
        <w:spacing w:after="0" w:line="240" w:lineRule="auto"/>
        <w:jc w:val="both"/>
        <w:rPr>
          <w:rFonts w:ascii="Verdana" w:hAnsi="Verdana" w:cs="Arial"/>
          <w:b/>
          <w:sz w:val="20"/>
          <w:lang w:val="es-MX" w:eastAsia="es-ES_tradnl"/>
        </w:rPr>
      </w:pPr>
    </w:p>
    <w:p w14:paraId="431F1624" w14:textId="603A2B85" w:rsidR="00A41D37" w:rsidRPr="00682C93" w:rsidRDefault="00A41D37" w:rsidP="00AC47E2">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w:t>
      </w:r>
      <w:r w:rsidR="004A0320">
        <w:rPr>
          <w:rFonts w:ascii="Verdana" w:hAnsi="Verdana" w:cs="Arial"/>
          <w:b/>
          <w:lang w:val="es-MX" w:eastAsia="es-ES_tradnl"/>
        </w:rPr>
        <w:t>C</w:t>
      </w:r>
      <w:r w:rsidRPr="00682C93">
        <w:rPr>
          <w:rFonts w:ascii="Verdana" w:hAnsi="Verdana" w:cs="Arial"/>
          <w:b/>
          <w:lang w:val="es-MX" w:eastAsia="es-ES_tradnl"/>
        </w:rPr>
        <w:t>elebración</w:t>
      </w:r>
      <w:r w:rsidR="004A0320">
        <w:rPr>
          <w:rFonts w:ascii="Verdana" w:hAnsi="Verdana" w:cs="Arial"/>
          <w:b/>
          <w:lang w:val="es-MX" w:eastAsia="es-ES_tradnl"/>
        </w:rPr>
        <w:t xml:space="preserve"> </w:t>
      </w:r>
      <w:r w:rsidR="004A0320" w:rsidRPr="004A0320">
        <w:rPr>
          <w:rFonts w:ascii="Verdana" w:hAnsi="Verdana" w:cs="Arial"/>
          <w:b/>
          <w:bCs/>
          <w:lang w:val="es-ES" w:eastAsia="es-ES_tradnl"/>
        </w:rPr>
        <w:t>–</w:t>
      </w:r>
      <w:r w:rsidRPr="00682C93">
        <w:rPr>
          <w:rFonts w:ascii="Verdana" w:hAnsi="Verdana" w:cs="Arial"/>
          <w:b/>
          <w:lang w:val="es-MX" w:eastAsia="es-ES_tradnl"/>
        </w:rPr>
        <w:t xml:space="preserve"> </w:t>
      </w:r>
      <w:r w:rsidR="004A0320">
        <w:rPr>
          <w:rFonts w:ascii="Verdana" w:hAnsi="Verdana" w:cs="Arial"/>
          <w:b/>
          <w:lang w:val="es-MX" w:eastAsia="es-ES_tradnl"/>
        </w:rPr>
        <w:t>L</w:t>
      </w:r>
      <w:r w:rsidRPr="00682C93">
        <w:rPr>
          <w:rFonts w:ascii="Verdana" w:hAnsi="Verdana" w:cs="Arial"/>
          <w:b/>
          <w:lang w:val="es-MX" w:eastAsia="es-ES_tradnl"/>
        </w:rPr>
        <w:t>ímite</w:t>
      </w:r>
    </w:p>
    <w:p w14:paraId="1AA14922" w14:textId="77777777" w:rsidR="00A41D37" w:rsidRDefault="00A41D37" w:rsidP="00AC47E2">
      <w:pPr>
        <w:spacing w:after="0" w:line="240" w:lineRule="auto"/>
        <w:jc w:val="both"/>
        <w:rPr>
          <w:rFonts w:ascii="Verdana" w:hAnsi="Verdana" w:cs="Arial"/>
          <w:b/>
          <w:lang w:val="es-MX" w:eastAsia="es-ES_tradnl"/>
        </w:rPr>
      </w:pPr>
    </w:p>
    <w:p w14:paraId="387F5FF7" w14:textId="77777777" w:rsidR="00A41D37" w:rsidRPr="00E41F23" w:rsidRDefault="00A41D37" w:rsidP="00AC47E2">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9914C91" w14:textId="77777777" w:rsidR="00A41D37" w:rsidRPr="00E41F23" w:rsidRDefault="00A41D37" w:rsidP="00AC47E2">
      <w:pPr>
        <w:spacing w:after="0" w:line="240" w:lineRule="auto"/>
        <w:jc w:val="both"/>
        <w:rPr>
          <w:rFonts w:ascii="Verdana" w:eastAsia="Calibri" w:hAnsi="Verdana" w:cs="Arial"/>
          <w:sz w:val="20"/>
        </w:rPr>
      </w:pPr>
    </w:p>
    <w:p w14:paraId="2633153E" w14:textId="77777777" w:rsidR="00A41D37" w:rsidRDefault="00A41D37" w:rsidP="00AC47E2">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10C2B8B4" w14:textId="77777777" w:rsidR="00A41D37" w:rsidRPr="00E41F23" w:rsidRDefault="00A41D37" w:rsidP="00AC47E2">
      <w:pPr>
        <w:widowControl w:val="0"/>
        <w:autoSpaceDE w:val="0"/>
        <w:autoSpaceDN w:val="0"/>
        <w:spacing w:after="0" w:line="240" w:lineRule="auto"/>
        <w:ind w:right="113"/>
        <w:jc w:val="both"/>
        <w:rPr>
          <w:rFonts w:ascii="Verdana" w:eastAsia="Arial" w:hAnsi="Verdana" w:cs="Arial"/>
          <w:sz w:val="20"/>
          <w:lang w:val="es-ES" w:eastAsia="es-ES" w:bidi="es-ES"/>
        </w:rPr>
      </w:pPr>
    </w:p>
    <w:p w14:paraId="19348851" w14:textId="77777777" w:rsidR="00A41D37" w:rsidRPr="00E41F23" w:rsidRDefault="00A41D37" w:rsidP="00AC47E2">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E41F23">
        <w:rPr>
          <w:rFonts w:ascii="Verdana" w:eastAsia="Times New Roman" w:hAnsi="Verdana" w:cs="Arial"/>
          <w:bCs/>
          <w:i/>
          <w:sz w:val="20"/>
          <w:lang w:val="es-ES" w:eastAsia="es-CO"/>
        </w:rPr>
        <w:t>ibídem</w:t>
      </w:r>
      <w:proofErr w:type="spellEnd"/>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0F5E4460" w14:textId="77777777" w:rsidR="00A41D37" w:rsidRPr="003F2A9C" w:rsidRDefault="00A41D37" w:rsidP="00AC47E2">
      <w:pPr>
        <w:spacing w:after="0" w:line="240" w:lineRule="auto"/>
        <w:jc w:val="both"/>
        <w:rPr>
          <w:rFonts w:ascii="Verdana" w:hAnsi="Verdana" w:cs="Arial"/>
          <w:b/>
          <w:sz w:val="20"/>
          <w:lang w:val="es-MX" w:eastAsia="es-ES_tradnl"/>
        </w:rPr>
      </w:pPr>
    </w:p>
    <w:p w14:paraId="2E71CC27" w14:textId="77777777" w:rsidR="00A41D37" w:rsidRPr="00682C93" w:rsidRDefault="00A41D37" w:rsidP="00AC47E2">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Prohibición artículo 33 – Contratación directa – Alcance </w:t>
      </w:r>
    </w:p>
    <w:p w14:paraId="5EB1AD43" w14:textId="77777777" w:rsidR="00A41D37" w:rsidRDefault="00A41D37" w:rsidP="00AC47E2">
      <w:pPr>
        <w:spacing w:after="0" w:line="240" w:lineRule="auto"/>
        <w:jc w:val="both"/>
        <w:rPr>
          <w:rFonts w:ascii="Verdana" w:hAnsi="Verdana" w:cs="Arial"/>
          <w:b/>
          <w:lang w:val="es-MX" w:eastAsia="es-ES_tradnl"/>
        </w:rPr>
      </w:pPr>
    </w:p>
    <w:p w14:paraId="6150CCE9" w14:textId="77777777" w:rsidR="00A41D37" w:rsidRPr="00E41F23" w:rsidRDefault="00A41D37" w:rsidP="00AC47E2">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73D20439" w14:textId="77777777" w:rsidR="00A41D37" w:rsidRPr="00E41F23" w:rsidRDefault="00A41D37" w:rsidP="00AC47E2">
      <w:pPr>
        <w:spacing w:after="0" w:line="240" w:lineRule="auto"/>
        <w:jc w:val="both"/>
        <w:rPr>
          <w:rFonts w:ascii="Verdana" w:hAnsi="Verdana" w:cs="Arial"/>
          <w:b/>
          <w:lang w:eastAsia="es-ES_tradnl"/>
        </w:rPr>
      </w:pPr>
    </w:p>
    <w:p w14:paraId="5AF8E907" w14:textId="77777777" w:rsidR="00A41D37" w:rsidRPr="00682C93" w:rsidRDefault="00A41D37" w:rsidP="00AC47E2">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1A10A828" w14:textId="77777777" w:rsidR="00A41D37" w:rsidRPr="00E41F23" w:rsidRDefault="00A41D37" w:rsidP="00AC47E2">
      <w:pPr>
        <w:spacing w:after="0" w:line="240" w:lineRule="auto"/>
        <w:jc w:val="both"/>
        <w:rPr>
          <w:rFonts w:ascii="Verdana" w:hAnsi="Verdana" w:cs="Arial"/>
          <w:b/>
          <w:sz w:val="20"/>
          <w:lang w:val="es-MX" w:eastAsia="es-ES_tradnl"/>
        </w:rPr>
      </w:pPr>
    </w:p>
    <w:p w14:paraId="0C0FCE9E" w14:textId="77777777" w:rsidR="00A41D37" w:rsidRPr="00E41F23" w:rsidRDefault="00A41D37" w:rsidP="00AC47E2">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E41F23">
        <w:rPr>
          <w:rFonts w:ascii="Verdana" w:eastAsia="Times New Roman" w:hAnsi="Verdana" w:cs="Arial"/>
          <w:bCs/>
          <w:sz w:val="20"/>
          <w:lang w:val="es-MX" w:eastAsia="x-none"/>
        </w:rPr>
        <w:t>ii</w:t>
      </w:r>
      <w:proofErr w:type="spellEnd"/>
      <w:r w:rsidRPr="00E41F23">
        <w:rPr>
          <w:rFonts w:ascii="Verdana" w:eastAsia="Times New Roman" w:hAnsi="Verdana" w:cs="Arial"/>
          <w:bCs/>
          <w:sz w:val="20"/>
          <w:lang w:val="es-MX" w:eastAsia="x-none"/>
        </w:rPr>
        <w:t xml:space="preserve">) los contratos de crédito público; </w:t>
      </w:r>
      <w:proofErr w:type="spellStart"/>
      <w:r w:rsidRPr="00E41F23">
        <w:rPr>
          <w:rFonts w:ascii="Verdana" w:eastAsia="Times New Roman" w:hAnsi="Verdana" w:cs="Arial"/>
          <w:bCs/>
          <w:sz w:val="20"/>
          <w:lang w:val="es-MX" w:eastAsia="x-none"/>
        </w:rPr>
        <w:t>iii</w:t>
      </w:r>
      <w:proofErr w:type="spellEnd"/>
      <w:r w:rsidRPr="00E41F23">
        <w:rPr>
          <w:rFonts w:ascii="Verdana" w:eastAsia="Times New Roman" w:hAnsi="Verdana" w:cs="Arial"/>
          <w:bCs/>
          <w:sz w:val="20"/>
          <w:lang w:val="es-MX" w:eastAsia="x-none"/>
        </w:rPr>
        <w:t xml:space="preserve">) los requeridos para cubrir las emergencias educativas, sanitarias y desastres; </w:t>
      </w:r>
      <w:proofErr w:type="spellStart"/>
      <w:r w:rsidRPr="00E41F23">
        <w:rPr>
          <w:rFonts w:ascii="Verdana" w:eastAsia="Times New Roman" w:hAnsi="Verdana" w:cs="Arial"/>
          <w:bCs/>
          <w:sz w:val="20"/>
          <w:lang w:val="es-MX" w:eastAsia="x-none"/>
        </w:rPr>
        <w:t>iv</w:t>
      </w:r>
      <w:proofErr w:type="spellEnd"/>
      <w:r w:rsidRPr="00E41F23">
        <w:rPr>
          <w:rFonts w:ascii="Verdana" w:eastAsia="Times New Roman" w:hAnsi="Verdana" w:cs="Arial"/>
          <w:bCs/>
          <w:sz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5762CD5" w14:textId="77777777" w:rsidR="00A41D37" w:rsidRPr="00682C93" w:rsidRDefault="00A41D37" w:rsidP="00AC47E2">
      <w:pPr>
        <w:spacing w:after="0" w:line="240" w:lineRule="auto"/>
        <w:jc w:val="both"/>
        <w:rPr>
          <w:rFonts w:ascii="Verdana" w:hAnsi="Verdana" w:cs="Arial"/>
          <w:b/>
          <w:lang w:val="es-MX" w:eastAsia="es-ES_tradnl"/>
        </w:rPr>
      </w:pPr>
    </w:p>
    <w:p w14:paraId="31A2D261" w14:textId="77777777" w:rsidR="00A41D37" w:rsidRPr="00682C93" w:rsidRDefault="00A41D37" w:rsidP="00AC47E2">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4E6D9566" w14:textId="77777777" w:rsidR="00A41D37" w:rsidRDefault="00A41D37" w:rsidP="00AC47E2">
      <w:pPr>
        <w:spacing w:after="0" w:line="240" w:lineRule="auto"/>
        <w:rPr>
          <w:rFonts w:ascii="Verdana" w:hAnsi="Verdana" w:cs="Arial"/>
          <w:lang w:val="es-MX" w:eastAsia="es-ES_tradnl"/>
        </w:rPr>
      </w:pPr>
    </w:p>
    <w:p w14:paraId="5D0952CE" w14:textId="77777777" w:rsidR="00A41D37" w:rsidRDefault="00A41D37" w:rsidP="00AC47E2">
      <w:pPr>
        <w:spacing w:after="0" w:line="240" w:lineRule="auto"/>
        <w:jc w:val="both"/>
        <w:rPr>
          <w:rFonts w:ascii="Verdana" w:eastAsia="Calibri" w:hAnsi="Verdana" w:cs="Arial"/>
          <w:sz w:val="20"/>
          <w:lang w:val="es-MX"/>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E41F23">
        <w:rPr>
          <w:rFonts w:ascii="Verdana" w:eastAsia="Calibri" w:hAnsi="Verdana" w:cs="Arial"/>
          <w:sz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sz w:val="20"/>
          <w:lang w:val="es-MX"/>
        </w:rPr>
        <w:t>.</w:t>
      </w:r>
    </w:p>
    <w:p w14:paraId="49BA8021" w14:textId="77777777" w:rsidR="00A41D37" w:rsidRPr="008835B4" w:rsidRDefault="00A41D37" w:rsidP="00AC47E2">
      <w:pPr>
        <w:spacing w:after="0" w:line="240" w:lineRule="auto"/>
        <w:jc w:val="both"/>
        <w:rPr>
          <w:rFonts w:ascii="Verdana" w:hAnsi="Verdana" w:cs="Arial"/>
          <w:sz w:val="20"/>
          <w:lang w:val="es-MX" w:eastAsia="es-ES_tradnl"/>
        </w:rPr>
      </w:pPr>
    </w:p>
    <w:p w14:paraId="12D23CEB" w14:textId="77777777" w:rsidR="00A41D37" w:rsidRPr="008835B4" w:rsidRDefault="00A41D37" w:rsidP="00AC47E2">
      <w:pPr>
        <w:spacing w:after="0" w:line="240" w:lineRule="auto"/>
        <w:jc w:val="both"/>
        <w:rPr>
          <w:rFonts w:ascii="Verdana" w:eastAsia="Calibri" w:hAnsi="Verdana" w:cs="Arial"/>
          <w:b/>
          <w:color w:val="000000"/>
          <w:lang w:val="es-MX"/>
        </w:rPr>
      </w:pPr>
      <w:r w:rsidRPr="008835B4">
        <w:rPr>
          <w:rFonts w:ascii="Verdana" w:eastAsia="Calibri" w:hAnsi="Verdana" w:cs="Arial"/>
          <w:b/>
          <w:color w:val="000000"/>
          <w:lang w:val="es-MX"/>
        </w:rPr>
        <w:t xml:space="preserve">LEY DE GARANTÍAS ELECTORALES – Contratos y convenios interadministrativos – Criterio orgánico </w:t>
      </w:r>
    </w:p>
    <w:p w14:paraId="2677CF6D" w14:textId="77777777" w:rsidR="00A41D37" w:rsidRDefault="00A41D37" w:rsidP="00AC47E2">
      <w:pPr>
        <w:spacing w:after="0" w:line="240" w:lineRule="auto"/>
        <w:jc w:val="both"/>
        <w:rPr>
          <w:rFonts w:ascii="Verdana" w:eastAsia="Calibri" w:hAnsi="Verdana" w:cs="Arial"/>
          <w:color w:val="000000"/>
          <w:lang w:val="es-MX"/>
        </w:rPr>
      </w:pPr>
    </w:p>
    <w:p w14:paraId="5D5D4A15" w14:textId="77777777" w:rsidR="00A41D37" w:rsidRDefault="00A41D37" w:rsidP="00AC47E2">
      <w:pPr>
        <w:spacing w:after="0" w:line="240" w:lineRule="auto"/>
        <w:jc w:val="both"/>
        <w:rPr>
          <w:rFonts w:ascii="Verdana" w:eastAsia="Calibri" w:hAnsi="Verdana" w:cs="Arial"/>
          <w:color w:val="000000"/>
          <w:sz w:val="20"/>
        </w:rPr>
      </w:pPr>
      <w:r w:rsidRPr="008835B4">
        <w:rPr>
          <w:rFonts w:ascii="Verdana" w:eastAsia="Calibri" w:hAnsi="Verdana" w:cs="Arial"/>
          <w:color w:val="000000"/>
          <w:sz w:val="20"/>
          <w:lang w:val="es-ES"/>
        </w:rPr>
        <w:t xml:space="preserve">Para tales efectos, debe precisarse que los contratos o convenios interadministrativos están determinados por un criterio orgánico, pues es necesario que los extremos de la relación contractual sean entidades públicas, </w:t>
      </w:r>
      <w:r w:rsidRPr="008835B4">
        <w:rPr>
          <w:rFonts w:ascii="Verdana" w:eastAsia="Calibri" w:hAnsi="Verdana" w:cs="Arial"/>
          <w:color w:val="000000"/>
          <w:sz w:val="20"/>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5EEFFE64" w14:textId="77777777" w:rsidR="00A41D37" w:rsidRPr="008835B4" w:rsidRDefault="00A41D37" w:rsidP="00AC47E2">
      <w:pPr>
        <w:spacing w:after="0" w:line="240" w:lineRule="auto"/>
        <w:jc w:val="both"/>
        <w:rPr>
          <w:rFonts w:ascii="Verdana" w:eastAsia="Calibri" w:hAnsi="Verdana" w:cs="Arial"/>
          <w:color w:val="000000"/>
          <w:sz w:val="20"/>
        </w:rPr>
      </w:pPr>
    </w:p>
    <w:p w14:paraId="37FF1859" w14:textId="77777777" w:rsidR="00A41D37" w:rsidRDefault="00A41D37" w:rsidP="00AC47E2">
      <w:pPr>
        <w:spacing w:after="0" w:line="240" w:lineRule="auto"/>
        <w:jc w:val="both"/>
        <w:rPr>
          <w:rFonts w:ascii="Verdana" w:eastAsia="Calibri" w:hAnsi="Verdana" w:cs="Arial"/>
          <w:color w:val="000000"/>
          <w:sz w:val="20"/>
          <w:lang w:val="es-ES_tradnl"/>
        </w:rPr>
      </w:pPr>
      <w:r w:rsidRPr="008835B4">
        <w:rPr>
          <w:rFonts w:ascii="Verdana" w:eastAsia="Calibri" w:hAnsi="Verdana" w:cs="Arial"/>
          <w:color w:val="000000"/>
          <w:sz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5055D5E3" w14:textId="77777777" w:rsidR="00A41D37" w:rsidRPr="008835B4" w:rsidRDefault="00A41D37" w:rsidP="00AC47E2">
      <w:pPr>
        <w:spacing w:after="0" w:line="240" w:lineRule="auto"/>
        <w:jc w:val="both"/>
        <w:rPr>
          <w:rFonts w:ascii="Verdana" w:eastAsia="Calibri" w:hAnsi="Verdana" w:cs="Arial"/>
          <w:color w:val="000000"/>
          <w:sz w:val="20"/>
          <w:lang w:val="es-ES_tradnl"/>
        </w:rPr>
      </w:pPr>
    </w:p>
    <w:p w14:paraId="07FB5137" w14:textId="77777777" w:rsidR="00A41D37" w:rsidRPr="008835B4" w:rsidRDefault="00A41D37" w:rsidP="00AC47E2">
      <w:pPr>
        <w:spacing w:after="0" w:line="240" w:lineRule="auto"/>
        <w:jc w:val="both"/>
        <w:rPr>
          <w:rFonts w:ascii="Verdana" w:eastAsia="Calibri" w:hAnsi="Verdana" w:cs="Arial"/>
          <w:color w:val="000000"/>
          <w:sz w:val="20"/>
          <w:lang w:val="es-ES_tradnl"/>
        </w:rPr>
      </w:pPr>
      <w:r w:rsidRPr="008835B4">
        <w:rPr>
          <w:rFonts w:ascii="Verdana" w:eastAsia="Calibri" w:hAnsi="Verdana" w:cs="Arial"/>
          <w:color w:val="000000"/>
          <w:sz w:val="20"/>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4F676619" w14:textId="77777777" w:rsidR="00A41D37" w:rsidRPr="008835B4" w:rsidRDefault="00A41D37" w:rsidP="00AC47E2">
      <w:pPr>
        <w:spacing w:after="0" w:line="240" w:lineRule="auto"/>
        <w:jc w:val="both"/>
        <w:rPr>
          <w:rFonts w:ascii="Verdana" w:eastAsia="Calibri" w:hAnsi="Verdana" w:cs="Arial"/>
          <w:color w:val="000000"/>
          <w:lang w:val="es-ES_tradnl"/>
        </w:rPr>
      </w:pPr>
    </w:p>
    <w:p w14:paraId="4CC4B2FC" w14:textId="53EF8C54" w:rsidR="00A41D37" w:rsidRPr="008835B4" w:rsidRDefault="00A41D37" w:rsidP="00AC47E2">
      <w:pPr>
        <w:spacing w:after="0" w:line="240" w:lineRule="auto"/>
        <w:jc w:val="both"/>
        <w:rPr>
          <w:rFonts w:ascii="Verdana" w:eastAsia="Calibri" w:hAnsi="Verdana" w:cs="Arial"/>
          <w:b/>
          <w:color w:val="000000"/>
          <w:lang w:val="es-MX"/>
        </w:rPr>
      </w:pPr>
      <w:r w:rsidRPr="008835B4">
        <w:rPr>
          <w:rFonts w:ascii="Verdana" w:eastAsia="Calibri" w:hAnsi="Verdana" w:cs="Arial"/>
          <w:b/>
          <w:color w:val="000000"/>
          <w:lang w:val="es-MX"/>
        </w:rPr>
        <w:t>LEY DE GARANTÍAS ELECTORALES –</w:t>
      </w:r>
      <w:r w:rsidR="004A0320">
        <w:rPr>
          <w:rFonts w:ascii="Verdana" w:eastAsia="Calibri" w:hAnsi="Verdana" w:cs="Arial"/>
          <w:b/>
          <w:color w:val="000000"/>
          <w:lang w:val="es-MX"/>
        </w:rPr>
        <w:t xml:space="preserve"> </w:t>
      </w:r>
      <w:r w:rsidRPr="008835B4">
        <w:rPr>
          <w:rFonts w:ascii="Verdana" w:eastAsia="Calibri" w:hAnsi="Verdana" w:cs="Arial"/>
          <w:b/>
          <w:color w:val="000000"/>
          <w:lang w:val="es-MX"/>
        </w:rPr>
        <w:t>Restricción</w:t>
      </w:r>
      <w:r w:rsidR="004A0320">
        <w:rPr>
          <w:rFonts w:ascii="Verdana" w:eastAsia="Calibri" w:hAnsi="Verdana" w:cs="Arial"/>
          <w:b/>
          <w:color w:val="000000"/>
          <w:lang w:val="es-MX"/>
        </w:rPr>
        <w:t xml:space="preserve"> </w:t>
      </w:r>
      <w:r w:rsidR="004A0320" w:rsidRPr="004A0320">
        <w:rPr>
          <w:rFonts w:ascii="Verdana" w:eastAsia="Calibri" w:hAnsi="Verdana" w:cs="Arial"/>
          <w:b/>
          <w:bCs/>
          <w:color w:val="000000"/>
          <w:lang w:val="es-ES"/>
        </w:rPr>
        <w:t>–</w:t>
      </w:r>
      <w:r w:rsidRPr="008835B4">
        <w:rPr>
          <w:rFonts w:ascii="Verdana" w:eastAsia="Calibri" w:hAnsi="Verdana" w:cs="Arial"/>
          <w:b/>
          <w:color w:val="000000"/>
          <w:lang w:val="es-MX"/>
        </w:rPr>
        <w:t xml:space="preserve"> Convenios interadministrativos – Postura del Consejo de Estado</w:t>
      </w:r>
    </w:p>
    <w:p w14:paraId="31134896" w14:textId="77777777" w:rsidR="00A41D37" w:rsidRDefault="00A41D37" w:rsidP="00AC47E2">
      <w:pPr>
        <w:spacing w:after="0" w:line="240" w:lineRule="auto"/>
        <w:jc w:val="both"/>
        <w:rPr>
          <w:rFonts w:ascii="Verdana" w:eastAsia="Calibri" w:hAnsi="Verdana" w:cs="Arial"/>
          <w:color w:val="000000"/>
        </w:rPr>
      </w:pPr>
    </w:p>
    <w:p w14:paraId="4BD47091" w14:textId="77777777" w:rsidR="00A41D37" w:rsidRPr="00A07EBF" w:rsidRDefault="00A41D37" w:rsidP="00AC47E2">
      <w:pPr>
        <w:spacing w:after="0" w:line="240" w:lineRule="auto"/>
        <w:jc w:val="both"/>
        <w:rPr>
          <w:rFonts w:ascii="Verdana" w:eastAsia="Calibri" w:hAnsi="Verdana" w:cs="Arial"/>
          <w:color w:val="000000"/>
          <w:sz w:val="20"/>
        </w:rPr>
      </w:pPr>
      <w:r w:rsidRPr="00A07EBF">
        <w:rPr>
          <w:rFonts w:ascii="Verdana" w:eastAsia="Calibri" w:hAnsi="Verdana" w:cs="Arial"/>
          <w:color w:val="000000"/>
          <w:sz w:val="20"/>
        </w:rPr>
        <w:t xml:space="preserve">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2FEF4EDB" w14:textId="77777777" w:rsidR="00A41D37" w:rsidRPr="00A07EBF" w:rsidRDefault="00A41D37" w:rsidP="00AC47E2">
      <w:pPr>
        <w:spacing w:after="0" w:line="240" w:lineRule="auto"/>
        <w:jc w:val="both"/>
        <w:rPr>
          <w:rFonts w:ascii="Verdana" w:eastAsia="Calibri" w:hAnsi="Verdana" w:cs="Arial"/>
          <w:color w:val="000000"/>
          <w:sz w:val="20"/>
        </w:rPr>
      </w:pPr>
    </w:p>
    <w:p w14:paraId="0AB0FBC8" w14:textId="77777777" w:rsidR="00A41D37" w:rsidRPr="00A07EBF" w:rsidRDefault="00A41D37" w:rsidP="00AC47E2">
      <w:pPr>
        <w:spacing w:after="0" w:line="240" w:lineRule="auto"/>
        <w:jc w:val="both"/>
        <w:rPr>
          <w:rFonts w:ascii="Verdana" w:eastAsia="Calibri" w:hAnsi="Verdana" w:cs="Arial"/>
          <w:color w:val="000000"/>
          <w:sz w:val="20"/>
        </w:rPr>
      </w:pPr>
      <w:r w:rsidRPr="00A07EBF">
        <w:rPr>
          <w:rFonts w:ascii="Verdana" w:eastAsia="Calibri" w:hAnsi="Verdana" w:cs="Arial"/>
          <w:color w:val="000000"/>
          <w:sz w:val="20"/>
        </w:rPr>
        <w:t xml:space="preserve">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w:t>
      </w:r>
      <w:r w:rsidRPr="00A07EBF">
        <w:rPr>
          <w:rFonts w:ascii="Verdana" w:eastAsia="Calibri" w:hAnsi="Verdana" w:cs="Arial"/>
          <w:color w:val="000000"/>
          <w:sz w:val="20"/>
        </w:rPr>
        <w:lastRenderedPageBreak/>
        <w:t xml:space="preserve">convenios se basan en cooperación sin ánimo económico. Por ello, la restricción legal no podía aplicarse extensivamente a los contratos. </w:t>
      </w:r>
    </w:p>
    <w:p w14:paraId="42B7E16D" w14:textId="77777777" w:rsidR="00A41D37" w:rsidRPr="00A07EBF" w:rsidRDefault="00A41D37" w:rsidP="00AC47E2">
      <w:pPr>
        <w:spacing w:after="0" w:line="240" w:lineRule="auto"/>
        <w:jc w:val="both"/>
        <w:rPr>
          <w:rFonts w:ascii="Verdana" w:eastAsia="Calibri" w:hAnsi="Verdana" w:cs="Arial"/>
          <w:color w:val="000000"/>
          <w:sz w:val="20"/>
        </w:rPr>
      </w:pPr>
    </w:p>
    <w:p w14:paraId="234FEE29" w14:textId="77777777" w:rsidR="00A41D37" w:rsidRPr="00A07EBF" w:rsidRDefault="00A41D37" w:rsidP="00AC47E2">
      <w:pPr>
        <w:spacing w:after="0" w:line="240" w:lineRule="auto"/>
        <w:jc w:val="both"/>
        <w:rPr>
          <w:rFonts w:ascii="Verdana" w:eastAsia="Calibri" w:hAnsi="Verdana" w:cs="Arial"/>
          <w:color w:val="000000"/>
          <w:sz w:val="20"/>
        </w:rPr>
      </w:pPr>
      <w:r w:rsidRPr="00A07EBF">
        <w:rPr>
          <w:rFonts w:ascii="Verdana" w:eastAsia="Calibri" w:hAnsi="Verdana" w:cs="Arial"/>
          <w:color w:val="000000"/>
          <w:sz w:val="20"/>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A07EBF">
        <w:rPr>
          <w:rFonts w:ascii="Verdana" w:eastAsia="Calibri" w:hAnsi="Verdana" w:cs="Arial"/>
          <w:i/>
          <w:iCs/>
          <w:color w:val="000000"/>
          <w:sz w:val="20"/>
        </w:rPr>
        <w:t>contratos interadministrativos</w:t>
      </w:r>
      <w:r w:rsidRPr="00A07EBF">
        <w:rPr>
          <w:rFonts w:ascii="Verdana" w:eastAsia="Calibri" w:hAnsi="Verdana" w:cs="Arial"/>
          <w:color w:val="000000"/>
          <w:sz w:val="20"/>
        </w:rPr>
        <w:t xml:space="preserve">, esta prohibición solo aplicaría a los convenios interadministrativos que impliquen la ejecución de recursos públicos. Conforme a lo señalado por el Consejo de Estado, cuando dos entidades públicas celebren un </w:t>
      </w:r>
      <w:r w:rsidRPr="00A07EBF">
        <w:rPr>
          <w:rFonts w:ascii="Verdana" w:eastAsia="Calibri" w:hAnsi="Verdana" w:cs="Arial"/>
          <w:i/>
          <w:iCs/>
          <w:color w:val="000000"/>
          <w:sz w:val="20"/>
        </w:rPr>
        <w:t>contrato interadministrativo,</w:t>
      </w:r>
      <w:r w:rsidRPr="00A07EBF">
        <w:rPr>
          <w:rFonts w:ascii="Verdana" w:eastAsia="Calibri" w:hAnsi="Verdana" w:cs="Arial"/>
          <w:color w:val="000000"/>
          <w:sz w:val="20"/>
        </w:rPr>
        <w:t xml:space="preserve"> independientemente del objeto, dicho contrato puede suscribirse durante el periodo preelectoral.</w:t>
      </w:r>
    </w:p>
    <w:p w14:paraId="5E607CFE" w14:textId="52342868" w:rsidR="00A41D37" w:rsidRPr="00A41D37" w:rsidRDefault="00A41D37" w:rsidP="00AC47E2">
      <w:pPr>
        <w:spacing w:after="0" w:line="240" w:lineRule="auto"/>
        <w:jc w:val="both"/>
        <w:rPr>
          <w:rFonts w:ascii="Verdana" w:eastAsia="Verdana" w:hAnsi="Verdana" w:cs="Verdana"/>
          <w:b/>
        </w:rPr>
      </w:pPr>
    </w:p>
    <w:p w14:paraId="2E589A3C" w14:textId="77777777" w:rsidR="00A41D37" w:rsidRPr="00A41D37" w:rsidRDefault="00A41D37" w:rsidP="00AC47E2">
      <w:pPr>
        <w:spacing w:after="0" w:line="240" w:lineRule="auto"/>
        <w:jc w:val="both"/>
        <w:rPr>
          <w:rFonts w:ascii="Verdana" w:eastAsia="Verdana" w:hAnsi="Verdana" w:cs="Verdana"/>
          <w:b/>
          <w:bCs/>
          <w:lang w:val="es-ES_tradnl"/>
        </w:rPr>
      </w:pPr>
      <w:r w:rsidRPr="00A41D37">
        <w:rPr>
          <w:rFonts w:ascii="Verdana" w:eastAsia="Verdana" w:hAnsi="Verdana" w:cs="Verdana"/>
          <w:b/>
          <w:bCs/>
          <w:lang w:val="es-ES_tradnl"/>
        </w:rPr>
        <w:t xml:space="preserve">CONTRATO DE ARRENDAMIENTO – Definición – Características </w:t>
      </w:r>
    </w:p>
    <w:p w14:paraId="03432D7E" w14:textId="77777777" w:rsidR="00A41D37" w:rsidRPr="00A41D37" w:rsidRDefault="00A41D37" w:rsidP="00AC47E2">
      <w:pPr>
        <w:spacing w:after="0" w:line="240" w:lineRule="auto"/>
        <w:jc w:val="both"/>
        <w:rPr>
          <w:rFonts w:ascii="Verdana" w:eastAsia="Verdana" w:hAnsi="Verdana" w:cs="Verdana"/>
          <w:bCs/>
          <w:sz w:val="20"/>
          <w:lang w:val="es-ES_tradnl"/>
        </w:rPr>
      </w:pPr>
    </w:p>
    <w:p w14:paraId="3B130B5F" w14:textId="60342992" w:rsidR="00A41D37" w:rsidRDefault="00A41D37" w:rsidP="00AC47E2">
      <w:pPr>
        <w:spacing w:after="0" w:line="240" w:lineRule="auto"/>
        <w:jc w:val="both"/>
        <w:rPr>
          <w:rFonts w:ascii="Verdana" w:eastAsia="Verdana" w:hAnsi="Verdana" w:cs="Verdana"/>
          <w:bCs/>
          <w:sz w:val="20"/>
        </w:rPr>
      </w:pPr>
      <w:r w:rsidRPr="00A41D37">
        <w:rPr>
          <w:rFonts w:ascii="Verdana" w:eastAsia="Verdana" w:hAnsi="Verdana" w:cs="Verdana"/>
          <w:bCs/>
          <w:sz w:val="20"/>
        </w:rPr>
        <w:t>El artículo 1973 del Código Civil define el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 Por tanto, se diferencia del contrato de compraventa en que no opera una transferencia del dominio del bien cuyo uso y goce se entrega.</w:t>
      </w:r>
    </w:p>
    <w:p w14:paraId="4C2BAB7E" w14:textId="77777777" w:rsidR="00A41D37" w:rsidRPr="00A41D37" w:rsidRDefault="00A41D37" w:rsidP="00AC47E2">
      <w:pPr>
        <w:spacing w:after="0" w:line="240" w:lineRule="auto"/>
        <w:jc w:val="both"/>
        <w:rPr>
          <w:rFonts w:ascii="Verdana" w:eastAsia="Verdana" w:hAnsi="Verdana" w:cs="Verdana"/>
          <w:bCs/>
          <w:sz w:val="20"/>
        </w:rPr>
      </w:pPr>
    </w:p>
    <w:p w14:paraId="64A80371" w14:textId="58C5FBE4" w:rsidR="00A41D37" w:rsidRPr="00A41D37" w:rsidRDefault="00A41D37" w:rsidP="00AC47E2">
      <w:pPr>
        <w:spacing w:after="0" w:line="240" w:lineRule="auto"/>
        <w:jc w:val="both"/>
        <w:rPr>
          <w:rFonts w:ascii="Verdana" w:eastAsia="Verdana" w:hAnsi="Verdana" w:cs="Verdana"/>
          <w:bCs/>
          <w:sz w:val="20"/>
          <w:lang w:val="es-ES"/>
        </w:rPr>
      </w:pPr>
      <w:r w:rsidRPr="00A41D37">
        <w:rPr>
          <w:rFonts w:ascii="Verdana" w:eastAsia="Verdana" w:hAnsi="Verdana" w:cs="Verdana"/>
          <w:bCs/>
          <w:sz w:val="20"/>
          <w:lang w:val="es-ES"/>
        </w:rPr>
        <w:t xml:space="preserve">En cuanto a sus características, la doctrina ha indicado que el arrendamiento es un contrato: i) bilateral, pues ambas partes se obligan recíprocamente; </w:t>
      </w:r>
      <w:proofErr w:type="spellStart"/>
      <w:r w:rsidRPr="00A41D37">
        <w:rPr>
          <w:rFonts w:ascii="Verdana" w:eastAsia="Verdana" w:hAnsi="Verdana" w:cs="Verdana"/>
          <w:bCs/>
          <w:sz w:val="20"/>
          <w:lang w:val="es-ES"/>
        </w:rPr>
        <w:t>ii</w:t>
      </w:r>
      <w:proofErr w:type="spellEnd"/>
      <w:r w:rsidRPr="00A41D37">
        <w:rPr>
          <w:rFonts w:ascii="Verdana" w:eastAsia="Verdana" w:hAnsi="Verdana" w:cs="Verdana"/>
          <w:bCs/>
          <w:sz w:val="20"/>
          <w:lang w:val="es-ES"/>
        </w:rPr>
        <w:t xml:space="preserve">) consensual, dado que se perfecciona con el consentimiento; </w:t>
      </w:r>
      <w:proofErr w:type="spellStart"/>
      <w:r w:rsidRPr="00A41D37">
        <w:rPr>
          <w:rFonts w:ascii="Verdana" w:eastAsia="Verdana" w:hAnsi="Verdana" w:cs="Verdana"/>
          <w:bCs/>
          <w:sz w:val="20"/>
          <w:lang w:val="es-ES"/>
        </w:rPr>
        <w:t>iii</w:t>
      </w:r>
      <w:proofErr w:type="spellEnd"/>
      <w:r w:rsidRPr="00A41D37">
        <w:rPr>
          <w:rFonts w:ascii="Verdana" w:eastAsia="Verdana" w:hAnsi="Verdana" w:cs="Verdana"/>
          <w:bCs/>
          <w:sz w:val="20"/>
          <w:lang w:val="es-ES"/>
        </w:rPr>
        <w:t xml:space="preserve">) oneroso, ya que ambas partes obtienen utilidades –el arrendatario, el uso y goce del bien, y el arrendador la renta o canon–; </w:t>
      </w:r>
      <w:proofErr w:type="spellStart"/>
      <w:r w:rsidRPr="00A41D37">
        <w:rPr>
          <w:rFonts w:ascii="Verdana" w:eastAsia="Verdana" w:hAnsi="Verdana" w:cs="Verdana"/>
          <w:bCs/>
          <w:sz w:val="20"/>
          <w:lang w:val="es-ES"/>
        </w:rPr>
        <w:t>iv</w:t>
      </w:r>
      <w:proofErr w:type="spellEnd"/>
      <w:r w:rsidRPr="00A41D37">
        <w:rPr>
          <w:rFonts w:ascii="Verdana" w:eastAsia="Verdana" w:hAnsi="Verdana" w:cs="Verdana"/>
          <w:bCs/>
          <w:sz w:val="20"/>
          <w:lang w:val="es-ES"/>
        </w:rPr>
        <w:t xml:space="preserve">) de ejecución sucesiva, en la medida en que se ejecuta en forma periódica; v) principal, porque existe en forma autónoma; y v) nominado, porque está tipificado y desarrollado en la ley. </w:t>
      </w:r>
    </w:p>
    <w:p w14:paraId="6CB82318" w14:textId="77777777" w:rsidR="00A41D37" w:rsidRPr="00A41D37" w:rsidRDefault="00A41D37" w:rsidP="00AC47E2">
      <w:pPr>
        <w:spacing w:after="0" w:line="240" w:lineRule="auto"/>
        <w:jc w:val="both"/>
        <w:rPr>
          <w:rFonts w:ascii="Verdana" w:eastAsia="Verdana" w:hAnsi="Verdana" w:cs="Verdana"/>
          <w:b/>
          <w:bCs/>
          <w:lang w:val="es-ES"/>
        </w:rPr>
      </w:pPr>
    </w:p>
    <w:p w14:paraId="61DF7595" w14:textId="77777777" w:rsidR="00A41D37" w:rsidRPr="00A41D37" w:rsidRDefault="00A41D37" w:rsidP="00AC47E2">
      <w:pPr>
        <w:spacing w:after="0" w:line="240" w:lineRule="auto"/>
        <w:jc w:val="both"/>
        <w:rPr>
          <w:rFonts w:ascii="Verdana" w:eastAsia="Verdana" w:hAnsi="Verdana" w:cs="Verdana"/>
          <w:b/>
          <w:bCs/>
          <w:lang w:val="es-ES_tradnl"/>
        </w:rPr>
      </w:pPr>
      <w:r w:rsidRPr="00A41D37">
        <w:rPr>
          <w:rFonts w:ascii="Verdana" w:eastAsia="Verdana" w:hAnsi="Verdana" w:cs="Verdana"/>
          <w:b/>
          <w:bCs/>
          <w:lang w:val="es-ES_tradnl"/>
        </w:rPr>
        <w:t xml:space="preserve">CONTRATO DE ARRENDAMIENTO – Procedencia – Restricción – Contratación Directa – Artículo 33 </w:t>
      </w:r>
    </w:p>
    <w:p w14:paraId="66A14FC0" w14:textId="77777777" w:rsidR="00A41D37" w:rsidRPr="00A41D37" w:rsidRDefault="00A41D37" w:rsidP="00AC47E2">
      <w:pPr>
        <w:spacing w:after="0" w:line="240" w:lineRule="auto"/>
        <w:jc w:val="both"/>
        <w:rPr>
          <w:rFonts w:ascii="Verdana" w:eastAsia="Verdana" w:hAnsi="Verdana" w:cs="Verdana"/>
          <w:b/>
          <w:bCs/>
          <w:lang w:val="es-ES_tradnl"/>
        </w:rPr>
      </w:pPr>
    </w:p>
    <w:p w14:paraId="32FAE2C7" w14:textId="77777777" w:rsidR="00A41D37" w:rsidRPr="00A41D37" w:rsidRDefault="00A41D37" w:rsidP="00AC47E2">
      <w:pPr>
        <w:spacing w:after="0" w:line="240" w:lineRule="auto"/>
        <w:jc w:val="both"/>
        <w:rPr>
          <w:rFonts w:ascii="Verdana" w:eastAsia="Verdana" w:hAnsi="Verdana" w:cs="Verdana"/>
          <w:bCs/>
          <w:sz w:val="20"/>
          <w:lang w:val="es-MX"/>
        </w:rPr>
      </w:pPr>
      <w:r w:rsidRPr="00A41D37">
        <w:rPr>
          <w:rFonts w:ascii="Verdana" w:eastAsia="Verdana" w:hAnsi="Verdana" w:cs="Verdana"/>
          <w:bCs/>
          <w:sz w:val="20"/>
        </w:rPr>
        <w:t xml:space="preserve">Bajo esta lógica, no es posible que la entidad estatal en calidad de arrendadora de un bien inmueble pueda suscribir un contrato de arrendamiento, pues se encuentra dentro de la restricción del artículo 33 de la Ley 996 de 2005, la cual </w:t>
      </w:r>
      <w:r w:rsidRPr="00A41D37">
        <w:rPr>
          <w:rFonts w:ascii="Verdana" w:eastAsia="Verdana" w:hAnsi="Verdana" w:cs="Verdana"/>
          <w:bCs/>
          <w:sz w:val="20"/>
          <w:lang w:val="es-MX"/>
        </w:rPr>
        <w:t xml:space="preserve">prohíbe adelantar cualquier forma de contratación directa, entendida como todo mecanismo no competitivo. Es decir, dicha restricción aplica en aquellos supuestos, en los que se pretenda celebrar contratos de arrendamiento de bienes inmuebles de forma directa, ya sea en calidad de arrendadora o de arrendataria, conforme a la causal de contratación directa </w:t>
      </w:r>
      <w:r w:rsidRPr="00A41D37">
        <w:rPr>
          <w:rFonts w:ascii="Verdana" w:eastAsia="Verdana" w:hAnsi="Verdana" w:cs="Verdana"/>
          <w:bCs/>
          <w:sz w:val="20"/>
        </w:rPr>
        <w:t xml:space="preserve">del artículo </w:t>
      </w:r>
      <w:r w:rsidRPr="00A41D37">
        <w:rPr>
          <w:rFonts w:ascii="Verdana" w:eastAsia="Verdana" w:hAnsi="Verdana" w:cs="Verdana"/>
          <w:bCs/>
          <w:sz w:val="20"/>
        </w:rPr>
        <w:lastRenderedPageBreak/>
        <w:t>2º, numeral 4° literal i) de la Ley 1150 de 2007.</w:t>
      </w:r>
      <w:r w:rsidRPr="00A41D37">
        <w:rPr>
          <w:rFonts w:ascii="Verdana" w:eastAsia="Verdana" w:hAnsi="Verdana" w:cs="Verdana"/>
          <w:bCs/>
          <w:sz w:val="20"/>
          <w:lang w:val="es-MX"/>
        </w:rPr>
        <w:t xml:space="preserve"> En este sentido, todos los entes del Estado, independiente del régimen jurídico aplicable, están sujetos a la restricción del artículo 33 de la Ley 996 de 2005, es decir, no podrán adelantar sistema que implique contratación directa respecto de las elecciones presidenciales, dentro de los cuatro (4) meses anteriores a la celebración de dichos comicios. </w:t>
      </w:r>
    </w:p>
    <w:p w14:paraId="025640B9" w14:textId="77777777" w:rsidR="00A41D37" w:rsidRPr="00A41D37" w:rsidRDefault="00A41D37" w:rsidP="00AC47E2">
      <w:pPr>
        <w:spacing w:after="0" w:line="240" w:lineRule="auto"/>
        <w:jc w:val="both"/>
        <w:rPr>
          <w:rFonts w:ascii="Verdana" w:eastAsia="Verdana" w:hAnsi="Verdana" w:cs="Verdana"/>
          <w:b/>
          <w:bCs/>
          <w:lang w:val="es-MX"/>
        </w:rPr>
      </w:pPr>
    </w:p>
    <w:p w14:paraId="35FF0555" w14:textId="1148182D" w:rsidR="00A41D37" w:rsidRPr="00A41D37" w:rsidRDefault="00A41D37" w:rsidP="00AC47E2">
      <w:pPr>
        <w:spacing w:after="0" w:line="240" w:lineRule="auto"/>
        <w:jc w:val="both"/>
        <w:rPr>
          <w:rFonts w:ascii="Verdana" w:eastAsia="Verdana" w:hAnsi="Verdana" w:cs="Verdana"/>
          <w:b/>
          <w:bCs/>
          <w:lang w:val="es-ES_tradnl"/>
        </w:rPr>
      </w:pPr>
      <w:r w:rsidRPr="00A41D37">
        <w:rPr>
          <w:rFonts w:ascii="Verdana" w:eastAsia="Verdana" w:hAnsi="Verdana" w:cs="Verdana"/>
          <w:b/>
          <w:bCs/>
          <w:lang w:val="es-ES_tradnl"/>
        </w:rPr>
        <w:t>CONTRATO DE ARRENDAMIENTO – No procedencia – Revisión – Artículo 38 – Convenios Interadministrativos – Restricción – Contratos Interadministrativos – Artículo 33</w:t>
      </w:r>
    </w:p>
    <w:p w14:paraId="15D43AC3" w14:textId="15966157" w:rsidR="00A41D37" w:rsidRDefault="00A41D37" w:rsidP="00AC47E2">
      <w:pPr>
        <w:spacing w:after="0" w:line="240" w:lineRule="auto"/>
        <w:rPr>
          <w:rFonts w:ascii="Verdana" w:eastAsia="Verdana" w:hAnsi="Verdana" w:cs="Verdana"/>
          <w:bCs/>
          <w:lang w:val="es-ES_tradnl"/>
        </w:rPr>
      </w:pPr>
    </w:p>
    <w:p w14:paraId="7FA005E5" w14:textId="4F5A48E3" w:rsidR="00F12FAC" w:rsidRDefault="00F12FAC" w:rsidP="00AC47E2">
      <w:pPr>
        <w:spacing w:after="0" w:line="240" w:lineRule="auto"/>
        <w:jc w:val="both"/>
        <w:rPr>
          <w:rFonts w:ascii="Verdana" w:eastAsia="Verdana" w:hAnsi="Verdana" w:cs="Verdana"/>
          <w:bCs/>
          <w:sz w:val="20"/>
        </w:rPr>
      </w:pPr>
      <w:r w:rsidRPr="00F12FAC">
        <w:rPr>
          <w:rFonts w:ascii="Verdana" w:eastAsia="Verdana" w:hAnsi="Verdana" w:cs="Verdana"/>
          <w:bCs/>
          <w:sz w:val="20"/>
        </w:rPr>
        <w:t>De igual manera, resulta pertinente precisar que los contratos de arrendamiento de bienes inmuebles no encajan en la restricción del artículo 38 de la Ley 996 de 2005, la cual establece la prohibición de celebrar convenios interadministrativos para la ejecución de recursos públicos por parte de alcaldes, gobernadores, secretarios, gerentes y directores de entidades del orden municipal, departamental o distrital. Por tanto, esta limitación no afecta directamente la relación bilateral propia del contrato de arrendamiento, sino únicamente convenios de naturaleza asociativa o cooperativa, en que dos o más partes aúnan esfuerzos para un objetivo común.</w:t>
      </w:r>
    </w:p>
    <w:p w14:paraId="55AB14EA" w14:textId="77777777" w:rsidR="00F12FAC" w:rsidRPr="00F12FAC" w:rsidRDefault="00F12FAC" w:rsidP="00AC47E2">
      <w:pPr>
        <w:spacing w:after="0" w:line="240" w:lineRule="auto"/>
        <w:jc w:val="both"/>
        <w:rPr>
          <w:rFonts w:ascii="Verdana" w:eastAsia="Verdana" w:hAnsi="Verdana" w:cs="Verdana"/>
          <w:bCs/>
          <w:sz w:val="20"/>
        </w:rPr>
      </w:pPr>
    </w:p>
    <w:p w14:paraId="390F0F4A" w14:textId="77777777" w:rsidR="00F12FAC" w:rsidRPr="00F12FAC" w:rsidRDefault="00F12FAC" w:rsidP="00AC47E2">
      <w:pPr>
        <w:spacing w:after="0" w:line="240" w:lineRule="auto"/>
        <w:jc w:val="both"/>
        <w:rPr>
          <w:rFonts w:ascii="Verdana" w:eastAsia="Verdana" w:hAnsi="Verdana" w:cs="Verdana"/>
          <w:bCs/>
          <w:sz w:val="20"/>
        </w:rPr>
      </w:pPr>
      <w:r w:rsidRPr="00F12FAC">
        <w:rPr>
          <w:rFonts w:ascii="Verdana" w:eastAsia="Verdana" w:hAnsi="Verdana" w:cs="Verdana"/>
          <w:bCs/>
          <w:sz w:val="20"/>
        </w:rPr>
        <w:t>Sin embargo, cabe destacar que, tratándose de un contrato interadministrativo de arrendamiento, este también se encuentra sujeto a la restricción prevista en el artículo 33, siempre que se celebre mediante la modalidad de contratación directa. En consecuencia, cualquier contrato de arrendamiento de bienes inmuebles suscrito por entidades estatales bajo esta forma, dentro de los cuatro meses anteriores a las elecciones presidenciales —programadas para el 31 de mayo de 2026—, así como respecto de una eventual segunda vuelta prevista para el 21 de junio del mismo año, quedará igualmente comprendido en dicha limitación.</w:t>
      </w:r>
    </w:p>
    <w:p w14:paraId="4520F86F" w14:textId="1EF84AB6" w:rsidR="00A41D37" w:rsidRPr="00F12FAC" w:rsidRDefault="00A41D37" w:rsidP="00AC47E2">
      <w:pPr>
        <w:spacing w:after="0" w:line="240" w:lineRule="auto"/>
        <w:rPr>
          <w:rFonts w:ascii="Verdana" w:eastAsia="Verdana" w:hAnsi="Verdana" w:cs="Verdana"/>
          <w:bCs/>
        </w:rPr>
      </w:pPr>
    </w:p>
    <w:p w14:paraId="3656D886" w14:textId="38B91BF6" w:rsidR="00A41D37" w:rsidRDefault="00A41D37" w:rsidP="00AC47E2">
      <w:pPr>
        <w:spacing w:after="0" w:line="240" w:lineRule="auto"/>
        <w:rPr>
          <w:rFonts w:ascii="Verdana" w:eastAsia="Verdana" w:hAnsi="Verdana" w:cs="Verdana"/>
        </w:rPr>
      </w:pPr>
    </w:p>
    <w:p w14:paraId="30728D7A" w14:textId="7BEBAA9C" w:rsidR="00F12FAC" w:rsidRDefault="00F12FAC" w:rsidP="00AC47E2">
      <w:pPr>
        <w:spacing w:after="0" w:line="240" w:lineRule="auto"/>
        <w:rPr>
          <w:rFonts w:ascii="Verdana" w:eastAsia="Verdana" w:hAnsi="Verdana" w:cs="Verdana"/>
        </w:rPr>
      </w:pPr>
    </w:p>
    <w:p w14:paraId="1AFD28F2" w14:textId="52A32295" w:rsidR="00F12FAC" w:rsidRDefault="00F12FAC" w:rsidP="00AC47E2">
      <w:pPr>
        <w:spacing w:after="0" w:line="240" w:lineRule="auto"/>
        <w:rPr>
          <w:rFonts w:ascii="Verdana" w:eastAsia="Verdana" w:hAnsi="Verdana" w:cs="Verdana"/>
        </w:rPr>
      </w:pPr>
    </w:p>
    <w:p w14:paraId="577297DA" w14:textId="241704CC" w:rsidR="00F12FAC" w:rsidRDefault="00F12FAC" w:rsidP="00AC47E2">
      <w:pPr>
        <w:spacing w:after="0" w:line="240" w:lineRule="auto"/>
        <w:rPr>
          <w:rFonts w:ascii="Verdana" w:eastAsia="Verdana" w:hAnsi="Verdana" w:cs="Verdana"/>
        </w:rPr>
      </w:pPr>
    </w:p>
    <w:p w14:paraId="221FD9A8" w14:textId="3138E9DC" w:rsidR="00F12FAC" w:rsidRDefault="00F12FAC" w:rsidP="00AC47E2">
      <w:pPr>
        <w:spacing w:after="0" w:line="240" w:lineRule="auto"/>
        <w:rPr>
          <w:rFonts w:ascii="Verdana" w:eastAsia="Verdana" w:hAnsi="Verdana" w:cs="Verdana"/>
        </w:rPr>
      </w:pPr>
    </w:p>
    <w:p w14:paraId="6F706633" w14:textId="0D19C050" w:rsidR="00F12FAC" w:rsidRDefault="00F12FAC" w:rsidP="00A41D37">
      <w:pPr>
        <w:spacing w:after="0" w:line="240" w:lineRule="auto"/>
        <w:rPr>
          <w:rFonts w:ascii="Verdana" w:eastAsia="Verdana" w:hAnsi="Verdana" w:cs="Verdana"/>
        </w:rPr>
      </w:pPr>
    </w:p>
    <w:p w14:paraId="2FF36440" w14:textId="0E15FA9E" w:rsidR="00F12FAC" w:rsidRDefault="00F12FAC" w:rsidP="00A41D37">
      <w:pPr>
        <w:spacing w:after="0" w:line="240" w:lineRule="auto"/>
        <w:rPr>
          <w:rFonts w:ascii="Verdana" w:eastAsia="Verdana" w:hAnsi="Verdana" w:cs="Verdana"/>
        </w:rPr>
      </w:pPr>
    </w:p>
    <w:p w14:paraId="7C3C2A8E" w14:textId="3B2D0972" w:rsidR="00F12FAC" w:rsidRDefault="00F12FAC" w:rsidP="00A41D37">
      <w:pPr>
        <w:spacing w:after="0" w:line="240" w:lineRule="auto"/>
        <w:rPr>
          <w:rFonts w:ascii="Verdana" w:eastAsia="Verdana" w:hAnsi="Verdana" w:cs="Verdana"/>
        </w:rPr>
      </w:pPr>
    </w:p>
    <w:p w14:paraId="49D031DB" w14:textId="5F33B155" w:rsidR="00F12FAC" w:rsidRDefault="00F12FAC" w:rsidP="00A41D37">
      <w:pPr>
        <w:spacing w:after="0" w:line="240" w:lineRule="auto"/>
        <w:rPr>
          <w:rFonts w:ascii="Verdana" w:eastAsia="Verdana" w:hAnsi="Verdana" w:cs="Verdana"/>
        </w:rPr>
      </w:pPr>
    </w:p>
    <w:p w14:paraId="5D26FB3E" w14:textId="77E634DB" w:rsidR="00F12FAC" w:rsidRDefault="00F12FAC" w:rsidP="00A41D37">
      <w:pPr>
        <w:spacing w:after="0" w:line="240" w:lineRule="auto"/>
        <w:rPr>
          <w:rFonts w:ascii="Verdana" w:eastAsia="Verdana" w:hAnsi="Verdana" w:cs="Verdana"/>
        </w:rPr>
      </w:pPr>
    </w:p>
    <w:p w14:paraId="5586AA98" w14:textId="0F6CF1AC" w:rsidR="00F12FAC" w:rsidRDefault="00F12FAC" w:rsidP="00A41D37">
      <w:pPr>
        <w:spacing w:after="0" w:line="240" w:lineRule="auto"/>
        <w:rPr>
          <w:rFonts w:ascii="Verdana" w:eastAsia="Verdana" w:hAnsi="Verdana" w:cs="Verdana"/>
        </w:rPr>
      </w:pPr>
    </w:p>
    <w:p w14:paraId="618018CB" w14:textId="639E3352" w:rsidR="00F12FAC" w:rsidRDefault="00F12FAC" w:rsidP="00A41D37">
      <w:pPr>
        <w:spacing w:after="0" w:line="240" w:lineRule="auto"/>
        <w:rPr>
          <w:rFonts w:ascii="Verdana" w:eastAsia="Verdana" w:hAnsi="Verdana" w:cs="Verdana"/>
        </w:rPr>
      </w:pPr>
    </w:p>
    <w:p w14:paraId="4723CF58" w14:textId="09A70EC6" w:rsidR="00F12FAC" w:rsidRDefault="00F12FAC" w:rsidP="00A41D37">
      <w:pPr>
        <w:spacing w:after="0" w:line="240" w:lineRule="auto"/>
        <w:rPr>
          <w:rFonts w:ascii="Verdana" w:eastAsia="Verdana" w:hAnsi="Verdana" w:cs="Verdana"/>
        </w:rPr>
      </w:pPr>
    </w:p>
    <w:p w14:paraId="68EE8789" w14:textId="1687DB2E" w:rsidR="00F12FAC" w:rsidRDefault="00F12FAC" w:rsidP="00A41D37">
      <w:pPr>
        <w:spacing w:after="0" w:line="240" w:lineRule="auto"/>
        <w:rPr>
          <w:rFonts w:ascii="Verdana" w:eastAsia="Verdana" w:hAnsi="Verdana" w:cs="Verdana"/>
        </w:rPr>
      </w:pPr>
    </w:p>
    <w:p w14:paraId="7728ACD1" w14:textId="1CD3CEAF" w:rsidR="00F12FAC" w:rsidRPr="00A41D37" w:rsidRDefault="00F12FAC" w:rsidP="00A41D37">
      <w:pPr>
        <w:spacing w:after="0" w:line="240" w:lineRule="auto"/>
        <w:rPr>
          <w:rFonts w:ascii="Verdana" w:eastAsia="Verdana" w:hAnsi="Verdana" w:cs="Verdana"/>
        </w:rPr>
      </w:pPr>
    </w:p>
    <w:p w14:paraId="637605A4" w14:textId="63045F0F" w:rsidR="006803AB" w:rsidRPr="00920937" w:rsidRDefault="00920937" w:rsidP="00A41D37">
      <w:pPr>
        <w:spacing w:after="0" w:line="240" w:lineRule="auto"/>
        <w:rPr>
          <w:rFonts w:ascii="Verdana" w:hAnsi="Verdana"/>
        </w:rPr>
      </w:pPr>
      <w:r w:rsidRPr="00920937">
        <w:rPr>
          <w:rFonts w:ascii="Verdana" w:hAnsi="Verdana"/>
          <w:noProof/>
          <w:lang w:val="en-US"/>
        </w:rPr>
        <w:lastRenderedPageBreak/>
        <w:drawing>
          <wp:anchor distT="0" distB="0" distL="114300" distR="114300" simplePos="0" relativeHeight="251658240" behindDoc="0" locked="0" layoutInCell="1" allowOverlap="1" wp14:anchorId="5A3DB784" wp14:editId="5A587DEB">
            <wp:simplePos x="0" y="0"/>
            <wp:positionH relativeFrom="column">
              <wp:posOffset>2794000</wp:posOffset>
            </wp:positionH>
            <wp:positionV relativeFrom="paragraph">
              <wp:posOffset>203200</wp:posOffset>
            </wp:positionV>
            <wp:extent cx="2799080" cy="772160"/>
            <wp:effectExtent l="0" t="0" r="1270" b="889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9080" cy="7721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41D37">
        <w:rPr>
          <w:rFonts w:ascii="Verdana" w:eastAsia="Verdana" w:hAnsi="Verdana" w:cs="Verdana"/>
        </w:rPr>
        <w:t>Bogotá D.C., 23 de febrero de 2026</w:t>
      </w:r>
      <w:r w:rsidR="006803AB">
        <w:tab/>
      </w:r>
      <w:r w:rsidR="006803AB">
        <w:br/>
      </w:r>
    </w:p>
    <w:p w14:paraId="41C340AA" w14:textId="77777777" w:rsidR="006803AB" w:rsidRPr="009B39AC" w:rsidRDefault="006803AB" w:rsidP="00A41D37">
      <w:pPr>
        <w:spacing w:after="0" w:line="240" w:lineRule="auto"/>
        <w:rPr>
          <w:rFonts w:ascii="Verdana" w:hAnsi="Verdana"/>
        </w:rPr>
      </w:pPr>
    </w:p>
    <w:p w14:paraId="7A949CA9" w14:textId="77777777" w:rsidR="006803AB" w:rsidRPr="000C555D" w:rsidRDefault="006803AB" w:rsidP="00A41D37">
      <w:pPr>
        <w:spacing w:after="0" w:line="240" w:lineRule="auto"/>
        <w:jc w:val="both"/>
        <w:rPr>
          <w:rFonts w:ascii="Verdana" w:eastAsia="Calibri" w:hAnsi="Verdana" w:cs="Arial"/>
          <w:lang w:val="es-ES" w:eastAsia="es-ES"/>
        </w:rPr>
      </w:pPr>
      <w:r>
        <w:rPr>
          <w:rFonts w:ascii="Verdana" w:eastAsia="Calibri" w:hAnsi="Verdana" w:cs="Arial"/>
          <w:lang w:val="es-ES" w:eastAsia="es-ES"/>
        </w:rPr>
        <w:t>Doctora</w:t>
      </w:r>
    </w:p>
    <w:p w14:paraId="324AF69B" w14:textId="77777777" w:rsidR="006803AB" w:rsidRPr="005A1150" w:rsidRDefault="006803AB" w:rsidP="00A41D37">
      <w:pPr>
        <w:spacing w:after="0" w:line="240" w:lineRule="auto"/>
        <w:rPr>
          <w:rFonts w:ascii="Verdana" w:eastAsia="Calibri" w:hAnsi="Verdana" w:cs="Arial"/>
          <w:b/>
          <w:bCs/>
          <w:color w:val="000000"/>
          <w:lang w:val="es-ES_tradnl" w:eastAsia="es-ES_tradnl"/>
        </w:rPr>
      </w:pPr>
      <w:r w:rsidRPr="005A1150">
        <w:rPr>
          <w:rFonts w:ascii="Verdana" w:eastAsia="Calibri" w:hAnsi="Verdana" w:cs="Arial"/>
          <w:b/>
          <w:bCs/>
          <w:color w:val="000000"/>
          <w:lang w:val="es-ES_tradnl" w:eastAsia="es-ES_tradnl"/>
        </w:rPr>
        <w:t>Doria S. Vanegas Sánchez</w:t>
      </w:r>
    </w:p>
    <w:p w14:paraId="00E371DA" w14:textId="77777777" w:rsidR="006803AB" w:rsidRDefault="006803AB" w:rsidP="00A41D37">
      <w:pPr>
        <w:spacing w:after="0" w:line="240" w:lineRule="auto"/>
        <w:rPr>
          <w:rFonts w:ascii="Verdana" w:eastAsia="Calibri" w:hAnsi="Verdana" w:cs="Arial"/>
          <w:bCs/>
          <w:color w:val="000000"/>
          <w:lang w:val="es-ES_tradnl" w:eastAsia="es-ES_tradnl"/>
        </w:rPr>
      </w:pPr>
      <w:hyperlink r:id="rId12" w:history="1">
        <w:r w:rsidRPr="004C4658">
          <w:rPr>
            <w:rStyle w:val="Hipervnculo"/>
            <w:rFonts w:ascii="Verdana" w:eastAsia="Calibri" w:hAnsi="Verdana" w:cs="Arial"/>
            <w:bCs/>
            <w:lang w:val="es-ES_tradnl" w:eastAsia="es-ES_tradnl"/>
          </w:rPr>
          <w:t>jefejuridica@indev-yopal.gov.co</w:t>
        </w:r>
      </w:hyperlink>
    </w:p>
    <w:p w14:paraId="30936DFF" w14:textId="77777777" w:rsidR="006803AB" w:rsidRDefault="006803AB" w:rsidP="00A41D37">
      <w:pPr>
        <w:spacing w:after="0" w:line="240" w:lineRule="auto"/>
        <w:rPr>
          <w:rFonts w:ascii="Verdana" w:eastAsia="Calibri" w:hAnsi="Verdana" w:cs="Arial"/>
          <w:bCs/>
          <w:color w:val="000000"/>
          <w:lang w:val="es-ES_tradnl" w:eastAsia="es-ES_tradnl"/>
        </w:rPr>
      </w:pPr>
      <w:r>
        <w:rPr>
          <w:rFonts w:ascii="Verdana" w:eastAsia="Calibri" w:hAnsi="Verdana" w:cs="Arial"/>
          <w:bCs/>
          <w:color w:val="000000"/>
          <w:lang w:val="es-ES_tradnl" w:eastAsia="es-ES_tradnl"/>
        </w:rPr>
        <w:t>Yopal, Casanare</w:t>
      </w:r>
    </w:p>
    <w:p w14:paraId="22EF9326" w14:textId="77777777" w:rsidR="006803AB" w:rsidRDefault="006803AB" w:rsidP="00A41D37">
      <w:pPr>
        <w:spacing w:after="0" w:line="240" w:lineRule="auto"/>
        <w:rPr>
          <w:rFonts w:ascii="Verdana" w:eastAsia="Calibri" w:hAnsi="Verdana" w:cs="Times New Roman"/>
        </w:rPr>
      </w:pPr>
    </w:p>
    <w:p w14:paraId="5BECF108" w14:textId="77777777" w:rsidR="006803AB" w:rsidRPr="00A12CB6" w:rsidRDefault="006803AB" w:rsidP="00A41D37">
      <w:pPr>
        <w:spacing w:after="0" w:line="240" w:lineRule="auto"/>
        <w:rPr>
          <w:rFonts w:ascii="Verdana" w:eastAsia="Calibri" w:hAnsi="Verdana" w:cs="Times New Roman"/>
        </w:rPr>
      </w:pPr>
    </w:p>
    <w:p w14:paraId="2BE7A865" w14:textId="77777777" w:rsidR="006803AB" w:rsidRPr="00A12CB6" w:rsidRDefault="006803AB" w:rsidP="006803AB">
      <w:pPr>
        <w:spacing w:after="0" w:line="240"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C- 185 de 2026</w:t>
      </w:r>
    </w:p>
    <w:p w14:paraId="7133FCCF" w14:textId="77777777" w:rsidR="006803AB" w:rsidRPr="00A12CB6" w:rsidRDefault="006803AB" w:rsidP="006803AB">
      <w:pPr>
        <w:spacing w:after="0" w:line="240"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6803AB" w:rsidRPr="00A12CB6" w14:paraId="52315C7C" w14:textId="77777777" w:rsidTr="00CE268D">
        <w:trPr>
          <w:trHeight w:val="645"/>
        </w:trPr>
        <w:tc>
          <w:tcPr>
            <w:tcW w:w="2685" w:type="dxa"/>
            <w:hideMark/>
          </w:tcPr>
          <w:p w14:paraId="72769465" w14:textId="77777777" w:rsidR="006803AB" w:rsidRPr="00A12CB6" w:rsidRDefault="006803AB" w:rsidP="00CE268D">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4A27E8FE" w14:textId="77777777" w:rsidR="006803AB" w:rsidRPr="00817856" w:rsidRDefault="006803AB" w:rsidP="00CE268D">
            <w:pPr>
              <w:spacing w:line="276" w:lineRule="auto"/>
              <w:jc w:val="both"/>
              <w:rPr>
                <w:rFonts w:ascii="Verdana" w:hAnsi="Verdana" w:cs="Arial"/>
                <w:lang w:val="es-ES"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w:t>
            </w:r>
            <w:r w:rsidRPr="009F27AB">
              <w:rPr>
                <w:rFonts w:ascii="Verdana" w:hAnsi="Verdana" w:cs="Arial"/>
                <w:lang w:val="es-MX" w:eastAsia="es-ES_tradnl"/>
              </w:rPr>
              <w:t>LEY DE GARANTÍAS ELECTORALES – Contratos y convenios interadministrativos – Criterio orgánico / LEY DE GARANTÍAS ELECTORALES –Restricción- Convenios interadministrativos – Postura del Consejo de Estado</w:t>
            </w:r>
            <w:r>
              <w:rPr>
                <w:rFonts w:ascii="Verdana" w:hAnsi="Verdana" w:cs="Arial"/>
                <w:lang w:val="es-MX" w:eastAsia="es-ES_tradnl"/>
              </w:rPr>
              <w:t xml:space="preserve"> </w:t>
            </w:r>
            <w:r w:rsidRPr="009D0D83">
              <w:rPr>
                <w:rFonts w:ascii="Verdana" w:hAnsi="Verdana" w:cs="Arial"/>
                <w:bCs/>
                <w:lang w:val="es-ES" w:eastAsia="es-ES_tradnl"/>
              </w:rPr>
              <w:t xml:space="preserve">/ </w:t>
            </w:r>
            <w:r w:rsidRPr="009D0D83">
              <w:rPr>
                <w:rFonts w:ascii="Verdana" w:hAnsi="Verdana" w:cs="Arial"/>
                <w:bCs/>
                <w:lang w:val="es-ES_tradnl" w:eastAsia="es-ES_tradnl"/>
              </w:rPr>
              <w:t xml:space="preserve">CONTRATO DE ARRENDAMIENTO – Definición – Características </w:t>
            </w:r>
            <w:r>
              <w:rPr>
                <w:rFonts w:ascii="Verdana" w:hAnsi="Verdana" w:cs="Arial"/>
                <w:bCs/>
                <w:lang w:val="es-ES_tradnl" w:eastAsia="es-ES_tradnl"/>
              </w:rPr>
              <w:t xml:space="preserve">/ CONTRATO DE ARRENDAMIENTO – Procedencia – Restricción – Contratación Directa – Artículo 33 / CONTRATO DE ARRENDAMIENTO – No procedencia – Revisión – Artículo 38 – Convenios Interadministrativos – Restricción – Contratos Interadministrativos – Artículo 33 </w:t>
            </w:r>
          </w:p>
        </w:tc>
        <w:tc>
          <w:tcPr>
            <w:tcW w:w="6237" w:type="dxa"/>
          </w:tcPr>
          <w:p w14:paraId="78222D50" w14:textId="77777777" w:rsidR="006803AB" w:rsidRPr="00A12CB6" w:rsidRDefault="006803AB" w:rsidP="00CE268D">
            <w:pPr>
              <w:spacing w:line="256" w:lineRule="auto"/>
              <w:rPr>
                <w:rFonts w:ascii="Verdana" w:hAnsi="Verdana"/>
              </w:rPr>
            </w:pPr>
          </w:p>
        </w:tc>
      </w:tr>
    </w:tbl>
    <w:p w14:paraId="4AB5D5CA" w14:textId="77777777" w:rsidR="006803AB" w:rsidRPr="00593A5F" w:rsidRDefault="006803AB" w:rsidP="006803A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803AB" w:rsidRPr="008E6AD9" w14:paraId="0B8F8C40" w14:textId="77777777" w:rsidTr="00CE268D">
        <w:tc>
          <w:tcPr>
            <w:tcW w:w="2689" w:type="dxa"/>
          </w:tcPr>
          <w:p w14:paraId="3CD790EE" w14:textId="77777777" w:rsidR="006803AB" w:rsidRPr="008E6AD9" w:rsidRDefault="006803AB" w:rsidP="00CE268D">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4DFDF8A" w14:textId="77777777" w:rsidR="006803AB" w:rsidRPr="00792AB0" w:rsidRDefault="006803AB" w:rsidP="00CE268D">
            <w:pPr>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A95DA4">
              <w:rPr>
                <w:rFonts w:ascii="Verdana" w:eastAsia="Calibri" w:hAnsi="Verdana" w:cs="Arial"/>
                <w:lang w:eastAsia="es-ES_tradnl"/>
              </w:rPr>
              <w:t>1_2026_02_09_001657</w:t>
            </w:r>
          </w:p>
        </w:tc>
      </w:tr>
    </w:tbl>
    <w:p w14:paraId="1D0421EF" w14:textId="77777777" w:rsidR="006803AB" w:rsidRPr="00593A5F" w:rsidRDefault="006803AB" w:rsidP="006803AB">
      <w:pPr>
        <w:spacing w:after="0" w:line="240" w:lineRule="auto"/>
        <w:jc w:val="both"/>
        <w:rPr>
          <w:rFonts w:ascii="Verdana" w:eastAsia="Calibri" w:hAnsi="Verdana" w:cs="Arial"/>
          <w:color w:val="000000"/>
          <w:lang w:val="es-ES_tradnl" w:eastAsia="es-ES_tradnl"/>
        </w:rPr>
      </w:pPr>
    </w:p>
    <w:p w14:paraId="42968785" w14:textId="77777777" w:rsidR="006803AB" w:rsidRPr="00593A5F" w:rsidRDefault="006803AB" w:rsidP="006803AB">
      <w:pPr>
        <w:spacing w:after="0" w:line="240" w:lineRule="auto"/>
        <w:jc w:val="both"/>
        <w:rPr>
          <w:rFonts w:ascii="Verdana" w:eastAsia="Calibri" w:hAnsi="Verdana" w:cs="Arial"/>
          <w:color w:val="000000"/>
          <w:lang w:val="es-ES_tradnl" w:eastAsia="es-ES_tradnl"/>
        </w:rPr>
      </w:pPr>
    </w:p>
    <w:p w14:paraId="23D9CDEA" w14:textId="77777777" w:rsidR="006803AB" w:rsidRPr="008E6AD9" w:rsidRDefault="006803AB" w:rsidP="006803AB">
      <w:pPr>
        <w:spacing w:after="0" w:line="240"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 Doctora Vanegas</w:t>
      </w:r>
      <w:r w:rsidRPr="008E6AD9">
        <w:rPr>
          <w:rFonts w:ascii="Verdana" w:eastAsia="Calibri" w:hAnsi="Verdana" w:cs="Arial"/>
          <w:lang w:val="es-ES" w:eastAsia="es-ES"/>
        </w:rPr>
        <w:t xml:space="preserve">: </w:t>
      </w:r>
    </w:p>
    <w:p w14:paraId="75BD4041" w14:textId="77777777" w:rsidR="006803AB" w:rsidRDefault="006803AB" w:rsidP="006803AB">
      <w:pPr>
        <w:tabs>
          <w:tab w:val="left" w:pos="3768"/>
        </w:tabs>
        <w:spacing w:after="0" w:line="240"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856EAEE" w14:textId="77777777" w:rsidR="006803AB" w:rsidRPr="00102203" w:rsidRDefault="006803AB" w:rsidP="006803AB">
      <w:pPr>
        <w:spacing w:after="0" w:line="276" w:lineRule="auto"/>
        <w:jc w:val="both"/>
        <w:rPr>
          <w:rFonts w:ascii="Verdana" w:eastAsia="Calibri" w:hAnsi="Verdana" w:cs="Arial"/>
          <w:bCs/>
          <w:color w:val="000000" w:themeColor="text1"/>
          <w:lang w:val="es-ES" w:eastAsia="es-ES" w:bidi="es-ES"/>
        </w:rPr>
      </w:pPr>
      <w:r w:rsidRPr="00102203">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102203">
        <w:rPr>
          <w:rFonts w:ascii="Verdana" w:eastAsia="Calibri" w:hAnsi="Verdana" w:cs="Arial"/>
          <w:bCs/>
          <w:color w:val="000000" w:themeColor="text1"/>
          <w:lang w:eastAsia="es-ES"/>
        </w:rPr>
        <w:t xml:space="preserve">así como lo establecido por la Resolución 469 de 2025 expedida por esta Entidad, </w:t>
      </w:r>
      <w:r w:rsidRPr="00102203">
        <w:rPr>
          <w:rFonts w:ascii="Verdana" w:eastAsia="Calibri" w:hAnsi="Verdana" w:cs="Arial"/>
          <w:bCs/>
          <w:color w:val="000000" w:themeColor="text1"/>
          <w:lang w:val="es-ES" w:eastAsia="es-ES" w:bidi="es-ES"/>
        </w:rPr>
        <w:t xml:space="preserve">la Agencia Nacional de </w:t>
      </w:r>
      <w:r w:rsidRPr="00102203">
        <w:rPr>
          <w:rFonts w:ascii="Verdana" w:eastAsia="Calibri" w:hAnsi="Verdana" w:cs="Arial"/>
          <w:bCs/>
          <w:color w:val="000000" w:themeColor="text1"/>
          <w:lang w:val="es-ES" w:eastAsia="es-ES" w:bidi="es-ES"/>
        </w:rPr>
        <w:lastRenderedPageBreak/>
        <w:t>Contratación Pública –Colombia Compra Eficiente– responde l</w:t>
      </w:r>
      <w:r>
        <w:rPr>
          <w:rFonts w:ascii="Verdana" w:eastAsia="Calibri" w:hAnsi="Verdana" w:cs="Arial"/>
          <w:bCs/>
          <w:color w:val="000000" w:themeColor="text1"/>
          <w:lang w:val="es-ES" w:eastAsia="es-ES" w:bidi="es-ES"/>
        </w:rPr>
        <w:t>a solicitud de consulta del 9 de febrero de 2026, en la cual manifiesta</w:t>
      </w:r>
      <w:r w:rsidRPr="00102203">
        <w:rPr>
          <w:rFonts w:ascii="Verdana" w:eastAsia="Calibri" w:hAnsi="Verdana" w:cs="Arial"/>
          <w:bCs/>
          <w:color w:val="000000" w:themeColor="text1"/>
          <w:lang w:val="es-ES" w:eastAsia="es-ES" w:bidi="es-ES"/>
        </w:rPr>
        <w:t xml:space="preserve">: </w:t>
      </w:r>
    </w:p>
    <w:p w14:paraId="397FAD43" w14:textId="77777777" w:rsidR="006803AB" w:rsidRPr="00272A7B" w:rsidRDefault="006803AB" w:rsidP="006803AB">
      <w:pPr>
        <w:pStyle w:val="Prrafodelista"/>
        <w:tabs>
          <w:tab w:val="left" w:pos="142"/>
          <w:tab w:val="left" w:pos="284"/>
        </w:tabs>
        <w:spacing w:after="0" w:line="240" w:lineRule="auto"/>
        <w:ind w:left="0"/>
        <w:jc w:val="both"/>
        <w:rPr>
          <w:rFonts w:ascii="Verdana" w:eastAsia="Century Gothic" w:hAnsi="Verdana" w:cs="Century Gothic"/>
          <w:b/>
          <w:bCs/>
        </w:rPr>
      </w:pPr>
    </w:p>
    <w:p w14:paraId="7226C678" w14:textId="77777777" w:rsidR="006803AB" w:rsidRPr="00792AB0" w:rsidRDefault="006803AB" w:rsidP="006803AB">
      <w:pPr>
        <w:spacing w:after="0" w:line="240" w:lineRule="auto"/>
        <w:ind w:left="709" w:right="709"/>
        <w:jc w:val="both"/>
        <w:rPr>
          <w:rFonts w:ascii="Verdana" w:eastAsia="Century Gothic" w:hAnsi="Verdana" w:cs="Century Gothic"/>
          <w:sz w:val="20"/>
          <w:szCs w:val="20"/>
        </w:rPr>
      </w:pPr>
      <w:bookmarkStart w:id="1" w:name="_Hlk95313578"/>
      <w:r w:rsidRPr="00D10E3B">
        <w:rPr>
          <w:rFonts w:ascii="Verdana" w:eastAsia="Century Gothic" w:hAnsi="Verdana" w:cs="Century Gothic"/>
          <w:sz w:val="20"/>
          <w:szCs w:val="20"/>
          <w:lang w:val="es-ES"/>
        </w:rPr>
        <w:t>“</w:t>
      </w:r>
      <w:bookmarkEnd w:id="1"/>
      <w:r>
        <w:rPr>
          <w:rFonts w:ascii="Verdana" w:eastAsia="Century Gothic" w:hAnsi="Verdana" w:cs="Century Gothic"/>
          <w:sz w:val="20"/>
          <w:szCs w:val="20"/>
          <w:lang w:val="es-ES"/>
        </w:rPr>
        <w:t xml:space="preserve">[…] </w:t>
      </w:r>
      <w:r w:rsidRPr="00792AB0">
        <w:rPr>
          <w:rFonts w:ascii="Verdana" w:eastAsia="Century Gothic" w:hAnsi="Verdana" w:cs="Century Gothic"/>
          <w:sz w:val="20"/>
          <w:szCs w:val="20"/>
        </w:rPr>
        <w:t>de manera respetuosa solicitamos información relacionada co</w:t>
      </w:r>
      <w:r>
        <w:rPr>
          <w:rFonts w:ascii="Verdana" w:eastAsia="Century Gothic" w:hAnsi="Verdana" w:cs="Century Gothic"/>
          <w:sz w:val="20"/>
          <w:szCs w:val="20"/>
        </w:rPr>
        <w:t>n la realización de contrato de arrendamiento sin CDP</w:t>
      </w:r>
      <w:r w:rsidRPr="00792AB0">
        <w:rPr>
          <w:rFonts w:ascii="Verdana" w:eastAsia="Century Gothic" w:hAnsi="Verdana" w:cs="Century Gothic"/>
          <w:sz w:val="20"/>
          <w:szCs w:val="20"/>
        </w:rPr>
        <w:t>, emitidos por la entidad, entendiendo que la entidad tiene a</w:t>
      </w:r>
      <w:r>
        <w:rPr>
          <w:rFonts w:ascii="Verdana" w:eastAsia="Century Gothic" w:hAnsi="Verdana" w:cs="Century Gothic"/>
          <w:sz w:val="20"/>
          <w:szCs w:val="20"/>
        </w:rPr>
        <w:t xml:space="preserve"> </w:t>
      </w:r>
      <w:r w:rsidRPr="00792AB0">
        <w:rPr>
          <w:rFonts w:ascii="Verdana" w:eastAsia="Century Gothic" w:hAnsi="Verdana" w:cs="Century Gothic"/>
          <w:sz w:val="20"/>
          <w:szCs w:val="20"/>
        </w:rPr>
        <w:t>su cargo inmuebles</w:t>
      </w:r>
      <w:r>
        <w:rPr>
          <w:rFonts w:ascii="Verdana" w:eastAsia="Century Gothic" w:hAnsi="Verdana" w:cs="Century Gothic"/>
          <w:sz w:val="20"/>
          <w:szCs w:val="20"/>
        </w:rPr>
        <w:t xml:space="preserve"> </w:t>
      </w:r>
      <w:r w:rsidRPr="00792AB0">
        <w:rPr>
          <w:rFonts w:ascii="Verdana" w:eastAsia="Century Gothic" w:hAnsi="Verdana" w:cs="Century Gothic"/>
          <w:sz w:val="20"/>
          <w:szCs w:val="20"/>
        </w:rPr>
        <w:t>fiscales (plaza de mercado de la ciudad y una unidad comercial ), motivo por el cual la entidad realiza</w:t>
      </w:r>
      <w:r>
        <w:rPr>
          <w:rFonts w:ascii="Verdana" w:eastAsia="Century Gothic" w:hAnsi="Verdana" w:cs="Century Gothic"/>
          <w:sz w:val="20"/>
          <w:szCs w:val="20"/>
        </w:rPr>
        <w:t xml:space="preserve"> </w:t>
      </w:r>
      <w:r w:rsidRPr="00792AB0">
        <w:rPr>
          <w:rFonts w:ascii="Verdana" w:eastAsia="Century Gothic" w:hAnsi="Verdana" w:cs="Century Gothic"/>
          <w:sz w:val="20"/>
          <w:szCs w:val="20"/>
        </w:rPr>
        <w:t>contratos de arrendamiento los cuales son cargados y reportados al SECOP II, entendiendo que estos NO</w:t>
      </w:r>
      <w:r>
        <w:rPr>
          <w:rFonts w:ascii="Verdana" w:eastAsia="Century Gothic" w:hAnsi="Verdana" w:cs="Century Gothic"/>
          <w:sz w:val="20"/>
          <w:szCs w:val="20"/>
        </w:rPr>
        <w:t xml:space="preserve"> </w:t>
      </w:r>
      <w:r w:rsidRPr="00792AB0">
        <w:rPr>
          <w:rFonts w:ascii="Verdana" w:eastAsia="Century Gothic" w:hAnsi="Verdana" w:cs="Century Gothic"/>
          <w:sz w:val="20"/>
          <w:szCs w:val="20"/>
        </w:rPr>
        <w:t>tienen afectación presupuestal (CDP), puesto que este tipo de contratos se cobra un CANON de</w:t>
      </w:r>
      <w:r>
        <w:rPr>
          <w:rFonts w:ascii="Verdana" w:eastAsia="Century Gothic" w:hAnsi="Verdana" w:cs="Century Gothic"/>
          <w:sz w:val="20"/>
          <w:szCs w:val="20"/>
        </w:rPr>
        <w:t xml:space="preserve"> </w:t>
      </w:r>
      <w:r w:rsidRPr="00792AB0">
        <w:rPr>
          <w:rFonts w:ascii="Verdana" w:eastAsia="Century Gothic" w:hAnsi="Verdana" w:cs="Century Gothic"/>
          <w:sz w:val="20"/>
          <w:szCs w:val="20"/>
        </w:rPr>
        <w:t>arrendamiento mensual el cual el arren</w:t>
      </w:r>
      <w:r>
        <w:rPr>
          <w:rFonts w:ascii="Verdana" w:eastAsia="Century Gothic" w:hAnsi="Verdana" w:cs="Century Gothic"/>
          <w:sz w:val="20"/>
          <w:szCs w:val="20"/>
        </w:rPr>
        <w:t>datario debe pagar mensualmente</w:t>
      </w:r>
      <w:r w:rsidRPr="00792AB0">
        <w:rPr>
          <w:rFonts w:ascii="Verdana" w:eastAsia="Century Gothic" w:hAnsi="Verdana" w:cs="Century Gothic"/>
          <w:sz w:val="20"/>
          <w:szCs w:val="20"/>
        </w:rPr>
        <w:t>, fruto de la utilización del bien</w:t>
      </w:r>
      <w:r>
        <w:rPr>
          <w:rFonts w:ascii="Verdana" w:eastAsia="Century Gothic" w:hAnsi="Verdana" w:cs="Century Gothic"/>
          <w:sz w:val="20"/>
          <w:szCs w:val="20"/>
        </w:rPr>
        <w:t xml:space="preserve"> </w:t>
      </w:r>
      <w:r w:rsidRPr="00792AB0">
        <w:rPr>
          <w:rFonts w:ascii="Verdana" w:eastAsia="Century Gothic" w:hAnsi="Verdana" w:cs="Century Gothic"/>
          <w:sz w:val="20"/>
          <w:szCs w:val="20"/>
        </w:rPr>
        <w:t>fiscal.</w:t>
      </w:r>
    </w:p>
    <w:p w14:paraId="5498CF58" w14:textId="77777777" w:rsidR="006803AB" w:rsidRPr="002E60E4" w:rsidRDefault="006803AB" w:rsidP="006803AB">
      <w:pPr>
        <w:spacing w:after="0" w:line="240" w:lineRule="auto"/>
        <w:ind w:left="709" w:right="709"/>
        <w:jc w:val="both"/>
        <w:rPr>
          <w:rFonts w:ascii="Verdana" w:eastAsia="Century Gothic" w:hAnsi="Verdana" w:cs="Century Gothic"/>
          <w:sz w:val="20"/>
          <w:szCs w:val="20"/>
        </w:rPr>
      </w:pPr>
      <w:proofErr w:type="gramStart"/>
      <w:r w:rsidRPr="00792AB0">
        <w:rPr>
          <w:rFonts w:ascii="Verdana" w:eastAsia="Century Gothic" w:hAnsi="Verdana" w:cs="Century Gothic"/>
          <w:sz w:val="20"/>
          <w:szCs w:val="20"/>
        </w:rPr>
        <w:t>Que</w:t>
      </w:r>
      <w:proofErr w:type="gramEnd"/>
      <w:r w:rsidRPr="00792AB0">
        <w:rPr>
          <w:rFonts w:ascii="Verdana" w:eastAsia="Century Gothic" w:hAnsi="Verdana" w:cs="Century Gothic"/>
          <w:sz w:val="20"/>
          <w:szCs w:val="20"/>
        </w:rPr>
        <w:t xml:space="preserve"> por lo anterior, se hace necesario solicitar claridad </w:t>
      </w:r>
      <w:proofErr w:type="gramStart"/>
      <w:r w:rsidRPr="00792AB0">
        <w:rPr>
          <w:rFonts w:ascii="Verdana" w:eastAsia="Century Gothic" w:hAnsi="Verdana" w:cs="Century Gothic"/>
          <w:sz w:val="20"/>
          <w:szCs w:val="20"/>
        </w:rPr>
        <w:t>en relación a</w:t>
      </w:r>
      <w:proofErr w:type="gramEnd"/>
      <w:r w:rsidRPr="00792AB0">
        <w:rPr>
          <w:rFonts w:ascii="Verdana" w:eastAsia="Century Gothic" w:hAnsi="Verdana" w:cs="Century Gothic"/>
          <w:sz w:val="20"/>
          <w:szCs w:val="20"/>
        </w:rPr>
        <w:t xml:space="preserve"> la suscripción de contratos de</w:t>
      </w:r>
      <w:r>
        <w:rPr>
          <w:rFonts w:ascii="Verdana" w:eastAsia="Century Gothic" w:hAnsi="Verdana" w:cs="Century Gothic"/>
          <w:sz w:val="20"/>
          <w:szCs w:val="20"/>
        </w:rPr>
        <w:t xml:space="preserve"> </w:t>
      </w:r>
      <w:r w:rsidRPr="00792AB0">
        <w:rPr>
          <w:rFonts w:ascii="Verdana" w:eastAsia="Century Gothic" w:hAnsi="Verdana" w:cs="Century Gothic"/>
          <w:sz w:val="20"/>
          <w:szCs w:val="20"/>
        </w:rPr>
        <w:t>arrendamiento (sin CDP), si estos les aplica la ley de garantías (Comienza la prohibición de contratación</w:t>
      </w:r>
      <w:r>
        <w:rPr>
          <w:rFonts w:ascii="Verdana" w:eastAsia="Century Gothic" w:hAnsi="Verdana" w:cs="Century Gothic"/>
          <w:sz w:val="20"/>
          <w:szCs w:val="20"/>
        </w:rPr>
        <w:t xml:space="preserve"> </w:t>
      </w:r>
      <w:r w:rsidRPr="00792AB0">
        <w:rPr>
          <w:rFonts w:ascii="Verdana" w:eastAsia="Century Gothic" w:hAnsi="Verdana" w:cs="Century Gothic"/>
          <w:sz w:val="20"/>
          <w:szCs w:val="20"/>
        </w:rPr>
        <w:t>directa y de convenios interadministrativos para todas las entidades públicas, sin excepción (Art. 33 y</w:t>
      </w:r>
      <w:r>
        <w:rPr>
          <w:rFonts w:ascii="Verdana" w:eastAsia="Century Gothic" w:hAnsi="Verdana" w:cs="Century Gothic"/>
          <w:sz w:val="20"/>
          <w:szCs w:val="20"/>
        </w:rPr>
        <w:t xml:space="preserve"> 38 </w:t>
      </w:r>
      <w:r w:rsidRPr="00792AB0">
        <w:rPr>
          <w:rFonts w:ascii="Verdana" w:eastAsia="Century Gothic" w:hAnsi="Verdana" w:cs="Century Gothic"/>
          <w:sz w:val="20"/>
          <w:szCs w:val="20"/>
        </w:rPr>
        <w:t>LEY 996 DE 2005)</w:t>
      </w:r>
      <w:r>
        <w:rPr>
          <w:rFonts w:ascii="Verdana" w:eastAsia="Century Gothic" w:hAnsi="Verdana" w:cs="Century Gothic"/>
          <w:sz w:val="20"/>
          <w:szCs w:val="20"/>
        </w:rPr>
        <w:t>”</w:t>
      </w:r>
      <w:r w:rsidRPr="00792AB0">
        <w:rPr>
          <w:rFonts w:ascii="Verdana" w:eastAsia="Century Gothic" w:hAnsi="Verdana" w:cs="Century Gothic"/>
          <w:sz w:val="20"/>
          <w:szCs w:val="20"/>
        </w:rPr>
        <w:t>.</w:t>
      </w:r>
    </w:p>
    <w:p w14:paraId="05575696" w14:textId="77777777" w:rsidR="006803AB" w:rsidRPr="008E6AD9" w:rsidRDefault="006803AB" w:rsidP="006803AB">
      <w:pPr>
        <w:pStyle w:val="Prrafodelista"/>
        <w:tabs>
          <w:tab w:val="left" w:pos="142"/>
          <w:tab w:val="left" w:pos="284"/>
        </w:tabs>
        <w:spacing w:after="0" w:line="276" w:lineRule="auto"/>
        <w:ind w:left="0"/>
        <w:jc w:val="both"/>
        <w:rPr>
          <w:rFonts w:ascii="Verdana" w:eastAsia="Century Gothic" w:hAnsi="Verdana" w:cs="Century Gothic"/>
          <w:b/>
          <w:bCs/>
        </w:rPr>
      </w:pPr>
    </w:p>
    <w:p w14:paraId="02A17663" w14:textId="77777777" w:rsidR="006803AB" w:rsidRPr="00A652FF" w:rsidRDefault="006803AB" w:rsidP="006803AB">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74768CB" w14:textId="77777777" w:rsidR="006803AB" w:rsidRPr="00423BE7" w:rsidRDefault="006803AB" w:rsidP="006803AB">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 xml:space="preserve">el problema jurídico de su consulta. </w:t>
      </w:r>
    </w:p>
    <w:p w14:paraId="598BE965" w14:textId="77777777" w:rsidR="006803AB" w:rsidRPr="00593A5F" w:rsidRDefault="006803AB" w:rsidP="006803AB">
      <w:pPr>
        <w:spacing w:after="0" w:line="276" w:lineRule="auto"/>
        <w:ind w:firstLine="709"/>
        <w:jc w:val="both"/>
        <w:rPr>
          <w:rFonts w:ascii="Verdana" w:eastAsia="Calibri" w:hAnsi="Verdana" w:cs="Arial"/>
          <w:color w:val="000000"/>
          <w:lang w:val="es-ES" w:eastAsia="es-ES"/>
        </w:rPr>
      </w:pPr>
    </w:p>
    <w:p w14:paraId="6785BA9F" w14:textId="77777777" w:rsidR="006803AB" w:rsidRPr="00593A5F" w:rsidRDefault="006803AB" w:rsidP="006803A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05548BF" w14:textId="77777777" w:rsidR="006803AB" w:rsidRPr="00593A5F" w:rsidRDefault="006803AB" w:rsidP="006803AB">
      <w:pPr>
        <w:tabs>
          <w:tab w:val="left" w:pos="426"/>
        </w:tabs>
        <w:spacing w:after="0" w:line="276" w:lineRule="auto"/>
        <w:jc w:val="both"/>
        <w:rPr>
          <w:rFonts w:ascii="Verdana" w:eastAsia="Century Gothic" w:hAnsi="Verdana" w:cs="Century Gothic"/>
          <w:lang w:val="es-ES"/>
        </w:rPr>
      </w:pPr>
    </w:p>
    <w:p w14:paraId="32D478D7" w14:textId="77777777" w:rsidR="006803AB" w:rsidRDefault="006803AB" w:rsidP="006803AB">
      <w:pPr>
        <w:spacing w:after="0" w:line="276" w:lineRule="auto"/>
        <w:jc w:val="both"/>
        <w:rPr>
          <w:rFonts w:ascii="Verdana" w:eastAsia="Century Gothic" w:hAnsi="Verdana" w:cs="Century Gothic"/>
        </w:rPr>
      </w:pPr>
      <w:r w:rsidRPr="00906BE9">
        <w:rPr>
          <w:rFonts w:ascii="Verdana" w:eastAsia="Century Gothic" w:hAnsi="Verdana" w:cs="Century Gothic"/>
        </w:rPr>
        <w:lastRenderedPageBreak/>
        <w:t xml:space="preserve">De acuerdo con el contenido de su solicitud, esta Agencia resolverá </w:t>
      </w:r>
      <w:r>
        <w:rPr>
          <w:rFonts w:ascii="Verdana" w:eastAsia="Century Gothic" w:hAnsi="Verdana" w:cs="Century Gothic"/>
        </w:rPr>
        <w:t>el siguiente problema jurídico</w:t>
      </w:r>
      <w:r w:rsidRPr="00906BE9">
        <w:rPr>
          <w:rFonts w:ascii="Verdana" w:eastAsia="Century Gothic" w:hAnsi="Verdana" w:cs="Century Gothic"/>
        </w:rPr>
        <w:t>:</w:t>
      </w:r>
      <w:r>
        <w:rPr>
          <w:rFonts w:ascii="Verdana" w:eastAsia="Century Gothic" w:hAnsi="Verdana" w:cs="Century Gothic"/>
        </w:rPr>
        <w:t xml:space="preserve"> </w:t>
      </w:r>
      <w:r w:rsidRPr="006D5A89">
        <w:rPr>
          <w:rFonts w:ascii="Verdana" w:eastAsia="Century Gothic" w:hAnsi="Verdana" w:cs="Century Gothic"/>
        </w:rPr>
        <w:t>¿La suscripción de contratos de arrendamiento de bienes fiscales por parte de entidades públicas que no requieren Certificado de Disponibilidad Presupuestal (CDP) está sujeta a las restricciones previstas en los artículos 33 y 38 de la Ley de Garantías Electorales?</w:t>
      </w:r>
      <w:r>
        <w:rPr>
          <w:rFonts w:ascii="Verdana" w:eastAsia="Century Gothic" w:hAnsi="Verdana" w:cs="Century Gothic"/>
        </w:rPr>
        <w:t xml:space="preserve"> </w:t>
      </w:r>
    </w:p>
    <w:p w14:paraId="1C2CA574" w14:textId="77777777" w:rsidR="006803AB" w:rsidRPr="004B140F" w:rsidRDefault="006803AB" w:rsidP="006803AB">
      <w:pPr>
        <w:spacing w:after="0" w:line="276" w:lineRule="auto"/>
        <w:jc w:val="both"/>
        <w:rPr>
          <w:rFonts w:ascii="Verdana" w:eastAsia="Calibri" w:hAnsi="Verdana" w:cs="Arial"/>
          <w:color w:val="7030A0"/>
        </w:rPr>
      </w:pPr>
    </w:p>
    <w:p w14:paraId="77D40258" w14:textId="77777777" w:rsidR="006803AB" w:rsidRPr="00593A5F" w:rsidRDefault="006803AB" w:rsidP="006803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B6AD472" w14:textId="77777777" w:rsidR="006803AB" w:rsidRPr="00593A5F" w:rsidRDefault="006803AB" w:rsidP="006803A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803AB" w:rsidRPr="00593A5F" w14:paraId="398EA68C" w14:textId="77777777" w:rsidTr="00CE268D">
        <w:trPr>
          <w:jc w:val="center"/>
        </w:trPr>
        <w:tc>
          <w:tcPr>
            <w:tcW w:w="8828" w:type="dxa"/>
          </w:tcPr>
          <w:p w14:paraId="6C64D13C" w14:textId="77777777" w:rsidR="006803AB" w:rsidRPr="004C1120" w:rsidRDefault="006803AB" w:rsidP="00CE268D">
            <w:pPr>
              <w:spacing w:after="120" w:line="276" w:lineRule="auto"/>
              <w:jc w:val="both"/>
              <w:rPr>
                <w:rFonts w:ascii="Verdana" w:eastAsiaTheme="minorEastAsia" w:hAnsi="Verdana" w:cs="Arial"/>
                <w:bCs/>
                <w:lang w:val="es-MX" w:eastAsia="es-CO"/>
              </w:rPr>
            </w:pPr>
            <w:bookmarkStart w:id="2" w:name="_Hlk171694685"/>
            <w:r w:rsidRPr="004F1C0A">
              <w:rPr>
                <w:rFonts w:ascii="Verdana" w:eastAsia="Calibri" w:hAnsi="Verdana" w:cs="Arial"/>
                <w:lang w:val="es-MX"/>
              </w:rPr>
              <w:t>De acuerdo con el problema jurídico</w:t>
            </w:r>
            <w:r>
              <w:rPr>
                <w:rFonts w:ascii="Verdana" w:eastAsia="Calibri" w:hAnsi="Verdana" w:cs="Arial"/>
                <w:lang w:val="es-MX"/>
              </w:rPr>
              <w:t xml:space="preserve">, objeto de consulta, </w:t>
            </w:r>
            <w:r>
              <w:rPr>
                <w:rFonts w:ascii="Verdana" w:eastAsia="Calibri" w:hAnsi="Verdana"/>
                <w:color w:val="000000" w:themeColor="text1"/>
              </w:rPr>
              <w:t xml:space="preserve">no es posible que la entidad estatal en calidad de arrendadora de un bien inmueble pueda suscribir un contrato de arrendamiento de forma directa, pues se encuentra dentro de la restricción del artículo 33 </w:t>
            </w:r>
            <w:r>
              <w:rPr>
                <w:rFonts w:ascii="Verdana" w:eastAsiaTheme="minorEastAsia" w:hAnsi="Verdana" w:cs="Arial"/>
                <w:lang w:eastAsia="es-CO"/>
              </w:rPr>
              <w:t xml:space="preserve">de la Ley 996 de 2005, la cual </w:t>
            </w:r>
            <w:r w:rsidRPr="004C1120">
              <w:rPr>
                <w:rFonts w:ascii="Verdana" w:eastAsiaTheme="minorEastAsia" w:hAnsi="Verdana" w:cs="Arial"/>
                <w:bCs/>
                <w:lang w:val="es-MX" w:eastAsia="es-CO"/>
              </w:rPr>
              <w:t xml:space="preserve">prohíbe adelantar cualquier </w:t>
            </w:r>
            <w:r>
              <w:rPr>
                <w:rFonts w:ascii="Verdana" w:eastAsiaTheme="minorEastAsia" w:hAnsi="Verdana" w:cs="Arial"/>
                <w:bCs/>
                <w:lang w:val="es-MX" w:eastAsia="es-CO"/>
              </w:rPr>
              <w:t xml:space="preserve">forma </w:t>
            </w:r>
            <w:r w:rsidRPr="004C1120">
              <w:rPr>
                <w:rFonts w:ascii="Verdana" w:eastAsiaTheme="minorEastAsia" w:hAnsi="Verdana" w:cs="Arial"/>
                <w:bCs/>
                <w:lang w:val="es-MX" w:eastAsia="es-CO"/>
              </w:rPr>
              <w:t xml:space="preserve">de contratación directa, entendida como todo mecanismo no competitivo. Es decir, </w:t>
            </w:r>
            <w:r>
              <w:rPr>
                <w:rFonts w:ascii="Verdana" w:eastAsiaTheme="minorEastAsia" w:hAnsi="Verdana" w:cs="Arial"/>
                <w:bCs/>
                <w:lang w:val="es-MX" w:eastAsia="es-CO"/>
              </w:rPr>
              <w:t xml:space="preserve">dicha restricción aplica en aquellos supuestos, en los que se pretenda </w:t>
            </w:r>
            <w:r w:rsidRPr="004C1120">
              <w:rPr>
                <w:rFonts w:ascii="Verdana" w:eastAsiaTheme="minorEastAsia" w:hAnsi="Verdana" w:cs="Arial"/>
                <w:bCs/>
                <w:lang w:val="es-MX" w:eastAsia="es-CO"/>
              </w:rPr>
              <w:t xml:space="preserve">celebrar </w:t>
            </w:r>
            <w:r>
              <w:rPr>
                <w:rFonts w:ascii="Verdana" w:eastAsiaTheme="minorEastAsia" w:hAnsi="Verdana" w:cs="Arial"/>
                <w:bCs/>
                <w:lang w:val="es-MX" w:eastAsia="es-CO"/>
              </w:rPr>
              <w:t xml:space="preserve">contratos de arrendamiento de bienes inmuebles </w:t>
            </w:r>
            <w:r w:rsidRPr="004C1120">
              <w:rPr>
                <w:rFonts w:ascii="Verdana" w:eastAsiaTheme="minorEastAsia" w:hAnsi="Verdana" w:cs="Arial"/>
                <w:bCs/>
                <w:lang w:val="es-MX" w:eastAsia="es-CO"/>
              </w:rPr>
              <w:t>de forma directa,</w:t>
            </w:r>
            <w:r>
              <w:rPr>
                <w:rFonts w:ascii="Verdana" w:eastAsiaTheme="minorEastAsia" w:hAnsi="Verdana" w:cs="Arial"/>
                <w:bCs/>
                <w:lang w:val="es-MX" w:eastAsia="es-CO"/>
              </w:rPr>
              <w:t xml:space="preserve"> ya sea en calidad de arrendadora o de arrendataria, conforme a la causal de contratación directa </w:t>
            </w:r>
            <w:r>
              <w:rPr>
                <w:rFonts w:ascii="Verdana" w:eastAsiaTheme="minorEastAsia" w:hAnsi="Verdana" w:cs="Arial"/>
                <w:bCs/>
                <w:lang w:eastAsia="es-CO"/>
              </w:rPr>
              <w:t>de</w:t>
            </w:r>
            <w:r w:rsidRPr="00F45DD2">
              <w:rPr>
                <w:rFonts w:ascii="Verdana" w:eastAsiaTheme="minorEastAsia" w:hAnsi="Verdana" w:cs="Arial"/>
                <w:bCs/>
                <w:lang w:eastAsia="es-CO"/>
              </w:rPr>
              <w:t>l artículo 2º, numeral 4° literal i) de la Ley 1150 de 2007</w:t>
            </w:r>
            <w:r>
              <w:rPr>
                <w:rFonts w:ascii="Verdana" w:eastAsiaTheme="minorEastAsia" w:hAnsi="Verdana" w:cs="Arial"/>
                <w:bCs/>
                <w:lang w:eastAsia="es-CO"/>
              </w:rPr>
              <w:t>.</w:t>
            </w:r>
            <w:r>
              <w:rPr>
                <w:rFonts w:ascii="Verdana" w:eastAsiaTheme="minorEastAsia" w:hAnsi="Verdana" w:cs="Arial"/>
                <w:bCs/>
                <w:lang w:val="es-MX" w:eastAsia="es-CO"/>
              </w:rPr>
              <w:t xml:space="preserve"> E</w:t>
            </w:r>
            <w:r w:rsidRPr="004C1120">
              <w:rPr>
                <w:rFonts w:ascii="Verdana" w:eastAsiaTheme="minorEastAsia" w:hAnsi="Verdana" w:cs="Arial"/>
                <w:bCs/>
                <w:lang w:val="es-MX" w:eastAsia="es-CO"/>
              </w:rPr>
              <w:t xml:space="preserve">n este sentido, todos los entes del Estado, independiente del régimen jurídico aplicable, están sujetos a la restricción del artículo 33 de la Ley 996 de 2005, es decir, no podrán adelantar sistema que implique contratación directa respecto de las elecciones presidenciales, dentro de los cuatro (4) meses anteriores a la celebración de dichos comicios. </w:t>
            </w:r>
          </w:p>
          <w:p w14:paraId="72BBD0FF" w14:textId="77777777" w:rsidR="006803AB" w:rsidRPr="005C008F" w:rsidRDefault="006803AB" w:rsidP="00CE268D">
            <w:pPr>
              <w:spacing w:after="120" w:line="276" w:lineRule="auto"/>
              <w:ind w:firstLine="709"/>
              <w:jc w:val="both"/>
              <w:rPr>
                <w:rFonts w:ascii="Verdana" w:eastAsia="Calibri" w:hAnsi="Verdana"/>
                <w:color w:val="000000" w:themeColor="text1"/>
              </w:rPr>
            </w:pPr>
            <w:r w:rsidRPr="00FF1C59">
              <w:rPr>
                <w:rFonts w:ascii="Verdana" w:eastAsiaTheme="minorEastAsia" w:hAnsi="Verdana" w:cs="Arial"/>
                <w:lang w:eastAsia="es-CO"/>
              </w:rPr>
              <w:t>De igual manera, resulta pertinente precisar</w:t>
            </w:r>
            <w:r>
              <w:rPr>
                <w:rFonts w:ascii="Verdana" w:eastAsiaTheme="minorEastAsia" w:hAnsi="Verdana" w:cs="Arial"/>
                <w:lang w:eastAsia="es-CO"/>
              </w:rPr>
              <w:t xml:space="preserve"> que los contratos de arrendamientos de bienes inmuebles no encajan en la restricción del artículo 38 de la Ley 996 de 2005, la cual </w:t>
            </w:r>
            <w:r w:rsidRPr="00FF1C59">
              <w:rPr>
                <w:rFonts w:ascii="Verdana" w:eastAsiaTheme="minorEastAsia" w:hAnsi="Verdana" w:cs="Arial"/>
                <w:lang w:eastAsia="es-CO"/>
              </w:rPr>
              <w:t xml:space="preserve">establece </w:t>
            </w:r>
            <w:r>
              <w:rPr>
                <w:rFonts w:ascii="Verdana" w:eastAsiaTheme="minorEastAsia" w:hAnsi="Verdana" w:cs="Arial"/>
                <w:lang w:eastAsia="es-CO"/>
              </w:rPr>
              <w:t>la prohibición</w:t>
            </w:r>
            <w:r w:rsidRPr="00FF1C59">
              <w:rPr>
                <w:rFonts w:ascii="Verdana" w:eastAsiaTheme="minorEastAsia" w:hAnsi="Verdana" w:cs="Arial"/>
                <w:lang w:eastAsia="es-CO"/>
              </w:rPr>
              <w:t xml:space="preserve"> de </w:t>
            </w:r>
            <w:r>
              <w:rPr>
                <w:rFonts w:ascii="Verdana" w:eastAsiaTheme="minorEastAsia" w:hAnsi="Verdana" w:cs="Arial"/>
                <w:lang w:eastAsia="es-CO"/>
              </w:rPr>
              <w:t xml:space="preserve">celebrar </w:t>
            </w:r>
            <w:r w:rsidRPr="00FF1C59">
              <w:rPr>
                <w:rFonts w:ascii="Verdana" w:eastAsiaTheme="minorEastAsia" w:hAnsi="Verdana" w:cs="Arial"/>
                <w:lang w:eastAsia="es-CO"/>
              </w:rPr>
              <w:t xml:space="preserve">convenios </w:t>
            </w:r>
            <w:r>
              <w:rPr>
                <w:rFonts w:ascii="Verdana" w:eastAsiaTheme="minorEastAsia" w:hAnsi="Verdana" w:cs="Arial"/>
                <w:lang w:eastAsia="es-CO"/>
              </w:rPr>
              <w:t>interadministrativos para la ejecución de recursos públicos</w:t>
            </w:r>
            <w:r w:rsidRPr="00FF1C59">
              <w:rPr>
                <w:rFonts w:ascii="Verdana" w:eastAsiaTheme="minorEastAsia" w:hAnsi="Verdana" w:cs="Arial"/>
                <w:lang w:eastAsia="es-CO"/>
              </w:rPr>
              <w:t xml:space="preserve"> por parte de alcaldes, gobernadores, secretarios, gerentes y directores de entidades del orden municipal, departamental o distrital.</w:t>
            </w:r>
            <w:r>
              <w:rPr>
                <w:rFonts w:ascii="Verdana" w:eastAsiaTheme="minorEastAsia" w:hAnsi="Verdana" w:cs="Arial"/>
                <w:lang w:eastAsia="es-CO"/>
              </w:rPr>
              <w:t xml:space="preserve"> </w:t>
            </w:r>
            <w:r w:rsidRPr="005C008F">
              <w:rPr>
                <w:rFonts w:ascii="Verdana" w:eastAsia="Calibri" w:hAnsi="Verdana"/>
                <w:color w:val="000000" w:themeColor="text1"/>
              </w:rPr>
              <w:t>Por tanto, esta limitación no afecta directamente la relación bilateral propia del contrato de arrendamiento, sino únicamente convenios de naturaleza asociativa</w:t>
            </w:r>
            <w:r>
              <w:rPr>
                <w:rFonts w:ascii="Verdana" w:eastAsia="Calibri" w:hAnsi="Verdana"/>
                <w:color w:val="000000" w:themeColor="text1"/>
              </w:rPr>
              <w:t xml:space="preserve"> o cooperativa, en que dos o más partes aúnan esfuerzos para un objetivo común</w:t>
            </w:r>
            <w:r w:rsidRPr="005C008F">
              <w:rPr>
                <w:rFonts w:ascii="Verdana" w:eastAsia="Calibri" w:hAnsi="Verdana"/>
                <w:color w:val="000000" w:themeColor="text1"/>
              </w:rPr>
              <w:t>.</w:t>
            </w:r>
          </w:p>
          <w:p w14:paraId="2A4DBD8D" w14:textId="77777777" w:rsidR="006803AB" w:rsidRDefault="006803AB" w:rsidP="00CE268D">
            <w:pPr>
              <w:spacing w:after="120" w:line="276" w:lineRule="auto"/>
              <w:ind w:firstLine="708"/>
              <w:jc w:val="both"/>
              <w:rPr>
                <w:rFonts w:ascii="Verdana" w:eastAsia="Calibri" w:hAnsi="Verdana"/>
                <w:color w:val="000000" w:themeColor="text1"/>
              </w:rPr>
            </w:pPr>
            <w:r>
              <w:rPr>
                <w:rFonts w:ascii="Verdana" w:eastAsiaTheme="minorEastAsia" w:hAnsi="Verdana" w:cs="Arial"/>
                <w:lang w:eastAsia="es-CO"/>
              </w:rPr>
              <w:t>Sin embargo, c</w:t>
            </w:r>
            <w:r w:rsidRPr="005C008F">
              <w:rPr>
                <w:rFonts w:ascii="Verdana" w:eastAsiaTheme="minorEastAsia" w:hAnsi="Verdana" w:cs="Arial"/>
                <w:lang w:eastAsia="es-CO"/>
              </w:rPr>
              <w:t>abe destacar que, tratándose de un contrato interadministrativo de arrendamiento, este también se encuentra sujeto a la restricción prevista en el artículo 33, siempre que se celebre mediante la modalidad de contratación directa</w:t>
            </w:r>
            <w:r>
              <w:rPr>
                <w:rFonts w:ascii="Verdana" w:eastAsiaTheme="minorEastAsia" w:hAnsi="Verdana" w:cs="Arial"/>
                <w:lang w:eastAsia="es-CO"/>
              </w:rPr>
              <w:t xml:space="preserve">, esto es, mediante un procedimiento no </w:t>
            </w:r>
            <w:r>
              <w:rPr>
                <w:rFonts w:ascii="Verdana" w:eastAsiaTheme="minorEastAsia" w:hAnsi="Verdana" w:cs="Arial"/>
                <w:lang w:eastAsia="es-CO"/>
              </w:rPr>
              <w:lastRenderedPageBreak/>
              <w:t>competitivo</w:t>
            </w:r>
            <w:r w:rsidRPr="005C008F">
              <w:rPr>
                <w:rFonts w:ascii="Verdana" w:eastAsiaTheme="minorEastAsia" w:hAnsi="Verdana" w:cs="Arial"/>
                <w:lang w:eastAsia="es-CO"/>
              </w:rPr>
              <w:t>. En consecuencia, cualquier contrato de arrendamiento de bienes inmuebles suscrito por entidades estatales bajo esta forma, dentro de los cuatro meses anteriores a las elecciones presidenciales —programadas para el 31 de mayo de 2026—, así como respecto de una eventual segunda vuelta prevista para el 21 de junio del mismo año, quedará igualmente comprendido en dicha limitación.</w:t>
            </w:r>
          </w:p>
          <w:p w14:paraId="036D87E5" w14:textId="77777777" w:rsidR="006803AB" w:rsidRDefault="006803AB" w:rsidP="00CE268D">
            <w:pPr>
              <w:spacing w:after="120" w:line="276" w:lineRule="auto"/>
              <w:ind w:firstLine="709"/>
              <w:jc w:val="both"/>
              <w:rPr>
                <w:rFonts w:ascii="Verdana" w:eastAsia="Times New Roman" w:hAnsi="Verdana" w:cs="Arial"/>
                <w:bCs/>
                <w:lang w:eastAsia="x-none"/>
              </w:rPr>
            </w:pPr>
            <w:r w:rsidRPr="004F1C0A">
              <w:rPr>
                <w:rFonts w:ascii="Verdana" w:eastAsia="Times New Roman" w:hAnsi="Verdana" w:cs="Arial"/>
                <w:bCs/>
                <w:lang w:val="es-MX" w:eastAsia="x-none"/>
              </w:rPr>
              <w:t xml:space="preserve">Esto, sin perjuicio de las excepciones a la prohibición establecidas en el inciso segundo del mismo artículo 33, como son: i) la defensa y seguridad del Estado; </w:t>
            </w:r>
            <w:proofErr w:type="spellStart"/>
            <w:r w:rsidRPr="004F1C0A">
              <w:rPr>
                <w:rFonts w:ascii="Verdana" w:eastAsia="Times New Roman" w:hAnsi="Verdana" w:cs="Arial"/>
                <w:bCs/>
                <w:lang w:val="es-MX" w:eastAsia="x-none"/>
              </w:rPr>
              <w:t>ii</w:t>
            </w:r>
            <w:proofErr w:type="spellEnd"/>
            <w:r w:rsidRPr="004F1C0A">
              <w:rPr>
                <w:rFonts w:ascii="Verdana" w:eastAsia="Times New Roman" w:hAnsi="Verdana" w:cs="Arial"/>
                <w:bCs/>
                <w:lang w:val="es-MX" w:eastAsia="x-none"/>
              </w:rPr>
              <w:t xml:space="preserve">) los contratos de crédito público; </w:t>
            </w:r>
            <w:proofErr w:type="spellStart"/>
            <w:r w:rsidRPr="004F1C0A">
              <w:rPr>
                <w:rFonts w:ascii="Verdana" w:eastAsia="Times New Roman" w:hAnsi="Verdana" w:cs="Arial"/>
                <w:bCs/>
                <w:lang w:val="es-MX" w:eastAsia="x-none"/>
              </w:rPr>
              <w:t>iii</w:t>
            </w:r>
            <w:proofErr w:type="spellEnd"/>
            <w:r w:rsidRPr="004F1C0A">
              <w:rPr>
                <w:rFonts w:ascii="Verdana" w:eastAsia="Times New Roman" w:hAnsi="Verdana" w:cs="Arial"/>
                <w:bCs/>
                <w:lang w:val="es-MX" w:eastAsia="x-none"/>
              </w:rPr>
              <w:t xml:space="preserve">) los requeridos para cubrir las emergencias educativas, sanitarias y desastres; </w:t>
            </w:r>
            <w:proofErr w:type="spellStart"/>
            <w:r w:rsidRPr="004F1C0A">
              <w:rPr>
                <w:rFonts w:ascii="Verdana" w:eastAsia="Times New Roman" w:hAnsi="Verdana" w:cs="Arial"/>
                <w:bCs/>
                <w:lang w:val="es-MX" w:eastAsia="x-none"/>
              </w:rPr>
              <w:t>iv</w:t>
            </w:r>
            <w:proofErr w:type="spellEnd"/>
            <w:r w:rsidRPr="004F1C0A">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C02FC1D" w14:textId="77777777" w:rsidR="006803AB" w:rsidRPr="008E17DE" w:rsidRDefault="006803AB" w:rsidP="00CE268D">
            <w:pPr>
              <w:spacing w:after="120" w:line="276" w:lineRule="auto"/>
              <w:ind w:firstLine="708"/>
              <w:jc w:val="both"/>
              <w:rPr>
                <w:rFonts w:ascii="Verdana" w:eastAsia="Calibri" w:hAnsi="Verdana"/>
                <w:color w:val="000000" w:themeColor="text1"/>
                <w:lang w:val="es-MX"/>
              </w:rPr>
            </w:pPr>
            <w:r>
              <w:rPr>
                <w:rFonts w:ascii="Verdana" w:eastAsia="Times New Roman" w:hAnsi="Verdana" w:cs="Arial"/>
                <w:bCs/>
                <w:lang w:eastAsia="x-none"/>
              </w:rPr>
              <w:t>Por último</w:t>
            </w:r>
            <w:r w:rsidRPr="004F1C0A">
              <w:rPr>
                <w:rFonts w:ascii="Verdana" w:eastAsia="Times New Roman" w:hAnsi="Verdana" w:cs="Arial"/>
                <w:bCs/>
                <w:lang w:val="es-MX" w:eastAsia="x-none"/>
              </w:rPr>
              <w:t xml:space="preserve">, se reitera, </w:t>
            </w:r>
            <w:r w:rsidRPr="004F1C0A">
              <w:rPr>
                <w:rFonts w:ascii="Verdana" w:eastAsia="Times New Roman" w:hAnsi="Verdana" w:cs="Arial"/>
                <w:bCs/>
                <w:lang w:val="es-MX" w:eastAsia="es-CO"/>
              </w:rPr>
              <w:t xml:space="preserve">que las prórrogas, modificaciones o adiciones de los contratos suscritos antes de la entrada en vigor de las prohibiciones anotadas, así como la cesión de </w:t>
            </w:r>
            <w:proofErr w:type="gramStart"/>
            <w:r w:rsidRPr="004F1C0A">
              <w:rPr>
                <w:rFonts w:ascii="Verdana" w:eastAsia="Times New Roman" w:hAnsi="Verdana" w:cs="Arial"/>
                <w:bCs/>
                <w:lang w:val="es-MX" w:eastAsia="es-CO"/>
              </w:rPr>
              <w:t>los mismos</w:t>
            </w:r>
            <w:proofErr w:type="gramEnd"/>
            <w:r w:rsidRPr="004F1C0A">
              <w:rPr>
                <w:rFonts w:ascii="Verdana" w:eastAsia="Times New Roman" w:hAnsi="Verdana" w:cs="Arial"/>
                <w:bCs/>
                <w:lang w:val="es-MX" w:eastAsia="es-CO"/>
              </w:rPr>
              <w:t>, pueden tener lugar en el período de aplicación de la</w:t>
            </w:r>
            <w:r>
              <w:rPr>
                <w:rFonts w:ascii="Verdana" w:eastAsia="Times New Roman" w:hAnsi="Verdana" w:cs="Arial"/>
                <w:bCs/>
                <w:lang w:val="es-MX" w:eastAsia="es-CO"/>
              </w:rPr>
              <w:t>s restricciones a la contratación que comporta la</w:t>
            </w:r>
            <w:r w:rsidRPr="004F1C0A">
              <w:rPr>
                <w:rFonts w:ascii="Verdana" w:eastAsia="Times New Roman" w:hAnsi="Verdana" w:cs="Arial"/>
                <w:bCs/>
                <w:lang w:val="es-MX" w:eastAsia="es-CO"/>
              </w:rPr>
              <w:t xml:space="preserve"> Ley de Garantías</w:t>
            </w:r>
            <w:r>
              <w:rPr>
                <w:rFonts w:ascii="Verdana" w:eastAsia="Times New Roman" w:hAnsi="Verdana" w:cs="Arial"/>
                <w:bCs/>
                <w:lang w:val="es-MX" w:eastAsia="es-CO"/>
              </w:rPr>
              <w:t xml:space="preserve"> electorales</w:t>
            </w:r>
            <w:r w:rsidRPr="004F1C0A">
              <w:rPr>
                <w:rFonts w:ascii="Verdana" w:eastAsia="Times New Roman" w:hAnsi="Verdana" w:cs="Arial"/>
                <w:bCs/>
                <w:lang w:val="es-MX" w:eastAsia="es-CO"/>
              </w:rPr>
              <w:t xml:space="preserve">, sin que ello haga nugatoria la restricción de la contratación directa y siempre que cumplan los principios de planeación, transparencia y responsabilidad. </w:t>
            </w:r>
          </w:p>
        </w:tc>
      </w:tr>
    </w:tbl>
    <w:p w14:paraId="309823AC" w14:textId="77777777" w:rsidR="006803AB" w:rsidRPr="00593A5F" w:rsidRDefault="006803AB" w:rsidP="006803AB">
      <w:pPr>
        <w:tabs>
          <w:tab w:val="left" w:pos="142"/>
          <w:tab w:val="left" w:pos="284"/>
        </w:tabs>
        <w:spacing w:after="0" w:line="276" w:lineRule="auto"/>
        <w:jc w:val="both"/>
        <w:rPr>
          <w:rFonts w:ascii="Verdana" w:eastAsia="Century Gothic" w:hAnsi="Verdana" w:cs="Century Gothic"/>
          <w:b/>
          <w:bCs/>
          <w:lang w:val="es-ES"/>
        </w:rPr>
      </w:pPr>
    </w:p>
    <w:bookmarkEnd w:id="2"/>
    <w:p w14:paraId="579D5D04" w14:textId="77777777" w:rsidR="006803AB" w:rsidRPr="00593A5F" w:rsidRDefault="006803AB" w:rsidP="006803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B0652FF" w14:textId="77777777" w:rsidR="006803AB" w:rsidRPr="00593A5F" w:rsidRDefault="006803AB" w:rsidP="006803AB">
      <w:pPr>
        <w:spacing w:after="0" w:line="276" w:lineRule="auto"/>
        <w:jc w:val="both"/>
        <w:rPr>
          <w:rFonts w:ascii="Verdana" w:eastAsia="Calibri" w:hAnsi="Verdana" w:cs="Arial"/>
          <w:color w:val="7030A0"/>
          <w:lang w:val="es-ES"/>
        </w:rPr>
      </w:pPr>
    </w:p>
    <w:p w14:paraId="4CAAD3BB" w14:textId="77777777" w:rsidR="006803AB" w:rsidRDefault="006803AB" w:rsidP="006803A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08997A1" w14:textId="77777777" w:rsidR="006803AB" w:rsidRDefault="006803AB" w:rsidP="006803AB">
      <w:pPr>
        <w:spacing w:after="0" w:line="276" w:lineRule="auto"/>
        <w:jc w:val="both"/>
        <w:rPr>
          <w:rFonts w:ascii="Verdana" w:eastAsia="Calibri" w:hAnsi="Verdana" w:cs="Arial"/>
          <w:lang w:val="es-ES"/>
        </w:rPr>
      </w:pPr>
    </w:p>
    <w:p w14:paraId="498AEE81" w14:textId="77777777" w:rsidR="006803AB" w:rsidRPr="002D6B43" w:rsidRDefault="006803AB" w:rsidP="006803AB">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 xml:space="preserve">Por ejemplo, el artículo 127 de la Constitución Política establece una prohibición contractual a los servidores públicos y, en cuanto a aspectos </w:t>
      </w:r>
      <w:r w:rsidRPr="002D6B43">
        <w:rPr>
          <w:rFonts w:ascii="Verdana" w:eastAsia="Calibri" w:hAnsi="Verdana" w:cs="Arial"/>
        </w:rPr>
        <w:lastRenderedPageBreak/>
        <w:t>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71EC9DBB" w14:textId="77777777" w:rsidR="006803AB" w:rsidRPr="006B14B5" w:rsidRDefault="006803AB" w:rsidP="006803AB">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3"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3"/>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D6C0B18" w14:textId="77777777" w:rsidR="006803AB" w:rsidRPr="00E2397D" w:rsidRDefault="006803AB" w:rsidP="006803AB">
      <w:pPr>
        <w:spacing w:after="0" w:line="276" w:lineRule="auto"/>
        <w:ind w:right="709"/>
        <w:contextualSpacing/>
        <w:jc w:val="both"/>
        <w:rPr>
          <w:rFonts w:ascii="Verdana" w:eastAsia="Times New Roman" w:hAnsi="Verdana" w:cs="Arial"/>
          <w:lang w:val="es-ES" w:eastAsia="es-CO"/>
        </w:rPr>
      </w:pPr>
    </w:p>
    <w:p w14:paraId="54F24A72" w14:textId="77777777" w:rsidR="006803AB" w:rsidRPr="00E2397D" w:rsidRDefault="006803AB" w:rsidP="006803A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6E1ED020" w14:textId="77777777" w:rsidR="006803AB" w:rsidRPr="008E17DE" w:rsidRDefault="006803AB" w:rsidP="006803AB">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F235E3A" w14:textId="77777777" w:rsidR="006803AB" w:rsidRPr="00E2397D" w:rsidRDefault="006803AB" w:rsidP="006803A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7AE2A19F" w14:textId="77777777" w:rsidR="006803AB" w:rsidRPr="00E2397D" w:rsidRDefault="006803AB" w:rsidP="006803AB">
      <w:pPr>
        <w:spacing w:after="0" w:line="276" w:lineRule="auto"/>
        <w:ind w:firstLine="709"/>
        <w:jc w:val="both"/>
        <w:rPr>
          <w:rFonts w:ascii="Verdana" w:eastAsia="Times New Roman" w:hAnsi="Verdana" w:cs="Arial"/>
          <w:lang w:val="es-MX" w:eastAsia="es-CO"/>
        </w:rPr>
      </w:pPr>
      <w:bookmarkStart w:id="4" w:name="_Hlk78818186"/>
    </w:p>
    <w:p w14:paraId="635F46B2" w14:textId="77777777" w:rsidR="006803AB" w:rsidRPr="00E2397D" w:rsidRDefault="006803AB" w:rsidP="006803AB">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w:t>
      </w:r>
      <w:r w:rsidRPr="00E2397D">
        <w:rPr>
          <w:rFonts w:ascii="Verdana" w:eastAsia="Times New Roman" w:hAnsi="Verdana" w:cs="Arial"/>
          <w:lang w:val="es-MX" w:eastAsia="es-CO"/>
        </w:rPr>
        <w:lastRenderedPageBreak/>
        <w:t>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4"/>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59281745" w14:textId="77777777" w:rsidR="006803AB" w:rsidRPr="00886C02" w:rsidRDefault="006803AB" w:rsidP="006803AB">
      <w:pPr>
        <w:spacing w:after="0" w:line="276" w:lineRule="auto"/>
        <w:ind w:firstLine="709"/>
        <w:jc w:val="both"/>
        <w:rPr>
          <w:rFonts w:ascii="Verdana" w:eastAsia="Times New Roman" w:hAnsi="Verdana" w:cs="Arial"/>
          <w:lang w:val="es-MX" w:eastAsia="es-CO"/>
        </w:rPr>
      </w:pPr>
    </w:p>
    <w:p w14:paraId="72118E86" w14:textId="77777777" w:rsidR="006803AB" w:rsidRPr="00E2397D" w:rsidRDefault="006803AB" w:rsidP="006803A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695B06E" w14:textId="77777777" w:rsidR="006803AB" w:rsidRPr="000B35C5" w:rsidRDefault="006803AB" w:rsidP="006803AB">
      <w:pPr>
        <w:spacing w:after="0" w:line="240" w:lineRule="auto"/>
        <w:ind w:right="709"/>
        <w:contextualSpacing/>
        <w:jc w:val="both"/>
        <w:rPr>
          <w:rFonts w:ascii="Verdana" w:eastAsia="Times New Roman" w:hAnsi="Verdana" w:cs="Arial"/>
          <w:sz w:val="12"/>
          <w:szCs w:val="12"/>
          <w:lang w:val="es-MX" w:eastAsia="es-CO"/>
        </w:rPr>
      </w:pPr>
    </w:p>
    <w:p w14:paraId="579E2847" w14:textId="77777777" w:rsidR="006803AB" w:rsidRPr="00E2397D" w:rsidRDefault="006803AB" w:rsidP="006803A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697C0E19" w14:textId="77777777" w:rsidR="006803AB" w:rsidRPr="00E2397D" w:rsidRDefault="006803AB" w:rsidP="006803AB">
      <w:pPr>
        <w:spacing w:after="0" w:line="276" w:lineRule="auto"/>
        <w:jc w:val="both"/>
        <w:rPr>
          <w:rFonts w:ascii="Verdana" w:eastAsia="Calibri" w:hAnsi="Verdana" w:cs="Arial"/>
          <w:bCs/>
          <w:lang w:val="es-ES_tradnl"/>
        </w:rPr>
      </w:pPr>
    </w:p>
    <w:p w14:paraId="5735BAE9" w14:textId="77777777" w:rsidR="006803AB" w:rsidRDefault="006803AB" w:rsidP="006803AB">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5" w:name="_Hlk77236098"/>
      <w:bookmarkStart w:id="6"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w:t>
      </w:r>
      <w:r w:rsidRPr="00E2397D">
        <w:rPr>
          <w:rFonts w:ascii="Verdana" w:eastAsia="Arial" w:hAnsi="Verdana" w:cs="Arial"/>
          <w:lang w:val="es-ES" w:eastAsia="es-ES" w:bidi="es-ES"/>
        </w:rPr>
        <w:lastRenderedPageBreak/>
        <w:t xml:space="preserve">siquiera sospecha de que, por ese medio, en los periodos previos a la contienda electoral, se altere las condiciones de igualdad entre los candidatos. </w:t>
      </w:r>
    </w:p>
    <w:p w14:paraId="435050B7" w14:textId="77777777" w:rsidR="006803AB" w:rsidRPr="00E2397D" w:rsidRDefault="006803AB" w:rsidP="006803AB">
      <w:pPr>
        <w:spacing w:after="0" w:line="276" w:lineRule="auto"/>
        <w:ind w:firstLine="709"/>
        <w:jc w:val="both"/>
        <w:rPr>
          <w:rFonts w:ascii="Verdana" w:eastAsia="Arial" w:hAnsi="Verdana" w:cs="Arial"/>
          <w:lang w:val="es-ES" w:eastAsia="es-ES" w:bidi="es-ES"/>
        </w:rPr>
      </w:pPr>
    </w:p>
    <w:p w14:paraId="7B354EAC" w14:textId="77777777" w:rsidR="006803AB" w:rsidRPr="00E2397D" w:rsidRDefault="006803AB" w:rsidP="006803AB">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471826A7" w14:textId="77777777" w:rsidR="006803AB" w:rsidRPr="00E2397D" w:rsidRDefault="006803AB" w:rsidP="006803AB">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048FAC6A" w14:textId="77777777" w:rsidR="006803AB" w:rsidRDefault="006803AB" w:rsidP="006803AB">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6"/>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16D60686" w14:textId="77777777" w:rsidR="006803AB" w:rsidRDefault="006803AB" w:rsidP="006803AB">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lastRenderedPageBreak/>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2BC4F602" w14:textId="77777777" w:rsidR="006803AB" w:rsidRDefault="006803AB" w:rsidP="006803AB">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3E1E6E76" w14:textId="77777777" w:rsidR="006803AB" w:rsidRDefault="006803AB" w:rsidP="006803AB">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30808680" w14:textId="77777777" w:rsidR="006803AB" w:rsidRPr="005B4B74" w:rsidRDefault="006803AB" w:rsidP="006803AB">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xml:space="preserve">, pueden tener lugar en el período de aplicación de la Ley de Garantías, sin que ello haga nugatoria la restricción de la contratación directa y siempre </w:t>
      </w:r>
      <w:r w:rsidRPr="00894384">
        <w:rPr>
          <w:rFonts w:ascii="Verdana" w:eastAsia="Times New Roman" w:hAnsi="Verdana" w:cs="Arial"/>
          <w:bCs/>
          <w:lang w:val="es-MX" w:eastAsia="es-CO"/>
        </w:rPr>
        <w:lastRenderedPageBreak/>
        <w:t>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4DB4A9FA" w14:textId="77777777" w:rsidR="006803AB" w:rsidRPr="00E2397D" w:rsidRDefault="006803AB" w:rsidP="006803AB">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26E9AE9E" w14:textId="77777777" w:rsidR="006803AB" w:rsidRPr="00E2397D" w:rsidRDefault="006803AB" w:rsidP="006803AB">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2397D">
        <w:rPr>
          <w:rFonts w:ascii="Verdana" w:eastAsia="Arial" w:hAnsi="Verdana" w:cs="Arial"/>
          <w:sz w:val="20"/>
          <w:szCs w:val="20"/>
          <w:lang w:eastAsia="es-ES" w:bidi="es-ES"/>
        </w:rPr>
        <w:t>se integran parcialmente</w:t>
      </w:r>
      <w:bookmarkEnd w:id="9"/>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6DDCB238" w14:textId="77777777" w:rsidR="006803AB" w:rsidRPr="00E2397D" w:rsidRDefault="006803AB" w:rsidP="006803AB">
      <w:pPr>
        <w:widowControl w:val="0"/>
        <w:autoSpaceDE w:val="0"/>
        <w:autoSpaceDN w:val="0"/>
        <w:spacing w:after="0" w:line="276" w:lineRule="auto"/>
        <w:contextualSpacing/>
        <w:rPr>
          <w:rFonts w:ascii="Verdana" w:eastAsia="Arial" w:hAnsi="Verdana" w:cs="Arial"/>
          <w:lang w:val="es-ES" w:eastAsia="es-ES" w:bidi="es-ES"/>
        </w:rPr>
      </w:pPr>
    </w:p>
    <w:p w14:paraId="46AE11D8" w14:textId="77777777" w:rsidR="006803AB" w:rsidRPr="00E2397D" w:rsidRDefault="006803AB" w:rsidP="006803AB">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convenios </w:t>
      </w:r>
      <w:r w:rsidRPr="00E2397D">
        <w:rPr>
          <w:rFonts w:ascii="Verdana" w:eastAsia="Arial" w:hAnsi="Verdana" w:cs="Arial"/>
          <w:lang w:val="es-ES" w:eastAsia="es-ES" w:bidi="es-ES"/>
        </w:rPr>
        <w:lastRenderedPageBreak/>
        <w:t>interadministrativos que impliquen la ejecución de recursos públicos dentro de los cuatro (4) meses anteriores a la respectiva jornada de votaciones.</w:t>
      </w:r>
      <w:bookmarkEnd w:id="10"/>
    </w:p>
    <w:bookmarkEnd w:id="11"/>
    <w:p w14:paraId="1EEF5CEB" w14:textId="77777777" w:rsidR="006803AB" w:rsidRPr="00E2397D" w:rsidRDefault="006803AB" w:rsidP="006803AB">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2"/>
    <w:p w14:paraId="5FCC67DB" w14:textId="77777777" w:rsidR="006803AB" w:rsidRDefault="006803AB" w:rsidP="006803AB">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3FB91726" w14:textId="77777777" w:rsidR="006803AB" w:rsidRPr="00E2397D" w:rsidRDefault="006803AB" w:rsidP="006803AB">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3" w:name="_Hlk78820161"/>
    </w:p>
    <w:p w14:paraId="3AB9D76F" w14:textId="77777777" w:rsidR="006803AB" w:rsidRPr="0057193B" w:rsidRDefault="006803AB" w:rsidP="006803AB">
      <w:pPr>
        <w:spacing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w:t>
      </w:r>
      <w:r w:rsidRPr="0057193B">
        <w:rPr>
          <w:rFonts w:ascii="Verdana" w:eastAsia="Arial" w:hAnsi="Verdana" w:cs="Arial"/>
          <w:lang w:val="es-ES" w:eastAsia="es-ES" w:bidi="es-ES"/>
        </w:rPr>
        <w:t xml:space="preserve"> </w:t>
      </w:r>
      <w:bookmarkEnd w:id="13"/>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068A93DF" w14:textId="77777777" w:rsidR="006803AB" w:rsidRPr="00817856" w:rsidRDefault="006803AB" w:rsidP="006803AB">
      <w:pPr>
        <w:spacing w:after="0" w:line="240" w:lineRule="auto"/>
        <w:ind w:left="708" w:right="709"/>
        <w:jc w:val="both"/>
        <w:rPr>
          <w:rFonts w:ascii="Verdana" w:eastAsia="Calibri" w:hAnsi="Verdana" w:cs="Arial"/>
          <w:sz w:val="20"/>
          <w:szCs w:val="20"/>
          <w:lang w:val="es-MX"/>
        </w:rPr>
      </w:pPr>
    </w:p>
    <w:p w14:paraId="0D577DA0" w14:textId="77777777" w:rsidR="006803AB" w:rsidRPr="00817856" w:rsidRDefault="006803AB" w:rsidP="006803AB">
      <w:pPr>
        <w:spacing w:after="120" w:line="240" w:lineRule="auto"/>
        <w:ind w:left="709" w:right="709"/>
        <w:jc w:val="both"/>
        <w:rPr>
          <w:rFonts w:ascii="Verdana" w:eastAsia="Calibri" w:hAnsi="Verdana" w:cs="Arial"/>
          <w:sz w:val="20"/>
          <w:szCs w:val="20"/>
          <w:lang w:val="es-MX"/>
        </w:rPr>
      </w:pPr>
      <w:r w:rsidRPr="00817856">
        <w:rPr>
          <w:rFonts w:ascii="Verdana" w:eastAsia="Calibri" w:hAnsi="Verdana" w:cs="Arial"/>
          <w:sz w:val="20"/>
          <w:szCs w:val="20"/>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w:t>
      </w:r>
      <w:r w:rsidRPr="00817856">
        <w:rPr>
          <w:rFonts w:ascii="Verdana" w:eastAsia="Calibri" w:hAnsi="Verdana" w:cs="Arial"/>
          <w:sz w:val="20"/>
          <w:szCs w:val="20"/>
          <w:lang w:val="es-MX"/>
        </w:rPr>
        <w:lastRenderedPageBreak/>
        <w:t>2, ley 1150 de 2007), y cumpliendo siempre los principios que rigen la contratación pública</w:t>
      </w:r>
      <w:r w:rsidRPr="00817856">
        <w:rPr>
          <w:rFonts w:ascii="Verdana" w:eastAsia="Times New Roman" w:hAnsi="Verdana" w:cs="Arial"/>
          <w:sz w:val="20"/>
          <w:szCs w:val="20"/>
          <w:vertAlign w:val="superscript"/>
          <w:lang w:eastAsia="es-CO"/>
        </w:rPr>
        <w:footnoteReference w:id="12"/>
      </w:r>
      <w:r w:rsidRPr="00817856">
        <w:rPr>
          <w:rFonts w:ascii="Verdana" w:eastAsia="Calibri" w:hAnsi="Verdana" w:cs="Arial"/>
          <w:sz w:val="20"/>
          <w:szCs w:val="20"/>
          <w:lang w:val="es-MX"/>
        </w:rPr>
        <w:t>.</w:t>
      </w:r>
    </w:p>
    <w:p w14:paraId="707B0BA9" w14:textId="77777777" w:rsidR="006803AB" w:rsidRPr="00817856" w:rsidRDefault="006803AB" w:rsidP="006803AB">
      <w:pPr>
        <w:spacing w:after="0" w:line="240" w:lineRule="auto"/>
        <w:ind w:left="708" w:right="709"/>
        <w:jc w:val="both"/>
        <w:rPr>
          <w:rFonts w:ascii="Verdana" w:eastAsia="Calibri" w:hAnsi="Verdana" w:cs="Arial"/>
          <w:sz w:val="20"/>
          <w:szCs w:val="20"/>
          <w:lang w:val="es-MX"/>
        </w:rPr>
      </w:pPr>
      <w:r w:rsidRPr="00817856">
        <w:rPr>
          <w:rFonts w:ascii="Verdana" w:eastAsia="Calibri" w:hAnsi="Verdana" w:cs="Arial"/>
          <w:sz w:val="20"/>
          <w:szCs w:val="20"/>
          <w:lang w:val="es-MX"/>
        </w:rPr>
        <w:t xml:space="preserve">Esta Sala ha entendido </w:t>
      </w:r>
      <w:proofErr w:type="gramStart"/>
      <w:r w:rsidRPr="00817856">
        <w:rPr>
          <w:rFonts w:ascii="Verdana" w:eastAsia="Calibri" w:hAnsi="Verdana" w:cs="Arial"/>
          <w:sz w:val="20"/>
          <w:szCs w:val="20"/>
          <w:lang w:val="es-MX"/>
        </w:rPr>
        <w:t>que</w:t>
      </w:r>
      <w:proofErr w:type="gramEnd"/>
      <w:r w:rsidRPr="00817856">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817856">
        <w:rPr>
          <w:rFonts w:ascii="Verdana" w:eastAsia="Times New Roman" w:hAnsi="Verdana" w:cs="Arial"/>
          <w:sz w:val="20"/>
          <w:szCs w:val="20"/>
          <w:vertAlign w:val="superscript"/>
          <w:lang w:val="es-MX"/>
        </w:rPr>
        <w:footnoteReference w:id="13"/>
      </w:r>
      <w:r w:rsidRPr="00817856">
        <w:rPr>
          <w:rFonts w:ascii="Verdana" w:eastAsia="Times New Roman" w:hAnsi="Verdana" w:cs="Arial"/>
          <w:sz w:val="20"/>
          <w:szCs w:val="20"/>
          <w:vertAlign w:val="superscript"/>
          <w:lang w:val="es-MX"/>
        </w:rPr>
        <w:t>.</w:t>
      </w:r>
      <w:r w:rsidRPr="00817856">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817856">
        <w:rPr>
          <w:rFonts w:ascii="Verdana" w:eastAsia="Times New Roman" w:hAnsi="Verdana" w:cs="Arial"/>
          <w:sz w:val="20"/>
          <w:szCs w:val="20"/>
          <w:vertAlign w:val="superscript"/>
          <w:lang w:eastAsia="es-CO"/>
        </w:rPr>
        <w:footnoteReference w:id="14"/>
      </w:r>
      <w:r w:rsidRPr="00817856">
        <w:rPr>
          <w:rFonts w:ascii="Verdana" w:eastAsia="Calibri" w:hAnsi="Verdana" w:cs="Arial"/>
          <w:sz w:val="20"/>
          <w:szCs w:val="20"/>
          <w:lang w:val="es-MX"/>
        </w:rPr>
        <w:t xml:space="preserve"> .</w:t>
      </w:r>
    </w:p>
    <w:p w14:paraId="3B7B3680" w14:textId="77777777" w:rsidR="006803AB" w:rsidRPr="0057193B" w:rsidRDefault="006803AB" w:rsidP="006803AB">
      <w:pPr>
        <w:shd w:val="clear" w:color="auto" w:fill="FFFFFF"/>
        <w:spacing w:after="0" w:line="276" w:lineRule="auto"/>
        <w:ind w:firstLine="709"/>
        <w:jc w:val="both"/>
        <w:rPr>
          <w:rFonts w:ascii="Verdana" w:eastAsia="Times New Roman" w:hAnsi="Verdana" w:cs="Arial"/>
          <w:lang w:eastAsia="x-none"/>
        </w:rPr>
      </w:pPr>
    </w:p>
    <w:p w14:paraId="00E699C1" w14:textId="77777777" w:rsidR="006803AB" w:rsidRPr="0057193B" w:rsidRDefault="006803AB" w:rsidP="006803AB">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29A53F01" w14:textId="77777777" w:rsidR="006803AB" w:rsidRPr="0057193B" w:rsidRDefault="006803AB" w:rsidP="006803AB">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precisando el Consejo de Estad</w:t>
      </w:r>
      <w:r>
        <w:rPr>
          <w:rFonts w:ascii="Verdana" w:eastAsia="Times New Roman" w:hAnsi="Verdana" w:cs="Arial"/>
          <w:lang w:eastAsia="x-none"/>
        </w:rPr>
        <w:t>o –en el concepto citado– que, “</w:t>
      </w:r>
      <w:r w:rsidRPr="0057193B">
        <w:rPr>
          <w:rFonts w:ascii="Verdana" w:eastAsia="Times New Roman" w:hAnsi="Verdana" w:cs="Arial"/>
          <w:lang w:eastAsia="x-none"/>
        </w:rPr>
        <w:t xml:space="preserve">aun cuando no coincide única y exactamente con la regulación que de dicho sistema de selección hace el artículo 2º de la Ley 1150 de 2007, tampoco puede afirmarse que sea cualquier procedimiento de contratación distinto de la licitación pública, pues </w:t>
      </w:r>
      <w:r w:rsidRPr="0057193B">
        <w:rPr>
          <w:rFonts w:ascii="Verdana" w:eastAsia="Times New Roman" w:hAnsi="Verdana" w:cs="Arial"/>
          <w:lang w:eastAsia="x-none"/>
        </w:rPr>
        <w:lastRenderedPageBreak/>
        <w:t>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436EE48D" w14:textId="77777777" w:rsidR="006803AB" w:rsidRPr="005154AE" w:rsidRDefault="006803AB" w:rsidP="006803AB">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E</w:t>
      </w:r>
      <w:r w:rsidRPr="0057193B">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w:t>
      </w:r>
      <w:r>
        <w:rPr>
          <w:rFonts w:ascii="Verdana" w:eastAsia="Times New Roman" w:hAnsi="Verdana" w:cs="Arial"/>
          <w:lang w:eastAsia="x-none"/>
        </w:rPr>
        <w:t>ue dicho sistema no constituye “contratación directa”</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1042DCBD" w14:textId="77777777" w:rsidR="006803AB" w:rsidRPr="0057193B" w:rsidRDefault="006803AB" w:rsidP="006803AB">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701B02D8" w14:textId="77777777" w:rsidR="006803AB" w:rsidRPr="0057193B" w:rsidRDefault="006803AB" w:rsidP="006803AB">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5748FD8C" w14:textId="77777777" w:rsidR="006803AB" w:rsidRPr="0057193B" w:rsidRDefault="006803AB" w:rsidP="006803AB">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 xml:space="preserve">De lo anterior se desprende que la restricción aplica, sin perjuicio de las excepciones establecidas en la misma ley, para celebrar cualquier contrato de </w:t>
      </w:r>
      <w:r w:rsidRPr="0057193B">
        <w:rPr>
          <w:rFonts w:ascii="Verdana" w:eastAsia="Times New Roman" w:hAnsi="Verdana" w:cs="Arial"/>
          <w:bCs/>
          <w:lang w:val="es-MX" w:eastAsia="x-none"/>
        </w:rPr>
        <w:lastRenderedPageBreak/>
        <w:t>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633BF0D" w14:textId="77777777" w:rsidR="006803AB" w:rsidRPr="0057193B" w:rsidRDefault="006803AB" w:rsidP="006803AB">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57193B">
        <w:rPr>
          <w:rFonts w:ascii="Verdana" w:eastAsia="Times New Roman" w:hAnsi="Verdana" w:cs="Arial"/>
          <w:bCs/>
          <w:lang w:val="es-MX" w:eastAsia="x-none"/>
        </w:rPr>
        <w:t>ii</w:t>
      </w:r>
      <w:proofErr w:type="spellEnd"/>
      <w:r w:rsidRPr="0057193B">
        <w:rPr>
          <w:rFonts w:ascii="Verdana" w:eastAsia="Times New Roman" w:hAnsi="Verdana" w:cs="Arial"/>
          <w:bCs/>
          <w:lang w:val="es-MX" w:eastAsia="x-none"/>
        </w:rPr>
        <w:t xml:space="preserve">) los contratos de crédito público; </w:t>
      </w:r>
      <w:proofErr w:type="spellStart"/>
      <w:r w:rsidRPr="0057193B">
        <w:rPr>
          <w:rFonts w:ascii="Verdana" w:eastAsia="Times New Roman" w:hAnsi="Verdana" w:cs="Arial"/>
          <w:bCs/>
          <w:lang w:val="es-MX" w:eastAsia="x-none"/>
        </w:rPr>
        <w:t>iii</w:t>
      </w:r>
      <w:proofErr w:type="spellEnd"/>
      <w:r w:rsidRPr="0057193B">
        <w:rPr>
          <w:rFonts w:ascii="Verdana" w:eastAsia="Times New Roman" w:hAnsi="Verdana" w:cs="Arial"/>
          <w:bCs/>
          <w:lang w:val="es-MX" w:eastAsia="x-none"/>
        </w:rPr>
        <w:t xml:space="preserve">) los requeridos para cubrir las emergencias educativas, sanitarias y desastres; </w:t>
      </w:r>
      <w:proofErr w:type="spellStart"/>
      <w:r w:rsidRPr="0057193B">
        <w:rPr>
          <w:rFonts w:ascii="Verdana" w:eastAsia="Times New Roman" w:hAnsi="Verdana" w:cs="Arial"/>
          <w:bCs/>
          <w:lang w:val="es-MX" w:eastAsia="x-none"/>
        </w:rPr>
        <w:t>iv</w:t>
      </w:r>
      <w:proofErr w:type="spellEnd"/>
      <w:r w:rsidRPr="005719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A350B5F" w14:textId="77777777" w:rsidR="006803AB" w:rsidRPr="0057193B" w:rsidRDefault="006803AB" w:rsidP="006803AB">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0"/>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50021773" w14:textId="77777777" w:rsidR="006803AB" w:rsidRPr="0057193B" w:rsidRDefault="006803AB" w:rsidP="006803AB">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lastRenderedPageBreak/>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7B4A6BBE" w14:textId="77777777" w:rsidR="006803AB" w:rsidRPr="0057193B" w:rsidRDefault="006803AB" w:rsidP="006803AB">
      <w:pPr>
        <w:spacing w:after="0" w:line="276" w:lineRule="auto"/>
        <w:jc w:val="both"/>
        <w:rPr>
          <w:rFonts w:ascii="Verdana" w:eastAsia="Times New Roman" w:hAnsi="Verdana" w:cs="Arial"/>
          <w:bCs/>
          <w:lang w:val="es-MX" w:eastAsia="x-none"/>
        </w:rPr>
      </w:pPr>
    </w:p>
    <w:p w14:paraId="71145779" w14:textId="77777777" w:rsidR="006803AB" w:rsidRPr="0057193B" w:rsidRDefault="006803AB" w:rsidP="006803AB">
      <w:pPr>
        <w:spacing w:after="0" w:line="240" w:lineRule="auto"/>
        <w:ind w:left="708" w:right="709"/>
        <w:jc w:val="both"/>
        <w:rPr>
          <w:rFonts w:ascii="Verdana" w:eastAsia="Times New Roman" w:hAnsi="Verdana" w:cs="Arial"/>
          <w:bCs/>
          <w:sz w:val="21"/>
          <w:szCs w:val="21"/>
          <w:lang w:val="es-MX" w:eastAsia="es-CO"/>
        </w:rPr>
      </w:pPr>
      <w:r w:rsidRPr="0057193B">
        <w:rPr>
          <w:rFonts w:ascii="Verdana" w:eastAsia="Times New Roman" w:hAnsi="Verdana" w:cs="Arial"/>
          <w:bCs/>
          <w:sz w:val="21"/>
          <w:szCs w:val="21"/>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1"/>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346CBC1D" w14:textId="77777777" w:rsidR="006803AB" w:rsidRPr="0057193B" w:rsidRDefault="006803AB" w:rsidP="006803AB">
      <w:pPr>
        <w:spacing w:after="0" w:line="276" w:lineRule="auto"/>
        <w:ind w:firstLine="708"/>
        <w:jc w:val="both"/>
        <w:rPr>
          <w:rFonts w:ascii="Verdana" w:eastAsia="Times New Roman" w:hAnsi="Verdana" w:cs="Arial"/>
          <w:bCs/>
          <w:lang w:val="es-MX" w:eastAsia="es-CO"/>
        </w:rPr>
      </w:pPr>
    </w:p>
    <w:p w14:paraId="4A796174" w14:textId="77777777" w:rsidR="006803AB" w:rsidRPr="0057193B" w:rsidRDefault="006803AB" w:rsidP="006803AB">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2"/>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w:t>
      </w:r>
      <w:r w:rsidRPr="0057193B">
        <w:rPr>
          <w:rFonts w:ascii="Verdana" w:eastAsia="Calibri" w:hAnsi="Verdana" w:cs="Arial"/>
          <w:lang w:val="es-MX"/>
        </w:rPr>
        <w:lastRenderedPageBreak/>
        <w:t>realizó la siguiente distinción, retomando el pronunciamiento de la misma sala del 20 de febrero de 2006, citado anteriormente:</w:t>
      </w:r>
    </w:p>
    <w:p w14:paraId="2D9C6C78" w14:textId="77777777" w:rsidR="006803AB" w:rsidRPr="0057193B" w:rsidRDefault="006803AB" w:rsidP="006803AB">
      <w:pPr>
        <w:spacing w:after="0" w:line="276" w:lineRule="auto"/>
        <w:jc w:val="both"/>
        <w:rPr>
          <w:rFonts w:ascii="Verdana" w:eastAsia="Calibri" w:hAnsi="Verdana" w:cs="Arial"/>
          <w:lang w:val="es-MX"/>
        </w:rPr>
      </w:pPr>
    </w:p>
    <w:p w14:paraId="64F9FC73" w14:textId="77777777" w:rsidR="006803AB" w:rsidRPr="001924B7" w:rsidRDefault="006803AB" w:rsidP="006803AB">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6556C535" w14:textId="77777777" w:rsidR="006803AB" w:rsidRPr="001924B7" w:rsidRDefault="006803AB" w:rsidP="006803AB">
      <w:pPr>
        <w:spacing w:after="0" w:line="240" w:lineRule="auto"/>
        <w:ind w:left="708" w:right="709"/>
        <w:jc w:val="both"/>
        <w:rPr>
          <w:rFonts w:ascii="Verdana" w:eastAsia="Calibri" w:hAnsi="Verdana" w:cs="Arial"/>
          <w:sz w:val="20"/>
          <w:szCs w:val="20"/>
          <w:lang w:val="es-MX"/>
        </w:rPr>
      </w:pPr>
    </w:p>
    <w:p w14:paraId="4CD85EA4" w14:textId="77777777" w:rsidR="006803AB" w:rsidRPr="001924B7" w:rsidRDefault="006803AB" w:rsidP="006803AB">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23"/>
      </w:r>
      <w:r w:rsidRPr="001924B7">
        <w:rPr>
          <w:rFonts w:ascii="Verdana" w:eastAsia="Times New Roman" w:hAnsi="Verdana" w:cs="Arial"/>
          <w:bCs/>
          <w:sz w:val="20"/>
          <w:szCs w:val="20"/>
          <w:lang w:val="es-MX" w:eastAsia="x-none"/>
        </w:rPr>
        <w:t>.</w:t>
      </w:r>
    </w:p>
    <w:p w14:paraId="23B391FF" w14:textId="77777777" w:rsidR="006803AB" w:rsidRPr="0057193B" w:rsidRDefault="006803AB" w:rsidP="006803AB">
      <w:pPr>
        <w:spacing w:after="0" w:line="276" w:lineRule="auto"/>
        <w:jc w:val="both"/>
        <w:rPr>
          <w:rFonts w:ascii="Verdana" w:eastAsia="Calibri" w:hAnsi="Verdana" w:cs="Arial"/>
          <w:lang w:val="es-MX"/>
        </w:rPr>
      </w:pPr>
    </w:p>
    <w:p w14:paraId="3AF4A400" w14:textId="77777777" w:rsidR="006803AB" w:rsidRPr="0057193B" w:rsidRDefault="006803AB" w:rsidP="006803AB">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w:t>
      </w:r>
      <w:r w:rsidRPr="0057193B">
        <w:rPr>
          <w:rFonts w:ascii="Verdana" w:eastAsia="Calibri" w:hAnsi="Verdana" w:cs="Arial"/>
          <w:lang w:val="es-MX"/>
        </w:rPr>
        <w:lastRenderedPageBreak/>
        <w:t xml:space="preserve">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4"/>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56446EF6" w14:textId="77777777" w:rsidR="006803AB" w:rsidRDefault="006803AB" w:rsidP="006803AB">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1A61C0D7" w14:textId="77777777" w:rsidR="006803AB" w:rsidRPr="00186DE9" w:rsidRDefault="006803AB" w:rsidP="006803AB">
      <w:pPr>
        <w:spacing w:after="120" w:line="276" w:lineRule="auto"/>
        <w:ind w:firstLine="709"/>
        <w:jc w:val="both"/>
        <w:rPr>
          <w:rFonts w:ascii="Verdana" w:eastAsia="Times New Roman" w:hAnsi="Verdana" w:cs="Arial"/>
          <w:bCs/>
          <w:lang w:val="es-MX" w:eastAsia="x-none" w:bidi="es-ES"/>
        </w:rPr>
      </w:pPr>
      <w:r w:rsidRPr="00186DE9">
        <w:rPr>
          <w:rFonts w:ascii="Verdana" w:eastAsia="Times New Roman" w:hAnsi="Verdana" w:cs="Arial"/>
          <w:bCs/>
          <w:lang w:val="es-MX" w:eastAsia="x-none"/>
        </w:rPr>
        <w:t xml:space="preserve">En este sentido, todos los entes del Estado, independiente del régimen jurídico aplicable, están sujetos a la restricción del artículo 33 de la Ley 996 de 2005, es decir, no podrán adelantar sistema que implique contratación directa respecto de </w:t>
      </w:r>
      <w:r w:rsidRPr="00186DE9">
        <w:rPr>
          <w:rFonts w:ascii="Verdana" w:eastAsia="Times New Roman" w:hAnsi="Verdana" w:cs="Arial"/>
          <w:bCs/>
          <w:lang w:val="es-MX" w:eastAsia="x-none" w:bidi="es-ES"/>
        </w:rPr>
        <w:t xml:space="preserve">las elecciones presidenciales, dentro de los cuatro (4) meses anteriores a la celebración de los comicios, salvo las excepciones dispuestas en esta. </w:t>
      </w:r>
      <w:r w:rsidRPr="00186DE9">
        <w:rPr>
          <w:rFonts w:ascii="Verdana" w:eastAsia="Times New Roman" w:hAnsi="Verdana" w:cs="Arial"/>
          <w:bCs/>
          <w:lang w:val="es-MX" w:eastAsia="x-none"/>
        </w:rPr>
        <w:t>En efecto, los entes del Estado independiente de su régimen especial no podrán celebrar contratos de forma directa desde el 31 de enero de 2026, teniendo en cuenta que la Resolución 02580 del 5 de marzo de 2025 de la Registraduría Nacional del Estado Civil dispuso que las elecciones presidenciales se celebrarán el 31 de mayo de 2026.</w:t>
      </w:r>
    </w:p>
    <w:p w14:paraId="332FBA0B" w14:textId="77777777" w:rsidR="006803AB" w:rsidRPr="00A63F17" w:rsidRDefault="006803AB" w:rsidP="006803AB">
      <w:pPr>
        <w:spacing w:after="120" w:line="276" w:lineRule="auto"/>
        <w:ind w:firstLine="709"/>
        <w:jc w:val="both"/>
        <w:rPr>
          <w:rFonts w:ascii="Verdana" w:eastAsia="Times New Roman" w:hAnsi="Verdana" w:cs="Arial"/>
          <w:bCs/>
          <w:lang w:val="es-MX" w:eastAsia="x-none"/>
        </w:rPr>
      </w:pPr>
      <w:r w:rsidRPr="00355EA0">
        <w:rPr>
          <w:rFonts w:ascii="Verdana" w:eastAsia="Times New Roman" w:hAnsi="Verdana" w:cs="Arial"/>
          <w:bCs/>
          <w:lang w:val="es-MX" w:eastAsia="x-none" w:bidi="es-ES"/>
        </w:rPr>
        <w:t xml:space="preserve">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w:t>
      </w:r>
      <w:r w:rsidRPr="00355EA0">
        <w:rPr>
          <w:rFonts w:ascii="Verdana" w:eastAsia="Times New Roman" w:hAnsi="Verdana" w:cs="Arial"/>
          <w:bCs/>
          <w:lang w:val="es-MX" w:eastAsia="x-none" w:bidi="es-ES"/>
        </w:rPr>
        <w:lastRenderedPageBreak/>
        <w:t>la restricción se extenderá hasta la fecha en la que se realice la segunda vuelta</w:t>
      </w:r>
      <w:r>
        <w:rPr>
          <w:rFonts w:ascii="Verdana" w:eastAsia="Times New Roman" w:hAnsi="Verdana" w:cs="Arial"/>
          <w:bCs/>
          <w:lang w:val="es-MX" w:eastAsia="x-none" w:bidi="es-ES"/>
        </w:rPr>
        <w:t>, que, de acuerdo con lo expuesto, se celebraría el 21 de junio de 2026.</w:t>
      </w:r>
    </w:p>
    <w:p w14:paraId="49010BD7" w14:textId="77777777" w:rsidR="006803AB" w:rsidRPr="003B7D6C" w:rsidRDefault="006803AB" w:rsidP="006803AB">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 xml:space="preserve">i)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t>iv</w:t>
      </w:r>
      <w:proofErr w:type="spellEnd"/>
      <w:r w:rsidRPr="00333ED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8301AC3" w14:textId="77777777" w:rsidR="006803AB" w:rsidRPr="004C2E9A" w:rsidRDefault="006803AB" w:rsidP="006803AB">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Finalmente, se reitera, c</w:t>
      </w:r>
      <w:r w:rsidRPr="0057193B">
        <w:rPr>
          <w:rFonts w:ascii="Verdana" w:eastAsia="Times New Roman" w:hAnsi="Verdana" w:cs="Arial"/>
          <w:bCs/>
          <w:lang w:val="es-MX" w:eastAsia="es-CO"/>
        </w:rPr>
        <w:t xml:space="preserve">omo en otras oportunidades lo ha manifestado esta Agencia, que las prórrogas, modificaciones o adiciones de los contratos suscritos antes de la entrada en vigor de las prohibiciones anotadas, así como la cesión de </w:t>
      </w:r>
      <w:proofErr w:type="gramStart"/>
      <w:r w:rsidRPr="0057193B">
        <w:rPr>
          <w:rFonts w:ascii="Verdana" w:eastAsia="Times New Roman" w:hAnsi="Verdana" w:cs="Arial"/>
          <w:bCs/>
          <w:lang w:val="es-MX" w:eastAsia="es-CO"/>
        </w:rPr>
        <w:t>los mismos</w:t>
      </w:r>
      <w:proofErr w:type="gramEnd"/>
      <w:r w:rsidRPr="0057193B">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5"/>
      </w:r>
      <w:r w:rsidRPr="0057193B">
        <w:rPr>
          <w:rFonts w:ascii="Verdana" w:eastAsia="Times New Roman" w:hAnsi="Verdana" w:cs="Arial"/>
          <w:bCs/>
          <w:lang w:val="es-MX" w:eastAsia="es-CO"/>
        </w:rPr>
        <w:t>. Además, también es posible que contratos celebrados previamente se continúen ejecutando con normalidad.</w:t>
      </w:r>
    </w:p>
    <w:p w14:paraId="787F74A4" w14:textId="77777777" w:rsidR="006803AB" w:rsidRDefault="006803AB" w:rsidP="006803AB">
      <w:pPr>
        <w:spacing w:after="0" w:line="276" w:lineRule="auto"/>
        <w:jc w:val="both"/>
        <w:rPr>
          <w:rFonts w:ascii="Verdana" w:eastAsia="Arial" w:hAnsi="Verdana" w:cs="Arial"/>
          <w:lang w:val="es-ES" w:eastAsia="es-ES" w:bidi="es-ES"/>
        </w:rPr>
      </w:pPr>
    </w:p>
    <w:p w14:paraId="4CAAB48F" w14:textId="77777777" w:rsidR="006803AB" w:rsidRPr="00667CD6" w:rsidRDefault="006803AB" w:rsidP="006803AB">
      <w:pPr>
        <w:spacing w:after="120" w:line="276" w:lineRule="auto"/>
        <w:jc w:val="both"/>
        <w:rPr>
          <w:rFonts w:ascii="Verdana" w:hAnsi="Verdana" w:cs="Arial"/>
          <w:lang w:val="es-ES"/>
        </w:rPr>
      </w:pPr>
      <w:proofErr w:type="spellStart"/>
      <w:r>
        <w:rPr>
          <w:rFonts w:ascii="Verdana" w:eastAsia="Arial" w:hAnsi="Verdana" w:cs="Arial"/>
          <w:lang w:val="es-ES" w:eastAsia="es-ES" w:bidi="es-ES"/>
        </w:rPr>
        <w:t>iv</w:t>
      </w:r>
      <w:proofErr w:type="spellEnd"/>
      <w:r>
        <w:rPr>
          <w:rFonts w:ascii="Verdana" w:eastAsia="Arial" w:hAnsi="Verdana" w:cs="Arial"/>
          <w:lang w:val="es-ES" w:eastAsia="es-ES" w:bidi="es-ES"/>
        </w:rPr>
        <w:t xml:space="preserve">. </w:t>
      </w:r>
      <w:r w:rsidRPr="00667CD6">
        <w:rPr>
          <w:rFonts w:ascii="Verdana" w:hAnsi="Verdana" w:cs="Arial"/>
          <w:lang w:val="es-ES"/>
        </w:rPr>
        <w:t xml:space="preserve">Ahora bien, respecto del alcance del parágrafo </w:t>
      </w:r>
      <w:r w:rsidRPr="00667CD6">
        <w:rPr>
          <w:rFonts w:ascii="Verdana" w:hAnsi="Verdana" w:cs="Arial"/>
        </w:rPr>
        <w:t xml:space="preserve">del artículo 38 de la Ley 996 de 2005, esta prohibición dispone </w:t>
      </w:r>
      <w:r>
        <w:rPr>
          <w:rFonts w:ascii="Verdana" w:hAnsi="Verdana" w:cs="Arial"/>
        </w:rPr>
        <w:t xml:space="preserve">en primera medida </w:t>
      </w:r>
      <w:r w:rsidRPr="00667CD6">
        <w:rPr>
          <w:rFonts w:ascii="Verdana" w:hAnsi="Verdana" w:cs="Arial"/>
        </w:rPr>
        <w:t xml:space="preserve">que: “[l]os Gobernadores, </w:t>
      </w:r>
      <w:proofErr w:type="gramStart"/>
      <w:r w:rsidRPr="00667CD6">
        <w:rPr>
          <w:rFonts w:ascii="Verdana" w:hAnsi="Verdana" w:cs="Arial"/>
        </w:rPr>
        <w:t>Alcaldes</w:t>
      </w:r>
      <w:proofErr w:type="gramEnd"/>
      <w:r w:rsidRPr="00667CD6">
        <w:rPr>
          <w:rFonts w:ascii="Verdana" w:hAnsi="Verdana" w:cs="Arial"/>
        </w:rPr>
        <w:t xml:space="preserve"> Municipales y/o Distritales, </w:t>
      </w:r>
      <w:proofErr w:type="gramStart"/>
      <w:r w:rsidRPr="00667CD6">
        <w:rPr>
          <w:rFonts w:ascii="Verdana" w:hAnsi="Verdana" w:cs="Arial"/>
        </w:rPr>
        <w:t>Secretarios</w:t>
      </w:r>
      <w:proofErr w:type="gramEnd"/>
      <w:r w:rsidRPr="00667CD6">
        <w:rPr>
          <w:rFonts w:ascii="Verdana" w:hAnsi="Verdana" w:cs="Arial"/>
        </w:rPr>
        <w:t xml:space="preserve">, Gerentes y directores de Entidades Descentralizadas del orden Municipal, Departamental o Distrital, dentro de los cuatro (4) meses anteriores a las elecciones, no podrán celebrar </w:t>
      </w:r>
      <w:r w:rsidRPr="00667CD6">
        <w:rPr>
          <w:rFonts w:ascii="Verdana" w:hAnsi="Verdana" w:cs="Arial"/>
          <w:i/>
          <w:iCs/>
        </w:rPr>
        <w:t>convenios interadministrativos</w:t>
      </w:r>
      <w:r w:rsidRPr="00667CD6">
        <w:rPr>
          <w:rFonts w:ascii="Verdana" w:hAnsi="Verdana" w:cs="Arial"/>
        </w:rPr>
        <w:t xml:space="preserve"> </w:t>
      </w:r>
      <w:r w:rsidRPr="00667CD6">
        <w:rPr>
          <w:rFonts w:ascii="Verdana" w:hAnsi="Verdana" w:cs="Arial"/>
          <w:i/>
          <w:iCs/>
        </w:rPr>
        <w:t>para la ejecución de recursos públicos</w:t>
      </w:r>
      <w:r w:rsidRPr="00667CD6">
        <w:rPr>
          <w:rFonts w:ascii="Verdana" w:hAnsi="Verdana" w:cs="Arial"/>
        </w:rPr>
        <w:t>”.</w:t>
      </w:r>
      <w:r w:rsidRPr="00667CD6">
        <w:rPr>
          <w:rFonts w:ascii="Verdana" w:eastAsia="Times New Roman" w:hAnsi="Verdana" w:cs="Arial"/>
          <w:lang w:val="es-MX" w:eastAsia="x-none"/>
        </w:rPr>
        <w:t xml:space="preserve"> [Énfasis fuera del texto original]</w:t>
      </w:r>
    </w:p>
    <w:p w14:paraId="4BDDAAE4" w14:textId="77777777" w:rsidR="006803AB" w:rsidRPr="00667CD6" w:rsidRDefault="006803AB" w:rsidP="006803AB">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667CD6">
        <w:rPr>
          <w:rFonts w:ascii="Verdana" w:hAnsi="Verdana" w:cs="Arial"/>
          <w:lang w:eastAsia="es-ES"/>
        </w:rPr>
        <w:lastRenderedPageBreak/>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6"/>
      </w:r>
      <w:r w:rsidRPr="00667CD6">
        <w:rPr>
          <w:rFonts w:ascii="Verdana" w:hAnsi="Verdana" w:cs="Arial"/>
          <w:lang w:eastAsia="es-ES"/>
        </w:rPr>
        <w:t>.</w:t>
      </w:r>
    </w:p>
    <w:p w14:paraId="11F1B79C" w14:textId="77777777" w:rsidR="006803AB" w:rsidRPr="00667CD6" w:rsidRDefault="006803AB" w:rsidP="006803AB">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011D99CB" w14:textId="77777777" w:rsidR="006803AB" w:rsidRPr="00667CD6" w:rsidRDefault="006803AB" w:rsidP="006803AB">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27"/>
      </w:r>
      <w:r w:rsidRPr="2035D652">
        <w:rPr>
          <w:rFonts w:ascii="Verdana" w:hAnsi="Verdana" w:cs="Arial"/>
          <w:lang w:val="es-ES"/>
        </w:rPr>
        <w:t>. Nótese que, en este caso, lo que cambia es la modalidad de selección y no la naturaleza de contrato interadministrativo.</w:t>
      </w:r>
    </w:p>
    <w:p w14:paraId="67A1A41C" w14:textId="77777777" w:rsidR="006803AB" w:rsidRPr="00667CD6" w:rsidRDefault="006803AB" w:rsidP="006803AB">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28"/>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3F21BC2F" w14:textId="77777777" w:rsidR="006803AB" w:rsidRPr="00667CD6" w:rsidRDefault="006803AB" w:rsidP="006803AB">
      <w:pPr>
        <w:spacing w:before="120" w:after="0" w:line="276" w:lineRule="auto"/>
        <w:ind w:firstLine="708"/>
        <w:jc w:val="both"/>
        <w:rPr>
          <w:rFonts w:ascii="Verdana" w:hAnsi="Verdana"/>
          <w:sz w:val="24"/>
          <w:szCs w:val="24"/>
          <w:lang w:eastAsia="es-CO"/>
        </w:rPr>
      </w:pPr>
      <w:r w:rsidRPr="2035D652">
        <w:rPr>
          <w:rFonts w:ascii="Verdana" w:hAnsi="Verdana" w:cs="Arial"/>
          <w:lang w:val="es-ES"/>
        </w:rPr>
        <w:lastRenderedPageBreak/>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29"/>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0C3D3F9A" w14:textId="77777777" w:rsidR="006803AB" w:rsidRDefault="006803AB" w:rsidP="006803AB">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24BDB955" w14:textId="77777777" w:rsidR="006803AB" w:rsidRPr="00E60AD8" w:rsidRDefault="006803AB" w:rsidP="006803AB">
      <w:pPr>
        <w:spacing w:before="120" w:after="0" w:line="276" w:lineRule="auto"/>
        <w:ind w:firstLine="708"/>
        <w:jc w:val="both"/>
        <w:rPr>
          <w:rFonts w:ascii="Verdana" w:eastAsia="Calibri" w:hAnsi="Verdana" w:cs="Arial"/>
          <w:color w:val="000000"/>
        </w:rPr>
      </w:pPr>
      <w:r>
        <w:rPr>
          <w:rFonts w:ascii="Verdana" w:eastAsia="Times New Roman" w:hAnsi="Verdana" w:cs="Arial"/>
          <w:lang w:val="es-MX" w:eastAsia="es-CO"/>
        </w:rPr>
        <w:t xml:space="preserve">En este aspecto, se destaca que uno de los sujetos de aplicación de dicha restricción son las entidades descentralizadas por servicios, </w:t>
      </w:r>
      <w:r>
        <w:rPr>
          <w:rFonts w:ascii="Verdana" w:eastAsia="Times New Roman" w:hAnsi="Verdana" w:cs="Arial"/>
          <w:lang w:eastAsia="es-CO"/>
        </w:rPr>
        <w:t xml:space="preserve">las cuales </w:t>
      </w:r>
      <w:r w:rsidRPr="004A1A19">
        <w:rPr>
          <w:rFonts w:ascii="Verdana" w:eastAsia="Calibri" w:hAnsi="Verdana" w:cs="Arial"/>
          <w:color w:val="000000"/>
        </w:rPr>
        <w:t>–sin perjuicio del control de tutela– tienen personería jurídica, autonomía administrativa y patrimonio propio.</w:t>
      </w:r>
      <w:r w:rsidRPr="004A1A19">
        <w:rPr>
          <w:rFonts w:ascii="Verdana" w:eastAsia="Calibri" w:hAnsi="Verdana" w:cs="Arial"/>
          <w:b/>
          <w:bCs/>
          <w:color w:val="000000"/>
        </w:rPr>
        <w:t xml:space="preserve"> </w:t>
      </w:r>
      <w:r>
        <w:rPr>
          <w:rFonts w:ascii="Verdana" w:eastAsia="Calibri" w:hAnsi="Verdana" w:cs="Arial"/>
          <w:color w:val="000000"/>
        </w:rPr>
        <w:t xml:space="preserve">Dentro de la categoría amplia de entidades descentralizadas por servicios se encuentran las Empresas Industriales y Comerciales del Estado, los establecimientos públicos, las sociedades públicas, las sociedades de economía mixta, las empresas sociales del Estado, entre otras entidades. </w:t>
      </w:r>
    </w:p>
    <w:p w14:paraId="1D7BC92C" w14:textId="77777777" w:rsidR="006803AB" w:rsidRDefault="006803AB" w:rsidP="006803AB">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w:t>
      </w:r>
      <w:r w:rsidRPr="00667CD6">
        <w:rPr>
          <w:rFonts w:ascii="Verdana" w:eastAsia="Times New Roman" w:hAnsi="Verdana" w:cs="Arial"/>
          <w:lang w:eastAsia="es-CO"/>
        </w:rPr>
        <w:lastRenderedPageBreak/>
        <w:t xml:space="preserve">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30E167EA" w14:textId="77777777" w:rsidR="006803AB" w:rsidRPr="00667CD6" w:rsidRDefault="006803AB" w:rsidP="006803AB">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30"/>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525C480F" w14:textId="77777777" w:rsidR="006803AB" w:rsidRPr="00667CD6" w:rsidRDefault="006803AB" w:rsidP="006803AB">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w:t>
      </w:r>
      <w:r w:rsidRPr="00667CD6">
        <w:rPr>
          <w:rFonts w:ascii="Verdana" w:hAnsi="Verdana" w:cs="Arial"/>
          <w:bCs/>
          <w:lang w:val="es-MX" w:eastAsia="x-none"/>
        </w:rPr>
        <w:lastRenderedPageBreak/>
        <w:t xml:space="preserve">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39454F4D" w14:textId="77777777" w:rsidR="006803AB" w:rsidRPr="00667CD6" w:rsidRDefault="006803AB" w:rsidP="006803AB">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w:t>
      </w:r>
      <w:proofErr w:type="gramStart"/>
      <w:r w:rsidRPr="00667CD6">
        <w:rPr>
          <w:rFonts w:ascii="Verdana" w:eastAsia="Times New Roman" w:hAnsi="Verdana" w:cs="Arial"/>
          <w:lang w:eastAsia="es-CO"/>
        </w:rPr>
        <w:t>que</w:t>
      </w:r>
      <w:proofErr w:type="gramEnd"/>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1"/>
      </w:r>
      <w:r w:rsidRPr="00667CD6">
        <w:rPr>
          <w:rFonts w:ascii="Verdana" w:hAnsi="Verdana" w:cs="Arial"/>
        </w:rPr>
        <w:t xml:space="preserve">: </w:t>
      </w:r>
    </w:p>
    <w:p w14:paraId="33000D5F" w14:textId="77777777" w:rsidR="006803AB" w:rsidRPr="00667CD6" w:rsidRDefault="006803AB" w:rsidP="006803AB">
      <w:pPr>
        <w:spacing w:after="0" w:line="276" w:lineRule="auto"/>
        <w:ind w:firstLine="709"/>
        <w:jc w:val="both"/>
        <w:rPr>
          <w:rFonts w:ascii="Verdana" w:hAnsi="Verdana" w:cs="Arial"/>
        </w:rPr>
      </w:pPr>
    </w:p>
    <w:p w14:paraId="240DCB88" w14:textId="77777777" w:rsidR="006803AB" w:rsidRDefault="006803AB" w:rsidP="006803AB">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4045E7F7" w14:textId="77777777" w:rsidR="006803AB" w:rsidRPr="00667CD6" w:rsidRDefault="006803AB" w:rsidP="006803AB">
      <w:pPr>
        <w:spacing w:after="0" w:line="240" w:lineRule="auto"/>
        <w:ind w:left="709" w:right="709"/>
        <w:jc w:val="both"/>
        <w:rPr>
          <w:rFonts w:ascii="Verdana" w:hAnsi="Verdana" w:cs="Arial"/>
          <w:sz w:val="20"/>
          <w:szCs w:val="20"/>
        </w:rPr>
      </w:pPr>
    </w:p>
    <w:p w14:paraId="54E0B41D" w14:textId="77777777" w:rsidR="006803AB" w:rsidRPr="00667CD6" w:rsidRDefault="006803AB" w:rsidP="006803AB">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4B6A9E04" w14:textId="77777777" w:rsidR="006803AB" w:rsidRPr="00667CD6" w:rsidRDefault="006803AB" w:rsidP="006803AB">
      <w:pPr>
        <w:spacing w:after="0" w:line="276" w:lineRule="auto"/>
        <w:ind w:left="709" w:right="709"/>
        <w:jc w:val="both"/>
        <w:rPr>
          <w:rFonts w:ascii="Verdana" w:hAnsi="Verdana" w:cs="Arial"/>
        </w:rPr>
      </w:pPr>
    </w:p>
    <w:p w14:paraId="543CE55B" w14:textId="77777777" w:rsidR="006803AB" w:rsidRPr="00667CD6" w:rsidRDefault="006803AB" w:rsidP="006803AB">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w:t>
      </w:r>
      <w:r w:rsidRPr="00667CD6">
        <w:rPr>
          <w:rFonts w:ascii="Verdana" w:eastAsia="Arial" w:hAnsi="Verdana" w:cs="Arial"/>
          <w:i/>
          <w:iCs/>
          <w:lang w:eastAsia="es-ES" w:bidi="es-ES"/>
        </w:rPr>
        <w:lastRenderedPageBreak/>
        <w:t xml:space="preserve">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3F37AF19" w14:textId="77777777" w:rsidR="006803AB" w:rsidRPr="00667CD6" w:rsidRDefault="006803AB" w:rsidP="006803AB">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32"/>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56452028" w14:textId="77777777" w:rsidR="006803AB" w:rsidRDefault="006803AB" w:rsidP="006803AB">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w:t>
      </w:r>
      <w:r w:rsidRPr="31E4E861">
        <w:rPr>
          <w:rFonts w:ascii="Verdana" w:eastAsia="Times New Roman" w:hAnsi="Verdana" w:cs="Times New Roman"/>
          <w:lang w:eastAsia="es-ES"/>
        </w:rPr>
        <w:lastRenderedPageBreak/>
        <w:t>-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34EF82B6" w14:textId="77777777" w:rsidR="006803AB" w:rsidRDefault="006803AB" w:rsidP="006803AB">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3"/>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3765456" w14:textId="77777777" w:rsidR="006803AB" w:rsidRDefault="006803AB" w:rsidP="006803AB">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4"/>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w:t>
      </w:r>
      <w:r w:rsidRPr="00667CD6">
        <w:rPr>
          <w:rFonts w:ascii="Verdana" w:eastAsia="Times New Roman" w:hAnsi="Verdana" w:cs="Arial"/>
          <w:lang w:eastAsia="es-CO"/>
        </w:rPr>
        <w:lastRenderedPageBreak/>
        <w:t>independientemente del objeto, dicho contrato puede suscribirse durante el periodo preelectoral.</w:t>
      </w:r>
    </w:p>
    <w:p w14:paraId="4D8E4760" w14:textId="77777777" w:rsidR="006803AB" w:rsidRDefault="006803AB" w:rsidP="006803AB">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6655096F" w14:textId="77777777" w:rsidR="006803AB" w:rsidRDefault="006803AB" w:rsidP="006803AB">
      <w:pPr>
        <w:spacing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r w:rsidRPr="00667CD6">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667CD6">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6757E62D" w14:textId="77777777" w:rsidR="006803AB" w:rsidRDefault="006803AB" w:rsidP="006803AB">
      <w:pPr>
        <w:spacing w:after="0" w:line="276" w:lineRule="auto"/>
        <w:jc w:val="both"/>
        <w:rPr>
          <w:rFonts w:ascii="Verdana" w:eastAsia="Times New Roman" w:hAnsi="Verdana" w:cs="Arial"/>
          <w:lang w:eastAsia="es-CO"/>
        </w:rPr>
      </w:pPr>
    </w:p>
    <w:p w14:paraId="32263A0B" w14:textId="77777777" w:rsidR="006803AB" w:rsidRPr="00BB46CC" w:rsidRDefault="006803AB" w:rsidP="006803AB">
      <w:pPr>
        <w:spacing w:after="120" w:line="276" w:lineRule="auto"/>
        <w:jc w:val="both"/>
        <w:rPr>
          <w:rFonts w:ascii="Verdana" w:eastAsia="Calibri" w:hAnsi="Verdana"/>
          <w:color w:val="000000" w:themeColor="text1"/>
        </w:rPr>
      </w:pPr>
      <w:r>
        <w:rPr>
          <w:rFonts w:ascii="Verdana" w:eastAsia="Arial" w:hAnsi="Verdana" w:cs="Arial"/>
          <w:lang w:val="es-ES" w:eastAsia="es-ES" w:bidi="es-ES"/>
        </w:rPr>
        <w:t xml:space="preserve">v. </w:t>
      </w:r>
      <w:r w:rsidRPr="00DA60DB">
        <w:rPr>
          <w:rFonts w:ascii="Verdana" w:eastAsia="Calibri" w:hAnsi="Verdana"/>
          <w:bCs/>
          <w:color w:val="000000" w:themeColor="text1"/>
        </w:rPr>
        <w:t xml:space="preserve">El artículo 1973 del Código Civil define el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w:t>
      </w:r>
      <w:r w:rsidRPr="00DA60DB">
        <w:rPr>
          <w:rFonts w:ascii="Verdana" w:eastAsia="Calibri" w:hAnsi="Verdana"/>
          <w:bCs/>
          <w:color w:val="000000" w:themeColor="text1"/>
        </w:rPr>
        <w:lastRenderedPageBreak/>
        <w:t>cambio de una renta o canon</w:t>
      </w:r>
      <w:r w:rsidRPr="00DA60DB">
        <w:rPr>
          <w:rFonts w:ascii="Verdana" w:eastAsia="Calibri" w:hAnsi="Verdana"/>
          <w:bCs/>
          <w:color w:val="000000" w:themeColor="text1"/>
          <w:vertAlign w:val="superscript"/>
        </w:rPr>
        <w:footnoteReference w:id="35"/>
      </w:r>
      <w:r w:rsidRPr="00DA60DB">
        <w:rPr>
          <w:rFonts w:ascii="Verdana" w:eastAsia="Calibri" w:hAnsi="Verdana"/>
          <w:bCs/>
          <w:color w:val="000000" w:themeColor="text1"/>
        </w:rPr>
        <w:t>. Por tanto, se diferencia del contrato de compraventa en que no opera una transferencia del dominio del bien cuyo uso y goce se entrega.</w:t>
      </w:r>
    </w:p>
    <w:p w14:paraId="7F8D8ED6" w14:textId="77777777" w:rsidR="006803AB" w:rsidRPr="00DA60DB" w:rsidRDefault="006803AB" w:rsidP="006803AB">
      <w:pPr>
        <w:spacing w:after="120" w:line="276" w:lineRule="auto"/>
        <w:ind w:firstLine="708"/>
        <w:jc w:val="both"/>
        <w:rPr>
          <w:rFonts w:ascii="Verdana" w:eastAsia="Calibri" w:hAnsi="Verdana"/>
          <w:bCs/>
          <w:color w:val="000000" w:themeColor="text1"/>
          <w:lang w:val="es-ES"/>
        </w:rPr>
      </w:pPr>
      <w:r w:rsidRPr="00DA60DB">
        <w:rPr>
          <w:rFonts w:ascii="Verdana" w:eastAsia="Calibri" w:hAnsi="Verdana"/>
          <w:bCs/>
          <w:color w:val="000000" w:themeColor="text1"/>
          <w:lang w:val="es-ES"/>
        </w:rPr>
        <w:t xml:space="preserve">En </w:t>
      </w:r>
      <w:r w:rsidRPr="00DA60DB">
        <w:rPr>
          <w:rFonts w:ascii="Verdana" w:eastAsia="Calibri" w:hAnsi="Verdana"/>
          <w:color w:val="000000" w:themeColor="text1"/>
          <w:lang w:val="es-ES"/>
        </w:rPr>
        <w:t>cuanto</w:t>
      </w:r>
      <w:r w:rsidRPr="00DA60DB">
        <w:rPr>
          <w:rFonts w:ascii="Verdana" w:eastAsia="Calibri" w:hAnsi="Verdana"/>
          <w:bCs/>
          <w:color w:val="000000" w:themeColor="text1"/>
          <w:lang w:val="es-ES"/>
        </w:rPr>
        <w:t xml:space="preserve"> a sus características, la doctrina ha indicado que el arrendamiento es un contrato: i) bilateral, pues ambas partes se obligan recíprocamente; </w:t>
      </w:r>
      <w:proofErr w:type="spellStart"/>
      <w:r w:rsidRPr="00DA60DB">
        <w:rPr>
          <w:rFonts w:ascii="Verdana" w:eastAsia="Calibri" w:hAnsi="Verdana"/>
          <w:bCs/>
          <w:color w:val="000000" w:themeColor="text1"/>
          <w:lang w:val="es-ES"/>
        </w:rPr>
        <w:t>ii</w:t>
      </w:r>
      <w:proofErr w:type="spellEnd"/>
      <w:r w:rsidRPr="00DA60DB">
        <w:rPr>
          <w:rFonts w:ascii="Verdana" w:eastAsia="Calibri" w:hAnsi="Verdana"/>
          <w:bCs/>
          <w:color w:val="000000" w:themeColor="text1"/>
          <w:lang w:val="es-ES"/>
        </w:rPr>
        <w:t>) consensual, dado que se perfecciona con el consentimiento</w:t>
      </w:r>
      <w:r w:rsidRPr="00DA60DB">
        <w:rPr>
          <w:rFonts w:ascii="Verdana" w:eastAsia="Calibri" w:hAnsi="Verdana"/>
          <w:bCs/>
          <w:color w:val="000000" w:themeColor="text1"/>
          <w:vertAlign w:val="superscript"/>
          <w:lang w:val="es-ES"/>
        </w:rPr>
        <w:footnoteReference w:id="36"/>
      </w:r>
      <w:r w:rsidRPr="00DA60DB">
        <w:rPr>
          <w:rFonts w:ascii="Verdana" w:eastAsia="Calibri" w:hAnsi="Verdana"/>
          <w:bCs/>
          <w:color w:val="000000" w:themeColor="text1"/>
          <w:lang w:val="es-ES"/>
        </w:rPr>
        <w:t xml:space="preserve">; </w:t>
      </w:r>
      <w:proofErr w:type="spellStart"/>
      <w:r w:rsidRPr="00DA60DB">
        <w:rPr>
          <w:rFonts w:ascii="Verdana" w:eastAsia="Calibri" w:hAnsi="Verdana"/>
          <w:bCs/>
          <w:color w:val="000000" w:themeColor="text1"/>
          <w:lang w:val="es-ES"/>
        </w:rPr>
        <w:t>iii</w:t>
      </w:r>
      <w:proofErr w:type="spellEnd"/>
      <w:r w:rsidRPr="00DA60DB">
        <w:rPr>
          <w:rFonts w:ascii="Verdana" w:eastAsia="Calibri" w:hAnsi="Verdana"/>
          <w:bCs/>
          <w:color w:val="000000" w:themeColor="text1"/>
          <w:lang w:val="es-ES"/>
        </w:rPr>
        <w:t xml:space="preserve">) oneroso, ya que ambas partes obtienen utilidades –el arrendatario, el uso y goce del bien, y el arrendador la renta o canon–; </w:t>
      </w:r>
      <w:proofErr w:type="spellStart"/>
      <w:r w:rsidRPr="00DA60DB">
        <w:rPr>
          <w:rFonts w:ascii="Verdana" w:eastAsia="Calibri" w:hAnsi="Verdana"/>
          <w:bCs/>
          <w:color w:val="000000" w:themeColor="text1"/>
          <w:lang w:val="es-ES"/>
        </w:rPr>
        <w:t>iv</w:t>
      </w:r>
      <w:proofErr w:type="spellEnd"/>
      <w:r w:rsidRPr="00DA60DB">
        <w:rPr>
          <w:rFonts w:ascii="Verdana" w:eastAsia="Calibri" w:hAnsi="Verdana"/>
          <w:bCs/>
          <w:color w:val="000000" w:themeColor="text1"/>
          <w:lang w:val="es-ES"/>
        </w:rPr>
        <w:t>) de ejecución sucesiva, en la medida en que se ejecuta en forma periódica; v) principal, porque existe en forma autónoma; y v) nominado, porque está tipificado y desarrollado en la ley</w:t>
      </w:r>
      <w:r w:rsidRPr="00DA60DB">
        <w:rPr>
          <w:rFonts w:ascii="Verdana" w:eastAsia="Calibri" w:hAnsi="Verdana"/>
          <w:bCs/>
          <w:color w:val="000000" w:themeColor="text1"/>
          <w:vertAlign w:val="superscript"/>
          <w:lang w:val="es-ES"/>
        </w:rPr>
        <w:footnoteReference w:id="37"/>
      </w:r>
      <w:r w:rsidRPr="00DA60DB">
        <w:rPr>
          <w:rFonts w:ascii="Verdana" w:eastAsia="Calibri" w:hAnsi="Verdana"/>
          <w:bCs/>
          <w:color w:val="000000" w:themeColor="text1"/>
          <w:lang w:val="es-ES"/>
        </w:rPr>
        <w:t xml:space="preserve">. </w:t>
      </w:r>
    </w:p>
    <w:p w14:paraId="74AD9596" w14:textId="77777777" w:rsidR="006803AB" w:rsidRPr="00BB46CC" w:rsidRDefault="006803AB" w:rsidP="006803AB">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w:t>
      </w:r>
      <w:r>
        <w:rPr>
          <w:rFonts w:ascii="Verdana" w:eastAsia="Calibri" w:hAnsi="Verdana"/>
          <w:color w:val="000000" w:themeColor="text1"/>
        </w:rPr>
        <w:t>torno</w:t>
      </w:r>
      <w:r w:rsidRPr="00BB46CC">
        <w:rPr>
          <w:rFonts w:ascii="Verdana" w:eastAsia="Calibri" w:hAnsi="Verdana"/>
          <w:color w:val="000000" w:themeColor="text1"/>
        </w:rPr>
        <w:t xml:space="preserve"> a su regulación, son, principalmente, los artículos 1973 al 2078 del Código Civil los que lo desarrollan. Pero también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w:t>
      </w:r>
      <w:r>
        <w:rPr>
          <w:rFonts w:ascii="Verdana" w:eastAsia="Calibri" w:hAnsi="Verdana"/>
          <w:color w:val="000000" w:themeColor="text1"/>
        </w:rPr>
        <w:t>“</w:t>
      </w:r>
      <w:r w:rsidRPr="00E21DBA">
        <w:rPr>
          <w:rFonts w:ascii="Verdana" w:eastAsia="Calibri" w:hAnsi="Verdana"/>
          <w:color w:val="000000" w:themeColor="text1"/>
        </w:rPr>
        <w:t>Por la cual se expide el régimen de arrendamiento de vivienda urbana y se dictan otras disposiciones</w:t>
      </w:r>
      <w:r>
        <w:rPr>
          <w:rFonts w:ascii="Verdana" w:eastAsia="Calibri" w:hAnsi="Verdana"/>
          <w:color w:val="000000" w:themeColor="text1"/>
        </w:rPr>
        <w:t>”</w:t>
      </w:r>
      <w:r w:rsidRPr="00BB46CC">
        <w:rPr>
          <w:rFonts w:ascii="Verdana" w:eastAsia="Calibri" w:hAnsi="Verdana"/>
          <w:color w:val="000000" w:themeColor="text1"/>
        </w:rPr>
        <w:t>.</w:t>
      </w:r>
    </w:p>
    <w:p w14:paraId="4250806C" w14:textId="77777777" w:rsidR="006803AB" w:rsidRDefault="006803AB" w:rsidP="006803AB">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igual sentido, por su importancia en la contratación estatal, debe precisarse que la modalidad de selección aplicable a la celebración de los contratos de arrendamiento depende del régimen aplicable a la entidad estatal. Si se rige por el derecho privado, es decir, si está exceptuada del Estatuto General de Contratación de la Administración Pública, debe aplicar en principio las normas civiles y comerciales mencionadas, en las cuales se permite la celebración directa del contrato de arrendamiento, pero si el reglamento o </w:t>
      </w:r>
      <w:r w:rsidRPr="00BB46CC">
        <w:rPr>
          <w:rFonts w:ascii="Verdana" w:eastAsia="Calibri" w:hAnsi="Verdana"/>
          <w:color w:val="000000" w:themeColor="text1"/>
        </w:rPr>
        <w:lastRenderedPageBreak/>
        <w:t xml:space="preserve">manual interno de contratación de la entidad dispone que debe efectuar algún procedimiento especial, este prevalece. </w:t>
      </w:r>
    </w:p>
    <w:p w14:paraId="255B7C7D" w14:textId="77777777" w:rsidR="006803AB" w:rsidRDefault="006803AB" w:rsidP="006803AB">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contrate, si la entidad estatal se rige por el Estatuto General de Contratación de la Administración Pública, bien sea que obre en calidad de arrendadora o arrendataria, debe acudir a la modalidad de selección de contratación directa si arrendara un inmueble, pues el artículo 2º, numeral 4° literal i) de la Ley 1150 de 2007 establece que una de las causales de este procedimiento es “i) El arrendamiento o adquisición de inmuebles”. En ambos supuestos la entidad estatal </w:t>
      </w:r>
      <w:r>
        <w:rPr>
          <w:rFonts w:ascii="Verdana" w:eastAsia="Calibri" w:hAnsi="Verdana"/>
          <w:color w:val="000000" w:themeColor="text1"/>
        </w:rPr>
        <w:t xml:space="preserve">–arrendadora o arrendataria- </w:t>
      </w:r>
      <w:r w:rsidRPr="00BB46CC">
        <w:rPr>
          <w:rFonts w:ascii="Verdana" w:eastAsia="Calibri" w:hAnsi="Verdana"/>
          <w:color w:val="000000" w:themeColor="text1"/>
        </w:rPr>
        <w:t>también debe aplicar las normas civiles y comerciales que regulan la sustantividad del contrato de arrendamiento, porque a estas se remiten los artículos 13, 32 y 40 de la Ley 80 de 1993.</w:t>
      </w:r>
      <w:r>
        <w:rPr>
          <w:rFonts w:ascii="Verdana" w:eastAsia="Calibri" w:hAnsi="Verdana"/>
          <w:color w:val="000000" w:themeColor="text1"/>
        </w:rPr>
        <w:t xml:space="preserve"> </w:t>
      </w:r>
      <w:r w:rsidRPr="00BB46CC">
        <w:rPr>
          <w:rFonts w:ascii="Verdana" w:eastAsia="Calibri" w:hAnsi="Verdana"/>
          <w:color w:val="000000" w:themeColor="text1"/>
        </w:rPr>
        <w:t xml:space="preserve">Por otro lado, La Ley 80 de 1993, en el texto original del artículo 41, estableció que los requisitos para perfeccionar el contrato eran: i) llegar a un acuerdo sobre el objeto y la contraprestación y </w:t>
      </w:r>
      <w:proofErr w:type="spellStart"/>
      <w:r w:rsidRPr="00BB46CC">
        <w:rPr>
          <w:rFonts w:ascii="Verdana" w:eastAsia="Calibri" w:hAnsi="Verdana"/>
          <w:color w:val="000000" w:themeColor="text1"/>
        </w:rPr>
        <w:t>ii</w:t>
      </w:r>
      <w:proofErr w:type="spellEnd"/>
      <w:r w:rsidRPr="00BB46CC">
        <w:rPr>
          <w:rFonts w:ascii="Verdana" w:eastAsia="Calibri" w:hAnsi="Verdana"/>
          <w:color w:val="000000" w:themeColor="text1"/>
        </w:rPr>
        <w:t xml:space="preserve">) que conste por escrito. Por su parte, para iniciar la ejecución se requería: i) la constitución y aprobación de la garantía y </w:t>
      </w:r>
      <w:proofErr w:type="spellStart"/>
      <w:r w:rsidRPr="00BB46CC">
        <w:rPr>
          <w:rFonts w:ascii="Verdana" w:eastAsia="Calibri" w:hAnsi="Verdana"/>
          <w:color w:val="000000" w:themeColor="text1"/>
        </w:rPr>
        <w:t>ii</w:t>
      </w:r>
      <w:proofErr w:type="spellEnd"/>
      <w:r w:rsidRPr="00BB46CC">
        <w:rPr>
          <w:rFonts w:ascii="Verdana" w:eastAsia="Calibri" w:hAnsi="Verdana"/>
          <w:color w:val="000000" w:themeColor="text1"/>
        </w:rPr>
        <w:t>) la existencia del registro presupuestal.</w:t>
      </w:r>
    </w:p>
    <w:p w14:paraId="41C3854D" w14:textId="77777777" w:rsidR="006803AB" w:rsidRPr="005C008F" w:rsidRDefault="006803AB" w:rsidP="006803AB">
      <w:pPr>
        <w:spacing w:after="120" w:line="276" w:lineRule="auto"/>
        <w:ind w:firstLine="709"/>
        <w:jc w:val="both"/>
        <w:rPr>
          <w:rFonts w:ascii="Verdana" w:eastAsia="Calibri" w:hAnsi="Verdana"/>
          <w:color w:val="000000" w:themeColor="text1"/>
        </w:rPr>
      </w:pPr>
      <w:r>
        <w:rPr>
          <w:rFonts w:ascii="Verdana" w:eastAsia="Calibri" w:hAnsi="Verdana"/>
          <w:color w:val="000000" w:themeColor="text1"/>
        </w:rPr>
        <w:t>Teniendo en cuenta lo expuesto anteriormente, c</w:t>
      </w:r>
      <w:r w:rsidRPr="005C008F">
        <w:rPr>
          <w:rFonts w:ascii="Verdana" w:eastAsia="Calibri" w:hAnsi="Verdana"/>
          <w:color w:val="000000" w:themeColor="text1"/>
        </w:rPr>
        <w:t>uando una entidad estatal actúa como arrendadora de un bien inmueble, no requiere disponibilidad presupuestal ni registro o compromiso presupuestal, dado que el pago corresponde al arrendatario, quien generalmente es un particular. La excepción se presenta cuando el arrendatario es otra entidad pública, en cuyo caso sí debe contar con la respectiva disponibilidad y compromiso presupuestal para cumplir con la obligación de pago.</w:t>
      </w:r>
    </w:p>
    <w:p w14:paraId="04DDB62A" w14:textId="77777777" w:rsidR="006803AB" w:rsidRPr="00BB46CC" w:rsidRDefault="006803AB" w:rsidP="006803AB">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virtud de este contrato, las partes se obligan, una a conceder el goce del inmueble, y otra a pagar un precio por el mismo. Estos contratos tienen como elementos característicos, conforme a la ley y a la jurisprudencia del Consejo de Estado, los siguientes: i) entrega de un bien que efectúa el arrendador al arrendatario para el goce o uso exclusivo de este y </w:t>
      </w:r>
      <w:proofErr w:type="spellStart"/>
      <w:r w:rsidRPr="00BB46CC">
        <w:rPr>
          <w:rFonts w:ascii="Verdana" w:eastAsia="Calibri" w:hAnsi="Verdana"/>
          <w:color w:val="000000" w:themeColor="text1"/>
        </w:rPr>
        <w:t>ii</w:t>
      </w:r>
      <w:proofErr w:type="spellEnd"/>
      <w:r w:rsidRPr="00BB46CC">
        <w:rPr>
          <w:rFonts w:ascii="Verdana" w:eastAsia="Calibri" w:hAnsi="Verdana"/>
          <w:color w:val="000000" w:themeColor="text1"/>
        </w:rPr>
        <w:t xml:space="preserve">) el pago de un precio por el uso o goce del bien arrendado. </w:t>
      </w:r>
    </w:p>
    <w:p w14:paraId="48A21EE8" w14:textId="77777777" w:rsidR="006803AB" w:rsidRPr="004C1120" w:rsidRDefault="006803AB" w:rsidP="006803AB">
      <w:pPr>
        <w:spacing w:after="120" w:line="276" w:lineRule="auto"/>
        <w:ind w:firstLine="708"/>
        <w:jc w:val="both"/>
        <w:rPr>
          <w:rFonts w:ascii="Verdana" w:eastAsiaTheme="minorEastAsia" w:hAnsi="Verdana" w:cs="Arial"/>
          <w:bCs/>
          <w:lang w:val="es-MX" w:eastAsia="es-CO"/>
        </w:rPr>
      </w:pPr>
      <w:r>
        <w:rPr>
          <w:rFonts w:ascii="Verdana" w:eastAsia="Calibri" w:hAnsi="Verdana"/>
          <w:color w:val="000000" w:themeColor="text1"/>
        </w:rPr>
        <w:t xml:space="preserve">Bajo esta lógica, no es posible que la entidad estatal en calidad de arrendadora de un bien inmueble pueda suscribir un contrato de arrendamiento, pues se encuentra dentro de la restricción del artículo 33 </w:t>
      </w:r>
      <w:r>
        <w:rPr>
          <w:rFonts w:ascii="Verdana" w:eastAsiaTheme="minorEastAsia" w:hAnsi="Verdana" w:cs="Arial"/>
          <w:lang w:eastAsia="es-CO"/>
        </w:rPr>
        <w:t xml:space="preserve">de la Ley 996 de 2005, la cual </w:t>
      </w:r>
      <w:r w:rsidRPr="004C1120">
        <w:rPr>
          <w:rFonts w:ascii="Verdana" w:eastAsiaTheme="minorEastAsia" w:hAnsi="Verdana" w:cs="Arial"/>
          <w:bCs/>
          <w:lang w:val="es-MX" w:eastAsia="es-CO"/>
        </w:rPr>
        <w:t xml:space="preserve">prohíbe adelantar cualquier </w:t>
      </w:r>
      <w:r>
        <w:rPr>
          <w:rFonts w:ascii="Verdana" w:eastAsiaTheme="minorEastAsia" w:hAnsi="Verdana" w:cs="Arial"/>
          <w:bCs/>
          <w:lang w:val="es-MX" w:eastAsia="es-CO"/>
        </w:rPr>
        <w:t xml:space="preserve">forma </w:t>
      </w:r>
      <w:r w:rsidRPr="004C1120">
        <w:rPr>
          <w:rFonts w:ascii="Verdana" w:eastAsiaTheme="minorEastAsia" w:hAnsi="Verdana" w:cs="Arial"/>
          <w:bCs/>
          <w:lang w:val="es-MX" w:eastAsia="es-CO"/>
        </w:rPr>
        <w:t xml:space="preserve">de contratación directa, entendida como todo mecanismo no competitivo. Es decir, </w:t>
      </w:r>
      <w:r>
        <w:rPr>
          <w:rFonts w:ascii="Verdana" w:eastAsiaTheme="minorEastAsia" w:hAnsi="Verdana" w:cs="Arial"/>
          <w:bCs/>
          <w:lang w:val="es-MX" w:eastAsia="es-CO"/>
        </w:rPr>
        <w:t xml:space="preserve">dicha restricción aplica en aquellos supuestos, en los que se pretenda </w:t>
      </w:r>
      <w:r w:rsidRPr="004C1120">
        <w:rPr>
          <w:rFonts w:ascii="Verdana" w:eastAsiaTheme="minorEastAsia" w:hAnsi="Verdana" w:cs="Arial"/>
          <w:bCs/>
          <w:lang w:val="es-MX" w:eastAsia="es-CO"/>
        </w:rPr>
        <w:t xml:space="preserve">celebrar </w:t>
      </w:r>
      <w:r>
        <w:rPr>
          <w:rFonts w:ascii="Verdana" w:eastAsiaTheme="minorEastAsia" w:hAnsi="Verdana" w:cs="Arial"/>
          <w:bCs/>
          <w:lang w:val="es-MX" w:eastAsia="es-CO"/>
        </w:rPr>
        <w:t xml:space="preserve">contratos de arrendamiento </w:t>
      </w:r>
      <w:r>
        <w:rPr>
          <w:rFonts w:ascii="Verdana" w:eastAsiaTheme="minorEastAsia" w:hAnsi="Verdana" w:cs="Arial"/>
          <w:bCs/>
          <w:lang w:val="es-MX" w:eastAsia="es-CO"/>
        </w:rPr>
        <w:lastRenderedPageBreak/>
        <w:t xml:space="preserve">de bienes inmuebles </w:t>
      </w:r>
      <w:r w:rsidRPr="004C1120">
        <w:rPr>
          <w:rFonts w:ascii="Verdana" w:eastAsiaTheme="minorEastAsia" w:hAnsi="Verdana" w:cs="Arial"/>
          <w:bCs/>
          <w:lang w:val="es-MX" w:eastAsia="es-CO"/>
        </w:rPr>
        <w:t>de forma directa,</w:t>
      </w:r>
      <w:r>
        <w:rPr>
          <w:rFonts w:ascii="Verdana" w:eastAsiaTheme="minorEastAsia" w:hAnsi="Verdana" w:cs="Arial"/>
          <w:bCs/>
          <w:lang w:val="es-MX" w:eastAsia="es-CO"/>
        </w:rPr>
        <w:t xml:space="preserve"> ya sea en calidad de arrendadora o de arrendataria, conforme a la causal de contratación directa </w:t>
      </w:r>
      <w:r>
        <w:rPr>
          <w:rFonts w:ascii="Verdana" w:eastAsiaTheme="minorEastAsia" w:hAnsi="Verdana" w:cs="Arial"/>
          <w:bCs/>
          <w:lang w:eastAsia="es-CO"/>
        </w:rPr>
        <w:t>de</w:t>
      </w:r>
      <w:r w:rsidRPr="00F45DD2">
        <w:rPr>
          <w:rFonts w:ascii="Verdana" w:eastAsiaTheme="minorEastAsia" w:hAnsi="Verdana" w:cs="Arial"/>
          <w:bCs/>
          <w:lang w:eastAsia="es-CO"/>
        </w:rPr>
        <w:t>l artículo 2º, numeral 4° literal i) de la Ley 1150 de 2007</w:t>
      </w:r>
      <w:r>
        <w:rPr>
          <w:rFonts w:ascii="Verdana" w:eastAsiaTheme="minorEastAsia" w:hAnsi="Verdana" w:cs="Arial"/>
          <w:bCs/>
          <w:lang w:eastAsia="es-CO"/>
        </w:rPr>
        <w:t>.</w:t>
      </w:r>
      <w:r>
        <w:rPr>
          <w:rFonts w:ascii="Verdana" w:eastAsiaTheme="minorEastAsia" w:hAnsi="Verdana" w:cs="Arial"/>
          <w:bCs/>
          <w:lang w:val="es-MX" w:eastAsia="es-CO"/>
        </w:rPr>
        <w:t xml:space="preserve"> E</w:t>
      </w:r>
      <w:r w:rsidRPr="004C1120">
        <w:rPr>
          <w:rFonts w:ascii="Verdana" w:eastAsiaTheme="minorEastAsia" w:hAnsi="Verdana" w:cs="Arial"/>
          <w:bCs/>
          <w:lang w:val="es-MX" w:eastAsia="es-CO"/>
        </w:rPr>
        <w:t xml:space="preserve">n este sentido, todos los entes del Estado, independiente del régimen jurídico aplicable, están sujetos a la restricción del artículo 33 de la Ley 996 de 2005, es decir, no podrán adelantar sistema que implique contratación directa respecto de las elecciones presidenciales, dentro de los cuatro (4) meses anteriores a la celebración de dichos comicios. </w:t>
      </w:r>
    </w:p>
    <w:p w14:paraId="0E888639" w14:textId="538226F1" w:rsidR="006803AB" w:rsidRPr="005C008F" w:rsidRDefault="006803AB" w:rsidP="006803AB">
      <w:pPr>
        <w:spacing w:after="120" w:line="276" w:lineRule="auto"/>
        <w:ind w:firstLine="709"/>
        <w:jc w:val="both"/>
        <w:rPr>
          <w:rFonts w:ascii="Verdana" w:eastAsia="Calibri" w:hAnsi="Verdana"/>
          <w:color w:val="000000" w:themeColor="text1"/>
        </w:rPr>
      </w:pPr>
      <w:r w:rsidRPr="00FF1C59">
        <w:rPr>
          <w:rFonts w:ascii="Verdana" w:eastAsiaTheme="minorEastAsia" w:hAnsi="Verdana" w:cs="Arial"/>
          <w:lang w:eastAsia="es-CO"/>
        </w:rPr>
        <w:t>De igual manera, resulta pertinente precisar</w:t>
      </w:r>
      <w:r>
        <w:rPr>
          <w:rFonts w:ascii="Verdana" w:eastAsiaTheme="minorEastAsia" w:hAnsi="Verdana" w:cs="Arial"/>
          <w:lang w:eastAsia="es-CO"/>
        </w:rPr>
        <w:t xml:space="preserve"> que</w:t>
      </w:r>
      <w:r w:rsidR="00F12FAC">
        <w:rPr>
          <w:rFonts w:ascii="Verdana" w:eastAsiaTheme="minorEastAsia" w:hAnsi="Verdana" w:cs="Arial"/>
          <w:lang w:eastAsia="es-CO"/>
        </w:rPr>
        <w:t xml:space="preserve"> los contratos de arrendamiento</w:t>
      </w:r>
      <w:r>
        <w:rPr>
          <w:rFonts w:ascii="Verdana" w:eastAsiaTheme="minorEastAsia" w:hAnsi="Verdana" w:cs="Arial"/>
          <w:lang w:eastAsia="es-CO"/>
        </w:rPr>
        <w:t xml:space="preserve"> de bienes inmuebles no encajan en la restricción del artículo 38 de la Ley 996 de 2005, la cual </w:t>
      </w:r>
      <w:r w:rsidRPr="00FF1C59">
        <w:rPr>
          <w:rFonts w:ascii="Verdana" w:eastAsiaTheme="minorEastAsia" w:hAnsi="Verdana" w:cs="Arial"/>
          <w:lang w:eastAsia="es-CO"/>
        </w:rPr>
        <w:t xml:space="preserve">establece </w:t>
      </w:r>
      <w:r>
        <w:rPr>
          <w:rFonts w:ascii="Verdana" w:eastAsiaTheme="minorEastAsia" w:hAnsi="Verdana" w:cs="Arial"/>
          <w:lang w:eastAsia="es-CO"/>
        </w:rPr>
        <w:t>la prohibición</w:t>
      </w:r>
      <w:r w:rsidRPr="00FF1C59">
        <w:rPr>
          <w:rFonts w:ascii="Verdana" w:eastAsiaTheme="minorEastAsia" w:hAnsi="Verdana" w:cs="Arial"/>
          <w:lang w:eastAsia="es-CO"/>
        </w:rPr>
        <w:t xml:space="preserve"> de </w:t>
      </w:r>
      <w:r>
        <w:rPr>
          <w:rFonts w:ascii="Verdana" w:eastAsiaTheme="minorEastAsia" w:hAnsi="Verdana" w:cs="Arial"/>
          <w:lang w:eastAsia="es-CO"/>
        </w:rPr>
        <w:t xml:space="preserve">celebrar </w:t>
      </w:r>
      <w:r w:rsidRPr="00FF1C59">
        <w:rPr>
          <w:rFonts w:ascii="Verdana" w:eastAsiaTheme="minorEastAsia" w:hAnsi="Verdana" w:cs="Arial"/>
          <w:lang w:eastAsia="es-CO"/>
        </w:rPr>
        <w:t xml:space="preserve">convenios </w:t>
      </w:r>
      <w:r>
        <w:rPr>
          <w:rFonts w:ascii="Verdana" w:eastAsiaTheme="minorEastAsia" w:hAnsi="Verdana" w:cs="Arial"/>
          <w:lang w:eastAsia="es-CO"/>
        </w:rPr>
        <w:t>interadministrativos para la ejecución de recursos públicos</w:t>
      </w:r>
      <w:r w:rsidRPr="00FF1C59">
        <w:rPr>
          <w:rFonts w:ascii="Verdana" w:eastAsiaTheme="minorEastAsia" w:hAnsi="Verdana" w:cs="Arial"/>
          <w:lang w:eastAsia="es-CO"/>
        </w:rPr>
        <w:t xml:space="preserve"> por parte de alcaldes, gobernadores, secretarios, gerentes y directores de entidades del orden municipal, departamental o distrital.</w:t>
      </w:r>
      <w:r>
        <w:rPr>
          <w:rFonts w:ascii="Verdana" w:eastAsiaTheme="minorEastAsia" w:hAnsi="Verdana" w:cs="Arial"/>
          <w:lang w:eastAsia="es-CO"/>
        </w:rPr>
        <w:t xml:space="preserve"> </w:t>
      </w:r>
      <w:r w:rsidRPr="005C008F">
        <w:rPr>
          <w:rFonts w:ascii="Verdana" w:eastAsia="Calibri" w:hAnsi="Verdana"/>
          <w:color w:val="000000" w:themeColor="text1"/>
        </w:rPr>
        <w:t>Por tanto, esta limitación no afecta directamente la relación bilateral propia del contrato de arrendamiento, sino únicamente convenios de naturaleza asociativa</w:t>
      </w:r>
      <w:r>
        <w:rPr>
          <w:rFonts w:ascii="Verdana" w:eastAsia="Calibri" w:hAnsi="Verdana"/>
          <w:color w:val="000000" w:themeColor="text1"/>
        </w:rPr>
        <w:t xml:space="preserve"> o cooperativa, en que dos o más partes aúnan esfuerzos para un objetivo común</w:t>
      </w:r>
      <w:r w:rsidRPr="005C008F">
        <w:rPr>
          <w:rFonts w:ascii="Verdana" w:eastAsia="Calibri" w:hAnsi="Verdana"/>
          <w:color w:val="000000" w:themeColor="text1"/>
        </w:rPr>
        <w:t>.</w:t>
      </w:r>
    </w:p>
    <w:p w14:paraId="2691E750" w14:textId="77777777" w:rsidR="006803AB" w:rsidRDefault="006803AB" w:rsidP="006803AB">
      <w:pPr>
        <w:spacing w:after="120" w:line="276" w:lineRule="auto"/>
        <w:ind w:firstLine="708"/>
        <w:jc w:val="both"/>
        <w:rPr>
          <w:rFonts w:ascii="Verdana" w:eastAsia="Calibri" w:hAnsi="Verdana"/>
          <w:color w:val="000000" w:themeColor="text1"/>
        </w:rPr>
      </w:pPr>
      <w:r>
        <w:rPr>
          <w:rFonts w:ascii="Verdana" w:eastAsiaTheme="minorEastAsia" w:hAnsi="Verdana" w:cs="Arial"/>
          <w:lang w:eastAsia="es-CO"/>
        </w:rPr>
        <w:t>Sin embargo, c</w:t>
      </w:r>
      <w:r w:rsidRPr="005C008F">
        <w:rPr>
          <w:rFonts w:ascii="Verdana" w:eastAsiaTheme="minorEastAsia" w:hAnsi="Verdana" w:cs="Arial"/>
          <w:lang w:eastAsia="es-CO"/>
        </w:rPr>
        <w:t>abe destacar que, tratándose de un contrato interadministrativo de arrendamiento, este también se encuentra sujeto a la restricción prevista en el artículo 33, siempre que se celebre mediante la modalidad de contratación directa. En consecuencia, cualquier contrato de arrendamiento de bienes inmuebles suscrito por entidades estatales bajo esta forma, dentro de los cuatro meses anteriores a las elecciones presidenciales —programadas para el 31 de mayo de 2026—, así como respecto de una eventual segunda vuelta prevista para el 21 de junio del mismo año, quedará igualmente comprendido en dicha limitación.</w:t>
      </w:r>
    </w:p>
    <w:p w14:paraId="4663C127" w14:textId="77777777" w:rsidR="006803AB" w:rsidRPr="004F1C0A" w:rsidRDefault="006803AB" w:rsidP="006803AB">
      <w:pPr>
        <w:spacing w:after="120" w:line="276" w:lineRule="auto"/>
        <w:ind w:firstLine="709"/>
        <w:jc w:val="both"/>
        <w:rPr>
          <w:rFonts w:ascii="Verdana" w:eastAsia="Times New Roman" w:hAnsi="Verdana" w:cs="Arial"/>
          <w:bCs/>
          <w:lang w:eastAsia="x-none"/>
        </w:rPr>
      </w:pPr>
      <w:r>
        <w:rPr>
          <w:rFonts w:ascii="Verdana" w:eastAsia="Calibri" w:hAnsi="Verdana"/>
          <w:color w:val="000000" w:themeColor="text1"/>
        </w:rPr>
        <w:t xml:space="preserve"> </w:t>
      </w:r>
      <w:r w:rsidRPr="004F1C0A">
        <w:rPr>
          <w:rFonts w:ascii="Verdana" w:eastAsia="Times New Roman" w:hAnsi="Verdana" w:cs="Arial"/>
          <w:bCs/>
          <w:lang w:val="es-MX" w:eastAsia="x-none"/>
        </w:rPr>
        <w:t xml:space="preserve">Esto, sin perjuicio de las excepciones a la prohibición establecidas en el inciso segundo del mismo artículo 33, como son: i) la defensa y seguridad del Estado; </w:t>
      </w:r>
      <w:proofErr w:type="spellStart"/>
      <w:r w:rsidRPr="004F1C0A">
        <w:rPr>
          <w:rFonts w:ascii="Verdana" w:eastAsia="Times New Roman" w:hAnsi="Verdana" w:cs="Arial"/>
          <w:bCs/>
          <w:lang w:val="es-MX" w:eastAsia="x-none"/>
        </w:rPr>
        <w:t>ii</w:t>
      </w:r>
      <w:proofErr w:type="spellEnd"/>
      <w:r w:rsidRPr="004F1C0A">
        <w:rPr>
          <w:rFonts w:ascii="Verdana" w:eastAsia="Times New Roman" w:hAnsi="Verdana" w:cs="Arial"/>
          <w:bCs/>
          <w:lang w:val="es-MX" w:eastAsia="x-none"/>
        </w:rPr>
        <w:t xml:space="preserve">) los contratos de crédito público; </w:t>
      </w:r>
      <w:proofErr w:type="spellStart"/>
      <w:r w:rsidRPr="004F1C0A">
        <w:rPr>
          <w:rFonts w:ascii="Verdana" w:eastAsia="Times New Roman" w:hAnsi="Verdana" w:cs="Arial"/>
          <w:bCs/>
          <w:lang w:val="es-MX" w:eastAsia="x-none"/>
        </w:rPr>
        <w:t>iii</w:t>
      </w:r>
      <w:proofErr w:type="spellEnd"/>
      <w:r w:rsidRPr="004F1C0A">
        <w:rPr>
          <w:rFonts w:ascii="Verdana" w:eastAsia="Times New Roman" w:hAnsi="Verdana" w:cs="Arial"/>
          <w:bCs/>
          <w:lang w:val="es-MX" w:eastAsia="x-none"/>
        </w:rPr>
        <w:t xml:space="preserve">) los requeridos para cubrir las emergencias educativas, sanitarias y desastres; </w:t>
      </w:r>
      <w:proofErr w:type="spellStart"/>
      <w:r w:rsidRPr="004F1C0A">
        <w:rPr>
          <w:rFonts w:ascii="Verdana" w:eastAsia="Times New Roman" w:hAnsi="Verdana" w:cs="Arial"/>
          <w:bCs/>
          <w:lang w:val="es-MX" w:eastAsia="x-none"/>
        </w:rPr>
        <w:t>iv</w:t>
      </w:r>
      <w:proofErr w:type="spellEnd"/>
      <w:r w:rsidRPr="004F1C0A">
        <w:rPr>
          <w:rFonts w:ascii="Verdana" w:eastAsia="Times New Roman" w:hAnsi="Verdana" w:cs="Arial"/>
          <w:bCs/>
          <w:lang w:val="es-MX" w:eastAsia="x-none"/>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w:t>
      </w:r>
      <w:r w:rsidRPr="004F1C0A">
        <w:rPr>
          <w:rFonts w:ascii="Verdana" w:eastAsia="Times New Roman" w:hAnsi="Verdana" w:cs="Arial"/>
          <w:bCs/>
          <w:lang w:val="es-MX" w:eastAsia="x-none"/>
        </w:rPr>
        <w:lastRenderedPageBreak/>
        <w:t>adelanta y determinar si las mismas se enmarcan en alguna de las mencionadas excepciones, de manera que se le permita realizar la contratación que necesite en forma directa.</w:t>
      </w:r>
    </w:p>
    <w:p w14:paraId="7BF5CDE1" w14:textId="77777777" w:rsidR="006803AB" w:rsidRPr="005C008F" w:rsidRDefault="006803AB" w:rsidP="006803AB">
      <w:pPr>
        <w:spacing w:after="120" w:line="276" w:lineRule="auto"/>
        <w:ind w:firstLine="708"/>
        <w:jc w:val="both"/>
        <w:rPr>
          <w:rFonts w:ascii="Verdana" w:eastAsia="Calibri" w:hAnsi="Verdana"/>
          <w:color w:val="000000" w:themeColor="text1"/>
          <w:lang w:val="es-MX"/>
        </w:rPr>
      </w:pPr>
      <w:r>
        <w:rPr>
          <w:rFonts w:ascii="Verdana" w:eastAsia="Times New Roman" w:hAnsi="Verdana" w:cs="Arial"/>
          <w:bCs/>
          <w:lang w:eastAsia="x-none"/>
        </w:rPr>
        <w:t>Por último</w:t>
      </w:r>
      <w:r w:rsidRPr="004F1C0A">
        <w:rPr>
          <w:rFonts w:ascii="Verdana" w:eastAsia="Times New Roman" w:hAnsi="Verdana" w:cs="Arial"/>
          <w:bCs/>
          <w:lang w:val="es-MX" w:eastAsia="x-none"/>
        </w:rPr>
        <w:t xml:space="preserve">, se reitera, </w:t>
      </w:r>
      <w:r w:rsidRPr="004F1C0A">
        <w:rPr>
          <w:rFonts w:ascii="Verdana" w:eastAsia="Times New Roman" w:hAnsi="Verdana" w:cs="Arial"/>
          <w:bCs/>
          <w:lang w:val="es-MX" w:eastAsia="es-CO"/>
        </w:rPr>
        <w:t xml:space="preserve">que las prórrogas, modificaciones o adiciones de los contratos suscritos antes de la entrada en vigor de las prohibiciones anotadas, así como la cesión de </w:t>
      </w:r>
      <w:proofErr w:type="gramStart"/>
      <w:r w:rsidRPr="004F1C0A">
        <w:rPr>
          <w:rFonts w:ascii="Verdana" w:eastAsia="Times New Roman" w:hAnsi="Verdana" w:cs="Arial"/>
          <w:bCs/>
          <w:lang w:val="es-MX" w:eastAsia="es-CO"/>
        </w:rPr>
        <w:t>los mismos</w:t>
      </w:r>
      <w:proofErr w:type="gramEnd"/>
      <w:r w:rsidRPr="004F1C0A">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4F1C0A">
        <w:rPr>
          <w:rFonts w:ascii="Verdana" w:eastAsia="Times New Roman" w:hAnsi="Verdana" w:cs="Arial"/>
          <w:bCs/>
          <w:vertAlign w:val="superscript"/>
          <w:lang w:val="es-MX" w:eastAsia="es-CO"/>
        </w:rPr>
        <w:footnoteReference w:id="38"/>
      </w:r>
      <w:r w:rsidRPr="004F1C0A">
        <w:rPr>
          <w:rFonts w:ascii="Verdana" w:eastAsia="Times New Roman" w:hAnsi="Verdana" w:cs="Arial"/>
          <w:bCs/>
          <w:lang w:val="es-MX" w:eastAsia="es-CO"/>
        </w:rPr>
        <w:t>. Además, también es posible que contratos celebrados previamente se continúen ejecutando con normalidad.</w:t>
      </w:r>
    </w:p>
    <w:p w14:paraId="1FE83357" w14:textId="77777777" w:rsidR="006803AB" w:rsidRDefault="006803AB" w:rsidP="006803AB">
      <w:pPr>
        <w:spacing w:after="0" w:line="276" w:lineRule="auto"/>
        <w:jc w:val="both"/>
        <w:rPr>
          <w:rFonts w:ascii="Verdana" w:eastAsia="Arial" w:hAnsi="Verdana" w:cs="Arial"/>
          <w:lang w:eastAsia="es-ES" w:bidi="es-ES"/>
        </w:rPr>
      </w:pPr>
    </w:p>
    <w:p w14:paraId="2A065B29" w14:textId="77777777" w:rsidR="006803AB" w:rsidRPr="005154AE" w:rsidRDefault="006803AB" w:rsidP="006803AB">
      <w:pPr>
        <w:spacing w:after="120" w:line="276" w:lineRule="auto"/>
        <w:jc w:val="both"/>
        <w:rPr>
          <w:rFonts w:ascii="Verdana" w:eastAsia="Arial" w:hAnsi="Verdana" w:cs="Arial"/>
          <w:bCs/>
          <w:color w:val="000000" w:themeColor="text1"/>
        </w:rPr>
      </w:pPr>
      <w:r>
        <w:rPr>
          <w:rFonts w:ascii="Verdana" w:eastAsia="Calibri" w:hAnsi="Verdana" w:cs="Arial"/>
          <w:bCs/>
          <w:color w:val="000000" w:themeColor="text1"/>
        </w:rPr>
        <w:t xml:space="preserve">vi. </w:t>
      </w:r>
      <w:r w:rsidRPr="00F4158D">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w:t>
      </w:r>
      <w:r>
        <w:rPr>
          <w:rFonts w:ascii="Verdana" w:eastAsia="Calibri" w:hAnsi="Verdana" w:cs="Arial"/>
          <w:bCs/>
          <w:color w:val="000000" w:themeColor="text1"/>
        </w:rPr>
        <w:t xml:space="preserve">las entidades públicas debe realizarse </w:t>
      </w:r>
      <w:r w:rsidRPr="00F4158D">
        <w:rPr>
          <w:rFonts w:ascii="Verdana" w:eastAsia="Calibri" w:hAnsi="Verdana" w:cs="Arial"/>
          <w:bCs/>
          <w:color w:val="000000" w:themeColor="text1"/>
        </w:rPr>
        <w:t>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0E40378" w14:textId="77777777" w:rsidR="006803AB" w:rsidRPr="00F4158D" w:rsidRDefault="006803AB" w:rsidP="006803AB">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665E8AF" w14:textId="77777777" w:rsidR="006803AB" w:rsidRPr="00F4158D" w:rsidRDefault="006803AB" w:rsidP="006803AB">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1E9C7677" w14:textId="77777777" w:rsidR="006803AB" w:rsidRPr="00593A5F" w:rsidRDefault="006803AB" w:rsidP="006803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r>
        <w:rPr>
          <w:rFonts w:ascii="Verdana" w:eastAsia="Century Gothic" w:hAnsi="Verdana" w:cs="Century Gothic"/>
          <w:b/>
          <w:bCs/>
        </w:rPr>
        <w:t>, jurisprudenciales y otras fuentes</w:t>
      </w:r>
      <w:r w:rsidRPr="00593A5F">
        <w:rPr>
          <w:rFonts w:ascii="Verdana" w:eastAsia="Century Gothic" w:hAnsi="Verdana" w:cs="Century Gothic"/>
          <w:b/>
          <w:bCs/>
        </w:rPr>
        <w:t>:</w:t>
      </w:r>
    </w:p>
    <w:p w14:paraId="7379747D" w14:textId="77777777" w:rsidR="006803AB" w:rsidRPr="00593A5F" w:rsidRDefault="006803AB" w:rsidP="006803A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803AB" w:rsidRPr="002407CE" w14:paraId="3F23C240" w14:textId="77777777" w:rsidTr="00CE268D">
        <w:trPr>
          <w:trHeight w:val="311"/>
          <w:jc w:val="center"/>
        </w:trPr>
        <w:tc>
          <w:tcPr>
            <w:tcW w:w="8647" w:type="dxa"/>
          </w:tcPr>
          <w:p w14:paraId="1576E7A2" w14:textId="77777777" w:rsidR="006803AB" w:rsidRDefault="006803AB" w:rsidP="00CE268D">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lastRenderedPageBreak/>
              <w:t>Constitución Política de 1991, artículos 127, 190, 197 y 286.</w:t>
            </w:r>
          </w:p>
          <w:p w14:paraId="0DA0EE06" w14:textId="77777777" w:rsidR="006803AB" w:rsidRDefault="006803AB" w:rsidP="00CE268D">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80 de 1993, artículos 2, 13, 32, 39, 40 y 41.</w:t>
            </w:r>
          </w:p>
          <w:p w14:paraId="71D80A2F" w14:textId="77777777" w:rsidR="006803AB" w:rsidRDefault="006803AB" w:rsidP="00CE268D">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996 de 2005, artículos 33 y 38.</w:t>
            </w:r>
          </w:p>
          <w:p w14:paraId="080B9B26" w14:textId="77777777" w:rsidR="006803AB" w:rsidRDefault="006803AB" w:rsidP="00CE268D">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 2.</w:t>
            </w:r>
          </w:p>
          <w:p w14:paraId="404BADD6" w14:textId="77777777" w:rsidR="006803AB" w:rsidRPr="00F45DD2" w:rsidRDefault="006803AB" w:rsidP="00CE268D">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Código Civil, artículos 27, 31, 1501,</w:t>
            </w:r>
            <w:r w:rsidRPr="00F45DD2">
              <w:rPr>
                <w:rFonts w:ascii="Verdana" w:eastAsia="Calibri" w:hAnsi="Verdana"/>
                <w:color w:val="000000" w:themeColor="text1"/>
                <w:lang w:val="es-CO"/>
              </w:rPr>
              <w:t xml:space="preserve"> </w:t>
            </w:r>
            <w:r w:rsidRPr="00F45DD2">
              <w:rPr>
                <w:rFonts w:ascii="Verdana" w:hAnsi="Verdana" w:cs="Arial"/>
                <w:lang w:val="es-CO"/>
              </w:rPr>
              <w:t xml:space="preserve">1973 al 2078 </w:t>
            </w:r>
          </w:p>
          <w:p w14:paraId="3258CAF4" w14:textId="77777777" w:rsidR="006803AB" w:rsidRDefault="006803AB" w:rsidP="00CE268D">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lang w:val="es-CO"/>
              </w:rPr>
              <w:t xml:space="preserve">Código de Comercio, </w:t>
            </w:r>
            <w:r w:rsidRPr="00F45DD2">
              <w:rPr>
                <w:rFonts w:ascii="Verdana" w:hAnsi="Verdana" w:cs="Arial"/>
                <w:lang w:val="es-CO"/>
              </w:rPr>
              <w:t>artículos 518</w:t>
            </w:r>
            <w:r>
              <w:rPr>
                <w:rFonts w:ascii="Verdana" w:hAnsi="Verdana" w:cs="Arial"/>
                <w:lang w:val="es-CO"/>
              </w:rPr>
              <w:t xml:space="preserve"> al 523. </w:t>
            </w:r>
          </w:p>
          <w:p w14:paraId="136EAED0" w14:textId="77777777" w:rsidR="006803AB" w:rsidRDefault="006803AB" w:rsidP="00CE268D">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960121">
              <w:rPr>
                <w:rFonts w:ascii="Verdana" w:hAnsi="Verdana" w:cs="Arial"/>
                <w:bCs/>
                <w:lang w:val="es-MX"/>
              </w:rPr>
              <w:t>Resolución 02580 del 5 de marzo de 2025 de la Registraduría Nacional del Estado Civil</w:t>
            </w:r>
            <w:r>
              <w:rPr>
                <w:rFonts w:ascii="Verdana" w:hAnsi="Verdana" w:cs="Arial"/>
                <w:bCs/>
                <w:lang w:val="es-MX"/>
              </w:rPr>
              <w:t>.</w:t>
            </w:r>
          </w:p>
          <w:p w14:paraId="18350F92" w14:textId="77777777" w:rsidR="006803AB" w:rsidRPr="00401590" w:rsidRDefault="006803AB" w:rsidP="00CE268D">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Consejo de Estado, Sala de Consulta y Servicio Civil. Concepto de 20 de febrero de 2006. C.P. Enrique José Arboleda Perdomo. Rad. 1727. </w:t>
            </w:r>
          </w:p>
          <w:p w14:paraId="46A31BBF" w14:textId="77777777" w:rsidR="006803AB" w:rsidRPr="00401590" w:rsidRDefault="006803AB" w:rsidP="00CE268D">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Consejo de Estado, Sala de Consulta y Servicio Civil. Concepto de 6 de abril de 2006.C.P. Enrique José Arboleda Perdomo. Rad. 1738</w:t>
            </w:r>
          </w:p>
          <w:p w14:paraId="7A6C41B4" w14:textId="77777777" w:rsidR="006803AB" w:rsidRPr="00401590" w:rsidRDefault="006803AB" w:rsidP="00CE268D">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Consejo de Estado, Sala de Consulta y Servicio Civil de fecha 24 de julio de 2013. C. P. Álvaro Namén Vargas. Rad. 2166, </w:t>
            </w:r>
          </w:p>
          <w:p w14:paraId="262195FF" w14:textId="77777777" w:rsidR="006803AB" w:rsidRPr="00401590" w:rsidRDefault="006803AB" w:rsidP="00CE268D">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Consejo de Estado. Sala de Consulta y Servicio Civil. Concepto del 2 de septiembre de 2013. C.P. Álvaro Namén </w:t>
            </w:r>
            <w:proofErr w:type="spellStart"/>
            <w:r w:rsidRPr="00401590">
              <w:rPr>
                <w:rFonts w:ascii="Verdana" w:hAnsi="Verdana" w:cs="Arial"/>
              </w:rPr>
              <w:t>Vargas.Rad</w:t>
            </w:r>
            <w:proofErr w:type="spellEnd"/>
            <w:r w:rsidRPr="00401590">
              <w:rPr>
                <w:rFonts w:ascii="Verdana" w:hAnsi="Verdana" w:cs="Arial"/>
              </w:rPr>
              <w:t xml:space="preserve">. 2168. </w:t>
            </w:r>
          </w:p>
          <w:p w14:paraId="718417FF" w14:textId="77777777" w:rsidR="006803AB" w:rsidRPr="00401590" w:rsidRDefault="006803AB" w:rsidP="00CE268D">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Consejo de Estado. Sala de Consulta y Servicio Civil. Concepto del 17 de febrero de 2015. C.P. William Zambrano Cetina. Rad. 2269.</w:t>
            </w:r>
          </w:p>
          <w:p w14:paraId="739992F6" w14:textId="77777777" w:rsidR="006803AB" w:rsidRPr="00401590" w:rsidRDefault="006803AB" w:rsidP="00CE268D">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Consejo de Estado, Sala de Consulta y Servicio Civil, Concepto de 8 de mayo de 2018. C.P. Álvaro Namén Vargas. Rad. 2382.</w:t>
            </w:r>
          </w:p>
          <w:p w14:paraId="65A7D4FC" w14:textId="77777777" w:rsidR="006803AB" w:rsidRPr="00401590" w:rsidRDefault="006803AB" w:rsidP="00CE268D">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 xml:space="preserve">Consejo de Estado, Sección Tercera, Subsección B. Auto del 4 de octubre de 2024. C.P: Fredy Ibarra Martínez. </w:t>
            </w:r>
            <w:proofErr w:type="spellStart"/>
            <w:r w:rsidRPr="00401590">
              <w:rPr>
                <w:rFonts w:ascii="Verdana" w:hAnsi="Verdana" w:cs="Arial"/>
              </w:rPr>
              <w:t>Exp</w:t>
            </w:r>
            <w:proofErr w:type="spellEnd"/>
            <w:r w:rsidRPr="00401590">
              <w:rPr>
                <w:rFonts w:ascii="Verdana" w:hAnsi="Verdana" w:cs="Arial"/>
              </w:rPr>
              <w:t>. 70.313.</w:t>
            </w:r>
          </w:p>
          <w:p w14:paraId="72A2BDDB" w14:textId="77777777" w:rsidR="006803AB" w:rsidRPr="00401590" w:rsidRDefault="006803AB" w:rsidP="00CE268D">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Consejo de Estado, Sección Tercera. Subsección B. Sentencia 17 de octubre de 2025. C.P. Fredy Ibarra Martínez</w:t>
            </w:r>
          </w:p>
          <w:p w14:paraId="685A737E" w14:textId="77777777" w:rsidR="006803AB" w:rsidRPr="00401590" w:rsidRDefault="006803AB" w:rsidP="00CE268D">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BF5885">
              <w:rPr>
                <w:rFonts w:ascii="Verdana" w:hAnsi="Verdana" w:cs="Arial"/>
                <w:lang w:val="pt-BR"/>
              </w:rPr>
              <w:t xml:space="preserve">Corte Constitucional. Sentencia C-671 de 2005. </w:t>
            </w:r>
            <w:r w:rsidRPr="00401590">
              <w:rPr>
                <w:rFonts w:ascii="Verdana" w:hAnsi="Verdana" w:cs="Arial"/>
              </w:rPr>
              <w:t xml:space="preserve">M.P. Álvaro Tafur Galvis. </w:t>
            </w:r>
          </w:p>
          <w:p w14:paraId="710D8934" w14:textId="77777777" w:rsidR="006803AB" w:rsidRDefault="006803AB" w:rsidP="00CE268D">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Corte Constitucional, Sentencia C- 1153 de 2005, M.P. Marco Gerardo Monroy Cabra.</w:t>
            </w:r>
          </w:p>
          <w:p w14:paraId="2F558754" w14:textId="77777777" w:rsidR="006803AB" w:rsidRPr="00401590" w:rsidRDefault="006803AB" w:rsidP="00CE268D">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8E17DE">
              <w:rPr>
                <w:rFonts w:ascii="Verdana" w:hAnsi="Verdana" w:cs="Arial"/>
                <w:lang w:val="es-CO"/>
              </w:rPr>
              <w:t xml:space="preserve">BONIVENTO FERNANDEZ, José. Los principales contratos civiles y su </w:t>
            </w:r>
            <w:r w:rsidRPr="008E17DE">
              <w:rPr>
                <w:rFonts w:ascii="Verdana" w:hAnsi="Verdana" w:cs="Arial"/>
                <w:lang w:val="es-CO"/>
              </w:rPr>
              <w:lastRenderedPageBreak/>
              <w:t>paralelo con los comerciales. Vigésimo segunda edición. Bogotá: Tirant lo Blanch, 2024.</w:t>
            </w:r>
          </w:p>
          <w:p w14:paraId="7F3569AB" w14:textId="77777777" w:rsidR="006803AB" w:rsidRPr="009D0D83" w:rsidRDefault="006803AB" w:rsidP="00CE268D">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401590">
              <w:rPr>
                <w:rFonts w:ascii="Verdana" w:hAnsi="Verdana" w:cs="Arial"/>
              </w:rPr>
              <w:t>CLARO SOLAR, Luis. Explicaciones de derecho civil chileno y comparado. Volumen I. Tomo I. Santiago: Editorial J</w:t>
            </w:r>
            <w:r>
              <w:rPr>
                <w:rFonts w:ascii="Verdana" w:hAnsi="Verdana" w:cs="Arial"/>
              </w:rPr>
              <w:t xml:space="preserve">urídica de Chile, 2013. </w:t>
            </w:r>
          </w:p>
        </w:tc>
      </w:tr>
    </w:tbl>
    <w:p w14:paraId="59DFF846" w14:textId="77777777" w:rsidR="006803AB" w:rsidRPr="002407CE" w:rsidRDefault="006803AB" w:rsidP="006803AB">
      <w:pPr>
        <w:widowControl w:val="0"/>
        <w:autoSpaceDE w:val="0"/>
        <w:autoSpaceDN w:val="0"/>
        <w:spacing w:after="0" w:line="276" w:lineRule="auto"/>
        <w:jc w:val="both"/>
        <w:rPr>
          <w:rFonts w:ascii="Verdana" w:hAnsi="Verdana" w:cs="Arial"/>
        </w:rPr>
      </w:pPr>
    </w:p>
    <w:p w14:paraId="00448C45" w14:textId="77777777" w:rsidR="006803AB" w:rsidRPr="00593A5F" w:rsidRDefault="006803AB" w:rsidP="006803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0C5E9B0" w14:textId="77777777" w:rsidR="006803AB" w:rsidRPr="00593A5F" w:rsidRDefault="006803AB" w:rsidP="006803AB">
      <w:pPr>
        <w:widowControl w:val="0"/>
        <w:autoSpaceDE w:val="0"/>
        <w:autoSpaceDN w:val="0"/>
        <w:spacing w:after="0" w:line="276" w:lineRule="auto"/>
        <w:jc w:val="both"/>
        <w:rPr>
          <w:rFonts w:ascii="Verdana" w:hAnsi="Verdana" w:cs="Arial"/>
        </w:rPr>
      </w:pPr>
    </w:p>
    <w:p w14:paraId="23A2EEBD" w14:textId="77777777" w:rsidR="006803AB" w:rsidRPr="007D6CC8" w:rsidRDefault="006803AB" w:rsidP="006803AB">
      <w:pPr>
        <w:widowControl w:val="0"/>
        <w:autoSpaceDE w:val="0"/>
        <w:autoSpaceDN w:val="0"/>
        <w:spacing w:after="0" w:line="276" w:lineRule="auto"/>
        <w:jc w:val="both"/>
        <w:rPr>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C-1703 del 29 de diciembre de 2025, C-068 del 27 de enero de 2026,</w:t>
      </w:r>
      <w:r w:rsidRPr="00033FA1">
        <w:rPr>
          <w:rFonts w:ascii="Verdana" w:hAnsi="Verdana" w:cs="Arial"/>
          <w:shd w:val="clear" w:color="auto" w:fill="FFFFFF"/>
        </w:rPr>
        <w:t xml:space="preserve"> C-111 del 6 de febrero de 2026, C-127 del 6 de febrero de 2026, entre otros</w:t>
      </w:r>
      <w:r>
        <w:rPr>
          <w:rFonts w:ascii="Verdana" w:hAnsi="Verdana"/>
        </w:rPr>
        <w:t>.</w:t>
      </w:r>
      <w:r>
        <w:rPr>
          <w:rFonts w:ascii="Verdana" w:hAnsi="Verdana" w:cs="Arial"/>
          <w:shd w:val="clear" w:color="auto" w:fill="FFFFFF"/>
        </w:rPr>
        <w:t xml:space="preserve"> </w:t>
      </w:r>
      <w:r w:rsidRPr="00185EE9">
        <w:rPr>
          <w:rFonts w:ascii="Verdana" w:eastAsia="Calibri" w:hAnsi="Verdana" w:cs="Times New Roman"/>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w:t>
      </w:r>
      <w:r w:rsidRPr="00185EE9">
        <w:rPr>
          <w:rFonts w:ascii="Verdana" w:eastAsia="Calibri" w:hAnsi="Verdana" w:cs="Times New Roman"/>
        </w:rPr>
        <w:lastRenderedPageBreak/>
        <w:t>Contractual, accede a través del siguiente enlace:</w:t>
      </w:r>
    </w:p>
    <w:p w14:paraId="3CAD9CCE" w14:textId="77777777" w:rsidR="006803AB" w:rsidRPr="00185EE9" w:rsidRDefault="006803AB" w:rsidP="006803AB">
      <w:pPr>
        <w:spacing w:after="0" w:line="256" w:lineRule="auto"/>
        <w:jc w:val="both"/>
        <w:rPr>
          <w:rFonts w:ascii="Verdana" w:eastAsia="Calibri" w:hAnsi="Verdana" w:cs="Times New Roman"/>
        </w:rPr>
      </w:pPr>
      <w:hyperlink r:id="rId13"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6B656400" w14:textId="77777777" w:rsidR="006803AB" w:rsidRPr="00096788" w:rsidRDefault="006803AB" w:rsidP="006803AB">
      <w:pPr>
        <w:widowControl w:val="0"/>
        <w:autoSpaceDE w:val="0"/>
        <w:autoSpaceDN w:val="0"/>
        <w:spacing w:after="0" w:line="276" w:lineRule="auto"/>
        <w:jc w:val="both"/>
        <w:rPr>
          <w:rFonts w:ascii="Verdana" w:hAnsi="Verdana" w:cs="Arial"/>
          <w:color w:val="000000" w:themeColor="text1"/>
          <w:shd w:val="clear" w:color="auto" w:fill="FFFFFF"/>
        </w:rPr>
      </w:pPr>
    </w:p>
    <w:p w14:paraId="2BBA33AF" w14:textId="77777777" w:rsidR="006803AB" w:rsidRDefault="006803AB" w:rsidP="006803AB">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215D98C4" w14:textId="77777777" w:rsidR="006803AB" w:rsidRDefault="006803AB" w:rsidP="006803AB">
      <w:pPr>
        <w:shd w:val="clear" w:color="auto" w:fill="FFFFFF"/>
        <w:spacing w:after="0" w:line="276" w:lineRule="auto"/>
        <w:jc w:val="both"/>
        <w:rPr>
          <w:rFonts w:ascii="Verdana" w:hAnsi="Verdana"/>
          <w:color w:val="000000"/>
          <w:u w:val="single"/>
        </w:rPr>
      </w:pPr>
    </w:p>
    <w:p w14:paraId="1EBA6907" w14:textId="77777777" w:rsidR="006803AB" w:rsidRPr="00116940" w:rsidRDefault="006803AB" w:rsidP="006803AB">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05BF281" w14:textId="77777777" w:rsidR="006803AB" w:rsidRPr="00116940" w:rsidRDefault="006803AB" w:rsidP="006803AB">
      <w:pPr>
        <w:spacing w:after="0"/>
        <w:jc w:val="both"/>
        <w:rPr>
          <w:rFonts w:ascii="Verdana" w:hAnsi="Verdana"/>
        </w:rPr>
      </w:pPr>
    </w:p>
    <w:p w14:paraId="12732B36" w14:textId="77777777" w:rsidR="006803AB" w:rsidRPr="00116940" w:rsidRDefault="006803AB" w:rsidP="006803AB">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74D8344" w14:textId="77777777" w:rsidR="006803AB" w:rsidRPr="00116940" w:rsidRDefault="006803AB" w:rsidP="006803AB">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23B1C0F0" w14:textId="77777777" w:rsidR="006803AB" w:rsidRPr="00116940" w:rsidRDefault="006803AB" w:rsidP="006803A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5">
        <w:r w:rsidRPr="00116940">
          <w:rPr>
            <w:rStyle w:val="Hipervnculo"/>
            <w:rFonts w:ascii="Verdana" w:eastAsia="Verdana" w:hAnsi="Verdana" w:cs="Verdana"/>
            <w:lang w:val="es-MX"/>
          </w:rPr>
          <w:t>ventanilladeradicacion@colombiacompra.gov.co</w:t>
        </w:r>
      </w:hyperlink>
    </w:p>
    <w:p w14:paraId="75438CFA" w14:textId="77777777" w:rsidR="006803AB" w:rsidRPr="00116940" w:rsidRDefault="006803AB" w:rsidP="006803A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6">
        <w:r w:rsidRPr="00116940">
          <w:rPr>
            <w:rStyle w:val="Hipervnculo"/>
            <w:rFonts w:ascii="Verdana" w:eastAsia="Verdana" w:hAnsi="Verdana" w:cs="Verdana"/>
            <w:lang w:val="es-MX"/>
          </w:rPr>
          <w:t>https://www.colombiacompra.gov.co/pqrsd/informacion-importante-antes-de-formular-una-pqrsd</w:t>
        </w:r>
      </w:hyperlink>
    </w:p>
    <w:p w14:paraId="3B845233" w14:textId="77777777" w:rsidR="006803AB" w:rsidRPr="00116940" w:rsidRDefault="006803AB" w:rsidP="006803AB">
      <w:pPr>
        <w:spacing w:after="0" w:line="240" w:lineRule="auto"/>
        <w:ind w:left="720"/>
        <w:jc w:val="both"/>
        <w:rPr>
          <w:rFonts w:ascii="Verdana" w:hAnsi="Verdana"/>
        </w:rPr>
      </w:pPr>
    </w:p>
    <w:p w14:paraId="5E524046" w14:textId="77777777" w:rsidR="006803AB" w:rsidRPr="00116940" w:rsidRDefault="006803AB" w:rsidP="006803AB">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7"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4789DCA" w14:textId="77777777" w:rsidR="006803AB" w:rsidRPr="00116940" w:rsidRDefault="006803AB" w:rsidP="006803AB">
      <w:pPr>
        <w:spacing w:after="0" w:line="240" w:lineRule="auto"/>
        <w:rPr>
          <w:rFonts w:ascii="Verdana" w:hAnsi="Verdana"/>
        </w:rPr>
      </w:pPr>
    </w:p>
    <w:p w14:paraId="724A187C" w14:textId="77777777" w:rsidR="006803AB" w:rsidRPr="00116940" w:rsidRDefault="006803AB" w:rsidP="006803AB">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F9A3F8A" w14:textId="77777777" w:rsidR="006803AB" w:rsidRPr="00116940" w:rsidRDefault="006803AB" w:rsidP="006803AB">
      <w:pPr>
        <w:spacing w:after="0" w:line="240" w:lineRule="auto"/>
        <w:jc w:val="both"/>
        <w:rPr>
          <w:rFonts w:ascii="Verdana" w:hAnsi="Verdana"/>
        </w:rPr>
      </w:pPr>
    </w:p>
    <w:p w14:paraId="7B845996" w14:textId="77777777" w:rsidR="006803AB" w:rsidRPr="00116940" w:rsidRDefault="006803AB" w:rsidP="006803AB">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F6DC223" w14:textId="77777777" w:rsidR="006803AB" w:rsidRPr="00116940" w:rsidRDefault="006803AB" w:rsidP="006803AB">
      <w:pPr>
        <w:spacing w:after="0" w:line="240" w:lineRule="auto"/>
        <w:jc w:val="both"/>
        <w:rPr>
          <w:rFonts w:ascii="Verdana" w:hAnsi="Verdana"/>
        </w:rPr>
      </w:pPr>
      <w:r w:rsidRPr="00116940">
        <w:rPr>
          <w:rFonts w:ascii="Verdana" w:hAnsi="Verdana"/>
        </w:rPr>
        <w:lastRenderedPageBreak/>
        <w:t xml:space="preserve">Facebook: </w:t>
      </w:r>
      <w:proofErr w:type="spellStart"/>
      <w:r w:rsidRPr="00116940">
        <w:rPr>
          <w:rStyle w:val="Hipervnculo"/>
          <w:rFonts w:ascii="Verdana" w:hAnsi="Verdana"/>
        </w:rPr>
        <w:t>ColombiaCompraEficiente</w:t>
      </w:r>
      <w:proofErr w:type="spellEnd"/>
    </w:p>
    <w:p w14:paraId="50BD68E5" w14:textId="77777777" w:rsidR="006803AB" w:rsidRPr="00116940" w:rsidRDefault="006803AB" w:rsidP="006803AB">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D6DEB2B" w14:textId="77777777" w:rsidR="006803AB" w:rsidRPr="00116940" w:rsidRDefault="006803AB" w:rsidP="006803AB">
      <w:pPr>
        <w:spacing w:after="0" w:line="240" w:lineRule="auto"/>
        <w:jc w:val="both"/>
        <w:rPr>
          <w:rFonts w:ascii="Verdana" w:hAnsi="Verdana"/>
        </w:rPr>
      </w:pPr>
    </w:p>
    <w:p w14:paraId="4CE37928" w14:textId="77777777" w:rsidR="006803AB" w:rsidRPr="009037F6" w:rsidRDefault="006803AB" w:rsidP="006803AB">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DABD7A3" w14:textId="77777777" w:rsidR="006803AB" w:rsidRPr="00492C4A" w:rsidRDefault="006803AB" w:rsidP="006803AB">
      <w:pPr>
        <w:spacing w:after="0" w:line="256" w:lineRule="auto"/>
        <w:jc w:val="both"/>
        <w:rPr>
          <w:rFonts w:ascii="Verdana" w:eastAsia="Calibri" w:hAnsi="Verdana" w:cs="Times New Roman"/>
          <w:lang w:val="es-ES_tradnl"/>
        </w:rPr>
      </w:pPr>
    </w:p>
    <w:p w14:paraId="547C5577" w14:textId="77777777" w:rsidR="006803AB" w:rsidRDefault="006803AB" w:rsidP="006803AB">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40E79A7C" w14:textId="77777777" w:rsidR="006803AB" w:rsidRDefault="006803AB" w:rsidP="006803AB">
      <w:pPr>
        <w:spacing w:after="0" w:line="256" w:lineRule="auto"/>
        <w:jc w:val="both"/>
        <w:rPr>
          <w:rFonts w:ascii="Verdana" w:eastAsia="Calibri" w:hAnsi="Verdana" w:cs="Times New Roman"/>
        </w:rPr>
      </w:pPr>
    </w:p>
    <w:p w14:paraId="101E623D" w14:textId="06765F05" w:rsidR="006803AB" w:rsidRPr="00286830" w:rsidRDefault="00A41D37" w:rsidP="006803AB">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0627FACB" wp14:editId="46CCE529">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312722" cy="1229722"/>
                    </a:xfrm>
                    <a:prstGeom prst="rect">
                      <a:avLst/>
                    </a:prstGeom>
                  </pic:spPr>
                </pic:pic>
              </a:graphicData>
            </a:graphic>
          </wp:inline>
        </w:drawing>
      </w:r>
      <w:r w:rsidR="006803AB" w:rsidRPr="00FD1DDC">
        <w:rPr>
          <w:rFonts w:ascii="Verdana" w:hAnsi="Verdana"/>
          <w:sz w:val="16"/>
          <w:szCs w:val="16"/>
        </w:rPr>
        <w:t xml:space="preserve"> </w:t>
      </w:r>
    </w:p>
    <w:p w14:paraId="78AB73CE" w14:textId="77777777" w:rsidR="006803AB" w:rsidRPr="003B2F20" w:rsidRDefault="006803AB" w:rsidP="006803AB">
      <w:pPr>
        <w:spacing w:after="0" w:line="256" w:lineRule="auto"/>
        <w:jc w:val="center"/>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6803AB" w:rsidRPr="00286830" w14:paraId="1B63795E" w14:textId="77777777" w:rsidTr="00CE268D">
        <w:trPr>
          <w:trHeight w:val="409"/>
        </w:trPr>
        <w:tc>
          <w:tcPr>
            <w:tcW w:w="817" w:type="dxa"/>
            <w:tcBorders>
              <w:top w:val="nil"/>
              <w:left w:val="nil"/>
              <w:bottom w:val="nil"/>
              <w:right w:val="nil"/>
            </w:tcBorders>
            <w:vAlign w:val="center"/>
            <w:hideMark/>
          </w:tcPr>
          <w:p w14:paraId="6486A822" w14:textId="77777777" w:rsidR="006803AB" w:rsidRPr="00286830" w:rsidRDefault="006803AB" w:rsidP="00CE268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CED1BC3" w14:textId="77777777" w:rsidR="006803AB" w:rsidRPr="00286830" w:rsidRDefault="006803AB" w:rsidP="00CE268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José Luis Sánchez Cardona</w:t>
            </w:r>
          </w:p>
          <w:p w14:paraId="4F4EC189" w14:textId="77777777" w:rsidR="006803AB" w:rsidRPr="00286830" w:rsidRDefault="006803AB" w:rsidP="00CE268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Contratista de la Subdirección de Gestión Contractual</w:t>
            </w:r>
          </w:p>
        </w:tc>
      </w:tr>
      <w:tr w:rsidR="006803AB" w:rsidRPr="00286830" w14:paraId="76048C39" w14:textId="77777777" w:rsidTr="00CE268D">
        <w:trPr>
          <w:trHeight w:val="409"/>
        </w:trPr>
        <w:tc>
          <w:tcPr>
            <w:tcW w:w="817" w:type="dxa"/>
            <w:tcBorders>
              <w:top w:val="nil"/>
              <w:left w:val="nil"/>
              <w:bottom w:val="nil"/>
              <w:right w:val="nil"/>
            </w:tcBorders>
            <w:vAlign w:val="center"/>
            <w:hideMark/>
          </w:tcPr>
          <w:p w14:paraId="5233C165" w14:textId="77777777" w:rsidR="006803AB" w:rsidRPr="00286830" w:rsidRDefault="006803AB" w:rsidP="00CE268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68F2D03" w14:textId="77777777" w:rsidR="006803AB" w:rsidRPr="00286830" w:rsidRDefault="006803AB" w:rsidP="00CE268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 xml:space="preserve">Alejandro </w:t>
            </w:r>
            <w:r>
              <w:rPr>
                <w:rFonts w:ascii="Verdana" w:eastAsia="Calibri" w:hAnsi="Verdana" w:cs="Times New Roman"/>
                <w:sz w:val="16"/>
                <w:szCs w:val="16"/>
              </w:rPr>
              <w:t xml:space="preserve">R. </w:t>
            </w:r>
            <w:r w:rsidRPr="00286830">
              <w:rPr>
                <w:rFonts w:ascii="Verdana" w:eastAsia="Calibri" w:hAnsi="Verdana" w:cs="Times New Roman"/>
                <w:sz w:val="16"/>
                <w:szCs w:val="16"/>
              </w:rPr>
              <w:t>Sarmiento Cantillo</w:t>
            </w:r>
          </w:p>
          <w:p w14:paraId="5DBEA674" w14:textId="77777777" w:rsidR="006803AB" w:rsidRPr="00286830" w:rsidRDefault="006803AB" w:rsidP="00CE268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Gestor T1-15 de la Subdirección de Gestión Contractual </w:t>
            </w:r>
          </w:p>
        </w:tc>
      </w:tr>
      <w:tr w:rsidR="006803AB" w:rsidRPr="00286830" w14:paraId="59462EAF" w14:textId="77777777" w:rsidTr="00CE268D">
        <w:trPr>
          <w:trHeight w:val="389"/>
        </w:trPr>
        <w:tc>
          <w:tcPr>
            <w:tcW w:w="817" w:type="dxa"/>
            <w:tcBorders>
              <w:top w:val="nil"/>
              <w:left w:val="nil"/>
              <w:bottom w:val="nil"/>
              <w:right w:val="nil"/>
            </w:tcBorders>
            <w:vAlign w:val="center"/>
            <w:hideMark/>
          </w:tcPr>
          <w:p w14:paraId="27846FFA" w14:textId="77777777" w:rsidR="006803AB" w:rsidRPr="00286830" w:rsidRDefault="006803AB" w:rsidP="00CE268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EC89AAC" w14:textId="77777777" w:rsidR="006803AB" w:rsidRPr="00286830" w:rsidRDefault="006803AB" w:rsidP="00CE268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Carolina Quintero Gacharná</w:t>
            </w:r>
          </w:p>
          <w:p w14:paraId="10E26B97" w14:textId="77777777" w:rsidR="006803AB" w:rsidRPr="00286830" w:rsidRDefault="006803AB" w:rsidP="00CE268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Subdirectora de Gestión Contractual ANCP – CCE</w:t>
            </w:r>
          </w:p>
        </w:tc>
      </w:tr>
      <w:bookmarkEnd w:id="0"/>
    </w:tbl>
    <w:p w14:paraId="41FD1E17" w14:textId="4A991C81" w:rsidR="004674CF" w:rsidRPr="00A41D37" w:rsidRDefault="004674CF" w:rsidP="00A41D37">
      <w:pPr>
        <w:spacing w:after="0" w:line="240" w:lineRule="auto"/>
        <w:textAlignment w:val="baseline"/>
        <w:rPr>
          <w:rFonts w:ascii="Verdana" w:eastAsia="Verdana" w:hAnsi="Verdana" w:cs="Verdana"/>
          <w:lang w:eastAsia="es-CO"/>
        </w:rPr>
      </w:pPr>
    </w:p>
    <w:sectPr w:rsidR="004674CF" w:rsidRPr="00A41D37"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0AB05C" w14:textId="77777777" w:rsidR="00136E2E" w:rsidRDefault="00136E2E" w:rsidP="004A1847">
      <w:pPr>
        <w:spacing w:after="0" w:line="240" w:lineRule="auto"/>
      </w:pPr>
      <w:r>
        <w:separator/>
      </w:r>
    </w:p>
  </w:endnote>
  <w:endnote w:type="continuationSeparator" w:id="0">
    <w:p w14:paraId="404893B6" w14:textId="77777777" w:rsidR="00136E2E" w:rsidRDefault="00136E2E" w:rsidP="004A1847">
      <w:pPr>
        <w:spacing w:after="0" w:line="240" w:lineRule="auto"/>
      </w:pPr>
      <w:r>
        <w:continuationSeparator/>
      </w:r>
    </w:p>
  </w:endnote>
  <w:endnote w:type="continuationNotice" w:id="1">
    <w:p w14:paraId="27FDF562" w14:textId="77777777" w:rsidR="00136E2E" w:rsidRDefault="00136E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0EA06CAB"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920937" w:rsidRPr="00920937">
      <w:rPr>
        <w:rFonts w:ascii="Verdana" w:eastAsiaTheme="minorEastAsia" w:hAnsi="Verdana"/>
        <w:b/>
        <w:bCs/>
        <w:noProof/>
        <w:sz w:val="16"/>
        <w:szCs w:val="16"/>
      </w:rPr>
      <w:t>6</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64AB6" w14:textId="77777777" w:rsidR="00136E2E" w:rsidRDefault="00136E2E" w:rsidP="004A1847">
      <w:pPr>
        <w:spacing w:after="0" w:line="240" w:lineRule="auto"/>
      </w:pPr>
      <w:r>
        <w:separator/>
      </w:r>
    </w:p>
  </w:footnote>
  <w:footnote w:type="continuationSeparator" w:id="0">
    <w:p w14:paraId="066ACEEB" w14:textId="77777777" w:rsidR="00136E2E" w:rsidRDefault="00136E2E" w:rsidP="004A1847">
      <w:pPr>
        <w:spacing w:after="0" w:line="240" w:lineRule="auto"/>
      </w:pPr>
      <w:r>
        <w:continuationSeparator/>
      </w:r>
    </w:p>
  </w:footnote>
  <w:footnote w:type="continuationNotice" w:id="1">
    <w:p w14:paraId="2EBBD113" w14:textId="77777777" w:rsidR="00136E2E" w:rsidRDefault="00136E2E">
      <w:pPr>
        <w:spacing w:after="0" w:line="240" w:lineRule="auto"/>
      </w:pPr>
    </w:p>
  </w:footnote>
  <w:footnote w:id="2">
    <w:p w14:paraId="2395FAD7" w14:textId="77777777" w:rsidR="006803AB" w:rsidRPr="009D0D83" w:rsidRDefault="006803AB" w:rsidP="006803AB">
      <w:pPr>
        <w:pStyle w:val="Textonotapie"/>
        <w:ind w:firstLine="709"/>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BC4DEC6" w14:textId="77777777" w:rsidR="006803AB" w:rsidRPr="009D0D83" w:rsidRDefault="006803AB" w:rsidP="006803AB">
      <w:pPr>
        <w:pStyle w:val="Textonotapie"/>
        <w:ind w:firstLine="709"/>
        <w:jc w:val="both"/>
        <w:rPr>
          <w:rFonts w:ascii="Verdana" w:hAnsi="Verdana" w:cs="Arial"/>
          <w:sz w:val="16"/>
          <w:szCs w:val="16"/>
        </w:rPr>
      </w:pPr>
      <w:r w:rsidRPr="009D0D83">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5AA33582" w14:textId="77777777" w:rsidR="006803AB" w:rsidRPr="009D0D83" w:rsidRDefault="006803AB" w:rsidP="006803AB">
      <w:pPr>
        <w:pStyle w:val="Textonotapie"/>
        <w:ind w:firstLine="709"/>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Gaceta del Congreso de la República No. 71 del 2005.</w:t>
      </w:r>
    </w:p>
  </w:footnote>
  <w:footnote w:id="4">
    <w:p w14:paraId="4248A56D" w14:textId="77777777" w:rsidR="006803AB" w:rsidRPr="009D0D83" w:rsidRDefault="006803AB" w:rsidP="006803AB">
      <w:pPr>
        <w:pStyle w:val="Textonotapie"/>
        <w:ind w:firstLine="709"/>
        <w:jc w:val="both"/>
        <w:rPr>
          <w:rFonts w:ascii="Verdana" w:hAnsi="Verdana" w:cs="Arial"/>
          <w:sz w:val="16"/>
          <w:szCs w:val="16"/>
          <w:lang w:val="pt-BR"/>
        </w:rPr>
      </w:pPr>
      <w:r w:rsidRPr="009D0D83">
        <w:rPr>
          <w:rStyle w:val="Refdenotaalpie"/>
          <w:rFonts w:ascii="Verdana" w:hAnsi="Verdana" w:cs="Arial"/>
          <w:sz w:val="16"/>
          <w:szCs w:val="16"/>
        </w:rPr>
        <w:footnoteRef/>
      </w:r>
      <w:r w:rsidRPr="009D0D83">
        <w:rPr>
          <w:rFonts w:ascii="Verdana" w:hAnsi="Verdana" w:cs="Arial"/>
          <w:sz w:val="16"/>
          <w:szCs w:val="16"/>
          <w:lang w:val="pt-BR"/>
        </w:rPr>
        <w:t xml:space="preserve"> Corte Constitucional, Sentencia C- 1153 de 2005, M.P. Marco Gerardo </w:t>
      </w:r>
      <w:proofErr w:type="spellStart"/>
      <w:r w:rsidRPr="009D0D83">
        <w:rPr>
          <w:rFonts w:ascii="Verdana" w:hAnsi="Verdana" w:cs="Arial"/>
          <w:sz w:val="16"/>
          <w:szCs w:val="16"/>
          <w:lang w:val="pt-BR"/>
        </w:rPr>
        <w:t>Monroy</w:t>
      </w:r>
      <w:proofErr w:type="spellEnd"/>
      <w:r w:rsidRPr="009D0D83">
        <w:rPr>
          <w:rFonts w:ascii="Verdana" w:hAnsi="Verdana" w:cs="Arial"/>
          <w:sz w:val="16"/>
          <w:szCs w:val="16"/>
          <w:lang w:val="pt-BR"/>
        </w:rPr>
        <w:t xml:space="preserve"> Cabra.</w:t>
      </w:r>
    </w:p>
  </w:footnote>
  <w:footnote w:id="5">
    <w:p w14:paraId="77FF2155" w14:textId="77777777" w:rsidR="006803AB" w:rsidRPr="009D0D83" w:rsidRDefault="006803AB" w:rsidP="006803AB">
      <w:pPr>
        <w:pStyle w:val="Textonotapie"/>
        <w:ind w:firstLine="709"/>
        <w:jc w:val="both"/>
        <w:rPr>
          <w:rFonts w:ascii="Verdana" w:hAnsi="Verdana" w:cs="Arial"/>
          <w:sz w:val="16"/>
          <w:szCs w:val="16"/>
          <w:lang w:val="pt-BR"/>
        </w:rPr>
      </w:pPr>
      <w:r w:rsidRPr="009D0D83">
        <w:rPr>
          <w:rStyle w:val="Refdenotaalpie"/>
          <w:rFonts w:ascii="Verdana" w:hAnsi="Verdana" w:cs="Arial"/>
          <w:sz w:val="16"/>
          <w:szCs w:val="16"/>
        </w:rPr>
        <w:footnoteRef/>
      </w:r>
      <w:r w:rsidRPr="009D0D83">
        <w:rPr>
          <w:rFonts w:ascii="Verdana" w:hAnsi="Verdana" w:cs="Arial"/>
          <w:sz w:val="16"/>
          <w:szCs w:val="16"/>
          <w:lang w:val="pt-BR"/>
        </w:rPr>
        <w:t xml:space="preserve"> Corte Constitucional. Sentencias: C-233 de 4 de abril de 2002, expediente: D-3704; C-551 de 9 de </w:t>
      </w:r>
      <w:proofErr w:type="spellStart"/>
      <w:r w:rsidRPr="009D0D83">
        <w:rPr>
          <w:rFonts w:ascii="Verdana" w:hAnsi="Verdana" w:cs="Arial"/>
          <w:sz w:val="16"/>
          <w:szCs w:val="16"/>
          <w:lang w:val="pt-BR"/>
        </w:rPr>
        <w:t>julio</w:t>
      </w:r>
      <w:proofErr w:type="spellEnd"/>
      <w:r w:rsidRPr="009D0D83">
        <w:rPr>
          <w:rFonts w:ascii="Verdana" w:hAnsi="Verdana" w:cs="Arial"/>
          <w:sz w:val="16"/>
          <w:szCs w:val="16"/>
          <w:lang w:val="pt-BR"/>
        </w:rPr>
        <w:t xml:space="preserve"> de 2003, expediente: CRF-001 de 9 de </w:t>
      </w:r>
      <w:proofErr w:type="spellStart"/>
      <w:r w:rsidRPr="009D0D83">
        <w:rPr>
          <w:rFonts w:ascii="Verdana" w:hAnsi="Verdana" w:cs="Arial"/>
          <w:sz w:val="16"/>
          <w:szCs w:val="16"/>
          <w:lang w:val="pt-BR"/>
        </w:rPr>
        <w:t>julio</w:t>
      </w:r>
      <w:proofErr w:type="spellEnd"/>
      <w:r w:rsidRPr="009D0D83">
        <w:rPr>
          <w:rFonts w:ascii="Verdana" w:hAnsi="Verdana" w:cs="Arial"/>
          <w:sz w:val="16"/>
          <w:szCs w:val="16"/>
          <w:lang w:val="pt-BR"/>
        </w:rPr>
        <w:t xml:space="preserve"> de 2003; C-652 de 5 de agosto de 2003, expediente: D-4330; C-353 de 20 de </w:t>
      </w:r>
      <w:proofErr w:type="spellStart"/>
      <w:r w:rsidRPr="009D0D83">
        <w:rPr>
          <w:rFonts w:ascii="Verdana" w:hAnsi="Verdana" w:cs="Arial"/>
          <w:sz w:val="16"/>
          <w:szCs w:val="16"/>
          <w:lang w:val="pt-BR"/>
        </w:rPr>
        <w:t>mayo</w:t>
      </w:r>
      <w:proofErr w:type="spellEnd"/>
      <w:r w:rsidRPr="009D0D83">
        <w:rPr>
          <w:rFonts w:ascii="Verdana" w:hAnsi="Verdana" w:cs="Arial"/>
          <w:sz w:val="16"/>
          <w:szCs w:val="16"/>
          <w:lang w:val="pt-BR"/>
        </w:rPr>
        <w:t xml:space="preserve"> de 2009, expediente: D-7518, C-541 de 30 de </w:t>
      </w:r>
      <w:proofErr w:type="spellStart"/>
      <w:r w:rsidRPr="009D0D83">
        <w:rPr>
          <w:rFonts w:ascii="Verdana" w:hAnsi="Verdana" w:cs="Arial"/>
          <w:sz w:val="16"/>
          <w:szCs w:val="16"/>
          <w:lang w:val="pt-BR"/>
        </w:rPr>
        <w:t>junio</w:t>
      </w:r>
      <w:proofErr w:type="spellEnd"/>
      <w:r w:rsidRPr="009D0D83">
        <w:rPr>
          <w:rFonts w:ascii="Verdana" w:hAnsi="Verdana" w:cs="Arial"/>
          <w:sz w:val="16"/>
          <w:szCs w:val="16"/>
          <w:lang w:val="pt-BR"/>
        </w:rPr>
        <w:t xml:space="preserve"> de 2010, expediente: DD7966; entre otras.</w:t>
      </w:r>
    </w:p>
  </w:footnote>
  <w:footnote w:id="6">
    <w:p w14:paraId="11AEB8D0" w14:textId="77777777" w:rsidR="006803AB" w:rsidRPr="009D0D83" w:rsidRDefault="006803AB" w:rsidP="006803AB">
      <w:pPr>
        <w:pStyle w:val="Textonotapie"/>
        <w:ind w:firstLine="709"/>
        <w:jc w:val="both"/>
        <w:rPr>
          <w:rFonts w:ascii="Verdana" w:hAnsi="Verdana" w:cs="Arial"/>
          <w:sz w:val="16"/>
          <w:szCs w:val="16"/>
          <w:lang w:val="es-CO"/>
        </w:rPr>
      </w:pPr>
      <w:r w:rsidRPr="009D0D83">
        <w:rPr>
          <w:rStyle w:val="Refdenotaalpie"/>
          <w:rFonts w:ascii="Verdana" w:hAnsi="Verdana" w:cs="Arial"/>
          <w:sz w:val="16"/>
          <w:szCs w:val="16"/>
        </w:rPr>
        <w:footnoteRef/>
      </w:r>
      <w:r w:rsidRPr="009D0D83">
        <w:rPr>
          <w:rFonts w:ascii="Verdana" w:hAnsi="Verdana" w:cs="Arial"/>
          <w:sz w:val="16"/>
          <w:szCs w:val="16"/>
          <w:lang w:val="es-CO"/>
        </w:rPr>
        <w:t xml:space="preserve"> Consejo de Estado,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76F4ABA5" w14:textId="77777777" w:rsidR="006803AB" w:rsidRPr="009D0D83" w:rsidRDefault="006803AB" w:rsidP="006803AB">
      <w:pPr>
        <w:pStyle w:val="Textonotapie"/>
        <w:ind w:firstLine="709"/>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Consejo de Estado, Sala de Consulta y Servicio Civil de fecha 24 de julio de 2013. </w:t>
      </w:r>
      <w:r w:rsidRPr="009D0D83">
        <w:rPr>
          <w:rFonts w:ascii="Verdana" w:hAnsi="Verdana" w:cs="Arial"/>
          <w:sz w:val="16"/>
          <w:szCs w:val="16"/>
          <w:lang w:val="es-CO"/>
        </w:rPr>
        <w:t>C. P. Álvaro Namén Vargas. Rad.</w:t>
      </w:r>
      <w:r w:rsidRPr="009D0D83">
        <w:rPr>
          <w:rFonts w:ascii="Verdana" w:hAnsi="Verdana" w:cs="Arial"/>
          <w:sz w:val="16"/>
          <w:szCs w:val="16"/>
        </w:rPr>
        <w:t xml:space="preserve"> 2166, </w:t>
      </w:r>
    </w:p>
  </w:footnote>
  <w:footnote w:id="8">
    <w:p w14:paraId="2369DFF7" w14:textId="77777777" w:rsidR="006803AB" w:rsidRPr="009D0D83" w:rsidRDefault="006803AB" w:rsidP="006803AB">
      <w:pPr>
        <w:spacing w:after="0" w:line="240" w:lineRule="auto"/>
        <w:ind w:firstLine="709"/>
        <w:jc w:val="both"/>
        <w:rPr>
          <w:rFonts w:ascii="Verdana" w:eastAsia="Times New Roman"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w:t>
      </w:r>
      <w:bookmarkStart w:id="7" w:name="33"/>
      <w:r w:rsidRPr="009D0D83">
        <w:rPr>
          <w:rFonts w:ascii="Verdana" w:eastAsia="Calibri" w:hAnsi="Verdana" w:cs="Arial"/>
          <w:color w:val="000000"/>
          <w:sz w:val="16"/>
          <w:szCs w:val="16"/>
        </w:rPr>
        <w:t>“</w:t>
      </w:r>
      <w:r w:rsidRPr="009D0D83">
        <w:rPr>
          <w:rFonts w:ascii="Verdana" w:eastAsia="Times New Roman" w:hAnsi="Verdana" w:cs="Arial"/>
          <w:sz w:val="16"/>
          <w:szCs w:val="16"/>
        </w:rPr>
        <w:t>Artículo 33. Restricciones a la contratación pública.</w:t>
      </w:r>
      <w:bookmarkEnd w:id="7"/>
      <w:r w:rsidRPr="009D0D83">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2FC1C67F" w14:textId="77777777" w:rsidR="006803AB" w:rsidRPr="009D0D83" w:rsidRDefault="006803AB" w:rsidP="006803AB">
      <w:pPr>
        <w:spacing w:after="0" w:line="240" w:lineRule="auto"/>
        <w:ind w:firstLine="709"/>
        <w:jc w:val="both"/>
        <w:rPr>
          <w:rFonts w:ascii="Verdana" w:eastAsia="Times New Roman" w:hAnsi="Verdana" w:cs="Arial"/>
          <w:sz w:val="16"/>
          <w:szCs w:val="16"/>
        </w:rPr>
      </w:pPr>
      <w:r w:rsidRPr="009D0D83">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9D0D83">
        <w:rPr>
          <w:rFonts w:ascii="Verdana" w:eastAsia="Calibri" w:hAnsi="Verdana" w:cs="Arial"/>
          <w:color w:val="000000"/>
          <w:sz w:val="16"/>
          <w:szCs w:val="16"/>
        </w:rPr>
        <w:t>”</w:t>
      </w:r>
      <w:r w:rsidRPr="009D0D83">
        <w:rPr>
          <w:rFonts w:ascii="Verdana" w:eastAsia="Times New Roman" w:hAnsi="Verdana" w:cs="Arial"/>
          <w:sz w:val="16"/>
          <w:szCs w:val="16"/>
        </w:rPr>
        <w:t>.</w:t>
      </w:r>
    </w:p>
  </w:footnote>
  <w:footnote w:id="9">
    <w:p w14:paraId="37E8BFB8" w14:textId="77777777" w:rsidR="006803AB" w:rsidRPr="009D0D83" w:rsidRDefault="006803AB" w:rsidP="006803AB">
      <w:pPr>
        <w:pStyle w:val="NormalWeb"/>
        <w:spacing w:before="0" w:beforeAutospacing="0" w:after="0" w:afterAutospacing="0"/>
        <w:ind w:firstLine="709"/>
        <w:jc w:val="both"/>
        <w:rPr>
          <w:rFonts w:ascii="Verdana" w:hAnsi="Verdana" w:cs="Arial"/>
          <w:sz w:val="16"/>
          <w:szCs w:val="16"/>
          <w:lang w:val="es-MX"/>
        </w:rPr>
      </w:pPr>
      <w:r w:rsidRPr="009D0D83">
        <w:rPr>
          <w:rStyle w:val="Refdenotaalpie"/>
          <w:rFonts w:ascii="Verdana" w:hAnsi="Verdana" w:cs="Arial"/>
          <w:sz w:val="16"/>
          <w:szCs w:val="16"/>
        </w:rPr>
        <w:footnoteRef/>
      </w:r>
      <w:r w:rsidRPr="009D0D83">
        <w:rPr>
          <w:rFonts w:ascii="Verdana" w:hAnsi="Verdana" w:cs="Arial"/>
          <w:sz w:val="16"/>
          <w:szCs w:val="16"/>
        </w:rPr>
        <w:t xml:space="preserve"> </w:t>
      </w:r>
      <w:bookmarkStart w:id="8" w:name="38"/>
      <w:r w:rsidRPr="009D0D83">
        <w:rPr>
          <w:rFonts w:ascii="Verdana" w:eastAsia="Calibri" w:hAnsi="Verdana" w:cs="Arial"/>
          <w:color w:val="000000"/>
          <w:sz w:val="16"/>
          <w:szCs w:val="16"/>
        </w:rPr>
        <w:t>“</w:t>
      </w:r>
      <w:r w:rsidRPr="009D0D83">
        <w:rPr>
          <w:rFonts w:ascii="Verdana" w:hAnsi="Verdana" w:cs="Arial"/>
          <w:sz w:val="16"/>
          <w:szCs w:val="16"/>
          <w:lang w:val="es-MX"/>
        </w:rPr>
        <w:t>Artículo 38. Prohibiciones para los servidores públicos. A los empleados del Estado les está prohibido:</w:t>
      </w:r>
      <w:bookmarkEnd w:id="8"/>
      <w:r w:rsidRPr="009D0D83">
        <w:rPr>
          <w:rFonts w:ascii="Verdana" w:hAnsi="Verdana" w:cs="Arial"/>
          <w:sz w:val="16"/>
          <w:szCs w:val="16"/>
          <w:lang w:val="es-MX"/>
        </w:rPr>
        <w:t xml:space="preserve"> […]</w:t>
      </w:r>
    </w:p>
    <w:p w14:paraId="770FB78E" w14:textId="77777777" w:rsidR="006803AB" w:rsidRPr="009D0D83" w:rsidRDefault="006803AB" w:rsidP="006803AB">
      <w:pPr>
        <w:pStyle w:val="NormalWeb"/>
        <w:spacing w:before="0" w:beforeAutospacing="0" w:after="0" w:afterAutospacing="0"/>
        <w:ind w:firstLine="709"/>
        <w:jc w:val="both"/>
        <w:rPr>
          <w:rFonts w:ascii="Verdana" w:hAnsi="Verdana" w:cs="Arial"/>
          <w:sz w:val="16"/>
          <w:szCs w:val="16"/>
          <w:lang w:val="es-MX"/>
        </w:rPr>
      </w:pPr>
      <w:r w:rsidRPr="009D0D83">
        <w:rPr>
          <w:rStyle w:val="baj"/>
          <w:rFonts w:ascii="Verdana" w:hAnsi="Verdana" w:cs="Arial"/>
          <w:sz w:val="16"/>
          <w:szCs w:val="16"/>
          <w:lang w:val="es-MX"/>
        </w:rPr>
        <w:t>Parágrafo.</w:t>
      </w:r>
      <w:r w:rsidRPr="009D0D83">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D0D83">
        <w:rPr>
          <w:rFonts w:ascii="Verdana" w:eastAsia="Calibri" w:hAnsi="Verdana" w:cs="Arial"/>
          <w:color w:val="000000"/>
          <w:sz w:val="16"/>
          <w:szCs w:val="16"/>
        </w:rPr>
        <w:t>”</w:t>
      </w:r>
      <w:r w:rsidRPr="009D0D83">
        <w:rPr>
          <w:rFonts w:ascii="Verdana" w:hAnsi="Verdana" w:cs="Arial"/>
          <w:sz w:val="16"/>
          <w:szCs w:val="16"/>
          <w:lang w:val="es-MX"/>
        </w:rPr>
        <w:t>.</w:t>
      </w:r>
    </w:p>
  </w:footnote>
  <w:footnote w:id="10">
    <w:p w14:paraId="3101A7E4" w14:textId="77777777" w:rsidR="006803AB" w:rsidRPr="009D0D83" w:rsidRDefault="006803AB" w:rsidP="006803AB">
      <w:pPr>
        <w:pStyle w:val="Textonotapie"/>
        <w:ind w:firstLine="708"/>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Colombia Compra Eficiente. Circular Externa Única. Numeral 16.5. </w:t>
      </w:r>
    </w:p>
  </w:footnote>
  <w:footnote w:id="11">
    <w:p w14:paraId="27929F7C" w14:textId="77777777" w:rsidR="006803AB" w:rsidRPr="009D0D83" w:rsidRDefault="006803AB" w:rsidP="006803AB">
      <w:pPr>
        <w:spacing w:after="0" w:line="240" w:lineRule="auto"/>
        <w:ind w:left="100" w:right="244" w:firstLine="608"/>
        <w:jc w:val="both"/>
        <w:rPr>
          <w:rFonts w:ascii="Verdana" w:hAnsi="Verdana" w:cs="Arial"/>
          <w:sz w:val="16"/>
          <w:szCs w:val="16"/>
          <w:lang w:val="es-ES"/>
        </w:rPr>
      </w:pPr>
      <w:r w:rsidRPr="009D0D83">
        <w:rPr>
          <w:rStyle w:val="Refdenotaalpie"/>
          <w:rFonts w:ascii="Verdana" w:hAnsi="Verdana" w:cs="Arial"/>
          <w:sz w:val="16"/>
          <w:szCs w:val="16"/>
        </w:rPr>
        <w:footnoteRef/>
      </w:r>
      <w:r w:rsidRPr="009D0D83">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3EFD20BA" w14:textId="77777777" w:rsidR="006803AB" w:rsidRPr="009D0D83" w:rsidRDefault="006803AB" w:rsidP="006803AB">
      <w:pPr>
        <w:pStyle w:val="Textonotapie"/>
        <w:ind w:right="51" w:firstLine="709"/>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w:t>
      </w:r>
      <w:r w:rsidRPr="009D0D83">
        <w:rPr>
          <w:rFonts w:ascii="Verdana" w:hAnsi="Verdana" w:cs="Arial"/>
          <w:sz w:val="16"/>
          <w:szCs w:val="16"/>
          <w:lang w:val="es-ES"/>
        </w:rPr>
        <w:t xml:space="preserve">[25] </w:t>
      </w:r>
      <w:r w:rsidRPr="009D0D83">
        <w:rPr>
          <w:rFonts w:ascii="Verdana" w:hAnsi="Verdana" w:cs="Arial"/>
          <w:sz w:val="16"/>
          <w:szCs w:val="16"/>
        </w:rPr>
        <w:t>Cfr. Consejo de Estado. Sección Tercera. Sentencia de 3 de diciembre de 2007. Radicados: 24.715, 25.206, 25.409, 24.524, 27.834, 25.410, 26.105, 28.244, 31.447 -acumulados</w:t>
      </w:r>
      <w:proofErr w:type="gramStart"/>
      <w:r w:rsidRPr="009D0D83">
        <w:rPr>
          <w:rFonts w:ascii="Verdana" w:hAnsi="Verdana" w:cs="Arial"/>
          <w:sz w:val="16"/>
          <w:szCs w:val="16"/>
        </w:rPr>
        <w:t>-“</w:t>
      </w:r>
      <w:proofErr w:type="gramEnd"/>
      <w:r w:rsidRPr="009D0D83">
        <w:rPr>
          <w:rFonts w:ascii="Verdana" w:hAnsi="Verdana" w:cs="Arial"/>
          <w:sz w:val="16"/>
          <w:szCs w:val="16"/>
        </w:rPr>
        <w:t>.</w:t>
      </w:r>
    </w:p>
  </w:footnote>
  <w:footnote w:id="13">
    <w:p w14:paraId="0FDD60C1" w14:textId="77777777" w:rsidR="006803AB" w:rsidRPr="009D0D83" w:rsidRDefault="006803AB" w:rsidP="006803AB">
      <w:pPr>
        <w:pStyle w:val="Textonotapie"/>
        <w:ind w:right="51" w:firstLine="709"/>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w:t>
      </w:r>
      <w:r w:rsidRPr="009D0D83">
        <w:rPr>
          <w:rFonts w:ascii="Verdana" w:hAnsi="Verdana" w:cs="Arial"/>
          <w:sz w:val="16"/>
          <w:szCs w:val="16"/>
          <w:lang w:val="es-ES"/>
        </w:rPr>
        <w:t xml:space="preserve">[26] </w:t>
      </w:r>
      <w:r w:rsidRPr="009D0D83">
        <w:rPr>
          <w:rFonts w:ascii="Verdana" w:hAnsi="Verdana" w:cs="Arial"/>
          <w:sz w:val="16"/>
          <w:szCs w:val="16"/>
        </w:rPr>
        <w:t>Al respecto ver el concepto 1712 de 2 de febrero de 2006. Consejo de Estado Sala de Consulta y Servicio Civil”.</w:t>
      </w:r>
    </w:p>
  </w:footnote>
  <w:footnote w:id="14">
    <w:p w14:paraId="3AD59625" w14:textId="77777777" w:rsidR="006803AB" w:rsidRPr="009D0D83" w:rsidRDefault="006803AB" w:rsidP="006803AB">
      <w:pPr>
        <w:pStyle w:val="Textonotapie"/>
        <w:ind w:firstLine="709"/>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Consejo de Estado. Sala de Consulta y Servicio Civil. Concepto del 2 de septiembre de 2013. </w:t>
      </w:r>
      <w:r w:rsidRPr="009D0D83">
        <w:rPr>
          <w:rFonts w:ascii="Verdana" w:hAnsi="Verdana" w:cs="Arial"/>
          <w:sz w:val="16"/>
          <w:szCs w:val="16"/>
          <w:lang w:val="es-CO"/>
        </w:rPr>
        <w:t>C.P. Álvaro Namén Vargas.</w:t>
      </w:r>
      <w:r w:rsidRPr="009D0D83">
        <w:rPr>
          <w:rFonts w:ascii="Verdana" w:hAnsi="Verdana" w:cs="Arial"/>
          <w:sz w:val="16"/>
          <w:szCs w:val="16"/>
        </w:rPr>
        <w:t xml:space="preserve">Rad. 2168. </w:t>
      </w:r>
    </w:p>
  </w:footnote>
  <w:footnote w:id="15">
    <w:p w14:paraId="2EEDCE9A" w14:textId="77777777" w:rsidR="006803AB" w:rsidRPr="009D0D83" w:rsidRDefault="006803AB" w:rsidP="006803AB">
      <w:pPr>
        <w:pStyle w:val="Textonotapie"/>
        <w:ind w:firstLine="709"/>
        <w:jc w:val="both"/>
        <w:rPr>
          <w:rFonts w:ascii="Verdana" w:hAnsi="Verdana" w:cs="Arial"/>
          <w:sz w:val="16"/>
          <w:szCs w:val="16"/>
          <w:lang w:val="es-ES"/>
        </w:rPr>
      </w:pPr>
      <w:r w:rsidRPr="009D0D83">
        <w:rPr>
          <w:rStyle w:val="Refdenotaalpie"/>
          <w:rFonts w:ascii="Verdana" w:hAnsi="Verdana" w:cs="Arial"/>
          <w:sz w:val="16"/>
          <w:szCs w:val="16"/>
        </w:rPr>
        <w:footnoteRef/>
      </w:r>
      <w:r w:rsidRPr="009D0D83">
        <w:rPr>
          <w:rFonts w:ascii="Verdana" w:hAnsi="Verdana" w:cs="Arial"/>
          <w:sz w:val="16"/>
          <w:szCs w:val="16"/>
        </w:rPr>
        <w:t xml:space="preserve"> </w:t>
      </w:r>
      <w:r w:rsidRPr="009D0D83">
        <w:rPr>
          <w:rFonts w:ascii="Verdana" w:hAnsi="Verdana" w:cs="Arial"/>
          <w:sz w:val="16"/>
          <w:szCs w:val="16"/>
          <w:lang w:val="es-ES"/>
        </w:rPr>
        <w:t xml:space="preserve">Artículo 2. </w:t>
      </w:r>
    </w:p>
  </w:footnote>
  <w:footnote w:id="16">
    <w:p w14:paraId="741BB685" w14:textId="77777777" w:rsidR="006803AB" w:rsidRPr="009D0D83" w:rsidRDefault="006803AB" w:rsidP="006803AB">
      <w:pPr>
        <w:pStyle w:val="Textonotapie"/>
        <w:ind w:firstLine="709"/>
        <w:jc w:val="both"/>
        <w:rPr>
          <w:rFonts w:ascii="Verdana" w:hAnsi="Verdana" w:cs="Arial"/>
          <w:sz w:val="16"/>
          <w:szCs w:val="16"/>
          <w:lang w:val="es-ES"/>
        </w:rPr>
      </w:pPr>
      <w:r w:rsidRPr="009D0D83">
        <w:rPr>
          <w:rStyle w:val="Refdenotaalpie"/>
          <w:rFonts w:ascii="Verdana" w:hAnsi="Verdana" w:cs="Arial"/>
          <w:sz w:val="16"/>
          <w:szCs w:val="16"/>
        </w:rPr>
        <w:footnoteRef/>
      </w:r>
      <w:r w:rsidRPr="009D0D83">
        <w:rPr>
          <w:rFonts w:ascii="Verdana" w:hAnsi="Verdana" w:cs="Arial"/>
          <w:sz w:val="16"/>
          <w:szCs w:val="16"/>
        </w:rPr>
        <w:t xml:space="preserve"> </w:t>
      </w:r>
      <w:r w:rsidRPr="009D0D83">
        <w:rPr>
          <w:rFonts w:ascii="Verdana" w:hAnsi="Verdana" w:cs="Arial"/>
          <w:i/>
          <w:sz w:val="16"/>
          <w:szCs w:val="16"/>
          <w:lang w:val="es-ES"/>
        </w:rPr>
        <w:t>Ídem</w:t>
      </w:r>
      <w:r w:rsidRPr="009D0D83">
        <w:rPr>
          <w:rFonts w:ascii="Verdana" w:hAnsi="Verdana" w:cs="Arial"/>
          <w:sz w:val="16"/>
          <w:szCs w:val="16"/>
          <w:lang w:val="es-ES"/>
        </w:rPr>
        <w:t>.</w:t>
      </w:r>
    </w:p>
  </w:footnote>
  <w:footnote w:id="17">
    <w:p w14:paraId="6635FE94" w14:textId="77777777" w:rsidR="006803AB" w:rsidRPr="009D0D83" w:rsidRDefault="006803AB" w:rsidP="006803AB">
      <w:pPr>
        <w:pStyle w:val="Textonotapie"/>
        <w:ind w:firstLine="709"/>
        <w:jc w:val="both"/>
        <w:rPr>
          <w:rFonts w:ascii="Verdana" w:hAnsi="Verdana" w:cs="Arial"/>
          <w:sz w:val="16"/>
          <w:szCs w:val="16"/>
          <w:lang w:val="es-ES"/>
        </w:rPr>
      </w:pPr>
      <w:r w:rsidRPr="009D0D83">
        <w:rPr>
          <w:rStyle w:val="Refdenotaalpie"/>
          <w:rFonts w:ascii="Verdana" w:hAnsi="Verdana" w:cs="Arial"/>
          <w:sz w:val="16"/>
          <w:szCs w:val="16"/>
        </w:rPr>
        <w:footnoteRef/>
      </w:r>
      <w:r w:rsidRPr="009D0D83">
        <w:rPr>
          <w:rStyle w:val="Refdenotaalpie"/>
          <w:rFonts w:ascii="Verdana" w:hAnsi="Verdana" w:cs="Arial"/>
          <w:sz w:val="16"/>
          <w:szCs w:val="16"/>
        </w:rPr>
        <w:t xml:space="preserve"> </w:t>
      </w:r>
      <w:r w:rsidRPr="009D0D83">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4074741E" w14:textId="77777777" w:rsidR="006803AB" w:rsidRPr="009D0D83" w:rsidRDefault="006803AB" w:rsidP="006803AB">
      <w:pPr>
        <w:shd w:val="clear" w:color="auto" w:fill="FFFFFF"/>
        <w:spacing w:after="0" w:line="240" w:lineRule="auto"/>
        <w:ind w:firstLine="709"/>
        <w:jc w:val="both"/>
        <w:rPr>
          <w:rFonts w:ascii="Verdana" w:hAnsi="Verdana" w:cs="Arial"/>
          <w:sz w:val="16"/>
          <w:szCs w:val="16"/>
          <w:lang w:val="es-ES"/>
        </w:rPr>
      </w:pPr>
      <w:r w:rsidRPr="009D0D83">
        <w:rPr>
          <w:rStyle w:val="Refdenotaalpie"/>
          <w:rFonts w:ascii="Verdana" w:hAnsi="Verdana" w:cs="Arial"/>
          <w:sz w:val="16"/>
          <w:szCs w:val="16"/>
        </w:rPr>
        <w:footnoteRef/>
      </w:r>
      <w:r w:rsidRPr="009D0D83">
        <w:rPr>
          <w:rStyle w:val="Refdenotaalpie"/>
          <w:rFonts w:ascii="Verdana" w:hAnsi="Verdana" w:cs="Arial"/>
          <w:sz w:val="16"/>
          <w:szCs w:val="16"/>
        </w:rPr>
        <w:t xml:space="preserve"> </w:t>
      </w:r>
      <w:r w:rsidRPr="009D0D83">
        <w:rPr>
          <w:rFonts w:ascii="Verdana" w:hAnsi="Verdana" w:cs="Arial"/>
          <w:sz w:val="16"/>
          <w:szCs w:val="16"/>
          <w:lang w:val="es-ES"/>
        </w:rPr>
        <w:t>Consejo de Estado, Sala de Consulta y Servicio Civil, Concepto de 8 de mayo de 2018. C.P. Álvaro Namén Vargas. Rad. 2382.</w:t>
      </w:r>
    </w:p>
  </w:footnote>
  <w:footnote w:id="19">
    <w:p w14:paraId="4E978282" w14:textId="77777777" w:rsidR="006803AB" w:rsidRPr="009D0D83" w:rsidRDefault="006803AB" w:rsidP="006803AB">
      <w:pPr>
        <w:pStyle w:val="Textonotapie"/>
        <w:ind w:firstLine="709"/>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w:t>
      </w:r>
      <w:proofErr w:type="spellStart"/>
      <w:r w:rsidRPr="009D0D83">
        <w:rPr>
          <w:rFonts w:ascii="Verdana" w:hAnsi="Verdana" w:cs="Arial"/>
          <w:sz w:val="16"/>
          <w:szCs w:val="16"/>
        </w:rPr>
        <w:t>Ibídem</w:t>
      </w:r>
      <w:proofErr w:type="spellEnd"/>
      <w:r w:rsidRPr="009D0D83">
        <w:rPr>
          <w:rFonts w:ascii="Verdana" w:hAnsi="Verdana" w:cs="Arial"/>
          <w:sz w:val="16"/>
          <w:szCs w:val="16"/>
        </w:rPr>
        <w:t xml:space="preserve">. </w:t>
      </w:r>
    </w:p>
  </w:footnote>
  <w:footnote w:id="20">
    <w:p w14:paraId="25768660" w14:textId="77777777" w:rsidR="006803AB" w:rsidRPr="009D0D83" w:rsidRDefault="006803AB" w:rsidP="006803AB">
      <w:pPr>
        <w:pStyle w:val="Textonotapie"/>
        <w:ind w:firstLine="709"/>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9D0D83">
        <w:rPr>
          <w:rFonts w:ascii="Verdana" w:hAnsi="Verdana" w:cs="Arial"/>
          <w:sz w:val="16"/>
          <w:szCs w:val="16"/>
        </w:rPr>
        <w:t>N°</w:t>
      </w:r>
      <w:proofErr w:type="spellEnd"/>
      <w:r w:rsidRPr="009D0D83">
        <w:rPr>
          <w:rFonts w:ascii="Verdana" w:hAnsi="Verdana" w:cs="Arial"/>
          <w:sz w:val="16"/>
          <w:szCs w:val="16"/>
        </w:rPr>
        <w:t xml:space="preserve"> 216/05 Senado, </w:t>
      </w:r>
      <w:proofErr w:type="spellStart"/>
      <w:r w:rsidRPr="009D0D83">
        <w:rPr>
          <w:rFonts w:ascii="Verdana" w:hAnsi="Verdana" w:cs="Arial"/>
          <w:sz w:val="16"/>
          <w:szCs w:val="16"/>
        </w:rPr>
        <w:t>N°</w:t>
      </w:r>
      <w:proofErr w:type="spellEnd"/>
      <w:r w:rsidRPr="009D0D83">
        <w:rPr>
          <w:rFonts w:ascii="Verdana" w:hAnsi="Verdana" w:cs="Arial"/>
          <w:sz w:val="16"/>
          <w:szCs w:val="16"/>
        </w:rPr>
        <w:t xml:space="preserve"> 235-Cámara que dio lugar a la Ley de Garantías Electorales.</w:t>
      </w:r>
    </w:p>
  </w:footnote>
  <w:footnote w:id="21">
    <w:p w14:paraId="4F0DDFD9" w14:textId="77777777" w:rsidR="006803AB" w:rsidRPr="009D0D83" w:rsidRDefault="006803AB" w:rsidP="006803AB">
      <w:pPr>
        <w:spacing w:after="0" w:line="240" w:lineRule="auto"/>
        <w:ind w:firstLine="709"/>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625172E7" w14:textId="77777777" w:rsidR="006803AB" w:rsidRPr="009D0D83" w:rsidRDefault="006803AB" w:rsidP="006803AB">
      <w:pPr>
        <w:pStyle w:val="Textonotapie"/>
        <w:ind w:right="51" w:firstLine="709"/>
        <w:jc w:val="both"/>
        <w:rPr>
          <w:rFonts w:ascii="Verdana" w:eastAsia="Times New Roman" w:hAnsi="Verdana" w:cs="Arial"/>
          <w:bCs/>
          <w:sz w:val="16"/>
          <w:szCs w:val="16"/>
          <w:lang w:eastAsia="x-none"/>
        </w:rPr>
      </w:pPr>
      <w:r w:rsidRPr="009D0D83">
        <w:rPr>
          <w:rStyle w:val="Refdenotaalpie"/>
          <w:rFonts w:ascii="Verdana" w:hAnsi="Verdana" w:cs="Arial"/>
          <w:sz w:val="16"/>
          <w:szCs w:val="16"/>
        </w:rPr>
        <w:footnoteRef/>
      </w:r>
      <w:r w:rsidRPr="009D0D83">
        <w:rPr>
          <w:rFonts w:ascii="Verdana" w:hAnsi="Verdana" w:cs="Arial"/>
          <w:sz w:val="16"/>
          <w:szCs w:val="16"/>
        </w:rPr>
        <w:t xml:space="preserve"> Consejo de Estado, Sala de Consulta y Servicio Civil. Concepto de 6 de abril de 2006.C.P. Enrique José Arboleda Perdomo. </w:t>
      </w:r>
      <w:r w:rsidRPr="009D0D83">
        <w:rPr>
          <w:rFonts w:ascii="Verdana" w:hAnsi="Verdana" w:cs="Arial"/>
          <w:sz w:val="16"/>
          <w:szCs w:val="16"/>
          <w:lang w:val="es-CO"/>
        </w:rPr>
        <w:t>Rad. 1738</w:t>
      </w:r>
      <w:r w:rsidRPr="009D0D83">
        <w:rPr>
          <w:rFonts w:ascii="Verdana" w:eastAsia="Times New Roman" w:hAnsi="Verdana" w:cs="Arial"/>
          <w:bCs/>
          <w:sz w:val="16"/>
          <w:szCs w:val="16"/>
          <w:lang w:eastAsia="x-none"/>
        </w:rPr>
        <w:t xml:space="preserve"> “</w:t>
      </w:r>
      <w:r w:rsidRPr="009D0D83">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9D0D83">
        <w:rPr>
          <w:rFonts w:ascii="Verdana" w:eastAsia="Times New Roman" w:hAnsi="Verdana" w:cs="Arial"/>
          <w:bCs/>
          <w:sz w:val="16"/>
          <w:szCs w:val="16"/>
          <w:lang w:eastAsia="x-none"/>
        </w:rPr>
        <w:t>”.</w:t>
      </w:r>
    </w:p>
  </w:footnote>
  <w:footnote w:id="23">
    <w:p w14:paraId="69B1F769" w14:textId="77777777" w:rsidR="006803AB" w:rsidRPr="009D0D83" w:rsidRDefault="006803AB" w:rsidP="006803AB">
      <w:pPr>
        <w:spacing w:after="0" w:line="240" w:lineRule="auto"/>
        <w:ind w:firstLine="708"/>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Consejo de Estado. Sala de Consulta y Servicio Civil. Concepto de 6 de abril de 2006. C.P. Enrique José Arboleda Perdomo. Rad. 1738. </w:t>
      </w:r>
    </w:p>
  </w:footnote>
  <w:footnote w:id="24">
    <w:p w14:paraId="6B6D5BC5" w14:textId="77777777" w:rsidR="006803AB" w:rsidRPr="009D0D83" w:rsidRDefault="006803AB" w:rsidP="006803AB">
      <w:pPr>
        <w:pStyle w:val="Textonotapie"/>
        <w:ind w:right="51" w:firstLine="709"/>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Consejo de Estado. Sala de Consulta y Servicio Civil, ídem.</w:t>
      </w:r>
    </w:p>
  </w:footnote>
  <w:footnote w:id="25">
    <w:p w14:paraId="5D669298" w14:textId="77777777" w:rsidR="006803AB" w:rsidRPr="009D0D83" w:rsidRDefault="006803AB" w:rsidP="006803AB">
      <w:pPr>
        <w:pStyle w:val="Textonotapie"/>
        <w:ind w:firstLine="708"/>
        <w:jc w:val="both"/>
        <w:rPr>
          <w:rFonts w:ascii="Arial" w:hAnsi="Arial"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Colombia Compra Eficiente. Circular Externa Única. Numeral 15.5.</w:t>
      </w:r>
    </w:p>
  </w:footnote>
  <w:footnote w:id="26">
    <w:p w14:paraId="4312BF24" w14:textId="77777777" w:rsidR="006803AB" w:rsidRPr="009D0D83" w:rsidRDefault="006803AB" w:rsidP="006803AB">
      <w:pPr>
        <w:pStyle w:val="Textonotapie"/>
        <w:ind w:firstLine="709"/>
        <w:contextualSpacing/>
        <w:jc w:val="both"/>
        <w:rPr>
          <w:rFonts w:ascii="Verdana" w:hAnsi="Verdana" w:cs="Arial"/>
          <w:sz w:val="16"/>
          <w:szCs w:val="16"/>
        </w:rPr>
      </w:pPr>
      <w:r w:rsidRPr="009D0D83">
        <w:rPr>
          <w:rStyle w:val="Refdenotaalpie"/>
          <w:rFonts w:ascii="Verdana" w:hAnsi="Verdana"/>
          <w:sz w:val="16"/>
          <w:szCs w:val="16"/>
        </w:rPr>
        <w:footnoteRef/>
      </w:r>
      <w:r w:rsidRPr="009D0D83">
        <w:rPr>
          <w:rFonts w:ascii="Verdana" w:hAnsi="Verdana"/>
          <w:sz w:val="16"/>
          <w:szCs w:val="16"/>
        </w:rPr>
        <w:t xml:space="preserve"> </w:t>
      </w:r>
      <w:r w:rsidRPr="009D0D83">
        <w:rPr>
          <w:rFonts w:ascii="Verdana" w:hAnsi="Verdana" w:cs="Arial"/>
          <w:sz w:val="16"/>
          <w:szCs w:val="16"/>
        </w:rPr>
        <w:t xml:space="preserve">Consejo de Estado -Sección Tercera-. Sentencia del 21 de febrero de 2025. CP: José Roberto Sáchica Méndez. </w:t>
      </w:r>
      <w:proofErr w:type="spellStart"/>
      <w:r w:rsidRPr="009D0D83">
        <w:rPr>
          <w:rFonts w:ascii="Verdana" w:hAnsi="Verdana" w:cs="Arial"/>
          <w:sz w:val="16"/>
          <w:szCs w:val="16"/>
        </w:rPr>
        <w:t>Exp</w:t>
      </w:r>
      <w:proofErr w:type="spellEnd"/>
      <w:r w:rsidRPr="009D0D83">
        <w:rPr>
          <w:rFonts w:ascii="Verdana" w:hAnsi="Verdana" w:cs="Arial"/>
          <w:sz w:val="16"/>
          <w:szCs w:val="16"/>
        </w:rPr>
        <w:t xml:space="preserve">. 68.280. </w:t>
      </w:r>
    </w:p>
  </w:footnote>
  <w:footnote w:id="27">
    <w:p w14:paraId="413B8D76" w14:textId="77777777" w:rsidR="006803AB" w:rsidRPr="009D0D83" w:rsidRDefault="006803AB" w:rsidP="006803AB">
      <w:pPr>
        <w:pStyle w:val="Textonotapie"/>
        <w:ind w:firstLine="709"/>
        <w:contextualSpacing/>
        <w:jc w:val="both"/>
        <w:rPr>
          <w:rFonts w:ascii="Verdana" w:hAnsi="Verdana" w:cs="Arial"/>
          <w:sz w:val="16"/>
          <w:szCs w:val="16"/>
        </w:rPr>
      </w:pPr>
      <w:r w:rsidRPr="009D0D83">
        <w:rPr>
          <w:rFonts w:ascii="Verdana" w:hAnsi="Verdana"/>
          <w:sz w:val="16"/>
          <w:szCs w:val="16"/>
          <w:vertAlign w:val="superscript"/>
        </w:rPr>
        <w:footnoteRef/>
      </w:r>
      <w:r w:rsidRPr="009D0D83">
        <w:rPr>
          <w:rFonts w:ascii="Verdana" w:hAnsi="Verdana"/>
          <w:sz w:val="16"/>
          <w:szCs w:val="16"/>
          <w:vertAlign w:val="superscript"/>
        </w:rPr>
        <w:t xml:space="preserve"> </w:t>
      </w:r>
      <w:r w:rsidRPr="009D0D83">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8">
    <w:p w14:paraId="24AEC95A" w14:textId="77777777" w:rsidR="006803AB" w:rsidRPr="009D0D83" w:rsidRDefault="006803AB" w:rsidP="006803AB">
      <w:pPr>
        <w:pStyle w:val="Textonotapie"/>
        <w:ind w:firstLine="709"/>
        <w:contextualSpacing/>
        <w:jc w:val="both"/>
        <w:rPr>
          <w:rFonts w:ascii="Verdana" w:hAnsi="Verdana" w:cs="Arial"/>
          <w:sz w:val="16"/>
          <w:szCs w:val="16"/>
        </w:rPr>
      </w:pPr>
      <w:r w:rsidRPr="009D0D83">
        <w:rPr>
          <w:rFonts w:ascii="Verdana" w:hAnsi="Verdana"/>
          <w:sz w:val="16"/>
          <w:szCs w:val="16"/>
          <w:vertAlign w:val="superscript"/>
        </w:rPr>
        <w:footnoteRef/>
      </w:r>
      <w:r w:rsidRPr="009D0D83">
        <w:rPr>
          <w:rFonts w:ascii="Verdana" w:hAnsi="Verdana" w:cs="Arial"/>
          <w:sz w:val="16"/>
          <w:szCs w:val="16"/>
          <w:vertAlign w:val="superscript"/>
        </w:rPr>
        <w:t xml:space="preserve"> </w:t>
      </w:r>
      <w:r w:rsidRPr="009D0D83">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606F413C" w14:textId="77777777" w:rsidR="006803AB" w:rsidRPr="009D0D83" w:rsidRDefault="006803AB" w:rsidP="006803AB">
      <w:pPr>
        <w:pStyle w:val="Textonotapie"/>
        <w:ind w:firstLine="709"/>
        <w:contextualSpacing/>
        <w:jc w:val="both"/>
        <w:rPr>
          <w:rFonts w:ascii="Verdana" w:hAnsi="Verdana" w:cs="Arial"/>
          <w:sz w:val="16"/>
          <w:szCs w:val="16"/>
        </w:rPr>
      </w:pPr>
      <w:r w:rsidRPr="009D0D83">
        <w:rPr>
          <w:rFonts w:ascii="Verdana" w:hAnsi="Verdana" w:cs="Arial"/>
          <w:sz w:val="16"/>
          <w:szCs w:val="16"/>
        </w:rPr>
        <w:t>[…]”.</w:t>
      </w:r>
    </w:p>
  </w:footnote>
  <w:footnote w:id="29">
    <w:p w14:paraId="272675D6" w14:textId="77777777" w:rsidR="006803AB" w:rsidRPr="009D0D83" w:rsidRDefault="006803AB" w:rsidP="006803AB">
      <w:pPr>
        <w:pStyle w:val="Textonotapie"/>
        <w:ind w:firstLine="709"/>
        <w:contextualSpacing/>
        <w:jc w:val="both"/>
        <w:rPr>
          <w:rFonts w:ascii="Verdana" w:hAnsi="Verdana" w:cs="Arial"/>
          <w:sz w:val="16"/>
          <w:szCs w:val="16"/>
        </w:rPr>
      </w:pPr>
      <w:r w:rsidRPr="009D0D83">
        <w:rPr>
          <w:rFonts w:ascii="Verdana" w:hAnsi="Verdana"/>
          <w:sz w:val="16"/>
          <w:szCs w:val="16"/>
          <w:vertAlign w:val="superscript"/>
        </w:rPr>
        <w:footnoteRef/>
      </w:r>
      <w:r w:rsidRPr="009D0D83">
        <w:rPr>
          <w:rFonts w:ascii="Verdana" w:hAnsi="Verdana" w:cs="Arial"/>
          <w:sz w:val="16"/>
          <w:szCs w:val="16"/>
          <w:vertAlign w:val="superscript"/>
        </w:rPr>
        <w:t xml:space="preserve"> </w:t>
      </w:r>
      <w:r w:rsidRPr="009D0D83">
        <w:rPr>
          <w:rFonts w:ascii="Verdana" w:hAnsi="Verdana" w:cs="Arial"/>
          <w:sz w:val="16"/>
          <w:szCs w:val="16"/>
        </w:rPr>
        <w:t>Código Civil: “Artículo 27. Cuando el sentido de la ley sea claro, no se desatenderá su tenor a pretexto de consultar su espíritu”.</w:t>
      </w:r>
    </w:p>
  </w:footnote>
  <w:footnote w:id="30">
    <w:p w14:paraId="098360D2" w14:textId="77777777" w:rsidR="006803AB" w:rsidRPr="009D0D83" w:rsidRDefault="006803AB" w:rsidP="006803AB">
      <w:pPr>
        <w:pStyle w:val="Textonotapie"/>
        <w:ind w:firstLine="708"/>
        <w:jc w:val="both"/>
        <w:rPr>
          <w:rFonts w:ascii="Verdana" w:hAnsi="Verdana"/>
          <w:sz w:val="16"/>
          <w:szCs w:val="16"/>
          <w:lang w:val="es-ES"/>
        </w:rPr>
      </w:pPr>
      <w:r w:rsidRPr="009D0D83">
        <w:rPr>
          <w:rStyle w:val="Refdenotaalpie"/>
          <w:rFonts w:ascii="Verdana" w:hAnsi="Verdana"/>
          <w:sz w:val="16"/>
          <w:szCs w:val="16"/>
        </w:rPr>
        <w:footnoteRef/>
      </w:r>
      <w:r w:rsidRPr="009D0D83">
        <w:rPr>
          <w:rFonts w:ascii="Verdana" w:hAnsi="Verdana"/>
          <w:sz w:val="16"/>
          <w:szCs w:val="16"/>
        </w:rPr>
        <w:t xml:space="preserve"> </w:t>
      </w:r>
      <w:r w:rsidRPr="009D0D83">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proofErr w:type="spellStart"/>
      <w:r w:rsidRPr="009D0D83">
        <w:rPr>
          <w:rFonts w:ascii="Verdana" w:hAnsi="Verdana"/>
          <w:i/>
          <w:iCs/>
          <w:sz w:val="16"/>
          <w:szCs w:val="16"/>
          <w:lang w:val="es-ES"/>
        </w:rPr>
        <w:t>Ubi</w:t>
      </w:r>
      <w:proofErr w:type="spellEnd"/>
      <w:r w:rsidRPr="009D0D83">
        <w:rPr>
          <w:rFonts w:ascii="Verdana" w:hAnsi="Verdana"/>
          <w:i/>
          <w:iCs/>
          <w:sz w:val="16"/>
          <w:szCs w:val="16"/>
          <w:lang w:val="es-ES"/>
        </w:rPr>
        <w:t xml:space="preserve"> lex non </w:t>
      </w:r>
      <w:proofErr w:type="spellStart"/>
      <w:r w:rsidRPr="009D0D83">
        <w:rPr>
          <w:rFonts w:ascii="Verdana" w:hAnsi="Verdana"/>
          <w:i/>
          <w:iCs/>
          <w:sz w:val="16"/>
          <w:szCs w:val="16"/>
          <w:lang w:val="es-ES"/>
        </w:rPr>
        <w:t>distinguit</w:t>
      </w:r>
      <w:proofErr w:type="spellEnd"/>
      <w:r w:rsidRPr="009D0D83">
        <w:rPr>
          <w:rFonts w:ascii="Verdana" w:hAnsi="Verdana"/>
          <w:i/>
          <w:iCs/>
          <w:sz w:val="16"/>
          <w:szCs w:val="16"/>
          <w:lang w:val="es-ES"/>
        </w:rPr>
        <w:t xml:space="preserve"> </w:t>
      </w:r>
      <w:proofErr w:type="spellStart"/>
      <w:r w:rsidRPr="009D0D83">
        <w:rPr>
          <w:rFonts w:ascii="Verdana" w:hAnsi="Verdana"/>
          <w:i/>
          <w:iCs/>
          <w:sz w:val="16"/>
          <w:szCs w:val="16"/>
          <w:lang w:val="es-ES"/>
        </w:rPr>
        <w:t>nec</w:t>
      </w:r>
      <w:proofErr w:type="spellEnd"/>
      <w:r w:rsidRPr="009D0D83">
        <w:rPr>
          <w:rFonts w:ascii="Verdana" w:hAnsi="Verdana"/>
          <w:i/>
          <w:iCs/>
          <w:sz w:val="16"/>
          <w:szCs w:val="16"/>
          <w:lang w:val="es-ES"/>
        </w:rPr>
        <w:t xml:space="preserve"> nos </w:t>
      </w:r>
      <w:proofErr w:type="spellStart"/>
      <w:r w:rsidRPr="009D0D83">
        <w:rPr>
          <w:rFonts w:ascii="Verdana" w:hAnsi="Verdana"/>
          <w:i/>
          <w:iCs/>
          <w:sz w:val="16"/>
          <w:szCs w:val="16"/>
          <w:lang w:val="es-ES"/>
        </w:rPr>
        <w:t>distinguere</w:t>
      </w:r>
      <w:proofErr w:type="spellEnd"/>
      <w:r w:rsidRPr="009D0D83">
        <w:rPr>
          <w:rFonts w:ascii="Verdana" w:hAnsi="Verdana"/>
          <w:i/>
          <w:iCs/>
          <w:sz w:val="16"/>
          <w:szCs w:val="16"/>
          <w:lang w:val="es-ES"/>
        </w:rPr>
        <w:t xml:space="preserve"> </w:t>
      </w:r>
      <w:proofErr w:type="spellStart"/>
      <w:r w:rsidRPr="009D0D83">
        <w:rPr>
          <w:rFonts w:ascii="Verdana" w:hAnsi="Verdana"/>
          <w:i/>
          <w:iCs/>
          <w:sz w:val="16"/>
          <w:szCs w:val="16"/>
          <w:lang w:val="es-ES"/>
        </w:rPr>
        <w:t>debemus</w:t>
      </w:r>
      <w:proofErr w:type="spellEnd"/>
      <w:r w:rsidRPr="009D0D83">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1026161C" w14:textId="77777777" w:rsidR="006803AB" w:rsidRPr="009D0D83" w:rsidRDefault="006803AB" w:rsidP="006803AB">
      <w:pPr>
        <w:pStyle w:val="Textonotapie"/>
        <w:ind w:firstLine="708"/>
        <w:jc w:val="both"/>
        <w:rPr>
          <w:rFonts w:ascii="Verdana" w:hAnsi="Verdana"/>
          <w:sz w:val="16"/>
          <w:szCs w:val="16"/>
          <w:lang w:val="es-CO"/>
        </w:rPr>
      </w:pPr>
      <w:r w:rsidRPr="009D0D83">
        <w:rPr>
          <w:rFonts w:ascii="Verdana" w:hAnsi="Verdana"/>
          <w:sz w:val="16"/>
          <w:szCs w:val="16"/>
          <w:lang w:val="es-ES"/>
        </w:rPr>
        <w:t xml:space="preserve">En el derecho antiguo y en el derecho canónico se distinguían las leyes en favorables y odiosas, para ampliar o restringir su interpretación. </w:t>
      </w:r>
      <w:r w:rsidRPr="009D0D83">
        <w:rPr>
          <w:rFonts w:ascii="Verdana" w:hAnsi="Verdana"/>
          <w:i/>
          <w:iCs/>
          <w:sz w:val="16"/>
          <w:szCs w:val="16"/>
          <w:lang w:val="es-ES"/>
        </w:rPr>
        <w:t xml:space="preserve">Odia restringí et favores </w:t>
      </w:r>
      <w:proofErr w:type="spellStart"/>
      <w:r w:rsidRPr="009D0D83">
        <w:rPr>
          <w:rFonts w:ascii="Verdana" w:hAnsi="Verdana"/>
          <w:i/>
          <w:iCs/>
          <w:sz w:val="16"/>
          <w:szCs w:val="16"/>
          <w:lang w:val="es-ES"/>
        </w:rPr>
        <w:t>convenit</w:t>
      </w:r>
      <w:proofErr w:type="spellEnd"/>
      <w:r w:rsidRPr="009D0D83">
        <w:rPr>
          <w:rFonts w:ascii="Verdana" w:hAnsi="Verdana"/>
          <w:i/>
          <w:iCs/>
          <w:sz w:val="16"/>
          <w:szCs w:val="16"/>
          <w:lang w:val="es-ES"/>
        </w:rPr>
        <w:t xml:space="preserve"> </w:t>
      </w:r>
      <w:proofErr w:type="spellStart"/>
      <w:r w:rsidRPr="009D0D83">
        <w:rPr>
          <w:rFonts w:ascii="Verdana" w:hAnsi="Verdana"/>
          <w:i/>
          <w:iCs/>
          <w:sz w:val="16"/>
          <w:szCs w:val="16"/>
          <w:lang w:val="es-ES"/>
        </w:rPr>
        <w:t>ampliari</w:t>
      </w:r>
      <w:proofErr w:type="spellEnd"/>
      <w:r w:rsidRPr="009D0D83">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9D0D83">
        <w:rPr>
          <w:rFonts w:ascii="Verdana" w:hAnsi="Verdana"/>
          <w:sz w:val="16"/>
          <w:szCs w:val="16"/>
        </w:rPr>
        <w:t>CLARO SOLAR, Luis. Explicaciones de derecho civil chileno y comparado. Volumen I. Tomo I. Santiago: Editorial Jurídica de Chile, 2013. p. 119. Énfasis dentro del texto).</w:t>
      </w:r>
    </w:p>
  </w:footnote>
  <w:footnote w:id="31">
    <w:p w14:paraId="202ADE08" w14:textId="77777777" w:rsidR="006803AB" w:rsidRPr="009D0D83" w:rsidRDefault="006803AB" w:rsidP="006803AB">
      <w:pPr>
        <w:pStyle w:val="Textonotapie"/>
        <w:ind w:firstLine="709"/>
        <w:contextualSpacing/>
        <w:jc w:val="both"/>
        <w:rPr>
          <w:rFonts w:ascii="Verdana" w:hAnsi="Verdana"/>
          <w:sz w:val="16"/>
          <w:szCs w:val="16"/>
          <w:lang w:val="es-CO"/>
        </w:rPr>
      </w:pPr>
      <w:r w:rsidRPr="009D0D83">
        <w:rPr>
          <w:rStyle w:val="Refdenotaalpie"/>
          <w:rFonts w:ascii="Verdana" w:hAnsi="Verdana"/>
          <w:sz w:val="16"/>
          <w:szCs w:val="16"/>
        </w:rPr>
        <w:footnoteRef/>
      </w:r>
      <w:r w:rsidRPr="009D0D83">
        <w:rPr>
          <w:rFonts w:ascii="Verdana" w:hAnsi="Verdana"/>
          <w:sz w:val="16"/>
          <w:szCs w:val="16"/>
          <w:lang w:val="es-CO"/>
        </w:rPr>
        <w:t xml:space="preserve"> Consejo de Estado, Sección Tercera, Subsección B. Auto del 4 de octubre de 2024. C.P: Fredy Ibarra Martínez. </w:t>
      </w:r>
      <w:proofErr w:type="spellStart"/>
      <w:r w:rsidRPr="009D0D83">
        <w:rPr>
          <w:rFonts w:ascii="Verdana" w:hAnsi="Verdana"/>
          <w:sz w:val="16"/>
          <w:szCs w:val="16"/>
          <w:lang w:val="es-CO"/>
        </w:rPr>
        <w:t>Exp</w:t>
      </w:r>
      <w:proofErr w:type="spellEnd"/>
      <w:r w:rsidRPr="009D0D83">
        <w:rPr>
          <w:rFonts w:ascii="Verdana" w:hAnsi="Verdana"/>
          <w:sz w:val="16"/>
          <w:szCs w:val="16"/>
          <w:lang w:val="es-CO"/>
        </w:rPr>
        <w:t>. 70.313.</w:t>
      </w:r>
    </w:p>
  </w:footnote>
  <w:footnote w:id="32">
    <w:p w14:paraId="279492AE" w14:textId="77777777" w:rsidR="006803AB" w:rsidRPr="009D0D83" w:rsidRDefault="006803AB" w:rsidP="006803AB">
      <w:pPr>
        <w:pStyle w:val="Textonotapie"/>
        <w:ind w:firstLine="709"/>
        <w:contextualSpacing/>
        <w:jc w:val="both"/>
        <w:rPr>
          <w:rFonts w:ascii="Verdana" w:hAnsi="Verdana"/>
          <w:sz w:val="16"/>
          <w:szCs w:val="16"/>
          <w:lang w:val="es-CO"/>
        </w:rPr>
      </w:pPr>
      <w:r w:rsidRPr="009D0D83">
        <w:rPr>
          <w:rStyle w:val="Refdenotaalpie"/>
          <w:rFonts w:ascii="Verdana" w:hAnsi="Verdana"/>
          <w:sz w:val="16"/>
          <w:szCs w:val="16"/>
        </w:rPr>
        <w:footnoteRef/>
      </w:r>
      <w:r w:rsidRPr="009D0D83">
        <w:rPr>
          <w:rFonts w:ascii="Verdana" w:hAnsi="Verdana"/>
          <w:sz w:val="16"/>
          <w:szCs w:val="16"/>
        </w:rPr>
        <w:t xml:space="preserve"> La parte resolutiva del auto dispone lo siguiente; “</w:t>
      </w:r>
      <w:r w:rsidRPr="009D0D83">
        <w:rPr>
          <w:rFonts w:ascii="Verdana" w:hAnsi="Verdana"/>
          <w:b/>
          <w:sz w:val="16"/>
          <w:szCs w:val="16"/>
          <w:lang w:val="es-CO"/>
        </w:rPr>
        <w:t xml:space="preserve">PRIMERO: DECRETAR </w:t>
      </w:r>
      <w:r w:rsidRPr="009D0D83">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9D0D83">
        <w:rPr>
          <w:rFonts w:ascii="Verdana" w:hAnsi="Verdana"/>
          <w:i/>
          <w:sz w:val="16"/>
          <w:szCs w:val="16"/>
          <w:lang w:val="es-CO"/>
        </w:rPr>
        <w:t>“[e]</w:t>
      </w:r>
      <w:proofErr w:type="spellStart"/>
      <w:r w:rsidRPr="009D0D83">
        <w:rPr>
          <w:rFonts w:ascii="Verdana" w:hAnsi="Verdana"/>
          <w:i/>
          <w:sz w:val="16"/>
          <w:szCs w:val="16"/>
          <w:lang w:val="es-CO"/>
        </w:rPr>
        <w:t>sta</w:t>
      </w:r>
      <w:proofErr w:type="spellEnd"/>
      <w:r w:rsidRPr="009D0D83">
        <w:rPr>
          <w:rFonts w:ascii="Verdana" w:hAnsi="Verdana"/>
          <w:i/>
          <w:sz w:val="16"/>
          <w:szCs w:val="16"/>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9D0D83">
        <w:rPr>
          <w:rFonts w:ascii="Verdana" w:hAnsi="Verdana"/>
          <w:sz w:val="16"/>
          <w:szCs w:val="16"/>
          <w:lang w:val="es-CO"/>
        </w:rPr>
        <w:t xml:space="preserve">, por las razones expuestas en precedencia. </w:t>
      </w:r>
    </w:p>
    <w:p w14:paraId="09CBD26A" w14:textId="77777777" w:rsidR="006803AB" w:rsidRPr="009D0D83" w:rsidRDefault="006803AB" w:rsidP="006803AB">
      <w:pPr>
        <w:pStyle w:val="Textonotapie"/>
        <w:ind w:firstLine="709"/>
        <w:contextualSpacing/>
        <w:jc w:val="both"/>
        <w:rPr>
          <w:rFonts w:ascii="Verdana" w:hAnsi="Verdana"/>
          <w:sz w:val="16"/>
          <w:szCs w:val="16"/>
          <w:lang w:val="es-CO"/>
        </w:rPr>
      </w:pPr>
      <w:r w:rsidRPr="009D0D83">
        <w:rPr>
          <w:rFonts w:ascii="Verdana" w:hAnsi="Verdana"/>
          <w:b/>
          <w:sz w:val="16"/>
          <w:szCs w:val="16"/>
          <w:lang w:val="es-CO"/>
        </w:rPr>
        <w:t xml:space="preserve">SEGUNDO: DECRETAR </w:t>
      </w:r>
      <w:r w:rsidRPr="009D0D83">
        <w:rPr>
          <w:rFonts w:ascii="Verdana" w:hAnsi="Verdana"/>
          <w:sz w:val="16"/>
          <w:szCs w:val="16"/>
          <w:lang w:val="es-CO"/>
        </w:rPr>
        <w:t>la suspensión provisional de la expresión “</w:t>
      </w:r>
      <w:r w:rsidRPr="009D0D83">
        <w:rPr>
          <w:rFonts w:ascii="Verdana" w:hAnsi="Verdana"/>
          <w:i/>
          <w:sz w:val="16"/>
          <w:szCs w:val="16"/>
          <w:lang w:val="es-CO"/>
        </w:rPr>
        <w:t>contratos</w:t>
      </w:r>
      <w:r w:rsidRPr="009D0D83">
        <w:rPr>
          <w:rFonts w:ascii="Verdana" w:hAnsi="Verdana"/>
          <w:sz w:val="16"/>
          <w:szCs w:val="16"/>
          <w:lang w:val="es-CO"/>
        </w:rPr>
        <w:t xml:space="preserve">” y del párrafo </w:t>
      </w:r>
      <w:r w:rsidRPr="009D0D83">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9D0D83">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9D0D83">
        <w:rPr>
          <w:rFonts w:ascii="Verdana" w:hAnsi="Verdana"/>
          <w:sz w:val="16"/>
          <w:szCs w:val="16"/>
          <w:lang w:val="es-CO"/>
        </w:rPr>
        <w:t>Exp</w:t>
      </w:r>
      <w:proofErr w:type="spellEnd"/>
      <w:r w:rsidRPr="009D0D83">
        <w:rPr>
          <w:rFonts w:ascii="Verdana" w:hAnsi="Verdana"/>
          <w:sz w:val="16"/>
          <w:szCs w:val="16"/>
          <w:lang w:val="es-CO"/>
        </w:rPr>
        <w:t xml:space="preserve">. 72.424. C.P: Fernando Alexei Pardo Flórez. </w:t>
      </w:r>
    </w:p>
  </w:footnote>
  <w:footnote w:id="33">
    <w:p w14:paraId="6B53DEA2" w14:textId="77777777" w:rsidR="006803AB" w:rsidRPr="009D0D83" w:rsidRDefault="006803AB" w:rsidP="006803AB">
      <w:pPr>
        <w:spacing w:after="0" w:line="240" w:lineRule="auto"/>
        <w:ind w:firstLine="709"/>
        <w:contextualSpacing/>
        <w:jc w:val="both"/>
        <w:rPr>
          <w:rFonts w:ascii="Verdana" w:eastAsia="Times New Roman" w:hAnsi="Verdana" w:cs="Times New Roman"/>
          <w:sz w:val="16"/>
          <w:szCs w:val="16"/>
          <w:lang w:eastAsia="es-ES"/>
        </w:rPr>
      </w:pPr>
      <w:r w:rsidRPr="009D0D83">
        <w:rPr>
          <w:rStyle w:val="Refdenotaalpie"/>
          <w:rFonts w:ascii="Verdana" w:hAnsi="Verdana"/>
          <w:sz w:val="16"/>
          <w:szCs w:val="16"/>
        </w:rPr>
        <w:footnoteRef/>
      </w:r>
      <w:r w:rsidRPr="009D0D83">
        <w:rPr>
          <w:rFonts w:ascii="Verdana" w:hAnsi="Verdana"/>
          <w:sz w:val="16"/>
          <w:szCs w:val="16"/>
        </w:rPr>
        <w:t xml:space="preserve"> </w:t>
      </w:r>
      <w:r w:rsidRPr="009D0D83">
        <w:rPr>
          <w:rFonts w:ascii="Verdana" w:eastAsia="Times New Roman" w:hAnsi="Verdana" w:cs="Times New Roman"/>
          <w:sz w:val="16"/>
          <w:szCs w:val="16"/>
          <w:lang w:eastAsia="es-ES"/>
        </w:rPr>
        <w:t xml:space="preserve">Consejo de Estado. Sección Tercera. Subsección B. 17 de octubre de 2025. C.P. Fredy Ibarra Martínez. </w:t>
      </w:r>
      <w:r w:rsidRPr="009D0D83">
        <w:rPr>
          <w:rFonts w:ascii="Verdana" w:hAnsi="Verdana"/>
          <w:sz w:val="16"/>
          <w:szCs w:val="16"/>
        </w:rPr>
        <w:t xml:space="preserve">La parte de la providencia señala: </w:t>
      </w:r>
      <w:r w:rsidRPr="009D0D83">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9D0D83">
        <w:rPr>
          <w:rFonts w:ascii="Verdana" w:eastAsia="Times New Roman" w:hAnsi="Verdana" w:cs="Times New Roman"/>
          <w:sz w:val="16"/>
          <w:szCs w:val="16"/>
          <w:lang w:eastAsia="es-ES"/>
        </w:rPr>
        <w:t>ii</w:t>
      </w:r>
      <w:proofErr w:type="spellEnd"/>
      <w:r w:rsidRPr="009D0D83">
        <w:rPr>
          <w:rFonts w:ascii="Verdana" w:eastAsia="Times New Roman" w:hAnsi="Verdana" w:cs="Times New Roman"/>
          <w:sz w:val="16"/>
          <w:szCs w:val="16"/>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4">
    <w:p w14:paraId="0B90DA8D" w14:textId="77777777" w:rsidR="006803AB" w:rsidRPr="009D0D83" w:rsidRDefault="006803AB" w:rsidP="006803AB">
      <w:pPr>
        <w:pStyle w:val="Textonotapie"/>
        <w:ind w:firstLine="709"/>
        <w:jc w:val="both"/>
        <w:rPr>
          <w:rFonts w:ascii="Verdana" w:hAnsi="Verdana"/>
          <w:sz w:val="16"/>
          <w:szCs w:val="16"/>
          <w:lang w:val="es-CO"/>
        </w:rPr>
      </w:pPr>
      <w:r w:rsidRPr="009D0D83">
        <w:rPr>
          <w:rStyle w:val="Refdenotaalpie"/>
          <w:rFonts w:ascii="Verdana" w:hAnsi="Verdana"/>
          <w:sz w:val="16"/>
          <w:szCs w:val="16"/>
        </w:rPr>
        <w:footnoteRef/>
      </w:r>
      <w:r w:rsidRPr="009D0D83">
        <w:rPr>
          <w:rFonts w:ascii="Verdana" w:hAnsi="Verdana"/>
          <w:sz w:val="16"/>
          <w:szCs w:val="16"/>
        </w:rPr>
        <w:t xml:space="preserve"> No </w:t>
      </w:r>
      <w:proofErr w:type="gramStart"/>
      <w:r w:rsidRPr="009D0D83">
        <w:rPr>
          <w:rFonts w:ascii="Verdana" w:hAnsi="Verdana"/>
          <w:sz w:val="16"/>
          <w:szCs w:val="16"/>
        </w:rPr>
        <w:t>obstante</w:t>
      </w:r>
      <w:proofErr w:type="gramEnd"/>
      <w:r w:rsidRPr="009D0D83">
        <w:rPr>
          <w:rFonts w:ascii="Verdana" w:hAnsi="Verdana"/>
          <w:sz w:val="16"/>
          <w:szCs w:val="16"/>
        </w:rPr>
        <w:t xml:space="preserv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35">
    <w:p w14:paraId="4F1D03B3" w14:textId="77777777" w:rsidR="006803AB" w:rsidRPr="009D0D83" w:rsidRDefault="006803AB" w:rsidP="006803AB">
      <w:pPr>
        <w:pStyle w:val="Textonotapie"/>
        <w:ind w:firstLine="709"/>
        <w:jc w:val="both"/>
        <w:rPr>
          <w:rFonts w:ascii="Verdana" w:hAnsi="Verdana" w:cs="Arial"/>
          <w:color w:val="000000" w:themeColor="text1"/>
          <w:sz w:val="16"/>
          <w:szCs w:val="16"/>
          <w:lang w:val="es-ES"/>
        </w:rPr>
      </w:pPr>
      <w:r w:rsidRPr="009D0D83">
        <w:rPr>
          <w:rStyle w:val="Refdenotaalpie"/>
          <w:rFonts w:ascii="Verdana" w:hAnsi="Verdana" w:cs="Arial"/>
          <w:color w:val="000000" w:themeColor="text1"/>
          <w:sz w:val="16"/>
          <w:szCs w:val="16"/>
        </w:rPr>
        <w:footnoteRef/>
      </w:r>
      <w:r w:rsidRPr="009D0D83">
        <w:rPr>
          <w:rFonts w:ascii="Verdana" w:hAnsi="Verdana" w:cs="Arial"/>
          <w:color w:val="000000" w:themeColor="text1"/>
          <w:sz w:val="16"/>
          <w:szCs w:val="16"/>
        </w:rPr>
        <w:t xml:space="preserve"> </w:t>
      </w:r>
      <w:r w:rsidRPr="009D0D83">
        <w:rPr>
          <w:rFonts w:ascii="Verdana" w:hAnsi="Verdana" w:cs="Arial"/>
          <w:color w:val="000000" w:themeColor="text1"/>
          <w:sz w:val="16"/>
          <w:szCs w:val="16"/>
          <w:lang w:val="es-ES"/>
        </w:rPr>
        <w:t>Para la doctrina, “El arrendamiento es el contrato en virtud del cual una de las partes se obliga a proporcionarle a otra el uso y goce de una cosa, durante cierto tiempo, y ésta a pagar, como contraprestación, un precio determinado.</w:t>
      </w:r>
    </w:p>
    <w:p w14:paraId="2723D7E0" w14:textId="77777777" w:rsidR="006803AB" w:rsidRPr="009D0D83" w:rsidRDefault="006803AB" w:rsidP="006803AB">
      <w:pPr>
        <w:pStyle w:val="Textonotapie"/>
        <w:ind w:firstLine="709"/>
        <w:jc w:val="both"/>
        <w:rPr>
          <w:rFonts w:ascii="Verdana" w:hAnsi="Verdana" w:cs="Arial"/>
          <w:color w:val="000000" w:themeColor="text1"/>
          <w:sz w:val="16"/>
          <w:szCs w:val="16"/>
          <w:lang w:val="es-ES"/>
        </w:rPr>
      </w:pPr>
      <w:r w:rsidRPr="009D0D83">
        <w:rPr>
          <w:rFonts w:ascii="Verdana" w:hAnsi="Verdana" w:cs="Arial"/>
          <w:color w:val="000000" w:themeColor="text1"/>
          <w:sz w:val="16"/>
          <w:szCs w:val="16"/>
          <w:lang w:val="es-ES"/>
        </w:rPr>
        <w:t xml:space="preserve">La parte que proporciona el goce se llama </w:t>
      </w:r>
      <w:r w:rsidRPr="009D0D83">
        <w:rPr>
          <w:rFonts w:ascii="Verdana" w:hAnsi="Verdana" w:cs="Arial"/>
          <w:b/>
          <w:bCs/>
          <w:color w:val="000000" w:themeColor="text1"/>
          <w:sz w:val="16"/>
          <w:szCs w:val="16"/>
          <w:lang w:val="es-ES"/>
        </w:rPr>
        <w:t>arrendador</w:t>
      </w:r>
      <w:r w:rsidRPr="009D0D83">
        <w:rPr>
          <w:rFonts w:ascii="Verdana" w:hAnsi="Verdana" w:cs="Arial"/>
          <w:color w:val="000000" w:themeColor="text1"/>
          <w:sz w:val="16"/>
          <w:szCs w:val="16"/>
          <w:lang w:val="es-ES"/>
        </w:rPr>
        <w:t xml:space="preserve"> y la parte que da el precio </w:t>
      </w:r>
      <w:r w:rsidRPr="009D0D83">
        <w:rPr>
          <w:rFonts w:ascii="Verdana" w:hAnsi="Verdana" w:cs="Arial"/>
          <w:b/>
          <w:bCs/>
          <w:color w:val="000000" w:themeColor="text1"/>
          <w:sz w:val="16"/>
          <w:szCs w:val="16"/>
          <w:lang w:val="es-ES"/>
        </w:rPr>
        <w:t>arrendatario</w:t>
      </w:r>
      <w:r w:rsidRPr="009D0D83">
        <w:rPr>
          <w:rFonts w:ascii="Verdana" w:hAnsi="Verdana" w:cs="Arial"/>
          <w:color w:val="000000" w:themeColor="text1"/>
          <w:sz w:val="16"/>
          <w:szCs w:val="16"/>
          <w:lang w:val="es-ES"/>
        </w:rPr>
        <w:t xml:space="preserve">. También se conoce con el nombre de </w:t>
      </w:r>
      <w:r w:rsidRPr="009D0D83">
        <w:rPr>
          <w:rFonts w:ascii="Verdana" w:hAnsi="Verdana" w:cs="Arial"/>
          <w:b/>
          <w:bCs/>
          <w:color w:val="000000" w:themeColor="text1"/>
          <w:sz w:val="16"/>
          <w:szCs w:val="16"/>
          <w:lang w:val="es-ES"/>
        </w:rPr>
        <w:t>inquilino</w:t>
      </w:r>
      <w:r w:rsidRPr="009D0D83">
        <w:rPr>
          <w:rFonts w:ascii="Verdana" w:hAnsi="Verdana" w:cs="Arial"/>
          <w:color w:val="000000" w:themeColor="text1"/>
          <w:sz w:val="16"/>
          <w:szCs w:val="16"/>
          <w:lang w:val="es-ES"/>
        </w:rPr>
        <w:t xml:space="preserve"> cuando se trata de arrendamiento de casas, almacenes u otros edificios, y </w:t>
      </w:r>
      <w:r w:rsidRPr="009D0D83">
        <w:rPr>
          <w:rFonts w:ascii="Verdana" w:hAnsi="Verdana" w:cs="Arial"/>
          <w:b/>
          <w:bCs/>
          <w:color w:val="000000" w:themeColor="text1"/>
          <w:sz w:val="16"/>
          <w:szCs w:val="16"/>
          <w:lang w:val="es-ES"/>
        </w:rPr>
        <w:t>colono</w:t>
      </w:r>
      <w:r w:rsidRPr="009D0D83">
        <w:rPr>
          <w:rFonts w:ascii="Verdana" w:hAnsi="Verdana" w:cs="Arial"/>
          <w:color w:val="000000" w:themeColor="text1"/>
          <w:sz w:val="16"/>
          <w:szCs w:val="16"/>
          <w:lang w:val="es-ES"/>
        </w:rPr>
        <w:t xml:space="preserve"> cuando el goce radica en predio rústico. Son expresiones que, indistintamente, hace uso el Código Civil, por ejemplo, en los artículos 1977, 2028, 2037, respectivamente” (BONIVENTO FERNANDEZ, José. Los principales contratos civiles y su paralelo con los comerciales. Vigésimo segunda edición. Bogotá: Tirant lo Blanch, 2024. p. 524. Énfasis dentro del texto). </w:t>
      </w:r>
    </w:p>
  </w:footnote>
  <w:footnote w:id="36">
    <w:p w14:paraId="251D6ACB" w14:textId="77777777" w:rsidR="006803AB" w:rsidRPr="009D0D83" w:rsidRDefault="006803AB" w:rsidP="006803AB">
      <w:pPr>
        <w:pStyle w:val="Textonotapie"/>
        <w:ind w:firstLine="708"/>
        <w:jc w:val="both"/>
        <w:rPr>
          <w:rFonts w:ascii="Verdana" w:hAnsi="Verdana" w:cs="Arial"/>
          <w:sz w:val="16"/>
          <w:szCs w:val="16"/>
        </w:rPr>
      </w:pPr>
      <w:r w:rsidRPr="009D0D83">
        <w:rPr>
          <w:rStyle w:val="Refdenotaalpie"/>
          <w:rFonts w:ascii="Verdana" w:hAnsi="Verdana" w:cs="Arial"/>
          <w:sz w:val="16"/>
          <w:szCs w:val="16"/>
        </w:rPr>
        <w:footnoteRef/>
      </w:r>
      <w:r w:rsidRPr="009D0D83">
        <w:rPr>
          <w:rFonts w:ascii="Verdana" w:hAnsi="Verdana" w:cs="Arial"/>
          <w:sz w:val="16"/>
          <w:szCs w:val="16"/>
        </w:rPr>
        <w:t xml:space="preserve"> Lo anterior bajo el régimen del derecho privado, sin perjuicio de que cuando se trata de un contrato estatal deben cumplirse los requisitos de perfeccionamiento establecidos en el artículo 41 de la Ley 80 de 1993.</w:t>
      </w:r>
    </w:p>
  </w:footnote>
  <w:footnote w:id="37">
    <w:p w14:paraId="7496ACFC" w14:textId="77777777" w:rsidR="006803AB" w:rsidRPr="009D0D83" w:rsidRDefault="006803AB" w:rsidP="006803AB">
      <w:pPr>
        <w:pStyle w:val="Textonotapie"/>
        <w:ind w:firstLine="709"/>
        <w:jc w:val="both"/>
        <w:rPr>
          <w:rFonts w:ascii="Verdana" w:hAnsi="Verdana" w:cs="Arial"/>
          <w:color w:val="000000" w:themeColor="text1"/>
          <w:sz w:val="16"/>
          <w:szCs w:val="16"/>
        </w:rPr>
      </w:pPr>
      <w:r w:rsidRPr="009D0D83">
        <w:rPr>
          <w:rStyle w:val="Refdenotaalpie"/>
          <w:rFonts w:ascii="Verdana" w:hAnsi="Verdana" w:cs="Arial"/>
          <w:color w:val="000000" w:themeColor="text1"/>
          <w:sz w:val="16"/>
          <w:szCs w:val="16"/>
        </w:rPr>
        <w:footnoteRef/>
      </w:r>
      <w:r w:rsidRPr="009D0D83">
        <w:rPr>
          <w:rFonts w:ascii="Verdana" w:hAnsi="Verdana" w:cs="Arial"/>
          <w:color w:val="000000" w:themeColor="text1"/>
          <w:sz w:val="16"/>
          <w:szCs w:val="16"/>
        </w:rPr>
        <w:t xml:space="preserve"> </w:t>
      </w:r>
      <w:r w:rsidRPr="009D0D83">
        <w:rPr>
          <w:rFonts w:ascii="Verdana" w:hAnsi="Verdana" w:cs="Arial"/>
          <w:i/>
          <w:iCs/>
          <w:color w:val="000000" w:themeColor="text1"/>
          <w:sz w:val="16"/>
          <w:szCs w:val="16"/>
        </w:rPr>
        <w:t>Ibidem</w:t>
      </w:r>
      <w:r w:rsidRPr="009D0D83">
        <w:rPr>
          <w:rFonts w:ascii="Verdana" w:hAnsi="Verdana" w:cs="Arial"/>
          <w:color w:val="000000" w:themeColor="text1"/>
          <w:sz w:val="16"/>
          <w:szCs w:val="16"/>
        </w:rPr>
        <w:t>. pp. 569-570.</w:t>
      </w:r>
    </w:p>
  </w:footnote>
  <w:footnote w:id="38">
    <w:p w14:paraId="53772513" w14:textId="77777777" w:rsidR="006803AB" w:rsidRPr="004674CF" w:rsidRDefault="006803AB" w:rsidP="006803AB">
      <w:pPr>
        <w:pStyle w:val="Textonotapie"/>
        <w:ind w:firstLine="708"/>
        <w:jc w:val="both"/>
        <w:rPr>
          <w:rFonts w:ascii="Arial" w:hAnsi="Arial"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66451640">
    <w:abstractNumId w:val="7"/>
  </w:num>
  <w:num w:numId="2" w16cid:durableId="933245255">
    <w:abstractNumId w:val="2"/>
  </w:num>
  <w:num w:numId="3" w16cid:durableId="49766697">
    <w:abstractNumId w:val="5"/>
  </w:num>
  <w:num w:numId="4" w16cid:durableId="14216767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85208001">
    <w:abstractNumId w:val="2"/>
  </w:num>
  <w:num w:numId="6" w16cid:durableId="1450735969">
    <w:abstractNumId w:val="15"/>
  </w:num>
  <w:num w:numId="7" w16cid:durableId="1537623536">
    <w:abstractNumId w:val="6"/>
  </w:num>
  <w:num w:numId="8" w16cid:durableId="983853787">
    <w:abstractNumId w:val="14"/>
  </w:num>
  <w:num w:numId="9" w16cid:durableId="517548656">
    <w:abstractNumId w:val="8"/>
  </w:num>
  <w:num w:numId="10" w16cid:durableId="1304578704">
    <w:abstractNumId w:val="13"/>
  </w:num>
  <w:num w:numId="11" w16cid:durableId="571965150">
    <w:abstractNumId w:val="9"/>
  </w:num>
  <w:num w:numId="12" w16cid:durableId="811407802">
    <w:abstractNumId w:val="1"/>
  </w:num>
  <w:num w:numId="13" w16cid:durableId="1881548214">
    <w:abstractNumId w:val="4"/>
  </w:num>
  <w:num w:numId="14" w16cid:durableId="1686445045">
    <w:abstractNumId w:val="16"/>
  </w:num>
  <w:num w:numId="15" w16cid:durableId="197473870">
    <w:abstractNumId w:val="12"/>
  </w:num>
  <w:num w:numId="16" w16cid:durableId="171535358">
    <w:abstractNumId w:val="0"/>
  </w:num>
  <w:num w:numId="17" w16cid:durableId="1357002944">
    <w:abstractNumId w:val="10"/>
  </w:num>
  <w:num w:numId="18" w16cid:durableId="867136376">
    <w:abstractNumId w:val="11"/>
  </w:num>
  <w:num w:numId="19" w16cid:durableId="299385740">
    <w:abstractNumId w:val="3"/>
  </w:num>
  <w:num w:numId="20" w16cid:durableId="129540168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452B"/>
    <w:rsid w:val="0001041D"/>
    <w:rsid w:val="00015FCF"/>
    <w:rsid w:val="00016F78"/>
    <w:rsid w:val="00033FA1"/>
    <w:rsid w:val="00046945"/>
    <w:rsid w:val="00056DA8"/>
    <w:rsid w:val="00061B2A"/>
    <w:rsid w:val="00081367"/>
    <w:rsid w:val="00082362"/>
    <w:rsid w:val="000825A6"/>
    <w:rsid w:val="00095DAE"/>
    <w:rsid w:val="000A683E"/>
    <w:rsid w:val="000B19B9"/>
    <w:rsid w:val="000D0334"/>
    <w:rsid w:val="000D5040"/>
    <w:rsid w:val="000D5DA7"/>
    <w:rsid w:val="000F4BC5"/>
    <w:rsid w:val="000F4EFB"/>
    <w:rsid w:val="000F6486"/>
    <w:rsid w:val="00102203"/>
    <w:rsid w:val="00116940"/>
    <w:rsid w:val="00125105"/>
    <w:rsid w:val="00127233"/>
    <w:rsid w:val="0012746B"/>
    <w:rsid w:val="00127474"/>
    <w:rsid w:val="00136E2E"/>
    <w:rsid w:val="0015699B"/>
    <w:rsid w:val="00164F92"/>
    <w:rsid w:val="00164FB3"/>
    <w:rsid w:val="00186DE9"/>
    <w:rsid w:val="001967FD"/>
    <w:rsid w:val="001A33BF"/>
    <w:rsid w:val="001A65C5"/>
    <w:rsid w:val="001A786D"/>
    <w:rsid w:val="001E194B"/>
    <w:rsid w:val="001E4177"/>
    <w:rsid w:val="001E5EA0"/>
    <w:rsid w:val="001F0B24"/>
    <w:rsid w:val="001F7DC6"/>
    <w:rsid w:val="0020079E"/>
    <w:rsid w:val="0022400B"/>
    <w:rsid w:val="00226CC2"/>
    <w:rsid w:val="002421BB"/>
    <w:rsid w:val="0024692A"/>
    <w:rsid w:val="0025796E"/>
    <w:rsid w:val="00261121"/>
    <w:rsid w:val="00263FAD"/>
    <w:rsid w:val="002707A2"/>
    <w:rsid w:val="00272A28"/>
    <w:rsid w:val="002826F0"/>
    <w:rsid w:val="002845F4"/>
    <w:rsid w:val="002857D9"/>
    <w:rsid w:val="00293441"/>
    <w:rsid w:val="002951A0"/>
    <w:rsid w:val="002962BC"/>
    <w:rsid w:val="002A093D"/>
    <w:rsid w:val="002A0DD0"/>
    <w:rsid w:val="002A49AC"/>
    <w:rsid w:val="002A5E3E"/>
    <w:rsid w:val="002A64FD"/>
    <w:rsid w:val="002A760C"/>
    <w:rsid w:val="002C5725"/>
    <w:rsid w:val="002C7A84"/>
    <w:rsid w:val="002E2BF8"/>
    <w:rsid w:val="002E4FD9"/>
    <w:rsid w:val="002E60E4"/>
    <w:rsid w:val="002F3CDF"/>
    <w:rsid w:val="0030657A"/>
    <w:rsid w:val="00322A85"/>
    <w:rsid w:val="00324168"/>
    <w:rsid w:val="00330834"/>
    <w:rsid w:val="003318AB"/>
    <w:rsid w:val="00341304"/>
    <w:rsid w:val="003448F4"/>
    <w:rsid w:val="00355EA0"/>
    <w:rsid w:val="003604F5"/>
    <w:rsid w:val="00374F5E"/>
    <w:rsid w:val="00377E3E"/>
    <w:rsid w:val="003A779E"/>
    <w:rsid w:val="003B2F20"/>
    <w:rsid w:val="003C5B9E"/>
    <w:rsid w:val="003C64B8"/>
    <w:rsid w:val="003D0F4D"/>
    <w:rsid w:val="003D1CF9"/>
    <w:rsid w:val="003D5B0D"/>
    <w:rsid w:val="003E0499"/>
    <w:rsid w:val="003E4F80"/>
    <w:rsid w:val="003E6439"/>
    <w:rsid w:val="003E6646"/>
    <w:rsid w:val="003F0A7D"/>
    <w:rsid w:val="003F3941"/>
    <w:rsid w:val="00401590"/>
    <w:rsid w:val="00406575"/>
    <w:rsid w:val="00414C74"/>
    <w:rsid w:val="00417B5B"/>
    <w:rsid w:val="0042722E"/>
    <w:rsid w:val="00437377"/>
    <w:rsid w:val="0044158F"/>
    <w:rsid w:val="0044528D"/>
    <w:rsid w:val="00447D22"/>
    <w:rsid w:val="00461D39"/>
    <w:rsid w:val="00466302"/>
    <w:rsid w:val="00466E39"/>
    <w:rsid w:val="004674CF"/>
    <w:rsid w:val="00473BEB"/>
    <w:rsid w:val="0048398A"/>
    <w:rsid w:val="00494C69"/>
    <w:rsid w:val="0049570F"/>
    <w:rsid w:val="004A0320"/>
    <w:rsid w:val="004A1847"/>
    <w:rsid w:val="004A305D"/>
    <w:rsid w:val="004A6099"/>
    <w:rsid w:val="004B7D74"/>
    <w:rsid w:val="004C1120"/>
    <w:rsid w:val="004C446E"/>
    <w:rsid w:val="004D3BDD"/>
    <w:rsid w:val="004D420F"/>
    <w:rsid w:val="004E71EE"/>
    <w:rsid w:val="004F1C0A"/>
    <w:rsid w:val="004F21C4"/>
    <w:rsid w:val="004F685F"/>
    <w:rsid w:val="005154AE"/>
    <w:rsid w:val="0053199F"/>
    <w:rsid w:val="005461C4"/>
    <w:rsid w:val="005566E8"/>
    <w:rsid w:val="00574867"/>
    <w:rsid w:val="00580BC6"/>
    <w:rsid w:val="00585673"/>
    <w:rsid w:val="00591460"/>
    <w:rsid w:val="00597A19"/>
    <w:rsid w:val="005A1150"/>
    <w:rsid w:val="005A65E0"/>
    <w:rsid w:val="005B0452"/>
    <w:rsid w:val="005B189F"/>
    <w:rsid w:val="005B4B74"/>
    <w:rsid w:val="005C008F"/>
    <w:rsid w:val="005C3777"/>
    <w:rsid w:val="005C5CDC"/>
    <w:rsid w:val="005C6BC8"/>
    <w:rsid w:val="005D476C"/>
    <w:rsid w:val="005E6B20"/>
    <w:rsid w:val="005F181C"/>
    <w:rsid w:val="00614323"/>
    <w:rsid w:val="006200BF"/>
    <w:rsid w:val="006219F8"/>
    <w:rsid w:val="006229C7"/>
    <w:rsid w:val="006302F7"/>
    <w:rsid w:val="00646B9F"/>
    <w:rsid w:val="00656F96"/>
    <w:rsid w:val="00662D62"/>
    <w:rsid w:val="00665485"/>
    <w:rsid w:val="00665D70"/>
    <w:rsid w:val="006769BD"/>
    <w:rsid w:val="006803AB"/>
    <w:rsid w:val="00686C01"/>
    <w:rsid w:val="006900D9"/>
    <w:rsid w:val="006C04F1"/>
    <w:rsid w:val="006D5A89"/>
    <w:rsid w:val="006D76F7"/>
    <w:rsid w:val="006E2BF4"/>
    <w:rsid w:val="00706C16"/>
    <w:rsid w:val="00721364"/>
    <w:rsid w:val="0073108D"/>
    <w:rsid w:val="007317FA"/>
    <w:rsid w:val="007340C3"/>
    <w:rsid w:val="00737DF0"/>
    <w:rsid w:val="0075235A"/>
    <w:rsid w:val="00752490"/>
    <w:rsid w:val="00756841"/>
    <w:rsid w:val="007649AB"/>
    <w:rsid w:val="00771D0C"/>
    <w:rsid w:val="00771E47"/>
    <w:rsid w:val="007744FB"/>
    <w:rsid w:val="007829E1"/>
    <w:rsid w:val="007833AC"/>
    <w:rsid w:val="0078433B"/>
    <w:rsid w:val="00792AB0"/>
    <w:rsid w:val="007A153F"/>
    <w:rsid w:val="007B268C"/>
    <w:rsid w:val="007B7171"/>
    <w:rsid w:val="007C0C0F"/>
    <w:rsid w:val="007C3DC2"/>
    <w:rsid w:val="007D3968"/>
    <w:rsid w:val="007E0EF2"/>
    <w:rsid w:val="007E5497"/>
    <w:rsid w:val="007F019B"/>
    <w:rsid w:val="007F0FED"/>
    <w:rsid w:val="00806F5F"/>
    <w:rsid w:val="00815B83"/>
    <w:rsid w:val="008160D9"/>
    <w:rsid w:val="00817856"/>
    <w:rsid w:val="00820169"/>
    <w:rsid w:val="00820278"/>
    <w:rsid w:val="00824114"/>
    <w:rsid w:val="008258C9"/>
    <w:rsid w:val="00826EE8"/>
    <w:rsid w:val="00844AE9"/>
    <w:rsid w:val="0085430E"/>
    <w:rsid w:val="00861467"/>
    <w:rsid w:val="00867F95"/>
    <w:rsid w:val="008835B4"/>
    <w:rsid w:val="008843B6"/>
    <w:rsid w:val="00891928"/>
    <w:rsid w:val="008934CB"/>
    <w:rsid w:val="00895356"/>
    <w:rsid w:val="008A1896"/>
    <w:rsid w:val="008A446D"/>
    <w:rsid w:val="008B104D"/>
    <w:rsid w:val="008B25F1"/>
    <w:rsid w:val="008B49DE"/>
    <w:rsid w:val="008C098E"/>
    <w:rsid w:val="008C571F"/>
    <w:rsid w:val="008C5A84"/>
    <w:rsid w:val="008D180B"/>
    <w:rsid w:val="008E17DE"/>
    <w:rsid w:val="008E72AF"/>
    <w:rsid w:val="008E7CAD"/>
    <w:rsid w:val="008F0EA7"/>
    <w:rsid w:val="008F327E"/>
    <w:rsid w:val="008F3366"/>
    <w:rsid w:val="00920937"/>
    <w:rsid w:val="00923EEF"/>
    <w:rsid w:val="009305DC"/>
    <w:rsid w:val="009419F9"/>
    <w:rsid w:val="0095685E"/>
    <w:rsid w:val="00960121"/>
    <w:rsid w:val="00961B09"/>
    <w:rsid w:val="00965334"/>
    <w:rsid w:val="0097093E"/>
    <w:rsid w:val="00973E63"/>
    <w:rsid w:val="00990BF1"/>
    <w:rsid w:val="009A027F"/>
    <w:rsid w:val="009A0DFA"/>
    <w:rsid w:val="009A1C6F"/>
    <w:rsid w:val="009B2D26"/>
    <w:rsid w:val="009B651B"/>
    <w:rsid w:val="009B7652"/>
    <w:rsid w:val="009C71FA"/>
    <w:rsid w:val="009C72E7"/>
    <w:rsid w:val="009C7F7E"/>
    <w:rsid w:val="009D0D83"/>
    <w:rsid w:val="009D3058"/>
    <w:rsid w:val="009E6333"/>
    <w:rsid w:val="009F27AB"/>
    <w:rsid w:val="009F3A13"/>
    <w:rsid w:val="00A07EBF"/>
    <w:rsid w:val="00A1025E"/>
    <w:rsid w:val="00A122D3"/>
    <w:rsid w:val="00A14468"/>
    <w:rsid w:val="00A17F13"/>
    <w:rsid w:val="00A20739"/>
    <w:rsid w:val="00A218FA"/>
    <w:rsid w:val="00A23AF9"/>
    <w:rsid w:val="00A33C78"/>
    <w:rsid w:val="00A41D37"/>
    <w:rsid w:val="00A63F17"/>
    <w:rsid w:val="00A83161"/>
    <w:rsid w:val="00A86E5C"/>
    <w:rsid w:val="00A95DA4"/>
    <w:rsid w:val="00AB0ADB"/>
    <w:rsid w:val="00AC47E2"/>
    <w:rsid w:val="00AD67E7"/>
    <w:rsid w:val="00B00C0E"/>
    <w:rsid w:val="00B01B1A"/>
    <w:rsid w:val="00B0381D"/>
    <w:rsid w:val="00B13882"/>
    <w:rsid w:val="00B14F11"/>
    <w:rsid w:val="00B14F36"/>
    <w:rsid w:val="00B44A47"/>
    <w:rsid w:val="00B45051"/>
    <w:rsid w:val="00B72CD3"/>
    <w:rsid w:val="00B72FFF"/>
    <w:rsid w:val="00B7443D"/>
    <w:rsid w:val="00B944AA"/>
    <w:rsid w:val="00B95ED8"/>
    <w:rsid w:val="00BA15D8"/>
    <w:rsid w:val="00BA7A2E"/>
    <w:rsid w:val="00BC3D36"/>
    <w:rsid w:val="00BD54A6"/>
    <w:rsid w:val="00BD7F72"/>
    <w:rsid w:val="00BE0FC4"/>
    <w:rsid w:val="00BF58CD"/>
    <w:rsid w:val="00BF6651"/>
    <w:rsid w:val="00BF7425"/>
    <w:rsid w:val="00BF78B9"/>
    <w:rsid w:val="00C04FB3"/>
    <w:rsid w:val="00C11D8B"/>
    <w:rsid w:val="00C15139"/>
    <w:rsid w:val="00C330EB"/>
    <w:rsid w:val="00C46EE5"/>
    <w:rsid w:val="00C50D69"/>
    <w:rsid w:val="00C5365C"/>
    <w:rsid w:val="00C63036"/>
    <w:rsid w:val="00C67C8B"/>
    <w:rsid w:val="00C729D3"/>
    <w:rsid w:val="00C754BE"/>
    <w:rsid w:val="00C76B1C"/>
    <w:rsid w:val="00C925AC"/>
    <w:rsid w:val="00C9323E"/>
    <w:rsid w:val="00C9400D"/>
    <w:rsid w:val="00C946BF"/>
    <w:rsid w:val="00C958D1"/>
    <w:rsid w:val="00CA0E68"/>
    <w:rsid w:val="00CB4E0C"/>
    <w:rsid w:val="00CB6357"/>
    <w:rsid w:val="00CC1B26"/>
    <w:rsid w:val="00CD6067"/>
    <w:rsid w:val="00CE4589"/>
    <w:rsid w:val="00CE72C3"/>
    <w:rsid w:val="00CF4861"/>
    <w:rsid w:val="00CF6ED5"/>
    <w:rsid w:val="00D13C5D"/>
    <w:rsid w:val="00D14E75"/>
    <w:rsid w:val="00D16C15"/>
    <w:rsid w:val="00D31EC6"/>
    <w:rsid w:val="00D350D3"/>
    <w:rsid w:val="00D361FD"/>
    <w:rsid w:val="00D417C8"/>
    <w:rsid w:val="00D423A2"/>
    <w:rsid w:val="00D439FC"/>
    <w:rsid w:val="00D44E26"/>
    <w:rsid w:val="00D520D8"/>
    <w:rsid w:val="00D53F94"/>
    <w:rsid w:val="00D63AC2"/>
    <w:rsid w:val="00D7383B"/>
    <w:rsid w:val="00D7788A"/>
    <w:rsid w:val="00DA231B"/>
    <w:rsid w:val="00DC39FC"/>
    <w:rsid w:val="00DD0992"/>
    <w:rsid w:val="00DD4F85"/>
    <w:rsid w:val="00DF3F1B"/>
    <w:rsid w:val="00DF5254"/>
    <w:rsid w:val="00E02524"/>
    <w:rsid w:val="00E16408"/>
    <w:rsid w:val="00E20894"/>
    <w:rsid w:val="00E22A1A"/>
    <w:rsid w:val="00E245AB"/>
    <w:rsid w:val="00E2764C"/>
    <w:rsid w:val="00E27F2E"/>
    <w:rsid w:val="00E35083"/>
    <w:rsid w:val="00E5016B"/>
    <w:rsid w:val="00E50AFE"/>
    <w:rsid w:val="00E54809"/>
    <w:rsid w:val="00E56EE8"/>
    <w:rsid w:val="00E60AD8"/>
    <w:rsid w:val="00E75C92"/>
    <w:rsid w:val="00E760D9"/>
    <w:rsid w:val="00E771DC"/>
    <w:rsid w:val="00E8252C"/>
    <w:rsid w:val="00E83EFE"/>
    <w:rsid w:val="00E8772A"/>
    <w:rsid w:val="00E90AC3"/>
    <w:rsid w:val="00E90F6B"/>
    <w:rsid w:val="00E92C27"/>
    <w:rsid w:val="00EA0E3D"/>
    <w:rsid w:val="00EA4B5D"/>
    <w:rsid w:val="00EB0E94"/>
    <w:rsid w:val="00EC101D"/>
    <w:rsid w:val="00EC38A7"/>
    <w:rsid w:val="00EE1AA8"/>
    <w:rsid w:val="00F04FFA"/>
    <w:rsid w:val="00F12FAC"/>
    <w:rsid w:val="00F163B0"/>
    <w:rsid w:val="00F16BC8"/>
    <w:rsid w:val="00F23FEA"/>
    <w:rsid w:val="00F31A4A"/>
    <w:rsid w:val="00F31EDC"/>
    <w:rsid w:val="00F45DD2"/>
    <w:rsid w:val="00F462B3"/>
    <w:rsid w:val="00F5664F"/>
    <w:rsid w:val="00F624DD"/>
    <w:rsid w:val="00F666C4"/>
    <w:rsid w:val="00F7339B"/>
    <w:rsid w:val="00F76AFC"/>
    <w:rsid w:val="00FA3E17"/>
    <w:rsid w:val="00FA47C0"/>
    <w:rsid w:val="00FB2271"/>
    <w:rsid w:val="00FB5DD1"/>
    <w:rsid w:val="00FC2B5D"/>
    <w:rsid w:val="00FD63E7"/>
    <w:rsid w:val="00FF1449"/>
    <w:rsid w:val="00FF1C5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03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jefejuridica@indev-yopal.gov.co"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5B3E8576-9026-46BB-984A-A4D71494ABB4}">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980D7D2-B1F3-4773-B688-14C68F1254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49</TotalTime>
  <Pages>37</Pages>
  <Words>12892</Words>
  <Characters>69875</Characters>
  <Application>Microsoft Office Word</Application>
  <DocSecurity>0</DocSecurity>
  <Lines>1270</Lines>
  <Paragraphs>211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2026-02-22T21:12:00Z</dcterms:created>
  <dcterms:modified xsi:type="dcterms:W3CDTF">2026-02-24T14:11:00Z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