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A84F24" w14:textId="77777777" w:rsidR="00DA53AF" w:rsidRPr="00AD4AAE" w:rsidRDefault="00DA53AF" w:rsidP="00DA53AF">
      <w:pPr>
        <w:spacing w:after="0" w:line="240" w:lineRule="auto"/>
        <w:jc w:val="both"/>
        <w:rPr>
          <w:rFonts w:ascii="Verdana" w:eastAsia="Calibri" w:hAnsi="Verdana" w:cs="Arial"/>
          <w:b/>
          <w:bCs/>
          <w:lang w:eastAsia="es-ES_tradnl"/>
        </w:rPr>
      </w:pPr>
      <w:r w:rsidRPr="00AD4AAE">
        <w:rPr>
          <w:rFonts w:ascii="Verdana" w:eastAsia="Calibri" w:hAnsi="Verdana" w:cs="Arial"/>
          <w:b/>
          <w:bCs/>
          <w:lang w:eastAsia="es-ES_tradnl"/>
        </w:rPr>
        <w:t>PLANEACIÓN CONTRACTUAL – Noción – Obligación de las entidades – Ley 80 de 1993</w:t>
      </w:r>
    </w:p>
    <w:p w14:paraId="30F0D9B7" w14:textId="77777777" w:rsidR="00DA53AF" w:rsidRPr="00AD4AAE" w:rsidRDefault="00DA53AF" w:rsidP="00DA53AF">
      <w:pPr>
        <w:spacing w:after="0" w:line="240" w:lineRule="auto"/>
        <w:jc w:val="both"/>
        <w:rPr>
          <w:rFonts w:ascii="Verdana" w:eastAsia="Calibri" w:hAnsi="Verdana" w:cs="Arial"/>
          <w:b/>
          <w:bCs/>
          <w:sz w:val="20"/>
          <w:szCs w:val="20"/>
          <w:highlight w:val="yellow"/>
          <w:lang w:eastAsia="es-ES_tradnl"/>
        </w:rPr>
      </w:pPr>
    </w:p>
    <w:p w14:paraId="22DD1FD2" w14:textId="77777777" w:rsidR="00DA53AF" w:rsidRPr="00AD4AAE" w:rsidRDefault="00DA53AF" w:rsidP="00DA53AF">
      <w:pPr>
        <w:spacing w:after="0" w:line="240" w:lineRule="auto"/>
        <w:jc w:val="both"/>
        <w:rPr>
          <w:rFonts w:ascii="Verdana" w:eastAsia="Aptos" w:hAnsi="Verdana" w:cs="Times New Roman"/>
          <w:sz w:val="20"/>
          <w:szCs w:val="20"/>
        </w:rPr>
      </w:pPr>
      <w:r w:rsidRPr="00AD4AAE">
        <w:rPr>
          <w:rFonts w:ascii="Verdana" w:eastAsia="Aptos" w:hAnsi="Verdana" w:cs="Times New Roman"/>
          <w:sz w:val="20"/>
          <w:szCs w:val="20"/>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181A6E35" w14:textId="77777777" w:rsidR="00DA53AF" w:rsidRPr="00AD4AAE" w:rsidRDefault="00DA53AF" w:rsidP="00DA53AF">
      <w:pPr>
        <w:spacing w:after="0" w:line="240" w:lineRule="auto"/>
        <w:jc w:val="both"/>
        <w:rPr>
          <w:rFonts w:ascii="Verdana" w:eastAsia="Aptos" w:hAnsi="Verdana" w:cs="Times New Roman"/>
          <w:sz w:val="20"/>
          <w:szCs w:val="20"/>
        </w:rPr>
      </w:pPr>
    </w:p>
    <w:p w14:paraId="490297D8" w14:textId="77777777" w:rsidR="00DA53AF" w:rsidRPr="00AD4AAE" w:rsidRDefault="00DA53AF" w:rsidP="00DA53AF">
      <w:pPr>
        <w:spacing w:after="0" w:line="240" w:lineRule="auto"/>
        <w:jc w:val="both"/>
        <w:rPr>
          <w:rFonts w:ascii="Verdana" w:eastAsia="Aptos" w:hAnsi="Verdana" w:cs="Times New Roman"/>
          <w:sz w:val="20"/>
          <w:szCs w:val="20"/>
        </w:rPr>
      </w:pPr>
      <w:r w:rsidRPr="00AD4AAE">
        <w:rPr>
          <w:rFonts w:ascii="Verdana" w:eastAsia="Aptos" w:hAnsi="Verdana" w:cs="Times New Roman"/>
          <w:sz w:val="20"/>
          <w:szCs w:val="20"/>
        </w:rPr>
        <w:t>[…] el Estatuto General de Contratación de la Administración Pública, en adelante EGCAP, contiene disposiciones que exigen a las Entidades Estatales el deber de realizar planeación en la etapa precontractual, esto con el fin de que los Procesos de Contratación satisfagan las necesidades de la Administración, cumplan sus fines, logren la continua y eficiente prestación de los servicios públicos y permitan la efectividad de los derechos e intereses de los administrados que colaboran en su consecución.</w:t>
      </w:r>
    </w:p>
    <w:p w14:paraId="53486DCB" w14:textId="77777777" w:rsidR="00DA53AF" w:rsidRPr="00AD4AAE" w:rsidRDefault="00DA53AF" w:rsidP="00D819B4">
      <w:pPr>
        <w:spacing w:after="0"/>
        <w:rPr>
          <w:rFonts w:ascii="Verdana" w:hAnsi="Verdana"/>
        </w:rPr>
      </w:pPr>
    </w:p>
    <w:p w14:paraId="6C3AC16B" w14:textId="0DF23E57" w:rsidR="007A2068" w:rsidRPr="00AD4AAE" w:rsidRDefault="00064B86" w:rsidP="00D819B4">
      <w:pPr>
        <w:spacing w:after="0"/>
        <w:rPr>
          <w:rFonts w:ascii="Verdana" w:hAnsi="Verdana"/>
        </w:rPr>
      </w:pPr>
      <w:r w:rsidRPr="00AD4AAE">
        <w:rPr>
          <w:rFonts w:ascii="Verdana" w:eastAsia="Calibri" w:hAnsi="Verdana" w:cs="Arial"/>
          <w:b/>
          <w:bCs/>
          <w:lang w:eastAsia="es-ES_tradnl"/>
        </w:rPr>
        <w:t xml:space="preserve">PLANEACIÓN CONTRACTUAL – Enfoque de Derechos Humanos </w:t>
      </w:r>
    </w:p>
    <w:p w14:paraId="37DA79EF" w14:textId="77777777" w:rsidR="00D55693" w:rsidRPr="00AD4AAE" w:rsidRDefault="00D55693" w:rsidP="009B4A95">
      <w:pPr>
        <w:spacing w:after="0" w:line="240" w:lineRule="auto"/>
        <w:jc w:val="both"/>
        <w:rPr>
          <w:rFonts w:ascii="Verdana" w:hAnsi="Verdana"/>
          <w:sz w:val="20"/>
          <w:szCs w:val="20"/>
        </w:rPr>
      </w:pPr>
    </w:p>
    <w:p w14:paraId="0019102B" w14:textId="0C0FF861" w:rsidR="009B4A95" w:rsidRPr="00AD4AAE" w:rsidRDefault="00064B86" w:rsidP="009B4A95">
      <w:pPr>
        <w:spacing w:after="120" w:line="240" w:lineRule="auto"/>
        <w:jc w:val="both"/>
        <w:rPr>
          <w:rFonts w:ascii="Verdana" w:eastAsia="Calibri" w:hAnsi="Verdana" w:cs="Arial"/>
          <w:bCs/>
          <w:sz w:val="20"/>
          <w:szCs w:val="20"/>
        </w:rPr>
      </w:pPr>
      <w:r w:rsidRPr="00AD4AAE">
        <w:rPr>
          <w:rFonts w:ascii="Verdana" w:eastAsia="Century Gothic" w:hAnsi="Verdana" w:cs="Century Gothic"/>
          <w:color w:val="000000" w:themeColor="text1"/>
          <w:sz w:val="20"/>
          <w:szCs w:val="20"/>
        </w:rPr>
        <w:t xml:space="preserve">[…] </w:t>
      </w:r>
      <w:r w:rsidR="009B4A95" w:rsidRPr="00AD4AAE">
        <w:rPr>
          <w:rFonts w:ascii="Verdana" w:eastAsia="Calibri" w:hAnsi="Verdana" w:cs="Arial"/>
          <w:bCs/>
          <w:sz w:val="20"/>
          <w:szCs w:val="20"/>
        </w:rPr>
        <w:t xml:space="preserve">el </w:t>
      </w:r>
      <w:r w:rsidR="009B4A95" w:rsidRPr="00AD4AAE">
        <w:rPr>
          <w:rFonts w:ascii="Verdana" w:eastAsia="Calibri" w:hAnsi="Verdana" w:cs="Arial"/>
          <w:bCs/>
          <w:i/>
          <w:iCs/>
          <w:sz w:val="20"/>
          <w:szCs w:val="20"/>
        </w:rPr>
        <w:t>principio de planeación</w:t>
      </w:r>
      <w:r w:rsidR="009B4A95" w:rsidRPr="00AD4AAE">
        <w:rPr>
          <w:rFonts w:ascii="Verdana" w:eastAsia="Calibri" w:hAnsi="Verdana" w:cs="Arial"/>
          <w:bCs/>
          <w:sz w:val="20"/>
          <w:szCs w:val="20"/>
        </w:rPr>
        <w:t xml:space="preserve"> adquiere especial relevancia. Su fundamento se encuentra en los artículos 209, 339 y 441</w:t>
      </w:r>
      <w:r w:rsidR="00E32508" w:rsidRPr="00AD4AAE">
        <w:rPr>
          <w:rFonts w:ascii="Verdana" w:eastAsia="Calibri" w:hAnsi="Verdana" w:cs="Arial"/>
          <w:bCs/>
          <w:sz w:val="20"/>
          <w:szCs w:val="20"/>
        </w:rPr>
        <w:t xml:space="preserve"> constitucionales</w:t>
      </w:r>
      <w:r w:rsidR="009B4A95" w:rsidRPr="00AD4AAE">
        <w:rPr>
          <w:rFonts w:ascii="Verdana" w:eastAsia="Calibri" w:hAnsi="Verdana" w:cs="Arial"/>
          <w:bCs/>
          <w:sz w:val="20"/>
          <w:szCs w:val="20"/>
        </w:rPr>
        <w:t>, y ha sido desarrollado por la jurisprudencia de la Corte Constitucional y del Consejo de Estado. Dicho principio exige que la selección de contratistas, así como la celebración, ejecución y liquidación de los contratos, sean el resultado de una actividad programada y alineada con las políticas públicas. La Corte Constitucional ha señalado que este deber implica prever y definir las obligaciones mutuas de las partes, la distribución de riesgos, el precio, la financiación y las condiciones necesarias para que los interesados puedan formular ofertas viables.</w:t>
      </w:r>
    </w:p>
    <w:p w14:paraId="5C8DF95E" w14:textId="77777777" w:rsidR="009B4A95" w:rsidRPr="00AD4AAE" w:rsidRDefault="009B4A95" w:rsidP="009B4A95">
      <w:pPr>
        <w:spacing w:after="120" w:line="240" w:lineRule="auto"/>
        <w:jc w:val="both"/>
        <w:rPr>
          <w:rFonts w:ascii="Verdana" w:eastAsia="Calibri" w:hAnsi="Verdana" w:cs="Arial"/>
          <w:bCs/>
          <w:sz w:val="20"/>
          <w:szCs w:val="20"/>
        </w:rPr>
      </w:pPr>
      <w:r w:rsidRPr="00AD4AAE">
        <w:rPr>
          <w:rFonts w:ascii="Verdana" w:eastAsia="Calibri" w:hAnsi="Verdana" w:cs="Arial"/>
          <w:bCs/>
          <w:sz w:val="20"/>
          <w:szCs w:val="20"/>
        </w:rPr>
        <w:t>Un elemento innovador en la interpretación de este principio es la incorporación de un enfoque de derechos humanos. Tanto la Corte Constitucional como el Consejo de Estado han sostenido que las obligaciones derivadas de los contratos estatales incluyen no solo las prestaciones expresamente pactadas, sino también aquellas que se incorporan por virtud de la Constitución y los principios que orientan la actividad contractual.</w:t>
      </w:r>
    </w:p>
    <w:p w14:paraId="46AB4D84" w14:textId="77777777" w:rsidR="009B4A95" w:rsidRPr="00AD4AAE" w:rsidRDefault="009B4A95" w:rsidP="009B4A95">
      <w:pPr>
        <w:spacing w:after="240" w:line="240" w:lineRule="auto"/>
        <w:jc w:val="both"/>
        <w:rPr>
          <w:rFonts w:ascii="Verdana" w:eastAsia="Calibri" w:hAnsi="Verdana" w:cs="Arial"/>
          <w:bCs/>
          <w:sz w:val="20"/>
          <w:szCs w:val="20"/>
        </w:rPr>
      </w:pPr>
      <w:r w:rsidRPr="00AD4AAE">
        <w:rPr>
          <w:rFonts w:ascii="Verdana" w:eastAsia="Calibri" w:hAnsi="Verdana" w:cs="Arial"/>
          <w:bCs/>
          <w:sz w:val="20"/>
          <w:szCs w:val="20"/>
        </w:rPr>
        <w:t>Este enfoque implica que la planeación contractual debe considerar los riesgos que puedan afectar derechos fundamentales, tales como condiciones climáticas, de salud o fenómenos sociales como el reclutamiento forzado. De esta manera, la contratación pública se convierte en un instrumento para garantizar la efectividad de los derechos humanos y prevenir su vulneración. La selección del contratista, el objeto del contrato y el presupuesto destinado a su ejecución deben responder a este propósito constitucional.</w:t>
      </w:r>
    </w:p>
    <w:p w14:paraId="55E1BFCD" w14:textId="77777777" w:rsidR="009B4A95" w:rsidRPr="00AD4AAE" w:rsidRDefault="009B4A95" w:rsidP="009B4A95">
      <w:pPr>
        <w:spacing w:after="240" w:line="240" w:lineRule="auto"/>
        <w:jc w:val="both"/>
        <w:rPr>
          <w:rFonts w:ascii="Verdana" w:eastAsia="Calibri" w:hAnsi="Verdana" w:cs="Arial"/>
          <w:bCs/>
          <w:sz w:val="20"/>
          <w:szCs w:val="20"/>
        </w:rPr>
      </w:pPr>
      <w:r w:rsidRPr="00AD4AAE">
        <w:rPr>
          <w:rFonts w:ascii="Verdana" w:eastAsia="Calibri" w:hAnsi="Verdana" w:cs="Arial"/>
          <w:bCs/>
          <w:sz w:val="20"/>
          <w:szCs w:val="20"/>
        </w:rPr>
        <w:t xml:space="preserve">En consecuencia, la contratación estatal no solo persigue la satisfacción del interés general, sino que también debe atender fines constitucionales específicos, como la protección del medio ambiente y la garantía de la seguridad social. La perspectiva de derechos humanos, incorporada desde la planeación, orienta todas las etapas </w:t>
      </w:r>
      <w:r w:rsidRPr="00AD4AAE">
        <w:rPr>
          <w:rFonts w:ascii="Verdana" w:eastAsia="Calibri" w:hAnsi="Verdana" w:cs="Arial"/>
          <w:bCs/>
          <w:sz w:val="20"/>
          <w:szCs w:val="20"/>
        </w:rPr>
        <w:lastRenderedPageBreak/>
        <w:t>contractuales y asegura que la gestión pública se convierta en un mecanismo de justicia social.</w:t>
      </w:r>
      <w:r w:rsidRPr="00AD4AAE">
        <w:rPr>
          <w:rFonts w:ascii="Verdana" w:eastAsia="Century Gothic" w:hAnsi="Verdana" w:cs="Century Gothic"/>
          <w:color w:val="000000" w:themeColor="text1"/>
          <w:sz w:val="20"/>
          <w:szCs w:val="20"/>
        </w:rPr>
        <w:t xml:space="preserve"> […]</w:t>
      </w:r>
    </w:p>
    <w:p w14:paraId="5ACFE71B" w14:textId="44679C3E" w:rsidR="00E00C77" w:rsidRPr="00AD4AAE" w:rsidRDefault="00E00C77" w:rsidP="009B4A95">
      <w:pPr>
        <w:spacing w:after="240" w:line="240" w:lineRule="auto"/>
        <w:jc w:val="both"/>
        <w:rPr>
          <w:rFonts w:ascii="Verdana" w:eastAsia="Calibri" w:hAnsi="Verdana" w:cs="Arial"/>
          <w:bCs/>
          <w:sz w:val="20"/>
          <w:szCs w:val="20"/>
        </w:rPr>
      </w:pPr>
      <w:r w:rsidRPr="00AD4AAE">
        <w:rPr>
          <w:rFonts w:ascii="Verdana" w:eastAsia="Calibri" w:hAnsi="Verdana" w:cs="Arial"/>
          <w:b/>
          <w:lang w:eastAsia="es-ES_tradnl"/>
        </w:rPr>
        <w:t>IDONEIDAD – Concepto jurídico indeterminado</w:t>
      </w:r>
    </w:p>
    <w:p w14:paraId="06F847FE" w14:textId="173B5940" w:rsidR="00E00C77" w:rsidRPr="00AD4AAE" w:rsidRDefault="00E00C77" w:rsidP="00E00C77">
      <w:pPr>
        <w:spacing w:after="0" w:line="240" w:lineRule="auto"/>
        <w:jc w:val="both"/>
        <w:rPr>
          <w:rFonts w:ascii="Verdana" w:eastAsia="Calibri" w:hAnsi="Verdana" w:cs="Arial"/>
          <w:bCs/>
          <w:color w:val="000000" w:themeColor="text1"/>
          <w:sz w:val="20"/>
          <w:szCs w:val="20"/>
        </w:rPr>
      </w:pPr>
      <w:r w:rsidRPr="00AD4AAE">
        <w:rPr>
          <w:rFonts w:ascii="Verdana" w:eastAsia="Century Gothic" w:hAnsi="Verdana" w:cs="Century Gothic"/>
          <w:color w:val="000000" w:themeColor="text1"/>
          <w:sz w:val="20"/>
          <w:szCs w:val="20"/>
        </w:rPr>
        <w:t xml:space="preserve">“[…] </w:t>
      </w:r>
      <w:r w:rsidRPr="00AD4AAE">
        <w:rPr>
          <w:rFonts w:ascii="Verdana" w:eastAsia="Calibri" w:hAnsi="Verdana" w:cs="Arial"/>
          <w:bCs/>
          <w:color w:val="000000" w:themeColor="text1"/>
          <w:sz w:val="20"/>
          <w:szCs w:val="20"/>
        </w:rPr>
        <w:t>La idoneidad, como mínimo, se precisa en términos de conocimiento y de experiencia, es decir, en la combinación entre el “saber” y el “saber hacer”. Estas capacidades se analizan en relación con el objeto del contrato, de donde se deprenden aptitudes teóricas y prácticas para ejecutar el proyecto. Además de lo anterior, puede verificarse con criterios como las capacidades del personal vinculado, una estructura organizacional robusta, la implementación y cumplimiento de indicadores de gestión, reputación del organismo en el medio, entre otras. Como se observa, la idoneidad es un concepto que se determina de forma valorativa, esto es, de acuerdo con el parámetro de verificación que se adopte.</w:t>
      </w:r>
      <w:r w:rsidR="003B03DB" w:rsidRPr="00AD4AAE">
        <w:rPr>
          <w:rFonts w:ascii="Verdana" w:eastAsia="Calibri" w:hAnsi="Verdana" w:cs="Arial"/>
          <w:bCs/>
          <w:color w:val="000000" w:themeColor="text1"/>
          <w:sz w:val="20"/>
          <w:szCs w:val="20"/>
        </w:rPr>
        <w:t xml:space="preserve"> </w:t>
      </w:r>
      <w:r w:rsidRPr="00AD4AAE">
        <w:rPr>
          <w:rFonts w:ascii="Verdana" w:eastAsia="Century Gothic" w:hAnsi="Verdana" w:cs="Century Gothic"/>
          <w:color w:val="000000" w:themeColor="text1"/>
          <w:sz w:val="20"/>
          <w:szCs w:val="20"/>
        </w:rPr>
        <w:t>[…]”</w:t>
      </w:r>
    </w:p>
    <w:p w14:paraId="6E6CB104" w14:textId="77777777" w:rsidR="00E00C77" w:rsidRPr="00AD4AAE" w:rsidRDefault="00E00C77" w:rsidP="00D819B4">
      <w:pPr>
        <w:spacing w:after="0"/>
        <w:rPr>
          <w:rFonts w:ascii="Verdana" w:hAnsi="Verdana"/>
        </w:rPr>
      </w:pPr>
    </w:p>
    <w:p w14:paraId="335583C6" w14:textId="77777777" w:rsidR="00DA53AF" w:rsidRPr="00AD4AAE" w:rsidRDefault="00DA53AF" w:rsidP="00D819B4">
      <w:pPr>
        <w:spacing w:after="0"/>
        <w:rPr>
          <w:rFonts w:ascii="Verdana" w:hAnsi="Verdana"/>
        </w:rPr>
      </w:pPr>
    </w:p>
    <w:p w14:paraId="762A03C1" w14:textId="77777777" w:rsidR="00DA53AF" w:rsidRPr="00AD4AAE" w:rsidRDefault="00DA53AF" w:rsidP="00D819B4">
      <w:pPr>
        <w:spacing w:after="0"/>
        <w:rPr>
          <w:rFonts w:ascii="Verdana" w:hAnsi="Verdana"/>
        </w:rPr>
      </w:pPr>
    </w:p>
    <w:p w14:paraId="373C3274" w14:textId="77777777" w:rsidR="00DA53AF" w:rsidRPr="00AD4AAE" w:rsidRDefault="00DA53AF" w:rsidP="00D819B4">
      <w:pPr>
        <w:spacing w:after="0"/>
        <w:rPr>
          <w:rFonts w:ascii="Verdana" w:hAnsi="Verdana"/>
        </w:rPr>
      </w:pPr>
    </w:p>
    <w:p w14:paraId="0EEC420F" w14:textId="77777777" w:rsidR="00DA53AF" w:rsidRPr="00AD4AAE" w:rsidRDefault="00DA53AF" w:rsidP="00D819B4">
      <w:pPr>
        <w:spacing w:after="0"/>
        <w:rPr>
          <w:rFonts w:ascii="Verdana" w:hAnsi="Verdana"/>
        </w:rPr>
      </w:pPr>
    </w:p>
    <w:p w14:paraId="08B2FE0F" w14:textId="77777777" w:rsidR="00DA53AF" w:rsidRPr="00AD4AAE" w:rsidRDefault="00DA53AF" w:rsidP="00D819B4">
      <w:pPr>
        <w:spacing w:after="0"/>
        <w:rPr>
          <w:rFonts w:ascii="Verdana" w:hAnsi="Verdana"/>
        </w:rPr>
      </w:pPr>
    </w:p>
    <w:p w14:paraId="24B640F8" w14:textId="77777777" w:rsidR="00DA53AF" w:rsidRPr="00AD4AAE" w:rsidRDefault="00DA53AF" w:rsidP="00D819B4">
      <w:pPr>
        <w:spacing w:after="0"/>
        <w:rPr>
          <w:rFonts w:ascii="Verdana" w:hAnsi="Verdana"/>
        </w:rPr>
      </w:pPr>
    </w:p>
    <w:p w14:paraId="056E844F" w14:textId="77777777" w:rsidR="00DA53AF" w:rsidRPr="00AD4AAE" w:rsidRDefault="00DA53AF" w:rsidP="00D819B4">
      <w:pPr>
        <w:spacing w:after="0"/>
        <w:rPr>
          <w:rFonts w:ascii="Verdana" w:hAnsi="Verdana"/>
        </w:rPr>
      </w:pPr>
    </w:p>
    <w:p w14:paraId="6C187405" w14:textId="77777777" w:rsidR="00DA53AF" w:rsidRPr="00AD4AAE" w:rsidRDefault="00DA53AF" w:rsidP="00D819B4">
      <w:pPr>
        <w:spacing w:after="0"/>
        <w:rPr>
          <w:rFonts w:ascii="Verdana" w:hAnsi="Verdana"/>
        </w:rPr>
      </w:pPr>
    </w:p>
    <w:p w14:paraId="71E4EB40" w14:textId="77777777" w:rsidR="00DA53AF" w:rsidRPr="00AD4AAE" w:rsidRDefault="00DA53AF" w:rsidP="00D819B4">
      <w:pPr>
        <w:spacing w:after="0"/>
        <w:rPr>
          <w:rFonts w:ascii="Verdana" w:hAnsi="Verdana"/>
        </w:rPr>
      </w:pPr>
    </w:p>
    <w:p w14:paraId="0F604436" w14:textId="77777777" w:rsidR="00DA53AF" w:rsidRPr="00AD4AAE" w:rsidRDefault="00DA53AF" w:rsidP="00D819B4">
      <w:pPr>
        <w:spacing w:after="0"/>
        <w:rPr>
          <w:rFonts w:ascii="Verdana" w:hAnsi="Verdana"/>
        </w:rPr>
      </w:pPr>
    </w:p>
    <w:p w14:paraId="668FA426" w14:textId="77777777" w:rsidR="00DA53AF" w:rsidRPr="00AD4AAE" w:rsidRDefault="00DA53AF" w:rsidP="00D819B4">
      <w:pPr>
        <w:spacing w:after="0"/>
        <w:rPr>
          <w:rFonts w:ascii="Verdana" w:hAnsi="Verdana"/>
        </w:rPr>
      </w:pPr>
    </w:p>
    <w:p w14:paraId="258A1320" w14:textId="77777777" w:rsidR="00DA53AF" w:rsidRPr="00AD4AAE" w:rsidRDefault="00DA53AF" w:rsidP="00D819B4">
      <w:pPr>
        <w:spacing w:after="0"/>
        <w:rPr>
          <w:rFonts w:ascii="Verdana" w:hAnsi="Verdana"/>
        </w:rPr>
      </w:pPr>
    </w:p>
    <w:p w14:paraId="2302DF19" w14:textId="77777777" w:rsidR="00DA53AF" w:rsidRPr="00AD4AAE" w:rsidRDefault="00DA53AF" w:rsidP="00D819B4">
      <w:pPr>
        <w:spacing w:after="0"/>
        <w:rPr>
          <w:rFonts w:ascii="Verdana" w:hAnsi="Verdana"/>
        </w:rPr>
      </w:pPr>
    </w:p>
    <w:p w14:paraId="6041A5B8" w14:textId="77777777" w:rsidR="00DA53AF" w:rsidRPr="00AD4AAE" w:rsidRDefault="00DA53AF" w:rsidP="00D819B4">
      <w:pPr>
        <w:spacing w:after="0"/>
        <w:rPr>
          <w:rFonts w:ascii="Verdana" w:hAnsi="Verdana"/>
        </w:rPr>
      </w:pPr>
    </w:p>
    <w:p w14:paraId="21EE6992" w14:textId="77777777" w:rsidR="00DA53AF" w:rsidRPr="00AD4AAE" w:rsidRDefault="00DA53AF" w:rsidP="00D819B4">
      <w:pPr>
        <w:spacing w:after="0"/>
        <w:rPr>
          <w:rFonts w:ascii="Verdana" w:hAnsi="Verdana"/>
        </w:rPr>
      </w:pPr>
    </w:p>
    <w:p w14:paraId="1A772AEF" w14:textId="77777777" w:rsidR="00DA53AF" w:rsidRPr="00AD4AAE" w:rsidRDefault="00DA53AF" w:rsidP="00D819B4">
      <w:pPr>
        <w:spacing w:after="0"/>
        <w:rPr>
          <w:rFonts w:ascii="Verdana" w:hAnsi="Verdana"/>
        </w:rPr>
      </w:pPr>
    </w:p>
    <w:p w14:paraId="48D67324" w14:textId="77777777" w:rsidR="00DA53AF" w:rsidRPr="00AD4AAE" w:rsidRDefault="00DA53AF" w:rsidP="00D819B4">
      <w:pPr>
        <w:spacing w:after="0"/>
        <w:rPr>
          <w:rFonts w:ascii="Verdana" w:hAnsi="Verdana"/>
        </w:rPr>
      </w:pPr>
    </w:p>
    <w:p w14:paraId="7800C662" w14:textId="77777777" w:rsidR="00DA53AF" w:rsidRPr="00AD4AAE" w:rsidRDefault="00DA53AF" w:rsidP="00D819B4">
      <w:pPr>
        <w:spacing w:after="0"/>
        <w:rPr>
          <w:rFonts w:ascii="Verdana" w:hAnsi="Verdana"/>
        </w:rPr>
      </w:pPr>
    </w:p>
    <w:p w14:paraId="13099017" w14:textId="77777777" w:rsidR="00DA53AF" w:rsidRPr="00AD4AAE" w:rsidRDefault="00DA53AF" w:rsidP="00D819B4">
      <w:pPr>
        <w:spacing w:after="0"/>
        <w:rPr>
          <w:rFonts w:ascii="Verdana" w:hAnsi="Verdana"/>
        </w:rPr>
      </w:pPr>
    </w:p>
    <w:p w14:paraId="468E273C" w14:textId="77777777" w:rsidR="00DA53AF" w:rsidRPr="00AD4AAE" w:rsidRDefault="00DA53AF" w:rsidP="00D819B4">
      <w:pPr>
        <w:spacing w:after="0"/>
        <w:rPr>
          <w:rFonts w:ascii="Verdana" w:hAnsi="Verdana"/>
        </w:rPr>
      </w:pPr>
    </w:p>
    <w:p w14:paraId="1F32923D" w14:textId="77777777" w:rsidR="00DA53AF" w:rsidRPr="00AD4AAE" w:rsidRDefault="00DA53AF" w:rsidP="00D819B4">
      <w:pPr>
        <w:spacing w:after="0"/>
        <w:rPr>
          <w:rFonts w:ascii="Verdana" w:hAnsi="Verdana"/>
        </w:rPr>
      </w:pPr>
    </w:p>
    <w:p w14:paraId="72BC390A" w14:textId="77777777" w:rsidR="00DA53AF" w:rsidRPr="00AD4AAE" w:rsidRDefault="00DA53AF" w:rsidP="00D819B4">
      <w:pPr>
        <w:spacing w:after="0"/>
        <w:rPr>
          <w:rFonts w:ascii="Verdana" w:hAnsi="Verdana"/>
        </w:rPr>
      </w:pPr>
    </w:p>
    <w:p w14:paraId="2700E052" w14:textId="77777777" w:rsidR="00DA53AF" w:rsidRPr="00AD4AAE" w:rsidRDefault="00DA53AF" w:rsidP="00D819B4">
      <w:pPr>
        <w:spacing w:after="0"/>
        <w:rPr>
          <w:rFonts w:ascii="Verdana" w:hAnsi="Verdana"/>
        </w:rPr>
      </w:pPr>
    </w:p>
    <w:p w14:paraId="125AB6BE" w14:textId="77777777" w:rsidR="00DA53AF" w:rsidRPr="00AD4AAE" w:rsidRDefault="00DA53AF" w:rsidP="00D819B4">
      <w:pPr>
        <w:spacing w:after="0"/>
        <w:rPr>
          <w:rFonts w:ascii="Verdana" w:hAnsi="Verdana"/>
        </w:rPr>
      </w:pPr>
    </w:p>
    <w:p w14:paraId="42BDB074" w14:textId="77777777" w:rsidR="00DA53AF" w:rsidRPr="00AD4AAE" w:rsidRDefault="00DA53AF" w:rsidP="00D819B4">
      <w:pPr>
        <w:spacing w:after="0"/>
        <w:rPr>
          <w:rFonts w:ascii="Verdana" w:hAnsi="Verdana"/>
        </w:rPr>
      </w:pPr>
    </w:p>
    <w:p w14:paraId="355E9BE1" w14:textId="77777777" w:rsidR="00DA53AF" w:rsidRPr="00AD4AAE" w:rsidRDefault="00DA53AF" w:rsidP="00D819B4">
      <w:pPr>
        <w:spacing w:after="0"/>
        <w:rPr>
          <w:rFonts w:ascii="Verdana" w:hAnsi="Verdana"/>
        </w:rPr>
      </w:pPr>
    </w:p>
    <w:p w14:paraId="3B3E0024" w14:textId="77777777" w:rsidR="001B555E" w:rsidRDefault="001B555E" w:rsidP="00D819B4">
      <w:pPr>
        <w:spacing w:after="0"/>
        <w:rPr>
          <w:rFonts w:ascii="Verdana" w:hAnsi="Verdana"/>
        </w:rPr>
      </w:pPr>
    </w:p>
    <w:p w14:paraId="44B88E50" w14:textId="7B2B836B" w:rsidR="00D819B4" w:rsidRPr="00AD4AAE" w:rsidRDefault="00D819B4" w:rsidP="00D819B4">
      <w:pPr>
        <w:spacing w:after="0"/>
        <w:rPr>
          <w:rFonts w:ascii="Verdana" w:hAnsi="Verdana"/>
        </w:rPr>
      </w:pPr>
      <w:r w:rsidRPr="00AD4AAE">
        <w:rPr>
          <w:rFonts w:ascii="Verdana" w:hAnsi="Verdana"/>
        </w:rPr>
        <w:lastRenderedPageBreak/>
        <w:t xml:space="preserve">Bogotá D.C., </w:t>
      </w:r>
      <w:r w:rsidR="001B555E">
        <w:rPr>
          <w:rFonts w:ascii="Verdana" w:hAnsi="Verdana"/>
        </w:rPr>
        <w:t>02 Febrero 2026</w:t>
      </w:r>
    </w:p>
    <w:p w14:paraId="09F67070" w14:textId="289FA4B4" w:rsidR="004B6767" w:rsidRPr="00AD4AAE" w:rsidRDefault="00906B98" w:rsidP="004B6767">
      <w:pPr>
        <w:spacing w:after="0"/>
        <w:rPr>
          <w:rFonts w:ascii="Verdana" w:hAnsi="Verdana"/>
          <w:lang w:val="es-ES"/>
        </w:rPr>
      </w:pPr>
      <w:r w:rsidRPr="00906B98">
        <w:rPr>
          <w:rFonts w:ascii="Verdana" w:eastAsia="Calibri" w:hAnsi="Verdana" w:cs="Arial"/>
          <w:lang w:val="es-ES" w:eastAsia="es-ES"/>
        </w:rPr>
        <w:drawing>
          <wp:anchor distT="0" distB="0" distL="114300" distR="114300" simplePos="0" relativeHeight="251659264" behindDoc="1" locked="0" layoutInCell="1" allowOverlap="1" wp14:anchorId="545E2FB8" wp14:editId="7CED5ACD">
            <wp:simplePos x="0" y="0"/>
            <wp:positionH relativeFrom="margin">
              <wp:align>right</wp:align>
            </wp:positionH>
            <wp:positionV relativeFrom="paragraph">
              <wp:posOffset>116840</wp:posOffset>
            </wp:positionV>
            <wp:extent cx="2594344" cy="804575"/>
            <wp:effectExtent l="0" t="0" r="0" b="0"/>
            <wp:wrapNone/>
            <wp:docPr id="199736834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368348"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594344" cy="804575"/>
                    </a:xfrm>
                    <a:prstGeom prst="rect">
                      <a:avLst/>
                    </a:prstGeom>
                  </pic:spPr>
                </pic:pic>
              </a:graphicData>
            </a:graphic>
            <wp14:sizeRelH relativeFrom="margin">
              <wp14:pctWidth>0</wp14:pctWidth>
            </wp14:sizeRelH>
            <wp14:sizeRelV relativeFrom="margin">
              <wp14:pctHeight>0</wp14:pctHeight>
            </wp14:sizeRelV>
          </wp:anchor>
        </w:drawing>
      </w:r>
    </w:p>
    <w:p w14:paraId="4E441E27" w14:textId="75B129DB" w:rsidR="004B6767" w:rsidRPr="00AD4AAE" w:rsidRDefault="004B6767" w:rsidP="004B6767">
      <w:pPr>
        <w:spacing w:after="0" w:line="240" w:lineRule="auto"/>
        <w:rPr>
          <w:rFonts w:ascii="Verdana" w:hAnsi="Verdana"/>
          <w:lang w:val="es-ES"/>
        </w:rPr>
      </w:pPr>
      <w:bookmarkStart w:id="0" w:name="_Hlk143780582"/>
      <w:r w:rsidRPr="00AD4AAE">
        <w:rPr>
          <w:rFonts w:ascii="Verdana" w:eastAsia="Calibri" w:hAnsi="Verdana" w:cs="Arial"/>
          <w:lang w:val="es-ES" w:eastAsia="es-ES"/>
        </w:rPr>
        <w:t>Señor</w:t>
      </w:r>
    </w:p>
    <w:p w14:paraId="2645911E" w14:textId="41C94188" w:rsidR="004B6767" w:rsidRPr="00AD4AAE" w:rsidRDefault="00597B52" w:rsidP="004B6767">
      <w:pPr>
        <w:spacing w:after="0"/>
        <w:rPr>
          <w:rFonts w:ascii="Verdana" w:eastAsia="Calibri" w:hAnsi="Verdana" w:cs="Arial"/>
          <w:b/>
          <w:bCs/>
          <w:lang w:eastAsia="es-ES"/>
        </w:rPr>
      </w:pPr>
      <w:r w:rsidRPr="00AD4AAE">
        <w:rPr>
          <w:rFonts w:ascii="Verdana" w:eastAsia="Calibri" w:hAnsi="Verdana" w:cs="Arial"/>
          <w:b/>
          <w:bCs/>
          <w:lang w:eastAsia="es-ES"/>
        </w:rPr>
        <w:t>Iván Darío Gutiérrez Cardozo</w:t>
      </w:r>
    </w:p>
    <w:p w14:paraId="6960047B" w14:textId="6F716143" w:rsidR="005F732A" w:rsidRPr="00AD4AAE" w:rsidRDefault="003B17DB" w:rsidP="004B6767">
      <w:pPr>
        <w:spacing w:after="0"/>
        <w:rPr>
          <w:rFonts w:ascii="Verdana" w:eastAsia="Calibri" w:hAnsi="Verdana" w:cs="Arial"/>
          <w:lang w:eastAsia="es-ES"/>
        </w:rPr>
      </w:pPr>
      <w:hyperlink r:id="rId12" w:history="1">
        <w:r w:rsidRPr="00AD4AAE">
          <w:rPr>
            <w:rStyle w:val="Hipervnculo"/>
            <w:rFonts w:ascii="Verdana" w:eastAsia="Calibri" w:hAnsi="Verdana" w:cs="Arial"/>
            <w:lang w:eastAsia="es-ES"/>
          </w:rPr>
          <w:t>ivandariog@hotmail.com</w:t>
        </w:r>
      </w:hyperlink>
      <w:r w:rsidRPr="00AD4AAE">
        <w:rPr>
          <w:rFonts w:ascii="Verdana" w:eastAsia="Calibri" w:hAnsi="Verdana" w:cs="Arial"/>
          <w:lang w:eastAsia="es-ES"/>
        </w:rPr>
        <w:t xml:space="preserve"> </w:t>
      </w:r>
    </w:p>
    <w:p w14:paraId="2683F0FD" w14:textId="759EC24C" w:rsidR="004B6767" w:rsidRPr="00AD4AAE" w:rsidRDefault="00597B52" w:rsidP="00365529">
      <w:pPr>
        <w:spacing w:after="0"/>
        <w:rPr>
          <w:rFonts w:ascii="Verdana" w:eastAsia="Calibri" w:hAnsi="Verdana" w:cs="Arial"/>
          <w:lang w:val="es-ES" w:eastAsia="es-ES"/>
        </w:rPr>
      </w:pPr>
      <w:r w:rsidRPr="00AD4AAE">
        <w:rPr>
          <w:rFonts w:ascii="Verdana" w:eastAsia="Calibri" w:hAnsi="Verdana" w:cs="Arial"/>
          <w:lang w:val="es-ES" w:eastAsia="es-ES"/>
        </w:rPr>
        <w:t>Neiva, Huila</w:t>
      </w:r>
    </w:p>
    <w:p w14:paraId="412F76BA" w14:textId="77777777" w:rsidR="00365529" w:rsidRPr="00AD4AAE" w:rsidRDefault="00365529" w:rsidP="00365529">
      <w:pPr>
        <w:spacing w:after="0"/>
        <w:rPr>
          <w:rFonts w:ascii="Verdana" w:eastAsia="Calibri" w:hAnsi="Verdana" w:cs="Arial"/>
          <w:color w:val="EE0000"/>
          <w:lang w:val="es-ES" w:eastAsia="es-ES"/>
        </w:rPr>
      </w:pPr>
    </w:p>
    <w:p w14:paraId="2EC0D062" w14:textId="77777777" w:rsidR="004B6767" w:rsidRPr="00AD4AAE" w:rsidRDefault="004B6767" w:rsidP="004B6767">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9F4646" w:rsidRPr="00AD4AAE" w14:paraId="0D607849" w14:textId="77777777" w:rsidTr="00E67E18">
        <w:trPr>
          <w:trHeight w:val="300"/>
        </w:trPr>
        <w:tc>
          <w:tcPr>
            <w:tcW w:w="2410" w:type="dxa"/>
          </w:tcPr>
          <w:p w14:paraId="36071B77" w14:textId="77777777" w:rsidR="004B6767" w:rsidRPr="00AD4AAE" w:rsidRDefault="004B6767" w:rsidP="00E67E18">
            <w:pPr>
              <w:ind w:left="-142"/>
              <w:jc w:val="both"/>
              <w:rPr>
                <w:rFonts w:ascii="Verdana" w:eastAsia="Calibri" w:hAnsi="Verdana" w:cs="Arial"/>
                <w:b/>
                <w:bCs/>
                <w:color w:val="EE0000"/>
                <w:lang w:val="es-ES" w:eastAsia="es-ES_tradnl"/>
              </w:rPr>
            </w:pPr>
          </w:p>
        </w:tc>
        <w:tc>
          <w:tcPr>
            <w:tcW w:w="6100" w:type="dxa"/>
          </w:tcPr>
          <w:p w14:paraId="49B5723B" w14:textId="18805254" w:rsidR="004B6767" w:rsidRPr="00AD4AAE" w:rsidRDefault="004B6767" w:rsidP="00E67E18">
            <w:pPr>
              <w:ind w:left="3"/>
              <w:jc w:val="both"/>
              <w:rPr>
                <w:rFonts w:ascii="Verdana" w:eastAsia="Calibri" w:hAnsi="Verdana" w:cs="Arial"/>
                <w:b/>
                <w:bCs/>
                <w:lang w:val="es-ES" w:eastAsia="es-ES"/>
              </w:rPr>
            </w:pPr>
            <w:r w:rsidRPr="00AD4AAE">
              <w:rPr>
                <w:rFonts w:ascii="Verdana" w:eastAsia="Calibri" w:hAnsi="Verdana" w:cs="Arial"/>
                <w:b/>
                <w:bCs/>
                <w:lang w:val="es-ES" w:eastAsia="es-ES"/>
              </w:rPr>
              <w:t>Concepto C-</w:t>
            </w:r>
            <w:r w:rsidR="005A27D9" w:rsidRPr="00AD4AAE">
              <w:rPr>
                <w:rFonts w:ascii="Verdana" w:eastAsia="Calibri" w:hAnsi="Verdana" w:cs="Arial"/>
                <w:b/>
                <w:bCs/>
                <w:lang w:val="es-ES" w:eastAsia="es-ES"/>
              </w:rPr>
              <w:t>1</w:t>
            </w:r>
            <w:r w:rsidR="00597B52" w:rsidRPr="00AD4AAE">
              <w:rPr>
                <w:rFonts w:ascii="Verdana" w:eastAsia="Calibri" w:hAnsi="Verdana" w:cs="Arial"/>
                <w:b/>
                <w:bCs/>
                <w:lang w:val="es-ES" w:eastAsia="es-ES"/>
              </w:rPr>
              <w:t>855</w:t>
            </w:r>
            <w:r w:rsidRPr="00AD4AAE">
              <w:rPr>
                <w:rFonts w:ascii="Verdana" w:eastAsia="Calibri" w:hAnsi="Verdana" w:cs="Arial"/>
                <w:b/>
                <w:bCs/>
                <w:lang w:val="es-ES" w:eastAsia="es-ES"/>
              </w:rPr>
              <w:t xml:space="preserve"> de </w:t>
            </w:r>
            <w:r w:rsidR="00BB72A1" w:rsidRPr="00AD4AAE">
              <w:rPr>
                <w:rFonts w:ascii="Verdana" w:eastAsia="Calibri" w:hAnsi="Verdana" w:cs="Arial"/>
                <w:b/>
                <w:bCs/>
                <w:lang w:val="es-ES" w:eastAsia="es-ES"/>
              </w:rPr>
              <w:t>2025</w:t>
            </w:r>
          </w:p>
          <w:p w14:paraId="50EC1EA5" w14:textId="77777777" w:rsidR="004B6767" w:rsidRPr="00AD4AAE" w:rsidRDefault="004B6767" w:rsidP="00E67E18">
            <w:pPr>
              <w:ind w:left="3"/>
              <w:jc w:val="both"/>
              <w:rPr>
                <w:rFonts w:ascii="Verdana" w:eastAsia="Calibri" w:hAnsi="Verdana" w:cs="Arial"/>
                <w:b/>
                <w:bCs/>
                <w:color w:val="EE0000"/>
                <w:lang w:val="es-ES" w:eastAsia="es-ES"/>
              </w:rPr>
            </w:pPr>
          </w:p>
        </w:tc>
      </w:tr>
      <w:tr w:rsidR="009F4646" w:rsidRPr="00AD4AAE" w14:paraId="76159873" w14:textId="77777777" w:rsidTr="00E67E18">
        <w:trPr>
          <w:trHeight w:val="300"/>
        </w:trPr>
        <w:tc>
          <w:tcPr>
            <w:tcW w:w="2410" w:type="dxa"/>
          </w:tcPr>
          <w:p w14:paraId="48F341EA" w14:textId="77777777" w:rsidR="004B6767" w:rsidRPr="00AD4AAE" w:rsidRDefault="004B6767" w:rsidP="00E67E18">
            <w:pPr>
              <w:ind w:left="424" w:firstLine="142"/>
              <w:jc w:val="both"/>
              <w:rPr>
                <w:rFonts w:ascii="Verdana" w:eastAsia="Calibri" w:hAnsi="Verdana" w:cs="Arial"/>
                <w:lang w:val="es-ES" w:eastAsia="es-ES_tradnl"/>
              </w:rPr>
            </w:pPr>
            <w:r w:rsidRPr="00AD4AAE">
              <w:rPr>
                <w:rFonts w:ascii="Verdana" w:eastAsia="Calibri" w:hAnsi="Verdana" w:cs="Arial"/>
                <w:b/>
                <w:lang w:val="es-ES" w:eastAsia="es-ES_tradnl"/>
              </w:rPr>
              <w:t>Temas:</w:t>
            </w:r>
            <w:r w:rsidRPr="00AD4AAE">
              <w:rPr>
                <w:rFonts w:ascii="Verdana" w:eastAsia="Calibri" w:hAnsi="Verdana" w:cs="Arial"/>
                <w:lang w:val="es-ES" w:eastAsia="es-ES_tradnl"/>
              </w:rPr>
              <w:t xml:space="preserve">                  </w:t>
            </w:r>
          </w:p>
        </w:tc>
        <w:tc>
          <w:tcPr>
            <w:tcW w:w="6100" w:type="dxa"/>
          </w:tcPr>
          <w:p w14:paraId="6808E31C" w14:textId="60249AC2" w:rsidR="00C10345" w:rsidRPr="00AD4AAE" w:rsidRDefault="00C10345" w:rsidP="00C10345">
            <w:pPr>
              <w:jc w:val="both"/>
              <w:rPr>
                <w:rFonts w:ascii="Verdana" w:eastAsia="Calibri" w:hAnsi="Verdana" w:cs="Arial"/>
                <w:lang w:eastAsia="es-ES_tradnl"/>
              </w:rPr>
            </w:pPr>
            <w:r w:rsidRPr="00AD4AAE">
              <w:rPr>
                <w:rFonts w:ascii="Verdana" w:eastAsia="Calibri" w:hAnsi="Verdana" w:cs="Arial"/>
                <w:lang w:eastAsia="es-ES_tradnl"/>
              </w:rPr>
              <w:t>PLANEACIÓN CONTRACTUAL – Noción – Obligación de las entidades – Ley 80 de 1993</w:t>
            </w:r>
            <w:r w:rsidR="00674149" w:rsidRPr="00AD4AAE">
              <w:rPr>
                <w:rFonts w:ascii="Verdana" w:eastAsia="Calibri" w:hAnsi="Verdana" w:cs="Arial"/>
                <w:lang w:eastAsia="es-ES_tradnl"/>
              </w:rPr>
              <w:t xml:space="preserve"> / PLANEACIÓN CONTRACTUAL – Enfoque de Derechos Humanos / IDONEIDAD – Concepto jurídico indeterminado</w:t>
            </w:r>
          </w:p>
          <w:p w14:paraId="37348D18" w14:textId="2F479429" w:rsidR="00867799" w:rsidRPr="00AD4AAE" w:rsidRDefault="00867799" w:rsidP="00867799">
            <w:pPr>
              <w:tabs>
                <w:tab w:val="left" w:pos="3374"/>
              </w:tabs>
              <w:jc w:val="both"/>
              <w:rPr>
                <w:rFonts w:ascii="Verdana" w:eastAsia="Calibri" w:hAnsi="Verdana" w:cs="Arial"/>
              </w:rPr>
            </w:pPr>
          </w:p>
        </w:tc>
      </w:tr>
      <w:tr w:rsidR="009F4646" w:rsidRPr="00AD4AAE" w14:paraId="647D498E" w14:textId="77777777" w:rsidTr="00502DE0">
        <w:trPr>
          <w:trHeight w:val="350"/>
        </w:trPr>
        <w:tc>
          <w:tcPr>
            <w:tcW w:w="2410" w:type="dxa"/>
          </w:tcPr>
          <w:p w14:paraId="35865F9A" w14:textId="77777777" w:rsidR="004B6767" w:rsidRPr="00AD4AAE" w:rsidRDefault="004B6767" w:rsidP="00E67E18">
            <w:pPr>
              <w:ind w:left="561"/>
              <w:jc w:val="both"/>
              <w:rPr>
                <w:rFonts w:ascii="Verdana" w:eastAsia="Calibri" w:hAnsi="Verdana" w:cs="Arial"/>
                <w:b/>
                <w:lang w:val="es-ES" w:eastAsia="es-ES_tradnl"/>
              </w:rPr>
            </w:pPr>
            <w:r w:rsidRPr="00AD4AAE">
              <w:rPr>
                <w:rFonts w:ascii="Verdana" w:eastAsia="Calibri" w:hAnsi="Verdana" w:cs="Arial"/>
                <w:b/>
                <w:lang w:val="es-ES" w:eastAsia="es-ES_tradnl"/>
              </w:rPr>
              <w:t>Radicación:</w:t>
            </w:r>
            <w:r w:rsidRPr="00AD4AAE">
              <w:rPr>
                <w:rFonts w:ascii="Verdana" w:eastAsia="Calibri" w:hAnsi="Verdana" w:cs="Arial"/>
                <w:lang w:val="es-ES" w:eastAsia="es-ES_tradnl"/>
              </w:rPr>
              <w:t xml:space="preserve">              </w:t>
            </w:r>
          </w:p>
        </w:tc>
        <w:tc>
          <w:tcPr>
            <w:tcW w:w="6100" w:type="dxa"/>
          </w:tcPr>
          <w:p w14:paraId="7F0E591A" w14:textId="6F7592C1" w:rsidR="004B6767" w:rsidRPr="00AD4AAE" w:rsidRDefault="004B6767" w:rsidP="00E67E18">
            <w:pPr>
              <w:ind w:left="3"/>
              <w:jc w:val="both"/>
              <w:rPr>
                <w:rFonts w:ascii="Verdana" w:hAnsi="Verdana"/>
                <w:lang w:val="es-ES"/>
              </w:rPr>
            </w:pPr>
            <w:r w:rsidRPr="00AD4AAE">
              <w:rPr>
                <w:rFonts w:ascii="Verdana" w:eastAsia="Calibri" w:hAnsi="Verdana" w:cs="Arial"/>
                <w:lang w:val="es-ES" w:eastAsia="es-ES"/>
              </w:rPr>
              <w:t xml:space="preserve">Respuesta a consulta con radicado No. </w:t>
            </w:r>
            <w:r w:rsidR="0065292E" w:rsidRPr="00AD4AAE">
              <w:rPr>
                <w:rFonts w:ascii="Verdana" w:eastAsia="Calibri" w:hAnsi="Verdana" w:cs="Arial"/>
                <w:lang w:val="es-ES" w:eastAsia="es-ES"/>
              </w:rPr>
              <w:t>1_2025_12_21_014237</w:t>
            </w:r>
          </w:p>
        </w:tc>
      </w:tr>
    </w:tbl>
    <w:p w14:paraId="69103731" w14:textId="77777777" w:rsidR="004B6767" w:rsidRPr="00AD4AAE" w:rsidRDefault="004B6767" w:rsidP="004B6767">
      <w:pPr>
        <w:spacing w:after="0" w:line="276" w:lineRule="auto"/>
        <w:jc w:val="both"/>
        <w:rPr>
          <w:rFonts w:ascii="Verdana" w:eastAsia="Calibri" w:hAnsi="Verdana" w:cs="Arial"/>
          <w:color w:val="EE0000"/>
          <w:lang w:val="es-ES" w:eastAsia="es-ES"/>
        </w:rPr>
      </w:pPr>
    </w:p>
    <w:p w14:paraId="0751974A" w14:textId="77777777" w:rsidR="007F14E9" w:rsidRPr="00AD4AAE" w:rsidRDefault="007F14E9" w:rsidP="004B6767">
      <w:pPr>
        <w:spacing w:after="0" w:line="276" w:lineRule="auto"/>
        <w:jc w:val="both"/>
        <w:rPr>
          <w:rFonts w:ascii="Verdana" w:eastAsia="Calibri" w:hAnsi="Verdana" w:cs="Arial"/>
          <w:color w:val="EE0000"/>
          <w:lang w:val="es-ES" w:eastAsia="es-ES"/>
        </w:rPr>
      </w:pPr>
    </w:p>
    <w:p w14:paraId="2E223CFA" w14:textId="56DB6C7A" w:rsidR="004B6767" w:rsidRPr="00AD4AAE" w:rsidRDefault="004B6767" w:rsidP="004B6767">
      <w:pPr>
        <w:spacing w:after="0" w:line="276" w:lineRule="auto"/>
        <w:jc w:val="both"/>
        <w:rPr>
          <w:rFonts w:ascii="Verdana" w:eastAsia="Calibri" w:hAnsi="Verdana" w:cs="Arial"/>
          <w:lang w:val="es-ES" w:eastAsia="es-ES"/>
        </w:rPr>
      </w:pPr>
      <w:r w:rsidRPr="00AD4AAE">
        <w:rPr>
          <w:rFonts w:ascii="Verdana" w:eastAsia="Calibri" w:hAnsi="Verdana" w:cs="Arial"/>
          <w:lang w:val="es-ES" w:eastAsia="es-ES"/>
        </w:rPr>
        <w:t>Estimad</w:t>
      </w:r>
      <w:r w:rsidR="006176CE" w:rsidRPr="00AD4AAE">
        <w:rPr>
          <w:rFonts w:ascii="Verdana" w:eastAsia="Calibri" w:hAnsi="Verdana" w:cs="Arial"/>
          <w:lang w:val="es-ES" w:eastAsia="es-ES"/>
        </w:rPr>
        <w:t xml:space="preserve">o Señor </w:t>
      </w:r>
      <w:r w:rsidR="009D548A" w:rsidRPr="00AD4AAE">
        <w:rPr>
          <w:rFonts w:ascii="Verdana" w:eastAsia="Calibri" w:hAnsi="Verdana" w:cs="Arial"/>
          <w:lang w:val="es-ES" w:eastAsia="es-ES"/>
        </w:rPr>
        <w:t>Gutiérrez</w:t>
      </w:r>
      <w:r w:rsidR="00842DA1" w:rsidRPr="00AD4AAE">
        <w:rPr>
          <w:rFonts w:ascii="Verdana" w:eastAsia="Calibri" w:hAnsi="Verdana" w:cs="Arial"/>
          <w:lang w:val="es-ES" w:eastAsia="es-ES"/>
        </w:rPr>
        <w:t>,</w:t>
      </w:r>
    </w:p>
    <w:p w14:paraId="728A050E" w14:textId="77777777" w:rsidR="004B6767" w:rsidRPr="00AD4AAE" w:rsidRDefault="004B6767" w:rsidP="004B6767">
      <w:pPr>
        <w:tabs>
          <w:tab w:val="left" w:pos="3768"/>
        </w:tabs>
        <w:spacing w:after="0" w:line="276" w:lineRule="auto"/>
        <w:jc w:val="both"/>
        <w:rPr>
          <w:rFonts w:ascii="Verdana" w:eastAsia="Calibri" w:hAnsi="Verdana" w:cs="Arial"/>
          <w:lang w:val="es-ES" w:eastAsia="es-ES"/>
        </w:rPr>
      </w:pPr>
      <w:r w:rsidRPr="00AD4AAE">
        <w:rPr>
          <w:rFonts w:ascii="Verdana" w:eastAsia="Calibri" w:hAnsi="Verdana" w:cs="Arial"/>
          <w:lang w:val="es-ES" w:eastAsia="es-ES"/>
        </w:rPr>
        <w:tab/>
      </w:r>
    </w:p>
    <w:p w14:paraId="33F0D9CE" w14:textId="06EC86D8" w:rsidR="004B6767" w:rsidRPr="00AD4AAE" w:rsidRDefault="004B6767" w:rsidP="004B6767">
      <w:pPr>
        <w:spacing w:after="0" w:line="276" w:lineRule="auto"/>
        <w:jc w:val="both"/>
        <w:rPr>
          <w:rFonts w:ascii="Verdana" w:eastAsia="Calibri" w:hAnsi="Verdana" w:cs="Arial"/>
          <w:lang w:val="es-ES" w:eastAsia="es-ES"/>
        </w:rPr>
      </w:pPr>
      <w:r w:rsidRPr="00AD4AAE">
        <w:rPr>
          <w:rFonts w:ascii="Verdana" w:eastAsia="Calibri" w:hAnsi="Verdana" w:cs="Arial"/>
          <w:lang w:val="es-ES" w:eastAsia="es-ES"/>
        </w:rPr>
        <w:t>En ejercicio de la competencia otorgada por los artículos 3, numeral 5º, y 11, numeral 8º, del Decreto Ley 4170 de 2011,</w:t>
      </w:r>
      <w:r w:rsidRPr="00AD4AAE">
        <w:rPr>
          <w:rFonts w:ascii="Verdana" w:eastAsia="Arial MT" w:hAnsi="Verdana" w:cs="Arial MT"/>
          <w:lang w:val="es-ES" w:eastAsia="es-ES"/>
        </w:rPr>
        <w:t xml:space="preserve"> </w:t>
      </w:r>
      <w:r w:rsidRPr="00AD4AAE">
        <w:rPr>
          <w:rFonts w:ascii="Verdana" w:hAnsi="Verdana" w:cs="Arial"/>
          <w:lang w:val="es-ES"/>
        </w:rPr>
        <w:t xml:space="preserve">así como lo establecido en el artículo 4 de la Resolución 1707 de 2018 expedida por esta Entidad, </w:t>
      </w:r>
      <w:r w:rsidRPr="00AD4AAE">
        <w:rPr>
          <w:rFonts w:ascii="Verdana" w:eastAsia="Calibri" w:hAnsi="Verdana" w:cs="Arial"/>
          <w:lang w:val="es-ES" w:eastAsia="es-ES"/>
        </w:rPr>
        <w:t xml:space="preserve">la Agencia Nacional de Contratación Pública – Colombia Compra Eficiente– responde su solicitud de consulta de fecha </w:t>
      </w:r>
      <w:r w:rsidR="0065292E" w:rsidRPr="00AD4AAE">
        <w:rPr>
          <w:rFonts w:ascii="Verdana" w:eastAsia="Calibri" w:hAnsi="Verdana" w:cs="Arial"/>
          <w:lang w:val="es-ES" w:eastAsia="es-ES"/>
        </w:rPr>
        <w:t>21</w:t>
      </w:r>
      <w:r w:rsidR="0027765D" w:rsidRPr="00AD4AAE">
        <w:rPr>
          <w:rFonts w:ascii="Verdana" w:eastAsia="Calibri" w:hAnsi="Verdana" w:cs="Arial"/>
          <w:lang w:val="es-ES" w:eastAsia="es-ES"/>
        </w:rPr>
        <w:t xml:space="preserve"> </w:t>
      </w:r>
      <w:r w:rsidRPr="00AD4AAE">
        <w:rPr>
          <w:rFonts w:ascii="Verdana" w:eastAsia="Calibri" w:hAnsi="Verdana" w:cs="Arial"/>
          <w:lang w:val="es-ES" w:eastAsia="es-ES"/>
        </w:rPr>
        <w:t>de</w:t>
      </w:r>
      <w:r w:rsidR="0027765D" w:rsidRPr="00AD4AAE">
        <w:rPr>
          <w:rFonts w:ascii="Verdana" w:eastAsia="Calibri" w:hAnsi="Verdana" w:cs="Arial"/>
          <w:lang w:val="es-ES" w:eastAsia="es-ES"/>
        </w:rPr>
        <w:t xml:space="preserve"> diciembre</w:t>
      </w:r>
      <w:r w:rsidRPr="00AD4AAE">
        <w:rPr>
          <w:rFonts w:ascii="Verdana" w:eastAsia="Calibri" w:hAnsi="Verdana" w:cs="Arial"/>
          <w:lang w:val="es-ES" w:eastAsia="es-ES"/>
        </w:rPr>
        <w:t xml:space="preserve"> de 2025, en la cual manifiesta lo siguiente: </w:t>
      </w:r>
    </w:p>
    <w:p w14:paraId="39E08715" w14:textId="77777777" w:rsidR="004B6767" w:rsidRPr="00AD4AAE" w:rsidRDefault="004B6767" w:rsidP="004B6767">
      <w:pPr>
        <w:tabs>
          <w:tab w:val="left" w:pos="142"/>
          <w:tab w:val="left" w:pos="284"/>
        </w:tabs>
        <w:spacing w:after="0" w:line="276" w:lineRule="auto"/>
        <w:contextualSpacing/>
        <w:jc w:val="both"/>
        <w:rPr>
          <w:rFonts w:ascii="Verdana" w:eastAsia="Century Gothic" w:hAnsi="Verdana" w:cs="Century Gothic"/>
          <w:b/>
          <w:bCs/>
          <w:color w:val="EE0000"/>
          <w:lang w:val="es-ES"/>
        </w:rPr>
      </w:pPr>
    </w:p>
    <w:p w14:paraId="7EFD3529" w14:textId="27207065" w:rsidR="00905247" w:rsidRPr="00AD4AAE" w:rsidRDefault="007778DE" w:rsidP="00597B52">
      <w:pPr>
        <w:spacing w:before="120" w:after="120" w:line="240" w:lineRule="auto"/>
        <w:ind w:left="709" w:right="709"/>
        <w:contextualSpacing/>
        <w:jc w:val="both"/>
        <w:rPr>
          <w:rFonts w:ascii="Verdana" w:eastAsia="Century Gothic" w:hAnsi="Verdana" w:cs="Century Gothic"/>
          <w:i/>
          <w:iCs/>
          <w:sz w:val="20"/>
          <w:szCs w:val="20"/>
          <w:lang w:val="es-ES"/>
        </w:rPr>
      </w:pPr>
      <w:r w:rsidRPr="00AD4AAE">
        <w:rPr>
          <w:rFonts w:ascii="Verdana" w:eastAsia="Century Gothic" w:hAnsi="Verdana" w:cs="Century Gothic"/>
          <w:i/>
          <w:iCs/>
          <w:sz w:val="20"/>
          <w:szCs w:val="20"/>
          <w:lang w:val="es-ES"/>
        </w:rPr>
        <w:t>“</w:t>
      </w:r>
      <w:r w:rsidR="00597B52" w:rsidRPr="00AD4AAE">
        <w:rPr>
          <w:rFonts w:ascii="Verdana" w:eastAsia="Century Gothic" w:hAnsi="Verdana" w:cs="Century Gothic"/>
          <w:i/>
          <w:iCs/>
          <w:sz w:val="20"/>
          <w:szCs w:val="20"/>
          <w:lang w:val="es-ES"/>
        </w:rPr>
        <w:t>en virtud del PRINCIPIO DE PLANEACIÓN EN LOS CONTRATOS ESTATALES Aplicación del enfoque de derechos humanos - contemplado en la sentencia de tutela t- 314 de 2025, es posible establecer perfiles en los procesos de selección, con formación en derechos humanos o que acrediten idoneidad en esa área, cuando sea procedente de acuerdo al objeto contractual</w:t>
      </w:r>
      <w:r w:rsidR="00F551DF" w:rsidRPr="00AD4AAE">
        <w:rPr>
          <w:rFonts w:ascii="Verdana" w:eastAsia="Century Gothic" w:hAnsi="Verdana" w:cs="Century Gothic"/>
          <w:i/>
          <w:iCs/>
          <w:sz w:val="20"/>
          <w:szCs w:val="20"/>
          <w:lang w:val="es-ES"/>
        </w:rPr>
        <w:t>”</w:t>
      </w:r>
    </w:p>
    <w:p w14:paraId="564ED56A" w14:textId="77777777" w:rsidR="00597B52" w:rsidRPr="00AD4AAE" w:rsidRDefault="00597B52" w:rsidP="00597B52">
      <w:pPr>
        <w:spacing w:before="120" w:after="120" w:line="240" w:lineRule="auto"/>
        <w:ind w:left="709" w:right="709"/>
        <w:contextualSpacing/>
        <w:jc w:val="both"/>
        <w:rPr>
          <w:rFonts w:ascii="Verdana" w:eastAsia="Century Gothic" w:hAnsi="Verdana" w:cs="Century Gothic"/>
          <w:i/>
          <w:iCs/>
          <w:sz w:val="20"/>
          <w:szCs w:val="20"/>
          <w:lang w:val="es-ES"/>
        </w:rPr>
      </w:pPr>
    </w:p>
    <w:p w14:paraId="686A1AFF" w14:textId="43767F67" w:rsidR="004B6767" w:rsidRPr="00AD4AAE" w:rsidRDefault="004B6767" w:rsidP="004B6767">
      <w:pPr>
        <w:spacing w:after="120" w:line="276" w:lineRule="auto"/>
        <w:ind w:firstLine="708"/>
        <w:jc w:val="both"/>
        <w:rPr>
          <w:rFonts w:ascii="Verdana" w:eastAsia="Calibri" w:hAnsi="Verdana" w:cs="Arial"/>
          <w:lang w:val="es-ES" w:eastAsia="es-ES"/>
        </w:rPr>
      </w:pPr>
      <w:r w:rsidRPr="00AD4AA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w:t>
      </w:r>
      <w:r w:rsidRPr="00AD4AAE">
        <w:rPr>
          <w:rFonts w:ascii="Verdana" w:eastAsia="Calibri" w:hAnsi="Verdana" w:cs="Arial"/>
          <w:lang w:val="es-ES" w:eastAsia="es-ES"/>
        </w:rPr>
        <w:lastRenderedPageBreak/>
        <w:t xml:space="preserve">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00B81CBA" w:rsidRPr="00AD4AAE">
        <w:rPr>
          <w:rFonts w:ascii="Verdana" w:eastAsia="Calibri" w:hAnsi="Verdana" w:cs="Arial"/>
          <w:lang w:val="es-ES" w:eastAsia="es-ES"/>
        </w:rPr>
        <w:t xml:space="preserve"> </w:t>
      </w:r>
      <w:r w:rsidRPr="00AD4AAE">
        <w:rPr>
          <w:rFonts w:ascii="Verdana" w:hAnsi="Verdana"/>
          <w:lang w:val="es-ES"/>
        </w:rPr>
        <w:tab/>
      </w:r>
    </w:p>
    <w:p w14:paraId="499A9056" w14:textId="0179E42A" w:rsidR="004B6767" w:rsidRPr="00AD4AAE" w:rsidRDefault="004B6767" w:rsidP="004B6767">
      <w:pPr>
        <w:spacing w:after="0" w:line="276" w:lineRule="auto"/>
        <w:ind w:firstLine="709"/>
        <w:jc w:val="both"/>
        <w:rPr>
          <w:rFonts w:ascii="Verdana" w:eastAsia="Calibri" w:hAnsi="Verdana" w:cs="Arial"/>
          <w:lang w:val="es-ES" w:eastAsia="es-ES"/>
        </w:rPr>
      </w:pPr>
      <w:r w:rsidRPr="00AD4AA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D13275" w:rsidRPr="00AD4AAE">
        <w:rPr>
          <w:rFonts w:ascii="Verdana" w:eastAsia="Calibri" w:hAnsi="Verdana" w:cs="Arial"/>
          <w:lang w:val="es-ES" w:eastAsia="es-ES"/>
        </w:rPr>
        <w:t>el</w:t>
      </w:r>
      <w:r w:rsidRPr="00AD4AAE">
        <w:rPr>
          <w:rFonts w:ascii="Verdana" w:eastAsia="Calibri" w:hAnsi="Verdana" w:cs="Arial"/>
          <w:lang w:val="es-ES" w:eastAsia="es-ES"/>
        </w:rPr>
        <w:t xml:space="preserve"> problema jurídico</w:t>
      </w:r>
      <w:r w:rsidR="00D13275" w:rsidRPr="00AD4AAE">
        <w:rPr>
          <w:rFonts w:ascii="Verdana" w:eastAsia="Calibri" w:hAnsi="Verdana" w:cs="Arial"/>
          <w:lang w:val="es-ES" w:eastAsia="es-ES"/>
        </w:rPr>
        <w:t xml:space="preserve"> </w:t>
      </w:r>
      <w:r w:rsidRPr="00AD4AAE">
        <w:rPr>
          <w:rFonts w:ascii="Verdana" w:eastAsia="Calibri" w:hAnsi="Verdana" w:cs="Arial"/>
          <w:lang w:val="es-ES" w:eastAsia="es-ES"/>
        </w:rPr>
        <w:t xml:space="preserve">de su consulta. </w:t>
      </w:r>
    </w:p>
    <w:p w14:paraId="49A01C11" w14:textId="77777777" w:rsidR="004B6767" w:rsidRPr="00AD4AAE" w:rsidRDefault="004B6767" w:rsidP="004B6767">
      <w:pPr>
        <w:spacing w:after="0" w:line="276" w:lineRule="auto"/>
        <w:ind w:firstLine="709"/>
        <w:jc w:val="both"/>
        <w:rPr>
          <w:rFonts w:ascii="Verdana" w:eastAsia="Calibri" w:hAnsi="Verdana" w:cs="Arial"/>
          <w:lang w:val="es-ES" w:eastAsia="es-ES"/>
        </w:rPr>
      </w:pPr>
    </w:p>
    <w:p w14:paraId="57087D92" w14:textId="77777777" w:rsidR="00D55693" w:rsidRPr="00AD4AAE" w:rsidRDefault="00D55693" w:rsidP="00D55693">
      <w:pPr>
        <w:tabs>
          <w:tab w:val="left" w:pos="142"/>
          <w:tab w:val="left" w:pos="284"/>
        </w:tabs>
        <w:spacing w:after="0" w:line="276" w:lineRule="auto"/>
        <w:contextualSpacing/>
        <w:jc w:val="both"/>
        <w:rPr>
          <w:rFonts w:ascii="Verdana" w:eastAsia="Century Gothic" w:hAnsi="Verdana" w:cs="Century Gothic"/>
          <w:b/>
          <w:lang w:val="es-ES"/>
        </w:rPr>
      </w:pPr>
      <w:r w:rsidRPr="00AD4AAE">
        <w:rPr>
          <w:rFonts w:ascii="Verdana" w:eastAsia="Century Gothic" w:hAnsi="Verdana" w:cs="Century Gothic"/>
          <w:b/>
          <w:lang w:val="es-ES"/>
        </w:rPr>
        <w:t>1. Problema planteado:</w:t>
      </w:r>
    </w:p>
    <w:p w14:paraId="7BC62B5E" w14:textId="77777777" w:rsidR="00D55693" w:rsidRPr="00AD4AAE" w:rsidRDefault="00D55693" w:rsidP="00D55693">
      <w:pPr>
        <w:tabs>
          <w:tab w:val="left" w:pos="426"/>
        </w:tabs>
        <w:spacing w:after="0" w:line="276" w:lineRule="auto"/>
        <w:jc w:val="both"/>
        <w:rPr>
          <w:rFonts w:ascii="Verdana" w:eastAsia="Century Gothic" w:hAnsi="Verdana" w:cs="Century Gothic"/>
          <w:color w:val="ED7D31" w:themeColor="accent2"/>
          <w:lang w:val="es-ES"/>
        </w:rPr>
      </w:pPr>
    </w:p>
    <w:p w14:paraId="7C7AB379" w14:textId="67F72038" w:rsidR="00D55693" w:rsidRPr="00AD4AAE" w:rsidRDefault="00D55693" w:rsidP="00D55693">
      <w:pPr>
        <w:spacing w:after="0" w:line="276" w:lineRule="auto"/>
        <w:jc w:val="both"/>
        <w:rPr>
          <w:rFonts w:ascii="Verdana" w:hAnsi="Verdana" w:cs="Arial"/>
          <w:color w:val="000000" w:themeColor="text1"/>
          <w:lang w:val="es-ES_tradnl"/>
        </w:rPr>
      </w:pPr>
      <w:r w:rsidRPr="00AD4AAE">
        <w:rPr>
          <w:rFonts w:ascii="Verdana" w:eastAsia="Century Gothic" w:hAnsi="Verdana" w:cs="Century Gothic"/>
          <w:lang w:val="es-ES"/>
        </w:rPr>
        <w:t>De acuerdo con el contenido de su solicitud, esta Agencia resolverá</w:t>
      </w:r>
      <w:r w:rsidR="007B1121" w:rsidRPr="00AD4AAE">
        <w:rPr>
          <w:rFonts w:ascii="Verdana" w:eastAsia="Century Gothic" w:hAnsi="Verdana" w:cs="Century Gothic"/>
          <w:lang w:val="es-ES"/>
        </w:rPr>
        <w:t xml:space="preserve"> </w:t>
      </w:r>
      <w:r w:rsidR="00D13275" w:rsidRPr="00AD4AAE">
        <w:rPr>
          <w:rFonts w:ascii="Verdana" w:eastAsia="Century Gothic" w:hAnsi="Verdana" w:cs="Century Gothic"/>
          <w:lang w:val="es-ES"/>
        </w:rPr>
        <w:t>el</w:t>
      </w:r>
      <w:r w:rsidR="007B1121" w:rsidRPr="00AD4AAE">
        <w:rPr>
          <w:rFonts w:ascii="Verdana" w:eastAsia="Century Gothic" w:hAnsi="Verdana" w:cs="Century Gothic"/>
          <w:lang w:val="es-ES"/>
        </w:rPr>
        <w:t xml:space="preserve"> </w:t>
      </w:r>
      <w:r w:rsidRPr="00AD4AAE">
        <w:rPr>
          <w:rFonts w:ascii="Verdana" w:eastAsia="Century Gothic" w:hAnsi="Verdana" w:cs="Century Gothic"/>
          <w:lang w:val="es-ES"/>
        </w:rPr>
        <w:t xml:space="preserve">siguiente problema </w:t>
      </w:r>
      <w:r w:rsidR="00D13275" w:rsidRPr="00AD4AAE">
        <w:rPr>
          <w:rFonts w:ascii="Verdana" w:eastAsia="Century Gothic" w:hAnsi="Verdana" w:cs="Century Gothic"/>
          <w:lang w:val="es-ES"/>
        </w:rPr>
        <w:t>jurídico:</w:t>
      </w:r>
      <w:r w:rsidR="00D13275" w:rsidRPr="00AD4AAE">
        <w:rPr>
          <w:rFonts w:ascii="Verdana" w:hAnsi="Verdana" w:cs="Arial"/>
          <w:color w:val="000000" w:themeColor="text1"/>
          <w:lang w:val="es-ES_tradnl"/>
        </w:rPr>
        <w:t xml:space="preserve"> </w:t>
      </w:r>
      <w:r w:rsidR="00D54642" w:rsidRPr="00AD4AAE">
        <w:rPr>
          <w:rFonts w:ascii="Verdana" w:hAnsi="Verdana" w:cs="Arial"/>
          <w:color w:val="000000" w:themeColor="text1"/>
          <w:lang w:val="es-ES_tradnl"/>
        </w:rPr>
        <w:t>¿En virtud del principio de planeación en los contratos estatales y de la aplicación del enfoque de derechos humanos contemplado en la Sentencia de Tutela T-314 de 2025, resulta jurídicamente procedente que las entidades públicas establezcan perfiles en los procesos de selección que exijan formación o acrediten idoneidad en derechos humanos, siempre que ello sea pertinente de acuerdo con el objeto contractual?</w:t>
      </w:r>
    </w:p>
    <w:p w14:paraId="0A4432C1" w14:textId="77777777" w:rsidR="00D55693" w:rsidRPr="00AD4AAE" w:rsidRDefault="00D55693" w:rsidP="00D55693">
      <w:pPr>
        <w:spacing w:after="0" w:line="276" w:lineRule="auto"/>
        <w:jc w:val="both"/>
        <w:rPr>
          <w:rFonts w:ascii="Verdana" w:eastAsia="Century Gothic" w:hAnsi="Verdana" w:cs="Century Gothic"/>
          <w:color w:val="ED7D31" w:themeColor="accent2"/>
        </w:rPr>
      </w:pPr>
    </w:p>
    <w:p w14:paraId="755BCB16" w14:textId="77777777" w:rsidR="00D55693" w:rsidRPr="00AD4AAE" w:rsidRDefault="00D55693" w:rsidP="00D55693">
      <w:pPr>
        <w:tabs>
          <w:tab w:val="left" w:pos="142"/>
          <w:tab w:val="left" w:pos="284"/>
        </w:tabs>
        <w:spacing w:after="0" w:line="276" w:lineRule="auto"/>
        <w:jc w:val="both"/>
        <w:rPr>
          <w:rFonts w:ascii="Verdana" w:eastAsia="Century Gothic" w:hAnsi="Verdana" w:cs="Century Gothic"/>
          <w:b/>
          <w:color w:val="ED7D31" w:themeColor="accent2"/>
          <w:lang w:val="es-ES"/>
        </w:rPr>
      </w:pPr>
      <w:r w:rsidRPr="00AD4AAE">
        <w:rPr>
          <w:rFonts w:ascii="Verdana" w:eastAsia="Century Gothic" w:hAnsi="Verdana" w:cs="Century Gothic"/>
          <w:b/>
          <w:lang w:val="es-ES"/>
        </w:rPr>
        <w:t>2. Respuesta:</w:t>
      </w:r>
    </w:p>
    <w:p w14:paraId="5D8AF4F0" w14:textId="77777777" w:rsidR="00D55693" w:rsidRPr="00AD4AAE" w:rsidRDefault="00D55693" w:rsidP="00D5569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55693" w:rsidRPr="00AD4AAE" w14:paraId="4321DC09" w14:textId="77777777" w:rsidTr="00875C4F">
        <w:tc>
          <w:tcPr>
            <w:tcW w:w="8828" w:type="dxa"/>
          </w:tcPr>
          <w:p w14:paraId="7D55D7CF" w14:textId="3F5E1231" w:rsidR="004756C4" w:rsidRPr="00AD4AAE" w:rsidRDefault="009F0FE9" w:rsidP="009F0FE9">
            <w:pPr>
              <w:spacing w:before="120" w:after="120" w:line="276" w:lineRule="auto"/>
              <w:jc w:val="both"/>
              <w:rPr>
                <w:rFonts w:ascii="Verdana" w:hAnsi="Verdana" w:cs="Arial"/>
                <w:color w:val="000000" w:themeColor="text1"/>
              </w:rPr>
            </w:pPr>
            <w:r w:rsidRPr="00AD4AAE">
              <w:rPr>
                <w:rFonts w:ascii="Verdana" w:hAnsi="Verdana" w:cs="Arial"/>
                <w:color w:val="000000" w:themeColor="text1"/>
              </w:rPr>
              <w:t xml:space="preserve">En respuesta </w:t>
            </w:r>
            <w:r w:rsidR="00505AA3" w:rsidRPr="00AD4AAE">
              <w:rPr>
                <w:rFonts w:ascii="Verdana" w:hAnsi="Verdana" w:cs="Arial"/>
                <w:color w:val="000000" w:themeColor="text1"/>
              </w:rPr>
              <w:t xml:space="preserve">al </w:t>
            </w:r>
            <w:r w:rsidRPr="00AD4AAE">
              <w:rPr>
                <w:rFonts w:ascii="Verdana" w:hAnsi="Verdana" w:cs="Arial"/>
                <w:color w:val="000000" w:themeColor="text1"/>
              </w:rPr>
              <w:t>problema antes planteado esta Subdirección manifiesta lo siguiente:</w:t>
            </w:r>
          </w:p>
          <w:p w14:paraId="6E0F5477" w14:textId="144123C1" w:rsidR="001A253D" w:rsidRPr="00AD4AAE" w:rsidRDefault="001A253D" w:rsidP="001A253D">
            <w:pPr>
              <w:spacing w:before="120" w:after="120" w:line="276" w:lineRule="auto"/>
              <w:ind w:firstLine="741"/>
              <w:jc w:val="both"/>
              <w:rPr>
                <w:rFonts w:ascii="Verdana" w:hAnsi="Verdana" w:cs="Arial"/>
                <w:bCs/>
                <w:lang w:val="es-ES" w:eastAsia="es-ES" w:bidi="es-ES"/>
              </w:rPr>
            </w:pPr>
            <w:r w:rsidRPr="00AD4AAE">
              <w:rPr>
                <w:rFonts w:ascii="Verdana" w:hAnsi="Verdana" w:cs="Arial"/>
                <w:bCs/>
                <w:lang w:val="es-ES" w:eastAsia="es-ES" w:bidi="es-ES"/>
              </w:rPr>
              <w:t>E</w:t>
            </w:r>
            <w:r w:rsidRPr="00AD4AAE">
              <w:rPr>
                <w:rFonts w:ascii="Verdana" w:hAnsi="Verdana" w:cs="Arial"/>
                <w:lang w:val="es-ES" w:eastAsia="es-ES" w:bidi="es-ES"/>
              </w:rPr>
              <w:t>n virtud del principio de planeación en los contratos estatales y conforme al enfoque de derechos humanos desarrollado por la jurisprudencia —en particular la Sentencia de Tutela T-314 de 2025— es jurídicamente procedente que las entidades públicas establezcan perfiles en los procesos de selección que incluyan formación o acreditación en derechos humanos, siempre que ello sea pertinente al objeto contractual.</w:t>
            </w:r>
          </w:p>
          <w:p w14:paraId="5D285995" w14:textId="77777777" w:rsidR="001A253D" w:rsidRPr="00AD4AAE" w:rsidRDefault="001A253D" w:rsidP="001A253D">
            <w:pPr>
              <w:spacing w:before="120" w:after="120" w:line="276" w:lineRule="auto"/>
              <w:ind w:firstLine="741"/>
              <w:jc w:val="both"/>
              <w:rPr>
                <w:rFonts w:ascii="Verdana" w:hAnsi="Verdana" w:cs="Arial"/>
                <w:lang w:val="es-ES" w:eastAsia="es-ES" w:bidi="es-ES"/>
              </w:rPr>
            </w:pPr>
            <w:r w:rsidRPr="00AD4AAE">
              <w:rPr>
                <w:rFonts w:ascii="Verdana" w:hAnsi="Verdana" w:cs="Arial"/>
                <w:lang w:val="es-ES" w:eastAsia="es-ES" w:bidi="es-ES"/>
              </w:rPr>
              <w:t xml:space="preserve">El principio de planeación, con fundamento en los artículos 209, 339 y 441 de la Constitución Política y en normas como la Ley 80 de 1993, exige que la contratación estatal sea el resultado de una actividad programada, rigurosa </w:t>
            </w:r>
            <w:r w:rsidRPr="00AD4AAE">
              <w:rPr>
                <w:rFonts w:ascii="Verdana" w:hAnsi="Verdana" w:cs="Arial"/>
                <w:lang w:val="es-ES" w:eastAsia="es-ES" w:bidi="es-ES"/>
              </w:rPr>
              <w:lastRenderedPageBreak/>
              <w:t>y alineada con las políticas públicas. Este deber implica prever riesgos, definir obligaciones y garantizar que los contratos respondan a necesidades reales de la sociedad. En ese marco, la incorporación de requisitos relacionados con la formación en derechos humanos se justifica cuando el objeto contractual involucra la protección, promoción o garantía de estos derechos.</w:t>
            </w:r>
          </w:p>
          <w:p w14:paraId="199C5FE1" w14:textId="4851C0CC" w:rsidR="001A0B91" w:rsidRPr="00AD4AAE" w:rsidRDefault="001A253D" w:rsidP="001A0B91">
            <w:pPr>
              <w:spacing w:before="120" w:after="120" w:line="276" w:lineRule="auto"/>
              <w:ind w:firstLine="741"/>
              <w:jc w:val="both"/>
              <w:rPr>
                <w:rFonts w:ascii="Verdana" w:hAnsi="Verdana" w:cs="Arial"/>
                <w:lang w:val="es-ES" w:eastAsia="es-ES" w:bidi="es-ES"/>
              </w:rPr>
            </w:pPr>
            <w:r w:rsidRPr="00AD4AAE">
              <w:rPr>
                <w:rFonts w:ascii="Verdana" w:hAnsi="Verdana" w:cs="Arial"/>
                <w:lang w:val="es-ES" w:eastAsia="es-ES" w:bidi="es-ES"/>
              </w:rPr>
              <w:t xml:space="preserve">La jurisprudencia ha señalado que la planeación contractual no se limita a aspectos técnicos o financieros, sino que debe integrar un enfoque de derechos humanos. Esto significa que las </w:t>
            </w:r>
            <w:r w:rsidR="00641A49" w:rsidRPr="00AD4AAE">
              <w:rPr>
                <w:rFonts w:ascii="Verdana" w:hAnsi="Verdana" w:cs="Arial"/>
                <w:lang w:val="es-ES" w:eastAsia="es-ES" w:bidi="es-ES"/>
              </w:rPr>
              <w:t>E</w:t>
            </w:r>
            <w:r w:rsidRPr="00AD4AAE">
              <w:rPr>
                <w:rFonts w:ascii="Verdana" w:hAnsi="Verdana" w:cs="Arial"/>
                <w:lang w:val="es-ES" w:eastAsia="es-ES" w:bidi="es-ES"/>
              </w:rPr>
              <w:t xml:space="preserve">ntidades </w:t>
            </w:r>
            <w:r w:rsidR="00641A49" w:rsidRPr="00AD4AAE">
              <w:rPr>
                <w:rFonts w:ascii="Verdana" w:hAnsi="Verdana" w:cs="Arial"/>
                <w:lang w:val="es-ES" w:eastAsia="es-ES" w:bidi="es-ES"/>
              </w:rPr>
              <w:t>E</w:t>
            </w:r>
            <w:r w:rsidRPr="00AD4AAE">
              <w:rPr>
                <w:rFonts w:ascii="Verdana" w:hAnsi="Verdana" w:cs="Arial"/>
                <w:lang w:val="es-ES" w:eastAsia="es-ES" w:bidi="es-ES"/>
              </w:rPr>
              <w:t>statales tienen la obligación de prever contingencias que puedan afectar derechos fundamentales, especialmente los de grupos vulnerables como niños, niñas y adolescentes. Por tanto, exigir idoneidad en derechos humanos en los perfiles de selección constituye una medida razonable y proporcional para asegurar que la ejecución contractual materialice los fines constitucionales</w:t>
            </w:r>
            <w:r w:rsidR="00657E2D" w:rsidRPr="00AD4AAE">
              <w:rPr>
                <w:rFonts w:ascii="Verdana" w:hAnsi="Verdana" w:cs="Arial"/>
                <w:lang w:val="es-ES" w:eastAsia="es-ES" w:bidi="es-ES"/>
              </w:rPr>
              <w:t>.</w:t>
            </w:r>
          </w:p>
          <w:p w14:paraId="5CFBF47C" w14:textId="2B168295" w:rsidR="00625B65" w:rsidRPr="00AD4AAE" w:rsidRDefault="001A253D" w:rsidP="001A0B91">
            <w:pPr>
              <w:spacing w:before="120" w:after="120" w:line="276" w:lineRule="auto"/>
              <w:ind w:firstLine="741"/>
              <w:jc w:val="both"/>
              <w:rPr>
                <w:rFonts w:ascii="Verdana" w:hAnsi="Verdana" w:cs="Arial"/>
                <w:lang w:val="es-ES" w:eastAsia="es-ES" w:bidi="es-ES"/>
              </w:rPr>
            </w:pPr>
            <w:r w:rsidRPr="00AD4AAE">
              <w:rPr>
                <w:rFonts w:ascii="Verdana" w:hAnsi="Verdana" w:cs="Arial"/>
                <w:lang w:val="es-ES" w:eastAsia="es-ES" w:bidi="es-ES"/>
              </w:rPr>
              <w:t>En conclusión, la inclusión de requisitos de formación o experiencia en derechos humanos en los procesos de selección es compatible con el principio de planeación y con la prevalencia de los derechos fundamentales. No obstante, su procedencia depende de la relación directa con el objeto contractual, evitando que se convierta en una exigencia arbitraria o desproporcionada. De esta manera, se garantiza que la contratación pública sea un instrumento eficaz para la protección de la dignidad humana y el cumplimiento de los fines del Estado social de derecho.</w:t>
            </w:r>
          </w:p>
          <w:p w14:paraId="41966EB5" w14:textId="1C0F701E" w:rsidR="00D55693" w:rsidRPr="00AD4AAE" w:rsidRDefault="00D55693" w:rsidP="00875C4F">
            <w:pPr>
              <w:spacing w:line="276" w:lineRule="auto"/>
              <w:ind w:firstLine="709"/>
              <w:jc w:val="both"/>
              <w:rPr>
                <w:rFonts w:ascii="Verdana" w:eastAsia="Calibri" w:hAnsi="Verdana" w:cs="Arial"/>
                <w:color w:val="ED7D31" w:themeColor="accent2"/>
              </w:rPr>
            </w:pPr>
            <w:r w:rsidRPr="00AD4AAE">
              <w:rPr>
                <w:rFonts w:ascii="Verdana" w:eastAsia="Calibri" w:hAnsi="Verdana" w:cs="Arial"/>
                <w:bCs/>
              </w:rPr>
              <w:t xml:space="preserve">Al margen de la explicación precedente debe advertirse que </w:t>
            </w:r>
            <w:r w:rsidRPr="00AD4AAE">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AD4AAE">
              <w:rPr>
                <w:rStyle w:val="apple-converted-space"/>
                <w:rFonts w:ascii="Verdana" w:hAnsi="Verdana"/>
              </w:rPr>
              <w:t> </w:t>
            </w:r>
            <w:r w:rsidRPr="00AD4AAE">
              <w:rPr>
                <w:rStyle w:val="s15"/>
                <w:rFonts w:ascii="Verdana" w:hAnsi="Verdana"/>
              </w:rPr>
              <w:t>Por lo anterior, previo</w:t>
            </w:r>
            <w:r w:rsidRPr="00AD4AAE">
              <w:rPr>
                <w:rStyle w:val="apple-converted-space"/>
                <w:rFonts w:ascii="Verdana" w:hAnsi="Verdana"/>
              </w:rPr>
              <w:t> </w:t>
            </w:r>
            <w:r w:rsidRPr="00AD4AAE">
              <w:rPr>
                <w:rStyle w:val="s15"/>
                <w:rFonts w:ascii="Verdana" w:hAnsi="Verdana"/>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5032DA6" w14:textId="77777777" w:rsidR="00D55693" w:rsidRPr="00AD4AAE" w:rsidRDefault="00D55693" w:rsidP="00D55693">
      <w:pPr>
        <w:tabs>
          <w:tab w:val="left" w:pos="142"/>
          <w:tab w:val="left" w:pos="284"/>
        </w:tabs>
        <w:spacing w:after="0" w:line="276" w:lineRule="auto"/>
        <w:jc w:val="both"/>
        <w:rPr>
          <w:rFonts w:ascii="Verdana" w:eastAsia="Century Gothic" w:hAnsi="Verdana" w:cs="Century Gothic"/>
          <w:b/>
          <w:bCs/>
          <w:lang w:val="es-ES"/>
        </w:rPr>
      </w:pPr>
    </w:p>
    <w:p w14:paraId="65FAEDC1" w14:textId="77777777" w:rsidR="00D55693" w:rsidRPr="00AD4AAE" w:rsidRDefault="00D55693" w:rsidP="00D55693">
      <w:pPr>
        <w:tabs>
          <w:tab w:val="left" w:pos="142"/>
          <w:tab w:val="left" w:pos="284"/>
        </w:tabs>
        <w:spacing w:after="0" w:line="276" w:lineRule="auto"/>
        <w:jc w:val="both"/>
        <w:rPr>
          <w:rFonts w:ascii="Verdana" w:eastAsia="Century Gothic" w:hAnsi="Verdana" w:cs="Century Gothic"/>
          <w:b/>
          <w:lang w:val="es-ES"/>
        </w:rPr>
      </w:pPr>
      <w:r w:rsidRPr="00AD4AAE">
        <w:rPr>
          <w:rFonts w:ascii="Verdana" w:eastAsia="Century Gothic" w:hAnsi="Verdana" w:cs="Century Gothic"/>
          <w:b/>
          <w:lang w:val="es-ES"/>
        </w:rPr>
        <w:t>3. Razones de la respuesta:</w:t>
      </w:r>
    </w:p>
    <w:p w14:paraId="667FE4A5" w14:textId="77777777" w:rsidR="00D55693" w:rsidRPr="00AD4AAE" w:rsidRDefault="00D55693" w:rsidP="00D55693">
      <w:pPr>
        <w:spacing w:after="0" w:line="276" w:lineRule="auto"/>
        <w:jc w:val="both"/>
        <w:rPr>
          <w:rFonts w:ascii="Verdana" w:eastAsia="Calibri" w:hAnsi="Verdana" w:cs="Arial"/>
          <w:lang w:val="es-ES"/>
        </w:rPr>
      </w:pPr>
    </w:p>
    <w:p w14:paraId="53737E7C" w14:textId="77777777" w:rsidR="00D55693" w:rsidRPr="00AD4AAE" w:rsidRDefault="00D55693" w:rsidP="00D55693">
      <w:pPr>
        <w:spacing w:after="0" w:line="276" w:lineRule="auto"/>
        <w:jc w:val="both"/>
        <w:rPr>
          <w:rFonts w:ascii="Verdana" w:eastAsia="Calibri" w:hAnsi="Verdana" w:cs="Arial"/>
          <w:lang w:val="es-ES"/>
        </w:rPr>
      </w:pPr>
      <w:r w:rsidRPr="00AD4AAE">
        <w:rPr>
          <w:rFonts w:ascii="Verdana" w:eastAsia="Calibri" w:hAnsi="Verdana" w:cs="Arial"/>
          <w:lang w:val="es-ES"/>
        </w:rPr>
        <w:t xml:space="preserve">Las respuestas anteriores se sustentan en las siguientes consideraciones: </w:t>
      </w:r>
    </w:p>
    <w:p w14:paraId="10C82E25" w14:textId="77777777" w:rsidR="00D55693" w:rsidRPr="00AD4AAE" w:rsidRDefault="00D55693" w:rsidP="00D55693">
      <w:pPr>
        <w:tabs>
          <w:tab w:val="left" w:pos="142"/>
          <w:tab w:val="left" w:pos="284"/>
        </w:tabs>
        <w:spacing w:after="0" w:line="276" w:lineRule="auto"/>
        <w:jc w:val="both"/>
        <w:rPr>
          <w:rFonts w:ascii="Verdana" w:eastAsia="Century Gothic" w:hAnsi="Verdana" w:cs="Century Gothic"/>
          <w:b/>
          <w:lang w:val="es-ES"/>
        </w:rPr>
      </w:pPr>
    </w:p>
    <w:p w14:paraId="16244355" w14:textId="77777777" w:rsidR="009F0FE9" w:rsidRPr="00AD4AAE" w:rsidRDefault="009F0FE9" w:rsidP="009F0FE9">
      <w:pPr>
        <w:spacing w:after="120" w:line="276" w:lineRule="auto"/>
        <w:jc w:val="both"/>
        <w:rPr>
          <w:rFonts w:ascii="Verdana" w:hAnsi="Verdana"/>
        </w:rPr>
      </w:pPr>
      <w:r w:rsidRPr="00AD4AAE">
        <w:rPr>
          <w:rFonts w:ascii="Verdana" w:eastAsia="Calibri" w:hAnsi="Verdana" w:cs="Arial"/>
          <w:bCs/>
          <w:lang w:val="es-ES_tradnl"/>
        </w:rPr>
        <w:lastRenderedPageBreak/>
        <w:t>i. 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75A5F9F5" w14:textId="1FF7BCA2" w:rsidR="009F0FE9" w:rsidRPr="00AD4AAE" w:rsidRDefault="009F0FE9" w:rsidP="009F0FE9">
      <w:pPr>
        <w:spacing w:after="120" w:line="276" w:lineRule="auto"/>
        <w:ind w:firstLine="708"/>
        <w:jc w:val="both"/>
        <w:rPr>
          <w:rFonts w:ascii="Verdana" w:eastAsia="Calibri" w:hAnsi="Verdana" w:cs="Arial"/>
          <w:bCs/>
          <w:lang w:val="es-ES"/>
        </w:rPr>
      </w:pPr>
      <w:r w:rsidRPr="00AD4AAE">
        <w:rPr>
          <w:rFonts w:ascii="Verdana" w:eastAsia="Calibri" w:hAnsi="Verdana" w:cs="Arial"/>
          <w:bCs/>
          <w:lang w:val="es-MX"/>
        </w:rPr>
        <w:t xml:space="preserve">El Estatuto General de Contratación de la Administración Pública contiene disposiciones que exigen a las </w:t>
      </w:r>
      <w:r w:rsidR="009518F9" w:rsidRPr="00AD4AAE">
        <w:rPr>
          <w:rFonts w:ascii="Verdana" w:eastAsia="Calibri" w:hAnsi="Verdana" w:cs="Arial"/>
          <w:bCs/>
          <w:lang w:val="es-MX"/>
        </w:rPr>
        <w:t>E</w:t>
      </w:r>
      <w:r w:rsidRPr="00AD4AAE">
        <w:rPr>
          <w:rFonts w:ascii="Verdana" w:eastAsia="Calibri" w:hAnsi="Verdana" w:cs="Arial"/>
          <w:bCs/>
          <w:lang w:val="es-MX"/>
        </w:rPr>
        <w:t xml:space="preserve">ntidades </w:t>
      </w:r>
      <w:r w:rsidR="009518F9" w:rsidRPr="00AD4AAE">
        <w:rPr>
          <w:rFonts w:ascii="Verdana" w:eastAsia="Calibri" w:hAnsi="Verdana" w:cs="Arial"/>
          <w:bCs/>
          <w:lang w:val="es-MX"/>
        </w:rPr>
        <w:t>E</w:t>
      </w:r>
      <w:r w:rsidRPr="00AD4AAE">
        <w:rPr>
          <w:rFonts w:ascii="Verdana" w:eastAsia="Calibri" w:hAnsi="Verdana" w:cs="Arial"/>
          <w:bCs/>
          <w:lang w:val="es-MX"/>
        </w:rPr>
        <w:t xml:space="preserv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013D13E5" w14:textId="77777777" w:rsidR="009F0FE9" w:rsidRPr="00AD4AAE" w:rsidRDefault="009F0FE9" w:rsidP="00810D25">
      <w:pPr>
        <w:spacing w:after="0" w:line="240" w:lineRule="auto"/>
        <w:ind w:left="709" w:right="709"/>
        <w:jc w:val="both"/>
        <w:rPr>
          <w:rFonts w:ascii="Verdana" w:eastAsia="Calibri" w:hAnsi="Verdana" w:cs="Arial"/>
          <w:sz w:val="20"/>
          <w:szCs w:val="20"/>
          <w:lang w:val="es-MX"/>
        </w:rPr>
      </w:pPr>
      <w:r w:rsidRPr="00AD4AAE">
        <w:rPr>
          <w:rFonts w:ascii="Verdana" w:eastAsia="Calibri" w:hAnsi="Verdana" w:cs="Arial"/>
          <w:sz w:val="20"/>
          <w:szCs w:val="20"/>
          <w:lang w:val="es-MX"/>
        </w:rPr>
        <w:t>7o. La conveniencia o inconveniencia del objeto a contratar y las autorizaciones y aprobaciones para ello, se analizarán o impartirán con antelación al inicio del proceso de selección del contratista o al de la firma del contrato, según el caso.</w:t>
      </w:r>
    </w:p>
    <w:p w14:paraId="1F30F8B5" w14:textId="77777777" w:rsidR="009F0FE9" w:rsidRPr="00AD4AAE" w:rsidRDefault="009F0FE9" w:rsidP="00810D25">
      <w:pPr>
        <w:spacing w:after="0" w:line="240" w:lineRule="auto"/>
        <w:ind w:left="709" w:right="709"/>
        <w:jc w:val="both"/>
        <w:rPr>
          <w:rFonts w:ascii="Verdana" w:eastAsia="Calibri" w:hAnsi="Verdana" w:cs="Arial"/>
          <w:sz w:val="20"/>
          <w:szCs w:val="20"/>
          <w:lang w:val="es-MX"/>
        </w:rPr>
      </w:pPr>
      <w:r w:rsidRPr="00AD4AAE">
        <w:rPr>
          <w:rFonts w:ascii="Verdana" w:eastAsia="Calibri" w:hAnsi="Verdana" w:cs="Arial"/>
          <w:sz w:val="20"/>
          <w:szCs w:val="20"/>
          <w:lang w:val="es-MX"/>
        </w:rPr>
        <w:t>[…]</w:t>
      </w:r>
    </w:p>
    <w:p w14:paraId="34C1FA4B" w14:textId="77777777" w:rsidR="009F0FE9" w:rsidRPr="00AD4AAE" w:rsidRDefault="009F0FE9" w:rsidP="00810D25">
      <w:pPr>
        <w:spacing w:after="0" w:line="240" w:lineRule="auto"/>
        <w:ind w:left="709" w:right="709"/>
        <w:jc w:val="both"/>
        <w:rPr>
          <w:rFonts w:ascii="Verdana" w:eastAsia="Calibri" w:hAnsi="Verdana" w:cs="Arial"/>
          <w:sz w:val="20"/>
          <w:szCs w:val="20"/>
          <w:lang w:val="es-MX"/>
        </w:rPr>
      </w:pPr>
      <w:r w:rsidRPr="00AD4AAE">
        <w:rPr>
          <w:rFonts w:ascii="Verdana" w:eastAsia="Calibri" w:hAnsi="Verdana" w:cs="Arial"/>
          <w:sz w:val="20"/>
          <w:szCs w:val="20"/>
          <w:lang w:val="es-MX"/>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10ABD99E" w14:textId="77777777" w:rsidR="009F0FE9" w:rsidRPr="00AD4AAE" w:rsidRDefault="009F0FE9" w:rsidP="00810D25">
      <w:pPr>
        <w:spacing w:after="0" w:line="240" w:lineRule="auto"/>
        <w:ind w:left="709" w:right="709"/>
        <w:jc w:val="both"/>
        <w:rPr>
          <w:rFonts w:ascii="Verdana" w:eastAsia="Calibri" w:hAnsi="Verdana" w:cs="Arial"/>
          <w:sz w:val="20"/>
          <w:szCs w:val="20"/>
          <w:lang w:val="es-MX"/>
        </w:rPr>
      </w:pPr>
      <w:r w:rsidRPr="00AD4AAE">
        <w:rPr>
          <w:rFonts w:ascii="Verdana" w:eastAsia="Calibri" w:hAnsi="Verdana" w:cs="Arial"/>
          <w:sz w:val="20"/>
          <w:szCs w:val="20"/>
          <w:lang w:val="es-MX"/>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2BC82D5F"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398162BA"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 xml:space="preserve">14. Las entidades incluirán en sus presupuestos anuales una apropiación global destinada a cubrir los costos imprevistos ocasionados por los </w:t>
      </w:r>
      <w:r w:rsidRPr="00AD4AAE">
        <w:rPr>
          <w:rFonts w:ascii="Verdana" w:hAnsi="Verdana" w:cs="Arial"/>
          <w:sz w:val="20"/>
          <w:szCs w:val="20"/>
        </w:rPr>
        <w:lastRenderedPageBreak/>
        <w:t>retardos en los pagos, así como los que se originen en la revisión de los precios pactados por razón de los cambios o alteraciones en las condiciones iniciales de los contratos por ellas celebrados […].</w:t>
      </w:r>
    </w:p>
    <w:p w14:paraId="33B54729" w14:textId="77777777" w:rsidR="009F0FE9" w:rsidRPr="00AD4AAE" w:rsidRDefault="009F0FE9" w:rsidP="009F0FE9">
      <w:pPr>
        <w:spacing w:after="0" w:line="276" w:lineRule="auto"/>
        <w:ind w:left="709" w:right="709"/>
        <w:jc w:val="both"/>
        <w:rPr>
          <w:rFonts w:ascii="Verdana" w:hAnsi="Verdana" w:cs="Arial"/>
          <w:sz w:val="20"/>
          <w:szCs w:val="20"/>
        </w:rPr>
      </w:pPr>
    </w:p>
    <w:p w14:paraId="4C77B9EC" w14:textId="77777777" w:rsidR="009F0FE9" w:rsidRPr="00AD4AAE" w:rsidRDefault="009F0FE9" w:rsidP="009F0FE9">
      <w:pPr>
        <w:spacing w:after="120" w:line="276" w:lineRule="auto"/>
        <w:ind w:firstLine="709"/>
        <w:jc w:val="both"/>
        <w:rPr>
          <w:rFonts w:ascii="Verdana" w:hAnsi="Verdana" w:cs="Arial"/>
        </w:rPr>
      </w:pPr>
      <w:r w:rsidRPr="00AD4AAE">
        <w:rPr>
          <w:rFonts w:ascii="Verdana" w:hAnsi="Verdana" w:cs="Arial"/>
        </w:rPr>
        <w:t>Lo anterior le permitirá a la entidad estatal identificar desde el punto de vista técnico y financiero el objeto del contrato, las particularidades de su ejecución, los potenciales proponentes, requisitos mínimos para evaluar la idoneidad del contratista, así como analizar todas las variables que puedan afectar el procedimiento de selección, celebración y ejecución del contrato. Tal es la importancia de los estudios y documentos previos que su deficiencia o ausencia, “genera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sidRPr="00AD4AAE">
        <w:rPr>
          <w:rFonts w:ascii="Verdana" w:hAnsi="Verdana" w:cs="Arial"/>
          <w:vertAlign w:val="superscript"/>
        </w:rPr>
        <w:footnoteReference w:id="1"/>
      </w:r>
      <w:r w:rsidRPr="00AD4AAE">
        <w:rPr>
          <w:rFonts w:ascii="Verdana" w:hAnsi="Verdana" w:cs="Arial"/>
        </w:rPr>
        <w:t xml:space="preserve">. </w:t>
      </w:r>
    </w:p>
    <w:p w14:paraId="28247E42" w14:textId="77777777" w:rsidR="009F0FE9" w:rsidRPr="00AD4AAE" w:rsidRDefault="009F0FE9" w:rsidP="009F0FE9">
      <w:pPr>
        <w:spacing w:after="120" w:line="276" w:lineRule="auto"/>
        <w:ind w:firstLine="709"/>
        <w:jc w:val="both"/>
        <w:rPr>
          <w:rFonts w:ascii="Verdana" w:hAnsi="Verdana" w:cs="Arial"/>
        </w:rPr>
      </w:pPr>
      <w:r w:rsidRPr="00AD4AAE">
        <w:rPr>
          <w:rFonts w:ascii="Verdana" w:hAnsi="Verdana" w:cs="Arial"/>
        </w:rPr>
        <w:t>En congruencia con el artículo 25 de la Ley 80 de 1993, el Decreto Único Reglamentario del Sector Administrativo de Planeación Nacional –Decreto 1082 de 2015–, dispone en el artículo 2.2.1.1.2.1.1 el contenido mínimo de los estudios y documentos previos:</w:t>
      </w:r>
    </w:p>
    <w:p w14:paraId="1B0C768E" w14:textId="77777777" w:rsidR="009F0FE9" w:rsidRPr="00AD4AAE" w:rsidRDefault="009F0FE9" w:rsidP="009F0FE9">
      <w:pPr>
        <w:spacing w:after="0" w:line="276" w:lineRule="auto"/>
        <w:ind w:firstLine="709"/>
        <w:jc w:val="both"/>
        <w:rPr>
          <w:rFonts w:ascii="Verdana" w:hAnsi="Verdana" w:cs="Arial"/>
        </w:rPr>
      </w:pPr>
    </w:p>
    <w:p w14:paraId="482CF17D"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7F392252"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 xml:space="preserve">1. La descripción de la necesidad que la Entidad Estatal pretende satisfacer con el Proceso de Contratación. </w:t>
      </w:r>
      <w:r w:rsidRPr="00AD4AAE">
        <w:rPr>
          <w:rFonts w:ascii="Arial" w:hAnsi="Arial" w:cs="Arial"/>
          <w:sz w:val="20"/>
          <w:szCs w:val="20"/>
        </w:rPr>
        <w:t>​</w:t>
      </w:r>
    </w:p>
    <w:p w14:paraId="4DE6A2CB"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 xml:space="preserve">2. El objeto a contratar, con sus especificaciones, las autorizaciones, permisos y licencias requeridos para su ejecución, y cuando el contrato incluye diseño y construcción, los documentos técnicos para el desarrollo del proyecto. </w:t>
      </w:r>
    </w:p>
    <w:p w14:paraId="24001B17"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 xml:space="preserve">3. La modalidad de selección del contratista y su justificación, incluyendo los fundamentos jurídicos. </w:t>
      </w:r>
    </w:p>
    <w:p w14:paraId="331C16ED"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 xml:space="preserve">4. 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57A84635"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 xml:space="preserve">5. Los criterios para seleccionar la oferta más favorable. </w:t>
      </w:r>
    </w:p>
    <w:p w14:paraId="6D9A3D5D"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lastRenderedPageBreak/>
        <w:t xml:space="preserve">6. El análisis de Riesgo y la forma de mitigarlo. </w:t>
      </w:r>
    </w:p>
    <w:p w14:paraId="5130F805"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 xml:space="preserve">7. Las garantías que la Entidad Estatal contempla exigir en el proceso de contratación. </w:t>
      </w:r>
    </w:p>
    <w:p w14:paraId="5EA7AC8F"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 xml:space="preserve">8. La indicación de si el proceso de contratación está cobijado por un acuerdo comercial. </w:t>
      </w:r>
    </w:p>
    <w:p w14:paraId="6193D47F" w14:textId="77777777" w:rsidR="009F0FE9" w:rsidRPr="00AD4AAE" w:rsidRDefault="009F0FE9" w:rsidP="00810D25">
      <w:pPr>
        <w:spacing w:after="0" w:line="240" w:lineRule="auto"/>
        <w:ind w:left="709" w:right="709"/>
        <w:jc w:val="both"/>
        <w:rPr>
          <w:rFonts w:ascii="Verdana" w:hAnsi="Verdana" w:cs="Arial"/>
          <w:sz w:val="20"/>
          <w:szCs w:val="20"/>
        </w:rPr>
      </w:pPr>
      <w:r w:rsidRPr="00AD4AAE">
        <w:rPr>
          <w:rFonts w:ascii="Verdana" w:hAnsi="Verdana" w:cs="Arial"/>
          <w:sz w:val="20"/>
          <w:szCs w:val="20"/>
        </w:rPr>
        <w:t>El presente artículo no es aplicable a la contratación por mínima cuantía.</w:t>
      </w:r>
    </w:p>
    <w:p w14:paraId="7F4BF136" w14:textId="77777777" w:rsidR="009F0FE9" w:rsidRPr="00AD4AAE" w:rsidRDefault="009F0FE9" w:rsidP="009F0FE9">
      <w:pPr>
        <w:widowControl w:val="0"/>
        <w:tabs>
          <w:tab w:val="left" w:pos="1305"/>
        </w:tabs>
        <w:autoSpaceDE w:val="0"/>
        <w:autoSpaceDN w:val="0"/>
        <w:spacing w:after="0" w:line="276" w:lineRule="auto"/>
        <w:ind w:left="828" w:right="822"/>
        <w:rPr>
          <w:rFonts w:ascii="Verdana" w:eastAsia="Calibri" w:hAnsi="Verdana" w:cs="Arial"/>
          <w:sz w:val="20"/>
          <w:szCs w:val="20"/>
          <w:lang w:val="es-MX"/>
        </w:rPr>
      </w:pPr>
    </w:p>
    <w:p w14:paraId="1F71A618" w14:textId="77777777" w:rsidR="009F0FE9" w:rsidRPr="00AD4AAE" w:rsidRDefault="009F0FE9" w:rsidP="009F0FE9">
      <w:pPr>
        <w:spacing w:after="120" w:line="276" w:lineRule="auto"/>
        <w:ind w:firstLine="709"/>
        <w:jc w:val="both"/>
        <w:rPr>
          <w:rFonts w:ascii="Verdana" w:hAnsi="Verdana" w:cs="Arial"/>
        </w:rPr>
      </w:pPr>
      <w:bookmarkStart w:id="1" w:name="_Hlk54011351"/>
      <w:r w:rsidRPr="00AD4AAE">
        <w:rPr>
          <w:rFonts w:ascii="Verdana" w:hAnsi="Verdana" w:cs="Arial"/>
        </w:rPr>
        <w:t>De esta manera, antes de iniciar un procedimiento de selección, la entidad estatal podrá determinar con los estudios previos: i) la verdadera necesidad de la celebración del contrato; ii) las modalidades existentes para satisfacer esa necesidad y las razones que justifiquen la modalidad o tipo contractual que se escoja; iii) las calidades, especificaciones, cantidades y demás características que puedan o deban reunir los bienes, las obras o los servicios cuya contratación se haya determinado necesaria, iv) los costos, valores y alternativas que, a precios de mercado reales, podría demandar la celebración y ejecución del contrato, v) la disponibilidad de recursos o la capacidad financiera de la entidad contratante para asumir las obligaciones de pago producto de la celebración de ese pretendido contrato; vi) la existencia y disponibilidad, en el mercado nacional o internacional, de proveedores, constructores, profesionales, etc., en condiciones de atender los requerimientos y satisfacer las necesidades y vii) los procedimientos, trámites y requisitos que deban satisfacerse, reunirse u obtenerse para llevar a cabo la selección del respectivo contratista y la celebración del contrato que se pretenda celebrar.</w:t>
      </w:r>
    </w:p>
    <w:bookmarkEnd w:id="1"/>
    <w:p w14:paraId="65FDBBC3" w14:textId="77777777" w:rsidR="009F0FE9" w:rsidRPr="00AD4AAE" w:rsidRDefault="009F0FE9" w:rsidP="009F0FE9">
      <w:pPr>
        <w:spacing w:after="120" w:line="276" w:lineRule="auto"/>
        <w:ind w:firstLine="709"/>
        <w:jc w:val="both"/>
        <w:rPr>
          <w:rFonts w:ascii="Verdana" w:hAnsi="Verdana" w:cs="Arial"/>
        </w:rPr>
      </w:pPr>
      <w:r w:rsidRPr="00AD4AAE">
        <w:rPr>
          <w:rFonts w:ascii="Verdana" w:hAnsi="Verdana" w:cs="Arial"/>
        </w:rPr>
        <w:t xml:space="preserve">Por ello, el hecho que las entidades cumplan con los elementos mínimos establecidos en la norma y aquellos adicionales que identifiquen en la etapa de planeación de los </w:t>
      </w:r>
      <w:r w:rsidRPr="00AD4AAE">
        <w:rPr>
          <w:rFonts w:ascii="Verdana" w:eastAsia="Calibri" w:hAnsi="Verdana" w:cs="Arial"/>
          <w:bCs/>
          <w:lang w:val="es-ES_tradnl"/>
        </w:rPr>
        <w:t xml:space="preserve">procedimientos de contratación, permite que los contratos resultantes cuenten con el sustento técnico, económico y jurídico que incidirá </w:t>
      </w:r>
      <w:r w:rsidRPr="00AD4AAE">
        <w:rPr>
          <w:rFonts w:ascii="Verdana" w:hAnsi="Verdana" w:cs="Arial"/>
        </w:rPr>
        <w:t>en una adecuada ejecución.</w:t>
      </w:r>
    </w:p>
    <w:p w14:paraId="521907E6" w14:textId="77777777" w:rsidR="009F0FE9" w:rsidRPr="00AD4AAE" w:rsidRDefault="009F0FE9" w:rsidP="009F0FE9">
      <w:pPr>
        <w:spacing w:after="120" w:line="276" w:lineRule="auto"/>
        <w:ind w:right="103" w:firstLine="708"/>
        <w:jc w:val="both"/>
        <w:rPr>
          <w:rFonts w:ascii="Verdana" w:hAnsi="Verdana" w:cs="Arial"/>
        </w:rPr>
      </w:pPr>
      <w:r w:rsidRPr="00AD4AAE">
        <w:rPr>
          <w:rFonts w:ascii="Verdana" w:hAnsi="Verdana" w:cs="Arial"/>
        </w:rPr>
        <w:t>Mas allá del cumplimiento de la normativa, “los estudios y documentos previos son el soporte para elaborar el proyecto de pliegos, los pliegos de condiciones, y el contrato”</w:t>
      </w:r>
      <w:r w:rsidRPr="00AD4AAE">
        <w:rPr>
          <w:rFonts w:ascii="Verdana" w:hAnsi="Verdana" w:cs="Arial"/>
          <w:vertAlign w:val="superscript"/>
        </w:rPr>
        <w:footnoteReference w:id="2"/>
      </w:r>
      <w:r w:rsidRPr="00AD4AAE">
        <w:rPr>
          <w:rFonts w:ascii="Verdana" w:hAnsi="Verdana" w:cs="Arial"/>
        </w:rPr>
        <w:t xml:space="preserve">, por lo que deben publicarse en la etapa precontractual y sirven de motivación para los documentos expedidos </w:t>
      </w:r>
      <w:r w:rsidRPr="00AD4AAE">
        <w:rPr>
          <w:rFonts w:ascii="Verdana" w:hAnsi="Verdana" w:cs="Arial"/>
        </w:rPr>
        <w:lastRenderedPageBreak/>
        <w:t>unilateralmente por la entidad estatal tales como el acto administrativo de apertura, los pliegos de condiciones y el acto de adjudicación, entre otros.</w:t>
      </w:r>
    </w:p>
    <w:p w14:paraId="2550D727" w14:textId="77777777" w:rsidR="009F0FE9" w:rsidRPr="00AD4AAE" w:rsidRDefault="009F0FE9" w:rsidP="009F0FE9">
      <w:pPr>
        <w:spacing w:after="120" w:line="276" w:lineRule="auto"/>
        <w:ind w:right="105" w:firstLine="709"/>
        <w:jc w:val="both"/>
        <w:rPr>
          <w:rFonts w:ascii="Verdana" w:hAnsi="Verdana" w:cs="Arial"/>
        </w:rPr>
      </w:pPr>
      <w:bookmarkStart w:id="3" w:name="_Hlk54011438"/>
      <w:r w:rsidRPr="00AD4AAE">
        <w:rPr>
          <w:rFonts w:ascii="Verdana" w:hAnsi="Verdana" w:cs="Arial"/>
        </w:rPr>
        <w:t>De lo explicado se desprende que los estudios y documentos previos son necesarios antes de la celebración del contrato, pues fundamentan las condiciones que la entidad estatal exige en su proceso de contratación. Sin embargo, luego de la suscripción del contrato la entidad no debe actuar unilateralmente, sino que debe respetar la buena fe contractual y proceder de acuerdo con lo pactado</w:t>
      </w:r>
      <w:bookmarkEnd w:id="3"/>
      <w:r w:rsidRPr="00AD4AAE">
        <w:rPr>
          <w:rFonts w:ascii="Verdana" w:hAnsi="Verdana" w:cs="Arial"/>
          <w:vertAlign w:val="superscript"/>
        </w:rPr>
        <w:footnoteReference w:id="3"/>
      </w:r>
      <w:r w:rsidRPr="00AD4AAE">
        <w:rPr>
          <w:rFonts w:ascii="Verdana" w:hAnsi="Verdana" w:cs="Arial"/>
        </w:rPr>
        <w:t xml:space="preserve">. </w:t>
      </w:r>
    </w:p>
    <w:p w14:paraId="295AA96B" w14:textId="77777777" w:rsidR="009F0FE9" w:rsidRPr="00AD4AAE" w:rsidRDefault="009F0FE9" w:rsidP="009F0FE9">
      <w:pPr>
        <w:spacing w:after="120" w:line="276" w:lineRule="auto"/>
        <w:ind w:firstLine="708"/>
        <w:jc w:val="both"/>
        <w:rPr>
          <w:rFonts w:ascii="Verdana" w:eastAsia="Calibri" w:hAnsi="Verdana" w:cs="Arial"/>
          <w:bCs/>
          <w:lang w:val="es-ES_tradnl"/>
        </w:rPr>
      </w:pPr>
      <w:r w:rsidRPr="00AD4AAE">
        <w:rPr>
          <w:rFonts w:ascii="Verdana" w:hAnsi="Verdana" w:cs="Arial"/>
        </w:rPr>
        <w:t xml:space="preserve">Por otra parte, los numerales 2 y 4 del artículo 2.2.1.1.2.1.1 del Decreto 1082 de 2015 exigen que en los estudios previos se determine el objeto a contratar con sus especificaciones, y se señale el valor estimado del contrato y la justificación del mismo. </w:t>
      </w:r>
      <w:r w:rsidRPr="00AD4AAE">
        <w:rPr>
          <w:rFonts w:ascii="Verdana" w:eastAsia="Calibri" w:hAnsi="Verdana" w:cs="Arial"/>
          <w:bCs/>
          <w:lang w:val="es-ES_tradnl"/>
        </w:rPr>
        <w:t xml:space="preserve">Para cumplir este objetivo es necesario el análisis del sector económico y de los oferentes, actividad de planeación previa que sirve para identificar aspectos concretos del mercado que pueden afectar el proceso de selección o las condiciones del negocio a realizar mediante el proceso de contratación de bienes, obras o servicios. En este sentido, el artículo </w:t>
      </w:r>
      <w:bookmarkStart w:id="4" w:name="_Hlk36117416"/>
      <w:r w:rsidRPr="00AD4AAE">
        <w:rPr>
          <w:rFonts w:ascii="Verdana" w:eastAsia="Calibri" w:hAnsi="Verdana" w:cs="Arial"/>
          <w:bCs/>
          <w:lang w:val="es-ES_tradnl"/>
        </w:rPr>
        <w:t>2.2.1.1.1.6.1 del Decreto 1082 de 2015</w:t>
      </w:r>
      <w:bookmarkEnd w:id="4"/>
      <w:r w:rsidRPr="00AD4AAE">
        <w:rPr>
          <w:rFonts w:ascii="Verdana" w:eastAsia="Calibri" w:hAnsi="Verdana" w:cs="Arial"/>
          <w:bCs/>
          <w:lang w:val="es-ES_tradnl"/>
        </w:rPr>
        <w:t xml:space="preserve"> dispone que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162234D5" w14:textId="77777777" w:rsidR="009F0FE9" w:rsidRPr="00AD4AAE" w:rsidRDefault="009F0FE9" w:rsidP="009F0FE9">
      <w:pPr>
        <w:spacing w:after="120" w:line="276" w:lineRule="auto"/>
        <w:ind w:firstLine="709"/>
        <w:jc w:val="both"/>
        <w:rPr>
          <w:rFonts w:ascii="Verdana" w:eastAsia="Calibri" w:hAnsi="Verdana" w:cs="Arial"/>
          <w:lang w:val="es-ES"/>
        </w:rPr>
      </w:pPr>
      <w:r w:rsidRPr="00AD4AAE">
        <w:rPr>
          <w:rFonts w:ascii="Verdana" w:eastAsia="Calibri" w:hAnsi="Verdana" w:cs="Arial"/>
          <w:lang w:val="es-ES"/>
        </w:rPr>
        <w:t xml:space="preserve">De acuerdo con la norma citada, </w:t>
      </w:r>
      <w:bookmarkStart w:id="5" w:name="_Hlk36140682"/>
      <w:r w:rsidRPr="00AD4AAE">
        <w:rPr>
          <w:rFonts w:ascii="Verdana" w:eastAsia="Calibri" w:hAnsi="Verdana" w:cs="Arial"/>
          <w:lang w:val="es-ES"/>
        </w:rPr>
        <w:t xml:space="preserve">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w:t>
      </w:r>
      <w:r w:rsidRPr="00AD4AAE">
        <w:rPr>
          <w:rFonts w:ascii="Verdana" w:eastAsia="Calibri" w:hAnsi="Verdana" w:cs="Arial"/>
          <w:lang w:val="es-ES"/>
        </w:rPr>
        <w:lastRenderedPageBreak/>
        <w:t>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39518361" w14:textId="77777777" w:rsidR="009F0FE9" w:rsidRPr="00AD4AAE" w:rsidRDefault="009F0FE9" w:rsidP="009F0FE9">
      <w:pPr>
        <w:spacing w:after="120" w:line="276" w:lineRule="auto"/>
        <w:ind w:firstLine="709"/>
        <w:jc w:val="both"/>
        <w:rPr>
          <w:rFonts w:ascii="Verdana" w:eastAsia="Calibri" w:hAnsi="Verdana" w:cs="Arial"/>
          <w:bCs/>
          <w:lang w:val="es-ES_tradnl"/>
        </w:rPr>
      </w:pPr>
      <w:r w:rsidRPr="00AD4AAE">
        <w:rPr>
          <w:rFonts w:ascii="Verdana" w:eastAsia="Calibri" w:hAnsi="Verdana" w:cs="Arial"/>
          <w:bCs/>
          <w:lang w:val="es-ES_tradnl"/>
        </w:rPr>
        <w:t>Para negociar de manera adecuada, es necesario conocer la estructura de los posibles contratistas, pues permite identificar la forma en la que suplirán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0729FC54" w14:textId="77777777" w:rsidR="009F0FE9" w:rsidRPr="00AD4AAE" w:rsidRDefault="009F0FE9" w:rsidP="009F0FE9">
      <w:pPr>
        <w:spacing w:after="120" w:line="276" w:lineRule="auto"/>
        <w:ind w:firstLine="709"/>
        <w:jc w:val="both"/>
        <w:rPr>
          <w:rFonts w:ascii="Verdana" w:eastAsia="Calibri" w:hAnsi="Verdana" w:cs="Arial"/>
          <w:lang w:val="es-ES"/>
        </w:rPr>
      </w:pPr>
      <w:r w:rsidRPr="00AD4AAE">
        <w:rPr>
          <w:rFonts w:ascii="Verdana" w:eastAsia="Calibri" w:hAnsi="Verdana" w:cs="Arial"/>
          <w:lang w:val="es-ES"/>
        </w:rPr>
        <w:t xml:space="preserve">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4463A149" w14:textId="77777777" w:rsidR="00CA124B" w:rsidRPr="00AD4AAE" w:rsidRDefault="009F0FE9" w:rsidP="00CA124B">
      <w:pPr>
        <w:spacing w:after="120" w:line="276" w:lineRule="auto"/>
        <w:ind w:firstLine="709"/>
        <w:jc w:val="both"/>
        <w:rPr>
          <w:rFonts w:ascii="Verdana" w:eastAsia="Calibri" w:hAnsi="Verdana" w:cs="Arial"/>
          <w:bCs/>
          <w:lang w:val="es-ES_tradnl"/>
        </w:rPr>
      </w:pPr>
      <w:r w:rsidRPr="00AD4AAE">
        <w:rPr>
          <w:rFonts w:ascii="Verdana" w:eastAsia="Calibri" w:hAnsi="Verdana" w:cs="Arial"/>
          <w:bCs/>
          <w:lang w:val="es-ES_tradnl"/>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lo que las entidades </w:t>
      </w:r>
      <w:r w:rsidRPr="00AD4AAE">
        <w:rPr>
          <w:rFonts w:ascii="Verdana" w:hAnsi="Verdana" w:cs="Arial"/>
          <w:lang w:eastAsia="es-CO"/>
        </w:rPr>
        <w:t xml:space="preserve">son autónomas para estructurarlo, para lo cual deberán cumplir lo dispuesto en el artículo </w:t>
      </w:r>
      <w:r w:rsidRPr="00AD4AAE">
        <w:rPr>
          <w:rFonts w:ascii="Verdana" w:eastAsia="Calibri" w:hAnsi="Verdana" w:cs="Arial"/>
          <w:bCs/>
          <w:lang w:val="es-ES_tradnl"/>
        </w:rPr>
        <w:t xml:space="preserve">2.2.1.1.1.6.1 del Decreto 1082 de 2015 y realizar un análisis integral de planeación que </w:t>
      </w:r>
      <w:r w:rsidRPr="00AD4AAE">
        <w:rPr>
          <w:rFonts w:ascii="Verdana" w:hAnsi="Verdana" w:cs="Arial"/>
        </w:rPr>
        <w:t xml:space="preserve">sirva de sustento a la decisión de </w:t>
      </w:r>
      <w:r w:rsidRPr="00AD4AAE">
        <w:rPr>
          <w:rFonts w:ascii="Verdana" w:hAnsi="Verdana" w:cs="Arial"/>
          <w:bCs/>
          <w:lang w:val="es-ES_tradnl"/>
        </w:rPr>
        <w:t>realizar un proceso de contratación.</w:t>
      </w:r>
      <w:bookmarkEnd w:id="5"/>
    </w:p>
    <w:p w14:paraId="584B0BDC" w14:textId="4A6C6F8B" w:rsidR="002178E6" w:rsidRPr="00AD4AAE" w:rsidRDefault="009F0FE9" w:rsidP="002178E6">
      <w:pPr>
        <w:spacing w:after="120" w:line="276" w:lineRule="auto"/>
        <w:jc w:val="both"/>
        <w:rPr>
          <w:rFonts w:ascii="Verdana" w:eastAsia="Calibri" w:hAnsi="Verdana" w:cs="Arial"/>
          <w:bCs/>
        </w:rPr>
      </w:pPr>
      <w:r w:rsidRPr="00AD4AAE">
        <w:rPr>
          <w:rFonts w:ascii="Verdana" w:eastAsia="Century Gothic" w:hAnsi="Verdana" w:cs="Century Gothic"/>
          <w:bCs/>
          <w:lang w:val="es-ES_tradnl"/>
        </w:rPr>
        <w:t xml:space="preserve">ii. </w:t>
      </w:r>
      <w:r w:rsidR="00C17877" w:rsidRPr="00AD4AAE">
        <w:rPr>
          <w:rFonts w:ascii="Verdana" w:eastAsia="Calibri" w:hAnsi="Verdana" w:cs="Arial"/>
          <w:bCs/>
        </w:rPr>
        <w:t xml:space="preserve">De otra parte, en aras de responder la solicitud, resulta necesario mencionar que, la Corte Constitucional se pronunció sobre la relevancia del enfoque de </w:t>
      </w:r>
      <w:r w:rsidR="00C17877" w:rsidRPr="00AD4AAE">
        <w:rPr>
          <w:rFonts w:ascii="Verdana" w:eastAsia="Calibri" w:hAnsi="Verdana" w:cs="Arial"/>
          <w:bCs/>
        </w:rPr>
        <w:lastRenderedPageBreak/>
        <w:t xml:space="preserve">derechos humanos en la planeación contractual. </w:t>
      </w:r>
      <w:r w:rsidR="009F22AE" w:rsidRPr="00AD4AAE">
        <w:rPr>
          <w:rFonts w:ascii="Verdana" w:eastAsia="Calibri" w:hAnsi="Verdana" w:cs="Arial"/>
          <w:bCs/>
        </w:rPr>
        <w:t xml:space="preserve">Sobre el particular, </w:t>
      </w:r>
      <w:r w:rsidR="002178E6" w:rsidRPr="00AD4AAE">
        <w:rPr>
          <w:rFonts w:ascii="Verdana" w:eastAsia="Calibri" w:hAnsi="Verdana" w:cs="Arial"/>
          <w:bCs/>
        </w:rPr>
        <w:t>se</w:t>
      </w:r>
      <w:r w:rsidR="009F22AE" w:rsidRPr="00AD4AAE">
        <w:rPr>
          <w:rFonts w:ascii="Verdana" w:eastAsia="Calibri" w:hAnsi="Verdana" w:cs="Arial"/>
          <w:bCs/>
        </w:rPr>
        <w:t xml:space="preserve"> precis</w:t>
      </w:r>
      <w:r w:rsidR="00C55151" w:rsidRPr="00AD4AAE">
        <w:rPr>
          <w:rFonts w:ascii="Verdana" w:eastAsia="Calibri" w:hAnsi="Verdana" w:cs="Arial"/>
          <w:bCs/>
        </w:rPr>
        <w:t>a</w:t>
      </w:r>
      <w:r w:rsidR="009F22AE" w:rsidRPr="00AD4AAE">
        <w:rPr>
          <w:rFonts w:ascii="Verdana" w:eastAsia="Calibri" w:hAnsi="Verdana" w:cs="Arial"/>
          <w:bCs/>
        </w:rPr>
        <w:t xml:space="preserve"> </w:t>
      </w:r>
      <w:r w:rsidR="002178E6" w:rsidRPr="00AD4AAE">
        <w:rPr>
          <w:rFonts w:ascii="Verdana" w:eastAsia="Calibri" w:hAnsi="Verdana" w:cs="Arial"/>
          <w:bCs/>
        </w:rPr>
        <w:t>la cláusula del Estado democrático tiene como finalidad esencial la protección y defensa de los derechos humanos, lo cual se proyecta en todas las dinámicas de la función pública. En este contexto, la contratación estatal, regulada principalmente por la Ley 80 de 1993 y normas complementarias, se encuentra guiada por principios constitucionales como la prevalencia del interés general, la igualdad, la buena fe, la defensa del patrimonio público y la autonomía de las entidades territoriales. Asimismo, el artículo 209 de la Constitución Política establece que la función administrativa debe regirse por los principios de moralidad, eficacia, economía, celeridad, imparcialidad y publicidad, los cuales también gobiernan la actividad contractual del Estado.</w:t>
      </w:r>
      <w:r w:rsidR="009D3BE7" w:rsidRPr="00AD4AAE">
        <w:rPr>
          <w:rStyle w:val="Refdenotaalpie"/>
          <w:rFonts w:ascii="Verdana" w:eastAsia="Calibri" w:hAnsi="Verdana" w:cs="Arial"/>
          <w:bCs/>
        </w:rPr>
        <w:footnoteReference w:id="4"/>
      </w:r>
    </w:p>
    <w:p w14:paraId="6AD4B559" w14:textId="6F5A986B" w:rsidR="002178E6" w:rsidRPr="00AD4AAE" w:rsidRDefault="002178E6" w:rsidP="002178E6">
      <w:pPr>
        <w:spacing w:after="120" w:line="276" w:lineRule="auto"/>
        <w:ind w:firstLine="708"/>
        <w:jc w:val="both"/>
        <w:rPr>
          <w:rFonts w:ascii="Verdana" w:eastAsia="Calibri" w:hAnsi="Verdana" w:cs="Arial"/>
          <w:bCs/>
        </w:rPr>
      </w:pPr>
      <w:r w:rsidRPr="00AD4AAE">
        <w:rPr>
          <w:rFonts w:ascii="Verdana" w:eastAsia="Calibri" w:hAnsi="Verdana" w:cs="Arial"/>
          <w:bCs/>
        </w:rPr>
        <w:t xml:space="preserve">Dentro de este marco normativo, el </w:t>
      </w:r>
      <w:r w:rsidRPr="00AD4AAE">
        <w:rPr>
          <w:rFonts w:ascii="Verdana" w:eastAsia="Calibri" w:hAnsi="Verdana" w:cs="Arial"/>
          <w:bCs/>
          <w:i/>
          <w:iCs/>
        </w:rPr>
        <w:t>principio de planeación</w:t>
      </w:r>
      <w:r w:rsidRPr="00AD4AAE">
        <w:rPr>
          <w:rFonts w:ascii="Verdana" w:eastAsia="Calibri" w:hAnsi="Verdana" w:cs="Arial"/>
          <w:bCs/>
        </w:rPr>
        <w:t xml:space="preserve"> adquiere especial relevancia. Su fundamento se encuentra en los artículos 209, 339 y 441 </w:t>
      </w:r>
      <w:r w:rsidR="00D105A1" w:rsidRPr="00AD4AAE">
        <w:rPr>
          <w:rFonts w:ascii="Verdana" w:eastAsia="Calibri" w:hAnsi="Verdana" w:cs="Arial"/>
          <w:bCs/>
        </w:rPr>
        <w:t>constitucionales</w:t>
      </w:r>
      <w:r w:rsidRPr="00AD4AAE">
        <w:rPr>
          <w:rFonts w:ascii="Verdana" w:eastAsia="Calibri" w:hAnsi="Verdana" w:cs="Arial"/>
          <w:bCs/>
        </w:rPr>
        <w:t xml:space="preserve">, y ha sido desarrollado por la jurisprudencia de la Corte Constitucional y </w:t>
      </w:r>
      <w:r w:rsidR="00FF79EA" w:rsidRPr="00AD4AAE">
        <w:rPr>
          <w:rFonts w:ascii="Verdana" w:eastAsia="Calibri" w:hAnsi="Verdana" w:cs="Arial"/>
          <w:bCs/>
        </w:rPr>
        <w:t>d</w:t>
      </w:r>
      <w:r w:rsidRPr="00AD4AAE">
        <w:rPr>
          <w:rFonts w:ascii="Verdana" w:eastAsia="Calibri" w:hAnsi="Verdana" w:cs="Arial"/>
          <w:bCs/>
        </w:rPr>
        <w:t>el Consejo de Estado. Dicho principio exige que la selección de contratistas, así como la celebración, ejecución y liquidación de los contratos, sean el resultado de una actividad programada y alineada con las políticas públicas. La Corte Constitucional ha señalado que este deber implica prever y definir las obligaciones mutuas de las partes, la distribución de riesgos, el precio, la financiación y las condiciones necesarias para que los interesados puedan formular ofertas viables.</w:t>
      </w:r>
    </w:p>
    <w:p w14:paraId="61F2C6DC" w14:textId="77777777" w:rsidR="002178E6" w:rsidRPr="00AD4AAE" w:rsidRDefault="002178E6" w:rsidP="002178E6">
      <w:pPr>
        <w:spacing w:after="120" w:line="276" w:lineRule="auto"/>
        <w:ind w:firstLine="708"/>
        <w:jc w:val="both"/>
        <w:rPr>
          <w:rFonts w:ascii="Verdana" w:eastAsia="Calibri" w:hAnsi="Verdana" w:cs="Arial"/>
          <w:bCs/>
        </w:rPr>
      </w:pPr>
      <w:r w:rsidRPr="00AD4AAE">
        <w:rPr>
          <w:rFonts w:ascii="Verdana" w:eastAsia="Calibri" w:hAnsi="Verdana" w:cs="Arial"/>
          <w:bCs/>
        </w:rPr>
        <w:t>Un elemento innovador en la interpretación de este principio es la incorporación de un enfoque de derechos humanos. Tanto la Corte Constitucional como el Consejo de Estado han sostenido que las obligaciones derivadas de los contratos estatales incluyen no solo las prestaciones expresamente pactadas, sino también aquellas que se incorporan por virtud de la Constitución y los principios que orientan la actividad contractual.</w:t>
      </w:r>
    </w:p>
    <w:p w14:paraId="30787523" w14:textId="77777777" w:rsidR="002178E6" w:rsidRPr="00AD4AAE" w:rsidRDefault="002178E6" w:rsidP="002178E6">
      <w:pPr>
        <w:spacing w:after="120" w:line="276" w:lineRule="auto"/>
        <w:ind w:firstLine="708"/>
        <w:jc w:val="both"/>
        <w:rPr>
          <w:rFonts w:ascii="Verdana" w:eastAsia="Calibri" w:hAnsi="Verdana" w:cs="Arial"/>
          <w:bCs/>
        </w:rPr>
      </w:pPr>
      <w:r w:rsidRPr="00AD4AAE">
        <w:rPr>
          <w:rFonts w:ascii="Verdana" w:eastAsia="Calibri" w:hAnsi="Verdana" w:cs="Arial"/>
          <w:bCs/>
        </w:rPr>
        <w:t xml:space="preserve">Este enfoque implica que la planeación contractual debe considerar los riesgos que puedan afectar derechos fundamentales, tales como condiciones climáticas, de salud o fenómenos sociales como el reclutamiento forzado. De esta manera, la contratación pública se convierte en un instrumento para garantizar la efectividad de los derechos humanos y prevenir su vulneración. La </w:t>
      </w:r>
      <w:r w:rsidRPr="00AD4AAE">
        <w:rPr>
          <w:rFonts w:ascii="Verdana" w:eastAsia="Calibri" w:hAnsi="Verdana" w:cs="Arial"/>
          <w:bCs/>
        </w:rPr>
        <w:lastRenderedPageBreak/>
        <w:t>selección del contratista, el objeto del contrato y el presupuesto destinado a su ejecución deben responder a este propósito constitucional.</w:t>
      </w:r>
    </w:p>
    <w:p w14:paraId="6BE1BDC0" w14:textId="6BFEFE8E" w:rsidR="002178E6" w:rsidRPr="00AD4AAE" w:rsidRDefault="002178E6" w:rsidP="002178E6">
      <w:pPr>
        <w:spacing w:after="120" w:line="276" w:lineRule="auto"/>
        <w:ind w:firstLine="708"/>
        <w:jc w:val="both"/>
        <w:rPr>
          <w:rFonts w:ascii="Verdana" w:eastAsia="Calibri" w:hAnsi="Verdana" w:cs="Arial"/>
          <w:bCs/>
        </w:rPr>
      </w:pPr>
      <w:r w:rsidRPr="00AD4AAE">
        <w:rPr>
          <w:rFonts w:ascii="Verdana" w:eastAsia="Calibri" w:hAnsi="Verdana" w:cs="Arial"/>
          <w:bCs/>
        </w:rPr>
        <w:t>En consecuencia, la contratación estatal no solo persigue la satisfacción del interés general, sino que también debe atender fines constitucionales específicos, como la protección del medio ambiente y la garantía de la seguridad social. La perspectiva de derechos humanos, incorporada desde la planeación, orienta todas las etapas contractuales y asegura que la gestión pública se convierta en un mecanismo de justicia social.</w:t>
      </w:r>
    </w:p>
    <w:p w14:paraId="4E395A59" w14:textId="77777777" w:rsidR="002178E6" w:rsidRPr="00AD4AAE" w:rsidRDefault="002178E6" w:rsidP="002178E6">
      <w:pPr>
        <w:spacing w:after="120" w:line="276" w:lineRule="auto"/>
        <w:ind w:firstLine="708"/>
        <w:jc w:val="both"/>
        <w:rPr>
          <w:rFonts w:ascii="Verdana" w:eastAsia="Calibri" w:hAnsi="Verdana" w:cs="Arial"/>
          <w:bCs/>
        </w:rPr>
      </w:pPr>
      <w:r w:rsidRPr="00AD4AAE">
        <w:rPr>
          <w:rFonts w:ascii="Verdana" w:eastAsia="Calibri" w:hAnsi="Verdana" w:cs="Arial"/>
          <w:bCs/>
        </w:rPr>
        <w:t>Finalmente, se concluye que el ejercicio de la función pública en materia contractual no puede desligarse de la Constitución. La planeación adecuada de los contratos garantiza la materialización de los derechos humanos y contribuye a la erradicación de prácticas que los vulneren. Así, la contratación estatal se consolida como un medio para fortalecer las instituciones democráticas y proteger la dignidad humana, en consonancia con los postulados del Estado social de derecho.</w:t>
      </w:r>
    </w:p>
    <w:p w14:paraId="012AC790" w14:textId="0492656F" w:rsidR="00BE714F" w:rsidRPr="00AD4AAE" w:rsidRDefault="00D46AF2" w:rsidP="00BE714F">
      <w:pPr>
        <w:widowControl w:val="0"/>
        <w:autoSpaceDE w:val="0"/>
        <w:autoSpaceDN w:val="0"/>
        <w:spacing w:before="120" w:after="120" w:line="276" w:lineRule="auto"/>
        <w:jc w:val="both"/>
        <w:rPr>
          <w:rFonts w:ascii="Verdana" w:hAnsi="Verdana" w:cs="Arial"/>
          <w:bCs/>
          <w:color w:val="000000" w:themeColor="text1"/>
        </w:rPr>
      </w:pPr>
      <w:r w:rsidRPr="00AD4AAE">
        <w:rPr>
          <w:rFonts w:ascii="Verdana" w:eastAsia="Calibri" w:hAnsi="Verdana" w:cs="Arial"/>
          <w:bCs/>
        </w:rPr>
        <w:t xml:space="preserve">iii. </w:t>
      </w:r>
      <w:r w:rsidR="00BE714F" w:rsidRPr="00AD4AAE">
        <w:rPr>
          <w:rFonts w:ascii="Verdana" w:hAnsi="Verdana" w:cs="Arial"/>
          <w:bCs/>
          <w:color w:val="000000" w:themeColor="text1"/>
        </w:rPr>
        <w:t xml:space="preserve">En complemento con lo expuesto, </w:t>
      </w:r>
      <w:r w:rsidR="00BE714F" w:rsidRPr="00AD4AAE">
        <w:rPr>
          <w:rFonts w:ascii="Verdana" w:eastAsia="Century Gothic" w:hAnsi="Verdana" w:cs="Century Gothic"/>
        </w:rPr>
        <w:t>resulta importante hacer algunas precisiones sobre la idoneidad, supuesto indispensable para tener en cuenta por parte de las Entidades al momento de suscribir contratos. Así las cosas, debe indicarse en primer lugar que esta hace referencia a la condición o cualidad que debe acreditar una persona ya sea natural o jurídica, a las Entidades con las que se va a celebrar el contrato y/o convenio, a fin de verificar si cuenta con la capacidad para ejecutar el objeto del contrato y con ello garantizar que se pueda cumplir a cabalidad con las obligaciones acordadas</w:t>
      </w:r>
      <w:r w:rsidR="00BE714F" w:rsidRPr="00AD4AAE">
        <w:rPr>
          <w:rFonts w:ascii="Verdana" w:eastAsia="Century Gothic" w:hAnsi="Verdana" w:cs="Century Gothic"/>
          <w:vertAlign w:val="superscript"/>
        </w:rPr>
        <w:footnoteReference w:id="5"/>
      </w:r>
      <w:r w:rsidR="00BE714F" w:rsidRPr="00AD4AAE">
        <w:rPr>
          <w:rFonts w:ascii="Verdana" w:eastAsia="Century Gothic" w:hAnsi="Verdana" w:cs="Century Gothic"/>
        </w:rPr>
        <w:t xml:space="preserve">. </w:t>
      </w:r>
    </w:p>
    <w:p w14:paraId="6136835A" w14:textId="3944A1E1" w:rsidR="00BE714F" w:rsidRPr="00AD4AAE" w:rsidRDefault="00BE714F" w:rsidP="00BE714F">
      <w:pPr>
        <w:spacing w:after="120" w:line="276" w:lineRule="auto"/>
        <w:ind w:firstLine="708"/>
        <w:jc w:val="both"/>
        <w:rPr>
          <w:rFonts w:ascii="Verdana" w:eastAsia="Calibri" w:hAnsi="Verdana" w:cs="Arial"/>
          <w:bCs/>
          <w:color w:val="000000" w:themeColor="text1"/>
          <w:lang w:val="es-ES_tradnl"/>
        </w:rPr>
      </w:pPr>
      <w:r w:rsidRPr="00AD4AAE">
        <w:rPr>
          <w:rFonts w:ascii="Verdana" w:hAnsi="Verdana" w:cs="Arial"/>
          <w:bCs/>
          <w:color w:val="000000" w:themeColor="text1"/>
        </w:rPr>
        <w:t xml:space="preserve"> En ese orden, </w:t>
      </w:r>
      <w:r w:rsidRPr="00AD4AAE">
        <w:rPr>
          <w:rFonts w:ascii="Verdana" w:eastAsia="Calibri" w:hAnsi="Verdana" w:cs="Arial"/>
          <w:bCs/>
          <w:color w:val="000000" w:themeColor="text1"/>
          <w:lang w:val="es-ES_tradnl"/>
        </w:rPr>
        <w:t xml:space="preserve">se trata de un requisito plasmado en un </w:t>
      </w:r>
      <w:r w:rsidRPr="00AD4AAE">
        <w:rPr>
          <w:rFonts w:ascii="Verdana" w:eastAsia="Calibri" w:hAnsi="Verdana" w:cs="Arial"/>
          <w:bCs/>
          <w:i/>
          <w:iCs/>
          <w:color w:val="000000" w:themeColor="text1"/>
          <w:lang w:val="es-ES_tradnl"/>
        </w:rPr>
        <w:t>concepto jurídicamente indeterminado</w:t>
      </w:r>
      <w:r w:rsidRPr="00AD4AAE">
        <w:rPr>
          <w:rFonts w:ascii="Verdana" w:eastAsia="Calibri" w:hAnsi="Verdana" w:cs="Arial"/>
          <w:bCs/>
          <w:color w:val="000000" w:themeColor="text1"/>
          <w:lang w:val="es-ES_tradnl"/>
        </w:rPr>
        <w:t xml:space="preserve"> que es necesario dotar de contenido en cada caso concreto. Conforme al diccionario de la RAE, lo “idóneo” se refiere a que es “Adecuado y apropiado para algo”, lo que indica una serie de aptitudes para cumplir un fin determinado. Esto se confirma en el diccionario panhispánico del español jurídico, donde la RAE alude a la “</w:t>
      </w:r>
      <w:r w:rsidRPr="00AD4AAE">
        <w:rPr>
          <w:rFonts w:ascii="Verdana" w:eastAsia="Calibri" w:hAnsi="Verdana" w:cs="Arial"/>
          <w:bCs/>
          <w:i/>
          <w:iCs/>
          <w:color w:val="000000" w:themeColor="text1"/>
          <w:lang w:val="es-ES_tradnl"/>
        </w:rPr>
        <w:t>Cualidad personal necesaria para la prestación de un servicio concreto o la asunción de un cargo</w:t>
      </w:r>
      <w:r w:rsidRPr="00AD4AAE">
        <w:rPr>
          <w:rFonts w:ascii="Verdana" w:eastAsia="Calibri" w:hAnsi="Verdana" w:cs="Arial"/>
          <w:bCs/>
          <w:color w:val="000000" w:themeColor="text1"/>
          <w:lang w:val="es-ES_tradnl"/>
        </w:rPr>
        <w:t>”. Este requisito también se exige</w:t>
      </w:r>
      <w:r w:rsidR="0085014B" w:rsidRPr="00AD4AAE">
        <w:rPr>
          <w:rFonts w:ascii="Verdana" w:eastAsia="Calibri" w:hAnsi="Verdana" w:cs="Arial"/>
          <w:bCs/>
          <w:color w:val="000000" w:themeColor="text1"/>
          <w:lang w:val="es-ES_tradnl"/>
        </w:rPr>
        <w:t xml:space="preserve"> </w:t>
      </w:r>
      <w:r w:rsidRPr="00AD4AAE">
        <w:rPr>
          <w:rFonts w:ascii="Verdana" w:eastAsia="Calibri" w:hAnsi="Verdana" w:cs="Arial"/>
          <w:bCs/>
          <w:color w:val="000000" w:themeColor="text1"/>
          <w:lang w:val="es-ES_tradnl"/>
        </w:rPr>
        <w:t>para la celebración de contratos de prestación de servicios profesionales y de apoyo a la gestión –art. 2.2.1.2.1.4.9 del Decreto 1082 de 2015– y para suscribir contratos del artículo 355 superior con entidades privadas sin ánimo de lucro –art. 3 del Decreto 092 de 2017–.</w:t>
      </w:r>
    </w:p>
    <w:p w14:paraId="0359FBB3" w14:textId="77777777" w:rsidR="00BE714F" w:rsidRPr="00AD4AAE" w:rsidRDefault="00BE714F" w:rsidP="00BE714F">
      <w:pPr>
        <w:spacing w:after="120" w:line="276" w:lineRule="auto"/>
        <w:ind w:firstLine="708"/>
        <w:jc w:val="both"/>
        <w:rPr>
          <w:rFonts w:ascii="Verdana" w:eastAsia="Calibri" w:hAnsi="Verdana" w:cs="Arial"/>
          <w:color w:val="000000" w:themeColor="text1"/>
          <w:lang w:val="es-ES"/>
        </w:rPr>
      </w:pPr>
      <w:r w:rsidRPr="00AD4AAE">
        <w:rPr>
          <w:rFonts w:ascii="Verdana" w:eastAsia="Calibri" w:hAnsi="Verdana" w:cs="Arial"/>
          <w:color w:val="000000" w:themeColor="text1"/>
          <w:lang w:val="es-ES"/>
        </w:rPr>
        <w:lastRenderedPageBreak/>
        <w:t xml:space="preserve">Dicha idoneidad, como mínimo, se precisa en términos de conocimiento y de experiencia, es decir, en la combinación entre el “saber” y el “saber hacer”. Estas capacidades se analizan en relación con el objeto del contrato, de donde se deprenden aptitudes teóricas y prácticas para ejecutar el proyecto. Además de lo anterior, puede verificarse con criterios como las capacidades del personal vinculado, una estructura organizacional robusta, la implementación y cumplimiento de indicadores de gestión, reputación del organismo en el medio, entre otras. </w:t>
      </w:r>
      <w:r w:rsidRPr="00AD4AAE">
        <w:rPr>
          <w:rFonts w:ascii="Verdana" w:eastAsia="Calibri" w:hAnsi="Verdana" w:cs="Arial"/>
          <w:i/>
          <w:color w:val="000000" w:themeColor="text1"/>
          <w:lang w:val="es-ES"/>
        </w:rPr>
        <w:t>Como se observa, la idoneidad es un concepto que se determina de forma valorativa, esto es, de acuerdo con el parámetro de verificación que se adopte.</w:t>
      </w:r>
      <w:r w:rsidRPr="00AD4AAE">
        <w:rPr>
          <w:rFonts w:ascii="Verdana" w:eastAsia="Calibri" w:hAnsi="Verdana" w:cs="Arial"/>
          <w:color w:val="000000" w:themeColor="text1"/>
          <w:lang w:val="es-ES"/>
        </w:rPr>
        <w:t xml:space="preserve"> </w:t>
      </w:r>
    </w:p>
    <w:p w14:paraId="2DB92BFD" w14:textId="53684465" w:rsidR="00BE714F" w:rsidRPr="00AD4AAE" w:rsidRDefault="00BE714F" w:rsidP="009802A1">
      <w:pPr>
        <w:spacing w:after="120" w:line="276" w:lineRule="auto"/>
        <w:ind w:firstLine="708"/>
        <w:jc w:val="both"/>
        <w:rPr>
          <w:rFonts w:ascii="Verdana" w:eastAsia="Calibri" w:hAnsi="Verdana" w:cs="Arial"/>
          <w:bCs/>
          <w:color w:val="000000" w:themeColor="text1"/>
        </w:rPr>
      </w:pPr>
      <w:r w:rsidRPr="00AD4AAE">
        <w:rPr>
          <w:rFonts w:ascii="Verdana" w:eastAsia="Calibri" w:hAnsi="Verdana" w:cs="Arial"/>
          <w:bCs/>
          <w:color w:val="000000" w:themeColor="text1"/>
        </w:rPr>
        <w:t xml:space="preserve">En conclusión, las Entidades Estatales tienen la obligación de verificar la idoneidad requerida para cumplir con el objeto del contrato, para lo cual resulta valido </w:t>
      </w:r>
      <w:r w:rsidR="009802A1" w:rsidRPr="00AD4AAE">
        <w:rPr>
          <w:rFonts w:ascii="Verdana" w:eastAsia="Calibri" w:hAnsi="Verdana" w:cs="Arial"/>
          <w:bCs/>
          <w:color w:val="000000" w:themeColor="text1"/>
        </w:rPr>
        <w:t xml:space="preserve">establecer perfiles con formación en derechos humanos. </w:t>
      </w:r>
      <w:r w:rsidRPr="00AD4AAE">
        <w:rPr>
          <w:rFonts w:ascii="Verdana" w:eastAsia="Calibri" w:hAnsi="Verdana" w:cs="Arial"/>
          <w:bCs/>
          <w:color w:val="000000" w:themeColor="text1"/>
        </w:rPr>
        <w:t xml:space="preserve">Este supuesto, como se explicó en precedencia, será determinado y verificado por las Entidades Estatales </w:t>
      </w:r>
      <w:r w:rsidRPr="00AD4AAE">
        <w:rPr>
          <w:rFonts w:ascii="Verdana" w:hAnsi="Verdana" w:cs="Arial"/>
          <w:color w:val="000000" w:themeColor="text1"/>
        </w:rPr>
        <w:t>de acuerdo con las características, el alcance del objeto del contrato y el perfil establecido en los documentos precontractuales.</w:t>
      </w:r>
      <w:r w:rsidRPr="00AD4AAE">
        <w:rPr>
          <w:rFonts w:ascii="Verdana" w:hAnsi="Verdana" w:cs="Arial"/>
        </w:rPr>
        <w:t xml:space="preserve"> Sobre esta medida, </w:t>
      </w:r>
      <w:r w:rsidR="009802A1" w:rsidRPr="00AD4AAE">
        <w:rPr>
          <w:rFonts w:ascii="Verdana" w:hAnsi="Verdana" w:cs="Arial"/>
        </w:rPr>
        <w:t>es menester manifestar que</w:t>
      </w:r>
      <w:r w:rsidRPr="00AD4AAE">
        <w:rPr>
          <w:rFonts w:ascii="Verdana" w:hAnsi="Verdana" w:cs="Arial"/>
        </w:rPr>
        <w:t xml:space="preserve"> no existe una disposición en materia de contratación pública en la que se establezca de manera detallada la verificación que debe hacer cada entidad</w:t>
      </w:r>
      <w:r w:rsidR="009802A1" w:rsidRPr="00AD4AAE">
        <w:rPr>
          <w:rFonts w:ascii="Verdana" w:hAnsi="Verdana" w:cs="Arial"/>
        </w:rPr>
        <w:t xml:space="preserve">. </w:t>
      </w:r>
    </w:p>
    <w:p w14:paraId="000ABA00" w14:textId="0E6C1071" w:rsidR="000E1253" w:rsidRPr="00AD4AAE" w:rsidRDefault="00BE714F" w:rsidP="00F73954">
      <w:pPr>
        <w:spacing w:after="120" w:line="276" w:lineRule="auto"/>
        <w:ind w:firstLine="708"/>
        <w:jc w:val="both"/>
        <w:rPr>
          <w:rFonts w:ascii="Verdana" w:hAnsi="Verdana" w:cs="Arial"/>
          <w:highlight w:val="cyan"/>
        </w:rPr>
      </w:pPr>
      <w:r w:rsidRPr="00AD4AAE">
        <w:rPr>
          <w:rFonts w:ascii="Verdana" w:eastAsia="Calibri" w:hAnsi="Verdana" w:cs="Arial"/>
          <w:bCs/>
          <w:color w:val="000000" w:themeColor="text1"/>
          <w:lang w:val="es-ES_tradnl"/>
        </w:rPr>
        <w:t>Dado que la Agencia carece de atribuciones para hacer un juicio de validez sobre de los requisitos de idoneidad, la entidad no puede definir un criterio universal y absoluto por vía consultiva sobre el objeto de la petición,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estos temas corresponde a la entidad de adoptar la decisión correspondiente y, en caso de conflicto, a las autoridades judiciales, fiscales y disciplinarias. De esta manera, corresponderá a cada contratante definir la viabilidad técnica, jurídica y financiera de alguna gestión contractual en específico, sin que sea atribución de la Agencia Nacional de Contratación Pública – Colombia Compra Eficiente validar las actuaciones adelantadas.</w:t>
      </w:r>
    </w:p>
    <w:p w14:paraId="6C7B6387" w14:textId="77777777" w:rsidR="00D55693" w:rsidRPr="00AD4AAE" w:rsidRDefault="00D55693" w:rsidP="00D55693">
      <w:pPr>
        <w:spacing w:after="0" w:line="276" w:lineRule="auto"/>
        <w:jc w:val="both"/>
        <w:rPr>
          <w:rFonts w:ascii="Verdana" w:eastAsia="Calibri" w:hAnsi="Verdana" w:cs="Arial"/>
          <w:bCs/>
        </w:rPr>
      </w:pPr>
      <w:bookmarkStart w:id="6" w:name="_Hlk102983874"/>
      <w:bookmarkStart w:id="7" w:name="_Hlk102388095"/>
    </w:p>
    <w:bookmarkEnd w:id="6"/>
    <w:bookmarkEnd w:id="7"/>
    <w:p w14:paraId="00CA5888" w14:textId="215C1807" w:rsidR="00F73954" w:rsidRPr="00AD4AAE" w:rsidRDefault="00D55693" w:rsidP="00F73954">
      <w:pPr>
        <w:spacing w:after="120" w:line="276" w:lineRule="auto"/>
        <w:jc w:val="both"/>
        <w:rPr>
          <w:rFonts w:ascii="Verdana" w:eastAsia="Century Gothic" w:hAnsi="Verdana" w:cs="Century Gothic"/>
          <w:b/>
          <w:color w:val="ED7D31" w:themeColor="accent2"/>
          <w:lang w:val="es-ES"/>
        </w:rPr>
      </w:pPr>
      <w:r w:rsidRPr="00AD4AAE">
        <w:rPr>
          <w:rFonts w:ascii="Verdana" w:eastAsia="Century Gothic" w:hAnsi="Verdana" w:cs="Century Gothic"/>
          <w:b/>
          <w:lang w:val="es-ES"/>
        </w:rPr>
        <w:t>4. Referencias normativas, jurisprudenciales y otras fuentes:</w:t>
      </w:r>
    </w:p>
    <w:p w14:paraId="063EEB98" w14:textId="77777777" w:rsidR="00F73954" w:rsidRPr="00AD4AAE" w:rsidRDefault="00F73954" w:rsidP="00D55693">
      <w:pPr>
        <w:widowControl w:val="0"/>
        <w:autoSpaceDE w:val="0"/>
        <w:autoSpaceDN w:val="0"/>
        <w:spacing w:after="0" w:line="276" w:lineRule="auto"/>
        <w:jc w:val="both"/>
        <w:rPr>
          <w:rFonts w:ascii="Verdana" w:hAnsi="Verdana" w:cs="Arial"/>
          <w:color w:val="ED7D31" w:themeColor="accent2"/>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73954" w:rsidRPr="00AD4AAE" w14:paraId="33F1CFD3" w14:textId="77777777" w:rsidTr="002C2F2C">
        <w:trPr>
          <w:trHeight w:val="870"/>
        </w:trPr>
        <w:tc>
          <w:tcPr>
            <w:tcW w:w="8647" w:type="dxa"/>
          </w:tcPr>
          <w:p w14:paraId="71B5141B" w14:textId="3372D918" w:rsidR="00F73954" w:rsidRPr="00AD4AAE" w:rsidRDefault="00F73954" w:rsidP="00F73954">
            <w:pPr>
              <w:pStyle w:val="Prrafodelista"/>
              <w:numPr>
                <w:ilvl w:val="0"/>
                <w:numId w:val="18"/>
              </w:numPr>
              <w:spacing w:after="120" w:line="259" w:lineRule="auto"/>
              <w:contextualSpacing w:val="0"/>
              <w:jc w:val="both"/>
              <w:rPr>
                <w:rFonts w:ascii="Verdana" w:hAnsi="Verdana" w:cs="Arial"/>
                <w:lang w:val="es-CO"/>
              </w:rPr>
            </w:pPr>
            <w:r w:rsidRPr="00AD4AAE">
              <w:rPr>
                <w:rFonts w:ascii="Verdana" w:hAnsi="Verdana" w:cs="Arial"/>
                <w:lang w:val="es-CO"/>
              </w:rPr>
              <w:lastRenderedPageBreak/>
              <w:t xml:space="preserve">Ley 80 de 1993. Artículo </w:t>
            </w:r>
            <w:r w:rsidR="00013937" w:rsidRPr="00AD4AAE">
              <w:rPr>
                <w:rFonts w:ascii="Verdana" w:hAnsi="Verdana" w:cs="Arial"/>
                <w:lang w:val="es-CO"/>
              </w:rPr>
              <w:t>25</w:t>
            </w:r>
          </w:p>
          <w:p w14:paraId="5BEE39DD" w14:textId="0B25181F" w:rsidR="00013937" w:rsidRPr="00AD4AAE" w:rsidRDefault="00013937" w:rsidP="00F73954">
            <w:pPr>
              <w:pStyle w:val="Prrafodelista"/>
              <w:numPr>
                <w:ilvl w:val="0"/>
                <w:numId w:val="18"/>
              </w:numPr>
              <w:spacing w:after="120" w:line="259" w:lineRule="auto"/>
              <w:contextualSpacing w:val="0"/>
              <w:jc w:val="both"/>
              <w:rPr>
                <w:rFonts w:ascii="Verdana" w:hAnsi="Verdana" w:cs="Arial"/>
                <w:lang w:val="es-CO"/>
              </w:rPr>
            </w:pPr>
            <w:r w:rsidRPr="00AD4AAE">
              <w:rPr>
                <w:rFonts w:ascii="Verdana" w:hAnsi="Verdana" w:cs="Arial"/>
              </w:rPr>
              <w:t xml:space="preserve">Decreto 1082 de 2015. Artículos 2.2.1.1.2.1.1 y </w:t>
            </w:r>
            <w:r w:rsidRPr="00AD4AAE">
              <w:rPr>
                <w:rFonts w:ascii="Verdana" w:eastAsia="Calibri" w:hAnsi="Verdana" w:cs="Arial"/>
                <w:bCs/>
                <w:lang w:val="es-ES_tradnl"/>
              </w:rPr>
              <w:t>2.2.1.1.1.6.1</w:t>
            </w:r>
          </w:p>
          <w:p w14:paraId="56A1C6C1" w14:textId="69986611" w:rsidR="00F73954" w:rsidRPr="00AD4AAE" w:rsidRDefault="00013937" w:rsidP="00F73954">
            <w:pPr>
              <w:pStyle w:val="Prrafodelista"/>
              <w:numPr>
                <w:ilvl w:val="0"/>
                <w:numId w:val="18"/>
              </w:numPr>
              <w:spacing w:after="120" w:line="259" w:lineRule="auto"/>
              <w:contextualSpacing w:val="0"/>
              <w:jc w:val="both"/>
              <w:rPr>
                <w:rFonts w:ascii="Verdana" w:hAnsi="Verdana" w:cs="Arial"/>
                <w:lang w:val="es-CO"/>
              </w:rPr>
            </w:pPr>
            <w:r w:rsidRPr="00AD4AAE">
              <w:rPr>
                <w:rFonts w:ascii="Verdana" w:hAnsi="Verdana" w:cs="Arial"/>
              </w:rPr>
              <w:t xml:space="preserve">Constitución Política. Artículos </w:t>
            </w:r>
            <w:r w:rsidRPr="00AD4AAE">
              <w:rPr>
                <w:rFonts w:ascii="Verdana" w:eastAsia="Calibri" w:hAnsi="Verdana" w:cs="Arial"/>
                <w:bCs/>
              </w:rPr>
              <w:t>209, 339 y 441.</w:t>
            </w:r>
          </w:p>
          <w:p w14:paraId="1EF7BB8A" w14:textId="77777777" w:rsidR="00013937" w:rsidRPr="00AD4AAE" w:rsidRDefault="00013937" w:rsidP="00F73954">
            <w:pPr>
              <w:pStyle w:val="Prrafodelista"/>
              <w:numPr>
                <w:ilvl w:val="0"/>
                <w:numId w:val="18"/>
              </w:numPr>
              <w:spacing w:after="120" w:line="259" w:lineRule="auto"/>
              <w:contextualSpacing w:val="0"/>
              <w:jc w:val="both"/>
              <w:rPr>
                <w:rFonts w:ascii="Verdana" w:hAnsi="Verdana" w:cs="Arial"/>
                <w:lang w:val="es-CO"/>
              </w:rPr>
            </w:pPr>
            <w:r w:rsidRPr="00AD4AAE">
              <w:rPr>
                <w:rFonts w:ascii="Verdana" w:hAnsi="Verdana" w:cs="Arial"/>
              </w:rPr>
              <w:t>Consejo de Estado. Sección Tercera. Subsección B. Sentencia del 31 de agosto de 2011. Exp. 18.080. C.P. Ruth Stella Correa Palacio</w:t>
            </w:r>
          </w:p>
          <w:p w14:paraId="595F3143" w14:textId="6FA38742" w:rsidR="00F73954" w:rsidRPr="00AD4AAE" w:rsidRDefault="00013937" w:rsidP="00F73954">
            <w:pPr>
              <w:pStyle w:val="Prrafodelista"/>
              <w:numPr>
                <w:ilvl w:val="0"/>
                <w:numId w:val="18"/>
              </w:numPr>
              <w:spacing w:after="120" w:line="259" w:lineRule="auto"/>
              <w:contextualSpacing w:val="0"/>
              <w:jc w:val="both"/>
              <w:rPr>
                <w:rFonts w:ascii="Verdana" w:hAnsi="Verdana" w:cs="Arial"/>
                <w:lang w:val="es-CO"/>
              </w:rPr>
            </w:pPr>
            <w:r w:rsidRPr="00AD4AAE">
              <w:rPr>
                <w:rFonts w:ascii="Verdana" w:hAnsi="Verdana" w:cs="Arial"/>
                <w:lang w:val="es-CO"/>
              </w:rPr>
              <w:t xml:space="preserve">Corte Constitucional. Sentencia T-314 del 24 de julio del 2025. M.P. Juan Carlos Cortés González </w:t>
            </w:r>
          </w:p>
        </w:tc>
      </w:tr>
    </w:tbl>
    <w:p w14:paraId="17691DCB" w14:textId="77777777" w:rsidR="00F73954" w:rsidRPr="00AD4AAE" w:rsidRDefault="00F73954" w:rsidP="00D55693">
      <w:pPr>
        <w:widowControl w:val="0"/>
        <w:autoSpaceDE w:val="0"/>
        <w:autoSpaceDN w:val="0"/>
        <w:spacing w:after="0" w:line="276" w:lineRule="auto"/>
        <w:jc w:val="both"/>
        <w:rPr>
          <w:rFonts w:ascii="Verdana" w:hAnsi="Verdana" w:cs="Arial"/>
          <w:color w:val="ED7D31" w:themeColor="accent2"/>
          <w:lang w:val="es-ES"/>
        </w:rPr>
      </w:pPr>
    </w:p>
    <w:p w14:paraId="00EE1180" w14:textId="77777777" w:rsidR="00F73954" w:rsidRPr="00AD4AAE" w:rsidRDefault="00F73954" w:rsidP="00D55693">
      <w:pPr>
        <w:widowControl w:val="0"/>
        <w:autoSpaceDE w:val="0"/>
        <w:autoSpaceDN w:val="0"/>
        <w:spacing w:after="0" w:line="276" w:lineRule="auto"/>
        <w:jc w:val="both"/>
        <w:rPr>
          <w:rFonts w:ascii="Verdana" w:hAnsi="Verdana" w:cs="Arial"/>
          <w:color w:val="ED7D31" w:themeColor="accent2"/>
          <w:lang w:val="es-ES"/>
        </w:rPr>
      </w:pPr>
    </w:p>
    <w:p w14:paraId="133C762F" w14:textId="77777777" w:rsidR="00D55693" w:rsidRPr="00AD4AAE" w:rsidRDefault="00D55693" w:rsidP="00D55693">
      <w:pPr>
        <w:tabs>
          <w:tab w:val="left" w:pos="142"/>
          <w:tab w:val="left" w:pos="284"/>
        </w:tabs>
        <w:spacing w:after="0" w:line="276" w:lineRule="auto"/>
        <w:jc w:val="both"/>
        <w:rPr>
          <w:rFonts w:ascii="Verdana" w:eastAsia="Century Gothic" w:hAnsi="Verdana" w:cs="Century Gothic"/>
          <w:b/>
          <w:color w:val="ED7D31" w:themeColor="accent2"/>
          <w:lang w:val="es-ES"/>
        </w:rPr>
      </w:pPr>
      <w:r w:rsidRPr="00AD4AAE">
        <w:rPr>
          <w:rFonts w:ascii="Verdana" w:eastAsia="Century Gothic" w:hAnsi="Verdana" w:cs="Century Gothic"/>
          <w:b/>
          <w:lang w:val="es-ES"/>
        </w:rPr>
        <w:t>5. Doctrina de la Agencia Nacional de Contratación Pública:</w:t>
      </w:r>
    </w:p>
    <w:p w14:paraId="118EA997" w14:textId="77777777" w:rsidR="00D55693" w:rsidRPr="00AD4AAE" w:rsidRDefault="00D55693" w:rsidP="00D55693">
      <w:pPr>
        <w:widowControl w:val="0"/>
        <w:autoSpaceDE w:val="0"/>
        <w:autoSpaceDN w:val="0"/>
        <w:spacing w:after="0" w:line="276" w:lineRule="auto"/>
        <w:jc w:val="both"/>
        <w:rPr>
          <w:rFonts w:ascii="Verdana" w:hAnsi="Verdana" w:cs="Arial"/>
          <w:color w:val="ED7D31" w:themeColor="accent2"/>
          <w:lang w:val="es-ES"/>
        </w:rPr>
      </w:pPr>
    </w:p>
    <w:p w14:paraId="7A59F5A2" w14:textId="20E3128B" w:rsidR="00D55693" w:rsidRPr="00AD4AAE" w:rsidRDefault="00F73954" w:rsidP="00F73954">
      <w:pPr>
        <w:widowControl w:val="0"/>
        <w:autoSpaceDE w:val="0"/>
        <w:autoSpaceDN w:val="0"/>
        <w:spacing w:after="0" w:line="276" w:lineRule="auto"/>
        <w:jc w:val="both"/>
        <w:rPr>
          <w:rFonts w:ascii="Verdana" w:hAnsi="Verdana" w:cs="Arial"/>
          <w:color w:val="ED7D31" w:themeColor="accent2"/>
          <w:lang w:val="es-ES"/>
        </w:rPr>
      </w:pPr>
      <w:r w:rsidRPr="00AD4AAE">
        <w:rPr>
          <w:rFonts w:ascii="Verdana" w:eastAsia="Aptos" w:hAnsi="Verdana" w:cs="Arial"/>
          <w:shd w:val="clear" w:color="auto" w:fill="FFFFFF"/>
          <w:lang w:val="es-ES"/>
        </w:rPr>
        <w:t>Sobre el principio de planeación contractual esta Subdirección se ha pronunciado en los conceptos: C-716 del 15 de noviembre de 2022, C-680 del 19 de septiembre de 2022, C-856 del 13 de diciembre de 2022, C-235 del 5 de julio de 2023, C-124 del 24 de julio de 2024, C-168 del 25 de julio 2024, C-258 del 12 de agosto de 2024, C-255 del 14 de agosto de 2024, C-297 del 11 de septiembre de 2024 C-101 del 5 de marzo de 2025, C-101 del 5 de marzo de 2025, C-154 del 18 de marzo de 2025</w:t>
      </w:r>
      <w:r w:rsidR="00000890" w:rsidRPr="00AD4AAE">
        <w:rPr>
          <w:rFonts w:ascii="Verdana" w:eastAsia="Aptos" w:hAnsi="Verdana" w:cs="Arial"/>
          <w:shd w:val="clear" w:color="auto" w:fill="FFFFFF"/>
          <w:lang w:val="es-ES"/>
        </w:rPr>
        <w:t>,</w:t>
      </w:r>
      <w:r w:rsidR="00000890" w:rsidRPr="00AD4AAE">
        <w:rPr>
          <w:rFonts w:ascii="Verdana" w:hAnsi="Verdana"/>
        </w:rPr>
        <w:t xml:space="preserve"> </w:t>
      </w:r>
      <w:r w:rsidR="00000890" w:rsidRPr="00AD4AAE">
        <w:rPr>
          <w:rFonts w:ascii="Verdana" w:eastAsia="Aptos" w:hAnsi="Verdana" w:cs="Arial"/>
          <w:shd w:val="clear" w:color="auto" w:fill="FFFFFF"/>
          <w:lang w:val="es-ES"/>
        </w:rPr>
        <w:t xml:space="preserve">C-1686 del 08 de diciembre del 2025, C-1714 del 19 de diciembre del 2025, C-1733 del 30 de diciembre del 2025 </w:t>
      </w:r>
      <w:r w:rsidRPr="00AD4AAE">
        <w:rPr>
          <w:rFonts w:ascii="Verdana" w:eastAsia="Aptos" w:hAnsi="Verdana" w:cs="Arial"/>
          <w:shd w:val="clear" w:color="auto" w:fill="FFFFFF"/>
          <w:lang w:val="es-ES"/>
        </w:rPr>
        <w:t xml:space="preserve">y C-1792 del 08 de enero del 2026. </w:t>
      </w:r>
      <w:r w:rsidR="00D55693" w:rsidRPr="00AD4AAE">
        <w:rPr>
          <w:rFonts w:ascii="Verdana" w:hAnsi="Verdana" w:cs="Arial"/>
          <w:shd w:val="clear" w:color="auto" w:fill="FFFFFF"/>
          <w:lang w:val="es-ES"/>
        </w:rPr>
        <w:t>Estos</w:t>
      </w:r>
      <w:r w:rsidR="00D55693" w:rsidRPr="00AD4AAE">
        <w:rPr>
          <w:rFonts w:ascii="Verdana" w:hAnsi="Verdana"/>
          <w:lang w:val="es-ES"/>
        </w:rPr>
        <w:t xml:space="preserve"> y otros se encuentran disponibles para consulta en el Sistema de relatoría de la Agencia, al cual se puede acceder a través del siguiente enlace:</w:t>
      </w:r>
      <w:r w:rsidR="00D55693" w:rsidRPr="00AD4AAE">
        <w:rPr>
          <w:rFonts w:ascii="Verdana" w:hAnsi="Verdana" w:cs="Arial"/>
          <w:shd w:val="clear" w:color="auto" w:fill="FFFFFF"/>
          <w:lang w:val="es-ES"/>
        </w:rPr>
        <w:t xml:space="preserve"> </w:t>
      </w:r>
      <w:hyperlink r:id="rId13" w:history="1">
        <w:r w:rsidR="00D55693" w:rsidRPr="00AD4AAE">
          <w:rPr>
            <w:rStyle w:val="Hipervnculo"/>
            <w:rFonts w:ascii="Verdana" w:hAnsi="Verdana" w:cs="Arial"/>
            <w:shd w:val="clear" w:color="auto" w:fill="FFFFFF"/>
            <w:lang w:val="es-ES"/>
          </w:rPr>
          <w:t>https://relatoria.colombiacompra.gov.co/busqueda/conceptos</w:t>
        </w:r>
      </w:hyperlink>
    </w:p>
    <w:p w14:paraId="1B515CC4" w14:textId="77777777" w:rsidR="00D55693" w:rsidRPr="00AD4AAE" w:rsidRDefault="00D55693" w:rsidP="00D55693">
      <w:pPr>
        <w:spacing w:after="0" w:line="276" w:lineRule="auto"/>
        <w:jc w:val="both"/>
        <w:rPr>
          <w:rFonts w:ascii="Verdana" w:hAnsi="Verdana" w:cs="Arial"/>
          <w:shd w:val="clear" w:color="auto" w:fill="FFFFFF"/>
        </w:rPr>
      </w:pPr>
    </w:p>
    <w:p w14:paraId="1B607A7C" w14:textId="77777777" w:rsidR="00D55693" w:rsidRPr="00AD4AAE" w:rsidRDefault="00D55693" w:rsidP="00D55693">
      <w:pPr>
        <w:spacing w:after="0" w:line="276" w:lineRule="auto"/>
        <w:jc w:val="both"/>
        <w:rPr>
          <w:rFonts w:ascii="Verdana" w:hAnsi="Verdana" w:cs="Arial"/>
          <w:shd w:val="clear" w:color="auto" w:fill="FFFFFF"/>
        </w:rPr>
      </w:pPr>
      <w:r w:rsidRPr="00AD4AAE">
        <w:rPr>
          <w:rFonts w:ascii="Verdana" w:hAnsi="Verdana" w:cs="Arial"/>
          <w:shd w:val="clear" w:color="auto" w:fill="FFFFFF"/>
        </w:rPr>
        <w:t xml:space="preserve">Por último, lo invitamos a seguirnos en las redes sociales en las cuales se difunde información institucional: </w:t>
      </w:r>
    </w:p>
    <w:p w14:paraId="5F47B220" w14:textId="77777777" w:rsidR="00D55693" w:rsidRPr="00AD4AAE" w:rsidRDefault="00D55693" w:rsidP="00D55693">
      <w:pPr>
        <w:spacing w:after="0" w:line="276" w:lineRule="auto"/>
        <w:jc w:val="both"/>
        <w:rPr>
          <w:rFonts w:ascii="Verdana" w:hAnsi="Verdana" w:cs="Arial"/>
          <w:shd w:val="clear" w:color="auto" w:fill="FFFFFF"/>
        </w:rPr>
      </w:pPr>
    </w:p>
    <w:p w14:paraId="5C894F9D" w14:textId="77777777" w:rsidR="00D55693" w:rsidRPr="00AD4AAE" w:rsidRDefault="00D55693" w:rsidP="00D55693">
      <w:pPr>
        <w:spacing w:after="0" w:line="276" w:lineRule="auto"/>
        <w:jc w:val="both"/>
        <w:rPr>
          <w:rFonts w:ascii="Verdana" w:hAnsi="Verdana" w:cs="Arial"/>
          <w:shd w:val="clear" w:color="auto" w:fill="FFFFFF"/>
        </w:rPr>
      </w:pPr>
      <w:r w:rsidRPr="00AD4AAE">
        <w:rPr>
          <w:rFonts w:ascii="Verdana" w:hAnsi="Verdana" w:cs="Arial"/>
          <w:shd w:val="clear" w:color="auto" w:fill="FFFFFF"/>
        </w:rPr>
        <w:t xml:space="preserve">Twitter: </w:t>
      </w:r>
      <w:r w:rsidRPr="00AD4AAE">
        <w:rPr>
          <w:rStyle w:val="Hipervnculo"/>
          <w:rFonts w:ascii="Verdana" w:hAnsi="Verdana"/>
          <w:lang w:val="es-ES"/>
        </w:rPr>
        <w:t>@colombiacompra</w:t>
      </w:r>
      <w:r w:rsidRPr="00AD4AAE">
        <w:rPr>
          <w:rStyle w:val="Hipervnculo"/>
          <w:rFonts w:ascii="Verdana" w:hAnsi="Verdana"/>
          <w:color w:val="auto"/>
          <w:lang w:val="es-ES"/>
        </w:rPr>
        <w:t xml:space="preserve"> </w:t>
      </w:r>
    </w:p>
    <w:p w14:paraId="1AC019A5" w14:textId="77777777" w:rsidR="00D55693" w:rsidRPr="00AD4AAE" w:rsidRDefault="00D55693" w:rsidP="00D55693">
      <w:pPr>
        <w:spacing w:after="0" w:line="276" w:lineRule="auto"/>
        <w:jc w:val="both"/>
        <w:rPr>
          <w:rFonts w:ascii="Verdana" w:hAnsi="Verdana" w:cs="Arial"/>
          <w:shd w:val="clear" w:color="auto" w:fill="FFFFFF"/>
        </w:rPr>
      </w:pPr>
      <w:r w:rsidRPr="00AD4AAE">
        <w:rPr>
          <w:rFonts w:ascii="Verdana" w:hAnsi="Verdana" w:cs="Arial"/>
          <w:shd w:val="clear" w:color="auto" w:fill="FFFFFF"/>
        </w:rPr>
        <w:t>Facebook:</w:t>
      </w:r>
      <w:r w:rsidRPr="00AD4AAE">
        <w:rPr>
          <w:rStyle w:val="Hipervnculo"/>
          <w:rFonts w:ascii="Verdana" w:hAnsi="Verdana"/>
          <w:lang w:val="es-ES"/>
        </w:rPr>
        <w:t xml:space="preserve"> ColombiaCompraEficiente</w:t>
      </w:r>
    </w:p>
    <w:p w14:paraId="56A4A016" w14:textId="77777777" w:rsidR="00D55693" w:rsidRPr="00AD4AAE" w:rsidRDefault="00D55693" w:rsidP="00D55693">
      <w:pPr>
        <w:spacing w:after="0" w:line="276" w:lineRule="auto"/>
        <w:jc w:val="both"/>
        <w:rPr>
          <w:rFonts w:ascii="Verdana" w:hAnsi="Verdana" w:cs="Arial"/>
          <w:shd w:val="clear" w:color="auto" w:fill="FFFFFF"/>
        </w:rPr>
      </w:pPr>
      <w:r w:rsidRPr="00AD4AAE">
        <w:rPr>
          <w:rFonts w:ascii="Verdana" w:hAnsi="Verdana" w:cs="Arial"/>
          <w:shd w:val="clear" w:color="auto" w:fill="FFFFFF"/>
        </w:rPr>
        <w:t xml:space="preserve">LinkedIn: </w:t>
      </w:r>
      <w:r w:rsidRPr="00AD4AAE">
        <w:rPr>
          <w:rStyle w:val="Hipervnculo"/>
          <w:rFonts w:ascii="Verdana" w:hAnsi="Verdana"/>
          <w:lang w:val="es-ES"/>
        </w:rPr>
        <w:t>Agencia Nacional de Contratación Pública - Colombia Compra Eficiente</w:t>
      </w:r>
      <w:r w:rsidRPr="00AD4AAE">
        <w:rPr>
          <w:rFonts w:ascii="Verdana" w:hAnsi="Verdana" w:cs="Arial"/>
          <w:color w:val="0000FF"/>
          <w:shd w:val="clear" w:color="auto" w:fill="FFFFFF"/>
        </w:rPr>
        <w:t xml:space="preserve"> </w:t>
      </w:r>
    </w:p>
    <w:p w14:paraId="049E6155" w14:textId="77777777" w:rsidR="00D55693" w:rsidRPr="00AD4AAE" w:rsidRDefault="00D55693" w:rsidP="00D55693">
      <w:pPr>
        <w:spacing w:after="0" w:line="276" w:lineRule="auto"/>
        <w:jc w:val="both"/>
        <w:rPr>
          <w:rFonts w:ascii="Verdana" w:hAnsi="Verdana" w:cs="Arial"/>
          <w:shd w:val="clear" w:color="auto" w:fill="FFFFFF"/>
        </w:rPr>
      </w:pPr>
      <w:r w:rsidRPr="00AD4AAE">
        <w:rPr>
          <w:rFonts w:ascii="Verdana" w:hAnsi="Verdana" w:cs="Arial"/>
          <w:shd w:val="clear" w:color="auto" w:fill="FFFFFF"/>
        </w:rPr>
        <w:t xml:space="preserve">Instagram: </w:t>
      </w:r>
      <w:r w:rsidRPr="00AD4AAE">
        <w:rPr>
          <w:rStyle w:val="Hipervnculo"/>
          <w:rFonts w:ascii="Verdana" w:hAnsi="Verdana"/>
          <w:lang w:val="es-ES"/>
        </w:rPr>
        <w:t>@colombiacompraeficiente_cce</w:t>
      </w:r>
    </w:p>
    <w:p w14:paraId="4B08BE96" w14:textId="77777777" w:rsidR="00D55693" w:rsidRPr="00AD4AAE" w:rsidRDefault="00D55693" w:rsidP="00D55693">
      <w:pPr>
        <w:widowControl w:val="0"/>
        <w:autoSpaceDE w:val="0"/>
        <w:autoSpaceDN w:val="0"/>
        <w:spacing w:after="0" w:line="276" w:lineRule="auto"/>
        <w:jc w:val="both"/>
        <w:rPr>
          <w:rFonts w:ascii="Verdana" w:hAnsi="Verdana" w:cs="Arial"/>
          <w:lang w:val="es-ES"/>
        </w:rPr>
      </w:pPr>
    </w:p>
    <w:p w14:paraId="29846FFD" w14:textId="77777777" w:rsidR="00D55693" w:rsidRPr="00AD4AAE" w:rsidRDefault="00D55693" w:rsidP="00D55693">
      <w:pPr>
        <w:widowControl w:val="0"/>
        <w:autoSpaceDE w:val="0"/>
        <w:autoSpaceDN w:val="0"/>
        <w:spacing w:after="0" w:line="276" w:lineRule="auto"/>
        <w:jc w:val="both"/>
        <w:rPr>
          <w:rFonts w:ascii="Verdana" w:hAnsi="Verdana" w:cs="Arial"/>
          <w:lang w:val="es-ES"/>
        </w:rPr>
      </w:pPr>
      <w:r w:rsidRPr="00AD4AAE">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1C4D411" w14:textId="77777777" w:rsidR="00D55693" w:rsidRPr="00AD4AAE" w:rsidRDefault="00D55693" w:rsidP="00251D54">
      <w:pPr>
        <w:widowControl w:val="0"/>
        <w:autoSpaceDE w:val="0"/>
        <w:autoSpaceDN w:val="0"/>
        <w:spacing w:after="0" w:line="276" w:lineRule="auto"/>
        <w:jc w:val="both"/>
        <w:rPr>
          <w:rFonts w:ascii="Verdana" w:hAnsi="Verdana" w:cs="Arial"/>
          <w:lang w:val="es-ES"/>
        </w:rPr>
      </w:pPr>
    </w:p>
    <w:p w14:paraId="52792E9C" w14:textId="77777777" w:rsidR="00E53C24" w:rsidRDefault="00251D54" w:rsidP="009A7BBC">
      <w:pPr>
        <w:spacing w:after="0" w:line="276" w:lineRule="auto"/>
        <w:rPr>
          <w:rFonts w:ascii="Verdana" w:hAnsi="Verdana" w:cs="Arial"/>
          <w:lang w:val="es-ES" w:eastAsia="es-CO"/>
        </w:rPr>
      </w:pPr>
      <w:r w:rsidRPr="00AD4AAE">
        <w:rPr>
          <w:rFonts w:ascii="Verdana" w:eastAsia="Times New Roman" w:hAnsi="Verdana" w:cs="Arial"/>
          <w:lang w:val="es-ES" w:eastAsia="es-CO"/>
        </w:rPr>
        <w:t>Atentamente,</w:t>
      </w:r>
      <w:r w:rsidRPr="00AD4AAE">
        <w:rPr>
          <w:rFonts w:ascii="Verdana" w:hAnsi="Verdana" w:cs="Arial"/>
          <w:lang w:val="es-ES" w:eastAsia="es-CO"/>
        </w:rPr>
        <w:t xml:space="preserve"> </w:t>
      </w:r>
    </w:p>
    <w:p w14:paraId="1703F4D1" w14:textId="039DC15C" w:rsidR="00251D54" w:rsidRPr="00AD4AAE" w:rsidRDefault="00251D54" w:rsidP="009A7BBC">
      <w:pPr>
        <w:spacing w:after="0" w:line="276" w:lineRule="auto"/>
        <w:rPr>
          <w:rFonts w:ascii="Verdana" w:hAnsi="Verdana" w:cs="Arial"/>
          <w:lang w:val="es-ES" w:eastAsia="es-CO"/>
        </w:rPr>
      </w:pPr>
    </w:p>
    <w:p w14:paraId="0DD3BB9D" w14:textId="560FA151" w:rsidR="00251D54" w:rsidRPr="00AD4AAE" w:rsidRDefault="00455C92" w:rsidP="00251D54">
      <w:pPr>
        <w:spacing w:after="0" w:line="276" w:lineRule="auto"/>
        <w:jc w:val="center"/>
        <w:rPr>
          <w:rFonts w:ascii="Verdana" w:hAnsi="Verdana"/>
          <w:noProof/>
          <w:color w:val="EE0000"/>
        </w:rPr>
      </w:pPr>
      <w:r w:rsidRPr="00455C92">
        <w:rPr>
          <w:rFonts w:ascii="Verdana" w:hAnsi="Verdana" w:cs="Arial"/>
          <w:lang w:val="es-ES" w:eastAsia="es-CO"/>
        </w:rPr>
        <w:drawing>
          <wp:anchor distT="0" distB="0" distL="114300" distR="114300" simplePos="0" relativeHeight="251658240" behindDoc="1" locked="0" layoutInCell="1" allowOverlap="1" wp14:anchorId="53A8C650" wp14:editId="523BFEA0">
            <wp:simplePos x="0" y="0"/>
            <wp:positionH relativeFrom="margin">
              <wp:align>center</wp:align>
            </wp:positionH>
            <wp:positionV relativeFrom="paragraph">
              <wp:posOffset>12065</wp:posOffset>
            </wp:positionV>
            <wp:extent cx="3663315" cy="1435100"/>
            <wp:effectExtent l="0" t="0" r="0" b="0"/>
            <wp:wrapTight wrapText="bothSides">
              <wp:wrapPolygon edited="0">
                <wp:start x="0" y="0"/>
                <wp:lineTo x="0" y="21218"/>
                <wp:lineTo x="21454" y="21218"/>
                <wp:lineTo x="21454" y="0"/>
                <wp:lineTo x="0" y="0"/>
              </wp:wrapPolygon>
            </wp:wrapTight>
            <wp:docPr id="36115836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158360"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663315" cy="1435100"/>
                    </a:xfrm>
                    <a:prstGeom prst="rect">
                      <a:avLst/>
                    </a:prstGeom>
                  </pic:spPr>
                </pic:pic>
              </a:graphicData>
            </a:graphic>
            <wp14:sizeRelH relativeFrom="margin">
              <wp14:pctWidth>0</wp14:pctWidth>
            </wp14:sizeRelH>
            <wp14:sizeRelV relativeFrom="margin">
              <wp14:pctHeight>0</wp14:pctHeight>
            </wp14:sizeRelV>
          </wp:anchor>
        </w:drawing>
      </w:r>
    </w:p>
    <w:p w14:paraId="0ED126AB" w14:textId="77777777" w:rsidR="00251D54" w:rsidRPr="00AD4AAE" w:rsidRDefault="00251D54" w:rsidP="00251D54">
      <w:pPr>
        <w:spacing w:after="0" w:line="276" w:lineRule="auto"/>
        <w:jc w:val="center"/>
        <w:rPr>
          <w:rFonts w:ascii="Verdana" w:hAnsi="Verdana"/>
          <w:noProof/>
          <w:color w:val="EE0000"/>
        </w:rPr>
      </w:pPr>
    </w:p>
    <w:p w14:paraId="08C51D2E" w14:textId="77777777" w:rsidR="00251D54" w:rsidRPr="00AD4AAE" w:rsidRDefault="00251D54" w:rsidP="00251D54">
      <w:pPr>
        <w:spacing w:after="0" w:line="276" w:lineRule="auto"/>
        <w:jc w:val="center"/>
        <w:rPr>
          <w:rFonts w:ascii="Verdana" w:hAnsi="Verdana"/>
          <w:noProof/>
          <w:color w:val="EE0000"/>
        </w:rPr>
      </w:pPr>
    </w:p>
    <w:p w14:paraId="0CFD23E3" w14:textId="77777777" w:rsidR="00251D54" w:rsidRPr="00AD4AAE" w:rsidRDefault="00251D54" w:rsidP="00251D54">
      <w:pPr>
        <w:spacing w:after="0" w:line="276" w:lineRule="auto"/>
        <w:jc w:val="center"/>
        <w:rPr>
          <w:rFonts w:ascii="Verdana" w:hAnsi="Verdana" w:cs="Arial"/>
          <w:color w:val="EE0000"/>
          <w:lang w:val="es-ES" w:eastAsia="es-CO"/>
        </w:rPr>
      </w:pPr>
    </w:p>
    <w:p w14:paraId="66567B74" w14:textId="77777777" w:rsidR="00251D54" w:rsidRPr="00AD4AAE" w:rsidRDefault="00251D54" w:rsidP="00251D54">
      <w:pPr>
        <w:spacing w:after="0" w:line="276" w:lineRule="auto"/>
        <w:jc w:val="center"/>
        <w:rPr>
          <w:rFonts w:ascii="Verdana" w:hAnsi="Verdana" w:cs="Arial"/>
          <w:color w:val="EE0000"/>
          <w:lang w:val="es-ES" w:eastAsia="es-CO"/>
        </w:rPr>
      </w:pPr>
    </w:p>
    <w:p w14:paraId="1ECAEFA1" w14:textId="77777777" w:rsidR="00251D54" w:rsidRPr="00AD4AAE" w:rsidRDefault="00251D54" w:rsidP="00251D54">
      <w:pPr>
        <w:spacing w:after="0" w:line="276" w:lineRule="auto"/>
        <w:jc w:val="center"/>
        <w:rPr>
          <w:rFonts w:ascii="Verdana" w:hAnsi="Verdana" w:cs="Arial"/>
          <w:color w:val="EE0000"/>
          <w:lang w:val="es-ES" w:eastAsia="es-CO"/>
        </w:rPr>
      </w:pPr>
    </w:p>
    <w:p w14:paraId="6A57A8D6" w14:textId="77777777" w:rsidR="00251D54" w:rsidRPr="00AD4AAE" w:rsidRDefault="00251D54" w:rsidP="00251D54">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F79FE" w:rsidRPr="00AD4AAE" w14:paraId="5E260793" w14:textId="77777777" w:rsidTr="00383667">
        <w:trPr>
          <w:trHeight w:val="315"/>
        </w:trPr>
        <w:tc>
          <w:tcPr>
            <w:tcW w:w="893" w:type="dxa"/>
            <w:vAlign w:val="center"/>
            <w:hideMark/>
          </w:tcPr>
          <w:p w14:paraId="3FF5002B" w14:textId="77777777" w:rsidR="00251D54" w:rsidRPr="00AD4AAE" w:rsidRDefault="00251D54" w:rsidP="00383667">
            <w:pPr>
              <w:contextualSpacing/>
              <w:rPr>
                <w:rFonts w:ascii="Verdana" w:hAnsi="Verdana" w:cs="Arial"/>
                <w:sz w:val="16"/>
                <w:szCs w:val="16"/>
                <w:lang w:val="es-ES" w:eastAsia="es-ES"/>
              </w:rPr>
            </w:pPr>
            <w:r w:rsidRPr="00AD4AA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5145713" w14:textId="77777777" w:rsidR="00251D54" w:rsidRPr="00AD4AAE" w:rsidRDefault="00251D54" w:rsidP="00383667">
            <w:pPr>
              <w:rPr>
                <w:rFonts w:ascii="Verdana" w:eastAsia="Times New Roman" w:hAnsi="Verdana" w:cs="Arial"/>
                <w:sz w:val="16"/>
                <w:szCs w:val="16"/>
                <w:lang w:eastAsia="es-ES"/>
              </w:rPr>
            </w:pPr>
            <w:r w:rsidRPr="00AD4AAE">
              <w:rPr>
                <w:rFonts w:ascii="Verdana" w:eastAsia="Times New Roman" w:hAnsi="Verdana" w:cs="Arial"/>
                <w:sz w:val="16"/>
                <w:szCs w:val="16"/>
                <w:lang w:eastAsia="es-ES"/>
              </w:rPr>
              <w:t>Camila Alejandra Naranjo Gómez</w:t>
            </w:r>
          </w:p>
          <w:p w14:paraId="4A1A30B0" w14:textId="77777777" w:rsidR="00251D54" w:rsidRPr="00AD4AAE" w:rsidRDefault="00251D54" w:rsidP="00383667">
            <w:pPr>
              <w:contextualSpacing/>
              <w:rPr>
                <w:rFonts w:ascii="Verdana" w:eastAsia="Times New Roman" w:hAnsi="Verdana" w:cs="Arial"/>
                <w:sz w:val="16"/>
                <w:szCs w:val="16"/>
                <w:lang w:eastAsia="es-ES"/>
              </w:rPr>
            </w:pPr>
            <w:r w:rsidRPr="00AD4AAE">
              <w:rPr>
                <w:rFonts w:ascii="Verdana" w:eastAsia="Times New Roman" w:hAnsi="Verdana" w:cs="Arial"/>
                <w:sz w:val="16"/>
                <w:szCs w:val="16"/>
                <w:lang w:eastAsia="es-ES"/>
              </w:rPr>
              <w:t>Analista T2-</w:t>
            </w:r>
            <w:r w:rsidR="009F4646" w:rsidRPr="00AD4AAE">
              <w:rPr>
                <w:rFonts w:ascii="Verdana" w:eastAsia="Times New Roman" w:hAnsi="Verdana" w:cs="Arial"/>
                <w:sz w:val="16"/>
                <w:szCs w:val="16"/>
                <w:lang w:eastAsia="es-ES"/>
              </w:rPr>
              <w:t xml:space="preserve">02 </w:t>
            </w:r>
            <w:r w:rsidRPr="00AD4AAE">
              <w:rPr>
                <w:rFonts w:ascii="Verdana" w:eastAsia="Times New Roman" w:hAnsi="Verdana" w:cs="Arial"/>
                <w:sz w:val="16"/>
                <w:szCs w:val="16"/>
                <w:lang w:eastAsia="es-ES"/>
              </w:rPr>
              <w:t>de la Subdirección de Gestión Contractual</w:t>
            </w:r>
          </w:p>
          <w:p w14:paraId="69CAAC2C" w14:textId="77777777" w:rsidR="00D46AF2" w:rsidRPr="00AD4AAE" w:rsidRDefault="00D46AF2" w:rsidP="00D46AF2">
            <w:pPr>
              <w:contextualSpacing/>
              <w:rPr>
                <w:rFonts w:ascii="Verdana" w:hAnsi="Verdana"/>
                <w:sz w:val="16"/>
                <w:szCs w:val="16"/>
              </w:rPr>
            </w:pPr>
            <w:r w:rsidRPr="00AD4AAE">
              <w:rPr>
                <w:rFonts w:ascii="Verdana" w:hAnsi="Verdana"/>
                <w:sz w:val="16"/>
                <w:szCs w:val="16"/>
              </w:rPr>
              <w:t>Ana María Ortiz Ballesteros</w:t>
            </w:r>
          </w:p>
          <w:p w14:paraId="685D4B7E" w14:textId="1F3C04D4" w:rsidR="00D46AF2" w:rsidRPr="00AD4AAE" w:rsidRDefault="00D46AF2" w:rsidP="00D46AF2">
            <w:pPr>
              <w:contextualSpacing/>
              <w:rPr>
                <w:rFonts w:ascii="Verdana" w:eastAsia="Arial" w:hAnsi="Verdana" w:cs="Arial"/>
                <w:sz w:val="16"/>
                <w:szCs w:val="16"/>
                <w:lang w:val="es-ES"/>
              </w:rPr>
            </w:pPr>
            <w:r w:rsidRPr="00AD4AAE">
              <w:rPr>
                <w:rStyle w:val="normaltextrun"/>
                <w:rFonts w:ascii="Verdana" w:hAnsi="Verdana" w:cs="Arial"/>
                <w:sz w:val="16"/>
                <w:szCs w:val="16"/>
              </w:rPr>
              <w:t>Contratista de la Subdirección de Gestión Contractual</w:t>
            </w:r>
            <w:r w:rsidRPr="00AD4AAE">
              <w:rPr>
                <w:rStyle w:val="eop"/>
                <w:rFonts w:ascii="Verdana" w:eastAsiaTheme="majorEastAsia" w:hAnsi="Verdana" w:cs="Arial"/>
                <w:sz w:val="16"/>
                <w:szCs w:val="16"/>
              </w:rPr>
              <w:t> </w:t>
            </w:r>
          </w:p>
        </w:tc>
      </w:tr>
      <w:tr w:rsidR="009F79FE" w:rsidRPr="00AD4AAE" w14:paraId="1A025E74" w14:textId="77777777" w:rsidTr="00383667">
        <w:trPr>
          <w:trHeight w:val="330"/>
        </w:trPr>
        <w:tc>
          <w:tcPr>
            <w:tcW w:w="893" w:type="dxa"/>
            <w:vAlign w:val="center"/>
            <w:hideMark/>
          </w:tcPr>
          <w:p w14:paraId="73FD7455" w14:textId="77777777" w:rsidR="00251D54" w:rsidRPr="00AD4AAE" w:rsidRDefault="00251D54" w:rsidP="00383667">
            <w:pPr>
              <w:contextualSpacing/>
              <w:rPr>
                <w:rFonts w:ascii="Verdana" w:hAnsi="Verdana" w:cs="Arial"/>
                <w:sz w:val="16"/>
                <w:szCs w:val="16"/>
                <w:lang w:val="es-ES" w:eastAsia="es-ES"/>
              </w:rPr>
            </w:pPr>
            <w:r w:rsidRPr="00AD4AA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D64CA3A" w14:textId="69466322" w:rsidR="00251D54" w:rsidRPr="00AD4AAE" w:rsidRDefault="009F79FE" w:rsidP="00383667">
            <w:pPr>
              <w:rPr>
                <w:rFonts w:ascii="Verdana" w:eastAsia="Times New Roman" w:hAnsi="Verdana" w:cs="Arial"/>
                <w:sz w:val="16"/>
                <w:szCs w:val="16"/>
                <w:lang w:eastAsia="es-ES"/>
              </w:rPr>
            </w:pPr>
            <w:r w:rsidRPr="00AD4AAE">
              <w:rPr>
                <w:rFonts w:ascii="Verdana" w:eastAsia="Times New Roman" w:hAnsi="Verdana" w:cs="Arial"/>
                <w:sz w:val="16"/>
                <w:szCs w:val="16"/>
                <w:lang w:eastAsia="es-ES"/>
              </w:rPr>
              <w:t>Martha Alicia Romero Vargas</w:t>
            </w:r>
          </w:p>
          <w:p w14:paraId="7EAEFBE4" w14:textId="380BA9C9" w:rsidR="00251D54" w:rsidRPr="00AD4AAE" w:rsidRDefault="009F79FE" w:rsidP="00383667">
            <w:pPr>
              <w:pStyle w:val="paragraph"/>
              <w:spacing w:before="0" w:beforeAutospacing="0" w:after="0" w:afterAutospacing="0"/>
              <w:contextualSpacing/>
              <w:textAlignment w:val="baseline"/>
              <w:rPr>
                <w:rFonts w:ascii="Verdana" w:hAnsi="Verdana" w:cs="Segoe UI"/>
                <w:sz w:val="16"/>
                <w:szCs w:val="16"/>
                <w:lang w:val="es-ES"/>
              </w:rPr>
            </w:pPr>
            <w:r w:rsidRPr="00AD4AAE">
              <w:rPr>
                <w:rFonts w:ascii="Verdana" w:hAnsi="Verdana" w:cs="Arial"/>
                <w:sz w:val="16"/>
                <w:szCs w:val="16"/>
                <w:lang w:eastAsia="es-ES"/>
              </w:rPr>
              <w:t>Gestor T1 ‒ 15 de la Subdirección de Gestión Contractual</w:t>
            </w:r>
          </w:p>
        </w:tc>
      </w:tr>
      <w:tr w:rsidR="0037598A" w:rsidRPr="00AD4AAE" w14:paraId="61234A67" w14:textId="77777777" w:rsidTr="00383667">
        <w:trPr>
          <w:trHeight w:val="300"/>
        </w:trPr>
        <w:tc>
          <w:tcPr>
            <w:tcW w:w="893" w:type="dxa"/>
            <w:vAlign w:val="center"/>
          </w:tcPr>
          <w:p w14:paraId="67EE4F18" w14:textId="77777777" w:rsidR="00251D54" w:rsidRPr="00AD4AAE" w:rsidRDefault="00251D54" w:rsidP="00383667">
            <w:pPr>
              <w:contextualSpacing/>
              <w:rPr>
                <w:rFonts w:ascii="Verdana" w:hAnsi="Verdana" w:cs="Arial"/>
                <w:sz w:val="16"/>
                <w:szCs w:val="16"/>
                <w:lang w:val="es-ES" w:eastAsia="es-ES"/>
              </w:rPr>
            </w:pPr>
            <w:r w:rsidRPr="00AD4AA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5D4C72" w14:textId="77777777" w:rsidR="00251D54" w:rsidRPr="00AD4AAE" w:rsidRDefault="00251D54" w:rsidP="00383667">
            <w:pPr>
              <w:contextualSpacing/>
              <w:rPr>
                <w:rFonts w:ascii="Verdana" w:eastAsia="Calibri" w:hAnsi="Verdana" w:cs="Arial"/>
                <w:sz w:val="16"/>
                <w:szCs w:val="16"/>
                <w:lang w:val="es-ES" w:eastAsia="es-ES"/>
              </w:rPr>
            </w:pPr>
            <w:r w:rsidRPr="00AD4AAE">
              <w:rPr>
                <w:rFonts w:ascii="Verdana" w:eastAsia="Calibri" w:hAnsi="Verdana" w:cs="Arial"/>
                <w:sz w:val="16"/>
                <w:szCs w:val="16"/>
                <w:lang w:val="es-ES" w:eastAsia="es-ES"/>
              </w:rPr>
              <w:t>Carolina Quintero Gacharná</w:t>
            </w:r>
          </w:p>
          <w:p w14:paraId="624A8D80" w14:textId="77777777" w:rsidR="00251D54" w:rsidRPr="00AD4AAE" w:rsidRDefault="00251D54" w:rsidP="00383667">
            <w:pPr>
              <w:contextualSpacing/>
              <w:rPr>
                <w:rFonts w:ascii="Verdana" w:eastAsia="Calibri" w:hAnsi="Verdana" w:cs="Arial"/>
                <w:sz w:val="16"/>
                <w:szCs w:val="16"/>
                <w:lang w:val="es-ES" w:eastAsia="es-ES"/>
              </w:rPr>
            </w:pPr>
            <w:r w:rsidRPr="00AD4AAE">
              <w:rPr>
                <w:rFonts w:ascii="Verdana" w:eastAsia="Calibri" w:hAnsi="Verdana" w:cs="Arial"/>
                <w:sz w:val="16"/>
                <w:szCs w:val="16"/>
                <w:lang w:val="es-ES" w:eastAsia="es-ES"/>
              </w:rPr>
              <w:t>Subdirectora de Gestión Contractual ANCP – CCE</w:t>
            </w:r>
          </w:p>
        </w:tc>
      </w:tr>
      <w:bookmarkEnd w:id="0"/>
    </w:tbl>
    <w:p w14:paraId="0D241A35" w14:textId="77777777" w:rsidR="00292396" w:rsidRPr="00AD4AAE" w:rsidRDefault="00292396" w:rsidP="00B228FE">
      <w:pPr>
        <w:spacing w:after="120" w:line="276" w:lineRule="auto"/>
        <w:jc w:val="both"/>
        <w:rPr>
          <w:rFonts w:ascii="Verdana" w:eastAsia="Century Gothic" w:hAnsi="Verdana" w:cs="Century Gothic"/>
          <w:b/>
          <w:color w:val="EE0000"/>
          <w:lang w:val="es-ES"/>
        </w:rPr>
      </w:pPr>
    </w:p>
    <w:sectPr w:rsidR="00292396" w:rsidRPr="00AD4AA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4F446" w14:textId="77777777" w:rsidR="0043691E" w:rsidRDefault="0043691E" w:rsidP="004A1847">
      <w:pPr>
        <w:spacing w:after="0" w:line="240" w:lineRule="auto"/>
      </w:pPr>
      <w:r>
        <w:separator/>
      </w:r>
    </w:p>
  </w:endnote>
  <w:endnote w:type="continuationSeparator" w:id="0">
    <w:p w14:paraId="563FFB7D" w14:textId="77777777" w:rsidR="0043691E" w:rsidRDefault="0043691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145F0" w14:textId="77777777" w:rsidR="0043691E" w:rsidRDefault="0043691E" w:rsidP="004A1847">
      <w:pPr>
        <w:spacing w:after="0" w:line="240" w:lineRule="auto"/>
      </w:pPr>
      <w:r>
        <w:separator/>
      </w:r>
    </w:p>
  </w:footnote>
  <w:footnote w:type="continuationSeparator" w:id="0">
    <w:p w14:paraId="139E8768" w14:textId="77777777" w:rsidR="0043691E" w:rsidRDefault="0043691E" w:rsidP="004A1847">
      <w:pPr>
        <w:spacing w:after="0" w:line="240" w:lineRule="auto"/>
      </w:pPr>
      <w:r>
        <w:continuationSeparator/>
      </w:r>
    </w:p>
  </w:footnote>
  <w:footnote w:id="1">
    <w:p w14:paraId="36CC2426" w14:textId="05BBCF76" w:rsidR="009F0FE9" w:rsidRPr="000C7F34" w:rsidRDefault="009F0FE9" w:rsidP="00A2306F">
      <w:pPr>
        <w:spacing w:after="0" w:line="240" w:lineRule="auto"/>
        <w:ind w:firstLine="707"/>
        <w:jc w:val="both"/>
        <w:rPr>
          <w:rFonts w:ascii="Verdana" w:hAnsi="Verdana" w:cs="Arial"/>
          <w:sz w:val="18"/>
          <w:szCs w:val="18"/>
        </w:rPr>
      </w:pPr>
      <w:r w:rsidRPr="000C7F34">
        <w:rPr>
          <w:rStyle w:val="Refdenotaalpie"/>
          <w:rFonts w:ascii="Verdana" w:hAnsi="Verdana" w:cs="Arial"/>
          <w:sz w:val="18"/>
          <w:szCs w:val="18"/>
        </w:rPr>
        <w:footnoteRef/>
      </w:r>
      <w:r w:rsidRPr="000C7F34">
        <w:rPr>
          <w:rFonts w:ascii="Verdana" w:hAnsi="Verdana" w:cs="Arial"/>
          <w:position w:val="6"/>
          <w:sz w:val="18"/>
          <w:szCs w:val="18"/>
        </w:rPr>
        <w:t xml:space="preserve"> </w:t>
      </w:r>
      <w:r w:rsidRPr="000C7F34">
        <w:rPr>
          <w:rFonts w:ascii="Verdana" w:hAnsi="Verdana" w:cs="Arial"/>
          <w:sz w:val="18"/>
          <w:szCs w:val="18"/>
        </w:rPr>
        <w:t>DEIK ACOSTAMADIEDO, Carolina, Guía de Contratación Estatal: Deber de planeación y modalidades de selección, Buenos Aires, 2015, p. 59.</w:t>
      </w:r>
    </w:p>
  </w:footnote>
  <w:footnote w:id="2">
    <w:p w14:paraId="5093A1F7" w14:textId="77777777" w:rsidR="009F0FE9" w:rsidRPr="000C7F34" w:rsidRDefault="009F0FE9" w:rsidP="00A2306F">
      <w:pPr>
        <w:pStyle w:val="Textoindependiente"/>
        <w:spacing w:after="0" w:line="240" w:lineRule="auto"/>
        <w:ind w:firstLine="709"/>
        <w:jc w:val="both"/>
        <w:rPr>
          <w:rFonts w:ascii="Verdana" w:hAnsi="Verdana" w:cs="Arial"/>
          <w:sz w:val="18"/>
          <w:szCs w:val="18"/>
        </w:rPr>
      </w:pPr>
      <w:r w:rsidRPr="000C7F34">
        <w:rPr>
          <w:rStyle w:val="Refdenotaalpie"/>
          <w:rFonts w:ascii="Verdana" w:hAnsi="Verdana" w:cs="Arial"/>
          <w:sz w:val="18"/>
          <w:szCs w:val="18"/>
        </w:rPr>
        <w:footnoteRef/>
      </w:r>
      <w:r w:rsidRPr="000C7F34">
        <w:rPr>
          <w:rFonts w:ascii="Verdana" w:hAnsi="Verdana" w:cs="Arial"/>
          <w:sz w:val="18"/>
          <w:szCs w:val="18"/>
        </w:rPr>
        <w:t xml:space="preserve"> </w:t>
      </w:r>
      <w:r w:rsidRPr="000C7F34">
        <w:rPr>
          <w:rFonts w:ascii="Verdana" w:hAnsi="Verdana" w:cs="Arial"/>
          <w:position w:val="6"/>
          <w:sz w:val="18"/>
          <w:szCs w:val="18"/>
        </w:rPr>
        <w:t xml:space="preserve"> </w:t>
      </w:r>
      <w:r w:rsidRPr="000C7F34">
        <w:rPr>
          <w:rFonts w:ascii="Verdana" w:hAnsi="Verdana" w:cs="Arial"/>
          <w:sz w:val="18"/>
          <w:szCs w:val="18"/>
        </w:rPr>
        <w:t xml:space="preserve">“Artículo </w:t>
      </w:r>
      <w:bookmarkStart w:id="2" w:name="_Hlk54173885"/>
      <w:r w:rsidRPr="000C7F34">
        <w:rPr>
          <w:rFonts w:ascii="Verdana" w:hAnsi="Verdana" w:cs="Arial"/>
          <w:sz w:val="18"/>
          <w:szCs w:val="18"/>
        </w:rPr>
        <w:t>2.2.1.1.2.1.1</w:t>
      </w:r>
      <w:bookmarkEnd w:id="2"/>
      <w:r w:rsidRPr="000C7F34">
        <w:rPr>
          <w:rFonts w:ascii="Verdana" w:hAnsi="Verdana" w:cs="Arial"/>
          <w:sz w:val="18"/>
          <w:szCs w:val="18"/>
        </w:rPr>
        <w:t>. Estudios y documentos previos. 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p>
    <w:p w14:paraId="4AB96A9B" w14:textId="77777777" w:rsidR="009F0FE9" w:rsidRPr="000C7F34" w:rsidRDefault="009F0FE9" w:rsidP="00A2306F">
      <w:pPr>
        <w:pStyle w:val="Textoindependiente"/>
        <w:spacing w:after="0" w:line="240" w:lineRule="auto"/>
        <w:ind w:firstLine="709"/>
        <w:jc w:val="both"/>
        <w:rPr>
          <w:rFonts w:ascii="Verdana" w:hAnsi="Verdana" w:cs="Arial"/>
          <w:sz w:val="18"/>
          <w:szCs w:val="18"/>
        </w:rPr>
      </w:pPr>
    </w:p>
  </w:footnote>
  <w:footnote w:id="3">
    <w:p w14:paraId="463B8909" w14:textId="77777777" w:rsidR="009F0FE9" w:rsidRPr="000C7F34" w:rsidRDefault="009F0FE9" w:rsidP="00A2306F">
      <w:pPr>
        <w:pStyle w:val="Textoindependiente"/>
        <w:spacing w:after="0" w:line="240" w:lineRule="auto"/>
        <w:ind w:firstLine="709"/>
        <w:jc w:val="both"/>
        <w:rPr>
          <w:rFonts w:ascii="Verdana" w:hAnsi="Verdana" w:cs="Arial"/>
          <w:sz w:val="18"/>
          <w:szCs w:val="18"/>
        </w:rPr>
      </w:pPr>
      <w:r w:rsidRPr="000C7F34">
        <w:rPr>
          <w:rStyle w:val="Refdenotaalpie"/>
          <w:rFonts w:ascii="Verdana" w:hAnsi="Verdana" w:cs="Arial"/>
          <w:sz w:val="18"/>
          <w:szCs w:val="18"/>
        </w:rPr>
        <w:footnoteRef/>
      </w:r>
      <w:r w:rsidRPr="000C7F34">
        <w:rPr>
          <w:rFonts w:ascii="Verdana" w:hAnsi="Verdana" w:cs="Arial"/>
          <w:sz w:val="18"/>
          <w:szCs w:val="18"/>
        </w:rPr>
        <w:t xml:space="preserve"> Consejo de Estado. Sección Tercera. Subsección B. Sentencia del 31 de agosto de 2011. Exp. 18.080. C.P. Ruth Stella Correa Palacio: “(…) recuérdese que la aplicación de la buena fe en materia negocial implica para las partes la observancia la observancia de una conducta enmarcada dentro del contexto de los deberes de corrección, claridad y recíproca lealtad que se deben los contratantes, para remitir la realización de los efectos finales buscados en el contrato”.</w:t>
      </w:r>
    </w:p>
  </w:footnote>
  <w:footnote w:id="4">
    <w:p w14:paraId="3CFFF50C" w14:textId="03524C97" w:rsidR="009D3BE7" w:rsidRPr="000C7F34" w:rsidRDefault="009D3BE7" w:rsidP="00A2306F">
      <w:pPr>
        <w:spacing w:after="0" w:line="240" w:lineRule="auto"/>
        <w:ind w:firstLine="708"/>
        <w:jc w:val="both"/>
        <w:rPr>
          <w:rFonts w:ascii="Verdana" w:hAnsi="Verdana"/>
          <w:sz w:val="18"/>
          <w:szCs w:val="18"/>
          <w:lang w:val="es-ES"/>
        </w:rPr>
      </w:pPr>
      <w:r w:rsidRPr="000C7F34">
        <w:rPr>
          <w:rStyle w:val="Refdenotaalpie"/>
          <w:rFonts w:ascii="Verdana" w:hAnsi="Verdana"/>
          <w:sz w:val="18"/>
          <w:szCs w:val="18"/>
        </w:rPr>
        <w:footnoteRef/>
      </w:r>
      <w:r w:rsidRPr="000C7F34">
        <w:rPr>
          <w:rFonts w:ascii="Verdana" w:hAnsi="Verdana"/>
          <w:sz w:val="18"/>
          <w:szCs w:val="18"/>
        </w:rPr>
        <w:t xml:space="preserve"> Corte Constitucional. </w:t>
      </w:r>
      <w:r w:rsidRPr="000C7F34">
        <w:rPr>
          <w:rFonts w:ascii="Verdana" w:hAnsi="Verdana"/>
          <w:sz w:val="18"/>
          <w:szCs w:val="18"/>
          <w:lang w:val="es-ES"/>
        </w:rPr>
        <w:t>Sentencia T-314 del 24 de julio del 2025. M.P. Juan Carlos Cortés González</w:t>
      </w:r>
    </w:p>
  </w:footnote>
  <w:footnote w:id="5">
    <w:p w14:paraId="27CB959D" w14:textId="77777777" w:rsidR="00BE714F" w:rsidRPr="000C7F34" w:rsidRDefault="00BE714F" w:rsidP="00A2306F">
      <w:pPr>
        <w:pBdr>
          <w:top w:val="nil"/>
          <w:left w:val="nil"/>
          <w:bottom w:val="nil"/>
          <w:right w:val="nil"/>
          <w:between w:val="nil"/>
        </w:pBdr>
        <w:spacing w:after="0" w:line="240" w:lineRule="auto"/>
        <w:ind w:firstLine="708"/>
        <w:rPr>
          <w:rFonts w:ascii="Verdana" w:eastAsia="Century Gothic" w:hAnsi="Verdana" w:cs="Century Gothic"/>
          <w:color w:val="000000"/>
          <w:sz w:val="18"/>
          <w:szCs w:val="18"/>
        </w:rPr>
      </w:pPr>
      <w:r w:rsidRPr="000C7F34">
        <w:rPr>
          <w:rFonts w:ascii="Verdana" w:hAnsi="Verdana"/>
          <w:sz w:val="18"/>
          <w:szCs w:val="18"/>
          <w:vertAlign w:val="superscript"/>
        </w:rPr>
        <w:footnoteRef/>
      </w:r>
      <w:r w:rsidRPr="000C7F34">
        <w:rPr>
          <w:rFonts w:ascii="Verdana" w:eastAsia="Century Gothic" w:hAnsi="Verdana" w:cs="Century Gothic"/>
          <w:color w:val="000000"/>
          <w:sz w:val="18"/>
          <w:szCs w:val="18"/>
        </w:rPr>
        <w:t xml:space="preserve"> Concepto C-975 del 08 de marzo del 2023. Colombia Compra Eficiente.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pt;height:7.5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7072FC"/>
    <w:multiLevelType w:val="hybridMultilevel"/>
    <w:tmpl w:val="7F2E9ED0"/>
    <w:lvl w:ilvl="0" w:tplc="8BCEE1AE">
      <w:start w:val="1"/>
      <w:numFmt w:val="lowerRoman"/>
      <w:lvlText w:val="%1)"/>
      <w:lvlJc w:val="left"/>
      <w:pPr>
        <w:ind w:left="800" w:hanging="720"/>
      </w:pPr>
      <w:rPr>
        <w:rFonts w:eastAsia="Arial"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E36479"/>
    <w:multiLevelType w:val="hybridMultilevel"/>
    <w:tmpl w:val="BAEC765C"/>
    <w:lvl w:ilvl="0" w:tplc="05CA8B0C">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AE3488D"/>
    <w:multiLevelType w:val="hybridMultilevel"/>
    <w:tmpl w:val="703ADDAE"/>
    <w:lvl w:ilvl="0" w:tplc="309E662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418679D0"/>
    <w:multiLevelType w:val="hybridMultilevel"/>
    <w:tmpl w:val="675A6FB0"/>
    <w:lvl w:ilvl="0" w:tplc="15EC6280">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0"/>
  </w:num>
  <w:num w:numId="13" w16cid:durableId="1512908409">
    <w:abstractNumId w:val="3"/>
  </w:num>
  <w:num w:numId="14" w16cid:durableId="895897244">
    <w:abstractNumId w:val="17"/>
  </w:num>
  <w:num w:numId="15" w16cid:durableId="390349800">
    <w:abstractNumId w:val="13"/>
  </w:num>
  <w:num w:numId="16" w16cid:durableId="153255849">
    <w:abstractNumId w:val="12"/>
  </w:num>
  <w:num w:numId="17" w16cid:durableId="319966317">
    <w:abstractNumId w:val="2"/>
  </w:num>
  <w:num w:numId="18" w16cid:durableId="679089576">
    <w:abstractNumId w:val="10"/>
  </w:num>
  <w:num w:numId="19" w16cid:durableId="845898728">
    <w:abstractNumId w:val="11"/>
  </w:num>
  <w:num w:numId="20" w16cid:durableId="12910913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890"/>
    <w:rsid w:val="00003E57"/>
    <w:rsid w:val="00007D09"/>
    <w:rsid w:val="00007D78"/>
    <w:rsid w:val="00011A13"/>
    <w:rsid w:val="00013937"/>
    <w:rsid w:val="00013D60"/>
    <w:rsid w:val="0001413E"/>
    <w:rsid w:val="000160AF"/>
    <w:rsid w:val="00016F78"/>
    <w:rsid w:val="00026613"/>
    <w:rsid w:val="000277CB"/>
    <w:rsid w:val="000303F4"/>
    <w:rsid w:val="00032EA1"/>
    <w:rsid w:val="00035C55"/>
    <w:rsid w:val="000360D1"/>
    <w:rsid w:val="0003733F"/>
    <w:rsid w:val="00041F90"/>
    <w:rsid w:val="00042E14"/>
    <w:rsid w:val="00043B7D"/>
    <w:rsid w:val="0004456A"/>
    <w:rsid w:val="00045366"/>
    <w:rsid w:val="00045D86"/>
    <w:rsid w:val="00046324"/>
    <w:rsid w:val="00046945"/>
    <w:rsid w:val="000519B7"/>
    <w:rsid w:val="00051C96"/>
    <w:rsid w:val="00052F7C"/>
    <w:rsid w:val="00053937"/>
    <w:rsid w:val="0005584F"/>
    <w:rsid w:val="00060DE8"/>
    <w:rsid w:val="00061B2A"/>
    <w:rsid w:val="00062F68"/>
    <w:rsid w:val="00063FAC"/>
    <w:rsid w:val="000640FA"/>
    <w:rsid w:val="00064B86"/>
    <w:rsid w:val="00065109"/>
    <w:rsid w:val="00066F6E"/>
    <w:rsid w:val="000703AA"/>
    <w:rsid w:val="00070DD5"/>
    <w:rsid w:val="000710F3"/>
    <w:rsid w:val="00077E8D"/>
    <w:rsid w:val="0008191C"/>
    <w:rsid w:val="00082362"/>
    <w:rsid w:val="0008502B"/>
    <w:rsid w:val="00090B5C"/>
    <w:rsid w:val="00091866"/>
    <w:rsid w:val="000953FD"/>
    <w:rsid w:val="000A0D20"/>
    <w:rsid w:val="000A1630"/>
    <w:rsid w:val="000A683E"/>
    <w:rsid w:val="000B06A8"/>
    <w:rsid w:val="000B19B9"/>
    <w:rsid w:val="000B2A18"/>
    <w:rsid w:val="000B4C1A"/>
    <w:rsid w:val="000B7079"/>
    <w:rsid w:val="000B770B"/>
    <w:rsid w:val="000C1986"/>
    <w:rsid w:val="000C3F84"/>
    <w:rsid w:val="000C60A8"/>
    <w:rsid w:val="000C7F34"/>
    <w:rsid w:val="000D0334"/>
    <w:rsid w:val="000D29A5"/>
    <w:rsid w:val="000D3FAE"/>
    <w:rsid w:val="000D4BAC"/>
    <w:rsid w:val="000D5040"/>
    <w:rsid w:val="000D5CD6"/>
    <w:rsid w:val="000D753D"/>
    <w:rsid w:val="000E1253"/>
    <w:rsid w:val="000E2CD5"/>
    <w:rsid w:val="000F6486"/>
    <w:rsid w:val="000F7BD6"/>
    <w:rsid w:val="0010087F"/>
    <w:rsid w:val="00102AFD"/>
    <w:rsid w:val="0010723F"/>
    <w:rsid w:val="00107D7A"/>
    <w:rsid w:val="00110D2D"/>
    <w:rsid w:val="0011169A"/>
    <w:rsid w:val="00111B91"/>
    <w:rsid w:val="001130E8"/>
    <w:rsid w:val="0012029D"/>
    <w:rsid w:val="00120A6D"/>
    <w:rsid w:val="00121641"/>
    <w:rsid w:val="00122832"/>
    <w:rsid w:val="001241A6"/>
    <w:rsid w:val="001248B4"/>
    <w:rsid w:val="00125105"/>
    <w:rsid w:val="0012547C"/>
    <w:rsid w:val="001255BB"/>
    <w:rsid w:val="0012605A"/>
    <w:rsid w:val="00127233"/>
    <w:rsid w:val="0012788E"/>
    <w:rsid w:val="0013176B"/>
    <w:rsid w:val="001325E4"/>
    <w:rsid w:val="00133449"/>
    <w:rsid w:val="00140169"/>
    <w:rsid w:val="0014320B"/>
    <w:rsid w:val="001435CE"/>
    <w:rsid w:val="001448D1"/>
    <w:rsid w:val="001469A4"/>
    <w:rsid w:val="00150C7A"/>
    <w:rsid w:val="001511A0"/>
    <w:rsid w:val="001515B4"/>
    <w:rsid w:val="00152963"/>
    <w:rsid w:val="00152CB5"/>
    <w:rsid w:val="00156137"/>
    <w:rsid w:val="00162228"/>
    <w:rsid w:val="001639D8"/>
    <w:rsid w:val="0016468C"/>
    <w:rsid w:val="00164E7B"/>
    <w:rsid w:val="001735DA"/>
    <w:rsid w:val="001764FC"/>
    <w:rsid w:val="00177241"/>
    <w:rsid w:val="00186E80"/>
    <w:rsid w:val="0019142D"/>
    <w:rsid w:val="00191C39"/>
    <w:rsid w:val="00192D5F"/>
    <w:rsid w:val="00194ACF"/>
    <w:rsid w:val="0019528B"/>
    <w:rsid w:val="001953C8"/>
    <w:rsid w:val="0019603C"/>
    <w:rsid w:val="001A0B91"/>
    <w:rsid w:val="001A253D"/>
    <w:rsid w:val="001A5026"/>
    <w:rsid w:val="001A5295"/>
    <w:rsid w:val="001A7853"/>
    <w:rsid w:val="001B1874"/>
    <w:rsid w:val="001B555E"/>
    <w:rsid w:val="001C07EE"/>
    <w:rsid w:val="001C0DA3"/>
    <w:rsid w:val="001C45E1"/>
    <w:rsid w:val="001C668C"/>
    <w:rsid w:val="001C7557"/>
    <w:rsid w:val="001D1123"/>
    <w:rsid w:val="001D6A1B"/>
    <w:rsid w:val="001D7659"/>
    <w:rsid w:val="001E0F5F"/>
    <w:rsid w:val="001E2124"/>
    <w:rsid w:val="001E2C05"/>
    <w:rsid w:val="001E401F"/>
    <w:rsid w:val="001E4177"/>
    <w:rsid w:val="001E550C"/>
    <w:rsid w:val="001F0F1A"/>
    <w:rsid w:val="001F4A32"/>
    <w:rsid w:val="001F528E"/>
    <w:rsid w:val="001F53A0"/>
    <w:rsid w:val="001F7DC6"/>
    <w:rsid w:val="00200CD3"/>
    <w:rsid w:val="00201503"/>
    <w:rsid w:val="00203F4C"/>
    <w:rsid w:val="00204BD8"/>
    <w:rsid w:val="00207C58"/>
    <w:rsid w:val="00210FFC"/>
    <w:rsid w:val="00212B9C"/>
    <w:rsid w:val="00213893"/>
    <w:rsid w:val="002178E6"/>
    <w:rsid w:val="00217B2A"/>
    <w:rsid w:val="002207EB"/>
    <w:rsid w:val="00221041"/>
    <w:rsid w:val="0022536B"/>
    <w:rsid w:val="00225862"/>
    <w:rsid w:val="00226005"/>
    <w:rsid w:val="00227D66"/>
    <w:rsid w:val="00232C4D"/>
    <w:rsid w:val="00233143"/>
    <w:rsid w:val="00233303"/>
    <w:rsid w:val="00234FFE"/>
    <w:rsid w:val="002352C6"/>
    <w:rsid w:val="00236163"/>
    <w:rsid w:val="00240D71"/>
    <w:rsid w:val="002421BB"/>
    <w:rsid w:val="0025000B"/>
    <w:rsid w:val="00251D54"/>
    <w:rsid w:val="00252396"/>
    <w:rsid w:val="00252659"/>
    <w:rsid w:val="0025661F"/>
    <w:rsid w:val="0025796E"/>
    <w:rsid w:val="00257FB2"/>
    <w:rsid w:val="00262512"/>
    <w:rsid w:val="00263A16"/>
    <w:rsid w:val="00263E50"/>
    <w:rsid w:val="00266100"/>
    <w:rsid w:val="00266C24"/>
    <w:rsid w:val="002702AC"/>
    <w:rsid w:val="002707A2"/>
    <w:rsid w:val="0027089D"/>
    <w:rsid w:val="00271FF6"/>
    <w:rsid w:val="002722AC"/>
    <w:rsid w:val="00273693"/>
    <w:rsid w:val="002745E2"/>
    <w:rsid w:val="00274625"/>
    <w:rsid w:val="00276D15"/>
    <w:rsid w:val="0027765D"/>
    <w:rsid w:val="00281E8D"/>
    <w:rsid w:val="002840D6"/>
    <w:rsid w:val="002850A4"/>
    <w:rsid w:val="00285EC6"/>
    <w:rsid w:val="0029008B"/>
    <w:rsid w:val="00292396"/>
    <w:rsid w:val="00292C11"/>
    <w:rsid w:val="002935D8"/>
    <w:rsid w:val="002951A0"/>
    <w:rsid w:val="002962BC"/>
    <w:rsid w:val="00297849"/>
    <w:rsid w:val="00297D6B"/>
    <w:rsid w:val="002A05B8"/>
    <w:rsid w:val="002A093D"/>
    <w:rsid w:val="002A0DD0"/>
    <w:rsid w:val="002A112D"/>
    <w:rsid w:val="002A3AEA"/>
    <w:rsid w:val="002A3C91"/>
    <w:rsid w:val="002A49AC"/>
    <w:rsid w:val="002A503A"/>
    <w:rsid w:val="002A565A"/>
    <w:rsid w:val="002A64FD"/>
    <w:rsid w:val="002A7237"/>
    <w:rsid w:val="002A773A"/>
    <w:rsid w:val="002B0131"/>
    <w:rsid w:val="002B2C24"/>
    <w:rsid w:val="002B5409"/>
    <w:rsid w:val="002B7977"/>
    <w:rsid w:val="002B7E3F"/>
    <w:rsid w:val="002B7F40"/>
    <w:rsid w:val="002C2F48"/>
    <w:rsid w:val="002C6628"/>
    <w:rsid w:val="002C731A"/>
    <w:rsid w:val="002C7A84"/>
    <w:rsid w:val="002D380F"/>
    <w:rsid w:val="002E0AAD"/>
    <w:rsid w:val="002E4FD9"/>
    <w:rsid w:val="002E56DE"/>
    <w:rsid w:val="002F7FB1"/>
    <w:rsid w:val="003000B0"/>
    <w:rsid w:val="00301BCA"/>
    <w:rsid w:val="00305E34"/>
    <w:rsid w:val="00306186"/>
    <w:rsid w:val="003070AB"/>
    <w:rsid w:val="0031032B"/>
    <w:rsid w:val="00311A78"/>
    <w:rsid w:val="0031203C"/>
    <w:rsid w:val="00313B95"/>
    <w:rsid w:val="003144DD"/>
    <w:rsid w:val="00317334"/>
    <w:rsid w:val="00320BCC"/>
    <w:rsid w:val="00322A85"/>
    <w:rsid w:val="003237D9"/>
    <w:rsid w:val="00324168"/>
    <w:rsid w:val="00324F39"/>
    <w:rsid w:val="00326E26"/>
    <w:rsid w:val="00327A63"/>
    <w:rsid w:val="00334D17"/>
    <w:rsid w:val="00335DD0"/>
    <w:rsid w:val="00340AD1"/>
    <w:rsid w:val="0034205C"/>
    <w:rsid w:val="003448F4"/>
    <w:rsid w:val="003465F6"/>
    <w:rsid w:val="0034780B"/>
    <w:rsid w:val="00350D73"/>
    <w:rsid w:val="0035643F"/>
    <w:rsid w:val="00361C9D"/>
    <w:rsid w:val="003625F9"/>
    <w:rsid w:val="00363656"/>
    <w:rsid w:val="00363CFF"/>
    <w:rsid w:val="00365529"/>
    <w:rsid w:val="003659B6"/>
    <w:rsid w:val="00370A68"/>
    <w:rsid w:val="003711F4"/>
    <w:rsid w:val="0037392F"/>
    <w:rsid w:val="00373A40"/>
    <w:rsid w:val="00373AD7"/>
    <w:rsid w:val="00374F5E"/>
    <w:rsid w:val="0037598A"/>
    <w:rsid w:val="00376219"/>
    <w:rsid w:val="00377697"/>
    <w:rsid w:val="00377E3E"/>
    <w:rsid w:val="00383D84"/>
    <w:rsid w:val="00384AFD"/>
    <w:rsid w:val="00385BC7"/>
    <w:rsid w:val="00386752"/>
    <w:rsid w:val="00387F6A"/>
    <w:rsid w:val="003917D2"/>
    <w:rsid w:val="003965AC"/>
    <w:rsid w:val="003966A3"/>
    <w:rsid w:val="003A07D3"/>
    <w:rsid w:val="003A0C70"/>
    <w:rsid w:val="003A1B88"/>
    <w:rsid w:val="003A30E0"/>
    <w:rsid w:val="003A6C52"/>
    <w:rsid w:val="003A6C84"/>
    <w:rsid w:val="003A70C1"/>
    <w:rsid w:val="003A779E"/>
    <w:rsid w:val="003B03DB"/>
    <w:rsid w:val="003B17DB"/>
    <w:rsid w:val="003B7D9C"/>
    <w:rsid w:val="003C0609"/>
    <w:rsid w:val="003C3FA7"/>
    <w:rsid w:val="003D0F4D"/>
    <w:rsid w:val="003D3E5B"/>
    <w:rsid w:val="003D4739"/>
    <w:rsid w:val="003D5B0D"/>
    <w:rsid w:val="003E0499"/>
    <w:rsid w:val="003E57EB"/>
    <w:rsid w:val="003E5C98"/>
    <w:rsid w:val="003E7CE6"/>
    <w:rsid w:val="003F0480"/>
    <w:rsid w:val="003F1023"/>
    <w:rsid w:val="003F3941"/>
    <w:rsid w:val="003F62A1"/>
    <w:rsid w:val="003F62F2"/>
    <w:rsid w:val="003F76B7"/>
    <w:rsid w:val="003F7CCD"/>
    <w:rsid w:val="00401C86"/>
    <w:rsid w:val="00406575"/>
    <w:rsid w:val="0041098E"/>
    <w:rsid w:val="00411CA5"/>
    <w:rsid w:val="004136E9"/>
    <w:rsid w:val="00414C74"/>
    <w:rsid w:val="00415F04"/>
    <w:rsid w:val="00416C87"/>
    <w:rsid w:val="00417591"/>
    <w:rsid w:val="0042009F"/>
    <w:rsid w:val="00420468"/>
    <w:rsid w:val="00420FAE"/>
    <w:rsid w:val="00425122"/>
    <w:rsid w:val="0042718F"/>
    <w:rsid w:val="0042722E"/>
    <w:rsid w:val="004310AF"/>
    <w:rsid w:val="00433A07"/>
    <w:rsid w:val="00434558"/>
    <w:rsid w:val="0043691E"/>
    <w:rsid w:val="004437EC"/>
    <w:rsid w:val="00443B84"/>
    <w:rsid w:val="0044528D"/>
    <w:rsid w:val="00455C16"/>
    <w:rsid w:val="00455C92"/>
    <w:rsid w:val="004573BD"/>
    <w:rsid w:val="004602CE"/>
    <w:rsid w:val="00462152"/>
    <w:rsid w:val="004631FC"/>
    <w:rsid w:val="004638CD"/>
    <w:rsid w:val="004668F2"/>
    <w:rsid w:val="00467E65"/>
    <w:rsid w:val="004756C4"/>
    <w:rsid w:val="00476994"/>
    <w:rsid w:val="00476BE9"/>
    <w:rsid w:val="00476C5E"/>
    <w:rsid w:val="0048068A"/>
    <w:rsid w:val="0048081A"/>
    <w:rsid w:val="004841EA"/>
    <w:rsid w:val="004850C4"/>
    <w:rsid w:val="0048632F"/>
    <w:rsid w:val="0048781F"/>
    <w:rsid w:val="004901B7"/>
    <w:rsid w:val="00491BF3"/>
    <w:rsid w:val="00493344"/>
    <w:rsid w:val="00494086"/>
    <w:rsid w:val="00494AFA"/>
    <w:rsid w:val="004A1847"/>
    <w:rsid w:val="004A1A83"/>
    <w:rsid w:val="004A305D"/>
    <w:rsid w:val="004A4098"/>
    <w:rsid w:val="004A4364"/>
    <w:rsid w:val="004A461D"/>
    <w:rsid w:val="004A68C0"/>
    <w:rsid w:val="004A76EC"/>
    <w:rsid w:val="004A7EDE"/>
    <w:rsid w:val="004B0EC4"/>
    <w:rsid w:val="004B6767"/>
    <w:rsid w:val="004B7F0C"/>
    <w:rsid w:val="004C2EF0"/>
    <w:rsid w:val="004C3B5C"/>
    <w:rsid w:val="004C4106"/>
    <w:rsid w:val="004C6B79"/>
    <w:rsid w:val="004C7AC9"/>
    <w:rsid w:val="004D0217"/>
    <w:rsid w:val="004D29E2"/>
    <w:rsid w:val="004D6169"/>
    <w:rsid w:val="004D6521"/>
    <w:rsid w:val="004D762E"/>
    <w:rsid w:val="004E0907"/>
    <w:rsid w:val="004E0CBD"/>
    <w:rsid w:val="004E101C"/>
    <w:rsid w:val="004E172E"/>
    <w:rsid w:val="004E193E"/>
    <w:rsid w:val="004E3004"/>
    <w:rsid w:val="004E5317"/>
    <w:rsid w:val="004E683C"/>
    <w:rsid w:val="004E7A4A"/>
    <w:rsid w:val="004E7D8A"/>
    <w:rsid w:val="004F21C4"/>
    <w:rsid w:val="004F3170"/>
    <w:rsid w:val="004F48A8"/>
    <w:rsid w:val="004F5D64"/>
    <w:rsid w:val="004F685F"/>
    <w:rsid w:val="0050125A"/>
    <w:rsid w:val="0050250E"/>
    <w:rsid w:val="00502711"/>
    <w:rsid w:val="00502DE0"/>
    <w:rsid w:val="00503019"/>
    <w:rsid w:val="005038B9"/>
    <w:rsid w:val="00505AA3"/>
    <w:rsid w:val="0050693B"/>
    <w:rsid w:val="00510A14"/>
    <w:rsid w:val="00512387"/>
    <w:rsid w:val="00514762"/>
    <w:rsid w:val="00515310"/>
    <w:rsid w:val="005158B0"/>
    <w:rsid w:val="00515C3E"/>
    <w:rsid w:val="0052335B"/>
    <w:rsid w:val="005236E2"/>
    <w:rsid w:val="005262F4"/>
    <w:rsid w:val="005266A8"/>
    <w:rsid w:val="00530578"/>
    <w:rsid w:val="00530A05"/>
    <w:rsid w:val="00535362"/>
    <w:rsid w:val="00535967"/>
    <w:rsid w:val="005372F6"/>
    <w:rsid w:val="005408F8"/>
    <w:rsid w:val="00542CB5"/>
    <w:rsid w:val="0054339A"/>
    <w:rsid w:val="00544304"/>
    <w:rsid w:val="00546D69"/>
    <w:rsid w:val="00550659"/>
    <w:rsid w:val="00551555"/>
    <w:rsid w:val="005566E8"/>
    <w:rsid w:val="005614FE"/>
    <w:rsid w:val="00563D36"/>
    <w:rsid w:val="00564FE3"/>
    <w:rsid w:val="0057065F"/>
    <w:rsid w:val="00574867"/>
    <w:rsid w:val="00575827"/>
    <w:rsid w:val="005771F8"/>
    <w:rsid w:val="00577414"/>
    <w:rsid w:val="00577A78"/>
    <w:rsid w:val="00577E43"/>
    <w:rsid w:val="00580161"/>
    <w:rsid w:val="00581BE4"/>
    <w:rsid w:val="00582974"/>
    <w:rsid w:val="00584A2E"/>
    <w:rsid w:val="005858E0"/>
    <w:rsid w:val="0058714E"/>
    <w:rsid w:val="005903A0"/>
    <w:rsid w:val="00591195"/>
    <w:rsid w:val="00591460"/>
    <w:rsid w:val="00592DC4"/>
    <w:rsid w:val="00593456"/>
    <w:rsid w:val="005938D3"/>
    <w:rsid w:val="005944B8"/>
    <w:rsid w:val="005966A0"/>
    <w:rsid w:val="00597652"/>
    <w:rsid w:val="00597B52"/>
    <w:rsid w:val="00597B78"/>
    <w:rsid w:val="005A27D9"/>
    <w:rsid w:val="005A2F05"/>
    <w:rsid w:val="005A4720"/>
    <w:rsid w:val="005A59FB"/>
    <w:rsid w:val="005A60D0"/>
    <w:rsid w:val="005B2B81"/>
    <w:rsid w:val="005B3816"/>
    <w:rsid w:val="005B3C5A"/>
    <w:rsid w:val="005C147C"/>
    <w:rsid w:val="005C3777"/>
    <w:rsid w:val="005C5CDC"/>
    <w:rsid w:val="005C78B2"/>
    <w:rsid w:val="005D476C"/>
    <w:rsid w:val="005D54F3"/>
    <w:rsid w:val="005D5EFF"/>
    <w:rsid w:val="005E0629"/>
    <w:rsid w:val="005E1FFA"/>
    <w:rsid w:val="005E506F"/>
    <w:rsid w:val="005E7A36"/>
    <w:rsid w:val="005F2338"/>
    <w:rsid w:val="005F3C15"/>
    <w:rsid w:val="005F5D08"/>
    <w:rsid w:val="005F612A"/>
    <w:rsid w:val="005F7181"/>
    <w:rsid w:val="005F732A"/>
    <w:rsid w:val="00605A79"/>
    <w:rsid w:val="00612700"/>
    <w:rsid w:val="00613FBE"/>
    <w:rsid w:val="00614B15"/>
    <w:rsid w:val="006168C9"/>
    <w:rsid w:val="006174AE"/>
    <w:rsid w:val="006176CE"/>
    <w:rsid w:val="006207B0"/>
    <w:rsid w:val="006214BA"/>
    <w:rsid w:val="006219F8"/>
    <w:rsid w:val="00625B65"/>
    <w:rsid w:val="00626146"/>
    <w:rsid w:val="0062727E"/>
    <w:rsid w:val="006325D0"/>
    <w:rsid w:val="00632F5B"/>
    <w:rsid w:val="00636E1B"/>
    <w:rsid w:val="00640467"/>
    <w:rsid w:val="00641A49"/>
    <w:rsid w:val="00643168"/>
    <w:rsid w:val="0064473F"/>
    <w:rsid w:val="0064475E"/>
    <w:rsid w:val="00650BB0"/>
    <w:rsid w:val="0065292E"/>
    <w:rsid w:val="00654104"/>
    <w:rsid w:val="00654D72"/>
    <w:rsid w:val="00656172"/>
    <w:rsid w:val="00657E2D"/>
    <w:rsid w:val="006609BA"/>
    <w:rsid w:val="00660C8B"/>
    <w:rsid w:val="00664095"/>
    <w:rsid w:val="006643F8"/>
    <w:rsid w:val="00665D70"/>
    <w:rsid w:val="0067305E"/>
    <w:rsid w:val="00673C37"/>
    <w:rsid w:val="00674149"/>
    <w:rsid w:val="00676B28"/>
    <w:rsid w:val="00677C6B"/>
    <w:rsid w:val="006827EC"/>
    <w:rsid w:val="006838BE"/>
    <w:rsid w:val="00686AA2"/>
    <w:rsid w:val="00686D64"/>
    <w:rsid w:val="00687872"/>
    <w:rsid w:val="006900D9"/>
    <w:rsid w:val="006903C3"/>
    <w:rsid w:val="00692233"/>
    <w:rsid w:val="00697FE8"/>
    <w:rsid w:val="006A09DC"/>
    <w:rsid w:val="006A1E02"/>
    <w:rsid w:val="006A384D"/>
    <w:rsid w:val="006A3F9B"/>
    <w:rsid w:val="006A4191"/>
    <w:rsid w:val="006A4FC6"/>
    <w:rsid w:val="006A784B"/>
    <w:rsid w:val="006B1580"/>
    <w:rsid w:val="006B2B41"/>
    <w:rsid w:val="006B4F5C"/>
    <w:rsid w:val="006B71ED"/>
    <w:rsid w:val="006C010B"/>
    <w:rsid w:val="006C10A4"/>
    <w:rsid w:val="006C1A43"/>
    <w:rsid w:val="006C2A28"/>
    <w:rsid w:val="006D078A"/>
    <w:rsid w:val="006D2C8F"/>
    <w:rsid w:val="006D36AE"/>
    <w:rsid w:val="006D50FD"/>
    <w:rsid w:val="006D5D4A"/>
    <w:rsid w:val="006D7341"/>
    <w:rsid w:val="006E00EC"/>
    <w:rsid w:val="006E1064"/>
    <w:rsid w:val="006E49E0"/>
    <w:rsid w:val="006E4D2C"/>
    <w:rsid w:val="006E5553"/>
    <w:rsid w:val="006E5E26"/>
    <w:rsid w:val="006F1B27"/>
    <w:rsid w:val="006F54BE"/>
    <w:rsid w:val="006F7C2C"/>
    <w:rsid w:val="00700885"/>
    <w:rsid w:val="007039F1"/>
    <w:rsid w:val="0070440A"/>
    <w:rsid w:val="00704BC9"/>
    <w:rsid w:val="007056D9"/>
    <w:rsid w:val="00706508"/>
    <w:rsid w:val="00706C16"/>
    <w:rsid w:val="00712B24"/>
    <w:rsid w:val="00720B71"/>
    <w:rsid w:val="007250B4"/>
    <w:rsid w:val="00727C41"/>
    <w:rsid w:val="00732E25"/>
    <w:rsid w:val="00735C40"/>
    <w:rsid w:val="007503DF"/>
    <w:rsid w:val="00753E81"/>
    <w:rsid w:val="00754C72"/>
    <w:rsid w:val="00755619"/>
    <w:rsid w:val="00756841"/>
    <w:rsid w:val="00757452"/>
    <w:rsid w:val="00760C5A"/>
    <w:rsid w:val="00761A81"/>
    <w:rsid w:val="00762B3B"/>
    <w:rsid w:val="00762BF9"/>
    <w:rsid w:val="007649AB"/>
    <w:rsid w:val="007649F2"/>
    <w:rsid w:val="00767670"/>
    <w:rsid w:val="00771744"/>
    <w:rsid w:val="00771D0C"/>
    <w:rsid w:val="00776059"/>
    <w:rsid w:val="007778DE"/>
    <w:rsid w:val="00780C05"/>
    <w:rsid w:val="00783193"/>
    <w:rsid w:val="007833AC"/>
    <w:rsid w:val="00785C10"/>
    <w:rsid w:val="007914A7"/>
    <w:rsid w:val="00792324"/>
    <w:rsid w:val="00792C8A"/>
    <w:rsid w:val="00795F47"/>
    <w:rsid w:val="007965D4"/>
    <w:rsid w:val="007A068B"/>
    <w:rsid w:val="007A093C"/>
    <w:rsid w:val="007A1327"/>
    <w:rsid w:val="007A2068"/>
    <w:rsid w:val="007A3C28"/>
    <w:rsid w:val="007A416D"/>
    <w:rsid w:val="007A5CDA"/>
    <w:rsid w:val="007A6B1B"/>
    <w:rsid w:val="007B1121"/>
    <w:rsid w:val="007B24FD"/>
    <w:rsid w:val="007B268C"/>
    <w:rsid w:val="007B3A0B"/>
    <w:rsid w:val="007B44C3"/>
    <w:rsid w:val="007B7171"/>
    <w:rsid w:val="007B7D3A"/>
    <w:rsid w:val="007C02B4"/>
    <w:rsid w:val="007C0C0F"/>
    <w:rsid w:val="007C2B06"/>
    <w:rsid w:val="007C3576"/>
    <w:rsid w:val="007C3DC2"/>
    <w:rsid w:val="007D0500"/>
    <w:rsid w:val="007D5759"/>
    <w:rsid w:val="007D5E6F"/>
    <w:rsid w:val="007E0662"/>
    <w:rsid w:val="007E5497"/>
    <w:rsid w:val="007F02AC"/>
    <w:rsid w:val="007F14E9"/>
    <w:rsid w:val="007F22F5"/>
    <w:rsid w:val="007F2E96"/>
    <w:rsid w:val="007F5227"/>
    <w:rsid w:val="007F6977"/>
    <w:rsid w:val="00800241"/>
    <w:rsid w:val="00806F5F"/>
    <w:rsid w:val="00810D25"/>
    <w:rsid w:val="00817028"/>
    <w:rsid w:val="00820278"/>
    <w:rsid w:val="008210BA"/>
    <w:rsid w:val="0082221F"/>
    <w:rsid w:val="00825F0E"/>
    <w:rsid w:val="008278B1"/>
    <w:rsid w:val="00841859"/>
    <w:rsid w:val="00842959"/>
    <w:rsid w:val="00842DA1"/>
    <w:rsid w:val="00844A67"/>
    <w:rsid w:val="0084707A"/>
    <w:rsid w:val="00847AF5"/>
    <w:rsid w:val="0085014B"/>
    <w:rsid w:val="00850C20"/>
    <w:rsid w:val="00860425"/>
    <w:rsid w:val="00862A93"/>
    <w:rsid w:val="00862F28"/>
    <w:rsid w:val="0086324D"/>
    <w:rsid w:val="008639C2"/>
    <w:rsid w:val="008649C2"/>
    <w:rsid w:val="00866FCC"/>
    <w:rsid w:val="00867799"/>
    <w:rsid w:val="008678E9"/>
    <w:rsid w:val="00867F95"/>
    <w:rsid w:val="00871D11"/>
    <w:rsid w:val="00873D40"/>
    <w:rsid w:val="008740C3"/>
    <w:rsid w:val="008758A0"/>
    <w:rsid w:val="0087751A"/>
    <w:rsid w:val="00877D05"/>
    <w:rsid w:val="00881E61"/>
    <w:rsid w:val="008822CF"/>
    <w:rsid w:val="008832BE"/>
    <w:rsid w:val="00884293"/>
    <w:rsid w:val="008843B6"/>
    <w:rsid w:val="00884F05"/>
    <w:rsid w:val="00890820"/>
    <w:rsid w:val="00890A2D"/>
    <w:rsid w:val="00890B16"/>
    <w:rsid w:val="00891928"/>
    <w:rsid w:val="00892057"/>
    <w:rsid w:val="0089467F"/>
    <w:rsid w:val="00897BF9"/>
    <w:rsid w:val="008A0997"/>
    <w:rsid w:val="008A2DA6"/>
    <w:rsid w:val="008A2FEF"/>
    <w:rsid w:val="008A301C"/>
    <w:rsid w:val="008A446D"/>
    <w:rsid w:val="008A5A62"/>
    <w:rsid w:val="008A6BBD"/>
    <w:rsid w:val="008B480E"/>
    <w:rsid w:val="008C14BF"/>
    <w:rsid w:val="008C1C57"/>
    <w:rsid w:val="008C44CA"/>
    <w:rsid w:val="008C57F8"/>
    <w:rsid w:val="008D1118"/>
    <w:rsid w:val="008D180B"/>
    <w:rsid w:val="008D2E7A"/>
    <w:rsid w:val="008D7347"/>
    <w:rsid w:val="008E1F81"/>
    <w:rsid w:val="008E60CA"/>
    <w:rsid w:val="008E76FF"/>
    <w:rsid w:val="008F0EA7"/>
    <w:rsid w:val="008F433A"/>
    <w:rsid w:val="00900A88"/>
    <w:rsid w:val="00905247"/>
    <w:rsid w:val="00906B98"/>
    <w:rsid w:val="00910310"/>
    <w:rsid w:val="00915499"/>
    <w:rsid w:val="0091698E"/>
    <w:rsid w:val="00917E18"/>
    <w:rsid w:val="0092281A"/>
    <w:rsid w:val="00923158"/>
    <w:rsid w:val="009237F7"/>
    <w:rsid w:val="00923EEF"/>
    <w:rsid w:val="00924016"/>
    <w:rsid w:val="0092485E"/>
    <w:rsid w:val="0092588C"/>
    <w:rsid w:val="009271D6"/>
    <w:rsid w:val="00930042"/>
    <w:rsid w:val="00930ADD"/>
    <w:rsid w:val="0093255C"/>
    <w:rsid w:val="009339F8"/>
    <w:rsid w:val="009361FE"/>
    <w:rsid w:val="0093651F"/>
    <w:rsid w:val="00941309"/>
    <w:rsid w:val="00941595"/>
    <w:rsid w:val="009419F9"/>
    <w:rsid w:val="00941C62"/>
    <w:rsid w:val="0094207B"/>
    <w:rsid w:val="00942AA8"/>
    <w:rsid w:val="0094321D"/>
    <w:rsid w:val="009443CB"/>
    <w:rsid w:val="00944913"/>
    <w:rsid w:val="00947A56"/>
    <w:rsid w:val="009518F9"/>
    <w:rsid w:val="00953D04"/>
    <w:rsid w:val="00954B28"/>
    <w:rsid w:val="0095685E"/>
    <w:rsid w:val="0095791A"/>
    <w:rsid w:val="00961B09"/>
    <w:rsid w:val="00962893"/>
    <w:rsid w:val="00963239"/>
    <w:rsid w:val="00964B65"/>
    <w:rsid w:val="00964BA7"/>
    <w:rsid w:val="00965334"/>
    <w:rsid w:val="0097093E"/>
    <w:rsid w:val="00970A25"/>
    <w:rsid w:val="009802A1"/>
    <w:rsid w:val="00981746"/>
    <w:rsid w:val="009828E9"/>
    <w:rsid w:val="009836D9"/>
    <w:rsid w:val="00984FCE"/>
    <w:rsid w:val="00986AC5"/>
    <w:rsid w:val="00990118"/>
    <w:rsid w:val="009943D8"/>
    <w:rsid w:val="009A0DFA"/>
    <w:rsid w:val="009A35DF"/>
    <w:rsid w:val="009A5CAF"/>
    <w:rsid w:val="009A6C5F"/>
    <w:rsid w:val="009A7BBC"/>
    <w:rsid w:val="009B2D26"/>
    <w:rsid w:val="009B42B5"/>
    <w:rsid w:val="009B4A95"/>
    <w:rsid w:val="009B6D0A"/>
    <w:rsid w:val="009B72D2"/>
    <w:rsid w:val="009C0CFE"/>
    <w:rsid w:val="009C0EF4"/>
    <w:rsid w:val="009C71FA"/>
    <w:rsid w:val="009C72E7"/>
    <w:rsid w:val="009C7F5E"/>
    <w:rsid w:val="009D3058"/>
    <w:rsid w:val="009D3BE7"/>
    <w:rsid w:val="009D548A"/>
    <w:rsid w:val="009D658C"/>
    <w:rsid w:val="009D6BC3"/>
    <w:rsid w:val="009D7203"/>
    <w:rsid w:val="009D735C"/>
    <w:rsid w:val="009D7CDA"/>
    <w:rsid w:val="009E022C"/>
    <w:rsid w:val="009E0C49"/>
    <w:rsid w:val="009E1CEC"/>
    <w:rsid w:val="009E225C"/>
    <w:rsid w:val="009E51D0"/>
    <w:rsid w:val="009F0FE9"/>
    <w:rsid w:val="009F1F1A"/>
    <w:rsid w:val="009F22AE"/>
    <w:rsid w:val="009F3A13"/>
    <w:rsid w:val="009F3F7E"/>
    <w:rsid w:val="009F4646"/>
    <w:rsid w:val="009F61BB"/>
    <w:rsid w:val="009F79FE"/>
    <w:rsid w:val="00A02E76"/>
    <w:rsid w:val="00A03AC4"/>
    <w:rsid w:val="00A0512D"/>
    <w:rsid w:val="00A10AF3"/>
    <w:rsid w:val="00A122D3"/>
    <w:rsid w:val="00A12DCB"/>
    <w:rsid w:val="00A139D2"/>
    <w:rsid w:val="00A17F13"/>
    <w:rsid w:val="00A20739"/>
    <w:rsid w:val="00A2111A"/>
    <w:rsid w:val="00A21BF9"/>
    <w:rsid w:val="00A2306F"/>
    <w:rsid w:val="00A240C3"/>
    <w:rsid w:val="00A24804"/>
    <w:rsid w:val="00A325AB"/>
    <w:rsid w:val="00A33C78"/>
    <w:rsid w:val="00A343FB"/>
    <w:rsid w:val="00A353CA"/>
    <w:rsid w:val="00A3711D"/>
    <w:rsid w:val="00A379E2"/>
    <w:rsid w:val="00A37E0C"/>
    <w:rsid w:val="00A40ECF"/>
    <w:rsid w:val="00A41B0B"/>
    <w:rsid w:val="00A510F5"/>
    <w:rsid w:val="00A535D8"/>
    <w:rsid w:val="00A605EB"/>
    <w:rsid w:val="00A60CBA"/>
    <w:rsid w:val="00A6329A"/>
    <w:rsid w:val="00A71983"/>
    <w:rsid w:val="00A750C7"/>
    <w:rsid w:val="00A75A95"/>
    <w:rsid w:val="00A76E99"/>
    <w:rsid w:val="00A85878"/>
    <w:rsid w:val="00A85E67"/>
    <w:rsid w:val="00A8643B"/>
    <w:rsid w:val="00A906EF"/>
    <w:rsid w:val="00A94890"/>
    <w:rsid w:val="00A95246"/>
    <w:rsid w:val="00A95FFF"/>
    <w:rsid w:val="00AA0279"/>
    <w:rsid w:val="00AA07F3"/>
    <w:rsid w:val="00AA4BF2"/>
    <w:rsid w:val="00AA5EA3"/>
    <w:rsid w:val="00AB0AD9"/>
    <w:rsid w:val="00AB0ADB"/>
    <w:rsid w:val="00AB1DD8"/>
    <w:rsid w:val="00AB650B"/>
    <w:rsid w:val="00AB7FFD"/>
    <w:rsid w:val="00AC22CD"/>
    <w:rsid w:val="00AC4327"/>
    <w:rsid w:val="00AC670C"/>
    <w:rsid w:val="00AC6C9C"/>
    <w:rsid w:val="00AC6FB1"/>
    <w:rsid w:val="00AD4AAE"/>
    <w:rsid w:val="00AD5515"/>
    <w:rsid w:val="00AD7975"/>
    <w:rsid w:val="00AE158C"/>
    <w:rsid w:val="00AE1820"/>
    <w:rsid w:val="00AE7936"/>
    <w:rsid w:val="00AF0560"/>
    <w:rsid w:val="00AF3FC8"/>
    <w:rsid w:val="00AF4E6F"/>
    <w:rsid w:val="00AF4F48"/>
    <w:rsid w:val="00AF66C4"/>
    <w:rsid w:val="00AF7ABF"/>
    <w:rsid w:val="00B01B1A"/>
    <w:rsid w:val="00B0393E"/>
    <w:rsid w:val="00B04120"/>
    <w:rsid w:val="00B06BD2"/>
    <w:rsid w:val="00B12DC0"/>
    <w:rsid w:val="00B13DB1"/>
    <w:rsid w:val="00B21659"/>
    <w:rsid w:val="00B219C6"/>
    <w:rsid w:val="00B228FE"/>
    <w:rsid w:val="00B26D06"/>
    <w:rsid w:val="00B31452"/>
    <w:rsid w:val="00B3302F"/>
    <w:rsid w:val="00B3416A"/>
    <w:rsid w:val="00B356F2"/>
    <w:rsid w:val="00B40901"/>
    <w:rsid w:val="00B44F4B"/>
    <w:rsid w:val="00B459EE"/>
    <w:rsid w:val="00B46E74"/>
    <w:rsid w:val="00B521F9"/>
    <w:rsid w:val="00B522AC"/>
    <w:rsid w:val="00B538EF"/>
    <w:rsid w:val="00B65461"/>
    <w:rsid w:val="00B65C65"/>
    <w:rsid w:val="00B66319"/>
    <w:rsid w:val="00B66A55"/>
    <w:rsid w:val="00B679CF"/>
    <w:rsid w:val="00B67A09"/>
    <w:rsid w:val="00B67A94"/>
    <w:rsid w:val="00B70229"/>
    <w:rsid w:val="00B714F4"/>
    <w:rsid w:val="00B72A3A"/>
    <w:rsid w:val="00B72CD3"/>
    <w:rsid w:val="00B72FFF"/>
    <w:rsid w:val="00B73E02"/>
    <w:rsid w:val="00B758D4"/>
    <w:rsid w:val="00B75FB5"/>
    <w:rsid w:val="00B80DD0"/>
    <w:rsid w:val="00B81CBA"/>
    <w:rsid w:val="00B86628"/>
    <w:rsid w:val="00B870F8"/>
    <w:rsid w:val="00B87565"/>
    <w:rsid w:val="00B928BB"/>
    <w:rsid w:val="00B93AC1"/>
    <w:rsid w:val="00B97B08"/>
    <w:rsid w:val="00BA504C"/>
    <w:rsid w:val="00BB00D9"/>
    <w:rsid w:val="00BB2526"/>
    <w:rsid w:val="00BB3BA3"/>
    <w:rsid w:val="00BB60AC"/>
    <w:rsid w:val="00BB72A1"/>
    <w:rsid w:val="00BB7346"/>
    <w:rsid w:val="00BC3D36"/>
    <w:rsid w:val="00BC752C"/>
    <w:rsid w:val="00BD7F72"/>
    <w:rsid w:val="00BE11FD"/>
    <w:rsid w:val="00BE2DFF"/>
    <w:rsid w:val="00BE31B9"/>
    <w:rsid w:val="00BE5418"/>
    <w:rsid w:val="00BE5C5A"/>
    <w:rsid w:val="00BE632C"/>
    <w:rsid w:val="00BE714F"/>
    <w:rsid w:val="00BF4C0F"/>
    <w:rsid w:val="00C04FB3"/>
    <w:rsid w:val="00C06EB5"/>
    <w:rsid w:val="00C10345"/>
    <w:rsid w:val="00C10E0C"/>
    <w:rsid w:val="00C12701"/>
    <w:rsid w:val="00C157C0"/>
    <w:rsid w:val="00C16DF6"/>
    <w:rsid w:val="00C17877"/>
    <w:rsid w:val="00C17BE5"/>
    <w:rsid w:val="00C25AE6"/>
    <w:rsid w:val="00C264A1"/>
    <w:rsid w:val="00C26FF5"/>
    <w:rsid w:val="00C330EB"/>
    <w:rsid w:val="00C3478C"/>
    <w:rsid w:val="00C34DF5"/>
    <w:rsid w:val="00C41061"/>
    <w:rsid w:val="00C4236D"/>
    <w:rsid w:val="00C44D62"/>
    <w:rsid w:val="00C52505"/>
    <w:rsid w:val="00C54591"/>
    <w:rsid w:val="00C55151"/>
    <w:rsid w:val="00C570B1"/>
    <w:rsid w:val="00C60D8E"/>
    <w:rsid w:val="00C6198B"/>
    <w:rsid w:val="00C63F99"/>
    <w:rsid w:val="00C7340D"/>
    <w:rsid w:val="00C74710"/>
    <w:rsid w:val="00C74974"/>
    <w:rsid w:val="00C754BE"/>
    <w:rsid w:val="00C762DD"/>
    <w:rsid w:val="00C76517"/>
    <w:rsid w:val="00C768A7"/>
    <w:rsid w:val="00C76B1C"/>
    <w:rsid w:val="00C774CB"/>
    <w:rsid w:val="00C7791B"/>
    <w:rsid w:val="00C82CCE"/>
    <w:rsid w:val="00C83C0A"/>
    <w:rsid w:val="00C8469F"/>
    <w:rsid w:val="00C86811"/>
    <w:rsid w:val="00C86FCF"/>
    <w:rsid w:val="00C907CE"/>
    <w:rsid w:val="00C9118D"/>
    <w:rsid w:val="00C927A2"/>
    <w:rsid w:val="00C93D47"/>
    <w:rsid w:val="00CA001D"/>
    <w:rsid w:val="00CA105D"/>
    <w:rsid w:val="00CA124B"/>
    <w:rsid w:val="00CA2F34"/>
    <w:rsid w:val="00CA5050"/>
    <w:rsid w:val="00CA651E"/>
    <w:rsid w:val="00CB07BF"/>
    <w:rsid w:val="00CB31FA"/>
    <w:rsid w:val="00CB4169"/>
    <w:rsid w:val="00CB4790"/>
    <w:rsid w:val="00CB6357"/>
    <w:rsid w:val="00CC0167"/>
    <w:rsid w:val="00CC0957"/>
    <w:rsid w:val="00CC1797"/>
    <w:rsid w:val="00CC17DE"/>
    <w:rsid w:val="00CC1B26"/>
    <w:rsid w:val="00CC2A42"/>
    <w:rsid w:val="00CC4F33"/>
    <w:rsid w:val="00CC52A8"/>
    <w:rsid w:val="00CC7D9B"/>
    <w:rsid w:val="00CD0E20"/>
    <w:rsid w:val="00CD13C1"/>
    <w:rsid w:val="00CD1A6E"/>
    <w:rsid w:val="00CD2732"/>
    <w:rsid w:val="00CD7905"/>
    <w:rsid w:val="00CE36CE"/>
    <w:rsid w:val="00CE5326"/>
    <w:rsid w:val="00CE6949"/>
    <w:rsid w:val="00CE7BFF"/>
    <w:rsid w:val="00CF2C63"/>
    <w:rsid w:val="00CF2D3D"/>
    <w:rsid w:val="00CF3271"/>
    <w:rsid w:val="00CF45F6"/>
    <w:rsid w:val="00D00EF4"/>
    <w:rsid w:val="00D033F4"/>
    <w:rsid w:val="00D061D2"/>
    <w:rsid w:val="00D07179"/>
    <w:rsid w:val="00D07BFF"/>
    <w:rsid w:val="00D105A1"/>
    <w:rsid w:val="00D12D69"/>
    <w:rsid w:val="00D13275"/>
    <w:rsid w:val="00D133AE"/>
    <w:rsid w:val="00D14454"/>
    <w:rsid w:val="00D15380"/>
    <w:rsid w:val="00D15592"/>
    <w:rsid w:val="00D21162"/>
    <w:rsid w:val="00D2142C"/>
    <w:rsid w:val="00D30123"/>
    <w:rsid w:val="00D30918"/>
    <w:rsid w:val="00D31232"/>
    <w:rsid w:val="00D31B17"/>
    <w:rsid w:val="00D322FF"/>
    <w:rsid w:val="00D3660F"/>
    <w:rsid w:val="00D41034"/>
    <w:rsid w:val="00D423A2"/>
    <w:rsid w:val="00D4668D"/>
    <w:rsid w:val="00D468B1"/>
    <w:rsid w:val="00D46AF2"/>
    <w:rsid w:val="00D4729B"/>
    <w:rsid w:val="00D520D8"/>
    <w:rsid w:val="00D5285A"/>
    <w:rsid w:val="00D54642"/>
    <w:rsid w:val="00D55087"/>
    <w:rsid w:val="00D55693"/>
    <w:rsid w:val="00D566A8"/>
    <w:rsid w:val="00D56700"/>
    <w:rsid w:val="00D63A83"/>
    <w:rsid w:val="00D63AB9"/>
    <w:rsid w:val="00D63AC2"/>
    <w:rsid w:val="00D70EA8"/>
    <w:rsid w:val="00D7383B"/>
    <w:rsid w:val="00D7585F"/>
    <w:rsid w:val="00D758B3"/>
    <w:rsid w:val="00D76A61"/>
    <w:rsid w:val="00D76F39"/>
    <w:rsid w:val="00D819B4"/>
    <w:rsid w:val="00D827DD"/>
    <w:rsid w:val="00D853F0"/>
    <w:rsid w:val="00D93513"/>
    <w:rsid w:val="00D93D5B"/>
    <w:rsid w:val="00D9588D"/>
    <w:rsid w:val="00D96C0E"/>
    <w:rsid w:val="00D973C6"/>
    <w:rsid w:val="00DA11A4"/>
    <w:rsid w:val="00DA16E4"/>
    <w:rsid w:val="00DA231B"/>
    <w:rsid w:val="00DA53AF"/>
    <w:rsid w:val="00DA5A5C"/>
    <w:rsid w:val="00DA66E1"/>
    <w:rsid w:val="00DB0047"/>
    <w:rsid w:val="00DB1D0B"/>
    <w:rsid w:val="00DB3773"/>
    <w:rsid w:val="00DB40A7"/>
    <w:rsid w:val="00DB757B"/>
    <w:rsid w:val="00DC03F4"/>
    <w:rsid w:val="00DC0403"/>
    <w:rsid w:val="00DC39FC"/>
    <w:rsid w:val="00DC3ADE"/>
    <w:rsid w:val="00DD2098"/>
    <w:rsid w:val="00DD4917"/>
    <w:rsid w:val="00DD500C"/>
    <w:rsid w:val="00DD55F5"/>
    <w:rsid w:val="00DD688E"/>
    <w:rsid w:val="00DE0B1E"/>
    <w:rsid w:val="00DE6815"/>
    <w:rsid w:val="00DE799D"/>
    <w:rsid w:val="00DF1BEB"/>
    <w:rsid w:val="00DF3811"/>
    <w:rsid w:val="00DF5254"/>
    <w:rsid w:val="00DF5E74"/>
    <w:rsid w:val="00E00C77"/>
    <w:rsid w:val="00E02B3F"/>
    <w:rsid w:val="00E03E7E"/>
    <w:rsid w:val="00E04C75"/>
    <w:rsid w:val="00E04F43"/>
    <w:rsid w:val="00E06D2F"/>
    <w:rsid w:val="00E07034"/>
    <w:rsid w:val="00E102A0"/>
    <w:rsid w:val="00E10804"/>
    <w:rsid w:val="00E11A5D"/>
    <w:rsid w:val="00E11D98"/>
    <w:rsid w:val="00E120D5"/>
    <w:rsid w:val="00E146FE"/>
    <w:rsid w:val="00E14D6D"/>
    <w:rsid w:val="00E15441"/>
    <w:rsid w:val="00E16408"/>
    <w:rsid w:val="00E20894"/>
    <w:rsid w:val="00E22CE9"/>
    <w:rsid w:val="00E23231"/>
    <w:rsid w:val="00E232D8"/>
    <w:rsid w:val="00E2384F"/>
    <w:rsid w:val="00E245AB"/>
    <w:rsid w:val="00E262D2"/>
    <w:rsid w:val="00E2764C"/>
    <w:rsid w:val="00E27F2E"/>
    <w:rsid w:val="00E32508"/>
    <w:rsid w:val="00E409CF"/>
    <w:rsid w:val="00E42748"/>
    <w:rsid w:val="00E42936"/>
    <w:rsid w:val="00E50AFE"/>
    <w:rsid w:val="00E51BB1"/>
    <w:rsid w:val="00E53C24"/>
    <w:rsid w:val="00E55171"/>
    <w:rsid w:val="00E55B80"/>
    <w:rsid w:val="00E5636D"/>
    <w:rsid w:val="00E56F2C"/>
    <w:rsid w:val="00E6001C"/>
    <w:rsid w:val="00E614F5"/>
    <w:rsid w:val="00E61AEB"/>
    <w:rsid w:val="00E635C6"/>
    <w:rsid w:val="00E63E0E"/>
    <w:rsid w:val="00E642D8"/>
    <w:rsid w:val="00E66953"/>
    <w:rsid w:val="00E70606"/>
    <w:rsid w:val="00E73309"/>
    <w:rsid w:val="00E759BF"/>
    <w:rsid w:val="00E75C92"/>
    <w:rsid w:val="00E771DC"/>
    <w:rsid w:val="00E77A27"/>
    <w:rsid w:val="00E85EDC"/>
    <w:rsid w:val="00E8772A"/>
    <w:rsid w:val="00E90F6B"/>
    <w:rsid w:val="00E92C27"/>
    <w:rsid w:val="00E93948"/>
    <w:rsid w:val="00E95AC9"/>
    <w:rsid w:val="00E960AB"/>
    <w:rsid w:val="00E978D0"/>
    <w:rsid w:val="00E97A46"/>
    <w:rsid w:val="00E97EB2"/>
    <w:rsid w:val="00EA051C"/>
    <w:rsid w:val="00EA0E3D"/>
    <w:rsid w:val="00EA3C73"/>
    <w:rsid w:val="00EA4DC1"/>
    <w:rsid w:val="00EB14CF"/>
    <w:rsid w:val="00EB6938"/>
    <w:rsid w:val="00EB7A43"/>
    <w:rsid w:val="00EB7F54"/>
    <w:rsid w:val="00EB7FBC"/>
    <w:rsid w:val="00EC004A"/>
    <w:rsid w:val="00EC1194"/>
    <w:rsid w:val="00EC1E63"/>
    <w:rsid w:val="00EC1F6A"/>
    <w:rsid w:val="00EC2175"/>
    <w:rsid w:val="00EC38A7"/>
    <w:rsid w:val="00EC5B27"/>
    <w:rsid w:val="00ED1E81"/>
    <w:rsid w:val="00ED27E1"/>
    <w:rsid w:val="00ED2A3D"/>
    <w:rsid w:val="00ED378C"/>
    <w:rsid w:val="00ED3D92"/>
    <w:rsid w:val="00ED4896"/>
    <w:rsid w:val="00ED6E18"/>
    <w:rsid w:val="00ED7384"/>
    <w:rsid w:val="00EE196F"/>
    <w:rsid w:val="00EE1AA8"/>
    <w:rsid w:val="00EE2115"/>
    <w:rsid w:val="00EE5FBA"/>
    <w:rsid w:val="00EE6F5D"/>
    <w:rsid w:val="00EE734C"/>
    <w:rsid w:val="00EF0587"/>
    <w:rsid w:val="00EF1D09"/>
    <w:rsid w:val="00EF6A76"/>
    <w:rsid w:val="00EF6D72"/>
    <w:rsid w:val="00F02B3F"/>
    <w:rsid w:val="00F035EE"/>
    <w:rsid w:val="00F04626"/>
    <w:rsid w:val="00F0501C"/>
    <w:rsid w:val="00F05495"/>
    <w:rsid w:val="00F05C26"/>
    <w:rsid w:val="00F13413"/>
    <w:rsid w:val="00F142EF"/>
    <w:rsid w:val="00F1621A"/>
    <w:rsid w:val="00F17CDB"/>
    <w:rsid w:val="00F228DC"/>
    <w:rsid w:val="00F2595D"/>
    <w:rsid w:val="00F26183"/>
    <w:rsid w:val="00F265D9"/>
    <w:rsid w:val="00F27B79"/>
    <w:rsid w:val="00F30B9D"/>
    <w:rsid w:val="00F31EDC"/>
    <w:rsid w:val="00F32E13"/>
    <w:rsid w:val="00F3396D"/>
    <w:rsid w:val="00F3553E"/>
    <w:rsid w:val="00F35DE0"/>
    <w:rsid w:val="00F3768D"/>
    <w:rsid w:val="00F41BA6"/>
    <w:rsid w:val="00F458D6"/>
    <w:rsid w:val="00F462B3"/>
    <w:rsid w:val="00F46B23"/>
    <w:rsid w:val="00F47226"/>
    <w:rsid w:val="00F52225"/>
    <w:rsid w:val="00F54955"/>
    <w:rsid w:val="00F54FAD"/>
    <w:rsid w:val="00F551DF"/>
    <w:rsid w:val="00F5610C"/>
    <w:rsid w:val="00F5664F"/>
    <w:rsid w:val="00F5680A"/>
    <w:rsid w:val="00F612A3"/>
    <w:rsid w:val="00F6325B"/>
    <w:rsid w:val="00F63A15"/>
    <w:rsid w:val="00F64CF6"/>
    <w:rsid w:val="00F666C4"/>
    <w:rsid w:val="00F67CBE"/>
    <w:rsid w:val="00F713A9"/>
    <w:rsid w:val="00F72EAF"/>
    <w:rsid w:val="00F73954"/>
    <w:rsid w:val="00F74B4C"/>
    <w:rsid w:val="00F75FDA"/>
    <w:rsid w:val="00F763D6"/>
    <w:rsid w:val="00F76AFC"/>
    <w:rsid w:val="00F84F36"/>
    <w:rsid w:val="00F86D41"/>
    <w:rsid w:val="00F9262C"/>
    <w:rsid w:val="00F92D72"/>
    <w:rsid w:val="00F95534"/>
    <w:rsid w:val="00FA0625"/>
    <w:rsid w:val="00FA1CD7"/>
    <w:rsid w:val="00FA47C0"/>
    <w:rsid w:val="00FA73D8"/>
    <w:rsid w:val="00FB07F0"/>
    <w:rsid w:val="00FB19D7"/>
    <w:rsid w:val="00FB2D0F"/>
    <w:rsid w:val="00FB399B"/>
    <w:rsid w:val="00FB428F"/>
    <w:rsid w:val="00FB5D18"/>
    <w:rsid w:val="00FB5DD1"/>
    <w:rsid w:val="00FB6874"/>
    <w:rsid w:val="00FB74F6"/>
    <w:rsid w:val="00FC0318"/>
    <w:rsid w:val="00FC1336"/>
    <w:rsid w:val="00FC2B5D"/>
    <w:rsid w:val="00FC54EB"/>
    <w:rsid w:val="00FC6011"/>
    <w:rsid w:val="00FD10A0"/>
    <w:rsid w:val="00FD25BB"/>
    <w:rsid w:val="00FD2EC2"/>
    <w:rsid w:val="00FD3B7E"/>
    <w:rsid w:val="00FD3CCB"/>
    <w:rsid w:val="00FD531E"/>
    <w:rsid w:val="00FD59D5"/>
    <w:rsid w:val="00FD7FEB"/>
    <w:rsid w:val="00FE2BF5"/>
    <w:rsid w:val="00FE3B49"/>
    <w:rsid w:val="00FE4F4B"/>
    <w:rsid w:val="00FE700E"/>
    <w:rsid w:val="00FF1449"/>
    <w:rsid w:val="00FF4990"/>
    <w:rsid w:val="00FF79EA"/>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F7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B6767"/>
    <w:pPr>
      <w:spacing w:line="240" w:lineRule="exact"/>
    </w:pPr>
    <w:rPr>
      <w:vertAlign w:val="superscript"/>
    </w:rPr>
  </w:style>
  <w:style w:type="character" w:customStyle="1" w:styleId="baj">
    <w:name w:val="b_aj"/>
    <w:basedOn w:val="Fuentedeprrafopredeter"/>
    <w:rsid w:val="004B6767"/>
  </w:style>
  <w:style w:type="character" w:customStyle="1" w:styleId="NormalWebCar">
    <w:name w:val="Normal (Web) Car"/>
    <w:link w:val="NormalWeb"/>
    <w:uiPriority w:val="99"/>
    <w:locked/>
    <w:rsid w:val="004B6767"/>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B6767"/>
    <w:rPr>
      <w:rFonts w:ascii="Geomanist Light" w:hAnsi="Geomanist Light"/>
      <w:lang w:val="es-ES"/>
    </w:rPr>
  </w:style>
  <w:style w:type="paragraph" w:styleId="Textoindependiente">
    <w:name w:val="Body Text"/>
    <w:basedOn w:val="Normal"/>
    <w:link w:val="TextoindependienteCar"/>
    <w:uiPriority w:val="1"/>
    <w:unhideWhenUsed/>
    <w:qFormat/>
    <w:rsid w:val="004B6767"/>
    <w:pPr>
      <w:spacing w:after="120"/>
    </w:pPr>
  </w:style>
  <w:style w:type="character" w:customStyle="1" w:styleId="TextoindependienteCar">
    <w:name w:val="Texto independiente Car"/>
    <w:basedOn w:val="Fuentedeprrafopredeter"/>
    <w:link w:val="Textoindependiente"/>
    <w:uiPriority w:val="1"/>
    <w:rsid w:val="004B6767"/>
  </w:style>
  <w:style w:type="paragraph" w:customStyle="1" w:styleId="Car1">
    <w:name w:val="Car1"/>
    <w:basedOn w:val="Normal"/>
    <w:next w:val="Textonotapie"/>
    <w:uiPriority w:val="99"/>
    <w:unhideWhenUsed/>
    <w:qFormat/>
    <w:rsid w:val="001F528E"/>
    <w:pPr>
      <w:spacing w:after="0" w:line="240" w:lineRule="auto"/>
    </w:pPr>
    <w:rPr>
      <w:sz w:val="20"/>
      <w:szCs w:val="20"/>
      <w:lang w:val="es-MX"/>
    </w:rPr>
  </w:style>
  <w:style w:type="character" w:customStyle="1" w:styleId="s15">
    <w:name w:val="s15"/>
    <w:basedOn w:val="Fuentedeprrafopredeter"/>
    <w:rsid w:val="0010723F"/>
  </w:style>
  <w:style w:type="character" w:customStyle="1" w:styleId="apple-converted-space">
    <w:name w:val="apple-converted-space"/>
    <w:basedOn w:val="Fuentedeprrafopredeter"/>
    <w:rsid w:val="0010723F"/>
  </w:style>
  <w:style w:type="character" w:styleId="Refdecomentario">
    <w:name w:val="annotation reference"/>
    <w:basedOn w:val="Fuentedeprrafopredeter"/>
    <w:uiPriority w:val="99"/>
    <w:semiHidden/>
    <w:unhideWhenUsed/>
    <w:rsid w:val="001130E8"/>
    <w:rPr>
      <w:sz w:val="16"/>
      <w:szCs w:val="16"/>
    </w:rPr>
  </w:style>
  <w:style w:type="paragraph" w:styleId="Textocomentario">
    <w:name w:val="annotation text"/>
    <w:basedOn w:val="Normal"/>
    <w:link w:val="TextocomentarioCar"/>
    <w:uiPriority w:val="99"/>
    <w:unhideWhenUsed/>
    <w:rsid w:val="001130E8"/>
    <w:pPr>
      <w:spacing w:line="240" w:lineRule="auto"/>
    </w:pPr>
    <w:rPr>
      <w:sz w:val="20"/>
      <w:szCs w:val="20"/>
    </w:rPr>
  </w:style>
  <w:style w:type="character" w:customStyle="1" w:styleId="TextocomentarioCar">
    <w:name w:val="Texto comentario Car"/>
    <w:basedOn w:val="Fuentedeprrafopredeter"/>
    <w:link w:val="Textocomentario"/>
    <w:uiPriority w:val="99"/>
    <w:rsid w:val="001130E8"/>
    <w:rPr>
      <w:sz w:val="20"/>
      <w:szCs w:val="20"/>
    </w:rPr>
  </w:style>
  <w:style w:type="paragraph" w:styleId="Asuntodelcomentario">
    <w:name w:val="annotation subject"/>
    <w:basedOn w:val="Textocomentario"/>
    <w:next w:val="Textocomentario"/>
    <w:link w:val="AsuntodelcomentarioCar"/>
    <w:uiPriority w:val="99"/>
    <w:semiHidden/>
    <w:unhideWhenUsed/>
    <w:rsid w:val="001130E8"/>
    <w:rPr>
      <w:b/>
      <w:bCs/>
    </w:rPr>
  </w:style>
  <w:style w:type="character" w:customStyle="1" w:styleId="AsuntodelcomentarioCar">
    <w:name w:val="Asunto del comentario Car"/>
    <w:basedOn w:val="TextocomentarioCar"/>
    <w:link w:val="Asuntodelcomentario"/>
    <w:uiPriority w:val="99"/>
    <w:semiHidden/>
    <w:rsid w:val="001130E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D5F1003-DF75-2741-97D7-AD5ADDD53601}">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8F8DFA7D-BBD7-4A3C-8C34-70F1A34E47FA}"/>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103</TotalTime>
  <Pages>15</Pages>
  <Words>4851</Words>
  <Characters>27217</Characters>
  <Application>Microsoft Office Word</Application>
  <DocSecurity>0</DocSecurity>
  <Lines>544</Lines>
  <Paragraphs>121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Camila Alejandra Naranjo Gómez</dc:creator>
  <cp:keywords/>
  <dc:description/>
  <cp:lastModifiedBy>Camila Alejandra Naranjo Gómez</cp:lastModifiedBy>
  <cp:revision>240</cp:revision>
  <cp:lastPrinted>2023-01-10T21:18:00Z</cp:lastPrinted>
  <dcterms:created xsi:type="dcterms:W3CDTF">2026-02-02T02:36:00Z</dcterms:created>
  <dcterms:modified xsi:type="dcterms:W3CDTF">2026-02-02T15:39:00Z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