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29065B" w14:textId="25B48EFA" w:rsidR="00984CEA" w:rsidRPr="00984CEA" w:rsidRDefault="00984CEA" w:rsidP="006116EB">
      <w:pPr>
        <w:spacing w:after="0" w:line="240" w:lineRule="auto"/>
        <w:jc w:val="both"/>
        <w:rPr>
          <w:rFonts w:ascii="Verdana" w:eastAsia="Calibri" w:hAnsi="Verdana" w:cs="Arial"/>
          <w:b/>
          <w:bCs/>
          <w:lang w:eastAsia="es-ES"/>
        </w:rPr>
      </w:pPr>
      <w:bookmarkStart w:id="0" w:name="_Hlk197462763"/>
      <w:bookmarkStart w:id="1" w:name="_Hlk197529996"/>
      <w:r w:rsidRPr="00984CEA">
        <w:rPr>
          <w:rFonts w:ascii="Verdana" w:eastAsia="Calibri" w:hAnsi="Verdana" w:cs="Arial"/>
          <w:b/>
          <w:bCs/>
          <w:lang w:val="es-ES" w:eastAsia="es-ES"/>
        </w:rPr>
        <w:t>SELECCIÓN ABREVIADA – Marco normativo</w:t>
      </w:r>
    </w:p>
    <w:p w14:paraId="54757C38" w14:textId="77777777" w:rsidR="00984CEA" w:rsidRPr="00984CEA" w:rsidRDefault="00984CEA" w:rsidP="006116EB">
      <w:pPr>
        <w:spacing w:after="0" w:line="240" w:lineRule="auto"/>
        <w:jc w:val="both"/>
        <w:rPr>
          <w:rFonts w:ascii="Verdana" w:eastAsia="Calibri" w:hAnsi="Verdana" w:cs="Arial"/>
          <w:sz w:val="20"/>
          <w:szCs w:val="20"/>
          <w:lang w:eastAsia="es-ES"/>
        </w:rPr>
      </w:pPr>
    </w:p>
    <w:p w14:paraId="6F156151" w14:textId="4E4AFE02" w:rsidR="00984CEA" w:rsidRPr="00984CEA" w:rsidRDefault="00984CEA" w:rsidP="00984CEA">
      <w:pPr>
        <w:spacing w:after="0" w:line="240" w:lineRule="auto"/>
        <w:jc w:val="both"/>
        <w:rPr>
          <w:rFonts w:ascii="Verdana" w:eastAsia="Calibri" w:hAnsi="Verdana" w:cs="Arial"/>
          <w:sz w:val="20"/>
          <w:szCs w:val="20"/>
          <w:lang w:eastAsia="es-ES"/>
        </w:rPr>
      </w:pPr>
      <w:r w:rsidRPr="00984CEA">
        <w:rPr>
          <w:rFonts w:ascii="Verdana" w:eastAsia="Calibri" w:hAnsi="Verdana" w:cs="Arial"/>
          <w:sz w:val="20"/>
          <w:szCs w:val="20"/>
          <w:lang w:eastAsia="es-ES"/>
        </w:rPr>
        <w:t xml:space="preserve">Respecto de la selección abreviada, el numeral 2° del artículo 2 de Ley 1150 de 2007 la define en los siguientes términos: “2. Selección abreviada. La Selección abreviada corresponde a la modalidad de selección objetiva prevista para aquellos casos en </w:t>
      </w:r>
      <w:proofErr w:type="gramStart"/>
      <w:r w:rsidRPr="00984CEA">
        <w:rPr>
          <w:rFonts w:ascii="Verdana" w:eastAsia="Calibri" w:hAnsi="Verdana" w:cs="Arial"/>
          <w:sz w:val="20"/>
          <w:szCs w:val="20"/>
          <w:lang w:eastAsia="es-ES"/>
        </w:rPr>
        <w:t>que</w:t>
      </w:r>
      <w:proofErr w:type="gramEnd"/>
      <w:r w:rsidRPr="00984CEA">
        <w:rPr>
          <w:rFonts w:ascii="Verdana" w:eastAsia="Calibri" w:hAnsi="Verdana" w:cs="Arial"/>
          <w:sz w:val="20"/>
          <w:szCs w:val="20"/>
          <w:lang w:eastAsia="es-ES"/>
        </w:rPr>
        <w:t xml:space="preserve"> por las características del objeto a contratar, las circunstancias de la contratación o la cuantía o destinación del bien, obra o </w:t>
      </w:r>
      <w:r w:rsidR="005D07D6" w:rsidRPr="00984CEA">
        <w:rPr>
          <w:rFonts w:ascii="Verdana" w:eastAsia="Calibri" w:hAnsi="Verdana" w:cs="Arial"/>
          <w:sz w:val="20"/>
          <w:szCs w:val="20"/>
          <w:lang w:eastAsia="es-ES"/>
        </w:rPr>
        <w:t>servicio</w:t>
      </w:r>
      <w:r w:rsidRPr="00984CEA">
        <w:rPr>
          <w:rFonts w:ascii="Verdana" w:eastAsia="Calibri" w:hAnsi="Verdana" w:cs="Arial"/>
          <w:sz w:val="20"/>
          <w:szCs w:val="20"/>
          <w:lang w:eastAsia="es-ES"/>
        </w:rPr>
        <w:t xml:space="preserve"> puedan adelantarse procesos simplificados para garantizar la eficiencia de la gestión contractual. […]”.</w:t>
      </w:r>
    </w:p>
    <w:p w14:paraId="285DD28D" w14:textId="77777777" w:rsidR="00984CEA" w:rsidRPr="00984CEA" w:rsidRDefault="00984CEA" w:rsidP="00984CEA">
      <w:pPr>
        <w:spacing w:after="0" w:line="240" w:lineRule="auto"/>
        <w:jc w:val="both"/>
        <w:rPr>
          <w:rFonts w:ascii="Verdana" w:eastAsia="Calibri" w:hAnsi="Verdana" w:cs="Arial"/>
          <w:sz w:val="20"/>
          <w:szCs w:val="20"/>
          <w:lang w:eastAsia="es-ES"/>
        </w:rPr>
      </w:pPr>
    </w:p>
    <w:p w14:paraId="22434701" w14:textId="77777777" w:rsidR="00984CEA" w:rsidRDefault="00984CEA" w:rsidP="00984CEA">
      <w:pPr>
        <w:spacing w:after="0" w:line="240" w:lineRule="auto"/>
        <w:jc w:val="both"/>
        <w:rPr>
          <w:rFonts w:ascii="Verdana" w:eastAsia="Calibri" w:hAnsi="Verdana" w:cs="Arial"/>
          <w:sz w:val="20"/>
          <w:szCs w:val="20"/>
          <w:lang w:eastAsia="es-ES"/>
        </w:rPr>
      </w:pPr>
      <w:r w:rsidRPr="00984CEA">
        <w:rPr>
          <w:rFonts w:ascii="Verdana" w:eastAsia="Calibri" w:hAnsi="Verdana" w:cs="Arial"/>
          <w:sz w:val="20"/>
          <w:szCs w:val="20"/>
          <w:lang w:eastAsia="es-ES"/>
        </w:rPr>
        <w:t>Esta norma contempla una modalidad de selección que se caracteriza por tener etapas simplificadas y términos más cortos que la licitación pública, lo cual se justifica por la complejidad de los asuntos que se contratan a través de esta modalidad, que requieren de procedimientos ágiles y eficientes.</w:t>
      </w:r>
    </w:p>
    <w:p w14:paraId="53DA5770" w14:textId="77777777" w:rsidR="00610935" w:rsidRDefault="00610935" w:rsidP="00984CEA">
      <w:pPr>
        <w:spacing w:after="0" w:line="240" w:lineRule="auto"/>
        <w:jc w:val="both"/>
        <w:rPr>
          <w:rFonts w:ascii="Verdana" w:eastAsia="Calibri" w:hAnsi="Verdana" w:cs="Arial"/>
          <w:sz w:val="20"/>
          <w:szCs w:val="20"/>
          <w:lang w:eastAsia="es-ES"/>
        </w:rPr>
      </w:pPr>
    </w:p>
    <w:p w14:paraId="0AD31ECB" w14:textId="77777777" w:rsidR="00AA706A" w:rsidRPr="0022242D" w:rsidRDefault="00AA706A" w:rsidP="00AA706A">
      <w:pPr>
        <w:spacing w:after="0" w:line="240" w:lineRule="auto"/>
        <w:jc w:val="both"/>
        <w:rPr>
          <w:rFonts w:ascii="Verdana" w:eastAsia="Calibri" w:hAnsi="Verdana" w:cs="Arial"/>
          <w:lang w:eastAsia="es-ES"/>
        </w:rPr>
      </w:pPr>
      <w:r w:rsidRPr="0022242D">
        <w:rPr>
          <w:rFonts w:ascii="Verdana" w:eastAsia="Calibri" w:hAnsi="Verdana" w:cs="Arial"/>
          <w:b/>
          <w:bCs/>
          <w:lang w:eastAsia="es-ES"/>
        </w:rPr>
        <w:t>BIENES Y SERVICIOS DE CARACTERÍSTICAS TÉCNICAS UNIFORMES ‒ Características – Formas de adquisición</w:t>
      </w:r>
    </w:p>
    <w:p w14:paraId="60511747" w14:textId="77777777" w:rsidR="00AA706A" w:rsidRPr="00AA706A" w:rsidRDefault="00AA706A" w:rsidP="00AA706A">
      <w:pPr>
        <w:spacing w:after="0" w:line="240" w:lineRule="auto"/>
        <w:jc w:val="both"/>
        <w:rPr>
          <w:rFonts w:ascii="Verdana" w:eastAsia="Calibri" w:hAnsi="Verdana" w:cs="Arial"/>
          <w:sz w:val="20"/>
          <w:szCs w:val="20"/>
          <w:lang w:eastAsia="es-ES"/>
        </w:rPr>
      </w:pPr>
      <w:r w:rsidRPr="00AA706A">
        <w:rPr>
          <w:rFonts w:ascii="Verdana" w:eastAsia="Calibri" w:hAnsi="Verdana" w:cs="Arial"/>
          <w:b/>
          <w:bCs/>
          <w:sz w:val="20"/>
          <w:szCs w:val="20"/>
          <w:lang w:eastAsia="es-ES"/>
        </w:rPr>
        <w:t> </w:t>
      </w:r>
    </w:p>
    <w:p w14:paraId="21F6EE37" w14:textId="77777777" w:rsidR="00AA706A" w:rsidRPr="00AA706A" w:rsidRDefault="00AA706A" w:rsidP="00AA706A">
      <w:pPr>
        <w:spacing w:after="0" w:line="240" w:lineRule="auto"/>
        <w:jc w:val="both"/>
        <w:rPr>
          <w:rFonts w:ascii="Verdana" w:eastAsia="Calibri" w:hAnsi="Verdana" w:cs="Arial"/>
          <w:sz w:val="20"/>
          <w:szCs w:val="20"/>
          <w:lang w:eastAsia="es-ES"/>
        </w:rPr>
      </w:pPr>
      <w:r w:rsidRPr="00AA706A">
        <w:rPr>
          <w:rFonts w:ascii="Verdana" w:eastAsia="Calibri" w:hAnsi="Verdana" w:cs="Arial"/>
          <w:sz w:val="20"/>
          <w:szCs w:val="20"/>
          <w:lang w:eastAsia="es-ES"/>
        </w:rPr>
        <w:t>Para identificar los bienes y servicios que corresponden a este tipo, se destacan dos (2) aspectos importantes: la común utilización y la homogeneidad. Para la doctrina, la </w:t>
      </w:r>
      <w:r w:rsidRPr="00AA706A">
        <w:rPr>
          <w:rFonts w:ascii="Verdana" w:eastAsia="Calibri" w:hAnsi="Verdana" w:cs="Arial"/>
          <w:i/>
          <w:iCs/>
          <w:sz w:val="20"/>
          <w:szCs w:val="20"/>
          <w:lang w:eastAsia="es-ES"/>
        </w:rPr>
        <w:t>común utilización</w:t>
      </w:r>
      <w:r w:rsidRPr="00AA706A">
        <w:rPr>
          <w:rFonts w:ascii="Verdana" w:eastAsia="Calibri" w:hAnsi="Verdana" w:cs="Arial"/>
          <w:sz w:val="20"/>
          <w:szCs w:val="20"/>
          <w:lang w:eastAsia="es-ES"/>
        </w:rPr>
        <w:t xml:space="preserve"> “[…] busca que los bienes o servicios que se compren en esta categoría sean de los que se ofrecen en un mercado con un estándar para quienes los demandan, o lo que es igual, que la oferta de </w:t>
      </w:r>
      <w:proofErr w:type="gramStart"/>
      <w:r w:rsidRPr="00AA706A">
        <w:rPr>
          <w:rFonts w:ascii="Verdana" w:eastAsia="Calibri" w:hAnsi="Verdana" w:cs="Arial"/>
          <w:sz w:val="20"/>
          <w:szCs w:val="20"/>
          <w:lang w:eastAsia="es-ES"/>
        </w:rPr>
        <w:t>los mismos</w:t>
      </w:r>
      <w:proofErr w:type="gramEnd"/>
      <w:r w:rsidRPr="00AA706A">
        <w:rPr>
          <w:rFonts w:ascii="Verdana" w:eastAsia="Calibri" w:hAnsi="Verdana" w:cs="Arial"/>
          <w:sz w:val="20"/>
          <w:szCs w:val="20"/>
          <w:lang w:eastAsia="es-ES"/>
        </w:rPr>
        <w:t xml:space="preserve"> en el mercado ocurriese en condiciones equivalentes para todo interesado en adquirirlos”. Por su parte, la </w:t>
      </w:r>
      <w:r w:rsidRPr="00AA706A">
        <w:rPr>
          <w:rFonts w:ascii="Verdana" w:eastAsia="Calibri" w:hAnsi="Verdana" w:cs="Arial"/>
          <w:i/>
          <w:iCs/>
          <w:sz w:val="20"/>
          <w:szCs w:val="20"/>
          <w:lang w:eastAsia="es-ES"/>
        </w:rPr>
        <w:t>homogeneidad</w:t>
      </w:r>
      <w:r w:rsidRPr="00AA706A">
        <w:rPr>
          <w:rFonts w:ascii="Verdana" w:eastAsia="Calibri" w:hAnsi="Verdana" w:cs="Arial"/>
          <w:sz w:val="20"/>
          <w:szCs w:val="20"/>
          <w:lang w:eastAsia="es-ES"/>
        </w:rPr>
        <w:t> se refiere a que “[…] sean fácilmente describibles por características mínimas comunes a los de su tipo, excluyendo elementos no esenciales, tales como los de diseño o cualquier otro que no altere la funcionalidad del bien o servicio. Ello debe ser así, en la medida en la cual se busca que la administración logre que compitan bienes o servicios de igual calidad, ofrecidos por los proponentes capaces de satisfacer el requerimiento de la entidad contratante”.</w:t>
      </w:r>
    </w:p>
    <w:p w14:paraId="191D6B48" w14:textId="77777777" w:rsidR="00AA706A" w:rsidRPr="00AA706A" w:rsidRDefault="00AA706A" w:rsidP="00AA706A">
      <w:pPr>
        <w:spacing w:after="0" w:line="240" w:lineRule="auto"/>
        <w:jc w:val="both"/>
        <w:rPr>
          <w:rFonts w:ascii="Verdana" w:eastAsia="Calibri" w:hAnsi="Verdana" w:cs="Arial"/>
          <w:sz w:val="20"/>
          <w:szCs w:val="20"/>
          <w:lang w:eastAsia="es-ES"/>
        </w:rPr>
      </w:pPr>
      <w:r w:rsidRPr="00AA706A">
        <w:rPr>
          <w:rFonts w:ascii="Verdana" w:eastAsia="Calibri" w:hAnsi="Verdana" w:cs="Arial"/>
          <w:sz w:val="20"/>
          <w:szCs w:val="20"/>
          <w:lang w:eastAsia="es-ES"/>
        </w:rPr>
        <w:t> </w:t>
      </w:r>
    </w:p>
    <w:p w14:paraId="18A95E95" w14:textId="77777777" w:rsidR="00AA706A" w:rsidRPr="00AA706A" w:rsidRDefault="00AA706A" w:rsidP="00AA706A">
      <w:pPr>
        <w:spacing w:after="0" w:line="240" w:lineRule="auto"/>
        <w:jc w:val="both"/>
        <w:rPr>
          <w:rFonts w:ascii="Verdana" w:eastAsia="Calibri" w:hAnsi="Verdana" w:cs="Arial"/>
          <w:sz w:val="20"/>
          <w:szCs w:val="20"/>
          <w:lang w:eastAsia="es-ES"/>
        </w:rPr>
      </w:pPr>
      <w:r w:rsidRPr="00AA706A">
        <w:rPr>
          <w:rFonts w:ascii="Verdana" w:eastAsia="Calibri" w:hAnsi="Verdana" w:cs="Arial"/>
          <w:sz w:val="20"/>
          <w:szCs w:val="20"/>
          <w:lang w:eastAsia="es-ES"/>
        </w:rPr>
        <w:t>Los elementos centrales para definir si un bien o servicio se considera de características técnicas uniformes consiste en que posea las mismas especificaciones técnicas y compartan patrones de desempeño y calidad objetivamente definidos. Por ello, es posible adquirirlos en el mercado en condiciones estandarizadas u homogéneas, con independencia de su diseño o de sus características descriptivas, pues éstas no afectan su funcionalidad. La forma cómo se adquieren en el mercado determina si un bien o servicio encaja en esta categoría, de ahí que el Decreto 1082 de 2015 disponga que “[…] pueden ser agrupados como bienes y servicios homogéneos para su adquisición […]”, dado que cuentan con especificaciones técnicas y patrones de desempeño y calidad similares.</w:t>
      </w:r>
    </w:p>
    <w:p w14:paraId="4BC57F49" w14:textId="77777777" w:rsidR="00610935" w:rsidRPr="00984CEA" w:rsidRDefault="00610935" w:rsidP="00984CEA">
      <w:pPr>
        <w:spacing w:after="0" w:line="240" w:lineRule="auto"/>
        <w:jc w:val="both"/>
        <w:rPr>
          <w:rFonts w:ascii="Verdana" w:eastAsia="Calibri" w:hAnsi="Verdana" w:cs="Arial"/>
          <w:sz w:val="20"/>
          <w:szCs w:val="20"/>
          <w:lang w:eastAsia="es-ES"/>
        </w:rPr>
      </w:pPr>
    </w:p>
    <w:p w14:paraId="2AE65D69" w14:textId="77777777" w:rsidR="00984CEA" w:rsidRDefault="00984CEA" w:rsidP="006116EB">
      <w:pPr>
        <w:spacing w:after="0" w:line="240" w:lineRule="auto"/>
        <w:jc w:val="both"/>
        <w:rPr>
          <w:rFonts w:ascii="Verdana" w:eastAsia="Calibri" w:hAnsi="Verdana" w:cs="Arial"/>
          <w:lang w:eastAsia="es-ES"/>
        </w:rPr>
      </w:pPr>
    </w:p>
    <w:p w14:paraId="75D1971F" w14:textId="77777777" w:rsidR="00984CEA" w:rsidRDefault="00984CEA" w:rsidP="006116EB">
      <w:pPr>
        <w:spacing w:after="0" w:line="240" w:lineRule="auto"/>
        <w:jc w:val="both"/>
        <w:rPr>
          <w:rFonts w:ascii="Verdana" w:eastAsia="Calibri" w:hAnsi="Verdana" w:cs="Arial"/>
          <w:lang w:eastAsia="es-ES"/>
        </w:rPr>
      </w:pPr>
    </w:p>
    <w:p w14:paraId="75526F83" w14:textId="77777777" w:rsidR="00984CEA" w:rsidRDefault="00984CEA" w:rsidP="006116EB">
      <w:pPr>
        <w:spacing w:after="0" w:line="240" w:lineRule="auto"/>
        <w:jc w:val="both"/>
        <w:rPr>
          <w:rFonts w:ascii="Verdana" w:eastAsia="Calibri" w:hAnsi="Verdana" w:cs="Arial"/>
          <w:lang w:eastAsia="es-ES"/>
        </w:rPr>
      </w:pPr>
    </w:p>
    <w:p w14:paraId="4423F1C8" w14:textId="77777777" w:rsidR="00E81A9A" w:rsidRPr="00E81A9A" w:rsidRDefault="00E81A9A" w:rsidP="00E81A9A">
      <w:pPr>
        <w:spacing w:after="0" w:line="240" w:lineRule="auto"/>
        <w:jc w:val="both"/>
        <w:rPr>
          <w:rFonts w:ascii="Verdana" w:eastAsia="Calibri" w:hAnsi="Verdana" w:cs="Arial"/>
          <w:lang w:eastAsia="es-ES"/>
        </w:rPr>
      </w:pPr>
      <w:r w:rsidRPr="00E81A9A">
        <w:rPr>
          <w:rFonts w:ascii="Verdana" w:eastAsia="Calibri" w:hAnsi="Verdana" w:cs="Arial"/>
          <w:b/>
          <w:bCs/>
          <w:lang w:eastAsia="es-ES"/>
        </w:rPr>
        <w:lastRenderedPageBreak/>
        <w:t>SERVICIOS DE VIGILANCIA PRIVADA – Licitación pública – Menor cuantía – Contratación </w:t>
      </w:r>
    </w:p>
    <w:p w14:paraId="31FF657E" w14:textId="77777777" w:rsidR="00E81A9A" w:rsidRPr="00E81A9A" w:rsidRDefault="00E81A9A" w:rsidP="00E81A9A">
      <w:pPr>
        <w:spacing w:after="0" w:line="240" w:lineRule="auto"/>
        <w:jc w:val="both"/>
        <w:rPr>
          <w:rFonts w:ascii="Verdana" w:eastAsia="Calibri" w:hAnsi="Verdana" w:cs="Arial"/>
          <w:lang w:eastAsia="es-ES"/>
        </w:rPr>
      </w:pPr>
      <w:r w:rsidRPr="00E81A9A">
        <w:rPr>
          <w:rFonts w:ascii="Verdana" w:eastAsia="Calibri" w:hAnsi="Verdana" w:cs="Arial"/>
          <w:b/>
          <w:bCs/>
          <w:lang w:eastAsia="es-ES"/>
        </w:rPr>
        <w:t> </w:t>
      </w:r>
    </w:p>
    <w:p w14:paraId="2DE55277" w14:textId="77777777" w:rsidR="00E81A9A" w:rsidRDefault="00E81A9A" w:rsidP="00E81A9A">
      <w:pPr>
        <w:spacing w:after="0" w:line="240" w:lineRule="auto"/>
        <w:jc w:val="both"/>
        <w:rPr>
          <w:rFonts w:ascii="Verdana" w:eastAsia="Calibri" w:hAnsi="Verdana" w:cs="Arial"/>
          <w:sz w:val="20"/>
          <w:szCs w:val="20"/>
          <w:lang w:eastAsia="es-ES"/>
        </w:rPr>
      </w:pPr>
      <w:r w:rsidRPr="00E81A9A">
        <w:rPr>
          <w:rFonts w:ascii="Verdana" w:eastAsia="Calibri" w:hAnsi="Verdana" w:cs="Arial"/>
          <w:sz w:val="20"/>
          <w:szCs w:val="20"/>
          <w:lang w:eastAsia="es-ES"/>
        </w:rPr>
        <w:t>Respecto a los servicios de vigilancia y seguridad privada regulados por el Decreto Ley 356 de 1994, si bien nada se opone a que sean considerados como de características técnicas uniformes, la contratación de éstos a través de las modalidades antes indicadas no es funcional para garantizar la selección objetiva. Esto comoquiera que las tarifas mínimas establecidas para estos servicios en la Circular Externa de la Superintendencia de Vigilancia y Seguridad Privada 20241300000445 del 30 de diciembre de 2024 representan una medida regulatoria que hace que los ofrecimientos para la prestación de este tipo de servicios tiendan al valor mínimo permitido por regulación tarifaria, lo que hace que las Entidades Estatales no puedan elegir la oferta más favorable con base en el menor precio ofertado, como bien podría suceder con otros bienes o servicios que no tienen un precio mínimo regulado.</w:t>
      </w:r>
    </w:p>
    <w:p w14:paraId="54D80907" w14:textId="77777777" w:rsidR="00E81A9A" w:rsidRPr="00E81A9A" w:rsidRDefault="00E81A9A" w:rsidP="00E81A9A">
      <w:pPr>
        <w:spacing w:after="0" w:line="240" w:lineRule="auto"/>
        <w:jc w:val="both"/>
        <w:rPr>
          <w:rFonts w:ascii="Verdana" w:eastAsia="Calibri" w:hAnsi="Verdana" w:cs="Arial"/>
          <w:sz w:val="20"/>
          <w:szCs w:val="20"/>
          <w:lang w:eastAsia="es-ES"/>
        </w:rPr>
      </w:pPr>
    </w:p>
    <w:p w14:paraId="519961D7" w14:textId="77777777" w:rsidR="00E81A9A" w:rsidRDefault="00E81A9A" w:rsidP="00E81A9A">
      <w:pPr>
        <w:spacing w:after="0" w:line="240" w:lineRule="auto"/>
        <w:jc w:val="both"/>
        <w:rPr>
          <w:rFonts w:ascii="Verdana" w:eastAsia="Calibri" w:hAnsi="Verdana" w:cs="Arial"/>
          <w:sz w:val="20"/>
          <w:szCs w:val="20"/>
          <w:lang w:eastAsia="es-ES"/>
        </w:rPr>
      </w:pPr>
      <w:r w:rsidRPr="00E81A9A">
        <w:rPr>
          <w:rFonts w:ascii="Verdana" w:eastAsia="Calibri" w:hAnsi="Verdana" w:cs="Arial"/>
          <w:sz w:val="20"/>
          <w:szCs w:val="20"/>
          <w:lang w:eastAsia="es-ES"/>
        </w:rPr>
        <w:t xml:space="preserve">En atención a esto, la modalidad de selección más adecuada para la contratación de servicios de vigilancia y seguridad privada es la licitación pública prevista en el numeral 1 del artículo 2 de la Ley 1150 de 2007 como la regla general para objetos no sujetos a alguna modalidad en específico. Esto además debido a que la licitación pública es la modalidad que brinda más garantías para la selección objetiva, ya que de acuerdo con el artículo 5, numeral 2, de la Ley 1150 de 2007, reglamentado en el artículo 2.2.1.1.2.2.2 del Decreto 1082 de 2015, en este tipo de procedimientos la oferta más favorable es aquella que represente la mejor relación calidad-precio, cuestión que debe determinarse valorando, además del precio, factores de calidad, criterios sociales y ambientales, sin perjuicio de la aplicación de puntajes adicionales y acciones afirmativas previstos en la normativa de la contratación pública. Esto además resulta coherente con lo dispuesto en el artículo 6 de la Ley 1920 de 2018, que se refiere de manera expresa a la licitación pública como una modalidad de selección aplicable para contratar los servicios </w:t>
      </w:r>
      <w:proofErr w:type="spellStart"/>
      <w:r w:rsidRPr="00E81A9A">
        <w:rPr>
          <w:rFonts w:ascii="Verdana" w:eastAsia="Calibri" w:hAnsi="Verdana" w:cs="Arial"/>
          <w:sz w:val="20"/>
          <w:szCs w:val="20"/>
          <w:lang w:eastAsia="es-ES"/>
        </w:rPr>
        <w:t>servicios</w:t>
      </w:r>
      <w:proofErr w:type="spellEnd"/>
      <w:r w:rsidRPr="00E81A9A">
        <w:rPr>
          <w:rFonts w:ascii="Verdana" w:eastAsia="Calibri" w:hAnsi="Verdana" w:cs="Arial"/>
          <w:sz w:val="20"/>
          <w:szCs w:val="20"/>
          <w:lang w:eastAsia="es-ES"/>
        </w:rPr>
        <w:t xml:space="preserve"> de vigilancia y seguridad privada, previendo además la aplicación de factores de evaluación distintos del precio.</w:t>
      </w:r>
    </w:p>
    <w:p w14:paraId="531FD9CE" w14:textId="77777777" w:rsidR="00E81A9A" w:rsidRPr="00E81A9A" w:rsidRDefault="00E81A9A" w:rsidP="00E81A9A">
      <w:pPr>
        <w:spacing w:after="0" w:line="240" w:lineRule="auto"/>
        <w:jc w:val="both"/>
        <w:rPr>
          <w:rFonts w:ascii="Verdana" w:eastAsia="Calibri" w:hAnsi="Verdana" w:cs="Arial"/>
          <w:sz w:val="20"/>
          <w:szCs w:val="20"/>
          <w:lang w:eastAsia="es-ES"/>
        </w:rPr>
      </w:pPr>
    </w:p>
    <w:p w14:paraId="044B614E" w14:textId="77777777" w:rsidR="00E81A9A" w:rsidRDefault="00E81A9A" w:rsidP="00E81A9A">
      <w:pPr>
        <w:spacing w:after="0" w:line="240" w:lineRule="auto"/>
        <w:jc w:val="both"/>
        <w:rPr>
          <w:rFonts w:ascii="Verdana" w:eastAsia="Calibri" w:hAnsi="Verdana" w:cs="Arial"/>
          <w:sz w:val="20"/>
          <w:szCs w:val="20"/>
          <w:lang w:eastAsia="es-ES"/>
        </w:rPr>
      </w:pPr>
      <w:r w:rsidRPr="00E81A9A">
        <w:rPr>
          <w:rFonts w:ascii="Verdana" w:eastAsia="Calibri" w:hAnsi="Verdana" w:cs="Arial"/>
          <w:sz w:val="20"/>
          <w:szCs w:val="20"/>
          <w:lang w:eastAsia="es-ES"/>
        </w:rPr>
        <w:t>Lo anterior sin perjuicio de la aplicación de la modalidad de selección abreviada de menor cuantía cuando se requiera contratar servicios vigilancia y seguridad privada por valores que se ubiquen dentro de la menor cuantía de la respectiva Entidad Estatal, de acuerdo con los rangos establecidos en el literal b) del numeral 2 del artículo 2 de la Ley 1150 de 2007. En esta modalidad, al igual que en la licitación, la oferta más favorable se determina de acuerdo con lo establecido en el numeral 2 del artículo 5 de la Ley 1150 de 2007, esto es, en atención a la mejor relación calidad-precio.</w:t>
      </w:r>
    </w:p>
    <w:p w14:paraId="0394E069" w14:textId="77777777" w:rsidR="0038721B" w:rsidRDefault="0038721B" w:rsidP="00E81A9A">
      <w:pPr>
        <w:spacing w:after="0" w:line="240" w:lineRule="auto"/>
        <w:jc w:val="both"/>
        <w:rPr>
          <w:rFonts w:ascii="Verdana" w:eastAsia="Calibri" w:hAnsi="Verdana" w:cs="Arial"/>
          <w:sz w:val="20"/>
          <w:szCs w:val="20"/>
          <w:lang w:eastAsia="es-ES"/>
        </w:rPr>
      </w:pPr>
    </w:p>
    <w:p w14:paraId="4786811F" w14:textId="02C162BE" w:rsidR="0038721B" w:rsidRPr="0022242D" w:rsidRDefault="0038721B" w:rsidP="0038721B">
      <w:pPr>
        <w:spacing w:after="0" w:line="240" w:lineRule="auto"/>
        <w:jc w:val="both"/>
        <w:rPr>
          <w:rFonts w:ascii="Verdana" w:eastAsia="Calibri" w:hAnsi="Verdana" w:cs="Arial"/>
          <w:b/>
          <w:bCs/>
          <w:lang w:eastAsia="es-ES"/>
        </w:rPr>
      </w:pPr>
      <w:r w:rsidRPr="0022242D">
        <w:rPr>
          <w:rFonts w:ascii="Verdana" w:eastAsia="Calibri" w:hAnsi="Verdana" w:cs="Arial"/>
          <w:b/>
          <w:bCs/>
          <w:lang w:eastAsia="es-ES"/>
        </w:rPr>
        <w:t>CONTRATO DE CONSULTORÍA – Definición</w:t>
      </w:r>
      <w:r w:rsidR="0022242D">
        <w:rPr>
          <w:rFonts w:ascii="Verdana" w:eastAsia="Calibri" w:hAnsi="Verdana" w:cs="Arial"/>
          <w:b/>
          <w:bCs/>
          <w:lang w:eastAsia="es-ES"/>
        </w:rPr>
        <w:t xml:space="preserve"> </w:t>
      </w:r>
      <w:r w:rsidR="0022242D" w:rsidRPr="0022242D">
        <w:rPr>
          <w:rFonts w:ascii="Verdana" w:eastAsia="Calibri" w:hAnsi="Verdana" w:cs="Arial"/>
          <w:b/>
          <w:bCs/>
          <w:lang w:val="es-ES" w:eastAsia="es-ES"/>
        </w:rPr>
        <w:t>–</w:t>
      </w:r>
      <w:r w:rsidRPr="0022242D">
        <w:rPr>
          <w:rFonts w:ascii="Verdana" w:eastAsia="Calibri" w:hAnsi="Verdana" w:cs="Arial"/>
          <w:b/>
          <w:bCs/>
          <w:lang w:eastAsia="es-ES"/>
        </w:rPr>
        <w:t xml:space="preserve"> Características</w:t>
      </w:r>
    </w:p>
    <w:p w14:paraId="224F7420" w14:textId="77777777" w:rsidR="0038721B" w:rsidRPr="0038721B" w:rsidRDefault="0038721B" w:rsidP="0038721B">
      <w:pPr>
        <w:spacing w:after="0" w:line="240" w:lineRule="auto"/>
        <w:jc w:val="both"/>
        <w:rPr>
          <w:rFonts w:ascii="Verdana" w:eastAsia="Calibri" w:hAnsi="Verdana" w:cs="Arial"/>
          <w:sz w:val="20"/>
          <w:szCs w:val="20"/>
          <w:lang w:eastAsia="es-ES"/>
        </w:rPr>
      </w:pPr>
    </w:p>
    <w:p w14:paraId="0E14518A" w14:textId="77777777" w:rsidR="0038721B" w:rsidRDefault="0038721B" w:rsidP="0038721B">
      <w:pPr>
        <w:spacing w:after="0" w:line="240" w:lineRule="auto"/>
        <w:jc w:val="both"/>
        <w:rPr>
          <w:rFonts w:ascii="Verdana" w:eastAsia="Calibri" w:hAnsi="Verdana" w:cs="Arial"/>
          <w:i/>
          <w:iCs/>
          <w:sz w:val="20"/>
          <w:szCs w:val="20"/>
          <w:lang w:eastAsia="es-ES"/>
        </w:rPr>
      </w:pPr>
      <w:r w:rsidRPr="0038721B">
        <w:rPr>
          <w:rFonts w:ascii="Verdana" w:eastAsia="Calibri" w:hAnsi="Verdana" w:cs="Arial"/>
          <w:sz w:val="20"/>
          <w:szCs w:val="20"/>
          <w:lang w:eastAsia="es-ES"/>
        </w:rPr>
        <w:t xml:space="preserve">Una aproximación inicial al concepto de consultoría permite identificar que su esencia radica en el componente intelectivo y especializado de la actividad. Esta característica no solo delimita su naturaleza jurídica frente a otras formas de contratación, sino que </w:t>
      </w:r>
      <w:r w:rsidRPr="0038721B">
        <w:rPr>
          <w:rFonts w:ascii="Verdana" w:eastAsia="Calibri" w:hAnsi="Verdana" w:cs="Arial"/>
          <w:sz w:val="20"/>
          <w:szCs w:val="20"/>
          <w:lang w:eastAsia="es-ES"/>
        </w:rPr>
        <w:lastRenderedPageBreak/>
        <w:t>también justifica su tratamiento diferenciado en el marco normativo. La definición lingüística del término refuerza esta idea al describir la consultoría como la labor desarrollada por una</w:t>
      </w:r>
      <w:r w:rsidRPr="0038721B">
        <w:rPr>
          <w:rFonts w:ascii="Verdana" w:eastAsia="Calibri" w:hAnsi="Verdana" w:cs="Arial"/>
          <w:i/>
          <w:iCs/>
          <w:sz w:val="20"/>
          <w:szCs w:val="20"/>
          <w:lang w:eastAsia="es-ES"/>
        </w:rPr>
        <w:t> “persona experta en una materia sobre la que asesora profesionalmente”.</w:t>
      </w:r>
    </w:p>
    <w:p w14:paraId="2F967F3F" w14:textId="77777777" w:rsidR="0038721B" w:rsidRPr="0038721B" w:rsidRDefault="0038721B" w:rsidP="0038721B">
      <w:pPr>
        <w:spacing w:after="0" w:line="240" w:lineRule="auto"/>
        <w:jc w:val="both"/>
        <w:rPr>
          <w:rFonts w:ascii="Verdana" w:eastAsia="Calibri" w:hAnsi="Verdana" w:cs="Arial"/>
          <w:sz w:val="20"/>
          <w:szCs w:val="20"/>
          <w:lang w:eastAsia="es-ES"/>
        </w:rPr>
      </w:pPr>
    </w:p>
    <w:p w14:paraId="3C88D55A" w14:textId="748B372B" w:rsidR="0038721B" w:rsidRPr="0038721B" w:rsidRDefault="0038721B" w:rsidP="0038721B">
      <w:pPr>
        <w:spacing w:after="0" w:line="240" w:lineRule="auto"/>
        <w:jc w:val="both"/>
        <w:rPr>
          <w:rFonts w:ascii="Verdana" w:eastAsia="Calibri" w:hAnsi="Verdana" w:cs="Arial"/>
          <w:sz w:val="20"/>
          <w:szCs w:val="20"/>
          <w:lang w:eastAsia="es-ES"/>
        </w:rPr>
      </w:pPr>
      <w:r w:rsidRPr="0038721B">
        <w:rPr>
          <w:rFonts w:ascii="Verdana" w:eastAsia="Calibri" w:hAnsi="Verdana" w:cs="Arial"/>
          <w:sz w:val="20"/>
          <w:szCs w:val="20"/>
          <w:lang w:eastAsia="es-ES"/>
        </w:rPr>
        <w:t xml:space="preserve">Para explicar qué se entiende por asesoría, se acude al Diccionario </w:t>
      </w:r>
      <w:proofErr w:type="spellStart"/>
      <w:r w:rsidRPr="0038721B">
        <w:rPr>
          <w:rFonts w:ascii="Verdana" w:eastAsia="Calibri" w:hAnsi="Verdana" w:cs="Arial"/>
          <w:sz w:val="20"/>
          <w:szCs w:val="20"/>
          <w:lang w:eastAsia="es-ES"/>
        </w:rPr>
        <w:t>Panhispanico</w:t>
      </w:r>
      <w:proofErr w:type="spellEnd"/>
      <w:r w:rsidRPr="0038721B">
        <w:rPr>
          <w:rFonts w:ascii="Verdana" w:eastAsia="Calibri" w:hAnsi="Verdana" w:cs="Arial"/>
          <w:sz w:val="20"/>
          <w:szCs w:val="20"/>
          <w:lang w:eastAsia="es-ES"/>
        </w:rPr>
        <w:t xml:space="preserve"> de Español Jurídico, que la define como: “1. </w:t>
      </w:r>
      <w:proofErr w:type="spellStart"/>
      <w:r w:rsidRPr="0038721B">
        <w:rPr>
          <w:rFonts w:ascii="Verdana" w:eastAsia="Calibri" w:hAnsi="Verdana" w:cs="Arial"/>
          <w:sz w:val="20"/>
          <w:szCs w:val="20"/>
          <w:lang w:eastAsia="es-ES"/>
        </w:rPr>
        <w:t>Civ</w:t>
      </w:r>
      <w:proofErr w:type="spellEnd"/>
      <w:r w:rsidRPr="0038721B">
        <w:rPr>
          <w:rFonts w:ascii="Verdana" w:eastAsia="Calibri" w:hAnsi="Verdana" w:cs="Arial"/>
          <w:sz w:val="20"/>
          <w:szCs w:val="20"/>
          <w:lang w:eastAsia="es-ES"/>
        </w:rPr>
        <w:t xml:space="preserve">. Servicio profesional de información y consejo en materia especializada (jurídica, fiscal, técnica, cultural, laboral, contable, etc.); 2. </w:t>
      </w:r>
      <w:proofErr w:type="spellStart"/>
      <w:r w:rsidRPr="0038721B">
        <w:rPr>
          <w:rFonts w:ascii="Verdana" w:eastAsia="Calibri" w:hAnsi="Verdana" w:cs="Arial"/>
          <w:sz w:val="20"/>
          <w:szCs w:val="20"/>
          <w:lang w:eastAsia="es-ES"/>
        </w:rPr>
        <w:t>Civ</w:t>
      </w:r>
      <w:proofErr w:type="spellEnd"/>
      <w:r w:rsidRPr="0038721B">
        <w:rPr>
          <w:rFonts w:ascii="Verdana" w:eastAsia="Calibri" w:hAnsi="Verdana" w:cs="Arial"/>
          <w:sz w:val="20"/>
          <w:szCs w:val="20"/>
          <w:lang w:eastAsia="es-ES"/>
        </w:rPr>
        <w:t xml:space="preserve">. Establecimiento dedicado a la prestación profesional de asesoría; 3. </w:t>
      </w:r>
      <w:proofErr w:type="spellStart"/>
      <w:r w:rsidRPr="0038721B">
        <w:rPr>
          <w:rFonts w:ascii="Verdana" w:eastAsia="Calibri" w:hAnsi="Verdana" w:cs="Arial"/>
          <w:sz w:val="20"/>
          <w:szCs w:val="20"/>
          <w:lang w:eastAsia="es-ES"/>
        </w:rPr>
        <w:t>Civ</w:t>
      </w:r>
      <w:proofErr w:type="spellEnd"/>
      <w:r w:rsidRPr="0038721B">
        <w:rPr>
          <w:rFonts w:ascii="Verdana" w:eastAsia="Calibri" w:hAnsi="Verdana" w:cs="Arial"/>
          <w:sz w:val="20"/>
          <w:szCs w:val="20"/>
          <w:lang w:eastAsia="es-ES"/>
        </w:rPr>
        <w:t>. Órgano administrativo o empresarial encargado de la función de asesoramiento de un área especializada. […]”.</w:t>
      </w:r>
    </w:p>
    <w:p w14:paraId="1456726F" w14:textId="77777777" w:rsidR="00984CEA" w:rsidRDefault="00984CEA" w:rsidP="006116EB">
      <w:pPr>
        <w:spacing w:after="0" w:line="240" w:lineRule="auto"/>
        <w:jc w:val="both"/>
        <w:rPr>
          <w:rFonts w:ascii="Verdana" w:eastAsia="Calibri" w:hAnsi="Verdana" w:cs="Arial"/>
          <w:lang w:eastAsia="es-ES"/>
        </w:rPr>
      </w:pPr>
    </w:p>
    <w:p w14:paraId="4C65D9C2" w14:textId="1C8EE7FC" w:rsidR="008C19D0" w:rsidRPr="00AA7E32" w:rsidRDefault="00AA7E32" w:rsidP="008C19D0">
      <w:pPr>
        <w:spacing w:after="0" w:line="240" w:lineRule="auto"/>
        <w:jc w:val="both"/>
        <w:rPr>
          <w:rFonts w:ascii="Verdana" w:eastAsia="Calibri" w:hAnsi="Verdana" w:cs="Arial"/>
          <w:b/>
          <w:lang w:eastAsia="es-ES"/>
        </w:rPr>
      </w:pPr>
      <w:r w:rsidRPr="00AA7E32">
        <w:rPr>
          <w:rFonts w:ascii="Verdana" w:hAnsi="Verdana" w:cs="Arial"/>
          <w:b/>
          <w:lang w:eastAsia="es-ES"/>
        </w:rPr>
        <w:t xml:space="preserve">CONTRATO DE CONSULTORÍA – Factores de evaluación </w:t>
      </w:r>
      <w:r w:rsidR="0022242D" w:rsidRPr="0022242D">
        <w:rPr>
          <w:rFonts w:ascii="Verdana" w:hAnsi="Verdana" w:cs="Arial"/>
          <w:b/>
          <w:bCs/>
          <w:lang w:val="es-ES" w:eastAsia="es-ES"/>
        </w:rPr>
        <w:t>–</w:t>
      </w:r>
      <w:r w:rsidRPr="00AA7E32">
        <w:rPr>
          <w:rFonts w:ascii="Verdana" w:hAnsi="Verdana" w:cs="Arial"/>
          <w:b/>
          <w:lang w:eastAsia="es-ES"/>
        </w:rPr>
        <w:t xml:space="preserve"> Formación académica</w:t>
      </w:r>
      <w:r w:rsidRPr="00AA7E32">
        <w:rPr>
          <w:rFonts w:ascii="Verdana" w:eastAsia="Calibri" w:hAnsi="Verdana" w:cs="Arial"/>
          <w:b/>
          <w:lang w:val="es-ES" w:eastAsia="es-ES"/>
        </w:rPr>
        <w:t xml:space="preserve">                  </w:t>
      </w:r>
    </w:p>
    <w:p w14:paraId="5FADE3EB" w14:textId="77777777" w:rsidR="008C19D0" w:rsidRPr="008C19D0" w:rsidRDefault="008C19D0" w:rsidP="008C19D0">
      <w:pPr>
        <w:spacing w:after="0" w:line="240" w:lineRule="auto"/>
        <w:jc w:val="both"/>
        <w:rPr>
          <w:rFonts w:ascii="Verdana" w:eastAsia="Calibri" w:hAnsi="Verdana" w:cs="Arial"/>
          <w:lang w:eastAsia="es-ES"/>
        </w:rPr>
      </w:pPr>
    </w:p>
    <w:p w14:paraId="7A5FC090" w14:textId="77777777" w:rsidR="008C19D0" w:rsidRDefault="008C19D0" w:rsidP="008C19D0">
      <w:pPr>
        <w:spacing w:after="0" w:line="240" w:lineRule="auto"/>
        <w:jc w:val="both"/>
        <w:rPr>
          <w:rFonts w:ascii="Verdana" w:eastAsia="Calibri" w:hAnsi="Verdana" w:cs="Arial"/>
          <w:sz w:val="20"/>
          <w:szCs w:val="20"/>
          <w:lang w:eastAsia="es-ES"/>
        </w:rPr>
      </w:pPr>
      <w:r w:rsidRPr="008C19D0">
        <w:rPr>
          <w:rFonts w:ascii="Verdana" w:eastAsia="Calibri" w:hAnsi="Verdana" w:cs="Arial"/>
          <w:sz w:val="20"/>
          <w:szCs w:val="20"/>
          <w:lang w:eastAsia="es-ES"/>
        </w:rPr>
        <w:t>Bajo este entendimiento, la característica fundamental para identificar los contratos estatales de consultoría es el carácter ampliamente técnico de su contenido, que se diferencia de otros tipos contractuales, como el de prestación de servicios –apoyo a la gestión, servicios profesionales o de ejecución de trabajos artísticos–. A diferencia del contrato de consultoría, el de prestación de servicios supone el desarrollo de actividades de colaboración y apoyo a la gestión de la entidad dirigidas al cumplimiento de las funciones asignadas a esta, de carácter temporal, excepcional u ocasional, siempre que no haya suficiente personal de planta o que, existiendo, está sobrecargado de trabajo, o que sean actividades que requieran conocimientos especializados, según lo prescrito en el artículo 32.3. de la Ley 80 de 1993.</w:t>
      </w:r>
    </w:p>
    <w:p w14:paraId="5F64A941" w14:textId="77777777" w:rsidR="00415359" w:rsidRPr="008C19D0" w:rsidRDefault="00415359" w:rsidP="008C19D0">
      <w:pPr>
        <w:spacing w:after="0" w:line="240" w:lineRule="auto"/>
        <w:jc w:val="both"/>
        <w:rPr>
          <w:rFonts w:ascii="Verdana" w:eastAsia="Calibri" w:hAnsi="Verdana" w:cs="Arial"/>
          <w:sz w:val="20"/>
          <w:szCs w:val="20"/>
          <w:lang w:eastAsia="es-ES"/>
        </w:rPr>
      </w:pPr>
    </w:p>
    <w:p w14:paraId="466B5364" w14:textId="77777777" w:rsidR="008C19D0" w:rsidRDefault="008C19D0" w:rsidP="008C19D0">
      <w:pPr>
        <w:spacing w:after="0" w:line="240" w:lineRule="auto"/>
        <w:jc w:val="both"/>
        <w:rPr>
          <w:rFonts w:ascii="Verdana" w:eastAsia="Calibri" w:hAnsi="Verdana" w:cs="Arial"/>
          <w:sz w:val="20"/>
          <w:szCs w:val="20"/>
          <w:lang w:eastAsia="es-ES"/>
        </w:rPr>
      </w:pPr>
      <w:r w:rsidRPr="008C19D0">
        <w:rPr>
          <w:rFonts w:ascii="Verdana" w:eastAsia="Calibri" w:hAnsi="Verdana" w:cs="Arial"/>
          <w:sz w:val="20"/>
          <w:szCs w:val="20"/>
          <w:lang w:eastAsia="es-ES"/>
        </w:rPr>
        <w:t>[…]</w:t>
      </w:r>
    </w:p>
    <w:p w14:paraId="7D04C753" w14:textId="77777777" w:rsidR="00415359" w:rsidRPr="008C19D0" w:rsidRDefault="00415359" w:rsidP="008C19D0">
      <w:pPr>
        <w:spacing w:after="0" w:line="240" w:lineRule="auto"/>
        <w:jc w:val="both"/>
        <w:rPr>
          <w:rFonts w:ascii="Verdana" w:eastAsia="Calibri" w:hAnsi="Verdana" w:cs="Arial"/>
          <w:sz w:val="20"/>
          <w:szCs w:val="20"/>
          <w:lang w:eastAsia="es-ES"/>
        </w:rPr>
      </w:pPr>
    </w:p>
    <w:p w14:paraId="1E6AFF91" w14:textId="77777777" w:rsidR="008C19D0" w:rsidRPr="008C19D0" w:rsidRDefault="008C19D0" w:rsidP="008C19D0">
      <w:pPr>
        <w:spacing w:after="0" w:line="240" w:lineRule="auto"/>
        <w:jc w:val="both"/>
        <w:rPr>
          <w:rFonts w:ascii="Verdana" w:eastAsia="Calibri" w:hAnsi="Verdana" w:cs="Arial"/>
          <w:sz w:val="20"/>
          <w:szCs w:val="20"/>
          <w:lang w:eastAsia="es-ES"/>
        </w:rPr>
      </w:pPr>
      <w:r w:rsidRPr="008C19D0">
        <w:rPr>
          <w:rFonts w:ascii="Verdana" w:eastAsia="Calibri" w:hAnsi="Verdana" w:cs="Arial"/>
          <w:sz w:val="20"/>
          <w:szCs w:val="20"/>
          <w:lang w:eastAsia="es-ES"/>
        </w:rPr>
        <w:t>El procedimiento de selección de concurso de méritos, aplicable para la escogencia de consultores está reglamentado por el artículo 2.2.1.2.1.3.2. del Decreto 1082 de 2015, modificado por el Decreto 399 de 2021.  Al respecto, el numeral 1.1 de dicha norma dispone: “La Entidad Estatal en los pliegos de condiciones debe indicar la forma como calificará, entre otros, los siguientes criterios: </w:t>
      </w:r>
      <w:r w:rsidRPr="008C19D0">
        <w:rPr>
          <w:rFonts w:ascii="Verdana" w:eastAsia="Calibri" w:hAnsi="Verdana" w:cs="Arial"/>
          <w:i/>
          <w:iCs/>
          <w:sz w:val="20"/>
          <w:szCs w:val="20"/>
          <w:lang w:eastAsia="es-ES"/>
        </w:rPr>
        <w:t>a) la experiencia del interesado y del equipo de trabajo y b) la formación académica del equipo de trabajo”, </w:t>
      </w:r>
      <w:r w:rsidRPr="008C19D0">
        <w:rPr>
          <w:rFonts w:ascii="Verdana" w:eastAsia="Calibri" w:hAnsi="Verdana" w:cs="Arial"/>
          <w:sz w:val="20"/>
          <w:szCs w:val="20"/>
          <w:lang w:eastAsia="es-ES"/>
        </w:rPr>
        <w:t>excluyendo el precio como factor de escogencia.</w:t>
      </w:r>
    </w:p>
    <w:p w14:paraId="6C854971" w14:textId="77777777" w:rsidR="009B50C0" w:rsidRDefault="009B50C0" w:rsidP="006116EB">
      <w:pPr>
        <w:spacing w:after="0" w:line="240" w:lineRule="auto"/>
        <w:jc w:val="both"/>
        <w:rPr>
          <w:rFonts w:ascii="Verdana" w:eastAsia="Calibri" w:hAnsi="Verdana" w:cs="Arial"/>
          <w:lang w:eastAsia="es-ES"/>
        </w:rPr>
      </w:pPr>
    </w:p>
    <w:p w14:paraId="2B85BE97" w14:textId="77777777" w:rsidR="00984CEA" w:rsidRDefault="00984CEA" w:rsidP="006116EB">
      <w:pPr>
        <w:spacing w:after="0" w:line="240" w:lineRule="auto"/>
        <w:jc w:val="both"/>
        <w:rPr>
          <w:rFonts w:ascii="Verdana" w:eastAsia="Calibri" w:hAnsi="Verdana" w:cs="Arial"/>
          <w:lang w:eastAsia="es-ES"/>
        </w:rPr>
      </w:pPr>
    </w:p>
    <w:p w14:paraId="6280EB99" w14:textId="77777777" w:rsidR="00984CEA" w:rsidRDefault="00984CEA" w:rsidP="006116EB">
      <w:pPr>
        <w:spacing w:after="0" w:line="240" w:lineRule="auto"/>
        <w:jc w:val="both"/>
        <w:rPr>
          <w:rFonts w:ascii="Verdana" w:eastAsia="Calibri" w:hAnsi="Verdana" w:cs="Arial"/>
          <w:lang w:eastAsia="es-ES"/>
        </w:rPr>
      </w:pPr>
    </w:p>
    <w:p w14:paraId="23BC281C" w14:textId="77777777" w:rsidR="00984CEA" w:rsidRDefault="00984CEA" w:rsidP="006116EB">
      <w:pPr>
        <w:spacing w:after="0" w:line="240" w:lineRule="auto"/>
        <w:jc w:val="both"/>
        <w:rPr>
          <w:rFonts w:ascii="Verdana" w:eastAsia="Calibri" w:hAnsi="Verdana" w:cs="Arial"/>
          <w:lang w:eastAsia="es-ES"/>
        </w:rPr>
      </w:pPr>
    </w:p>
    <w:p w14:paraId="46EB588A" w14:textId="77777777" w:rsidR="00984CEA" w:rsidRDefault="00984CEA" w:rsidP="006116EB">
      <w:pPr>
        <w:spacing w:after="0" w:line="240" w:lineRule="auto"/>
        <w:jc w:val="both"/>
        <w:rPr>
          <w:rFonts w:ascii="Verdana" w:eastAsia="Calibri" w:hAnsi="Verdana" w:cs="Arial"/>
          <w:lang w:eastAsia="es-ES"/>
        </w:rPr>
      </w:pPr>
    </w:p>
    <w:p w14:paraId="07B43EED" w14:textId="77777777" w:rsidR="00984CEA" w:rsidRDefault="00984CEA" w:rsidP="006116EB">
      <w:pPr>
        <w:spacing w:after="0" w:line="240" w:lineRule="auto"/>
        <w:jc w:val="both"/>
        <w:rPr>
          <w:rFonts w:ascii="Verdana" w:eastAsia="Calibri" w:hAnsi="Verdana" w:cs="Arial"/>
          <w:lang w:eastAsia="es-ES"/>
        </w:rPr>
      </w:pPr>
    </w:p>
    <w:p w14:paraId="03244D33" w14:textId="77777777" w:rsidR="00984CEA" w:rsidRDefault="00984CEA" w:rsidP="006116EB">
      <w:pPr>
        <w:spacing w:after="0" w:line="240" w:lineRule="auto"/>
        <w:jc w:val="both"/>
        <w:rPr>
          <w:rFonts w:ascii="Verdana" w:eastAsia="Calibri" w:hAnsi="Verdana" w:cs="Arial"/>
          <w:lang w:eastAsia="es-ES"/>
        </w:rPr>
      </w:pPr>
    </w:p>
    <w:p w14:paraId="0B9B0082" w14:textId="77777777" w:rsidR="00F60AE8" w:rsidRDefault="00F60AE8" w:rsidP="006116EB">
      <w:pPr>
        <w:spacing w:after="0" w:line="240" w:lineRule="auto"/>
        <w:jc w:val="both"/>
        <w:rPr>
          <w:rFonts w:ascii="Verdana" w:eastAsia="Calibri" w:hAnsi="Verdana" w:cs="Arial"/>
          <w:lang w:eastAsia="es-ES"/>
        </w:rPr>
      </w:pPr>
    </w:p>
    <w:p w14:paraId="7252E059" w14:textId="154ED055" w:rsidR="002F14AF" w:rsidRDefault="002F14AF" w:rsidP="006116EB">
      <w:pPr>
        <w:spacing w:after="0" w:line="240" w:lineRule="auto"/>
        <w:jc w:val="both"/>
        <w:rPr>
          <w:rFonts w:ascii="Verdana" w:eastAsia="Calibri" w:hAnsi="Verdana" w:cs="Arial"/>
          <w:lang w:eastAsia="es-ES"/>
        </w:rPr>
      </w:pPr>
      <w:r w:rsidRPr="002F14AF">
        <w:rPr>
          <w:rFonts w:ascii="Verdana" w:eastAsia="Calibri" w:hAnsi="Verdana" w:cs="Arial"/>
          <w:lang w:eastAsia="es-ES"/>
        </w:rPr>
        <w:lastRenderedPageBreak/>
        <w:t xml:space="preserve">Bogotá D.C., 29 </w:t>
      </w:r>
      <w:r w:rsidR="003F7A65" w:rsidRPr="002F14AF">
        <w:rPr>
          <w:rFonts w:ascii="Verdana" w:eastAsia="Calibri" w:hAnsi="Verdana" w:cs="Arial"/>
          <w:lang w:eastAsia="es-ES"/>
        </w:rPr>
        <w:t>enero</w:t>
      </w:r>
      <w:r w:rsidRPr="002F14AF">
        <w:rPr>
          <w:rFonts w:ascii="Verdana" w:eastAsia="Calibri" w:hAnsi="Verdana" w:cs="Arial"/>
          <w:lang w:eastAsia="es-ES"/>
        </w:rPr>
        <w:t xml:space="preserve"> 2026 </w:t>
      </w:r>
    </w:p>
    <w:p w14:paraId="6C2A8B3B" w14:textId="0F7ABA89" w:rsidR="006116EB" w:rsidRPr="008E4F36" w:rsidRDefault="002F14AF" w:rsidP="006116EB">
      <w:pPr>
        <w:spacing w:after="0" w:line="240" w:lineRule="auto"/>
        <w:jc w:val="both"/>
        <w:rPr>
          <w:rFonts w:ascii="Verdana" w:eastAsia="Calibri" w:hAnsi="Verdana" w:cs="Arial"/>
          <w:lang w:eastAsia="es-ES"/>
        </w:rPr>
      </w:pPr>
      <w:r w:rsidRPr="002F14AF">
        <w:rPr>
          <w:rFonts w:ascii="Verdana" w:eastAsia="Calibri" w:hAnsi="Verdana" w:cs="Arial"/>
          <w:noProof/>
          <w:lang w:eastAsia="es-ES"/>
        </w:rPr>
        <w:drawing>
          <wp:anchor distT="0" distB="0" distL="114300" distR="114300" simplePos="0" relativeHeight="251659264" behindDoc="1" locked="0" layoutInCell="1" allowOverlap="1" wp14:anchorId="79DE04B1" wp14:editId="199FB35E">
            <wp:simplePos x="0" y="0"/>
            <wp:positionH relativeFrom="column">
              <wp:posOffset>2656205</wp:posOffset>
            </wp:positionH>
            <wp:positionV relativeFrom="paragraph">
              <wp:posOffset>43180</wp:posOffset>
            </wp:positionV>
            <wp:extent cx="3349625" cy="1028700"/>
            <wp:effectExtent l="0" t="0" r="3175" b="0"/>
            <wp:wrapTight wrapText="bothSides">
              <wp:wrapPolygon edited="0">
                <wp:start x="0" y="0"/>
                <wp:lineTo x="0" y="21200"/>
                <wp:lineTo x="21498" y="21200"/>
                <wp:lineTo x="21498" y="0"/>
                <wp:lineTo x="0" y="0"/>
              </wp:wrapPolygon>
            </wp:wrapTight>
            <wp:docPr id="10062143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21438"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349625" cy="1028700"/>
                    </a:xfrm>
                    <a:prstGeom prst="rect">
                      <a:avLst/>
                    </a:prstGeom>
                  </pic:spPr>
                </pic:pic>
              </a:graphicData>
            </a:graphic>
            <wp14:sizeRelH relativeFrom="margin">
              <wp14:pctWidth>0</wp14:pctWidth>
            </wp14:sizeRelH>
            <wp14:sizeRelV relativeFrom="margin">
              <wp14:pctHeight>0</wp14:pctHeight>
            </wp14:sizeRelV>
          </wp:anchor>
        </w:drawing>
      </w:r>
    </w:p>
    <w:p w14:paraId="372C52D1" w14:textId="20000F0B" w:rsidR="006116EB" w:rsidRDefault="006116EB" w:rsidP="006116EB">
      <w:pPr>
        <w:spacing w:after="0" w:line="240" w:lineRule="auto"/>
        <w:jc w:val="both"/>
        <w:rPr>
          <w:rFonts w:ascii="Verdana" w:eastAsia="Calibri" w:hAnsi="Verdana" w:cs="Arial"/>
          <w:lang w:eastAsia="es-ES"/>
        </w:rPr>
      </w:pPr>
    </w:p>
    <w:p w14:paraId="6F83B088" w14:textId="77777777" w:rsidR="002F14AF" w:rsidRDefault="002F14AF" w:rsidP="006116EB">
      <w:pPr>
        <w:spacing w:after="0" w:line="240" w:lineRule="auto"/>
        <w:jc w:val="both"/>
        <w:rPr>
          <w:rFonts w:ascii="Verdana" w:eastAsia="Calibri" w:hAnsi="Verdana" w:cs="Arial"/>
          <w:lang w:eastAsia="es-ES"/>
        </w:rPr>
      </w:pPr>
    </w:p>
    <w:p w14:paraId="3A71E37C" w14:textId="77777777" w:rsidR="006116EB" w:rsidRPr="008E4F36" w:rsidRDefault="006116EB" w:rsidP="006116EB">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p>
    <w:p w14:paraId="3E30D16E" w14:textId="77777777" w:rsidR="006116EB" w:rsidRPr="000F2158" w:rsidRDefault="006116EB" w:rsidP="006116EB">
      <w:pPr>
        <w:spacing w:after="0" w:line="240" w:lineRule="auto"/>
        <w:jc w:val="both"/>
        <w:rPr>
          <w:rFonts w:ascii="Verdana" w:eastAsia="Calibri" w:hAnsi="Verdana" w:cs="Arial"/>
          <w:b/>
          <w:highlight w:val="yellow"/>
          <w:lang w:eastAsia="es-ES_tradnl"/>
        </w:rPr>
      </w:pPr>
      <w:r w:rsidRPr="009616D3">
        <w:rPr>
          <w:rFonts w:ascii="Verdana" w:eastAsia="Calibri" w:hAnsi="Verdana" w:cs="Arial"/>
          <w:b/>
          <w:lang w:eastAsia="es-ES_tradnl"/>
        </w:rPr>
        <w:t>Iván Dario</w:t>
      </w:r>
      <w:r>
        <w:rPr>
          <w:rFonts w:ascii="Verdana" w:eastAsia="Calibri" w:hAnsi="Verdana" w:cs="Arial"/>
          <w:b/>
          <w:lang w:eastAsia="es-ES_tradnl"/>
        </w:rPr>
        <w:t xml:space="preserve"> </w:t>
      </w:r>
      <w:r w:rsidRPr="009616D3">
        <w:rPr>
          <w:rFonts w:ascii="Verdana" w:eastAsia="Calibri" w:hAnsi="Verdana" w:cs="Arial"/>
          <w:b/>
          <w:lang w:eastAsia="es-ES_tradnl"/>
        </w:rPr>
        <w:t>Gutiérrez Cardozo</w:t>
      </w:r>
      <w:r>
        <w:rPr>
          <w:rFonts w:ascii="Verdana" w:eastAsia="Calibri" w:hAnsi="Verdana" w:cs="Arial"/>
          <w:b/>
          <w:lang w:eastAsia="es-ES_tradnl"/>
        </w:rPr>
        <w:t xml:space="preserve"> </w:t>
      </w:r>
    </w:p>
    <w:p w14:paraId="71DF4A71" w14:textId="77777777" w:rsidR="006116EB" w:rsidRPr="000F2158" w:rsidRDefault="006116EB" w:rsidP="006116EB">
      <w:pPr>
        <w:spacing w:after="0" w:line="240" w:lineRule="auto"/>
        <w:jc w:val="both"/>
        <w:rPr>
          <w:rFonts w:ascii="Verdana" w:eastAsia="Calibri" w:hAnsi="Verdana" w:cs="Arial"/>
          <w:b/>
          <w:highlight w:val="yellow"/>
          <w:lang w:eastAsia="es-ES_tradnl"/>
        </w:rPr>
      </w:pPr>
      <w:hyperlink r:id="rId11" w:history="1">
        <w:r w:rsidRPr="003E3BB7">
          <w:rPr>
            <w:rStyle w:val="Hipervnculo"/>
            <w:rFonts w:ascii="Verdana" w:eastAsia="Calibri" w:hAnsi="Verdana" w:cs="Arial"/>
            <w:b/>
            <w:lang w:eastAsia="es-ES_tradnl"/>
          </w:rPr>
          <w:t>ivandariog@hotmail.com</w:t>
        </w:r>
      </w:hyperlink>
      <w:r>
        <w:rPr>
          <w:rFonts w:ascii="Verdana" w:eastAsia="Calibri" w:hAnsi="Verdana" w:cs="Arial"/>
          <w:b/>
          <w:lang w:eastAsia="es-ES_tradnl"/>
        </w:rPr>
        <w:t xml:space="preserve"> </w:t>
      </w:r>
    </w:p>
    <w:p w14:paraId="1E37B6F5" w14:textId="77777777" w:rsidR="006116EB" w:rsidRPr="00624A4C" w:rsidRDefault="006116EB" w:rsidP="006116EB">
      <w:pPr>
        <w:spacing w:after="0" w:line="240" w:lineRule="auto"/>
        <w:jc w:val="both"/>
        <w:rPr>
          <w:rFonts w:ascii="Verdana" w:eastAsia="Calibri" w:hAnsi="Verdana" w:cs="Arial"/>
          <w:bCs/>
          <w:lang w:eastAsia="es-ES_tradnl"/>
        </w:rPr>
      </w:pPr>
      <w:r>
        <w:rPr>
          <w:rFonts w:ascii="Verdana" w:eastAsia="Calibri" w:hAnsi="Verdana" w:cs="Arial"/>
          <w:bCs/>
          <w:lang w:eastAsia="es-ES_tradnl"/>
        </w:rPr>
        <w:t>Neiva, Huila</w:t>
      </w:r>
    </w:p>
    <w:p w14:paraId="5A7289AD" w14:textId="77777777" w:rsidR="006116EB" w:rsidRDefault="006116EB" w:rsidP="006116EB">
      <w:pPr>
        <w:spacing w:after="0" w:line="240" w:lineRule="auto"/>
        <w:jc w:val="both"/>
        <w:rPr>
          <w:rFonts w:ascii="Verdana" w:hAnsi="Verdana"/>
          <w:lang w:val="it-CH"/>
        </w:rPr>
      </w:pPr>
    </w:p>
    <w:p w14:paraId="7718A648" w14:textId="77777777" w:rsidR="006116EB" w:rsidRPr="005B4C57" w:rsidRDefault="006116EB" w:rsidP="006116EB">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6116EB" w:rsidRPr="002842E0" w14:paraId="28E33B45" w14:textId="77777777" w:rsidTr="006116EB">
        <w:trPr>
          <w:trHeight w:val="162"/>
        </w:trPr>
        <w:tc>
          <w:tcPr>
            <w:tcW w:w="3119" w:type="dxa"/>
          </w:tcPr>
          <w:p w14:paraId="07B022B4" w14:textId="77777777" w:rsidR="006116EB" w:rsidRPr="005B4C57" w:rsidRDefault="006116EB" w:rsidP="00FE34F6">
            <w:pPr>
              <w:jc w:val="both"/>
              <w:rPr>
                <w:rFonts w:ascii="Verdana" w:eastAsia="Calibri" w:hAnsi="Verdana" w:cs="Arial"/>
                <w:b/>
                <w:bCs/>
                <w:color w:val="7030A0"/>
                <w:lang w:val="it-CH" w:eastAsia="es-ES_tradnl"/>
              </w:rPr>
            </w:pPr>
          </w:p>
        </w:tc>
        <w:tc>
          <w:tcPr>
            <w:tcW w:w="5670" w:type="dxa"/>
          </w:tcPr>
          <w:p w14:paraId="0B300153" w14:textId="77777777" w:rsidR="006116EB" w:rsidRPr="00801462" w:rsidRDefault="006116EB" w:rsidP="00FE34F6">
            <w:pPr>
              <w:jc w:val="both"/>
              <w:rPr>
                <w:rFonts w:ascii="Verdana" w:eastAsia="Calibri" w:hAnsi="Verdana" w:cs="Arial"/>
                <w:b/>
                <w:bCs/>
                <w:lang w:eastAsia="es-ES"/>
              </w:rPr>
            </w:pPr>
            <w:r w:rsidRPr="00083AB6">
              <w:rPr>
                <w:rFonts w:ascii="Verdana" w:eastAsia="Calibri" w:hAnsi="Verdana" w:cs="Arial"/>
                <w:b/>
                <w:bCs/>
                <w:lang w:eastAsia="es-ES"/>
              </w:rPr>
              <w:t>Concepto C- 1</w:t>
            </w:r>
            <w:r>
              <w:rPr>
                <w:rFonts w:ascii="Verdana" w:eastAsia="Calibri" w:hAnsi="Verdana" w:cs="Arial"/>
                <w:b/>
                <w:bCs/>
                <w:lang w:eastAsia="es-ES"/>
              </w:rPr>
              <w:t>856</w:t>
            </w:r>
            <w:r w:rsidRPr="00083AB6">
              <w:rPr>
                <w:rFonts w:ascii="Verdana" w:eastAsia="Calibri" w:hAnsi="Verdana" w:cs="Arial"/>
                <w:b/>
                <w:bCs/>
                <w:lang w:eastAsia="es-ES"/>
              </w:rPr>
              <w:t xml:space="preserve"> de 2025</w:t>
            </w:r>
          </w:p>
          <w:p w14:paraId="4BAF8DE4" w14:textId="77777777" w:rsidR="006116EB" w:rsidRPr="00801462" w:rsidRDefault="006116EB" w:rsidP="00FE34F6">
            <w:pPr>
              <w:jc w:val="both"/>
              <w:rPr>
                <w:rFonts w:ascii="Verdana" w:eastAsia="Calibri" w:hAnsi="Verdana" w:cs="Arial"/>
                <w:b/>
                <w:bCs/>
                <w:color w:val="7030A0"/>
                <w:lang w:eastAsia="es-ES"/>
              </w:rPr>
            </w:pPr>
          </w:p>
        </w:tc>
      </w:tr>
      <w:tr w:rsidR="006116EB" w:rsidRPr="002842E0" w14:paraId="6177434E" w14:textId="77777777" w:rsidTr="006116EB">
        <w:trPr>
          <w:trHeight w:val="884"/>
        </w:trPr>
        <w:tc>
          <w:tcPr>
            <w:tcW w:w="3119" w:type="dxa"/>
          </w:tcPr>
          <w:p w14:paraId="30659EEF" w14:textId="77777777" w:rsidR="006116EB" w:rsidRPr="00801462" w:rsidRDefault="006116EB" w:rsidP="00FE34F6">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458EFAA2" w14:textId="2E0C0857" w:rsidR="006116EB" w:rsidRPr="0020273C" w:rsidRDefault="006116EB" w:rsidP="005E355C">
            <w:pPr>
              <w:spacing w:line="276" w:lineRule="auto"/>
              <w:jc w:val="both"/>
              <w:rPr>
                <w:rFonts w:ascii="Verdana" w:eastAsia="Calibri" w:hAnsi="Verdana" w:cs="Arial"/>
                <w:lang w:val="es-ES" w:eastAsia="es-ES"/>
              </w:rPr>
            </w:pPr>
            <w:r w:rsidRPr="0020273C">
              <w:rPr>
                <w:rFonts w:ascii="Verdana" w:eastAsia="Calibri" w:hAnsi="Verdana" w:cs="Arial"/>
                <w:lang w:val="es-ES" w:eastAsia="es-ES"/>
              </w:rPr>
              <w:t xml:space="preserve">SELECCIÓN ABREVIADA – Marco normativo / BIENES Y SERVICIOS DE CARACTERÍSTICAS TÉCNICAS UNIFORMES – Definición / BIENES Y SERVICIOS DE CARACTERÍSTICAS TÉCNICAS UNIFORMES ‒ Características – Formas de adquisición / SERVICIOS DE VIGILANCIA PRIVADA – Licitación pública – Menor cuantía – Contratación </w:t>
            </w:r>
            <w:r w:rsidR="0036349C">
              <w:rPr>
                <w:rFonts w:ascii="Verdana" w:eastAsia="Calibri" w:hAnsi="Verdana" w:cs="Arial"/>
                <w:lang w:val="es-ES" w:eastAsia="es-ES"/>
              </w:rPr>
              <w:t xml:space="preserve">/ </w:t>
            </w:r>
            <w:r w:rsidR="0036349C" w:rsidRPr="001E1D4F">
              <w:rPr>
                <w:rFonts w:ascii="Verdana" w:hAnsi="Verdana" w:cs="Arial"/>
                <w:bCs/>
                <w:lang w:eastAsia="es-ES"/>
              </w:rPr>
              <w:t>CONTRATO DE CONSULTORÍA – Definición- Características / CONTRATO</w:t>
            </w:r>
            <w:r w:rsidR="0036349C">
              <w:rPr>
                <w:rFonts w:ascii="Verdana" w:hAnsi="Verdana" w:cs="Arial"/>
                <w:bCs/>
                <w:lang w:eastAsia="es-ES"/>
              </w:rPr>
              <w:t xml:space="preserve"> DE CONSULTORÍA</w:t>
            </w:r>
            <w:r w:rsidR="0036349C" w:rsidRPr="001E1D4F">
              <w:rPr>
                <w:rFonts w:ascii="Verdana" w:hAnsi="Verdana" w:cs="Arial"/>
                <w:bCs/>
                <w:lang w:eastAsia="es-ES"/>
              </w:rPr>
              <w:t xml:space="preserve"> – </w:t>
            </w:r>
            <w:r w:rsidR="0036349C">
              <w:rPr>
                <w:rFonts w:ascii="Verdana" w:hAnsi="Verdana" w:cs="Arial"/>
                <w:bCs/>
                <w:lang w:eastAsia="es-ES"/>
              </w:rPr>
              <w:t xml:space="preserve">Objeto – Procedimiento de Contratación / </w:t>
            </w:r>
            <w:r w:rsidR="0036349C" w:rsidRPr="001E1D4F">
              <w:rPr>
                <w:rFonts w:ascii="Verdana" w:hAnsi="Verdana" w:cs="Arial"/>
                <w:bCs/>
                <w:lang w:eastAsia="es-ES"/>
              </w:rPr>
              <w:t>CONTRATO</w:t>
            </w:r>
            <w:r w:rsidR="0036349C">
              <w:rPr>
                <w:rFonts w:ascii="Verdana" w:hAnsi="Verdana" w:cs="Arial"/>
                <w:bCs/>
                <w:lang w:eastAsia="es-ES"/>
              </w:rPr>
              <w:t xml:space="preserve"> DE CONSULTORÍA</w:t>
            </w:r>
            <w:r w:rsidR="0036349C" w:rsidRPr="001E1D4F">
              <w:rPr>
                <w:rFonts w:ascii="Verdana" w:hAnsi="Verdana" w:cs="Arial"/>
                <w:bCs/>
                <w:lang w:eastAsia="es-ES"/>
              </w:rPr>
              <w:t xml:space="preserve"> – </w:t>
            </w:r>
            <w:r w:rsidR="0036349C">
              <w:rPr>
                <w:rFonts w:ascii="Verdana" w:hAnsi="Verdana" w:cs="Arial"/>
                <w:bCs/>
                <w:lang w:eastAsia="es-ES"/>
              </w:rPr>
              <w:t xml:space="preserve">Factores de evaluación - Formación </w:t>
            </w:r>
            <w:r w:rsidR="00C455D0">
              <w:rPr>
                <w:rFonts w:ascii="Verdana" w:hAnsi="Verdana" w:cs="Arial"/>
                <w:bCs/>
                <w:lang w:eastAsia="es-ES"/>
              </w:rPr>
              <w:t>académica</w:t>
            </w:r>
            <w:r w:rsidRPr="0020273C">
              <w:rPr>
                <w:rFonts w:ascii="Verdana" w:eastAsia="Calibri" w:hAnsi="Verdana" w:cs="Arial"/>
                <w:lang w:val="es-ES" w:eastAsia="es-ES"/>
              </w:rPr>
              <w:t xml:space="preserve">                  </w:t>
            </w:r>
          </w:p>
          <w:p w14:paraId="19320174" w14:textId="77777777" w:rsidR="006116EB" w:rsidRPr="00F30BB2" w:rsidRDefault="006116EB" w:rsidP="00FE34F6">
            <w:pPr>
              <w:jc w:val="both"/>
              <w:rPr>
                <w:rFonts w:ascii="Verdana" w:eastAsiaTheme="minorEastAsia" w:hAnsi="Verdana" w:cs="Arial"/>
                <w:color w:val="000000" w:themeColor="text1"/>
                <w:lang w:val="es-ES"/>
              </w:rPr>
            </w:pPr>
          </w:p>
          <w:p w14:paraId="2E6E887F" w14:textId="77777777" w:rsidR="006116EB" w:rsidRPr="00801462" w:rsidRDefault="006116EB" w:rsidP="00FE34F6">
            <w:pPr>
              <w:jc w:val="both"/>
              <w:rPr>
                <w:rFonts w:ascii="Verdana" w:eastAsia="Calibri" w:hAnsi="Verdana" w:cs="Arial"/>
                <w:lang w:val="es-ES_tradnl" w:eastAsia="es-ES"/>
              </w:rPr>
            </w:pPr>
          </w:p>
        </w:tc>
      </w:tr>
      <w:tr w:rsidR="006116EB" w:rsidRPr="002842E0" w14:paraId="0FD069F6" w14:textId="77777777" w:rsidTr="006116EB">
        <w:tc>
          <w:tcPr>
            <w:tcW w:w="3119" w:type="dxa"/>
          </w:tcPr>
          <w:p w14:paraId="375DF901" w14:textId="77777777" w:rsidR="006116EB" w:rsidRPr="00801462" w:rsidRDefault="006116EB" w:rsidP="00FE34F6">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2B2663E5" w14:textId="77777777" w:rsidR="006116EB" w:rsidRPr="00C30B30" w:rsidRDefault="006116EB" w:rsidP="00FE34F6">
            <w:pPr>
              <w:jc w:val="both"/>
              <w:rPr>
                <w:rFonts w:ascii="Verdana" w:eastAsia="Calibri" w:hAnsi="Verdana" w:cs="Arial"/>
                <w:lang w:eastAsia="es-ES_tradnl"/>
              </w:rPr>
            </w:pPr>
            <w:r w:rsidRPr="00C30B30">
              <w:rPr>
                <w:rFonts w:ascii="Verdana" w:eastAsia="Calibri" w:hAnsi="Verdana" w:cs="Arial"/>
                <w:lang w:eastAsia="es-ES_tradnl"/>
              </w:rPr>
              <w:t xml:space="preserve">Respuesta a consulta con radicado </w:t>
            </w:r>
          </w:p>
          <w:p w14:paraId="7AD31B6F" w14:textId="77777777" w:rsidR="006116EB" w:rsidRPr="006E64FC" w:rsidRDefault="006116EB" w:rsidP="00FE34F6">
            <w:pPr>
              <w:jc w:val="both"/>
              <w:rPr>
                <w:rFonts w:ascii="Verdana" w:hAnsi="Verdana"/>
                <w:color w:val="000000"/>
                <w:sz w:val="20"/>
                <w:szCs w:val="20"/>
              </w:rPr>
            </w:pPr>
            <w:r w:rsidRPr="00C30B30">
              <w:rPr>
                <w:rFonts w:ascii="Verdana" w:hAnsi="Verdana"/>
                <w:color w:val="000000"/>
              </w:rPr>
              <w:t>1_2025_12_21_014239</w:t>
            </w:r>
          </w:p>
        </w:tc>
      </w:tr>
    </w:tbl>
    <w:p w14:paraId="497DC6ED" w14:textId="77777777" w:rsidR="006116EB" w:rsidRDefault="006116EB" w:rsidP="006116EB">
      <w:pPr>
        <w:spacing w:after="0" w:line="276" w:lineRule="auto"/>
        <w:jc w:val="both"/>
        <w:rPr>
          <w:rFonts w:ascii="Verdana" w:eastAsia="Calibri" w:hAnsi="Verdana" w:cs="Arial"/>
          <w:lang w:eastAsia="es-ES_tradnl"/>
        </w:rPr>
      </w:pPr>
    </w:p>
    <w:p w14:paraId="794553A7" w14:textId="77777777" w:rsidR="006116EB" w:rsidRDefault="006116EB" w:rsidP="006116EB">
      <w:pPr>
        <w:spacing w:after="0" w:line="276" w:lineRule="auto"/>
        <w:jc w:val="both"/>
        <w:rPr>
          <w:rFonts w:ascii="Verdana" w:eastAsia="Calibri" w:hAnsi="Verdana" w:cs="Arial"/>
          <w:lang w:eastAsia="es-ES_tradnl"/>
        </w:rPr>
      </w:pPr>
    </w:p>
    <w:p w14:paraId="73A71A89" w14:textId="77777777" w:rsidR="006116EB" w:rsidRPr="008E4F36" w:rsidRDefault="006116EB" w:rsidP="006116EB">
      <w:pPr>
        <w:spacing w:after="0" w:line="276" w:lineRule="auto"/>
        <w:jc w:val="both"/>
        <w:rPr>
          <w:rFonts w:ascii="Verdana" w:eastAsia="Calibri" w:hAnsi="Verdana" w:cs="Arial"/>
          <w:lang w:eastAsia="es-ES"/>
        </w:rPr>
      </w:pPr>
      <w:r w:rsidRPr="00083AB6">
        <w:rPr>
          <w:rFonts w:ascii="Verdana" w:eastAsia="Calibri" w:hAnsi="Verdana" w:cs="Arial"/>
          <w:lang w:eastAsia="es-ES"/>
        </w:rPr>
        <w:t>Estimado señor</w:t>
      </w:r>
      <w:r>
        <w:rPr>
          <w:rFonts w:ascii="Verdana" w:eastAsia="Calibri" w:hAnsi="Verdana" w:cs="Arial"/>
          <w:lang w:eastAsia="es-ES"/>
        </w:rPr>
        <w:t xml:space="preserve"> Gutiérrez</w:t>
      </w:r>
      <w:r w:rsidRPr="00083AB6">
        <w:rPr>
          <w:rFonts w:ascii="Verdana" w:eastAsia="Calibri" w:hAnsi="Verdana" w:cs="Arial"/>
          <w:lang w:eastAsia="es-ES"/>
        </w:rPr>
        <w:t>:</w:t>
      </w:r>
      <w:r w:rsidRPr="008E4F36">
        <w:rPr>
          <w:rFonts w:ascii="Verdana" w:eastAsia="Calibri" w:hAnsi="Verdana" w:cs="Arial"/>
          <w:lang w:eastAsia="es-ES"/>
        </w:rPr>
        <w:t xml:space="preserve"> </w:t>
      </w:r>
    </w:p>
    <w:p w14:paraId="6CB1F71F" w14:textId="77777777" w:rsidR="006116EB" w:rsidRDefault="006116EB" w:rsidP="006116EB">
      <w:pPr>
        <w:tabs>
          <w:tab w:val="left" w:pos="3768"/>
        </w:tabs>
        <w:spacing w:after="0" w:line="240" w:lineRule="auto"/>
        <w:jc w:val="both"/>
        <w:rPr>
          <w:rFonts w:ascii="Verdana" w:eastAsia="Calibri" w:hAnsi="Verdana" w:cs="Arial"/>
          <w:lang w:eastAsia="es-ES"/>
        </w:rPr>
      </w:pPr>
    </w:p>
    <w:p w14:paraId="02625C1F" w14:textId="77777777" w:rsidR="006116EB" w:rsidRPr="008E4F36" w:rsidRDefault="006116EB" w:rsidP="006116EB">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sidRPr="00AF6D58">
        <w:rPr>
          <w:rFonts w:ascii="Verdana" w:eastAsia="Calibri" w:hAnsi="Verdana" w:cs="Arial"/>
          <w:lang w:eastAsia="es-ES"/>
        </w:rPr>
        <w:t>21 de diciembre de 2025,</w:t>
      </w:r>
      <w:r w:rsidRPr="000F2158">
        <w:rPr>
          <w:rFonts w:ascii="Verdana" w:eastAsia="Calibri" w:hAnsi="Verdana" w:cs="Arial"/>
          <w:lang w:eastAsia="es-ES"/>
        </w:rPr>
        <w:t xml:space="preserve"> en la cual manifiesta lo siguiente:</w:t>
      </w:r>
    </w:p>
    <w:p w14:paraId="1274CE7B" w14:textId="77777777" w:rsidR="006116EB" w:rsidRPr="008E4F36" w:rsidRDefault="006116EB" w:rsidP="006116EB">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26220786" w14:textId="4AE81FA7" w:rsidR="006116EB" w:rsidRPr="00617A31" w:rsidRDefault="006116EB" w:rsidP="006116EB">
      <w:pPr>
        <w:spacing w:after="0"/>
        <w:ind w:left="709" w:right="709"/>
        <w:jc w:val="both"/>
        <w:rPr>
          <w:rFonts w:ascii="Verdana" w:eastAsia="Century Gothic" w:hAnsi="Verdana" w:cs="Century Gothic"/>
          <w:sz w:val="20"/>
          <w:szCs w:val="20"/>
        </w:rPr>
      </w:pPr>
      <w:bookmarkStart w:id="2" w:name="_Hlk192699624"/>
      <w:bookmarkStart w:id="3" w:name="_Hlk199394899"/>
      <w:r>
        <w:rPr>
          <w:rFonts w:ascii="Verdana" w:eastAsia="Century Gothic" w:hAnsi="Verdana" w:cs="Century Gothic"/>
          <w:sz w:val="20"/>
          <w:szCs w:val="20"/>
        </w:rPr>
        <w:lastRenderedPageBreak/>
        <w:t>“</w:t>
      </w:r>
      <w:bookmarkEnd w:id="2"/>
      <w:bookmarkEnd w:id="3"/>
      <w:r w:rsidR="00AB670E">
        <w:rPr>
          <w:rFonts w:ascii="Verdana" w:eastAsia="Century Gothic" w:hAnsi="Verdana" w:cs="Century Gothic"/>
          <w:sz w:val="20"/>
          <w:szCs w:val="20"/>
        </w:rPr>
        <w:t xml:space="preserve">[…] </w:t>
      </w:r>
      <w:r w:rsidRPr="00CF3564">
        <w:rPr>
          <w:rFonts w:ascii="Verdana" w:eastAsia="Century Gothic" w:hAnsi="Verdana" w:cs="Century Gothic"/>
          <w:sz w:val="20"/>
          <w:szCs w:val="20"/>
        </w:rPr>
        <w:t xml:space="preserve">en procesos contractuales con precios regulados o donde el precio no es factor de </w:t>
      </w:r>
      <w:proofErr w:type="spellStart"/>
      <w:r w:rsidRPr="00CF3564">
        <w:rPr>
          <w:rFonts w:ascii="Verdana" w:eastAsia="Century Gothic" w:hAnsi="Verdana" w:cs="Century Gothic"/>
          <w:sz w:val="20"/>
          <w:szCs w:val="20"/>
        </w:rPr>
        <w:t>seleccion</w:t>
      </w:r>
      <w:proofErr w:type="spellEnd"/>
      <w:r w:rsidRPr="00CF3564">
        <w:rPr>
          <w:rFonts w:ascii="Verdana" w:eastAsia="Century Gothic" w:hAnsi="Verdana" w:cs="Century Gothic"/>
          <w:sz w:val="20"/>
          <w:szCs w:val="20"/>
        </w:rPr>
        <w:t xml:space="preserve">, como pueden ser los servicios de vigilancia, es posible exigir perfiles con </w:t>
      </w:r>
      <w:proofErr w:type="spellStart"/>
      <w:r w:rsidRPr="00CF3564">
        <w:rPr>
          <w:rFonts w:ascii="Verdana" w:eastAsia="Century Gothic" w:hAnsi="Verdana" w:cs="Century Gothic"/>
          <w:sz w:val="20"/>
          <w:szCs w:val="20"/>
        </w:rPr>
        <w:t>formacion</w:t>
      </w:r>
      <w:proofErr w:type="spellEnd"/>
      <w:r w:rsidRPr="00CF3564">
        <w:rPr>
          <w:rFonts w:ascii="Verdana" w:eastAsia="Century Gothic" w:hAnsi="Verdana" w:cs="Century Gothic"/>
          <w:sz w:val="20"/>
          <w:szCs w:val="20"/>
        </w:rPr>
        <w:t xml:space="preserve"> </w:t>
      </w:r>
      <w:proofErr w:type="spellStart"/>
      <w:r w:rsidRPr="00CF3564">
        <w:rPr>
          <w:rFonts w:ascii="Verdana" w:eastAsia="Century Gothic" w:hAnsi="Verdana" w:cs="Century Gothic"/>
          <w:sz w:val="20"/>
          <w:szCs w:val="20"/>
        </w:rPr>
        <w:t>academica</w:t>
      </w:r>
      <w:proofErr w:type="spellEnd"/>
      <w:r w:rsidRPr="00CF3564">
        <w:rPr>
          <w:rFonts w:ascii="Verdana" w:eastAsia="Century Gothic" w:hAnsi="Verdana" w:cs="Century Gothic"/>
          <w:sz w:val="20"/>
          <w:szCs w:val="20"/>
        </w:rPr>
        <w:t xml:space="preserve"> superior como criterio de calidad, solicitando especializaciones o </w:t>
      </w:r>
      <w:r>
        <w:rPr>
          <w:rFonts w:ascii="Verdana" w:eastAsia="Century Gothic" w:hAnsi="Verdana" w:cs="Century Gothic"/>
          <w:sz w:val="20"/>
          <w:szCs w:val="20"/>
        </w:rPr>
        <w:t>maestrías.”</w:t>
      </w:r>
      <w:r w:rsidR="00817383">
        <w:rPr>
          <w:rFonts w:ascii="Verdana" w:eastAsia="Century Gothic" w:hAnsi="Verdana" w:cs="Century Gothic"/>
          <w:sz w:val="20"/>
          <w:szCs w:val="20"/>
        </w:rPr>
        <w:t xml:space="preserve"> (SIC)</w:t>
      </w:r>
    </w:p>
    <w:p w14:paraId="02876B10" w14:textId="77777777" w:rsidR="006116EB" w:rsidRPr="008E4F36" w:rsidRDefault="006116EB" w:rsidP="006116EB">
      <w:pPr>
        <w:spacing w:after="0" w:line="240" w:lineRule="auto"/>
        <w:ind w:left="709" w:right="709"/>
        <w:jc w:val="both"/>
        <w:rPr>
          <w:rFonts w:ascii="Verdana" w:hAnsi="Verdana"/>
          <w:sz w:val="20"/>
          <w:szCs w:val="20"/>
        </w:rPr>
      </w:pPr>
    </w:p>
    <w:p w14:paraId="2022EDF3" w14:textId="77777777" w:rsidR="006116EB" w:rsidRDefault="006116EB" w:rsidP="006116EB">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770F5267" w14:textId="77777777" w:rsidR="006116EB" w:rsidRPr="00054383" w:rsidRDefault="006116EB" w:rsidP="006116EB">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21D92312" w14:textId="77777777" w:rsidR="006116EB" w:rsidRPr="008E4F36" w:rsidRDefault="006116EB" w:rsidP="006116EB">
      <w:pPr>
        <w:spacing w:after="0"/>
        <w:ind w:firstLine="709"/>
        <w:jc w:val="both"/>
        <w:rPr>
          <w:rFonts w:ascii="Verdana" w:eastAsia="Calibri" w:hAnsi="Verdana" w:cs="Arial"/>
          <w:color w:val="000000"/>
          <w:lang w:eastAsia="es-ES"/>
        </w:rPr>
      </w:pPr>
    </w:p>
    <w:p w14:paraId="22232183" w14:textId="77777777" w:rsidR="006116EB" w:rsidRDefault="006116EB" w:rsidP="006116E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38C96C5E" w14:textId="77777777" w:rsidR="006116EB" w:rsidRDefault="006116EB" w:rsidP="006116EB">
      <w:pPr>
        <w:spacing w:after="0" w:line="276" w:lineRule="auto"/>
        <w:jc w:val="both"/>
        <w:rPr>
          <w:rFonts w:ascii="Verdana" w:eastAsia="Calibri" w:hAnsi="Verdana" w:cs="Arial"/>
          <w:color w:val="000000"/>
          <w:highlight w:val="yellow"/>
          <w:lang w:eastAsia="es-ES"/>
        </w:rPr>
      </w:pPr>
    </w:p>
    <w:p w14:paraId="224F1A75" w14:textId="6B364981" w:rsidR="006116EB" w:rsidRDefault="006116EB" w:rsidP="006116EB">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w:t>
      </w:r>
      <w:r w:rsidR="005E355C" w:rsidRPr="00005FE3">
        <w:rPr>
          <w:rFonts w:ascii="Verdana" w:eastAsia="Calibri" w:hAnsi="Verdana" w:cs="Arial"/>
          <w:color w:val="000000"/>
          <w:lang w:eastAsia="es-ES"/>
        </w:rPr>
        <w:t>:</w:t>
      </w:r>
      <w:r w:rsidR="005E355C">
        <w:rPr>
          <w:rFonts w:ascii="Verdana" w:hAnsi="Verdana"/>
        </w:rPr>
        <w:t xml:space="preserve"> ¿</w:t>
      </w:r>
      <w:r w:rsidRPr="00111684">
        <w:rPr>
          <w:rFonts w:ascii="Verdana" w:hAnsi="Verdana"/>
        </w:rPr>
        <w:t>E</w:t>
      </w:r>
      <w:r w:rsidR="00F331E0">
        <w:rPr>
          <w:rFonts w:ascii="Verdana" w:hAnsi="Verdana"/>
        </w:rPr>
        <w:t>s</w:t>
      </w:r>
      <w:r w:rsidRPr="00111684">
        <w:rPr>
          <w:rFonts w:ascii="Verdana" w:hAnsi="Verdana"/>
        </w:rPr>
        <w:t xml:space="preserve"> posible exigir formación académica como criterio de calidad</w:t>
      </w:r>
      <w:r w:rsidR="00F331E0">
        <w:rPr>
          <w:rFonts w:ascii="Verdana" w:hAnsi="Verdana"/>
        </w:rPr>
        <w:t xml:space="preserve"> para la evaluación de ofertas</w:t>
      </w:r>
      <w:r w:rsidRPr="00111684">
        <w:rPr>
          <w:rFonts w:ascii="Verdana" w:hAnsi="Verdana"/>
        </w:rPr>
        <w:t xml:space="preserve">? </w:t>
      </w:r>
    </w:p>
    <w:p w14:paraId="4FB6B8D8" w14:textId="77777777" w:rsidR="006116EB" w:rsidRPr="00111684" w:rsidRDefault="006116EB" w:rsidP="006116EB">
      <w:pPr>
        <w:spacing w:after="0" w:line="276" w:lineRule="auto"/>
        <w:jc w:val="both"/>
        <w:rPr>
          <w:rFonts w:ascii="Verdana" w:eastAsia="Calibri" w:hAnsi="Verdana" w:cs="Arial"/>
          <w:color w:val="000000"/>
          <w:lang w:eastAsia="es-ES"/>
        </w:rPr>
      </w:pPr>
    </w:p>
    <w:p w14:paraId="2FDE151B" w14:textId="77777777" w:rsidR="006116EB" w:rsidRPr="008E4F36" w:rsidRDefault="006116EB" w:rsidP="006116EB">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75DC7017" w14:textId="77777777" w:rsidR="006116EB" w:rsidRPr="008E4F36" w:rsidRDefault="006116EB" w:rsidP="006116EB">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ook w:val="04A0" w:firstRow="1" w:lastRow="0" w:firstColumn="1" w:lastColumn="0" w:noHBand="0" w:noVBand="1"/>
      </w:tblPr>
      <w:tblGrid>
        <w:gridCol w:w="8828"/>
      </w:tblGrid>
      <w:tr w:rsidR="006116EB" w:rsidRPr="008E4F36" w14:paraId="7B4A2A0C" w14:textId="77777777" w:rsidTr="005E355C">
        <w:tc>
          <w:tcPr>
            <w:tcW w:w="8828" w:type="dxa"/>
          </w:tcPr>
          <w:p w14:paraId="67564347" w14:textId="77777777" w:rsidR="00F331E0" w:rsidRPr="00F331E0" w:rsidRDefault="00F331E0" w:rsidP="00F331E0">
            <w:pPr>
              <w:spacing w:after="120" w:line="276" w:lineRule="auto"/>
              <w:jc w:val="both"/>
              <w:rPr>
                <w:rFonts w:ascii="Verdana" w:hAnsi="Verdana" w:cs="Arial"/>
                <w:color w:val="000000" w:themeColor="text1"/>
              </w:rPr>
            </w:pPr>
            <w:r w:rsidRPr="00F331E0">
              <w:rPr>
                <w:rFonts w:ascii="Verdana" w:hAnsi="Verdana" w:cs="Arial"/>
                <w:color w:val="000000" w:themeColor="text1"/>
              </w:rPr>
              <w:t xml:space="preserve">En el marco de las modalidades de selección de licitación pública, selección abreviada y mínima cuantía, el régimen general de la contratación estatal, en particular lo dispuesto en los artículos 2 y 5 de la Ley 1150 de 2007, no habilita a las entidades estatales para valorar la formación académica como factor de </w:t>
            </w:r>
            <w:r w:rsidRPr="00F331E0">
              <w:rPr>
                <w:rFonts w:ascii="Verdana" w:hAnsi="Verdana" w:cs="Arial"/>
                <w:color w:val="000000" w:themeColor="text1"/>
              </w:rPr>
              <w:lastRenderedPageBreak/>
              <w:t>evaluación de las ofertas, en la medida en que dichos criterios deben orientarse exclusivamente a la ponderación de condiciones objetivas relacionadas con la oferta y no con calidades subjetivas de los proponentes o de su personal, salvo habilitación legal expresa.</w:t>
            </w:r>
          </w:p>
          <w:p w14:paraId="33894D5B" w14:textId="03A53426" w:rsidR="00F331E0" w:rsidRPr="00F331E0" w:rsidRDefault="00F331E0" w:rsidP="005E355C">
            <w:pPr>
              <w:spacing w:after="120" w:line="276" w:lineRule="auto"/>
              <w:ind w:firstLine="709"/>
              <w:jc w:val="both"/>
              <w:rPr>
                <w:rFonts w:ascii="Verdana" w:hAnsi="Verdana" w:cs="Arial"/>
                <w:color w:val="000000" w:themeColor="text1"/>
              </w:rPr>
            </w:pPr>
            <w:r w:rsidRPr="00F331E0">
              <w:rPr>
                <w:rFonts w:ascii="Verdana" w:hAnsi="Verdana" w:cs="Arial"/>
                <w:color w:val="000000" w:themeColor="text1"/>
              </w:rPr>
              <w:t>En contraste, en los procesos de selección adelantados bajo la modalidad de concurso de méritos, el legislador y el reglamento sí prevén la posibilidad de evaluar la formación académica del equipo de trabajo, en tanto este constituye un elemento esencial para determinar la calidad técnica de la propuesta. En efecto, el numeral 3 del artículo 2.2.1.2.1.3.2 del Decreto 1082 de 2015 autoriza expresamente la valoración de la formación y experiencia del personal propuesto, conforme a las reglas y puntajes previamente definidos en los pliegos de condiciones.</w:t>
            </w:r>
            <w:r w:rsidR="00EA7948">
              <w:rPr>
                <w:rFonts w:ascii="Verdana" w:eastAsia="Calibri" w:hAnsi="Verdana" w:cs="Arial"/>
                <w:bCs/>
                <w:color w:val="000000" w:themeColor="text1"/>
              </w:rPr>
              <w:t xml:space="preserve"> No obstante, es pertinente aclarar que la modalidad de concurso de méritos solo es aplicable a los contratos a los que se refieren los artículos 32, numeral 3 de la Ley 80 de 1993 y 2, numeral 3 de la Ley 1150 de 2007.  </w:t>
            </w:r>
          </w:p>
          <w:p w14:paraId="5E4FED59" w14:textId="7F4C3652" w:rsidR="00F331E0" w:rsidRPr="00957B79" w:rsidRDefault="00F331E0" w:rsidP="00EA7948">
            <w:pPr>
              <w:spacing w:after="120" w:line="276" w:lineRule="auto"/>
              <w:ind w:firstLine="709"/>
              <w:jc w:val="both"/>
              <w:rPr>
                <w:rFonts w:ascii="Verdana" w:hAnsi="Verdana" w:cs="Arial"/>
                <w:color w:val="000000" w:themeColor="text1"/>
              </w:rPr>
            </w:pPr>
            <w:r w:rsidRPr="00F331E0">
              <w:rPr>
                <w:rFonts w:ascii="Verdana" w:hAnsi="Verdana" w:cs="Arial"/>
                <w:color w:val="000000" w:themeColor="text1"/>
              </w:rPr>
              <w:t>En consecuencia, la evaluación de la formación académica del equipo de trabajo únicamente resulta jurídicamente procedente en los concursos de méritos, mientras que su inclusión como factor de evaluación en las modalidades de licitación pública, selección abreviada o mínima cuantía desconoce el marco normativo vigente y vulnera el principio de selección objetiva que rige la contratación estat</w:t>
            </w:r>
            <w:r>
              <w:rPr>
                <w:rFonts w:ascii="Verdana" w:hAnsi="Verdana" w:cs="Arial"/>
                <w:color w:val="000000" w:themeColor="text1"/>
              </w:rPr>
              <w:t xml:space="preserve">al. </w:t>
            </w:r>
          </w:p>
          <w:p w14:paraId="6E74360B" w14:textId="77777777" w:rsidR="006116EB" w:rsidRPr="00B70775" w:rsidRDefault="006116EB" w:rsidP="00FE34F6">
            <w:pPr>
              <w:spacing w:after="120" w:line="276" w:lineRule="auto"/>
              <w:ind w:firstLine="709"/>
              <w:jc w:val="both"/>
              <w:rPr>
                <w:rFonts w:ascii="Verdana" w:hAnsi="Verdana" w:cs="Arial"/>
                <w:color w:val="000000" w:themeColor="text1"/>
              </w:rPr>
            </w:pPr>
            <w:r w:rsidRPr="00957B79">
              <w:rPr>
                <w:rFonts w:ascii="Verdana" w:hAnsi="Verdana" w:cs="Arial"/>
                <w:color w:val="000000" w:themeColor="text1"/>
              </w:rPr>
              <w:t>Finalmente, es pertinente señalar que Colombia Compra Eficiente, en ejercicio de su función consultiva, no está llamada a definir criterios universales y absolutos, sino a suministrar elementos hermenéuticos de carácter general que orienten a los partícipes del Sistema de Compras y Contratación Pública en la adopción de sus decisiones, en consonancia con el principio de juridicidad. En consecuencia, corresponde a las entidades estatales, en cada caso concreto, determinar los criterios aplicables, con sujeción a los principios y normas que rigen el Estatuto General de Contratación de la Administración Pública (EGCAP).</w:t>
            </w:r>
          </w:p>
        </w:tc>
      </w:tr>
    </w:tbl>
    <w:p w14:paraId="673BF77B" w14:textId="77777777" w:rsidR="006116EB" w:rsidRDefault="006116EB" w:rsidP="006116EB">
      <w:pPr>
        <w:tabs>
          <w:tab w:val="left" w:pos="142"/>
          <w:tab w:val="left" w:pos="284"/>
        </w:tabs>
        <w:spacing w:after="0" w:line="276" w:lineRule="auto"/>
        <w:jc w:val="both"/>
        <w:rPr>
          <w:rFonts w:ascii="Verdana" w:eastAsia="Century Gothic" w:hAnsi="Verdana" w:cs="Century Gothic"/>
          <w:b/>
          <w:bCs/>
        </w:rPr>
      </w:pPr>
    </w:p>
    <w:p w14:paraId="029223E5" w14:textId="77777777" w:rsidR="006116EB" w:rsidRPr="008E4F36" w:rsidRDefault="006116EB" w:rsidP="006116EB">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3B77C57C" w14:textId="77777777" w:rsidR="006116EB" w:rsidRDefault="006116EB" w:rsidP="006116EB">
      <w:pPr>
        <w:pStyle w:val="Prrafodelista"/>
        <w:tabs>
          <w:tab w:val="left" w:pos="142"/>
          <w:tab w:val="left" w:pos="284"/>
        </w:tabs>
        <w:spacing w:after="0" w:line="276" w:lineRule="auto"/>
        <w:ind w:left="0"/>
        <w:contextualSpacing w:val="0"/>
        <w:jc w:val="both"/>
        <w:rPr>
          <w:rFonts w:ascii="Verdana" w:eastAsia="Calibri" w:hAnsi="Verdana" w:cs="Arial"/>
        </w:rPr>
      </w:pPr>
    </w:p>
    <w:p w14:paraId="7CDFEFDA" w14:textId="77777777" w:rsidR="006116EB" w:rsidRDefault="006116EB" w:rsidP="006116EB">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36016BD1" w14:textId="77777777" w:rsidR="006116EB" w:rsidRDefault="006116EB" w:rsidP="006116EB">
      <w:pPr>
        <w:pStyle w:val="Prrafodelista"/>
        <w:tabs>
          <w:tab w:val="left" w:pos="142"/>
          <w:tab w:val="left" w:pos="284"/>
        </w:tabs>
        <w:spacing w:after="0" w:line="240" w:lineRule="auto"/>
        <w:ind w:left="0"/>
        <w:contextualSpacing w:val="0"/>
        <w:jc w:val="both"/>
        <w:rPr>
          <w:rFonts w:ascii="Verdana" w:eastAsia="Calibri" w:hAnsi="Verdana" w:cs="Arial"/>
        </w:rPr>
      </w:pPr>
    </w:p>
    <w:p w14:paraId="0D951171" w14:textId="77777777" w:rsidR="006116EB" w:rsidRDefault="006116EB" w:rsidP="006116EB">
      <w:pPr>
        <w:spacing w:after="0" w:line="276" w:lineRule="auto"/>
        <w:jc w:val="both"/>
        <w:rPr>
          <w:rFonts w:ascii="Verdana" w:eastAsia="Calibri" w:hAnsi="Verdana" w:cs="Arial"/>
          <w:color w:val="000000"/>
          <w:szCs w:val="24"/>
          <w:lang w:val="es-ES_tradnl" w:eastAsia="es-ES_tradnl"/>
        </w:rPr>
      </w:pPr>
    </w:p>
    <w:p w14:paraId="2ACAD992" w14:textId="4A606923" w:rsidR="006116EB" w:rsidRPr="00B46EAD" w:rsidRDefault="006116EB" w:rsidP="006116EB">
      <w:pPr>
        <w:spacing w:after="120" w:line="276" w:lineRule="auto"/>
        <w:jc w:val="both"/>
        <w:rPr>
          <w:rFonts w:ascii="Verdana" w:eastAsia="Calibri" w:hAnsi="Verdana" w:cs="Arial"/>
          <w:color w:val="000000"/>
          <w:szCs w:val="24"/>
          <w:lang w:val="es-ES_tradnl" w:eastAsia="es-ES_tradnl"/>
        </w:rPr>
      </w:pPr>
      <w:r>
        <w:rPr>
          <w:rFonts w:ascii="Verdana" w:eastAsia="Calibri" w:hAnsi="Verdana" w:cs="Arial"/>
          <w:color w:val="000000"/>
          <w:szCs w:val="24"/>
          <w:lang w:val="es-ES_tradnl" w:eastAsia="es-ES_tradnl"/>
        </w:rPr>
        <w:t xml:space="preserve">i. </w:t>
      </w:r>
      <w:r w:rsidRPr="0086479C">
        <w:rPr>
          <w:rFonts w:ascii="Verdana" w:eastAsia="Calibri" w:hAnsi="Verdana" w:cs="Arial"/>
          <w:color w:val="000000"/>
          <w:szCs w:val="24"/>
          <w:lang w:val="es-ES_tradnl" w:eastAsia="es-ES_tradnl"/>
        </w:rPr>
        <w:t>P</w:t>
      </w:r>
      <w:r w:rsidRPr="0086479C">
        <w:rPr>
          <w:rFonts w:ascii="Verdana" w:hAnsi="Verdana" w:cs="Arial"/>
          <w:lang w:val="es-ES"/>
        </w:rPr>
        <w:t xml:space="preserve">ara las entidades sometidas al Estatuto General de Contratación de la Administración Pública, los procesos de selección se rigen por </w:t>
      </w:r>
      <w:r w:rsidRPr="0086479C">
        <w:rPr>
          <w:rFonts w:ascii="Verdana" w:hAnsi="Verdana" w:cs="Arial"/>
          <w:bCs/>
          <w:lang w:val="es-ES_tradnl"/>
        </w:rPr>
        <w:t>el artículo 2 de la Ley 1150 de 2007</w:t>
      </w:r>
      <w:r w:rsidRPr="0086479C">
        <w:rPr>
          <w:rFonts w:ascii="Verdana" w:hAnsi="Verdana" w:cs="Arial"/>
          <w:lang w:val="es-ES"/>
        </w:rPr>
        <w:t xml:space="preserve">. El </w:t>
      </w:r>
      <w:r w:rsidRPr="0086479C">
        <w:rPr>
          <w:rFonts w:ascii="Verdana" w:eastAsia="Calibri" w:hAnsi="Verdana" w:cs="Arial"/>
          <w:bCs/>
          <w:lang w:val="es-MX" w:eastAsia="es-ES_tradnl"/>
        </w:rPr>
        <w:t>numeral uno, inciso primero, de la norma citada</w:t>
      </w:r>
      <w:r w:rsidRPr="0086479C">
        <w:rPr>
          <w:rFonts w:ascii="Verdana" w:hAnsi="Verdana" w:cs="Arial"/>
          <w:bCs/>
          <w:lang w:val="es-ES_tradnl"/>
        </w:rPr>
        <w:t xml:space="preserve"> </w:t>
      </w:r>
      <w:r w:rsidRPr="0086479C">
        <w:rPr>
          <w:rFonts w:ascii="Verdana" w:eastAsia="Calibri" w:hAnsi="Verdana" w:cs="Arial"/>
          <w:bCs/>
          <w:lang w:val="es-MX" w:eastAsia="es-ES_tradnl"/>
        </w:rPr>
        <w:t xml:space="preserve">dispone que “La escogencia del contratista se efectuará por </w:t>
      </w:r>
      <w:r w:rsidRPr="0086479C">
        <w:rPr>
          <w:rFonts w:ascii="Verdana" w:eastAsia="Calibri" w:hAnsi="Verdana" w:cs="Arial"/>
          <w:bCs/>
          <w:i/>
          <w:iCs/>
          <w:lang w:val="es-MX" w:eastAsia="es-ES_tradnl"/>
        </w:rPr>
        <w:t>regla general</w:t>
      </w:r>
      <w:r w:rsidRPr="0086479C">
        <w:rPr>
          <w:rFonts w:ascii="Verdana" w:eastAsia="Calibri" w:hAnsi="Verdana" w:cs="Arial"/>
          <w:bCs/>
          <w:lang w:val="es-MX" w:eastAsia="es-ES_tradnl"/>
        </w:rPr>
        <w:t xml:space="preserve"> a través de licitación pública, con las </w:t>
      </w:r>
      <w:r w:rsidRPr="0086479C">
        <w:rPr>
          <w:rFonts w:ascii="Verdana" w:eastAsia="Calibri" w:hAnsi="Verdana" w:cs="Arial"/>
          <w:bCs/>
          <w:i/>
          <w:iCs/>
          <w:lang w:val="es-MX" w:eastAsia="es-ES_tradnl"/>
        </w:rPr>
        <w:t>excepciones</w:t>
      </w:r>
      <w:r w:rsidRPr="0086479C">
        <w:rPr>
          <w:rFonts w:ascii="Verdana" w:eastAsia="Calibri" w:hAnsi="Verdana" w:cs="Arial"/>
          <w:bCs/>
          <w:lang w:val="es-MX" w:eastAsia="es-ES_tradnl"/>
        </w:rPr>
        <w:t xml:space="preserve"> que se señalan en los numerales 2, 3 y 4 del presente artículo”, norma que sustituye el derogado numeral 1 del artículo 24 de la Ley 80 de 1993 sobre el principio de transparencia</w:t>
      </w:r>
      <w:r w:rsidRPr="0086479C">
        <w:rPr>
          <w:rStyle w:val="Refdenotaalpie"/>
          <w:rFonts w:ascii="Verdana" w:eastAsia="Calibri" w:hAnsi="Verdana" w:cs="Arial"/>
          <w:bCs/>
          <w:lang w:val="es-MX" w:eastAsia="es-ES_tradnl"/>
        </w:rPr>
        <w:footnoteReference w:id="1"/>
      </w:r>
      <w:r w:rsidRPr="0086479C">
        <w:rPr>
          <w:rFonts w:ascii="Verdana" w:eastAsia="Calibri" w:hAnsi="Verdana" w:cs="Arial"/>
          <w:bCs/>
          <w:lang w:val="es-MX" w:eastAsia="es-ES_tradnl"/>
        </w:rPr>
        <w:t xml:space="preserve">. </w:t>
      </w:r>
    </w:p>
    <w:p w14:paraId="43096E63" w14:textId="77777777" w:rsidR="006116EB" w:rsidRPr="00185EE9" w:rsidRDefault="006116EB" w:rsidP="006116EB">
      <w:pPr>
        <w:spacing w:after="120" w:line="276" w:lineRule="auto"/>
        <w:ind w:firstLine="708"/>
        <w:jc w:val="both"/>
        <w:rPr>
          <w:rFonts w:ascii="Verdana" w:eastAsia="Calibri" w:hAnsi="Verdana" w:cs="Arial"/>
          <w:bCs/>
          <w:lang w:val="es-MX" w:eastAsia="es-ES_tradnl"/>
        </w:rPr>
      </w:pPr>
      <w:r w:rsidRPr="00185EE9">
        <w:rPr>
          <w:rFonts w:ascii="Verdana" w:eastAsia="Calibri" w:hAnsi="Verdana" w:cs="Arial"/>
          <w:bCs/>
          <w:lang w:val="es-MX" w:eastAsia="es-ES_tradnl"/>
        </w:rPr>
        <w:t>Salvo norma especial que ordene la celebración del negocio jurídico por otra modalidad de selección, debe aplicarse la regla general de licitación pública</w:t>
      </w:r>
      <w:r w:rsidRPr="00185EE9">
        <w:rPr>
          <w:rStyle w:val="Refdenotaalpie"/>
          <w:rFonts w:ascii="Verdana" w:eastAsia="Calibri" w:hAnsi="Verdana" w:cs="Arial"/>
          <w:bCs/>
          <w:lang w:val="es-MX" w:eastAsia="es-ES_tradnl"/>
        </w:rPr>
        <w:footnoteReference w:id="2"/>
      </w:r>
      <w:r w:rsidRPr="00185EE9">
        <w:rPr>
          <w:rFonts w:ascii="Verdana" w:eastAsia="Calibri" w:hAnsi="Verdana" w:cs="Arial"/>
          <w:bCs/>
          <w:lang w:val="es-MX" w:eastAsia="es-ES_tradnl"/>
        </w:rPr>
        <w:t>. Por ello, dependiendo del objeto o el valor de presupuesto oficial, es posible la aplicación de otros procedimientos contractuales. Estos pueden ser con pluralidad de oferentes –v. gr. la selección abreviada de menor cuantía o la mínima cuantía– o sin concurrencia de proponentes –por ejemplo, la contratación directa–.</w:t>
      </w:r>
    </w:p>
    <w:p w14:paraId="5BDC9638" w14:textId="77777777" w:rsidR="006116EB" w:rsidRPr="00185EE9" w:rsidRDefault="006116EB" w:rsidP="006116EB">
      <w:pPr>
        <w:spacing w:after="120" w:line="276" w:lineRule="auto"/>
        <w:ind w:firstLine="708"/>
        <w:jc w:val="both"/>
        <w:rPr>
          <w:rFonts w:ascii="Verdana" w:eastAsia="Calibri" w:hAnsi="Verdana" w:cs="Arial"/>
        </w:rPr>
      </w:pPr>
      <w:r w:rsidRPr="00185EE9">
        <w:rPr>
          <w:rFonts w:ascii="Verdana" w:eastAsia="Calibri" w:hAnsi="Verdana" w:cs="Arial"/>
          <w:bCs/>
          <w:lang w:val="es-MX" w:eastAsia="es-ES_tradnl"/>
        </w:rPr>
        <w:t xml:space="preserve">Respecto a la selección abreviada, </w:t>
      </w:r>
      <w:r w:rsidRPr="00185EE9">
        <w:rPr>
          <w:rFonts w:ascii="Verdana" w:eastAsia="Calibri" w:hAnsi="Verdana" w:cs="Arial"/>
        </w:rPr>
        <w:t xml:space="preserve">el numeral 2 del artículo 2 de la Ley 1150 de 2007 dispone que “[…] corresponde a la modalidad de selección objetiva prevista para aquellos casos en </w:t>
      </w:r>
      <w:proofErr w:type="gramStart"/>
      <w:r w:rsidRPr="00185EE9">
        <w:rPr>
          <w:rFonts w:ascii="Verdana" w:eastAsia="Calibri" w:hAnsi="Verdana" w:cs="Arial"/>
        </w:rPr>
        <w:t>que</w:t>
      </w:r>
      <w:proofErr w:type="gramEnd"/>
      <w:r w:rsidRPr="00185EE9">
        <w:rPr>
          <w:rFonts w:ascii="Verdana" w:eastAsia="Calibri" w:hAnsi="Verdana" w:cs="Arial"/>
        </w:rPr>
        <w:t xml:space="preserve"> por las características del objeto a contratar, las circunstancias de la contratación o la cuantía o destinación del bien, obra o </w:t>
      </w:r>
      <w:r w:rsidRPr="00185EE9">
        <w:rPr>
          <w:rFonts w:ascii="Verdana" w:eastAsia="Calibri" w:hAnsi="Verdana" w:cs="Arial"/>
        </w:rPr>
        <w:lastRenderedPageBreak/>
        <w:t>servicio puedan adelantarse procesos simplificados para garantizar la eficiencia de la gestión contractual”, regulando cada una de las causales</w:t>
      </w:r>
      <w:r w:rsidRPr="00185EE9">
        <w:rPr>
          <w:rStyle w:val="Refdenotaalpie"/>
          <w:rFonts w:ascii="Verdana" w:eastAsia="Calibri" w:hAnsi="Verdana" w:cs="Arial"/>
        </w:rPr>
        <w:footnoteReference w:id="3"/>
      </w:r>
      <w:r w:rsidRPr="00185EE9">
        <w:rPr>
          <w:rFonts w:ascii="Verdana" w:eastAsia="Calibri" w:hAnsi="Verdana" w:cs="Arial"/>
        </w:rPr>
        <w:t xml:space="preserve">. </w:t>
      </w:r>
    </w:p>
    <w:p w14:paraId="387BBC69" w14:textId="77777777" w:rsidR="006116EB" w:rsidRPr="00185EE9" w:rsidRDefault="006116EB" w:rsidP="006116EB">
      <w:pPr>
        <w:spacing w:after="0" w:line="276" w:lineRule="auto"/>
        <w:ind w:firstLine="708"/>
        <w:jc w:val="both"/>
        <w:rPr>
          <w:rFonts w:ascii="Verdana" w:eastAsia="Calibri" w:hAnsi="Verdana" w:cs="Arial"/>
        </w:rPr>
      </w:pPr>
      <w:r w:rsidRPr="00185EE9">
        <w:rPr>
          <w:rFonts w:ascii="Verdana" w:eastAsia="Calibri" w:hAnsi="Verdana" w:cs="Arial"/>
        </w:rPr>
        <w:t xml:space="preserve">Se trata de un procedimiento que, conforme a la reglamentación que expida el Gobierno Nacional, agiliza la contratación estatal en los eventos en que no se justifica adelantar una licitación pública, pero tampoco limitar la participación de los proponentes como en la contratación directa, de forma tal que es un mecanismo de selección objetiva que asegura una mayor concurrencia </w:t>
      </w:r>
      <w:r w:rsidRPr="00185EE9">
        <w:rPr>
          <w:rFonts w:ascii="Verdana" w:eastAsia="Calibri" w:hAnsi="Verdana" w:cs="Arial"/>
        </w:rPr>
        <w:lastRenderedPageBreak/>
        <w:t>de participantes sin sacrificar los principios de eficacia y eficiencia en el proceso de selección. En la exposición de motivos se explica lo siguiente:</w:t>
      </w:r>
    </w:p>
    <w:p w14:paraId="7DF7C85B" w14:textId="77777777" w:rsidR="006116EB" w:rsidRPr="00185EE9" w:rsidRDefault="006116EB" w:rsidP="006116EB">
      <w:pPr>
        <w:spacing w:after="0" w:line="276" w:lineRule="auto"/>
        <w:jc w:val="both"/>
        <w:rPr>
          <w:rFonts w:ascii="Verdana" w:eastAsia="Calibri" w:hAnsi="Verdana" w:cs="Arial"/>
        </w:rPr>
      </w:pPr>
    </w:p>
    <w:p w14:paraId="25CE3E73" w14:textId="77777777" w:rsidR="006116EB" w:rsidRPr="005A3914" w:rsidRDefault="006116EB" w:rsidP="006116EB">
      <w:pPr>
        <w:spacing w:after="0" w:line="240" w:lineRule="auto"/>
        <w:ind w:left="709" w:right="709"/>
        <w:jc w:val="both"/>
        <w:rPr>
          <w:rFonts w:ascii="Verdana" w:eastAsia="Calibri" w:hAnsi="Verdana" w:cs="Arial"/>
          <w:sz w:val="20"/>
          <w:szCs w:val="20"/>
        </w:rPr>
      </w:pPr>
      <w:r w:rsidRPr="005A3914">
        <w:rPr>
          <w:rFonts w:ascii="Verdana" w:eastAsia="Calibri" w:hAnsi="Verdana" w:cs="Arial"/>
          <w:sz w:val="20"/>
          <w:szCs w:val="20"/>
        </w:rPr>
        <w:t>“– Si bien la Licitación Pública sigue siendo la regla general, la misma pasa a reservarse para los procesos en los que la complejidad del objeto a contratar amerita la larga y cuidadosa ponderación de factores técnicos y económicos de las propuestas […].</w:t>
      </w:r>
    </w:p>
    <w:p w14:paraId="743E9120" w14:textId="77777777" w:rsidR="006116EB" w:rsidRPr="005A3914" w:rsidRDefault="006116EB" w:rsidP="006116EB">
      <w:pPr>
        <w:spacing w:after="0" w:line="240" w:lineRule="auto"/>
        <w:ind w:left="709" w:right="709"/>
        <w:jc w:val="both"/>
        <w:rPr>
          <w:rFonts w:ascii="Verdana" w:eastAsia="Calibri" w:hAnsi="Verdana" w:cs="Arial"/>
          <w:sz w:val="20"/>
          <w:szCs w:val="20"/>
        </w:rPr>
      </w:pPr>
      <w:r w:rsidRPr="005A3914">
        <w:rPr>
          <w:rFonts w:ascii="Verdana" w:eastAsia="Calibri" w:hAnsi="Verdana" w:cs="Arial"/>
          <w:sz w:val="20"/>
          <w:szCs w:val="20"/>
        </w:rPr>
        <w:t>– Se crea la llamada ‘selección abreviada’, para permitir la existencia de procedimientos de selección que, basados estrictamente en los principios cardinales de la contratación pública, permitan de manera ágil la adopción de decisiones de selección […]”</w:t>
      </w:r>
      <w:r w:rsidRPr="005A3914">
        <w:rPr>
          <w:rStyle w:val="Refdenotaalpie"/>
          <w:rFonts w:ascii="Verdana" w:eastAsia="Calibri" w:hAnsi="Verdana" w:cs="Arial"/>
          <w:sz w:val="20"/>
          <w:szCs w:val="20"/>
        </w:rPr>
        <w:footnoteReference w:id="4"/>
      </w:r>
      <w:r w:rsidRPr="005A3914">
        <w:rPr>
          <w:rFonts w:ascii="Verdana" w:eastAsia="Calibri" w:hAnsi="Verdana" w:cs="Arial"/>
          <w:sz w:val="20"/>
          <w:szCs w:val="20"/>
        </w:rPr>
        <w:t>.</w:t>
      </w:r>
    </w:p>
    <w:p w14:paraId="1F52602E" w14:textId="77777777" w:rsidR="006116EB" w:rsidRPr="00185EE9" w:rsidRDefault="006116EB" w:rsidP="006116EB">
      <w:pPr>
        <w:spacing w:after="0" w:line="276" w:lineRule="auto"/>
        <w:jc w:val="both"/>
        <w:rPr>
          <w:rFonts w:ascii="Verdana" w:eastAsia="Calibri" w:hAnsi="Verdana" w:cs="Arial"/>
        </w:rPr>
      </w:pPr>
    </w:p>
    <w:p w14:paraId="36407963" w14:textId="77777777" w:rsidR="006116EB" w:rsidRPr="00185EE9" w:rsidRDefault="006116EB" w:rsidP="006116EB">
      <w:pPr>
        <w:spacing w:after="120" w:line="276" w:lineRule="auto"/>
        <w:ind w:firstLine="709"/>
        <w:jc w:val="both"/>
        <w:rPr>
          <w:rFonts w:ascii="Verdana" w:eastAsia="Calibri" w:hAnsi="Verdana" w:cs="Arial"/>
        </w:rPr>
      </w:pPr>
      <w:r w:rsidRPr="00185EE9">
        <w:rPr>
          <w:rFonts w:ascii="Verdana" w:eastAsia="Calibri" w:hAnsi="Verdana" w:cs="Arial"/>
        </w:rPr>
        <w:t>La selección abreviada se caracteriza por tener etapas un poco sencillas y términos relativamente más cortos que los de la licitación pública, lo cual se justifica por las circunstancias, la naturaleza y los objetos que se contratan a través de esta modalidad, los cuales requieren de procedimientos un poco más agiles, sencillos y eficientes. Según el Consejo de Estado, el propósito del legislador es “[…] proveer de mayor agilidad y eficiencia la contratación de algunos bienes o servicios, en los que es deseable la concurrencia de oferentes, pero no en los términos y condiciones de una licitación pública, sino de manera abreviada o, en términos de la ley, simplificada”</w:t>
      </w:r>
      <w:r w:rsidRPr="00185EE9">
        <w:rPr>
          <w:rStyle w:val="Refdenotaalpie"/>
          <w:rFonts w:ascii="Verdana" w:eastAsia="Calibri" w:hAnsi="Verdana" w:cs="Arial"/>
        </w:rPr>
        <w:footnoteReference w:id="5"/>
      </w:r>
      <w:r w:rsidRPr="00185EE9">
        <w:rPr>
          <w:rFonts w:ascii="Verdana" w:eastAsia="Calibri" w:hAnsi="Verdana" w:cs="Arial"/>
        </w:rPr>
        <w:t xml:space="preserve">. </w:t>
      </w:r>
    </w:p>
    <w:p w14:paraId="627D990A" w14:textId="77777777" w:rsidR="006116EB" w:rsidRPr="00185EE9" w:rsidRDefault="006116EB" w:rsidP="006116EB">
      <w:pPr>
        <w:spacing w:after="120" w:line="276" w:lineRule="auto"/>
        <w:ind w:firstLine="709"/>
        <w:jc w:val="both"/>
        <w:rPr>
          <w:rFonts w:ascii="Verdana" w:eastAsia="Calibri" w:hAnsi="Verdana" w:cs="Arial"/>
          <w:color w:val="000000"/>
          <w:szCs w:val="24"/>
          <w:lang w:val="es-ES_tradnl" w:eastAsia="es-ES_tradnl"/>
        </w:rPr>
      </w:pPr>
      <w:r w:rsidRPr="00185EE9">
        <w:rPr>
          <w:rFonts w:ascii="Verdana" w:eastAsia="Calibri" w:hAnsi="Verdana" w:cs="Arial"/>
          <w:color w:val="000000"/>
          <w:szCs w:val="24"/>
          <w:lang w:val="es-ES_tradnl" w:eastAsia="es-ES_tradnl"/>
        </w:rPr>
        <w:t xml:space="preserve">Así, el literal a) del artículo 2.2 de la Ley 1150 de 2007 regula la adquisición o suministro de bienes y servicios de características técnicas uniformes y de común utilización como causal de selección abreviada. Para entender su alcance, es necesario tener en cuenta que </w:t>
      </w:r>
      <w:r w:rsidRPr="00185EE9">
        <w:rPr>
          <w:rFonts w:ascii="Verdana" w:eastAsia="Calibri" w:hAnsi="Verdana" w:cs="Arial"/>
          <w:bCs/>
          <w:color w:val="000000" w:themeColor="text1"/>
        </w:rPr>
        <w:t xml:space="preserve">el 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185EE9">
        <w:rPr>
          <w:rFonts w:ascii="Verdana" w:eastAsia="Calibri" w:hAnsi="Verdana" w:cs="Arial"/>
          <w:bCs/>
          <w:i/>
          <w:iCs/>
          <w:color w:val="000000" w:themeColor="text1"/>
        </w:rPr>
        <w:t>ibidem</w:t>
      </w:r>
      <w:r w:rsidRPr="00185EE9">
        <w:rPr>
          <w:rFonts w:ascii="Verdana" w:eastAsia="Calibri" w:hAnsi="Verdana" w:cs="Arial"/>
          <w:bCs/>
          <w:color w:val="000000" w:themeColor="text1"/>
        </w:rPr>
        <w:t xml:space="preserve"> prescribe lo siguiente: “Las palabras técnicas de toda ciencia o arte se tomarán en el sentido que les den los </w:t>
      </w:r>
      <w:r w:rsidRPr="00185EE9">
        <w:rPr>
          <w:rFonts w:ascii="Verdana" w:eastAsia="Calibri" w:hAnsi="Verdana" w:cs="Arial"/>
          <w:bCs/>
          <w:color w:val="000000" w:themeColor="text1"/>
        </w:rPr>
        <w:lastRenderedPageBreak/>
        <w:t>que profesan la misma ciencia o arte; a menos que aparezca claramente que se han formado en sentido diverso”</w:t>
      </w:r>
      <w:r w:rsidRPr="00185EE9">
        <w:rPr>
          <w:rStyle w:val="Refdenotaalpie"/>
          <w:rFonts w:ascii="Verdana" w:eastAsia="Calibri" w:hAnsi="Verdana" w:cs="Arial"/>
          <w:bCs/>
          <w:color w:val="000000" w:themeColor="text1"/>
        </w:rPr>
        <w:footnoteReference w:id="6"/>
      </w:r>
      <w:r w:rsidRPr="00185EE9">
        <w:rPr>
          <w:rFonts w:ascii="Verdana" w:eastAsia="Calibri" w:hAnsi="Verdana" w:cs="Arial"/>
          <w:bCs/>
          <w:color w:val="000000" w:themeColor="text1"/>
        </w:rPr>
        <w:t xml:space="preserve">. </w:t>
      </w:r>
    </w:p>
    <w:p w14:paraId="0764F8D1" w14:textId="77777777" w:rsidR="006116EB" w:rsidRPr="00185EE9" w:rsidRDefault="006116EB" w:rsidP="006116EB">
      <w:pPr>
        <w:spacing w:after="12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 xml:space="preserve">Por ello, según el literal a) del artículo 2, numeral 2 de la Ley 1150 de 2007, los bienes y servicios de características técnicas uniformes “[…] corresponden a aquellos que poseen las mismas especificaciones técnicas, con independencia de su diseño o de sus características descriptivas, y comparten patrones de desempeño y calidad objetivamente definidos”. Asimismo, el artículo 2.2.1.1.1.3.1 del Decreto 1082 de 2015 los define como aquellos “Bienes y servicios de común utilización con especificaciones técnicas y patrones de desempeño y calidad iguales o similares, que en consecuencia pueden ser agrupados como bienes y servicios homogéneos para su adquisición y a los que se refiere el literal (a) del numeral 2 del artículo 2 de la Ley 1150 de 2007”. De esta manera, conforme a las normas citadas en el párrafo precedente, prima la definición legal sobre el uso general o el significado técnico.  </w:t>
      </w:r>
    </w:p>
    <w:p w14:paraId="47AA17C8" w14:textId="77777777" w:rsidR="006116EB" w:rsidRPr="00185EE9" w:rsidRDefault="006116EB" w:rsidP="006116EB">
      <w:pPr>
        <w:spacing w:after="12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 xml:space="preserve">Para identificar los bienes y servicios que corresponden a este tipo, se destacan dos (2) aspectos importantes: la común utilización y la homogeneidad. Para la doctrina, la </w:t>
      </w:r>
      <w:r w:rsidRPr="00185EE9">
        <w:rPr>
          <w:rFonts w:ascii="Verdana" w:eastAsia="Calibri" w:hAnsi="Verdana" w:cs="Arial"/>
          <w:bCs/>
          <w:i/>
          <w:iCs/>
          <w:color w:val="000000" w:themeColor="text1"/>
        </w:rPr>
        <w:t>común utilización</w:t>
      </w:r>
      <w:r w:rsidRPr="00185EE9">
        <w:rPr>
          <w:rFonts w:ascii="Verdana" w:eastAsia="Calibri" w:hAnsi="Verdana" w:cs="Arial"/>
          <w:bCs/>
          <w:color w:val="000000" w:themeColor="text1"/>
        </w:rPr>
        <w:t xml:space="preserve"> “[…] busca que los bienes o servicios que se compren en esta categoría sean de los que se ofrecen en un mercado con un estándar para quienes los demandan, o lo que es igual, que la oferta de </w:t>
      </w:r>
      <w:proofErr w:type="gramStart"/>
      <w:r w:rsidRPr="00185EE9">
        <w:rPr>
          <w:rFonts w:ascii="Verdana" w:eastAsia="Calibri" w:hAnsi="Verdana" w:cs="Arial"/>
          <w:bCs/>
          <w:color w:val="000000" w:themeColor="text1"/>
        </w:rPr>
        <w:t>los mismos</w:t>
      </w:r>
      <w:proofErr w:type="gramEnd"/>
      <w:r w:rsidRPr="00185EE9">
        <w:rPr>
          <w:rFonts w:ascii="Verdana" w:eastAsia="Calibri" w:hAnsi="Verdana" w:cs="Arial"/>
          <w:bCs/>
          <w:color w:val="000000" w:themeColor="text1"/>
        </w:rPr>
        <w:t xml:space="preserve"> en el mercado ocurriese en condiciones equivalentes para todo interesado en adquirirlos”</w:t>
      </w:r>
      <w:r w:rsidRPr="00185EE9">
        <w:rPr>
          <w:rStyle w:val="Refdenotaalpie"/>
          <w:rFonts w:ascii="Verdana" w:eastAsia="Calibri" w:hAnsi="Verdana" w:cs="Arial"/>
          <w:bCs/>
          <w:color w:val="000000" w:themeColor="text1"/>
        </w:rPr>
        <w:footnoteReference w:id="7"/>
      </w:r>
      <w:r w:rsidRPr="00185EE9">
        <w:rPr>
          <w:rFonts w:ascii="Verdana" w:eastAsia="Calibri" w:hAnsi="Verdana" w:cs="Arial"/>
          <w:bCs/>
          <w:color w:val="000000" w:themeColor="text1"/>
        </w:rPr>
        <w:t xml:space="preserve">. Por su parte, la </w:t>
      </w:r>
      <w:r w:rsidRPr="00185EE9">
        <w:rPr>
          <w:rFonts w:ascii="Verdana" w:eastAsia="Calibri" w:hAnsi="Verdana" w:cs="Arial"/>
          <w:bCs/>
          <w:i/>
          <w:iCs/>
          <w:color w:val="000000" w:themeColor="text1"/>
        </w:rPr>
        <w:t>homogeneidad</w:t>
      </w:r>
      <w:r w:rsidRPr="00185EE9">
        <w:rPr>
          <w:rFonts w:ascii="Verdana" w:eastAsia="Calibri" w:hAnsi="Verdana" w:cs="Arial"/>
          <w:bCs/>
          <w:color w:val="000000" w:themeColor="text1"/>
        </w:rPr>
        <w:t xml:space="preserve"> se refiere a que “[…] sean fácilmente describibles por características mínimas comunes a los de su tipo, excluyendo elementos no esenciales, tales como los de diseño o cualquier otro que no altere la funcionalidad del bien o servicio. Ello debe ser así, en la </w:t>
      </w:r>
      <w:r w:rsidRPr="00185EE9">
        <w:rPr>
          <w:rFonts w:ascii="Verdana" w:eastAsia="Calibri" w:hAnsi="Verdana" w:cs="Arial"/>
          <w:bCs/>
          <w:color w:val="000000" w:themeColor="text1"/>
        </w:rPr>
        <w:lastRenderedPageBreak/>
        <w:t>medida en la cual se busca que la administración logre que compitan bienes o servicios de igual calidad, ofrecidos por los proponentes capaces de satisfacer el requerimiento de la entidad contratante”</w:t>
      </w:r>
      <w:r w:rsidRPr="00185EE9">
        <w:rPr>
          <w:rStyle w:val="Refdenotaalpie"/>
          <w:rFonts w:ascii="Verdana" w:eastAsia="Calibri" w:hAnsi="Verdana" w:cs="Arial"/>
          <w:bCs/>
          <w:color w:val="000000" w:themeColor="text1"/>
        </w:rPr>
        <w:footnoteReference w:id="8"/>
      </w:r>
      <w:r w:rsidRPr="00185EE9">
        <w:rPr>
          <w:rFonts w:ascii="Verdana" w:eastAsia="Calibri" w:hAnsi="Verdana" w:cs="Arial"/>
          <w:bCs/>
          <w:color w:val="000000" w:themeColor="text1"/>
        </w:rPr>
        <w:t>.</w:t>
      </w:r>
    </w:p>
    <w:p w14:paraId="635F33CA" w14:textId="77777777" w:rsidR="006116EB" w:rsidRPr="00185EE9" w:rsidRDefault="006116EB" w:rsidP="006116EB">
      <w:pPr>
        <w:spacing w:after="0" w:line="276" w:lineRule="auto"/>
        <w:ind w:firstLine="708"/>
        <w:jc w:val="both"/>
        <w:rPr>
          <w:rFonts w:ascii="Verdana" w:eastAsia="Calibri" w:hAnsi="Verdana" w:cs="Arial"/>
        </w:rPr>
      </w:pPr>
      <w:r w:rsidRPr="00185EE9">
        <w:rPr>
          <w:rFonts w:ascii="Verdana" w:eastAsia="Calibri" w:hAnsi="Verdana" w:cs="Arial"/>
          <w:bCs/>
          <w:color w:val="000000" w:themeColor="text1"/>
        </w:rPr>
        <w:t xml:space="preserve">Los elementos centrales para definir si un bien o servicio se considera de características técnicas uniformes consiste en que posea las mismas especificaciones técnicas y compartan patrones de desempeño y calidad objetivamente definidos. Por ello, es posible adquirirlos en el mercado en condiciones estandarizadas u homogéneas, con independencia de su diseño o de sus características descriptivas, pues éstas no afectan su funcionalidad. La forma cómo se adquieren en el mercado determina si un bien o servicio encaja en esta categoría, de ahí que el Decreto 1082 de 2015 disponga que “[…] pueden ser agrupados como bienes y servicios homogéneos para su adquisición […]”, dado que cuentan con especificaciones técnicas y patrones de desempeño y calidad similares. Al respecto, la exposición de motivos de la Ley 1150 de 2007 explica que: </w:t>
      </w:r>
    </w:p>
    <w:p w14:paraId="5652A7F2" w14:textId="77777777" w:rsidR="006116EB" w:rsidRPr="00185EE9" w:rsidRDefault="006116EB" w:rsidP="006116EB">
      <w:pPr>
        <w:spacing w:after="0" w:line="276" w:lineRule="auto"/>
        <w:jc w:val="both"/>
        <w:rPr>
          <w:rFonts w:ascii="Verdana" w:eastAsia="Calibri" w:hAnsi="Verdana" w:cs="Arial"/>
        </w:rPr>
      </w:pPr>
    </w:p>
    <w:p w14:paraId="3C01C768" w14:textId="77777777" w:rsidR="006116EB" w:rsidRPr="005A3914" w:rsidRDefault="006116EB" w:rsidP="006116EB">
      <w:pPr>
        <w:spacing w:after="0" w:line="240" w:lineRule="auto"/>
        <w:ind w:left="709" w:right="709"/>
        <w:jc w:val="both"/>
        <w:rPr>
          <w:rFonts w:ascii="Verdana" w:eastAsia="Calibri" w:hAnsi="Verdana" w:cs="Arial"/>
          <w:sz w:val="20"/>
          <w:szCs w:val="20"/>
        </w:rPr>
      </w:pPr>
      <w:r w:rsidRPr="005A3914">
        <w:rPr>
          <w:rFonts w:ascii="Verdana" w:eastAsia="Calibri" w:hAnsi="Verdana" w:cs="Arial"/>
          <w:sz w:val="20"/>
          <w:szCs w:val="20"/>
        </w:rPr>
        <w:t xml:space="preserve">“[…] las innovaciones del proceso de selección abreviada empiezan por una medida trascendental, para llevar a sólo horas los contratos referidos a la adquisición de bienes de ‘características técnicas uniformes y de común utilización’ </w:t>
      </w:r>
      <w:proofErr w:type="gramStart"/>
      <w:r w:rsidRPr="005A3914">
        <w:rPr>
          <w:rFonts w:ascii="Verdana" w:eastAsia="Calibri" w:hAnsi="Verdana" w:cs="Arial"/>
          <w:sz w:val="20"/>
          <w:szCs w:val="20"/>
        </w:rPr>
        <w:t>que</w:t>
      </w:r>
      <w:proofErr w:type="gramEnd"/>
      <w:r w:rsidRPr="005A3914">
        <w:rPr>
          <w:rFonts w:ascii="Verdana" w:eastAsia="Calibri" w:hAnsi="Verdana" w:cs="Arial"/>
          <w:sz w:val="20"/>
          <w:szCs w:val="20"/>
        </w:rPr>
        <w:t xml:space="preserve"> según cálculos del Departamento Nacional de Planeación, corresponden a más del 80% en número de contratos. </w:t>
      </w:r>
      <w:r w:rsidRPr="005A3914">
        <w:rPr>
          <w:rFonts w:ascii="Verdana" w:eastAsia="Calibri" w:hAnsi="Verdana" w:cs="Arial"/>
          <w:i/>
          <w:iCs/>
          <w:sz w:val="20"/>
          <w:szCs w:val="20"/>
        </w:rPr>
        <w:t>De esta forma, en la medida en la cual se trate de adquirir un objeto cuyas características técnicas puedan reducirse a unas comunes a su funcionalidad y calidad, tal proceso debe realizarse únicamente en función del precio del bien, una vez se han verificado las condiciones de capacidad de los proponentes para cumplir con el contrato (‘pasa, no pasa’)</w:t>
      </w:r>
      <w:r w:rsidRPr="005A3914">
        <w:rPr>
          <w:rFonts w:ascii="Verdana" w:eastAsia="Calibri" w:hAnsi="Verdana" w:cs="Arial"/>
          <w:sz w:val="20"/>
          <w:szCs w:val="20"/>
        </w:rPr>
        <w:t xml:space="preserve"> […]”</w:t>
      </w:r>
      <w:r w:rsidRPr="005A3914">
        <w:rPr>
          <w:rStyle w:val="Refdenotaalpie"/>
          <w:rFonts w:ascii="Verdana" w:eastAsia="Calibri" w:hAnsi="Verdana" w:cs="Arial"/>
          <w:sz w:val="20"/>
          <w:szCs w:val="20"/>
        </w:rPr>
        <w:footnoteReference w:id="9"/>
      </w:r>
      <w:r w:rsidRPr="005A3914">
        <w:rPr>
          <w:rFonts w:ascii="Verdana" w:eastAsia="Calibri" w:hAnsi="Verdana" w:cs="Arial"/>
          <w:sz w:val="20"/>
          <w:szCs w:val="20"/>
        </w:rPr>
        <w:t>. (Énfasis fuera de texto)</w:t>
      </w:r>
    </w:p>
    <w:p w14:paraId="2B4BA81D" w14:textId="77777777" w:rsidR="006116EB" w:rsidRPr="00185EE9" w:rsidRDefault="006116EB" w:rsidP="006116EB">
      <w:pPr>
        <w:spacing w:after="0" w:line="276" w:lineRule="auto"/>
        <w:jc w:val="both"/>
        <w:rPr>
          <w:rFonts w:ascii="Verdana" w:eastAsia="Calibri" w:hAnsi="Verdana" w:cs="Arial"/>
        </w:rPr>
      </w:pPr>
    </w:p>
    <w:p w14:paraId="107D3761" w14:textId="77777777" w:rsidR="006116EB" w:rsidRPr="00185EE9" w:rsidRDefault="006116EB" w:rsidP="006116EB">
      <w:pPr>
        <w:spacing w:after="120" w:line="276" w:lineRule="auto"/>
        <w:ind w:firstLine="709"/>
        <w:jc w:val="both"/>
        <w:rPr>
          <w:rFonts w:ascii="Verdana" w:eastAsia="Calibri" w:hAnsi="Verdana" w:cs="Arial"/>
        </w:rPr>
      </w:pPr>
      <w:r w:rsidRPr="00185EE9">
        <w:rPr>
          <w:rFonts w:ascii="Verdana" w:eastAsia="Calibri" w:hAnsi="Verdana" w:cs="Arial"/>
        </w:rPr>
        <w:t>En este contexto, la doctrina identifica como bienes o servicios de características técnicas los insumos de oficina –bolígrafos, cartuchos de tinta, papel de impresora, tijeras, cuadernos, entre otros–, los insumos de limpieza –bolsas de basura, esponjas, limpiador de pisos, papel higiénico, toallas de papel, entre otros–, y los insumos de cocina –agua, aromáticas, azúcar, café, servilletas, entre otros–. También identifica como tales los muebles y enseres –</w:t>
      </w:r>
      <w:r w:rsidRPr="00185EE9">
        <w:rPr>
          <w:rFonts w:ascii="Verdana" w:eastAsia="Calibri" w:hAnsi="Verdana" w:cs="Arial"/>
        </w:rPr>
        <w:lastRenderedPageBreak/>
        <w:t>archivos, asientos, escritorios, mesas, entre otros–, los equipos –computadores, escáneres, impresoras, proyectores, entre otros–, los combustibles –ACPM, biodiesel, gasolina, combustible diésel, entre otros–, los servicios de mantenimiento –equipos electrónicos, de comunicaciones, entre otros–, etc.</w:t>
      </w:r>
      <w:r w:rsidRPr="00185EE9">
        <w:rPr>
          <w:rStyle w:val="Refdenotaalpie"/>
          <w:rFonts w:ascii="Verdana" w:eastAsia="Calibri" w:hAnsi="Verdana" w:cs="Arial"/>
        </w:rPr>
        <w:footnoteReference w:id="10"/>
      </w:r>
    </w:p>
    <w:p w14:paraId="2EC24BB9" w14:textId="77777777" w:rsidR="006116EB" w:rsidRDefault="006116EB" w:rsidP="006116EB">
      <w:pPr>
        <w:spacing w:after="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En definitiva, la nota común de este conjunto de bienes y servicios es que, con independencia de sus características descriptivas, comparten patrones de desempeño y calidad similares para la satisfacción de la necesidad a la que atienden. Igualmente, el inciso segundo del literal a) del artículo 2, numeral 2 de la Ley 1150 de 2007 dispone que “</w:t>
      </w:r>
      <w:r w:rsidRPr="00185EE9">
        <w:rPr>
          <w:rFonts w:ascii="Verdana" w:eastAsia="Calibri" w:hAnsi="Verdana" w:cs="Arial"/>
          <w:bCs/>
          <w:i/>
          <w:iCs/>
          <w:color w:val="000000" w:themeColor="text1"/>
        </w:rPr>
        <w:t>Para la adquisición de estos bienes y servicios las entidades deberán</w:t>
      </w:r>
      <w:r w:rsidRPr="00185EE9">
        <w:rPr>
          <w:rFonts w:ascii="Verdana" w:eastAsia="Calibri" w:hAnsi="Verdana" w:cs="Arial"/>
          <w:bCs/>
          <w:color w:val="000000" w:themeColor="text1"/>
        </w:rPr>
        <w:t xml:space="preserve">, siempre que el reglamento así lo señale, </w:t>
      </w:r>
      <w:r w:rsidRPr="00185EE9">
        <w:rPr>
          <w:rFonts w:ascii="Verdana" w:eastAsia="Calibri" w:hAnsi="Verdana" w:cs="Arial"/>
          <w:bCs/>
          <w:i/>
          <w:iCs/>
          <w:color w:val="000000" w:themeColor="text1"/>
        </w:rPr>
        <w:t>hacer uso</w:t>
      </w:r>
      <w:r w:rsidRPr="00185EE9">
        <w:rPr>
          <w:rFonts w:ascii="Verdana" w:eastAsia="Calibri" w:hAnsi="Verdana" w:cs="Arial"/>
          <w:bCs/>
          <w:color w:val="000000" w:themeColor="text1"/>
        </w:rPr>
        <w:t xml:space="preserve"> de procedimientos de subasta inversa o de instrumentos de compra por catálogo derivados de la celebración de acuerdos marco de precios o </w:t>
      </w:r>
      <w:r w:rsidRPr="00185EE9">
        <w:rPr>
          <w:rFonts w:ascii="Verdana" w:eastAsia="Calibri" w:hAnsi="Verdana" w:cs="Arial"/>
          <w:bCs/>
          <w:i/>
          <w:iCs/>
          <w:color w:val="000000" w:themeColor="text1"/>
        </w:rPr>
        <w:t>de procedimientos de adquisición en bolsas de productos</w:t>
      </w:r>
      <w:r w:rsidRPr="00185EE9">
        <w:rPr>
          <w:rFonts w:ascii="Verdana" w:eastAsia="Calibri" w:hAnsi="Verdana" w:cs="Arial"/>
          <w:bCs/>
          <w:color w:val="000000" w:themeColor="text1"/>
        </w:rPr>
        <w:t>” (Énfasis fuera de texto). Estos mecanismos se aplicarán en la forma que disponga el Decreto 1082 de 2015 para para cada uno de ellos.</w:t>
      </w:r>
    </w:p>
    <w:p w14:paraId="6EDFB69F" w14:textId="77777777" w:rsidR="006116EB" w:rsidRPr="00185EE9" w:rsidRDefault="006116EB" w:rsidP="006116EB">
      <w:pPr>
        <w:spacing w:after="0" w:line="276" w:lineRule="auto"/>
        <w:ind w:firstLine="709"/>
        <w:jc w:val="both"/>
        <w:rPr>
          <w:rFonts w:ascii="Verdana" w:eastAsia="Calibri" w:hAnsi="Verdana" w:cs="Arial"/>
          <w:bCs/>
          <w:color w:val="000000" w:themeColor="text1"/>
        </w:rPr>
      </w:pPr>
    </w:p>
    <w:p w14:paraId="176DD75E" w14:textId="6FAE45CB" w:rsidR="006116EB" w:rsidRPr="00185EE9" w:rsidRDefault="006116EB" w:rsidP="006116EB">
      <w:pPr>
        <w:spacing w:after="120"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ii</w:t>
      </w:r>
      <w:proofErr w:type="spellEnd"/>
      <w:r>
        <w:rPr>
          <w:rFonts w:ascii="Verdana" w:eastAsia="Calibri" w:hAnsi="Verdana" w:cs="Arial"/>
          <w:bCs/>
          <w:color w:val="000000" w:themeColor="text1"/>
        </w:rPr>
        <w:t xml:space="preserve">. </w:t>
      </w:r>
      <w:r w:rsidRPr="00185EE9">
        <w:rPr>
          <w:rFonts w:ascii="Verdana" w:eastAsia="Calibri" w:hAnsi="Verdana" w:cs="Arial"/>
          <w:bCs/>
          <w:color w:val="000000" w:themeColor="text1"/>
        </w:rPr>
        <w:t xml:space="preserve">Respecto a los servicios de vigilancia privada, nada se opone a que puedan considerarse como de características técnicas uniformes. Esto en la medida en que –de acuerdo con el artículo 2 del Decreto Ley 356 de 1994– corresponden a “[…] las actividades que en forma remunerada o en beneficio de una organización pública o privada, desarrollan las personas naturales o jurídicas, tendientes a prevenir o detener perturbaciones a la seguridad y tranquilidad individual en lo relacionado con la vida y los bienes propios o de terceros y la fabricación, instalación, comercialización y utilización de equipos para vigilancia y seguridad privada, blindajes y transportes con este mismo fin”. </w:t>
      </w:r>
    </w:p>
    <w:p w14:paraId="6BEBF050" w14:textId="77777777" w:rsidR="006116EB" w:rsidRPr="00185EE9" w:rsidRDefault="006116EB" w:rsidP="006116EB">
      <w:pPr>
        <w:spacing w:after="12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 xml:space="preserve">Su prestación se encuentra estandarizada desde el punto de vista normativo, pues los artículos 5 y 6 </w:t>
      </w:r>
      <w:r w:rsidRPr="00185EE9">
        <w:rPr>
          <w:rFonts w:ascii="Verdana" w:eastAsia="Calibri" w:hAnsi="Verdana" w:cs="Arial"/>
          <w:bCs/>
          <w:i/>
          <w:iCs/>
          <w:color w:val="000000" w:themeColor="text1"/>
        </w:rPr>
        <w:t>ibidem</w:t>
      </w:r>
      <w:r w:rsidRPr="00185EE9">
        <w:rPr>
          <w:rFonts w:ascii="Verdana" w:eastAsia="Calibri" w:hAnsi="Verdana" w:cs="Arial"/>
          <w:bCs/>
          <w:color w:val="000000" w:themeColor="text1"/>
        </w:rPr>
        <w:t xml:space="preserve"> autorizan la vigilancia fija, la vigilancia móvil, el servicio de escolta y el transporte de valores, y permite la utilización de armas de fuego, recursos humanos, animales, tecnológicos o materiales, vehículos e instalaciones físicas, y cualquier otro medio autorizado por la Superintendencia de Vigilancia y Seguridad Privada. Asimismo, el decreto ley fija condiciones para el servicio cuando las actividades se ejecutan con o sin armas, </w:t>
      </w:r>
      <w:r w:rsidRPr="00185EE9">
        <w:rPr>
          <w:rFonts w:ascii="Verdana" w:eastAsia="Calibri" w:hAnsi="Verdana" w:cs="Arial"/>
          <w:bCs/>
          <w:color w:val="000000" w:themeColor="text1"/>
        </w:rPr>
        <w:lastRenderedPageBreak/>
        <w:t>imponiéndoles tanto una serie de principios, deberes y obligaciones como de disposiciones comunes.</w:t>
      </w:r>
    </w:p>
    <w:p w14:paraId="556F0B9F" w14:textId="77777777" w:rsidR="006116EB" w:rsidRPr="00185EE9" w:rsidRDefault="006116EB" w:rsidP="006116EB">
      <w:pPr>
        <w:spacing w:after="12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 xml:space="preserve">Estos servicios además se encuentran sujetos a las tarifas mínimas establecidas en la Circular Externa de la Superintendencia de Vigilancia y Seguridad Privada </w:t>
      </w:r>
      <w:r w:rsidRPr="00BA6BE6">
        <w:rPr>
          <w:rFonts w:ascii="Verdana" w:eastAsia="Calibri" w:hAnsi="Verdana" w:cs="Arial"/>
          <w:bCs/>
          <w:color w:val="000000" w:themeColor="text1"/>
        </w:rPr>
        <w:t>20241300000445</w:t>
      </w:r>
      <w:r w:rsidRPr="00185EE9">
        <w:rPr>
          <w:rFonts w:ascii="Verdana" w:eastAsia="Calibri" w:hAnsi="Verdana" w:cs="Arial"/>
          <w:bCs/>
          <w:color w:val="000000" w:themeColor="text1"/>
        </w:rPr>
        <w:t xml:space="preserve"> del 30 de diciembre de 202</w:t>
      </w:r>
      <w:r>
        <w:rPr>
          <w:rFonts w:ascii="Verdana" w:eastAsia="Calibri" w:hAnsi="Verdana" w:cs="Arial"/>
          <w:bCs/>
          <w:color w:val="000000" w:themeColor="text1"/>
        </w:rPr>
        <w:t>4</w:t>
      </w:r>
      <w:r w:rsidRPr="00185EE9">
        <w:rPr>
          <w:rFonts w:ascii="Verdana" w:eastAsia="Calibri" w:hAnsi="Verdana" w:cs="Arial"/>
          <w:bCs/>
          <w:color w:val="000000" w:themeColor="text1"/>
        </w:rPr>
        <w:t>. No obstante, este elemento normativo no hace parte de las definiciones del literal a) del numeral</w:t>
      </w:r>
      <w:r>
        <w:rPr>
          <w:rFonts w:ascii="Verdana" w:eastAsia="Calibri" w:hAnsi="Verdana" w:cs="Arial"/>
          <w:bCs/>
          <w:color w:val="000000" w:themeColor="text1"/>
        </w:rPr>
        <w:t xml:space="preserve"> </w:t>
      </w:r>
      <w:r w:rsidRPr="00185EE9">
        <w:rPr>
          <w:rFonts w:ascii="Verdana" w:eastAsia="Calibri" w:hAnsi="Verdana" w:cs="Arial"/>
          <w:bCs/>
          <w:color w:val="000000" w:themeColor="text1"/>
        </w:rPr>
        <w:t xml:space="preserve">2 </w:t>
      </w:r>
      <w:r>
        <w:rPr>
          <w:rFonts w:ascii="Verdana" w:eastAsia="Calibri" w:hAnsi="Verdana" w:cs="Arial"/>
          <w:bCs/>
          <w:color w:val="000000" w:themeColor="text1"/>
        </w:rPr>
        <w:t xml:space="preserve">del </w:t>
      </w:r>
      <w:r w:rsidRPr="00185EE9">
        <w:rPr>
          <w:rFonts w:ascii="Verdana" w:eastAsia="Calibri" w:hAnsi="Verdana" w:cs="Arial"/>
          <w:bCs/>
          <w:color w:val="000000" w:themeColor="text1"/>
        </w:rPr>
        <w:t>artículo 2 de la Ley 1150 de 2007</w:t>
      </w:r>
      <w:r>
        <w:rPr>
          <w:rFonts w:ascii="Verdana" w:eastAsia="Calibri" w:hAnsi="Verdana" w:cs="Arial"/>
          <w:bCs/>
          <w:color w:val="000000" w:themeColor="text1"/>
        </w:rPr>
        <w:t>,</w:t>
      </w:r>
      <w:r w:rsidRPr="00185EE9">
        <w:rPr>
          <w:rFonts w:ascii="Verdana" w:eastAsia="Calibri" w:hAnsi="Verdana" w:cs="Arial"/>
          <w:bCs/>
          <w:color w:val="000000" w:themeColor="text1"/>
        </w:rPr>
        <w:t xml:space="preserve"> ni del artículo 2.2.1.1.1.3.1 del Decreto 1082 de 2015. Es decir, mientras que su prestación comparta patrones de desempeño y calidad similares para la satisfacción de la necesidad a la que atienden, éstos son de características técnicas uniformes, con independencia de que el precio se encuentre o no regulado. </w:t>
      </w:r>
    </w:p>
    <w:p w14:paraId="201DB598" w14:textId="77777777" w:rsidR="006116EB" w:rsidRPr="00185EE9" w:rsidRDefault="006116EB" w:rsidP="006116EB">
      <w:pPr>
        <w:spacing w:after="12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Sin embargo, las tarifas mínimas establecidas para este tipo de servicios representan una medida regulatoria que hace que l</w:t>
      </w:r>
      <w:r>
        <w:rPr>
          <w:rFonts w:ascii="Verdana" w:eastAsia="Calibri" w:hAnsi="Verdana" w:cs="Arial"/>
          <w:bCs/>
          <w:color w:val="000000" w:themeColor="text1"/>
        </w:rPr>
        <w:t>a</w:t>
      </w:r>
      <w:r w:rsidRPr="00185EE9">
        <w:rPr>
          <w:rFonts w:ascii="Verdana" w:eastAsia="Calibri" w:hAnsi="Verdana" w:cs="Arial"/>
          <w:bCs/>
          <w:color w:val="000000" w:themeColor="text1"/>
        </w:rPr>
        <w:t xml:space="preserve">s ofertas para la prestación de este tipo de servicios tiendan al valor mínimo permitido por la regulación tarifaria, lo que dificulta que las Entidades Estatales puedan determinar la oferta más favorable con base en el menor precio, como bien podría suceder con bienes o servicios que no tienen un precio mínimo regulado, de acuerdo con lo previsto en el numeral 3 del artículo 5 de la Ley 1150 de 2007. Es por esto por lo que, la aplicación de mecanismos de subasta, catálogos derivados de acuerdos de precios y bolsa de productos, no resultan funcionales para garantizar la selección objetiva, al no permitir la aplicación de factores de evaluación distintos del precio.      </w:t>
      </w:r>
    </w:p>
    <w:p w14:paraId="2ECC5219" w14:textId="77777777" w:rsidR="006116EB" w:rsidRDefault="006116EB" w:rsidP="006116EB">
      <w:pPr>
        <w:shd w:val="clear" w:color="auto" w:fill="FFFFFF"/>
        <w:spacing w:after="0" w:line="276" w:lineRule="auto"/>
        <w:ind w:right="51" w:firstLine="709"/>
        <w:jc w:val="both"/>
        <w:rPr>
          <w:rFonts w:ascii="Verdana" w:eastAsia="Calibri" w:hAnsi="Verdana" w:cs="Arial"/>
          <w:color w:val="000000"/>
          <w:lang w:val="es-ES_tradnl"/>
        </w:rPr>
      </w:pPr>
      <w:r w:rsidRPr="00185EE9">
        <w:rPr>
          <w:rFonts w:ascii="Verdana" w:eastAsia="Calibri" w:hAnsi="Verdana" w:cs="Arial"/>
          <w:color w:val="000000"/>
          <w:lang w:val="es-ES_tradnl"/>
        </w:rPr>
        <w:t xml:space="preserve">Sobre el particular, resulta pertinente traer a colación lo manifestado en el salvamento de voto de la sentencia de 17 de junio de 2024, expedida por la Sección Tercera del Consejo de Estado, en el marco del cual, el consejero Martín Bermúdez Muñoz, realizó las siguientes consideraciones sobre la modalidad de selección aplicable para la contratación de servicios de vigilancia y seguridad privada:  </w:t>
      </w:r>
    </w:p>
    <w:p w14:paraId="6F7666AA" w14:textId="77777777" w:rsidR="006116EB" w:rsidRPr="00185EE9" w:rsidRDefault="006116EB" w:rsidP="006116EB">
      <w:pPr>
        <w:shd w:val="clear" w:color="auto" w:fill="FFFFFF"/>
        <w:spacing w:after="0" w:line="276" w:lineRule="auto"/>
        <w:ind w:right="51" w:firstLine="709"/>
        <w:jc w:val="both"/>
        <w:rPr>
          <w:rFonts w:ascii="Verdana" w:eastAsia="Calibri" w:hAnsi="Verdana" w:cs="Arial"/>
          <w:color w:val="000000"/>
          <w:lang w:val="es-ES_tradnl"/>
        </w:rPr>
      </w:pPr>
      <w:r w:rsidRPr="00185EE9">
        <w:rPr>
          <w:rFonts w:ascii="Verdana" w:eastAsia="Calibri" w:hAnsi="Verdana" w:cs="Arial"/>
          <w:color w:val="000000"/>
          <w:lang w:val="es-ES_tradnl"/>
        </w:rPr>
        <w:t xml:space="preserve"> </w:t>
      </w:r>
    </w:p>
    <w:p w14:paraId="2C4D82F1" w14:textId="77777777" w:rsidR="006116EB" w:rsidRPr="00185EE9" w:rsidRDefault="006116EB" w:rsidP="006116EB">
      <w:pPr>
        <w:spacing w:after="0" w:line="240" w:lineRule="auto"/>
        <w:ind w:left="709" w:right="709"/>
        <w:jc w:val="both"/>
        <w:textAlignment w:val="baseline"/>
        <w:rPr>
          <w:rFonts w:ascii="Verdana" w:eastAsia="Arial" w:hAnsi="Verdana" w:cs="Arial"/>
          <w:sz w:val="20"/>
          <w:szCs w:val="20"/>
        </w:rPr>
      </w:pPr>
      <w:r w:rsidRPr="00185EE9">
        <w:rPr>
          <w:rFonts w:ascii="Verdana" w:eastAsia="Arial" w:hAnsi="Verdana" w:cs="Arial"/>
          <w:sz w:val="20"/>
          <w:szCs w:val="20"/>
        </w:rPr>
        <w:t xml:space="preserve">“Apartándose de la posición mayoritaria de la Sala, que estima que la consideración anterior es suficiente, el ponente consideraba importante incluir una reflexión acerca de si la subasta inversa para adjudicar un contrato de vigilancia en el que la tarifa se encuentra regulada por la ley era el método de selección apropiado y si a través </w:t>
      </w:r>
      <w:proofErr w:type="gramStart"/>
      <w:r w:rsidRPr="00185EE9">
        <w:rPr>
          <w:rFonts w:ascii="Verdana" w:eastAsia="Arial" w:hAnsi="Verdana" w:cs="Arial"/>
          <w:sz w:val="20"/>
          <w:szCs w:val="20"/>
        </w:rPr>
        <w:t>del mismo</w:t>
      </w:r>
      <w:proofErr w:type="gramEnd"/>
      <w:r w:rsidRPr="00185EE9">
        <w:rPr>
          <w:rFonts w:ascii="Verdana" w:eastAsia="Arial" w:hAnsi="Verdana" w:cs="Arial"/>
          <w:sz w:val="20"/>
          <w:szCs w:val="20"/>
        </w:rPr>
        <w:t xml:space="preserve"> podía escogerse el contratista que ofreciera el mejor servicio para la entidad, </w:t>
      </w:r>
      <w:r w:rsidRPr="00185EE9">
        <w:rPr>
          <w:rFonts w:ascii="Verdana" w:eastAsia="Arial" w:hAnsi="Verdana" w:cs="Arial"/>
          <w:sz w:val="20"/>
          <w:szCs w:val="20"/>
        </w:rPr>
        <w:lastRenderedPageBreak/>
        <w:t>que es lo que debe perseguir cualquier proceso de selección. Adjudicar por un proceso de subasta inversa en el que resulta admisible que la puja sea de un peso ($1) a ($0.1) para celebrar un contrato en el que es evidente que este valor no tiene ningún tipo de incidencia, implica preguntarse si –en serio– este es el proceso que garantiza los propósitos de la contratación pública y evita prácticas colusorias en este tipo de contratos. El hecho de que la tarifa de un servicio esté regulada indica que la selección por subasta inversa no es apropiada porque esa regulación impide competir ofreciendo el precio más bajo; esta constatación conlleva la necesidad de estudiar oportunamente la opción de escoger un proceso de selección que permita considerar y medir objetivamente otros criterios de adjudicación en los cuales ella dependa de factores distintos que privilegien, entre otras cosas, la calidad del servicio”.</w:t>
      </w:r>
      <w:r w:rsidRPr="00185EE9">
        <w:rPr>
          <w:rStyle w:val="Refdenotaalpie"/>
          <w:rFonts w:ascii="Verdana" w:eastAsia="Arial" w:hAnsi="Verdana" w:cs="Arial"/>
          <w:sz w:val="20"/>
          <w:szCs w:val="20"/>
        </w:rPr>
        <w:footnoteReference w:id="11"/>
      </w:r>
      <w:r w:rsidRPr="00185EE9">
        <w:rPr>
          <w:rFonts w:ascii="Verdana" w:eastAsia="Arial" w:hAnsi="Verdana" w:cs="Arial"/>
          <w:sz w:val="20"/>
          <w:szCs w:val="20"/>
        </w:rPr>
        <w:t xml:space="preserve"> </w:t>
      </w:r>
    </w:p>
    <w:p w14:paraId="34A522B4" w14:textId="77777777" w:rsidR="006116EB" w:rsidRPr="00185EE9" w:rsidRDefault="006116EB" w:rsidP="006116EB">
      <w:pPr>
        <w:spacing w:after="0" w:line="240" w:lineRule="auto"/>
        <w:ind w:left="709" w:right="709"/>
        <w:jc w:val="both"/>
        <w:textAlignment w:val="baseline"/>
        <w:rPr>
          <w:rFonts w:ascii="Verdana" w:eastAsia="Arial" w:hAnsi="Verdana" w:cs="Arial"/>
          <w:sz w:val="20"/>
          <w:szCs w:val="20"/>
        </w:rPr>
      </w:pPr>
    </w:p>
    <w:p w14:paraId="3E313459" w14:textId="77777777" w:rsidR="006116EB" w:rsidRPr="00185EE9" w:rsidRDefault="006116EB" w:rsidP="006116EB">
      <w:pPr>
        <w:shd w:val="clear" w:color="auto" w:fill="FFFFFF" w:themeFill="background1"/>
        <w:spacing w:after="120" w:line="276" w:lineRule="auto"/>
        <w:ind w:right="51" w:firstLine="709"/>
        <w:jc w:val="both"/>
        <w:rPr>
          <w:rFonts w:ascii="Verdana" w:eastAsia="Calibri" w:hAnsi="Verdana" w:cs="Arial"/>
          <w:color w:val="000000" w:themeColor="text1"/>
          <w:lang w:val="es-ES"/>
        </w:rPr>
      </w:pPr>
      <w:r w:rsidRPr="00185EE9">
        <w:rPr>
          <w:rFonts w:ascii="Verdana" w:eastAsia="Calibri" w:hAnsi="Verdana" w:cs="Arial"/>
          <w:color w:val="000000" w:themeColor="text1"/>
          <w:lang w:val="es-ES"/>
        </w:rPr>
        <w:t>Las consideraciones transcritas de este salvamento de voto, si bien no constituyen un criterio jurisprudencial unificado de la Sección Tercera del Consejo de Estado que tengan un efecto directo procesos de contratación en específico, s</w:t>
      </w:r>
      <w:r>
        <w:rPr>
          <w:rFonts w:ascii="Verdana" w:eastAsia="Calibri" w:hAnsi="Verdana" w:cs="Arial"/>
          <w:color w:val="000000" w:themeColor="text1"/>
          <w:lang w:val="es-ES"/>
        </w:rPr>
        <w:t>í</w:t>
      </w:r>
      <w:r w:rsidRPr="00185EE9">
        <w:rPr>
          <w:rFonts w:ascii="Verdana" w:eastAsia="Calibri" w:hAnsi="Verdana" w:cs="Arial"/>
          <w:color w:val="000000" w:themeColor="text1"/>
          <w:lang w:val="es-ES"/>
        </w:rPr>
        <w:t xml:space="preserve"> llaman la atención sobre la necesidad de que la selección objetiva de contratistas para la prestación de servicios de vigilancia y seguridad privada se haga a través de procedimiento que permitan comparar las ofertas a partir de factores distintos del precio. </w:t>
      </w:r>
    </w:p>
    <w:p w14:paraId="00B215D3" w14:textId="77777777" w:rsidR="006116EB" w:rsidRPr="00185EE9" w:rsidRDefault="006116EB" w:rsidP="006116EB">
      <w:pPr>
        <w:spacing w:after="12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En atención a lo anterior, esta Subdirección estima que, la modalidad de selección más adecuada para la contratación de servicios de vigilancia y seguridad privada es la licitación pública, no s</w:t>
      </w:r>
      <w:r>
        <w:rPr>
          <w:rFonts w:ascii="Verdana" w:eastAsia="Calibri" w:hAnsi="Verdana" w:cs="Arial"/>
          <w:bCs/>
          <w:color w:val="000000" w:themeColor="text1"/>
        </w:rPr>
        <w:t>ó</w:t>
      </w:r>
      <w:r w:rsidRPr="00185EE9">
        <w:rPr>
          <w:rFonts w:ascii="Verdana" w:eastAsia="Calibri" w:hAnsi="Verdana" w:cs="Arial"/>
          <w:bCs/>
          <w:color w:val="000000" w:themeColor="text1"/>
        </w:rPr>
        <w:t>lo porque de acuerdo con el artículo 2, numeral 1 de la Ley 1150 de 2007 es la regla general para objetos no sujetos a alguna modalidad en específico, sino también por ser el procedimiento donde se cuentan con más elementos para garantizar la selección objetiva a partir de factores distintos del precio. De acuerdo con lo establecido en el numeral 2 del artículo 5 de la Ley 1150 de 2007, reglamentado en el artículo 2.2.1.1.2.2.2 del Decreto 1082 de 2015, en est</w:t>
      </w:r>
      <w:r>
        <w:rPr>
          <w:rFonts w:ascii="Verdana" w:eastAsia="Calibri" w:hAnsi="Verdana" w:cs="Arial"/>
          <w:bCs/>
          <w:color w:val="000000" w:themeColor="text1"/>
        </w:rPr>
        <w:t>a</w:t>
      </w:r>
      <w:r w:rsidRPr="00185EE9">
        <w:rPr>
          <w:rFonts w:ascii="Verdana" w:eastAsia="Calibri" w:hAnsi="Verdana" w:cs="Arial"/>
          <w:bCs/>
          <w:color w:val="000000" w:themeColor="text1"/>
        </w:rPr>
        <w:t xml:space="preserve"> modalidad de selección la oferta más favorable es que represente la mejor relación calidad-precio, la cual se debe determinar ponderando el valor de la oferta económica con factores de calidad, criterios sociales y ambientales, sin perjuicio de la aplicación de puntajes adicionales dispuestos por la normativa de contratación pública –</w:t>
      </w:r>
      <w:r w:rsidRPr="00185EE9">
        <w:rPr>
          <w:rFonts w:ascii="Verdana" w:eastAsia="Calibri" w:hAnsi="Verdana" w:cs="Arial"/>
          <w:bCs/>
          <w:i/>
          <w:iCs/>
          <w:color w:val="000000" w:themeColor="text1"/>
        </w:rPr>
        <w:t>v.g.</w:t>
      </w:r>
      <w:r w:rsidRPr="00185EE9">
        <w:rPr>
          <w:rFonts w:ascii="Verdana" w:eastAsia="Calibri" w:hAnsi="Verdana" w:cs="Arial"/>
          <w:bCs/>
          <w:color w:val="000000" w:themeColor="text1"/>
        </w:rPr>
        <w:t xml:space="preserve"> Ley 816 de 2003, Ley 1920 de 2018, Ley 2069 de 2020, etc.–. </w:t>
      </w:r>
    </w:p>
    <w:p w14:paraId="4AFBEAD0" w14:textId="77777777" w:rsidR="006116EB" w:rsidRPr="00185EE9" w:rsidRDefault="006116EB" w:rsidP="006116EB">
      <w:pPr>
        <w:spacing w:after="120" w:line="276" w:lineRule="auto"/>
        <w:ind w:firstLine="709"/>
        <w:jc w:val="both"/>
        <w:rPr>
          <w:rFonts w:ascii="Verdana" w:eastAsia="Calibri" w:hAnsi="Verdana" w:cs="Arial"/>
          <w:color w:val="000000"/>
          <w:lang w:val="es-ES_tradnl"/>
        </w:rPr>
      </w:pPr>
      <w:r w:rsidRPr="00185EE9">
        <w:rPr>
          <w:rFonts w:ascii="Verdana" w:eastAsia="Calibri" w:hAnsi="Verdana" w:cs="Arial"/>
          <w:bCs/>
          <w:color w:val="000000" w:themeColor="text1"/>
        </w:rPr>
        <w:lastRenderedPageBreak/>
        <w:t>Esto además resulta coherente con lo dispuesto en el</w:t>
      </w:r>
      <w:r w:rsidRPr="00185EE9">
        <w:rPr>
          <w:rFonts w:ascii="Verdana" w:eastAsia="Calibri" w:hAnsi="Verdana" w:cs="Arial"/>
          <w:color w:val="000000"/>
          <w:lang w:val="es-ES_tradnl"/>
        </w:rPr>
        <w:t xml:space="preserve"> artículo 6 de la Ley 1920 de 2018, que </w:t>
      </w:r>
      <w:r w:rsidRPr="00185EE9">
        <w:rPr>
          <w:rFonts w:ascii="Verdana" w:eastAsia="Calibri" w:hAnsi="Verdana" w:cs="Arial"/>
          <w:bCs/>
          <w:color w:val="000000"/>
          <w:lang w:val="es-ES_tradnl"/>
        </w:rPr>
        <w:t xml:space="preserve">se refiere de manera expresa a la licitación pública como una modalidad de selección aplicable para contratar los servicios </w:t>
      </w:r>
      <w:r w:rsidRPr="00185EE9">
        <w:rPr>
          <w:rFonts w:ascii="Verdana" w:eastAsia="Calibri" w:hAnsi="Verdana" w:cs="Arial"/>
          <w:bCs/>
          <w:color w:val="000000" w:themeColor="text1"/>
        </w:rPr>
        <w:t>de vigilancia y seguridad privada. E</w:t>
      </w:r>
      <w:r w:rsidRPr="00185EE9">
        <w:rPr>
          <w:rFonts w:ascii="Verdana" w:eastAsia="Calibri" w:hAnsi="Verdana" w:cs="Arial"/>
          <w:color w:val="000000"/>
          <w:lang w:val="es-ES_tradnl"/>
        </w:rPr>
        <w:t>l inciso primero del artículo 6 dispone que “El Gobierno nacional […] expedirá en un término no mayor a 6 meses un decreto reglamentario que establezca una puntuación adicional en los procesos de licitación pública, concurso de méritos y contratación directa para las empresas de vigilancia y seguridad privada y/o las cooperativas especializadas de vigilancia y de seguridad privada que en personal operativo tengan a mujeres, a personas con discapacidad y/o personas mayores de 45 años, contratadas con todas las exigencias y garantías legalmente establecidas”.</w:t>
      </w:r>
    </w:p>
    <w:p w14:paraId="3D6BF904" w14:textId="77777777" w:rsidR="006116EB" w:rsidRPr="00185EE9" w:rsidRDefault="006116EB" w:rsidP="006116EB">
      <w:pPr>
        <w:tabs>
          <w:tab w:val="left" w:pos="426"/>
        </w:tabs>
        <w:spacing w:after="120" w:line="276" w:lineRule="auto"/>
        <w:jc w:val="both"/>
        <w:rPr>
          <w:rFonts w:ascii="Verdana" w:eastAsia="Calibri" w:hAnsi="Verdana" w:cs="Arial"/>
          <w:color w:val="000000"/>
          <w:lang w:val="es-ES"/>
        </w:rPr>
      </w:pPr>
      <w:r w:rsidRPr="00185EE9">
        <w:rPr>
          <w:rFonts w:ascii="Verdana" w:eastAsia="Calibri" w:hAnsi="Verdana" w:cs="Arial"/>
          <w:color w:val="000000"/>
          <w:sz w:val="21"/>
          <w:szCs w:val="21"/>
          <w:lang w:val="es-ES_tradnl"/>
        </w:rPr>
        <w:tab/>
      </w:r>
      <w:r w:rsidRPr="00185EE9">
        <w:rPr>
          <w:rFonts w:ascii="Verdana" w:eastAsia="Calibri" w:hAnsi="Verdana" w:cs="Arial"/>
          <w:color w:val="000000"/>
          <w:sz w:val="21"/>
          <w:szCs w:val="21"/>
          <w:lang w:val="es-ES_tradnl"/>
        </w:rPr>
        <w:tab/>
      </w:r>
      <w:r w:rsidRPr="00185EE9">
        <w:rPr>
          <w:rFonts w:ascii="Verdana" w:eastAsia="Calibri" w:hAnsi="Verdana" w:cs="Arial"/>
          <w:color w:val="000000"/>
          <w:lang w:val="es-ES_tradnl"/>
        </w:rPr>
        <w:t xml:space="preserve">Este incentivo </w:t>
      </w:r>
      <w:r w:rsidRPr="00185EE9">
        <w:rPr>
          <w:rFonts w:ascii="Verdana" w:eastAsia="Calibri" w:hAnsi="Verdana" w:cs="Arial"/>
          <w:bCs/>
          <w:color w:val="000000"/>
          <w:lang w:val="es-ES_tradnl"/>
        </w:rPr>
        <w:t xml:space="preserve">impulsa la vinculación laboral de este tipo de población circunscrito a mujeres, personas con discapacidad y personas mayores de 45 años, mediante la creación de un puntaje adicional en los procesos contractuales para la adquisición del servicio de vigilancia y seguridad privada de los proveedores del mercado. En este sentido, la </w:t>
      </w:r>
      <w:r w:rsidRPr="00185EE9">
        <w:rPr>
          <w:rFonts w:ascii="Verdana" w:eastAsia="Calibri" w:hAnsi="Verdana" w:cs="Arial"/>
          <w:color w:val="000000"/>
          <w:lang w:val="es-ES"/>
        </w:rPr>
        <w:t>contratación pública puede utilizarse como un mecanismo para promover condiciones de trabajo equitativas, el desarrollo económico, oportunidades económicas para los sectores de la población o las regiones más vulnerables dentro del territorio nacional, y para promover la adquisición de acuerdo con criterios de sostenibilidad ambiental</w:t>
      </w:r>
      <w:r w:rsidRPr="00185EE9">
        <w:rPr>
          <w:rFonts w:ascii="Verdana" w:eastAsia="Calibri" w:hAnsi="Verdana" w:cs="Arial"/>
          <w:color w:val="000000"/>
          <w:vertAlign w:val="superscript"/>
          <w:lang w:val="es-ES"/>
        </w:rPr>
        <w:footnoteReference w:id="12"/>
      </w:r>
      <w:r w:rsidRPr="00185EE9">
        <w:rPr>
          <w:rFonts w:ascii="Verdana" w:eastAsia="Calibri" w:hAnsi="Verdana" w:cs="Arial"/>
          <w:color w:val="000000"/>
          <w:lang w:val="es-ES"/>
        </w:rPr>
        <w:t>.</w:t>
      </w:r>
    </w:p>
    <w:p w14:paraId="723CF062" w14:textId="77777777" w:rsidR="006116EB" w:rsidRPr="00185EE9" w:rsidRDefault="006116EB" w:rsidP="006116EB">
      <w:pPr>
        <w:tabs>
          <w:tab w:val="left" w:pos="426"/>
        </w:tabs>
        <w:spacing w:after="120" w:line="276" w:lineRule="auto"/>
        <w:jc w:val="both"/>
        <w:rPr>
          <w:rFonts w:ascii="Verdana" w:eastAsia="Calibri" w:hAnsi="Verdana" w:cs="Arial"/>
          <w:color w:val="000000"/>
          <w:lang w:val="es-ES"/>
        </w:rPr>
      </w:pPr>
      <w:r w:rsidRPr="00185EE9">
        <w:rPr>
          <w:rFonts w:ascii="Verdana" w:eastAsia="Calibri" w:hAnsi="Verdana" w:cs="Arial"/>
          <w:bCs/>
          <w:color w:val="000000"/>
          <w:lang w:val="es-ES_tradnl"/>
        </w:rPr>
        <w:tab/>
      </w:r>
      <w:r w:rsidRPr="00185EE9">
        <w:rPr>
          <w:rFonts w:ascii="Verdana" w:eastAsia="Calibri" w:hAnsi="Verdana" w:cs="Arial"/>
          <w:bCs/>
          <w:color w:val="000000"/>
          <w:lang w:val="es-ES_tradnl"/>
        </w:rPr>
        <w:tab/>
        <w:t xml:space="preserve">Con la expedición del Decreto 1279 de 2021 se adicionaron los artículos 2.2.1.2.4.2.10, 2.2.1.2.4.2.11, 2.2.1.2.4.2.12 y 2.2.1.2.4.2.13 a la Subsección 2 de la Sección 4 del Capítulo 2 del Título 1 de la Parte 2 del Libro 2 del Decreto 1082 de 2015, Único Reglamentario del Sector Administrativo de Planeación Nacional. Aunque el decreto fue suspendido provisionalmente mediante el Auto del 27 de septiembre de 2023 por la Subsección C de la Sección Tercera del Consejo de Estado, posibilitaba que las entidades estatales sometidas al Estatuto General de Contratación de la Administración Pública establecieran puntajes adicionales en los procesos de licitación pública que se iniciaran para la contratación de los servicios que prestan las empresas y cooperativas de vigilancia y seguridad privada, cuando éstos proveedores acreditaran que dentro de su personal operativo contaban con mujeres, personas con discapacidad y </w:t>
      </w:r>
      <w:r w:rsidRPr="00185EE9">
        <w:rPr>
          <w:rFonts w:ascii="Verdana" w:eastAsia="Calibri" w:hAnsi="Verdana" w:cs="Arial"/>
          <w:bCs/>
          <w:color w:val="000000"/>
          <w:lang w:val="es-ES_tradnl"/>
        </w:rPr>
        <w:lastRenderedPageBreak/>
        <w:t>personas mayores de 45 años vinculadas con todas las garantías que establece la ley.</w:t>
      </w:r>
    </w:p>
    <w:p w14:paraId="26DEC8F4" w14:textId="0DAE0DC4" w:rsidR="006116EB" w:rsidRPr="005816FA" w:rsidRDefault="005B7AC3" w:rsidP="005E355C">
      <w:pPr>
        <w:shd w:val="clear" w:color="auto" w:fill="FFFFFF" w:themeFill="background1"/>
        <w:spacing w:after="120" w:line="276" w:lineRule="auto"/>
        <w:ind w:right="51"/>
        <w:jc w:val="both"/>
        <w:rPr>
          <w:rFonts w:ascii="Verdana" w:eastAsia="Calibri" w:hAnsi="Verdana" w:cs="Arial"/>
          <w:bCs/>
          <w:color w:val="000000" w:themeColor="text1"/>
        </w:rPr>
      </w:pPr>
      <w:proofErr w:type="spellStart"/>
      <w:r>
        <w:rPr>
          <w:rFonts w:ascii="Verdana" w:eastAsia="Calibri" w:hAnsi="Verdana" w:cs="Arial"/>
          <w:bCs/>
          <w:color w:val="000000" w:themeColor="text1"/>
        </w:rPr>
        <w:t>iii</w:t>
      </w:r>
      <w:proofErr w:type="spellEnd"/>
      <w:r>
        <w:rPr>
          <w:rFonts w:ascii="Verdana" w:eastAsia="Calibri" w:hAnsi="Verdana" w:cs="Arial"/>
          <w:bCs/>
          <w:color w:val="000000" w:themeColor="text1"/>
        </w:rPr>
        <w:t xml:space="preserve">. </w:t>
      </w:r>
      <w:r w:rsidR="006116EB">
        <w:rPr>
          <w:rFonts w:ascii="Verdana" w:eastAsia="Calibri" w:hAnsi="Verdana" w:cs="Arial"/>
          <w:bCs/>
          <w:color w:val="000000" w:themeColor="text1"/>
        </w:rPr>
        <w:t>Finalmente, para resolver su interrogante, d</w:t>
      </w:r>
      <w:r w:rsidR="006116EB" w:rsidRPr="005816FA">
        <w:rPr>
          <w:rFonts w:ascii="Verdana" w:eastAsia="Calibri" w:hAnsi="Verdana" w:cs="Arial"/>
          <w:bCs/>
          <w:color w:val="000000" w:themeColor="text1"/>
        </w:rPr>
        <w:t>e conformidad con lo expuesto y atendiendo a la regulación vigente en materia de selección objetiva, la exigencia y valoración de la formación académica superior como criterio de calidad no es uniforme para todos los procesos de selección, sino que depende de la modalidad contractual, de los factores de evaluación legalmente permitidos y de la forma como se estructura la comparación de las ofertas.</w:t>
      </w:r>
    </w:p>
    <w:p w14:paraId="4BCFFB1A" w14:textId="77777777" w:rsidR="006116EB" w:rsidRPr="005816FA" w:rsidRDefault="006116EB" w:rsidP="006116EB">
      <w:pPr>
        <w:shd w:val="clear" w:color="auto" w:fill="FFFFFF" w:themeFill="background1"/>
        <w:spacing w:after="120" w:line="276" w:lineRule="auto"/>
        <w:ind w:right="51" w:firstLine="709"/>
        <w:jc w:val="both"/>
        <w:rPr>
          <w:rFonts w:ascii="Verdana" w:eastAsia="Calibri" w:hAnsi="Verdana" w:cs="Arial"/>
          <w:bCs/>
          <w:color w:val="000000" w:themeColor="text1"/>
        </w:rPr>
      </w:pPr>
      <w:r w:rsidRPr="005816FA">
        <w:rPr>
          <w:rFonts w:ascii="Verdana" w:eastAsia="Calibri" w:hAnsi="Verdana" w:cs="Arial"/>
          <w:bCs/>
          <w:color w:val="000000" w:themeColor="text1"/>
        </w:rPr>
        <w:t>El artículo 5 de la Ley 1150 de 2007 distingue claramente entre dos esquemas de evaluación: (i) aquellos en los que la oferta más favorable se determina a partir de la mejor relación calidad–precio (numeral 2), y (</w:t>
      </w:r>
      <w:proofErr w:type="spellStart"/>
      <w:r w:rsidRPr="005816FA">
        <w:rPr>
          <w:rFonts w:ascii="Verdana" w:eastAsia="Calibri" w:hAnsi="Verdana" w:cs="Arial"/>
          <w:bCs/>
          <w:color w:val="000000" w:themeColor="text1"/>
        </w:rPr>
        <w:t>ii</w:t>
      </w:r>
      <w:proofErr w:type="spellEnd"/>
      <w:r w:rsidRPr="005816FA">
        <w:rPr>
          <w:rFonts w:ascii="Verdana" w:eastAsia="Calibri" w:hAnsi="Verdana" w:cs="Arial"/>
          <w:bCs/>
          <w:color w:val="000000" w:themeColor="text1"/>
        </w:rPr>
        <w:t>) aquellos en los que el precio constituye el único factor de evaluación (numeral 3). Esta distinción no es meramente procedimental, sino sustancial, pues define el margen de configuración que tienen las entidades estatales para establecer criterios de evaluación adicionales al precio.</w:t>
      </w:r>
    </w:p>
    <w:p w14:paraId="04E0F2B6" w14:textId="77777777" w:rsidR="006116EB" w:rsidRPr="005816FA" w:rsidRDefault="006116EB" w:rsidP="006116EB">
      <w:pPr>
        <w:shd w:val="clear" w:color="auto" w:fill="FFFFFF" w:themeFill="background1"/>
        <w:spacing w:after="120" w:line="276" w:lineRule="auto"/>
        <w:ind w:right="51" w:firstLine="709"/>
        <w:jc w:val="both"/>
        <w:rPr>
          <w:rFonts w:ascii="Verdana" w:eastAsia="Calibri" w:hAnsi="Verdana" w:cs="Arial"/>
          <w:bCs/>
          <w:color w:val="000000" w:themeColor="text1"/>
        </w:rPr>
      </w:pPr>
      <w:r w:rsidRPr="005816FA">
        <w:rPr>
          <w:rFonts w:ascii="Verdana" w:eastAsia="Calibri" w:hAnsi="Verdana" w:cs="Arial"/>
          <w:bCs/>
          <w:color w:val="000000" w:themeColor="text1"/>
        </w:rPr>
        <w:t>En los procesos de licitación pública y selección abreviada de menor cuantía, en los cuales la ley permite ponderar factores de calidad junto con el precio, la posibilidad de incluir exigencias relacionadas con la formación académica debe analizarse a la luz de la naturaleza de dichos factores. En estos procedimientos, los factores de calidad deben recaer sobre la oferta, entendida como el conjunto de compromisos técnicos, funcionales y de desempeño que el proponente asume frente a la entidad, y no sobre condiciones subjetivas del proponente o de su organización empresarial.</w:t>
      </w:r>
    </w:p>
    <w:p w14:paraId="44CBD090" w14:textId="3E483757" w:rsidR="006116EB" w:rsidRPr="005816FA" w:rsidRDefault="006116EB" w:rsidP="006116EB">
      <w:pPr>
        <w:shd w:val="clear" w:color="auto" w:fill="FFFFFF" w:themeFill="background1"/>
        <w:spacing w:after="120" w:line="276" w:lineRule="auto"/>
        <w:ind w:right="51" w:firstLine="709"/>
        <w:jc w:val="both"/>
        <w:rPr>
          <w:rFonts w:ascii="Verdana" w:eastAsia="Calibri" w:hAnsi="Verdana" w:cs="Arial"/>
          <w:bCs/>
          <w:color w:val="000000" w:themeColor="text1"/>
        </w:rPr>
      </w:pPr>
      <w:r w:rsidRPr="005816FA">
        <w:rPr>
          <w:rFonts w:ascii="Verdana" w:eastAsia="Calibri" w:hAnsi="Verdana" w:cs="Arial"/>
          <w:bCs/>
          <w:color w:val="000000" w:themeColor="text1"/>
        </w:rPr>
        <w:t xml:space="preserve">Desde esta perspectiva, la formación académica superior corresponde a un atributo del proponente o del equipo de trabajo, relacionado con su idoneidad personal o profesional, pero no constituye, en sí misma, una característica intrínseca del bien o servicio ofrecido. Por esta razón, no resulta jurídicamente procedente valorarla como factor de comparación de las ofertas, </w:t>
      </w:r>
      <w:r w:rsidR="00A609E8">
        <w:rPr>
          <w:rFonts w:ascii="Verdana" w:eastAsia="Calibri" w:hAnsi="Verdana" w:cs="Arial"/>
          <w:bCs/>
          <w:color w:val="000000" w:themeColor="text1"/>
        </w:rPr>
        <w:t xml:space="preserve">en el marco de </w:t>
      </w:r>
      <w:r w:rsidR="00A34DF1">
        <w:rPr>
          <w:rFonts w:ascii="Verdana" w:eastAsia="Calibri" w:hAnsi="Verdana" w:cs="Arial"/>
          <w:bCs/>
          <w:color w:val="000000" w:themeColor="text1"/>
        </w:rPr>
        <w:t>modalidades de selección como la licitación pública y la selección abreviada de menor cuantía,</w:t>
      </w:r>
      <w:r w:rsidRPr="005816FA">
        <w:rPr>
          <w:rFonts w:ascii="Verdana" w:eastAsia="Calibri" w:hAnsi="Verdana" w:cs="Arial"/>
          <w:bCs/>
          <w:color w:val="000000" w:themeColor="text1"/>
        </w:rPr>
        <w:t xml:space="preserve"> </w:t>
      </w:r>
      <w:r w:rsidR="006129E6">
        <w:rPr>
          <w:rFonts w:ascii="Verdana" w:eastAsia="Calibri" w:hAnsi="Verdana" w:cs="Arial"/>
          <w:bCs/>
          <w:color w:val="000000" w:themeColor="text1"/>
        </w:rPr>
        <w:t xml:space="preserve">ya que los </w:t>
      </w:r>
      <w:r w:rsidRPr="005816FA">
        <w:rPr>
          <w:rFonts w:ascii="Verdana" w:eastAsia="Calibri" w:hAnsi="Verdana" w:cs="Arial"/>
          <w:bCs/>
          <w:color w:val="000000" w:themeColor="text1"/>
        </w:rPr>
        <w:t>criterios de calidad</w:t>
      </w:r>
      <w:r w:rsidR="006129E6">
        <w:rPr>
          <w:rFonts w:ascii="Verdana" w:eastAsia="Calibri" w:hAnsi="Verdana" w:cs="Arial"/>
          <w:bCs/>
          <w:color w:val="000000" w:themeColor="text1"/>
        </w:rPr>
        <w:t xml:space="preserve"> exigibles para la</w:t>
      </w:r>
      <w:r w:rsidR="00906F83">
        <w:rPr>
          <w:rFonts w:ascii="Verdana" w:eastAsia="Calibri" w:hAnsi="Verdana" w:cs="Arial"/>
          <w:bCs/>
          <w:color w:val="000000" w:themeColor="text1"/>
        </w:rPr>
        <w:t xml:space="preserve"> selección deben predicarse de la oferta, más no de los oferentes, por lo que </w:t>
      </w:r>
      <w:r w:rsidR="004B6033">
        <w:rPr>
          <w:rFonts w:ascii="Verdana" w:eastAsia="Calibri" w:hAnsi="Verdana" w:cs="Arial"/>
          <w:bCs/>
          <w:color w:val="000000" w:themeColor="text1"/>
        </w:rPr>
        <w:t>valorar aspectos</w:t>
      </w:r>
      <w:r w:rsidR="00906F83">
        <w:rPr>
          <w:rFonts w:ascii="Verdana" w:eastAsia="Calibri" w:hAnsi="Verdana" w:cs="Arial"/>
          <w:bCs/>
          <w:color w:val="000000" w:themeColor="text1"/>
        </w:rPr>
        <w:t xml:space="preserve"> de formación académica</w:t>
      </w:r>
      <w:r w:rsidR="004B6033">
        <w:rPr>
          <w:rFonts w:ascii="Verdana" w:eastAsia="Calibri" w:hAnsi="Verdana" w:cs="Arial"/>
          <w:bCs/>
          <w:color w:val="000000" w:themeColor="text1"/>
        </w:rPr>
        <w:t xml:space="preserve"> como criterios para la comparación de ofertas</w:t>
      </w:r>
      <w:r w:rsidRPr="005816FA">
        <w:rPr>
          <w:rFonts w:ascii="Verdana" w:eastAsia="Calibri" w:hAnsi="Verdana" w:cs="Arial"/>
          <w:bCs/>
          <w:color w:val="000000" w:themeColor="text1"/>
        </w:rPr>
        <w:t xml:space="preserve"> desdibuja la noción de selección objetiva y puede introducir elementos de evaluación subjetiva o discriminatoria.</w:t>
      </w:r>
      <w:r w:rsidR="004B6033">
        <w:rPr>
          <w:rFonts w:ascii="Verdana" w:eastAsia="Calibri" w:hAnsi="Verdana" w:cs="Arial"/>
          <w:bCs/>
          <w:color w:val="000000" w:themeColor="text1"/>
        </w:rPr>
        <w:t xml:space="preserve"> </w:t>
      </w:r>
    </w:p>
    <w:p w14:paraId="5A0CF0BD" w14:textId="77777777" w:rsidR="006116EB" w:rsidRPr="005816FA" w:rsidRDefault="006116EB" w:rsidP="006116EB">
      <w:pPr>
        <w:shd w:val="clear" w:color="auto" w:fill="FFFFFF" w:themeFill="background1"/>
        <w:spacing w:after="120" w:line="276" w:lineRule="auto"/>
        <w:ind w:right="51" w:firstLine="709"/>
        <w:jc w:val="both"/>
        <w:rPr>
          <w:rFonts w:ascii="Verdana" w:eastAsia="Calibri" w:hAnsi="Verdana" w:cs="Arial"/>
          <w:bCs/>
          <w:color w:val="000000" w:themeColor="text1"/>
        </w:rPr>
      </w:pPr>
      <w:r w:rsidRPr="005816FA">
        <w:rPr>
          <w:rFonts w:ascii="Verdana" w:eastAsia="Calibri" w:hAnsi="Verdana" w:cs="Arial"/>
          <w:bCs/>
          <w:color w:val="000000" w:themeColor="text1"/>
        </w:rPr>
        <w:lastRenderedPageBreak/>
        <w:t>Sin perjuicio de lo anterior, la entidad estatal sí puede exigir determinados niveles de formación académica como requisitos habilitantes, cuando estos se encuentren directamente vinculados con el objeto contractual, sean necesarios para garantizar la correcta ejecución del contrato y estén debidamente justificados en los estudios y documentos previos. En todo caso, dichas exigencias deben observar los principios de proporcionalidad, razonabilidad y pluralidad de oferentes, evitando la imposición de barreras injustificadas al acceso al proceso de selección.</w:t>
      </w:r>
    </w:p>
    <w:p w14:paraId="3D7C66FD" w14:textId="0EB23EBE" w:rsidR="006116EB" w:rsidRPr="005816FA" w:rsidRDefault="00BA0748" w:rsidP="006116EB">
      <w:pPr>
        <w:shd w:val="clear" w:color="auto" w:fill="FFFFFF" w:themeFill="background1"/>
        <w:spacing w:after="120" w:line="276" w:lineRule="auto"/>
        <w:ind w:right="51" w:firstLine="709"/>
        <w:jc w:val="both"/>
        <w:rPr>
          <w:rFonts w:ascii="Verdana" w:eastAsia="Calibri" w:hAnsi="Verdana" w:cs="Arial"/>
          <w:bCs/>
          <w:color w:val="000000" w:themeColor="text1"/>
        </w:rPr>
      </w:pPr>
      <w:r>
        <w:rPr>
          <w:rFonts w:ascii="Verdana" w:eastAsia="Calibri" w:hAnsi="Verdana" w:cs="Arial"/>
          <w:bCs/>
          <w:color w:val="000000" w:themeColor="text1"/>
        </w:rPr>
        <w:t>De otra parte, tampoco resulta viable implementar estos factores en modalidades</w:t>
      </w:r>
      <w:r w:rsidR="00E62D29">
        <w:rPr>
          <w:rFonts w:ascii="Verdana" w:eastAsia="Calibri" w:hAnsi="Verdana" w:cs="Arial"/>
          <w:bCs/>
          <w:color w:val="000000" w:themeColor="text1"/>
        </w:rPr>
        <w:t xml:space="preserve"> </w:t>
      </w:r>
      <w:r w:rsidR="00F86B48">
        <w:rPr>
          <w:rFonts w:ascii="Verdana" w:eastAsia="Calibri" w:hAnsi="Verdana" w:cs="Arial"/>
          <w:bCs/>
          <w:color w:val="000000" w:themeColor="text1"/>
        </w:rPr>
        <w:t xml:space="preserve">de selección abreviada </w:t>
      </w:r>
      <w:r w:rsidR="00E62D29">
        <w:rPr>
          <w:rFonts w:ascii="Verdana" w:eastAsia="Calibri" w:hAnsi="Verdana" w:cs="Arial"/>
          <w:bCs/>
          <w:color w:val="000000" w:themeColor="text1"/>
        </w:rPr>
        <w:t xml:space="preserve">aplicables para la adquisición de bienes de características </w:t>
      </w:r>
      <w:r w:rsidR="00F86B48">
        <w:rPr>
          <w:rFonts w:ascii="Verdana" w:eastAsia="Calibri" w:hAnsi="Verdana" w:cs="Arial"/>
          <w:bCs/>
          <w:color w:val="000000" w:themeColor="text1"/>
        </w:rPr>
        <w:t>técnicas</w:t>
      </w:r>
      <w:r w:rsidR="00E62D29">
        <w:rPr>
          <w:rFonts w:ascii="Verdana" w:eastAsia="Calibri" w:hAnsi="Verdana" w:cs="Arial"/>
          <w:bCs/>
          <w:color w:val="000000" w:themeColor="text1"/>
        </w:rPr>
        <w:t xml:space="preserve"> uniformes y de común utilización –</w:t>
      </w:r>
      <w:r>
        <w:rPr>
          <w:rFonts w:ascii="Verdana" w:eastAsia="Calibri" w:hAnsi="Verdana" w:cs="Arial"/>
          <w:bCs/>
          <w:color w:val="000000" w:themeColor="text1"/>
        </w:rPr>
        <w:t>s</w:t>
      </w:r>
      <w:r w:rsidR="006116EB" w:rsidRPr="005816FA">
        <w:rPr>
          <w:rFonts w:ascii="Verdana" w:eastAsia="Calibri" w:hAnsi="Verdana" w:cs="Arial"/>
          <w:bCs/>
          <w:color w:val="000000" w:themeColor="text1"/>
        </w:rPr>
        <w:t xml:space="preserve">ubasta inversa, </w:t>
      </w:r>
      <w:r w:rsidR="00E62D29">
        <w:rPr>
          <w:rFonts w:ascii="Verdana" w:eastAsia="Calibri" w:hAnsi="Verdana" w:cs="Arial"/>
          <w:bCs/>
          <w:color w:val="000000" w:themeColor="text1"/>
        </w:rPr>
        <w:t xml:space="preserve">bolsa de productos, AMP, </w:t>
      </w:r>
      <w:proofErr w:type="spellStart"/>
      <w:r w:rsidR="00E62D29">
        <w:rPr>
          <w:rFonts w:ascii="Verdana" w:eastAsia="Calibri" w:hAnsi="Verdana" w:cs="Arial"/>
          <w:bCs/>
          <w:color w:val="000000" w:themeColor="text1"/>
        </w:rPr>
        <w:t>etc</w:t>
      </w:r>
      <w:proofErr w:type="spellEnd"/>
      <w:r w:rsidR="00E62D29">
        <w:rPr>
          <w:rFonts w:ascii="Verdana" w:eastAsia="Calibri" w:hAnsi="Verdana" w:cs="Arial"/>
          <w:bCs/>
          <w:color w:val="000000" w:themeColor="text1"/>
        </w:rPr>
        <w:t>–</w:t>
      </w:r>
      <w:r w:rsidR="00F86B48">
        <w:rPr>
          <w:rFonts w:ascii="Verdana" w:eastAsia="Calibri" w:hAnsi="Verdana" w:cs="Arial"/>
          <w:bCs/>
          <w:color w:val="000000" w:themeColor="text1"/>
        </w:rPr>
        <w:t>, ni a la</w:t>
      </w:r>
      <w:r w:rsidR="006116EB" w:rsidRPr="005816FA">
        <w:rPr>
          <w:rFonts w:ascii="Verdana" w:eastAsia="Calibri" w:hAnsi="Verdana" w:cs="Arial"/>
          <w:bCs/>
          <w:color w:val="000000" w:themeColor="text1"/>
        </w:rPr>
        <w:t xml:space="preserve"> selección de mínima cuantía</w:t>
      </w:r>
      <w:r w:rsidR="00F86B48">
        <w:rPr>
          <w:rFonts w:ascii="Verdana" w:eastAsia="Calibri" w:hAnsi="Verdana" w:cs="Arial"/>
          <w:bCs/>
          <w:color w:val="000000" w:themeColor="text1"/>
        </w:rPr>
        <w:t>.</w:t>
      </w:r>
      <w:r w:rsidR="006116EB" w:rsidRPr="005816FA">
        <w:rPr>
          <w:rFonts w:ascii="Verdana" w:eastAsia="Calibri" w:hAnsi="Verdana" w:cs="Arial"/>
          <w:bCs/>
          <w:color w:val="000000" w:themeColor="text1"/>
        </w:rPr>
        <w:t xml:space="preserve"> </w:t>
      </w:r>
      <w:r w:rsidR="00F86B48">
        <w:rPr>
          <w:rFonts w:ascii="Verdana" w:eastAsia="Calibri" w:hAnsi="Verdana" w:cs="Arial"/>
          <w:bCs/>
          <w:color w:val="000000" w:themeColor="text1"/>
        </w:rPr>
        <w:t xml:space="preserve">Esto comoquiera que, de </w:t>
      </w:r>
      <w:r w:rsidR="006116EB" w:rsidRPr="005816FA">
        <w:rPr>
          <w:rFonts w:ascii="Verdana" w:eastAsia="Calibri" w:hAnsi="Verdana" w:cs="Arial"/>
          <w:bCs/>
          <w:color w:val="000000" w:themeColor="text1"/>
        </w:rPr>
        <w:t xml:space="preserve">acuerdo con </w:t>
      </w:r>
      <w:proofErr w:type="gramStart"/>
      <w:r w:rsidR="00F86B48">
        <w:rPr>
          <w:rFonts w:ascii="Verdana" w:eastAsia="Calibri" w:hAnsi="Verdana" w:cs="Arial"/>
          <w:bCs/>
          <w:color w:val="000000" w:themeColor="text1"/>
        </w:rPr>
        <w:t>los</w:t>
      </w:r>
      <w:r w:rsidR="006116EB" w:rsidRPr="005816FA">
        <w:rPr>
          <w:rFonts w:ascii="Verdana" w:eastAsia="Calibri" w:hAnsi="Verdana" w:cs="Arial"/>
          <w:bCs/>
          <w:color w:val="000000" w:themeColor="text1"/>
        </w:rPr>
        <w:t xml:space="preserve"> artículo</w:t>
      </w:r>
      <w:proofErr w:type="gramEnd"/>
      <w:r w:rsidR="006116EB" w:rsidRPr="005816FA">
        <w:rPr>
          <w:rFonts w:ascii="Verdana" w:eastAsia="Calibri" w:hAnsi="Verdana" w:cs="Arial"/>
          <w:bCs/>
          <w:color w:val="000000" w:themeColor="text1"/>
        </w:rPr>
        <w:t xml:space="preserve"> </w:t>
      </w:r>
      <w:r w:rsidR="00F86B48">
        <w:rPr>
          <w:rFonts w:ascii="Verdana" w:eastAsia="Calibri" w:hAnsi="Verdana" w:cs="Arial"/>
          <w:bCs/>
          <w:color w:val="000000" w:themeColor="text1"/>
        </w:rPr>
        <w:t>2–</w:t>
      </w:r>
      <w:r w:rsidR="006116EB" w:rsidRPr="005816FA">
        <w:rPr>
          <w:rFonts w:ascii="Verdana" w:eastAsia="Calibri" w:hAnsi="Verdana" w:cs="Arial"/>
          <w:bCs/>
          <w:color w:val="000000" w:themeColor="text1"/>
        </w:rPr>
        <w:t>5</w:t>
      </w:r>
      <w:r w:rsidR="00F86B48">
        <w:rPr>
          <w:rFonts w:ascii="Verdana" w:eastAsia="Calibri" w:hAnsi="Verdana" w:cs="Arial"/>
          <w:bCs/>
          <w:color w:val="000000" w:themeColor="text1"/>
        </w:rPr>
        <w:t xml:space="preserve"> y 5–</w:t>
      </w:r>
      <w:r w:rsidR="006116EB" w:rsidRPr="005816FA">
        <w:rPr>
          <w:rFonts w:ascii="Verdana" w:eastAsia="Calibri" w:hAnsi="Verdana" w:cs="Arial"/>
          <w:bCs/>
          <w:color w:val="000000" w:themeColor="text1"/>
        </w:rPr>
        <w:t xml:space="preserve">3 de la Ley 1150 de 2007, </w:t>
      </w:r>
      <w:r w:rsidR="00F86B48">
        <w:rPr>
          <w:rFonts w:ascii="Verdana" w:eastAsia="Calibri" w:hAnsi="Verdana" w:cs="Arial"/>
          <w:bCs/>
          <w:color w:val="000000" w:themeColor="text1"/>
        </w:rPr>
        <w:t>en estos procedimientos,</w:t>
      </w:r>
      <w:r w:rsidR="006116EB" w:rsidRPr="005816FA">
        <w:rPr>
          <w:rFonts w:ascii="Verdana" w:eastAsia="Calibri" w:hAnsi="Verdana" w:cs="Arial"/>
          <w:bCs/>
          <w:color w:val="000000" w:themeColor="text1"/>
        </w:rPr>
        <w:t xml:space="preserve"> el precio es el único factor de evaluación, lo que excluye la posibilidad de valorar cualquier otro elemento, incluidos factores de calidad, experiencia o formación académica. </w:t>
      </w:r>
    </w:p>
    <w:p w14:paraId="0F97E877" w14:textId="4FD9C96B" w:rsidR="006332D5" w:rsidRPr="006E3EDA" w:rsidRDefault="006116EB" w:rsidP="006332D5">
      <w:pPr>
        <w:snapToGrid w:val="0"/>
        <w:spacing w:after="0" w:line="276" w:lineRule="auto"/>
        <w:ind w:firstLine="709"/>
        <w:jc w:val="both"/>
        <w:rPr>
          <w:rFonts w:ascii="Verdana" w:eastAsia="Calibri" w:hAnsi="Verdana" w:cs="Arial"/>
          <w:kern w:val="2"/>
          <w:lang w:val="es-ES"/>
          <w14:ligatures w14:val="standardContextual"/>
        </w:rPr>
      </w:pPr>
      <w:r w:rsidRPr="005816FA">
        <w:rPr>
          <w:rFonts w:ascii="Verdana" w:eastAsia="Calibri" w:hAnsi="Verdana" w:cs="Arial"/>
          <w:bCs/>
          <w:color w:val="000000" w:themeColor="text1"/>
        </w:rPr>
        <w:t xml:space="preserve">Distinto es el caso del concurso de méritos, modalidad </w:t>
      </w:r>
      <w:r w:rsidR="001E4D63">
        <w:rPr>
          <w:rFonts w:ascii="Verdana" w:eastAsia="Calibri" w:hAnsi="Verdana" w:cs="Arial"/>
          <w:bCs/>
          <w:color w:val="000000" w:themeColor="text1"/>
        </w:rPr>
        <w:t>respecto de</w:t>
      </w:r>
      <w:r w:rsidRPr="005816FA">
        <w:rPr>
          <w:rFonts w:ascii="Verdana" w:eastAsia="Calibri" w:hAnsi="Verdana" w:cs="Arial"/>
          <w:bCs/>
          <w:color w:val="000000" w:themeColor="text1"/>
        </w:rPr>
        <w:t xml:space="preserve"> la cual</w:t>
      </w:r>
      <w:r w:rsidR="001E4D63">
        <w:rPr>
          <w:rFonts w:ascii="Verdana" w:eastAsia="Calibri" w:hAnsi="Verdana" w:cs="Arial"/>
          <w:bCs/>
          <w:color w:val="000000" w:themeColor="text1"/>
        </w:rPr>
        <w:t>, el artículo 5 de la Ley 1150 de 2007 prohíbe la valoración d</w:t>
      </w:r>
      <w:r w:rsidRPr="005816FA">
        <w:rPr>
          <w:rFonts w:ascii="Verdana" w:eastAsia="Calibri" w:hAnsi="Verdana" w:cs="Arial"/>
          <w:bCs/>
          <w:color w:val="000000" w:themeColor="text1"/>
        </w:rPr>
        <w:t xml:space="preserve">el precio </w:t>
      </w:r>
      <w:r w:rsidR="001E4D63">
        <w:rPr>
          <w:rFonts w:ascii="Verdana" w:eastAsia="Calibri" w:hAnsi="Verdana" w:cs="Arial"/>
          <w:bCs/>
          <w:color w:val="000000" w:themeColor="text1"/>
        </w:rPr>
        <w:t>como</w:t>
      </w:r>
      <w:r w:rsidRPr="005816FA">
        <w:rPr>
          <w:rFonts w:ascii="Verdana" w:eastAsia="Calibri" w:hAnsi="Verdana" w:cs="Arial"/>
          <w:bCs/>
          <w:color w:val="000000" w:themeColor="text1"/>
        </w:rPr>
        <w:t xml:space="preserve"> factor de evaluación</w:t>
      </w:r>
      <w:r w:rsidR="001E4D63">
        <w:rPr>
          <w:rFonts w:ascii="Verdana" w:eastAsia="Calibri" w:hAnsi="Verdana" w:cs="Arial"/>
          <w:bCs/>
          <w:color w:val="000000" w:themeColor="text1"/>
        </w:rPr>
        <w:t xml:space="preserve">, </w:t>
      </w:r>
      <w:r w:rsidR="00B55E2E">
        <w:rPr>
          <w:rFonts w:ascii="Verdana" w:eastAsia="Calibri" w:hAnsi="Verdana" w:cs="Arial"/>
          <w:bCs/>
          <w:color w:val="000000" w:themeColor="text1"/>
        </w:rPr>
        <w:t>por lo que</w:t>
      </w:r>
      <w:r w:rsidR="0023670A">
        <w:rPr>
          <w:rFonts w:ascii="Verdana" w:eastAsia="Calibri" w:hAnsi="Verdana" w:cs="Arial"/>
          <w:bCs/>
          <w:color w:val="000000" w:themeColor="text1"/>
        </w:rPr>
        <w:t xml:space="preserve">, a diferencia de los demás procesos de selección, la oferta más favorable debe establecerse en función de aspectos </w:t>
      </w:r>
      <w:r w:rsidR="00175FAA">
        <w:rPr>
          <w:rFonts w:ascii="Verdana" w:eastAsia="Calibri" w:hAnsi="Verdana" w:cs="Arial"/>
          <w:bCs/>
          <w:color w:val="000000" w:themeColor="text1"/>
        </w:rPr>
        <w:t xml:space="preserve">asociados a los conocimientos de quien va a ejecutar el contrato. Esto se justifica en que, los contratos de </w:t>
      </w:r>
      <w:r w:rsidR="001D6DA1" w:rsidRPr="005E355C">
        <w:rPr>
          <w:rFonts w:ascii="Verdana" w:eastAsia="Calibri" w:hAnsi="Verdana" w:cs="Arial"/>
          <w:bCs/>
          <w:i/>
          <w:iCs/>
          <w:color w:val="000000" w:themeColor="text1"/>
        </w:rPr>
        <w:t>consultoría</w:t>
      </w:r>
      <w:r w:rsidR="00CC164B">
        <w:rPr>
          <w:rFonts w:ascii="Verdana" w:eastAsia="Calibri" w:hAnsi="Verdana" w:cs="Arial"/>
          <w:bCs/>
          <w:i/>
          <w:iCs/>
          <w:color w:val="000000" w:themeColor="text1"/>
        </w:rPr>
        <w:t xml:space="preserve"> </w:t>
      </w:r>
      <w:r w:rsidR="00CC164B">
        <w:rPr>
          <w:rFonts w:ascii="Verdana" w:eastAsia="Calibri" w:hAnsi="Verdana" w:cs="Arial"/>
          <w:bCs/>
          <w:color w:val="000000" w:themeColor="text1"/>
        </w:rPr>
        <w:t xml:space="preserve">y proyectos, a los que les resulta aplicable esta modalidad, se caracterizan por un fuerte componente técnico </w:t>
      </w:r>
      <w:r w:rsidR="004A05F3" w:rsidRPr="006E3EDA">
        <w:rPr>
          <w:rFonts w:ascii="Verdana" w:eastAsia="Calibri" w:hAnsi="Verdana" w:cs="Arial"/>
          <w:kern w:val="2"/>
          <w14:ligatures w14:val="standardContextual"/>
        </w:rPr>
        <w:t xml:space="preserve">componente intelectivo y especializado de la actividad. Esta característica no solo delimita su naturaleza jurídica frente a otras formas de contratación, sino que también justifica su tratamiento diferenciado en el marco normativo. </w:t>
      </w:r>
      <w:r w:rsidR="006332D5" w:rsidRPr="006E3EDA">
        <w:rPr>
          <w:rFonts w:ascii="Verdana" w:eastAsia="Calibri" w:hAnsi="Verdana" w:cs="Arial"/>
          <w:kern w:val="2"/>
          <w:lang w:val="es-ES"/>
          <w14:ligatures w14:val="standardContextual"/>
        </w:rPr>
        <w:t>El numeral 2 del artículo 32 de la Ley 80 de 1993 establece el contrato de consultoría y</w:t>
      </w:r>
      <w:r w:rsidR="006332D5">
        <w:rPr>
          <w:rFonts w:ascii="Verdana" w:eastAsia="Calibri" w:hAnsi="Verdana" w:cs="Arial"/>
          <w:kern w:val="2"/>
          <w:lang w:val="es-ES"/>
          <w14:ligatures w14:val="standardContextual"/>
        </w:rPr>
        <w:t xml:space="preserve"> preceptúa que</w:t>
      </w:r>
      <w:r w:rsidR="006332D5" w:rsidRPr="006E3EDA">
        <w:rPr>
          <w:rFonts w:ascii="Verdana" w:eastAsia="Calibri" w:hAnsi="Verdana" w:cs="Arial"/>
          <w:kern w:val="2"/>
          <w:lang w:val="es-ES"/>
          <w14:ligatures w14:val="standardContextual"/>
        </w:rPr>
        <w:t xml:space="preserve">: </w:t>
      </w:r>
    </w:p>
    <w:p w14:paraId="51BDE41D" w14:textId="77777777" w:rsidR="006332D5" w:rsidRPr="006E3EDA" w:rsidRDefault="006332D5" w:rsidP="006332D5">
      <w:pPr>
        <w:snapToGrid w:val="0"/>
        <w:spacing w:after="0" w:line="276" w:lineRule="auto"/>
        <w:ind w:firstLine="709"/>
        <w:jc w:val="both"/>
        <w:rPr>
          <w:rFonts w:ascii="Verdana" w:eastAsia="Calibri" w:hAnsi="Verdana" w:cs="Arial"/>
          <w:kern w:val="2"/>
          <w:lang w:val="es-ES"/>
          <w14:ligatures w14:val="standardContextual"/>
        </w:rPr>
      </w:pPr>
    </w:p>
    <w:p w14:paraId="7CE4FFED" w14:textId="77777777" w:rsidR="006332D5" w:rsidRPr="006E3EDA" w:rsidRDefault="006332D5" w:rsidP="006332D5">
      <w:pPr>
        <w:snapToGrid w:val="0"/>
        <w:spacing w:after="0" w:line="240" w:lineRule="auto"/>
        <w:ind w:left="709" w:right="709"/>
        <w:jc w:val="both"/>
        <w:rPr>
          <w:rFonts w:ascii="Verdana" w:eastAsia="Calibri" w:hAnsi="Verdana" w:cs="Arial"/>
          <w:kern w:val="2"/>
          <w:sz w:val="20"/>
          <w:szCs w:val="20"/>
          <w14:ligatures w14:val="standardContextual"/>
        </w:rPr>
      </w:pPr>
      <w:r w:rsidRPr="006E3EDA">
        <w:rPr>
          <w:rFonts w:ascii="Verdana" w:eastAsia="Calibri" w:hAnsi="Verdana" w:cs="Arial"/>
          <w:kern w:val="2"/>
          <w:sz w:val="20"/>
          <w:szCs w:val="20"/>
          <w:lang w:val="es-ES"/>
          <w14:ligatures w14:val="standardContextual"/>
        </w:rPr>
        <w:t>“</w:t>
      </w:r>
      <w:r w:rsidRPr="006E3EDA">
        <w:rPr>
          <w:rFonts w:ascii="Verdana" w:eastAsia="Calibri" w:hAnsi="Verdana" w:cs="Arial"/>
          <w:kern w:val="2"/>
          <w:sz w:val="20"/>
          <w:szCs w:val="20"/>
          <w14:ligatures w14:val="standardContextual"/>
        </w:rPr>
        <w:t>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783B2DAA" w14:textId="77777777" w:rsidR="006332D5" w:rsidRPr="006E3EDA" w:rsidRDefault="006332D5" w:rsidP="006332D5">
      <w:pPr>
        <w:snapToGrid w:val="0"/>
        <w:spacing w:after="0" w:line="240" w:lineRule="auto"/>
        <w:ind w:left="709" w:right="709"/>
        <w:jc w:val="both"/>
        <w:rPr>
          <w:rFonts w:ascii="Verdana" w:eastAsia="Calibri" w:hAnsi="Verdana" w:cs="Arial"/>
          <w:kern w:val="2"/>
          <w:sz w:val="20"/>
          <w:szCs w:val="20"/>
          <w14:ligatures w14:val="standardContextual"/>
        </w:rPr>
      </w:pPr>
    </w:p>
    <w:p w14:paraId="1153DBA8" w14:textId="77777777" w:rsidR="006332D5" w:rsidRPr="006E3EDA" w:rsidRDefault="006332D5" w:rsidP="006332D5">
      <w:pPr>
        <w:snapToGrid w:val="0"/>
        <w:spacing w:after="0" w:line="240" w:lineRule="auto"/>
        <w:ind w:left="709" w:right="709"/>
        <w:jc w:val="both"/>
        <w:rPr>
          <w:rFonts w:ascii="Verdana" w:eastAsia="Calibri" w:hAnsi="Verdana" w:cs="Arial"/>
          <w:kern w:val="2"/>
          <w:sz w:val="20"/>
          <w:szCs w:val="20"/>
          <w14:ligatures w14:val="standardContextual"/>
        </w:rPr>
      </w:pPr>
      <w:r w:rsidRPr="006E3EDA">
        <w:rPr>
          <w:rFonts w:ascii="Verdana" w:eastAsia="Calibri" w:hAnsi="Verdana" w:cs="Arial"/>
          <w:kern w:val="2"/>
          <w:sz w:val="20"/>
          <w:szCs w:val="20"/>
          <w14:ligatures w14:val="standardContextual"/>
        </w:rPr>
        <w:lastRenderedPageBreak/>
        <w:t>Son también contratos de consultoría los que tienen por objeto la interventoría, asesoría, gerencia de obra o de proyectos, dirección, programación y la ejecución de diseños, planos, anteproyectos y proyectos. (…)”</w:t>
      </w:r>
    </w:p>
    <w:p w14:paraId="591E6A1C" w14:textId="77777777" w:rsidR="006332D5" w:rsidRPr="006E3EDA" w:rsidRDefault="006332D5" w:rsidP="006332D5">
      <w:pPr>
        <w:tabs>
          <w:tab w:val="left" w:pos="709"/>
        </w:tabs>
        <w:spacing w:after="0" w:line="276" w:lineRule="auto"/>
        <w:ind w:firstLine="709"/>
        <w:jc w:val="both"/>
        <w:rPr>
          <w:rFonts w:ascii="Verdana" w:hAnsi="Verdana"/>
          <w:lang w:val="es-MX"/>
        </w:rPr>
      </w:pPr>
    </w:p>
    <w:p w14:paraId="7ED9A935" w14:textId="77777777" w:rsidR="006332D5" w:rsidRPr="006E3EDA" w:rsidRDefault="006332D5" w:rsidP="006332D5">
      <w:pPr>
        <w:tabs>
          <w:tab w:val="left" w:pos="709"/>
        </w:tabs>
        <w:spacing w:after="0" w:line="276" w:lineRule="auto"/>
        <w:ind w:firstLine="709"/>
        <w:jc w:val="both"/>
        <w:rPr>
          <w:rFonts w:ascii="Verdana" w:hAnsi="Verdana"/>
          <w:lang w:val="es-MX"/>
        </w:rPr>
      </w:pPr>
      <w:r w:rsidRPr="006E3EDA">
        <w:rPr>
          <w:rFonts w:ascii="Verdana" w:hAnsi="Verdana"/>
          <w:lang w:val="es-MX"/>
        </w:rPr>
        <w:t>La doctrina expresa que el art</w:t>
      </w:r>
      <w:r w:rsidRPr="006E3EDA">
        <w:rPr>
          <w:rFonts w:ascii="Verdana" w:hAnsi="Verdana" w:hint="eastAsia"/>
          <w:lang w:val="es-MX"/>
        </w:rPr>
        <w:t>í</w:t>
      </w:r>
      <w:r w:rsidRPr="006E3EDA">
        <w:rPr>
          <w:rFonts w:ascii="Verdana" w:hAnsi="Verdana"/>
          <w:lang w:val="es-MX"/>
        </w:rPr>
        <w:t>culo 32, numeral 2, no establece una definici</w:t>
      </w:r>
      <w:r w:rsidRPr="006E3EDA">
        <w:rPr>
          <w:rFonts w:ascii="Verdana" w:hAnsi="Verdana" w:hint="eastAsia"/>
          <w:lang w:val="es-MX"/>
        </w:rPr>
        <w:t>ó</w:t>
      </w:r>
      <w:r w:rsidRPr="006E3EDA">
        <w:rPr>
          <w:rFonts w:ascii="Verdana" w:hAnsi="Verdana"/>
          <w:lang w:val="es-MX"/>
        </w:rPr>
        <w:t>n de contrato de consultor</w:t>
      </w:r>
      <w:r w:rsidRPr="006E3EDA">
        <w:rPr>
          <w:rFonts w:ascii="Verdana" w:hAnsi="Verdana" w:hint="eastAsia"/>
          <w:lang w:val="es-MX"/>
        </w:rPr>
        <w:t>í</w:t>
      </w:r>
      <w:r w:rsidRPr="006E3EDA">
        <w:rPr>
          <w:rFonts w:ascii="Verdana" w:hAnsi="Verdana"/>
          <w:lang w:val="es-MX"/>
        </w:rPr>
        <w:t>a, sino que, simplemente, enuncia una serie de actividades que pueden hacer parte de este tipo contractual</w:t>
      </w:r>
      <w:r w:rsidRPr="006E3EDA">
        <w:rPr>
          <w:rFonts w:ascii="Verdana" w:hAnsi="Verdana"/>
          <w:vertAlign w:val="superscript"/>
          <w:lang w:val="es-MX"/>
        </w:rPr>
        <w:footnoteReference w:id="13"/>
      </w:r>
      <w:r w:rsidRPr="006E3EDA">
        <w:rPr>
          <w:rFonts w:ascii="Verdana" w:hAnsi="Verdana"/>
          <w:lang w:val="es-MX"/>
        </w:rPr>
        <w:t>. Es decir, no hay un concepto propio de consultor</w:t>
      </w:r>
      <w:r w:rsidRPr="006E3EDA">
        <w:rPr>
          <w:rFonts w:ascii="Verdana" w:hAnsi="Verdana" w:hint="eastAsia"/>
          <w:lang w:val="es-MX"/>
        </w:rPr>
        <w:t>í</w:t>
      </w:r>
      <w:r w:rsidRPr="006E3EDA">
        <w:rPr>
          <w:rFonts w:ascii="Verdana" w:hAnsi="Verdana"/>
          <w:lang w:val="es-MX"/>
        </w:rPr>
        <w:t>a dentro de la Ley 80 de 1993, pero s</w:t>
      </w:r>
      <w:r w:rsidRPr="006E3EDA">
        <w:rPr>
          <w:rFonts w:ascii="Verdana" w:hAnsi="Verdana" w:hint="eastAsia"/>
          <w:lang w:val="es-MX"/>
        </w:rPr>
        <w:t>í</w:t>
      </w:r>
      <w:r w:rsidRPr="006E3EDA">
        <w:rPr>
          <w:rFonts w:ascii="Verdana" w:hAnsi="Verdana"/>
          <w:lang w:val="es-MX"/>
        </w:rPr>
        <w:t xml:space="preserve"> se establecen elementos o actividades que configuran este tipo de contratos. </w:t>
      </w:r>
      <w:r w:rsidRPr="006E3EDA">
        <w:rPr>
          <w:rFonts w:ascii="Verdana" w:hAnsi="Verdana"/>
          <w:vertAlign w:val="superscript"/>
          <w:lang w:val="es-MX"/>
        </w:rPr>
        <w:footnoteReference w:id="14"/>
      </w:r>
      <w:r w:rsidRPr="006E3EDA">
        <w:rPr>
          <w:rFonts w:ascii="Verdana" w:hAnsi="Verdana"/>
          <w:lang w:val="es-MX"/>
        </w:rPr>
        <w:t xml:space="preserve">Al respecto, el Consejo de Estado expresa: </w:t>
      </w:r>
    </w:p>
    <w:p w14:paraId="7F3D4BD0" w14:textId="77777777" w:rsidR="006332D5" w:rsidRPr="006E3EDA" w:rsidRDefault="006332D5" w:rsidP="006332D5">
      <w:pPr>
        <w:tabs>
          <w:tab w:val="left" w:pos="709"/>
        </w:tabs>
        <w:spacing w:after="0" w:line="276" w:lineRule="auto"/>
        <w:ind w:firstLine="709"/>
        <w:jc w:val="both"/>
        <w:rPr>
          <w:rFonts w:ascii="Verdana" w:hAnsi="Verdana"/>
          <w:lang w:val="es-MX"/>
        </w:rPr>
      </w:pPr>
    </w:p>
    <w:p w14:paraId="6D926A9D" w14:textId="77777777" w:rsidR="006332D5" w:rsidRPr="006E3EDA" w:rsidRDefault="006332D5" w:rsidP="006332D5">
      <w:pPr>
        <w:tabs>
          <w:tab w:val="left" w:pos="709"/>
        </w:tabs>
        <w:spacing w:after="0" w:line="240" w:lineRule="auto"/>
        <w:ind w:left="709" w:right="709"/>
        <w:jc w:val="both"/>
        <w:rPr>
          <w:rFonts w:ascii="Verdana" w:hAnsi="Verdana"/>
          <w:sz w:val="20"/>
          <w:szCs w:val="20"/>
          <w:lang w:val="es-MX"/>
        </w:rPr>
      </w:pPr>
      <w:r w:rsidRPr="006E3EDA">
        <w:rPr>
          <w:rFonts w:ascii="Verdana" w:hAnsi="Verdana" w:hint="eastAsia"/>
          <w:sz w:val="20"/>
          <w:szCs w:val="20"/>
          <w:lang w:val="es-MX"/>
        </w:rPr>
        <w:t>“</w:t>
      </w:r>
      <w:r w:rsidRPr="006E3EDA">
        <w:rPr>
          <w:rFonts w:ascii="Verdana" w:hAnsi="Verdana"/>
          <w:sz w:val="20"/>
          <w:szCs w:val="20"/>
          <w:lang w:val="es-MX"/>
        </w:rPr>
        <w:t>Son de la esencia del contrato de consultor</w:t>
      </w:r>
      <w:r w:rsidRPr="006E3EDA">
        <w:rPr>
          <w:rFonts w:ascii="Verdana" w:hAnsi="Verdana" w:hint="eastAsia"/>
          <w:sz w:val="20"/>
          <w:szCs w:val="20"/>
          <w:lang w:val="es-MX"/>
        </w:rPr>
        <w:t>í</w:t>
      </w:r>
      <w:r w:rsidRPr="006E3EDA">
        <w:rPr>
          <w:rFonts w:ascii="Verdana" w:hAnsi="Verdana"/>
          <w:sz w:val="20"/>
          <w:szCs w:val="20"/>
          <w:lang w:val="es-MX"/>
        </w:rPr>
        <w:t>a el que una parte se obligue a prestar un servicio consistente en realizar estudios para la ejecuci</w:t>
      </w:r>
      <w:r w:rsidRPr="006E3EDA">
        <w:rPr>
          <w:rFonts w:ascii="Verdana" w:hAnsi="Verdana" w:hint="eastAsia"/>
          <w:sz w:val="20"/>
          <w:szCs w:val="20"/>
          <w:lang w:val="es-MX"/>
        </w:rPr>
        <w:t>ó</w:t>
      </w:r>
      <w:r w:rsidRPr="006E3EDA">
        <w:rPr>
          <w:rFonts w:ascii="Verdana" w:hAnsi="Verdana"/>
          <w:sz w:val="20"/>
          <w:szCs w:val="20"/>
          <w:lang w:val="es-MX"/>
        </w:rPr>
        <w:t>n de proyectos de inversi</w:t>
      </w:r>
      <w:r w:rsidRPr="006E3EDA">
        <w:rPr>
          <w:rFonts w:ascii="Verdana" w:hAnsi="Verdana" w:hint="eastAsia"/>
          <w:sz w:val="20"/>
          <w:szCs w:val="20"/>
          <w:lang w:val="es-MX"/>
        </w:rPr>
        <w:t>ó</w:t>
      </w:r>
      <w:r w:rsidRPr="006E3EDA">
        <w:rPr>
          <w:rFonts w:ascii="Verdana" w:hAnsi="Verdana"/>
          <w:sz w:val="20"/>
          <w:szCs w:val="20"/>
          <w:lang w:val="es-MX"/>
        </w:rPr>
        <w:t>n, estudios de diagn</w:t>
      </w:r>
      <w:r w:rsidRPr="006E3EDA">
        <w:rPr>
          <w:rFonts w:ascii="Verdana" w:hAnsi="Verdana" w:hint="eastAsia"/>
          <w:sz w:val="20"/>
          <w:szCs w:val="20"/>
          <w:lang w:val="es-MX"/>
        </w:rPr>
        <w:t>ó</w:t>
      </w:r>
      <w:r w:rsidRPr="006E3EDA">
        <w:rPr>
          <w:rFonts w:ascii="Verdana" w:hAnsi="Verdana"/>
          <w:sz w:val="20"/>
          <w:szCs w:val="20"/>
          <w:lang w:val="es-MX"/>
        </w:rPr>
        <w:t>stico, prefactibilidad o factibilidad para programas o proyectos determinados, prestar asesor</w:t>
      </w:r>
      <w:r w:rsidRPr="006E3EDA">
        <w:rPr>
          <w:rFonts w:ascii="Verdana" w:hAnsi="Verdana" w:hint="eastAsia"/>
          <w:sz w:val="20"/>
          <w:szCs w:val="20"/>
          <w:lang w:val="es-MX"/>
        </w:rPr>
        <w:t>í</w:t>
      </w:r>
      <w:r w:rsidRPr="006E3EDA">
        <w:rPr>
          <w:rFonts w:ascii="Verdana" w:hAnsi="Verdana"/>
          <w:sz w:val="20"/>
          <w:szCs w:val="20"/>
          <w:lang w:val="es-MX"/>
        </w:rPr>
        <w:t>a t</w:t>
      </w:r>
      <w:r w:rsidRPr="006E3EDA">
        <w:rPr>
          <w:rFonts w:ascii="Verdana" w:hAnsi="Verdana" w:hint="eastAsia"/>
          <w:sz w:val="20"/>
          <w:szCs w:val="20"/>
          <w:lang w:val="es-MX"/>
        </w:rPr>
        <w:t>é</w:t>
      </w:r>
      <w:r w:rsidRPr="006E3EDA">
        <w:rPr>
          <w:rFonts w:ascii="Verdana" w:hAnsi="Verdana"/>
          <w:sz w:val="20"/>
          <w:szCs w:val="20"/>
          <w:lang w:val="es-MX"/>
        </w:rPr>
        <w:t>cnica de coordinaci</w:t>
      </w:r>
      <w:r w:rsidRPr="006E3EDA">
        <w:rPr>
          <w:rFonts w:ascii="Verdana" w:hAnsi="Verdana" w:hint="eastAsia"/>
          <w:sz w:val="20"/>
          <w:szCs w:val="20"/>
          <w:lang w:val="es-MX"/>
        </w:rPr>
        <w:t>ó</w:t>
      </w:r>
      <w:r w:rsidRPr="006E3EDA">
        <w:rPr>
          <w:rFonts w:ascii="Verdana" w:hAnsi="Verdana"/>
          <w:sz w:val="20"/>
          <w:szCs w:val="20"/>
          <w:lang w:val="es-MX"/>
        </w:rPr>
        <w:t>n, control y supervisi</w:t>
      </w:r>
      <w:r w:rsidRPr="006E3EDA">
        <w:rPr>
          <w:rFonts w:ascii="Verdana" w:hAnsi="Verdana" w:hint="eastAsia"/>
          <w:sz w:val="20"/>
          <w:szCs w:val="20"/>
          <w:lang w:val="es-MX"/>
        </w:rPr>
        <w:t>ó</w:t>
      </w:r>
      <w:r w:rsidRPr="006E3EDA">
        <w:rPr>
          <w:rFonts w:ascii="Verdana" w:hAnsi="Verdana"/>
          <w:sz w:val="20"/>
          <w:szCs w:val="20"/>
          <w:lang w:val="es-MX"/>
        </w:rPr>
        <w:t>n, realizar actividades de interventor</w:t>
      </w:r>
      <w:r w:rsidRPr="006E3EDA">
        <w:rPr>
          <w:rFonts w:ascii="Verdana" w:hAnsi="Verdana" w:hint="eastAsia"/>
          <w:sz w:val="20"/>
          <w:szCs w:val="20"/>
          <w:lang w:val="es-MX"/>
        </w:rPr>
        <w:t>í</w:t>
      </w:r>
      <w:r w:rsidRPr="006E3EDA">
        <w:rPr>
          <w:rFonts w:ascii="Verdana" w:hAnsi="Verdana"/>
          <w:sz w:val="20"/>
          <w:szCs w:val="20"/>
          <w:lang w:val="es-MX"/>
        </w:rPr>
        <w:t>a, asesor</w:t>
      </w:r>
      <w:r w:rsidRPr="006E3EDA">
        <w:rPr>
          <w:rFonts w:ascii="Verdana" w:hAnsi="Verdana" w:hint="eastAsia"/>
          <w:sz w:val="20"/>
          <w:szCs w:val="20"/>
          <w:lang w:val="es-MX"/>
        </w:rPr>
        <w:t>í</w:t>
      </w:r>
      <w:r w:rsidRPr="006E3EDA">
        <w:rPr>
          <w:rFonts w:ascii="Verdana" w:hAnsi="Verdana"/>
          <w:sz w:val="20"/>
          <w:szCs w:val="20"/>
          <w:lang w:val="es-MX"/>
        </w:rPr>
        <w:t>a y gerencia de obra o de proyectos, as</w:t>
      </w:r>
      <w:r w:rsidRPr="006E3EDA">
        <w:rPr>
          <w:rFonts w:ascii="Verdana" w:hAnsi="Verdana" w:hint="eastAsia"/>
          <w:sz w:val="20"/>
          <w:szCs w:val="20"/>
          <w:lang w:val="es-MX"/>
        </w:rPr>
        <w:t>í</w:t>
      </w:r>
      <w:r w:rsidRPr="006E3EDA">
        <w:rPr>
          <w:rFonts w:ascii="Verdana" w:hAnsi="Verdana"/>
          <w:sz w:val="20"/>
          <w:szCs w:val="20"/>
          <w:lang w:val="es-MX"/>
        </w:rPr>
        <w:t xml:space="preserve"> como la direcci</w:t>
      </w:r>
      <w:r w:rsidRPr="006E3EDA">
        <w:rPr>
          <w:rFonts w:ascii="Verdana" w:hAnsi="Verdana" w:hint="eastAsia"/>
          <w:sz w:val="20"/>
          <w:szCs w:val="20"/>
          <w:lang w:val="es-MX"/>
        </w:rPr>
        <w:t>ó</w:t>
      </w:r>
      <w:r w:rsidRPr="006E3EDA">
        <w:rPr>
          <w:rFonts w:ascii="Verdana" w:hAnsi="Verdana"/>
          <w:sz w:val="20"/>
          <w:szCs w:val="20"/>
          <w:lang w:val="es-MX"/>
        </w:rPr>
        <w:t>n, programaci</w:t>
      </w:r>
      <w:r w:rsidRPr="006E3EDA">
        <w:rPr>
          <w:rFonts w:ascii="Verdana" w:hAnsi="Verdana" w:hint="eastAsia"/>
          <w:sz w:val="20"/>
          <w:szCs w:val="20"/>
          <w:lang w:val="es-MX"/>
        </w:rPr>
        <w:t>ó</w:t>
      </w:r>
      <w:r w:rsidRPr="006E3EDA">
        <w:rPr>
          <w:rFonts w:ascii="Verdana" w:hAnsi="Verdana"/>
          <w:sz w:val="20"/>
          <w:szCs w:val="20"/>
          <w:lang w:val="es-MX"/>
        </w:rPr>
        <w:t>n y la ejecuci</w:t>
      </w:r>
      <w:r w:rsidRPr="006E3EDA">
        <w:rPr>
          <w:rFonts w:ascii="Verdana" w:hAnsi="Verdana" w:hint="eastAsia"/>
          <w:sz w:val="20"/>
          <w:szCs w:val="20"/>
          <w:lang w:val="es-MX"/>
        </w:rPr>
        <w:t>ó</w:t>
      </w:r>
      <w:r w:rsidRPr="006E3EDA">
        <w:rPr>
          <w:rFonts w:ascii="Verdana" w:hAnsi="Verdana"/>
          <w:sz w:val="20"/>
          <w:szCs w:val="20"/>
          <w:lang w:val="es-MX"/>
        </w:rPr>
        <w:t>n de dise</w:t>
      </w:r>
      <w:r w:rsidRPr="006E3EDA">
        <w:rPr>
          <w:rFonts w:ascii="Verdana" w:hAnsi="Verdana" w:hint="eastAsia"/>
          <w:sz w:val="20"/>
          <w:szCs w:val="20"/>
          <w:lang w:val="es-MX"/>
        </w:rPr>
        <w:t>ñ</w:t>
      </w:r>
      <w:r w:rsidRPr="006E3EDA">
        <w:rPr>
          <w:rFonts w:ascii="Verdana" w:hAnsi="Verdana"/>
          <w:sz w:val="20"/>
          <w:szCs w:val="20"/>
          <w:lang w:val="es-MX"/>
        </w:rPr>
        <w:t>os, planos, anteproyectos y proyectos, y el que la otra se obligue a pagar una determinada remuneraci</w:t>
      </w:r>
      <w:r w:rsidRPr="006E3EDA">
        <w:rPr>
          <w:rFonts w:ascii="Verdana" w:hAnsi="Verdana" w:hint="eastAsia"/>
          <w:sz w:val="20"/>
          <w:szCs w:val="20"/>
          <w:lang w:val="es-MX"/>
        </w:rPr>
        <w:t>ó</w:t>
      </w:r>
      <w:r w:rsidRPr="006E3EDA">
        <w:rPr>
          <w:rFonts w:ascii="Verdana" w:hAnsi="Verdana"/>
          <w:sz w:val="20"/>
          <w:szCs w:val="20"/>
          <w:lang w:val="es-MX"/>
        </w:rPr>
        <w:t>n como retribuci</w:t>
      </w:r>
      <w:r w:rsidRPr="006E3EDA">
        <w:rPr>
          <w:rFonts w:ascii="Verdana" w:hAnsi="Verdana" w:hint="eastAsia"/>
          <w:sz w:val="20"/>
          <w:szCs w:val="20"/>
          <w:lang w:val="es-MX"/>
        </w:rPr>
        <w:t>ó</w:t>
      </w:r>
      <w:r w:rsidRPr="006E3EDA">
        <w:rPr>
          <w:rFonts w:ascii="Verdana" w:hAnsi="Verdana"/>
          <w:sz w:val="20"/>
          <w:szCs w:val="20"/>
          <w:lang w:val="es-MX"/>
        </w:rPr>
        <w:t>n por el servicio prestado</w:t>
      </w:r>
      <w:r w:rsidRPr="006E3EDA">
        <w:rPr>
          <w:rFonts w:ascii="Verdana" w:hAnsi="Verdana" w:hint="eastAsia"/>
          <w:sz w:val="20"/>
          <w:szCs w:val="20"/>
          <w:lang w:val="es-MX"/>
        </w:rPr>
        <w:t>”</w:t>
      </w:r>
      <w:r w:rsidRPr="006E3EDA">
        <w:rPr>
          <w:rFonts w:ascii="Verdana" w:hAnsi="Verdana"/>
          <w:sz w:val="20"/>
          <w:szCs w:val="20"/>
          <w:vertAlign w:val="superscript"/>
          <w:lang w:val="es-MX"/>
        </w:rPr>
        <w:footnoteReference w:id="15"/>
      </w:r>
      <w:r w:rsidRPr="006E3EDA">
        <w:rPr>
          <w:rFonts w:ascii="Verdana" w:hAnsi="Verdana"/>
          <w:sz w:val="20"/>
          <w:szCs w:val="20"/>
          <w:lang w:val="es-MX"/>
        </w:rPr>
        <w:t>.</w:t>
      </w:r>
    </w:p>
    <w:p w14:paraId="2510F336" w14:textId="77777777" w:rsidR="006332D5" w:rsidRPr="006E3EDA" w:rsidRDefault="006332D5" w:rsidP="006332D5">
      <w:pPr>
        <w:tabs>
          <w:tab w:val="left" w:pos="709"/>
        </w:tabs>
        <w:spacing w:after="0" w:line="276" w:lineRule="auto"/>
        <w:ind w:left="992" w:right="709"/>
        <w:jc w:val="both"/>
        <w:rPr>
          <w:rFonts w:ascii="Verdana" w:hAnsi="Verdana"/>
          <w:lang w:val="es-MX"/>
        </w:rPr>
      </w:pPr>
    </w:p>
    <w:p w14:paraId="70E8A612" w14:textId="164F20EE" w:rsidR="00B55E2E" w:rsidRDefault="006332D5" w:rsidP="006332D5">
      <w:pPr>
        <w:shd w:val="clear" w:color="auto" w:fill="FFFFFF" w:themeFill="background1"/>
        <w:spacing w:after="120" w:line="276" w:lineRule="auto"/>
        <w:ind w:right="51" w:firstLine="709"/>
        <w:jc w:val="both"/>
        <w:rPr>
          <w:rFonts w:ascii="Verdana" w:eastAsia="Calibri" w:hAnsi="Verdana" w:cs="Arial"/>
          <w:bCs/>
          <w:color w:val="000000" w:themeColor="text1"/>
        </w:rPr>
      </w:pPr>
      <w:r w:rsidRPr="006E3EDA">
        <w:rPr>
          <w:rFonts w:ascii="Verdana" w:eastAsia="Calibri" w:hAnsi="Verdana" w:cs="Arial"/>
          <w:bCs/>
          <w:lang w:val="es-ES_tradnl"/>
        </w:rPr>
        <w:t>De acuerdo con lo anterior, los contratos de consultoría son entonces aquellos que suscriben las Entidades Públicas que se refieran a los estudios necesarios para la ejecución de proyectos de inversión, estudios de diagnóstico, prefactibilidad o factibilidad para programas o proyectos específicos, así como las asesorías técnicas de coordinación, control y supervisión. Así mismo, son contratos de consultoría los que tienen por objeto la interventoría, asesoría, gerencia de obra o de proyectos, dirección, programación y la ejecución de diseños, planos, anteproyectos y proyectos</w:t>
      </w:r>
      <w:r w:rsidR="00CC164B">
        <w:rPr>
          <w:rFonts w:ascii="Verdana" w:eastAsia="Calibri" w:hAnsi="Verdana" w:cs="Arial"/>
          <w:bCs/>
          <w:color w:val="000000" w:themeColor="text1"/>
        </w:rPr>
        <w:t xml:space="preserve">  </w:t>
      </w:r>
    </w:p>
    <w:p w14:paraId="7BEF81CC" w14:textId="489CA9D0" w:rsidR="00B55E2E" w:rsidRDefault="00D14465" w:rsidP="006116EB">
      <w:pPr>
        <w:shd w:val="clear" w:color="auto" w:fill="FFFFFF" w:themeFill="background1"/>
        <w:spacing w:after="120" w:line="276" w:lineRule="auto"/>
        <w:ind w:right="51" w:firstLine="709"/>
        <w:jc w:val="both"/>
        <w:rPr>
          <w:rFonts w:ascii="Verdana" w:eastAsia="Calibri" w:hAnsi="Verdana" w:cs="Arial"/>
          <w:bCs/>
          <w:color w:val="000000" w:themeColor="text1"/>
        </w:rPr>
      </w:pPr>
      <w:r w:rsidRPr="006E3EDA">
        <w:rPr>
          <w:rFonts w:ascii="Verdana" w:eastAsia="Calibri" w:hAnsi="Verdana" w:cs="Arial"/>
          <w:bCs/>
          <w:lang w:val="es-ES_tradnl"/>
        </w:rPr>
        <w:t>Bajo este entendimiento, la característica fundamental para identificar los contratos estatales de consultoría es el carácter ampliamente técnico de su contenido, que se diferencia de otros tipos contractuales</w:t>
      </w:r>
      <w:r>
        <w:rPr>
          <w:rFonts w:ascii="Verdana" w:eastAsia="Calibri" w:hAnsi="Verdana" w:cs="Arial"/>
          <w:bCs/>
          <w:lang w:val="es-ES_tradnl"/>
        </w:rPr>
        <w:t xml:space="preserve">, por lo que el </w:t>
      </w:r>
      <w:r>
        <w:rPr>
          <w:rFonts w:ascii="Verdana" w:eastAsia="Calibri" w:hAnsi="Verdana" w:cs="Arial"/>
          <w:bCs/>
          <w:lang w:val="es-ES_tradnl"/>
        </w:rPr>
        <w:lastRenderedPageBreak/>
        <w:t>ordenamiento establece unas reglas particulares para establecer los criterios de evaluación en el marco de estos</w:t>
      </w:r>
      <w:r w:rsidR="00310BF7">
        <w:rPr>
          <w:rFonts w:ascii="Verdana" w:eastAsia="Calibri" w:hAnsi="Verdana" w:cs="Arial"/>
          <w:bCs/>
          <w:lang w:val="es-ES_tradnl"/>
        </w:rPr>
        <w:t xml:space="preserve"> negocios jurídicos. </w:t>
      </w:r>
      <w:r w:rsidR="00693CFA">
        <w:rPr>
          <w:rFonts w:ascii="Verdana" w:eastAsia="Calibri" w:hAnsi="Verdana" w:cs="Arial"/>
          <w:bCs/>
          <w:lang w:val="es-ES_tradnl"/>
        </w:rPr>
        <w:t>En parti</w:t>
      </w:r>
      <w:r w:rsidR="00265C4A">
        <w:rPr>
          <w:rFonts w:ascii="Verdana" w:eastAsia="Calibri" w:hAnsi="Verdana" w:cs="Arial"/>
          <w:bCs/>
          <w:lang w:val="es-ES_tradnl"/>
        </w:rPr>
        <w:t xml:space="preserve">cular, el </w:t>
      </w:r>
      <w:r w:rsidR="00EE53F3">
        <w:rPr>
          <w:rFonts w:ascii="Verdana" w:eastAsia="Calibri" w:hAnsi="Verdana" w:cs="Arial"/>
          <w:bCs/>
          <w:lang w:val="es-ES_tradnl"/>
        </w:rPr>
        <w:t>artículo 2.2.1.2.1.3.2</w:t>
      </w:r>
      <w:r w:rsidR="002F0B11">
        <w:rPr>
          <w:rFonts w:ascii="Verdana" w:eastAsia="Calibri" w:hAnsi="Verdana" w:cs="Arial"/>
          <w:bCs/>
          <w:lang w:val="es-ES_tradnl"/>
        </w:rPr>
        <w:t xml:space="preserve"> </w:t>
      </w:r>
      <w:r w:rsidR="00265C4A">
        <w:rPr>
          <w:rFonts w:ascii="Verdana" w:eastAsia="Calibri" w:hAnsi="Verdana" w:cs="Arial"/>
          <w:bCs/>
          <w:lang w:val="es-ES_tradnl"/>
        </w:rPr>
        <w:t xml:space="preserve">del Decreto 1082 de 2015, el cual regula el procedimiento del concurso de méritos, </w:t>
      </w:r>
      <w:r w:rsidR="000E6074">
        <w:rPr>
          <w:rFonts w:ascii="Verdana" w:eastAsia="Calibri" w:hAnsi="Verdana" w:cs="Arial"/>
          <w:bCs/>
          <w:lang w:val="es-ES_tradnl"/>
        </w:rPr>
        <w:t>indica</w:t>
      </w:r>
      <w:r w:rsidR="00265C4A">
        <w:rPr>
          <w:rFonts w:ascii="Verdana" w:eastAsia="Calibri" w:hAnsi="Verdana" w:cs="Arial"/>
          <w:bCs/>
          <w:lang w:val="es-ES_tradnl"/>
        </w:rPr>
        <w:t xml:space="preserve"> </w:t>
      </w:r>
      <w:r w:rsidR="00EE53F3">
        <w:rPr>
          <w:rFonts w:ascii="Verdana" w:eastAsia="Calibri" w:hAnsi="Verdana" w:cs="Arial"/>
          <w:bCs/>
          <w:lang w:val="es-ES_tradnl"/>
        </w:rPr>
        <w:t>en su numeral 3</w:t>
      </w:r>
      <w:r w:rsidR="00C710D2">
        <w:rPr>
          <w:rFonts w:ascii="Verdana" w:eastAsia="Calibri" w:hAnsi="Verdana" w:cs="Arial"/>
          <w:bCs/>
          <w:lang w:val="es-ES_tradnl"/>
        </w:rPr>
        <w:t xml:space="preserve"> que</w:t>
      </w:r>
      <w:r w:rsidR="00265C4A">
        <w:rPr>
          <w:rFonts w:ascii="Verdana" w:eastAsia="Calibri" w:hAnsi="Verdana" w:cs="Arial"/>
          <w:bCs/>
          <w:lang w:val="es-ES_tradnl"/>
        </w:rPr>
        <w:t xml:space="preserve"> la entidad debe establecer en los pliegos de condiciones</w:t>
      </w:r>
      <w:r w:rsidR="000E6074">
        <w:rPr>
          <w:rFonts w:ascii="Verdana" w:eastAsia="Calibri" w:hAnsi="Verdana" w:cs="Arial"/>
          <w:bCs/>
          <w:lang w:val="es-ES_tradnl"/>
        </w:rPr>
        <w:t xml:space="preserve"> los criterios de calificación, los cuales pueden</w:t>
      </w:r>
      <w:r w:rsidR="009E6E09">
        <w:rPr>
          <w:rFonts w:ascii="Verdana" w:eastAsia="Calibri" w:hAnsi="Verdana" w:cs="Arial"/>
          <w:bCs/>
          <w:lang w:val="es-ES_tradnl"/>
        </w:rPr>
        <w:t xml:space="preserve"> ser, entre otros: </w:t>
      </w:r>
      <w:r w:rsidR="009E6E09" w:rsidRPr="005E355C">
        <w:rPr>
          <w:rFonts w:ascii="Verdana" w:eastAsia="Calibri" w:hAnsi="Verdana" w:cs="Arial"/>
          <w:bCs/>
          <w:i/>
          <w:iCs/>
          <w:lang w:val="es-ES_tradnl"/>
        </w:rPr>
        <w:t>“</w:t>
      </w:r>
      <w:r w:rsidR="00265C4A" w:rsidRPr="005E355C">
        <w:rPr>
          <w:rFonts w:ascii="Verdana" w:eastAsia="Calibri" w:hAnsi="Verdana" w:cs="Arial"/>
          <w:bCs/>
          <w:i/>
          <w:iCs/>
        </w:rPr>
        <w:t>a) la experiencia del interesado y del equipo de trabajo y b) la formación académica del equipo de trabajo</w:t>
      </w:r>
      <w:r w:rsidR="009E6E09" w:rsidRPr="005E355C">
        <w:rPr>
          <w:rFonts w:ascii="Verdana" w:eastAsia="Calibri" w:hAnsi="Verdana" w:cs="Arial"/>
          <w:bCs/>
          <w:i/>
          <w:iCs/>
        </w:rPr>
        <w:t>”</w:t>
      </w:r>
      <w:r w:rsidR="00265C4A" w:rsidRPr="00265C4A">
        <w:rPr>
          <w:rFonts w:ascii="Verdana" w:eastAsia="Calibri" w:hAnsi="Verdana" w:cs="Arial"/>
          <w:bCs/>
        </w:rPr>
        <w:t>.  </w:t>
      </w:r>
    </w:p>
    <w:p w14:paraId="1E9333D9" w14:textId="31D16C8D" w:rsidR="003628C9" w:rsidRDefault="006116EB" w:rsidP="005E355C">
      <w:pPr>
        <w:shd w:val="clear" w:color="auto" w:fill="FFFFFF" w:themeFill="background1"/>
        <w:spacing w:after="0" w:line="276" w:lineRule="auto"/>
        <w:ind w:right="51" w:firstLine="709"/>
        <w:jc w:val="both"/>
        <w:rPr>
          <w:rFonts w:ascii="Verdana" w:eastAsia="Calibri" w:hAnsi="Verdana" w:cs="Arial"/>
          <w:bCs/>
          <w:color w:val="000000" w:themeColor="text1"/>
        </w:rPr>
      </w:pPr>
      <w:r w:rsidRPr="005816FA">
        <w:rPr>
          <w:rFonts w:ascii="Verdana" w:eastAsia="Calibri" w:hAnsi="Verdana" w:cs="Arial"/>
          <w:bCs/>
          <w:color w:val="000000" w:themeColor="text1"/>
        </w:rPr>
        <w:t xml:space="preserve">En conclusión, </w:t>
      </w:r>
      <w:r w:rsidR="005C4F8B">
        <w:rPr>
          <w:rFonts w:ascii="Verdana" w:eastAsia="Calibri" w:hAnsi="Verdana" w:cs="Arial"/>
          <w:bCs/>
          <w:color w:val="000000" w:themeColor="text1"/>
        </w:rPr>
        <w:t>en el marco de modalidades de selección</w:t>
      </w:r>
      <w:r w:rsidR="00517648">
        <w:rPr>
          <w:rFonts w:ascii="Verdana" w:eastAsia="Calibri" w:hAnsi="Verdana" w:cs="Arial"/>
          <w:bCs/>
          <w:color w:val="000000" w:themeColor="text1"/>
        </w:rPr>
        <w:t xml:space="preserve"> como </w:t>
      </w:r>
      <w:r w:rsidR="00E868FC">
        <w:rPr>
          <w:rFonts w:ascii="Verdana" w:eastAsia="Calibri" w:hAnsi="Verdana" w:cs="Arial"/>
          <w:bCs/>
          <w:color w:val="000000" w:themeColor="text1"/>
        </w:rPr>
        <w:t>la licitación, selección abreviada</w:t>
      </w:r>
      <w:r w:rsidR="00401009">
        <w:rPr>
          <w:rFonts w:ascii="Verdana" w:eastAsia="Calibri" w:hAnsi="Verdana" w:cs="Arial"/>
          <w:bCs/>
          <w:color w:val="000000" w:themeColor="text1"/>
        </w:rPr>
        <w:t xml:space="preserve"> y la mínima cuantía</w:t>
      </w:r>
      <w:r w:rsidR="003628C9">
        <w:rPr>
          <w:rFonts w:ascii="Verdana" w:eastAsia="Calibri" w:hAnsi="Verdana" w:cs="Arial"/>
          <w:bCs/>
          <w:color w:val="000000" w:themeColor="text1"/>
        </w:rPr>
        <w:t xml:space="preserve">, </w:t>
      </w:r>
      <w:r w:rsidR="00280360">
        <w:rPr>
          <w:rFonts w:ascii="Verdana" w:eastAsia="Calibri" w:hAnsi="Verdana" w:cs="Arial"/>
          <w:bCs/>
          <w:color w:val="000000" w:themeColor="text1"/>
        </w:rPr>
        <w:t>disposiciones como los artículos 2 y 5 de la Ley 1150 de 2007</w:t>
      </w:r>
      <w:r w:rsidR="00B631FE">
        <w:rPr>
          <w:rFonts w:ascii="Verdana" w:eastAsia="Calibri" w:hAnsi="Verdana" w:cs="Arial"/>
          <w:bCs/>
          <w:color w:val="000000" w:themeColor="text1"/>
        </w:rPr>
        <w:t>, no permiten la valoración de la formación académica</w:t>
      </w:r>
      <w:r w:rsidR="00A343D3">
        <w:rPr>
          <w:rFonts w:ascii="Verdana" w:eastAsia="Calibri" w:hAnsi="Verdana" w:cs="Arial"/>
          <w:bCs/>
          <w:color w:val="000000" w:themeColor="text1"/>
        </w:rPr>
        <w:t xml:space="preserve"> </w:t>
      </w:r>
      <w:r w:rsidR="00675670">
        <w:rPr>
          <w:rFonts w:ascii="Verdana" w:eastAsia="Calibri" w:hAnsi="Verdana" w:cs="Arial"/>
          <w:bCs/>
          <w:color w:val="000000" w:themeColor="text1"/>
        </w:rPr>
        <w:t xml:space="preserve">como factor de evaluación. No obstante, </w:t>
      </w:r>
      <w:r w:rsidR="00DE145C">
        <w:rPr>
          <w:rFonts w:ascii="Verdana" w:eastAsia="Calibri" w:hAnsi="Verdana" w:cs="Arial"/>
          <w:bCs/>
          <w:color w:val="000000" w:themeColor="text1"/>
        </w:rPr>
        <w:t>en procesos adelantados en la modalidad de concursos de méritos s</w:t>
      </w:r>
      <w:r w:rsidR="00EE53F3">
        <w:rPr>
          <w:rFonts w:ascii="Verdana" w:eastAsia="Calibri" w:hAnsi="Verdana" w:cs="Arial"/>
          <w:bCs/>
          <w:color w:val="000000" w:themeColor="text1"/>
        </w:rPr>
        <w:t xml:space="preserve">i es posible valorar la formación académica del equipo de trabajo, de </w:t>
      </w:r>
      <w:r w:rsidR="00C710D2">
        <w:rPr>
          <w:rFonts w:ascii="Verdana" w:eastAsia="Calibri" w:hAnsi="Verdana" w:cs="Arial"/>
          <w:bCs/>
          <w:color w:val="000000" w:themeColor="text1"/>
        </w:rPr>
        <w:t xml:space="preserve">acuerdo con lo establecido en el numeral 3 del artículo </w:t>
      </w:r>
      <w:r w:rsidR="00673DB0">
        <w:rPr>
          <w:rFonts w:ascii="Verdana" w:eastAsia="Calibri" w:hAnsi="Verdana" w:cs="Arial"/>
          <w:bCs/>
          <w:lang w:val="es-ES_tradnl"/>
        </w:rPr>
        <w:t>2.2.1.2.1.3.2.</w:t>
      </w:r>
      <w:r w:rsidR="005C4F8B">
        <w:rPr>
          <w:rFonts w:ascii="Verdana" w:eastAsia="Calibri" w:hAnsi="Verdana" w:cs="Arial"/>
          <w:bCs/>
          <w:color w:val="000000" w:themeColor="text1"/>
        </w:rPr>
        <w:t xml:space="preserve"> </w:t>
      </w:r>
      <w:r w:rsidR="00F331E0">
        <w:rPr>
          <w:rFonts w:ascii="Verdana" w:eastAsia="Calibri" w:hAnsi="Verdana" w:cs="Arial"/>
          <w:bCs/>
          <w:color w:val="000000" w:themeColor="text1"/>
        </w:rPr>
        <w:t xml:space="preserve">No obstante, es pertinente aclarar que la modalidad de concurso de méritos solo es aplicable a los contratos a los que se refieren los artículos 32, numeral 3 </w:t>
      </w:r>
      <w:r w:rsidR="00EA7948">
        <w:rPr>
          <w:rFonts w:ascii="Verdana" w:eastAsia="Calibri" w:hAnsi="Verdana" w:cs="Arial"/>
          <w:bCs/>
          <w:color w:val="000000" w:themeColor="text1"/>
        </w:rPr>
        <w:t xml:space="preserve">de la Ley 80 de 1993 y 2, numeral 3 de la Ley 1150 de 2007. </w:t>
      </w:r>
      <w:r w:rsidR="00F331E0">
        <w:rPr>
          <w:rFonts w:ascii="Verdana" w:eastAsia="Calibri" w:hAnsi="Verdana" w:cs="Arial"/>
          <w:bCs/>
          <w:color w:val="000000" w:themeColor="text1"/>
        </w:rPr>
        <w:t xml:space="preserve"> </w:t>
      </w:r>
    </w:p>
    <w:p w14:paraId="4C091ADB" w14:textId="77777777" w:rsidR="006116EB" w:rsidRPr="00742A56" w:rsidRDefault="006116EB" w:rsidP="006116EB">
      <w:pPr>
        <w:spacing w:after="0" w:line="276" w:lineRule="auto"/>
        <w:jc w:val="both"/>
        <w:rPr>
          <w:rFonts w:ascii="Verdana" w:hAnsi="Verdana" w:cs="Arial"/>
          <w:bCs/>
          <w:color w:val="000000" w:themeColor="text1"/>
        </w:rPr>
      </w:pPr>
      <w:bookmarkStart w:id="4" w:name="_Hlk204856061"/>
      <w:bookmarkStart w:id="5" w:name="_Hlk78820161"/>
      <w:bookmarkStart w:id="6" w:name="_Hlk204854194"/>
    </w:p>
    <w:bookmarkEnd w:id="4"/>
    <w:bookmarkEnd w:id="5"/>
    <w:p w14:paraId="14582E69" w14:textId="77777777" w:rsidR="006116EB" w:rsidRPr="001F283D" w:rsidRDefault="006116EB" w:rsidP="006116EB">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6"/>
    <w:p w14:paraId="15F9265F" w14:textId="77777777" w:rsidR="006116EB" w:rsidRPr="00593A5F" w:rsidRDefault="006116EB" w:rsidP="006116EB">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116EB" w:rsidRPr="002407CE" w14:paraId="5195A525" w14:textId="77777777" w:rsidTr="00FE34F6">
        <w:trPr>
          <w:trHeight w:val="870"/>
          <w:jc w:val="center"/>
        </w:trPr>
        <w:tc>
          <w:tcPr>
            <w:tcW w:w="8647" w:type="dxa"/>
          </w:tcPr>
          <w:p w14:paraId="003A18BC" w14:textId="5A49D562" w:rsidR="00673DB0" w:rsidRPr="005E355C" w:rsidRDefault="00673DB0" w:rsidP="006116E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5E355C">
              <w:rPr>
                <w:rFonts w:ascii="Verdana" w:hAnsi="Verdana" w:cs="Arial"/>
              </w:rPr>
              <w:t>Ley 80 de 1993, artículo 3</w:t>
            </w:r>
            <w:r w:rsidR="005F3422" w:rsidRPr="005E355C">
              <w:rPr>
                <w:rFonts w:ascii="Verdana" w:hAnsi="Verdana" w:cs="Arial"/>
              </w:rPr>
              <w:t>2, numeral 3.</w:t>
            </w:r>
          </w:p>
          <w:p w14:paraId="029A9CA0" w14:textId="069E4141" w:rsidR="006116EB" w:rsidRPr="00724A38" w:rsidRDefault="006116EB" w:rsidP="006116E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724A38">
              <w:rPr>
                <w:rFonts w:ascii="Verdana" w:hAnsi="Verdana" w:cs="Arial"/>
              </w:rPr>
              <w:t xml:space="preserve">Ley 1150 de 2007, artículos 2 y 5. </w:t>
            </w:r>
          </w:p>
          <w:p w14:paraId="007751BD" w14:textId="77777777" w:rsidR="006116EB" w:rsidRPr="00724A38" w:rsidRDefault="006116EB" w:rsidP="006116E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724A38">
              <w:rPr>
                <w:rFonts w:ascii="Verdana" w:hAnsi="Verdana" w:cs="Arial"/>
              </w:rPr>
              <w:t>Ley 1920 de 2018, artículo 6.</w:t>
            </w:r>
          </w:p>
          <w:p w14:paraId="099F21EF" w14:textId="712647AC" w:rsidR="005F3422" w:rsidRPr="00360528" w:rsidRDefault="005F3422" w:rsidP="006116E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360528">
              <w:rPr>
                <w:rFonts w:ascii="Verdana" w:hAnsi="Verdana" w:cs="Arial"/>
              </w:rPr>
              <w:t>Código Civil, artículos 28 y 29.</w:t>
            </w:r>
          </w:p>
          <w:p w14:paraId="476E332F" w14:textId="77777777" w:rsidR="005D1698" w:rsidRPr="00360528" w:rsidRDefault="005D1698" w:rsidP="005D169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360528">
              <w:rPr>
                <w:rFonts w:ascii="Verdana" w:hAnsi="Verdana" w:cs="Arial"/>
              </w:rPr>
              <w:t>Decreto Ley 354 de 1994, artículos 2, 5 y 6.</w:t>
            </w:r>
          </w:p>
          <w:p w14:paraId="7C876832" w14:textId="77777777" w:rsidR="006116EB" w:rsidRPr="00712CD5" w:rsidRDefault="006116EB" w:rsidP="006116E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724A38">
              <w:rPr>
                <w:rFonts w:ascii="Verdana" w:hAnsi="Verdana" w:cs="Arial"/>
              </w:rPr>
              <w:t xml:space="preserve">Decreto 1082 de 2015, artículos 2.2.2.1.1.1.3.1, </w:t>
            </w:r>
            <w:r w:rsidRPr="00724A38">
              <w:rPr>
                <w:rFonts w:ascii="Verdana" w:eastAsia="Calibri" w:hAnsi="Verdana" w:cs="Arial"/>
                <w:bCs/>
                <w:color w:val="000000" w:themeColor="text1"/>
              </w:rPr>
              <w:t>2.2.1.1.2.2.2</w:t>
            </w:r>
            <w:r w:rsidRPr="00724A38">
              <w:rPr>
                <w:rFonts w:ascii="Verdana" w:hAnsi="Verdana" w:cs="Arial"/>
              </w:rPr>
              <w:t xml:space="preserve"> </w:t>
            </w:r>
            <w:r w:rsidRPr="00724A38">
              <w:rPr>
                <w:rFonts w:ascii="Verdana" w:eastAsia="Calibri" w:hAnsi="Verdana" w:cs="Arial"/>
                <w:bCs/>
                <w:color w:val="000000" w:themeColor="text1"/>
              </w:rPr>
              <w:t>2.2.1.2.4.2.10, 2.2.1.2.4.2.11, 2.2.1.2.4.2.12 y 2.2.1.2.4.2.13.</w:t>
            </w:r>
          </w:p>
          <w:p w14:paraId="48FBB9D2" w14:textId="25D2DD75" w:rsidR="00360528" w:rsidRPr="005E355C" w:rsidRDefault="00360528" w:rsidP="006116E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5E355C">
              <w:rPr>
                <w:rFonts w:ascii="Verdana" w:hAnsi="Verdana" w:cs="Arial"/>
              </w:rPr>
              <w:t xml:space="preserve">CONSEJO DE ESTADO. Sección Tercera. Subsección C. Sentencia del 25 de abril del 2012. </w:t>
            </w:r>
            <w:proofErr w:type="spellStart"/>
            <w:r w:rsidRPr="005E355C">
              <w:rPr>
                <w:rFonts w:ascii="Verdana" w:hAnsi="Verdana" w:cs="Arial"/>
              </w:rPr>
              <w:t>Exp</w:t>
            </w:r>
            <w:proofErr w:type="spellEnd"/>
            <w:r w:rsidRPr="005E355C">
              <w:rPr>
                <w:rFonts w:ascii="Verdana" w:hAnsi="Verdana" w:cs="Arial"/>
              </w:rPr>
              <w:t>. 22167. M.P. Jaime Orlando Santofimio Gamboa.</w:t>
            </w:r>
          </w:p>
          <w:p w14:paraId="71B54143" w14:textId="68345DC5" w:rsidR="006116EB" w:rsidRPr="00BC7990" w:rsidRDefault="00360528" w:rsidP="00BC7990">
            <w:pPr>
              <w:pStyle w:val="Textonotapie"/>
              <w:widowControl w:val="0"/>
              <w:numPr>
                <w:ilvl w:val="0"/>
                <w:numId w:val="17"/>
              </w:numPr>
              <w:autoSpaceDE w:val="0"/>
              <w:autoSpaceDN w:val="0"/>
              <w:spacing w:after="120" w:line="276" w:lineRule="auto"/>
              <w:ind w:left="714" w:hanging="357"/>
              <w:jc w:val="both"/>
              <w:rPr>
                <w:rFonts w:ascii="Verdana" w:hAnsi="Verdana" w:cs="Arial"/>
                <w:sz w:val="16"/>
                <w:szCs w:val="16"/>
              </w:rPr>
            </w:pPr>
            <w:r w:rsidRPr="005E355C">
              <w:rPr>
                <w:rFonts w:ascii="Verdana" w:hAnsi="Verdana" w:cs="Arial"/>
                <w:sz w:val="22"/>
                <w:szCs w:val="22"/>
              </w:rPr>
              <w:t>DÁVILA VINUEZA, Guillermo. Régimen jurídico de la contratación estatal. Bogotá: Legis, 2016</w:t>
            </w:r>
            <w:r w:rsidRPr="00360528">
              <w:rPr>
                <w:rFonts w:ascii="Verdana" w:hAnsi="Verdana" w:cs="Arial"/>
                <w:sz w:val="16"/>
                <w:szCs w:val="16"/>
              </w:rPr>
              <w:t xml:space="preserve">. </w:t>
            </w:r>
          </w:p>
        </w:tc>
      </w:tr>
    </w:tbl>
    <w:p w14:paraId="74ED5561" w14:textId="77777777" w:rsidR="006116EB" w:rsidRPr="00277E26" w:rsidRDefault="006116EB" w:rsidP="006116EB">
      <w:pPr>
        <w:widowControl w:val="0"/>
        <w:autoSpaceDE w:val="0"/>
        <w:autoSpaceDN w:val="0"/>
        <w:spacing w:after="0" w:line="276" w:lineRule="auto"/>
        <w:jc w:val="both"/>
        <w:rPr>
          <w:rFonts w:ascii="Verdana" w:hAnsi="Verdana" w:cs="Arial"/>
        </w:rPr>
      </w:pPr>
    </w:p>
    <w:p w14:paraId="4FF15B61" w14:textId="77777777" w:rsidR="006116EB" w:rsidRPr="001F283D" w:rsidRDefault="006116EB" w:rsidP="006116EB">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lastRenderedPageBreak/>
        <w:t xml:space="preserve">5. </w:t>
      </w:r>
      <w:r w:rsidRPr="001F283D">
        <w:rPr>
          <w:rFonts w:ascii="Verdana" w:eastAsia="Century Gothic" w:hAnsi="Verdana" w:cs="Century Gothic"/>
          <w:b/>
          <w:bCs/>
        </w:rPr>
        <w:t>Doctrina de la Agencia Nacional de Contratación Pública:</w:t>
      </w:r>
    </w:p>
    <w:p w14:paraId="794B7CDD" w14:textId="77777777" w:rsidR="006116EB" w:rsidRDefault="006116EB" w:rsidP="006116EB">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60022850" w14:textId="77777777" w:rsidR="006116EB" w:rsidRPr="00724A38" w:rsidRDefault="006116EB" w:rsidP="006116EB">
      <w:pPr>
        <w:widowControl w:val="0"/>
        <w:autoSpaceDE w:val="0"/>
        <w:autoSpaceDN w:val="0"/>
        <w:spacing w:after="0" w:line="276" w:lineRule="auto"/>
        <w:jc w:val="both"/>
        <w:rPr>
          <w:rStyle w:val="normaltextrun"/>
          <w:rFonts w:ascii="Verdana" w:hAnsi="Verdana" w:cs="Arial"/>
          <w:shd w:val="clear" w:color="auto" w:fill="FFFFFF"/>
        </w:rPr>
      </w:pPr>
      <w:r w:rsidRPr="00724A38">
        <w:rPr>
          <w:rFonts w:ascii="Verdana" w:hAnsi="Verdana" w:cs="Arial"/>
          <w:shd w:val="clear" w:color="auto" w:fill="FFFFFF"/>
        </w:rPr>
        <w:t>Esta Subdirección se ha pronunciado sobre la definición de los bienes y servicios de características técnicas uniformes en los Conceptos C-678 del 24 de noviembre de 2020, C-024 del 24 de febrero de 2021, C-123 del 5 de abril de 2021, C-565 del 12 de septiembre de 2022, C-669 del 18 de octubre de 2022, C-850 del 16 de diciembre de 2022, C-905 del 28 de diciembre de 2022, C-456 del 27 de octubre de 2023, C-597 del 8 de noviembre de 2024, C-749 del 12 de noviembre de 2024 y C-787 del 19 de noviembre de 2024</w:t>
      </w:r>
      <w:r w:rsidRPr="00724A38">
        <w:rPr>
          <w:rFonts w:ascii="Verdana" w:hAnsi="Verdana"/>
        </w:rPr>
        <w:t>.</w:t>
      </w:r>
      <w:r w:rsidRPr="00724A38">
        <w:rPr>
          <w:rFonts w:ascii="Verdana" w:hAnsi="Verdana" w:cs="Arial"/>
          <w:shd w:val="clear" w:color="auto" w:fill="FFFFFF"/>
        </w:rPr>
        <w:t xml:space="preserve"> Estos y otros </w:t>
      </w:r>
      <w:r w:rsidRPr="00724A38">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724A38">
          <w:rPr>
            <w:rStyle w:val="Hipervnculo"/>
            <w:rFonts w:ascii="Verdana" w:hAnsi="Verdana" w:cs="Arial"/>
            <w:shd w:val="clear" w:color="auto" w:fill="FFFFFF"/>
          </w:rPr>
          <w:t>https://relatoria.colombiacompra.gov.co/busqueda/conceptos</w:t>
        </w:r>
      </w:hyperlink>
      <w:r w:rsidRPr="00724A38">
        <w:rPr>
          <w:rStyle w:val="normaltextrun"/>
          <w:rFonts w:ascii="Verdana" w:hAnsi="Verdana" w:cs="Arial"/>
          <w:shd w:val="clear" w:color="auto" w:fill="FFFFFF"/>
        </w:rPr>
        <w:t xml:space="preserve">. </w:t>
      </w:r>
      <w:r w:rsidRPr="00724A38">
        <w:rPr>
          <w:rStyle w:val="normaltextrun"/>
          <w:rFonts w:ascii="Verdana" w:hAnsi="Verdana" w:cs="Arial"/>
          <w:color w:val="FF0000"/>
          <w:shd w:val="clear" w:color="auto" w:fill="FFFFFF"/>
          <w:lang w:val="es-ES"/>
        </w:rPr>
        <w:t xml:space="preserve"> </w:t>
      </w:r>
    </w:p>
    <w:p w14:paraId="4DD172FB" w14:textId="77777777" w:rsidR="006116EB" w:rsidRPr="00900D7D" w:rsidRDefault="006116EB" w:rsidP="006116EB">
      <w:pPr>
        <w:widowControl w:val="0"/>
        <w:autoSpaceDE w:val="0"/>
        <w:autoSpaceDN w:val="0"/>
        <w:spacing w:after="120" w:line="276" w:lineRule="auto"/>
        <w:jc w:val="both"/>
        <w:rPr>
          <w:rFonts w:ascii="Verdana" w:eastAsia="Calibri" w:hAnsi="Verdana" w:cs="Arial"/>
          <w:color w:val="000000" w:themeColor="text1"/>
          <w:lang w:eastAsia="es-ES_tradnl"/>
        </w:rPr>
      </w:pPr>
    </w:p>
    <w:p w14:paraId="7734F2ED" w14:textId="77777777" w:rsidR="006116EB" w:rsidRPr="00237766" w:rsidRDefault="006116EB" w:rsidP="006116EB">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55875F1" w14:textId="77777777" w:rsidR="006116EB" w:rsidRPr="008E4F36" w:rsidRDefault="006116EB" w:rsidP="006116EB">
      <w:pPr>
        <w:pStyle w:val="Prrafodelista"/>
        <w:numPr>
          <w:ilvl w:val="0"/>
          <w:numId w:val="15"/>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6DB18487" w14:textId="77777777" w:rsidR="006116EB" w:rsidRPr="008E4F36" w:rsidRDefault="006116EB" w:rsidP="006116EB">
      <w:pPr>
        <w:pStyle w:val="Prrafodelista"/>
        <w:numPr>
          <w:ilvl w:val="0"/>
          <w:numId w:val="15"/>
        </w:numPr>
        <w:spacing w:after="0" w:line="276" w:lineRule="auto"/>
        <w:contextualSpacing w:val="0"/>
        <w:jc w:val="both"/>
        <w:rPr>
          <w:rFonts w:ascii="Verdana" w:hAnsi="Verdana"/>
        </w:rPr>
      </w:pPr>
      <w:r w:rsidRPr="008E4F36">
        <w:rPr>
          <w:rFonts w:ascii="Verdana" w:hAnsi="Verdana"/>
        </w:rPr>
        <w:t>Línea en Bogotá (Mesa de servicio): +57 601 7456788</w:t>
      </w:r>
    </w:p>
    <w:p w14:paraId="4E36110C" w14:textId="77777777" w:rsidR="006116EB" w:rsidRPr="008E4F36" w:rsidRDefault="006116EB" w:rsidP="006116EB">
      <w:pPr>
        <w:pStyle w:val="Prrafodelista"/>
        <w:numPr>
          <w:ilvl w:val="0"/>
          <w:numId w:val="15"/>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0B38E9AE" w14:textId="77777777" w:rsidR="006116EB" w:rsidRPr="008E4F36" w:rsidRDefault="006116EB" w:rsidP="006116EB">
      <w:pPr>
        <w:pStyle w:val="Prrafodelista"/>
        <w:numPr>
          <w:ilvl w:val="0"/>
          <w:numId w:val="15"/>
        </w:numPr>
        <w:spacing w:after="0" w:line="276" w:lineRule="auto"/>
        <w:contextualSpacing w:val="0"/>
        <w:jc w:val="both"/>
        <w:rPr>
          <w:rFonts w:ascii="Verdana" w:hAnsi="Verdana"/>
        </w:rPr>
      </w:pPr>
      <w:r w:rsidRPr="008E4F36">
        <w:rPr>
          <w:rFonts w:ascii="Verdana" w:hAnsi="Verdana"/>
        </w:rPr>
        <w:t xml:space="preserve">Página web: </w:t>
      </w:r>
      <w:hyperlink r:id="rId13" w:history="1">
        <w:r w:rsidRPr="008E4F36">
          <w:rPr>
            <w:rStyle w:val="Hipervnculo"/>
            <w:rFonts w:ascii="Verdana" w:hAnsi="Verdana"/>
          </w:rPr>
          <w:t>www.colombiacompra.gov.co</w:t>
        </w:r>
      </w:hyperlink>
    </w:p>
    <w:p w14:paraId="21697667" w14:textId="77777777" w:rsidR="006116EB" w:rsidRPr="008E4F36" w:rsidRDefault="006116EB" w:rsidP="006116EB">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65F01E1D" w14:textId="77777777" w:rsidR="006116EB" w:rsidRPr="008E4F36" w:rsidRDefault="006116EB" w:rsidP="006116EB">
      <w:pPr>
        <w:spacing w:after="0" w:line="276" w:lineRule="auto"/>
        <w:jc w:val="both"/>
        <w:rPr>
          <w:rFonts w:ascii="Verdana" w:hAnsi="Verdana"/>
        </w:rPr>
      </w:pPr>
    </w:p>
    <w:p w14:paraId="47C0306D" w14:textId="77777777" w:rsidR="006116EB" w:rsidRPr="008E4F36" w:rsidRDefault="006116EB" w:rsidP="006116EB">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330EA309" w14:textId="77777777" w:rsidR="006116EB" w:rsidRPr="008E4F36" w:rsidRDefault="006116EB" w:rsidP="006116EB">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53915727" w14:textId="77777777" w:rsidR="006116EB" w:rsidRPr="008E4F36" w:rsidRDefault="006116EB" w:rsidP="006116EB">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09C94691" w14:textId="77777777" w:rsidR="006116EB" w:rsidRDefault="006116EB" w:rsidP="006116EB">
      <w:pPr>
        <w:spacing w:before="120" w:after="0" w:line="276" w:lineRule="auto"/>
        <w:jc w:val="both"/>
        <w:rPr>
          <w:rFonts w:ascii="Verdana" w:hAnsi="Verdana"/>
        </w:rPr>
      </w:pPr>
    </w:p>
    <w:p w14:paraId="09A4E286" w14:textId="77777777" w:rsidR="006116EB" w:rsidRPr="00FB6C33" w:rsidRDefault="006116EB" w:rsidP="006116EB">
      <w:pPr>
        <w:spacing w:before="120" w:after="0" w:line="276" w:lineRule="auto"/>
        <w:jc w:val="both"/>
        <w:rPr>
          <w:rFonts w:ascii="Verdana" w:hAnsi="Verdana"/>
        </w:rPr>
      </w:pPr>
      <w:r w:rsidRPr="00FB6C33">
        <w:rPr>
          <w:rFonts w:ascii="Verdana" w:hAnsi="Verdana"/>
        </w:rPr>
        <w:t xml:space="preserve">Este concepto tiene el alcance previsto en el artículo 28 del Código de Procedimiento Administrativo y de lo Contencioso Administrativo y las </w:t>
      </w:r>
      <w:r w:rsidRPr="00FB6C33">
        <w:rPr>
          <w:rFonts w:ascii="Verdana" w:hAnsi="Verdana"/>
        </w:rPr>
        <w:lastRenderedPageBreak/>
        <w:t>expresiones utilizadas con mayúscula inicial deben ser entendidas con el significado que les otorga el artículo 2.2.1.1.1.3.1 del Decreto 1082 de 2015.</w:t>
      </w:r>
    </w:p>
    <w:p w14:paraId="1592EADA" w14:textId="77777777" w:rsidR="006116EB" w:rsidRPr="008E4F36" w:rsidRDefault="006116EB" w:rsidP="006116EB">
      <w:pPr>
        <w:spacing w:after="0" w:line="276" w:lineRule="auto"/>
        <w:jc w:val="both"/>
        <w:rPr>
          <w:rFonts w:ascii="Verdana" w:eastAsia="Calibri" w:hAnsi="Verdana" w:cs="Times New Roman"/>
        </w:rPr>
      </w:pPr>
    </w:p>
    <w:p w14:paraId="32DFA199" w14:textId="255D3E66" w:rsidR="006116EB" w:rsidRDefault="006116EB" w:rsidP="00CC1705">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52D6E890" w14:textId="51301DCB" w:rsidR="006116EB" w:rsidRPr="00CC1705" w:rsidRDefault="00CC1705" w:rsidP="00CC1705">
      <w:pPr>
        <w:spacing w:after="0" w:line="256" w:lineRule="auto"/>
        <w:jc w:val="center"/>
        <w:rPr>
          <w:noProof/>
        </w:rPr>
      </w:pPr>
      <w:r w:rsidRPr="002C3AD6">
        <w:rPr>
          <w:rFonts w:ascii="Century Gothic" w:hAnsi="Century Gothic"/>
          <w:noProof/>
        </w:rPr>
        <w:drawing>
          <wp:inline distT="0" distB="0" distL="0" distR="0" wp14:anchorId="71758DE7" wp14:editId="45D1CD88">
            <wp:extent cx="3771900" cy="1318260"/>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318444"/>
                    </a:xfrm>
                    <a:prstGeom prst="rect">
                      <a:avLst/>
                    </a:prstGeom>
                  </pic:spPr>
                </pic:pic>
              </a:graphicData>
            </a:graphic>
          </wp:inline>
        </w:drawing>
      </w:r>
      <w:bookmarkEnd w:id="0"/>
      <w:bookmarkEnd w:id="1"/>
    </w:p>
    <w:p w14:paraId="19A4C3A4" w14:textId="77777777" w:rsidR="006116EB" w:rsidRDefault="006116EB" w:rsidP="006116EB">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116EB" w:rsidRPr="002423D6" w14:paraId="7E8E23F4" w14:textId="77777777" w:rsidTr="006116EB">
        <w:trPr>
          <w:trHeight w:val="315"/>
        </w:trPr>
        <w:tc>
          <w:tcPr>
            <w:tcW w:w="893" w:type="dxa"/>
            <w:vAlign w:val="center"/>
            <w:hideMark/>
          </w:tcPr>
          <w:p w14:paraId="60F2308F" w14:textId="77777777" w:rsidR="006116EB" w:rsidRPr="002423D6" w:rsidRDefault="006116EB" w:rsidP="00FE34F6">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vAlign w:val="center"/>
            <w:hideMark/>
          </w:tcPr>
          <w:p w14:paraId="463DD0D0" w14:textId="77777777" w:rsidR="006116EB" w:rsidRPr="002423D6" w:rsidRDefault="006116EB" w:rsidP="00FE34F6">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 xml:space="preserve">Andreina Cerpa Muñoz </w:t>
            </w:r>
            <w:r w:rsidRPr="002423D6">
              <w:rPr>
                <w:rFonts w:ascii="Verdana" w:eastAsia="Arial" w:hAnsi="Verdana" w:cs="Arial"/>
                <w:color w:val="000000" w:themeColor="text1"/>
                <w:sz w:val="16"/>
                <w:szCs w:val="16"/>
              </w:rPr>
              <w:t xml:space="preserve"> </w:t>
            </w:r>
          </w:p>
          <w:p w14:paraId="4C80A6DC" w14:textId="77777777" w:rsidR="006116EB" w:rsidRPr="002423D6" w:rsidRDefault="006116EB" w:rsidP="00FE34F6">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6116EB" w:rsidRPr="002423D6" w14:paraId="12BFA258" w14:textId="77777777" w:rsidTr="006116EB">
        <w:trPr>
          <w:trHeight w:val="330"/>
        </w:trPr>
        <w:tc>
          <w:tcPr>
            <w:tcW w:w="893" w:type="dxa"/>
            <w:vAlign w:val="center"/>
            <w:hideMark/>
          </w:tcPr>
          <w:p w14:paraId="2E064645" w14:textId="77777777" w:rsidR="006116EB" w:rsidRPr="002423D6" w:rsidRDefault="006116EB" w:rsidP="00FE34F6">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vAlign w:val="center"/>
            <w:hideMark/>
          </w:tcPr>
          <w:p w14:paraId="41C29E02" w14:textId="77777777" w:rsidR="006116EB" w:rsidRPr="002423D6" w:rsidRDefault="006116EB" w:rsidP="00FE34F6">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 xml:space="preserve">Alejandro Sarmiento Cantillo </w:t>
            </w:r>
          </w:p>
          <w:p w14:paraId="62347D81" w14:textId="77777777" w:rsidR="006116EB" w:rsidRPr="002423D6" w:rsidRDefault="006116EB" w:rsidP="00FE34F6">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 xml:space="preserve">Gestor </w:t>
            </w:r>
            <w:r w:rsidRPr="00250F55">
              <w:rPr>
                <w:rFonts w:ascii="Verdana" w:hAnsi="Verdana" w:cs="Arial"/>
                <w:color w:val="000000" w:themeColor="text1"/>
                <w:sz w:val="16"/>
                <w:szCs w:val="16"/>
              </w:rPr>
              <w:t>T1 grado15</w:t>
            </w:r>
            <w:r w:rsidRPr="002423D6">
              <w:rPr>
                <w:rStyle w:val="normaltextrun"/>
                <w:rFonts w:ascii="Verdana" w:hAnsi="Verdana" w:cs="Arial"/>
                <w:color w:val="000000" w:themeColor="text1"/>
                <w:sz w:val="16"/>
                <w:szCs w:val="16"/>
                <w:lang w:val="es-ES"/>
              </w:rPr>
              <w:t xml:space="preserve"> de la Subdirección de Gestión Contractual</w:t>
            </w:r>
            <w:r w:rsidRPr="002423D6">
              <w:rPr>
                <w:rStyle w:val="eop"/>
                <w:rFonts w:ascii="Verdana" w:hAnsi="Verdana" w:cs="Arial"/>
                <w:color w:val="000000" w:themeColor="text1"/>
                <w:sz w:val="16"/>
                <w:szCs w:val="16"/>
              </w:rPr>
              <w:t> </w:t>
            </w:r>
          </w:p>
        </w:tc>
      </w:tr>
      <w:tr w:rsidR="006116EB" w:rsidRPr="002423D6" w14:paraId="62800B0C" w14:textId="77777777" w:rsidTr="006116EB">
        <w:trPr>
          <w:trHeight w:val="300"/>
        </w:trPr>
        <w:tc>
          <w:tcPr>
            <w:tcW w:w="893" w:type="dxa"/>
            <w:vAlign w:val="center"/>
          </w:tcPr>
          <w:p w14:paraId="5CC3D3B2" w14:textId="77777777" w:rsidR="006116EB" w:rsidRPr="002423D6" w:rsidRDefault="006116EB" w:rsidP="00FE34F6">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vAlign w:val="center"/>
          </w:tcPr>
          <w:p w14:paraId="5F9D49AD" w14:textId="77777777" w:rsidR="006116EB" w:rsidRPr="002423D6" w:rsidRDefault="006116EB" w:rsidP="00FE34F6">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30204EE9" w14:textId="77777777" w:rsidR="006116EB" w:rsidRPr="002423D6" w:rsidRDefault="006116EB" w:rsidP="00FE34F6">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6534B35C" w14:textId="77777777" w:rsidR="006116EB" w:rsidRDefault="006116EB" w:rsidP="006116EB"/>
    <w:p w14:paraId="31D1AEC2" w14:textId="77777777" w:rsidR="006116EB" w:rsidRPr="00823C60" w:rsidRDefault="006116EB" w:rsidP="006116EB"/>
    <w:p w14:paraId="542A1640" w14:textId="77777777" w:rsidR="006116EB" w:rsidRDefault="006116EB" w:rsidP="006116EB"/>
    <w:p w14:paraId="0F293BF4" w14:textId="11D2E5DE" w:rsidR="00127233" w:rsidRPr="006521CF" w:rsidRDefault="00127233" w:rsidP="006521CF"/>
    <w:sectPr w:rsidR="00127233" w:rsidRPr="006521C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287A5B" w14:textId="77777777" w:rsidR="00A42BEF" w:rsidRDefault="00A42BEF" w:rsidP="004A1847">
      <w:pPr>
        <w:spacing w:after="0" w:line="240" w:lineRule="auto"/>
      </w:pPr>
      <w:r>
        <w:separator/>
      </w:r>
    </w:p>
  </w:endnote>
  <w:endnote w:type="continuationSeparator" w:id="0">
    <w:p w14:paraId="0830975C" w14:textId="77777777" w:rsidR="00A42BEF" w:rsidRDefault="00A42BE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BB77CF">
      <w:rPr>
        <w:rFonts w:ascii="Verdana" w:eastAsia="Times New Roman" w:hAnsi="Verdana" w:cs="Times New Roman"/>
        <w:b/>
        <w:bCs/>
        <w:sz w:val="16"/>
        <w:szCs w:val="16"/>
        <w:lang w:val="es-ES"/>
      </w:rPr>
      <w:t xml:space="preserve">pág. </w:t>
    </w:r>
    <w:r w:rsidRPr="00BB77CF">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BB77CF">
      <w:rPr>
        <w:rFonts w:ascii="Verdana" w:eastAsia="Times New Roman" w:hAnsi="Verdana"/>
        <w:b/>
        <w:bCs/>
        <w:sz w:val="16"/>
        <w:szCs w:val="16"/>
      </w:rPr>
      <w:fldChar w:fldCharType="separate"/>
    </w:r>
    <w:r w:rsidRPr="00BB77CF">
      <w:rPr>
        <w:rFonts w:ascii="Verdana" w:eastAsia="Times New Roman" w:hAnsi="Verdana"/>
        <w:b/>
        <w:bCs/>
        <w:sz w:val="16"/>
        <w:szCs w:val="16"/>
      </w:rPr>
      <w:t>1</w:t>
    </w:r>
    <w:r w:rsidRPr="00BB77CF">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00BB77CF">
      <w:rPr>
        <w:rFonts w:ascii="Century Gothic" w:eastAsia="Geo" w:hAnsi="Century Gothic" w:cs="Geo"/>
        <w:b/>
        <w:bCs/>
        <w:color w:val="000000"/>
        <w:sz w:val="16"/>
        <w:szCs w:val="16"/>
        <w:lang w:eastAsia="es-CO"/>
      </w:rPr>
      <w:t xml:space="preserve">Código: </w:t>
    </w:r>
    <w:r w:rsidRPr="00BB77CF">
      <w:rPr>
        <w:rFonts w:ascii="Century Gothic" w:eastAsia="Geo" w:hAnsi="Century Gothic" w:cs="Geo"/>
        <w:color w:val="000000"/>
        <w:sz w:val="16"/>
        <w:szCs w:val="16"/>
        <w:lang w:eastAsia="es-CO"/>
      </w:rPr>
      <w:t xml:space="preserve">CCE-REC-FM-17 </w:t>
    </w:r>
    <w:r w:rsidRPr="00BB77CF">
      <w:rPr>
        <w:rFonts w:ascii="Century Gothic" w:eastAsia="Geo" w:hAnsi="Century Gothic" w:cs="Geo"/>
        <w:b/>
        <w:bCs/>
        <w:color w:val="000000"/>
        <w:sz w:val="16"/>
        <w:szCs w:val="16"/>
        <w:lang w:eastAsia="es-CO"/>
      </w:rPr>
      <w:t>V</w:t>
    </w:r>
    <w:r w:rsidRPr="00BB77CF">
      <w:rPr>
        <w:rFonts w:ascii="Century Gothic" w:eastAsia="Arial Nova" w:hAnsi="Century Gothic" w:cs="Arial Nova"/>
        <w:b/>
        <w:bCs/>
        <w:color w:val="000000"/>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02D8B6" w14:textId="77777777" w:rsidR="00A42BEF" w:rsidRDefault="00A42BEF" w:rsidP="004A1847">
      <w:pPr>
        <w:spacing w:after="0" w:line="240" w:lineRule="auto"/>
      </w:pPr>
      <w:r>
        <w:separator/>
      </w:r>
    </w:p>
  </w:footnote>
  <w:footnote w:type="continuationSeparator" w:id="0">
    <w:p w14:paraId="3A977747" w14:textId="77777777" w:rsidR="00A42BEF" w:rsidRDefault="00A42BEF" w:rsidP="004A1847">
      <w:pPr>
        <w:spacing w:after="0" w:line="240" w:lineRule="auto"/>
      </w:pPr>
      <w:r>
        <w:continuationSeparator/>
      </w:r>
    </w:p>
  </w:footnote>
  <w:footnote w:id="1">
    <w:p w14:paraId="543B2BEA" w14:textId="77777777" w:rsidR="006116EB" w:rsidRPr="005E355C" w:rsidRDefault="006116EB" w:rsidP="006116EB">
      <w:pPr>
        <w:pStyle w:val="Textonotapie"/>
        <w:ind w:firstLine="708"/>
        <w:jc w:val="both"/>
        <w:rPr>
          <w:rFonts w:ascii="Verdana" w:hAnsi="Verdana" w:cs="Arial"/>
          <w:sz w:val="16"/>
          <w:szCs w:val="16"/>
        </w:rPr>
      </w:pPr>
      <w:r w:rsidRPr="005E355C">
        <w:rPr>
          <w:rStyle w:val="Refdenotaalpie"/>
          <w:rFonts w:ascii="Verdana" w:hAnsi="Verdana" w:cs="Arial"/>
          <w:sz w:val="16"/>
          <w:szCs w:val="16"/>
        </w:rPr>
        <w:footnoteRef/>
      </w:r>
      <w:r w:rsidRPr="005E355C">
        <w:rPr>
          <w:rFonts w:ascii="Verdana" w:hAnsi="Verdana" w:cs="Arial"/>
          <w:sz w:val="16"/>
          <w:szCs w:val="16"/>
        </w:rPr>
        <w:t xml:space="preserve"> El inciso primero de norma disponía que, conforme al principio de transparencia, “</w:t>
      </w:r>
      <w:r w:rsidRPr="005E355C">
        <w:rPr>
          <w:rFonts w:ascii="Verdana" w:hAnsi="Verdana" w:cs="Arial"/>
          <w:i/>
          <w:sz w:val="16"/>
          <w:szCs w:val="16"/>
        </w:rPr>
        <w:t>La escogencia del contratista se efectuará siempre a través de licitación o concurso públicos</w:t>
      </w:r>
      <w:r w:rsidRPr="005E355C">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2">
    <w:p w14:paraId="7D1095AF" w14:textId="77777777" w:rsidR="006116EB" w:rsidRPr="005E355C" w:rsidRDefault="006116EB" w:rsidP="006116EB">
      <w:pPr>
        <w:pStyle w:val="Textonotapie"/>
        <w:ind w:firstLine="708"/>
        <w:jc w:val="both"/>
        <w:rPr>
          <w:rFonts w:ascii="Verdana" w:hAnsi="Verdana" w:cs="Arial"/>
          <w:sz w:val="16"/>
          <w:szCs w:val="16"/>
        </w:rPr>
      </w:pPr>
      <w:r w:rsidRPr="005E355C">
        <w:rPr>
          <w:rStyle w:val="Refdenotaalpie"/>
          <w:rFonts w:ascii="Verdana" w:hAnsi="Verdana" w:cs="Arial"/>
          <w:sz w:val="16"/>
          <w:szCs w:val="16"/>
        </w:rPr>
        <w:footnoteRef/>
      </w:r>
      <w:r w:rsidRPr="005E355C">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5E355C">
        <w:rPr>
          <w:rFonts w:ascii="Verdana" w:hAnsi="Verdana" w:cs="Arial"/>
          <w:i/>
          <w:sz w:val="16"/>
          <w:szCs w:val="16"/>
        </w:rPr>
        <w:t>Presentación de la oferta de manera dinámica</w:t>
      </w:r>
      <w:r w:rsidRPr="005E355C">
        <w:rPr>
          <w:rFonts w:ascii="Verdana" w:hAnsi="Verdana" w:cs="Arial"/>
          <w:sz w:val="16"/>
          <w:szCs w:val="16"/>
        </w:rPr>
        <w:t xml:space="preserve">). Es decir, </w:t>
      </w:r>
      <w:proofErr w:type="gramStart"/>
      <w:r w:rsidRPr="005E355C">
        <w:rPr>
          <w:rFonts w:ascii="Verdana" w:hAnsi="Verdana" w:cs="Arial"/>
          <w:sz w:val="16"/>
          <w:szCs w:val="16"/>
        </w:rPr>
        <w:t>que</w:t>
      </w:r>
      <w:proofErr w:type="gramEnd"/>
      <w:r w:rsidRPr="005E355C">
        <w:rPr>
          <w:rFonts w:ascii="Verdana" w:hAnsi="Verdana" w:cs="Arial"/>
          <w:sz w:val="16"/>
          <w:szCs w:val="16"/>
        </w:rPr>
        <w:t xml:space="preserve"> ante la ausencia de una causal concreta para un determinado evento específico, la selección debe asumir la que el ordenamiento jurídico regula como licitación pública. Por eso es </w:t>
      </w:r>
      <w:proofErr w:type="gramStart"/>
      <w:r w:rsidRPr="005E355C">
        <w:rPr>
          <w:rFonts w:ascii="Verdana" w:hAnsi="Verdana" w:cs="Arial"/>
          <w:sz w:val="16"/>
          <w:szCs w:val="16"/>
        </w:rPr>
        <w:t>que</w:t>
      </w:r>
      <w:proofErr w:type="gramEnd"/>
      <w:r w:rsidRPr="005E355C">
        <w:rPr>
          <w:rFonts w:ascii="Verdana" w:hAnsi="Verdana" w:cs="Arial"/>
          <w:sz w:val="16"/>
          <w:szCs w:val="16"/>
        </w:rPr>
        <w:t xml:space="preserv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3">
    <w:p w14:paraId="004B4713" w14:textId="77777777" w:rsidR="006116EB" w:rsidRPr="005E355C" w:rsidRDefault="006116EB" w:rsidP="006116EB">
      <w:pPr>
        <w:pStyle w:val="Textonotapie"/>
        <w:ind w:firstLine="708"/>
        <w:jc w:val="both"/>
        <w:rPr>
          <w:rFonts w:ascii="Verdana" w:hAnsi="Verdana" w:cs="Arial"/>
          <w:sz w:val="16"/>
          <w:szCs w:val="16"/>
        </w:rPr>
      </w:pPr>
      <w:r w:rsidRPr="005E355C">
        <w:rPr>
          <w:rStyle w:val="Refdenotaalpie"/>
          <w:rFonts w:ascii="Verdana" w:hAnsi="Verdana"/>
          <w:sz w:val="16"/>
          <w:szCs w:val="16"/>
        </w:rPr>
        <w:footnoteRef/>
      </w:r>
      <w:r w:rsidRPr="005E355C">
        <w:rPr>
          <w:rFonts w:ascii="Verdana" w:hAnsi="Verdana"/>
          <w:sz w:val="16"/>
          <w:szCs w:val="16"/>
        </w:rPr>
        <w:t xml:space="preserve"> </w:t>
      </w:r>
      <w:r w:rsidRPr="005E355C">
        <w:rPr>
          <w:rFonts w:ascii="Verdana" w:hAnsi="Verdana" w:cs="Arial"/>
          <w:sz w:val="16"/>
          <w:szCs w:val="16"/>
        </w:rPr>
        <w:t xml:space="preserve">El numeral 2 del artículo 2 de la Ley 1150 de 2007 prescribe: </w:t>
      </w:r>
      <w:r w:rsidRPr="005E355C">
        <w:rPr>
          <w:rFonts w:ascii="Verdana" w:hAnsi="Verdana"/>
          <w:sz w:val="16"/>
          <w:szCs w:val="16"/>
        </w:rPr>
        <w:t xml:space="preserve">“[…] </w:t>
      </w:r>
      <w:r w:rsidRPr="005E355C">
        <w:rPr>
          <w:rFonts w:ascii="Verdana" w:hAnsi="Verdana" w:cs="Arial"/>
          <w:sz w:val="16"/>
          <w:szCs w:val="16"/>
        </w:rPr>
        <w:t>Serán causales de selección abreviada las siguientes:</w:t>
      </w:r>
    </w:p>
    <w:p w14:paraId="62F257FA" w14:textId="77777777" w:rsidR="006116EB" w:rsidRPr="005E355C" w:rsidRDefault="006116EB" w:rsidP="006116EB">
      <w:pPr>
        <w:pStyle w:val="Textonotapie"/>
        <w:ind w:firstLine="708"/>
        <w:jc w:val="both"/>
        <w:rPr>
          <w:rFonts w:ascii="Verdana" w:hAnsi="Verdana" w:cs="Arial"/>
          <w:sz w:val="16"/>
          <w:szCs w:val="16"/>
        </w:rPr>
      </w:pPr>
      <w:r w:rsidRPr="005E355C">
        <w:rPr>
          <w:rFonts w:ascii="Verdana" w:hAnsi="Verdana" w:cs="Arial"/>
          <w:sz w:val="16"/>
          <w:szCs w:val="16"/>
        </w:rPr>
        <w:t>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14:paraId="0625F4E1" w14:textId="77777777" w:rsidR="006116EB" w:rsidRPr="005E355C" w:rsidRDefault="006116EB" w:rsidP="006116EB">
      <w:pPr>
        <w:pStyle w:val="Textonotapie"/>
        <w:ind w:firstLine="708"/>
        <w:jc w:val="both"/>
        <w:rPr>
          <w:rFonts w:ascii="Verdana" w:hAnsi="Verdana" w:cs="Arial"/>
          <w:sz w:val="16"/>
          <w:szCs w:val="16"/>
        </w:rPr>
      </w:pPr>
      <w:r w:rsidRPr="005E355C">
        <w:rPr>
          <w:rFonts w:ascii="Verdana" w:hAnsi="Verdana" w:cs="Arial"/>
          <w:sz w:val="16"/>
          <w:szCs w:val="16"/>
        </w:rPr>
        <w:t xml:space="preserve">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 </w:t>
      </w:r>
    </w:p>
    <w:p w14:paraId="7930228B" w14:textId="77777777" w:rsidR="006116EB" w:rsidRPr="005E355C" w:rsidRDefault="006116EB" w:rsidP="006116EB">
      <w:pPr>
        <w:pStyle w:val="Textonotapie"/>
        <w:ind w:firstLine="708"/>
        <w:jc w:val="both"/>
        <w:rPr>
          <w:rFonts w:ascii="Verdana" w:hAnsi="Verdana" w:cs="Arial"/>
          <w:sz w:val="16"/>
          <w:szCs w:val="16"/>
        </w:rPr>
      </w:pPr>
      <w:r w:rsidRPr="005E355C">
        <w:rPr>
          <w:rFonts w:ascii="Verdana" w:hAnsi="Verdana" w:cs="Arial"/>
          <w:sz w:val="16"/>
          <w:szCs w:val="16"/>
        </w:rPr>
        <w:t>b) La contratación de menor cuantía. Se entenderá por menor cuantía los valores que a continuación se relacionan, determinados en función de los presupuestos anuales de las entidades públicas expresados en salarios mínimos legales mensuales.</w:t>
      </w:r>
    </w:p>
    <w:p w14:paraId="46AA2149" w14:textId="77777777" w:rsidR="006116EB" w:rsidRPr="005E355C" w:rsidRDefault="006116EB" w:rsidP="006116EB">
      <w:pPr>
        <w:pStyle w:val="Textonotapie"/>
        <w:ind w:firstLine="708"/>
        <w:jc w:val="both"/>
        <w:rPr>
          <w:rFonts w:ascii="Verdana" w:hAnsi="Verdana" w:cs="Arial"/>
          <w:sz w:val="16"/>
          <w:szCs w:val="16"/>
        </w:rPr>
      </w:pPr>
      <w:r w:rsidRPr="005E355C">
        <w:rPr>
          <w:rFonts w:ascii="Verdana" w:hAnsi="Verdana" w:cs="Arial"/>
          <w:sz w:val="16"/>
          <w:szCs w:val="16"/>
        </w:rPr>
        <w:t>[…];</w:t>
      </w:r>
    </w:p>
    <w:p w14:paraId="07CBD1DA" w14:textId="77777777" w:rsidR="006116EB" w:rsidRPr="005E355C" w:rsidRDefault="006116EB" w:rsidP="006116EB">
      <w:pPr>
        <w:pStyle w:val="Textonotapie"/>
        <w:ind w:firstLine="708"/>
        <w:jc w:val="both"/>
        <w:rPr>
          <w:rFonts w:ascii="Verdana" w:hAnsi="Verdana" w:cs="Arial"/>
          <w:sz w:val="16"/>
          <w:szCs w:val="16"/>
        </w:rPr>
      </w:pPr>
      <w:r w:rsidRPr="005E355C">
        <w:rPr>
          <w:rFonts w:ascii="Verdana" w:hAnsi="Verdana" w:cs="Arial"/>
          <w:sz w:val="16"/>
          <w:szCs w:val="16"/>
        </w:rPr>
        <w:t>c) Sin perjuicio de lo dispuesto en la Ley 100 de 1993 y en la Ley 1122 de 2007, la celebración de contratos para la prestación de servicios de salud. El reglamento interno correspondiente fijará las garantías a cargo de los contratistas. Los pagos correspondientes se podrán hacer mediante encargos fiduciarios;</w:t>
      </w:r>
    </w:p>
    <w:p w14:paraId="313E53FD" w14:textId="77777777" w:rsidR="006116EB" w:rsidRPr="005E355C" w:rsidRDefault="006116EB" w:rsidP="006116EB">
      <w:pPr>
        <w:pStyle w:val="Textonotapie"/>
        <w:ind w:firstLine="708"/>
        <w:jc w:val="both"/>
        <w:rPr>
          <w:rFonts w:ascii="Verdana" w:hAnsi="Verdana" w:cs="Arial"/>
          <w:sz w:val="16"/>
          <w:szCs w:val="16"/>
        </w:rPr>
      </w:pPr>
      <w:r w:rsidRPr="005E355C">
        <w:rPr>
          <w:rFonts w:ascii="Verdana" w:hAnsi="Verdana" w:cs="Arial"/>
          <w:sz w:val="16"/>
          <w:szCs w:val="16"/>
        </w:rPr>
        <w:t>d) La contratación cuyo proceso de licitación pública haya sido declarado desierto; en cuyo caso la entidad deberá iniciar la selección abreviada dentro de los cuatro meses siguientes a la declaración de desierta del proceso inicial;</w:t>
      </w:r>
    </w:p>
    <w:p w14:paraId="3F28E8CD" w14:textId="77777777" w:rsidR="006116EB" w:rsidRPr="005E355C" w:rsidRDefault="006116EB" w:rsidP="006116EB">
      <w:pPr>
        <w:pStyle w:val="Textonotapie"/>
        <w:ind w:firstLine="708"/>
        <w:jc w:val="both"/>
        <w:rPr>
          <w:rFonts w:ascii="Verdana" w:hAnsi="Verdana" w:cs="Arial"/>
          <w:sz w:val="16"/>
          <w:szCs w:val="16"/>
        </w:rPr>
      </w:pPr>
      <w:r w:rsidRPr="005E355C">
        <w:rPr>
          <w:rFonts w:ascii="Verdana" w:hAnsi="Verdana" w:cs="Arial"/>
          <w:sz w:val="16"/>
          <w:szCs w:val="16"/>
        </w:rPr>
        <w:t>e) La enajenación de bienes del Estado, con excepción de aquellos a que se refiere la Ley 226 de 1995.</w:t>
      </w:r>
    </w:p>
    <w:p w14:paraId="1F77DCC9" w14:textId="77777777" w:rsidR="006116EB" w:rsidRPr="005E355C" w:rsidRDefault="006116EB" w:rsidP="006116EB">
      <w:pPr>
        <w:pStyle w:val="Textonotapie"/>
        <w:ind w:firstLine="708"/>
        <w:jc w:val="both"/>
        <w:rPr>
          <w:rFonts w:ascii="Verdana" w:hAnsi="Verdana" w:cs="Arial"/>
          <w:sz w:val="16"/>
          <w:szCs w:val="16"/>
        </w:rPr>
      </w:pPr>
      <w:r w:rsidRPr="005E355C">
        <w:rPr>
          <w:rFonts w:ascii="Verdana" w:hAnsi="Verdana" w:cs="Arial"/>
          <w:sz w:val="16"/>
          <w:szCs w:val="16"/>
        </w:rPr>
        <w:t xml:space="preserve">[…]; </w:t>
      </w:r>
    </w:p>
    <w:p w14:paraId="545DDC77" w14:textId="77777777" w:rsidR="006116EB" w:rsidRPr="005E355C" w:rsidRDefault="006116EB" w:rsidP="006116EB">
      <w:pPr>
        <w:pStyle w:val="Textonotapie"/>
        <w:ind w:firstLine="708"/>
        <w:jc w:val="both"/>
        <w:rPr>
          <w:rFonts w:ascii="Verdana" w:hAnsi="Verdana" w:cs="Arial"/>
          <w:sz w:val="16"/>
          <w:szCs w:val="16"/>
        </w:rPr>
      </w:pPr>
      <w:r w:rsidRPr="005E355C">
        <w:rPr>
          <w:rFonts w:ascii="Verdana" w:hAnsi="Verdana" w:cs="Arial"/>
          <w:sz w:val="16"/>
          <w:szCs w:val="16"/>
        </w:rPr>
        <w:t xml:space="preserve">f) Productos de origen o destinación agropecuarios que se ofrezcan en las bolsas de productos legalmente constituidas; </w:t>
      </w:r>
    </w:p>
    <w:p w14:paraId="2FDFAC14" w14:textId="77777777" w:rsidR="006116EB" w:rsidRPr="005E355C" w:rsidRDefault="006116EB" w:rsidP="006116EB">
      <w:pPr>
        <w:pStyle w:val="Textonotapie"/>
        <w:ind w:firstLine="708"/>
        <w:jc w:val="both"/>
        <w:rPr>
          <w:rFonts w:ascii="Verdana" w:hAnsi="Verdana" w:cs="Arial"/>
          <w:sz w:val="16"/>
          <w:szCs w:val="16"/>
        </w:rPr>
      </w:pPr>
      <w:r w:rsidRPr="005E355C">
        <w:rPr>
          <w:rFonts w:ascii="Verdana" w:hAnsi="Verdana" w:cs="Arial"/>
          <w:sz w:val="16"/>
          <w:szCs w:val="16"/>
        </w:rPr>
        <w:t xml:space="preserve">g)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w:t>
      </w:r>
    </w:p>
    <w:p w14:paraId="32D955DB" w14:textId="77777777" w:rsidR="006116EB" w:rsidRPr="005E355C" w:rsidRDefault="006116EB" w:rsidP="006116EB">
      <w:pPr>
        <w:pStyle w:val="Textonotapie"/>
        <w:ind w:firstLine="708"/>
        <w:jc w:val="both"/>
        <w:rPr>
          <w:rFonts w:ascii="Verdana" w:hAnsi="Verdana" w:cs="Arial"/>
          <w:sz w:val="16"/>
          <w:szCs w:val="16"/>
        </w:rPr>
      </w:pPr>
      <w:r w:rsidRPr="005E355C">
        <w:rPr>
          <w:rFonts w:ascii="Verdana" w:hAnsi="Verdana" w:cs="Arial"/>
          <w:sz w:val="16"/>
          <w:szCs w:val="16"/>
        </w:rPr>
        <w:t>h) Los contratos de las entidades, a cuyo cargo se encuentre la ejecución de los programas de protección de personas amenazadas, programas de desmovilización y reincorporación a la vida civil de personas y grupos al margen de la ley, incluida la atención de los respectivos grupos familiares, programas de atención a población desplazada por la violencia, programas de protección de derechos humanos de grupos de personas habitantes de la calle, niños y niñas o jóvenes involucrados en grupos juveniles que hayan incurrido en conductas contra el patrimonio económico y sostengan enfrentamientos violentos de diferente tipo, y población en alto grado de vulnerabilidad con reconocido estado de exclusión que requieran capacitación, resocialización y preparación para el trabajo, incluidos los contratos fiduciarios que demanden;</w:t>
      </w:r>
    </w:p>
    <w:p w14:paraId="56BF7D30" w14:textId="77777777" w:rsidR="006116EB" w:rsidRPr="005E355C" w:rsidRDefault="006116EB" w:rsidP="006116EB">
      <w:pPr>
        <w:pStyle w:val="Textonotapie"/>
        <w:ind w:firstLine="708"/>
        <w:jc w:val="both"/>
        <w:rPr>
          <w:rFonts w:ascii="Verdana" w:hAnsi="Verdana" w:cs="Arial"/>
          <w:sz w:val="16"/>
          <w:szCs w:val="16"/>
        </w:rPr>
      </w:pPr>
      <w:r w:rsidRPr="005E355C">
        <w:rPr>
          <w:rFonts w:ascii="Verdana" w:hAnsi="Verdana" w:cs="Arial"/>
          <w:sz w:val="16"/>
          <w:szCs w:val="16"/>
        </w:rPr>
        <w:t>i) La contratación de bienes y servicios que se requieran para la defensa y seguridad nacional.</w:t>
      </w:r>
    </w:p>
    <w:p w14:paraId="0B3270FC" w14:textId="77777777" w:rsidR="006116EB" w:rsidRPr="005E355C" w:rsidRDefault="006116EB" w:rsidP="006116EB">
      <w:pPr>
        <w:pStyle w:val="Textonotapie"/>
        <w:ind w:firstLine="708"/>
        <w:jc w:val="both"/>
        <w:rPr>
          <w:rFonts w:ascii="Verdana" w:hAnsi="Verdana" w:cs="Arial"/>
          <w:sz w:val="16"/>
          <w:szCs w:val="16"/>
        </w:rPr>
      </w:pPr>
      <w:r w:rsidRPr="005E355C">
        <w:rPr>
          <w:rFonts w:ascii="Verdana" w:hAnsi="Verdana" w:cs="Arial"/>
          <w:sz w:val="16"/>
          <w:szCs w:val="16"/>
        </w:rPr>
        <w:t>j) Los bienes y servicios no uniformes de común utilización por parte de las entidades públicas, para lo cual la Agencia Nacional de Contratación Pública - Colombia Compra Eficiente - podrá celebrar acuerdos marco de precios y demás instrumentos de agregación de demanda. Estos acuerdos marco de precios también serán de obligatorio uso de las entidades del Estado a las que se refiere el parágrafo 5 del artículo 2 de la presente ley, modificado por el artículo 41 de la Ley 1955 de 2019”.</w:t>
      </w:r>
    </w:p>
  </w:footnote>
  <w:footnote w:id="4">
    <w:p w14:paraId="29251F28" w14:textId="77777777" w:rsidR="006116EB" w:rsidRPr="00856F20" w:rsidRDefault="006116EB" w:rsidP="006116EB">
      <w:pPr>
        <w:pStyle w:val="Textonotapie"/>
        <w:ind w:firstLine="708"/>
        <w:jc w:val="both"/>
        <w:rPr>
          <w:rFonts w:ascii="Verdana" w:hAnsi="Verdana" w:cs="Arial"/>
          <w:sz w:val="16"/>
          <w:szCs w:val="16"/>
        </w:rPr>
      </w:pPr>
      <w:r w:rsidRPr="005E355C">
        <w:rPr>
          <w:rStyle w:val="Refdenotaalpie"/>
          <w:rFonts w:ascii="Verdana" w:hAnsi="Verdana"/>
          <w:sz w:val="16"/>
          <w:szCs w:val="16"/>
        </w:rPr>
        <w:footnoteRef/>
      </w:r>
      <w:r w:rsidRPr="005E355C">
        <w:rPr>
          <w:rFonts w:ascii="Verdana" w:hAnsi="Verdana"/>
          <w:sz w:val="16"/>
          <w:szCs w:val="16"/>
        </w:rPr>
        <w:t xml:space="preserve"> </w:t>
      </w:r>
      <w:r w:rsidRPr="005E355C">
        <w:rPr>
          <w:rFonts w:ascii="Verdana" w:hAnsi="Verdana" w:cs="Arial"/>
          <w:sz w:val="16"/>
          <w:szCs w:val="16"/>
        </w:rPr>
        <w:t>CONGRESO DE LA REPÚBLICA. Exposición de motivos de la Ley 1150 de 2007. Gaceta del Congreso No. 458 del 1º de agosto de 2005. p. 8.</w:t>
      </w:r>
      <w:r w:rsidRPr="00856F20">
        <w:rPr>
          <w:rFonts w:ascii="Verdana" w:hAnsi="Verdana" w:cs="Arial"/>
          <w:sz w:val="16"/>
          <w:szCs w:val="16"/>
        </w:rPr>
        <w:t xml:space="preserve"> </w:t>
      </w:r>
    </w:p>
  </w:footnote>
  <w:footnote w:id="5">
    <w:p w14:paraId="1029106F" w14:textId="77777777" w:rsidR="006116EB" w:rsidRPr="005E355C" w:rsidRDefault="006116EB" w:rsidP="006116EB">
      <w:pPr>
        <w:pStyle w:val="Textonotapie"/>
        <w:ind w:firstLine="708"/>
        <w:jc w:val="both"/>
        <w:rPr>
          <w:rFonts w:ascii="Verdana" w:hAnsi="Verdana" w:cs="Arial"/>
          <w:sz w:val="16"/>
          <w:szCs w:val="16"/>
        </w:rPr>
      </w:pPr>
      <w:r w:rsidRPr="005E355C">
        <w:rPr>
          <w:rStyle w:val="Refdenotaalpie"/>
          <w:rFonts w:ascii="Verdana" w:hAnsi="Verdana"/>
          <w:sz w:val="16"/>
          <w:szCs w:val="16"/>
        </w:rPr>
        <w:footnoteRef/>
      </w:r>
      <w:r w:rsidRPr="005E355C">
        <w:rPr>
          <w:rFonts w:ascii="Verdana" w:hAnsi="Verdana"/>
          <w:sz w:val="16"/>
          <w:szCs w:val="16"/>
        </w:rPr>
        <w:t xml:space="preserve"> </w:t>
      </w:r>
      <w:r w:rsidRPr="005E355C">
        <w:rPr>
          <w:rFonts w:ascii="Verdana" w:hAnsi="Verdana" w:cs="Arial"/>
          <w:sz w:val="16"/>
          <w:szCs w:val="16"/>
        </w:rPr>
        <w:t xml:space="preserve">CONSEJO DE ESTADO. Sección Tercera. Subsección A. Sentencia del 23 de julio de 2015. </w:t>
      </w:r>
      <w:proofErr w:type="spellStart"/>
      <w:r w:rsidRPr="005E355C">
        <w:rPr>
          <w:rFonts w:ascii="Verdana" w:hAnsi="Verdana" w:cs="Arial"/>
          <w:sz w:val="16"/>
          <w:szCs w:val="16"/>
        </w:rPr>
        <w:t>Exp</w:t>
      </w:r>
      <w:proofErr w:type="spellEnd"/>
      <w:r w:rsidRPr="005E355C">
        <w:rPr>
          <w:rFonts w:ascii="Verdana" w:hAnsi="Verdana" w:cs="Arial"/>
          <w:sz w:val="16"/>
          <w:szCs w:val="16"/>
        </w:rPr>
        <w:t xml:space="preserve">. 36.805. C. P. Hernán Andrade Rincón. </w:t>
      </w:r>
    </w:p>
  </w:footnote>
  <w:footnote w:id="6">
    <w:p w14:paraId="12683011" w14:textId="77777777" w:rsidR="006116EB" w:rsidRPr="00856F20" w:rsidRDefault="006116EB" w:rsidP="006116EB">
      <w:pPr>
        <w:pStyle w:val="Textonotapie"/>
        <w:ind w:firstLine="708"/>
        <w:jc w:val="both"/>
        <w:rPr>
          <w:rFonts w:ascii="Verdana" w:hAnsi="Verdana"/>
          <w:sz w:val="16"/>
          <w:szCs w:val="16"/>
          <w:lang w:val="es-CO"/>
        </w:rPr>
      </w:pPr>
      <w:r w:rsidRPr="005E355C">
        <w:rPr>
          <w:rStyle w:val="Refdenotaalpie"/>
          <w:rFonts w:ascii="Verdana" w:hAnsi="Verdana"/>
          <w:sz w:val="16"/>
          <w:szCs w:val="16"/>
        </w:rPr>
        <w:footnoteRef/>
      </w:r>
      <w:r w:rsidRPr="005E355C">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5E355C">
        <w:rPr>
          <w:rFonts w:ascii="Verdana" w:hAnsi="Verdana"/>
          <w:i/>
          <w:sz w:val="16"/>
          <w:szCs w:val="16"/>
        </w:rPr>
        <w:t>las palabras de la ley se entenderán en su sentido natural y obvio, según el uso general de las mismas palabras</w:t>
      </w:r>
      <w:r w:rsidRPr="005E355C">
        <w:rPr>
          <w:rFonts w:ascii="Verdana" w:hAnsi="Verdana"/>
          <w:sz w:val="16"/>
          <w:szCs w:val="16"/>
        </w:rPr>
        <w:t>’, es decir, el uso de la gente educada. El Diccionario de la Lengua publicado por la Real Academia Española goza a este respecto de gran autoridad. ‘</w:t>
      </w:r>
      <w:r w:rsidRPr="005E355C">
        <w:rPr>
          <w:rFonts w:ascii="Verdana" w:hAnsi="Verdana"/>
          <w:i/>
          <w:sz w:val="16"/>
          <w:szCs w:val="16"/>
        </w:rPr>
        <w:t>Pero cuando el legislador</w:t>
      </w:r>
      <w:r w:rsidRPr="005E355C">
        <w:rPr>
          <w:rFonts w:ascii="Verdana" w:hAnsi="Verdana"/>
          <w:sz w:val="16"/>
          <w:szCs w:val="16"/>
        </w:rPr>
        <w:t xml:space="preserve">, agrega el artículo 20, </w:t>
      </w:r>
      <w:r w:rsidRPr="005E355C">
        <w:rPr>
          <w:rFonts w:ascii="Verdana" w:hAnsi="Verdana"/>
          <w:i/>
          <w:sz w:val="16"/>
          <w:szCs w:val="16"/>
        </w:rPr>
        <w:t>las haya definido expresamente para ciertas materias se les dará en éstas su significado legal</w:t>
      </w:r>
      <w:r w:rsidRPr="005E355C">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 w:id="7">
    <w:p w14:paraId="4208C96D" w14:textId="77777777" w:rsidR="006116EB" w:rsidRPr="005E355C" w:rsidRDefault="006116EB" w:rsidP="006116EB">
      <w:pPr>
        <w:pStyle w:val="Textonotapie"/>
        <w:ind w:firstLine="708"/>
        <w:jc w:val="both"/>
        <w:rPr>
          <w:rFonts w:ascii="Verdana" w:hAnsi="Verdana"/>
          <w:sz w:val="16"/>
          <w:szCs w:val="16"/>
        </w:rPr>
      </w:pPr>
      <w:r w:rsidRPr="005E355C">
        <w:rPr>
          <w:rStyle w:val="Refdenotaalpie"/>
          <w:rFonts w:ascii="Verdana" w:hAnsi="Verdana"/>
          <w:sz w:val="16"/>
          <w:szCs w:val="16"/>
        </w:rPr>
        <w:footnoteRef/>
      </w:r>
      <w:r w:rsidRPr="005E355C">
        <w:rPr>
          <w:rFonts w:ascii="Verdana" w:hAnsi="Verdana"/>
          <w:sz w:val="16"/>
          <w:szCs w:val="16"/>
        </w:rPr>
        <w:t xml:space="preserve"> SUÁREZ BELTRÁN, Gonzalo. Estudios de derecho contractual público. Colombia: Bogotá, 2014. p. 72.</w:t>
      </w:r>
    </w:p>
  </w:footnote>
  <w:footnote w:id="8">
    <w:p w14:paraId="66243EDA" w14:textId="77777777" w:rsidR="006116EB" w:rsidRPr="00856F20" w:rsidRDefault="006116EB" w:rsidP="006116EB">
      <w:pPr>
        <w:pStyle w:val="Textonotapie"/>
        <w:ind w:firstLine="708"/>
        <w:jc w:val="both"/>
        <w:rPr>
          <w:rFonts w:ascii="Verdana" w:hAnsi="Verdana"/>
          <w:sz w:val="16"/>
          <w:szCs w:val="16"/>
          <w:lang w:val="es-CO"/>
        </w:rPr>
      </w:pPr>
      <w:r w:rsidRPr="005E355C">
        <w:rPr>
          <w:rStyle w:val="Refdenotaalpie"/>
          <w:rFonts w:ascii="Verdana" w:hAnsi="Verdana"/>
          <w:sz w:val="16"/>
          <w:szCs w:val="16"/>
        </w:rPr>
        <w:footnoteRef/>
      </w:r>
      <w:r w:rsidRPr="005E355C">
        <w:rPr>
          <w:rFonts w:ascii="Verdana" w:hAnsi="Verdana"/>
          <w:sz w:val="16"/>
          <w:szCs w:val="16"/>
        </w:rPr>
        <w:t xml:space="preserve"> </w:t>
      </w:r>
      <w:r w:rsidRPr="005E355C">
        <w:rPr>
          <w:rFonts w:ascii="Verdana" w:hAnsi="Verdana"/>
          <w:i/>
          <w:sz w:val="16"/>
          <w:szCs w:val="16"/>
        </w:rPr>
        <w:t>Ibidem</w:t>
      </w:r>
      <w:r w:rsidRPr="005E355C">
        <w:rPr>
          <w:rFonts w:ascii="Verdana" w:hAnsi="Verdana"/>
          <w:sz w:val="16"/>
          <w:szCs w:val="16"/>
        </w:rPr>
        <w:t>.</w:t>
      </w:r>
    </w:p>
  </w:footnote>
  <w:footnote w:id="9">
    <w:p w14:paraId="178C0C63" w14:textId="77777777" w:rsidR="006116EB" w:rsidRPr="005E355C" w:rsidRDefault="006116EB" w:rsidP="006116EB">
      <w:pPr>
        <w:pStyle w:val="Textonotapie"/>
        <w:ind w:firstLine="708"/>
        <w:jc w:val="both"/>
        <w:rPr>
          <w:rFonts w:ascii="Verdana" w:hAnsi="Verdana" w:cs="Arial"/>
          <w:sz w:val="16"/>
          <w:szCs w:val="16"/>
        </w:rPr>
      </w:pPr>
      <w:r w:rsidRPr="005E355C">
        <w:rPr>
          <w:rStyle w:val="Refdenotaalpie"/>
          <w:rFonts w:ascii="Verdana" w:hAnsi="Verdana"/>
          <w:sz w:val="16"/>
          <w:szCs w:val="16"/>
        </w:rPr>
        <w:footnoteRef/>
      </w:r>
      <w:r w:rsidRPr="005E355C">
        <w:rPr>
          <w:rFonts w:ascii="Verdana" w:hAnsi="Verdana"/>
          <w:sz w:val="16"/>
          <w:szCs w:val="16"/>
        </w:rPr>
        <w:t xml:space="preserve"> </w:t>
      </w:r>
      <w:r w:rsidRPr="005E355C">
        <w:rPr>
          <w:rFonts w:ascii="Verdana" w:hAnsi="Verdana" w:cs="Arial"/>
          <w:sz w:val="16"/>
          <w:szCs w:val="16"/>
        </w:rPr>
        <w:t xml:space="preserve">CONGRESO DE LA REPÚBLICA. Exposición de motivos de la Ley 1150 de 2007. Gaceta del Congreso No. 458 del 1º de agosto de 2005. p. 8. </w:t>
      </w:r>
    </w:p>
  </w:footnote>
  <w:footnote w:id="10">
    <w:p w14:paraId="72C3E79C" w14:textId="77777777" w:rsidR="006116EB" w:rsidRPr="00856F20" w:rsidRDefault="006116EB" w:rsidP="006116EB">
      <w:pPr>
        <w:pStyle w:val="Textonotapie"/>
        <w:ind w:firstLine="708"/>
        <w:jc w:val="both"/>
        <w:rPr>
          <w:rFonts w:ascii="Verdana" w:hAnsi="Verdana"/>
          <w:sz w:val="16"/>
          <w:szCs w:val="16"/>
          <w:lang w:val="es-CO"/>
        </w:rPr>
      </w:pPr>
      <w:r w:rsidRPr="005E355C">
        <w:rPr>
          <w:rStyle w:val="Refdenotaalpie"/>
          <w:rFonts w:ascii="Verdana" w:hAnsi="Verdana"/>
          <w:sz w:val="16"/>
          <w:szCs w:val="16"/>
        </w:rPr>
        <w:footnoteRef/>
      </w:r>
      <w:r w:rsidRPr="005E355C">
        <w:rPr>
          <w:rFonts w:ascii="Verdana" w:hAnsi="Verdana"/>
          <w:sz w:val="16"/>
          <w:szCs w:val="16"/>
        </w:rPr>
        <w:t xml:space="preserve"> DÁVILA VINUEZA, Luis Guillermo. Régimen jurídico de la contratación estatal. </w:t>
      </w:r>
      <w:r w:rsidRPr="005E355C">
        <w:rPr>
          <w:rFonts w:ascii="Verdana" w:hAnsi="Verdana" w:cs="Arial"/>
          <w:sz w:val="16"/>
          <w:szCs w:val="16"/>
          <w:lang w:val="es-CO"/>
        </w:rPr>
        <w:t>Tercera Edición</w:t>
      </w:r>
      <w:r w:rsidRPr="005E355C">
        <w:rPr>
          <w:rFonts w:ascii="Verdana" w:hAnsi="Verdana"/>
          <w:sz w:val="16"/>
          <w:szCs w:val="16"/>
          <w:lang w:val="es-CO"/>
        </w:rPr>
        <w:t>. Bogotá: Legis, 2016. pp. 466-467.</w:t>
      </w:r>
    </w:p>
  </w:footnote>
  <w:footnote w:id="11">
    <w:p w14:paraId="60994DF8" w14:textId="77777777" w:rsidR="006116EB" w:rsidRPr="005E355C" w:rsidRDefault="006116EB" w:rsidP="005E355C">
      <w:pPr>
        <w:pStyle w:val="Textonotapie"/>
        <w:ind w:firstLine="705"/>
        <w:jc w:val="both"/>
        <w:rPr>
          <w:rFonts w:ascii="Verdana" w:hAnsi="Verdana"/>
          <w:sz w:val="16"/>
          <w:szCs w:val="16"/>
        </w:rPr>
      </w:pPr>
      <w:r w:rsidRPr="005E355C">
        <w:rPr>
          <w:rStyle w:val="Refdenotaalpie"/>
          <w:rFonts w:ascii="Verdana" w:hAnsi="Verdana"/>
          <w:sz w:val="16"/>
          <w:szCs w:val="16"/>
        </w:rPr>
        <w:footnoteRef/>
      </w:r>
      <w:r w:rsidRPr="005E355C">
        <w:rPr>
          <w:rFonts w:ascii="Verdana" w:hAnsi="Verdana"/>
          <w:sz w:val="16"/>
          <w:szCs w:val="16"/>
        </w:rPr>
        <w:t xml:space="preserve"> </w:t>
      </w:r>
      <w:r w:rsidRPr="005E355C">
        <w:rPr>
          <w:rStyle w:val="normaltextrun"/>
          <w:rFonts w:ascii="Verdana" w:hAnsi="Verdana" w:cs="Arial"/>
          <w:color w:val="000000"/>
          <w:sz w:val="16"/>
          <w:szCs w:val="16"/>
          <w:shd w:val="clear" w:color="auto" w:fill="FFFFFF"/>
        </w:rPr>
        <w:t xml:space="preserve">CONSEJO DE ESTADO. Sección Tercera. Subsección C. Sentencia del 17 de junio de 2024. Rad. 69575. C.P. </w:t>
      </w:r>
      <w:r w:rsidRPr="005E355C">
        <w:rPr>
          <w:rFonts w:ascii="Verdana" w:hAnsi="Verdana" w:cs="Arial"/>
          <w:color w:val="000000"/>
          <w:sz w:val="16"/>
          <w:szCs w:val="16"/>
          <w:shd w:val="clear" w:color="auto" w:fill="FFFFFF"/>
          <w:lang w:val="es-CO"/>
        </w:rPr>
        <w:t>Martín Bermúdez Muñoz</w:t>
      </w:r>
      <w:r w:rsidRPr="005E355C">
        <w:rPr>
          <w:rStyle w:val="normaltextrun"/>
          <w:rFonts w:ascii="Verdana" w:hAnsi="Verdana" w:cs="Arial"/>
          <w:color w:val="000000"/>
          <w:sz w:val="16"/>
          <w:szCs w:val="16"/>
          <w:shd w:val="clear" w:color="auto" w:fill="FFFFFF"/>
        </w:rPr>
        <w:t xml:space="preserve">. Nota al pie No. 7. </w:t>
      </w:r>
      <w:r w:rsidRPr="005E355C">
        <w:rPr>
          <w:rStyle w:val="eop"/>
          <w:rFonts w:ascii="Verdana" w:hAnsi="Verdana" w:cs="Arial"/>
          <w:color w:val="000000"/>
          <w:sz w:val="16"/>
          <w:szCs w:val="16"/>
          <w:shd w:val="clear" w:color="auto" w:fill="FFFFFF"/>
        </w:rPr>
        <w:t> </w:t>
      </w:r>
    </w:p>
  </w:footnote>
  <w:footnote w:id="12">
    <w:p w14:paraId="74511E7F" w14:textId="77777777" w:rsidR="006116EB" w:rsidRPr="005E355C" w:rsidRDefault="006116EB" w:rsidP="006116EB">
      <w:pPr>
        <w:pStyle w:val="Textonotapie"/>
        <w:ind w:firstLine="708"/>
        <w:jc w:val="both"/>
        <w:rPr>
          <w:rFonts w:ascii="Verdana" w:hAnsi="Verdana" w:cs="Arial"/>
          <w:color w:val="000000"/>
          <w:sz w:val="16"/>
          <w:szCs w:val="16"/>
          <w:lang w:val="en-US"/>
        </w:rPr>
      </w:pPr>
      <w:r w:rsidRPr="005E355C">
        <w:rPr>
          <w:rStyle w:val="Refdenotaalpie"/>
          <w:rFonts w:ascii="Verdana" w:hAnsi="Verdana" w:cs="Arial"/>
          <w:color w:val="000000"/>
          <w:sz w:val="16"/>
          <w:szCs w:val="16"/>
        </w:rPr>
        <w:footnoteRef/>
      </w:r>
      <w:r w:rsidRPr="005E355C">
        <w:rPr>
          <w:rFonts w:ascii="Verdana" w:hAnsi="Verdana" w:cs="Arial"/>
          <w:color w:val="000000"/>
          <w:sz w:val="16"/>
          <w:szCs w:val="16"/>
          <w:lang w:val="en-US"/>
        </w:rPr>
        <w:t xml:space="preserve"> EUROPEAN COMMISSION. Buying Green – A handbook on green procurement, 2016, disponible en: </w:t>
      </w:r>
      <w:hyperlink r:id="rId1" w:history="1">
        <w:r w:rsidRPr="005E355C">
          <w:rPr>
            <w:rStyle w:val="Hipervnculo"/>
            <w:rFonts w:ascii="Verdana" w:hAnsi="Verdana" w:cs="Arial"/>
            <w:sz w:val="16"/>
            <w:szCs w:val="16"/>
            <w:lang w:val="en-US"/>
          </w:rPr>
          <w:t>https://ec.europa.eu/environment/gpp/pdf/Buying-Green-Handbook-3rd-Edition.pdf</w:t>
        </w:r>
      </w:hyperlink>
      <w:r w:rsidRPr="005E355C">
        <w:rPr>
          <w:rFonts w:ascii="Verdana" w:hAnsi="Verdana" w:cs="Arial"/>
          <w:color w:val="000000"/>
          <w:sz w:val="16"/>
          <w:szCs w:val="16"/>
          <w:lang w:val="en-US"/>
        </w:rPr>
        <w:t>.</w:t>
      </w:r>
    </w:p>
  </w:footnote>
  <w:footnote w:id="13">
    <w:p w14:paraId="74AF1AC8" w14:textId="77777777" w:rsidR="006332D5" w:rsidRPr="00C455D0" w:rsidRDefault="006332D5" w:rsidP="00C455D0">
      <w:pPr>
        <w:pStyle w:val="Textonotapie"/>
        <w:ind w:firstLine="708"/>
        <w:jc w:val="both"/>
        <w:rPr>
          <w:rFonts w:ascii="Verdana" w:hAnsi="Verdana" w:cs="Arial"/>
          <w:sz w:val="16"/>
          <w:szCs w:val="16"/>
        </w:rPr>
      </w:pPr>
      <w:r w:rsidRPr="00C455D0">
        <w:rPr>
          <w:rStyle w:val="Refdenotaalpie"/>
          <w:rFonts w:ascii="Verdana" w:hAnsi="Verdana" w:cs="Arial"/>
          <w:sz w:val="16"/>
          <w:szCs w:val="16"/>
        </w:rPr>
        <w:footnoteRef/>
      </w:r>
      <w:r w:rsidRPr="00C455D0">
        <w:rPr>
          <w:rFonts w:ascii="Verdana" w:hAnsi="Verdana" w:cs="Arial"/>
          <w:sz w:val="16"/>
          <w:szCs w:val="16"/>
        </w:rPr>
        <w:t xml:space="preserve"> DÁVILA VINUEZA, Guillermo. Régimen jurídico de la contratación estatal. Bogotá: Legis, 2016. p. 849.</w:t>
      </w:r>
    </w:p>
  </w:footnote>
  <w:footnote w:id="14">
    <w:p w14:paraId="7CA36011" w14:textId="218B3BA9" w:rsidR="006332D5" w:rsidRPr="00C455D0" w:rsidRDefault="006332D5" w:rsidP="005E355C">
      <w:pPr>
        <w:pStyle w:val="Textonotapie"/>
        <w:ind w:firstLine="708"/>
        <w:jc w:val="both"/>
        <w:rPr>
          <w:rFonts w:ascii="Verdana" w:hAnsi="Verdana"/>
          <w:sz w:val="16"/>
          <w:szCs w:val="16"/>
          <w:lang w:val="es-ES"/>
        </w:rPr>
      </w:pPr>
      <w:r w:rsidRPr="00C455D0">
        <w:rPr>
          <w:rStyle w:val="Refdenotaalpie"/>
          <w:rFonts w:ascii="Verdana" w:hAnsi="Verdana"/>
          <w:sz w:val="16"/>
          <w:szCs w:val="16"/>
        </w:rPr>
        <w:footnoteRef/>
      </w:r>
      <w:r w:rsidRPr="00C455D0">
        <w:rPr>
          <w:rFonts w:ascii="Verdana" w:hAnsi="Verdana"/>
          <w:sz w:val="16"/>
          <w:szCs w:val="16"/>
        </w:rPr>
        <w:t xml:space="preserve"> </w:t>
      </w:r>
      <w:r w:rsidR="00C455D0">
        <w:rPr>
          <w:rFonts w:ascii="Verdana" w:hAnsi="Verdana"/>
          <w:sz w:val="16"/>
          <w:szCs w:val="16"/>
        </w:rPr>
        <w:t xml:space="preserve">AGENCIA NACIONAL DE CONTRATACIÓN PÚBLICA–COLOMBIA COMPRA EFICIENTE–. Concepto </w:t>
      </w:r>
      <w:r w:rsidRPr="00C455D0">
        <w:rPr>
          <w:rFonts w:ascii="Verdana" w:hAnsi="Verdana"/>
          <w:sz w:val="16"/>
          <w:szCs w:val="16"/>
          <w:lang w:val="es-ES"/>
        </w:rPr>
        <w:t>C-282 de 2024</w:t>
      </w:r>
      <w:r w:rsidR="00C455D0">
        <w:rPr>
          <w:rFonts w:ascii="Verdana" w:hAnsi="Verdana"/>
          <w:sz w:val="16"/>
          <w:szCs w:val="16"/>
          <w:lang w:val="es-ES"/>
        </w:rPr>
        <w:t>.</w:t>
      </w:r>
      <w:r w:rsidRPr="00C455D0">
        <w:rPr>
          <w:rFonts w:ascii="Verdana" w:hAnsi="Verdana"/>
          <w:sz w:val="16"/>
          <w:szCs w:val="16"/>
          <w:lang w:val="es-ES"/>
        </w:rPr>
        <w:t xml:space="preserve"> </w:t>
      </w:r>
    </w:p>
  </w:footnote>
  <w:footnote w:id="15">
    <w:p w14:paraId="22A95E4B" w14:textId="77777777" w:rsidR="006332D5" w:rsidRPr="00C455D0" w:rsidRDefault="006332D5" w:rsidP="00C455D0">
      <w:pPr>
        <w:pStyle w:val="Textonotapie"/>
        <w:ind w:firstLine="708"/>
        <w:jc w:val="both"/>
        <w:rPr>
          <w:rFonts w:ascii="Verdana" w:hAnsi="Verdana" w:cs="Arial"/>
          <w:sz w:val="16"/>
          <w:szCs w:val="16"/>
          <w:lang w:val="es-ES"/>
        </w:rPr>
      </w:pPr>
      <w:r w:rsidRPr="00C455D0">
        <w:rPr>
          <w:rStyle w:val="Refdenotaalpie"/>
          <w:rFonts w:ascii="Verdana" w:hAnsi="Verdana" w:cs="Arial"/>
          <w:sz w:val="16"/>
          <w:szCs w:val="16"/>
        </w:rPr>
        <w:footnoteRef/>
      </w:r>
      <w:r w:rsidRPr="00C455D0">
        <w:rPr>
          <w:rFonts w:ascii="Verdana" w:hAnsi="Verdana" w:cs="Arial"/>
          <w:sz w:val="16"/>
          <w:szCs w:val="16"/>
        </w:rPr>
        <w:t xml:space="preserve"> CONSEJO DE ESTADO. Sección Tercera. Subsección C. Sentencia del 25 de abril del 2012. </w:t>
      </w:r>
      <w:proofErr w:type="spellStart"/>
      <w:r w:rsidRPr="00C455D0">
        <w:rPr>
          <w:rFonts w:ascii="Verdana" w:hAnsi="Verdana" w:cs="Arial"/>
          <w:sz w:val="16"/>
          <w:szCs w:val="16"/>
        </w:rPr>
        <w:t>Exp</w:t>
      </w:r>
      <w:proofErr w:type="spellEnd"/>
      <w:r w:rsidRPr="00C455D0">
        <w:rPr>
          <w:rFonts w:ascii="Verdana" w:hAnsi="Verdana" w:cs="Arial"/>
          <w:sz w:val="16"/>
          <w:szCs w:val="16"/>
        </w:rPr>
        <w:t>. 22167. M.P. Jaime Orlando Santofimio Gamboa.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6922A1FE" w14:textId="77777777" w:rsidR="006116EB" w:rsidRDefault="006116EB" w:rsidP="000D5DA7">
    <w:pPr>
      <w:spacing w:after="0" w:line="480" w:lineRule="auto"/>
      <w:rPr>
        <w:rFonts w:ascii="Verdana" w:hAnsi="Verdana"/>
        <w:sz w:val="24"/>
        <w:szCs w:val="24"/>
      </w:rPr>
    </w:pPr>
  </w:p>
  <w:p w14:paraId="1FD1C243" w14:textId="7F7FE935"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65pt;height:10.6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2922"/>
    <w:rsid w:val="0008507D"/>
    <w:rsid w:val="000A683E"/>
    <w:rsid w:val="000B19B9"/>
    <w:rsid w:val="000D0334"/>
    <w:rsid w:val="000D5DA7"/>
    <w:rsid w:val="000E6074"/>
    <w:rsid w:val="000F6486"/>
    <w:rsid w:val="001152A2"/>
    <w:rsid w:val="00116940"/>
    <w:rsid w:val="00125105"/>
    <w:rsid w:val="00127233"/>
    <w:rsid w:val="00131DAE"/>
    <w:rsid w:val="0015699B"/>
    <w:rsid w:val="00174FDE"/>
    <w:rsid w:val="00175FAA"/>
    <w:rsid w:val="00181C7B"/>
    <w:rsid w:val="001A33BF"/>
    <w:rsid w:val="001A3671"/>
    <w:rsid w:val="001D42AB"/>
    <w:rsid w:val="001D6DA1"/>
    <w:rsid w:val="001E4177"/>
    <w:rsid w:val="001E4D63"/>
    <w:rsid w:val="001F0B24"/>
    <w:rsid w:val="001F7DC6"/>
    <w:rsid w:val="0022242D"/>
    <w:rsid w:val="0022400B"/>
    <w:rsid w:val="0023670A"/>
    <w:rsid w:val="002421BB"/>
    <w:rsid w:val="0025796E"/>
    <w:rsid w:val="00265C4A"/>
    <w:rsid w:val="002707A2"/>
    <w:rsid w:val="00280360"/>
    <w:rsid w:val="002951A0"/>
    <w:rsid w:val="002962BC"/>
    <w:rsid w:val="002A093D"/>
    <w:rsid w:val="002A0DD0"/>
    <w:rsid w:val="002A49AC"/>
    <w:rsid w:val="002A64FD"/>
    <w:rsid w:val="002B48A0"/>
    <w:rsid w:val="002C7A84"/>
    <w:rsid w:val="002D1B06"/>
    <w:rsid w:val="002D5BAC"/>
    <w:rsid w:val="002E2BF8"/>
    <w:rsid w:val="002E4FD9"/>
    <w:rsid w:val="002F0B11"/>
    <w:rsid w:val="002F14AF"/>
    <w:rsid w:val="0030657A"/>
    <w:rsid w:val="00310BF7"/>
    <w:rsid w:val="00322A85"/>
    <w:rsid w:val="00324168"/>
    <w:rsid w:val="00330834"/>
    <w:rsid w:val="00336A35"/>
    <w:rsid w:val="003448F4"/>
    <w:rsid w:val="00350EDA"/>
    <w:rsid w:val="00360528"/>
    <w:rsid w:val="003628C9"/>
    <w:rsid w:val="0036349C"/>
    <w:rsid w:val="00374F5E"/>
    <w:rsid w:val="00377E3E"/>
    <w:rsid w:val="0038721B"/>
    <w:rsid w:val="003A779E"/>
    <w:rsid w:val="003D0F4D"/>
    <w:rsid w:val="003D5B0D"/>
    <w:rsid w:val="003E0499"/>
    <w:rsid w:val="003E4F80"/>
    <w:rsid w:val="003E6439"/>
    <w:rsid w:val="003F3941"/>
    <w:rsid w:val="003F7A65"/>
    <w:rsid w:val="00401009"/>
    <w:rsid w:val="00406575"/>
    <w:rsid w:val="00414C74"/>
    <w:rsid w:val="00415359"/>
    <w:rsid w:val="0042722E"/>
    <w:rsid w:val="0044528D"/>
    <w:rsid w:val="00466E39"/>
    <w:rsid w:val="00473B94"/>
    <w:rsid w:val="00496F28"/>
    <w:rsid w:val="004A05F3"/>
    <w:rsid w:val="004A1847"/>
    <w:rsid w:val="004A305D"/>
    <w:rsid w:val="004B6033"/>
    <w:rsid w:val="004C7725"/>
    <w:rsid w:val="004F21C4"/>
    <w:rsid w:val="004F685F"/>
    <w:rsid w:val="00517648"/>
    <w:rsid w:val="005566E8"/>
    <w:rsid w:val="00574867"/>
    <w:rsid w:val="00591460"/>
    <w:rsid w:val="00596D45"/>
    <w:rsid w:val="005A65E0"/>
    <w:rsid w:val="005B7AC3"/>
    <w:rsid w:val="005C3777"/>
    <w:rsid w:val="005C4F8B"/>
    <w:rsid w:val="005C5CDC"/>
    <w:rsid w:val="005D07D6"/>
    <w:rsid w:val="005D1698"/>
    <w:rsid w:val="005D476C"/>
    <w:rsid w:val="005E0100"/>
    <w:rsid w:val="005E355C"/>
    <w:rsid w:val="005F3422"/>
    <w:rsid w:val="00610935"/>
    <w:rsid w:val="006116EB"/>
    <w:rsid w:val="006129E6"/>
    <w:rsid w:val="006200BF"/>
    <w:rsid w:val="006219F8"/>
    <w:rsid w:val="006302F7"/>
    <w:rsid w:val="006332D5"/>
    <w:rsid w:val="00646B9F"/>
    <w:rsid w:val="006521CF"/>
    <w:rsid w:val="00652319"/>
    <w:rsid w:val="00660FD9"/>
    <w:rsid w:val="00665D70"/>
    <w:rsid w:val="00673DB0"/>
    <w:rsid w:val="00675670"/>
    <w:rsid w:val="006860D4"/>
    <w:rsid w:val="006900D9"/>
    <w:rsid w:val="00693CFA"/>
    <w:rsid w:val="006E2F09"/>
    <w:rsid w:val="00706C16"/>
    <w:rsid w:val="00712CD5"/>
    <w:rsid w:val="00732C62"/>
    <w:rsid w:val="007340C3"/>
    <w:rsid w:val="00736155"/>
    <w:rsid w:val="0075235A"/>
    <w:rsid w:val="00756841"/>
    <w:rsid w:val="007649AB"/>
    <w:rsid w:val="00771D0C"/>
    <w:rsid w:val="00776D8F"/>
    <w:rsid w:val="007833AC"/>
    <w:rsid w:val="007B268C"/>
    <w:rsid w:val="007B7171"/>
    <w:rsid w:val="007C0C0F"/>
    <w:rsid w:val="007C3DC2"/>
    <w:rsid w:val="007E5497"/>
    <w:rsid w:val="00806F5F"/>
    <w:rsid w:val="00817383"/>
    <w:rsid w:val="00820278"/>
    <w:rsid w:val="008258C9"/>
    <w:rsid w:val="00844AE9"/>
    <w:rsid w:val="00867F95"/>
    <w:rsid w:val="008843B6"/>
    <w:rsid w:val="0088631F"/>
    <w:rsid w:val="00891928"/>
    <w:rsid w:val="008A446D"/>
    <w:rsid w:val="008B25F1"/>
    <w:rsid w:val="008C19D0"/>
    <w:rsid w:val="008D180B"/>
    <w:rsid w:val="008F0EA7"/>
    <w:rsid w:val="008F4A77"/>
    <w:rsid w:val="00906F83"/>
    <w:rsid w:val="00923EEF"/>
    <w:rsid w:val="009419F9"/>
    <w:rsid w:val="0095685E"/>
    <w:rsid w:val="00961B09"/>
    <w:rsid w:val="00965334"/>
    <w:rsid w:val="0096751E"/>
    <w:rsid w:val="0097093E"/>
    <w:rsid w:val="0098216B"/>
    <w:rsid w:val="00984CEA"/>
    <w:rsid w:val="009A0DFA"/>
    <w:rsid w:val="009A1C6F"/>
    <w:rsid w:val="009B0A2D"/>
    <w:rsid w:val="009B2D26"/>
    <w:rsid w:val="009B50C0"/>
    <w:rsid w:val="009C71FA"/>
    <w:rsid w:val="009C72E7"/>
    <w:rsid w:val="009C7F7E"/>
    <w:rsid w:val="009D3058"/>
    <w:rsid w:val="009E6E09"/>
    <w:rsid w:val="009F3A13"/>
    <w:rsid w:val="00A122D3"/>
    <w:rsid w:val="00A14468"/>
    <w:rsid w:val="00A17F13"/>
    <w:rsid w:val="00A20739"/>
    <w:rsid w:val="00A23AF9"/>
    <w:rsid w:val="00A33C78"/>
    <w:rsid w:val="00A343D3"/>
    <w:rsid w:val="00A34DF1"/>
    <w:rsid w:val="00A42BEF"/>
    <w:rsid w:val="00A52050"/>
    <w:rsid w:val="00A609E8"/>
    <w:rsid w:val="00AA706A"/>
    <w:rsid w:val="00AA7E32"/>
    <w:rsid w:val="00AB0ADB"/>
    <w:rsid w:val="00AB670E"/>
    <w:rsid w:val="00B00C0E"/>
    <w:rsid w:val="00B01B1A"/>
    <w:rsid w:val="00B0381D"/>
    <w:rsid w:val="00B44A47"/>
    <w:rsid w:val="00B55E2E"/>
    <w:rsid w:val="00B631FE"/>
    <w:rsid w:val="00B714C9"/>
    <w:rsid w:val="00B72CD3"/>
    <w:rsid w:val="00B72FFF"/>
    <w:rsid w:val="00B77E66"/>
    <w:rsid w:val="00BA0748"/>
    <w:rsid w:val="00BA722D"/>
    <w:rsid w:val="00BB77CF"/>
    <w:rsid w:val="00BC3D36"/>
    <w:rsid w:val="00BC4F8E"/>
    <w:rsid w:val="00BC52A7"/>
    <w:rsid w:val="00BC7990"/>
    <w:rsid w:val="00BD54A6"/>
    <w:rsid w:val="00BD7F72"/>
    <w:rsid w:val="00BE3984"/>
    <w:rsid w:val="00BE67D4"/>
    <w:rsid w:val="00BF1F12"/>
    <w:rsid w:val="00BF7425"/>
    <w:rsid w:val="00C04FB3"/>
    <w:rsid w:val="00C11D8B"/>
    <w:rsid w:val="00C15139"/>
    <w:rsid w:val="00C330EB"/>
    <w:rsid w:val="00C455D0"/>
    <w:rsid w:val="00C50D69"/>
    <w:rsid w:val="00C5365C"/>
    <w:rsid w:val="00C710D2"/>
    <w:rsid w:val="00C754BE"/>
    <w:rsid w:val="00C76B1C"/>
    <w:rsid w:val="00C925AC"/>
    <w:rsid w:val="00CA467F"/>
    <w:rsid w:val="00CB12A5"/>
    <w:rsid w:val="00CB1D84"/>
    <w:rsid w:val="00CB6357"/>
    <w:rsid w:val="00CC164B"/>
    <w:rsid w:val="00CC1705"/>
    <w:rsid w:val="00CC1B26"/>
    <w:rsid w:val="00D05223"/>
    <w:rsid w:val="00D14465"/>
    <w:rsid w:val="00D361FD"/>
    <w:rsid w:val="00D423A2"/>
    <w:rsid w:val="00D44E26"/>
    <w:rsid w:val="00D46B1B"/>
    <w:rsid w:val="00D520D8"/>
    <w:rsid w:val="00D63AC2"/>
    <w:rsid w:val="00D7383B"/>
    <w:rsid w:val="00D7788A"/>
    <w:rsid w:val="00DA231B"/>
    <w:rsid w:val="00DA4C95"/>
    <w:rsid w:val="00DB4094"/>
    <w:rsid w:val="00DC39FC"/>
    <w:rsid w:val="00DC45A4"/>
    <w:rsid w:val="00DE145C"/>
    <w:rsid w:val="00DF50D3"/>
    <w:rsid w:val="00DF5254"/>
    <w:rsid w:val="00E02524"/>
    <w:rsid w:val="00E05118"/>
    <w:rsid w:val="00E16408"/>
    <w:rsid w:val="00E20894"/>
    <w:rsid w:val="00E245AB"/>
    <w:rsid w:val="00E2764C"/>
    <w:rsid w:val="00E27F2E"/>
    <w:rsid w:val="00E50AFE"/>
    <w:rsid w:val="00E57310"/>
    <w:rsid w:val="00E5787A"/>
    <w:rsid w:val="00E62D29"/>
    <w:rsid w:val="00E75C92"/>
    <w:rsid w:val="00E771DC"/>
    <w:rsid w:val="00E81A9A"/>
    <w:rsid w:val="00E868FC"/>
    <w:rsid w:val="00E8772A"/>
    <w:rsid w:val="00E90F6B"/>
    <w:rsid w:val="00E92C27"/>
    <w:rsid w:val="00EA0E3D"/>
    <w:rsid w:val="00EA7948"/>
    <w:rsid w:val="00EC38A7"/>
    <w:rsid w:val="00ED416C"/>
    <w:rsid w:val="00EE1AA8"/>
    <w:rsid w:val="00EE53F3"/>
    <w:rsid w:val="00F23FEA"/>
    <w:rsid w:val="00F279FA"/>
    <w:rsid w:val="00F31EDC"/>
    <w:rsid w:val="00F326B8"/>
    <w:rsid w:val="00F331E0"/>
    <w:rsid w:val="00F462B3"/>
    <w:rsid w:val="00F5664F"/>
    <w:rsid w:val="00F60AE8"/>
    <w:rsid w:val="00F666C4"/>
    <w:rsid w:val="00F76AFC"/>
    <w:rsid w:val="00F86B48"/>
    <w:rsid w:val="00FA47C0"/>
    <w:rsid w:val="00FB236A"/>
    <w:rsid w:val="00FB5DD1"/>
    <w:rsid w:val="00FC2B5D"/>
    <w:rsid w:val="00FD27A4"/>
    <w:rsid w:val="00FE0FCA"/>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34305E4D-C7BA-4BB5-AE10-74E576805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B77C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116EB"/>
    <w:rPr>
      <w:rFonts w:ascii="Geomanist Light" w:hAnsi="Geomanist Light"/>
      <w:lang w:val="es-ES"/>
    </w:rPr>
  </w:style>
  <w:style w:type="character" w:customStyle="1" w:styleId="NormalWebCar">
    <w:name w:val="Normal (Web) Car"/>
    <w:link w:val="NormalWeb"/>
    <w:uiPriority w:val="99"/>
    <w:locked/>
    <w:rsid w:val="006116EB"/>
    <w:rPr>
      <w:rFonts w:ascii="Times New Roman" w:eastAsia="Times New Roman" w:hAnsi="Times New Roman" w:cs="Times New Roman"/>
      <w:sz w:val="24"/>
      <w:szCs w:val="24"/>
      <w:lang w:eastAsia="es-CO"/>
    </w:rPr>
  </w:style>
  <w:style w:type="character" w:styleId="Refdecomentario">
    <w:name w:val="annotation reference"/>
    <w:basedOn w:val="Fuentedeprrafopredeter"/>
    <w:uiPriority w:val="99"/>
    <w:semiHidden/>
    <w:unhideWhenUsed/>
    <w:rsid w:val="00712CD5"/>
    <w:rPr>
      <w:sz w:val="16"/>
      <w:szCs w:val="16"/>
    </w:rPr>
  </w:style>
  <w:style w:type="paragraph" w:styleId="Textocomentario">
    <w:name w:val="annotation text"/>
    <w:basedOn w:val="Normal"/>
    <w:link w:val="TextocomentarioCar"/>
    <w:uiPriority w:val="99"/>
    <w:unhideWhenUsed/>
    <w:rsid w:val="00712CD5"/>
    <w:pPr>
      <w:spacing w:line="240" w:lineRule="auto"/>
    </w:pPr>
    <w:rPr>
      <w:sz w:val="20"/>
      <w:szCs w:val="20"/>
    </w:rPr>
  </w:style>
  <w:style w:type="character" w:customStyle="1" w:styleId="TextocomentarioCar">
    <w:name w:val="Texto comentario Car"/>
    <w:basedOn w:val="Fuentedeprrafopredeter"/>
    <w:link w:val="Textocomentario"/>
    <w:uiPriority w:val="99"/>
    <w:rsid w:val="00712CD5"/>
    <w:rPr>
      <w:sz w:val="20"/>
      <w:szCs w:val="20"/>
    </w:rPr>
  </w:style>
  <w:style w:type="paragraph" w:styleId="Asuntodelcomentario">
    <w:name w:val="annotation subject"/>
    <w:basedOn w:val="Textocomentario"/>
    <w:next w:val="Textocomentario"/>
    <w:link w:val="AsuntodelcomentarioCar"/>
    <w:uiPriority w:val="99"/>
    <w:semiHidden/>
    <w:unhideWhenUsed/>
    <w:rsid w:val="00712CD5"/>
    <w:rPr>
      <w:b/>
      <w:bCs/>
    </w:rPr>
  </w:style>
  <w:style w:type="character" w:customStyle="1" w:styleId="AsuntodelcomentarioCar">
    <w:name w:val="Asunto del comentario Car"/>
    <w:basedOn w:val="TextocomentarioCar"/>
    <w:link w:val="Asuntodelcomentario"/>
    <w:uiPriority w:val="99"/>
    <w:semiHidden/>
    <w:rsid w:val="00712CD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colombiacompra.gov.c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vandariog@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ec.europa.eu/environment/gpp/pdf/Buying-Green-Handbook-3rd-Edition.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037F9D2B-895B-4D31-BB82-1B16DFF174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93</TotalTime>
  <Pages>21</Pages>
  <Words>6534</Words>
  <Characters>35549</Characters>
  <Application>Microsoft Office Word</Application>
  <DocSecurity>0</DocSecurity>
  <Lines>683</Lines>
  <Paragraphs>133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41950</CharactersWithSpaces>
  <SharedDoc>false</SharedDoc>
  <HLinks>
    <vt:vector size="24" baseType="variant">
      <vt:variant>
        <vt:i4>6029407</vt:i4>
      </vt:variant>
      <vt:variant>
        <vt:i4>6</vt:i4>
      </vt:variant>
      <vt:variant>
        <vt:i4>0</vt:i4>
      </vt:variant>
      <vt:variant>
        <vt:i4>5</vt:i4>
      </vt:variant>
      <vt:variant>
        <vt:lpwstr>http://www.colombiacompra.gov.co/</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7929935</vt:i4>
      </vt:variant>
      <vt:variant>
        <vt:i4>0</vt:i4>
      </vt:variant>
      <vt:variant>
        <vt:i4>0</vt:i4>
      </vt:variant>
      <vt:variant>
        <vt:i4>5</vt:i4>
      </vt:variant>
      <vt:variant>
        <vt:lpwstr>mailto:ivandariog@hotmail.com</vt:lpwstr>
      </vt:variant>
      <vt:variant>
        <vt:lpwstr/>
      </vt:variant>
      <vt:variant>
        <vt:i4>7864369</vt:i4>
      </vt:variant>
      <vt:variant>
        <vt:i4>0</vt:i4>
      </vt:variant>
      <vt:variant>
        <vt:i4>0</vt:i4>
      </vt:variant>
      <vt:variant>
        <vt:i4>5</vt:i4>
      </vt:variant>
      <vt:variant>
        <vt:lpwstr>https://ec.europa.eu/environment/gpp/pdf/Buying-Green-Handbook-3rd-Edition.pdf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22</cp:revision>
  <cp:lastPrinted>2023-01-10T21:18:00Z</cp:lastPrinted>
  <dcterms:created xsi:type="dcterms:W3CDTF">2026-01-29T22:37:00Z</dcterms:created>
  <dcterms:modified xsi:type="dcterms:W3CDTF">2026-02-04T14:49:00Z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