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6FFC2" w14:textId="77777777" w:rsidR="003C6FD2" w:rsidRDefault="003C6FD2" w:rsidP="003C6FD2">
      <w:pPr>
        <w:spacing w:line="276" w:lineRule="auto"/>
        <w:jc w:val="both"/>
        <w:rPr>
          <w:rFonts w:ascii="Verdana" w:eastAsia="Calibri" w:hAnsi="Verdana" w:cs="Arial"/>
          <w:b/>
          <w:bCs/>
        </w:rPr>
      </w:pPr>
      <w:bookmarkStart w:id="0" w:name="_Hlk143780582"/>
      <w:r w:rsidRPr="003C6FD2">
        <w:rPr>
          <w:rFonts w:ascii="Verdana" w:eastAsia="Calibri" w:hAnsi="Verdana" w:cs="Arial"/>
          <w:b/>
          <w:bCs/>
        </w:rPr>
        <w:t xml:space="preserve">PRINCIPIO DE PUBLICIDAD – SECOP </w:t>
      </w:r>
    </w:p>
    <w:p w14:paraId="388821C2" w14:textId="0D0ADE12" w:rsidR="00C243F9" w:rsidRPr="001F202F" w:rsidRDefault="00C243F9" w:rsidP="00163CBF">
      <w:pPr>
        <w:tabs>
          <w:tab w:val="left" w:pos="709"/>
        </w:tabs>
        <w:spacing w:before="120" w:after="120" w:line="240" w:lineRule="auto"/>
        <w:jc w:val="both"/>
        <w:rPr>
          <w:rFonts w:ascii="Verdana" w:eastAsia="Calibri" w:hAnsi="Verdana" w:cs="Arial"/>
          <w:sz w:val="20"/>
          <w:szCs w:val="20"/>
          <w:shd w:val="clear" w:color="auto" w:fill="FFFFFF"/>
          <w:lang w:val="es-ES"/>
        </w:rPr>
      </w:pPr>
      <w:r w:rsidRPr="001F202F">
        <w:rPr>
          <w:rFonts w:ascii="Verdana" w:eastAsia="Calibri" w:hAnsi="Verdana" w:cs="Arial"/>
          <w:sz w:val="20"/>
          <w:szCs w:val="20"/>
          <w:shd w:val="clear" w:color="auto" w:fill="FFFFFF"/>
          <w:lang w:val="es-ES"/>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1F202F">
        <w:rPr>
          <w:rFonts w:ascii="Verdana" w:eastAsia="Calibri" w:hAnsi="Verdana" w:cs="Arial"/>
          <w:color w:val="000000"/>
          <w:sz w:val="20"/>
          <w:szCs w:val="20"/>
          <w:lang w:val="es-ES"/>
        </w:rPr>
        <w:t xml:space="preserve">. </w:t>
      </w:r>
    </w:p>
    <w:p w14:paraId="5983EBF0" w14:textId="190B8FCC" w:rsidR="00C243F9" w:rsidRPr="001F202F" w:rsidRDefault="00C243F9" w:rsidP="00163CBF">
      <w:pPr>
        <w:spacing w:after="120" w:line="240" w:lineRule="auto"/>
        <w:jc w:val="both"/>
        <w:rPr>
          <w:rFonts w:ascii="Verdana" w:eastAsia="Times New Roman" w:hAnsi="Verdana" w:cs="Arial"/>
          <w:sz w:val="20"/>
          <w:szCs w:val="20"/>
          <w:lang w:val="es-ES" w:eastAsia="es-CO"/>
        </w:rPr>
      </w:pPr>
      <w:r w:rsidRPr="001F202F">
        <w:rPr>
          <w:rFonts w:ascii="Verdana" w:eastAsia="Arial" w:hAnsi="Verdana" w:cs="Arial"/>
          <w:sz w:val="20"/>
          <w:szCs w:val="20"/>
          <w:lang w:val="es-ES"/>
        </w:rPr>
        <w:t>Por su parte, la Ley 1712 de 2014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que establezca la ley</w:t>
      </w:r>
      <w:r w:rsidRPr="001F202F">
        <w:rPr>
          <w:rFonts w:ascii="Verdana" w:eastAsia="Times New Roman" w:hAnsi="Verdana" w:cs="Arial"/>
          <w:sz w:val="20"/>
          <w:szCs w:val="20"/>
          <w:lang w:val="es-ES" w:eastAsia="es-CO"/>
        </w:rPr>
        <w:t xml:space="preserve">. Finalmente, el principio de buena fe hace referencia al deber de todo sujeto obligado de cumplir con las obligaciones derivadas del derecho de acceso a la información pública con motivación honesta, leal y desprovista de cualquier intención dolosa o culposa. </w:t>
      </w:r>
    </w:p>
    <w:p w14:paraId="34FF3592" w14:textId="7132FDF2" w:rsidR="00C243F9" w:rsidRPr="001F202F" w:rsidRDefault="00C243F9" w:rsidP="00163CBF">
      <w:pPr>
        <w:spacing w:before="120" w:after="0" w:line="240" w:lineRule="auto"/>
        <w:contextualSpacing/>
        <w:jc w:val="both"/>
        <w:rPr>
          <w:rFonts w:ascii="Verdana" w:eastAsia="Times New Roman" w:hAnsi="Verdana" w:cs="Arial"/>
          <w:color w:val="000000"/>
          <w:sz w:val="20"/>
          <w:szCs w:val="20"/>
          <w:lang w:val="es-ES" w:eastAsia="es-ES_tradnl"/>
        </w:rPr>
      </w:pPr>
      <w:r w:rsidRPr="001F202F">
        <w:rPr>
          <w:rFonts w:ascii="Verdana" w:eastAsia="Arial" w:hAnsi="Verdana" w:cs="Arial"/>
          <w:sz w:val="20"/>
          <w:szCs w:val="20"/>
          <w:lang w:val="es-ES"/>
        </w:rPr>
        <w:t xml:space="preserve">El literal e) del artículo 9 de la ley citada establece que los sujetos obligados, que son todas las entidades públicas, deben publicar la información relativa a su contratación. </w:t>
      </w:r>
      <w:r w:rsidRPr="001F202F">
        <w:rPr>
          <w:rFonts w:ascii="Verdana" w:eastAsia="Arial MT" w:hAnsi="Verdana" w:cs="Arial"/>
          <w:sz w:val="20"/>
          <w:szCs w:val="20"/>
          <w:lang w:val="es-ES"/>
        </w:rPr>
        <w:t xml:space="preserve">El artículo 5 </w:t>
      </w:r>
      <w:r w:rsidRPr="001F202F">
        <w:rPr>
          <w:rFonts w:ascii="Verdana" w:eastAsia="Arial MT" w:hAnsi="Verdana" w:cs="Arial"/>
          <w:i/>
          <w:iCs/>
          <w:sz w:val="20"/>
          <w:szCs w:val="20"/>
          <w:lang w:val="es-ES"/>
        </w:rPr>
        <w:t>ibidem</w:t>
      </w:r>
      <w:r w:rsidRPr="001F202F">
        <w:rPr>
          <w:rFonts w:ascii="Verdana" w:eastAsia="Arial MT" w:hAnsi="Verdana" w:cs="Arial"/>
          <w:sz w:val="20"/>
          <w:szCs w:val="20"/>
          <w:lang w:val="es-ES"/>
        </w:rPr>
        <w:t>, al describir qué se entiende por sujetos obligados, consagra una lista cuyo propósito es incluir a cualquier entidad, órgano, organismo, o persona natural que desempeñe funciones públicas o administre recursos públicos.</w:t>
      </w:r>
      <w:r w:rsidRPr="001F202F">
        <w:rPr>
          <w:rFonts w:ascii="Verdana" w:eastAsia="Times New Roman" w:hAnsi="Verdana" w:cs="Arial"/>
          <w:sz w:val="20"/>
          <w:szCs w:val="20"/>
          <w:lang w:val="es-ES" w:eastAsia="es-CO"/>
        </w:rPr>
        <w:t xml:space="preserve"> </w:t>
      </w:r>
      <w:r w:rsidRPr="001F202F">
        <w:rPr>
          <w:rFonts w:ascii="Verdana" w:eastAsia="Arial" w:hAnsi="Verdana" w:cs="Arial"/>
          <w:sz w:val="20"/>
          <w:szCs w:val="20"/>
          <w:lang w:val="es-ES"/>
        </w:rPr>
        <w:t>Asimismo, de acuerdo con el literal g) del artículo 11,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r w:rsidRPr="001F202F">
        <w:rPr>
          <w:rFonts w:ascii="Verdana" w:eastAsia="Calibri" w:hAnsi="Verdana" w:cs="Arial"/>
          <w:color w:val="000000"/>
          <w:sz w:val="20"/>
          <w:szCs w:val="20"/>
          <w:lang w:val="es-ES" w:eastAsia="es-ES_tradnl"/>
        </w:rPr>
        <w:t xml:space="preserve"> De esta forma,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001F202F">
        <w:rPr>
          <w:rFonts w:ascii="Aptos" w:eastAsia="Calibri" w:hAnsi="Aptos" w:cs="Times New Roman"/>
          <w:sz w:val="20"/>
          <w:szCs w:val="20"/>
          <w:vertAlign w:val="superscript"/>
          <w:lang w:val="es-ES" w:eastAsia="es-ES_tradnl"/>
        </w:rPr>
        <w:t>.</w:t>
      </w:r>
    </w:p>
    <w:p w14:paraId="041B80ED" w14:textId="77777777" w:rsidR="003C6FD2" w:rsidRPr="003C6FD2" w:rsidRDefault="003C6FD2" w:rsidP="003C6FD2">
      <w:pPr>
        <w:spacing w:line="276" w:lineRule="auto"/>
        <w:jc w:val="both"/>
        <w:rPr>
          <w:rFonts w:ascii="Verdana" w:eastAsia="Calibri" w:hAnsi="Verdana" w:cs="Arial"/>
          <w:b/>
          <w:bCs/>
        </w:rPr>
      </w:pPr>
    </w:p>
    <w:p w14:paraId="16E66636" w14:textId="2E3EE56F" w:rsidR="003C6FD2" w:rsidRDefault="003C6FD2" w:rsidP="003C6FD2">
      <w:pPr>
        <w:spacing w:line="276" w:lineRule="auto"/>
        <w:jc w:val="both"/>
        <w:rPr>
          <w:rFonts w:ascii="Verdana" w:eastAsia="Calibri" w:hAnsi="Verdana" w:cs="Arial"/>
          <w:b/>
          <w:bCs/>
          <w:lang w:eastAsia="es-ES"/>
        </w:rPr>
      </w:pPr>
      <w:r w:rsidRPr="003C6FD2">
        <w:rPr>
          <w:rFonts w:ascii="Verdana" w:eastAsia="Calibri" w:hAnsi="Verdana" w:cs="Arial"/>
          <w:b/>
          <w:bCs/>
          <w:lang w:val="es-ES_tradnl" w:eastAsia="es-ES"/>
        </w:rPr>
        <w:t xml:space="preserve">ADMINISTRACIÓN DELEGADA </w:t>
      </w:r>
      <w:r w:rsidRPr="003C6FD2">
        <w:rPr>
          <w:rFonts w:ascii="Verdana" w:eastAsia="Calibri" w:hAnsi="Verdana" w:cs="Arial"/>
          <w:b/>
          <w:bCs/>
          <w:lang w:eastAsia="es-ES"/>
        </w:rPr>
        <w:t>–</w:t>
      </w:r>
      <w:r w:rsidRPr="003C6FD2">
        <w:rPr>
          <w:rFonts w:ascii="Verdana" w:eastAsia="Calibri" w:hAnsi="Verdana" w:cs="Arial"/>
          <w:b/>
          <w:bCs/>
          <w:lang w:val="es-ES_tradnl" w:eastAsia="es-ES"/>
        </w:rPr>
        <w:t xml:space="preserve"> Noción </w:t>
      </w:r>
      <w:r w:rsidRPr="003C6FD2">
        <w:rPr>
          <w:rFonts w:ascii="Verdana" w:eastAsia="Calibri" w:hAnsi="Verdana" w:cs="Arial"/>
          <w:b/>
          <w:bCs/>
          <w:lang w:eastAsia="es-ES"/>
        </w:rPr>
        <w:t>–</w:t>
      </w:r>
      <w:r w:rsidRPr="003C6FD2">
        <w:rPr>
          <w:rFonts w:ascii="Verdana" w:eastAsia="Calibri" w:hAnsi="Verdana" w:cs="Arial"/>
          <w:b/>
          <w:bCs/>
          <w:lang w:val="es-ES_tradnl" w:eastAsia="es-ES"/>
        </w:rPr>
        <w:t xml:space="preserve"> Definición – Mandato – </w:t>
      </w:r>
      <w:r w:rsidR="00834D7A" w:rsidRPr="003C6FD2">
        <w:rPr>
          <w:rFonts w:ascii="Verdana" w:eastAsia="Calibri" w:hAnsi="Verdana" w:cs="Arial"/>
          <w:b/>
          <w:bCs/>
          <w:lang w:val="es-ES_tradnl" w:eastAsia="es-ES"/>
        </w:rPr>
        <w:t>Administración</w:t>
      </w:r>
      <w:r w:rsidRPr="003C6FD2">
        <w:rPr>
          <w:rFonts w:ascii="Verdana" w:eastAsia="Calibri" w:hAnsi="Verdana" w:cs="Arial"/>
          <w:b/>
          <w:bCs/>
          <w:lang w:val="es-ES_tradnl" w:eastAsia="es-ES"/>
        </w:rPr>
        <w:t xml:space="preserve"> y pago</w:t>
      </w:r>
      <w:r w:rsidRPr="003C6FD2">
        <w:rPr>
          <w:rFonts w:ascii="Verdana" w:eastAsia="Calibri" w:hAnsi="Verdana" w:cs="Arial"/>
          <w:b/>
          <w:bCs/>
          <w:lang w:eastAsia="es-ES"/>
        </w:rPr>
        <w:t xml:space="preserve"> </w:t>
      </w:r>
    </w:p>
    <w:p w14:paraId="43039AAF" w14:textId="21C0264E" w:rsidR="003A42C0" w:rsidRPr="00163CBF" w:rsidRDefault="00163CBF" w:rsidP="00163CBF">
      <w:pPr>
        <w:spacing w:after="120" w:line="240" w:lineRule="auto"/>
        <w:jc w:val="both"/>
        <w:rPr>
          <w:rFonts w:ascii="Verdana" w:eastAsia="Calibri" w:hAnsi="Verdana" w:cs="Arial"/>
          <w:sz w:val="20"/>
          <w:szCs w:val="20"/>
          <w:lang w:eastAsia="es-ES_tradnl"/>
        </w:rPr>
      </w:pPr>
      <w:r w:rsidRPr="00163CBF">
        <w:rPr>
          <w:rFonts w:ascii="Verdana" w:eastAsia="Times New Roman" w:hAnsi="Verdana" w:cs="Arial"/>
          <w:color w:val="000000" w:themeColor="text1"/>
          <w:sz w:val="20"/>
          <w:szCs w:val="20"/>
          <w:lang w:eastAsia="es-ES_tradnl"/>
        </w:rPr>
        <w:t>L</w:t>
      </w:r>
      <w:r w:rsidR="003A42C0" w:rsidRPr="00163CBF">
        <w:rPr>
          <w:rFonts w:ascii="Verdana" w:eastAsia="Times New Roman" w:hAnsi="Verdana" w:cs="Arial"/>
          <w:color w:val="000000" w:themeColor="text1"/>
          <w:sz w:val="20"/>
          <w:szCs w:val="20"/>
          <w:lang w:eastAsia="es-ES_tradnl"/>
        </w:rPr>
        <w:t xml:space="preserve">as </w:t>
      </w:r>
      <w:r w:rsidR="003A42C0" w:rsidRPr="00163CBF">
        <w:rPr>
          <w:rFonts w:ascii="Verdana" w:eastAsia="Calibri" w:hAnsi="Verdana" w:cs="Arial"/>
          <w:sz w:val="20"/>
          <w:szCs w:val="20"/>
          <w:lang w:eastAsia="es-ES_tradnl"/>
        </w:rPr>
        <w:t xml:space="preserve">entidades estatales regidas por el EGCAP están habilitadas para celebrar los contratos que suelen celebrar los particulares entre sí, en virtud del </w:t>
      </w:r>
      <w:r w:rsidR="003A42C0" w:rsidRPr="00163CBF">
        <w:rPr>
          <w:rFonts w:ascii="Verdana" w:eastAsia="Calibri" w:hAnsi="Verdana" w:cs="Arial"/>
          <w:sz w:val="20"/>
          <w:szCs w:val="20"/>
          <w:lang w:eastAsia="es-ES"/>
        </w:rPr>
        <w:t>principio de autonomía de la voluntad establecido en el artículo 1602 del Código Civil</w:t>
      </w:r>
      <w:r w:rsidR="003A42C0" w:rsidRPr="00163CBF">
        <w:rPr>
          <w:rFonts w:ascii="Verdana" w:eastAsia="Calibri" w:hAnsi="Verdana" w:cs="Arial"/>
          <w:sz w:val="20"/>
          <w:szCs w:val="20"/>
          <w:lang w:eastAsia="es-ES_tradnl"/>
        </w:rPr>
        <w:t xml:space="preserve">. En ese sentido, </w:t>
      </w:r>
      <w:r w:rsidR="003A42C0" w:rsidRPr="00163CBF">
        <w:rPr>
          <w:rFonts w:ascii="Verdana" w:eastAsia="Calibri" w:hAnsi="Verdana" w:cs="Arial"/>
          <w:sz w:val="20"/>
          <w:szCs w:val="20"/>
          <w:lang w:eastAsia="es-ES"/>
        </w:rPr>
        <w:t xml:space="preserve">las entidades podrán pactar formas de mandato o formas de administración de recursos como la </w:t>
      </w:r>
      <w:r w:rsidR="003A42C0" w:rsidRPr="00163CBF">
        <w:rPr>
          <w:rFonts w:ascii="Verdana" w:eastAsia="Calibri" w:hAnsi="Verdana" w:cs="Arial"/>
          <w:i/>
          <w:sz w:val="20"/>
          <w:szCs w:val="20"/>
          <w:lang w:eastAsia="es-ES"/>
        </w:rPr>
        <w:t>administración delegada</w:t>
      </w:r>
      <w:r w:rsidR="003A42C0" w:rsidRPr="00163CBF">
        <w:rPr>
          <w:rFonts w:ascii="Verdana" w:eastAsia="Calibri" w:hAnsi="Verdana" w:cs="Arial"/>
          <w:sz w:val="20"/>
          <w:szCs w:val="20"/>
          <w:lang w:eastAsia="es-ES"/>
        </w:rPr>
        <w:t xml:space="preserve">, teniendo en cuenta la remisión de los artículos 13, 32 y 40 de la Ley 80 de 1993 a las normas comerciales y civiles, y a que no se incurre en </w:t>
      </w:r>
      <w:r w:rsidR="003A42C0" w:rsidRPr="00163CBF">
        <w:rPr>
          <w:rFonts w:ascii="Verdana" w:eastAsia="Calibri" w:hAnsi="Verdana" w:cs="Arial"/>
          <w:sz w:val="20"/>
          <w:szCs w:val="20"/>
          <w:lang w:eastAsia="es-ES"/>
        </w:rPr>
        <w:lastRenderedPageBreak/>
        <w:t>la excepción a la celebración directa de contratos interadministrativos a la que se refiere el artículo 2, numeral 4, literal c) de la Ley 1150 de 2007.</w:t>
      </w:r>
    </w:p>
    <w:p w14:paraId="7C51F5AD" w14:textId="14081EEA" w:rsidR="003A42C0" w:rsidRPr="00163CBF" w:rsidRDefault="00163CBF" w:rsidP="00163CBF">
      <w:pPr>
        <w:spacing w:after="120" w:line="240" w:lineRule="auto"/>
        <w:jc w:val="both"/>
        <w:rPr>
          <w:rFonts w:ascii="Verdana" w:eastAsia="Calibri" w:hAnsi="Verdana" w:cs="Arial"/>
          <w:color w:val="000000" w:themeColor="text1"/>
          <w:sz w:val="20"/>
          <w:szCs w:val="20"/>
          <w:lang w:val="es-ES"/>
        </w:rPr>
      </w:pPr>
      <w:r>
        <w:rPr>
          <w:rFonts w:ascii="Verdana" w:hAnsi="Verdana" w:cs="Arial"/>
          <w:bCs/>
          <w:sz w:val="20"/>
          <w:szCs w:val="20"/>
          <w:lang w:val="es-ES_tradnl" w:eastAsia="es-ES" w:bidi="es-ES"/>
        </w:rPr>
        <w:t>T</w:t>
      </w:r>
      <w:r w:rsidR="003A42C0" w:rsidRPr="00163CBF">
        <w:rPr>
          <w:rFonts w:ascii="Verdana" w:hAnsi="Verdana" w:cs="Arial"/>
          <w:bCs/>
          <w:sz w:val="20"/>
          <w:szCs w:val="20"/>
          <w:lang w:val="es-ES_tradnl" w:eastAsia="es-ES" w:bidi="es-ES"/>
        </w:rPr>
        <w:t>al como lo ha conceptuado anteriormente esta Agencia</w:t>
      </w:r>
      <w:r w:rsidR="003A42C0" w:rsidRPr="00163CBF">
        <w:rPr>
          <w:rFonts w:ascii="Verdana" w:eastAsia="Calibri" w:hAnsi="Verdana" w:cs="Arial"/>
          <w:color w:val="000000" w:themeColor="text1"/>
          <w:sz w:val="20"/>
          <w:szCs w:val="20"/>
          <w:lang w:val="es-ES_tradnl"/>
        </w:rPr>
        <w:t>, l</w:t>
      </w:r>
      <w:r w:rsidR="003A42C0" w:rsidRPr="00163CBF">
        <w:rPr>
          <w:rFonts w:ascii="Verdana" w:eastAsia="Calibri" w:hAnsi="Verdana" w:cs="Arial"/>
          <w:color w:val="000000" w:themeColor="text1"/>
          <w:sz w:val="20"/>
          <w:szCs w:val="20"/>
          <w:lang w:val="es-ES"/>
        </w:rPr>
        <w:t xml:space="preserve">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003A42C0" w:rsidRPr="00163CBF">
        <w:rPr>
          <w:rFonts w:ascii="Verdana" w:eastAsia="Calibri" w:hAnsi="Verdana" w:cs="Arial"/>
          <w:color w:val="000000" w:themeColor="text1"/>
          <w:sz w:val="20"/>
          <w:szCs w:val="20"/>
          <w:lang w:val="es-ES"/>
        </w:rPr>
        <w:t>ii</w:t>
      </w:r>
      <w:proofErr w:type="spellEnd"/>
      <w:r w:rsidR="003A42C0" w:rsidRPr="00163CBF">
        <w:rPr>
          <w:rFonts w:ascii="Verdana" w:eastAsia="Calibri" w:hAnsi="Verdana" w:cs="Arial"/>
          <w:color w:val="000000" w:themeColor="text1"/>
          <w:sz w:val="20"/>
          <w:szCs w:val="20"/>
          <w:lang w:val="es-ES"/>
        </w:rPr>
        <w:t xml:space="preserve">) como una modalidad de administración y pago, no necesariamente asociada al mandato. </w:t>
      </w:r>
    </w:p>
    <w:p w14:paraId="69ECF86F" w14:textId="3DF49F4D" w:rsidR="00834D7A" w:rsidRDefault="00834D7A">
      <w:pPr>
        <w:rPr>
          <w:rFonts w:ascii="Verdana" w:eastAsia="Calibri" w:hAnsi="Verdana" w:cs="Arial"/>
          <w:b/>
          <w:bCs/>
          <w:lang w:eastAsia="es-ES"/>
        </w:rPr>
      </w:pPr>
      <w:r>
        <w:rPr>
          <w:rFonts w:ascii="Verdana" w:eastAsia="Calibri" w:hAnsi="Verdana" w:cs="Arial"/>
          <w:b/>
          <w:bCs/>
          <w:lang w:eastAsia="es-ES"/>
        </w:rPr>
        <w:br w:type="page"/>
      </w:r>
    </w:p>
    <w:p w14:paraId="1468C46D" w14:textId="4562A0C1" w:rsidR="00C15139" w:rsidRPr="00D22F9B" w:rsidRDefault="00E17F26" w:rsidP="00432BAE">
      <w:pPr>
        <w:spacing w:after="0" w:line="276" w:lineRule="auto"/>
        <w:rPr>
          <w:rFonts w:ascii="Verdana" w:hAnsi="Verdana"/>
        </w:rPr>
      </w:pPr>
      <w:r w:rsidRPr="0043234D">
        <w:rPr>
          <w:rFonts w:ascii="Verdana" w:eastAsia="Calibri" w:hAnsi="Verdana" w:cs="Arial"/>
          <w:color w:val="000000"/>
        </w:rPr>
        <w:lastRenderedPageBreak/>
        <w:drawing>
          <wp:anchor distT="0" distB="0" distL="114300" distR="114300" simplePos="0" relativeHeight="251661312" behindDoc="0" locked="0" layoutInCell="1" allowOverlap="1" wp14:anchorId="650CCC5C" wp14:editId="73BDE919">
            <wp:simplePos x="0" y="0"/>
            <wp:positionH relativeFrom="margin">
              <wp:align>right</wp:align>
            </wp:positionH>
            <wp:positionV relativeFrom="paragraph">
              <wp:posOffset>109855</wp:posOffset>
            </wp:positionV>
            <wp:extent cx="2847973" cy="822928"/>
            <wp:effectExtent l="0" t="0" r="0" b="0"/>
            <wp:wrapNone/>
            <wp:docPr id="130431576"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31576" name="Imagen 1" descr="Interfaz de usuario gráfica, Texto, Aplicación, Chat o mensaje de 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47973" cy="822928"/>
                    </a:xfrm>
                    <a:prstGeom prst="rect">
                      <a:avLst/>
                    </a:prstGeom>
                  </pic:spPr>
                </pic:pic>
              </a:graphicData>
            </a:graphic>
          </wp:anchor>
        </w:drawing>
      </w:r>
      <w:r w:rsidRPr="00E17F26">
        <w:rPr>
          <w:rFonts w:ascii="Verdana" w:hAnsi="Verdana"/>
        </w:rPr>
        <w:t xml:space="preserve">Bogotá D.C., 04 </w:t>
      </w:r>
      <w:proofErr w:type="gramStart"/>
      <w:r w:rsidRPr="00E17F26">
        <w:rPr>
          <w:rFonts w:ascii="Verdana" w:hAnsi="Verdana"/>
        </w:rPr>
        <w:t>Febrero</w:t>
      </w:r>
      <w:proofErr w:type="gramEnd"/>
      <w:r w:rsidRPr="00E17F26">
        <w:rPr>
          <w:rFonts w:ascii="Verdana" w:hAnsi="Verdana"/>
        </w:rPr>
        <w:t xml:space="preserve"> 2026</w:t>
      </w:r>
      <w:r w:rsidR="00C15139" w:rsidRPr="00D22F9B">
        <w:rPr>
          <w:rFonts w:ascii="Verdana" w:hAnsi="Verdana"/>
        </w:rPr>
        <w:tab/>
      </w:r>
      <w:r w:rsidR="00C15139" w:rsidRPr="00D22F9B">
        <w:rPr>
          <w:rFonts w:ascii="Verdana" w:hAnsi="Verdana"/>
        </w:rPr>
        <w:br/>
      </w:r>
      <w:r w:rsidR="00C15139" w:rsidRPr="00D22F9B">
        <w:rPr>
          <w:rFonts w:ascii="Verdana" w:hAnsi="Verdana"/>
        </w:rPr>
        <w:tab/>
      </w:r>
    </w:p>
    <w:p w14:paraId="011CB1EB" w14:textId="00367CE9" w:rsidR="002469E9" w:rsidRPr="00D22F9B" w:rsidRDefault="002469E9" w:rsidP="007525FA">
      <w:pPr>
        <w:spacing w:after="0" w:line="276" w:lineRule="auto"/>
        <w:ind w:left="4248"/>
        <w:jc w:val="both"/>
        <w:rPr>
          <w:rFonts w:ascii="Verdana" w:eastAsia="Calibri" w:hAnsi="Verdana" w:cs="Arial"/>
          <w:color w:val="000000"/>
        </w:rPr>
      </w:pPr>
      <w:bookmarkStart w:id="1" w:name="_Hlk186494164"/>
      <w:bookmarkEnd w:id="0"/>
    </w:p>
    <w:p w14:paraId="44E24675" w14:textId="77777777" w:rsidR="002469E9" w:rsidRPr="00D22F9B" w:rsidRDefault="002469E9" w:rsidP="007525FA">
      <w:pPr>
        <w:spacing w:after="0" w:line="276" w:lineRule="auto"/>
        <w:jc w:val="both"/>
        <w:rPr>
          <w:rFonts w:ascii="Verdana" w:eastAsia="Calibri" w:hAnsi="Verdana" w:cs="Arial"/>
          <w:lang w:eastAsia="es-ES"/>
        </w:rPr>
      </w:pPr>
      <w:r w:rsidRPr="00D22F9B">
        <w:rPr>
          <w:rFonts w:ascii="Verdana" w:eastAsia="Calibri" w:hAnsi="Verdana" w:cs="Arial"/>
          <w:lang w:eastAsia="es-ES"/>
        </w:rPr>
        <w:t>Señor</w:t>
      </w:r>
    </w:p>
    <w:p w14:paraId="37B5D84A" w14:textId="4C323BB3" w:rsidR="002469E9" w:rsidRPr="00D22F9B" w:rsidRDefault="002469E9" w:rsidP="007525FA">
      <w:pPr>
        <w:spacing w:after="0" w:line="276" w:lineRule="auto"/>
        <w:rPr>
          <w:rFonts w:ascii="Verdana" w:eastAsia="Calibri" w:hAnsi="Verdana" w:cs="Arial"/>
          <w:b/>
          <w:bCs/>
          <w:lang w:eastAsia="es-ES"/>
        </w:rPr>
      </w:pPr>
      <w:r w:rsidRPr="00D22F9B">
        <w:rPr>
          <w:rFonts w:ascii="Verdana" w:eastAsia="Calibri" w:hAnsi="Verdana" w:cs="Times New Roman"/>
          <w:b/>
          <w:bCs/>
        </w:rPr>
        <w:t>Anónimo</w:t>
      </w:r>
      <w:r w:rsidRPr="00D22F9B">
        <w:rPr>
          <w:rFonts w:ascii="Verdana" w:eastAsia="Calibri" w:hAnsi="Verdana" w:cs="Times New Roman"/>
          <w:b/>
          <w:bCs/>
        </w:rPr>
        <w:tab/>
      </w:r>
    </w:p>
    <w:p w14:paraId="56374F65" w14:textId="77777777" w:rsidR="002469E9" w:rsidRPr="00D22F9B" w:rsidRDefault="002469E9" w:rsidP="007525FA">
      <w:pPr>
        <w:spacing w:after="0" w:line="276" w:lineRule="auto"/>
        <w:rPr>
          <w:rFonts w:ascii="Verdana" w:hAnsi="Verdana"/>
        </w:rPr>
      </w:pPr>
      <w:hyperlink r:id="rId12" w:history="1">
        <w:r w:rsidRPr="00D22F9B">
          <w:rPr>
            <w:rStyle w:val="Hipervnculo"/>
            <w:rFonts w:ascii="Verdana" w:hAnsi="Verdana"/>
          </w:rPr>
          <w:t>fernandog213@hotmail.com</w:t>
        </w:r>
      </w:hyperlink>
    </w:p>
    <w:p w14:paraId="22EDBE98" w14:textId="77777777" w:rsidR="002469E9" w:rsidRPr="00D22F9B" w:rsidRDefault="002469E9" w:rsidP="007525FA">
      <w:pPr>
        <w:spacing w:after="0" w:line="276" w:lineRule="auto"/>
        <w:rPr>
          <w:rFonts w:ascii="Verdana" w:eastAsia="Calibri" w:hAnsi="Verdana" w:cs="Times New Roman"/>
        </w:rPr>
      </w:pPr>
      <w:r w:rsidRPr="00D22F9B">
        <w:rPr>
          <w:rFonts w:ascii="Verdana" w:eastAsia="Calibri" w:hAnsi="Verdana" w:cs="Times New Roman"/>
        </w:rPr>
        <w:t>Ciudad</w:t>
      </w:r>
    </w:p>
    <w:p w14:paraId="15B58C16" w14:textId="77777777" w:rsidR="002469E9" w:rsidRPr="00D22F9B" w:rsidRDefault="002469E9" w:rsidP="007525FA">
      <w:pPr>
        <w:spacing w:after="0" w:line="276" w:lineRule="auto"/>
        <w:rPr>
          <w:rFonts w:ascii="Verdana" w:eastAsia="Calibri" w:hAnsi="Verdana" w:cs="Arial"/>
          <w:lang w:eastAsia="es-ES"/>
        </w:rPr>
      </w:pPr>
    </w:p>
    <w:p w14:paraId="70CBEAAD" w14:textId="77777777" w:rsidR="002469E9" w:rsidRPr="00D22F9B" w:rsidRDefault="002469E9" w:rsidP="007525FA">
      <w:pPr>
        <w:spacing w:after="0" w:line="276" w:lineRule="auto"/>
        <w:ind w:left="2124" w:firstLine="708"/>
        <w:rPr>
          <w:rFonts w:ascii="Verdana" w:eastAsia="Calibri" w:hAnsi="Verdana" w:cs="Arial"/>
          <w:b/>
          <w:bCs/>
          <w:color w:val="000000"/>
          <w:lang w:eastAsia="es-ES_tradnl"/>
        </w:rPr>
      </w:pPr>
    </w:p>
    <w:p w14:paraId="59F6E203" w14:textId="77777777" w:rsidR="002469E9" w:rsidRPr="00D22F9B" w:rsidRDefault="002469E9" w:rsidP="007525FA">
      <w:pPr>
        <w:spacing w:after="0" w:line="276" w:lineRule="auto"/>
        <w:ind w:left="2124" w:firstLine="708"/>
        <w:rPr>
          <w:rFonts w:ascii="Verdana" w:eastAsia="Calibri" w:hAnsi="Verdana" w:cs="Arial"/>
          <w:b/>
          <w:bCs/>
          <w:lang w:eastAsia="es-ES"/>
        </w:rPr>
      </w:pPr>
      <w:r w:rsidRPr="00D22F9B">
        <w:rPr>
          <w:rFonts w:ascii="Verdana" w:eastAsia="Calibri" w:hAnsi="Verdana" w:cs="Arial"/>
          <w:b/>
          <w:bCs/>
          <w:lang w:eastAsia="es-ES"/>
        </w:rPr>
        <w:t>Concepto C – 1858 de 2025</w:t>
      </w:r>
    </w:p>
    <w:p w14:paraId="6F496DF8" w14:textId="77777777" w:rsidR="002469E9" w:rsidRPr="00D22F9B" w:rsidRDefault="002469E9" w:rsidP="007525FA">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469E9" w:rsidRPr="00D22F9B" w14:paraId="337E0270" w14:textId="77777777" w:rsidTr="00DF12E3">
        <w:trPr>
          <w:trHeight w:val="884"/>
        </w:trPr>
        <w:tc>
          <w:tcPr>
            <w:tcW w:w="2689" w:type="dxa"/>
          </w:tcPr>
          <w:p w14:paraId="6F0CBDF9" w14:textId="77777777" w:rsidR="002469E9" w:rsidRPr="00D22F9B" w:rsidRDefault="002469E9" w:rsidP="007525FA">
            <w:pPr>
              <w:spacing w:line="276" w:lineRule="auto"/>
              <w:jc w:val="both"/>
              <w:rPr>
                <w:rFonts w:ascii="Verdana" w:eastAsia="Calibri" w:hAnsi="Verdana" w:cs="Arial"/>
                <w:color w:val="000000"/>
                <w:lang w:eastAsia="es-ES_tradnl"/>
              </w:rPr>
            </w:pPr>
            <w:r w:rsidRPr="00D22F9B">
              <w:rPr>
                <w:rFonts w:ascii="Verdana" w:eastAsia="Calibri" w:hAnsi="Verdana" w:cs="Arial"/>
                <w:b/>
                <w:color w:val="000000"/>
                <w:lang w:eastAsia="es-ES_tradnl"/>
              </w:rPr>
              <w:t>Temas:</w:t>
            </w:r>
            <w:r w:rsidRPr="00D22F9B">
              <w:rPr>
                <w:rFonts w:ascii="Verdana" w:eastAsia="Calibri" w:hAnsi="Verdana" w:cs="Arial"/>
                <w:color w:val="000000"/>
                <w:lang w:eastAsia="es-ES_tradnl"/>
              </w:rPr>
              <w:t xml:space="preserve">                   </w:t>
            </w:r>
          </w:p>
        </w:tc>
        <w:tc>
          <w:tcPr>
            <w:tcW w:w="6100" w:type="dxa"/>
          </w:tcPr>
          <w:p w14:paraId="56E0F576" w14:textId="77777777" w:rsidR="002469E9" w:rsidRPr="00D22F9B" w:rsidRDefault="002469E9" w:rsidP="00432BAE">
            <w:pPr>
              <w:spacing w:line="276" w:lineRule="auto"/>
              <w:jc w:val="both"/>
              <w:rPr>
                <w:rFonts w:ascii="Verdana" w:eastAsia="Calibri" w:hAnsi="Verdana" w:cs="Arial"/>
                <w:lang w:eastAsia="es-ES"/>
              </w:rPr>
            </w:pPr>
            <w:r w:rsidRPr="00D22F9B">
              <w:rPr>
                <w:rFonts w:ascii="Verdana" w:eastAsia="Calibri" w:hAnsi="Verdana" w:cs="Arial"/>
              </w:rPr>
              <w:t xml:space="preserve">PRINCIPIO DE PUBLICIDAD – SECOP / </w:t>
            </w:r>
            <w:r w:rsidRPr="00D22F9B">
              <w:rPr>
                <w:rFonts w:ascii="Verdana" w:eastAsia="Calibri" w:hAnsi="Verdana" w:cs="Arial"/>
                <w:lang w:val="es-ES_tradnl" w:eastAsia="es-ES"/>
              </w:rPr>
              <w:t xml:space="preserve">ADMINISTRACIÓN DELEGADA </w:t>
            </w:r>
            <w:r w:rsidRPr="00D22F9B">
              <w:rPr>
                <w:rFonts w:ascii="Verdana" w:eastAsia="Calibri" w:hAnsi="Verdana" w:cs="Arial"/>
                <w:lang w:eastAsia="es-ES"/>
              </w:rPr>
              <w:t>–</w:t>
            </w:r>
            <w:r w:rsidRPr="00D22F9B">
              <w:rPr>
                <w:rFonts w:ascii="Verdana" w:eastAsia="Calibri" w:hAnsi="Verdana" w:cs="Arial"/>
                <w:lang w:val="es-ES_tradnl" w:eastAsia="es-ES"/>
              </w:rPr>
              <w:t xml:space="preserve"> Noción </w:t>
            </w:r>
            <w:r w:rsidRPr="00D22F9B">
              <w:rPr>
                <w:rFonts w:ascii="Verdana" w:eastAsia="Calibri" w:hAnsi="Verdana" w:cs="Arial"/>
                <w:lang w:eastAsia="es-ES"/>
              </w:rPr>
              <w:t>–</w:t>
            </w:r>
            <w:r w:rsidRPr="00D22F9B">
              <w:rPr>
                <w:rFonts w:ascii="Verdana" w:eastAsia="Calibri" w:hAnsi="Verdana" w:cs="Arial"/>
                <w:lang w:val="es-ES_tradnl" w:eastAsia="es-ES"/>
              </w:rPr>
              <w:t xml:space="preserve"> Definición – Mandato – Administración y pago</w:t>
            </w:r>
            <w:r w:rsidRPr="00D22F9B">
              <w:rPr>
                <w:rFonts w:ascii="Verdana" w:eastAsia="Calibri" w:hAnsi="Verdana" w:cs="Arial"/>
                <w:lang w:eastAsia="es-ES"/>
              </w:rPr>
              <w:t xml:space="preserve"> </w:t>
            </w:r>
          </w:p>
          <w:p w14:paraId="0F35A163" w14:textId="77777777" w:rsidR="002469E9" w:rsidRPr="00D22F9B" w:rsidRDefault="002469E9" w:rsidP="00432BAE">
            <w:pPr>
              <w:spacing w:line="276" w:lineRule="auto"/>
              <w:jc w:val="both"/>
              <w:rPr>
                <w:rFonts w:ascii="Verdana" w:eastAsia="Calibri" w:hAnsi="Verdana" w:cs="Arial"/>
                <w:lang w:eastAsia="es-ES"/>
              </w:rPr>
            </w:pPr>
          </w:p>
          <w:p w14:paraId="177D0D90" w14:textId="77777777" w:rsidR="002469E9" w:rsidRPr="00D22F9B" w:rsidRDefault="002469E9" w:rsidP="00432BAE">
            <w:pPr>
              <w:spacing w:line="276" w:lineRule="auto"/>
              <w:jc w:val="both"/>
              <w:rPr>
                <w:rFonts w:ascii="Verdana" w:eastAsia="Calibri" w:hAnsi="Verdana" w:cs="Arial"/>
                <w:lang w:eastAsia="es-ES"/>
              </w:rPr>
            </w:pPr>
          </w:p>
        </w:tc>
      </w:tr>
      <w:tr w:rsidR="002469E9" w:rsidRPr="00D22F9B" w14:paraId="2F4DF402" w14:textId="77777777" w:rsidTr="00DF12E3">
        <w:tc>
          <w:tcPr>
            <w:tcW w:w="2689" w:type="dxa"/>
          </w:tcPr>
          <w:p w14:paraId="04305437" w14:textId="77777777" w:rsidR="002469E9" w:rsidRPr="00D22F9B" w:rsidRDefault="002469E9" w:rsidP="007525FA">
            <w:pPr>
              <w:spacing w:line="276" w:lineRule="auto"/>
              <w:jc w:val="both"/>
              <w:rPr>
                <w:rFonts w:ascii="Verdana" w:eastAsia="Calibri" w:hAnsi="Verdana" w:cs="Arial"/>
                <w:b/>
                <w:lang w:eastAsia="es-ES_tradnl"/>
              </w:rPr>
            </w:pPr>
            <w:r w:rsidRPr="00D22F9B">
              <w:rPr>
                <w:rFonts w:ascii="Verdana" w:eastAsia="Calibri" w:hAnsi="Verdana" w:cs="Arial"/>
                <w:b/>
                <w:lang w:eastAsia="es-ES_tradnl"/>
              </w:rPr>
              <w:t xml:space="preserve"> Radicación:</w:t>
            </w:r>
            <w:r w:rsidRPr="00D22F9B">
              <w:rPr>
                <w:rFonts w:ascii="Verdana" w:eastAsia="Calibri" w:hAnsi="Verdana" w:cs="Arial"/>
                <w:lang w:eastAsia="es-ES_tradnl"/>
              </w:rPr>
              <w:t xml:space="preserve">               </w:t>
            </w:r>
          </w:p>
        </w:tc>
        <w:tc>
          <w:tcPr>
            <w:tcW w:w="6100" w:type="dxa"/>
          </w:tcPr>
          <w:p w14:paraId="4D1B6712" w14:textId="77777777" w:rsidR="002469E9" w:rsidRPr="00D22F9B" w:rsidRDefault="002469E9" w:rsidP="007525FA">
            <w:pPr>
              <w:spacing w:line="276" w:lineRule="auto"/>
              <w:jc w:val="both"/>
              <w:rPr>
                <w:rFonts w:ascii="Verdana" w:eastAsia="Calibri" w:hAnsi="Verdana" w:cs="Arial"/>
                <w:lang w:eastAsia="es-ES_tradnl"/>
              </w:rPr>
            </w:pPr>
            <w:r w:rsidRPr="00D22F9B">
              <w:rPr>
                <w:rFonts w:ascii="Verdana" w:eastAsia="Calibri" w:hAnsi="Verdana" w:cs="Arial"/>
                <w:lang w:eastAsia="es-ES_tradnl"/>
              </w:rPr>
              <w:t>Respuesta a consultas con radicado No. 1_2025_12_24_014320</w:t>
            </w:r>
          </w:p>
        </w:tc>
      </w:tr>
    </w:tbl>
    <w:p w14:paraId="5C96BBBA" w14:textId="77777777" w:rsidR="002469E9" w:rsidRPr="00D22F9B" w:rsidRDefault="002469E9" w:rsidP="007525FA">
      <w:pPr>
        <w:spacing w:after="0" w:line="276" w:lineRule="auto"/>
        <w:jc w:val="both"/>
        <w:rPr>
          <w:rFonts w:ascii="Verdana" w:eastAsia="Calibri" w:hAnsi="Verdana" w:cs="Arial"/>
          <w:color w:val="000000"/>
          <w:lang w:eastAsia="es-ES_tradnl"/>
        </w:rPr>
      </w:pPr>
    </w:p>
    <w:p w14:paraId="1DACC7F5" w14:textId="77777777" w:rsidR="002469E9" w:rsidRPr="00D22F9B" w:rsidRDefault="002469E9" w:rsidP="007525FA">
      <w:pPr>
        <w:spacing w:after="0" w:line="276" w:lineRule="auto"/>
        <w:jc w:val="both"/>
        <w:rPr>
          <w:rFonts w:ascii="Verdana" w:eastAsia="Calibri" w:hAnsi="Verdana" w:cs="Arial"/>
          <w:color w:val="000000"/>
          <w:lang w:eastAsia="es-ES_tradnl"/>
        </w:rPr>
      </w:pPr>
    </w:p>
    <w:p w14:paraId="087FBF60" w14:textId="77777777" w:rsidR="002469E9" w:rsidRPr="00D22F9B" w:rsidRDefault="002469E9" w:rsidP="007525FA">
      <w:pPr>
        <w:spacing w:after="0" w:line="276" w:lineRule="auto"/>
        <w:jc w:val="both"/>
        <w:rPr>
          <w:rFonts w:ascii="Verdana" w:eastAsia="Calibri" w:hAnsi="Verdana" w:cs="Arial"/>
          <w:lang w:eastAsia="es-ES"/>
        </w:rPr>
      </w:pPr>
      <w:r w:rsidRPr="00D22F9B">
        <w:rPr>
          <w:rFonts w:ascii="Verdana" w:eastAsia="Calibri" w:hAnsi="Verdana" w:cs="Arial"/>
          <w:lang w:eastAsia="es-ES"/>
        </w:rPr>
        <w:t>Estimado ciudadano,</w:t>
      </w:r>
    </w:p>
    <w:p w14:paraId="27DD7049" w14:textId="77777777" w:rsidR="002469E9" w:rsidRPr="00D22F9B" w:rsidRDefault="002469E9" w:rsidP="007525FA">
      <w:pPr>
        <w:tabs>
          <w:tab w:val="left" w:pos="3768"/>
        </w:tabs>
        <w:spacing w:after="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ab/>
      </w:r>
    </w:p>
    <w:p w14:paraId="75297303" w14:textId="77777777" w:rsidR="002469E9" w:rsidRPr="00D22F9B" w:rsidRDefault="002469E9" w:rsidP="007525FA">
      <w:pPr>
        <w:spacing w:after="0" w:line="276" w:lineRule="auto"/>
        <w:jc w:val="both"/>
        <w:rPr>
          <w:rFonts w:ascii="Verdana" w:eastAsia="Calibri" w:hAnsi="Verdana" w:cs="Arial"/>
          <w:i/>
          <w:iCs/>
          <w:lang w:eastAsia="es-ES"/>
        </w:rPr>
      </w:pPr>
      <w:r w:rsidRPr="00D22F9B">
        <w:rPr>
          <w:rFonts w:ascii="Verdana" w:eastAsia="Calibri" w:hAnsi="Verdana" w:cs="Arial"/>
          <w:color w:val="000000"/>
          <w:lang w:eastAsia="es-ES"/>
        </w:rPr>
        <w:t>En ejercicio de la competencia otorgada por los artículos 3, numeral 5º, y 11, numeral 8º, del Decreto Ley 4170 de 2011,</w:t>
      </w:r>
      <w:r w:rsidRPr="00D22F9B">
        <w:rPr>
          <w:rFonts w:ascii="Verdana" w:eastAsia="Arial MT" w:hAnsi="Verdana" w:cs="Arial MT"/>
          <w:lang w:eastAsia="es-ES"/>
        </w:rPr>
        <w:t xml:space="preserve"> </w:t>
      </w:r>
      <w:r w:rsidRPr="00D22F9B">
        <w:rPr>
          <w:rFonts w:ascii="Verdana" w:eastAsia="Calibri" w:hAnsi="Verdana" w:cs="Arial"/>
        </w:rPr>
        <w:t xml:space="preserve">así como lo establecido en el artículo 4 de la Resolución 1707 de 2018 expedida por esta Entidad, </w:t>
      </w:r>
      <w:r w:rsidRPr="00D22F9B">
        <w:rPr>
          <w:rFonts w:ascii="Verdana" w:eastAsia="Calibri" w:hAnsi="Verdana" w:cs="Arial"/>
          <w:color w:val="000000"/>
          <w:lang w:eastAsia="es-ES"/>
        </w:rPr>
        <w:t>la Agencia Nacional de Contratación Pública – Colombia Compra Eficiente responde su solicitud de concepto del 24 de diciembre de 2025,</w:t>
      </w:r>
      <w:r w:rsidRPr="00D22F9B">
        <w:rPr>
          <w:rFonts w:ascii="Verdana" w:eastAsia="Calibri" w:hAnsi="Verdana" w:cs="Arial"/>
          <w:lang w:eastAsia="es-ES"/>
        </w:rPr>
        <w:t xml:space="preserve"> en la que manifiesta lo siguiente:</w:t>
      </w:r>
      <w:r w:rsidRPr="00D22F9B">
        <w:rPr>
          <w:rFonts w:ascii="Verdana" w:eastAsia="Calibri" w:hAnsi="Verdana" w:cs="Arial"/>
          <w:i/>
          <w:iCs/>
          <w:lang w:eastAsia="es-ES"/>
        </w:rPr>
        <w:t xml:space="preserve"> </w:t>
      </w:r>
      <w:bookmarkStart w:id="2" w:name="_Hlk95313578"/>
    </w:p>
    <w:p w14:paraId="522E39C4" w14:textId="77777777" w:rsidR="002469E9" w:rsidRPr="00D22F9B" w:rsidRDefault="002469E9" w:rsidP="007525FA">
      <w:pPr>
        <w:spacing w:after="0" w:line="276" w:lineRule="auto"/>
        <w:jc w:val="both"/>
        <w:rPr>
          <w:rFonts w:ascii="Verdana" w:eastAsia="Calibri" w:hAnsi="Verdana" w:cs="Arial"/>
          <w:i/>
          <w:iCs/>
          <w:lang w:eastAsia="es-ES"/>
        </w:rPr>
      </w:pPr>
    </w:p>
    <w:p w14:paraId="526B01D3" w14:textId="77777777" w:rsidR="002469E9" w:rsidRPr="00D22F9B" w:rsidRDefault="002469E9" w:rsidP="007525FA">
      <w:pPr>
        <w:spacing w:after="0" w:line="276" w:lineRule="auto"/>
        <w:ind w:left="709" w:right="709"/>
        <w:jc w:val="both"/>
        <w:rPr>
          <w:rFonts w:ascii="Verdana" w:eastAsia="Aptos" w:hAnsi="Verdana" w:cs="Times New Roman"/>
          <w:kern w:val="2"/>
          <w14:ligatures w14:val="standardContextual"/>
        </w:rPr>
      </w:pPr>
      <w:r w:rsidRPr="00D22F9B">
        <w:rPr>
          <w:rFonts w:ascii="Verdana" w:eastAsia="Arial" w:hAnsi="Verdana" w:cs="Arial"/>
          <w:i/>
          <w:color w:val="000000"/>
        </w:rPr>
        <w:t>“</w:t>
      </w:r>
      <w:bookmarkEnd w:id="2"/>
      <w:r w:rsidRPr="00D22F9B">
        <w:rPr>
          <w:rFonts w:ascii="Verdana" w:eastAsia="Arial" w:hAnsi="Verdana" w:cs="Arial"/>
          <w:i/>
          <w:color w:val="000000"/>
        </w:rPr>
        <w:t xml:space="preserve">en un contrato interadministrativo de </w:t>
      </w:r>
      <w:proofErr w:type="spellStart"/>
      <w:r w:rsidRPr="00D22F9B">
        <w:rPr>
          <w:rFonts w:ascii="Verdana" w:eastAsia="Arial" w:hAnsi="Verdana" w:cs="Arial"/>
          <w:i/>
          <w:color w:val="000000"/>
        </w:rPr>
        <w:t>administracion</w:t>
      </w:r>
      <w:proofErr w:type="spellEnd"/>
      <w:r w:rsidRPr="00D22F9B">
        <w:rPr>
          <w:rFonts w:ascii="Verdana" w:eastAsia="Arial" w:hAnsi="Verdana" w:cs="Arial"/>
          <w:i/>
          <w:color w:val="000000"/>
        </w:rPr>
        <w:t xml:space="preserve"> delegada para </w:t>
      </w:r>
      <w:proofErr w:type="spellStart"/>
      <w:r w:rsidRPr="00D22F9B">
        <w:rPr>
          <w:rFonts w:ascii="Verdana" w:eastAsia="Arial" w:hAnsi="Verdana" w:cs="Arial"/>
          <w:i/>
          <w:color w:val="000000"/>
        </w:rPr>
        <w:t>ejecucion</w:t>
      </w:r>
      <w:proofErr w:type="spellEnd"/>
      <w:r w:rsidRPr="00D22F9B">
        <w:rPr>
          <w:rFonts w:ascii="Verdana" w:eastAsia="Arial" w:hAnsi="Verdana" w:cs="Arial"/>
          <w:i/>
          <w:color w:val="000000"/>
        </w:rPr>
        <w:t xml:space="preserve"> de obras </w:t>
      </w:r>
      <w:proofErr w:type="spellStart"/>
      <w:r w:rsidRPr="00D22F9B">
        <w:rPr>
          <w:rFonts w:ascii="Verdana" w:eastAsia="Arial" w:hAnsi="Verdana" w:cs="Arial"/>
          <w:i/>
          <w:color w:val="000000"/>
        </w:rPr>
        <w:t>publicas</w:t>
      </w:r>
      <w:proofErr w:type="spellEnd"/>
      <w:r w:rsidRPr="00D22F9B">
        <w:rPr>
          <w:rFonts w:ascii="Verdana" w:eastAsia="Arial" w:hAnsi="Verdana" w:cs="Arial"/>
          <w:i/>
          <w:color w:val="000000"/>
        </w:rPr>
        <w:t xml:space="preserve">, el </w:t>
      </w:r>
      <w:proofErr w:type="spellStart"/>
      <w:r w:rsidRPr="00D22F9B">
        <w:rPr>
          <w:rFonts w:ascii="Verdana" w:eastAsia="Arial" w:hAnsi="Verdana" w:cs="Arial"/>
          <w:i/>
          <w:color w:val="000000"/>
        </w:rPr>
        <w:t>regimen</w:t>
      </w:r>
      <w:proofErr w:type="spellEnd"/>
      <w:r w:rsidRPr="00D22F9B">
        <w:rPr>
          <w:rFonts w:ascii="Verdana" w:eastAsia="Arial" w:hAnsi="Verdana" w:cs="Arial"/>
          <w:i/>
          <w:color w:val="000000"/>
        </w:rPr>
        <w:t xml:space="preserve"> de </w:t>
      </w:r>
      <w:proofErr w:type="spellStart"/>
      <w:r w:rsidRPr="00D22F9B">
        <w:rPr>
          <w:rFonts w:ascii="Verdana" w:eastAsia="Arial" w:hAnsi="Verdana" w:cs="Arial"/>
          <w:i/>
          <w:color w:val="000000"/>
        </w:rPr>
        <w:t>contratacion</w:t>
      </w:r>
      <w:proofErr w:type="spellEnd"/>
      <w:r w:rsidRPr="00D22F9B">
        <w:rPr>
          <w:rFonts w:ascii="Verdana" w:eastAsia="Arial" w:hAnsi="Verdana" w:cs="Arial"/>
          <w:i/>
          <w:color w:val="000000"/>
        </w:rPr>
        <w:t xml:space="preserve"> a aplicar es la del titular del recurso o es la de la que fue delegada, si es la del titular </w:t>
      </w:r>
      <w:proofErr w:type="spellStart"/>
      <w:r w:rsidRPr="00D22F9B">
        <w:rPr>
          <w:rFonts w:ascii="Verdana" w:eastAsia="Arial" w:hAnsi="Verdana" w:cs="Arial"/>
          <w:i/>
          <w:color w:val="000000"/>
        </w:rPr>
        <w:t>deberian</w:t>
      </w:r>
      <w:proofErr w:type="spellEnd"/>
      <w:r w:rsidRPr="00D22F9B">
        <w:rPr>
          <w:rFonts w:ascii="Verdana" w:eastAsia="Arial" w:hAnsi="Verdana" w:cs="Arial"/>
          <w:i/>
          <w:color w:val="000000"/>
        </w:rPr>
        <w:t xml:space="preserve"> aplicarse pliegos tipo y publicar en </w:t>
      </w:r>
      <w:proofErr w:type="spellStart"/>
      <w:r w:rsidRPr="00D22F9B">
        <w:rPr>
          <w:rFonts w:ascii="Verdana" w:eastAsia="Arial" w:hAnsi="Verdana" w:cs="Arial"/>
          <w:i/>
          <w:color w:val="000000"/>
        </w:rPr>
        <w:t>secop</w:t>
      </w:r>
      <w:proofErr w:type="spellEnd"/>
      <w:r w:rsidRPr="00D22F9B">
        <w:rPr>
          <w:rFonts w:ascii="Verdana" w:eastAsia="Arial" w:hAnsi="Verdana" w:cs="Arial"/>
          <w:i/>
          <w:color w:val="000000"/>
        </w:rPr>
        <w:t xml:space="preserve"> II?</w:t>
      </w:r>
      <w:r w:rsidRPr="00D22F9B">
        <w:rPr>
          <w:rFonts w:ascii="Verdana" w:eastAsia="Calibri" w:hAnsi="Verdana" w:cs="Times New Roman"/>
        </w:rPr>
        <w:t>”</w:t>
      </w:r>
    </w:p>
    <w:p w14:paraId="6E31CB86" w14:textId="77777777" w:rsidR="002469E9" w:rsidRPr="00D22F9B" w:rsidRDefault="002469E9" w:rsidP="007525FA">
      <w:pPr>
        <w:spacing w:after="0" w:line="276" w:lineRule="auto"/>
        <w:ind w:right="709"/>
        <w:jc w:val="both"/>
        <w:rPr>
          <w:rFonts w:ascii="Verdana" w:eastAsia="Aptos" w:hAnsi="Verdana" w:cs="Times New Roman"/>
          <w:kern w:val="2"/>
          <w14:ligatures w14:val="standardContextual"/>
        </w:rPr>
      </w:pPr>
    </w:p>
    <w:p w14:paraId="0759C5A6" w14:textId="77777777" w:rsidR="002469E9" w:rsidRPr="00D22F9B" w:rsidRDefault="002469E9" w:rsidP="007525FA">
      <w:pPr>
        <w:spacing w:after="120" w:line="276" w:lineRule="auto"/>
        <w:ind w:firstLine="709"/>
        <w:jc w:val="both"/>
        <w:rPr>
          <w:rFonts w:ascii="Verdana" w:eastAsia="Calibri" w:hAnsi="Verdana" w:cs="Arial"/>
          <w:color w:val="000000"/>
          <w:lang w:eastAsia="es-ES"/>
        </w:rPr>
      </w:pPr>
      <w:r w:rsidRPr="00D22F9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D22F9B">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22F9B">
        <w:rPr>
          <w:rFonts w:ascii="Verdana" w:eastAsia="Calibri" w:hAnsi="Verdana" w:cs="Arial"/>
          <w:color w:val="000000"/>
          <w:lang w:eastAsia="es-ES_tradnl"/>
        </w:rPr>
        <w:tab/>
      </w:r>
    </w:p>
    <w:p w14:paraId="1A002F6C" w14:textId="77777777" w:rsidR="002469E9" w:rsidRPr="00D22F9B" w:rsidRDefault="002469E9" w:rsidP="007525FA">
      <w:pPr>
        <w:spacing w:after="0" w:line="276" w:lineRule="auto"/>
        <w:ind w:firstLine="709"/>
        <w:jc w:val="both"/>
        <w:rPr>
          <w:rFonts w:ascii="Verdana" w:eastAsia="Calibri" w:hAnsi="Verdana" w:cs="Arial"/>
          <w:color w:val="000000"/>
          <w:lang w:eastAsia="es-ES"/>
        </w:rPr>
      </w:pPr>
      <w:r w:rsidRPr="00D22F9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problemas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jurídicos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 xml:space="preserve">de su consulta. </w:t>
      </w:r>
    </w:p>
    <w:p w14:paraId="14280BF8" w14:textId="77777777" w:rsidR="002469E9" w:rsidRPr="00D22F9B" w:rsidRDefault="002469E9" w:rsidP="007525FA">
      <w:pPr>
        <w:spacing w:after="0" w:line="276" w:lineRule="auto"/>
        <w:ind w:firstLine="709"/>
        <w:jc w:val="both"/>
        <w:rPr>
          <w:rFonts w:ascii="Verdana" w:eastAsia="Calibri" w:hAnsi="Verdana" w:cs="Arial"/>
          <w:color w:val="000000"/>
          <w:lang w:eastAsia="es-ES"/>
        </w:rPr>
      </w:pPr>
    </w:p>
    <w:p w14:paraId="5F5FD261" w14:textId="77777777" w:rsidR="002469E9" w:rsidRPr="00D22F9B" w:rsidRDefault="002469E9" w:rsidP="007525FA">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D22F9B">
        <w:rPr>
          <w:rFonts w:ascii="Verdana" w:eastAsia="Century Gothic" w:hAnsi="Verdana" w:cs="Century Gothic"/>
          <w:b/>
          <w:bCs/>
        </w:rPr>
        <w:t>Problema planteado:</w:t>
      </w:r>
    </w:p>
    <w:p w14:paraId="7A16B04C" w14:textId="77777777" w:rsidR="002469E9" w:rsidRPr="00D22F9B" w:rsidRDefault="002469E9" w:rsidP="007525FA">
      <w:pPr>
        <w:tabs>
          <w:tab w:val="left" w:pos="426"/>
        </w:tabs>
        <w:spacing w:after="0" w:line="276" w:lineRule="auto"/>
        <w:jc w:val="both"/>
        <w:rPr>
          <w:rFonts w:ascii="Verdana" w:eastAsia="Century Gothic" w:hAnsi="Verdana" w:cs="Century Gothic"/>
        </w:rPr>
      </w:pPr>
    </w:p>
    <w:p w14:paraId="53764460" w14:textId="3AE1E262" w:rsidR="002469E9" w:rsidRPr="00D22F9B" w:rsidRDefault="002469E9" w:rsidP="007525FA">
      <w:pPr>
        <w:spacing w:after="0" w:line="276" w:lineRule="auto"/>
        <w:jc w:val="both"/>
        <w:rPr>
          <w:rFonts w:ascii="Verdana" w:eastAsia="Calibri" w:hAnsi="Verdana" w:cs="Arial"/>
          <w:lang w:eastAsia="es-ES"/>
        </w:rPr>
      </w:pPr>
      <w:r w:rsidRPr="00D22F9B">
        <w:rPr>
          <w:rFonts w:ascii="Verdana" w:eastAsia="Century Gothic" w:hAnsi="Verdana" w:cs="Century Gothic"/>
        </w:rPr>
        <w:t xml:space="preserve">De acuerdo con el contenido de su solicitud, esta Agencia resolverá los siguientes problemas jurídicos: i. </w:t>
      </w:r>
      <w:r w:rsidR="006E40CE" w:rsidRPr="00D22F9B">
        <w:rPr>
          <w:rFonts w:ascii="Verdana" w:eastAsia="Century Gothic" w:hAnsi="Verdana" w:cs="Century Gothic"/>
        </w:rPr>
        <w:t>¿Qu</w:t>
      </w:r>
      <w:r w:rsidR="006E40CE">
        <w:rPr>
          <w:rFonts w:ascii="Verdana" w:eastAsia="Century Gothic" w:hAnsi="Verdana" w:cs="Century Gothic"/>
        </w:rPr>
        <w:t>é</w:t>
      </w:r>
      <w:r w:rsidR="006E40CE" w:rsidRPr="00D22F9B">
        <w:rPr>
          <w:rFonts w:ascii="Verdana" w:eastAsia="Century Gothic" w:hAnsi="Verdana" w:cs="Century Gothic"/>
        </w:rPr>
        <w:t xml:space="preserve"> entidades están obligadas a publicar en el SECOP?</w:t>
      </w:r>
      <w:r w:rsidRPr="00D22F9B">
        <w:rPr>
          <w:rFonts w:ascii="Verdana" w:eastAsia="Century Gothic" w:hAnsi="Verdana" w:cs="Century Gothic"/>
          <w:lang w:val="es-ES"/>
        </w:rPr>
        <w:t xml:space="preserve"> </w:t>
      </w:r>
      <w:proofErr w:type="spellStart"/>
      <w:r w:rsidRPr="00D22F9B">
        <w:rPr>
          <w:rFonts w:ascii="Verdana" w:eastAsia="Aptos" w:hAnsi="Verdana" w:cs="Times New Roman"/>
        </w:rPr>
        <w:t>ii</w:t>
      </w:r>
      <w:proofErr w:type="spellEnd"/>
      <w:r w:rsidRPr="00D22F9B">
        <w:rPr>
          <w:rFonts w:ascii="Verdana" w:eastAsia="Aptos" w:hAnsi="Verdana" w:cs="Times New Roman"/>
        </w:rPr>
        <w:t>. ¿</w:t>
      </w:r>
      <w:r w:rsidRPr="00D22F9B">
        <w:rPr>
          <w:rFonts w:ascii="Verdana" w:eastAsia="Calibri" w:hAnsi="Verdana" w:cs="Arial"/>
          <w:lang w:eastAsia="es-ES"/>
        </w:rPr>
        <w:t xml:space="preserve">cómo operan los </w:t>
      </w:r>
      <w:r w:rsidRPr="00D22F9B">
        <w:rPr>
          <w:rFonts w:ascii="Verdana" w:hAnsi="Verdana" w:cs="Arial"/>
          <w:color w:val="000000" w:themeColor="text1"/>
          <w:lang w:val="es-ES"/>
        </w:rPr>
        <w:t>contratos en los que se pacte la administración delegada de los recursos</w:t>
      </w:r>
      <w:r w:rsidRPr="00D22F9B">
        <w:rPr>
          <w:rFonts w:ascii="Verdana" w:eastAsia="Calibri" w:hAnsi="Verdana" w:cs="Arial"/>
          <w:lang w:eastAsia="es-ES"/>
        </w:rPr>
        <w:t>?</w:t>
      </w:r>
    </w:p>
    <w:p w14:paraId="7B29FEF2" w14:textId="77777777" w:rsidR="002469E9" w:rsidRPr="00D22F9B" w:rsidRDefault="002469E9" w:rsidP="007525FA">
      <w:pPr>
        <w:snapToGrid w:val="0"/>
        <w:spacing w:after="0" w:line="276" w:lineRule="auto"/>
        <w:jc w:val="both"/>
        <w:rPr>
          <w:rFonts w:ascii="Verdana" w:eastAsia="Calibri" w:hAnsi="Verdana" w:cs="Arial"/>
          <w:color w:val="7030A0"/>
        </w:rPr>
      </w:pPr>
    </w:p>
    <w:p w14:paraId="15269595" w14:textId="77777777" w:rsidR="002469E9" w:rsidRPr="00D22F9B" w:rsidRDefault="002469E9" w:rsidP="007525FA">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D22F9B">
        <w:rPr>
          <w:rFonts w:ascii="Verdana" w:eastAsia="Century Gothic" w:hAnsi="Verdana" w:cs="Century Gothic"/>
          <w:b/>
          <w:bCs/>
        </w:rPr>
        <w:t>Respuestas:</w:t>
      </w:r>
    </w:p>
    <w:p w14:paraId="04453ECA" w14:textId="77777777" w:rsidR="002469E9" w:rsidRPr="00D22F9B" w:rsidRDefault="002469E9" w:rsidP="007525F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69E9" w:rsidRPr="00D22F9B" w14:paraId="2A7FC88C" w14:textId="77777777" w:rsidTr="00DF12E3">
        <w:trPr>
          <w:jc w:val="center"/>
        </w:trPr>
        <w:tc>
          <w:tcPr>
            <w:tcW w:w="8828" w:type="dxa"/>
          </w:tcPr>
          <w:p w14:paraId="6F866DB3" w14:textId="3C89B3B2" w:rsidR="002469E9" w:rsidRPr="00432BAE" w:rsidRDefault="004050F3" w:rsidP="007525FA">
            <w:pPr>
              <w:spacing w:before="120" w:after="120" w:line="276" w:lineRule="auto"/>
              <w:jc w:val="both"/>
              <w:rPr>
                <w:rFonts w:ascii="Verdana" w:hAnsi="Verdana" w:cs="Arial"/>
              </w:rPr>
            </w:pPr>
            <w:bookmarkStart w:id="3" w:name="_Hlk171694685"/>
            <w:r w:rsidRPr="00D22F9B">
              <w:rPr>
                <w:rFonts w:ascii="Verdana" w:hAnsi="Verdana" w:cs="Arial"/>
              </w:rPr>
              <w:t xml:space="preserve">i. </w:t>
            </w:r>
            <w:r w:rsidR="002469E9" w:rsidRPr="00432BAE">
              <w:rPr>
                <w:rFonts w:ascii="Verdana" w:hAnsi="Verdana" w:cs="Arial"/>
              </w:rPr>
              <w:t>El principio de publicidad impone a las autoridades administrativas el deber de dar a conocer sus actos, contratos y decisiones, para que se divulguen y eventualmente se controlen las actuaciones.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002469E9" w:rsidRPr="00D22F9B">
              <w:rPr>
                <w:rStyle w:val="Refdenotaalpie"/>
                <w:rFonts w:ascii="Verdana" w:hAnsi="Verdana" w:cs="Arial"/>
                <w:lang w:val="es-ES"/>
              </w:rPr>
              <w:footnoteReference w:id="1"/>
            </w:r>
          </w:p>
          <w:p w14:paraId="132B4D36" w14:textId="77777777" w:rsidR="002469E9" w:rsidRPr="00D22F9B" w:rsidRDefault="002469E9" w:rsidP="007525FA">
            <w:pPr>
              <w:spacing w:before="240" w:line="276" w:lineRule="auto"/>
              <w:jc w:val="both"/>
              <w:rPr>
                <w:rFonts w:ascii="Verdana" w:eastAsia="Calibri" w:hAnsi="Verdana" w:cs="Arial"/>
              </w:rPr>
            </w:pPr>
            <w:r w:rsidRPr="00D22F9B">
              <w:rPr>
                <w:rFonts w:ascii="Verdana" w:eastAsia="Calibri" w:hAnsi="Verdana" w:cs="Arial"/>
              </w:rPr>
              <w:lastRenderedPageBreak/>
              <w:t xml:space="preserve">La Ley 1712 de 2014, por medio de la cual se crea la Ley de Transparencia y del Derecho de Acceso a la Información Pública Nacional y se dictan otras disposiciones, identifica como principios que orientan el derecho de acceso a la información pública, el de máxima publicidad, transparencia en la información y buena fe. </w:t>
            </w:r>
          </w:p>
          <w:p w14:paraId="7F3DDAB8" w14:textId="1D547DEF" w:rsidR="002469E9" w:rsidRPr="00D22F9B" w:rsidRDefault="002469E9" w:rsidP="007525FA">
            <w:pPr>
              <w:spacing w:before="240" w:line="276" w:lineRule="auto"/>
              <w:jc w:val="both"/>
              <w:rPr>
                <w:rFonts w:ascii="Verdana" w:eastAsia="Calibri" w:hAnsi="Verdana" w:cs="Arial"/>
              </w:rPr>
            </w:pPr>
            <w:r w:rsidRPr="00D22F9B">
              <w:rPr>
                <w:rFonts w:ascii="Verdana" w:eastAsia="Calibri" w:hAnsi="Verdana" w:cs="Arial"/>
              </w:rPr>
              <w:t xml:space="preserve">El principio de máxima publicidad establece que </w:t>
            </w:r>
            <w:r w:rsidR="00F511D6" w:rsidRPr="00D22F9B">
              <w:rPr>
                <w:rFonts w:ascii="Verdana" w:eastAsia="Calibri" w:hAnsi="Verdana" w:cs="Arial"/>
              </w:rPr>
              <w:t>“</w:t>
            </w:r>
            <w:r w:rsidRPr="00D22F9B">
              <w:rPr>
                <w:rFonts w:ascii="Verdana" w:eastAsia="Calibri" w:hAnsi="Verdana" w:cs="Arial"/>
              </w:rPr>
              <w:t>toda información en posesión, bajo control o custodia de un sujeto obligado es pública y no podrá ser reservada o limitada sino por disposición constitucional o legal</w:t>
            </w:r>
            <w:r w:rsidR="00F511D6" w:rsidRPr="00D22F9B">
              <w:rPr>
                <w:rFonts w:ascii="Verdana" w:eastAsia="Calibri" w:hAnsi="Verdana" w:cs="Arial"/>
              </w:rPr>
              <w:t>”</w:t>
            </w:r>
            <w:r w:rsidRPr="00D22F9B">
              <w:rPr>
                <w:rFonts w:ascii="Verdana" w:eastAsia="Calibri" w:hAnsi="Verdana" w:cs="Arial"/>
              </w:rPr>
              <w:t>. El principio de transparencia en la información alude al deber de los sujetos de proporcionar y facilitar el acceso a la misma en los términos más amplios posibles, y a través de los medios y procedimientos que establezca la ley.</w:t>
            </w:r>
          </w:p>
          <w:p w14:paraId="02FCB757" w14:textId="77777777" w:rsidR="002469E9" w:rsidRPr="00D22F9B" w:rsidRDefault="002469E9" w:rsidP="007525FA">
            <w:pPr>
              <w:spacing w:before="240" w:line="276" w:lineRule="auto"/>
              <w:jc w:val="both"/>
              <w:rPr>
                <w:rFonts w:ascii="Verdana" w:eastAsia="Calibri" w:hAnsi="Verdana" w:cs="Arial"/>
              </w:rPr>
            </w:pPr>
            <w:r w:rsidRPr="00D22F9B">
              <w:rPr>
                <w:rFonts w:ascii="Verdana" w:eastAsia="Calibri" w:hAnsi="Verdana" w:cs="Arial"/>
              </w:rPr>
              <w:t>Así mismo, la ley citada establece, en el literal e) del artículo 9, que los sujetos obligados, deben publicar la información relativa a su contratación. Esta obligación fue desarrollada por el Decreto Único Reglamentario 1081 de 2015, el cual dispuso que la publicación de la información contractual de los sujetos obligados, que contratan con cargo a recursos públicos, debe hacerse en el Sistema Electrónico para la Contratación Pública - SECOP.</w:t>
            </w:r>
          </w:p>
          <w:p w14:paraId="341226B3" w14:textId="77777777" w:rsidR="002469E9" w:rsidRPr="00D22F9B" w:rsidRDefault="002469E9" w:rsidP="007525FA">
            <w:pPr>
              <w:spacing w:before="240" w:line="276" w:lineRule="auto"/>
              <w:jc w:val="both"/>
              <w:rPr>
                <w:rFonts w:ascii="Verdana" w:eastAsia="Calibri" w:hAnsi="Verdana" w:cs="Arial"/>
              </w:rPr>
            </w:pPr>
            <w:r w:rsidRPr="00D22F9B">
              <w:rPr>
                <w:rFonts w:ascii="Verdana" w:eastAsia="Calibri" w:hAnsi="Verdana" w:cs="Arial"/>
              </w:rPr>
              <w:t xml:space="preserve">De igual forma, de acuerdo con el literal g) del artículo 11 de la Ley 1712 de 2014,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7636D4F" w14:textId="77777777" w:rsidR="002469E9" w:rsidRPr="00D22F9B" w:rsidRDefault="002469E9" w:rsidP="007525FA">
            <w:pPr>
              <w:pStyle w:val="NormalWeb"/>
              <w:spacing w:line="276" w:lineRule="auto"/>
              <w:jc w:val="both"/>
              <w:rPr>
                <w:rFonts w:ascii="Verdana" w:hAnsi="Verdana"/>
                <w:sz w:val="22"/>
                <w:szCs w:val="22"/>
              </w:rPr>
            </w:pPr>
            <w:r w:rsidRPr="00D22F9B">
              <w:rPr>
                <w:rStyle w:val="citation-65"/>
                <w:rFonts w:ascii="Verdana" w:hAnsi="Verdana"/>
                <w:sz w:val="22"/>
                <w:szCs w:val="22"/>
              </w:rPr>
              <w:t>Así mismo, de conformidad con lo dispuesto en el artículo 2.2.1.1.1.7.1 del Decreto 1082 de 2015, las Entidades Estatales tienen la obligación legal de publicar en el SECOP los Documentos del Proceso y los actos administrativos derivados de la gestión contractual, dentro de un término máximo de tres (3) días calendario siguientes a su expedición</w:t>
            </w:r>
            <w:r w:rsidRPr="00D22F9B">
              <w:rPr>
                <w:rFonts w:ascii="Verdana" w:hAnsi="Verdana"/>
                <w:sz w:val="22"/>
                <w:szCs w:val="22"/>
              </w:rPr>
              <w:t xml:space="preserve">. </w:t>
            </w:r>
            <w:r w:rsidRPr="00D22F9B">
              <w:rPr>
                <w:rStyle w:val="citation-64"/>
                <w:rFonts w:ascii="Verdana" w:hAnsi="Verdana"/>
                <w:sz w:val="22"/>
                <w:szCs w:val="22"/>
              </w:rPr>
              <w:t xml:space="preserve">Este plazo perentorio tiene como finalidad materializar el Principio de Publicidad y Transparencia, asegurando que la información oficial de la contratación realizada con recursos públicos </w:t>
            </w:r>
            <w:r w:rsidRPr="00D22F9B">
              <w:rPr>
                <w:rStyle w:val="citation-64"/>
                <w:rFonts w:ascii="Verdana" w:hAnsi="Verdana"/>
                <w:sz w:val="22"/>
                <w:szCs w:val="22"/>
              </w:rPr>
              <w:lastRenderedPageBreak/>
              <w:t>esté disponible para el conocimiento de la ciudadanía y el control de las autoridades competentes de manera oportuna</w:t>
            </w:r>
            <w:r w:rsidRPr="00D22F9B">
              <w:rPr>
                <w:rFonts w:ascii="Verdana" w:hAnsi="Verdana"/>
                <w:sz w:val="22"/>
                <w:szCs w:val="22"/>
              </w:rPr>
              <w:t>.</w:t>
            </w:r>
          </w:p>
          <w:p w14:paraId="7C6536BA" w14:textId="575C9CD6" w:rsidR="002469E9" w:rsidRPr="00D22F9B" w:rsidRDefault="004050F3" w:rsidP="007525FA">
            <w:pPr>
              <w:spacing w:after="120" w:line="276" w:lineRule="auto"/>
              <w:jc w:val="both"/>
              <w:rPr>
                <w:rFonts w:ascii="Verdana" w:eastAsia="Century Gothic" w:hAnsi="Verdana" w:cs="Century Gothic"/>
              </w:rPr>
            </w:pPr>
            <w:proofErr w:type="spellStart"/>
            <w:r w:rsidRPr="00D22F9B">
              <w:rPr>
                <w:rFonts w:ascii="Verdana" w:eastAsia="Century Gothic" w:hAnsi="Verdana" w:cs="Century Gothic"/>
              </w:rPr>
              <w:t>ii</w:t>
            </w:r>
            <w:proofErr w:type="spellEnd"/>
            <w:r w:rsidRPr="00D22F9B">
              <w:rPr>
                <w:rFonts w:ascii="Verdana" w:eastAsia="Century Gothic" w:hAnsi="Verdana" w:cs="Century Gothic"/>
              </w:rPr>
              <w:t xml:space="preserve">. </w:t>
            </w:r>
            <w:r w:rsidR="002469E9" w:rsidRPr="00D22F9B">
              <w:rPr>
                <w:rFonts w:ascii="Verdana" w:eastAsia="Century Gothic" w:hAnsi="Verdana" w:cs="Century Gothic"/>
              </w:rPr>
              <w:t>En atención al segundo problema jurídico resulta pertinente hacer referencia a la figura del contrato de administración delegada.</w:t>
            </w:r>
          </w:p>
          <w:p w14:paraId="51F18544" w14:textId="446C76D9" w:rsidR="002469E9" w:rsidRPr="00D22F9B" w:rsidRDefault="00B1292D" w:rsidP="007525FA">
            <w:pPr>
              <w:spacing w:after="120" w:line="276" w:lineRule="auto"/>
              <w:jc w:val="both"/>
              <w:rPr>
                <w:rFonts w:ascii="Verdana" w:eastAsia="Calibri" w:hAnsi="Verdana" w:cs="Arial"/>
                <w:color w:val="000000" w:themeColor="text1"/>
                <w:lang w:val="es-ES"/>
              </w:rPr>
            </w:pPr>
            <w:r w:rsidRPr="00D22F9B">
              <w:rPr>
                <w:rFonts w:ascii="Verdana" w:eastAsia="Calibri" w:hAnsi="Verdana" w:cs="Arial"/>
                <w:color w:val="000000" w:themeColor="text1"/>
                <w:lang w:val="es-ES_tradnl"/>
              </w:rPr>
              <w:t>L</w:t>
            </w:r>
            <w:r w:rsidR="002469E9" w:rsidRPr="00D22F9B">
              <w:rPr>
                <w:rFonts w:ascii="Verdana" w:eastAsia="Calibri" w:hAnsi="Verdana" w:cs="Arial"/>
                <w:color w:val="000000" w:themeColor="text1"/>
                <w:lang w:val="es-ES"/>
              </w:rPr>
              <w:t xml:space="preserve">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002469E9" w:rsidRPr="00D22F9B">
              <w:rPr>
                <w:rFonts w:ascii="Verdana" w:eastAsia="Calibri" w:hAnsi="Verdana" w:cs="Arial"/>
                <w:color w:val="000000" w:themeColor="text1"/>
                <w:lang w:val="es-ES"/>
              </w:rPr>
              <w:t>ii</w:t>
            </w:r>
            <w:proofErr w:type="spellEnd"/>
            <w:r w:rsidR="002469E9" w:rsidRPr="00D22F9B">
              <w:rPr>
                <w:rFonts w:ascii="Verdana" w:eastAsia="Calibri" w:hAnsi="Verdana" w:cs="Arial"/>
                <w:color w:val="000000" w:themeColor="text1"/>
                <w:lang w:val="es-ES"/>
              </w:rPr>
              <w:t xml:space="preserve">) como una modalidad de administración y pago, no necesariamente asociada al mandato. </w:t>
            </w:r>
          </w:p>
          <w:p w14:paraId="399259BF" w14:textId="77777777" w:rsidR="002469E9" w:rsidRPr="00D22F9B" w:rsidRDefault="002469E9" w:rsidP="007525FA">
            <w:pPr>
              <w:spacing w:after="120" w:line="276" w:lineRule="auto"/>
              <w:jc w:val="both"/>
              <w:rPr>
                <w:rFonts w:ascii="Verdana" w:hAnsi="Verdana" w:cs="Arial"/>
                <w:color w:val="000000" w:themeColor="text1"/>
                <w:lang w:val="es-ES"/>
              </w:rPr>
            </w:pPr>
            <w:r w:rsidRPr="00D22F9B">
              <w:rPr>
                <w:rFonts w:ascii="Verdana" w:hAnsi="Verdana" w:cs="Arial"/>
                <w:color w:val="000000" w:themeColor="text1"/>
                <w:lang w:val="es-ES"/>
              </w:rPr>
              <w:t>En este sentido y conforme al principio de autonomía de la voluntad del artículo 1602 del Código Civil, las entidades podrán incluir la administración delegada, bien como forma de mandato o como modalidad de administración de los recursos destinados a la obra. En efecto,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3E89B846" w14:textId="77777777" w:rsidR="002469E9" w:rsidRPr="00D22F9B" w:rsidRDefault="002469E9" w:rsidP="007525FA">
            <w:pPr>
              <w:spacing w:after="120" w:line="276" w:lineRule="auto"/>
              <w:jc w:val="both"/>
              <w:rPr>
                <w:rFonts w:ascii="Verdana" w:eastAsia="Calibri" w:hAnsi="Verdana" w:cs="Arial"/>
                <w:color w:val="000000" w:themeColor="text1"/>
                <w:lang w:val="es-ES_tradnl"/>
              </w:rPr>
            </w:pPr>
            <w:r w:rsidRPr="00D22F9B">
              <w:rPr>
                <w:rFonts w:ascii="Verdana" w:eastAsia="Calibri" w:hAnsi="Verdana" w:cs="Arial"/>
                <w:color w:val="000000" w:themeColor="text1"/>
                <w:lang w:val="es-ES_tradnl"/>
              </w:rPr>
              <w:t xml:space="preserve">Respecto de la administración delegada como un mandato, es preciso señalar que la jurisprudencia del Consejo de Estado ha señalado que </w:t>
            </w:r>
            <w:r w:rsidRPr="00D22F9B">
              <w:rPr>
                <w:rFonts w:ascii="Verdana" w:eastAsia="Times New Roman" w:hAnsi="Verdana" w:cs="Arial"/>
                <w:bCs/>
                <w:lang w:val="es-ES" w:eastAsia="es-ES"/>
              </w:rPr>
              <w:t xml:space="preserve">si bien las normas del mandato se integren al contenido del contrato de obra por administración delegada no quiere decir que el contratista obre en nombre y representación del contratante frente a terceros. Además, se reitera que la representación no es un elemento de la esencia de este negocio jurídico, como se deduce del artículo 2.177 del Código Civil, que prescribe que el </w:t>
            </w:r>
            <w:r w:rsidRPr="00D22F9B">
              <w:rPr>
                <w:rFonts w:ascii="Verdana" w:eastAsia="Calibri" w:hAnsi="Verdana" w:cs="Arial"/>
                <w:lang w:val="es-ES_tradnl" w:eastAsia="es-ES"/>
              </w:rPr>
              <w:t>“</w:t>
            </w:r>
            <w:r w:rsidRPr="00D22F9B">
              <w:rPr>
                <w:rFonts w:ascii="Verdana" w:eastAsia="Times New Roman" w:hAnsi="Verdana" w:cs="Arial"/>
                <w:bCs/>
                <w:lang w:val="es-ES" w:eastAsia="es-ES"/>
              </w:rPr>
              <w:t xml:space="preserve">mandatario puede, en el ejercicio de su cargo, contratar a su propio nombre, caso en el cual no obliga respecto de terceros al mandante”. </w:t>
            </w:r>
          </w:p>
          <w:p w14:paraId="446F1EA2" w14:textId="77777777" w:rsidR="002469E9" w:rsidRPr="00D22F9B" w:rsidRDefault="002469E9" w:rsidP="007525FA">
            <w:pPr>
              <w:spacing w:after="120" w:line="276" w:lineRule="auto"/>
              <w:jc w:val="both"/>
              <w:rPr>
                <w:rFonts w:ascii="Verdana" w:eastAsia="Arial" w:hAnsi="Verdana" w:cs="Arial"/>
                <w:lang w:val="es-ES"/>
              </w:rPr>
            </w:pPr>
            <w:r w:rsidRPr="00D22F9B">
              <w:rPr>
                <w:rFonts w:ascii="Verdana" w:eastAsia="Arial" w:hAnsi="Verdana" w:cs="Arial"/>
                <w:lang w:val="es-ES"/>
              </w:rPr>
              <w:t xml:space="preserve">Por otro lado, la administración delegada puede ser empleada somo un sistema de pago consistente en la modalidad en virtud de la cual el contratista recibe unos recursos destinados a cubrir los costos de un determinado proyecto –siendo lo más común que se aplique en la ejecución de obras </w:t>
            </w:r>
            <w:r w:rsidRPr="00D22F9B">
              <w:rPr>
                <w:rFonts w:ascii="Verdana" w:eastAsia="Arial" w:hAnsi="Verdana" w:cs="Arial"/>
                <w:lang w:val="es-ES"/>
              </w:rPr>
              <w:lastRenderedPageBreak/>
              <w:t>públicas– (recursos de inversión o entregados en administración), por cuya labor obtendrá, a título de pago, unos honorarios por la administración.</w:t>
            </w:r>
          </w:p>
          <w:p w14:paraId="2371C753" w14:textId="77777777" w:rsidR="002469E9" w:rsidRPr="00D22F9B" w:rsidRDefault="002469E9" w:rsidP="007525FA">
            <w:pPr>
              <w:spacing w:after="120" w:line="276" w:lineRule="auto"/>
              <w:jc w:val="both"/>
              <w:rPr>
                <w:rFonts w:ascii="Verdana" w:eastAsia="Century Gothic" w:hAnsi="Verdana" w:cs="Century Gothic"/>
              </w:rPr>
            </w:pPr>
            <w:r w:rsidRPr="00D22F9B">
              <w:rPr>
                <w:rFonts w:ascii="Verdana" w:hAnsi="Verdana" w:cs="Arial"/>
                <w:color w:val="000000" w:themeColor="text1"/>
                <w:lang w:val="es-ES"/>
              </w:rPr>
              <w:t>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actividades que sean necesarias para el cumplimiento del objeto del contrato</w:t>
            </w:r>
            <w:r w:rsidRPr="00D22F9B">
              <w:rPr>
                <w:rFonts w:ascii="Verdana" w:eastAsia="Century Gothic" w:hAnsi="Verdana" w:cs="Century Gothic"/>
              </w:rPr>
              <w:t>.</w:t>
            </w:r>
          </w:p>
          <w:p w14:paraId="5EF88302" w14:textId="77777777" w:rsidR="002469E9" w:rsidRPr="00D22F9B" w:rsidRDefault="002469E9" w:rsidP="007525FA">
            <w:pPr>
              <w:tabs>
                <w:tab w:val="left" w:pos="0"/>
              </w:tabs>
              <w:spacing w:after="120" w:line="276" w:lineRule="auto"/>
              <w:jc w:val="both"/>
              <w:rPr>
                <w:rFonts w:ascii="Verdana" w:hAnsi="Verdana" w:cs="Arial"/>
                <w:color w:val="000000" w:themeColor="text1"/>
              </w:rPr>
            </w:pPr>
            <w:r w:rsidRPr="00D22F9B">
              <w:rPr>
                <w:rFonts w:ascii="Verdana" w:hAnsi="Verdana" w:cs="Arial"/>
                <w:color w:val="000000" w:themeColor="text1"/>
                <w:lang w:val="es-ES"/>
              </w:rPr>
              <w:t xml:space="preserve">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ejecución de proyecto u obra. En el marco de este contrato, con fundamento en la autonomía de la voluntad, </w:t>
            </w:r>
            <w:r w:rsidRPr="00D22F9B">
              <w:rPr>
                <w:rFonts w:ascii="Verdana" w:hAnsi="Verdana" w:cs="Arial"/>
                <w:color w:val="000000" w:themeColor="text1"/>
              </w:rPr>
              <w:t>las partes pueden pactar todas las condiciones necesarias para la adecuada ejecución del proyecto, incluyendo cláusulas que regulen el pago a terceros.</w:t>
            </w:r>
          </w:p>
          <w:p w14:paraId="7EC6C4FB" w14:textId="77777777" w:rsidR="002469E9" w:rsidRPr="00D22F9B" w:rsidRDefault="002469E9" w:rsidP="007525FA">
            <w:pPr>
              <w:spacing w:line="276" w:lineRule="auto"/>
              <w:jc w:val="both"/>
              <w:rPr>
                <w:rFonts w:ascii="Verdana" w:eastAsia="Aptos" w:hAnsi="Verdana" w:cs="Times New Roman"/>
              </w:rPr>
            </w:pPr>
            <w:r w:rsidRPr="00D22F9B">
              <w:rPr>
                <w:rFonts w:ascii="Verdana" w:eastAsia="Calibri" w:hAnsi="Verdana" w:cs="Arial"/>
                <w:lang w:eastAsia="es-CO"/>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p>
        </w:tc>
      </w:tr>
    </w:tbl>
    <w:p w14:paraId="033D63FA" w14:textId="77777777" w:rsidR="002469E9" w:rsidRPr="00D22F9B" w:rsidRDefault="002469E9" w:rsidP="007525FA">
      <w:pPr>
        <w:tabs>
          <w:tab w:val="left" w:pos="142"/>
          <w:tab w:val="left" w:pos="284"/>
        </w:tabs>
        <w:spacing w:after="0" w:line="276" w:lineRule="auto"/>
        <w:jc w:val="both"/>
        <w:rPr>
          <w:rFonts w:ascii="Verdana" w:eastAsia="Century Gothic" w:hAnsi="Verdana" w:cs="Century Gothic"/>
          <w:b/>
          <w:bCs/>
        </w:rPr>
      </w:pPr>
    </w:p>
    <w:bookmarkEnd w:id="3"/>
    <w:p w14:paraId="65311B60" w14:textId="77777777" w:rsidR="002469E9" w:rsidRPr="00D22F9B" w:rsidRDefault="002469E9" w:rsidP="007525FA">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Razones de las respuestas:</w:t>
      </w:r>
    </w:p>
    <w:p w14:paraId="27F41C81" w14:textId="77777777" w:rsidR="002469E9" w:rsidRPr="00D22F9B" w:rsidRDefault="002469E9" w:rsidP="007525FA">
      <w:pPr>
        <w:tabs>
          <w:tab w:val="left" w:pos="142"/>
          <w:tab w:val="left" w:pos="284"/>
        </w:tabs>
        <w:spacing w:after="0" w:line="276" w:lineRule="auto"/>
        <w:ind w:left="360"/>
        <w:jc w:val="both"/>
        <w:rPr>
          <w:rFonts w:ascii="Verdana" w:eastAsia="Century Gothic" w:hAnsi="Verdana" w:cs="Century Gothic"/>
          <w:b/>
          <w:bCs/>
        </w:rPr>
      </w:pPr>
    </w:p>
    <w:p w14:paraId="5AF6372F" w14:textId="77777777" w:rsidR="002469E9" w:rsidRPr="00D22F9B" w:rsidRDefault="002469E9" w:rsidP="007525FA">
      <w:pPr>
        <w:pStyle w:val="Textoindependiente"/>
        <w:spacing w:line="276" w:lineRule="auto"/>
        <w:ind w:left="260"/>
        <w:jc w:val="both"/>
        <w:rPr>
          <w:spacing w:val="-2"/>
          <w:lang w:val="es-CO"/>
        </w:rPr>
      </w:pPr>
      <w:r w:rsidRPr="00D22F9B">
        <w:rPr>
          <w:lang w:val="es-CO"/>
        </w:rPr>
        <w:t>Lo</w:t>
      </w:r>
      <w:r w:rsidRPr="00D22F9B">
        <w:rPr>
          <w:spacing w:val="-4"/>
          <w:lang w:val="es-CO"/>
        </w:rPr>
        <w:t xml:space="preserve"> </w:t>
      </w:r>
      <w:r w:rsidRPr="00D22F9B">
        <w:rPr>
          <w:lang w:val="es-CO"/>
        </w:rPr>
        <w:t>anterior</w:t>
      </w:r>
      <w:r w:rsidRPr="00D22F9B">
        <w:rPr>
          <w:spacing w:val="-8"/>
          <w:lang w:val="es-CO"/>
        </w:rPr>
        <w:t xml:space="preserve"> </w:t>
      </w:r>
      <w:r w:rsidRPr="00D22F9B">
        <w:rPr>
          <w:lang w:val="es-CO"/>
        </w:rPr>
        <w:t>se</w:t>
      </w:r>
      <w:r w:rsidRPr="00D22F9B">
        <w:rPr>
          <w:spacing w:val="-5"/>
          <w:lang w:val="es-CO"/>
        </w:rPr>
        <w:t xml:space="preserve"> </w:t>
      </w:r>
      <w:r w:rsidRPr="00D22F9B">
        <w:rPr>
          <w:lang w:val="es-CO"/>
        </w:rPr>
        <w:t>sustenta</w:t>
      </w:r>
      <w:r w:rsidRPr="00D22F9B">
        <w:rPr>
          <w:spacing w:val="-8"/>
          <w:lang w:val="es-CO"/>
        </w:rPr>
        <w:t xml:space="preserve"> </w:t>
      </w:r>
      <w:r w:rsidRPr="00D22F9B">
        <w:rPr>
          <w:lang w:val="es-CO"/>
        </w:rPr>
        <w:t>en</w:t>
      </w:r>
      <w:r w:rsidRPr="00D22F9B">
        <w:rPr>
          <w:spacing w:val="-4"/>
          <w:lang w:val="es-CO"/>
        </w:rPr>
        <w:t xml:space="preserve"> </w:t>
      </w:r>
      <w:r w:rsidRPr="00D22F9B">
        <w:rPr>
          <w:lang w:val="es-CO"/>
        </w:rPr>
        <w:t>las</w:t>
      </w:r>
      <w:r w:rsidRPr="00D22F9B">
        <w:rPr>
          <w:spacing w:val="-5"/>
          <w:lang w:val="es-CO"/>
        </w:rPr>
        <w:t xml:space="preserve"> </w:t>
      </w:r>
      <w:r w:rsidRPr="00D22F9B">
        <w:rPr>
          <w:lang w:val="es-CO"/>
        </w:rPr>
        <w:t>siguientes</w:t>
      </w:r>
      <w:r w:rsidRPr="00D22F9B">
        <w:rPr>
          <w:spacing w:val="-4"/>
          <w:lang w:val="es-CO"/>
        </w:rPr>
        <w:t xml:space="preserve"> </w:t>
      </w:r>
      <w:r w:rsidRPr="00D22F9B">
        <w:rPr>
          <w:spacing w:val="-2"/>
          <w:lang w:val="es-CO"/>
        </w:rPr>
        <w:t>consideraciones:</w:t>
      </w:r>
    </w:p>
    <w:p w14:paraId="32AFFA5D" w14:textId="77777777" w:rsidR="002469E9" w:rsidRPr="00D22F9B" w:rsidRDefault="002469E9" w:rsidP="007525FA">
      <w:pPr>
        <w:pStyle w:val="Textoindependiente"/>
        <w:spacing w:line="276" w:lineRule="auto"/>
        <w:ind w:left="260"/>
        <w:jc w:val="both"/>
        <w:rPr>
          <w:spacing w:val="-2"/>
          <w:lang w:val="es-CO"/>
        </w:rPr>
      </w:pPr>
    </w:p>
    <w:p w14:paraId="24249808" w14:textId="77777777" w:rsidR="002469E9" w:rsidRPr="00D22F9B" w:rsidRDefault="002469E9" w:rsidP="007525FA">
      <w:pPr>
        <w:spacing w:after="120" w:line="276" w:lineRule="auto"/>
        <w:jc w:val="both"/>
        <w:rPr>
          <w:rFonts w:ascii="Verdana" w:hAnsi="Verdana" w:cs="Arial"/>
          <w:lang w:val="es-ES" w:eastAsia="es-ES"/>
        </w:rPr>
      </w:pPr>
      <w:r w:rsidRPr="00D22F9B">
        <w:rPr>
          <w:rFonts w:ascii="Verdana" w:eastAsia="Calibri" w:hAnsi="Verdana" w:cs="Arial"/>
          <w:lang w:val="es-ES"/>
        </w:rPr>
        <w:t xml:space="preserve">La Constitución Política de 1991 consagra en varios artículos la publicidad como un principio rector del Estado colombiano. Entre </w:t>
      </w:r>
      <w:r w:rsidRPr="00D22F9B">
        <w:rPr>
          <w:rFonts w:ascii="Verdana" w:eastAsia="Calibri" w:hAnsi="Verdana" w:cs="Arial"/>
          <w:color w:val="000000" w:themeColor="text1"/>
          <w:lang w:val="es-ES"/>
        </w:rPr>
        <w:t xml:space="preserve">los más destacados, puede mencionarse el 209, que afirma que la publicidad es uno de los principios que fundamentan el ejercicio de la función administrativa. Asimismo, </w:t>
      </w:r>
      <w:r w:rsidRPr="00D22F9B">
        <w:rPr>
          <w:rFonts w:ascii="Verdana" w:eastAsia="Arial" w:hAnsi="Verdana" w:cs="Arial"/>
          <w:lang w:val="es-ES"/>
        </w:rPr>
        <w:t xml:space="preserve">el artículo 74 de la Constitución Política establece que: “Todas las personas tienen derecho a acceder a los documentos públicos salvo los casos que establezca la ley”. Esta </w:t>
      </w:r>
      <w:r w:rsidRPr="00D22F9B">
        <w:rPr>
          <w:rFonts w:ascii="Verdana" w:eastAsia="Arial" w:hAnsi="Verdana" w:cs="Arial"/>
          <w:lang w:val="es-ES"/>
        </w:rPr>
        <w:lastRenderedPageBreak/>
        <w:t xml:space="preserve">disposición constitucional consagra la garantía fundamental de acceso a la información y a la documentación pública, salvo causal de reserva expresamente prevista en la Constitución o en la Ley. </w:t>
      </w:r>
    </w:p>
    <w:p w14:paraId="2AE92102" w14:textId="77777777" w:rsidR="002469E9" w:rsidRPr="00D22F9B" w:rsidRDefault="002469E9" w:rsidP="007525FA">
      <w:pPr>
        <w:tabs>
          <w:tab w:val="left" w:pos="709"/>
        </w:tabs>
        <w:spacing w:before="120" w:after="120" w:line="276" w:lineRule="auto"/>
        <w:jc w:val="both"/>
        <w:rPr>
          <w:rFonts w:ascii="Verdana" w:eastAsia="Calibri" w:hAnsi="Verdana" w:cs="Arial"/>
          <w:shd w:val="clear" w:color="auto" w:fill="FFFFFF"/>
          <w:lang w:val="es-ES"/>
        </w:rPr>
      </w:pPr>
      <w:r w:rsidRPr="00D22F9B">
        <w:rPr>
          <w:rFonts w:ascii="Verdana" w:eastAsia="Calibri" w:hAnsi="Verdana" w:cs="Arial"/>
          <w:shd w:val="clear" w:color="auto" w:fill="FFFFFF"/>
          <w:lang w:val="es-ES"/>
        </w:rPr>
        <w:tab/>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D22F9B">
        <w:rPr>
          <w:rFonts w:ascii="Aptos" w:eastAsia="Aptos" w:hAnsi="Aptos" w:cs="Times New Roman"/>
          <w:color w:val="000000"/>
          <w:vertAlign w:val="superscript"/>
          <w:lang w:val="es-ES"/>
        </w:rPr>
        <w:footnoteReference w:id="2"/>
      </w:r>
      <w:r w:rsidRPr="00D22F9B">
        <w:rPr>
          <w:rFonts w:ascii="Verdana" w:eastAsia="Calibri" w:hAnsi="Verdana" w:cs="Arial"/>
          <w:color w:val="000000"/>
          <w:lang w:val="es-ES"/>
        </w:rPr>
        <w:t xml:space="preserve">. </w:t>
      </w:r>
    </w:p>
    <w:p w14:paraId="4CA402BF" w14:textId="77777777" w:rsidR="002469E9" w:rsidRPr="00D22F9B" w:rsidRDefault="002469E9" w:rsidP="007525FA">
      <w:pPr>
        <w:spacing w:after="120" w:line="276" w:lineRule="auto"/>
        <w:ind w:firstLine="708"/>
        <w:jc w:val="both"/>
        <w:rPr>
          <w:rFonts w:ascii="Verdana" w:eastAsia="Times New Roman" w:hAnsi="Verdana" w:cs="Arial"/>
          <w:lang w:val="es-ES" w:eastAsia="es-CO"/>
        </w:rPr>
      </w:pPr>
      <w:r w:rsidRPr="00D22F9B">
        <w:rPr>
          <w:rFonts w:ascii="Verdana" w:eastAsia="Arial" w:hAnsi="Verdana" w:cs="Arial"/>
          <w:lang w:val="es-ES"/>
        </w:rPr>
        <w:t>Por su parte, la Ley 1712 de 2014</w:t>
      </w:r>
      <w:r w:rsidRPr="00D22F9B">
        <w:rPr>
          <w:rStyle w:val="Refdenotaalpie"/>
          <w:rFonts w:ascii="Verdana" w:eastAsia="Arial" w:hAnsi="Verdana" w:cs="Arial"/>
          <w:lang w:val="es-ES"/>
        </w:rPr>
        <w:footnoteReference w:id="3"/>
      </w:r>
      <w:r w:rsidRPr="00D22F9B">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D22F9B">
        <w:rPr>
          <w:rStyle w:val="Refdenotaalpie"/>
          <w:rFonts w:ascii="Verdana" w:eastAsia="Arial" w:hAnsi="Verdana" w:cs="Arial"/>
          <w:lang w:val="es-ES"/>
        </w:rPr>
        <w:footnoteReference w:id="4"/>
      </w:r>
      <w:r w:rsidRPr="00D22F9B">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D22F9B">
        <w:rPr>
          <w:rFonts w:ascii="Verdana" w:eastAsia="Times New Roman" w:hAnsi="Verdana" w:cs="Arial"/>
          <w:vertAlign w:val="superscript"/>
          <w:lang w:val="es-ES" w:eastAsia="es-CO"/>
        </w:rPr>
        <w:footnoteReference w:id="5"/>
      </w:r>
      <w:r w:rsidRPr="00D22F9B">
        <w:rPr>
          <w:rFonts w:ascii="Verdana" w:eastAsia="Times New Roman" w:hAnsi="Verdana" w:cs="Arial"/>
          <w:lang w:val="es-ES" w:eastAsia="es-CO"/>
        </w:rPr>
        <w:t xml:space="preserve">. Finalmente, el principio de buena fe hace referencia al deber de todo sujeto obligado de cumplir con las obligaciones </w:t>
      </w:r>
      <w:r w:rsidRPr="00D22F9B">
        <w:rPr>
          <w:rFonts w:ascii="Verdana" w:eastAsia="Times New Roman" w:hAnsi="Verdana" w:cs="Arial"/>
          <w:lang w:val="es-ES" w:eastAsia="es-CO"/>
        </w:rPr>
        <w:lastRenderedPageBreak/>
        <w:t>derivadas del derecho de acceso a la información pública con motivación honesta, leal y desprovista de cualquier intención dolosa o culposa</w:t>
      </w:r>
      <w:r w:rsidRPr="00D22F9B">
        <w:rPr>
          <w:rFonts w:ascii="Verdana" w:eastAsia="Times New Roman" w:hAnsi="Verdana" w:cs="Arial"/>
          <w:vertAlign w:val="superscript"/>
          <w:lang w:val="es-ES" w:eastAsia="es-CO"/>
        </w:rPr>
        <w:footnoteReference w:id="6"/>
      </w:r>
      <w:r w:rsidRPr="00D22F9B">
        <w:rPr>
          <w:rFonts w:ascii="Verdana" w:eastAsia="Times New Roman" w:hAnsi="Verdana" w:cs="Arial"/>
          <w:lang w:val="es-ES" w:eastAsia="es-CO"/>
        </w:rPr>
        <w:t xml:space="preserve">. </w:t>
      </w:r>
    </w:p>
    <w:p w14:paraId="4B0A3BFE" w14:textId="77777777" w:rsidR="002469E9" w:rsidRPr="00D22F9B" w:rsidRDefault="002469E9" w:rsidP="007525FA">
      <w:pPr>
        <w:spacing w:before="120" w:after="0" w:line="276" w:lineRule="auto"/>
        <w:ind w:firstLine="708"/>
        <w:contextualSpacing/>
        <w:jc w:val="both"/>
        <w:rPr>
          <w:rFonts w:ascii="Verdana" w:eastAsia="Times New Roman" w:hAnsi="Verdana" w:cs="Arial"/>
          <w:color w:val="000000"/>
          <w:lang w:val="es-ES" w:eastAsia="es-ES_tradnl"/>
        </w:rPr>
      </w:pPr>
      <w:r w:rsidRPr="00D22F9B">
        <w:rPr>
          <w:rFonts w:ascii="Verdana" w:eastAsia="Arial" w:hAnsi="Verdana" w:cs="Arial"/>
          <w:lang w:val="es-ES"/>
        </w:rPr>
        <w:t>El literal e) del artículo 9 de la ley citada establece que los sujetos obligados, que son todas las entidades públicas, deben publicar la información relativa a su contratación</w:t>
      </w:r>
      <w:r w:rsidRPr="00D22F9B">
        <w:rPr>
          <w:rFonts w:ascii="Verdana" w:eastAsia="Times New Roman" w:hAnsi="Verdana" w:cs="Arial"/>
          <w:vertAlign w:val="superscript"/>
          <w:lang w:val="es-ES" w:eastAsia="es-CO"/>
        </w:rPr>
        <w:footnoteReference w:id="7"/>
      </w:r>
      <w:r w:rsidRPr="00D22F9B">
        <w:rPr>
          <w:rFonts w:ascii="Verdana" w:eastAsia="Arial" w:hAnsi="Verdana" w:cs="Arial"/>
          <w:lang w:val="es-ES"/>
        </w:rPr>
        <w:t xml:space="preserve">. </w:t>
      </w:r>
      <w:r w:rsidRPr="00D22F9B">
        <w:rPr>
          <w:rFonts w:ascii="Verdana" w:eastAsia="Arial MT" w:hAnsi="Verdana" w:cs="Arial"/>
          <w:lang w:val="es-ES"/>
        </w:rPr>
        <w:t xml:space="preserve">El artículo 5 </w:t>
      </w:r>
      <w:r w:rsidRPr="00D22F9B">
        <w:rPr>
          <w:rFonts w:ascii="Verdana" w:eastAsia="Arial MT" w:hAnsi="Verdana" w:cs="Arial"/>
          <w:i/>
          <w:iCs/>
          <w:lang w:val="es-ES"/>
        </w:rPr>
        <w:t>ibidem</w:t>
      </w:r>
      <w:r w:rsidRPr="00D22F9B">
        <w:rPr>
          <w:rFonts w:ascii="Verdana" w:eastAsia="Arial MT" w:hAnsi="Verdana" w:cs="Arial"/>
          <w:lang w:val="es-ES"/>
        </w:rPr>
        <w:t>, al describir qué se entiende por sujetos obligados, consagra una lista cuyo propósito es incluir a cualquier entidad, órgano, organismo, o persona natural que desempeñe funciones públicas o administre recursos públicos</w:t>
      </w:r>
      <w:r w:rsidRPr="00D22F9B">
        <w:rPr>
          <w:rFonts w:ascii="Verdana" w:eastAsia="Times New Roman" w:hAnsi="Verdana" w:cs="Arial"/>
          <w:vertAlign w:val="superscript"/>
          <w:lang w:val="es-ES" w:eastAsia="es-CO"/>
        </w:rPr>
        <w:footnoteReference w:id="8"/>
      </w:r>
      <w:r w:rsidRPr="00D22F9B">
        <w:rPr>
          <w:rFonts w:ascii="Verdana" w:eastAsia="Arial MT" w:hAnsi="Verdana" w:cs="Arial"/>
          <w:lang w:val="es-ES"/>
        </w:rPr>
        <w:t>.</w:t>
      </w:r>
      <w:r w:rsidRPr="00D22F9B">
        <w:rPr>
          <w:rFonts w:ascii="Verdana" w:eastAsia="Times New Roman" w:hAnsi="Verdana" w:cs="Arial"/>
          <w:lang w:val="es-ES" w:eastAsia="es-CO"/>
        </w:rPr>
        <w:t xml:space="preserve"> </w:t>
      </w:r>
      <w:r w:rsidRPr="00D22F9B">
        <w:rPr>
          <w:rFonts w:ascii="Verdana" w:eastAsia="Arial" w:hAnsi="Verdana" w:cs="Arial"/>
          <w:lang w:val="es-ES"/>
        </w:rPr>
        <w:t>Asimismo, de acuerdo con el literal g) del artículo 11,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r w:rsidRPr="00D22F9B">
        <w:rPr>
          <w:rFonts w:ascii="Verdana" w:eastAsia="Calibri" w:hAnsi="Verdana" w:cs="Arial"/>
          <w:color w:val="000000"/>
          <w:lang w:val="es-ES" w:eastAsia="es-ES_tradnl"/>
        </w:rPr>
        <w:t xml:space="preserve"> De esta forma,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D22F9B">
        <w:rPr>
          <w:rFonts w:ascii="Aptos" w:eastAsia="Calibri" w:hAnsi="Aptos" w:cs="Times New Roman"/>
          <w:vertAlign w:val="superscript"/>
          <w:lang w:val="es-ES" w:eastAsia="es-ES_tradnl"/>
        </w:rPr>
        <w:footnoteReference w:id="9"/>
      </w:r>
      <w:r w:rsidRPr="00D22F9B">
        <w:rPr>
          <w:rFonts w:ascii="Verdana" w:eastAsia="Calibri" w:hAnsi="Verdana" w:cs="Arial"/>
          <w:color w:val="000000"/>
          <w:lang w:val="es-ES" w:eastAsia="es-ES_tradnl"/>
        </w:rPr>
        <w:t>.</w:t>
      </w:r>
    </w:p>
    <w:p w14:paraId="62AC5A9C" w14:textId="77777777" w:rsidR="002469E9" w:rsidRPr="00D22F9B" w:rsidRDefault="002469E9" w:rsidP="007525FA">
      <w:pPr>
        <w:spacing w:after="120" w:line="276" w:lineRule="auto"/>
        <w:ind w:firstLine="709"/>
        <w:jc w:val="both"/>
        <w:rPr>
          <w:rFonts w:ascii="Verdana" w:hAnsi="Verdana" w:cs="Arial"/>
          <w:shd w:val="clear" w:color="auto" w:fill="FFFFFF"/>
        </w:rPr>
      </w:pPr>
      <w:r w:rsidRPr="00D22F9B">
        <w:rPr>
          <w:rFonts w:ascii="Verdana" w:hAnsi="Verdana" w:cs="Arial"/>
          <w:color w:val="000000" w:themeColor="text1"/>
          <w:lang w:val="es-ES_tradnl"/>
        </w:rPr>
        <w:t xml:space="preserve">Esta obligación fue </w:t>
      </w:r>
      <w:r w:rsidRPr="00D22F9B">
        <w:rPr>
          <w:rFonts w:ascii="Verdana" w:eastAsia="Calibri" w:hAnsi="Verdana" w:cs="Arial"/>
          <w:color w:val="000000"/>
          <w:lang w:val="es-ES_tradnl"/>
        </w:rPr>
        <w:t>desarrollada por el Decreto Único Reglamentario 1082 de 2015</w:t>
      </w:r>
      <w:r w:rsidRPr="00D22F9B">
        <w:rPr>
          <w:rFonts w:ascii="Verdana" w:eastAsia="Calibri" w:hAnsi="Verdana" w:cs="Arial"/>
          <w:color w:val="000000"/>
          <w:vertAlign w:val="superscript"/>
          <w:lang w:val="es-ES_tradnl"/>
        </w:rPr>
        <w:footnoteReference w:id="10"/>
      </w:r>
      <w:r w:rsidRPr="00D22F9B">
        <w:rPr>
          <w:rFonts w:ascii="Verdana" w:eastAsia="Calibri" w:hAnsi="Verdana" w:cs="Arial"/>
          <w:color w:val="000000"/>
          <w:lang w:val="es-ES_tradnl"/>
        </w:rPr>
        <w:t xml:space="preserve">, el cual dispuso que la publicación de la información contractual de los sujetos obligados, que contratan con cargo a recursos públicos, debe hacerse en </w:t>
      </w:r>
      <w:r w:rsidRPr="00D22F9B">
        <w:rPr>
          <w:rFonts w:ascii="Verdana" w:eastAsia="Calibri" w:hAnsi="Verdana" w:cs="Arial"/>
          <w:color w:val="000000"/>
          <w:lang w:val="es-ES_tradnl"/>
        </w:rPr>
        <w:lastRenderedPageBreak/>
        <w:t>el SECOP</w:t>
      </w:r>
      <w:r w:rsidRPr="00D22F9B">
        <w:rPr>
          <w:rFonts w:ascii="Verdana" w:eastAsia="Calibri" w:hAnsi="Verdana" w:cs="Arial"/>
          <w:color w:val="000000"/>
          <w:lang w:val="es-ES_tradnl" w:eastAsia="es-ES_tradnl"/>
        </w:rPr>
        <w:t xml:space="preserve">. </w:t>
      </w:r>
      <w:r w:rsidRPr="00D22F9B">
        <w:rPr>
          <w:rFonts w:ascii="Verdana"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091CFCA0" w14:textId="77777777" w:rsidR="002469E9" w:rsidRPr="00D22F9B" w:rsidRDefault="002469E9" w:rsidP="007525FA">
      <w:pPr>
        <w:widowControl w:val="0"/>
        <w:tabs>
          <w:tab w:val="left" w:pos="728"/>
        </w:tabs>
        <w:autoSpaceDE w:val="0"/>
        <w:autoSpaceDN w:val="0"/>
        <w:spacing w:after="120" w:line="276" w:lineRule="auto"/>
        <w:ind w:firstLine="726"/>
        <w:jc w:val="both"/>
        <w:rPr>
          <w:rFonts w:ascii="Verdana" w:hAnsi="Verdana" w:cs="Arial"/>
          <w:lang w:val="es-ES"/>
        </w:rPr>
      </w:pPr>
      <w:r w:rsidRPr="00D22F9B">
        <w:rPr>
          <w:rFonts w:ascii="Verdana" w:hAnsi="Verdana" w:cs="Arial"/>
          <w:lang w:val="es-ES"/>
        </w:rPr>
        <w:t>Ahora bien,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38143375" w14:textId="77777777" w:rsidR="002469E9" w:rsidRPr="00D22F9B" w:rsidRDefault="002469E9" w:rsidP="007525FA">
      <w:pPr>
        <w:widowControl w:val="0"/>
        <w:autoSpaceDE w:val="0"/>
        <w:autoSpaceDN w:val="0"/>
        <w:spacing w:after="120" w:line="276" w:lineRule="auto"/>
        <w:ind w:firstLine="726"/>
        <w:jc w:val="both"/>
        <w:rPr>
          <w:rFonts w:ascii="Verdana" w:eastAsia="Arial" w:hAnsi="Verdana" w:cs="Arial"/>
          <w:lang w:val="es-ES"/>
        </w:rPr>
      </w:pPr>
      <w:r w:rsidRPr="00D22F9B">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sidRPr="00D22F9B">
        <w:rPr>
          <w:rFonts w:ascii="Verdana" w:eastAsia="Arial" w:hAnsi="Verdana" w:cs="Arial"/>
          <w:i/>
          <w:iCs/>
          <w:lang w:val="es-ES"/>
        </w:rPr>
        <w:t>Ibidem</w:t>
      </w:r>
      <w:r w:rsidRPr="00D22F9B">
        <w:rPr>
          <w:rFonts w:ascii="Verdana" w:eastAsia="Arial" w:hAnsi="Verdana" w:cs="Arial"/>
          <w:lang w:val="es-ES"/>
        </w:rPr>
        <w:t xml:space="preserve">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7A06E538" w14:textId="77777777" w:rsidR="002469E9" w:rsidRPr="00D22F9B" w:rsidRDefault="002469E9" w:rsidP="007525FA">
      <w:pPr>
        <w:widowControl w:val="0"/>
        <w:autoSpaceDE w:val="0"/>
        <w:autoSpaceDN w:val="0"/>
        <w:spacing w:after="120" w:line="276" w:lineRule="auto"/>
        <w:ind w:firstLine="726"/>
        <w:jc w:val="both"/>
        <w:rPr>
          <w:rFonts w:ascii="Verdana" w:eastAsia="Arial" w:hAnsi="Verdana" w:cs="Arial"/>
          <w:lang w:val="es-ES"/>
        </w:rPr>
      </w:pPr>
      <w:r w:rsidRPr="00D22F9B">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Proceso de Contratación expedidos durante las etapas precontractual, de ejecución y </w:t>
      </w:r>
      <w:proofErr w:type="spellStart"/>
      <w:r w:rsidRPr="00D22F9B">
        <w:rPr>
          <w:rFonts w:ascii="Verdana" w:eastAsia="Arial" w:hAnsi="Verdana" w:cs="Arial"/>
          <w:lang w:val="es-ES"/>
        </w:rPr>
        <w:t>postcontractual</w:t>
      </w:r>
      <w:proofErr w:type="spellEnd"/>
      <w:r w:rsidRPr="00D22F9B">
        <w:rPr>
          <w:rFonts w:ascii="Verdana" w:eastAsia="Arial" w:hAnsi="Verdana" w:cs="Arial"/>
          <w:lang w:val="es-ES"/>
        </w:rPr>
        <w:t xml:space="preserve">. Este deber aplica a todas las modalidades de selección y entidades regidas por el Estatuto General de Contratación de la Administración Pública, así como las exceptuadas de este, y solo se encuentran excluidas las ofertas perdedoras y los documentos expedidos en el marco de operaciones de bolsa de productos. </w:t>
      </w:r>
    </w:p>
    <w:p w14:paraId="75948DC0" w14:textId="77777777" w:rsidR="002469E9" w:rsidRPr="00D22F9B" w:rsidRDefault="002469E9" w:rsidP="007525FA">
      <w:pPr>
        <w:widowControl w:val="0"/>
        <w:autoSpaceDE w:val="0"/>
        <w:autoSpaceDN w:val="0"/>
        <w:spacing w:after="120" w:line="276" w:lineRule="auto"/>
        <w:ind w:firstLine="726"/>
        <w:jc w:val="both"/>
        <w:rPr>
          <w:rFonts w:ascii="Verdana" w:hAnsi="Verdana"/>
        </w:rPr>
      </w:pPr>
      <w:r w:rsidRPr="00D22F9B">
        <w:rPr>
          <w:rStyle w:val="citation-51"/>
          <w:rFonts w:ascii="Verdana" w:hAnsi="Verdana"/>
        </w:rPr>
        <w:t>En este sentido, aunque el artículo 2.2.1.1.1.7.1 del Decreto 1082 de 2015 establece la regla general de publicación dentro de los tres (3) días siguientes a la expedición del documento</w:t>
      </w:r>
      <w:r w:rsidRPr="00D22F9B">
        <w:rPr>
          <w:rFonts w:ascii="Verdana" w:hAnsi="Verdana"/>
        </w:rPr>
        <w:t xml:space="preserve">, es imperativo armonizar esta disposición con la operatividad del SECOP II. Dado que esta plataforma opera </w:t>
      </w:r>
      <w:r w:rsidRPr="00D22F9B">
        <w:rPr>
          <w:rFonts w:ascii="Verdana" w:hAnsi="Verdana"/>
        </w:rPr>
        <w:lastRenderedPageBreak/>
        <w:t>como un sistema transaccional, las actuaciones que se gestionan y perfeccionan directamente en línea —tales como la adjudicación, la firma del contrato electrónico o la aprobación de garantías digitales— se publican de manera automática e inmediata en el momento de su gestión, sin que opere el plazo de gracia de los tres días. Por el contrario, dicho término perentorio de tres (3) días calendario está previsto y debe observarse estrictamente para el cargue de aquellos documentos que se generan, suscriben o formalizan por fuera de la plataforma (físicos o externos) y que requieren ser digitalizados e incorporados al expediente electrónico para garantizar el principio de publicidad y la trazabilidad del proceso.</w:t>
      </w:r>
    </w:p>
    <w:p w14:paraId="5F0EFB0E" w14:textId="77777777" w:rsidR="002469E9" w:rsidRPr="00D22F9B" w:rsidRDefault="002469E9" w:rsidP="007525FA">
      <w:pPr>
        <w:spacing w:after="120" w:line="276" w:lineRule="auto"/>
        <w:ind w:firstLine="709"/>
        <w:jc w:val="both"/>
        <w:rPr>
          <w:rFonts w:ascii="Verdana" w:eastAsia="Calibri" w:hAnsi="Verdana" w:cs="Arial"/>
          <w:color w:val="000000" w:themeColor="text1"/>
          <w:lang w:val="es-ES"/>
        </w:rPr>
      </w:pPr>
      <w:r w:rsidRPr="00D22F9B">
        <w:rPr>
          <w:rFonts w:ascii="Verdana" w:hAnsi="Verdana"/>
        </w:rPr>
        <w:t>Ahora bien, en cuanto al segundo problema jurídico se debe poner de manifiesto que el</w:t>
      </w:r>
      <w:r w:rsidRPr="00D22F9B">
        <w:rPr>
          <w:rFonts w:ascii="Verdana" w:eastAsia="Arial" w:hAnsi="Verdana" w:cs="Arial"/>
          <w:color w:val="000000" w:themeColor="text1"/>
          <w:lang w:val="es-ES_tradnl" w:eastAsia="es-ES_tradnl"/>
        </w:rPr>
        <w:t xml:space="preserve"> artículo 1º de la Ley 80 de 1993 –EGCAP-, determina que su objetivo es disponer de reglas y principios que rigen los contratos de las entidades estatales. En ese sentido, el artículo 32 </w:t>
      </w:r>
      <w:r w:rsidRPr="00D22F9B">
        <w:rPr>
          <w:rFonts w:ascii="Verdana" w:eastAsia="Arial" w:hAnsi="Verdana" w:cs="Arial"/>
          <w:i/>
          <w:iCs/>
          <w:color w:val="000000" w:themeColor="text1"/>
          <w:lang w:val="es-ES_tradnl" w:eastAsia="es-ES_tradnl"/>
        </w:rPr>
        <w:t>ibidem</w:t>
      </w:r>
      <w:r w:rsidRPr="00D22F9B">
        <w:rPr>
          <w:rFonts w:ascii="Verdana" w:eastAsia="Arial" w:hAnsi="Verdana" w:cs="Arial"/>
          <w:color w:val="000000" w:themeColor="text1"/>
          <w:lang w:val="es-ES_tradnl"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w:t>
      </w:r>
    </w:p>
    <w:p w14:paraId="5CC22F1C" w14:textId="77777777" w:rsidR="002469E9" w:rsidRPr="00D22F9B" w:rsidRDefault="002469E9" w:rsidP="007525FA">
      <w:pPr>
        <w:widowControl w:val="0"/>
        <w:autoSpaceDE w:val="0"/>
        <w:autoSpaceDN w:val="0"/>
        <w:spacing w:before="120" w:after="120" w:line="276" w:lineRule="auto"/>
        <w:ind w:firstLine="709"/>
        <w:jc w:val="both"/>
        <w:rPr>
          <w:rFonts w:ascii="Verdana" w:eastAsia="Arial" w:hAnsi="Verdana" w:cs="Arial"/>
          <w:color w:val="000000" w:themeColor="text1"/>
          <w:lang w:val="es-ES_tradnl" w:eastAsia="es-ES_tradnl"/>
        </w:rPr>
      </w:pPr>
      <w:r w:rsidRPr="00D22F9B">
        <w:rPr>
          <w:rFonts w:ascii="Verdana" w:eastAsia="Arial" w:hAnsi="Verdana" w:cs="Arial"/>
          <w:color w:val="000000" w:themeColor="text1"/>
          <w:lang w:val="es-ES_tradnl" w:eastAsia="es-ES_tradnl"/>
        </w:rPr>
        <w:t>En este contexto, e</w:t>
      </w:r>
      <w:r w:rsidRPr="00D22F9B">
        <w:rPr>
          <w:rFonts w:ascii="Verdana" w:hAnsi="Verdana" w:cs="Arial"/>
          <w:bCs/>
        </w:rPr>
        <w:t>l sistema de compras públicas puede apoyarse en normas de derecho civil y comercial. Respecto a las entidades sometidas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Esta posición se reitera en el EGCAP al señalar que “Las estipulaciones de los contratos serán las que, de acuerdo con las normas civiles, comerciales y las previstas en esta ley, correspondan a su esencia y naturaleza” –art. 40, inciso primero–.</w:t>
      </w:r>
    </w:p>
    <w:p w14:paraId="20963C03" w14:textId="77777777" w:rsidR="002469E9" w:rsidRPr="00D22F9B" w:rsidRDefault="002469E9" w:rsidP="007525FA">
      <w:pPr>
        <w:spacing w:after="120" w:line="276" w:lineRule="auto"/>
        <w:ind w:firstLine="709"/>
        <w:jc w:val="both"/>
        <w:rPr>
          <w:rFonts w:ascii="Verdana" w:eastAsia="Calibri" w:hAnsi="Verdana" w:cs="Arial"/>
          <w:lang w:eastAsia="es-ES_tradnl"/>
        </w:rPr>
      </w:pPr>
      <w:r w:rsidRPr="00D22F9B">
        <w:rPr>
          <w:rFonts w:ascii="Verdana" w:eastAsia="Calibri" w:hAnsi="Verdana" w:cs="Arial"/>
          <w:lang w:eastAsia="es-ES"/>
        </w:rPr>
        <w:t xml:space="preserve">De esta manera, </w:t>
      </w:r>
      <w:bookmarkStart w:id="5" w:name="_Hlk121750642"/>
      <w:r w:rsidRPr="00D22F9B">
        <w:rPr>
          <w:rFonts w:ascii="Verdana" w:eastAsia="Times New Roman" w:hAnsi="Verdana" w:cs="Arial"/>
          <w:color w:val="000000" w:themeColor="text1"/>
          <w:lang w:eastAsia="es-ES_tradnl"/>
        </w:rPr>
        <w:t xml:space="preserve">las </w:t>
      </w:r>
      <w:r w:rsidRPr="00D22F9B">
        <w:rPr>
          <w:rFonts w:ascii="Verdana" w:eastAsia="Calibri" w:hAnsi="Verdana" w:cs="Arial"/>
          <w:lang w:eastAsia="es-ES_tradnl"/>
        </w:rPr>
        <w:t xml:space="preserve">entidades estatales regidas por el EGCAP están habilitadas para celebrar los contratos que suelen celebrar los particulares entre sí, en virtud del </w:t>
      </w:r>
      <w:r w:rsidRPr="00D22F9B">
        <w:rPr>
          <w:rFonts w:ascii="Verdana" w:eastAsia="Calibri" w:hAnsi="Verdana" w:cs="Arial"/>
          <w:lang w:eastAsia="es-ES"/>
        </w:rPr>
        <w:t>principio de autonomía de la voluntad establecido en el artículo 1602 del Código Civil</w:t>
      </w:r>
      <w:r w:rsidRPr="00D22F9B">
        <w:rPr>
          <w:rFonts w:ascii="Verdana" w:eastAsia="Calibri" w:hAnsi="Verdana" w:cs="Arial"/>
          <w:lang w:eastAsia="es-ES_tradnl"/>
        </w:rPr>
        <w:t xml:space="preserve">. En ese sentido, </w:t>
      </w:r>
      <w:bookmarkEnd w:id="5"/>
      <w:r w:rsidRPr="00D22F9B">
        <w:rPr>
          <w:rFonts w:ascii="Verdana" w:eastAsia="Calibri" w:hAnsi="Verdana" w:cs="Arial"/>
          <w:lang w:eastAsia="es-ES"/>
        </w:rPr>
        <w:t xml:space="preserve">las entidades podrán pactar formas de mandato o formas de administración de recursos como la </w:t>
      </w:r>
      <w:r w:rsidRPr="00D22F9B">
        <w:rPr>
          <w:rFonts w:ascii="Verdana" w:eastAsia="Calibri" w:hAnsi="Verdana" w:cs="Arial"/>
          <w:i/>
          <w:lang w:eastAsia="es-ES"/>
        </w:rPr>
        <w:t>administración delegada</w:t>
      </w:r>
      <w:r w:rsidRPr="00D22F9B">
        <w:rPr>
          <w:rFonts w:ascii="Verdana" w:eastAsia="Calibri" w:hAnsi="Verdana" w:cs="Arial"/>
          <w:lang w:eastAsia="es-ES"/>
        </w:rPr>
        <w:t xml:space="preserve">, teniendo en cuenta la remisión de los artículos 13, 32 y 40 de la Ley 80 de 1993 a las normas comerciales y civiles, y a que no se incurre en la </w:t>
      </w:r>
      <w:r w:rsidRPr="00D22F9B">
        <w:rPr>
          <w:rFonts w:ascii="Verdana" w:eastAsia="Calibri" w:hAnsi="Verdana" w:cs="Arial"/>
          <w:lang w:eastAsia="es-ES"/>
        </w:rPr>
        <w:lastRenderedPageBreak/>
        <w:t>excepción a la celebración directa de contratos interadministrativos a la que se refiere el artículo 2, numeral 4, literal c) de la Ley 1150 de 2007.</w:t>
      </w:r>
    </w:p>
    <w:p w14:paraId="3E88F5B7" w14:textId="77777777" w:rsidR="002469E9" w:rsidRPr="00D22F9B" w:rsidRDefault="002469E9" w:rsidP="007525FA">
      <w:pPr>
        <w:spacing w:after="120" w:line="276" w:lineRule="auto"/>
        <w:ind w:firstLine="709"/>
        <w:jc w:val="both"/>
        <w:rPr>
          <w:rFonts w:ascii="Verdana" w:eastAsia="Calibri" w:hAnsi="Verdana" w:cs="Arial"/>
          <w:color w:val="000000" w:themeColor="text1"/>
          <w:lang w:val="es-ES"/>
        </w:rPr>
      </w:pPr>
      <w:r w:rsidRPr="00D22F9B">
        <w:rPr>
          <w:rFonts w:ascii="Verdana" w:hAnsi="Verdana" w:cs="Arial"/>
          <w:bCs/>
          <w:lang w:val="es-ES_tradnl" w:eastAsia="es-ES" w:bidi="es-ES"/>
        </w:rPr>
        <w:t>Tal como lo ha conceptuado anteriormente esta Agencia</w:t>
      </w:r>
      <w:r w:rsidRPr="00D22F9B">
        <w:rPr>
          <w:rFonts w:ascii="Verdana" w:eastAsia="Calibri" w:hAnsi="Verdana" w:cs="Arial"/>
          <w:color w:val="000000" w:themeColor="text1"/>
          <w:lang w:val="es-ES_tradnl"/>
        </w:rPr>
        <w:t>, l</w:t>
      </w:r>
      <w:r w:rsidRPr="00D22F9B">
        <w:rPr>
          <w:rFonts w:ascii="Verdana" w:eastAsia="Calibri" w:hAnsi="Verdana" w:cs="Arial"/>
          <w:color w:val="000000" w:themeColor="text1"/>
          <w:lang w:val="es-ES"/>
        </w:rPr>
        <w:t xml:space="preserve">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D22F9B">
        <w:rPr>
          <w:rFonts w:ascii="Verdana" w:eastAsia="Calibri" w:hAnsi="Verdana" w:cs="Arial"/>
          <w:color w:val="000000" w:themeColor="text1"/>
          <w:lang w:val="es-ES"/>
        </w:rPr>
        <w:t>ii</w:t>
      </w:r>
      <w:proofErr w:type="spellEnd"/>
      <w:r w:rsidRPr="00D22F9B">
        <w:rPr>
          <w:rFonts w:ascii="Verdana" w:eastAsia="Calibri" w:hAnsi="Verdana" w:cs="Arial"/>
          <w:color w:val="000000" w:themeColor="text1"/>
          <w:lang w:val="es-ES"/>
        </w:rPr>
        <w:t xml:space="preserve">) como una modalidad de administración y pago, no necesariamente asociada al mandato. </w:t>
      </w:r>
    </w:p>
    <w:p w14:paraId="274730EB" w14:textId="77777777" w:rsidR="002469E9" w:rsidRPr="00D22F9B" w:rsidRDefault="002469E9" w:rsidP="007525FA">
      <w:pPr>
        <w:spacing w:after="0" w:line="276" w:lineRule="auto"/>
        <w:ind w:firstLine="709"/>
        <w:jc w:val="both"/>
        <w:rPr>
          <w:rFonts w:ascii="Verdana" w:eastAsia="Calibri" w:hAnsi="Verdana" w:cs="Arial"/>
          <w:color w:val="000000" w:themeColor="text1"/>
          <w:lang w:val="es-ES_tradnl"/>
        </w:rPr>
      </w:pPr>
      <w:r w:rsidRPr="00D22F9B">
        <w:rPr>
          <w:rFonts w:ascii="Verdana" w:eastAsia="Calibri" w:hAnsi="Verdana" w:cs="Arial"/>
          <w:color w:val="000000" w:themeColor="text1"/>
          <w:lang w:val="es-ES_tradnl"/>
        </w:rPr>
        <w:t xml:space="preserve">Al respecto, el Consejo de Estado se refirió a la administración delegada en el contrato de obra pública así: </w:t>
      </w:r>
    </w:p>
    <w:p w14:paraId="712C6D20" w14:textId="77777777" w:rsidR="002469E9" w:rsidRPr="00D22F9B" w:rsidRDefault="002469E9" w:rsidP="007525FA">
      <w:pPr>
        <w:spacing w:after="0" w:line="276" w:lineRule="auto"/>
        <w:ind w:firstLine="709"/>
        <w:jc w:val="both"/>
        <w:rPr>
          <w:rFonts w:ascii="Verdana" w:eastAsia="Calibri" w:hAnsi="Verdana" w:cs="Arial"/>
          <w:color w:val="000000" w:themeColor="text1"/>
          <w:lang w:val="es-ES_tradnl"/>
        </w:rPr>
      </w:pPr>
    </w:p>
    <w:p w14:paraId="506368F3" w14:textId="77777777" w:rsidR="002469E9" w:rsidRPr="00D22F9B" w:rsidRDefault="002469E9" w:rsidP="00432BAE">
      <w:pPr>
        <w:spacing w:after="0" w:line="240" w:lineRule="auto"/>
        <w:ind w:left="709" w:right="709"/>
        <w:jc w:val="both"/>
        <w:rPr>
          <w:rFonts w:ascii="Verdana" w:eastAsia="Calibri" w:hAnsi="Verdana" w:cs="Arial"/>
          <w:color w:val="000000" w:themeColor="text1"/>
          <w:sz w:val="20"/>
          <w:szCs w:val="20"/>
          <w:lang w:val="es-ES_tradnl"/>
        </w:rPr>
      </w:pPr>
      <w:r w:rsidRPr="00432BAE">
        <w:rPr>
          <w:rFonts w:ascii="Verdana" w:eastAsia="Calibri" w:hAnsi="Verdana" w:cs="Arial"/>
          <w:color w:val="000000" w:themeColor="text1"/>
          <w:lang w:val="es-ES_tradnl"/>
        </w:rPr>
        <w:t>“</w:t>
      </w:r>
      <w:r w:rsidRPr="00D22F9B">
        <w:rPr>
          <w:rFonts w:ascii="Verdana" w:eastAsia="Calibri" w:hAnsi="Verdana" w:cs="Arial"/>
          <w:color w:val="000000" w:themeColor="text1"/>
          <w:sz w:val="20"/>
          <w:szCs w:val="20"/>
          <w:lang w:val="es-ES_tradnl"/>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w:t>
      </w:r>
    </w:p>
    <w:p w14:paraId="10BE03BA" w14:textId="77777777" w:rsidR="002469E9" w:rsidRPr="00D22F9B" w:rsidRDefault="002469E9" w:rsidP="00432BAE">
      <w:pPr>
        <w:spacing w:after="0" w:line="240" w:lineRule="auto"/>
        <w:ind w:left="709" w:right="709"/>
        <w:jc w:val="both"/>
        <w:rPr>
          <w:rFonts w:ascii="Verdana" w:eastAsia="Calibri" w:hAnsi="Verdana" w:cs="Arial"/>
          <w:color w:val="000000" w:themeColor="text1"/>
          <w:sz w:val="20"/>
          <w:szCs w:val="20"/>
          <w:lang w:val="es-ES_tradnl"/>
        </w:rPr>
      </w:pPr>
      <w:r w:rsidRPr="00D22F9B">
        <w:rPr>
          <w:rFonts w:ascii="Verdana" w:eastAsia="Calibri" w:hAnsi="Verdana" w:cs="Arial"/>
          <w:color w:val="000000" w:themeColor="text1"/>
          <w:sz w:val="20"/>
          <w:szCs w:val="20"/>
          <w:lang w:val="es-ES_tradnl"/>
        </w:rPr>
        <w:t>Bajo este sistema la administración paga el costo real de la obra, más determinado porcentaje como retribución al contratista por concepto de honorarios de administración (en los que se incluyen costos de personal, oficinas, vehículos, desplazamientos etc.) y la utilidad”</w:t>
      </w:r>
      <w:r w:rsidRPr="00D22F9B">
        <w:rPr>
          <w:rFonts w:ascii="Verdana" w:eastAsia="Calibri" w:hAnsi="Verdana" w:cs="Arial"/>
          <w:color w:val="000000" w:themeColor="text1"/>
          <w:sz w:val="20"/>
          <w:szCs w:val="20"/>
          <w:vertAlign w:val="superscript"/>
          <w:lang w:val="es-ES_tradnl"/>
        </w:rPr>
        <w:footnoteReference w:id="11"/>
      </w:r>
      <w:r w:rsidRPr="00D22F9B">
        <w:rPr>
          <w:rFonts w:ascii="Verdana" w:eastAsia="Calibri" w:hAnsi="Verdana" w:cs="Arial"/>
          <w:color w:val="000000" w:themeColor="text1"/>
          <w:sz w:val="20"/>
          <w:szCs w:val="20"/>
          <w:lang w:val="es-ES_tradnl"/>
        </w:rPr>
        <w:t xml:space="preserve">. </w:t>
      </w:r>
    </w:p>
    <w:p w14:paraId="64A1BB0E" w14:textId="77777777" w:rsidR="002469E9" w:rsidRPr="00432BAE" w:rsidRDefault="002469E9" w:rsidP="007525FA">
      <w:pPr>
        <w:spacing w:after="0" w:line="276" w:lineRule="auto"/>
        <w:ind w:right="709"/>
        <w:jc w:val="both"/>
        <w:rPr>
          <w:rFonts w:ascii="Verdana" w:eastAsia="Calibri" w:hAnsi="Verdana" w:cs="Arial"/>
          <w:color w:val="000000" w:themeColor="text1"/>
          <w:lang w:val="es-ES_tradnl"/>
        </w:rPr>
      </w:pPr>
    </w:p>
    <w:p w14:paraId="2B91E2AD" w14:textId="77777777" w:rsidR="002469E9" w:rsidRPr="00D22F9B" w:rsidRDefault="002469E9" w:rsidP="007525FA">
      <w:pPr>
        <w:spacing w:after="0" w:line="276" w:lineRule="auto"/>
        <w:ind w:firstLine="709"/>
        <w:jc w:val="both"/>
        <w:rPr>
          <w:rFonts w:ascii="Verdana" w:eastAsia="Calibri" w:hAnsi="Verdana" w:cs="Arial"/>
          <w:color w:val="000000" w:themeColor="text1"/>
          <w:lang w:val="es-ES_tradnl"/>
        </w:rPr>
      </w:pPr>
      <w:r w:rsidRPr="00D22F9B">
        <w:rPr>
          <w:rFonts w:ascii="Verdana" w:eastAsia="Calibri" w:hAnsi="Verdana" w:cs="Arial"/>
          <w:color w:val="000000" w:themeColor="text1"/>
          <w:lang w:val="es-ES_tradnl"/>
        </w:rPr>
        <w:t>En similar postura, la Sección Tercera del Consejo de Estado</w:t>
      </w:r>
      <w:r w:rsidRPr="00D22F9B">
        <w:rPr>
          <w:rStyle w:val="Refdenotaalpie"/>
          <w:rFonts w:ascii="Verdana" w:eastAsia="Calibri" w:hAnsi="Verdana" w:cs="Arial"/>
          <w:color w:val="000000" w:themeColor="text1"/>
          <w:lang w:val="es-ES_tradnl"/>
        </w:rPr>
        <w:footnoteReference w:id="12"/>
      </w:r>
      <w:r w:rsidRPr="00D22F9B">
        <w:rPr>
          <w:rFonts w:ascii="Verdana" w:eastAsia="Calibri" w:hAnsi="Verdana" w:cs="Arial"/>
          <w:color w:val="000000" w:themeColor="text1"/>
          <w:lang w:val="es-ES_tradnl"/>
        </w:rPr>
        <w:t xml:space="preserve"> ha sostenido que </w:t>
      </w:r>
    </w:p>
    <w:p w14:paraId="16B1D17B" w14:textId="77777777" w:rsidR="002469E9" w:rsidRPr="00432BAE" w:rsidRDefault="002469E9" w:rsidP="007525FA">
      <w:pPr>
        <w:spacing w:after="0" w:line="276" w:lineRule="auto"/>
        <w:ind w:right="709"/>
        <w:jc w:val="both"/>
        <w:rPr>
          <w:rFonts w:ascii="Verdana" w:eastAsia="Calibri" w:hAnsi="Verdana" w:cs="Arial"/>
          <w:color w:val="000000" w:themeColor="text1"/>
          <w:lang w:val="es-ES_tradnl"/>
        </w:rPr>
      </w:pPr>
    </w:p>
    <w:p w14:paraId="3EBE0BDD" w14:textId="77777777" w:rsidR="002469E9" w:rsidRPr="005E664D" w:rsidRDefault="002469E9" w:rsidP="00432BAE">
      <w:pPr>
        <w:widowControl w:val="0"/>
        <w:spacing w:after="0" w:line="240" w:lineRule="auto"/>
        <w:ind w:left="709" w:right="709"/>
        <w:jc w:val="both"/>
        <w:rPr>
          <w:rFonts w:ascii="Verdana" w:hAnsi="Verdana"/>
          <w:sz w:val="20"/>
          <w:szCs w:val="20"/>
        </w:rPr>
      </w:pPr>
      <w:r w:rsidRPr="005E664D">
        <w:rPr>
          <w:rFonts w:ascii="Verdana" w:hAnsi="Verdana"/>
          <w:sz w:val="20"/>
          <w:szCs w:val="20"/>
        </w:rPr>
        <w:t>“(…) es entendido como aquel negocio jurídico en el que el contratista, por cuenta y riesgo del contratante, se encarga de la ejecución del objeto del convenio, a cambio de unos honorarios que pueden pactarse en forma de porcentaje sobre el valor de la obra o como precio fijo.</w:t>
      </w:r>
    </w:p>
    <w:p w14:paraId="1BD9EF42" w14:textId="77777777" w:rsidR="002469E9" w:rsidRPr="005E664D" w:rsidRDefault="002469E9" w:rsidP="00432BAE">
      <w:pPr>
        <w:spacing w:after="0" w:line="240" w:lineRule="auto"/>
        <w:ind w:left="709" w:right="709"/>
        <w:jc w:val="both"/>
        <w:rPr>
          <w:rFonts w:ascii="Verdana" w:hAnsi="Verdana"/>
          <w:bCs/>
          <w:sz w:val="20"/>
          <w:szCs w:val="20"/>
        </w:rPr>
      </w:pPr>
    </w:p>
    <w:p w14:paraId="12BC85E1" w14:textId="77777777" w:rsidR="002469E9" w:rsidRPr="005E664D" w:rsidRDefault="002469E9" w:rsidP="00432BAE">
      <w:pPr>
        <w:spacing w:after="0" w:line="240" w:lineRule="auto"/>
        <w:ind w:left="709" w:right="709"/>
        <w:jc w:val="both"/>
        <w:rPr>
          <w:rFonts w:ascii="Verdana" w:hAnsi="Verdana"/>
          <w:bCs/>
          <w:sz w:val="20"/>
          <w:szCs w:val="20"/>
        </w:rPr>
      </w:pPr>
      <w:r w:rsidRPr="005E664D">
        <w:rPr>
          <w:rFonts w:ascii="Verdana" w:hAnsi="Verdana"/>
          <w:bCs/>
          <w:sz w:val="20"/>
          <w:szCs w:val="20"/>
        </w:rPr>
        <w:t xml:space="preserve">El administrador delegado, tiene como obligación esencial, la de tomar bajo su responsabilidad la dirección técnica de la obra, de conformidad con </w:t>
      </w:r>
      <w:r w:rsidRPr="005E664D">
        <w:rPr>
          <w:rFonts w:ascii="Verdana" w:hAnsi="Verdana"/>
          <w:bCs/>
          <w:sz w:val="20"/>
          <w:szCs w:val="20"/>
        </w:rPr>
        <w:lastRenderedPageBreak/>
        <w:t>las cláusulas del respectivo contrato, la cual es de propiedad de la entidad estatal.</w:t>
      </w:r>
    </w:p>
    <w:p w14:paraId="6568C67A" w14:textId="77777777" w:rsidR="002469E9" w:rsidRPr="005E664D" w:rsidRDefault="002469E9" w:rsidP="00432BAE">
      <w:pPr>
        <w:spacing w:after="0" w:line="240" w:lineRule="auto"/>
        <w:ind w:left="709" w:right="709"/>
        <w:jc w:val="both"/>
        <w:rPr>
          <w:rFonts w:ascii="Verdana" w:hAnsi="Verdana"/>
          <w:bCs/>
          <w:sz w:val="20"/>
          <w:szCs w:val="20"/>
        </w:rPr>
      </w:pPr>
    </w:p>
    <w:p w14:paraId="7F9329EE" w14:textId="77777777" w:rsidR="002469E9" w:rsidRPr="005E664D" w:rsidRDefault="002469E9" w:rsidP="00432BAE">
      <w:pPr>
        <w:spacing w:after="0" w:line="240" w:lineRule="auto"/>
        <w:ind w:left="709" w:right="709"/>
        <w:jc w:val="both"/>
        <w:rPr>
          <w:rFonts w:ascii="Verdana" w:hAnsi="Verdana"/>
          <w:bCs/>
          <w:sz w:val="20"/>
          <w:szCs w:val="20"/>
        </w:rPr>
      </w:pPr>
      <w:r w:rsidRPr="005E664D">
        <w:rPr>
          <w:rFonts w:ascii="Verdana" w:hAnsi="Verdana"/>
          <w:bCs/>
          <w:sz w:val="20"/>
          <w:szCs w:val="20"/>
        </w:rPr>
        <w:t xml:space="preserve">En el evento de que el administrador delegado celebre subcontratos para efectos de la ejecución del objeto convenido, él será el único responsable de </w:t>
      </w:r>
      <w:proofErr w:type="gramStart"/>
      <w:r w:rsidRPr="005E664D">
        <w:rPr>
          <w:rFonts w:ascii="Verdana" w:hAnsi="Verdana"/>
          <w:bCs/>
          <w:sz w:val="20"/>
          <w:szCs w:val="20"/>
        </w:rPr>
        <w:t>los mismos</w:t>
      </w:r>
      <w:proofErr w:type="gramEnd"/>
      <w:r w:rsidRPr="005E664D">
        <w:rPr>
          <w:rStyle w:val="Refdenotaalpie"/>
          <w:rFonts w:ascii="Verdana" w:hAnsi="Verdana"/>
          <w:bCs/>
          <w:sz w:val="20"/>
          <w:szCs w:val="20"/>
        </w:rPr>
        <w:footnoteReference w:id="13"/>
      </w:r>
      <w:r w:rsidRPr="005E664D">
        <w:rPr>
          <w:rFonts w:ascii="Verdana" w:hAnsi="Verdana"/>
          <w:bCs/>
          <w:sz w:val="20"/>
          <w:szCs w:val="20"/>
        </w:rPr>
        <w:t>”.</w:t>
      </w:r>
    </w:p>
    <w:p w14:paraId="4BBC9A14" w14:textId="77777777" w:rsidR="002469E9" w:rsidRPr="00D22F9B" w:rsidRDefault="002469E9" w:rsidP="007525FA">
      <w:pPr>
        <w:widowControl w:val="0"/>
        <w:autoSpaceDE w:val="0"/>
        <w:autoSpaceDN w:val="0"/>
        <w:spacing w:after="0" w:line="276" w:lineRule="auto"/>
        <w:ind w:firstLine="709"/>
        <w:jc w:val="both"/>
        <w:rPr>
          <w:rFonts w:ascii="Verdana" w:eastAsia="Arial" w:hAnsi="Verdana" w:cs="Arial"/>
          <w:lang w:val="es-ES"/>
        </w:rPr>
      </w:pPr>
    </w:p>
    <w:p w14:paraId="1D6FCC9B" w14:textId="77777777" w:rsidR="002469E9" w:rsidRPr="00D22F9B" w:rsidRDefault="002469E9" w:rsidP="007525FA">
      <w:pPr>
        <w:spacing w:after="0" w:line="276" w:lineRule="auto"/>
        <w:ind w:firstLine="708"/>
        <w:contextualSpacing/>
        <w:jc w:val="both"/>
        <w:rPr>
          <w:rFonts w:ascii="Verdana" w:eastAsia="Calibri" w:hAnsi="Verdana" w:cs="Arial"/>
        </w:rPr>
      </w:pPr>
      <w:r w:rsidRPr="00D22F9B">
        <w:rPr>
          <w:rFonts w:ascii="Verdana" w:eastAsia="Calibri" w:hAnsi="Verdana" w:cs="Arial"/>
        </w:rPr>
        <w:t>En este contexto específico, la administración delegada consiste en la modalidad mediante la cual el contratista recibe unos recursos en administración que se encuentran destinados a cubrir los costos de un determinado proyecto. Por la ejecución de estas actividades de administración que realiza por cuenta del contratante, el contratista recibe a título de pago unos honorarios.</w:t>
      </w:r>
    </w:p>
    <w:p w14:paraId="650919E4" w14:textId="77777777" w:rsidR="002469E9" w:rsidRPr="00D22F9B" w:rsidRDefault="002469E9" w:rsidP="007525FA">
      <w:pPr>
        <w:widowControl w:val="0"/>
        <w:autoSpaceDE w:val="0"/>
        <w:autoSpaceDN w:val="0"/>
        <w:spacing w:before="120" w:after="120" w:line="276" w:lineRule="auto"/>
        <w:ind w:firstLine="709"/>
        <w:jc w:val="both"/>
        <w:rPr>
          <w:rFonts w:ascii="Verdana" w:eastAsia="Arial" w:hAnsi="Verdana" w:cs="Arial"/>
          <w:lang w:val="es-ES"/>
        </w:rPr>
      </w:pPr>
      <w:r w:rsidRPr="00D22F9B">
        <w:rPr>
          <w:rFonts w:ascii="Verdana" w:eastAsia="Calibri" w:hAnsi="Verdana" w:cs="Arial"/>
        </w:rPr>
        <w:t>La administración delegada puede comprender actividades de administración y gestión de otro tipo de actividades y contratos, con lo cual es similar al contrato de mandato. Sobre este aspecto</w:t>
      </w:r>
      <w:r w:rsidRPr="00D22F9B">
        <w:rPr>
          <w:rFonts w:ascii="Verdana" w:eastAsia="Arial" w:hAnsi="Verdana" w:cs="Arial"/>
          <w:lang w:val="es-ES"/>
        </w:rPr>
        <w:t>, la Sección Cuarta del Consejo de Estado precisó que la administración delegada reviste de la misma esencia de la relación contractual propia del mandato, en el entendido de que el contratista representa, administra y gestiona el contrato</w:t>
      </w:r>
      <w:r w:rsidRPr="00D22F9B">
        <w:rPr>
          <w:rFonts w:ascii="Verdana" w:eastAsia="Arial" w:hAnsi="Verdana" w:cs="Arial"/>
          <w:vertAlign w:val="superscript"/>
          <w:lang w:val="es-ES"/>
        </w:rPr>
        <w:footnoteReference w:id="14"/>
      </w:r>
      <w:r w:rsidRPr="00D22F9B">
        <w:rPr>
          <w:rFonts w:ascii="Verdana" w:eastAsia="Arial" w:hAnsi="Verdana" w:cs="Arial"/>
          <w:lang w:val="es-ES"/>
        </w:rPr>
        <w:t xml:space="preserve">. Por ello, el contratista recibe como valor del contrato los recursos de inversión o entregados en administración y los honorarios, imponiéndosele, en virtud del principio de transparencia, el deber de identificar con claridad cada uno de estos valores y de rendirle cuentas a la entidad contratante, como a los órganos de control, si estos lo solicitan. </w:t>
      </w:r>
    </w:p>
    <w:p w14:paraId="293339E3" w14:textId="77777777" w:rsidR="002469E9" w:rsidRPr="00D22F9B" w:rsidRDefault="002469E9" w:rsidP="007525FA">
      <w:pPr>
        <w:widowControl w:val="0"/>
        <w:autoSpaceDE w:val="0"/>
        <w:autoSpaceDN w:val="0"/>
        <w:spacing w:after="0" w:line="276" w:lineRule="auto"/>
        <w:ind w:firstLine="709"/>
        <w:jc w:val="both"/>
        <w:rPr>
          <w:rFonts w:ascii="Verdana" w:eastAsia="Arial" w:hAnsi="Verdana" w:cs="Arial"/>
          <w:lang w:val="es-ES"/>
        </w:rPr>
      </w:pPr>
      <w:r w:rsidRPr="00D22F9B">
        <w:rPr>
          <w:rFonts w:ascii="Verdana" w:eastAsia="Arial" w:hAnsi="Verdana" w:cs="Arial"/>
          <w:lang w:val="es-ES"/>
        </w:rPr>
        <w:t>Así lo ha señalado la Sala de Consulta y Servicio Civil del Consejo de Estado:</w:t>
      </w:r>
    </w:p>
    <w:p w14:paraId="2D408F2F" w14:textId="77777777" w:rsidR="002469E9" w:rsidRPr="00432BAE" w:rsidRDefault="002469E9" w:rsidP="00432BAE">
      <w:pPr>
        <w:spacing w:after="0" w:line="276" w:lineRule="auto"/>
        <w:ind w:left="709" w:right="760"/>
        <w:jc w:val="both"/>
        <w:rPr>
          <w:rFonts w:ascii="Verdana" w:eastAsia="Calibri" w:hAnsi="Verdana" w:cs="Arial"/>
          <w:color w:val="000000" w:themeColor="text1"/>
          <w:lang w:val="es-ES_tradnl"/>
        </w:rPr>
      </w:pPr>
    </w:p>
    <w:p w14:paraId="20C1D01F" w14:textId="77777777" w:rsidR="002469E9" w:rsidRPr="00034A35" w:rsidRDefault="002469E9" w:rsidP="00034A35">
      <w:pPr>
        <w:spacing w:after="0" w:line="240" w:lineRule="auto"/>
        <w:ind w:left="709" w:right="709"/>
        <w:jc w:val="both"/>
        <w:rPr>
          <w:rFonts w:ascii="Verdana" w:eastAsia="Calibri" w:hAnsi="Verdana" w:cs="Arial"/>
          <w:color w:val="000000" w:themeColor="text1"/>
          <w:sz w:val="20"/>
          <w:szCs w:val="20"/>
          <w:lang w:val="es-ES_tradnl"/>
        </w:rPr>
      </w:pPr>
      <w:r w:rsidRPr="00034A35">
        <w:rPr>
          <w:rFonts w:ascii="Verdana" w:eastAsia="Calibri" w:hAnsi="Verdana" w:cs="Arial"/>
          <w:color w:val="000000" w:themeColor="text1"/>
          <w:sz w:val="20"/>
          <w:szCs w:val="20"/>
          <w:lang w:val="es-ES_tradnl"/>
        </w:rPr>
        <w:t>“Según la jurisprudencia del Consejo de Estado (sección tercera, sentencias de 12 de septiembre de 1994 y 23 de marzo de 1995), el sistema de administración delegada se realiza “por cuenta y riesgo del contratante”, por lo cual coloca al contratista en la posición de un representante que no contrae obligaciones a nombre propio sino del contratante, salvo en tratándose de subcontratos, o sea cuando el contratista encomienda la ejecución de parte del objeto del contrato a un tercero, pues en este evento el subcontratista se vincula en forma directa e independiente con el contratista.</w:t>
      </w:r>
    </w:p>
    <w:p w14:paraId="465A0B21" w14:textId="77777777" w:rsidR="002469E9" w:rsidRPr="00034A35" w:rsidRDefault="002469E9" w:rsidP="00034A35">
      <w:pPr>
        <w:spacing w:after="0" w:line="240" w:lineRule="auto"/>
        <w:ind w:left="709" w:right="709"/>
        <w:jc w:val="both"/>
        <w:rPr>
          <w:rFonts w:ascii="Verdana" w:eastAsia="Calibri" w:hAnsi="Verdana" w:cs="Arial"/>
          <w:color w:val="000000" w:themeColor="text1"/>
          <w:sz w:val="20"/>
          <w:szCs w:val="20"/>
          <w:lang w:val="es-ES_tradnl"/>
        </w:rPr>
      </w:pPr>
    </w:p>
    <w:p w14:paraId="0769D0FA" w14:textId="77777777" w:rsidR="002469E9" w:rsidRPr="00034A35" w:rsidRDefault="002469E9" w:rsidP="00034A35">
      <w:pPr>
        <w:spacing w:after="0" w:line="240" w:lineRule="auto"/>
        <w:ind w:left="709" w:right="709"/>
        <w:jc w:val="both"/>
        <w:rPr>
          <w:rFonts w:ascii="Verdana" w:eastAsia="Calibri" w:hAnsi="Verdana" w:cs="Arial"/>
          <w:color w:val="000000" w:themeColor="text1"/>
          <w:sz w:val="20"/>
          <w:szCs w:val="20"/>
          <w:lang w:val="es-ES_tradnl"/>
        </w:rPr>
      </w:pPr>
      <w:r w:rsidRPr="00034A35">
        <w:rPr>
          <w:rFonts w:ascii="Verdana" w:eastAsia="Calibri" w:hAnsi="Verdana" w:cs="Arial"/>
          <w:color w:val="000000" w:themeColor="text1"/>
          <w:sz w:val="20"/>
          <w:szCs w:val="20"/>
          <w:lang w:val="es-ES_tradnl"/>
        </w:rPr>
        <w:lastRenderedPageBreak/>
        <w:t>Se comprende entonces que corresponda a la entidad contratante suministrar los fondos necesarios para el cumplimiento de las funciones u obligaciones del contratista; fondos que el administrador delegado manejará bajo su propia responsabilidad, con la obligación de rendir cuentas a la entidad respectiva y a la Contraloría General de la República. Adicionalmente, también se podrán suministrar al contratista equipos y elementos de propiedad de la entidad contratante”</w:t>
      </w:r>
      <w:r w:rsidRPr="00034A35">
        <w:rPr>
          <w:rFonts w:ascii="Verdana" w:eastAsia="Calibri" w:hAnsi="Verdana" w:cs="Arial"/>
          <w:color w:val="000000" w:themeColor="text1"/>
          <w:sz w:val="20"/>
          <w:szCs w:val="20"/>
          <w:vertAlign w:val="superscript"/>
          <w:lang w:val="es-ES_tradnl"/>
        </w:rPr>
        <w:footnoteReference w:id="15"/>
      </w:r>
      <w:r w:rsidRPr="00034A35">
        <w:rPr>
          <w:rFonts w:ascii="Verdana" w:eastAsia="Calibri" w:hAnsi="Verdana" w:cs="Arial"/>
          <w:color w:val="000000" w:themeColor="text1"/>
          <w:sz w:val="20"/>
          <w:szCs w:val="20"/>
          <w:lang w:val="es-ES_tradnl"/>
        </w:rPr>
        <w:t>.</w:t>
      </w:r>
    </w:p>
    <w:p w14:paraId="0182AE16" w14:textId="77777777" w:rsidR="002469E9" w:rsidRPr="00D22F9B" w:rsidRDefault="002469E9" w:rsidP="007525FA">
      <w:pPr>
        <w:widowControl w:val="0"/>
        <w:autoSpaceDE w:val="0"/>
        <w:autoSpaceDN w:val="0"/>
        <w:spacing w:after="0" w:line="276" w:lineRule="auto"/>
        <w:ind w:firstLine="709"/>
        <w:jc w:val="both"/>
        <w:rPr>
          <w:rFonts w:ascii="Verdana" w:eastAsia="Calibri" w:hAnsi="Verdana" w:cs="Arial"/>
          <w:bCs/>
          <w:color w:val="000000" w:themeColor="text1"/>
          <w:lang w:val="es-ES_tradnl"/>
        </w:rPr>
      </w:pPr>
    </w:p>
    <w:p w14:paraId="0D5D3C5D" w14:textId="77777777" w:rsidR="002469E9" w:rsidRPr="00D22F9B" w:rsidRDefault="002469E9" w:rsidP="007525FA">
      <w:pPr>
        <w:widowControl w:val="0"/>
        <w:autoSpaceDE w:val="0"/>
        <w:autoSpaceDN w:val="0"/>
        <w:spacing w:after="120" w:line="276" w:lineRule="auto"/>
        <w:ind w:firstLine="709"/>
        <w:jc w:val="both"/>
        <w:rPr>
          <w:rFonts w:ascii="Verdana" w:eastAsia="Calibri" w:hAnsi="Verdana" w:cs="Arial"/>
          <w:bCs/>
          <w:color w:val="000000" w:themeColor="text1"/>
        </w:rPr>
      </w:pPr>
      <w:r w:rsidRPr="00D22F9B">
        <w:rPr>
          <w:rFonts w:ascii="Verdana" w:eastAsia="Calibri" w:hAnsi="Verdana" w:cs="Arial"/>
          <w:bCs/>
          <w:color w:val="000000" w:themeColor="text1"/>
          <w:lang w:val="es-ES_tradnl"/>
        </w:rPr>
        <w:t>Posteriormente, el Consejo de Estado, en su Sala de Consulta y Servicio Civil</w:t>
      </w:r>
      <w:r w:rsidRPr="00D22F9B">
        <w:rPr>
          <w:rFonts w:ascii="Verdana" w:eastAsia="Calibri" w:hAnsi="Verdana" w:cs="Arial"/>
          <w:bCs/>
          <w:color w:val="000000" w:themeColor="text1"/>
          <w:vertAlign w:val="superscript"/>
          <w:lang w:val="es-ES_tradnl"/>
        </w:rPr>
        <w:footnoteReference w:id="16"/>
      </w:r>
      <w:r w:rsidRPr="00D22F9B">
        <w:rPr>
          <w:rFonts w:ascii="Verdana" w:eastAsia="Calibri" w:hAnsi="Verdana" w:cs="Arial"/>
          <w:bCs/>
          <w:color w:val="000000" w:themeColor="text1"/>
          <w:lang w:val="es-ES_tradnl"/>
        </w:rPr>
        <w:t xml:space="preserve">, indicó que en </w:t>
      </w:r>
      <w:r w:rsidRPr="00D22F9B">
        <w:rPr>
          <w:rFonts w:ascii="Verdana" w:eastAsia="Calibri" w:hAnsi="Verdana" w:cs="Arial"/>
          <w:bCs/>
          <w:color w:val="000000" w:themeColor="text1"/>
        </w:rPr>
        <w:t xml:space="preserve">los contratos de administración delegada, se puede pactar la ejecución de un proyecto en su totalidad, donde la Entidad Estatal mantiene la titularidad de éste y de los dineros destinados para su ejecución, mientras que el contratista sólo los administra y ejecuta a cambio de una contraprestación, que cuando se entrega a título de pago, se desplaza al patrimonio del contratista sin ningún condicionamiento. </w:t>
      </w:r>
    </w:p>
    <w:p w14:paraId="4CE1825E" w14:textId="77777777" w:rsidR="002469E9" w:rsidRPr="00D22F9B" w:rsidRDefault="002469E9" w:rsidP="007525FA">
      <w:pPr>
        <w:widowControl w:val="0"/>
        <w:autoSpaceDE w:val="0"/>
        <w:autoSpaceDN w:val="0"/>
        <w:spacing w:after="120" w:line="276" w:lineRule="auto"/>
        <w:ind w:firstLine="709"/>
        <w:jc w:val="both"/>
        <w:rPr>
          <w:rFonts w:ascii="Verdana" w:eastAsia="Arial" w:hAnsi="Verdana" w:cs="Arial"/>
          <w:lang w:val="es-ES"/>
        </w:rPr>
      </w:pPr>
      <w:r w:rsidRPr="00D22F9B">
        <w:rPr>
          <w:rFonts w:ascii="Verdana" w:eastAsia="Arial" w:hAnsi="Verdana" w:cs="Arial"/>
        </w:rPr>
        <w:t>A la luz de lo anterior</w:t>
      </w:r>
      <w:r w:rsidRPr="00D22F9B">
        <w:rPr>
          <w:rFonts w:ascii="Verdana" w:eastAsia="Arial" w:hAnsi="Verdana" w:cs="Arial"/>
          <w:lang w:val="es-ES"/>
        </w:rPr>
        <w:t xml:space="preserve">, </w:t>
      </w:r>
      <w:r w:rsidRPr="00D22F9B">
        <w:rPr>
          <w:rFonts w:ascii="Verdana" w:eastAsia="Times New Roman" w:hAnsi="Verdana" w:cs="Arial"/>
          <w:bCs/>
          <w:lang w:val="es-ES" w:eastAsia="es-ES"/>
        </w:rPr>
        <w:t>es preciso citar la sentencia del 20 de noviembre de 2020</w:t>
      </w:r>
      <w:r w:rsidRPr="00D22F9B">
        <w:rPr>
          <w:rFonts w:ascii="Verdana" w:eastAsia="Times New Roman" w:hAnsi="Verdana" w:cs="Arial"/>
          <w:bCs/>
          <w:vertAlign w:val="superscript"/>
          <w:lang w:val="es-ES" w:eastAsia="es-ES"/>
        </w:rPr>
        <w:footnoteReference w:id="17"/>
      </w:r>
      <w:r w:rsidRPr="00D22F9B">
        <w:rPr>
          <w:rFonts w:ascii="Verdana" w:eastAsia="Times New Roman" w:hAnsi="Verdana" w:cs="Arial"/>
          <w:bCs/>
          <w:lang w:val="es-ES" w:eastAsia="es-ES"/>
        </w:rPr>
        <w:t xml:space="preserve">, que reiteró que, si bien las normas del mandato se integren al contenido del contrato de obra por administración delegada no quiere decir que el contratista obre en nombre y representación del contratante frente a terceros. Sobre el tema, la providencia reiteró que la representación no es un elemento de la esencia de este negocio jurídico, como se deduce del artículo 2.177 del Código Civil, que prescribe que el </w:t>
      </w:r>
      <w:r w:rsidRPr="00D22F9B">
        <w:rPr>
          <w:rFonts w:ascii="Verdana" w:eastAsia="Calibri" w:hAnsi="Verdana" w:cs="Arial"/>
          <w:lang w:val="es-ES_tradnl" w:eastAsia="es-ES"/>
        </w:rPr>
        <w:t>“</w:t>
      </w:r>
      <w:r w:rsidRPr="00D22F9B">
        <w:rPr>
          <w:rFonts w:ascii="Verdana" w:eastAsia="Times New Roman" w:hAnsi="Verdana" w:cs="Arial"/>
          <w:bCs/>
          <w:lang w:val="es-ES" w:eastAsia="es-ES"/>
        </w:rPr>
        <w:t>mandatario puede, en el ejercicio de su cargo, contratar a su propio nombre, caso en el cual no obliga respecto de terceros al mandante</w:t>
      </w:r>
      <w:r w:rsidRPr="00D22F9B">
        <w:rPr>
          <w:rFonts w:ascii="Verdana" w:eastAsia="Calibri" w:hAnsi="Verdana" w:cs="Arial"/>
          <w:lang w:val="es-ES_tradnl" w:eastAsia="es-ES"/>
        </w:rPr>
        <w:t>”</w:t>
      </w:r>
      <w:r w:rsidRPr="00D22F9B">
        <w:rPr>
          <w:rFonts w:ascii="Verdana" w:eastAsia="Times New Roman" w:hAnsi="Verdana" w:cs="Arial"/>
          <w:bCs/>
          <w:lang w:val="es-ES" w:eastAsia="es-ES"/>
        </w:rPr>
        <w:t xml:space="preserve">. De igual forma, el inciso segundo del artículo 1.262 del Código de Comercio también contempla que </w:t>
      </w:r>
      <w:r w:rsidRPr="00D22F9B">
        <w:rPr>
          <w:rFonts w:ascii="Verdana" w:eastAsia="Calibri" w:hAnsi="Verdana" w:cs="Arial"/>
          <w:lang w:val="es-ES_tradnl" w:eastAsia="es-ES"/>
        </w:rPr>
        <w:t>“</w:t>
      </w:r>
      <w:r w:rsidRPr="00D22F9B">
        <w:rPr>
          <w:rFonts w:ascii="Verdana" w:eastAsia="Times New Roman" w:hAnsi="Verdana" w:cs="Arial"/>
          <w:bCs/>
          <w:lang w:val="es-ES" w:eastAsia="es-ES"/>
        </w:rPr>
        <w:t>el mandato [comercial] puede conllevar o no la representación del mandante</w:t>
      </w:r>
      <w:r w:rsidRPr="00D22F9B">
        <w:rPr>
          <w:rFonts w:ascii="Verdana" w:eastAsia="Calibri" w:hAnsi="Verdana" w:cs="Arial"/>
          <w:lang w:val="es-ES_tradnl" w:eastAsia="es-ES"/>
        </w:rPr>
        <w:t>”</w:t>
      </w:r>
      <w:r w:rsidRPr="00D22F9B">
        <w:rPr>
          <w:rFonts w:ascii="Verdana" w:eastAsia="Times New Roman" w:hAnsi="Verdana" w:cs="Arial"/>
          <w:bCs/>
          <w:lang w:val="es-ES" w:eastAsia="es-ES"/>
        </w:rPr>
        <w:t xml:space="preserve">. </w:t>
      </w:r>
    </w:p>
    <w:p w14:paraId="0253398A" w14:textId="77777777" w:rsidR="002469E9" w:rsidRPr="00D22F9B" w:rsidRDefault="002469E9" w:rsidP="007525FA">
      <w:pPr>
        <w:spacing w:line="276" w:lineRule="auto"/>
        <w:ind w:firstLine="708"/>
        <w:jc w:val="both"/>
        <w:rPr>
          <w:rFonts w:ascii="Verdana" w:eastAsia="Times New Roman" w:hAnsi="Verdana" w:cs="Arial"/>
          <w:bCs/>
          <w:lang w:val="es-ES" w:eastAsia="es-ES"/>
        </w:rPr>
      </w:pPr>
      <w:r w:rsidRPr="00D22F9B">
        <w:rPr>
          <w:rFonts w:ascii="Verdana" w:eastAsia="Times New Roman" w:hAnsi="Verdana" w:cs="Arial"/>
          <w:bCs/>
          <w:lang w:val="es-ES" w:eastAsia="es-ES"/>
        </w:rPr>
        <w:t xml:space="preserve">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se exceda en los límites de su </w:t>
      </w:r>
      <w:r w:rsidRPr="00D22F9B">
        <w:rPr>
          <w:rFonts w:ascii="Verdana" w:eastAsia="Times New Roman" w:hAnsi="Verdana" w:cs="Arial"/>
          <w:bCs/>
          <w:lang w:val="es-ES" w:eastAsia="es-ES"/>
        </w:rPr>
        <w:lastRenderedPageBreak/>
        <w:t>encargo, como se deduce de los artículos 2.186 del Código Civil y 1.266 del Código de Comercio</w:t>
      </w:r>
      <w:r w:rsidRPr="00D22F9B">
        <w:rPr>
          <w:rFonts w:ascii="Verdana" w:eastAsia="Times New Roman" w:hAnsi="Verdana" w:cs="Arial"/>
          <w:bCs/>
          <w:vertAlign w:val="superscript"/>
          <w:lang w:val="es-ES" w:eastAsia="es-ES"/>
        </w:rPr>
        <w:footnoteReference w:id="18"/>
      </w:r>
      <w:r w:rsidRPr="00D22F9B">
        <w:rPr>
          <w:rFonts w:ascii="Verdana" w:eastAsia="Times New Roman" w:hAnsi="Verdana" w:cs="Arial"/>
          <w:bCs/>
          <w:lang w:val="es-ES" w:eastAsia="es-ES"/>
        </w:rPr>
        <w:t xml:space="preserve">. </w:t>
      </w:r>
    </w:p>
    <w:p w14:paraId="4DD315C9" w14:textId="77777777" w:rsidR="002469E9" w:rsidRPr="00D22F9B" w:rsidRDefault="002469E9" w:rsidP="007525FA">
      <w:pPr>
        <w:spacing w:after="0" w:line="276" w:lineRule="auto"/>
        <w:ind w:firstLine="708"/>
        <w:jc w:val="both"/>
        <w:rPr>
          <w:rFonts w:ascii="Verdana" w:eastAsia="Times New Roman" w:hAnsi="Verdana" w:cs="Arial"/>
          <w:bCs/>
          <w:lang w:val="es-ES" w:eastAsia="es-ES"/>
        </w:rPr>
      </w:pPr>
      <w:r w:rsidRPr="00D22F9B">
        <w:rPr>
          <w:rFonts w:ascii="Verdana" w:eastAsia="Times New Roman" w:hAnsi="Verdana" w:cs="Arial"/>
          <w:bCs/>
          <w:lang w:val="es-ES" w:eastAsia="es-ES"/>
        </w:rPr>
        <w:t>Al respecto, la Corte Suprema de Justicia ha dicho que el mandato puede constituir representación o no, y que cuando las partes optan que se ejerza sin representación conlleva que:</w:t>
      </w:r>
    </w:p>
    <w:p w14:paraId="35F791C5" w14:textId="77777777" w:rsidR="002469E9" w:rsidRPr="00D22F9B" w:rsidRDefault="002469E9" w:rsidP="007525FA">
      <w:pPr>
        <w:spacing w:after="0" w:line="276" w:lineRule="auto"/>
        <w:ind w:firstLine="708"/>
        <w:jc w:val="both"/>
        <w:rPr>
          <w:rFonts w:ascii="Verdana" w:eastAsia="Times New Roman" w:hAnsi="Verdana" w:cs="Arial"/>
          <w:bCs/>
          <w:lang w:val="es-ES" w:eastAsia="es-ES"/>
        </w:rPr>
      </w:pPr>
    </w:p>
    <w:p w14:paraId="75A00390" w14:textId="77777777" w:rsidR="002469E9" w:rsidRPr="00034A35" w:rsidRDefault="002469E9" w:rsidP="00034A35">
      <w:pPr>
        <w:spacing w:after="0" w:line="240" w:lineRule="auto"/>
        <w:ind w:left="709" w:right="709"/>
        <w:jc w:val="both"/>
        <w:rPr>
          <w:rFonts w:ascii="Verdana" w:eastAsia="Times New Roman" w:hAnsi="Verdana" w:cs="Arial"/>
          <w:bCs/>
          <w:sz w:val="20"/>
          <w:szCs w:val="20"/>
          <w:lang w:val="es-ES" w:eastAsia="es-ES"/>
        </w:rPr>
      </w:pPr>
      <w:r w:rsidRPr="00034A35">
        <w:rPr>
          <w:rFonts w:ascii="Verdana" w:eastAsia="Times New Roman" w:hAnsi="Verdana" w:cs="Arial"/>
          <w:bCs/>
          <w:sz w:val="20"/>
          <w:szCs w:val="20"/>
          <w:lang w:val="es-ES" w:eastAsia="es-ES"/>
        </w:rPr>
        <w:t xml:space="preserve"> “entre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 aunque obra frente a terceros en nombre propio, sigue haciéndolo por cuenta ajena, la del mandante, y a riesgo de éste, cual lo define el reseñado artículo 1262 del Código de Comercio, de modo que sobre su patrimonio habrán de recaer, en últimas, los resultados del acto”</w:t>
      </w:r>
      <w:r w:rsidRPr="00034A35">
        <w:rPr>
          <w:rFonts w:ascii="Verdana" w:eastAsia="Times New Roman" w:hAnsi="Verdana" w:cs="Arial"/>
          <w:bCs/>
          <w:sz w:val="20"/>
          <w:szCs w:val="20"/>
          <w:vertAlign w:val="superscript"/>
          <w:lang w:val="es-ES" w:eastAsia="es-ES"/>
        </w:rPr>
        <w:footnoteReference w:id="19"/>
      </w:r>
      <w:r w:rsidRPr="00034A35">
        <w:rPr>
          <w:rFonts w:ascii="Verdana" w:eastAsia="Times New Roman" w:hAnsi="Verdana" w:cs="Arial"/>
          <w:bCs/>
          <w:sz w:val="20"/>
          <w:szCs w:val="20"/>
          <w:lang w:val="es-ES" w:eastAsia="es-ES"/>
        </w:rPr>
        <w:t xml:space="preserve">. </w:t>
      </w:r>
    </w:p>
    <w:p w14:paraId="16B592B7" w14:textId="77777777" w:rsidR="002469E9" w:rsidRPr="00432BAE" w:rsidRDefault="002469E9" w:rsidP="00432BAE">
      <w:pPr>
        <w:spacing w:after="0" w:line="276" w:lineRule="auto"/>
        <w:ind w:left="709" w:right="709"/>
        <w:jc w:val="both"/>
        <w:rPr>
          <w:rFonts w:ascii="Verdana" w:eastAsia="Times New Roman" w:hAnsi="Verdana" w:cs="Arial"/>
          <w:bCs/>
          <w:lang w:val="es-ES" w:eastAsia="es-ES"/>
        </w:rPr>
      </w:pPr>
    </w:p>
    <w:p w14:paraId="4ECA436E" w14:textId="77777777" w:rsidR="002469E9" w:rsidRPr="00D22F9B" w:rsidRDefault="002469E9" w:rsidP="007525FA">
      <w:pPr>
        <w:spacing w:after="120" w:line="276" w:lineRule="auto"/>
        <w:ind w:firstLine="709"/>
        <w:jc w:val="both"/>
        <w:rPr>
          <w:rFonts w:ascii="Verdana" w:eastAsia="Calibri" w:hAnsi="Verdana" w:cs="Arial"/>
        </w:rPr>
      </w:pPr>
      <w:r w:rsidRPr="00D22F9B">
        <w:rPr>
          <w:rFonts w:ascii="Verdana" w:eastAsia="Calibri" w:hAnsi="Verdana" w:cs="Arial"/>
        </w:rPr>
        <w:t xml:space="preserve">Según lo expuesto, la administración delegada puede ser pactada como parte de un mandato con o sin representación en el marco de un contrato interadministrativo. Esta forma de administración delegada asociada al mandato será distinta de aquella que se pacta como para la administración o pago, como los casos señalados que no implican un contrato de mandato. </w:t>
      </w:r>
    </w:p>
    <w:p w14:paraId="4089C1B5" w14:textId="77777777" w:rsidR="002469E9" w:rsidRPr="00D22F9B" w:rsidRDefault="002469E9" w:rsidP="007525FA">
      <w:pPr>
        <w:spacing w:after="0" w:line="276" w:lineRule="auto"/>
        <w:ind w:firstLine="709"/>
        <w:jc w:val="both"/>
        <w:rPr>
          <w:rFonts w:ascii="Verdana" w:eastAsia="Times New Roman" w:hAnsi="Verdana" w:cs="Arial"/>
          <w:lang w:val="es-ES" w:eastAsia="es-CO"/>
        </w:rPr>
      </w:pPr>
      <w:r w:rsidRPr="00D22F9B">
        <w:rPr>
          <w:rFonts w:ascii="Verdana" w:eastAsia="Times New Roman" w:hAnsi="Verdana" w:cs="Arial"/>
          <w:lang w:val="es-ES" w:eastAsia="es-CO"/>
        </w:rPr>
        <w:t xml:space="preserve">Recientemente, el Consejo de Estado en sentencia del 20 de junio de 2023, reiterando lo expuesto por esta Corporación frente a la esencia del mandato en la administración delegada, señaló lo siguiente: </w:t>
      </w:r>
    </w:p>
    <w:p w14:paraId="7FD9020F" w14:textId="77777777" w:rsidR="002469E9" w:rsidRPr="00D22F9B" w:rsidRDefault="002469E9" w:rsidP="007525FA">
      <w:pPr>
        <w:spacing w:after="0" w:line="276" w:lineRule="auto"/>
        <w:ind w:firstLine="709"/>
        <w:jc w:val="both"/>
        <w:rPr>
          <w:rFonts w:ascii="Verdana" w:eastAsia="Times New Roman" w:hAnsi="Verdana" w:cs="Arial"/>
          <w:lang w:val="es-ES" w:eastAsia="es-CO"/>
        </w:rPr>
      </w:pPr>
    </w:p>
    <w:p w14:paraId="4330FA53" w14:textId="77777777" w:rsidR="002469E9" w:rsidRPr="00034A35" w:rsidRDefault="002469E9" w:rsidP="00034A35">
      <w:pPr>
        <w:spacing w:after="0" w:line="240" w:lineRule="auto"/>
        <w:ind w:left="709" w:right="709"/>
        <w:jc w:val="both"/>
        <w:rPr>
          <w:rFonts w:ascii="Verdana" w:eastAsia="Times New Roman" w:hAnsi="Verdana" w:cs="Arial"/>
          <w:bCs/>
          <w:sz w:val="20"/>
          <w:szCs w:val="20"/>
          <w:lang w:val="es-ES" w:eastAsia="es-ES"/>
        </w:rPr>
      </w:pPr>
      <w:r w:rsidRPr="00432BAE">
        <w:rPr>
          <w:rFonts w:ascii="Verdana" w:eastAsia="Times New Roman" w:hAnsi="Verdana" w:cs="Arial"/>
          <w:sz w:val="20"/>
          <w:szCs w:val="20"/>
          <w:lang w:val="es-ES" w:eastAsia="es-CO"/>
        </w:rPr>
        <w:t>“</w:t>
      </w:r>
      <w:r w:rsidRPr="00034A35">
        <w:rPr>
          <w:rFonts w:ascii="Verdana" w:eastAsia="Times New Roman" w:hAnsi="Verdana" w:cs="Arial"/>
          <w:bCs/>
          <w:sz w:val="20"/>
          <w:szCs w:val="20"/>
          <w:lang w:val="es-ES" w:eastAsia="es-ES"/>
        </w:rPr>
        <w:t xml:space="preserve">En el contrato de obra por administración delegada, el administrador delegado, se encarga, por cuenta y riesgo del contratante, de la ejecución del objeto convenido, figura que por ende entraña la relación contractual propia del mandato, pues en los términos del artículo 2142 del Código Civil, el contratante “confía la gestión de uno más negocios a otra por cuenta y riesgo de la primera”, y con ocasión de la ejecución del encargo, el mandatario, a su vez y como regla general, contrata en nombre del mandante; no obstante, la regla general antes indicada tiene su excepción, pues tal como es dispuesto por el artículo 2177 ejusdem, el mandatario “puede, en el ejercicio de su cargo, contratar a su propio </w:t>
      </w:r>
      <w:r w:rsidRPr="00034A35">
        <w:rPr>
          <w:rFonts w:ascii="Verdana" w:eastAsia="Times New Roman" w:hAnsi="Verdana" w:cs="Arial"/>
          <w:bCs/>
          <w:sz w:val="20"/>
          <w:szCs w:val="20"/>
          <w:lang w:val="es-ES" w:eastAsia="es-ES"/>
        </w:rPr>
        <w:lastRenderedPageBreak/>
        <w:t>nombre o al del mandante” y “si contrata a su propio nombre no obliga respecto de terceros al mandante</w:t>
      </w:r>
      <w:r w:rsidRPr="00034A35">
        <w:rPr>
          <w:rFonts w:ascii="Verdana" w:eastAsia="Times New Roman" w:hAnsi="Verdana" w:cs="Arial"/>
          <w:bCs/>
          <w:sz w:val="20"/>
          <w:szCs w:val="20"/>
          <w:vertAlign w:val="superscript"/>
          <w:lang w:val="es-ES" w:eastAsia="es-ES"/>
        </w:rPr>
        <w:footnoteReference w:id="20"/>
      </w:r>
      <w:r w:rsidRPr="00034A35">
        <w:rPr>
          <w:rFonts w:ascii="Verdana" w:eastAsia="Times New Roman" w:hAnsi="Verdana" w:cs="Arial"/>
          <w:bCs/>
          <w:sz w:val="20"/>
          <w:szCs w:val="20"/>
          <w:lang w:val="es-ES" w:eastAsia="es-ES"/>
        </w:rPr>
        <w:t>”.</w:t>
      </w:r>
    </w:p>
    <w:p w14:paraId="49002C2D" w14:textId="77777777" w:rsidR="002469E9" w:rsidRPr="00D22F9B" w:rsidRDefault="002469E9" w:rsidP="007525FA">
      <w:pPr>
        <w:spacing w:after="0" w:line="276" w:lineRule="auto"/>
        <w:ind w:left="709" w:right="618"/>
        <w:jc w:val="both"/>
        <w:rPr>
          <w:rFonts w:ascii="Verdana" w:eastAsia="Times New Roman" w:hAnsi="Verdana" w:cs="Arial"/>
          <w:bCs/>
          <w:lang w:val="es-ES" w:eastAsia="es-ES"/>
        </w:rPr>
      </w:pPr>
    </w:p>
    <w:p w14:paraId="26AB9503" w14:textId="77777777" w:rsidR="002469E9" w:rsidRPr="00D22F9B" w:rsidRDefault="002469E9" w:rsidP="007525FA">
      <w:pPr>
        <w:spacing w:after="120" w:line="276" w:lineRule="auto"/>
        <w:ind w:firstLine="708"/>
        <w:jc w:val="both"/>
        <w:rPr>
          <w:rFonts w:ascii="Verdana" w:eastAsia="Calibri" w:hAnsi="Verdana" w:cs="Arial"/>
        </w:rPr>
      </w:pPr>
      <w:r w:rsidRPr="00D22F9B">
        <w:rPr>
          <w:rFonts w:ascii="Verdana" w:eastAsia="Calibri" w:hAnsi="Verdana" w:cs="Arial"/>
        </w:rPr>
        <w:t xml:space="preserve">Lo anterior evidencia que la ejecución de 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 </w:t>
      </w:r>
      <w:r w:rsidRPr="00D22F9B">
        <w:rPr>
          <w:rFonts w:ascii="Verdana" w:hAnsi="Verdana" w:cs="Arial"/>
          <w:bCs/>
        </w:rPr>
        <w:t xml:space="preserve">En estos casos, la ejecución de actividades de subcontratación en cumplimiento del mandato </w:t>
      </w:r>
      <w:r w:rsidRPr="00D22F9B">
        <w:rPr>
          <w:rFonts w:ascii="Verdana" w:eastAsia="Calibri" w:hAnsi="Verdana" w:cs="Arial"/>
        </w:rPr>
        <w:t>no implica una delegación de funciones en cabeza del mandante.</w:t>
      </w:r>
    </w:p>
    <w:p w14:paraId="1F8065B0" w14:textId="77777777" w:rsidR="002469E9" w:rsidRPr="00D22F9B" w:rsidRDefault="002469E9" w:rsidP="007525FA">
      <w:pPr>
        <w:spacing w:after="120" w:line="276" w:lineRule="auto"/>
        <w:ind w:firstLine="708"/>
        <w:jc w:val="both"/>
        <w:rPr>
          <w:rFonts w:ascii="Verdana" w:eastAsia="Calibri" w:hAnsi="Verdana" w:cs="Arial"/>
        </w:rPr>
      </w:pPr>
      <w:r w:rsidRPr="00D22F9B">
        <w:rPr>
          <w:rFonts w:ascii="Verdana" w:eastAsia="Times New Roman" w:hAnsi="Verdana" w:cs="Arial"/>
          <w:lang w:val="es-ES" w:eastAsia="es-CO"/>
        </w:rPr>
        <w:t>En este sentido, el Consejo de Estado ha indicado sobre la subcontratación en el marco de la administración delegada que “</w:t>
      </w:r>
      <w:r w:rsidRPr="00D22F9B">
        <w:rPr>
          <w:rFonts w:ascii="Verdana" w:eastAsia="Times New Roman" w:hAnsi="Verdana" w:cs="Arial"/>
          <w:lang w:eastAsia="es-CO"/>
        </w:rPr>
        <w:t xml:space="preserve">aunque el administrador delegado tiene como obligación esencial tomar bajo su responsabilidad la dirección técnica de la obra, la cual es de propiedad de la entidad estatal, en el evento de que el administrador delegado celebre subcontratos para efectos de la ejecución del objeto convenido, él será el único responsable de </w:t>
      </w:r>
      <w:proofErr w:type="gramStart"/>
      <w:r w:rsidRPr="00D22F9B">
        <w:rPr>
          <w:rFonts w:ascii="Verdana" w:eastAsia="Times New Roman" w:hAnsi="Verdana" w:cs="Arial"/>
          <w:lang w:eastAsia="es-CO"/>
        </w:rPr>
        <w:t>los mismos</w:t>
      </w:r>
      <w:proofErr w:type="gramEnd"/>
      <w:r w:rsidRPr="00D22F9B">
        <w:rPr>
          <w:rFonts w:ascii="Verdana" w:eastAsia="Times New Roman" w:hAnsi="Verdana" w:cs="Arial"/>
          <w:lang w:eastAsia="es-CO"/>
        </w:rPr>
        <w:t>”</w:t>
      </w:r>
      <w:r w:rsidRPr="00D22F9B">
        <w:rPr>
          <w:rFonts w:ascii="Verdana" w:eastAsia="Times New Roman" w:hAnsi="Verdana" w:cs="Arial"/>
          <w:vertAlign w:val="superscript"/>
          <w:lang w:eastAsia="es-CO"/>
        </w:rPr>
        <w:footnoteReference w:id="21"/>
      </w:r>
      <w:r w:rsidRPr="00D22F9B">
        <w:rPr>
          <w:rFonts w:ascii="Verdana" w:eastAsia="Times New Roman" w:hAnsi="Verdana" w:cs="Arial"/>
          <w:lang w:eastAsia="es-CO"/>
        </w:rPr>
        <w:t>.</w:t>
      </w:r>
      <w:r w:rsidRPr="00D22F9B">
        <w:rPr>
          <w:rFonts w:ascii="Verdana" w:hAnsi="Verdana" w:cs="Arial"/>
          <w:lang w:val="es-ES"/>
        </w:rPr>
        <w:t xml:space="preserve"> En este sentido, </w:t>
      </w:r>
      <w:r w:rsidRPr="00D22F9B">
        <w:rPr>
          <w:rFonts w:ascii="Verdana" w:hAnsi="Verdana" w:cs="Arial"/>
          <w:bCs/>
        </w:rPr>
        <w:t xml:space="preserve">si bien la administración delegada implica la realización o ejecución del objeto convenido, junto con la administración de los recursos, en caso de que se celebren subcontratos no se genera una relación jurídica entre la entidad contratante y los terceros.  </w:t>
      </w:r>
    </w:p>
    <w:p w14:paraId="1BC9E35C" w14:textId="77777777" w:rsidR="002469E9" w:rsidRPr="00D22F9B" w:rsidRDefault="002469E9" w:rsidP="007525FA">
      <w:pPr>
        <w:spacing w:after="120" w:line="276" w:lineRule="auto"/>
        <w:ind w:firstLine="709"/>
        <w:jc w:val="both"/>
        <w:rPr>
          <w:rFonts w:ascii="Verdana" w:hAnsi="Verdana" w:cs="Arial"/>
          <w:bCs/>
          <w:lang w:val="es-ES_tradnl"/>
        </w:rPr>
      </w:pPr>
      <w:r w:rsidRPr="00D22F9B">
        <w:rPr>
          <w:rFonts w:ascii="Verdana" w:hAnsi="Verdana" w:cs="Arial"/>
          <w:bCs/>
        </w:rPr>
        <w:t xml:space="preserve">Así pues, teniendo en cuenta que </w:t>
      </w:r>
      <w:r w:rsidRPr="00D22F9B">
        <w:rPr>
          <w:rFonts w:ascii="Verdana" w:hAnsi="Verdana" w:cs="Arial"/>
          <w:bCs/>
          <w:lang w:val="es-ES_tradnl"/>
        </w:rPr>
        <w:t xml:space="preserve">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las entidades estatales podrán celebrar la administración delegada como forma de mandato, </w:t>
      </w:r>
      <w:r w:rsidRPr="00D22F9B">
        <w:rPr>
          <w:rFonts w:ascii="Verdana" w:eastAsia="Century Gothic" w:hAnsi="Verdana" w:cs="Century Gothic"/>
          <w:color w:val="000000" w:themeColor="text1"/>
        </w:rPr>
        <w:t xml:space="preserve">por el cual la entidad estatal contratante –mandante– encomienda a la entidad estatal contratista –mandataria– la administración de un proyecto. </w:t>
      </w:r>
    </w:p>
    <w:p w14:paraId="2B2412C5" w14:textId="77777777" w:rsidR="002469E9" w:rsidRPr="00D22F9B" w:rsidRDefault="002469E9" w:rsidP="007525FA">
      <w:pPr>
        <w:widowControl w:val="0"/>
        <w:autoSpaceDE w:val="0"/>
        <w:autoSpaceDN w:val="0"/>
        <w:spacing w:after="120" w:line="276" w:lineRule="auto"/>
        <w:ind w:firstLine="709"/>
        <w:jc w:val="both"/>
        <w:rPr>
          <w:rFonts w:ascii="Verdana" w:eastAsia="Arial" w:hAnsi="Verdana" w:cs="Arial"/>
          <w:lang w:val="es-ES"/>
        </w:rPr>
      </w:pPr>
      <w:r w:rsidRPr="00D22F9B">
        <w:rPr>
          <w:rFonts w:ascii="Verdana" w:eastAsia="Arial" w:hAnsi="Verdana" w:cs="Arial"/>
          <w:lang w:val="es-ES"/>
        </w:rPr>
        <w:t xml:space="preserve">Por otro lado, según se indicó, la administración delegada puede </w:t>
      </w:r>
      <w:r w:rsidRPr="00D22F9B">
        <w:rPr>
          <w:rFonts w:ascii="Verdana" w:eastAsia="Arial" w:hAnsi="Verdana" w:cs="Arial"/>
          <w:lang w:val="es-ES"/>
        </w:rPr>
        <w:lastRenderedPageBreak/>
        <w:t xml:space="preserve">concebirse como una forma de pago de contratos como el de obra pública o el de interventoría. En efecto, dentro de la forma de pactar la metodología de ejecución y el precio de los contratos estatales de obra pública, las partes pueden emplear distintos sistemas, como, por ejemplo, i) el “precio global” –en el que se paga “a mano alzada” el objeto del contrato–; </w:t>
      </w:r>
      <w:proofErr w:type="spellStart"/>
      <w:r w:rsidRPr="00D22F9B">
        <w:rPr>
          <w:rFonts w:ascii="Verdana" w:eastAsia="Arial" w:hAnsi="Verdana" w:cs="Arial"/>
          <w:lang w:val="es-ES"/>
        </w:rPr>
        <w:t>ii</w:t>
      </w:r>
      <w:proofErr w:type="spellEnd"/>
      <w:r w:rsidRPr="00D22F9B">
        <w:rPr>
          <w:rFonts w:ascii="Verdana" w:eastAsia="Arial" w:hAnsi="Verdana" w:cs="Arial"/>
          <w:lang w:val="es-ES"/>
        </w:rPr>
        <w:t xml:space="preserve">) los “precios unitarios” –en los cuales se suelen detallar los costos directos, diferenciándolos de los costos indirectos de administración (A), imprevistos (I) y utilidades (U)–, o </w:t>
      </w:r>
      <w:proofErr w:type="spellStart"/>
      <w:r w:rsidRPr="00D22F9B">
        <w:rPr>
          <w:rFonts w:ascii="Verdana" w:eastAsia="Arial" w:hAnsi="Verdana" w:cs="Arial"/>
          <w:lang w:val="es-ES"/>
        </w:rPr>
        <w:t>iii</w:t>
      </w:r>
      <w:proofErr w:type="spellEnd"/>
      <w:r w:rsidRPr="00D22F9B">
        <w:rPr>
          <w:rFonts w:ascii="Verdana" w:eastAsia="Arial" w:hAnsi="Verdana" w:cs="Arial"/>
          <w:lang w:val="es-ES"/>
        </w:rPr>
        <w:t xml:space="preserve">) la “administración delegada”, que consiste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 Sobre este aspecto, la doctrina ha señalado lo siguiente: </w:t>
      </w:r>
      <w:r w:rsidRPr="00D22F9B">
        <w:rPr>
          <w:rFonts w:ascii="Verdana" w:hAnsi="Verdana" w:cs="Arial"/>
          <w:lang w:val="es-ES"/>
        </w:rPr>
        <w:t xml:space="preserve"> </w:t>
      </w:r>
    </w:p>
    <w:p w14:paraId="21F0DAF2" w14:textId="77777777" w:rsidR="002469E9" w:rsidRPr="00432BAE" w:rsidRDefault="002469E9" w:rsidP="00432BAE">
      <w:pPr>
        <w:snapToGrid w:val="0"/>
        <w:spacing w:after="0" w:line="276" w:lineRule="auto"/>
        <w:ind w:firstLine="709"/>
        <w:jc w:val="both"/>
        <w:rPr>
          <w:rFonts w:ascii="Verdana" w:hAnsi="Verdana" w:cs="Arial"/>
          <w:lang w:val="es-ES"/>
        </w:rPr>
      </w:pPr>
    </w:p>
    <w:p w14:paraId="300C456A" w14:textId="77777777" w:rsidR="002469E9" w:rsidRPr="00432BAE" w:rsidRDefault="002469E9" w:rsidP="00432BAE">
      <w:pPr>
        <w:snapToGrid w:val="0"/>
        <w:spacing w:after="120" w:line="240" w:lineRule="auto"/>
        <w:ind w:left="709" w:right="618"/>
        <w:jc w:val="both"/>
        <w:rPr>
          <w:rFonts w:ascii="Verdana" w:hAnsi="Verdana" w:cs="Arial"/>
          <w:sz w:val="20"/>
          <w:szCs w:val="20"/>
          <w:lang w:val="es-ES"/>
        </w:rPr>
      </w:pPr>
      <w:r w:rsidRPr="00432BAE">
        <w:rPr>
          <w:rFonts w:ascii="Verdana" w:hAnsi="Verdana" w:cs="Arial"/>
          <w:sz w:val="20"/>
          <w:szCs w:val="20"/>
          <w:lang w:val="es-ES"/>
        </w:rPr>
        <w:t>“La administración delegada es una modalidad de pago poco usada en la actualidad, pero, al fin y al cabo, empleada ocasionalmente. En ella el contratista se compromete a ejecutar un trabajo, pero con los recursos económicos, materiales y/o la maquinaria del Estado. Desde este punto de vista se diferencia sustancialmente del precio global y del unitario, donde lo normal es que el contratista pone estos recursos para ejecutar el trabajo.</w:t>
      </w:r>
    </w:p>
    <w:p w14:paraId="61CFC2A1" w14:textId="77777777" w:rsidR="002469E9" w:rsidRPr="00432BAE" w:rsidRDefault="002469E9" w:rsidP="00432BAE">
      <w:pPr>
        <w:snapToGrid w:val="0"/>
        <w:spacing w:after="120" w:line="240" w:lineRule="auto"/>
        <w:ind w:left="709" w:right="618"/>
        <w:jc w:val="both"/>
        <w:rPr>
          <w:rFonts w:ascii="Verdana" w:hAnsi="Verdana" w:cs="Arial"/>
          <w:sz w:val="20"/>
          <w:szCs w:val="20"/>
          <w:lang w:val="es-ES"/>
        </w:rPr>
      </w:pPr>
      <w:r w:rsidRPr="00432BAE">
        <w:rPr>
          <w:rFonts w:ascii="Verdana" w:hAnsi="Verdana" w:cs="Arial"/>
          <w:sz w:val="20"/>
          <w:szCs w:val="20"/>
          <w:lang w:val="es-ES"/>
        </w:rPr>
        <w:t>[…]</w:t>
      </w:r>
    </w:p>
    <w:p w14:paraId="7A6A937F" w14:textId="77777777" w:rsidR="002469E9" w:rsidRPr="00432BAE" w:rsidRDefault="002469E9" w:rsidP="00432BAE">
      <w:pPr>
        <w:widowControl w:val="0"/>
        <w:autoSpaceDE w:val="0"/>
        <w:autoSpaceDN w:val="0"/>
        <w:spacing w:after="120" w:line="240" w:lineRule="auto"/>
        <w:ind w:left="709" w:right="618"/>
        <w:jc w:val="both"/>
        <w:rPr>
          <w:rFonts w:ascii="Verdana" w:hAnsi="Verdana" w:cs="Arial"/>
          <w:sz w:val="20"/>
          <w:szCs w:val="20"/>
          <w:lang w:val="es-ES"/>
        </w:rPr>
      </w:pPr>
      <w:r w:rsidRPr="00432BAE">
        <w:rPr>
          <w:rFonts w:ascii="Verdana" w:hAnsi="Verdana" w:cs="Arial"/>
          <w:sz w:val="20"/>
          <w:szCs w:val="20"/>
          <w:lang w:val="es-ES"/>
        </w:rPr>
        <w:t xml:space="preserve">Los aspectos claves de este negocio, en función del precio, tienen que ver con el hecho de que la entidad estatal asume la obligación de poner el dinero para que el contratista compre los materiales, pague el arriendo de la maquinaria, del personal de trabajo, y demás elementos necesarios para la construcción; y el contratista se compromete a construir con estos recursos puestos a su disposición; no se le paga un precio unitario o global, sino una </w:t>
      </w:r>
      <w:r w:rsidRPr="00432BAE">
        <w:rPr>
          <w:rFonts w:ascii="Verdana" w:hAnsi="Verdana" w:cs="Arial"/>
          <w:i/>
          <w:iCs/>
          <w:sz w:val="20"/>
          <w:szCs w:val="20"/>
          <w:lang w:val="es-ES"/>
        </w:rPr>
        <w:t>administración</w:t>
      </w:r>
      <w:r w:rsidRPr="00432BAE">
        <w:rPr>
          <w:rFonts w:ascii="Verdana" w:hAnsi="Verdana" w:cs="Arial"/>
          <w:sz w:val="20"/>
          <w:szCs w:val="20"/>
          <w:lang w:val="es-ES"/>
        </w:rPr>
        <w:t>, por el hecho de poner su conocimiento y esfuerzo al servicio de la construcción de una obra, la cual ejecuta con los recursos del Estado</w:t>
      </w:r>
      <w:r w:rsidRPr="00432BAE">
        <w:rPr>
          <w:rFonts w:ascii="Verdana" w:hAnsi="Verdana" w:cs="Arial"/>
          <w:sz w:val="20"/>
          <w:szCs w:val="20"/>
          <w:vertAlign w:val="superscript"/>
          <w:lang w:val="es-ES"/>
        </w:rPr>
        <w:footnoteReference w:id="22"/>
      </w:r>
      <w:r w:rsidRPr="00432BAE">
        <w:rPr>
          <w:rFonts w:ascii="Verdana" w:hAnsi="Verdana" w:cs="Arial"/>
          <w:sz w:val="20"/>
          <w:szCs w:val="20"/>
          <w:lang w:val="es-ES"/>
        </w:rPr>
        <w:t>”</w:t>
      </w:r>
    </w:p>
    <w:p w14:paraId="65A95663" w14:textId="77777777" w:rsidR="002469E9" w:rsidRPr="00432BAE" w:rsidRDefault="002469E9" w:rsidP="00432BAE">
      <w:pPr>
        <w:widowControl w:val="0"/>
        <w:autoSpaceDE w:val="0"/>
        <w:autoSpaceDN w:val="0"/>
        <w:spacing w:after="0" w:line="276" w:lineRule="auto"/>
        <w:ind w:left="709" w:right="618"/>
        <w:jc w:val="both"/>
        <w:rPr>
          <w:rFonts w:ascii="Verdana" w:eastAsia="Arial" w:hAnsi="Verdana" w:cs="Arial"/>
          <w:lang w:val="es-ES"/>
        </w:rPr>
      </w:pPr>
    </w:p>
    <w:p w14:paraId="2C63F97F" w14:textId="77777777" w:rsidR="002469E9" w:rsidRPr="00D22F9B" w:rsidRDefault="002469E9" w:rsidP="007525FA">
      <w:pPr>
        <w:widowControl w:val="0"/>
        <w:autoSpaceDE w:val="0"/>
        <w:autoSpaceDN w:val="0"/>
        <w:spacing w:after="120" w:line="276" w:lineRule="auto"/>
        <w:ind w:firstLine="709"/>
        <w:jc w:val="both"/>
        <w:rPr>
          <w:rFonts w:ascii="Verdana" w:eastAsia="Arial" w:hAnsi="Verdana" w:cs="Arial"/>
          <w:lang w:val="es-ES"/>
        </w:rPr>
      </w:pPr>
      <w:r w:rsidRPr="00D22F9B">
        <w:rPr>
          <w:rFonts w:ascii="Verdana" w:eastAsia="Arial" w:hAnsi="Verdana" w:cs="Arial"/>
          <w:lang w:val="es-ES"/>
        </w:rPr>
        <w:t xml:space="preserve">De igual forma, se ha señalado que “en la administración delegada el contratista se compromete a construir una obra y la entidad estatal asume los valores de los subcontratos que debe celebrar el contratista para cumplir con el objeto, con un valor adicional que corresponde a los honorarios de </w:t>
      </w:r>
      <w:r w:rsidRPr="00D22F9B">
        <w:rPr>
          <w:rFonts w:ascii="Verdana" w:eastAsia="Arial" w:hAnsi="Verdana" w:cs="Arial"/>
          <w:lang w:val="es-ES"/>
        </w:rPr>
        <w:lastRenderedPageBreak/>
        <w:t xml:space="preserve">administración (costos de personal, oficinas, vehículos, </w:t>
      </w:r>
      <w:proofErr w:type="spellStart"/>
      <w:r w:rsidRPr="00D22F9B">
        <w:rPr>
          <w:rFonts w:ascii="Verdana" w:eastAsia="Arial" w:hAnsi="Verdana" w:cs="Arial"/>
          <w:lang w:val="es-ES"/>
        </w:rPr>
        <w:t>etc</w:t>
      </w:r>
      <w:proofErr w:type="spellEnd"/>
      <w:r w:rsidRPr="00D22F9B">
        <w:rPr>
          <w:rFonts w:ascii="Verdana" w:eastAsia="Arial" w:hAnsi="Verdana" w:cs="Arial"/>
          <w:lang w:val="es-ES"/>
        </w:rPr>
        <w:t xml:space="preserve">) y la utilidad”. De esta forma, se refiere a este sistema de pago como el de costes y costas: “Coste” comprende todos los gastos de construcción (materiales, mano de obra, </w:t>
      </w:r>
      <w:proofErr w:type="spellStart"/>
      <w:r w:rsidRPr="00D22F9B">
        <w:rPr>
          <w:rFonts w:ascii="Verdana" w:eastAsia="Arial" w:hAnsi="Verdana" w:cs="Arial"/>
          <w:lang w:val="es-ES"/>
        </w:rPr>
        <w:t>ect</w:t>
      </w:r>
      <w:proofErr w:type="spellEnd"/>
      <w:r w:rsidRPr="00D22F9B">
        <w:rPr>
          <w:rFonts w:ascii="Verdana" w:eastAsia="Arial" w:hAnsi="Verdana" w:cs="Arial"/>
          <w:lang w:val="es-ES"/>
        </w:rPr>
        <w:t>); “costas” comprende la utilidad del cocontratante. La suma de estos rubros traduce el precio de la obra”</w:t>
      </w:r>
      <w:r w:rsidRPr="00D22F9B">
        <w:rPr>
          <w:rFonts w:ascii="Verdana" w:eastAsia="Arial" w:hAnsi="Verdana" w:cs="Arial"/>
          <w:vertAlign w:val="superscript"/>
          <w:lang w:val="es-ES"/>
        </w:rPr>
        <w:footnoteReference w:id="23"/>
      </w:r>
      <w:r w:rsidRPr="00D22F9B">
        <w:rPr>
          <w:rFonts w:ascii="Verdana" w:eastAsia="Arial" w:hAnsi="Verdana" w:cs="Arial"/>
          <w:lang w:val="es-ES"/>
        </w:rPr>
        <w:t>.</w:t>
      </w:r>
    </w:p>
    <w:p w14:paraId="12673556" w14:textId="77777777" w:rsidR="002469E9" w:rsidRPr="00D22F9B" w:rsidRDefault="002469E9" w:rsidP="007525FA">
      <w:pPr>
        <w:spacing w:before="120" w:after="120" w:line="276" w:lineRule="auto"/>
        <w:ind w:firstLine="709"/>
        <w:jc w:val="both"/>
        <w:rPr>
          <w:rFonts w:ascii="Verdana" w:hAnsi="Verdana" w:cs="Arial"/>
          <w:bCs/>
        </w:rPr>
      </w:pPr>
      <w:r w:rsidRPr="00D22F9B">
        <w:rPr>
          <w:rFonts w:ascii="Verdana" w:hAnsi="Verdana" w:cs="Arial"/>
          <w:bCs/>
        </w:rPr>
        <w:t>Conforme lo expuesto, es jurídicamente viable que las entidades celebren contratos interadministrativos en los cuales pacten la administración delegada de un proyecto como forma de pago o que se encuentre asociada a un mandato en los términos de la normativa civil y comercial</w:t>
      </w:r>
      <w:r w:rsidRPr="00D22F9B">
        <w:rPr>
          <w:rFonts w:ascii="Verdana" w:eastAsia="Calibri" w:hAnsi="Verdana" w:cs="Arial"/>
        </w:rPr>
        <w:t>. Lo anterior implica que, en virtud de la autonomía de la voluntad, y del objeto específico del contrato, sea necesario que el contratista desarrolle acciones como la selección y contratación de personal, o la subcontratación de algunas actividades. Sin embargo, la ejecución de estos actos debe tener como finalidad dar cumplimiento a las obligaciones pactadas y lograr el objeto convenido.</w:t>
      </w:r>
    </w:p>
    <w:p w14:paraId="1C75E090" w14:textId="77777777" w:rsidR="002469E9" w:rsidRPr="00D22F9B" w:rsidRDefault="002469E9" w:rsidP="007525FA">
      <w:pPr>
        <w:spacing w:before="120" w:after="120" w:line="276" w:lineRule="auto"/>
        <w:ind w:firstLine="709"/>
        <w:jc w:val="both"/>
        <w:rPr>
          <w:rFonts w:ascii="Verdana" w:eastAsia="Calibri" w:hAnsi="Verdana" w:cs="Arial"/>
        </w:rPr>
      </w:pPr>
      <w:r w:rsidRPr="00D22F9B">
        <w:rPr>
          <w:rFonts w:ascii="Verdana" w:eastAsia="Calibri" w:hAnsi="Verdana" w:cs="Arial"/>
        </w:rPr>
        <w:t>Adicionalmente, en estos negocios jurídicos el contratista recibe unos recursos en administración que deben estar destinados a cubrir los costos del proyecto y, además, tendrá derecho a recibir una remuneración o pago de honorarios por dicha gestión. Sobre lo primero, es importante resaltar que los fondos que la entidad entregue al contratista son para el cumplimiento de sus funciones y obligaciones, y el administrador delegado deberá manejarlos bajo su propia responsabilidad. En esta labor, deberá rendir cuentas a la entidad y a los entes de control pues se trata de recursos públicos destinados a cumplir con un fin de esta naturaleza. En este sentido, el contratista debe cumplir obligaciones claras frente a la gestión y ejecución de los recursos que le han sido trasladados en administración.</w:t>
      </w:r>
    </w:p>
    <w:p w14:paraId="7134B041" w14:textId="77777777" w:rsidR="002469E9" w:rsidRPr="00D22F9B" w:rsidRDefault="002469E9" w:rsidP="007525FA">
      <w:pPr>
        <w:widowControl w:val="0"/>
        <w:autoSpaceDE w:val="0"/>
        <w:autoSpaceDN w:val="0"/>
        <w:spacing w:after="120" w:line="276" w:lineRule="auto"/>
        <w:ind w:firstLine="709"/>
        <w:jc w:val="both"/>
        <w:rPr>
          <w:rFonts w:ascii="Verdana" w:eastAsia="Arial" w:hAnsi="Verdana" w:cs="Arial"/>
          <w:lang w:val="es-ES"/>
        </w:rPr>
      </w:pPr>
      <w:r w:rsidRPr="00D22F9B">
        <w:rPr>
          <w:rFonts w:ascii="Verdana" w:eastAsia="Arial" w:hAnsi="Verdana" w:cs="Arial"/>
          <w:lang w:val="es-ES"/>
        </w:rPr>
        <w:t xml:space="preserve">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w:t>
      </w:r>
    </w:p>
    <w:p w14:paraId="0D5A9372" w14:textId="77777777" w:rsidR="002469E9" w:rsidRPr="00D22F9B" w:rsidRDefault="002469E9" w:rsidP="007525FA">
      <w:pPr>
        <w:spacing w:before="120" w:after="120" w:line="276" w:lineRule="auto"/>
        <w:ind w:firstLine="709"/>
        <w:jc w:val="both"/>
        <w:rPr>
          <w:rFonts w:ascii="Verdana" w:eastAsia="Verdana" w:hAnsi="Verdana" w:cs="Verdana"/>
        </w:rPr>
      </w:pPr>
      <w:r w:rsidRPr="00D22F9B">
        <w:rPr>
          <w:rFonts w:ascii="Verdana" w:eastAsia="Times New Roman" w:hAnsi="Verdana" w:cs="Arial"/>
          <w:color w:val="000000"/>
          <w:lang w:val="es-ES_tradnl" w:eastAsia="es-ES_tradnl"/>
        </w:rPr>
        <w:t xml:space="preserve">Finalmente debe advertirse que el análisis requerido para resolver problemas específicos en torno al problema jurídico planteado debe ser realizado por quienes tengan interés en ello. De esta manera, las afirmaciones aquí </w:t>
      </w:r>
      <w:r w:rsidRPr="00D22F9B">
        <w:rPr>
          <w:rFonts w:ascii="Verdana" w:eastAsia="Times New Roman" w:hAnsi="Verdana" w:cs="Arial"/>
          <w:color w:val="000000"/>
          <w:lang w:val="es-ES_tradnl" w:eastAsia="es-ES_tradnl"/>
        </w:rPr>
        <w:lastRenderedPageBreak/>
        <w:t xml:space="preserve">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66D72A31" w14:textId="77777777" w:rsidR="002469E9" w:rsidRPr="00D22F9B" w:rsidRDefault="002469E9" w:rsidP="007525FA">
      <w:pPr>
        <w:spacing w:before="120" w:after="120" w:line="276" w:lineRule="auto"/>
        <w:ind w:firstLine="709"/>
        <w:jc w:val="both"/>
        <w:rPr>
          <w:rFonts w:ascii="Verdana" w:eastAsia="Verdana" w:hAnsi="Verdana" w:cs="Verdana"/>
        </w:rPr>
      </w:pPr>
      <w:r w:rsidRPr="00D22F9B">
        <w:rPr>
          <w:rFonts w:ascii="Verdana" w:eastAsia="Times New Roman" w:hAnsi="Verdana" w:cs="Arial"/>
          <w:color w:val="000000"/>
          <w:lang w:val="es-ES_tradnl" w:eastAsia="es-ES_tradn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77A9954" w14:textId="77777777" w:rsidR="002469E9" w:rsidRPr="00D22F9B" w:rsidRDefault="002469E9" w:rsidP="007525FA">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Referencias normativas y jurisprudenciales:</w:t>
      </w:r>
    </w:p>
    <w:p w14:paraId="65590B32" w14:textId="77777777" w:rsidR="002469E9" w:rsidRPr="00D22F9B" w:rsidRDefault="002469E9" w:rsidP="007525FA">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69E9" w:rsidRPr="00D22F9B" w14:paraId="477294A5" w14:textId="77777777" w:rsidTr="00DF12E3">
        <w:trPr>
          <w:trHeight w:val="410"/>
          <w:jc w:val="center"/>
        </w:trPr>
        <w:tc>
          <w:tcPr>
            <w:tcW w:w="8647" w:type="dxa"/>
          </w:tcPr>
          <w:p w14:paraId="240F7BA5" w14:textId="77777777" w:rsidR="002469E9" w:rsidRPr="00D22F9B" w:rsidRDefault="002469E9" w:rsidP="00432BAE">
            <w:pPr>
              <w:pStyle w:val="Prrafodelista"/>
              <w:numPr>
                <w:ilvl w:val="0"/>
                <w:numId w:val="17"/>
              </w:numPr>
              <w:spacing w:line="276" w:lineRule="auto"/>
              <w:rPr>
                <w:rFonts w:ascii="Verdana" w:hAnsi="Verdana" w:cs="Arial"/>
              </w:rPr>
            </w:pPr>
            <w:r w:rsidRPr="00D22F9B">
              <w:rPr>
                <w:rFonts w:ascii="Verdana" w:hAnsi="Verdana" w:cs="Arial"/>
              </w:rPr>
              <w:t>Constitución Política de Colombia. Artículo 74 y 209</w:t>
            </w:r>
          </w:p>
          <w:p w14:paraId="010733CD" w14:textId="77777777" w:rsidR="002469E9" w:rsidRPr="00D22F9B" w:rsidRDefault="002469E9" w:rsidP="00432BAE">
            <w:pPr>
              <w:pStyle w:val="Prrafodelista"/>
              <w:numPr>
                <w:ilvl w:val="0"/>
                <w:numId w:val="17"/>
              </w:numPr>
              <w:spacing w:line="276" w:lineRule="auto"/>
              <w:rPr>
                <w:rFonts w:ascii="Verdana" w:hAnsi="Verdana" w:cs="Arial"/>
              </w:rPr>
            </w:pPr>
            <w:r w:rsidRPr="00D22F9B">
              <w:rPr>
                <w:rFonts w:ascii="Verdana" w:hAnsi="Verdana" w:cs="Arial"/>
              </w:rPr>
              <w:t xml:space="preserve">Ley 80 de 1993, artículos 1, </w:t>
            </w:r>
            <w:r w:rsidRPr="00D22F9B">
              <w:rPr>
                <w:rFonts w:ascii="Verdana" w:hAnsi="Verdana" w:cs="Arial"/>
                <w:lang w:val="es-CO"/>
              </w:rPr>
              <w:t>13, 40 13, 32 y 40</w:t>
            </w:r>
          </w:p>
          <w:p w14:paraId="0C5ADE32" w14:textId="77777777" w:rsidR="002469E9" w:rsidRPr="00D22F9B" w:rsidRDefault="002469E9" w:rsidP="00432BAE">
            <w:pPr>
              <w:pStyle w:val="Prrafodelista"/>
              <w:numPr>
                <w:ilvl w:val="0"/>
                <w:numId w:val="17"/>
              </w:numPr>
              <w:spacing w:line="276" w:lineRule="auto"/>
              <w:rPr>
                <w:rFonts w:ascii="Verdana" w:hAnsi="Verdana" w:cs="Arial"/>
              </w:rPr>
            </w:pPr>
            <w:r w:rsidRPr="00D22F9B">
              <w:rPr>
                <w:rFonts w:ascii="Verdana" w:hAnsi="Verdana" w:cs="Arial"/>
              </w:rPr>
              <w:t xml:space="preserve">Ley 1150 de 2007, artículo 2, numeral 4, literal c) y artículo 3 </w:t>
            </w:r>
          </w:p>
          <w:p w14:paraId="150AE9C7" w14:textId="77777777" w:rsidR="002469E9" w:rsidRPr="00D22F9B" w:rsidRDefault="002469E9" w:rsidP="00432BAE">
            <w:pPr>
              <w:pStyle w:val="Prrafodelista"/>
              <w:numPr>
                <w:ilvl w:val="0"/>
                <w:numId w:val="17"/>
              </w:numPr>
              <w:spacing w:line="276" w:lineRule="auto"/>
              <w:rPr>
                <w:rFonts w:ascii="Verdana" w:hAnsi="Verdana" w:cs="Arial"/>
              </w:rPr>
            </w:pPr>
            <w:r w:rsidRPr="00D22F9B">
              <w:rPr>
                <w:rFonts w:ascii="Verdana" w:eastAsia="Times New Roman" w:hAnsi="Verdana" w:cs="Arial"/>
                <w:bCs/>
              </w:rPr>
              <w:t>Ley 1474 de 2011, artículos 83 y 84</w:t>
            </w:r>
          </w:p>
          <w:p w14:paraId="5EB72C74" w14:textId="77777777" w:rsidR="002469E9" w:rsidRPr="00D22F9B" w:rsidRDefault="002469E9" w:rsidP="00432BAE">
            <w:pPr>
              <w:pStyle w:val="Prrafodelista"/>
              <w:numPr>
                <w:ilvl w:val="0"/>
                <w:numId w:val="17"/>
              </w:numPr>
              <w:spacing w:line="276" w:lineRule="auto"/>
              <w:rPr>
                <w:rFonts w:ascii="Verdana" w:hAnsi="Verdana" w:cs="Arial"/>
              </w:rPr>
            </w:pPr>
            <w:r w:rsidRPr="00D22F9B">
              <w:rPr>
                <w:rFonts w:ascii="Verdana" w:eastAsia="Times New Roman" w:hAnsi="Verdana" w:cs="Arial"/>
                <w:bCs/>
              </w:rPr>
              <w:t>Ley 1712 de 2014, artículos 2, 3 y 9, literal e).</w:t>
            </w:r>
          </w:p>
          <w:p w14:paraId="34314654" w14:textId="77777777" w:rsidR="002469E9" w:rsidRPr="00D22F9B" w:rsidRDefault="002469E9" w:rsidP="007525FA">
            <w:pPr>
              <w:widowControl w:val="0"/>
              <w:numPr>
                <w:ilvl w:val="0"/>
                <w:numId w:val="17"/>
              </w:numPr>
              <w:autoSpaceDE w:val="0"/>
              <w:autoSpaceDN w:val="0"/>
              <w:spacing w:line="276" w:lineRule="auto"/>
              <w:jc w:val="both"/>
              <w:rPr>
                <w:rFonts w:ascii="Verdana" w:hAnsi="Verdana" w:cs="Arial"/>
                <w:lang w:val="es-ES"/>
              </w:rPr>
            </w:pPr>
            <w:r w:rsidRPr="00D22F9B">
              <w:rPr>
                <w:rFonts w:ascii="Verdana" w:hAnsi="Verdana" w:cs="Arial"/>
                <w:lang w:val="es-ES"/>
              </w:rPr>
              <w:t xml:space="preserve">Decreto 1082 de 2015. Artículo </w:t>
            </w:r>
            <w:r w:rsidRPr="00D22F9B">
              <w:rPr>
                <w:rFonts w:ascii="Verdana" w:hAnsi="Verdana" w:cs="Arial"/>
              </w:rPr>
              <w:t>2.1.1.2.1.7</w:t>
            </w:r>
          </w:p>
          <w:p w14:paraId="6163E120" w14:textId="77777777" w:rsidR="002469E9" w:rsidRPr="00D22F9B" w:rsidRDefault="002469E9" w:rsidP="007525FA">
            <w:pPr>
              <w:widowControl w:val="0"/>
              <w:numPr>
                <w:ilvl w:val="0"/>
                <w:numId w:val="17"/>
              </w:numPr>
              <w:autoSpaceDE w:val="0"/>
              <w:autoSpaceDN w:val="0"/>
              <w:spacing w:line="276" w:lineRule="auto"/>
              <w:jc w:val="both"/>
              <w:rPr>
                <w:rFonts w:ascii="Verdana" w:hAnsi="Verdana" w:cs="Arial"/>
                <w:lang w:val="es-ES"/>
              </w:rPr>
            </w:pPr>
            <w:r w:rsidRPr="00D22F9B">
              <w:rPr>
                <w:rFonts w:ascii="Verdana" w:hAnsi="Verdana" w:cs="Arial"/>
                <w:lang w:val="es-ES"/>
              </w:rPr>
              <w:t>Consejo de Estado. Sala de lo Contencioso Administrativo. Sección Tercera. Sentencia del 06 de junio de 2007. Radicación No. 25000-23-26-000-1996-02482-01(17.253). C.P: Ruth Stella Correa Palacio.</w:t>
            </w:r>
          </w:p>
          <w:p w14:paraId="4FC075F2" w14:textId="77777777" w:rsidR="002469E9" w:rsidRPr="00D22F9B" w:rsidRDefault="002469E9" w:rsidP="007525FA">
            <w:pPr>
              <w:widowControl w:val="0"/>
              <w:numPr>
                <w:ilvl w:val="0"/>
                <w:numId w:val="17"/>
              </w:numPr>
              <w:autoSpaceDE w:val="0"/>
              <w:autoSpaceDN w:val="0"/>
              <w:spacing w:line="276" w:lineRule="auto"/>
              <w:jc w:val="both"/>
              <w:rPr>
                <w:rFonts w:ascii="Verdana" w:hAnsi="Verdana" w:cs="Arial"/>
                <w:lang w:val="es-ES"/>
              </w:rPr>
            </w:pPr>
            <w:r w:rsidRPr="00D22F9B">
              <w:rPr>
                <w:rFonts w:ascii="Verdana" w:hAnsi="Verdana" w:cs="Arial"/>
                <w:lang w:val="es-ES"/>
              </w:rPr>
              <w:t>Consejo de Estado. Sala de lo Contencioso Administrativo. Sección Tercera. Subsección A. sentencia del 12 de agosto de 2019. Radicado: 25000-23-26-000-2002-01599-01(38603) C.P: María Adriana Marín</w:t>
            </w:r>
          </w:p>
          <w:p w14:paraId="25799F48" w14:textId="77777777" w:rsidR="002469E9" w:rsidRPr="00D22F9B" w:rsidRDefault="002469E9" w:rsidP="007525FA">
            <w:pPr>
              <w:widowControl w:val="0"/>
              <w:numPr>
                <w:ilvl w:val="0"/>
                <w:numId w:val="17"/>
              </w:numPr>
              <w:autoSpaceDE w:val="0"/>
              <w:autoSpaceDN w:val="0"/>
              <w:spacing w:line="276" w:lineRule="auto"/>
              <w:jc w:val="both"/>
              <w:rPr>
                <w:rFonts w:ascii="Verdana" w:hAnsi="Verdana" w:cs="Arial"/>
                <w:lang w:val="es-ES"/>
              </w:rPr>
            </w:pPr>
            <w:r w:rsidRPr="00D22F9B">
              <w:rPr>
                <w:rFonts w:ascii="Verdana" w:hAnsi="Verdana" w:cs="Arial"/>
                <w:lang w:val="es-ES"/>
              </w:rPr>
              <w:t>Consejo de Estado, Sala de lo Contencioso Administrativo, Sección Tercera. Subsección A. Sentencia del 20 de noviembre de 2020. Radicado: 05001-23-31-000-2002-02323-01 (47201). C.P: José Roberto Sáchica Méndez.</w:t>
            </w:r>
          </w:p>
          <w:p w14:paraId="45E042E1" w14:textId="77777777" w:rsidR="002469E9" w:rsidRPr="00D22F9B" w:rsidRDefault="002469E9" w:rsidP="007525FA">
            <w:pPr>
              <w:widowControl w:val="0"/>
              <w:numPr>
                <w:ilvl w:val="0"/>
                <w:numId w:val="17"/>
              </w:numPr>
              <w:autoSpaceDE w:val="0"/>
              <w:autoSpaceDN w:val="0"/>
              <w:spacing w:line="276" w:lineRule="auto"/>
              <w:jc w:val="both"/>
              <w:rPr>
                <w:rFonts w:ascii="Verdana" w:hAnsi="Verdana" w:cs="Arial"/>
                <w:lang w:val="es-ES"/>
              </w:rPr>
            </w:pPr>
            <w:r w:rsidRPr="00D22F9B">
              <w:rPr>
                <w:rFonts w:ascii="Verdana" w:hAnsi="Verdana" w:cs="Arial"/>
                <w:lang w:val="es-ES"/>
              </w:rPr>
              <w:t>Consejo de Estado. Sala de lo Contencioso Administrativo. Sección Tercera. Sentencia del 20 de junio de 2023. Radicado: 68001-23-31-000-2008-00361-01 (61174) C.P: José Roberto Sáchica Méndez.</w:t>
            </w:r>
          </w:p>
        </w:tc>
      </w:tr>
    </w:tbl>
    <w:p w14:paraId="11BD4ECB" w14:textId="77777777" w:rsidR="002469E9" w:rsidRPr="00D22F9B" w:rsidRDefault="002469E9" w:rsidP="007525FA">
      <w:pPr>
        <w:widowControl w:val="0"/>
        <w:autoSpaceDE w:val="0"/>
        <w:autoSpaceDN w:val="0"/>
        <w:spacing w:after="0" w:line="276" w:lineRule="auto"/>
        <w:jc w:val="both"/>
        <w:rPr>
          <w:rFonts w:ascii="Verdana" w:eastAsia="Calibri" w:hAnsi="Verdana" w:cs="Arial"/>
        </w:rPr>
      </w:pPr>
    </w:p>
    <w:p w14:paraId="268474D9" w14:textId="77777777" w:rsidR="002469E9" w:rsidRPr="00D22F9B" w:rsidRDefault="002469E9" w:rsidP="007525FA">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Doctrina de la Agencia Nacional de Contratación Pública:</w:t>
      </w:r>
    </w:p>
    <w:p w14:paraId="42837E07" w14:textId="77777777" w:rsidR="002469E9" w:rsidRPr="00D22F9B" w:rsidRDefault="002469E9" w:rsidP="007525FA">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49869A2D" w14:textId="77777777" w:rsidR="002469E9" w:rsidRPr="00D22F9B" w:rsidRDefault="002469E9" w:rsidP="007525FA">
      <w:pPr>
        <w:widowControl w:val="0"/>
        <w:autoSpaceDE w:val="0"/>
        <w:autoSpaceDN w:val="0"/>
        <w:spacing w:after="0" w:line="276" w:lineRule="auto"/>
        <w:jc w:val="both"/>
        <w:rPr>
          <w:rFonts w:ascii="Verdana" w:hAnsi="Verdana" w:cs="Arial"/>
          <w:color w:val="000000" w:themeColor="text1"/>
          <w:lang w:val="es-ES"/>
        </w:rPr>
      </w:pPr>
      <w:r w:rsidRPr="00D22F9B">
        <w:rPr>
          <w:rFonts w:ascii="Verdana" w:hAnsi="Verdana" w:cs="Arial"/>
          <w:color w:val="000000" w:themeColor="text1"/>
          <w:lang w:val="es-ES"/>
        </w:rPr>
        <w:t xml:space="preserve">Sobre contratos cuyo objeto se contempla la administración delegada de recursos esta entidad se ha pronunciado en los conceptos C-593 de del 9 de octubre de 2020, C-691 del 27 de noviembre de 2020, C-173 del 23 de abril de 2021, C-021 de 24 de febrero de 2023, C-160 de 2023, C-911 del 31 de diciembre de 2024, C-134 del 24 de febrero de 2025, C-228 del 27 de marzo de 2025, C-1152 del 23 de septiembre de 2025 y C-1446 del 13 de noviembre de 2025. Estos y otros conceptos se encuentran disponibles para consulta en el Sistema de relatoría de la Agencia, al cual se puede acceder a través del siguiente enlace: </w:t>
      </w:r>
      <w:hyperlink r:id="rId13" w:history="1">
        <w:r w:rsidRPr="00D22F9B">
          <w:rPr>
            <w:rStyle w:val="Hipervnculo"/>
            <w:rFonts w:ascii="Verdana" w:hAnsi="Verdana" w:cs="Arial"/>
            <w:lang w:val="es-ES"/>
          </w:rPr>
          <w:t>https://relatoria.colombiacompra.gov.co/busqueda/conceptos</w:t>
        </w:r>
      </w:hyperlink>
      <w:r w:rsidRPr="00D22F9B">
        <w:rPr>
          <w:rFonts w:ascii="Verdana" w:hAnsi="Verdana" w:cs="Arial"/>
          <w:color w:val="000000" w:themeColor="text1"/>
          <w:lang w:val="es-ES"/>
        </w:rPr>
        <w:t xml:space="preserve">    </w:t>
      </w:r>
    </w:p>
    <w:p w14:paraId="4BD57CB3" w14:textId="77777777" w:rsidR="002469E9" w:rsidRPr="00D22F9B" w:rsidRDefault="002469E9" w:rsidP="007525FA">
      <w:pPr>
        <w:widowControl w:val="0"/>
        <w:autoSpaceDE w:val="0"/>
        <w:autoSpaceDN w:val="0"/>
        <w:spacing w:after="0" w:line="276" w:lineRule="auto"/>
        <w:jc w:val="both"/>
        <w:rPr>
          <w:rFonts w:ascii="Verdana" w:eastAsia="Times New Roman" w:hAnsi="Verdana" w:cs="Arial"/>
          <w:shd w:val="clear" w:color="auto" w:fill="FFFFFF"/>
        </w:rPr>
      </w:pPr>
    </w:p>
    <w:p w14:paraId="581DBC63" w14:textId="77777777" w:rsidR="002469E9" w:rsidRPr="00D22F9B" w:rsidRDefault="002469E9" w:rsidP="007525FA">
      <w:pPr>
        <w:spacing w:after="0" w:line="276" w:lineRule="auto"/>
        <w:jc w:val="both"/>
        <w:rPr>
          <w:rFonts w:ascii="Verdana" w:hAnsi="Verdana"/>
        </w:rPr>
      </w:pPr>
      <w:r w:rsidRPr="00D22F9B">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7D1083F" w14:textId="77777777" w:rsidR="002469E9" w:rsidRPr="00D22F9B" w:rsidRDefault="002469E9" w:rsidP="007525FA">
      <w:pPr>
        <w:spacing w:after="0" w:line="276" w:lineRule="auto"/>
        <w:jc w:val="both"/>
        <w:rPr>
          <w:rFonts w:ascii="Verdana" w:hAnsi="Verdana"/>
        </w:rPr>
      </w:pPr>
    </w:p>
    <w:p w14:paraId="79360A09" w14:textId="77777777" w:rsidR="002469E9" w:rsidRPr="00432BAE" w:rsidRDefault="002469E9" w:rsidP="007525FA">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432BAE">
        <w:rPr>
          <w:rFonts w:ascii="Verdana" w:eastAsia="Verdana" w:hAnsi="Verdana" w:cs="Verdana"/>
          <w:lang w:val="es-CO"/>
        </w:rPr>
        <w:t xml:space="preserve">Línea nacional gratuita o servicio a la ciudadanía (Mesa de servicio): </w:t>
      </w:r>
      <w:r w:rsidRPr="00432BAE">
        <w:rPr>
          <w:rStyle w:val="Hipervnculo"/>
          <w:rFonts w:ascii="Verdana" w:hAnsi="Verdana"/>
          <w:lang w:val="es-CO"/>
        </w:rPr>
        <w:t>01800 0520808</w:t>
      </w:r>
    </w:p>
    <w:p w14:paraId="292C0178" w14:textId="77777777" w:rsidR="002469E9" w:rsidRPr="00432BAE" w:rsidRDefault="002469E9" w:rsidP="007525FA">
      <w:pPr>
        <w:pStyle w:val="Prrafodelista"/>
        <w:numPr>
          <w:ilvl w:val="0"/>
          <w:numId w:val="15"/>
        </w:numPr>
        <w:spacing w:after="0" w:line="276" w:lineRule="auto"/>
        <w:rPr>
          <w:rFonts w:ascii="Verdana" w:eastAsia="Verdana" w:hAnsi="Verdana" w:cs="Verdana"/>
          <w:color w:val="4472C4" w:themeColor="accent1"/>
          <w:u w:val="single"/>
          <w:lang w:val="es-CO"/>
        </w:rPr>
      </w:pPr>
      <w:r w:rsidRPr="00432BAE">
        <w:rPr>
          <w:rFonts w:ascii="Verdana" w:eastAsia="Verdana" w:hAnsi="Verdana" w:cs="Verdana"/>
          <w:lang w:val="es-CO"/>
        </w:rPr>
        <w:t>Línea en Bogotá (Mesa de servicio</w:t>
      </w:r>
      <w:proofErr w:type="gramStart"/>
      <w:r w:rsidRPr="00432BAE">
        <w:rPr>
          <w:rFonts w:ascii="Verdana" w:eastAsia="Verdana" w:hAnsi="Verdana" w:cs="Verdana"/>
          <w:lang w:val="es-CO"/>
        </w:rPr>
        <w:t>):</w:t>
      </w:r>
      <w:r w:rsidRPr="00432BAE">
        <w:rPr>
          <w:rStyle w:val="Hipervnculo"/>
          <w:rFonts w:ascii="Verdana" w:hAnsi="Verdana"/>
          <w:lang w:val="es-CO"/>
        </w:rPr>
        <w:t>+</w:t>
      </w:r>
      <w:proofErr w:type="gramEnd"/>
      <w:r w:rsidRPr="00432BAE">
        <w:rPr>
          <w:rStyle w:val="Hipervnculo"/>
          <w:rFonts w:ascii="Verdana" w:hAnsi="Verdana"/>
          <w:lang w:val="es-CO"/>
        </w:rPr>
        <w:t>57 601 7456788</w:t>
      </w:r>
    </w:p>
    <w:p w14:paraId="1841185C" w14:textId="77777777" w:rsidR="002469E9" w:rsidRPr="00432BAE" w:rsidRDefault="002469E9" w:rsidP="007525FA">
      <w:pPr>
        <w:pStyle w:val="Prrafodelista"/>
        <w:numPr>
          <w:ilvl w:val="0"/>
          <w:numId w:val="15"/>
        </w:numPr>
        <w:spacing w:after="0" w:line="276" w:lineRule="auto"/>
        <w:rPr>
          <w:rFonts w:ascii="Verdana" w:eastAsia="Verdana" w:hAnsi="Verdana" w:cs="Verdana"/>
          <w:color w:val="0000FF"/>
          <w:u w:val="single"/>
          <w:lang w:val="es-CO"/>
        </w:rPr>
      </w:pPr>
      <w:r w:rsidRPr="00432BAE">
        <w:rPr>
          <w:rFonts w:ascii="Verdana" w:eastAsia="Verdana" w:hAnsi="Verdana" w:cs="Verdana"/>
          <w:lang w:val="es-CO"/>
        </w:rPr>
        <w:t xml:space="preserve">Correo de radicación de correspondencia: </w:t>
      </w:r>
      <w:hyperlink r:id="rId14" w:history="1">
        <w:r w:rsidRPr="00432BAE">
          <w:rPr>
            <w:rStyle w:val="Hipervnculo"/>
            <w:rFonts w:ascii="Verdana" w:eastAsia="Verdana" w:hAnsi="Verdana" w:cs="Verdana"/>
            <w:lang w:val="es-CO"/>
          </w:rPr>
          <w:t>ventanilladeradicacion@colombiacompra.gov.co</w:t>
        </w:r>
      </w:hyperlink>
    </w:p>
    <w:p w14:paraId="14504B01" w14:textId="77777777" w:rsidR="002469E9" w:rsidRPr="00432BAE" w:rsidRDefault="002469E9" w:rsidP="007525FA">
      <w:pPr>
        <w:pStyle w:val="Prrafodelista"/>
        <w:numPr>
          <w:ilvl w:val="0"/>
          <w:numId w:val="15"/>
        </w:numPr>
        <w:spacing w:after="0" w:line="276" w:lineRule="auto"/>
        <w:rPr>
          <w:rFonts w:ascii="Verdana" w:eastAsia="Verdana" w:hAnsi="Verdana" w:cs="Verdana"/>
          <w:color w:val="0000FF"/>
          <w:u w:val="single"/>
          <w:lang w:val="es-CO"/>
        </w:rPr>
      </w:pPr>
      <w:r w:rsidRPr="00432BAE">
        <w:rPr>
          <w:rFonts w:ascii="Verdana" w:eastAsia="Verdana" w:hAnsi="Verdana" w:cs="Verdana"/>
          <w:lang w:val="es-CO"/>
        </w:rPr>
        <w:t xml:space="preserve">Formulario web para PQRSD: </w:t>
      </w:r>
      <w:hyperlink r:id="rId15" w:history="1">
        <w:r w:rsidRPr="00432BAE">
          <w:rPr>
            <w:rStyle w:val="Hipervnculo"/>
            <w:rFonts w:ascii="Verdana" w:eastAsia="Verdana" w:hAnsi="Verdana" w:cs="Verdana"/>
            <w:lang w:val="es-CO"/>
          </w:rPr>
          <w:t>https://www.colombiacompra.gov.co/pqrsd/informacion-importante-antes-de-formular-una-pqrsd</w:t>
        </w:r>
      </w:hyperlink>
    </w:p>
    <w:p w14:paraId="675A2713" w14:textId="77777777" w:rsidR="002469E9" w:rsidRPr="00D22F9B" w:rsidRDefault="002469E9" w:rsidP="007525FA">
      <w:pPr>
        <w:spacing w:after="0" w:line="276" w:lineRule="auto"/>
        <w:ind w:left="720"/>
        <w:jc w:val="both"/>
        <w:rPr>
          <w:rFonts w:ascii="Verdana" w:hAnsi="Verdana"/>
        </w:rPr>
      </w:pPr>
    </w:p>
    <w:p w14:paraId="0899E936" w14:textId="5ACD79AB" w:rsidR="002469E9" w:rsidRPr="00D22F9B" w:rsidRDefault="002469E9" w:rsidP="007525FA">
      <w:pPr>
        <w:spacing w:after="0" w:line="276" w:lineRule="auto"/>
        <w:rPr>
          <w:rFonts w:ascii="Verdana" w:hAnsi="Verdana"/>
        </w:rPr>
      </w:pPr>
      <w:r w:rsidRPr="00D22F9B">
        <w:rPr>
          <w:rFonts w:ascii="Verdana" w:hAnsi="Verdana"/>
        </w:rPr>
        <w:t>Evalúa el servicio que ofrece la Agencia por el canal de atención de PQRSD en el siguiente enlace:</w:t>
      </w:r>
      <w:r w:rsidR="00C21FEB" w:rsidRPr="00D22F9B">
        <w:rPr>
          <w:rFonts w:ascii="Verdana" w:hAnsi="Verdana"/>
        </w:rPr>
        <w:t xml:space="preserve"> </w:t>
      </w:r>
      <w:hyperlink r:id="rId16" w:history="1">
        <w:r w:rsidR="00C21FEB" w:rsidRPr="00D22F9B">
          <w:rPr>
            <w:rStyle w:val="Hipervnculo"/>
            <w:rFonts w:ascii="Verdana" w:hAnsi="Verdana"/>
          </w:rPr>
          <w:t>https://forms.office.com/r/pPHyWVs2SZ</w:t>
        </w:r>
      </w:hyperlink>
      <w:r w:rsidRPr="00D22F9B">
        <w:rPr>
          <w:rFonts w:ascii="Verdana" w:hAnsi="Verdana"/>
        </w:rPr>
        <w:t xml:space="preserve"> .¡Ayúdanos a mejorar porque el compromiso es de todos!</w:t>
      </w:r>
    </w:p>
    <w:p w14:paraId="13945FE9" w14:textId="77777777" w:rsidR="002469E9" w:rsidRPr="00D22F9B" w:rsidRDefault="002469E9" w:rsidP="007525FA">
      <w:pPr>
        <w:spacing w:after="0" w:line="276" w:lineRule="auto"/>
        <w:rPr>
          <w:rFonts w:ascii="Verdana" w:hAnsi="Verdana"/>
        </w:rPr>
      </w:pPr>
    </w:p>
    <w:p w14:paraId="3E303653" w14:textId="77777777" w:rsidR="002469E9" w:rsidRPr="00D22F9B" w:rsidRDefault="002469E9" w:rsidP="007525FA">
      <w:pPr>
        <w:spacing w:after="0" w:line="276" w:lineRule="auto"/>
        <w:jc w:val="both"/>
        <w:rPr>
          <w:rFonts w:ascii="Verdana" w:hAnsi="Verdana"/>
        </w:rPr>
      </w:pPr>
      <w:r w:rsidRPr="00D22F9B">
        <w:rPr>
          <w:rFonts w:ascii="Verdana" w:hAnsi="Verdana"/>
        </w:rPr>
        <w:t xml:space="preserve">Por último, lo invitamos a seguirnos en las redes sociales en las cuales se difunde información institucional: </w:t>
      </w:r>
    </w:p>
    <w:p w14:paraId="5AA0EF55" w14:textId="77777777" w:rsidR="002469E9" w:rsidRPr="00432BAE" w:rsidRDefault="002469E9" w:rsidP="007525FA">
      <w:pPr>
        <w:spacing w:after="0" w:line="276" w:lineRule="auto"/>
        <w:jc w:val="both"/>
        <w:rPr>
          <w:rFonts w:ascii="Verdana" w:hAnsi="Verdana"/>
        </w:rPr>
      </w:pPr>
    </w:p>
    <w:p w14:paraId="6B0A8045" w14:textId="77777777" w:rsidR="002469E9" w:rsidRPr="00432BAE" w:rsidRDefault="002469E9" w:rsidP="007525FA">
      <w:pPr>
        <w:spacing w:after="0" w:line="276" w:lineRule="auto"/>
        <w:jc w:val="both"/>
        <w:rPr>
          <w:rFonts w:ascii="Verdana" w:hAnsi="Verdana"/>
        </w:rPr>
      </w:pPr>
      <w:r w:rsidRPr="00432BAE">
        <w:rPr>
          <w:rFonts w:ascii="Verdana" w:hAnsi="Verdana"/>
        </w:rPr>
        <w:t xml:space="preserve">Twitter: </w:t>
      </w:r>
      <w:r w:rsidRPr="00432BAE">
        <w:rPr>
          <w:rStyle w:val="Hipervnculo"/>
          <w:rFonts w:ascii="Verdana" w:hAnsi="Verdana"/>
        </w:rPr>
        <w:t>@colombiacompra</w:t>
      </w:r>
      <w:r w:rsidRPr="00432BAE">
        <w:rPr>
          <w:rFonts w:ascii="Verdana" w:hAnsi="Verdana"/>
        </w:rPr>
        <w:t xml:space="preserve"> </w:t>
      </w:r>
    </w:p>
    <w:p w14:paraId="0CE7C298" w14:textId="77777777" w:rsidR="002469E9" w:rsidRPr="00432BAE" w:rsidRDefault="002469E9" w:rsidP="007525FA">
      <w:pPr>
        <w:spacing w:after="0" w:line="276" w:lineRule="auto"/>
        <w:jc w:val="both"/>
        <w:rPr>
          <w:rFonts w:ascii="Verdana" w:hAnsi="Verdana"/>
        </w:rPr>
      </w:pPr>
      <w:r w:rsidRPr="00432BAE">
        <w:rPr>
          <w:rFonts w:ascii="Verdana" w:hAnsi="Verdana"/>
        </w:rPr>
        <w:lastRenderedPageBreak/>
        <w:t xml:space="preserve">Facebook: </w:t>
      </w:r>
      <w:proofErr w:type="spellStart"/>
      <w:r w:rsidRPr="00432BAE">
        <w:rPr>
          <w:rStyle w:val="Hipervnculo"/>
          <w:rFonts w:ascii="Verdana" w:hAnsi="Verdana"/>
        </w:rPr>
        <w:t>ColombiaCompraEficiente</w:t>
      </w:r>
      <w:proofErr w:type="spellEnd"/>
    </w:p>
    <w:p w14:paraId="3220E782" w14:textId="77777777" w:rsidR="002469E9" w:rsidRPr="00432BAE" w:rsidRDefault="002469E9" w:rsidP="007525FA">
      <w:pPr>
        <w:spacing w:after="0" w:line="276" w:lineRule="auto"/>
        <w:jc w:val="both"/>
        <w:rPr>
          <w:rFonts w:ascii="Verdana" w:hAnsi="Verdana"/>
        </w:rPr>
      </w:pPr>
      <w:r w:rsidRPr="00432BAE">
        <w:rPr>
          <w:rFonts w:ascii="Verdana" w:hAnsi="Verdana"/>
        </w:rPr>
        <w:t xml:space="preserve">LinkedIn: </w:t>
      </w:r>
      <w:r w:rsidRPr="00432BAE">
        <w:rPr>
          <w:rStyle w:val="Hipervnculo"/>
          <w:rFonts w:ascii="Verdana" w:hAnsi="Verdana"/>
        </w:rPr>
        <w:t>Agencia Nacional de Contratación Pública - Colombia Compra Eficiente</w:t>
      </w:r>
      <w:r w:rsidRPr="00432BAE">
        <w:rPr>
          <w:rFonts w:ascii="Verdana" w:hAnsi="Verdana"/>
        </w:rPr>
        <w:t xml:space="preserve"> Instagram: </w:t>
      </w:r>
      <w:r w:rsidRPr="00432BAE">
        <w:rPr>
          <w:rStyle w:val="Hipervnculo"/>
          <w:rFonts w:ascii="Verdana" w:hAnsi="Verdana"/>
        </w:rPr>
        <w:t>@colombiacompraeficiente_cce</w:t>
      </w:r>
    </w:p>
    <w:p w14:paraId="335E3919" w14:textId="77777777" w:rsidR="002469E9" w:rsidRPr="00D22F9B" w:rsidRDefault="002469E9" w:rsidP="007525FA">
      <w:pPr>
        <w:spacing w:after="0" w:line="276" w:lineRule="auto"/>
        <w:jc w:val="both"/>
        <w:rPr>
          <w:rFonts w:ascii="Verdana" w:hAnsi="Verdana"/>
        </w:rPr>
      </w:pPr>
    </w:p>
    <w:p w14:paraId="40C149E0" w14:textId="77777777" w:rsidR="002469E9" w:rsidRPr="00D22F9B" w:rsidRDefault="002469E9" w:rsidP="007525FA">
      <w:pPr>
        <w:spacing w:after="0" w:line="276" w:lineRule="auto"/>
        <w:jc w:val="both"/>
        <w:rPr>
          <w:rFonts w:ascii="Verdana" w:eastAsia="Calibri" w:hAnsi="Verdana" w:cs="Times New Roman"/>
          <w:bCs/>
        </w:rPr>
      </w:pPr>
      <w:r w:rsidRPr="00D22F9B">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23BEF64" w14:textId="77777777" w:rsidR="002469E9" w:rsidRPr="00D22F9B" w:rsidRDefault="002469E9" w:rsidP="007525FA">
      <w:pPr>
        <w:spacing w:after="0" w:line="276" w:lineRule="auto"/>
        <w:jc w:val="both"/>
        <w:rPr>
          <w:rFonts w:ascii="Verdana" w:hAnsi="Verdana"/>
        </w:rPr>
      </w:pPr>
    </w:p>
    <w:p w14:paraId="605BA113" w14:textId="77777777" w:rsidR="002469E9" w:rsidRPr="00D22F9B" w:rsidRDefault="002469E9" w:rsidP="007525FA">
      <w:pPr>
        <w:spacing w:after="0" w:line="276" w:lineRule="auto"/>
        <w:rPr>
          <w:rFonts w:ascii="Verdana" w:eastAsia="Times New Roman" w:hAnsi="Verdana" w:cs="Arial"/>
          <w:lang w:eastAsia="es-CO"/>
        </w:rPr>
      </w:pPr>
      <w:bookmarkStart w:id="6" w:name="_Hlk117695077"/>
    </w:p>
    <w:p w14:paraId="363F3643" w14:textId="6103AE6E" w:rsidR="002469E9" w:rsidRPr="00D22F9B" w:rsidRDefault="002469E9" w:rsidP="007525FA">
      <w:pPr>
        <w:spacing w:after="0" w:line="276" w:lineRule="auto"/>
        <w:rPr>
          <w:rFonts w:ascii="Verdana" w:eastAsia="Times New Roman" w:hAnsi="Verdana" w:cs="Arial"/>
          <w:lang w:eastAsia="es-CO"/>
        </w:rPr>
      </w:pPr>
      <w:r w:rsidRPr="00D22F9B">
        <w:rPr>
          <w:rFonts w:ascii="Verdana" w:eastAsia="Times New Roman" w:hAnsi="Verdana" w:cs="Arial"/>
          <w:lang w:eastAsia="es-CO"/>
        </w:rPr>
        <w:t xml:space="preserve">Atentamente, </w:t>
      </w:r>
    </w:p>
    <w:p w14:paraId="32117272" w14:textId="0873D59F" w:rsidR="002469E9" w:rsidRPr="00D22F9B" w:rsidRDefault="001416E4" w:rsidP="007525FA">
      <w:pPr>
        <w:spacing w:after="0" w:line="276" w:lineRule="auto"/>
        <w:jc w:val="center"/>
        <w:rPr>
          <w:rFonts w:ascii="Verdana" w:eastAsia="Times New Roman" w:hAnsi="Verdana" w:cs="Arial"/>
          <w:lang w:eastAsia="es-CO"/>
        </w:rPr>
      </w:pPr>
      <w:r>
        <w:rPr>
          <w:rFonts w:ascii="Verdana" w:eastAsia="Calibri" w:hAnsi="Verdana" w:cs="Times New Roman"/>
          <w:noProof/>
          <w:color w:val="EE0000"/>
        </w:rPr>
        <w:drawing>
          <wp:anchor distT="0" distB="0" distL="114300" distR="114300" simplePos="0" relativeHeight="251662336" behindDoc="0" locked="0" layoutInCell="1" allowOverlap="1" wp14:anchorId="5B2F1CAE" wp14:editId="5ED6E9CF">
            <wp:simplePos x="0" y="0"/>
            <wp:positionH relativeFrom="margin">
              <wp:align>center</wp:align>
            </wp:positionH>
            <wp:positionV relativeFrom="paragraph">
              <wp:posOffset>133985</wp:posOffset>
            </wp:positionV>
            <wp:extent cx="3773170" cy="1402080"/>
            <wp:effectExtent l="0" t="0" r="0" b="7620"/>
            <wp:wrapNone/>
            <wp:docPr id="90633440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334400" name="Imagen 1" descr="Texto&#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3773170" cy="1402080"/>
                    </a:xfrm>
                    <a:prstGeom prst="rect">
                      <a:avLst/>
                    </a:prstGeom>
                  </pic:spPr>
                </pic:pic>
              </a:graphicData>
            </a:graphic>
            <wp14:sizeRelH relativeFrom="margin">
              <wp14:pctWidth>0</wp14:pctWidth>
            </wp14:sizeRelH>
            <wp14:sizeRelV relativeFrom="margin">
              <wp14:pctHeight>0</wp14:pctHeight>
            </wp14:sizeRelV>
          </wp:anchor>
        </w:drawing>
      </w:r>
      <w:r w:rsidR="002469E9" w:rsidRPr="00D22F9B">
        <w:rPr>
          <w:rFonts w:ascii="Verdana" w:eastAsia="Times New Roman" w:hAnsi="Verdana" w:cs="Arial"/>
          <w:lang w:eastAsia="es-CO"/>
        </w:rPr>
        <w:t xml:space="preserve"> </w:t>
      </w:r>
    </w:p>
    <w:p w14:paraId="62604B8A" w14:textId="2FAF193B" w:rsidR="002469E9" w:rsidRPr="00D22F9B" w:rsidRDefault="002469E9" w:rsidP="007525FA">
      <w:pPr>
        <w:spacing w:after="0" w:line="276" w:lineRule="auto"/>
        <w:jc w:val="center"/>
        <w:rPr>
          <w:rFonts w:ascii="Verdana" w:eastAsia="Times New Roman" w:hAnsi="Verdana" w:cs="Arial"/>
          <w:lang w:eastAsia="es-CO"/>
        </w:rPr>
      </w:pPr>
    </w:p>
    <w:bookmarkEnd w:id="6"/>
    <w:p w14:paraId="4766090A" w14:textId="79FD293A" w:rsidR="004F246A" w:rsidRDefault="004F246A" w:rsidP="001416E4">
      <w:pPr>
        <w:spacing w:after="0" w:line="276" w:lineRule="auto"/>
        <w:jc w:val="center"/>
        <w:rPr>
          <w:rFonts w:ascii="Verdana" w:eastAsia="Times New Roman" w:hAnsi="Verdana" w:cs="Arial"/>
        </w:rPr>
      </w:pPr>
    </w:p>
    <w:p w14:paraId="011E19C1" w14:textId="77777777" w:rsidR="001416E4" w:rsidRDefault="001416E4" w:rsidP="001416E4">
      <w:pPr>
        <w:spacing w:after="0" w:line="276" w:lineRule="auto"/>
        <w:jc w:val="center"/>
        <w:rPr>
          <w:rFonts w:ascii="Verdana" w:eastAsia="Times New Roman" w:hAnsi="Verdana" w:cs="Arial"/>
        </w:rPr>
      </w:pPr>
    </w:p>
    <w:p w14:paraId="68C49892" w14:textId="5DDBC1A6" w:rsidR="001416E4" w:rsidRDefault="001416E4" w:rsidP="001416E4">
      <w:pPr>
        <w:spacing w:after="0" w:line="276" w:lineRule="auto"/>
        <w:jc w:val="center"/>
        <w:rPr>
          <w:rFonts w:ascii="Verdana" w:eastAsia="Times New Roman" w:hAnsi="Verdana" w:cs="Arial"/>
        </w:rPr>
      </w:pPr>
    </w:p>
    <w:p w14:paraId="71E0BB05" w14:textId="77777777" w:rsidR="001416E4" w:rsidRDefault="001416E4" w:rsidP="001416E4">
      <w:pPr>
        <w:spacing w:after="0" w:line="276" w:lineRule="auto"/>
        <w:jc w:val="center"/>
        <w:rPr>
          <w:rFonts w:ascii="Verdana" w:eastAsia="Times New Roman" w:hAnsi="Verdana" w:cs="Arial"/>
        </w:rPr>
      </w:pPr>
    </w:p>
    <w:p w14:paraId="52EE5A7A" w14:textId="77777777" w:rsidR="001416E4" w:rsidRDefault="001416E4" w:rsidP="001416E4">
      <w:pPr>
        <w:spacing w:after="0" w:line="276" w:lineRule="auto"/>
        <w:jc w:val="center"/>
        <w:rPr>
          <w:rFonts w:ascii="Verdana" w:eastAsia="Times New Roman" w:hAnsi="Verdana" w:cs="Arial"/>
        </w:rPr>
      </w:pPr>
    </w:p>
    <w:p w14:paraId="4ED16867" w14:textId="77777777" w:rsidR="001416E4" w:rsidRPr="00D22F9B" w:rsidRDefault="001416E4" w:rsidP="001416E4">
      <w:pPr>
        <w:spacing w:after="0" w:line="276" w:lineRule="auto"/>
        <w:jc w:val="center"/>
        <w:rPr>
          <w:rFonts w:ascii="Verdana" w:eastAsia="Times New Roman" w:hAnsi="Verdana" w:cs="Arial"/>
        </w:rPr>
      </w:pPr>
    </w:p>
    <w:p w14:paraId="48CF6CC3" w14:textId="77777777" w:rsidR="002469E9" w:rsidRPr="00D22F9B" w:rsidRDefault="002469E9" w:rsidP="007525FA">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69E9" w:rsidRPr="00432BAE" w14:paraId="08ADF1D0" w14:textId="77777777" w:rsidTr="00DF12E3">
        <w:trPr>
          <w:trHeight w:val="315"/>
        </w:trPr>
        <w:tc>
          <w:tcPr>
            <w:tcW w:w="893" w:type="dxa"/>
            <w:vAlign w:val="center"/>
            <w:hideMark/>
          </w:tcPr>
          <w:p w14:paraId="588C5F3D" w14:textId="77777777" w:rsidR="002469E9" w:rsidRPr="004F246A" w:rsidRDefault="002469E9" w:rsidP="007525FA">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1C2E7E4E" w14:textId="77777777" w:rsidR="002469E9" w:rsidRPr="004F246A" w:rsidRDefault="002469E9" w:rsidP="007525FA">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3EB03354" w14:textId="77777777" w:rsidR="002469E9" w:rsidRPr="004F246A" w:rsidRDefault="002469E9" w:rsidP="007525FA">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2469E9" w:rsidRPr="00432BAE" w14:paraId="6B429BAF" w14:textId="77777777" w:rsidTr="00DF12E3">
        <w:trPr>
          <w:trHeight w:val="330"/>
        </w:trPr>
        <w:tc>
          <w:tcPr>
            <w:tcW w:w="893" w:type="dxa"/>
            <w:vAlign w:val="center"/>
            <w:hideMark/>
          </w:tcPr>
          <w:p w14:paraId="1422794E" w14:textId="77777777" w:rsidR="002469E9" w:rsidRPr="004F246A" w:rsidRDefault="002469E9" w:rsidP="007525FA">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994566B" w14:textId="77777777" w:rsidR="002469E9" w:rsidRPr="004F246A" w:rsidRDefault="002469E9" w:rsidP="007525FA">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Martha Alicia Romero Vargas</w:t>
            </w:r>
          </w:p>
          <w:p w14:paraId="1AC3F960" w14:textId="77777777" w:rsidR="002469E9" w:rsidRPr="004F246A" w:rsidRDefault="002469E9" w:rsidP="007525FA">
            <w:pPr>
              <w:spacing w:line="276" w:lineRule="auto"/>
              <w:textAlignment w:val="baseline"/>
              <w:rPr>
                <w:rFonts w:ascii="Verdana" w:eastAsia="Times New Roman" w:hAnsi="Verdana" w:cs="Arial"/>
                <w:color w:val="000000"/>
                <w:sz w:val="16"/>
                <w:szCs w:val="16"/>
              </w:rPr>
            </w:pPr>
            <w:r w:rsidRPr="004F246A">
              <w:rPr>
                <w:rFonts w:ascii="Verdana" w:eastAsia="Times New Roman" w:hAnsi="Verdana" w:cs="Arial"/>
                <w:color w:val="000000"/>
                <w:sz w:val="16"/>
                <w:szCs w:val="16"/>
              </w:rPr>
              <w:t>Gestor T1 - 15 de la Subdirección de Gestión Contractual</w:t>
            </w:r>
          </w:p>
        </w:tc>
      </w:tr>
      <w:tr w:rsidR="002469E9" w:rsidRPr="00432BAE" w14:paraId="24F38F7D" w14:textId="77777777" w:rsidTr="00DF12E3">
        <w:trPr>
          <w:trHeight w:val="300"/>
        </w:trPr>
        <w:tc>
          <w:tcPr>
            <w:tcW w:w="893" w:type="dxa"/>
            <w:vAlign w:val="center"/>
            <w:hideMark/>
          </w:tcPr>
          <w:p w14:paraId="755B712C" w14:textId="77777777" w:rsidR="002469E9" w:rsidRPr="004F246A" w:rsidRDefault="002469E9" w:rsidP="007525FA">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01194B4" w14:textId="451D19CE" w:rsidR="002469E9" w:rsidRPr="004F246A" w:rsidRDefault="002469E9" w:rsidP="007525FA">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4D8290A3" w14:textId="77777777" w:rsidR="002469E9" w:rsidRPr="004F246A" w:rsidRDefault="002469E9" w:rsidP="007525FA">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bookmarkEnd w:id="1"/>
    </w:tbl>
    <w:p w14:paraId="2ED472D2" w14:textId="77777777" w:rsidR="002469E9" w:rsidRPr="00D22F9B" w:rsidRDefault="002469E9" w:rsidP="007525FA">
      <w:pPr>
        <w:spacing w:after="0" w:line="276" w:lineRule="auto"/>
        <w:jc w:val="both"/>
        <w:textAlignment w:val="baseline"/>
        <w:rPr>
          <w:rFonts w:ascii="Verdana" w:eastAsia="Times New Roman" w:hAnsi="Verdana" w:cs="Segoe UI"/>
          <w:lang w:eastAsia="es-CO"/>
        </w:rPr>
      </w:pPr>
    </w:p>
    <w:p w14:paraId="0F293BF4" w14:textId="7F852C6D" w:rsidR="00127233" w:rsidRPr="00D22F9B" w:rsidRDefault="00127233" w:rsidP="00432BAE">
      <w:pPr>
        <w:spacing w:after="0" w:line="276" w:lineRule="auto"/>
        <w:jc w:val="both"/>
        <w:textAlignment w:val="baseline"/>
        <w:rPr>
          <w:rFonts w:ascii="Verdana" w:eastAsia="Times New Roman" w:hAnsi="Verdana" w:cs="Segoe UI"/>
          <w:lang w:eastAsia="es-CO"/>
        </w:rPr>
      </w:pPr>
    </w:p>
    <w:sectPr w:rsidR="00127233" w:rsidRPr="00D22F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AE9D3" w14:textId="77777777" w:rsidR="00883268" w:rsidRDefault="00883268" w:rsidP="004A1847">
      <w:pPr>
        <w:spacing w:after="0" w:line="240" w:lineRule="auto"/>
      </w:pPr>
      <w:r>
        <w:separator/>
      </w:r>
    </w:p>
  </w:endnote>
  <w:endnote w:type="continuationSeparator" w:id="0">
    <w:p w14:paraId="78FF0459" w14:textId="77777777" w:rsidR="00883268" w:rsidRDefault="0088326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C447F" w14:textId="77777777" w:rsidR="00883268" w:rsidRDefault="00883268" w:rsidP="004A1847">
      <w:pPr>
        <w:spacing w:after="0" w:line="240" w:lineRule="auto"/>
      </w:pPr>
      <w:r>
        <w:separator/>
      </w:r>
    </w:p>
  </w:footnote>
  <w:footnote w:type="continuationSeparator" w:id="0">
    <w:p w14:paraId="6CF7ED51" w14:textId="77777777" w:rsidR="00883268" w:rsidRDefault="00883268" w:rsidP="004A1847">
      <w:pPr>
        <w:spacing w:after="0" w:line="240" w:lineRule="auto"/>
      </w:pPr>
      <w:r>
        <w:continuationSeparator/>
      </w:r>
    </w:p>
  </w:footnote>
  <w:footnote w:id="1">
    <w:p w14:paraId="68444ADB" w14:textId="77777777" w:rsidR="002469E9" w:rsidRDefault="002469E9" w:rsidP="002469E9">
      <w:pPr>
        <w:pStyle w:val="Textonotapie"/>
      </w:pPr>
      <w:r>
        <w:rPr>
          <w:rStyle w:val="Refdenotaalpie"/>
        </w:rPr>
        <w:footnoteRef/>
      </w:r>
      <w:r>
        <w:t xml:space="preserve"> </w:t>
      </w:r>
      <w:r w:rsidRPr="00DD312A">
        <w:t>Corte Constitucional. Sentencia C─274 de 9 de mayo de 2013. M.P. María Victoria Calle Correa.</w:t>
      </w:r>
    </w:p>
  </w:footnote>
  <w:footnote w:id="2">
    <w:p w14:paraId="1EF8AF6B" w14:textId="77777777" w:rsidR="002469E9" w:rsidRPr="00432BAE" w:rsidRDefault="002469E9" w:rsidP="002469E9">
      <w:pPr>
        <w:pStyle w:val="Textonotapie"/>
        <w:ind w:firstLine="709"/>
        <w:jc w:val="both"/>
        <w:rPr>
          <w:rFonts w:ascii="Verdana" w:hAnsi="Verdana" w:cs="Arial"/>
          <w:color w:val="000000"/>
          <w:sz w:val="14"/>
          <w:szCs w:val="14"/>
        </w:rPr>
      </w:pPr>
      <w:r w:rsidRPr="00AB1A07">
        <w:rPr>
          <w:rStyle w:val="Refdenotaalpie"/>
          <w:rFonts w:ascii="Verdana" w:hAnsi="Verdana" w:cs="Arial"/>
          <w:color w:val="000000"/>
          <w:sz w:val="16"/>
          <w:szCs w:val="16"/>
        </w:rPr>
        <w:footnoteRef/>
      </w:r>
      <w:r w:rsidRPr="00AB1A07">
        <w:rPr>
          <w:rFonts w:ascii="Verdana" w:hAnsi="Verdana" w:cs="Arial"/>
          <w:color w:val="000000"/>
          <w:sz w:val="16"/>
          <w:szCs w:val="16"/>
        </w:rPr>
        <w:t xml:space="preserve"> </w:t>
      </w:r>
      <w:r w:rsidRPr="00432BAE">
        <w:rPr>
          <w:rFonts w:ascii="Verdana" w:hAnsi="Verdana" w:cs="Arial"/>
          <w:color w:val="000000"/>
          <w:sz w:val="14"/>
          <w:szCs w:val="14"/>
        </w:rPr>
        <w:t>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56E5903" w14:textId="77777777" w:rsidR="002469E9" w:rsidRPr="00432BAE" w:rsidRDefault="002469E9" w:rsidP="002469E9">
      <w:pPr>
        <w:pStyle w:val="Textonotapie"/>
        <w:ind w:firstLine="709"/>
        <w:jc w:val="both"/>
        <w:rPr>
          <w:rFonts w:ascii="Verdana" w:hAnsi="Verdana" w:cs="Arial"/>
          <w:color w:val="000000"/>
          <w:sz w:val="14"/>
          <w:szCs w:val="14"/>
        </w:rPr>
      </w:pPr>
      <w:r w:rsidRPr="00432BAE">
        <w:rPr>
          <w:rFonts w:ascii="Verdana" w:hAnsi="Verdana" w:cs="Arial"/>
          <w:color w:val="000000"/>
          <w:sz w:val="14"/>
          <w:szCs w:val="14"/>
        </w:rPr>
        <w:t>Lo anterior, sin perjuicio de las publicaciones previstas en el numeral 3 del artículo 30 de la Ley 80 de 1993.</w:t>
      </w:r>
    </w:p>
    <w:p w14:paraId="3559AA52" w14:textId="77777777" w:rsidR="002469E9" w:rsidRPr="00432BAE" w:rsidRDefault="002469E9" w:rsidP="002469E9">
      <w:pPr>
        <w:pStyle w:val="Textonotapie"/>
        <w:ind w:firstLine="709"/>
        <w:jc w:val="both"/>
        <w:rPr>
          <w:rFonts w:ascii="Verdana" w:hAnsi="Verdana" w:cs="Arial"/>
          <w:color w:val="000000"/>
          <w:sz w:val="14"/>
          <w:szCs w:val="14"/>
        </w:rPr>
      </w:pPr>
      <w:r w:rsidRPr="00432BAE">
        <w:rPr>
          <w:rFonts w:ascii="Verdana" w:hAnsi="Verdana" w:cs="Arial"/>
          <w:color w:val="000000"/>
          <w:sz w:val="14"/>
          <w:szCs w:val="14"/>
        </w:rPr>
        <w:t xml:space="preserve">Con el fin de materializar los objetivos a que se refiere el inciso anterior, el Gobierno Nacional desarrollará el Sistema Electrónico para la Contratación Pública, </w:t>
      </w:r>
      <w:proofErr w:type="spellStart"/>
      <w:r w:rsidRPr="00432BAE">
        <w:rPr>
          <w:rFonts w:ascii="Verdana" w:hAnsi="Verdana" w:cs="Arial"/>
          <w:color w:val="000000"/>
          <w:sz w:val="14"/>
          <w:szCs w:val="14"/>
        </w:rPr>
        <w:t>Secop</w:t>
      </w:r>
      <w:proofErr w:type="spellEnd"/>
      <w:r w:rsidRPr="00432BAE">
        <w:rPr>
          <w:rFonts w:ascii="Verdana" w:hAnsi="Verdana" w:cs="Arial"/>
          <w:color w:val="000000"/>
          <w:sz w:val="14"/>
          <w:szCs w:val="14"/>
        </w:rPr>
        <w:t xml:space="preserve">, el cual: </w:t>
      </w:r>
    </w:p>
    <w:p w14:paraId="4BE7EAA6" w14:textId="77777777" w:rsidR="002469E9" w:rsidRPr="00432BAE" w:rsidRDefault="002469E9" w:rsidP="002469E9">
      <w:pPr>
        <w:pStyle w:val="Textonotapie"/>
        <w:ind w:firstLine="709"/>
        <w:jc w:val="both"/>
        <w:rPr>
          <w:rFonts w:ascii="Verdana" w:hAnsi="Verdana" w:cs="Arial"/>
          <w:color w:val="000000"/>
          <w:sz w:val="14"/>
          <w:szCs w:val="14"/>
        </w:rPr>
      </w:pPr>
      <w:r w:rsidRPr="00432BAE">
        <w:rPr>
          <w:rFonts w:ascii="Verdana" w:hAnsi="Verdana" w:cs="Arial"/>
          <w:color w:val="000000"/>
          <w:sz w:val="14"/>
          <w:szCs w:val="14"/>
        </w:rPr>
        <w:t>[…]</w:t>
      </w:r>
    </w:p>
    <w:p w14:paraId="1B21BA7F" w14:textId="77777777" w:rsidR="002469E9" w:rsidRPr="00432BAE" w:rsidRDefault="002469E9" w:rsidP="002469E9">
      <w:pPr>
        <w:pStyle w:val="Textonotapie"/>
        <w:ind w:firstLine="709"/>
        <w:jc w:val="both"/>
        <w:rPr>
          <w:rFonts w:ascii="Verdana" w:hAnsi="Verdana" w:cs="Arial"/>
          <w:color w:val="000000"/>
          <w:sz w:val="14"/>
          <w:szCs w:val="14"/>
        </w:rPr>
      </w:pPr>
      <w:r w:rsidRPr="00432BAE">
        <w:rPr>
          <w:rFonts w:ascii="Verdana" w:hAnsi="Verdana" w:cs="Arial"/>
          <w:color w:val="000000"/>
          <w:sz w:val="14"/>
          <w:szCs w:val="14"/>
        </w:rPr>
        <w:t xml:space="preserve">c) Contará con la información oficial de la contratación realizada con dineros públicos, para lo cual establecerá los patrones a que haya lugar y se encargará de su difusión a través de canales electrónico”. </w:t>
      </w:r>
    </w:p>
  </w:footnote>
  <w:footnote w:id="3">
    <w:p w14:paraId="77FC6BF5" w14:textId="77777777" w:rsidR="002469E9" w:rsidRPr="00432BAE" w:rsidRDefault="002469E9" w:rsidP="002469E9">
      <w:pPr>
        <w:pStyle w:val="Textonotapie"/>
        <w:ind w:firstLine="709"/>
        <w:jc w:val="both"/>
        <w:rPr>
          <w:rFonts w:ascii="Verdana" w:hAnsi="Verdana"/>
          <w:sz w:val="14"/>
          <w:szCs w:val="14"/>
        </w:rPr>
      </w:pPr>
      <w:r w:rsidRPr="00432BAE">
        <w:rPr>
          <w:rStyle w:val="Refdenotaalpie"/>
          <w:rFonts w:ascii="Verdana" w:hAnsi="Verdana"/>
          <w:sz w:val="14"/>
          <w:szCs w:val="14"/>
        </w:rPr>
        <w:footnoteRef/>
      </w:r>
      <w:r w:rsidRPr="00432BAE">
        <w:rPr>
          <w:rFonts w:ascii="Verdana" w:hAnsi="Verdana"/>
          <w:sz w:val="14"/>
          <w:szCs w:val="14"/>
        </w:rPr>
        <w:t xml:space="preserve"> Por medio de la cual se crea la Ley de Transparencia y del Derecho de Acceso a la Información Pública Nacional y se dictan otras disposiciones.</w:t>
      </w:r>
    </w:p>
  </w:footnote>
  <w:footnote w:id="4">
    <w:p w14:paraId="29C67D55" w14:textId="77777777" w:rsidR="002469E9" w:rsidRPr="00432BAE" w:rsidRDefault="002469E9" w:rsidP="002469E9">
      <w:pPr>
        <w:pStyle w:val="Textonotapie"/>
        <w:ind w:firstLine="709"/>
        <w:jc w:val="both"/>
        <w:rPr>
          <w:rFonts w:ascii="Verdana" w:hAnsi="Verdana" w:cs="Arial"/>
          <w:color w:val="000000" w:themeColor="text1"/>
          <w:sz w:val="14"/>
          <w:szCs w:val="14"/>
        </w:rPr>
      </w:pPr>
      <w:r w:rsidRPr="00432BAE">
        <w:rPr>
          <w:rStyle w:val="Refdenotaalpie"/>
          <w:rFonts w:ascii="Verdana" w:hAnsi="Verdana"/>
          <w:sz w:val="14"/>
          <w:szCs w:val="14"/>
        </w:rPr>
        <w:footnoteRef/>
      </w:r>
      <w:r w:rsidRPr="00432BAE">
        <w:rPr>
          <w:rFonts w:ascii="Verdana" w:hAnsi="Verdana"/>
          <w:sz w:val="14"/>
          <w:szCs w:val="14"/>
        </w:rPr>
        <w:t xml:space="preserve"> </w:t>
      </w:r>
      <w:r w:rsidRPr="00432BAE">
        <w:rPr>
          <w:rFonts w:ascii="Verdana" w:hAnsi="Verdana" w:cs="Arial"/>
          <w:color w:val="000000" w:themeColor="text1"/>
          <w:sz w:val="14"/>
          <w:szCs w:val="14"/>
        </w:rPr>
        <w:t>Ley 1712 de 2014: Artículo 2. Toda información en posesión, bajo control o custodia de un sujeto obligado es pública y no podrá ser reservada o limitada sino por disposición constitucional o legal, de conformidad con la presente ley”.</w:t>
      </w:r>
    </w:p>
  </w:footnote>
  <w:footnote w:id="5">
    <w:p w14:paraId="3EC2EBF0" w14:textId="77777777" w:rsidR="002469E9" w:rsidRPr="00432BAE" w:rsidRDefault="002469E9" w:rsidP="002469E9">
      <w:pPr>
        <w:pStyle w:val="Textonotapie"/>
        <w:ind w:firstLine="707"/>
        <w:contextualSpacing/>
        <w:jc w:val="both"/>
        <w:rPr>
          <w:rFonts w:ascii="Verdana" w:hAnsi="Verdana" w:cs="Arial"/>
          <w:sz w:val="14"/>
          <w:szCs w:val="14"/>
          <w:lang w:val="es-CO"/>
        </w:rPr>
      </w:pPr>
      <w:r w:rsidRPr="00432BAE">
        <w:rPr>
          <w:rStyle w:val="Refdenotaalpie"/>
          <w:rFonts w:ascii="Verdana" w:hAnsi="Verdana" w:cs="Arial"/>
          <w:sz w:val="14"/>
          <w:szCs w:val="14"/>
        </w:rPr>
        <w:footnoteRef/>
      </w:r>
      <w:r w:rsidRPr="00432BAE">
        <w:rPr>
          <w:rFonts w:ascii="Verdana" w:hAnsi="Verdana" w:cs="Arial"/>
          <w:sz w:val="14"/>
          <w:szCs w:val="14"/>
          <w:vertAlign w:val="superscript"/>
        </w:rPr>
        <w:t xml:space="preserve"> </w:t>
      </w:r>
      <w:r w:rsidRPr="00432BAE">
        <w:rPr>
          <w:rFonts w:ascii="Verdana" w:hAnsi="Verdana" w:cs="Arial"/>
          <w:sz w:val="14"/>
          <w:szCs w:val="14"/>
        </w:rPr>
        <w:t xml:space="preserve">Ley 1712 de 2014: “Artículo 3. </w:t>
      </w:r>
      <w:bookmarkStart w:id="4" w:name="3"/>
      <w:r w:rsidRPr="00432BAE">
        <w:rPr>
          <w:rFonts w:ascii="Verdana" w:hAnsi="Verdana" w:cs="Arial"/>
          <w:sz w:val="14"/>
          <w:szCs w:val="14"/>
          <w:lang w:val="es-CO"/>
        </w:rPr>
        <w:t>Otros principios de la transparencia y acceso a la información pública.</w:t>
      </w:r>
      <w:bookmarkEnd w:id="4"/>
      <w:r w:rsidRPr="00432BAE">
        <w:rPr>
          <w:rFonts w:ascii="Verdana" w:hAnsi="Verdana" w:cs="Arial"/>
          <w:sz w:val="14"/>
          <w:szCs w:val="14"/>
          <w:lang w:val="es-CO"/>
        </w:rPr>
        <w:t> </w:t>
      </w:r>
    </w:p>
    <w:p w14:paraId="56E229A8" w14:textId="77777777" w:rsidR="002469E9" w:rsidRPr="00432BAE" w:rsidRDefault="002469E9" w:rsidP="002469E9">
      <w:pPr>
        <w:pStyle w:val="Textonotapie"/>
        <w:ind w:firstLine="707"/>
        <w:contextualSpacing/>
        <w:jc w:val="both"/>
        <w:rPr>
          <w:rFonts w:ascii="Verdana" w:hAnsi="Verdana" w:cs="Arial"/>
          <w:sz w:val="14"/>
          <w:szCs w:val="14"/>
          <w:lang w:val="es-CO"/>
        </w:rPr>
      </w:pPr>
      <w:r w:rsidRPr="00432BAE">
        <w:rPr>
          <w:rFonts w:ascii="Verdana" w:hAnsi="Verdana" w:cs="Arial"/>
          <w:sz w:val="14"/>
          <w:szCs w:val="14"/>
          <w:lang w:val="es-CO"/>
        </w:rPr>
        <w:t xml:space="preserve">[…] </w:t>
      </w:r>
      <w:r w:rsidRPr="00432BAE">
        <w:rPr>
          <w:rStyle w:val="baj"/>
          <w:rFonts w:ascii="Verdana" w:hAnsi="Verdana" w:cs="Arial"/>
          <w:sz w:val="14"/>
          <w:szCs w:val="14"/>
        </w:rPr>
        <w:t>Principio de transparencia</w:t>
      </w:r>
      <w:r w:rsidRPr="00432BAE">
        <w:rPr>
          <w:rFonts w:ascii="Verdana" w:hAnsi="Verdana" w:cs="Arial"/>
          <w:sz w:val="14"/>
          <w:szCs w:val="14"/>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footnote>
  <w:footnote w:id="6">
    <w:p w14:paraId="3D64F935" w14:textId="77777777" w:rsidR="002469E9" w:rsidRPr="00432BAE" w:rsidRDefault="002469E9" w:rsidP="002469E9">
      <w:pPr>
        <w:pStyle w:val="Textonotapie"/>
        <w:ind w:firstLine="707"/>
        <w:contextualSpacing/>
        <w:jc w:val="both"/>
        <w:rPr>
          <w:rFonts w:ascii="Verdana" w:hAnsi="Verdana" w:cs="Arial"/>
          <w:sz w:val="14"/>
          <w:szCs w:val="14"/>
          <w:lang w:val="es-CO"/>
        </w:rPr>
      </w:pPr>
      <w:r w:rsidRPr="00432BAE">
        <w:rPr>
          <w:rStyle w:val="Refdenotaalpie"/>
          <w:rFonts w:ascii="Verdana" w:hAnsi="Verdana" w:cs="Arial"/>
          <w:sz w:val="14"/>
          <w:szCs w:val="14"/>
        </w:rPr>
        <w:footnoteRef/>
      </w:r>
      <w:r w:rsidRPr="00432BAE">
        <w:rPr>
          <w:rFonts w:ascii="Verdana" w:hAnsi="Verdana" w:cs="Arial"/>
          <w:sz w:val="14"/>
          <w:szCs w:val="14"/>
          <w:vertAlign w:val="superscript"/>
        </w:rPr>
        <w:t xml:space="preserve"> </w:t>
      </w:r>
      <w:r w:rsidRPr="00432BAE">
        <w:rPr>
          <w:rFonts w:ascii="Verdana" w:hAnsi="Verdana" w:cs="Arial"/>
          <w:sz w:val="14"/>
          <w:szCs w:val="14"/>
        </w:rPr>
        <w:t xml:space="preserve">Ley 1712 de 2014: “Artículo 3. </w:t>
      </w:r>
      <w:r w:rsidRPr="00432BAE">
        <w:rPr>
          <w:rFonts w:ascii="Verdana" w:hAnsi="Verdana" w:cs="Arial"/>
          <w:sz w:val="14"/>
          <w:szCs w:val="14"/>
          <w:lang w:val="es-CO"/>
        </w:rPr>
        <w:t>Otros principios de la transparencia y acceso a la información pública. </w:t>
      </w:r>
    </w:p>
    <w:p w14:paraId="65B944A9" w14:textId="77777777" w:rsidR="002469E9" w:rsidRPr="00432BAE" w:rsidRDefault="002469E9" w:rsidP="002469E9">
      <w:pPr>
        <w:pStyle w:val="Textonotapie"/>
        <w:ind w:firstLine="707"/>
        <w:contextualSpacing/>
        <w:jc w:val="both"/>
        <w:rPr>
          <w:rFonts w:ascii="Verdana" w:hAnsi="Verdana" w:cs="Arial"/>
          <w:sz w:val="14"/>
          <w:szCs w:val="14"/>
          <w:lang w:val="es-ES"/>
        </w:rPr>
      </w:pPr>
      <w:r w:rsidRPr="00432BAE">
        <w:rPr>
          <w:rFonts w:ascii="Verdana" w:hAnsi="Verdana" w:cs="Arial"/>
          <w:sz w:val="14"/>
          <w:szCs w:val="14"/>
          <w:lang w:val="es-ES"/>
        </w:rPr>
        <w:t xml:space="preserve">[…] </w:t>
      </w:r>
      <w:r w:rsidRPr="00432BAE">
        <w:rPr>
          <w:rStyle w:val="baj"/>
          <w:rFonts w:ascii="Verdana" w:hAnsi="Verdana" w:cs="Arial"/>
          <w:sz w:val="14"/>
          <w:szCs w:val="14"/>
        </w:rPr>
        <w:t>Principio de buena fe</w:t>
      </w:r>
      <w:r w:rsidRPr="00432BAE">
        <w:rPr>
          <w:rFonts w:ascii="Verdana" w:hAnsi="Verdana" w:cs="Arial"/>
          <w:sz w:val="14"/>
          <w:szCs w:val="14"/>
        </w:rPr>
        <w:t>. En virtud del cual todo sujeto obligado, al cumplir con las obligaciones derivadas del derecho de acceso a la información pública, lo hará con motivación honesta, leal y desprovista de cualquier intención dolosa o culposa”.</w:t>
      </w:r>
    </w:p>
  </w:footnote>
  <w:footnote w:id="7">
    <w:p w14:paraId="0F8C0281" w14:textId="77777777" w:rsidR="002469E9" w:rsidRPr="00432BAE" w:rsidRDefault="002469E9" w:rsidP="002469E9">
      <w:pPr>
        <w:pStyle w:val="Textonotapie"/>
        <w:ind w:firstLine="707"/>
        <w:contextualSpacing/>
        <w:jc w:val="both"/>
        <w:rPr>
          <w:rFonts w:ascii="Verdana" w:hAnsi="Verdana" w:cs="Arial"/>
          <w:sz w:val="14"/>
          <w:szCs w:val="14"/>
        </w:rPr>
      </w:pPr>
    </w:p>
    <w:p w14:paraId="0948D30D" w14:textId="77777777" w:rsidR="002469E9" w:rsidRPr="00432BAE" w:rsidRDefault="002469E9" w:rsidP="002469E9">
      <w:pPr>
        <w:pStyle w:val="Textonotapie"/>
        <w:ind w:firstLine="707"/>
        <w:contextualSpacing/>
        <w:jc w:val="both"/>
        <w:rPr>
          <w:rFonts w:ascii="Verdana" w:hAnsi="Verdana" w:cs="Arial"/>
          <w:sz w:val="14"/>
          <w:szCs w:val="14"/>
          <w:shd w:val="clear" w:color="auto" w:fill="FFFFFF"/>
        </w:rPr>
      </w:pPr>
      <w:r w:rsidRPr="00432BAE">
        <w:rPr>
          <w:rStyle w:val="Refdenotaalpie"/>
          <w:rFonts w:ascii="Verdana" w:hAnsi="Verdana" w:cs="Arial"/>
          <w:sz w:val="14"/>
          <w:szCs w:val="14"/>
        </w:rPr>
        <w:footnoteRef/>
      </w:r>
      <w:r w:rsidRPr="00432BAE">
        <w:rPr>
          <w:rFonts w:ascii="Verdana" w:hAnsi="Verdana" w:cs="Arial"/>
          <w:sz w:val="14"/>
          <w:szCs w:val="14"/>
        </w:rPr>
        <w:t xml:space="preserve"> Ley 1712 de 2014: “Artículo 9. </w:t>
      </w:r>
      <w:r w:rsidRPr="00432BAE">
        <w:rPr>
          <w:rFonts w:ascii="Verdana" w:hAnsi="Verdana" w:cs="Arial"/>
          <w:sz w:val="14"/>
          <w:szCs w:val="14"/>
          <w:shd w:val="clear" w:color="auto" w:fill="FFFFFF"/>
        </w:rPr>
        <w:t> </w:t>
      </w:r>
      <w:r w:rsidRPr="00432BAE">
        <w:rPr>
          <w:rStyle w:val="nfasis"/>
          <w:rFonts w:ascii="Verdana" w:hAnsi="Verdana" w:cs="Arial"/>
          <w:sz w:val="14"/>
          <w:szCs w:val="14"/>
          <w:shd w:val="clear" w:color="auto" w:fill="FFFFFF"/>
        </w:rPr>
        <w:t>Información mínima obligatoria respecto a la estructura del sujeto obligado. </w:t>
      </w:r>
      <w:r w:rsidRPr="00432BAE">
        <w:rPr>
          <w:rFonts w:ascii="Verdana" w:hAnsi="Verdana" w:cs="Arial"/>
          <w:sz w:val="14"/>
          <w:szCs w:val="14"/>
          <w:shd w:val="clear" w:color="auto" w:fill="FFFFFF"/>
        </w:rPr>
        <w:t>Todo sujeto obligado deberá publicar la siguiente información mínima obligatoria de manera proactiva en los sistemas de información del Estado o herramientas que lo sustituyan […] 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432BAE">
        <w:rPr>
          <w:rFonts w:ascii="Verdana" w:hAnsi="Verdana" w:cs="Arial"/>
          <w:sz w:val="14"/>
          <w:szCs w:val="14"/>
        </w:rPr>
        <w:t xml:space="preserve"> </w:t>
      </w:r>
      <w:r w:rsidRPr="00432BAE">
        <w:rPr>
          <w:rFonts w:ascii="Verdana" w:hAnsi="Verdana" w:cs="Arial"/>
          <w:sz w:val="14"/>
          <w:szCs w:val="14"/>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432BAE">
        <w:rPr>
          <w:rFonts w:ascii="Verdana" w:hAnsi="Verdana" w:cs="Arial"/>
          <w:sz w:val="14"/>
          <w:szCs w:val="14"/>
        </w:rPr>
        <w:t>”.</w:t>
      </w:r>
    </w:p>
  </w:footnote>
  <w:footnote w:id="8">
    <w:p w14:paraId="49D55870" w14:textId="77777777" w:rsidR="002469E9" w:rsidRPr="00432BAE" w:rsidRDefault="002469E9" w:rsidP="002469E9">
      <w:pPr>
        <w:spacing w:after="0" w:line="240" w:lineRule="auto"/>
        <w:ind w:firstLine="707"/>
        <w:contextualSpacing/>
        <w:jc w:val="both"/>
        <w:rPr>
          <w:rFonts w:ascii="Verdana" w:hAnsi="Verdana" w:cs="Arial"/>
          <w:sz w:val="14"/>
          <w:szCs w:val="14"/>
        </w:rPr>
      </w:pPr>
      <w:r w:rsidRPr="00432BAE">
        <w:rPr>
          <w:rStyle w:val="Refdenotaalpie"/>
          <w:rFonts w:ascii="Verdana" w:hAnsi="Verdana" w:cs="Arial"/>
          <w:sz w:val="14"/>
          <w:szCs w:val="14"/>
        </w:rPr>
        <w:footnoteRef/>
      </w:r>
      <w:r w:rsidRPr="00432BAE">
        <w:rPr>
          <w:rFonts w:ascii="Verdana" w:hAnsi="Verdana" w:cs="Arial"/>
          <w:sz w:val="14"/>
          <w:szCs w:val="14"/>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18AE9BCE" w14:textId="77777777" w:rsidR="002469E9" w:rsidRPr="00432BAE" w:rsidRDefault="002469E9" w:rsidP="002469E9">
      <w:pPr>
        <w:pStyle w:val="Textonotapie"/>
        <w:contextualSpacing/>
        <w:jc w:val="both"/>
        <w:rPr>
          <w:rFonts w:ascii="Verdana" w:hAnsi="Verdana" w:cs="Arial"/>
          <w:sz w:val="14"/>
          <w:szCs w:val="14"/>
        </w:rPr>
      </w:pPr>
    </w:p>
  </w:footnote>
  <w:footnote w:id="9">
    <w:p w14:paraId="7D9BDC83" w14:textId="77777777" w:rsidR="002469E9" w:rsidRPr="00432BAE" w:rsidRDefault="002469E9" w:rsidP="002469E9">
      <w:pPr>
        <w:pStyle w:val="Textonotapie"/>
        <w:ind w:firstLine="709"/>
        <w:jc w:val="both"/>
        <w:rPr>
          <w:rFonts w:ascii="Verdana" w:hAnsi="Verdana" w:cs="Arial"/>
          <w:color w:val="000000"/>
          <w:sz w:val="14"/>
          <w:szCs w:val="14"/>
        </w:rPr>
      </w:pPr>
      <w:r w:rsidRPr="00432BAE">
        <w:rPr>
          <w:rStyle w:val="Refdenotaalpie"/>
          <w:rFonts w:ascii="Verdana" w:hAnsi="Verdana" w:cs="Arial"/>
          <w:color w:val="000000"/>
          <w:sz w:val="14"/>
          <w:szCs w:val="14"/>
        </w:rPr>
        <w:footnoteRef/>
      </w:r>
      <w:r w:rsidRPr="00432BAE">
        <w:rPr>
          <w:rFonts w:ascii="Verdana" w:hAnsi="Verdana" w:cs="Arial"/>
          <w:color w:val="000000"/>
          <w:sz w:val="14"/>
          <w:szCs w:val="14"/>
        </w:rPr>
        <w:t xml:space="preserve"> C</w:t>
      </w:r>
      <w:proofErr w:type="spellStart"/>
      <w:r w:rsidRPr="00432BAE">
        <w:rPr>
          <w:rFonts w:ascii="Verdana" w:eastAsia="Times New Roman" w:hAnsi="Verdana" w:cs="Arial"/>
          <w:color w:val="000000"/>
          <w:sz w:val="14"/>
          <w:szCs w:val="14"/>
          <w:lang w:val="es-ES" w:eastAsia="es-ES"/>
        </w:rPr>
        <w:t>orte</w:t>
      </w:r>
      <w:proofErr w:type="spellEnd"/>
      <w:r w:rsidRPr="00432BAE">
        <w:rPr>
          <w:rFonts w:ascii="Verdana" w:eastAsia="Times New Roman" w:hAnsi="Verdana" w:cs="Arial"/>
          <w:color w:val="000000"/>
          <w:sz w:val="14"/>
          <w:szCs w:val="14"/>
          <w:lang w:val="es-ES" w:eastAsia="es-ES"/>
        </w:rPr>
        <w:t xml:space="preserve"> Constitucional. Sentencia C‒274 de 9 de mayo de 2013. M.P. Mar</w:t>
      </w:r>
      <w:r w:rsidRPr="00432BAE">
        <w:rPr>
          <w:rFonts w:ascii="Verdana" w:eastAsia="Times New Roman" w:hAnsi="Verdana" w:cs="Century Gothic"/>
          <w:color w:val="000000"/>
          <w:sz w:val="14"/>
          <w:szCs w:val="14"/>
          <w:lang w:val="es-ES" w:eastAsia="es-ES"/>
        </w:rPr>
        <w:t>í</w:t>
      </w:r>
      <w:r w:rsidRPr="00432BAE">
        <w:rPr>
          <w:rFonts w:ascii="Verdana" w:eastAsia="Times New Roman" w:hAnsi="Verdana" w:cs="Arial"/>
          <w:color w:val="000000"/>
          <w:sz w:val="14"/>
          <w:szCs w:val="14"/>
          <w:lang w:val="es-ES" w:eastAsia="es-ES"/>
        </w:rPr>
        <w:t xml:space="preserve">a Victoria Calle Correa. </w:t>
      </w:r>
    </w:p>
    <w:p w14:paraId="5F679402" w14:textId="77777777" w:rsidR="002469E9" w:rsidRPr="00432BAE" w:rsidRDefault="002469E9" w:rsidP="002469E9">
      <w:pPr>
        <w:pStyle w:val="Textonotapie"/>
        <w:ind w:firstLine="709"/>
        <w:jc w:val="both"/>
        <w:rPr>
          <w:rFonts w:ascii="Verdana" w:hAnsi="Verdana" w:cs="Arial"/>
          <w:color w:val="000000"/>
          <w:sz w:val="14"/>
          <w:szCs w:val="14"/>
          <w:lang w:val="es-CO"/>
        </w:rPr>
      </w:pPr>
    </w:p>
  </w:footnote>
  <w:footnote w:id="10">
    <w:p w14:paraId="23A60BD6" w14:textId="77777777" w:rsidR="002469E9" w:rsidRPr="00B36C4A" w:rsidRDefault="002469E9" w:rsidP="002469E9">
      <w:pPr>
        <w:pStyle w:val="Textonotapie"/>
        <w:ind w:firstLine="709"/>
        <w:jc w:val="both"/>
        <w:rPr>
          <w:rFonts w:ascii="Verdana" w:hAnsi="Verdana" w:cs="Arial"/>
          <w:color w:val="000000"/>
          <w:sz w:val="14"/>
          <w:szCs w:val="14"/>
        </w:rPr>
      </w:pPr>
      <w:r w:rsidRPr="00B36C4A">
        <w:rPr>
          <w:rFonts w:ascii="Verdana" w:eastAsia="Times New Roman" w:hAnsi="Verdana" w:cs="Arial"/>
          <w:color w:val="000000"/>
          <w:sz w:val="14"/>
          <w:szCs w:val="14"/>
          <w:vertAlign w:val="superscript"/>
          <w:lang w:val="es-ES" w:eastAsia="es-ES"/>
        </w:rPr>
        <w:footnoteRef/>
      </w:r>
      <w:r w:rsidRPr="00B36C4A">
        <w:rPr>
          <w:rFonts w:ascii="Verdana" w:eastAsia="Times New Roman" w:hAnsi="Verdana" w:cs="Arial"/>
          <w:color w:val="000000"/>
          <w:sz w:val="14"/>
          <w:szCs w:val="14"/>
          <w:vertAlign w:val="superscript"/>
          <w:lang w:val="es-ES" w:eastAsia="es-ES"/>
        </w:rPr>
        <w:t xml:space="preserve"> </w:t>
      </w:r>
      <w:r w:rsidRPr="00B36C4A">
        <w:rPr>
          <w:rFonts w:ascii="Verdana" w:eastAsia="Times New Roman" w:hAnsi="Verdana" w:cs="Arial"/>
          <w:color w:val="000000"/>
          <w:sz w:val="14"/>
          <w:szCs w:val="14"/>
          <w:lang w:val="es-ES" w:eastAsia="es-ES"/>
        </w:rPr>
        <w:t>“</w:t>
      </w:r>
      <w:r w:rsidRPr="00B36C4A">
        <w:rPr>
          <w:rFonts w:ascii="Verdana" w:hAnsi="Verdana" w:cs="Arial"/>
          <w:color w:val="000000"/>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420D4EE" w14:textId="77777777" w:rsidR="002469E9" w:rsidRPr="00B36C4A" w:rsidRDefault="002469E9" w:rsidP="002469E9">
      <w:pPr>
        <w:pStyle w:val="Textonotapie"/>
        <w:ind w:firstLine="709"/>
        <w:jc w:val="both"/>
        <w:rPr>
          <w:rFonts w:ascii="Verdana" w:eastAsia="Times New Roman" w:hAnsi="Verdana" w:cs="Arial"/>
          <w:color w:val="000000"/>
          <w:sz w:val="14"/>
          <w:szCs w:val="14"/>
          <w:lang w:val="es-ES" w:eastAsia="es-ES"/>
        </w:rPr>
      </w:pPr>
      <w:r w:rsidRPr="00B36C4A">
        <w:rPr>
          <w:rFonts w:ascii="Verdana" w:hAnsi="Verdana" w:cs="Arial"/>
          <w:color w:val="000000"/>
          <w:sz w:val="14"/>
          <w:szCs w:val="14"/>
        </w:rPr>
        <w:t>[…].</w:t>
      </w:r>
    </w:p>
    <w:p w14:paraId="018A3277" w14:textId="3D954654" w:rsidR="002469E9" w:rsidRPr="00B36C4A" w:rsidRDefault="002469E9" w:rsidP="00972C3F">
      <w:pPr>
        <w:pStyle w:val="Textonotapie"/>
        <w:ind w:firstLine="709"/>
        <w:jc w:val="both"/>
        <w:rPr>
          <w:rFonts w:ascii="Verdana" w:eastAsia="Times New Roman" w:hAnsi="Verdana" w:cs="Arial"/>
          <w:color w:val="000000"/>
          <w:sz w:val="14"/>
          <w:szCs w:val="14"/>
          <w:lang w:val="es-ES" w:eastAsia="es-ES"/>
        </w:rPr>
      </w:pPr>
      <w:r w:rsidRPr="00B36C4A">
        <w:rPr>
          <w:rFonts w:ascii="Verdana" w:eastAsia="Times New Roman" w:hAnsi="Verdana" w:cs="Arial"/>
          <w:color w:val="000000"/>
          <w:sz w:val="14"/>
          <w:szCs w:val="14"/>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1">
    <w:p w14:paraId="2DBEADEA" w14:textId="77777777" w:rsidR="002469E9" w:rsidRPr="002309C7" w:rsidRDefault="002469E9" w:rsidP="002469E9">
      <w:pPr>
        <w:pStyle w:val="Textonotapie"/>
        <w:snapToGrid w:val="0"/>
        <w:ind w:firstLine="709"/>
        <w:jc w:val="both"/>
        <w:rPr>
          <w:rFonts w:ascii="Verdana" w:eastAsia="Calibri" w:hAnsi="Verdana" w:cs="Arial"/>
          <w:color w:val="000000" w:themeColor="text1"/>
          <w:sz w:val="14"/>
          <w:szCs w:val="14"/>
        </w:rPr>
      </w:pPr>
      <w:r w:rsidRPr="00FB41F6">
        <w:rPr>
          <w:rStyle w:val="Refdenotaalpie"/>
          <w:rFonts w:ascii="Verdana" w:hAnsi="Verdana" w:cs="Arial"/>
          <w:sz w:val="14"/>
          <w:szCs w:val="14"/>
        </w:rPr>
        <w:footnoteRef/>
      </w:r>
      <w:r w:rsidRPr="00FB41F6">
        <w:rPr>
          <w:rFonts w:ascii="Verdana" w:hAnsi="Verdana" w:cs="Arial"/>
          <w:sz w:val="14"/>
          <w:szCs w:val="14"/>
        </w:rPr>
        <w:t xml:space="preserve"> </w:t>
      </w:r>
      <w:r w:rsidRPr="00FB41F6">
        <w:rPr>
          <w:rFonts w:ascii="Verdana" w:hAnsi="Verdana" w:cs="Arial"/>
          <w:color w:val="000000" w:themeColor="text1"/>
          <w:sz w:val="14"/>
          <w:szCs w:val="14"/>
        </w:rPr>
        <w:t>Consejo de Estado. Sala de lo Contencioso Administrativo. Sección Tercera. Sentencia del 06 de junio de 2007. Radicación No. 25000-23-26-000-1996-02482-01(17.253). C.P: Ruth Stella Correa Palacio.</w:t>
      </w:r>
    </w:p>
  </w:footnote>
  <w:footnote w:id="12">
    <w:p w14:paraId="0722A3B5" w14:textId="77777777" w:rsidR="002469E9" w:rsidRPr="00FB41F6" w:rsidRDefault="002469E9" w:rsidP="002469E9">
      <w:pPr>
        <w:pStyle w:val="Textonotapie"/>
        <w:ind w:firstLine="709"/>
        <w:rPr>
          <w:rFonts w:ascii="Verdana" w:hAnsi="Verdana"/>
          <w:sz w:val="14"/>
          <w:szCs w:val="14"/>
        </w:rPr>
      </w:pPr>
      <w:r w:rsidRPr="00FB41F6">
        <w:rPr>
          <w:rStyle w:val="Refdenotaalpie"/>
          <w:rFonts w:ascii="Verdana" w:hAnsi="Verdana"/>
          <w:sz w:val="14"/>
          <w:szCs w:val="14"/>
        </w:rPr>
        <w:footnoteRef/>
      </w:r>
      <w:r w:rsidRPr="00FB41F6">
        <w:rPr>
          <w:rFonts w:ascii="Verdana" w:hAnsi="Verdana"/>
          <w:sz w:val="14"/>
          <w:szCs w:val="14"/>
        </w:rPr>
        <w:t xml:space="preserve"> Consejo de Estado. Sala de lo Contencioso Administrativo. Sección Tercera. Subsección A. sentencia del 12 de agosto de 2019. Radicado: 25000-23-26-000-2002-01599-01(38603) C.P: María Adriana Marín. </w:t>
      </w:r>
    </w:p>
  </w:footnote>
  <w:footnote w:id="13">
    <w:p w14:paraId="56EF107C" w14:textId="77777777" w:rsidR="002469E9" w:rsidRPr="00FB41F6" w:rsidRDefault="002469E9" w:rsidP="002469E9">
      <w:pPr>
        <w:pStyle w:val="Textonotapie"/>
        <w:ind w:firstLine="709"/>
        <w:jc w:val="both"/>
        <w:rPr>
          <w:rFonts w:ascii="Verdana" w:hAnsi="Verdana"/>
          <w:sz w:val="14"/>
          <w:szCs w:val="14"/>
          <w:lang w:val="es-CO"/>
        </w:rPr>
      </w:pPr>
      <w:r w:rsidRPr="00FB41F6">
        <w:rPr>
          <w:rStyle w:val="Refdenotaalpie"/>
          <w:rFonts w:ascii="Verdana" w:hAnsi="Verdana"/>
          <w:sz w:val="14"/>
          <w:szCs w:val="14"/>
        </w:rPr>
        <w:footnoteRef/>
      </w:r>
      <w:r w:rsidRPr="00FB41F6">
        <w:rPr>
          <w:rFonts w:ascii="Verdana" w:hAnsi="Verdana"/>
          <w:sz w:val="14"/>
          <w:szCs w:val="14"/>
        </w:rPr>
        <w:t xml:space="preserve"> </w:t>
      </w:r>
      <w:r w:rsidRPr="008D5945">
        <w:rPr>
          <w:rFonts w:ascii="Verdana" w:hAnsi="Verdana"/>
          <w:sz w:val="14"/>
          <w:szCs w:val="14"/>
          <w:lang w:val="es-CO"/>
        </w:rPr>
        <w:t>RICO PUERTA, Luís Alfonso. Teoría General y Práctica de la Contratación Estatal, Décima edición, pág. 240 y 241.</w:t>
      </w:r>
    </w:p>
  </w:footnote>
  <w:footnote w:id="14">
    <w:p w14:paraId="2C58504F" w14:textId="77777777" w:rsidR="002469E9" w:rsidRPr="002309C7" w:rsidRDefault="002469E9" w:rsidP="002469E9">
      <w:pPr>
        <w:pStyle w:val="Textonotapie"/>
        <w:ind w:firstLine="709"/>
        <w:jc w:val="both"/>
        <w:rPr>
          <w:rFonts w:ascii="Verdana" w:hAnsi="Verdana" w:cs="Arial"/>
          <w:sz w:val="14"/>
          <w:szCs w:val="14"/>
        </w:rPr>
      </w:pPr>
      <w:r w:rsidRPr="00DE2ABE">
        <w:rPr>
          <w:rStyle w:val="Refdenotaalpie"/>
          <w:rFonts w:ascii="Verdana" w:hAnsi="Verdana"/>
          <w:sz w:val="14"/>
          <w:szCs w:val="14"/>
        </w:rPr>
        <w:footnoteRef/>
      </w:r>
      <w:r w:rsidRPr="00DE2ABE">
        <w:rPr>
          <w:rFonts w:ascii="Verdana" w:hAnsi="Verdana"/>
          <w:sz w:val="14"/>
          <w:szCs w:val="14"/>
        </w:rPr>
        <w:t xml:space="preserve"> </w:t>
      </w:r>
      <w:r w:rsidRPr="00DE2ABE">
        <w:rPr>
          <w:rFonts w:ascii="Verdana" w:hAnsi="Verdana" w:cs="Arial"/>
          <w:sz w:val="14"/>
          <w:szCs w:val="14"/>
        </w:rPr>
        <w:t>Consejo de Estado</w:t>
      </w:r>
      <w:r>
        <w:rPr>
          <w:rFonts w:ascii="Verdana" w:hAnsi="Verdana" w:cs="Arial"/>
          <w:sz w:val="14"/>
          <w:szCs w:val="14"/>
        </w:rPr>
        <w:t>. Sala de lo Contencioso Administrativo. S</w:t>
      </w:r>
      <w:r w:rsidRPr="00DE2ABE">
        <w:rPr>
          <w:rFonts w:ascii="Verdana" w:hAnsi="Verdana" w:cs="Arial"/>
          <w:sz w:val="14"/>
          <w:szCs w:val="14"/>
        </w:rPr>
        <w:t>ección Cuarta</w:t>
      </w:r>
      <w:r>
        <w:rPr>
          <w:rFonts w:ascii="Verdana" w:hAnsi="Verdana" w:cs="Arial"/>
          <w:sz w:val="14"/>
          <w:szCs w:val="14"/>
        </w:rPr>
        <w:t xml:space="preserve">. Sentencia del </w:t>
      </w:r>
      <w:r w:rsidRPr="00DE2ABE">
        <w:rPr>
          <w:rFonts w:ascii="Verdana" w:hAnsi="Verdana" w:cs="Arial"/>
          <w:sz w:val="14"/>
          <w:szCs w:val="14"/>
        </w:rPr>
        <w:t xml:space="preserve">16 de septiembre de 2010. </w:t>
      </w:r>
      <w:r>
        <w:rPr>
          <w:rFonts w:ascii="Verdana" w:hAnsi="Verdana" w:cs="Arial"/>
          <w:sz w:val="14"/>
          <w:szCs w:val="14"/>
        </w:rPr>
        <w:t xml:space="preserve">Radicado: </w:t>
      </w:r>
      <w:r w:rsidRPr="00DE2ABE">
        <w:rPr>
          <w:rFonts w:ascii="Verdana" w:hAnsi="Verdana" w:cs="Arial"/>
          <w:sz w:val="14"/>
          <w:szCs w:val="14"/>
          <w:lang w:val="es-CO"/>
        </w:rPr>
        <w:t>130011-23-31-000-1999-90004-01</w:t>
      </w:r>
      <w:r>
        <w:rPr>
          <w:rFonts w:ascii="Verdana" w:hAnsi="Verdana" w:cs="Arial"/>
          <w:sz w:val="14"/>
          <w:szCs w:val="14"/>
          <w:lang w:val="es-CO"/>
        </w:rPr>
        <w:t xml:space="preserve"> (16605) </w:t>
      </w:r>
      <w:r w:rsidRPr="00DE2ABE">
        <w:rPr>
          <w:rFonts w:ascii="Verdana" w:hAnsi="Verdana" w:cs="Arial"/>
          <w:sz w:val="14"/>
          <w:szCs w:val="14"/>
        </w:rPr>
        <w:t>C</w:t>
      </w:r>
      <w:r>
        <w:rPr>
          <w:rFonts w:ascii="Verdana" w:hAnsi="Verdana" w:cs="Arial"/>
          <w:sz w:val="14"/>
          <w:szCs w:val="14"/>
        </w:rPr>
        <w:t>.</w:t>
      </w:r>
      <w:r w:rsidRPr="00DE2ABE">
        <w:rPr>
          <w:rFonts w:ascii="Verdana" w:hAnsi="Verdana" w:cs="Arial"/>
          <w:sz w:val="14"/>
          <w:szCs w:val="14"/>
        </w:rPr>
        <w:t>P</w:t>
      </w:r>
      <w:r>
        <w:rPr>
          <w:rFonts w:ascii="Verdana" w:hAnsi="Verdana" w:cs="Arial"/>
          <w:sz w:val="14"/>
          <w:szCs w:val="14"/>
        </w:rPr>
        <w:t>:</w:t>
      </w:r>
      <w:r w:rsidRPr="00DE2ABE">
        <w:rPr>
          <w:rFonts w:ascii="Verdana" w:hAnsi="Verdana" w:cs="Arial"/>
          <w:sz w:val="14"/>
          <w:szCs w:val="14"/>
        </w:rPr>
        <w:t xml:space="preserve"> Carmen Teresa Ortiz.</w:t>
      </w:r>
    </w:p>
  </w:footnote>
  <w:footnote w:id="15">
    <w:p w14:paraId="4EDA3FBF" w14:textId="305FDC2F" w:rsidR="002469E9" w:rsidRPr="00DE2ABE" w:rsidRDefault="002469E9" w:rsidP="00432BAE">
      <w:pPr>
        <w:pStyle w:val="Textonotapie"/>
        <w:snapToGrid w:val="0"/>
        <w:jc w:val="both"/>
        <w:rPr>
          <w:rFonts w:ascii="Verdana" w:hAnsi="Verdana" w:cs="Arial"/>
          <w:sz w:val="14"/>
          <w:szCs w:val="14"/>
          <w:lang w:val="es-CO"/>
        </w:rPr>
      </w:pPr>
      <w:r w:rsidRPr="00DE2ABE">
        <w:rPr>
          <w:rStyle w:val="Refdenotaalpie"/>
          <w:rFonts w:ascii="Verdana" w:hAnsi="Verdana" w:cs="Arial"/>
          <w:sz w:val="14"/>
          <w:szCs w:val="14"/>
        </w:rPr>
        <w:footnoteRef/>
      </w:r>
      <w:r w:rsidRPr="00DE2ABE">
        <w:rPr>
          <w:rFonts w:ascii="Verdana" w:hAnsi="Verdana" w:cs="Arial"/>
          <w:sz w:val="14"/>
          <w:szCs w:val="14"/>
        </w:rPr>
        <w:t xml:space="preserve"> </w:t>
      </w:r>
      <w:r w:rsidRPr="00DE2ABE">
        <w:rPr>
          <w:rFonts w:ascii="Verdana" w:hAnsi="Verdana" w:cs="Arial"/>
          <w:color w:val="000000" w:themeColor="text1"/>
          <w:sz w:val="14"/>
          <w:szCs w:val="14"/>
        </w:rPr>
        <w:t>Consejo de Estado</w:t>
      </w:r>
      <w:r>
        <w:rPr>
          <w:rFonts w:ascii="Verdana" w:hAnsi="Verdana" w:cs="Arial"/>
          <w:color w:val="000000" w:themeColor="text1"/>
          <w:sz w:val="14"/>
          <w:szCs w:val="14"/>
        </w:rPr>
        <w:t>.</w:t>
      </w:r>
      <w:r w:rsidRPr="00DE2ABE">
        <w:rPr>
          <w:rFonts w:ascii="Verdana" w:hAnsi="Verdana" w:cs="Arial"/>
          <w:color w:val="000000" w:themeColor="text1"/>
          <w:sz w:val="14"/>
          <w:szCs w:val="14"/>
        </w:rPr>
        <w:t xml:space="preserve"> Sala de Consulta y Servicio Civil</w:t>
      </w:r>
      <w:r>
        <w:rPr>
          <w:rFonts w:ascii="Verdana" w:hAnsi="Verdana" w:cs="Arial"/>
          <w:color w:val="000000" w:themeColor="text1"/>
          <w:sz w:val="14"/>
          <w:szCs w:val="14"/>
        </w:rPr>
        <w:t>.</w:t>
      </w:r>
      <w:r w:rsidRPr="00DE2ABE">
        <w:rPr>
          <w:rFonts w:ascii="Verdana" w:hAnsi="Verdana" w:cs="Arial"/>
          <w:color w:val="000000" w:themeColor="text1"/>
          <w:sz w:val="14"/>
          <w:szCs w:val="14"/>
        </w:rPr>
        <w:t xml:space="preserve"> Concepto de 7 febrero de 1997, Rad. 934, C. P. Javier Henao Hidrón.</w:t>
      </w:r>
      <w:r w:rsidRPr="00DE2ABE">
        <w:rPr>
          <w:rFonts w:ascii="Verdana" w:hAnsi="Verdana" w:cs="Arial"/>
          <w:sz w:val="14"/>
          <w:szCs w:val="14"/>
        </w:rPr>
        <w:t xml:space="preserve"> </w:t>
      </w:r>
    </w:p>
  </w:footnote>
  <w:footnote w:id="16">
    <w:p w14:paraId="25CC703C" w14:textId="77777777" w:rsidR="002469E9" w:rsidRPr="00DE2ABE" w:rsidRDefault="002469E9" w:rsidP="002469E9">
      <w:pPr>
        <w:pStyle w:val="Textonotapie"/>
        <w:ind w:firstLine="709"/>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Consejo de Estado</w:t>
      </w:r>
      <w:r>
        <w:rPr>
          <w:rFonts w:ascii="Verdana" w:hAnsi="Verdana" w:cs="Arial"/>
          <w:sz w:val="14"/>
          <w:szCs w:val="14"/>
        </w:rPr>
        <w:t>.</w:t>
      </w:r>
      <w:r w:rsidRPr="00DE2ABE">
        <w:rPr>
          <w:rFonts w:ascii="Verdana" w:hAnsi="Verdana" w:cs="Arial"/>
          <w:sz w:val="14"/>
          <w:szCs w:val="14"/>
        </w:rPr>
        <w:t xml:space="preserve"> Sala de Consulta y Servicio Civil</w:t>
      </w:r>
      <w:r>
        <w:rPr>
          <w:rFonts w:ascii="Verdana" w:hAnsi="Verdana" w:cs="Arial"/>
          <w:sz w:val="14"/>
          <w:szCs w:val="14"/>
        </w:rPr>
        <w:t>. C</w:t>
      </w:r>
      <w:r w:rsidRPr="00DE2ABE">
        <w:rPr>
          <w:rFonts w:ascii="Verdana" w:hAnsi="Verdana" w:cs="Arial"/>
          <w:sz w:val="14"/>
          <w:szCs w:val="14"/>
        </w:rPr>
        <w:t>oncepto 2298 del 8 de marzo de 2017. C</w:t>
      </w:r>
      <w:r>
        <w:rPr>
          <w:rFonts w:ascii="Verdana" w:hAnsi="Verdana" w:cs="Arial"/>
          <w:sz w:val="14"/>
          <w:szCs w:val="14"/>
        </w:rPr>
        <w:t>.P:</w:t>
      </w:r>
      <w:r w:rsidRPr="00DE2ABE">
        <w:rPr>
          <w:rFonts w:ascii="Verdana" w:hAnsi="Verdana" w:cs="Arial"/>
          <w:sz w:val="14"/>
          <w:szCs w:val="14"/>
        </w:rPr>
        <w:t xml:space="preserve"> Edgar González López.</w:t>
      </w:r>
    </w:p>
  </w:footnote>
  <w:footnote w:id="17">
    <w:p w14:paraId="2EFA6C37" w14:textId="77777777" w:rsidR="002469E9" w:rsidRPr="00DE2ABE" w:rsidRDefault="002469E9" w:rsidP="002469E9">
      <w:pPr>
        <w:pStyle w:val="Textonotapie"/>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Consejo de Estado, Sala de lo Contencioso Administrativo, Sección Tercera</w:t>
      </w:r>
      <w:r>
        <w:rPr>
          <w:rFonts w:ascii="Verdana" w:hAnsi="Verdana" w:cs="Arial"/>
          <w:sz w:val="14"/>
          <w:szCs w:val="14"/>
        </w:rPr>
        <w:t>.</w:t>
      </w:r>
      <w:r w:rsidRPr="00DE2ABE">
        <w:rPr>
          <w:rFonts w:ascii="Verdana" w:hAnsi="Verdana" w:cs="Arial"/>
          <w:sz w:val="14"/>
          <w:szCs w:val="14"/>
        </w:rPr>
        <w:t xml:space="preserve"> Subsección A</w:t>
      </w:r>
      <w:r>
        <w:rPr>
          <w:rFonts w:ascii="Verdana" w:hAnsi="Verdana" w:cs="Arial"/>
          <w:sz w:val="14"/>
          <w:szCs w:val="14"/>
        </w:rPr>
        <w:t>.</w:t>
      </w:r>
      <w:r w:rsidRPr="00DE2ABE">
        <w:rPr>
          <w:rFonts w:ascii="Verdana" w:hAnsi="Verdana" w:cs="Arial"/>
          <w:sz w:val="14"/>
          <w:szCs w:val="14"/>
        </w:rPr>
        <w:t xml:space="preserve"> </w:t>
      </w:r>
      <w:r>
        <w:rPr>
          <w:rFonts w:ascii="Verdana" w:hAnsi="Verdana" w:cs="Arial"/>
          <w:sz w:val="14"/>
          <w:szCs w:val="14"/>
        </w:rPr>
        <w:t>S</w:t>
      </w:r>
      <w:r w:rsidRPr="00DE2ABE">
        <w:rPr>
          <w:rFonts w:ascii="Verdana" w:hAnsi="Verdana" w:cs="Arial"/>
          <w:sz w:val="14"/>
          <w:szCs w:val="14"/>
        </w:rPr>
        <w:t xml:space="preserve">entencia del 20 de noviembre de 2020. </w:t>
      </w:r>
      <w:r>
        <w:rPr>
          <w:rFonts w:ascii="Verdana" w:hAnsi="Verdana" w:cs="Arial"/>
          <w:sz w:val="14"/>
          <w:szCs w:val="14"/>
        </w:rPr>
        <w:t xml:space="preserve">Radicado: </w:t>
      </w:r>
      <w:r w:rsidRPr="00DE2ABE">
        <w:rPr>
          <w:rFonts w:ascii="Verdana" w:hAnsi="Verdana" w:cs="Arial"/>
          <w:sz w:val="14"/>
          <w:szCs w:val="14"/>
        </w:rPr>
        <w:t>05001-23-31-000-2002-02323-01 (47201)</w:t>
      </w:r>
      <w:r>
        <w:rPr>
          <w:rFonts w:ascii="Verdana" w:hAnsi="Verdana" w:cs="Arial"/>
          <w:sz w:val="14"/>
          <w:szCs w:val="14"/>
        </w:rPr>
        <w:t xml:space="preserve">. </w:t>
      </w:r>
      <w:r w:rsidRPr="00DE2ABE">
        <w:rPr>
          <w:rFonts w:ascii="Verdana" w:hAnsi="Verdana" w:cs="Arial"/>
          <w:sz w:val="14"/>
          <w:szCs w:val="14"/>
        </w:rPr>
        <w:t>C</w:t>
      </w:r>
      <w:r>
        <w:rPr>
          <w:rFonts w:ascii="Verdana" w:hAnsi="Verdana" w:cs="Arial"/>
          <w:sz w:val="14"/>
          <w:szCs w:val="14"/>
        </w:rPr>
        <w:t>.P</w:t>
      </w:r>
      <w:r w:rsidRPr="00DE2ABE">
        <w:rPr>
          <w:rFonts w:ascii="Verdana" w:hAnsi="Verdana" w:cs="Arial"/>
          <w:sz w:val="14"/>
          <w:szCs w:val="14"/>
        </w:rPr>
        <w:t>: José Roberto Sáchica Méndez.</w:t>
      </w:r>
    </w:p>
    <w:p w14:paraId="58163938" w14:textId="77777777" w:rsidR="002469E9" w:rsidRPr="00DE2ABE" w:rsidRDefault="002469E9" w:rsidP="002469E9">
      <w:pPr>
        <w:pStyle w:val="Textonotapie"/>
        <w:ind w:firstLine="708"/>
        <w:jc w:val="both"/>
        <w:rPr>
          <w:rFonts w:ascii="Verdana" w:hAnsi="Verdana" w:cs="Arial"/>
          <w:sz w:val="14"/>
          <w:szCs w:val="14"/>
        </w:rPr>
      </w:pPr>
    </w:p>
  </w:footnote>
  <w:footnote w:id="18">
    <w:p w14:paraId="33478F93" w14:textId="3310D7BF" w:rsidR="002469E9" w:rsidRPr="00DE2ABE" w:rsidRDefault="002469E9" w:rsidP="005E664D">
      <w:pPr>
        <w:spacing w:after="0" w:line="240" w:lineRule="auto"/>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En este sentido, la jurisprudencia de la Subsección ha destacado que “</w:t>
      </w:r>
      <w:r w:rsidRPr="00DE2ABE">
        <w:rPr>
          <w:rFonts w:ascii="Verdana" w:hAnsi="Verdana" w:cs="Arial"/>
          <w:i/>
          <w:iCs/>
          <w:sz w:val="14"/>
          <w:szCs w:val="14"/>
        </w:rPr>
        <w:t xml:space="preserve">[d]os de los elementos descriptores que tanto la legislación civil como la mercantil comparten en torno al mandato aluden a i) que la gestión confiada se hace por cuenta y riesgo del mandante y </w:t>
      </w:r>
      <w:proofErr w:type="spellStart"/>
      <w:r w:rsidRPr="00DE2ABE">
        <w:rPr>
          <w:rFonts w:ascii="Verdana" w:hAnsi="Verdana" w:cs="Arial"/>
          <w:i/>
          <w:iCs/>
          <w:sz w:val="14"/>
          <w:szCs w:val="14"/>
        </w:rPr>
        <w:t>ii</w:t>
      </w:r>
      <w:proofErr w:type="spellEnd"/>
      <w:r w:rsidRPr="00DE2ABE">
        <w:rPr>
          <w:rFonts w:ascii="Verdana" w:hAnsi="Verdana" w:cs="Arial"/>
          <w:i/>
          <w:iCs/>
          <w:sz w:val="14"/>
          <w:szCs w:val="14"/>
        </w:rPr>
        <w:t>) los actos ejercidos por el mandatario no obligan al mandante si han excedido los límites del encargo</w:t>
      </w:r>
      <w:r w:rsidRPr="00DE2ABE">
        <w:rPr>
          <w:rFonts w:ascii="Verdana" w:hAnsi="Verdana" w:cs="Arial"/>
          <w:sz w:val="14"/>
          <w:szCs w:val="14"/>
        </w:rPr>
        <w:t>”. Consejo de Estado</w:t>
      </w:r>
      <w:r>
        <w:rPr>
          <w:rFonts w:ascii="Verdana" w:hAnsi="Verdana" w:cs="Arial"/>
          <w:sz w:val="14"/>
          <w:szCs w:val="14"/>
        </w:rPr>
        <w:t xml:space="preserve">. Sala de lo Contencioso Administrativo. </w:t>
      </w:r>
      <w:r w:rsidRPr="00DE2ABE">
        <w:rPr>
          <w:rFonts w:ascii="Verdana" w:hAnsi="Verdana" w:cs="Arial"/>
          <w:sz w:val="14"/>
          <w:szCs w:val="14"/>
        </w:rPr>
        <w:t>Sección Tercera</w:t>
      </w:r>
      <w:r>
        <w:rPr>
          <w:rFonts w:ascii="Verdana" w:hAnsi="Verdana" w:cs="Arial"/>
          <w:sz w:val="14"/>
          <w:szCs w:val="14"/>
        </w:rPr>
        <w:t>.</w:t>
      </w:r>
      <w:r w:rsidRPr="00DE2ABE">
        <w:rPr>
          <w:rFonts w:ascii="Verdana" w:hAnsi="Verdana" w:cs="Arial"/>
          <w:sz w:val="14"/>
          <w:szCs w:val="14"/>
        </w:rPr>
        <w:t xml:space="preserve"> Subsección A. Sentencia del 1 de octubre de 2018. </w:t>
      </w:r>
      <w:r>
        <w:rPr>
          <w:rFonts w:ascii="Verdana" w:hAnsi="Verdana" w:cs="Arial"/>
          <w:sz w:val="14"/>
          <w:szCs w:val="14"/>
        </w:rPr>
        <w:t xml:space="preserve">Radicado: </w:t>
      </w:r>
      <w:r w:rsidRPr="00DE2ABE">
        <w:rPr>
          <w:rFonts w:ascii="Verdana" w:hAnsi="Verdana" w:cs="Arial"/>
          <w:sz w:val="14"/>
          <w:szCs w:val="14"/>
        </w:rPr>
        <w:t xml:space="preserve">13001-23-31-000-2012-00022-01 </w:t>
      </w:r>
      <w:r>
        <w:rPr>
          <w:rFonts w:ascii="Verdana" w:hAnsi="Verdana" w:cs="Arial"/>
          <w:sz w:val="14"/>
          <w:szCs w:val="14"/>
        </w:rPr>
        <w:t>(5</w:t>
      </w:r>
      <w:r w:rsidRPr="00DE2ABE">
        <w:rPr>
          <w:rFonts w:ascii="Verdana" w:hAnsi="Verdana" w:cs="Arial"/>
          <w:sz w:val="14"/>
          <w:szCs w:val="14"/>
        </w:rPr>
        <w:t>7897</w:t>
      </w:r>
      <w:r>
        <w:rPr>
          <w:rFonts w:ascii="Verdana" w:hAnsi="Verdana" w:cs="Arial"/>
          <w:sz w:val="14"/>
          <w:szCs w:val="14"/>
        </w:rPr>
        <w:t>)</w:t>
      </w:r>
      <w:r w:rsidRPr="00DE2ABE">
        <w:rPr>
          <w:rFonts w:ascii="Verdana" w:hAnsi="Verdana" w:cs="Arial"/>
          <w:sz w:val="14"/>
          <w:szCs w:val="14"/>
        </w:rPr>
        <w:t>. C.P</w:t>
      </w:r>
      <w:r>
        <w:rPr>
          <w:rFonts w:ascii="Verdana" w:hAnsi="Verdana" w:cs="Arial"/>
          <w:sz w:val="14"/>
          <w:szCs w:val="14"/>
        </w:rPr>
        <w:t>:</w:t>
      </w:r>
      <w:r w:rsidRPr="00DE2ABE">
        <w:rPr>
          <w:rFonts w:ascii="Verdana" w:hAnsi="Verdana" w:cs="Arial"/>
          <w:sz w:val="14"/>
          <w:szCs w:val="14"/>
        </w:rPr>
        <w:t xml:space="preserve"> Marta Nubia Velásquez Rico. </w:t>
      </w:r>
    </w:p>
  </w:footnote>
  <w:footnote w:id="19">
    <w:p w14:paraId="5B5BB6B8" w14:textId="77777777" w:rsidR="002469E9" w:rsidRPr="00DE2ABE" w:rsidRDefault="002469E9" w:rsidP="002469E9">
      <w:pPr>
        <w:pStyle w:val="Textonotapie"/>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Corte Suprema de Justicia, Sala de Casación Civil. Sentencia del 17 de abril de 2007. M</w:t>
      </w:r>
      <w:r>
        <w:rPr>
          <w:rFonts w:ascii="Verdana" w:hAnsi="Verdana" w:cs="Arial"/>
          <w:sz w:val="14"/>
          <w:szCs w:val="14"/>
        </w:rPr>
        <w:t>.P:</w:t>
      </w:r>
      <w:r w:rsidRPr="00DE2ABE">
        <w:rPr>
          <w:rFonts w:ascii="Verdana" w:hAnsi="Verdana" w:cs="Arial"/>
          <w:sz w:val="14"/>
          <w:szCs w:val="14"/>
        </w:rPr>
        <w:t xml:space="preserve"> Ped</w:t>
      </w:r>
      <w:r>
        <w:rPr>
          <w:rFonts w:ascii="Verdana" w:hAnsi="Verdana" w:cs="Arial"/>
          <w:sz w:val="14"/>
          <w:szCs w:val="14"/>
        </w:rPr>
        <w:t>r</w:t>
      </w:r>
      <w:r w:rsidRPr="00DE2ABE">
        <w:rPr>
          <w:rFonts w:ascii="Verdana" w:hAnsi="Verdana" w:cs="Arial"/>
          <w:sz w:val="14"/>
          <w:szCs w:val="14"/>
        </w:rPr>
        <w:t>o Octavio Munar Cadena.</w:t>
      </w:r>
      <w:r>
        <w:rPr>
          <w:rFonts w:ascii="Verdana" w:hAnsi="Verdana" w:cs="Arial"/>
          <w:sz w:val="14"/>
          <w:szCs w:val="14"/>
        </w:rPr>
        <w:t xml:space="preserve"> </w:t>
      </w:r>
      <w:proofErr w:type="spellStart"/>
      <w:r w:rsidRPr="00DE2ABE">
        <w:rPr>
          <w:rFonts w:ascii="Verdana" w:hAnsi="Verdana" w:cs="Arial"/>
          <w:sz w:val="14"/>
          <w:szCs w:val="14"/>
        </w:rPr>
        <w:t>Exp</w:t>
      </w:r>
      <w:proofErr w:type="spellEnd"/>
      <w:r w:rsidRPr="00DE2ABE">
        <w:rPr>
          <w:rFonts w:ascii="Verdana" w:hAnsi="Verdana" w:cs="Arial"/>
          <w:sz w:val="14"/>
          <w:szCs w:val="14"/>
        </w:rPr>
        <w:t xml:space="preserve">. 00645. </w:t>
      </w:r>
    </w:p>
  </w:footnote>
  <w:footnote w:id="20">
    <w:p w14:paraId="687D9326" w14:textId="77777777" w:rsidR="002469E9" w:rsidRPr="003E54E8" w:rsidRDefault="002469E9" w:rsidP="002469E9">
      <w:pPr>
        <w:pStyle w:val="Textonotapie"/>
        <w:ind w:firstLine="709"/>
        <w:jc w:val="both"/>
        <w:rPr>
          <w:rFonts w:ascii="Verdana" w:hAnsi="Verdana" w:cs="Arial"/>
          <w:sz w:val="14"/>
          <w:szCs w:val="14"/>
          <w:lang w:val="es-ES"/>
        </w:rPr>
      </w:pPr>
      <w:r w:rsidRPr="000B25DA">
        <w:rPr>
          <w:rStyle w:val="Refdenotaalpie"/>
          <w:rFonts w:ascii="Verdana" w:hAnsi="Verdana"/>
          <w:sz w:val="14"/>
          <w:szCs w:val="14"/>
        </w:rPr>
        <w:footnoteRef/>
      </w:r>
      <w:r w:rsidRPr="000B25DA">
        <w:rPr>
          <w:rFonts w:ascii="Verdana" w:hAnsi="Verdana"/>
          <w:sz w:val="14"/>
          <w:szCs w:val="14"/>
        </w:rPr>
        <w:t xml:space="preserve"> </w:t>
      </w:r>
      <w:r w:rsidRPr="000B25DA">
        <w:rPr>
          <w:rFonts w:ascii="Verdana" w:hAnsi="Verdana" w:cs="Arial"/>
          <w:sz w:val="14"/>
          <w:szCs w:val="14"/>
          <w:lang w:val="es-ES"/>
        </w:rPr>
        <w:t xml:space="preserve">Consejo de Estado. Sala de lo Contencioso Administrativo. Sección Tercera. Sentencia del 20 de junio de 2023. Radicado: </w:t>
      </w:r>
      <w:r w:rsidRPr="000B25DA">
        <w:rPr>
          <w:rFonts w:ascii="Verdana" w:hAnsi="Verdana" w:cs="Arial"/>
          <w:sz w:val="14"/>
          <w:szCs w:val="14"/>
          <w:lang w:val="es-CO"/>
        </w:rPr>
        <w:t>68001-23-31-000-2008-00361-01 (61174)</w:t>
      </w:r>
      <w:r w:rsidRPr="000B25DA">
        <w:rPr>
          <w:rFonts w:ascii="Verdana" w:hAnsi="Verdana" w:cs="Arial"/>
          <w:sz w:val="14"/>
          <w:szCs w:val="14"/>
          <w:lang w:val="es-ES"/>
        </w:rPr>
        <w:t xml:space="preserve"> C.P: José Roberto Sáchica Méndez.</w:t>
      </w:r>
    </w:p>
  </w:footnote>
  <w:footnote w:id="21">
    <w:p w14:paraId="3482FEA2" w14:textId="77777777" w:rsidR="002469E9" w:rsidRPr="000B25DA" w:rsidRDefault="002469E9" w:rsidP="002469E9">
      <w:pPr>
        <w:pStyle w:val="Textonotapie"/>
        <w:ind w:firstLine="709"/>
        <w:jc w:val="both"/>
        <w:rPr>
          <w:rFonts w:ascii="Verdana" w:hAnsi="Verdana"/>
          <w:sz w:val="14"/>
          <w:szCs w:val="14"/>
        </w:rPr>
      </w:pPr>
      <w:r w:rsidRPr="000B25DA">
        <w:rPr>
          <w:rStyle w:val="Refdenotaalpie"/>
          <w:rFonts w:ascii="Verdana" w:hAnsi="Verdana"/>
          <w:sz w:val="14"/>
          <w:szCs w:val="14"/>
        </w:rPr>
        <w:footnoteRef/>
      </w:r>
      <w:r w:rsidRPr="000B25DA">
        <w:rPr>
          <w:rFonts w:ascii="Verdana" w:hAnsi="Verdana"/>
          <w:sz w:val="14"/>
          <w:szCs w:val="14"/>
        </w:rPr>
        <w:t xml:space="preserve"> Ibidem.</w:t>
      </w:r>
    </w:p>
    <w:p w14:paraId="206F60EC" w14:textId="77777777" w:rsidR="002469E9" w:rsidRPr="000B25DA" w:rsidRDefault="002469E9" w:rsidP="002469E9">
      <w:pPr>
        <w:pStyle w:val="Textonotapie"/>
        <w:ind w:firstLine="709"/>
        <w:jc w:val="both"/>
        <w:rPr>
          <w:rFonts w:ascii="Verdana" w:hAnsi="Verdana"/>
          <w:sz w:val="14"/>
          <w:szCs w:val="14"/>
        </w:rPr>
      </w:pPr>
    </w:p>
  </w:footnote>
  <w:footnote w:id="22">
    <w:p w14:paraId="6BE60FEE" w14:textId="77777777" w:rsidR="002469E9" w:rsidRPr="00432BAE" w:rsidRDefault="002469E9" w:rsidP="002469E9">
      <w:pPr>
        <w:pStyle w:val="Textonotapie"/>
        <w:ind w:firstLine="709"/>
        <w:jc w:val="both"/>
        <w:rPr>
          <w:rFonts w:ascii="Verdana" w:hAnsi="Verdana" w:cs="Arial"/>
          <w:sz w:val="14"/>
          <w:szCs w:val="14"/>
          <w:lang w:val="es-ES"/>
        </w:rPr>
      </w:pPr>
      <w:r w:rsidRPr="00CC5CDC">
        <w:rPr>
          <w:rStyle w:val="Refdenotaalpie"/>
          <w:rFonts w:ascii="Verdana" w:hAnsi="Verdana"/>
          <w:sz w:val="16"/>
          <w:szCs w:val="16"/>
        </w:rPr>
        <w:footnoteRef/>
      </w:r>
      <w:r w:rsidRPr="00CC5CDC">
        <w:rPr>
          <w:rFonts w:ascii="Verdana" w:hAnsi="Verdana"/>
          <w:sz w:val="16"/>
          <w:szCs w:val="16"/>
        </w:rPr>
        <w:t xml:space="preserve"> </w:t>
      </w:r>
      <w:r w:rsidRPr="00432BAE">
        <w:rPr>
          <w:rFonts w:ascii="Verdana" w:hAnsi="Verdana" w:cs="Arial"/>
          <w:sz w:val="14"/>
          <w:szCs w:val="14"/>
          <w:lang w:val="es-ES"/>
        </w:rPr>
        <w:t xml:space="preserve">MARÍN CORTÉS, Fabián. </w:t>
      </w:r>
      <w:r w:rsidRPr="00432BAE">
        <w:rPr>
          <w:rFonts w:ascii="Verdana" w:hAnsi="Verdana" w:cs="Arial"/>
          <w:i/>
          <w:iCs/>
          <w:sz w:val="14"/>
          <w:szCs w:val="14"/>
          <w:lang w:val="es-ES"/>
        </w:rPr>
        <w:t>El precio</w:t>
      </w:r>
      <w:r w:rsidRPr="00432BAE">
        <w:rPr>
          <w:rFonts w:ascii="Verdana" w:hAnsi="Verdana" w:cs="Arial"/>
          <w:sz w:val="14"/>
          <w:szCs w:val="14"/>
          <w:lang w:val="es-ES"/>
        </w:rPr>
        <w:t>. Medellín: Librería Jurídica Sánchez, Centro de Estudios de Derecho Administrativo –CEDA–, 2012, pp. 149-150.</w:t>
      </w:r>
    </w:p>
    <w:p w14:paraId="73FE0143" w14:textId="77777777" w:rsidR="002469E9" w:rsidRPr="00432BAE" w:rsidRDefault="002469E9" w:rsidP="002469E9">
      <w:pPr>
        <w:pStyle w:val="Textonotapie"/>
        <w:ind w:firstLine="709"/>
        <w:jc w:val="both"/>
        <w:rPr>
          <w:rFonts w:ascii="Verdana" w:hAnsi="Verdana"/>
          <w:sz w:val="14"/>
          <w:szCs w:val="14"/>
          <w:lang w:val="es-CO"/>
        </w:rPr>
      </w:pPr>
    </w:p>
  </w:footnote>
  <w:footnote w:id="23">
    <w:p w14:paraId="72836571" w14:textId="77777777" w:rsidR="002469E9" w:rsidRPr="00CC5CDC" w:rsidRDefault="002469E9" w:rsidP="002469E9">
      <w:pPr>
        <w:pStyle w:val="Textonotapie"/>
        <w:ind w:firstLine="709"/>
        <w:jc w:val="both"/>
        <w:rPr>
          <w:rFonts w:ascii="Verdana" w:hAnsi="Verdana"/>
          <w:sz w:val="16"/>
          <w:szCs w:val="16"/>
          <w:lang w:val="es-CO"/>
        </w:rPr>
      </w:pPr>
      <w:r w:rsidRPr="00432BAE">
        <w:rPr>
          <w:rStyle w:val="Refdenotaalpie"/>
          <w:rFonts w:ascii="Verdana" w:hAnsi="Verdana"/>
          <w:sz w:val="14"/>
          <w:szCs w:val="14"/>
        </w:rPr>
        <w:footnoteRef/>
      </w:r>
      <w:r w:rsidRPr="00432BAE">
        <w:rPr>
          <w:rFonts w:ascii="Verdana" w:hAnsi="Verdana"/>
          <w:sz w:val="14"/>
          <w:szCs w:val="14"/>
        </w:rPr>
        <w:t xml:space="preserve"> </w:t>
      </w:r>
      <w:r w:rsidRPr="00432BAE">
        <w:rPr>
          <w:rFonts w:ascii="Verdana" w:eastAsia="Calibri" w:hAnsi="Verdana" w:cs="Arial"/>
          <w:sz w:val="14"/>
          <w:szCs w:val="14"/>
          <w:lang w:val="es-ES_tradnl" w:eastAsia="es-ES_tradnl"/>
        </w:rPr>
        <w:t>PINO RICCI, Jorge. El régimen jurídico de los contratos estatales. Universidad Externado de Colombia. Bogotá, 2005. pp. 423.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68D25B0B"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79291F"/>
    <w:multiLevelType w:val="hybridMultilevel"/>
    <w:tmpl w:val="E12A8660"/>
    <w:lvl w:ilvl="0" w:tplc="6E3C939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5"/>
  </w:num>
  <w:num w:numId="15" w16cid:durableId="390349800">
    <w:abstractNumId w:val="10"/>
  </w:num>
  <w:num w:numId="16" w16cid:durableId="2038387874">
    <w:abstractNumId w:val="9"/>
  </w:num>
  <w:num w:numId="17" w16cid:durableId="1240798036">
    <w:abstractNumId w:val="3"/>
  </w:num>
  <w:num w:numId="18" w16cid:durableId="138610699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A35"/>
    <w:rsid w:val="00046945"/>
    <w:rsid w:val="00054567"/>
    <w:rsid w:val="000560AA"/>
    <w:rsid w:val="00061B2A"/>
    <w:rsid w:val="00082362"/>
    <w:rsid w:val="000A683E"/>
    <w:rsid w:val="000B19B9"/>
    <w:rsid w:val="000D0334"/>
    <w:rsid w:val="000D5DA7"/>
    <w:rsid w:val="000E666B"/>
    <w:rsid w:val="000F6486"/>
    <w:rsid w:val="00116940"/>
    <w:rsid w:val="0012324A"/>
    <w:rsid w:val="00125105"/>
    <w:rsid w:val="00127233"/>
    <w:rsid w:val="001416E4"/>
    <w:rsid w:val="0015699B"/>
    <w:rsid w:val="00163CBF"/>
    <w:rsid w:val="0019519F"/>
    <w:rsid w:val="001A33BF"/>
    <w:rsid w:val="001D572F"/>
    <w:rsid w:val="001E4177"/>
    <w:rsid w:val="001F0B24"/>
    <w:rsid w:val="001F202F"/>
    <w:rsid w:val="001F7DC6"/>
    <w:rsid w:val="0022400B"/>
    <w:rsid w:val="002421BB"/>
    <w:rsid w:val="002469E9"/>
    <w:rsid w:val="0025796E"/>
    <w:rsid w:val="002707A2"/>
    <w:rsid w:val="002951A0"/>
    <w:rsid w:val="002962BC"/>
    <w:rsid w:val="002A093D"/>
    <w:rsid w:val="002A0DD0"/>
    <w:rsid w:val="002A49AC"/>
    <w:rsid w:val="002A64FD"/>
    <w:rsid w:val="002B03FF"/>
    <w:rsid w:val="002C7A84"/>
    <w:rsid w:val="002D4408"/>
    <w:rsid w:val="002E2BF8"/>
    <w:rsid w:val="002E4FD9"/>
    <w:rsid w:val="002E5348"/>
    <w:rsid w:val="0030657A"/>
    <w:rsid w:val="00310F83"/>
    <w:rsid w:val="00322A85"/>
    <w:rsid w:val="00324168"/>
    <w:rsid w:val="00330834"/>
    <w:rsid w:val="0033704A"/>
    <w:rsid w:val="003448F4"/>
    <w:rsid w:val="003571D6"/>
    <w:rsid w:val="00374F5E"/>
    <w:rsid w:val="00377E3E"/>
    <w:rsid w:val="00383700"/>
    <w:rsid w:val="003A0FF0"/>
    <w:rsid w:val="003A42C0"/>
    <w:rsid w:val="003A779E"/>
    <w:rsid w:val="003B20C5"/>
    <w:rsid w:val="003C6FD2"/>
    <w:rsid w:val="003D0F4D"/>
    <w:rsid w:val="003D5B0D"/>
    <w:rsid w:val="003E0499"/>
    <w:rsid w:val="003E4F80"/>
    <w:rsid w:val="003E6439"/>
    <w:rsid w:val="003F3941"/>
    <w:rsid w:val="004050F3"/>
    <w:rsid w:val="00406575"/>
    <w:rsid w:val="00414C74"/>
    <w:rsid w:val="0042722E"/>
    <w:rsid w:val="0043234D"/>
    <w:rsid w:val="00432BAE"/>
    <w:rsid w:val="0044528D"/>
    <w:rsid w:val="00466E39"/>
    <w:rsid w:val="004A1847"/>
    <w:rsid w:val="004A305D"/>
    <w:rsid w:val="004E5300"/>
    <w:rsid w:val="004F0EC5"/>
    <w:rsid w:val="004F21C4"/>
    <w:rsid w:val="004F246A"/>
    <w:rsid w:val="004F685F"/>
    <w:rsid w:val="005065CF"/>
    <w:rsid w:val="005566E8"/>
    <w:rsid w:val="005604D2"/>
    <w:rsid w:val="00570A4B"/>
    <w:rsid w:val="00574867"/>
    <w:rsid w:val="00591460"/>
    <w:rsid w:val="005A65E0"/>
    <w:rsid w:val="005B6CCF"/>
    <w:rsid w:val="005C3777"/>
    <w:rsid w:val="005C5CDC"/>
    <w:rsid w:val="005D476C"/>
    <w:rsid w:val="005E664D"/>
    <w:rsid w:val="006200BF"/>
    <w:rsid w:val="006219F8"/>
    <w:rsid w:val="006302F7"/>
    <w:rsid w:val="00646B9F"/>
    <w:rsid w:val="00665D70"/>
    <w:rsid w:val="006900D9"/>
    <w:rsid w:val="006E40CE"/>
    <w:rsid w:val="00706C16"/>
    <w:rsid w:val="007340C3"/>
    <w:rsid w:val="0075235A"/>
    <w:rsid w:val="007525FA"/>
    <w:rsid w:val="00756841"/>
    <w:rsid w:val="007649AB"/>
    <w:rsid w:val="00771D0C"/>
    <w:rsid w:val="007833AC"/>
    <w:rsid w:val="007A2E1A"/>
    <w:rsid w:val="007B268C"/>
    <w:rsid w:val="007B7171"/>
    <w:rsid w:val="007C0C0F"/>
    <w:rsid w:val="007C3DC2"/>
    <w:rsid w:val="007E5497"/>
    <w:rsid w:val="00806F5F"/>
    <w:rsid w:val="00820278"/>
    <w:rsid w:val="008258C9"/>
    <w:rsid w:val="00834D7A"/>
    <w:rsid w:val="00844AE9"/>
    <w:rsid w:val="008564B7"/>
    <w:rsid w:val="00867F95"/>
    <w:rsid w:val="00883268"/>
    <w:rsid w:val="008843B6"/>
    <w:rsid w:val="00891928"/>
    <w:rsid w:val="008A1E88"/>
    <w:rsid w:val="008A446D"/>
    <w:rsid w:val="008B0BB8"/>
    <w:rsid w:val="008B25F1"/>
    <w:rsid w:val="008D180B"/>
    <w:rsid w:val="008F0EA7"/>
    <w:rsid w:val="00913FF0"/>
    <w:rsid w:val="00923EEF"/>
    <w:rsid w:val="00936EBE"/>
    <w:rsid w:val="009419F9"/>
    <w:rsid w:val="0095685E"/>
    <w:rsid w:val="00961B09"/>
    <w:rsid w:val="00965334"/>
    <w:rsid w:val="0097093E"/>
    <w:rsid w:val="00972C3F"/>
    <w:rsid w:val="00972FDF"/>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292D"/>
    <w:rsid w:val="00B41329"/>
    <w:rsid w:val="00B44A47"/>
    <w:rsid w:val="00B7160C"/>
    <w:rsid w:val="00B72CD3"/>
    <w:rsid w:val="00B72FFF"/>
    <w:rsid w:val="00BC3D36"/>
    <w:rsid w:val="00BC7E59"/>
    <w:rsid w:val="00BD54A6"/>
    <w:rsid w:val="00BD7F72"/>
    <w:rsid w:val="00BE420B"/>
    <w:rsid w:val="00BF7425"/>
    <w:rsid w:val="00C04FB3"/>
    <w:rsid w:val="00C11D8B"/>
    <w:rsid w:val="00C15139"/>
    <w:rsid w:val="00C21FEB"/>
    <w:rsid w:val="00C243F9"/>
    <w:rsid w:val="00C330EB"/>
    <w:rsid w:val="00C50D69"/>
    <w:rsid w:val="00C532D3"/>
    <w:rsid w:val="00C5365C"/>
    <w:rsid w:val="00C754BE"/>
    <w:rsid w:val="00C76B1C"/>
    <w:rsid w:val="00C925AC"/>
    <w:rsid w:val="00CB5881"/>
    <w:rsid w:val="00CB6357"/>
    <w:rsid w:val="00CC1B26"/>
    <w:rsid w:val="00CF0E7B"/>
    <w:rsid w:val="00D22F9B"/>
    <w:rsid w:val="00D361FD"/>
    <w:rsid w:val="00D423A2"/>
    <w:rsid w:val="00D44E26"/>
    <w:rsid w:val="00D520D8"/>
    <w:rsid w:val="00D63AC2"/>
    <w:rsid w:val="00D7383B"/>
    <w:rsid w:val="00D7788A"/>
    <w:rsid w:val="00DA231B"/>
    <w:rsid w:val="00DC39FC"/>
    <w:rsid w:val="00DF5254"/>
    <w:rsid w:val="00E02524"/>
    <w:rsid w:val="00E16408"/>
    <w:rsid w:val="00E17F26"/>
    <w:rsid w:val="00E20894"/>
    <w:rsid w:val="00E245AB"/>
    <w:rsid w:val="00E2764C"/>
    <w:rsid w:val="00E27F2E"/>
    <w:rsid w:val="00E50AFE"/>
    <w:rsid w:val="00E53DF9"/>
    <w:rsid w:val="00E6353F"/>
    <w:rsid w:val="00E75C92"/>
    <w:rsid w:val="00E771DC"/>
    <w:rsid w:val="00E8772A"/>
    <w:rsid w:val="00E90F6B"/>
    <w:rsid w:val="00E917E7"/>
    <w:rsid w:val="00E92C27"/>
    <w:rsid w:val="00EA0E3D"/>
    <w:rsid w:val="00EC38A7"/>
    <w:rsid w:val="00EE1AA8"/>
    <w:rsid w:val="00F23FEA"/>
    <w:rsid w:val="00F31EDC"/>
    <w:rsid w:val="00F3299C"/>
    <w:rsid w:val="00F462B3"/>
    <w:rsid w:val="00F511D6"/>
    <w:rsid w:val="00F5664F"/>
    <w:rsid w:val="00F666C4"/>
    <w:rsid w:val="00F76AFC"/>
    <w:rsid w:val="00F8194E"/>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469E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469E9"/>
    <w:rPr>
      <w:rFonts w:ascii="Geomanist Light" w:hAnsi="Geomanist Light"/>
      <w:lang w:val="es-ES"/>
    </w:rPr>
  </w:style>
  <w:style w:type="paragraph" w:styleId="Textoindependiente">
    <w:name w:val="Body Text"/>
    <w:basedOn w:val="Normal"/>
    <w:link w:val="TextoindependienteCar"/>
    <w:uiPriority w:val="1"/>
    <w:qFormat/>
    <w:rsid w:val="002469E9"/>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469E9"/>
    <w:rPr>
      <w:rFonts w:ascii="Verdana" w:eastAsia="Verdana" w:hAnsi="Verdana" w:cs="Verdana"/>
      <w:lang w:val="es-ES"/>
    </w:rPr>
  </w:style>
  <w:style w:type="character" w:customStyle="1" w:styleId="NormalWebCar">
    <w:name w:val="Normal (Web) Car"/>
    <w:link w:val="NormalWeb"/>
    <w:uiPriority w:val="99"/>
    <w:rsid w:val="002469E9"/>
    <w:rPr>
      <w:rFonts w:ascii="Times New Roman" w:eastAsia="Times New Roman" w:hAnsi="Times New Roman" w:cs="Times New Roman"/>
      <w:sz w:val="24"/>
      <w:szCs w:val="24"/>
      <w:lang w:eastAsia="es-CO"/>
    </w:rPr>
  </w:style>
  <w:style w:type="character" w:customStyle="1" w:styleId="citation-65">
    <w:name w:val="citation-65"/>
    <w:basedOn w:val="Fuentedeprrafopredeter"/>
    <w:rsid w:val="002469E9"/>
  </w:style>
  <w:style w:type="character" w:customStyle="1" w:styleId="citation-64">
    <w:name w:val="citation-64"/>
    <w:basedOn w:val="Fuentedeprrafopredeter"/>
    <w:rsid w:val="002469E9"/>
  </w:style>
  <w:style w:type="character" w:customStyle="1" w:styleId="citation-51">
    <w:name w:val="citation-51"/>
    <w:basedOn w:val="Fuentedeprrafopredeter"/>
    <w:rsid w:val="002469E9"/>
  </w:style>
  <w:style w:type="character" w:customStyle="1" w:styleId="baj">
    <w:name w:val="b_aj"/>
    <w:basedOn w:val="Fuentedeprrafopredeter"/>
    <w:rsid w:val="002469E9"/>
  </w:style>
  <w:style w:type="character" w:styleId="nfasis">
    <w:name w:val="Emphasis"/>
    <w:basedOn w:val="Fuentedeprrafopredeter"/>
    <w:uiPriority w:val="20"/>
    <w:qFormat/>
    <w:rsid w:val="002469E9"/>
    <w:rPr>
      <w:i/>
      <w:iCs/>
    </w:rPr>
  </w:style>
  <w:style w:type="character" w:styleId="Refdecomentario">
    <w:name w:val="annotation reference"/>
    <w:basedOn w:val="Fuentedeprrafopredeter"/>
    <w:uiPriority w:val="99"/>
    <w:semiHidden/>
    <w:unhideWhenUsed/>
    <w:rsid w:val="004050F3"/>
    <w:rPr>
      <w:sz w:val="16"/>
      <w:szCs w:val="16"/>
    </w:rPr>
  </w:style>
  <w:style w:type="paragraph" w:styleId="Textocomentario">
    <w:name w:val="annotation text"/>
    <w:basedOn w:val="Normal"/>
    <w:link w:val="TextocomentarioCar"/>
    <w:uiPriority w:val="99"/>
    <w:unhideWhenUsed/>
    <w:rsid w:val="004050F3"/>
    <w:pPr>
      <w:spacing w:line="240" w:lineRule="auto"/>
    </w:pPr>
    <w:rPr>
      <w:sz w:val="20"/>
      <w:szCs w:val="20"/>
    </w:rPr>
  </w:style>
  <w:style w:type="character" w:customStyle="1" w:styleId="TextocomentarioCar">
    <w:name w:val="Texto comentario Car"/>
    <w:basedOn w:val="Fuentedeprrafopredeter"/>
    <w:link w:val="Textocomentario"/>
    <w:uiPriority w:val="99"/>
    <w:rsid w:val="004050F3"/>
    <w:rPr>
      <w:sz w:val="20"/>
      <w:szCs w:val="20"/>
    </w:rPr>
  </w:style>
  <w:style w:type="paragraph" w:styleId="Asuntodelcomentario">
    <w:name w:val="annotation subject"/>
    <w:basedOn w:val="Textocomentario"/>
    <w:next w:val="Textocomentario"/>
    <w:link w:val="AsuntodelcomentarioCar"/>
    <w:uiPriority w:val="99"/>
    <w:semiHidden/>
    <w:unhideWhenUsed/>
    <w:rsid w:val="004050F3"/>
    <w:rPr>
      <w:b/>
      <w:bCs/>
    </w:rPr>
  </w:style>
  <w:style w:type="character" w:customStyle="1" w:styleId="AsuntodelcomentarioCar">
    <w:name w:val="Asunto del comentario Car"/>
    <w:basedOn w:val="TextocomentarioCar"/>
    <w:link w:val="Asuntodelcomentario"/>
    <w:uiPriority w:val="99"/>
    <w:semiHidden/>
    <w:rsid w:val="004050F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D7B27DB-9EBA-4F7B-A118-B8B201BDE02C}"/>
</file>

<file path=customXml/itemProps3.xml><?xml version="1.0" encoding="utf-8"?>
<ds:datastoreItem xmlns:ds="http://schemas.openxmlformats.org/officeDocument/2006/customXml" ds:itemID="{841A7F45-3B25-4BC1-82AA-190E3D0D5E5D}">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21</Pages>
  <Words>6448</Words>
  <Characters>35984</Characters>
  <Application>Microsoft Office Word</Application>
  <DocSecurity>0</DocSecurity>
  <Lines>654</Lines>
  <Paragraphs>117</Paragraphs>
  <ScaleCrop>false</ScaleCrop>
  <Company/>
  <LinksUpToDate>false</LinksUpToDate>
  <CharactersWithSpaces>42315</CharactersWithSpaces>
  <SharedDoc>false</SharedDoc>
  <HLinks>
    <vt:vector size="30"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5177395</vt:i4>
      </vt:variant>
      <vt:variant>
        <vt:i4>0</vt:i4>
      </vt:variant>
      <vt:variant>
        <vt:i4>0</vt:i4>
      </vt:variant>
      <vt:variant>
        <vt:i4>5</vt:i4>
      </vt:variant>
      <vt:variant>
        <vt:lpwstr>mailto:fernandog213@hotmail.com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13</cp:revision>
  <cp:lastPrinted>2023-01-10T21:18:00Z</cp:lastPrinted>
  <dcterms:created xsi:type="dcterms:W3CDTF">2026-02-03T21:25:00Z</dcterms:created>
  <dcterms:modified xsi:type="dcterms:W3CDTF">2026-02-06T16:01:00Z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