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79D916" w14:textId="77777777" w:rsidR="00CB2C21" w:rsidRPr="00CB2C21" w:rsidRDefault="00CB2C21" w:rsidP="00CB2C21">
      <w:pPr>
        <w:spacing w:after="0" w:line="240" w:lineRule="auto"/>
        <w:jc w:val="both"/>
        <w:rPr>
          <w:rFonts w:ascii="Verdana" w:hAnsi="Verdana" w:cs="Arial"/>
          <w:b/>
          <w:bCs/>
          <w:color w:val="000000" w:themeColor="text1"/>
        </w:rPr>
      </w:pPr>
    </w:p>
    <w:p w14:paraId="7B4A7626" w14:textId="77777777" w:rsidR="00CB2C21" w:rsidRDefault="00CB2C21" w:rsidP="00CB2C21">
      <w:pPr>
        <w:spacing w:after="0" w:line="240" w:lineRule="auto"/>
        <w:jc w:val="both"/>
        <w:rPr>
          <w:rFonts w:ascii="Verdana" w:hAnsi="Verdana" w:cs="Arial"/>
          <w:b/>
          <w:bCs/>
          <w:color w:val="000000" w:themeColor="text1"/>
        </w:rPr>
      </w:pPr>
      <w:r w:rsidRPr="00CB2C21">
        <w:rPr>
          <w:rFonts w:ascii="Verdana" w:hAnsi="Verdana" w:cs="Arial"/>
          <w:b/>
          <w:bCs/>
          <w:color w:val="000000" w:themeColor="text1"/>
        </w:rPr>
        <w:t>PERSONA EXPUESTA POLÍTICAMENTE – Decreto 1081 de 2015 – Artículo 2.1.4.2.3 – Ámbito de aplicación</w:t>
      </w:r>
    </w:p>
    <w:p w14:paraId="080A4D13" w14:textId="77777777" w:rsidR="00CB2C21" w:rsidRDefault="00CB2C21" w:rsidP="00CB2C21">
      <w:pPr>
        <w:spacing w:after="0" w:line="240" w:lineRule="auto"/>
        <w:jc w:val="both"/>
        <w:rPr>
          <w:rFonts w:ascii="Verdana" w:hAnsi="Verdana" w:cs="Arial"/>
          <w:b/>
          <w:bCs/>
          <w:color w:val="000000" w:themeColor="text1"/>
        </w:rPr>
      </w:pPr>
    </w:p>
    <w:p w14:paraId="72A203F8" w14:textId="1BCA238A" w:rsidR="005F520B" w:rsidRDefault="00901FFB" w:rsidP="005F520B">
      <w:pPr>
        <w:spacing w:line="240" w:lineRule="auto"/>
        <w:contextualSpacing/>
        <w:jc w:val="both"/>
        <w:rPr>
          <w:rFonts w:ascii="Verdana" w:eastAsia="Arial" w:hAnsi="Verdana" w:cs="Arial"/>
          <w:sz w:val="20"/>
          <w:szCs w:val="20"/>
          <w:lang w:val="es-ES" w:eastAsia="es-ES" w:bidi="es-ES"/>
        </w:rPr>
      </w:pPr>
      <w:r w:rsidRPr="00901FFB">
        <w:rPr>
          <w:rFonts w:ascii="Verdana" w:eastAsia="Arial" w:hAnsi="Verdana" w:cs="Arial"/>
          <w:sz w:val="20"/>
          <w:szCs w:val="20"/>
          <w:lang w:val="es-ES" w:eastAsia="es-ES" w:bidi="es-ES"/>
        </w:rPr>
        <w:t>(...) con la finalidad de establecer quiénes ostentan la calidad de Personas Expuestas Políticamente (PEP), el artículo 2.1.4.2.3 del mencionado decreto define las funciones, cargos y actividades que, por su naturaleza, nivel de responsabilidad o manejo de recursos públicos, conllevan una mayor exposición al riesgo. (...) De acuerdo con artículo en cita, pueden ser considerados como Personas Expuestas Políticamente los servidores públicos y los particulares. No obstante, en el caso de estos últimos, la definición solo resulta aplica a quienes tienen a su cargo la dirección o manejo de recursos en los movimientos o partidos políticos. Esto a diferencia de los servidores públicos, quienes, independientemente del sistema de nomenclatura y clasificación del empleo que ejercen, pueden ser considerados como Personas Expuestas Políticamente, siempre que las funciones que ejercen de manera permanente o transitoria–en virtud de delegación–, cumplan con los criterios establecidos en el artículo 2.1.4.2.3 del Decreto 1081 de 2015.</w:t>
      </w:r>
    </w:p>
    <w:p w14:paraId="3B540695" w14:textId="77777777" w:rsidR="00901FFB" w:rsidRPr="007645FA" w:rsidRDefault="00901FFB" w:rsidP="005F520B">
      <w:pPr>
        <w:spacing w:line="240" w:lineRule="auto"/>
        <w:contextualSpacing/>
        <w:jc w:val="both"/>
        <w:rPr>
          <w:rFonts w:ascii="Verdana" w:eastAsia="Times New Roman" w:hAnsi="Verdana" w:cs="Arial"/>
          <w:color w:val="806000" w:themeColor="accent4" w:themeShade="80"/>
          <w:sz w:val="20"/>
          <w:szCs w:val="20"/>
          <w:highlight w:val="yellow"/>
          <w:lang w:val="es-ES" w:eastAsia="es-CO"/>
        </w:rPr>
      </w:pPr>
    </w:p>
    <w:p w14:paraId="38624CB8" w14:textId="77777777" w:rsidR="00CB2C21" w:rsidRPr="00AC7617" w:rsidRDefault="00CB2C21" w:rsidP="005F520B">
      <w:pPr>
        <w:tabs>
          <w:tab w:val="left" w:pos="426"/>
        </w:tabs>
        <w:spacing w:after="120" w:line="240" w:lineRule="auto"/>
        <w:ind w:right="49"/>
        <w:jc w:val="both"/>
        <w:rPr>
          <w:rFonts w:ascii="Verdana" w:hAnsi="Verdana" w:cs="Arial"/>
          <w:b/>
          <w:bCs/>
          <w:color w:val="000000" w:themeColor="text1"/>
          <w:lang w:bidi="es-ES"/>
        </w:rPr>
      </w:pPr>
      <w:r w:rsidRPr="00CB2C21">
        <w:rPr>
          <w:rFonts w:ascii="Verdana" w:hAnsi="Verdana" w:cs="Arial"/>
          <w:b/>
          <w:bCs/>
          <w:color w:val="000000" w:themeColor="text1"/>
        </w:rPr>
        <w:t xml:space="preserve">PERSONA EXPUESTA POLÍTICAMENTE – Definición – Funciones – </w:t>
      </w:r>
      <w:r w:rsidRPr="00AC7617">
        <w:rPr>
          <w:rFonts w:ascii="Verdana" w:hAnsi="Verdana" w:cs="Arial"/>
          <w:b/>
          <w:bCs/>
          <w:color w:val="000000" w:themeColor="text1"/>
        </w:rPr>
        <w:t>Sujetos</w:t>
      </w:r>
      <w:r w:rsidRPr="00AC7617">
        <w:rPr>
          <w:rFonts w:ascii="Verdana" w:hAnsi="Verdana" w:cs="Arial"/>
          <w:b/>
          <w:bCs/>
          <w:color w:val="000000" w:themeColor="text1"/>
          <w:lang w:bidi="es-ES"/>
        </w:rPr>
        <w:t xml:space="preserve"> </w:t>
      </w:r>
    </w:p>
    <w:p w14:paraId="0F974BFA" w14:textId="074E2A30" w:rsidR="005F520B" w:rsidRPr="00AC7617" w:rsidRDefault="005F520B" w:rsidP="00AC7617">
      <w:pPr>
        <w:tabs>
          <w:tab w:val="left" w:pos="426"/>
        </w:tabs>
        <w:spacing w:after="120" w:line="240" w:lineRule="auto"/>
        <w:jc w:val="both"/>
        <w:rPr>
          <w:rFonts w:ascii="Verdana" w:eastAsia="Verdana" w:hAnsi="Verdana" w:cs="Verdana"/>
        </w:rPr>
      </w:pPr>
      <w:r w:rsidRPr="00AC7617">
        <w:rPr>
          <w:rFonts w:ascii="Verdana" w:eastAsia="Arial" w:hAnsi="Verdana" w:cs="Arial"/>
          <w:sz w:val="20"/>
          <w:szCs w:val="20"/>
          <w:lang w:eastAsia="es-ES" w:bidi="es-ES"/>
        </w:rPr>
        <w:t xml:space="preserve">(…) </w:t>
      </w:r>
      <w:r w:rsidR="00AC7617" w:rsidRPr="00AC7617">
        <w:rPr>
          <w:rFonts w:ascii="Verdana" w:eastAsia="Verdana" w:hAnsi="Verdana" w:cs="Verdana"/>
        </w:rPr>
        <w:t xml:space="preserve">Para el efecto, la norma en comento establece que se consideran PEP a los servidores públicos que ejerzan las siguientes funciones: i) expedición de normas o regulaciones; ii) dirección general, formulación de políticas institucionales y adopción de planes, programas y proyecto; iii) manejo directo de bienes, dineros o valores del Estado; iv) administración de justicia; v) facultades administrativo-sancionatorias. De acuerdo con el segundo inciso de la referida disposición, este tipo de funciones pueden ser ejercidas a través de actuaciones asociadas a: i) ordenación de gasto; ii) contratación pública; iii) gerencia de proyectos de inversión; iv) pagos; v) liquidaciones; y vi) administración de bienes muebles e inmuebles. Sin perjuicio de lo anterior, la norma establece un listado de carácter enunciativo de servidores públicos a los que se considera Personas Expuestas Políticamente.  De acuerdo con lo anterior, para determinar si alguien debe ser considerado como una Persona Expuestas Políticamente –al margen de los empleos enunciados en el artículo </w:t>
      </w:r>
      <w:r w:rsidR="00AC7617" w:rsidRPr="00AC7617">
        <w:rPr>
          <w:rFonts w:ascii="Verdana" w:eastAsia="Verdana" w:hAnsi="Verdana" w:cs="Verdana"/>
          <w:sz w:val="20"/>
          <w:szCs w:val="20"/>
        </w:rPr>
        <w:t>2.1.4.2.3–, es neces</w:t>
      </w:r>
      <w:r w:rsidR="00AC7617" w:rsidRPr="00AC7617">
        <w:rPr>
          <w:rFonts w:ascii="Verdana" w:eastAsia="Verdana" w:hAnsi="Verdana" w:cs="Verdana"/>
        </w:rPr>
        <w:t xml:space="preserve">ario verificar las funciones asignadas al respectivo servidor pública, ya sea de manera permanente por el respectivo manual de funciones, así como aquellas que se le han atribuido a través de actos administrativos de delegación. </w:t>
      </w:r>
      <w:r w:rsidRPr="00AC7617">
        <w:rPr>
          <w:rFonts w:ascii="Verdana" w:eastAsia="Verdana" w:hAnsi="Verdana" w:cs="Verdana"/>
          <w:sz w:val="20"/>
          <w:szCs w:val="20"/>
        </w:rPr>
        <w:t>(…)</w:t>
      </w:r>
    </w:p>
    <w:p w14:paraId="3A4A81F3" w14:textId="77777777" w:rsidR="005F520B" w:rsidRDefault="005F520B" w:rsidP="005F520B">
      <w:pPr>
        <w:spacing w:after="0"/>
        <w:rPr>
          <w:rFonts w:ascii="Verdana" w:hAnsi="Verdana" w:cs="Arial"/>
          <w:color w:val="000000" w:themeColor="text1"/>
          <w:sz w:val="20"/>
          <w:szCs w:val="20"/>
          <w:lang w:val="es-MX"/>
        </w:rPr>
      </w:pPr>
    </w:p>
    <w:p w14:paraId="66B2E872" w14:textId="77777777" w:rsidR="006F023B" w:rsidRDefault="006F023B" w:rsidP="005F520B">
      <w:pPr>
        <w:tabs>
          <w:tab w:val="left" w:pos="426"/>
        </w:tabs>
        <w:spacing w:after="120" w:line="276" w:lineRule="auto"/>
        <w:jc w:val="both"/>
        <w:rPr>
          <w:rFonts w:ascii="Verdana" w:hAnsi="Verdana" w:cs="Arial"/>
          <w:b/>
          <w:bCs/>
          <w:color w:val="000000" w:themeColor="text1"/>
        </w:rPr>
      </w:pPr>
      <w:r w:rsidRPr="006F023B">
        <w:rPr>
          <w:rFonts w:ascii="Verdana" w:hAnsi="Verdana" w:cs="Arial"/>
          <w:b/>
          <w:bCs/>
          <w:color w:val="000000" w:themeColor="text1"/>
        </w:rPr>
        <w:t>PERSONA EXPUESTA POLÍTICAMENTE – Aplicación – Sujetos que intervienen en la gestión contractual</w:t>
      </w:r>
    </w:p>
    <w:p w14:paraId="6CA9CC73" w14:textId="3AEFB246" w:rsidR="006F0C70" w:rsidRPr="009F5873" w:rsidRDefault="006F0C70" w:rsidP="006F0C70">
      <w:pPr>
        <w:tabs>
          <w:tab w:val="left" w:pos="426"/>
        </w:tabs>
        <w:spacing w:after="120" w:line="276" w:lineRule="auto"/>
        <w:jc w:val="both"/>
        <w:rPr>
          <w:rFonts w:ascii="Verdana" w:eastAsia="Verdana" w:hAnsi="Verdana" w:cs="Verdana"/>
          <w:sz w:val="20"/>
          <w:szCs w:val="20"/>
        </w:rPr>
      </w:pPr>
      <w:r w:rsidRPr="009F5873">
        <w:rPr>
          <w:rFonts w:ascii="Verdana" w:eastAsia="Verdana" w:hAnsi="Verdana" w:cs="Verdana"/>
          <w:sz w:val="20"/>
          <w:szCs w:val="20"/>
        </w:rPr>
        <w:t xml:space="preserve">Si bien el artículo en mención alude a la ordenación del gasto y a la contratación pública, lo hace como medio mediante el cual las Personas Expuestas Políticamente ejercen las </w:t>
      </w:r>
      <w:r w:rsidRPr="009F5873">
        <w:rPr>
          <w:rFonts w:ascii="Verdana" w:eastAsia="Verdana" w:hAnsi="Verdana" w:cs="Verdana"/>
          <w:sz w:val="20"/>
          <w:szCs w:val="20"/>
        </w:rPr>
        <w:lastRenderedPageBreak/>
        <w:t xml:space="preserve">funciones enlistadas en el primer inciso del artículo 2.1.4.2.3 del Decreto 1081 de 2015. Esto significa que, no todos los servidores públicos que intervienen en la gestión contractual son susceptibles de ser considerados como Personas Expuestas Políticamente, sino únicamente que desarrollen funciones como las indicadas supra.   </w:t>
      </w:r>
    </w:p>
    <w:p w14:paraId="49153A28" w14:textId="79C4CD28" w:rsidR="006F0C70" w:rsidRPr="009F5873" w:rsidRDefault="006F0C70" w:rsidP="006F0C70">
      <w:pPr>
        <w:tabs>
          <w:tab w:val="left" w:pos="426"/>
        </w:tabs>
        <w:spacing w:after="120" w:line="276" w:lineRule="auto"/>
        <w:jc w:val="both"/>
        <w:rPr>
          <w:rFonts w:ascii="Verdana" w:eastAsia="Verdana" w:hAnsi="Verdana" w:cs="Verdana"/>
          <w:sz w:val="20"/>
          <w:szCs w:val="20"/>
        </w:rPr>
      </w:pPr>
      <w:r w:rsidRPr="009F5873">
        <w:rPr>
          <w:rFonts w:ascii="Verdana" w:eastAsia="Verdana" w:hAnsi="Verdana" w:cs="Verdana"/>
          <w:sz w:val="20"/>
          <w:szCs w:val="20"/>
        </w:rPr>
        <w:t xml:space="preserve">En ese orden, en relación con el objeto de la consulta, es pertinente mencionar que, actividades como la elaboración y suscripción de estudios previos, la supervisión de contratos estatales, el apoyo a la supervisión y la suscripción de actas de liquidación, no aparecen expresamente enlistadas dentro del artículo 2.1.4.2.3 del Decreto 1081 de 2015, por lo que, en principio, no puede considerarse como Personas políticamente Expuestas a quienes las desempeñen, por el solo hecho de realizar estas actuaciones en específico.  </w:t>
      </w:r>
    </w:p>
    <w:p w14:paraId="1BA6A226" w14:textId="77777777" w:rsidR="005F520B" w:rsidRPr="006F0C70" w:rsidRDefault="005F520B" w:rsidP="005F520B">
      <w:pPr>
        <w:spacing w:after="0"/>
        <w:rPr>
          <w:rFonts w:ascii="Verdana" w:hAnsi="Verdana" w:cs="Arial"/>
          <w:color w:val="000000" w:themeColor="text1"/>
          <w:sz w:val="20"/>
          <w:szCs w:val="20"/>
        </w:rPr>
      </w:pPr>
    </w:p>
    <w:p w14:paraId="62A73C95" w14:textId="77777777" w:rsidR="005F520B" w:rsidRDefault="005F520B" w:rsidP="005F520B">
      <w:pPr>
        <w:spacing w:after="0"/>
        <w:rPr>
          <w:rFonts w:ascii="Verdana" w:hAnsi="Verdana" w:cs="Arial"/>
          <w:color w:val="000000" w:themeColor="text1"/>
          <w:sz w:val="20"/>
          <w:szCs w:val="20"/>
          <w:lang w:val="es-MX"/>
        </w:rPr>
      </w:pPr>
    </w:p>
    <w:p w14:paraId="44CC037C" w14:textId="77777777" w:rsidR="005F520B" w:rsidRDefault="005F520B" w:rsidP="005F520B">
      <w:pPr>
        <w:spacing w:after="0"/>
        <w:rPr>
          <w:rFonts w:ascii="Verdana" w:hAnsi="Verdana" w:cs="Arial"/>
          <w:color w:val="000000" w:themeColor="text1"/>
          <w:sz w:val="20"/>
          <w:szCs w:val="20"/>
          <w:lang w:val="es-MX"/>
        </w:rPr>
      </w:pPr>
    </w:p>
    <w:p w14:paraId="61AE8057" w14:textId="77777777" w:rsidR="005F520B" w:rsidRDefault="005F520B" w:rsidP="005F520B">
      <w:pPr>
        <w:spacing w:after="0"/>
        <w:rPr>
          <w:rFonts w:ascii="Verdana" w:hAnsi="Verdana" w:cs="Arial"/>
          <w:color w:val="000000" w:themeColor="text1"/>
          <w:sz w:val="20"/>
          <w:szCs w:val="20"/>
          <w:lang w:val="es-MX"/>
        </w:rPr>
      </w:pPr>
    </w:p>
    <w:p w14:paraId="7E7E70B4" w14:textId="77777777" w:rsidR="005F520B" w:rsidRDefault="005F520B" w:rsidP="005F520B">
      <w:pPr>
        <w:spacing w:after="0"/>
        <w:rPr>
          <w:rFonts w:ascii="Verdana" w:hAnsi="Verdana" w:cs="Arial"/>
          <w:color w:val="000000" w:themeColor="text1"/>
          <w:sz w:val="20"/>
          <w:szCs w:val="20"/>
          <w:lang w:val="es-MX"/>
        </w:rPr>
      </w:pPr>
    </w:p>
    <w:p w14:paraId="53B6A732" w14:textId="77777777" w:rsidR="005F520B" w:rsidRDefault="005F520B" w:rsidP="005F520B">
      <w:pPr>
        <w:spacing w:after="0"/>
        <w:rPr>
          <w:rFonts w:ascii="Verdana" w:hAnsi="Verdana" w:cs="Arial"/>
          <w:color w:val="000000" w:themeColor="text1"/>
          <w:sz w:val="20"/>
          <w:szCs w:val="20"/>
          <w:lang w:val="es-MX"/>
        </w:rPr>
      </w:pPr>
    </w:p>
    <w:p w14:paraId="2139021B" w14:textId="77777777" w:rsidR="005F520B" w:rsidRDefault="005F520B" w:rsidP="005F520B">
      <w:pPr>
        <w:spacing w:after="0"/>
        <w:rPr>
          <w:rFonts w:ascii="Verdana" w:hAnsi="Verdana" w:cs="Arial"/>
          <w:color w:val="000000" w:themeColor="text1"/>
          <w:sz w:val="20"/>
          <w:szCs w:val="20"/>
          <w:lang w:val="es-MX"/>
        </w:rPr>
      </w:pPr>
    </w:p>
    <w:p w14:paraId="23129097" w14:textId="77777777" w:rsidR="005F520B" w:rsidRDefault="005F520B" w:rsidP="005F520B">
      <w:pPr>
        <w:spacing w:after="0"/>
        <w:rPr>
          <w:rFonts w:ascii="Verdana" w:hAnsi="Verdana" w:cs="Arial"/>
          <w:color w:val="000000" w:themeColor="text1"/>
          <w:sz w:val="20"/>
          <w:szCs w:val="20"/>
          <w:lang w:val="es-MX"/>
        </w:rPr>
      </w:pPr>
    </w:p>
    <w:p w14:paraId="1A41AEF9" w14:textId="77777777" w:rsidR="005F520B" w:rsidRDefault="005F520B" w:rsidP="005F520B">
      <w:pPr>
        <w:spacing w:after="0"/>
        <w:rPr>
          <w:rFonts w:ascii="Verdana" w:hAnsi="Verdana" w:cs="Arial"/>
          <w:color w:val="000000" w:themeColor="text1"/>
          <w:sz w:val="20"/>
          <w:szCs w:val="20"/>
          <w:lang w:val="es-MX"/>
        </w:rPr>
      </w:pPr>
    </w:p>
    <w:p w14:paraId="64E2502F" w14:textId="77777777" w:rsidR="005F520B" w:rsidRDefault="005F520B" w:rsidP="005F520B">
      <w:pPr>
        <w:spacing w:after="0"/>
        <w:rPr>
          <w:rFonts w:ascii="Verdana" w:hAnsi="Verdana" w:cs="Arial"/>
          <w:color w:val="000000" w:themeColor="text1"/>
          <w:sz w:val="20"/>
          <w:szCs w:val="20"/>
          <w:lang w:val="es-MX"/>
        </w:rPr>
      </w:pPr>
    </w:p>
    <w:p w14:paraId="592B1116" w14:textId="77777777" w:rsidR="005F520B" w:rsidRDefault="005F520B" w:rsidP="005F520B">
      <w:pPr>
        <w:spacing w:after="0"/>
        <w:rPr>
          <w:rFonts w:ascii="Verdana" w:hAnsi="Verdana" w:cs="Arial"/>
          <w:color w:val="000000" w:themeColor="text1"/>
          <w:sz w:val="20"/>
          <w:szCs w:val="20"/>
          <w:lang w:val="es-MX"/>
        </w:rPr>
      </w:pPr>
    </w:p>
    <w:p w14:paraId="643B560D" w14:textId="77777777" w:rsidR="005F520B" w:rsidRDefault="005F520B" w:rsidP="005F520B">
      <w:pPr>
        <w:spacing w:after="0"/>
        <w:rPr>
          <w:rFonts w:ascii="Verdana" w:hAnsi="Verdana" w:cs="Arial"/>
          <w:color w:val="000000" w:themeColor="text1"/>
          <w:sz w:val="20"/>
          <w:szCs w:val="20"/>
          <w:lang w:val="es-MX"/>
        </w:rPr>
      </w:pPr>
    </w:p>
    <w:p w14:paraId="5361217D" w14:textId="77777777" w:rsidR="005F520B" w:rsidRDefault="005F520B" w:rsidP="005F520B">
      <w:pPr>
        <w:spacing w:after="0"/>
        <w:rPr>
          <w:rFonts w:ascii="Verdana" w:hAnsi="Verdana" w:cs="Arial"/>
          <w:color w:val="000000" w:themeColor="text1"/>
          <w:sz w:val="20"/>
          <w:szCs w:val="20"/>
          <w:lang w:val="es-MX"/>
        </w:rPr>
      </w:pPr>
    </w:p>
    <w:p w14:paraId="504EA069" w14:textId="77777777" w:rsidR="005F520B" w:rsidRDefault="005F520B" w:rsidP="005F520B">
      <w:pPr>
        <w:spacing w:after="0"/>
        <w:rPr>
          <w:rFonts w:ascii="Verdana" w:hAnsi="Verdana" w:cs="Arial"/>
          <w:color w:val="000000" w:themeColor="text1"/>
          <w:sz w:val="20"/>
          <w:szCs w:val="20"/>
          <w:lang w:val="es-MX"/>
        </w:rPr>
      </w:pPr>
    </w:p>
    <w:p w14:paraId="736CBA7A" w14:textId="77777777" w:rsidR="005F520B" w:rsidRDefault="005F520B" w:rsidP="005F520B">
      <w:pPr>
        <w:spacing w:after="0"/>
        <w:rPr>
          <w:rFonts w:ascii="Verdana" w:hAnsi="Verdana" w:cs="Arial"/>
          <w:color w:val="000000" w:themeColor="text1"/>
          <w:sz w:val="20"/>
          <w:szCs w:val="20"/>
          <w:lang w:val="es-MX"/>
        </w:rPr>
      </w:pPr>
    </w:p>
    <w:p w14:paraId="2D3ACE76" w14:textId="77777777" w:rsidR="005F520B" w:rsidRDefault="005F520B" w:rsidP="005F520B">
      <w:pPr>
        <w:spacing w:after="0"/>
        <w:rPr>
          <w:rFonts w:ascii="Verdana" w:hAnsi="Verdana" w:cs="Arial"/>
          <w:color w:val="000000" w:themeColor="text1"/>
          <w:sz w:val="20"/>
          <w:szCs w:val="20"/>
          <w:lang w:val="es-MX"/>
        </w:rPr>
      </w:pPr>
    </w:p>
    <w:p w14:paraId="440F4D53" w14:textId="77777777" w:rsidR="005F520B" w:rsidRDefault="005F520B" w:rsidP="005F520B">
      <w:pPr>
        <w:spacing w:after="0"/>
        <w:rPr>
          <w:rFonts w:ascii="Verdana" w:hAnsi="Verdana" w:cs="Arial"/>
          <w:color w:val="000000" w:themeColor="text1"/>
          <w:sz w:val="20"/>
          <w:szCs w:val="20"/>
          <w:lang w:val="es-MX"/>
        </w:rPr>
      </w:pPr>
    </w:p>
    <w:p w14:paraId="1A16356F" w14:textId="77777777" w:rsidR="005F520B" w:rsidRDefault="005F520B" w:rsidP="005F520B">
      <w:pPr>
        <w:spacing w:after="0"/>
        <w:rPr>
          <w:rFonts w:ascii="Verdana" w:hAnsi="Verdana" w:cs="Arial"/>
          <w:color w:val="000000" w:themeColor="text1"/>
          <w:sz w:val="20"/>
          <w:szCs w:val="20"/>
          <w:lang w:val="es-MX"/>
        </w:rPr>
      </w:pPr>
    </w:p>
    <w:p w14:paraId="610C935A" w14:textId="77777777" w:rsidR="005F520B" w:rsidRDefault="005F520B" w:rsidP="005F520B">
      <w:pPr>
        <w:spacing w:after="0"/>
        <w:rPr>
          <w:rFonts w:ascii="Verdana" w:hAnsi="Verdana" w:cs="Arial"/>
          <w:color w:val="000000" w:themeColor="text1"/>
          <w:sz w:val="20"/>
          <w:szCs w:val="20"/>
          <w:lang w:val="es-MX"/>
        </w:rPr>
      </w:pPr>
    </w:p>
    <w:p w14:paraId="3A7DCE18" w14:textId="77777777" w:rsidR="005F520B" w:rsidRDefault="005F520B" w:rsidP="005F520B">
      <w:pPr>
        <w:spacing w:after="0"/>
        <w:rPr>
          <w:rFonts w:ascii="Verdana" w:hAnsi="Verdana" w:cs="Arial"/>
          <w:color w:val="000000" w:themeColor="text1"/>
          <w:sz w:val="20"/>
          <w:szCs w:val="20"/>
          <w:lang w:val="es-MX"/>
        </w:rPr>
      </w:pPr>
    </w:p>
    <w:p w14:paraId="075845DD" w14:textId="77777777" w:rsidR="005F520B" w:rsidRDefault="005F520B" w:rsidP="005F520B">
      <w:pPr>
        <w:spacing w:after="0"/>
        <w:rPr>
          <w:rFonts w:ascii="Verdana" w:hAnsi="Verdana" w:cs="Arial"/>
          <w:color w:val="000000" w:themeColor="text1"/>
          <w:sz w:val="20"/>
          <w:szCs w:val="20"/>
          <w:lang w:val="es-MX"/>
        </w:rPr>
      </w:pPr>
    </w:p>
    <w:p w14:paraId="607CEC46" w14:textId="77777777" w:rsidR="005F520B" w:rsidRDefault="005F520B" w:rsidP="005F520B">
      <w:pPr>
        <w:spacing w:after="0"/>
        <w:rPr>
          <w:rFonts w:ascii="Verdana" w:hAnsi="Verdana" w:cs="Arial"/>
          <w:color w:val="000000" w:themeColor="text1"/>
          <w:sz w:val="20"/>
          <w:szCs w:val="20"/>
          <w:lang w:val="es-MX"/>
        </w:rPr>
      </w:pPr>
    </w:p>
    <w:p w14:paraId="33813417" w14:textId="77777777" w:rsidR="005F520B" w:rsidRDefault="005F520B" w:rsidP="005F520B">
      <w:pPr>
        <w:spacing w:after="0"/>
        <w:rPr>
          <w:rFonts w:ascii="Verdana" w:hAnsi="Verdana" w:cs="Arial"/>
          <w:color w:val="000000" w:themeColor="text1"/>
          <w:sz w:val="20"/>
          <w:szCs w:val="20"/>
          <w:lang w:val="es-MX"/>
        </w:rPr>
      </w:pPr>
    </w:p>
    <w:p w14:paraId="7EB81717" w14:textId="77777777" w:rsidR="005F520B" w:rsidRDefault="005F520B" w:rsidP="005F520B">
      <w:pPr>
        <w:spacing w:after="0"/>
        <w:rPr>
          <w:rFonts w:ascii="Verdana" w:hAnsi="Verdana" w:cs="Arial"/>
          <w:color w:val="000000" w:themeColor="text1"/>
          <w:sz w:val="20"/>
          <w:szCs w:val="20"/>
          <w:lang w:val="es-MX"/>
        </w:rPr>
      </w:pPr>
    </w:p>
    <w:p w14:paraId="775ACB28" w14:textId="77777777" w:rsidR="005F520B" w:rsidRDefault="005F520B" w:rsidP="005F520B">
      <w:pPr>
        <w:spacing w:after="0"/>
        <w:rPr>
          <w:rFonts w:ascii="Verdana" w:hAnsi="Verdana" w:cs="Arial"/>
          <w:color w:val="000000" w:themeColor="text1"/>
          <w:sz w:val="20"/>
          <w:szCs w:val="20"/>
          <w:lang w:val="es-MX"/>
        </w:rPr>
      </w:pPr>
    </w:p>
    <w:p w14:paraId="7130BCD5" w14:textId="77777777" w:rsidR="005F520B" w:rsidRDefault="005F520B" w:rsidP="005F520B">
      <w:pPr>
        <w:spacing w:after="0"/>
        <w:rPr>
          <w:rFonts w:ascii="Verdana" w:hAnsi="Verdana" w:cs="Arial"/>
          <w:color w:val="000000" w:themeColor="text1"/>
          <w:sz w:val="20"/>
          <w:szCs w:val="20"/>
          <w:lang w:val="es-MX"/>
        </w:rPr>
      </w:pPr>
    </w:p>
    <w:p w14:paraId="75C92898" w14:textId="77777777" w:rsidR="005F520B" w:rsidRDefault="005F520B" w:rsidP="005F520B">
      <w:pPr>
        <w:spacing w:after="0"/>
        <w:rPr>
          <w:rFonts w:ascii="Verdana" w:hAnsi="Verdana" w:cs="Arial"/>
          <w:color w:val="000000" w:themeColor="text1"/>
          <w:sz w:val="20"/>
          <w:szCs w:val="20"/>
          <w:lang w:val="es-MX"/>
        </w:rPr>
      </w:pPr>
    </w:p>
    <w:p w14:paraId="41273ABE" w14:textId="77777777" w:rsidR="005F520B" w:rsidRDefault="005F520B" w:rsidP="005F520B">
      <w:pPr>
        <w:spacing w:after="0"/>
        <w:rPr>
          <w:rFonts w:ascii="Verdana" w:hAnsi="Verdana" w:cs="Arial"/>
          <w:color w:val="000000" w:themeColor="text1"/>
          <w:sz w:val="20"/>
          <w:szCs w:val="20"/>
          <w:lang w:val="es-MX"/>
        </w:rPr>
      </w:pPr>
    </w:p>
    <w:p w14:paraId="190557AE" w14:textId="77777777" w:rsidR="005F520B" w:rsidRDefault="005F520B" w:rsidP="005F520B">
      <w:pPr>
        <w:spacing w:after="0"/>
        <w:rPr>
          <w:rFonts w:ascii="Verdana" w:hAnsi="Verdana" w:cs="Arial"/>
          <w:color w:val="000000" w:themeColor="text1"/>
          <w:sz w:val="20"/>
          <w:szCs w:val="20"/>
          <w:lang w:val="es-MX"/>
        </w:rPr>
      </w:pPr>
    </w:p>
    <w:p w14:paraId="7D015AB7" w14:textId="77777777" w:rsidR="005F520B" w:rsidRDefault="005F520B" w:rsidP="005F520B">
      <w:pPr>
        <w:spacing w:after="0"/>
        <w:rPr>
          <w:rFonts w:ascii="Verdana" w:hAnsi="Verdana" w:cs="Arial"/>
          <w:color w:val="000000" w:themeColor="text1"/>
          <w:sz w:val="20"/>
          <w:szCs w:val="20"/>
          <w:lang w:val="es-MX"/>
        </w:rPr>
      </w:pPr>
    </w:p>
    <w:p w14:paraId="7B32C3B1" w14:textId="533B53B0" w:rsidR="005F520B" w:rsidRPr="00F97FBC" w:rsidRDefault="005F520B" w:rsidP="005F520B">
      <w:pPr>
        <w:spacing w:after="0"/>
        <w:rPr>
          <w:rFonts w:ascii="Verdana" w:hAnsi="Verdana"/>
        </w:rPr>
      </w:pPr>
      <w:r w:rsidRPr="00F97FBC">
        <w:rPr>
          <w:rFonts w:ascii="Verdana" w:hAnsi="Verdana"/>
        </w:rPr>
        <w:lastRenderedPageBreak/>
        <w:t xml:space="preserve">Bogotá D.C., </w:t>
      </w:r>
      <w:r w:rsidR="00AC7617">
        <w:rPr>
          <w:rFonts w:ascii="Verdana" w:hAnsi="Verdana"/>
        </w:rPr>
        <w:t>02 Enero 2026</w:t>
      </w:r>
    </w:p>
    <w:p w14:paraId="658A5628" w14:textId="74F4F797" w:rsidR="005F520B" w:rsidRPr="007645FA" w:rsidRDefault="005F520B" w:rsidP="005F520B">
      <w:pPr>
        <w:spacing w:after="0"/>
        <w:rPr>
          <w:rFonts w:ascii="Verdana" w:hAnsi="Verdana"/>
          <w:color w:val="806000" w:themeColor="accent4" w:themeShade="80"/>
          <w:highlight w:val="yellow"/>
          <w:lang w:val="es-ES"/>
        </w:rPr>
      </w:pPr>
    </w:p>
    <w:p w14:paraId="07183C4A" w14:textId="1789D1C1" w:rsidR="005F520B" w:rsidRPr="004928F2" w:rsidRDefault="00E32219" w:rsidP="005F520B">
      <w:pPr>
        <w:spacing w:after="0" w:line="240" w:lineRule="auto"/>
        <w:rPr>
          <w:rFonts w:ascii="Verdana" w:hAnsi="Verdana"/>
          <w:lang w:val="es-ES"/>
        </w:rPr>
      </w:pPr>
      <w:bookmarkStart w:id="0" w:name="_Hlk143780582"/>
      <w:r w:rsidRPr="00E32219">
        <w:rPr>
          <w:rFonts w:ascii="Verdana" w:eastAsia="Calibri" w:hAnsi="Verdana" w:cs="Arial"/>
          <w:color w:val="806000" w:themeColor="accent4" w:themeShade="80"/>
          <w:lang w:val="es-ES" w:eastAsia="es-ES"/>
        </w:rPr>
        <w:drawing>
          <wp:anchor distT="0" distB="0" distL="114300" distR="114300" simplePos="0" relativeHeight="251658240" behindDoc="1" locked="0" layoutInCell="1" allowOverlap="1" wp14:anchorId="06BACB5C" wp14:editId="1778D159">
            <wp:simplePos x="0" y="0"/>
            <wp:positionH relativeFrom="margin">
              <wp:posOffset>3215404</wp:posOffset>
            </wp:positionH>
            <wp:positionV relativeFrom="paragraph">
              <wp:posOffset>5774</wp:posOffset>
            </wp:positionV>
            <wp:extent cx="2615565" cy="801370"/>
            <wp:effectExtent l="0" t="0" r="0" b="0"/>
            <wp:wrapNone/>
            <wp:docPr id="1022120128"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2120128" name="Imagen 1" descr="Texto&#10;&#10;El contenido generado por IA puede ser incorrecto."/>
                    <pic:cNvPicPr/>
                  </pic:nvPicPr>
                  <pic:blipFill>
                    <a:blip r:embed="rId11">
                      <a:extLst>
                        <a:ext uri="{28A0092B-C50C-407E-A947-70E740481C1C}">
                          <a14:useLocalDpi xmlns:a14="http://schemas.microsoft.com/office/drawing/2010/main" val="0"/>
                        </a:ext>
                      </a:extLst>
                    </a:blip>
                    <a:stretch>
                      <a:fillRect/>
                    </a:stretch>
                  </pic:blipFill>
                  <pic:spPr>
                    <a:xfrm>
                      <a:off x="0" y="0"/>
                      <a:ext cx="2615565" cy="801370"/>
                    </a:xfrm>
                    <a:prstGeom prst="rect">
                      <a:avLst/>
                    </a:prstGeom>
                  </pic:spPr>
                </pic:pic>
              </a:graphicData>
            </a:graphic>
            <wp14:sizeRelH relativeFrom="margin">
              <wp14:pctWidth>0</wp14:pctWidth>
            </wp14:sizeRelH>
            <wp14:sizeRelV relativeFrom="margin">
              <wp14:pctHeight>0</wp14:pctHeight>
            </wp14:sizeRelV>
          </wp:anchor>
        </w:drawing>
      </w:r>
      <w:r w:rsidR="005F520B" w:rsidRPr="004928F2">
        <w:rPr>
          <w:rFonts w:ascii="Verdana" w:eastAsia="Calibri" w:hAnsi="Verdana" w:cs="Arial"/>
          <w:lang w:val="es-ES" w:eastAsia="es-ES"/>
        </w:rPr>
        <w:t>Señor</w:t>
      </w:r>
    </w:p>
    <w:p w14:paraId="47CD8ABF" w14:textId="58322A33" w:rsidR="005F520B" w:rsidRPr="004928F2" w:rsidRDefault="005F520B" w:rsidP="005F520B">
      <w:pPr>
        <w:spacing w:after="0"/>
        <w:rPr>
          <w:rFonts w:ascii="Verdana" w:eastAsia="Calibri" w:hAnsi="Verdana" w:cs="Arial"/>
          <w:b/>
          <w:bCs/>
          <w:lang w:val="es-ES" w:eastAsia="es-ES"/>
        </w:rPr>
      </w:pPr>
      <w:r w:rsidRPr="004928F2">
        <w:rPr>
          <w:rFonts w:ascii="Verdana" w:eastAsia="Calibri" w:hAnsi="Verdana" w:cs="Arial"/>
          <w:b/>
          <w:bCs/>
          <w:lang w:val="es-ES" w:eastAsia="es-ES"/>
        </w:rPr>
        <w:t>Guillermo Andrés Buitrago Huertas</w:t>
      </w:r>
    </w:p>
    <w:p w14:paraId="33508D24" w14:textId="6EC7530C" w:rsidR="005F520B" w:rsidRPr="0021497D" w:rsidRDefault="005F520B" w:rsidP="005F520B">
      <w:pPr>
        <w:spacing w:after="0"/>
        <w:rPr>
          <w:rStyle w:val="Hipervnculo"/>
          <w:rFonts w:ascii="Verdana" w:hAnsi="Verdana"/>
          <w:color w:val="0033CC"/>
          <w:highlight w:val="yellow"/>
        </w:rPr>
      </w:pPr>
      <w:hyperlink r:id="rId12" w:history="1">
        <w:r w:rsidRPr="0021497D">
          <w:rPr>
            <w:rStyle w:val="Hipervnculo"/>
            <w:rFonts w:ascii="Verdana" w:hAnsi="Verdana"/>
            <w:color w:val="0033CC"/>
          </w:rPr>
          <w:t>andreshuertas555@gmail.com</w:t>
        </w:r>
      </w:hyperlink>
      <w:r w:rsidRPr="0021497D">
        <w:rPr>
          <w:rStyle w:val="Hipervnculo"/>
          <w:rFonts w:ascii="Verdana" w:hAnsi="Verdana"/>
          <w:color w:val="0033CC"/>
        </w:rPr>
        <w:t xml:space="preserve"> </w:t>
      </w:r>
    </w:p>
    <w:p w14:paraId="34436A0E" w14:textId="33FF854C" w:rsidR="005F520B" w:rsidRPr="00E24F8D" w:rsidRDefault="005F520B" w:rsidP="005F520B">
      <w:pPr>
        <w:spacing w:after="0"/>
        <w:rPr>
          <w:rFonts w:ascii="Verdana" w:eastAsia="Calibri" w:hAnsi="Verdana" w:cs="Arial"/>
          <w:lang w:val="es-ES" w:eastAsia="es-ES"/>
        </w:rPr>
      </w:pPr>
      <w:r w:rsidRPr="00E24F8D">
        <w:rPr>
          <w:rFonts w:ascii="Verdana" w:eastAsia="Calibri" w:hAnsi="Verdana" w:cs="Arial"/>
          <w:lang w:val="es-ES" w:eastAsia="es-ES"/>
        </w:rPr>
        <w:t>Puerto Boyacá, Boyacá</w:t>
      </w:r>
    </w:p>
    <w:p w14:paraId="19487BF9" w14:textId="0DC714B6" w:rsidR="005F520B" w:rsidRPr="007645FA" w:rsidRDefault="005F520B" w:rsidP="005F520B">
      <w:pPr>
        <w:spacing w:after="0"/>
        <w:rPr>
          <w:rFonts w:ascii="Verdana" w:eastAsia="Calibri" w:hAnsi="Verdana" w:cs="Arial"/>
          <w:color w:val="806000" w:themeColor="accent4" w:themeShade="80"/>
          <w:highlight w:val="yellow"/>
          <w:lang w:val="es-ES" w:eastAsia="es-ES"/>
        </w:rPr>
      </w:pPr>
    </w:p>
    <w:p w14:paraId="0CC8AD9E" w14:textId="77777777" w:rsidR="005F520B" w:rsidRPr="007645FA" w:rsidRDefault="005F520B" w:rsidP="005F520B">
      <w:pPr>
        <w:spacing w:after="0" w:line="240" w:lineRule="auto"/>
        <w:rPr>
          <w:rFonts w:ascii="Verdana" w:eastAsia="Calibri" w:hAnsi="Verdana" w:cs="Arial"/>
          <w:b/>
          <w:bCs/>
          <w:color w:val="806000" w:themeColor="accent4" w:themeShade="80"/>
          <w:highlight w:val="yellow"/>
          <w:lang w:val="es-ES" w:eastAsia="es-ES"/>
        </w:rPr>
      </w:pP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5F520B" w:rsidRPr="007645FA" w14:paraId="36F0D19F" w14:textId="77777777">
        <w:trPr>
          <w:trHeight w:val="300"/>
        </w:trPr>
        <w:tc>
          <w:tcPr>
            <w:tcW w:w="2410" w:type="dxa"/>
          </w:tcPr>
          <w:p w14:paraId="09B935AF" w14:textId="77777777" w:rsidR="005F520B" w:rsidRPr="007645FA" w:rsidRDefault="005F520B">
            <w:pPr>
              <w:ind w:left="-142"/>
              <w:jc w:val="both"/>
              <w:rPr>
                <w:rFonts w:ascii="Verdana" w:eastAsia="Calibri" w:hAnsi="Verdana" w:cs="Arial"/>
                <w:b/>
                <w:bCs/>
                <w:color w:val="806000" w:themeColor="accent4" w:themeShade="80"/>
                <w:highlight w:val="yellow"/>
                <w:lang w:val="es-ES" w:eastAsia="es-ES_tradnl"/>
              </w:rPr>
            </w:pPr>
          </w:p>
        </w:tc>
        <w:tc>
          <w:tcPr>
            <w:tcW w:w="6100" w:type="dxa"/>
          </w:tcPr>
          <w:p w14:paraId="214D1F4B" w14:textId="77777777" w:rsidR="005F520B" w:rsidRPr="006F347B" w:rsidRDefault="005F520B">
            <w:pPr>
              <w:ind w:left="3"/>
              <w:jc w:val="both"/>
              <w:rPr>
                <w:rFonts w:ascii="Verdana" w:eastAsia="Calibri" w:hAnsi="Verdana" w:cs="Arial"/>
                <w:b/>
                <w:bCs/>
                <w:lang w:val="es-ES" w:eastAsia="es-ES"/>
              </w:rPr>
            </w:pPr>
            <w:r w:rsidRPr="006F347B">
              <w:rPr>
                <w:rFonts w:ascii="Verdana" w:eastAsia="Calibri" w:hAnsi="Verdana" w:cs="Arial"/>
                <w:b/>
                <w:bCs/>
                <w:lang w:val="es-ES" w:eastAsia="es-ES"/>
              </w:rPr>
              <w:t>Concepto C-1860 de 2025</w:t>
            </w:r>
          </w:p>
          <w:p w14:paraId="26B633E0" w14:textId="77777777" w:rsidR="005F520B" w:rsidRPr="006F347B" w:rsidRDefault="005F520B">
            <w:pPr>
              <w:ind w:left="3"/>
              <w:jc w:val="both"/>
              <w:rPr>
                <w:rFonts w:ascii="Verdana" w:eastAsia="Calibri" w:hAnsi="Verdana" w:cs="Arial"/>
                <w:b/>
                <w:bCs/>
                <w:color w:val="806000" w:themeColor="accent4" w:themeShade="80"/>
                <w:lang w:val="es-ES" w:eastAsia="es-ES"/>
              </w:rPr>
            </w:pPr>
          </w:p>
        </w:tc>
      </w:tr>
      <w:tr w:rsidR="005F520B" w:rsidRPr="007645FA" w14:paraId="33903917" w14:textId="77777777">
        <w:trPr>
          <w:trHeight w:val="300"/>
        </w:trPr>
        <w:tc>
          <w:tcPr>
            <w:tcW w:w="2410" w:type="dxa"/>
          </w:tcPr>
          <w:p w14:paraId="4FA691E9" w14:textId="77777777" w:rsidR="005F520B" w:rsidRPr="007645FA" w:rsidRDefault="005F520B">
            <w:pPr>
              <w:ind w:left="424" w:firstLine="142"/>
              <w:jc w:val="both"/>
              <w:rPr>
                <w:rFonts w:ascii="Verdana" w:eastAsia="Calibri" w:hAnsi="Verdana" w:cs="Arial"/>
                <w:color w:val="806000" w:themeColor="accent4" w:themeShade="80"/>
                <w:highlight w:val="yellow"/>
                <w:lang w:val="es-ES" w:eastAsia="es-ES_tradnl"/>
              </w:rPr>
            </w:pPr>
            <w:r w:rsidRPr="001D2C56">
              <w:rPr>
                <w:rFonts w:ascii="Verdana" w:eastAsia="Calibri" w:hAnsi="Verdana" w:cs="Arial"/>
                <w:b/>
                <w:lang w:val="es-ES" w:eastAsia="es-ES_tradnl"/>
              </w:rPr>
              <w:t>Temas:</w:t>
            </w:r>
            <w:r w:rsidRPr="001D2C56">
              <w:rPr>
                <w:rFonts w:ascii="Verdana" w:eastAsia="Calibri" w:hAnsi="Verdana" w:cs="Arial"/>
                <w:lang w:val="es-ES" w:eastAsia="es-ES_tradnl"/>
              </w:rPr>
              <w:t xml:space="preserve">                  </w:t>
            </w:r>
          </w:p>
        </w:tc>
        <w:tc>
          <w:tcPr>
            <w:tcW w:w="6100" w:type="dxa"/>
          </w:tcPr>
          <w:p w14:paraId="4438669E" w14:textId="4DF7A6B3" w:rsidR="005F520B" w:rsidRPr="007645FA" w:rsidRDefault="005F520B" w:rsidP="00D101BA">
            <w:pPr>
              <w:spacing w:after="160" w:line="276" w:lineRule="auto"/>
              <w:contextualSpacing/>
              <w:jc w:val="both"/>
              <w:rPr>
                <w:rFonts w:ascii="Verdana" w:hAnsi="Verdana" w:cs="Arial"/>
                <w:highlight w:val="yellow"/>
              </w:rPr>
            </w:pPr>
            <w:r w:rsidRPr="008F67F0">
              <w:rPr>
                <w:rFonts w:ascii="Verdana" w:hAnsi="Verdana" w:cs="Arial"/>
              </w:rPr>
              <w:t>PERSONA EXPUESTA POLÍTICAMENTE –</w:t>
            </w:r>
            <w:r w:rsidR="00B035BA">
              <w:rPr>
                <w:rFonts w:ascii="Verdana" w:hAnsi="Verdana" w:cs="Arial"/>
              </w:rPr>
              <w:t xml:space="preserve"> </w:t>
            </w:r>
            <w:r w:rsidR="00B035BA" w:rsidRPr="00742FB5">
              <w:rPr>
                <w:rFonts w:ascii="Verdana" w:hAnsi="Verdana" w:cs="Arial"/>
              </w:rPr>
              <w:t xml:space="preserve">Decreto 1081 de 2015 </w:t>
            </w:r>
            <w:r w:rsidR="00B035BA">
              <w:rPr>
                <w:rFonts w:ascii="Verdana" w:hAnsi="Verdana" w:cs="Arial"/>
              </w:rPr>
              <w:t xml:space="preserve">– Artículo </w:t>
            </w:r>
            <w:r w:rsidR="00B035BA" w:rsidRPr="00B035BA">
              <w:rPr>
                <w:rFonts w:ascii="Verdana" w:eastAsia="Times New Roman" w:hAnsi="Verdana" w:cs="Times New Roman"/>
                <w:lang w:eastAsia="es-ES"/>
              </w:rPr>
              <w:t xml:space="preserve">2.1.4.2.3 </w:t>
            </w:r>
            <w:r w:rsidR="00B035BA">
              <w:rPr>
                <w:rFonts w:ascii="Verdana" w:eastAsia="Times New Roman" w:hAnsi="Verdana" w:cs="Times New Roman"/>
                <w:lang w:eastAsia="es-ES"/>
              </w:rPr>
              <w:t>–</w:t>
            </w:r>
            <w:r w:rsidR="00B035BA">
              <w:rPr>
                <w:rFonts w:ascii="Verdana" w:hAnsi="Verdana" w:cs="Arial"/>
              </w:rPr>
              <w:t xml:space="preserve"> </w:t>
            </w:r>
            <w:r w:rsidRPr="008F67F0">
              <w:rPr>
                <w:rFonts w:ascii="Verdana" w:hAnsi="Verdana" w:cs="Arial"/>
              </w:rPr>
              <w:t>Ámbito de aplicación / PERSONA EXPUESTA POLÍTICAMENTE – Definición</w:t>
            </w:r>
            <w:r>
              <w:rPr>
                <w:rFonts w:ascii="Verdana" w:hAnsi="Verdana" w:cs="Arial"/>
              </w:rPr>
              <w:t xml:space="preserve"> </w:t>
            </w:r>
            <w:r w:rsidR="00B035BA">
              <w:rPr>
                <w:rFonts w:ascii="Verdana" w:hAnsi="Verdana" w:cs="Arial"/>
              </w:rPr>
              <w:t>– Funciones – Sujetos</w:t>
            </w:r>
            <w:r>
              <w:rPr>
                <w:rFonts w:ascii="Verdana" w:hAnsi="Verdana" w:cs="Arial"/>
              </w:rPr>
              <w:t xml:space="preserve"> / </w:t>
            </w:r>
            <w:r w:rsidRPr="00742FB5">
              <w:rPr>
                <w:rFonts w:ascii="Verdana" w:hAnsi="Verdana" w:cs="Arial"/>
              </w:rPr>
              <w:t xml:space="preserve">PERSONA EXPUESTA POLÍTICAMENTE – </w:t>
            </w:r>
            <w:r w:rsidR="00746C00">
              <w:rPr>
                <w:rFonts w:ascii="Verdana" w:hAnsi="Verdana" w:cs="Arial"/>
              </w:rPr>
              <w:t xml:space="preserve">Aplicación – Sujetos que intervienen en la </w:t>
            </w:r>
            <w:r w:rsidR="00932AA4">
              <w:rPr>
                <w:rFonts w:ascii="Verdana" w:hAnsi="Verdana" w:cs="Arial"/>
              </w:rPr>
              <w:t>gestión contractual</w:t>
            </w:r>
          </w:p>
          <w:p w14:paraId="42C5A679" w14:textId="77777777" w:rsidR="005F520B" w:rsidRPr="007645FA" w:rsidRDefault="005F520B">
            <w:pPr>
              <w:jc w:val="both"/>
              <w:rPr>
                <w:rFonts w:ascii="Verdana" w:hAnsi="Verdana"/>
                <w:color w:val="806000" w:themeColor="accent4" w:themeShade="80"/>
                <w:highlight w:val="yellow"/>
              </w:rPr>
            </w:pPr>
          </w:p>
        </w:tc>
      </w:tr>
      <w:tr w:rsidR="005F520B" w:rsidRPr="007645FA" w14:paraId="15502F5F" w14:textId="77777777">
        <w:trPr>
          <w:trHeight w:val="174"/>
        </w:trPr>
        <w:tc>
          <w:tcPr>
            <w:tcW w:w="2410" w:type="dxa"/>
          </w:tcPr>
          <w:p w14:paraId="3EEAE59F" w14:textId="77777777" w:rsidR="005F520B" w:rsidRPr="006F347B" w:rsidRDefault="005F520B">
            <w:pPr>
              <w:ind w:left="561"/>
              <w:jc w:val="both"/>
              <w:rPr>
                <w:rFonts w:ascii="Verdana" w:eastAsia="Calibri" w:hAnsi="Verdana" w:cs="Arial"/>
                <w:b/>
                <w:lang w:val="es-ES" w:eastAsia="es-ES_tradnl"/>
              </w:rPr>
            </w:pPr>
            <w:r w:rsidRPr="006F347B">
              <w:rPr>
                <w:rFonts w:ascii="Verdana" w:eastAsia="Calibri" w:hAnsi="Verdana" w:cs="Arial"/>
                <w:b/>
                <w:lang w:val="es-ES" w:eastAsia="es-ES_tradnl"/>
              </w:rPr>
              <w:t>Radicación:</w:t>
            </w:r>
            <w:r w:rsidRPr="006F347B">
              <w:rPr>
                <w:rFonts w:ascii="Verdana" w:eastAsia="Calibri" w:hAnsi="Verdana" w:cs="Arial"/>
                <w:lang w:val="es-ES" w:eastAsia="es-ES_tradnl"/>
              </w:rPr>
              <w:t xml:space="preserve">              </w:t>
            </w:r>
          </w:p>
        </w:tc>
        <w:tc>
          <w:tcPr>
            <w:tcW w:w="6100" w:type="dxa"/>
          </w:tcPr>
          <w:p w14:paraId="5477DC6D" w14:textId="77777777" w:rsidR="005F520B" w:rsidRPr="006F347B" w:rsidRDefault="005F520B">
            <w:pPr>
              <w:ind w:left="3"/>
              <w:jc w:val="both"/>
              <w:rPr>
                <w:rFonts w:ascii="Verdana" w:hAnsi="Verdana"/>
                <w:lang w:val="es-ES"/>
              </w:rPr>
            </w:pPr>
            <w:r w:rsidRPr="006F347B">
              <w:rPr>
                <w:rFonts w:ascii="Verdana" w:eastAsia="Calibri" w:hAnsi="Verdana" w:cs="Arial"/>
                <w:lang w:val="es-ES" w:eastAsia="es-ES"/>
              </w:rPr>
              <w:t>Respuesta a consulta con radicado No. 1_2025_12_22_014258</w:t>
            </w:r>
          </w:p>
        </w:tc>
      </w:tr>
    </w:tbl>
    <w:p w14:paraId="403606F5" w14:textId="77777777" w:rsidR="005F520B" w:rsidRPr="007645FA" w:rsidRDefault="005F520B" w:rsidP="005F520B">
      <w:pPr>
        <w:spacing w:after="0" w:line="276" w:lineRule="auto"/>
        <w:jc w:val="both"/>
        <w:rPr>
          <w:rFonts w:ascii="Verdana" w:eastAsia="Calibri" w:hAnsi="Verdana" w:cs="Arial"/>
          <w:color w:val="806000" w:themeColor="accent4" w:themeShade="80"/>
          <w:highlight w:val="yellow"/>
          <w:lang w:val="es-ES" w:eastAsia="es-ES"/>
        </w:rPr>
      </w:pPr>
    </w:p>
    <w:p w14:paraId="73B5CEBA" w14:textId="77777777" w:rsidR="005F520B" w:rsidRPr="007645FA" w:rsidRDefault="005F520B" w:rsidP="005F520B">
      <w:pPr>
        <w:spacing w:after="0" w:line="276" w:lineRule="auto"/>
        <w:jc w:val="both"/>
        <w:rPr>
          <w:rFonts w:ascii="Verdana" w:eastAsia="Calibri" w:hAnsi="Verdana" w:cs="Arial"/>
          <w:color w:val="806000" w:themeColor="accent4" w:themeShade="80"/>
          <w:highlight w:val="yellow"/>
          <w:lang w:val="es-ES" w:eastAsia="es-ES"/>
        </w:rPr>
      </w:pPr>
    </w:p>
    <w:p w14:paraId="20C89ABA" w14:textId="77777777" w:rsidR="005F520B" w:rsidRPr="00800B16" w:rsidRDefault="005F520B" w:rsidP="005F520B">
      <w:pPr>
        <w:spacing w:after="0" w:line="276" w:lineRule="auto"/>
        <w:jc w:val="both"/>
        <w:rPr>
          <w:rFonts w:ascii="Verdana" w:eastAsia="Calibri" w:hAnsi="Verdana" w:cs="Arial"/>
          <w:lang w:val="es-ES" w:eastAsia="es-ES"/>
        </w:rPr>
      </w:pPr>
      <w:r w:rsidRPr="00800B16">
        <w:rPr>
          <w:rFonts w:ascii="Verdana" w:eastAsia="Calibri" w:hAnsi="Verdana" w:cs="Arial"/>
          <w:lang w:val="es-ES" w:eastAsia="es-ES"/>
        </w:rPr>
        <w:t>Estimado Señor Buitrago,</w:t>
      </w:r>
    </w:p>
    <w:p w14:paraId="4AE48D70" w14:textId="77777777" w:rsidR="005F520B" w:rsidRPr="00800B16" w:rsidRDefault="005F520B" w:rsidP="005F520B">
      <w:pPr>
        <w:tabs>
          <w:tab w:val="left" w:pos="3768"/>
        </w:tabs>
        <w:spacing w:after="0" w:line="276" w:lineRule="auto"/>
        <w:jc w:val="both"/>
        <w:rPr>
          <w:rFonts w:ascii="Verdana" w:eastAsia="Calibri" w:hAnsi="Verdana" w:cs="Arial"/>
          <w:color w:val="806000" w:themeColor="accent4" w:themeShade="80"/>
          <w:lang w:val="es-ES" w:eastAsia="es-ES"/>
        </w:rPr>
      </w:pPr>
      <w:r w:rsidRPr="00800B16">
        <w:rPr>
          <w:rFonts w:ascii="Verdana" w:eastAsia="Calibri" w:hAnsi="Verdana" w:cs="Arial"/>
          <w:color w:val="806000" w:themeColor="accent4" w:themeShade="80"/>
          <w:lang w:val="es-ES" w:eastAsia="es-ES"/>
        </w:rPr>
        <w:tab/>
      </w:r>
    </w:p>
    <w:p w14:paraId="3D12E08C" w14:textId="77777777" w:rsidR="005F520B" w:rsidRDefault="005F520B" w:rsidP="005F520B">
      <w:pPr>
        <w:spacing w:after="0" w:line="276" w:lineRule="auto"/>
        <w:jc w:val="both"/>
        <w:rPr>
          <w:rFonts w:ascii="Verdana" w:eastAsia="Calibri" w:hAnsi="Verdana" w:cs="Arial"/>
          <w:lang w:val="es-ES" w:eastAsia="es-ES"/>
        </w:rPr>
      </w:pPr>
      <w:r w:rsidRPr="00800B16">
        <w:rPr>
          <w:rFonts w:ascii="Verdana" w:eastAsia="Calibri" w:hAnsi="Verdana" w:cs="Arial"/>
          <w:lang w:val="es-ES" w:eastAsia="es-ES"/>
        </w:rPr>
        <w:t>En ejercicio de la competencia otorgada por los artículos 3, numeral 5º, y 11, numeral 8º, del Decreto Ley 4170 de 2011,</w:t>
      </w:r>
      <w:r w:rsidRPr="00800B16">
        <w:rPr>
          <w:rFonts w:ascii="Verdana" w:eastAsia="Arial MT" w:hAnsi="Verdana" w:cs="Arial MT"/>
          <w:lang w:val="es-ES" w:eastAsia="es-ES"/>
        </w:rPr>
        <w:t xml:space="preserve"> </w:t>
      </w:r>
      <w:r w:rsidRPr="00800B16">
        <w:rPr>
          <w:rFonts w:ascii="Verdana" w:hAnsi="Verdana" w:cs="Arial"/>
          <w:lang w:val="es-ES"/>
        </w:rPr>
        <w:t xml:space="preserve">así como lo establecido en el artículo 4 de la Resolución 1707 de 2018 expedida por esta Entidad, </w:t>
      </w:r>
      <w:r w:rsidRPr="00800B16">
        <w:rPr>
          <w:rFonts w:ascii="Verdana" w:eastAsia="Calibri" w:hAnsi="Verdana" w:cs="Arial"/>
          <w:lang w:val="es-ES" w:eastAsia="es-ES"/>
        </w:rPr>
        <w:t xml:space="preserve">la Agencia Nacional de Contratación Pública – Colombia Compra Eficiente– responde su solicitud de consulta de fecha 22 de diciembre de 2025, en la cual manifiesta lo siguiente: </w:t>
      </w:r>
    </w:p>
    <w:p w14:paraId="183D330D" w14:textId="77777777" w:rsidR="005F520B" w:rsidRPr="00E814E9" w:rsidRDefault="005F520B" w:rsidP="005F520B">
      <w:pPr>
        <w:spacing w:after="0" w:line="276" w:lineRule="auto"/>
        <w:jc w:val="both"/>
        <w:rPr>
          <w:rFonts w:ascii="Verdana" w:eastAsia="Calibri" w:hAnsi="Verdana" w:cs="Arial"/>
          <w:lang w:val="es-ES" w:eastAsia="es-ES"/>
        </w:rPr>
      </w:pPr>
    </w:p>
    <w:p w14:paraId="7EDC4B8A" w14:textId="77777777" w:rsidR="005F520B" w:rsidRDefault="005F520B" w:rsidP="003D5E43">
      <w:pPr>
        <w:spacing w:before="120" w:after="0" w:line="240" w:lineRule="auto"/>
        <w:ind w:left="709" w:right="709"/>
        <w:contextualSpacing/>
        <w:jc w:val="both"/>
        <w:rPr>
          <w:rFonts w:ascii="Verdana" w:eastAsia="Century Gothic" w:hAnsi="Verdana" w:cs="Century Gothic"/>
          <w:i/>
          <w:iCs/>
          <w:sz w:val="20"/>
          <w:szCs w:val="20"/>
          <w:lang w:val="es-ES"/>
        </w:rPr>
      </w:pPr>
      <w:r w:rsidRPr="008911A6">
        <w:rPr>
          <w:rFonts w:ascii="Verdana" w:eastAsia="Century Gothic" w:hAnsi="Verdana" w:cs="Century Gothic"/>
          <w:i/>
          <w:iCs/>
          <w:sz w:val="20"/>
          <w:szCs w:val="20"/>
          <w:lang w:val="es-ES"/>
        </w:rPr>
        <w:t>“</w:t>
      </w:r>
      <w:r>
        <w:rPr>
          <w:rFonts w:ascii="Verdana" w:eastAsia="Century Gothic" w:hAnsi="Verdana" w:cs="Century Gothic"/>
          <w:i/>
          <w:iCs/>
          <w:sz w:val="20"/>
          <w:szCs w:val="20"/>
          <w:lang w:val="es-ES"/>
        </w:rPr>
        <w:t xml:space="preserve">(…) </w:t>
      </w:r>
      <w:r w:rsidRPr="008911A6">
        <w:rPr>
          <w:rFonts w:ascii="Verdana" w:eastAsia="Century Gothic" w:hAnsi="Verdana" w:cs="Century Gothic"/>
          <w:i/>
          <w:iCs/>
          <w:sz w:val="20"/>
          <w:szCs w:val="20"/>
          <w:lang w:val="es-ES"/>
        </w:rPr>
        <w:t xml:space="preserve">7. ¿Un funcionario público, que no es supervisor de un contrato estatal, pero apoyo al supervisor en revisar la veracidad del informe de actividades de un contratista, donde deja su visto bueno y firma, es considerado </w:t>
      </w:r>
      <w:r>
        <w:rPr>
          <w:rFonts w:ascii="Verdana" w:eastAsia="Century Gothic" w:hAnsi="Verdana" w:cs="Century Gothic"/>
          <w:i/>
          <w:iCs/>
          <w:sz w:val="20"/>
          <w:szCs w:val="20"/>
          <w:lang w:val="es-ES"/>
        </w:rPr>
        <w:t>manejo</w:t>
      </w:r>
      <w:r w:rsidRPr="008911A6">
        <w:rPr>
          <w:rFonts w:ascii="Verdana" w:eastAsia="Century Gothic" w:hAnsi="Verdana" w:cs="Century Gothic"/>
          <w:i/>
          <w:iCs/>
          <w:sz w:val="20"/>
          <w:szCs w:val="20"/>
          <w:lang w:val="es-ES"/>
        </w:rPr>
        <w:t xml:space="preserve"> directo de dineros del Estado o PEP? </w:t>
      </w:r>
      <w:r>
        <w:rPr>
          <w:rFonts w:ascii="Verdana" w:eastAsia="Century Gothic" w:hAnsi="Verdana" w:cs="Century Gothic"/>
          <w:i/>
          <w:iCs/>
          <w:sz w:val="20"/>
          <w:szCs w:val="20"/>
          <w:lang w:val="es-ES"/>
        </w:rPr>
        <w:t>¿Por qué?</w:t>
      </w:r>
    </w:p>
    <w:p w14:paraId="644AFAD2" w14:textId="77777777" w:rsidR="005F520B" w:rsidRDefault="005F520B" w:rsidP="003D5E43">
      <w:pPr>
        <w:spacing w:before="120" w:after="0" w:line="240" w:lineRule="auto"/>
        <w:ind w:left="709" w:right="709"/>
        <w:contextualSpacing/>
        <w:jc w:val="both"/>
        <w:rPr>
          <w:rFonts w:ascii="Verdana" w:eastAsia="Century Gothic" w:hAnsi="Verdana" w:cs="Century Gothic"/>
          <w:i/>
          <w:iCs/>
          <w:sz w:val="20"/>
          <w:szCs w:val="20"/>
          <w:lang w:val="es-ES"/>
        </w:rPr>
      </w:pPr>
    </w:p>
    <w:p w14:paraId="2B8536B6" w14:textId="77777777" w:rsidR="005F520B" w:rsidRDefault="005F520B" w:rsidP="003D5E43">
      <w:pPr>
        <w:spacing w:before="120" w:after="0" w:line="240" w:lineRule="auto"/>
        <w:ind w:left="709" w:right="709"/>
        <w:contextualSpacing/>
        <w:jc w:val="both"/>
        <w:rPr>
          <w:rFonts w:ascii="Verdana" w:eastAsia="Century Gothic" w:hAnsi="Verdana" w:cs="Century Gothic"/>
          <w:i/>
          <w:iCs/>
          <w:sz w:val="20"/>
          <w:szCs w:val="20"/>
          <w:lang w:val="es-ES"/>
        </w:rPr>
      </w:pPr>
      <w:r>
        <w:rPr>
          <w:rFonts w:ascii="Verdana" w:eastAsia="Century Gothic" w:hAnsi="Verdana" w:cs="Century Gothic"/>
          <w:i/>
          <w:iCs/>
          <w:sz w:val="20"/>
          <w:szCs w:val="20"/>
          <w:lang w:val="es-ES"/>
        </w:rPr>
        <w:t xml:space="preserve">8. </w:t>
      </w:r>
      <w:r w:rsidRPr="00015BCD">
        <w:rPr>
          <w:rFonts w:ascii="Verdana" w:eastAsia="Century Gothic" w:hAnsi="Verdana" w:cs="Century Gothic"/>
          <w:i/>
          <w:iCs/>
          <w:sz w:val="20"/>
          <w:szCs w:val="20"/>
          <w:lang w:val="es-ES"/>
        </w:rPr>
        <w:t>¿Un funcionario público, que elaboró los estudios previos para un contrato publicado en S</w:t>
      </w:r>
      <w:r>
        <w:rPr>
          <w:rFonts w:ascii="Verdana" w:eastAsia="Century Gothic" w:hAnsi="Verdana" w:cs="Century Gothic"/>
          <w:i/>
          <w:iCs/>
          <w:sz w:val="20"/>
          <w:szCs w:val="20"/>
          <w:lang w:val="es-ES"/>
        </w:rPr>
        <w:t>ecop</w:t>
      </w:r>
      <w:r w:rsidRPr="00015BCD">
        <w:rPr>
          <w:rFonts w:ascii="Verdana" w:eastAsia="Century Gothic" w:hAnsi="Verdana" w:cs="Century Gothic"/>
          <w:i/>
          <w:iCs/>
          <w:sz w:val="20"/>
          <w:szCs w:val="20"/>
          <w:lang w:val="es-ES"/>
        </w:rPr>
        <w:t xml:space="preserve"> I o II, es una PEP? ¿Por qué?</w:t>
      </w:r>
    </w:p>
    <w:p w14:paraId="3090B797" w14:textId="77777777" w:rsidR="005F520B" w:rsidRDefault="005F520B" w:rsidP="003D5E43">
      <w:pPr>
        <w:spacing w:before="120" w:after="0" w:line="240" w:lineRule="auto"/>
        <w:ind w:left="709" w:right="709"/>
        <w:contextualSpacing/>
        <w:jc w:val="both"/>
        <w:rPr>
          <w:rFonts w:ascii="Verdana" w:eastAsia="Century Gothic" w:hAnsi="Verdana" w:cs="Century Gothic"/>
          <w:i/>
          <w:iCs/>
          <w:sz w:val="20"/>
          <w:szCs w:val="20"/>
          <w:lang w:val="es-ES"/>
        </w:rPr>
      </w:pPr>
    </w:p>
    <w:p w14:paraId="3ADFDCAB" w14:textId="77777777" w:rsidR="005F520B" w:rsidRDefault="005F520B" w:rsidP="003D5E43">
      <w:pPr>
        <w:spacing w:before="120" w:after="0" w:line="240" w:lineRule="auto"/>
        <w:ind w:left="709" w:right="709"/>
        <w:contextualSpacing/>
        <w:jc w:val="both"/>
        <w:rPr>
          <w:rFonts w:ascii="Verdana" w:eastAsia="Century Gothic" w:hAnsi="Verdana" w:cs="Century Gothic"/>
          <w:i/>
          <w:iCs/>
          <w:sz w:val="20"/>
          <w:szCs w:val="20"/>
          <w:lang w:val="es-ES"/>
        </w:rPr>
      </w:pPr>
      <w:r w:rsidRPr="00A47363">
        <w:rPr>
          <w:rFonts w:ascii="Verdana" w:eastAsia="Century Gothic" w:hAnsi="Verdana" w:cs="Century Gothic"/>
          <w:i/>
          <w:iCs/>
          <w:sz w:val="20"/>
          <w:szCs w:val="20"/>
          <w:lang w:val="es-ES"/>
        </w:rPr>
        <w:t xml:space="preserve">9. ¿Un funcionario público, que firmó los estudios previos para un contrato publicado en </w:t>
      </w:r>
      <w:r>
        <w:rPr>
          <w:rFonts w:ascii="Verdana" w:eastAsia="Century Gothic" w:hAnsi="Verdana" w:cs="Century Gothic"/>
          <w:i/>
          <w:iCs/>
          <w:sz w:val="20"/>
          <w:szCs w:val="20"/>
          <w:lang w:val="es-ES"/>
        </w:rPr>
        <w:t>S</w:t>
      </w:r>
      <w:r w:rsidRPr="00A47363">
        <w:rPr>
          <w:rFonts w:ascii="Verdana" w:eastAsia="Century Gothic" w:hAnsi="Verdana" w:cs="Century Gothic"/>
          <w:i/>
          <w:iCs/>
          <w:sz w:val="20"/>
          <w:szCs w:val="20"/>
          <w:lang w:val="es-ES"/>
        </w:rPr>
        <w:t>ecop I o II, es una PEP? ¿Por qué?</w:t>
      </w:r>
      <w:r>
        <w:rPr>
          <w:rFonts w:ascii="Verdana" w:eastAsia="Century Gothic" w:hAnsi="Verdana" w:cs="Century Gothic"/>
          <w:i/>
          <w:iCs/>
          <w:sz w:val="20"/>
          <w:szCs w:val="20"/>
          <w:lang w:val="es-ES"/>
        </w:rPr>
        <w:t xml:space="preserve"> (…)</w:t>
      </w:r>
    </w:p>
    <w:p w14:paraId="39216A88" w14:textId="77777777" w:rsidR="005F520B" w:rsidRDefault="005F520B" w:rsidP="003D5E43">
      <w:pPr>
        <w:spacing w:before="120" w:after="0" w:line="240" w:lineRule="auto"/>
        <w:ind w:left="709" w:right="709"/>
        <w:contextualSpacing/>
        <w:jc w:val="both"/>
        <w:rPr>
          <w:rFonts w:ascii="Verdana" w:eastAsia="Century Gothic" w:hAnsi="Verdana" w:cs="Century Gothic"/>
          <w:i/>
          <w:iCs/>
          <w:sz w:val="20"/>
          <w:szCs w:val="20"/>
          <w:lang w:val="es-ES"/>
        </w:rPr>
      </w:pPr>
    </w:p>
    <w:p w14:paraId="5200B826" w14:textId="77777777" w:rsidR="005F520B" w:rsidRDefault="005F520B" w:rsidP="003D5E43">
      <w:pPr>
        <w:spacing w:before="120" w:after="0" w:line="240" w:lineRule="auto"/>
        <w:ind w:left="709" w:right="709"/>
        <w:contextualSpacing/>
        <w:jc w:val="both"/>
        <w:rPr>
          <w:rFonts w:ascii="Verdana" w:eastAsia="Century Gothic" w:hAnsi="Verdana" w:cs="Century Gothic"/>
          <w:i/>
          <w:iCs/>
          <w:sz w:val="20"/>
          <w:szCs w:val="20"/>
          <w:lang w:val="es-ES"/>
        </w:rPr>
      </w:pPr>
      <w:r w:rsidRPr="00944A92">
        <w:rPr>
          <w:rFonts w:ascii="Verdana" w:eastAsia="Century Gothic" w:hAnsi="Verdana" w:cs="Century Gothic"/>
          <w:i/>
          <w:iCs/>
          <w:sz w:val="20"/>
          <w:szCs w:val="20"/>
          <w:lang w:val="es-ES"/>
        </w:rPr>
        <w:lastRenderedPageBreak/>
        <w:t>13. ¿Un funcionario público que firmó las actas de liquidación de un contrato como supervisor es una PEP? ¿Por qué?</w:t>
      </w:r>
      <w:r>
        <w:rPr>
          <w:rFonts w:ascii="Verdana" w:eastAsia="Century Gothic" w:hAnsi="Verdana" w:cs="Century Gothic"/>
          <w:i/>
          <w:iCs/>
          <w:sz w:val="20"/>
          <w:szCs w:val="20"/>
          <w:lang w:val="es-ES"/>
        </w:rPr>
        <w:t xml:space="preserve"> (…)”</w:t>
      </w:r>
    </w:p>
    <w:p w14:paraId="00A5745B" w14:textId="77777777" w:rsidR="005F520B" w:rsidRPr="0024710C" w:rsidRDefault="005F520B" w:rsidP="005F520B">
      <w:pPr>
        <w:spacing w:before="120" w:after="0"/>
        <w:ind w:left="709" w:right="709"/>
        <w:contextualSpacing/>
        <w:jc w:val="both"/>
        <w:rPr>
          <w:rFonts w:ascii="Verdana" w:eastAsia="Century Gothic" w:hAnsi="Verdana" w:cs="Century Gothic"/>
          <w:i/>
          <w:iCs/>
          <w:sz w:val="20"/>
          <w:szCs w:val="20"/>
          <w:lang w:val="es-ES"/>
        </w:rPr>
      </w:pPr>
    </w:p>
    <w:p w14:paraId="666D85C6" w14:textId="77777777" w:rsidR="005F520B" w:rsidRPr="000203DB" w:rsidRDefault="005F520B" w:rsidP="005F520B">
      <w:pPr>
        <w:spacing w:after="120" w:line="276" w:lineRule="auto"/>
        <w:ind w:firstLine="708"/>
        <w:jc w:val="both"/>
        <w:rPr>
          <w:rFonts w:ascii="Verdana" w:eastAsia="Calibri" w:hAnsi="Verdana" w:cs="Arial"/>
          <w:lang w:val="es-ES" w:eastAsia="es-ES"/>
        </w:rPr>
      </w:pPr>
      <w:r w:rsidRPr="000203DB">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0203DB">
        <w:rPr>
          <w:rFonts w:ascii="Verdana" w:hAnsi="Verdana"/>
          <w:lang w:val="es-ES"/>
        </w:rPr>
        <w:tab/>
      </w:r>
    </w:p>
    <w:p w14:paraId="12B1D80C" w14:textId="77777777" w:rsidR="005F520B" w:rsidRPr="000203DB" w:rsidRDefault="005F520B" w:rsidP="005F520B">
      <w:pPr>
        <w:spacing w:after="0" w:line="276" w:lineRule="auto"/>
        <w:ind w:firstLine="709"/>
        <w:jc w:val="both"/>
        <w:rPr>
          <w:rFonts w:ascii="Verdana" w:eastAsia="Calibri" w:hAnsi="Verdana" w:cs="Arial"/>
          <w:lang w:val="es-ES" w:eastAsia="es-ES"/>
        </w:rPr>
      </w:pPr>
      <w:r w:rsidRPr="000203DB">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4BB9FE81" w14:textId="77777777" w:rsidR="005F520B" w:rsidRPr="007645FA" w:rsidRDefault="005F520B" w:rsidP="005F520B">
      <w:pPr>
        <w:spacing w:after="0" w:line="276" w:lineRule="auto"/>
        <w:ind w:firstLine="709"/>
        <w:jc w:val="both"/>
        <w:rPr>
          <w:rFonts w:ascii="Verdana" w:eastAsia="Calibri" w:hAnsi="Verdana" w:cs="Arial"/>
          <w:highlight w:val="yellow"/>
          <w:lang w:val="es-ES" w:eastAsia="es-ES"/>
        </w:rPr>
      </w:pPr>
    </w:p>
    <w:p w14:paraId="396572E8" w14:textId="77777777" w:rsidR="005F520B" w:rsidRPr="0024710C" w:rsidRDefault="005F520B" w:rsidP="005F520B">
      <w:pPr>
        <w:tabs>
          <w:tab w:val="left" w:pos="142"/>
          <w:tab w:val="left" w:pos="284"/>
        </w:tabs>
        <w:spacing w:after="0" w:line="276" w:lineRule="auto"/>
        <w:contextualSpacing/>
        <w:jc w:val="both"/>
        <w:rPr>
          <w:rFonts w:ascii="Verdana" w:eastAsia="Century Gothic" w:hAnsi="Verdana" w:cs="Century Gothic"/>
          <w:b/>
          <w:lang w:val="es-ES"/>
        </w:rPr>
      </w:pPr>
      <w:r w:rsidRPr="0024710C">
        <w:rPr>
          <w:rFonts w:ascii="Verdana" w:eastAsia="Century Gothic" w:hAnsi="Verdana" w:cs="Century Gothic"/>
          <w:b/>
          <w:lang w:val="es-ES"/>
        </w:rPr>
        <w:t>1. Problema planteado:</w:t>
      </w:r>
    </w:p>
    <w:p w14:paraId="03F5F22C" w14:textId="77777777" w:rsidR="005F520B" w:rsidRPr="007645FA" w:rsidRDefault="005F520B" w:rsidP="005F520B">
      <w:pPr>
        <w:tabs>
          <w:tab w:val="left" w:pos="426"/>
        </w:tabs>
        <w:spacing w:after="0" w:line="276" w:lineRule="auto"/>
        <w:jc w:val="both"/>
        <w:rPr>
          <w:rFonts w:ascii="Verdana" w:eastAsia="Century Gothic" w:hAnsi="Verdana" w:cs="Century Gothic"/>
          <w:color w:val="806000" w:themeColor="accent4" w:themeShade="80"/>
          <w:highlight w:val="yellow"/>
          <w:lang w:val="es-ES"/>
        </w:rPr>
      </w:pPr>
    </w:p>
    <w:p w14:paraId="0D5824D4" w14:textId="462FA504" w:rsidR="005F520B" w:rsidRPr="007645FA" w:rsidRDefault="005F520B" w:rsidP="005F520B">
      <w:pPr>
        <w:spacing w:after="0" w:line="276" w:lineRule="auto"/>
        <w:jc w:val="both"/>
        <w:rPr>
          <w:rFonts w:ascii="Verdana" w:eastAsia="Century Gothic" w:hAnsi="Verdana" w:cs="Century Gothic"/>
          <w:highlight w:val="yellow"/>
        </w:rPr>
      </w:pPr>
      <w:r w:rsidRPr="0024710C">
        <w:rPr>
          <w:rFonts w:ascii="Verdana" w:eastAsia="Century Gothic" w:hAnsi="Verdana" w:cs="Century Gothic"/>
          <w:lang w:val="es-ES"/>
        </w:rPr>
        <w:t>De acuerdo con el contenido de su solicitud, esta Agencia resolverá el siguiente problema jurídico</w:t>
      </w:r>
      <w:r w:rsidRPr="007C5851">
        <w:rPr>
          <w:rFonts w:ascii="Verdana" w:eastAsia="Century Gothic" w:hAnsi="Verdana" w:cs="Century Gothic"/>
          <w:lang w:val="es-ES"/>
        </w:rPr>
        <w:t>:</w:t>
      </w:r>
      <w:r w:rsidR="00E76730">
        <w:rPr>
          <w:rFonts w:ascii="Verdana" w:eastAsia="Century Gothic" w:hAnsi="Verdana" w:cs="Century Gothic"/>
          <w:lang w:val="es-ES"/>
        </w:rPr>
        <w:t xml:space="preserve"> </w:t>
      </w:r>
      <w:r w:rsidRPr="003807A3">
        <w:rPr>
          <w:rFonts w:ascii="Verdana" w:eastAsia="Century Gothic" w:hAnsi="Verdana" w:cs="Century Gothic"/>
          <w:lang w:val="es-ES"/>
        </w:rPr>
        <w:t>¿Las personas que actúan como supervisores o brindan apoyo a la supervisión de contratos estatales, así como aquellas que participan en la elaboración de estudios previos y en la suscripción de actas de liquidación, se consideran Personas Expuestas Políticamente (PEP)?</w:t>
      </w:r>
    </w:p>
    <w:p w14:paraId="09899E41" w14:textId="77777777" w:rsidR="005F520B" w:rsidRPr="0089716B" w:rsidRDefault="005F520B" w:rsidP="005F520B">
      <w:pPr>
        <w:spacing w:after="0" w:line="276" w:lineRule="auto"/>
        <w:jc w:val="both"/>
        <w:rPr>
          <w:rFonts w:ascii="Verdana" w:eastAsia="Century Gothic" w:hAnsi="Verdana" w:cs="Century Gothic"/>
          <w:color w:val="806000" w:themeColor="accent4" w:themeShade="80"/>
        </w:rPr>
      </w:pPr>
    </w:p>
    <w:p w14:paraId="7F88D0CB" w14:textId="77777777" w:rsidR="005F520B" w:rsidRPr="0089716B" w:rsidRDefault="005F520B" w:rsidP="005F520B">
      <w:pPr>
        <w:tabs>
          <w:tab w:val="left" w:pos="142"/>
          <w:tab w:val="left" w:pos="284"/>
        </w:tabs>
        <w:spacing w:after="0" w:line="276" w:lineRule="auto"/>
        <w:jc w:val="both"/>
        <w:rPr>
          <w:rFonts w:ascii="Verdana" w:eastAsia="Century Gothic" w:hAnsi="Verdana" w:cs="Century Gothic"/>
          <w:b/>
          <w:lang w:val="es-ES"/>
        </w:rPr>
      </w:pPr>
      <w:r w:rsidRPr="0089716B">
        <w:rPr>
          <w:rFonts w:ascii="Verdana" w:eastAsia="Century Gothic" w:hAnsi="Verdana" w:cs="Century Gothic"/>
          <w:b/>
          <w:lang w:val="es-ES"/>
        </w:rPr>
        <w:t>2. Respuesta:</w:t>
      </w:r>
    </w:p>
    <w:p w14:paraId="3EBEE9E4" w14:textId="77777777" w:rsidR="005F520B" w:rsidRPr="007645FA" w:rsidRDefault="005F520B" w:rsidP="005F520B">
      <w:pPr>
        <w:tabs>
          <w:tab w:val="left" w:pos="142"/>
          <w:tab w:val="left" w:pos="284"/>
        </w:tabs>
        <w:spacing w:after="0" w:line="276" w:lineRule="auto"/>
        <w:jc w:val="both"/>
        <w:rPr>
          <w:rFonts w:ascii="Verdana" w:eastAsia="Century Gothic" w:hAnsi="Verdana" w:cs="Century Gothic"/>
          <w:b/>
          <w:bCs/>
          <w:color w:val="806000" w:themeColor="accent4" w:themeShade="80"/>
          <w:highlight w:val="yellow"/>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5F520B" w:rsidRPr="007645FA" w14:paraId="38242BDD" w14:textId="77777777" w:rsidTr="004A5064">
        <w:trPr>
          <w:trHeight w:val="75"/>
        </w:trPr>
        <w:tc>
          <w:tcPr>
            <w:tcW w:w="8828" w:type="dxa"/>
          </w:tcPr>
          <w:p w14:paraId="3176DC23" w14:textId="77777777" w:rsidR="00E86FDE" w:rsidRPr="00B035BA" w:rsidRDefault="00E86FDE" w:rsidP="00E56ED7">
            <w:pPr>
              <w:spacing w:after="120" w:line="276" w:lineRule="auto"/>
              <w:jc w:val="both"/>
              <w:rPr>
                <w:rFonts w:ascii="Verdana" w:eastAsia="Times New Roman" w:hAnsi="Verdana" w:cs="Times New Roman"/>
                <w:lang w:eastAsia="es-ES"/>
              </w:rPr>
            </w:pPr>
            <w:r w:rsidRPr="00B035BA">
              <w:rPr>
                <w:rFonts w:ascii="Verdana" w:eastAsia="Times New Roman" w:hAnsi="Verdana" w:cs="Times New Roman"/>
                <w:lang w:eastAsia="es-ES"/>
              </w:rPr>
              <w:t xml:space="preserve">Las actividades de elaboración y suscripción de estudios previos, la supervisión de contratos estatales, el apoyo a la supervisión y la firma de actas de liquidación </w:t>
            </w:r>
            <w:r w:rsidRPr="003D5E43">
              <w:rPr>
                <w:rFonts w:ascii="Verdana" w:eastAsia="Times New Roman" w:hAnsi="Verdana" w:cs="Times New Roman"/>
                <w:lang w:eastAsia="es-ES"/>
              </w:rPr>
              <w:t>no configuran, por sí mismas, la condición de Persona Expuesta Políticamente (PEP)</w:t>
            </w:r>
            <w:r w:rsidRPr="00B035BA">
              <w:rPr>
                <w:rFonts w:ascii="Verdana" w:eastAsia="Times New Roman" w:hAnsi="Verdana" w:cs="Times New Roman"/>
                <w:lang w:eastAsia="es-ES"/>
              </w:rPr>
              <w:t xml:space="preserve">, por cuanto no se encuentran expresamente previstas ni </w:t>
            </w:r>
            <w:r w:rsidRPr="00B035BA">
              <w:rPr>
                <w:rFonts w:ascii="Verdana" w:eastAsia="Times New Roman" w:hAnsi="Verdana" w:cs="Times New Roman"/>
                <w:lang w:eastAsia="es-ES"/>
              </w:rPr>
              <w:lastRenderedPageBreak/>
              <w:t>implican, en sí mismas, el ejercicio de las funciones señaladas en el artículo 2.1.4.2.3 del Decreto 1081 de 2015.</w:t>
            </w:r>
          </w:p>
          <w:p w14:paraId="57E47136" w14:textId="5CD5BF08" w:rsidR="00E86FDE" w:rsidRPr="00B035BA" w:rsidRDefault="00E86FDE" w:rsidP="003D5E43">
            <w:pPr>
              <w:spacing w:after="120" w:line="276" w:lineRule="auto"/>
              <w:ind w:firstLine="709"/>
              <w:jc w:val="both"/>
              <w:rPr>
                <w:rFonts w:ascii="Verdana" w:eastAsia="Times New Roman" w:hAnsi="Verdana" w:cs="Times New Roman"/>
                <w:lang w:eastAsia="es-ES"/>
              </w:rPr>
            </w:pPr>
            <w:r w:rsidRPr="00B035BA">
              <w:rPr>
                <w:rFonts w:ascii="Verdana" w:eastAsia="Times New Roman" w:hAnsi="Verdana" w:cs="Times New Roman"/>
                <w:lang w:eastAsia="es-ES"/>
              </w:rPr>
              <w:t xml:space="preserve">Sin perjuicio de lo anterior, quienes desarrollen dichas actividades </w:t>
            </w:r>
            <w:r w:rsidRPr="003D5E43">
              <w:rPr>
                <w:rFonts w:ascii="Verdana" w:eastAsia="Times New Roman" w:hAnsi="Verdana" w:cs="Times New Roman"/>
                <w:lang w:eastAsia="es-ES"/>
              </w:rPr>
              <w:t xml:space="preserve">podrán ser considerados </w:t>
            </w:r>
            <w:r w:rsidRPr="00B035BA">
              <w:rPr>
                <w:rFonts w:ascii="Verdana" w:eastAsia="Century Gothic" w:hAnsi="Verdana" w:cs="Century Gothic"/>
                <w:lang w:val="es-ES"/>
              </w:rPr>
              <w:t xml:space="preserve">Personas Expuestas Políticamente </w:t>
            </w:r>
            <w:r w:rsidRPr="00B035BA">
              <w:rPr>
                <w:rFonts w:ascii="Verdana" w:eastAsia="Times New Roman" w:hAnsi="Verdana" w:cs="Times New Roman"/>
                <w:lang w:eastAsia="es-ES"/>
              </w:rPr>
              <w:t xml:space="preserve">cuando, de manera concurrente, ejerzan funciones de </w:t>
            </w:r>
            <w:r w:rsidRPr="003D5E43">
              <w:rPr>
                <w:rFonts w:ascii="Verdana" w:eastAsia="Times New Roman" w:hAnsi="Verdana" w:cs="Times New Roman"/>
                <w:lang w:eastAsia="es-ES"/>
              </w:rPr>
              <w:t>dirección general</w:t>
            </w:r>
            <w:r w:rsidRPr="00B035BA">
              <w:rPr>
                <w:rFonts w:ascii="Verdana" w:eastAsia="Times New Roman" w:hAnsi="Verdana" w:cs="Times New Roman"/>
                <w:lang w:eastAsia="es-ES"/>
              </w:rPr>
              <w:t xml:space="preserve">, </w:t>
            </w:r>
            <w:r w:rsidRPr="003D5E43">
              <w:rPr>
                <w:rFonts w:ascii="Verdana" w:eastAsia="Times New Roman" w:hAnsi="Verdana" w:cs="Times New Roman"/>
                <w:lang w:eastAsia="es-ES"/>
              </w:rPr>
              <w:t>formulación de políticas institucionales</w:t>
            </w:r>
            <w:r w:rsidRPr="00B035BA">
              <w:rPr>
                <w:rFonts w:ascii="Verdana" w:eastAsia="Times New Roman" w:hAnsi="Verdana" w:cs="Times New Roman"/>
                <w:lang w:eastAsia="es-ES"/>
              </w:rPr>
              <w:t xml:space="preserve">, </w:t>
            </w:r>
            <w:r w:rsidRPr="003D5E43">
              <w:rPr>
                <w:rFonts w:ascii="Verdana" w:eastAsia="Times New Roman" w:hAnsi="Verdana" w:cs="Times New Roman"/>
                <w:lang w:eastAsia="es-ES"/>
              </w:rPr>
              <w:t>adopción de planes, programas o proyectos</w:t>
            </w:r>
            <w:r w:rsidRPr="00B035BA">
              <w:rPr>
                <w:rFonts w:ascii="Verdana" w:eastAsia="Times New Roman" w:hAnsi="Verdana" w:cs="Times New Roman"/>
                <w:lang w:eastAsia="es-ES"/>
              </w:rPr>
              <w:t xml:space="preserve">, </w:t>
            </w:r>
            <w:r w:rsidRPr="003D5E43">
              <w:rPr>
                <w:rFonts w:ascii="Verdana" w:eastAsia="Times New Roman" w:hAnsi="Verdana" w:cs="Times New Roman"/>
                <w:lang w:eastAsia="es-ES"/>
              </w:rPr>
              <w:t>manejo directo de bienes, dineros o valores del Estado</w:t>
            </w:r>
            <w:r w:rsidRPr="00B035BA">
              <w:rPr>
                <w:rFonts w:ascii="Verdana" w:eastAsia="Times New Roman" w:hAnsi="Verdana" w:cs="Times New Roman"/>
                <w:lang w:eastAsia="es-ES"/>
              </w:rPr>
              <w:t xml:space="preserve">, o </w:t>
            </w:r>
            <w:r w:rsidRPr="003D5E43">
              <w:rPr>
                <w:rFonts w:ascii="Verdana" w:eastAsia="Times New Roman" w:hAnsi="Verdana" w:cs="Times New Roman"/>
                <w:lang w:eastAsia="es-ES"/>
              </w:rPr>
              <w:t>facultades sancionatorias</w:t>
            </w:r>
            <w:r w:rsidRPr="00B035BA">
              <w:rPr>
                <w:rFonts w:ascii="Verdana" w:eastAsia="Times New Roman" w:hAnsi="Verdana" w:cs="Times New Roman"/>
                <w:lang w:eastAsia="es-ES"/>
              </w:rPr>
              <w:t>, en los términos previstos en la normativa vigente.</w:t>
            </w:r>
            <w:r w:rsidR="00B035BA" w:rsidRPr="00B035BA">
              <w:rPr>
                <w:rFonts w:ascii="Verdana" w:eastAsia="Times New Roman" w:hAnsi="Verdana" w:cs="Times New Roman"/>
                <w:lang w:eastAsia="es-ES"/>
              </w:rPr>
              <w:t xml:space="preserve"> </w:t>
            </w:r>
            <w:r w:rsidRPr="00B035BA">
              <w:rPr>
                <w:rFonts w:ascii="Verdana" w:eastAsia="Times New Roman" w:hAnsi="Verdana" w:cs="Times New Roman"/>
                <w:lang w:eastAsia="es-ES"/>
              </w:rPr>
              <w:t xml:space="preserve">En todo caso, las personas que, en el marco de la gestión contractual, </w:t>
            </w:r>
            <w:r w:rsidRPr="003D5E43">
              <w:rPr>
                <w:rFonts w:ascii="Verdana" w:eastAsia="Times New Roman" w:hAnsi="Verdana" w:cs="Times New Roman"/>
                <w:lang w:eastAsia="es-ES"/>
              </w:rPr>
              <w:t xml:space="preserve">sí ostenten la condición de </w:t>
            </w:r>
            <w:r w:rsidRPr="00B035BA">
              <w:rPr>
                <w:rFonts w:ascii="Verdana" w:eastAsia="Century Gothic" w:hAnsi="Verdana" w:cs="Century Gothic"/>
                <w:lang w:val="es-ES"/>
              </w:rPr>
              <w:t xml:space="preserve">Personas Expuestas Políticamente </w:t>
            </w:r>
            <w:r w:rsidRPr="00B035BA">
              <w:rPr>
                <w:rFonts w:ascii="Verdana" w:eastAsia="Times New Roman" w:hAnsi="Verdana" w:cs="Times New Roman"/>
                <w:lang w:eastAsia="es-ES"/>
              </w:rPr>
              <w:t>deberán dar cumplimiento a las obligaciones establecidas en los artículos 2.1.4.2.4 y 2.1.4.2.5 del Decreto 1081 de 2015, relativas a la identificación, declaración, actualización y divulgación de dicha condición.</w:t>
            </w:r>
          </w:p>
          <w:p w14:paraId="0C587243" w14:textId="67CDB87D" w:rsidR="005F520B" w:rsidRPr="007645FA" w:rsidRDefault="006A0098" w:rsidP="003D5E43">
            <w:pPr>
              <w:spacing w:after="120" w:line="276" w:lineRule="auto"/>
              <w:ind w:firstLine="709"/>
              <w:jc w:val="both"/>
              <w:rPr>
                <w:rFonts w:ascii="Verdana" w:eastAsia="Times New Roman" w:hAnsi="Verdana" w:cs="Times New Roman"/>
                <w:highlight w:val="yellow"/>
                <w:lang w:eastAsia="es-ES"/>
              </w:rPr>
            </w:pPr>
            <w:r w:rsidRPr="00B035BA">
              <w:rPr>
                <w:rFonts w:ascii="Verdana" w:eastAsia="Times New Roman" w:hAnsi="Verdana" w:cs="Times New Roman"/>
                <w:lang w:eastAsia="es-ES"/>
              </w:rPr>
              <w:t xml:space="preserve">Finalmente, se precisa que los conceptos emitidos por Colombia Compra Eficiente tienen carácter </w:t>
            </w:r>
            <w:r w:rsidRPr="003D5E43">
              <w:rPr>
                <w:rFonts w:ascii="Verdana" w:eastAsia="Times New Roman" w:hAnsi="Verdana" w:cs="Times New Roman"/>
                <w:lang w:eastAsia="es-ES"/>
              </w:rPr>
              <w:t>orientador y no vinculante</w:t>
            </w:r>
            <w:r w:rsidRPr="00B035BA">
              <w:rPr>
                <w:rFonts w:ascii="Verdana" w:eastAsia="Times New Roman" w:hAnsi="Verdana" w:cs="Times New Roman"/>
                <w:lang w:eastAsia="es-ES"/>
              </w:rPr>
              <w:t>, razón por la cual corresponde a cada entidad estatal determinar, en el caso concreto y conforme a las normas que rigen el EGCAP, la configuración de la condición de Persona Expuesta Políticamente.</w:t>
            </w:r>
          </w:p>
        </w:tc>
      </w:tr>
    </w:tbl>
    <w:p w14:paraId="5EB3879D" w14:textId="77777777" w:rsidR="005F520B" w:rsidRPr="00F265FB" w:rsidRDefault="005F520B" w:rsidP="005F520B">
      <w:pPr>
        <w:tabs>
          <w:tab w:val="left" w:pos="142"/>
          <w:tab w:val="left" w:pos="284"/>
        </w:tabs>
        <w:spacing w:after="0" w:line="276" w:lineRule="auto"/>
        <w:jc w:val="both"/>
        <w:rPr>
          <w:rFonts w:ascii="Verdana" w:eastAsia="Century Gothic" w:hAnsi="Verdana" w:cs="Century Gothic"/>
          <w:b/>
          <w:bCs/>
          <w:color w:val="806000" w:themeColor="accent4" w:themeShade="80"/>
          <w:lang w:val="es-ES"/>
        </w:rPr>
      </w:pPr>
    </w:p>
    <w:p w14:paraId="28667312" w14:textId="77777777" w:rsidR="005F520B" w:rsidRPr="00F265FB" w:rsidRDefault="005F520B" w:rsidP="005F520B">
      <w:pPr>
        <w:tabs>
          <w:tab w:val="left" w:pos="142"/>
          <w:tab w:val="left" w:pos="284"/>
        </w:tabs>
        <w:spacing w:after="0" w:line="276" w:lineRule="auto"/>
        <w:jc w:val="both"/>
        <w:rPr>
          <w:rFonts w:ascii="Verdana" w:eastAsia="Century Gothic" w:hAnsi="Verdana" w:cs="Century Gothic"/>
          <w:b/>
          <w:lang w:val="es-ES"/>
        </w:rPr>
      </w:pPr>
      <w:r w:rsidRPr="00F265FB">
        <w:rPr>
          <w:rFonts w:ascii="Verdana" w:eastAsia="Century Gothic" w:hAnsi="Verdana" w:cs="Century Gothic"/>
          <w:b/>
          <w:lang w:val="es-ES"/>
        </w:rPr>
        <w:t>3. Razones de la respuesta:</w:t>
      </w:r>
    </w:p>
    <w:p w14:paraId="7D5935A1" w14:textId="77777777" w:rsidR="005F520B" w:rsidRPr="00F265FB" w:rsidRDefault="005F520B" w:rsidP="005F520B">
      <w:pPr>
        <w:tabs>
          <w:tab w:val="left" w:pos="142"/>
          <w:tab w:val="left" w:pos="284"/>
        </w:tabs>
        <w:spacing w:after="0" w:line="276" w:lineRule="auto"/>
        <w:jc w:val="both"/>
        <w:rPr>
          <w:rFonts w:ascii="Verdana" w:eastAsia="Century Gothic" w:hAnsi="Verdana" w:cs="Century Gothic"/>
          <w:b/>
          <w:color w:val="806000" w:themeColor="accent4" w:themeShade="80"/>
          <w:lang w:val="es-ES"/>
        </w:rPr>
      </w:pPr>
    </w:p>
    <w:p w14:paraId="626B5540" w14:textId="77777777" w:rsidR="005F520B" w:rsidRPr="00F265FB" w:rsidRDefault="005F520B" w:rsidP="005F520B">
      <w:pPr>
        <w:spacing w:after="0" w:line="276" w:lineRule="auto"/>
        <w:jc w:val="both"/>
        <w:rPr>
          <w:rFonts w:ascii="Verdana" w:eastAsia="Calibri" w:hAnsi="Verdana" w:cs="Arial"/>
          <w:lang w:val="es-ES"/>
        </w:rPr>
      </w:pPr>
      <w:r w:rsidRPr="00F265FB">
        <w:rPr>
          <w:rFonts w:ascii="Verdana" w:eastAsia="Calibri" w:hAnsi="Verdana" w:cs="Arial"/>
          <w:lang w:val="es-ES"/>
        </w:rPr>
        <w:t>Lo anterior se sustenta en las siguientes consideraciones:</w:t>
      </w:r>
    </w:p>
    <w:p w14:paraId="6C2A16E5" w14:textId="77777777" w:rsidR="001A192F" w:rsidRPr="007645FA" w:rsidRDefault="001A192F" w:rsidP="005F520B">
      <w:pPr>
        <w:spacing w:after="0" w:line="276" w:lineRule="auto"/>
        <w:jc w:val="both"/>
        <w:rPr>
          <w:rFonts w:ascii="Verdana" w:eastAsia="Calibri" w:hAnsi="Verdana" w:cs="Arial"/>
          <w:color w:val="806000" w:themeColor="accent4" w:themeShade="80"/>
          <w:highlight w:val="yellow"/>
          <w:lang w:val="es-ES"/>
        </w:rPr>
      </w:pPr>
    </w:p>
    <w:p w14:paraId="6D63F9AD" w14:textId="0A0E7A05" w:rsidR="00AB4068" w:rsidRPr="00786018" w:rsidRDefault="00AB4068" w:rsidP="00AB4068">
      <w:pPr>
        <w:tabs>
          <w:tab w:val="left" w:pos="426"/>
        </w:tabs>
        <w:spacing w:after="120" w:line="276" w:lineRule="auto"/>
        <w:jc w:val="both"/>
        <w:rPr>
          <w:rFonts w:ascii="Verdana" w:eastAsia="Verdana" w:hAnsi="Verdana" w:cs="Verdana"/>
          <w:lang w:val="es-ES"/>
        </w:rPr>
      </w:pPr>
      <w:bookmarkStart w:id="1" w:name="_Hlk102983874"/>
      <w:bookmarkStart w:id="2" w:name="_Hlk102388095"/>
      <w:r>
        <w:rPr>
          <w:rFonts w:ascii="Verdana" w:eastAsia="Verdana" w:hAnsi="Verdana" w:cs="Verdana"/>
          <w:lang w:val="es-ES"/>
        </w:rPr>
        <w:t xml:space="preserve">Como compromiso derivado de la suscripción de </w:t>
      </w:r>
      <w:r w:rsidR="00851821">
        <w:rPr>
          <w:rFonts w:ascii="Verdana" w:eastAsia="Verdana" w:hAnsi="Verdana" w:cs="Verdana"/>
          <w:lang w:val="es-ES"/>
        </w:rPr>
        <w:t>diferentes convenciones</w:t>
      </w:r>
      <w:r w:rsidR="00EE300C">
        <w:rPr>
          <w:rFonts w:ascii="Verdana" w:eastAsia="Verdana" w:hAnsi="Verdana" w:cs="Verdana"/>
          <w:lang w:val="es-ES"/>
        </w:rPr>
        <w:t xml:space="preserve"> y tratados internacionales, el Estado colombiano tiene</w:t>
      </w:r>
      <w:r w:rsidR="00BB557B">
        <w:rPr>
          <w:rFonts w:ascii="Verdana" w:eastAsia="Verdana" w:hAnsi="Verdana" w:cs="Verdana"/>
          <w:lang w:val="es-ES"/>
        </w:rPr>
        <w:t xml:space="preserve"> </w:t>
      </w:r>
      <w:r w:rsidR="009A3187" w:rsidRPr="009A3187">
        <w:rPr>
          <w:rFonts w:ascii="Verdana" w:eastAsia="Verdana" w:hAnsi="Verdana" w:cs="Verdana"/>
        </w:rPr>
        <w:t>la obligación de adecuar sus normas y adoptar mecanismos para prevenir, detectar, sancionar y reducir la corrupción, el lavado de activos, la financiación del terrorismo y otros delitos conexos</w:t>
      </w:r>
      <w:r>
        <w:rPr>
          <w:rFonts w:ascii="Verdana" w:eastAsia="Verdana" w:hAnsi="Verdana" w:cs="Verdana"/>
        </w:rPr>
        <w:t>. En particular, conviene destacar los siguientes instrumentos</w:t>
      </w:r>
      <w:r w:rsidRPr="002A7B91">
        <w:rPr>
          <w:rFonts w:ascii="Verdana" w:eastAsia="Verdana" w:hAnsi="Verdana" w:cs="Verdana"/>
        </w:rPr>
        <w:t xml:space="preserve">: (i) la Convención de las Naciones Unidas contra la Corrupción (aprobada por la Ley 970 de 2005 y en vigor desde el 27 de octubre de 2007), (ii) las recomendaciones del Grupo de Acción Financiera de Latinoamérica (aprobadas por la Ley 1186 de 2009), (iii) las recomendaciones de la Organización para la Cooperación y el Desarrollo Económico - OCDE (aprobadas por la Ley 1950 del 8 de enero de 2019), (iv) la Convención Interamericana de Lucha contra la Corrupción (aprobada por la Ley 412 de 1997 y en vigor desde el 18 de febrero </w:t>
      </w:r>
      <w:r w:rsidRPr="002A7B91">
        <w:rPr>
          <w:rFonts w:ascii="Verdana" w:eastAsia="Verdana" w:hAnsi="Verdana" w:cs="Verdana"/>
        </w:rPr>
        <w:lastRenderedPageBreak/>
        <w:t>de 1999), (v) la Convención Internacional para la Represión de la Financiación del Terrorismo (aprobada por la Ley 808 de 2003 y en vigor desde el 14 de diciembre de 2004) y (vi) la Convención para Combatir el Cohecho de Funcionarios Públicos Extranjeros en Transacciones Comerciales Internacionales (aprobada por la Ley 1573 de 2012 y en vigor desde el 19 de enero 2013).</w:t>
      </w:r>
    </w:p>
    <w:p w14:paraId="73602915" w14:textId="77777777" w:rsidR="0002298C" w:rsidRDefault="00AB4068" w:rsidP="005F520B">
      <w:pPr>
        <w:tabs>
          <w:tab w:val="left" w:pos="426"/>
        </w:tabs>
        <w:spacing w:after="120" w:line="276" w:lineRule="auto"/>
        <w:jc w:val="both"/>
        <w:rPr>
          <w:rFonts w:ascii="Verdana" w:eastAsia="Verdana" w:hAnsi="Verdana" w:cs="Verdana"/>
          <w:lang w:val="es-ES"/>
        </w:rPr>
      </w:pPr>
      <w:r>
        <w:rPr>
          <w:rFonts w:ascii="Verdana" w:eastAsia="Verdana" w:hAnsi="Verdana" w:cs="Verdana"/>
          <w:lang w:val="es-ES"/>
        </w:rPr>
        <w:tab/>
      </w:r>
      <w:r>
        <w:rPr>
          <w:rFonts w:ascii="Verdana" w:eastAsia="Verdana" w:hAnsi="Verdana" w:cs="Verdana"/>
          <w:lang w:val="es-ES"/>
        </w:rPr>
        <w:tab/>
      </w:r>
      <w:r w:rsidR="001A192F">
        <w:rPr>
          <w:rFonts w:ascii="Verdana" w:eastAsia="Verdana" w:hAnsi="Verdana" w:cs="Verdana"/>
          <w:lang w:val="es-ES"/>
        </w:rPr>
        <w:t xml:space="preserve">Tales instrumentos constituyen </w:t>
      </w:r>
      <w:r w:rsidR="00A63BFB">
        <w:rPr>
          <w:rFonts w:ascii="Verdana" w:eastAsia="Verdana" w:hAnsi="Verdana" w:cs="Verdana"/>
          <w:lang w:val="es-ES"/>
        </w:rPr>
        <w:t>la base normativa sobre en la que su sustenta el marco reglamentario</w:t>
      </w:r>
      <w:r w:rsidR="004843CD">
        <w:rPr>
          <w:rFonts w:ascii="Verdana" w:eastAsia="Verdana" w:hAnsi="Verdana" w:cs="Verdana"/>
          <w:lang w:val="es-ES"/>
        </w:rPr>
        <w:t xml:space="preserve"> aplicable a las </w:t>
      </w:r>
      <w:r w:rsidR="004843CD" w:rsidRPr="003D5E43">
        <w:rPr>
          <w:rFonts w:ascii="Verdana" w:eastAsia="Verdana" w:hAnsi="Verdana" w:cs="Verdana"/>
          <w:i/>
          <w:iCs/>
          <w:lang w:val="es-ES"/>
        </w:rPr>
        <w:t xml:space="preserve">Personas Expuestas </w:t>
      </w:r>
      <w:r w:rsidR="004843CD" w:rsidRPr="004843CD">
        <w:rPr>
          <w:rFonts w:ascii="Verdana" w:eastAsia="Verdana" w:hAnsi="Verdana" w:cs="Verdana"/>
          <w:i/>
          <w:iCs/>
          <w:lang w:val="es-ES"/>
        </w:rPr>
        <w:t>Políticamente</w:t>
      </w:r>
      <w:r w:rsidR="00287A18">
        <w:rPr>
          <w:rFonts w:ascii="Verdana" w:eastAsia="Verdana" w:hAnsi="Verdana" w:cs="Verdana"/>
          <w:i/>
          <w:iCs/>
          <w:lang w:val="es-ES"/>
        </w:rPr>
        <w:t xml:space="preserve"> </w:t>
      </w:r>
      <w:r w:rsidR="00287A18">
        <w:rPr>
          <w:rFonts w:ascii="Verdana" w:eastAsia="Verdana" w:hAnsi="Verdana" w:cs="Verdana"/>
          <w:lang w:val="es-ES"/>
        </w:rPr>
        <w:t>(</w:t>
      </w:r>
      <w:r w:rsidR="004843CD">
        <w:rPr>
          <w:rFonts w:ascii="Verdana" w:eastAsia="Verdana" w:hAnsi="Verdana" w:cs="Verdana"/>
          <w:lang w:val="es-ES"/>
        </w:rPr>
        <w:t>PEP</w:t>
      </w:r>
      <w:r w:rsidR="00287A18">
        <w:rPr>
          <w:rFonts w:ascii="Verdana" w:eastAsia="Verdana" w:hAnsi="Verdana" w:cs="Verdana"/>
          <w:lang w:val="es-ES"/>
        </w:rPr>
        <w:t>)</w:t>
      </w:r>
      <w:r w:rsidR="004843CD">
        <w:rPr>
          <w:rFonts w:ascii="Verdana" w:eastAsia="Verdana" w:hAnsi="Verdana" w:cs="Verdana"/>
          <w:lang w:val="es-ES"/>
        </w:rPr>
        <w:t>,</w:t>
      </w:r>
      <w:r w:rsidR="00A63BFB">
        <w:rPr>
          <w:rFonts w:ascii="Verdana" w:eastAsia="Verdana" w:hAnsi="Verdana" w:cs="Verdana"/>
          <w:lang w:val="es-ES"/>
        </w:rPr>
        <w:t xml:space="preserve"> establecido </w:t>
      </w:r>
      <w:r w:rsidR="00752BA4">
        <w:rPr>
          <w:rFonts w:ascii="Verdana" w:eastAsia="Verdana" w:hAnsi="Verdana" w:cs="Verdana"/>
          <w:lang w:val="es-ES"/>
        </w:rPr>
        <w:t xml:space="preserve">en el </w:t>
      </w:r>
      <w:r w:rsidR="00752BA4" w:rsidRPr="00752BA4">
        <w:rPr>
          <w:rFonts w:ascii="Verdana" w:eastAsia="Verdana" w:hAnsi="Verdana" w:cs="Verdana"/>
        </w:rPr>
        <w:t>Capítulo 2 al Título 4 de la Parte 2 del Libro 2 del Decreto 1081 de 2015</w:t>
      </w:r>
      <w:r w:rsidR="00752BA4">
        <w:rPr>
          <w:rFonts w:ascii="Verdana" w:eastAsia="Verdana" w:hAnsi="Verdana" w:cs="Verdana"/>
        </w:rPr>
        <w:t xml:space="preserve">, modificado parcialmente por el Decreto </w:t>
      </w:r>
      <w:r w:rsidR="004843CD">
        <w:rPr>
          <w:rFonts w:ascii="Verdana" w:eastAsia="Verdana" w:hAnsi="Verdana" w:cs="Verdana"/>
        </w:rPr>
        <w:t xml:space="preserve">830 de 2021.  </w:t>
      </w:r>
      <w:r w:rsidR="009F25D8">
        <w:rPr>
          <w:rFonts w:ascii="Verdana" w:eastAsia="Verdana" w:hAnsi="Verdana" w:cs="Verdana"/>
        </w:rPr>
        <w:t xml:space="preserve">De acuerdo con lo establecido en el artículo </w:t>
      </w:r>
      <w:r w:rsidR="009F25D8" w:rsidRPr="009F25D8">
        <w:rPr>
          <w:rFonts w:ascii="Verdana" w:eastAsia="Verdana" w:hAnsi="Verdana" w:cs="Verdana"/>
        </w:rPr>
        <w:t>2.1.4.2.1</w:t>
      </w:r>
      <w:r w:rsidR="009F25D8">
        <w:rPr>
          <w:rFonts w:ascii="Verdana" w:eastAsia="Verdana" w:hAnsi="Verdana" w:cs="Verdana"/>
        </w:rPr>
        <w:t xml:space="preserve"> del Decreto 1081, </w:t>
      </w:r>
      <w:r w:rsidR="00DC1A62">
        <w:rPr>
          <w:rFonts w:ascii="Verdana" w:eastAsia="Verdana" w:hAnsi="Verdana" w:cs="Verdana"/>
        </w:rPr>
        <w:t>el objeto de las disposiciones que hacen parte del señalado capítulo tiene</w:t>
      </w:r>
      <w:r w:rsidR="00287A18">
        <w:rPr>
          <w:rFonts w:ascii="Verdana" w:eastAsia="Verdana" w:hAnsi="Verdana" w:cs="Verdana"/>
        </w:rPr>
        <w:t>n</w:t>
      </w:r>
      <w:r w:rsidR="00DC1A62">
        <w:rPr>
          <w:rFonts w:ascii="Verdana" w:eastAsia="Verdana" w:hAnsi="Verdana" w:cs="Verdana"/>
        </w:rPr>
        <w:t xml:space="preserve"> p</w:t>
      </w:r>
      <w:r w:rsidR="00287A18">
        <w:rPr>
          <w:rFonts w:ascii="Verdana" w:eastAsia="Verdana" w:hAnsi="Verdana" w:cs="Verdana"/>
        </w:rPr>
        <w:t xml:space="preserve">or objeto definir a quienes debe considerarse como </w:t>
      </w:r>
      <w:r w:rsidR="00287A18" w:rsidRPr="000C1FC8">
        <w:rPr>
          <w:rFonts w:ascii="Verdana" w:eastAsia="Verdana" w:hAnsi="Verdana" w:cs="Verdana"/>
          <w:i/>
          <w:iCs/>
          <w:lang w:val="es-ES"/>
        </w:rPr>
        <w:t xml:space="preserve">Personas Expuestas </w:t>
      </w:r>
      <w:r w:rsidR="00287A18" w:rsidRPr="004843CD">
        <w:rPr>
          <w:rFonts w:ascii="Verdana" w:eastAsia="Verdana" w:hAnsi="Verdana" w:cs="Verdana"/>
          <w:i/>
          <w:iCs/>
          <w:lang w:val="es-ES"/>
        </w:rPr>
        <w:t>Políticamente</w:t>
      </w:r>
      <w:r w:rsidR="00287A18">
        <w:rPr>
          <w:rFonts w:ascii="Verdana" w:eastAsia="Verdana" w:hAnsi="Verdana" w:cs="Verdana"/>
          <w:i/>
          <w:iCs/>
          <w:lang w:val="es-ES"/>
        </w:rPr>
        <w:t xml:space="preserve"> </w:t>
      </w:r>
      <w:r w:rsidR="00287A18">
        <w:rPr>
          <w:rFonts w:ascii="Verdana" w:eastAsia="Verdana" w:hAnsi="Verdana" w:cs="Verdana"/>
          <w:lang w:val="es-ES"/>
        </w:rPr>
        <w:t xml:space="preserve">(PEP), </w:t>
      </w:r>
      <w:r w:rsidR="00CF22B1">
        <w:rPr>
          <w:rFonts w:ascii="Verdana" w:eastAsia="Verdana" w:hAnsi="Verdana" w:cs="Verdana"/>
          <w:lang w:val="es-ES"/>
        </w:rPr>
        <w:t xml:space="preserve">estableciendo las obligaciones que </w:t>
      </w:r>
      <w:r w:rsidR="0002298C">
        <w:rPr>
          <w:rFonts w:ascii="Verdana" w:eastAsia="Verdana" w:hAnsi="Verdana" w:cs="Verdana"/>
          <w:lang w:val="es-ES"/>
        </w:rPr>
        <w:t>les asisten respecto del sistema financiero en</w:t>
      </w:r>
      <w:r w:rsidR="00CF22B1">
        <w:rPr>
          <w:rFonts w:ascii="Verdana" w:eastAsia="Verdana" w:hAnsi="Verdana" w:cs="Verdana"/>
          <w:lang w:val="es-ES"/>
        </w:rPr>
        <w:t xml:space="preserve"> virtud de dicha condición</w:t>
      </w:r>
      <w:r w:rsidR="0002298C">
        <w:rPr>
          <w:rFonts w:ascii="Verdana" w:eastAsia="Verdana" w:hAnsi="Verdana" w:cs="Verdana"/>
          <w:lang w:val="es-ES"/>
        </w:rPr>
        <w:t xml:space="preserve">. </w:t>
      </w:r>
    </w:p>
    <w:p w14:paraId="4245D44A" w14:textId="0CF64D0E" w:rsidR="005F520B" w:rsidRDefault="00CF22B1" w:rsidP="005F520B">
      <w:pPr>
        <w:tabs>
          <w:tab w:val="left" w:pos="426"/>
        </w:tabs>
        <w:spacing w:after="120" w:line="276" w:lineRule="auto"/>
        <w:jc w:val="both"/>
        <w:rPr>
          <w:rFonts w:ascii="Verdana" w:eastAsia="Times New Roman" w:hAnsi="Verdana" w:cs="Arial"/>
          <w:lang w:eastAsia="es-CO"/>
        </w:rPr>
      </w:pPr>
      <w:r>
        <w:rPr>
          <w:rFonts w:ascii="Verdana" w:eastAsia="Verdana" w:hAnsi="Verdana" w:cs="Verdana"/>
          <w:lang w:val="es-ES"/>
        </w:rPr>
        <w:t xml:space="preserve"> </w:t>
      </w:r>
      <w:r w:rsidR="005F520B" w:rsidRPr="00EA7CD3">
        <w:rPr>
          <w:rFonts w:ascii="Verdana" w:eastAsia="Verdana" w:hAnsi="Verdana" w:cs="Verdana"/>
        </w:rPr>
        <w:tab/>
      </w:r>
      <w:r w:rsidR="005F520B" w:rsidRPr="00EA7CD3">
        <w:rPr>
          <w:rFonts w:ascii="Verdana" w:eastAsia="Verdana" w:hAnsi="Verdana" w:cs="Verdana"/>
        </w:rPr>
        <w:tab/>
      </w:r>
      <w:r w:rsidR="005F520B">
        <w:rPr>
          <w:rFonts w:ascii="Verdana" w:eastAsia="Verdana" w:hAnsi="Verdana" w:cs="Verdana"/>
        </w:rPr>
        <w:t>En ese contexto,</w:t>
      </w:r>
      <w:r w:rsidR="005F520B" w:rsidRPr="009B2517">
        <w:rPr>
          <w:rFonts w:ascii="Verdana" w:eastAsia="Verdana" w:hAnsi="Verdana" w:cs="Verdana"/>
        </w:rPr>
        <w:t xml:space="preserve"> con el propósito de delimitar los sujetos a quienes resultan exigibles las disposiciones del régimen aplicable a las Personas Expuestas Políticamente (PEP), el artículo 2.1.4.2.2 del Decreto 1081 de 2015, establece el ámbito de aplicación del capítulo, definiendo los destinatarios de las medidas previstas y el alcance de su cumplimiento en los procesos de vinculación. </w:t>
      </w:r>
      <w:r w:rsidR="005F520B" w:rsidRPr="009B2517">
        <w:rPr>
          <w:rFonts w:ascii="Verdana" w:eastAsia="Times New Roman" w:hAnsi="Verdana" w:cs="Arial"/>
          <w:lang w:eastAsia="es-CO"/>
        </w:rPr>
        <w:t>El artículo en mención, cita que:</w:t>
      </w:r>
    </w:p>
    <w:p w14:paraId="4222D6C5" w14:textId="77777777" w:rsidR="005F520B" w:rsidRDefault="005F520B" w:rsidP="003D5E43">
      <w:pPr>
        <w:tabs>
          <w:tab w:val="left" w:pos="426"/>
        </w:tabs>
        <w:spacing w:after="20" w:line="240" w:lineRule="auto"/>
        <w:ind w:left="709" w:right="709"/>
        <w:jc w:val="both"/>
        <w:rPr>
          <w:rFonts w:ascii="Verdana" w:eastAsia="Verdana" w:hAnsi="Verdana" w:cs="Verdana"/>
          <w:sz w:val="20"/>
          <w:szCs w:val="20"/>
        </w:rPr>
      </w:pPr>
      <w:r w:rsidRPr="009457AA">
        <w:rPr>
          <w:rFonts w:ascii="Verdana" w:eastAsia="Verdana" w:hAnsi="Verdana" w:cs="Verdana"/>
          <w:sz w:val="20"/>
          <w:szCs w:val="20"/>
        </w:rPr>
        <w:t>“Artículo </w:t>
      </w:r>
      <w:bookmarkStart w:id="3" w:name="2.1.4.2.2"/>
      <w:bookmarkEnd w:id="3"/>
      <w:r w:rsidRPr="009457AA">
        <w:rPr>
          <w:rFonts w:ascii="Verdana" w:eastAsia="Verdana" w:hAnsi="Verdana" w:cs="Verdana"/>
          <w:sz w:val="20"/>
          <w:szCs w:val="20"/>
        </w:rPr>
        <w:t>2.1.4.2.2. Ámbito de aplicación. El presente capitulo aplicará a las Personas Expuestas Políticamente (PEP), a los sujetos obligados a implementar medidas y sistemas de administración de prevención de riesgo de lavado de activos y financiación del terrorismo, y a los sujetos de reporte de la Unidad de Información y Análisis Financiero (UIAF); quienes deberán aplicar las medidas de debida diligencia del cliente de acuerdo con la normatividad vigente y las adicionales que se definen en el presente Capítulo, en desarrollo de los procesos de vinculación y monitoreo de la relación comercial con las Personas Expuestas Políticamente (PEP).”</w:t>
      </w:r>
    </w:p>
    <w:p w14:paraId="04A0E295" w14:textId="77777777" w:rsidR="000D1021" w:rsidRPr="009457AA" w:rsidRDefault="000D1021" w:rsidP="003D5E43">
      <w:pPr>
        <w:tabs>
          <w:tab w:val="left" w:pos="426"/>
        </w:tabs>
        <w:spacing w:after="0" w:line="240" w:lineRule="auto"/>
        <w:ind w:left="709" w:right="709" w:firstLine="709"/>
        <w:jc w:val="both"/>
        <w:rPr>
          <w:rFonts w:ascii="Verdana" w:eastAsia="Verdana" w:hAnsi="Verdana" w:cs="Verdana"/>
          <w:sz w:val="20"/>
          <w:szCs w:val="20"/>
        </w:rPr>
      </w:pPr>
    </w:p>
    <w:p w14:paraId="104F6ED9" w14:textId="647E60E0" w:rsidR="005F520B" w:rsidRDefault="005F520B" w:rsidP="000D1021">
      <w:pPr>
        <w:tabs>
          <w:tab w:val="left" w:pos="426"/>
        </w:tabs>
        <w:spacing w:after="0" w:line="276" w:lineRule="auto"/>
        <w:ind w:firstLine="709"/>
        <w:jc w:val="both"/>
        <w:rPr>
          <w:rFonts w:ascii="Verdana" w:hAnsi="Verdana" w:cs="Arial"/>
          <w:color w:val="000000" w:themeColor="text1"/>
          <w:lang w:val="es-MX"/>
        </w:rPr>
      </w:pPr>
      <w:r w:rsidRPr="008353DF">
        <w:rPr>
          <w:rFonts w:ascii="Verdana" w:eastAsia="Verdana" w:hAnsi="Verdana" w:cs="Verdana"/>
          <w:lang w:val="es-ES"/>
        </w:rPr>
        <w:t xml:space="preserve">Ahora bien, </w:t>
      </w:r>
      <w:r>
        <w:rPr>
          <w:rFonts w:ascii="Verdana" w:eastAsia="Verdana" w:hAnsi="Verdana" w:cs="Verdana"/>
          <w:lang w:val="es-ES"/>
        </w:rPr>
        <w:t xml:space="preserve">con la finalidad de establecer quiénes ostentan la calidad de </w:t>
      </w:r>
      <w:r w:rsidRPr="003D5E43">
        <w:rPr>
          <w:rFonts w:ascii="Verdana" w:eastAsia="Verdana" w:hAnsi="Verdana" w:cs="Verdana"/>
          <w:i/>
          <w:lang w:val="es-ES"/>
        </w:rPr>
        <w:t>Personas Expuestas Políticamente</w:t>
      </w:r>
      <w:r w:rsidRPr="006C579A">
        <w:rPr>
          <w:rFonts w:ascii="Verdana" w:eastAsia="Verdana" w:hAnsi="Verdana" w:cs="Verdana"/>
          <w:lang w:val="es-ES"/>
        </w:rPr>
        <w:t xml:space="preserve"> (PEP),</w:t>
      </w:r>
      <w:r>
        <w:rPr>
          <w:rFonts w:ascii="Verdana" w:eastAsia="Verdana" w:hAnsi="Verdana" w:cs="Verdana"/>
          <w:lang w:val="es-ES"/>
        </w:rPr>
        <w:t xml:space="preserve"> el artículo </w:t>
      </w:r>
      <w:r w:rsidRPr="00B76A45">
        <w:rPr>
          <w:rFonts w:ascii="Verdana" w:eastAsia="Verdana" w:hAnsi="Verdana" w:cs="Verdana"/>
        </w:rPr>
        <w:t>2.1.4.2.3</w:t>
      </w:r>
      <w:r>
        <w:rPr>
          <w:rFonts w:ascii="Verdana" w:eastAsia="Verdana" w:hAnsi="Verdana" w:cs="Verdana"/>
        </w:rPr>
        <w:t xml:space="preserve"> del mencionado decreto </w:t>
      </w:r>
      <w:r w:rsidRPr="00861BB1">
        <w:rPr>
          <w:rFonts w:ascii="Verdana" w:eastAsia="Verdana" w:hAnsi="Verdana" w:cs="Verdana"/>
          <w:lang w:val="es-ES"/>
        </w:rPr>
        <w:t>define las funciones, cargos y actividades que, por su naturaleza, nivel de responsabilidad o manejo de recursos públicos</w:t>
      </w:r>
      <w:r>
        <w:rPr>
          <w:rFonts w:ascii="Verdana" w:eastAsia="Verdana" w:hAnsi="Verdana" w:cs="Verdana"/>
          <w:lang w:val="es-ES"/>
        </w:rPr>
        <w:t>, c</w:t>
      </w:r>
      <w:r w:rsidRPr="00C1138A">
        <w:rPr>
          <w:rFonts w:ascii="Verdana" w:eastAsia="Verdana" w:hAnsi="Verdana" w:cs="Verdana"/>
          <w:lang w:val="es-ES"/>
        </w:rPr>
        <w:t>onllevan una mayor exposición al riesgo</w:t>
      </w:r>
      <w:r>
        <w:rPr>
          <w:rFonts w:ascii="Verdana" w:eastAsia="Verdana" w:hAnsi="Verdana" w:cs="Verdana"/>
          <w:lang w:val="es-ES"/>
        </w:rPr>
        <w:t xml:space="preserve">. </w:t>
      </w:r>
      <w:r w:rsidRPr="00F74986">
        <w:rPr>
          <w:rFonts w:ascii="Verdana" w:hAnsi="Verdana" w:cs="Arial"/>
          <w:color w:val="000000" w:themeColor="text1"/>
          <w:lang w:val="es-MX"/>
        </w:rPr>
        <w:t>Al efecto, la norma establece l</w:t>
      </w:r>
      <w:r>
        <w:rPr>
          <w:rFonts w:ascii="Verdana" w:hAnsi="Verdana" w:cs="Arial"/>
          <w:color w:val="000000" w:themeColor="text1"/>
          <w:lang w:val="es-MX"/>
        </w:rPr>
        <w:t>o siguiente:</w:t>
      </w:r>
    </w:p>
    <w:p w14:paraId="6BCA2FD2" w14:textId="77777777" w:rsidR="000D1021" w:rsidRDefault="000D1021" w:rsidP="003D5E43">
      <w:pPr>
        <w:tabs>
          <w:tab w:val="left" w:pos="426"/>
        </w:tabs>
        <w:spacing w:after="0" w:line="276" w:lineRule="auto"/>
        <w:ind w:firstLine="709"/>
        <w:jc w:val="both"/>
        <w:rPr>
          <w:rFonts w:ascii="Verdana" w:hAnsi="Verdana" w:cs="Arial"/>
          <w:color w:val="000000" w:themeColor="text1"/>
          <w:lang w:val="es-MX"/>
        </w:rPr>
      </w:pPr>
    </w:p>
    <w:p w14:paraId="36BF6EFB" w14:textId="77777777" w:rsidR="005F520B" w:rsidRPr="00656CCA" w:rsidRDefault="005F520B" w:rsidP="005F520B">
      <w:pPr>
        <w:tabs>
          <w:tab w:val="left" w:pos="426"/>
        </w:tabs>
        <w:spacing w:after="120" w:line="240" w:lineRule="auto"/>
        <w:ind w:left="709" w:right="709"/>
        <w:jc w:val="both"/>
        <w:rPr>
          <w:rFonts w:ascii="Verdana" w:eastAsia="Verdana" w:hAnsi="Verdana" w:cs="Verdana"/>
          <w:sz w:val="20"/>
          <w:szCs w:val="20"/>
        </w:rPr>
      </w:pPr>
      <w:r w:rsidRPr="00AD3E50">
        <w:rPr>
          <w:rFonts w:ascii="Verdana" w:eastAsia="Verdana" w:hAnsi="Verdana" w:cs="Verdana"/>
          <w:sz w:val="20"/>
          <w:szCs w:val="20"/>
        </w:rPr>
        <w:lastRenderedPageBreak/>
        <w:t>“Artículo </w:t>
      </w:r>
      <w:bookmarkStart w:id="4" w:name="2.1.4.2.3"/>
      <w:bookmarkEnd w:id="4"/>
      <w:r w:rsidRPr="00AD3E50">
        <w:rPr>
          <w:rFonts w:ascii="Verdana" w:eastAsia="Verdana" w:hAnsi="Verdana" w:cs="Verdana"/>
          <w:sz w:val="20"/>
          <w:szCs w:val="20"/>
        </w:rPr>
        <w:t>2.1.4.2.3. Personas Expuestas Políticamente.</w:t>
      </w:r>
      <w:r w:rsidRPr="00656CCA">
        <w:rPr>
          <w:rFonts w:ascii="Verdana" w:eastAsia="Verdana" w:hAnsi="Verdana" w:cs="Verdana"/>
          <w:sz w:val="20"/>
          <w:szCs w:val="20"/>
        </w:rPr>
        <w:t xml:space="preserve"> Se considerarán como Personas Expuestas Políticamente (PEP) los </w:t>
      </w:r>
      <w:r w:rsidRPr="003D5E43">
        <w:rPr>
          <w:rFonts w:ascii="Verdana" w:eastAsia="Verdana" w:hAnsi="Verdana" w:cs="Verdana"/>
          <w:i/>
          <w:sz w:val="20"/>
          <w:szCs w:val="20"/>
        </w:rPr>
        <w:t>servidores públicos de cualquier sistema de nomenclatura y clasificación de empleos de la administración pública nacional y territorial</w:t>
      </w:r>
      <w:r w:rsidRPr="00656CCA">
        <w:rPr>
          <w:rFonts w:ascii="Verdana" w:eastAsia="Verdana" w:hAnsi="Verdana" w:cs="Verdana"/>
          <w:sz w:val="20"/>
          <w:szCs w:val="20"/>
        </w:rPr>
        <w:t xml:space="preserve">, cuando tengan </w:t>
      </w:r>
      <w:r w:rsidRPr="003D5E43">
        <w:rPr>
          <w:rFonts w:ascii="Verdana" w:eastAsia="Verdana" w:hAnsi="Verdana" w:cs="Verdana"/>
          <w:i/>
          <w:sz w:val="20"/>
          <w:szCs w:val="20"/>
        </w:rPr>
        <w:t>asignadas</w:t>
      </w:r>
      <w:r w:rsidRPr="00656CCA">
        <w:rPr>
          <w:rFonts w:ascii="Verdana" w:eastAsia="Verdana" w:hAnsi="Verdana" w:cs="Verdana"/>
          <w:sz w:val="20"/>
          <w:szCs w:val="20"/>
        </w:rPr>
        <w:t xml:space="preserve"> o </w:t>
      </w:r>
      <w:r w:rsidRPr="003D5E43">
        <w:rPr>
          <w:rFonts w:ascii="Verdana" w:eastAsia="Verdana" w:hAnsi="Verdana" w:cs="Verdana"/>
          <w:i/>
          <w:sz w:val="20"/>
          <w:szCs w:val="20"/>
        </w:rPr>
        <w:t>delegadas</w:t>
      </w:r>
      <w:r w:rsidRPr="00656CCA">
        <w:rPr>
          <w:rFonts w:ascii="Verdana" w:eastAsia="Verdana" w:hAnsi="Verdana" w:cs="Verdana"/>
          <w:sz w:val="20"/>
          <w:szCs w:val="20"/>
        </w:rPr>
        <w:t xml:space="preserve"> funciones de: </w:t>
      </w:r>
      <w:r w:rsidRPr="003D5E43">
        <w:rPr>
          <w:rFonts w:ascii="Verdana" w:eastAsia="Verdana" w:hAnsi="Verdana" w:cs="Verdana"/>
          <w:i/>
          <w:sz w:val="20"/>
          <w:szCs w:val="20"/>
        </w:rPr>
        <w:t>expedición de normas o regulaciones</w:t>
      </w:r>
      <w:r w:rsidRPr="00656CCA">
        <w:rPr>
          <w:rFonts w:ascii="Verdana" w:eastAsia="Verdana" w:hAnsi="Verdana" w:cs="Verdana"/>
          <w:sz w:val="20"/>
          <w:szCs w:val="20"/>
        </w:rPr>
        <w:t xml:space="preserve">, </w:t>
      </w:r>
      <w:r w:rsidRPr="003D5E43">
        <w:rPr>
          <w:rFonts w:ascii="Verdana" w:eastAsia="Verdana" w:hAnsi="Verdana" w:cs="Verdana"/>
          <w:i/>
          <w:sz w:val="20"/>
          <w:szCs w:val="20"/>
        </w:rPr>
        <w:t>dirección general</w:t>
      </w:r>
      <w:r w:rsidRPr="00656CCA">
        <w:rPr>
          <w:rFonts w:ascii="Verdana" w:eastAsia="Verdana" w:hAnsi="Verdana" w:cs="Verdana"/>
          <w:sz w:val="20"/>
          <w:szCs w:val="20"/>
        </w:rPr>
        <w:t xml:space="preserve">, </w:t>
      </w:r>
      <w:r w:rsidRPr="003D5E43">
        <w:rPr>
          <w:rFonts w:ascii="Verdana" w:eastAsia="Verdana" w:hAnsi="Verdana" w:cs="Verdana"/>
          <w:i/>
          <w:sz w:val="20"/>
          <w:szCs w:val="20"/>
        </w:rPr>
        <w:t>formulación de políticas institucionales</w:t>
      </w:r>
      <w:r w:rsidRPr="00656CCA">
        <w:rPr>
          <w:rFonts w:ascii="Verdana" w:eastAsia="Verdana" w:hAnsi="Verdana" w:cs="Verdana"/>
          <w:sz w:val="20"/>
          <w:szCs w:val="20"/>
        </w:rPr>
        <w:t xml:space="preserve"> y </w:t>
      </w:r>
      <w:r w:rsidRPr="003D5E43">
        <w:rPr>
          <w:rFonts w:ascii="Verdana" w:eastAsia="Verdana" w:hAnsi="Verdana" w:cs="Verdana"/>
          <w:i/>
          <w:sz w:val="20"/>
          <w:szCs w:val="20"/>
        </w:rPr>
        <w:t>adopción de planes</w:t>
      </w:r>
      <w:r w:rsidRPr="00656CCA">
        <w:rPr>
          <w:rFonts w:ascii="Verdana" w:eastAsia="Verdana" w:hAnsi="Verdana" w:cs="Verdana"/>
          <w:sz w:val="20"/>
          <w:szCs w:val="20"/>
        </w:rPr>
        <w:t xml:space="preserve">, </w:t>
      </w:r>
      <w:r w:rsidRPr="003D5E43">
        <w:rPr>
          <w:rFonts w:ascii="Verdana" w:eastAsia="Verdana" w:hAnsi="Verdana" w:cs="Verdana"/>
          <w:i/>
          <w:sz w:val="20"/>
          <w:szCs w:val="20"/>
        </w:rPr>
        <w:t>programas y proyectos</w:t>
      </w:r>
      <w:r w:rsidRPr="00656CCA">
        <w:rPr>
          <w:rFonts w:ascii="Verdana" w:eastAsia="Verdana" w:hAnsi="Verdana" w:cs="Verdana"/>
          <w:sz w:val="20"/>
          <w:szCs w:val="20"/>
        </w:rPr>
        <w:t xml:space="preserve">, </w:t>
      </w:r>
      <w:r w:rsidRPr="003D5E43">
        <w:rPr>
          <w:rFonts w:ascii="Verdana" w:eastAsia="Verdana" w:hAnsi="Verdana" w:cs="Verdana"/>
          <w:i/>
          <w:sz w:val="20"/>
          <w:szCs w:val="20"/>
        </w:rPr>
        <w:t>manejo directo de bienes, dineros o valores del Estado</w:t>
      </w:r>
      <w:r w:rsidRPr="00656CCA">
        <w:rPr>
          <w:rFonts w:ascii="Verdana" w:eastAsia="Verdana" w:hAnsi="Verdana" w:cs="Verdana"/>
          <w:sz w:val="20"/>
          <w:szCs w:val="20"/>
        </w:rPr>
        <w:t xml:space="preserve">, </w:t>
      </w:r>
      <w:r w:rsidRPr="003D5E43">
        <w:rPr>
          <w:rFonts w:ascii="Verdana" w:eastAsia="Verdana" w:hAnsi="Verdana" w:cs="Verdana"/>
          <w:i/>
          <w:sz w:val="20"/>
          <w:szCs w:val="20"/>
        </w:rPr>
        <w:t>administración de justicia</w:t>
      </w:r>
      <w:r w:rsidRPr="00656CCA">
        <w:rPr>
          <w:rFonts w:ascii="Verdana" w:eastAsia="Verdana" w:hAnsi="Verdana" w:cs="Verdana"/>
          <w:sz w:val="20"/>
          <w:szCs w:val="20"/>
        </w:rPr>
        <w:t xml:space="preserve"> o </w:t>
      </w:r>
      <w:r w:rsidRPr="003D5E43">
        <w:rPr>
          <w:rFonts w:ascii="Verdana" w:eastAsia="Verdana" w:hAnsi="Verdana" w:cs="Verdana"/>
          <w:i/>
          <w:sz w:val="20"/>
          <w:szCs w:val="20"/>
        </w:rPr>
        <w:t>facultades administrativo sancionatorias</w:t>
      </w:r>
      <w:r w:rsidRPr="00656CCA">
        <w:rPr>
          <w:rFonts w:ascii="Verdana" w:eastAsia="Verdana" w:hAnsi="Verdana" w:cs="Verdana"/>
          <w:sz w:val="20"/>
          <w:szCs w:val="20"/>
        </w:rPr>
        <w:t xml:space="preserve">, y los </w:t>
      </w:r>
      <w:r w:rsidRPr="003D5E43">
        <w:rPr>
          <w:rFonts w:ascii="Verdana" w:eastAsia="Verdana" w:hAnsi="Verdana" w:cs="Verdana"/>
          <w:i/>
          <w:sz w:val="20"/>
          <w:szCs w:val="20"/>
        </w:rPr>
        <w:t>particulares</w:t>
      </w:r>
      <w:r w:rsidRPr="00656CCA">
        <w:rPr>
          <w:rFonts w:ascii="Verdana" w:eastAsia="Verdana" w:hAnsi="Verdana" w:cs="Verdana"/>
          <w:sz w:val="20"/>
          <w:szCs w:val="20"/>
        </w:rPr>
        <w:t xml:space="preserve"> que tengan a su cargo la </w:t>
      </w:r>
      <w:r w:rsidRPr="003D5E43">
        <w:rPr>
          <w:rFonts w:ascii="Verdana" w:eastAsia="Verdana" w:hAnsi="Verdana" w:cs="Verdana"/>
          <w:i/>
          <w:sz w:val="20"/>
          <w:szCs w:val="20"/>
        </w:rPr>
        <w:t>dirección o manejo de recursos</w:t>
      </w:r>
      <w:r w:rsidRPr="00656CCA">
        <w:rPr>
          <w:rFonts w:ascii="Verdana" w:eastAsia="Verdana" w:hAnsi="Verdana" w:cs="Verdana"/>
          <w:sz w:val="20"/>
          <w:szCs w:val="20"/>
        </w:rPr>
        <w:t xml:space="preserve"> en los movimientos o partidos políticos.</w:t>
      </w:r>
    </w:p>
    <w:p w14:paraId="691174E3" w14:textId="77777777" w:rsidR="005F520B" w:rsidRPr="00656CCA" w:rsidRDefault="005F520B" w:rsidP="005F520B">
      <w:pPr>
        <w:tabs>
          <w:tab w:val="left" w:pos="426"/>
        </w:tabs>
        <w:spacing w:after="120" w:line="240" w:lineRule="auto"/>
        <w:ind w:left="709" w:right="709"/>
        <w:jc w:val="both"/>
        <w:rPr>
          <w:rFonts w:ascii="Verdana" w:eastAsia="Verdana" w:hAnsi="Verdana" w:cs="Verdana"/>
          <w:sz w:val="20"/>
          <w:szCs w:val="20"/>
        </w:rPr>
      </w:pPr>
      <w:r w:rsidRPr="00656CCA">
        <w:rPr>
          <w:rFonts w:ascii="Verdana" w:eastAsia="Verdana" w:hAnsi="Verdana" w:cs="Verdana"/>
          <w:sz w:val="20"/>
          <w:szCs w:val="20"/>
        </w:rPr>
        <w:t xml:space="preserve">Estas funciones podrán ser ejercidas a través de ordenación de gasto, </w:t>
      </w:r>
      <w:r w:rsidRPr="003D5E43">
        <w:rPr>
          <w:rFonts w:ascii="Verdana" w:eastAsia="Verdana" w:hAnsi="Verdana" w:cs="Verdana"/>
          <w:i/>
          <w:sz w:val="20"/>
          <w:szCs w:val="20"/>
        </w:rPr>
        <w:t>contratación pública</w:t>
      </w:r>
      <w:r w:rsidRPr="00656CCA">
        <w:rPr>
          <w:rFonts w:ascii="Verdana" w:eastAsia="Verdana" w:hAnsi="Verdana" w:cs="Verdana"/>
          <w:sz w:val="20"/>
          <w:szCs w:val="20"/>
        </w:rPr>
        <w:t xml:space="preserve">, </w:t>
      </w:r>
      <w:r w:rsidRPr="003D5E43">
        <w:rPr>
          <w:rFonts w:ascii="Verdana" w:eastAsia="Verdana" w:hAnsi="Verdana" w:cs="Verdana"/>
          <w:i/>
          <w:sz w:val="20"/>
          <w:szCs w:val="20"/>
        </w:rPr>
        <w:t>gerencia de proyectos de inversión</w:t>
      </w:r>
      <w:r w:rsidRPr="00656CCA">
        <w:rPr>
          <w:rFonts w:ascii="Verdana" w:eastAsia="Verdana" w:hAnsi="Verdana" w:cs="Verdana"/>
          <w:sz w:val="20"/>
          <w:szCs w:val="20"/>
        </w:rPr>
        <w:t xml:space="preserve">, </w:t>
      </w:r>
      <w:r w:rsidRPr="003D5E43">
        <w:rPr>
          <w:rFonts w:ascii="Verdana" w:eastAsia="Verdana" w:hAnsi="Verdana" w:cs="Verdana"/>
          <w:i/>
          <w:sz w:val="20"/>
          <w:szCs w:val="20"/>
        </w:rPr>
        <w:t>pagos, liquidaciones</w:t>
      </w:r>
      <w:r w:rsidRPr="00656CCA">
        <w:rPr>
          <w:rFonts w:ascii="Verdana" w:eastAsia="Verdana" w:hAnsi="Verdana" w:cs="Verdana"/>
          <w:sz w:val="20"/>
          <w:szCs w:val="20"/>
        </w:rPr>
        <w:t xml:space="preserve">, </w:t>
      </w:r>
      <w:r w:rsidRPr="003D5E43">
        <w:rPr>
          <w:rFonts w:ascii="Verdana" w:eastAsia="Verdana" w:hAnsi="Verdana" w:cs="Verdana"/>
          <w:i/>
          <w:sz w:val="20"/>
          <w:szCs w:val="20"/>
        </w:rPr>
        <w:t>administración de bienes muebles e inmuebles</w:t>
      </w:r>
      <w:r w:rsidRPr="00656CCA">
        <w:rPr>
          <w:rFonts w:ascii="Verdana" w:eastAsia="Verdana" w:hAnsi="Verdana" w:cs="Verdana"/>
          <w:sz w:val="20"/>
          <w:szCs w:val="20"/>
        </w:rPr>
        <w:t>. Se considerarán como Personas Expuestas Políticamente (PEP), de manera enunciativa, las siguientes:</w:t>
      </w:r>
    </w:p>
    <w:p w14:paraId="5DBE2345" w14:textId="77777777" w:rsidR="005F520B" w:rsidRPr="00656CCA" w:rsidRDefault="005F520B" w:rsidP="005F520B">
      <w:pPr>
        <w:tabs>
          <w:tab w:val="left" w:pos="426"/>
        </w:tabs>
        <w:spacing w:after="120" w:line="240" w:lineRule="auto"/>
        <w:ind w:left="709" w:right="709"/>
        <w:jc w:val="both"/>
        <w:rPr>
          <w:rFonts w:ascii="Verdana" w:eastAsia="Verdana" w:hAnsi="Verdana" w:cs="Verdana"/>
          <w:sz w:val="20"/>
          <w:szCs w:val="20"/>
        </w:rPr>
      </w:pPr>
      <w:bookmarkStart w:id="5" w:name="2.1.4.2.3.1"/>
      <w:bookmarkEnd w:id="5"/>
      <w:r w:rsidRPr="00656CCA">
        <w:rPr>
          <w:rFonts w:ascii="Verdana" w:eastAsia="Verdana" w:hAnsi="Verdana" w:cs="Verdana"/>
          <w:sz w:val="20"/>
          <w:szCs w:val="20"/>
        </w:rPr>
        <w:t>1. Presidente de la República, Vicepresidente de la República, consejeros, directores y subdirectores de departamento administrativo, ministros y viceministros.</w:t>
      </w:r>
    </w:p>
    <w:p w14:paraId="625C031A" w14:textId="77777777" w:rsidR="005F520B" w:rsidRPr="00656CCA" w:rsidRDefault="005F520B" w:rsidP="005F520B">
      <w:pPr>
        <w:tabs>
          <w:tab w:val="left" w:pos="426"/>
        </w:tabs>
        <w:spacing w:after="120" w:line="240" w:lineRule="auto"/>
        <w:ind w:left="709" w:right="709"/>
        <w:jc w:val="both"/>
        <w:rPr>
          <w:rFonts w:ascii="Verdana" w:eastAsia="Verdana" w:hAnsi="Verdana" w:cs="Verdana"/>
          <w:sz w:val="20"/>
          <w:szCs w:val="20"/>
        </w:rPr>
      </w:pPr>
      <w:bookmarkStart w:id="6" w:name="2.1.4.2.3.2"/>
      <w:bookmarkEnd w:id="6"/>
      <w:r w:rsidRPr="00656CCA">
        <w:rPr>
          <w:rFonts w:ascii="Verdana" w:eastAsia="Verdana" w:hAnsi="Verdana" w:cs="Verdana"/>
          <w:sz w:val="20"/>
          <w:szCs w:val="20"/>
        </w:rPr>
        <w:t>2. Secretarios Generales, Tesoreros, Directores Financieros de (i) los Ministerios, (ii) los Departamentos Administrativos, y (iii) las Superintendencias o quien haga sus veces.</w:t>
      </w:r>
    </w:p>
    <w:p w14:paraId="7EEFF201" w14:textId="77777777" w:rsidR="005F520B" w:rsidRPr="00656CCA" w:rsidRDefault="005F520B" w:rsidP="005F520B">
      <w:pPr>
        <w:tabs>
          <w:tab w:val="left" w:pos="426"/>
        </w:tabs>
        <w:spacing w:after="120" w:line="240" w:lineRule="auto"/>
        <w:ind w:left="709" w:right="709"/>
        <w:jc w:val="both"/>
        <w:rPr>
          <w:rFonts w:ascii="Verdana" w:eastAsia="Verdana" w:hAnsi="Verdana" w:cs="Verdana"/>
          <w:sz w:val="20"/>
          <w:szCs w:val="20"/>
        </w:rPr>
      </w:pPr>
      <w:bookmarkStart w:id="7" w:name="2.1.4.2.3.3"/>
      <w:bookmarkEnd w:id="7"/>
      <w:r w:rsidRPr="00656CCA">
        <w:rPr>
          <w:rFonts w:ascii="Verdana" w:eastAsia="Verdana" w:hAnsi="Verdana" w:cs="Verdana"/>
          <w:sz w:val="20"/>
          <w:szCs w:val="20"/>
        </w:rPr>
        <w:t>3. Presidentes, Directores, Gerentes, Secretarios Generales, Tesoreros, Directores Financieros de: (i) los Establecimientos Públicos, (ii) las Unidades Administrativas Especiales, (iii) las Empresas Públicas de Servicios Públicos Domiciliarios, (iv) las Empresas Sociales del Estado, (v) las Empresas Industriales y Comerciales del Estado y (vi) las Sociedades de Economía Mixta.</w:t>
      </w:r>
    </w:p>
    <w:p w14:paraId="56241057" w14:textId="77777777" w:rsidR="005F520B" w:rsidRPr="00656CCA" w:rsidRDefault="005F520B" w:rsidP="005F520B">
      <w:pPr>
        <w:tabs>
          <w:tab w:val="left" w:pos="426"/>
        </w:tabs>
        <w:spacing w:after="120" w:line="240" w:lineRule="auto"/>
        <w:ind w:left="709" w:right="709"/>
        <w:jc w:val="both"/>
        <w:rPr>
          <w:rFonts w:ascii="Verdana" w:eastAsia="Verdana" w:hAnsi="Verdana" w:cs="Verdana"/>
          <w:sz w:val="20"/>
          <w:szCs w:val="20"/>
        </w:rPr>
      </w:pPr>
      <w:bookmarkStart w:id="8" w:name="2.1.4.2.3.4"/>
      <w:bookmarkEnd w:id="8"/>
      <w:r w:rsidRPr="00656CCA">
        <w:rPr>
          <w:rFonts w:ascii="Verdana" w:eastAsia="Verdana" w:hAnsi="Verdana" w:cs="Verdana"/>
          <w:sz w:val="20"/>
          <w:szCs w:val="20"/>
        </w:rPr>
        <w:t>4. Superintendentes y Superintendentes Delegados.</w:t>
      </w:r>
    </w:p>
    <w:p w14:paraId="4093BCBC" w14:textId="77777777" w:rsidR="005F520B" w:rsidRPr="00656CCA" w:rsidRDefault="005F520B" w:rsidP="005F520B">
      <w:pPr>
        <w:tabs>
          <w:tab w:val="left" w:pos="426"/>
        </w:tabs>
        <w:spacing w:after="120" w:line="240" w:lineRule="auto"/>
        <w:ind w:left="709" w:right="709"/>
        <w:jc w:val="both"/>
        <w:rPr>
          <w:rFonts w:ascii="Verdana" w:eastAsia="Verdana" w:hAnsi="Verdana" w:cs="Verdana"/>
          <w:sz w:val="20"/>
          <w:szCs w:val="20"/>
        </w:rPr>
      </w:pPr>
      <w:bookmarkStart w:id="9" w:name="2.1.4.2.3.5"/>
      <w:bookmarkEnd w:id="9"/>
      <w:r w:rsidRPr="00656CCA">
        <w:rPr>
          <w:rFonts w:ascii="Verdana" w:eastAsia="Verdana" w:hAnsi="Verdana" w:cs="Verdana"/>
          <w:sz w:val="20"/>
          <w:szCs w:val="20"/>
        </w:rPr>
        <w:t>5. Generales de las Fuerzas Militares y de la Policía Nacional, Inspectores de la Policía Nacional. Así como los Oficiales y Suboficiales facultados para ordenar el gasto o comprometer recursos de las instituciones públicas.</w:t>
      </w:r>
    </w:p>
    <w:p w14:paraId="7EBC5E0C" w14:textId="77777777" w:rsidR="005F520B" w:rsidRPr="00656CCA" w:rsidRDefault="005F520B" w:rsidP="005F520B">
      <w:pPr>
        <w:tabs>
          <w:tab w:val="left" w:pos="426"/>
        </w:tabs>
        <w:spacing w:after="120" w:line="240" w:lineRule="auto"/>
        <w:ind w:left="709" w:right="709"/>
        <w:jc w:val="both"/>
        <w:rPr>
          <w:rFonts w:ascii="Verdana" w:eastAsia="Verdana" w:hAnsi="Verdana" w:cs="Verdana"/>
          <w:sz w:val="20"/>
          <w:szCs w:val="20"/>
        </w:rPr>
      </w:pPr>
      <w:bookmarkStart w:id="10" w:name="2.1.4.2.3.6"/>
      <w:bookmarkEnd w:id="10"/>
      <w:r w:rsidRPr="00656CCA">
        <w:rPr>
          <w:rFonts w:ascii="Verdana" w:eastAsia="Verdana" w:hAnsi="Verdana" w:cs="Verdana"/>
          <w:sz w:val="20"/>
          <w:szCs w:val="20"/>
        </w:rPr>
        <w:t>6. Gobernadores. Alcaldes, Diputados, Concejales, Tesoreros, Directores Financieros y Secretarios Generales de: (i) gobernaciones, (ii) alcaldías, (iii) concejos municipales y distritales, y (iv) asambleas departamentales.</w:t>
      </w:r>
    </w:p>
    <w:p w14:paraId="1B70E5D4" w14:textId="77777777" w:rsidR="005F520B" w:rsidRPr="00656CCA" w:rsidRDefault="005F520B" w:rsidP="005F520B">
      <w:pPr>
        <w:tabs>
          <w:tab w:val="left" w:pos="426"/>
        </w:tabs>
        <w:spacing w:after="120" w:line="240" w:lineRule="auto"/>
        <w:ind w:left="709" w:right="709"/>
        <w:jc w:val="both"/>
        <w:rPr>
          <w:rFonts w:ascii="Verdana" w:eastAsia="Verdana" w:hAnsi="Verdana" w:cs="Verdana"/>
          <w:sz w:val="20"/>
          <w:szCs w:val="20"/>
        </w:rPr>
      </w:pPr>
      <w:bookmarkStart w:id="11" w:name="2.1.4.2.3.7"/>
      <w:bookmarkEnd w:id="11"/>
      <w:r w:rsidRPr="00656CCA">
        <w:rPr>
          <w:rFonts w:ascii="Verdana" w:eastAsia="Verdana" w:hAnsi="Verdana" w:cs="Verdana"/>
          <w:sz w:val="20"/>
          <w:szCs w:val="20"/>
        </w:rPr>
        <w:t>7. Senadores, Representantes a la Cámara, Secretarios Generales, secretarios de las comisiones constitucionales permanentes del Congreso de la República y Directores Administrativos del Senado y de la Cámara de Representantes.</w:t>
      </w:r>
    </w:p>
    <w:p w14:paraId="552DA60B" w14:textId="77777777" w:rsidR="005F520B" w:rsidRPr="00656CCA" w:rsidRDefault="005F520B" w:rsidP="005F520B">
      <w:pPr>
        <w:tabs>
          <w:tab w:val="left" w:pos="426"/>
        </w:tabs>
        <w:spacing w:after="120" w:line="240" w:lineRule="auto"/>
        <w:ind w:left="709" w:right="709"/>
        <w:jc w:val="both"/>
        <w:rPr>
          <w:rFonts w:ascii="Verdana" w:eastAsia="Verdana" w:hAnsi="Verdana" w:cs="Verdana"/>
          <w:sz w:val="20"/>
          <w:szCs w:val="20"/>
        </w:rPr>
      </w:pPr>
      <w:bookmarkStart w:id="12" w:name="2.1.4.2.3.8"/>
      <w:bookmarkEnd w:id="12"/>
      <w:r w:rsidRPr="00656CCA">
        <w:rPr>
          <w:rFonts w:ascii="Verdana" w:eastAsia="Verdana" w:hAnsi="Verdana" w:cs="Verdana"/>
          <w:sz w:val="20"/>
          <w:szCs w:val="20"/>
        </w:rPr>
        <w:t>8. Gerente y Codirectores del Banco de la República.</w:t>
      </w:r>
    </w:p>
    <w:p w14:paraId="5347DE65" w14:textId="77777777" w:rsidR="005F520B" w:rsidRPr="00656CCA" w:rsidRDefault="005F520B" w:rsidP="005F520B">
      <w:pPr>
        <w:tabs>
          <w:tab w:val="left" w:pos="426"/>
        </w:tabs>
        <w:spacing w:after="120" w:line="240" w:lineRule="auto"/>
        <w:ind w:left="709" w:right="709"/>
        <w:jc w:val="both"/>
        <w:rPr>
          <w:rFonts w:ascii="Verdana" w:eastAsia="Verdana" w:hAnsi="Verdana" w:cs="Verdana"/>
          <w:sz w:val="20"/>
          <w:szCs w:val="20"/>
        </w:rPr>
      </w:pPr>
      <w:bookmarkStart w:id="13" w:name="2.1.4.2.3.9"/>
      <w:bookmarkEnd w:id="13"/>
      <w:r w:rsidRPr="00656CCA">
        <w:rPr>
          <w:rFonts w:ascii="Verdana" w:eastAsia="Verdana" w:hAnsi="Verdana" w:cs="Verdana"/>
          <w:sz w:val="20"/>
          <w:szCs w:val="20"/>
        </w:rPr>
        <w:t>9. Directores y ordenadores del gasto de las Corporaciones Autónomas Regionales.</w:t>
      </w:r>
    </w:p>
    <w:p w14:paraId="072B9FD6" w14:textId="77777777" w:rsidR="005F520B" w:rsidRPr="00656CCA" w:rsidRDefault="005F520B" w:rsidP="005F520B">
      <w:pPr>
        <w:tabs>
          <w:tab w:val="left" w:pos="426"/>
        </w:tabs>
        <w:spacing w:after="120" w:line="240" w:lineRule="auto"/>
        <w:ind w:left="709" w:right="709"/>
        <w:jc w:val="both"/>
        <w:rPr>
          <w:rFonts w:ascii="Verdana" w:eastAsia="Verdana" w:hAnsi="Verdana" w:cs="Verdana"/>
          <w:sz w:val="20"/>
          <w:szCs w:val="20"/>
        </w:rPr>
      </w:pPr>
      <w:bookmarkStart w:id="14" w:name="2.1.4.2.3.10"/>
      <w:bookmarkEnd w:id="14"/>
      <w:r w:rsidRPr="00656CCA">
        <w:rPr>
          <w:rFonts w:ascii="Verdana" w:eastAsia="Verdana" w:hAnsi="Verdana" w:cs="Verdana"/>
          <w:sz w:val="20"/>
          <w:szCs w:val="20"/>
        </w:rPr>
        <w:lastRenderedPageBreak/>
        <w:t>10. Comisionados Nacionales del Servicio Civil, Comisionados de la Comisión de Regulación de Energía y Gas, de la Comisión de Regulación de Agua Potable y Saneamiento Básico y, de la Comisión de Regulación de Comunicaciones.</w:t>
      </w:r>
    </w:p>
    <w:p w14:paraId="2F9F91BC" w14:textId="7C110D4B" w:rsidR="005F520B" w:rsidRPr="00656CCA" w:rsidRDefault="005F520B" w:rsidP="005F520B">
      <w:pPr>
        <w:tabs>
          <w:tab w:val="left" w:pos="426"/>
        </w:tabs>
        <w:spacing w:after="120" w:line="240" w:lineRule="auto"/>
        <w:ind w:left="709" w:right="709"/>
        <w:jc w:val="both"/>
        <w:rPr>
          <w:rFonts w:ascii="Verdana" w:eastAsia="Verdana" w:hAnsi="Verdana" w:cs="Verdana"/>
          <w:sz w:val="20"/>
          <w:szCs w:val="20"/>
        </w:rPr>
      </w:pPr>
      <w:bookmarkStart w:id="15" w:name="2.1.4.2.3.11"/>
      <w:bookmarkEnd w:id="15"/>
      <w:r w:rsidRPr="00656CCA">
        <w:rPr>
          <w:rFonts w:ascii="Verdana" w:eastAsia="Verdana" w:hAnsi="Verdana" w:cs="Verdana"/>
          <w:sz w:val="20"/>
          <w:szCs w:val="20"/>
        </w:rPr>
        <w:t>11. Magistrados, Magistrados Auxiliares de A</w:t>
      </w:r>
      <w:r w:rsidR="00EA42D9">
        <w:rPr>
          <w:rFonts w:ascii="Verdana" w:eastAsia="Verdana" w:hAnsi="Verdana" w:cs="Verdana"/>
          <w:sz w:val="20"/>
          <w:szCs w:val="20"/>
        </w:rPr>
        <w:t>l</w:t>
      </w:r>
      <w:r w:rsidRPr="00656CCA">
        <w:rPr>
          <w:rFonts w:ascii="Verdana" w:eastAsia="Verdana" w:hAnsi="Verdana" w:cs="Verdana"/>
          <w:sz w:val="20"/>
          <w:szCs w:val="20"/>
        </w:rPr>
        <w:t>tas Cortes y Tribunales, jueces de la República, Fiscal General de la Nación, Vicefiscal General de la Nación, Delegados y directores de la Fiscalía General de la Nación.</w:t>
      </w:r>
    </w:p>
    <w:p w14:paraId="17A6AD98" w14:textId="77777777" w:rsidR="005F520B" w:rsidRPr="00656CCA" w:rsidRDefault="005F520B" w:rsidP="005F520B">
      <w:pPr>
        <w:tabs>
          <w:tab w:val="left" w:pos="426"/>
        </w:tabs>
        <w:spacing w:after="120" w:line="240" w:lineRule="auto"/>
        <w:ind w:left="709" w:right="709"/>
        <w:jc w:val="both"/>
        <w:rPr>
          <w:rFonts w:ascii="Verdana" w:eastAsia="Verdana" w:hAnsi="Verdana" w:cs="Verdana"/>
          <w:sz w:val="20"/>
          <w:szCs w:val="20"/>
        </w:rPr>
      </w:pPr>
      <w:bookmarkStart w:id="16" w:name="2.1.4.2.3.12"/>
      <w:bookmarkEnd w:id="16"/>
      <w:r w:rsidRPr="00656CCA">
        <w:rPr>
          <w:rFonts w:ascii="Verdana" w:eastAsia="Verdana" w:hAnsi="Verdana" w:cs="Verdana"/>
          <w:sz w:val="20"/>
          <w:szCs w:val="20"/>
        </w:rPr>
        <w:t xml:space="preserve">12. Contralor General de la República, </w:t>
      </w:r>
      <w:proofErr w:type="spellStart"/>
      <w:r w:rsidRPr="00656CCA">
        <w:rPr>
          <w:rFonts w:ascii="Verdana" w:eastAsia="Verdana" w:hAnsi="Verdana" w:cs="Verdana"/>
          <w:sz w:val="20"/>
          <w:szCs w:val="20"/>
        </w:rPr>
        <w:t>Vicecontralor</w:t>
      </w:r>
      <w:proofErr w:type="spellEnd"/>
      <w:r w:rsidRPr="00656CCA">
        <w:rPr>
          <w:rFonts w:ascii="Verdana" w:eastAsia="Verdana" w:hAnsi="Verdana" w:cs="Verdana"/>
          <w:sz w:val="20"/>
          <w:szCs w:val="20"/>
        </w:rPr>
        <w:t xml:space="preserve"> General de la República, Contralores Delegados, Contralores territoriales, Contador General de la Nación, Procurador General de la Nación, Viceprocurador General de la Nación, Procuradores Delegados, Defensor del Pueblo, </w:t>
      </w:r>
      <w:proofErr w:type="spellStart"/>
      <w:r w:rsidRPr="00656CCA">
        <w:rPr>
          <w:rFonts w:ascii="Verdana" w:eastAsia="Verdana" w:hAnsi="Verdana" w:cs="Verdana"/>
          <w:sz w:val="20"/>
          <w:szCs w:val="20"/>
        </w:rPr>
        <w:t>Vicedefensor</w:t>
      </w:r>
      <w:proofErr w:type="spellEnd"/>
      <w:r w:rsidRPr="00656CCA">
        <w:rPr>
          <w:rFonts w:ascii="Verdana" w:eastAsia="Verdana" w:hAnsi="Verdana" w:cs="Verdana"/>
          <w:sz w:val="20"/>
          <w:szCs w:val="20"/>
        </w:rPr>
        <w:t xml:space="preserve"> del Pueblo, Defensores Delegados y Auditor General de la República.</w:t>
      </w:r>
    </w:p>
    <w:p w14:paraId="705E60F4" w14:textId="77777777" w:rsidR="005F520B" w:rsidRPr="00656CCA" w:rsidRDefault="005F520B" w:rsidP="005F520B">
      <w:pPr>
        <w:tabs>
          <w:tab w:val="left" w:pos="426"/>
        </w:tabs>
        <w:spacing w:after="120" w:line="240" w:lineRule="auto"/>
        <w:ind w:left="709" w:right="709"/>
        <w:jc w:val="both"/>
        <w:rPr>
          <w:rFonts w:ascii="Verdana" w:eastAsia="Verdana" w:hAnsi="Verdana" w:cs="Verdana"/>
          <w:sz w:val="20"/>
          <w:szCs w:val="20"/>
        </w:rPr>
      </w:pPr>
      <w:bookmarkStart w:id="17" w:name="2.1.4.2.3.13"/>
      <w:bookmarkEnd w:id="17"/>
      <w:r w:rsidRPr="00656CCA">
        <w:rPr>
          <w:rFonts w:ascii="Verdana" w:eastAsia="Verdana" w:hAnsi="Verdana" w:cs="Verdana"/>
          <w:sz w:val="20"/>
          <w:szCs w:val="20"/>
        </w:rPr>
        <w:t>13. Tesoreros y ordenadores del gasto de la Altas Cortes y Tribunales, Fiscalía General de la Nación, Contraloría General de la República, Procuraduría General de la Nación, Defensoría del Pueblo, Contaduría General de la Nación y Auditoria General de la República.</w:t>
      </w:r>
    </w:p>
    <w:p w14:paraId="6FBA6E71" w14:textId="77777777" w:rsidR="005F520B" w:rsidRPr="00656CCA" w:rsidRDefault="005F520B" w:rsidP="005F520B">
      <w:pPr>
        <w:tabs>
          <w:tab w:val="left" w:pos="426"/>
        </w:tabs>
        <w:spacing w:after="120" w:line="240" w:lineRule="auto"/>
        <w:ind w:left="709" w:right="709"/>
        <w:jc w:val="both"/>
        <w:rPr>
          <w:rFonts w:ascii="Verdana" w:eastAsia="Verdana" w:hAnsi="Verdana" w:cs="Verdana"/>
          <w:sz w:val="20"/>
          <w:szCs w:val="20"/>
        </w:rPr>
      </w:pPr>
      <w:bookmarkStart w:id="18" w:name="2.1.4.2.3.14"/>
      <w:bookmarkEnd w:id="18"/>
      <w:r w:rsidRPr="00656CCA">
        <w:rPr>
          <w:rFonts w:ascii="Verdana" w:eastAsia="Verdana" w:hAnsi="Verdana" w:cs="Verdana"/>
          <w:sz w:val="20"/>
          <w:szCs w:val="20"/>
        </w:rPr>
        <w:t>14. Magistrados del Consejo Nacional Electoral, Registrador Nacional del Estado Civil y Registradores Delegados.</w:t>
      </w:r>
    </w:p>
    <w:p w14:paraId="5E2BE45A" w14:textId="77777777" w:rsidR="005F520B" w:rsidRPr="00656CCA" w:rsidRDefault="005F520B" w:rsidP="005F520B">
      <w:pPr>
        <w:tabs>
          <w:tab w:val="left" w:pos="426"/>
        </w:tabs>
        <w:spacing w:after="120" w:line="240" w:lineRule="auto"/>
        <w:ind w:left="709" w:right="709"/>
        <w:jc w:val="both"/>
        <w:rPr>
          <w:rFonts w:ascii="Verdana" w:eastAsia="Verdana" w:hAnsi="Verdana" w:cs="Verdana"/>
          <w:sz w:val="20"/>
          <w:szCs w:val="20"/>
        </w:rPr>
      </w:pPr>
      <w:bookmarkStart w:id="19" w:name="2.1.4.2.3.15"/>
      <w:bookmarkEnd w:id="19"/>
      <w:r w:rsidRPr="00656CCA">
        <w:rPr>
          <w:rFonts w:ascii="Verdana" w:eastAsia="Verdana" w:hAnsi="Verdana" w:cs="Verdana"/>
          <w:sz w:val="20"/>
          <w:szCs w:val="20"/>
        </w:rPr>
        <w:t>15. Notarios y Curadores Urbanos.</w:t>
      </w:r>
    </w:p>
    <w:p w14:paraId="54E441E9" w14:textId="77777777" w:rsidR="005F520B" w:rsidRPr="00656CCA" w:rsidRDefault="005F520B" w:rsidP="005F520B">
      <w:pPr>
        <w:tabs>
          <w:tab w:val="left" w:pos="426"/>
        </w:tabs>
        <w:spacing w:after="120" w:line="240" w:lineRule="auto"/>
        <w:ind w:left="709" w:right="709"/>
        <w:jc w:val="both"/>
        <w:rPr>
          <w:rFonts w:ascii="Verdana" w:eastAsia="Verdana" w:hAnsi="Verdana" w:cs="Verdana"/>
          <w:sz w:val="20"/>
          <w:szCs w:val="20"/>
        </w:rPr>
      </w:pPr>
      <w:bookmarkStart w:id="20" w:name="2.1.4.2.3.16"/>
      <w:bookmarkEnd w:id="20"/>
      <w:r w:rsidRPr="00656CCA">
        <w:rPr>
          <w:rFonts w:ascii="Verdana" w:eastAsia="Verdana" w:hAnsi="Verdana" w:cs="Verdana"/>
          <w:sz w:val="20"/>
          <w:szCs w:val="20"/>
        </w:rPr>
        <w:t>16. Ordenadores del gasto de universidades públicas.</w:t>
      </w:r>
    </w:p>
    <w:p w14:paraId="53C17317" w14:textId="77777777" w:rsidR="005F520B" w:rsidRPr="00656CCA" w:rsidRDefault="005F520B" w:rsidP="005F520B">
      <w:pPr>
        <w:tabs>
          <w:tab w:val="left" w:pos="426"/>
        </w:tabs>
        <w:spacing w:after="120" w:line="240" w:lineRule="auto"/>
        <w:ind w:left="709" w:right="709"/>
        <w:jc w:val="both"/>
        <w:rPr>
          <w:rFonts w:ascii="Verdana" w:eastAsia="Verdana" w:hAnsi="Verdana" w:cs="Verdana"/>
          <w:sz w:val="20"/>
          <w:szCs w:val="20"/>
        </w:rPr>
      </w:pPr>
      <w:bookmarkStart w:id="21" w:name="2.1.4.2.3.17"/>
      <w:bookmarkEnd w:id="21"/>
      <w:r w:rsidRPr="00656CCA">
        <w:rPr>
          <w:rFonts w:ascii="Verdana" w:eastAsia="Verdana" w:hAnsi="Verdana" w:cs="Verdana"/>
          <w:sz w:val="20"/>
          <w:szCs w:val="20"/>
        </w:rPr>
        <w:t>17. Representantes legales, presidentes, directores y tesoreros de partidos y movimientos políticos, y de otras formas de asociación política reconocidas por la ley.</w:t>
      </w:r>
    </w:p>
    <w:p w14:paraId="3F692554" w14:textId="77777777" w:rsidR="005F520B" w:rsidRPr="00656CCA" w:rsidRDefault="005F520B" w:rsidP="005F520B">
      <w:pPr>
        <w:tabs>
          <w:tab w:val="left" w:pos="426"/>
        </w:tabs>
        <w:spacing w:after="120" w:line="240" w:lineRule="auto"/>
        <w:ind w:left="709" w:right="709"/>
        <w:jc w:val="both"/>
        <w:rPr>
          <w:rFonts w:ascii="Verdana" w:eastAsia="Verdana" w:hAnsi="Verdana" w:cs="Verdana"/>
          <w:sz w:val="20"/>
          <w:szCs w:val="20"/>
        </w:rPr>
      </w:pPr>
      <w:bookmarkStart w:id="22" w:name="2.1.4.2.3.18"/>
      <w:bookmarkEnd w:id="22"/>
      <w:r w:rsidRPr="00656CCA">
        <w:rPr>
          <w:rFonts w:ascii="Verdana" w:eastAsia="Verdana" w:hAnsi="Verdana" w:cs="Verdana"/>
          <w:sz w:val="20"/>
          <w:szCs w:val="20"/>
        </w:rPr>
        <w:t>18. Los fideicomitentes de patrimonios autónomos o fideicomisos que administren recursos públicos.</w:t>
      </w:r>
    </w:p>
    <w:p w14:paraId="3FC9D78A" w14:textId="5C46971E" w:rsidR="005F520B" w:rsidRDefault="005F520B" w:rsidP="008C4EBB">
      <w:pPr>
        <w:tabs>
          <w:tab w:val="left" w:pos="426"/>
        </w:tabs>
        <w:spacing w:after="0" w:line="240" w:lineRule="auto"/>
        <w:ind w:left="709" w:right="709"/>
        <w:jc w:val="both"/>
        <w:rPr>
          <w:rFonts w:ascii="Verdana" w:eastAsia="Verdana" w:hAnsi="Verdana" w:cs="Verdana"/>
          <w:sz w:val="20"/>
          <w:szCs w:val="20"/>
        </w:rPr>
      </w:pPr>
      <w:r w:rsidRPr="00E837E9">
        <w:rPr>
          <w:rFonts w:ascii="Verdana" w:eastAsia="Verdana" w:hAnsi="Verdana" w:cs="Verdana"/>
          <w:sz w:val="20"/>
          <w:szCs w:val="20"/>
        </w:rPr>
        <w:t>Parágrafo</w:t>
      </w:r>
      <w:r w:rsidRPr="00656CCA">
        <w:rPr>
          <w:rFonts w:ascii="Verdana" w:eastAsia="Verdana" w:hAnsi="Verdana" w:cs="Verdana"/>
          <w:b/>
          <w:bCs/>
          <w:sz w:val="20"/>
          <w:szCs w:val="20"/>
        </w:rPr>
        <w:t>.</w:t>
      </w:r>
      <w:r w:rsidRPr="00656CCA">
        <w:rPr>
          <w:rFonts w:ascii="Verdana" w:eastAsia="Verdana" w:hAnsi="Verdana" w:cs="Verdana"/>
          <w:sz w:val="20"/>
          <w:szCs w:val="20"/>
        </w:rPr>
        <w:t> La calidad de Personas Expuestas Políticamente (PEP) se mantendrá en el tiempo durante el ejercicio del cargo y por dos (2) años más desde la dejación, renuncia, despido o declaración de insubsistencia del nombramiento, o de cualquier otra forma de desvinculación, o terminación del contrato"</w:t>
      </w:r>
      <w:r w:rsidR="00EA42D9">
        <w:rPr>
          <w:rFonts w:ascii="Verdana" w:eastAsia="Verdana" w:hAnsi="Verdana" w:cs="Verdana"/>
          <w:sz w:val="20"/>
          <w:szCs w:val="20"/>
        </w:rPr>
        <w:t xml:space="preserve"> [Énfasis fuera de texto]</w:t>
      </w:r>
      <w:r w:rsidRPr="00656CCA">
        <w:rPr>
          <w:rFonts w:ascii="Verdana" w:eastAsia="Verdana" w:hAnsi="Verdana" w:cs="Verdana"/>
          <w:sz w:val="20"/>
          <w:szCs w:val="20"/>
        </w:rPr>
        <w:t>.</w:t>
      </w:r>
    </w:p>
    <w:p w14:paraId="41353017" w14:textId="77777777" w:rsidR="008C4EBB" w:rsidRDefault="008C4EBB" w:rsidP="003D5E43">
      <w:pPr>
        <w:tabs>
          <w:tab w:val="left" w:pos="426"/>
        </w:tabs>
        <w:spacing w:after="0" w:line="240" w:lineRule="auto"/>
        <w:ind w:left="709" w:right="709"/>
        <w:jc w:val="both"/>
        <w:rPr>
          <w:rFonts w:ascii="Verdana" w:eastAsia="Verdana" w:hAnsi="Verdana" w:cs="Verdana"/>
          <w:sz w:val="20"/>
          <w:szCs w:val="20"/>
        </w:rPr>
      </w:pPr>
    </w:p>
    <w:p w14:paraId="4C6339F1" w14:textId="26F33124" w:rsidR="007334A8" w:rsidRPr="003D5E43" w:rsidRDefault="005F520B" w:rsidP="007334A8">
      <w:pPr>
        <w:tabs>
          <w:tab w:val="left" w:pos="426"/>
        </w:tabs>
        <w:spacing w:after="120" w:line="276" w:lineRule="auto"/>
        <w:jc w:val="both"/>
        <w:rPr>
          <w:rFonts w:ascii="Verdana" w:eastAsia="Verdana" w:hAnsi="Verdana" w:cs="Verdana"/>
        </w:rPr>
      </w:pPr>
      <w:r w:rsidRPr="00EC05BE">
        <w:rPr>
          <w:rFonts w:ascii="Verdana" w:eastAsia="Verdana" w:hAnsi="Verdana" w:cs="Verdana"/>
          <w:lang w:val="es-ES"/>
        </w:rPr>
        <w:tab/>
      </w:r>
      <w:r w:rsidR="000D1021" w:rsidRPr="00EC05BE">
        <w:rPr>
          <w:rFonts w:ascii="Verdana" w:eastAsia="Verdana" w:hAnsi="Verdana" w:cs="Verdana"/>
          <w:lang w:val="es-ES"/>
        </w:rPr>
        <w:tab/>
        <w:t xml:space="preserve">De acuerdo </w:t>
      </w:r>
      <w:r w:rsidR="00146FC3" w:rsidRPr="00EC05BE">
        <w:rPr>
          <w:rFonts w:ascii="Verdana" w:eastAsia="Verdana" w:hAnsi="Verdana" w:cs="Verdana"/>
          <w:lang w:val="es-ES"/>
        </w:rPr>
        <w:t xml:space="preserve">con </w:t>
      </w:r>
      <w:r w:rsidR="00146FC3">
        <w:rPr>
          <w:rFonts w:ascii="Verdana" w:eastAsia="Verdana" w:hAnsi="Verdana" w:cs="Verdana"/>
          <w:lang w:val="es-ES"/>
        </w:rPr>
        <w:t>artículo</w:t>
      </w:r>
      <w:r>
        <w:rPr>
          <w:rFonts w:ascii="Verdana" w:eastAsia="Verdana" w:hAnsi="Verdana" w:cs="Verdana"/>
          <w:lang w:val="es-ES"/>
        </w:rPr>
        <w:t xml:space="preserve"> en </w:t>
      </w:r>
      <w:r w:rsidR="000D1021" w:rsidRPr="00EC05BE">
        <w:rPr>
          <w:rFonts w:ascii="Verdana" w:eastAsia="Verdana" w:hAnsi="Verdana" w:cs="Verdana"/>
          <w:lang w:val="es-ES"/>
        </w:rPr>
        <w:t>cita,</w:t>
      </w:r>
      <w:r w:rsidRPr="00EC05BE">
        <w:rPr>
          <w:rFonts w:ascii="Verdana" w:eastAsia="Verdana" w:hAnsi="Verdana" w:cs="Verdana"/>
          <w:lang w:val="es-ES"/>
        </w:rPr>
        <w:t xml:space="preserve"> </w:t>
      </w:r>
      <w:r w:rsidR="002E419E" w:rsidRPr="00EC05BE">
        <w:rPr>
          <w:rFonts w:ascii="Verdana" w:eastAsia="Verdana" w:hAnsi="Verdana" w:cs="Verdana"/>
          <w:lang w:val="es-ES"/>
        </w:rPr>
        <w:t>pueden ser considerados como</w:t>
      </w:r>
      <w:r w:rsidR="00B65C34" w:rsidRPr="00EC05BE">
        <w:rPr>
          <w:rFonts w:ascii="Verdana" w:eastAsia="Verdana" w:hAnsi="Verdana" w:cs="Verdana"/>
          <w:lang w:val="es-ES"/>
        </w:rPr>
        <w:t xml:space="preserve"> Persona</w:t>
      </w:r>
      <w:r w:rsidR="002E419E" w:rsidRPr="00EC05BE">
        <w:rPr>
          <w:rFonts w:ascii="Verdana" w:eastAsia="Verdana" w:hAnsi="Verdana" w:cs="Verdana"/>
          <w:lang w:val="es-ES"/>
        </w:rPr>
        <w:t>s</w:t>
      </w:r>
      <w:r w:rsidR="00B65C34" w:rsidRPr="00EC05BE">
        <w:rPr>
          <w:rFonts w:ascii="Verdana" w:eastAsia="Verdana" w:hAnsi="Verdana" w:cs="Verdana"/>
          <w:lang w:val="es-ES"/>
        </w:rPr>
        <w:t xml:space="preserve"> Expuesta</w:t>
      </w:r>
      <w:r w:rsidR="002E419E" w:rsidRPr="00EC05BE">
        <w:rPr>
          <w:rFonts w:ascii="Verdana" w:eastAsia="Verdana" w:hAnsi="Verdana" w:cs="Verdana"/>
          <w:lang w:val="es-ES"/>
        </w:rPr>
        <w:t>s</w:t>
      </w:r>
      <w:r w:rsidR="00B65C34" w:rsidRPr="00EC05BE">
        <w:rPr>
          <w:rFonts w:ascii="Verdana" w:eastAsia="Verdana" w:hAnsi="Verdana" w:cs="Verdana"/>
          <w:lang w:val="es-ES"/>
        </w:rPr>
        <w:t xml:space="preserve"> Políticamente</w:t>
      </w:r>
      <w:r w:rsidR="002E419E" w:rsidRPr="00EC05BE">
        <w:rPr>
          <w:rFonts w:ascii="Verdana" w:eastAsia="Verdana" w:hAnsi="Verdana" w:cs="Verdana"/>
          <w:lang w:val="es-ES"/>
        </w:rPr>
        <w:t xml:space="preserve"> los </w:t>
      </w:r>
      <w:r w:rsidR="002E419E" w:rsidRPr="003D5E43">
        <w:rPr>
          <w:rFonts w:ascii="Verdana" w:eastAsia="Verdana" w:hAnsi="Verdana" w:cs="Verdana"/>
          <w:i/>
          <w:iCs/>
          <w:lang w:val="es-ES"/>
        </w:rPr>
        <w:t>servidores públicos</w:t>
      </w:r>
      <w:r w:rsidR="002E419E" w:rsidRPr="00EC05BE">
        <w:rPr>
          <w:rFonts w:ascii="Verdana" w:eastAsia="Verdana" w:hAnsi="Verdana" w:cs="Verdana"/>
          <w:lang w:val="es-ES"/>
        </w:rPr>
        <w:t xml:space="preserve"> y los </w:t>
      </w:r>
      <w:r w:rsidR="002E419E" w:rsidRPr="003D5E43">
        <w:rPr>
          <w:rFonts w:ascii="Verdana" w:eastAsia="Verdana" w:hAnsi="Verdana" w:cs="Verdana"/>
          <w:i/>
          <w:iCs/>
          <w:lang w:val="es-ES"/>
        </w:rPr>
        <w:t>particulares.</w:t>
      </w:r>
      <w:r w:rsidR="002E419E" w:rsidRPr="00EC05BE">
        <w:rPr>
          <w:rFonts w:ascii="Verdana" w:eastAsia="Verdana" w:hAnsi="Verdana" w:cs="Verdana"/>
          <w:lang w:val="es-ES"/>
        </w:rPr>
        <w:t xml:space="preserve"> No </w:t>
      </w:r>
      <w:r w:rsidR="002A60F7" w:rsidRPr="00EC05BE">
        <w:rPr>
          <w:rFonts w:ascii="Verdana" w:eastAsia="Verdana" w:hAnsi="Verdana" w:cs="Verdana"/>
          <w:lang w:val="es-ES"/>
        </w:rPr>
        <w:t>obstante,</w:t>
      </w:r>
      <w:r w:rsidR="002E419E" w:rsidRPr="00EC05BE">
        <w:rPr>
          <w:rFonts w:ascii="Verdana" w:eastAsia="Verdana" w:hAnsi="Verdana" w:cs="Verdana"/>
          <w:lang w:val="es-ES"/>
        </w:rPr>
        <w:t xml:space="preserve"> en el caso de </w:t>
      </w:r>
      <w:r w:rsidR="00EC36B3" w:rsidRPr="00EC05BE">
        <w:rPr>
          <w:rFonts w:ascii="Verdana" w:eastAsia="Verdana" w:hAnsi="Verdana" w:cs="Verdana"/>
          <w:lang w:val="es-ES"/>
        </w:rPr>
        <w:t>estos últimos,</w:t>
      </w:r>
      <w:r w:rsidR="002A60F7" w:rsidRPr="00EC05BE">
        <w:rPr>
          <w:rFonts w:ascii="Verdana" w:eastAsia="Verdana" w:hAnsi="Verdana" w:cs="Verdana"/>
          <w:lang w:val="es-ES"/>
        </w:rPr>
        <w:t xml:space="preserve"> la definición solo resulta aplica a quienes</w:t>
      </w:r>
      <w:r w:rsidR="00EC36B3" w:rsidRPr="00EC05BE">
        <w:rPr>
          <w:rFonts w:ascii="Verdana" w:eastAsia="Verdana" w:hAnsi="Verdana" w:cs="Verdana"/>
          <w:lang w:val="es-ES"/>
        </w:rPr>
        <w:t xml:space="preserve"> </w:t>
      </w:r>
      <w:r w:rsidR="002A60F7" w:rsidRPr="00EC05BE">
        <w:rPr>
          <w:rFonts w:ascii="Verdana" w:eastAsia="Verdana" w:hAnsi="Verdana" w:cs="Verdana"/>
          <w:lang w:val="es-ES"/>
        </w:rPr>
        <w:t xml:space="preserve">tienen a </w:t>
      </w:r>
      <w:r w:rsidR="00EC36B3" w:rsidRPr="003D5E43">
        <w:rPr>
          <w:rFonts w:ascii="Verdana" w:eastAsia="Verdana" w:hAnsi="Verdana" w:cs="Verdana"/>
        </w:rPr>
        <w:t xml:space="preserve">su cargo la </w:t>
      </w:r>
      <w:r w:rsidR="00EC36B3" w:rsidRPr="003D5E43">
        <w:rPr>
          <w:rFonts w:ascii="Verdana" w:eastAsia="Verdana" w:hAnsi="Verdana" w:cs="Verdana"/>
          <w:i/>
          <w:iCs/>
        </w:rPr>
        <w:t>dirección o manejo de recursos</w:t>
      </w:r>
      <w:r w:rsidR="00EC36B3" w:rsidRPr="003D5E43">
        <w:rPr>
          <w:rFonts w:ascii="Verdana" w:eastAsia="Verdana" w:hAnsi="Verdana" w:cs="Verdana"/>
        </w:rPr>
        <w:t xml:space="preserve"> en los movimientos o partidos políticos</w:t>
      </w:r>
      <w:r w:rsidR="002A60F7" w:rsidRPr="003D5E43">
        <w:rPr>
          <w:rFonts w:ascii="Verdana" w:eastAsia="Verdana" w:hAnsi="Verdana" w:cs="Verdana"/>
        </w:rPr>
        <w:t xml:space="preserve">. Esto a diferencia de los </w:t>
      </w:r>
      <w:r w:rsidR="002A60F7" w:rsidRPr="003D5E43">
        <w:rPr>
          <w:rFonts w:ascii="Verdana" w:eastAsia="Verdana" w:hAnsi="Verdana" w:cs="Verdana"/>
          <w:i/>
          <w:iCs/>
        </w:rPr>
        <w:t xml:space="preserve">servidores públicos, </w:t>
      </w:r>
      <w:r w:rsidR="002A60F7" w:rsidRPr="003D5E43">
        <w:rPr>
          <w:rFonts w:ascii="Verdana" w:eastAsia="Verdana" w:hAnsi="Verdana" w:cs="Verdana"/>
        </w:rPr>
        <w:t>quienes, independientemente del sistema de nomenclatura y clasificación del empleo que ejercen</w:t>
      </w:r>
      <w:r w:rsidR="002A60F7" w:rsidRPr="003D5E43">
        <w:rPr>
          <w:rFonts w:ascii="Verdana" w:eastAsia="Verdana" w:hAnsi="Verdana" w:cs="Verdana"/>
          <w:i/>
          <w:iCs/>
        </w:rPr>
        <w:t xml:space="preserve">, </w:t>
      </w:r>
      <w:r w:rsidR="002A60F7" w:rsidRPr="003D5E43">
        <w:rPr>
          <w:rFonts w:ascii="Verdana" w:eastAsia="Verdana" w:hAnsi="Verdana" w:cs="Verdana"/>
        </w:rPr>
        <w:t xml:space="preserve">pueden ser considerados como </w:t>
      </w:r>
      <w:r w:rsidR="00AF1B4C" w:rsidRPr="003D5E43">
        <w:rPr>
          <w:rFonts w:ascii="Verdana" w:eastAsia="Verdana" w:hAnsi="Verdana" w:cs="Verdana"/>
        </w:rPr>
        <w:t xml:space="preserve">Personas Expuestas Políticamente, </w:t>
      </w:r>
      <w:r w:rsidR="003460CF" w:rsidRPr="003D5E43">
        <w:rPr>
          <w:rFonts w:ascii="Verdana" w:eastAsia="Verdana" w:hAnsi="Verdana" w:cs="Verdana"/>
        </w:rPr>
        <w:lastRenderedPageBreak/>
        <w:t>siempre que las funciones que ejercen de manera permanente o transitoria–en virtud de delegación–,</w:t>
      </w:r>
      <w:r w:rsidR="008C4EBB" w:rsidRPr="003D5E43">
        <w:rPr>
          <w:rFonts w:ascii="Verdana" w:eastAsia="Verdana" w:hAnsi="Verdana" w:cs="Verdana"/>
        </w:rPr>
        <w:t xml:space="preserve"> </w:t>
      </w:r>
      <w:r w:rsidR="007334A8" w:rsidRPr="003D5E43">
        <w:rPr>
          <w:rFonts w:ascii="Verdana" w:eastAsia="Verdana" w:hAnsi="Verdana" w:cs="Verdana"/>
        </w:rPr>
        <w:t xml:space="preserve">cumplan con los criterios establecidos en el artículo 2.1.4.2.3 del Decreto 1081 de 2015. </w:t>
      </w:r>
    </w:p>
    <w:p w14:paraId="6549DD88" w14:textId="09F6D530" w:rsidR="008C730B" w:rsidRDefault="007334A8" w:rsidP="008C730B">
      <w:pPr>
        <w:tabs>
          <w:tab w:val="left" w:pos="426"/>
        </w:tabs>
        <w:spacing w:after="120" w:line="276" w:lineRule="auto"/>
        <w:jc w:val="both"/>
        <w:rPr>
          <w:rFonts w:ascii="Verdana" w:eastAsia="Verdana" w:hAnsi="Verdana" w:cs="Verdana"/>
        </w:rPr>
      </w:pPr>
      <w:r w:rsidRPr="003D5E43">
        <w:rPr>
          <w:rFonts w:ascii="Verdana" w:eastAsia="Verdana" w:hAnsi="Verdana" w:cs="Verdana"/>
        </w:rPr>
        <w:tab/>
        <w:t xml:space="preserve">  </w:t>
      </w:r>
      <w:r w:rsidR="003460CF" w:rsidRPr="003D5E43">
        <w:rPr>
          <w:rFonts w:ascii="Verdana" w:eastAsia="Verdana" w:hAnsi="Verdana" w:cs="Verdana"/>
        </w:rPr>
        <w:t xml:space="preserve">  </w:t>
      </w:r>
      <w:r w:rsidR="00AF1B4C" w:rsidRPr="003D5E43">
        <w:rPr>
          <w:rFonts w:ascii="Verdana" w:eastAsia="Verdana" w:hAnsi="Verdana" w:cs="Verdana"/>
        </w:rPr>
        <w:t xml:space="preserve"> </w:t>
      </w:r>
      <w:r w:rsidR="002A60F7" w:rsidRPr="003D5E43">
        <w:rPr>
          <w:rFonts w:ascii="Verdana" w:eastAsia="Verdana" w:hAnsi="Verdana" w:cs="Verdana"/>
          <w:i/>
          <w:iCs/>
        </w:rPr>
        <w:t xml:space="preserve"> </w:t>
      </w:r>
      <w:r w:rsidR="008C4EBB" w:rsidRPr="003D5E43">
        <w:rPr>
          <w:rFonts w:ascii="Verdana" w:eastAsia="Verdana" w:hAnsi="Verdana" w:cs="Verdana"/>
        </w:rPr>
        <w:t xml:space="preserve">Para el efecto, </w:t>
      </w:r>
      <w:r w:rsidR="003E7FF8" w:rsidRPr="003D5E43">
        <w:rPr>
          <w:rFonts w:ascii="Verdana" w:eastAsia="Verdana" w:hAnsi="Verdana" w:cs="Verdana"/>
        </w:rPr>
        <w:t>la norma en comento establece que se considera</w:t>
      </w:r>
      <w:r w:rsidR="00EC05BE" w:rsidRPr="003D5E43">
        <w:rPr>
          <w:rFonts w:ascii="Verdana" w:eastAsia="Verdana" w:hAnsi="Verdana" w:cs="Verdana"/>
        </w:rPr>
        <w:t xml:space="preserve">n PEP a los servidores públicos que ejerzan </w:t>
      </w:r>
      <w:r w:rsidR="00E66B19" w:rsidRPr="003D5E43">
        <w:rPr>
          <w:rFonts w:ascii="Verdana" w:eastAsia="Verdana" w:hAnsi="Verdana" w:cs="Verdana"/>
        </w:rPr>
        <w:t>las siguientes funciones</w:t>
      </w:r>
      <w:r w:rsidR="00996916" w:rsidRPr="003D5E43">
        <w:rPr>
          <w:rFonts w:ascii="Verdana" w:eastAsia="Verdana" w:hAnsi="Verdana" w:cs="Verdana"/>
        </w:rPr>
        <w:t>: i) expedición de normas o regulaciones; ii) dirección general, formulación de políticas institucionales y adopción de planes, programas y proyecto;</w:t>
      </w:r>
      <w:r w:rsidR="00124D30" w:rsidRPr="003D5E43">
        <w:rPr>
          <w:rFonts w:ascii="Verdana" w:eastAsia="Verdana" w:hAnsi="Verdana" w:cs="Verdana"/>
        </w:rPr>
        <w:t xml:space="preserve"> iii)</w:t>
      </w:r>
      <w:r w:rsidR="00996916" w:rsidRPr="003D5E43">
        <w:rPr>
          <w:rFonts w:ascii="Verdana" w:eastAsia="Verdana" w:hAnsi="Verdana" w:cs="Verdana"/>
        </w:rPr>
        <w:t xml:space="preserve"> manejo directo de bienes, dineros o valores del Estado</w:t>
      </w:r>
      <w:r w:rsidR="00124D30" w:rsidRPr="003D5E43">
        <w:rPr>
          <w:rFonts w:ascii="Verdana" w:eastAsia="Verdana" w:hAnsi="Verdana" w:cs="Verdana"/>
        </w:rPr>
        <w:t>; iv)</w:t>
      </w:r>
      <w:r w:rsidR="00996916" w:rsidRPr="003D5E43">
        <w:rPr>
          <w:rFonts w:ascii="Verdana" w:eastAsia="Verdana" w:hAnsi="Verdana" w:cs="Verdana"/>
        </w:rPr>
        <w:t xml:space="preserve"> administración de justicia</w:t>
      </w:r>
      <w:r w:rsidR="00E66B19" w:rsidRPr="003D5E43">
        <w:rPr>
          <w:rFonts w:ascii="Verdana" w:eastAsia="Verdana" w:hAnsi="Verdana" w:cs="Verdana"/>
        </w:rPr>
        <w:t>;</w:t>
      </w:r>
      <w:r w:rsidR="00996916" w:rsidRPr="003D5E43">
        <w:rPr>
          <w:rFonts w:ascii="Verdana" w:eastAsia="Verdana" w:hAnsi="Verdana" w:cs="Verdana"/>
        </w:rPr>
        <w:t xml:space="preserve"> </w:t>
      </w:r>
      <w:r w:rsidR="00E66B19" w:rsidRPr="003D5E43">
        <w:rPr>
          <w:rFonts w:ascii="Verdana" w:eastAsia="Verdana" w:hAnsi="Verdana" w:cs="Verdana"/>
        </w:rPr>
        <w:t>v)</w:t>
      </w:r>
      <w:r w:rsidR="00996916" w:rsidRPr="003D5E43">
        <w:rPr>
          <w:rFonts w:ascii="Verdana" w:eastAsia="Verdana" w:hAnsi="Verdana" w:cs="Verdana"/>
        </w:rPr>
        <w:t xml:space="preserve"> facultades </w:t>
      </w:r>
      <w:r w:rsidR="00E66B19" w:rsidRPr="003D5E43">
        <w:rPr>
          <w:rFonts w:ascii="Verdana" w:eastAsia="Verdana" w:hAnsi="Verdana" w:cs="Verdana"/>
        </w:rPr>
        <w:t xml:space="preserve">administrativo-sancionatorias. </w:t>
      </w:r>
      <w:r w:rsidR="00670D8C">
        <w:rPr>
          <w:rFonts w:ascii="Verdana" w:eastAsia="Verdana" w:hAnsi="Verdana" w:cs="Verdana"/>
        </w:rPr>
        <w:t xml:space="preserve">De acuerdo con el segundo inciso de la </w:t>
      </w:r>
      <w:r w:rsidR="00A6105F">
        <w:rPr>
          <w:rFonts w:ascii="Verdana" w:eastAsia="Verdana" w:hAnsi="Verdana" w:cs="Verdana"/>
        </w:rPr>
        <w:t xml:space="preserve">referida disposición, este tipo de funciones pueden ser ejercidas a través </w:t>
      </w:r>
      <w:r w:rsidR="00E5313F">
        <w:rPr>
          <w:rFonts w:ascii="Verdana" w:eastAsia="Verdana" w:hAnsi="Verdana" w:cs="Verdana"/>
        </w:rPr>
        <w:t>de actuaciones</w:t>
      </w:r>
      <w:r w:rsidR="00C87DA1">
        <w:rPr>
          <w:rFonts w:ascii="Verdana" w:eastAsia="Verdana" w:hAnsi="Verdana" w:cs="Verdana"/>
        </w:rPr>
        <w:t xml:space="preserve"> asociadas a: i) </w:t>
      </w:r>
      <w:r w:rsidR="00C87DA1" w:rsidRPr="00C87DA1">
        <w:rPr>
          <w:rFonts w:ascii="Verdana" w:eastAsia="Verdana" w:hAnsi="Verdana" w:cs="Verdana"/>
        </w:rPr>
        <w:t>ordenación de gasto</w:t>
      </w:r>
      <w:r w:rsidR="00C87DA1">
        <w:rPr>
          <w:rFonts w:ascii="Verdana" w:eastAsia="Verdana" w:hAnsi="Verdana" w:cs="Verdana"/>
        </w:rPr>
        <w:t>; ii)</w:t>
      </w:r>
      <w:r w:rsidR="00C87DA1" w:rsidRPr="00C87DA1">
        <w:rPr>
          <w:rFonts w:ascii="Verdana" w:eastAsia="Verdana" w:hAnsi="Verdana" w:cs="Verdana"/>
        </w:rPr>
        <w:t xml:space="preserve"> contratación pública</w:t>
      </w:r>
      <w:r w:rsidR="000E431E">
        <w:rPr>
          <w:rFonts w:ascii="Verdana" w:eastAsia="Verdana" w:hAnsi="Verdana" w:cs="Verdana"/>
        </w:rPr>
        <w:t>;</w:t>
      </w:r>
      <w:r w:rsidR="00C87DA1" w:rsidRPr="00C87DA1">
        <w:rPr>
          <w:rFonts w:ascii="Verdana" w:eastAsia="Verdana" w:hAnsi="Verdana" w:cs="Verdana"/>
        </w:rPr>
        <w:t xml:space="preserve"> </w:t>
      </w:r>
      <w:r w:rsidR="000E431E">
        <w:rPr>
          <w:rFonts w:ascii="Verdana" w:eastAsia="Verdana" w:hAnsi="Verdana" w:cs="Verdana"/>
        </w:rPr>
        <w:t xml:space="preserve">iii) </w:t>
      </w:r>
      <w:r w:rsidR="00C87DA1" w:rsidRPr="00C87DA1">
        <w:rPr>
          <w:rFonts w:ascii="Verdana" w:eastAsia="Verdana" w:hAnsi="Verdana" w:cs="Verdana"/>
        </w:rPr>
        <w:t>gerencia de proyectos de inversión</w:t>
      </w:r>
      <w:r w:rsidR="000E431E">
        <w:rPr>
          <w:rFonts w:ascii="Verdana" w:eastAsia="Verdana" w:hAnsi="Verdana" w:cs="Verdana"/>
        </w:rPr>
        <w:t>; iv)</w:t>
      </w:r>
      <w:r w:rsidR="00C87DA1" w:rsidRPr="00C87DA1">
        <w:rPr>
          <w:rFonts w:ascii="Verdana" w:eastAsia="Verdana" w:hAnsi="Verdana" w:cs="Verdana"/>
        </w:rPr>
        <w:t xml:space="preserve"> pagos</w:t>
      </w:r>
      <w:r w:rsidR="000E431E">
        <w:rPr>
          <w:rFonts w:ascii="Verdana" w:eastAsia="Verdana" w:hAnsi="Verdana" w:cs="Verdana"/>
        </w:rPr>
        <w:t>; v)</w:t>
      </w:r>
      <w:r w:rsidR="00C87DA1" w:rsidRPr="00C87DA1">
        <w:rPr>
          <w:rFonts w:ascii="Verdana" w:eastAsia="Verdana" w:hAnsi="Verdana" w:cs="Verdana"/>
        </w:rPr>
        <w:t xml:space="preserve"> liquidaciones</w:t>
      </w:r>
      <w:r w:rsidR="000E431E">
        <w:rPr>
          <w:rFonts w:ascii="Verdana" w:eastAsia="Verdana" w:hAnsi="Verdana" w:cs="Verdana"/>
        </w:rPr>
        <w:t>; y vi)</w:t>
      </w:r>
      <w:r w:rsidR="00C87DA1" w:rsidRPr="00C87DA1">
        <w:rPr>
          <w:rFonts w:ascii="Verdana" w:eastAsia="Verdana" w:hAnsi="Verdana" w:cs="Verdana"/>
        </w:rPr>
        <w:t xml:space="preserve"> administración de bienes muebles e inmuebles. </w:t>
      </w:r>
      <w:r w:rsidR="00E5313F">
        <w:rPr>
          <w:rFonts w:ascii="Verdana" w:eastAsia="Verdana" w:hAnsi="Verdana" w:cs="Verdana"/>
        </w:rPr>
        <w:t xml:space="preserve">Sin perjuicio de lo anterior, la norma establece un listado de carácter enunciativo de servidores públicos a los que se considera </w:t>
      </w:r>
      <w:r w:rsidR="006922BF" w:rsidRPr="00325639">
        <w:rPr>
          <w:rFonts w:ascii="Verdana" w:eastAsia="Verdana" w:hAnsi="Verdana" w:cs="Verdana"/>
        </w:rPr>
        <w:t>Personas Expuestas Políticamente</w:t>
      </w:r>
      <w:r w:rsidR="006922BF">
        <w:rPr>
          <w:rFonts w:ascii="Verdana" w:eastAsia="Verdana" w:hAnsi="Verdana" w:cs="Verdana"/>
        </w:rPr>
        <w:t xml:space="preserve">. </w:t>
      </w:r>
      <w:r w:rsidR="00D30DBC">
        <w:rPr>
          <w:rFonts w:ascii="Verdana" w:eastAsia="Verdana" w:hAnsi="Verdana" w:cs="Verdana"/>
        </w:rPr>
        <w:t xml:space="preserve"> </w:t>
      </w:r>
      <w:r w:rsidR="00CF65F1">
        <w:rPr>
          <w:rFonts w:ascii="Verdana" w:eastAsia="Verdana" w:hAnsi="Verdana" w:cs="Verdana"/>
        </w:rPr>
        <w:t>De acuerdo con lo anterior</w:t>
      </w:r>
      <w:r w:rsidR="005F520B" w:rsidRPr="0022508A">
        <w:rPr>
          <w:rFonts w:ascii="Verdana" w:eastAsia="Verdana" w:hAnsi="Verdana" w:cs="Verdana"/>
        </w:rPr>
        <w:t>,</w:t>
      </w:r>
      <w:r w:rsidR="00B855E0">
        <w:rPr>
          <w:rFonts w:ascii="Verdana" w:eastAsia="Verdana" w:hAnsi="Verdana" w:cs="Verdana"/>
        </w:rPr>
        <w:t xml:space="preserve"> </w:t>
      </w:r>
      <w:r w:rsidR="00CD6188">
        <w:rPr>
          <w:rFonts w:ascii="Verdana" w:eastAsia="Verdana" w:hAnsi="Verdana" w:cs="Verdana"/>
        </w:rPr>
        <w:t xml:space="preserve">para determinar si alguien debe ser considerado como una </w:t>
      </w:r>
      <w:r w:rsidR="00CD6188" w:rsidRPr="00325639">
        <w:rPr>
          <w:rFonts w:ascii="Verdana" w:eastAsia="Verdana" w:hAnsi="Verdana" w:cs="Verdana"/>
        </w:rPr>
        <w:t>Persona Expuestas Políticamente</w:t>
      </w:r>
      <w:r w:rsidR="00CD6188">
        <w:rPr>
          <w:rFonts w:ascii="Verdana" w:eastAsia="Verdana" w:hAnsi="Verdana" w:cs="Verdana"/>
        </w:rPr>
        <w:t xml:space="preserve"> –</w:t>
      </w:r>
      <w:r w:rsidR="008C730B">
        <w:rPr>
          <w:rFonts w:ascii="Verdana" w:eastAsia="Verdana" w:hAnsi="Verdana" w:cs="Verdana"/>
        </w:rPr>
        <w:t>al margen de</w:t>
      </w:r>
      <w:r w:rsidR="00CD6188">
        <w:rPr>
          <w:rFonts w:ascii="Verdana" w:eastAsia="Verdana" w:hAnsi="Verdana" w:cs="Verdana"/>
        </w:rPr>
        <w:t xml:space="preserve"> los empleos </w:t>
      </w:r>
      <w:r w:rsidR="00B855E0">
        <w:rPr>
          <w:rFonts w:ascii="Verdana" w:eastAsia="Verdana" w:hAnsi="Verdana" w:cs="Verdana"/>
        </w:rPr>
        <w:t>e</w:t>
      </w:r>
      <w:r w:rsidR="00CD6188">
        <w:rPr>
          <w:rFonts w:ascii="Verdana" w:eastAsia="Verdana" w:hAnsi="Verdana" w:cs="Verdana"/>
        </w:rPr>
        <w:t xml:space="preserve">nunciados en el artículo </w:t>
      </w:r>
      <w:r w:rsidR="00CD6188" w:rsidRPr="00AD3E50">
        <w:rPr>
          <w:rFonts w:ascii="Verdana" w:eastAsia="Verdana" w:hAnsi="Verdana" w:cs="Verdana"/>
          <w:sz w:val="20"/>
          <w:szCs w:val="20"/>
        </w:rPr>
        <w:t>2.1.4.2.3</w:t>
      </w:r>
      <w:r w:rsidR="008C730B">
        <w:rPr>
          <w:rFonts w:ascii="Verdana" w:eastAsia="Verdana" w:hAnsi="Verdana" w:cs="Verdana"/>
          <w:sz w:val="20"/>
          <w:szCs w:val="20"/>
        </w:rPr>
        <w:t>–, es neces</w:t>
      </w:r>
      <w:r w:rsidR="008C730B">
        <w:rPr>
          <w:rFonts w:ascii="Verdana" w:eastAsia="Verdana" w:hAnsi="Verdana" w:cs="Verdana"/>
        </w:rPr>
        <w:t>ario</w:t>
      </w:r>
      <w:r w:rsidR="005F520B" w:rsidRPr="0022508A">
        <w:rPr>
          <w:rFonts w:ascii="Verdana" w:eastAsia="Verdana" w:hAnsi="Verdana" w:cs="Verdana"/>
        </w:rPr>
        <w:t xml:space="preserve"> verificar las funciones asignadas </w:t>
      </w:r>
      <w:r w:rsidR="00132913">
        <w:rPr>
          <w:rFonts w:ascii="Verdana" w:eastAsia="Verdana" w:hAnsi="Verdana" w:cs="Verdana"/>
        </w:rPr>
        <w:t xml:space="preserve">al respectivo servidor pública, ya sea de manera permanente por el respectivo manual de funciones, así como aquellas que se le han atribuido </w:t>
      </w:r>
      <w:r w:rsidR="005E73DA">
        <w:rPr>
          <w:rFonts w:ascii="Verdana" w:eastAsia="Verdana" w:hAnsi="Verdana" w:cs="Verdana"/>
        </w:rPr>
        <w:t xml:space="preserve">a través de actos administrativos de delegación. </w:t>
      </w:r>
      <w:r w:rsidR="005F520B" w:rsidRPr="0022508A">
        <w:rPr>
          <w:rFonts w:ascii="Verdana" w:eastAsia="Verdana" w:hAnsi="Verdana" w:cs="Verdana"/>
        </w:rPr>
        <w:t xml:space="preserve"> </w:t>
      </w:r>
    </w:p>
    <w:p w14:paraId="41B83467" w14:textId="77777777" w:rsidR="007926DC" w:rsidRDefault="00D30DBC" w:rsidP="008C730B">
      <w:pPr>
        <w:tabs>
          <w:tab w:val="left" w:pos="426"/>
        </w:tabs>
        <w:spacing w:after="120" w:line="276" w:lineRule="auto"/>
        <w:jc w:val="both"/>
        <w:rPr>
          <w:rFonts w:ascii="Verdana" w:eastAsia="Verdana" w:hAnsi="Verdana" w:cs="Verdana"/>
        </w:rPr>
      </w:pPr>
      <w:r>
        <w:rPr>
          <w:rFonts w:ascii="Verdana" w:eastAsia="Verdana" w:hAnsi="Verdana" w:cs="Verdana"/>
        </w:rPr>
        <w:tab/>
      </w:r>
      <w:r w:rsidR="00377950">
        <w:rPr>
          <w:rFonts w:ascii="Verdana" w:eastAsia="Verdana" w:hAnsi="Verdana" w:cs="Verdana"/>
        </w:rPr>
        <w:tab/>
        <w:t>S</w:t>
      </w:r>
      <w:r w:rsidR="00D323FF">
        <w:rPr>
          <w:rFonts w:ascii="Verdana" w:eastAsia="Verdana" w:hAnsi="Verdana" w:cs="Verdana"/>
        </w:rPr>
        <w:t xml:space="preserve">i bien el artículo en mención alude a la </w:t>
      </w:r>
      <w:r w:rsidR="00746BA8" w:rsidRPr="003D5E43">
        <w:rPr>
          <w:rFonts w:ascii="Verdana" w:eastAsia="Verdana" w:hAnsi="Verdana" w:cs="Verdana"/>
          <w:i/>
          <w:iCs/>
        </w:rPr>
        <w:t xml:space="preserve">ordenación del </w:t>
      </w:r>
      <w:r w:rsidR="00632025" w:rsidRPr="003D5E43">
        <w:rPr>
          <w:rFonts w:ascii="Verdana" w:eastAsia="Verdana" w:hAnsi="Verdana" w:cs="Verdana"/>
          <w:i/>
          <w:iCs/>
        </w:rPr>
        <w:t>gasto</w:t>
      </w:r>
      <w:r w:rsidR="00632025">
        <w:rPr>
          <w:rFonts w:ascii="Verdana" w:eastAsia="Verdana" w:hAnsi="Verdana" w:cs="Verdana"/>
        </w:rPr>
        <w:t xml:space="preserve"> y </w:t>
      </w:r>
      <w:r w:rsidR="00633EC0">
        <w:rPr>
          <w:rFonts w:ascii="Verdana" w:eastAsia="Verdana" w:hAnsi="Verdana" w:cs="Verdana"/>
        </w:rPr>
        <w:t xml:space="preserve">a </w:t>
      </w:r>
      <w:r w:rsidR="005D6221">
        <w:rPr>
          <w:rFonts w:ascii="Verdana" w:eastAsia="Verdana" w:hAnsi="Verdana" w:cs="Verdana"/>
        </w:rPr>
        <w:t xml:space="preserve">la </w:t>
      </w:r>
      <w:r w:rsidR="00D323FF" w:rsidRPr="00325639">
        <w:rPr>
          <w:rFonts w:ascii="Verdana" w:eastAsia="Verdana" w:hAnsi="Verdana" w:cs="Verdana"/>
          <w:i/>
          <w:iCs/>
        </w:rPr>
        <w:t>contratación pública</w:t>
      </w:r>
      <w:r w:rsidR="00D323FF">
        <w:rPr>
          <w:rFonts w:ascii="Verdana" w:eastAsia="Verdana" w:hAnsi="Verdana" w:cs="Verdana"/>
        </w:rPr>
        <w:t xml:space="preserve">, lo hace como medio mediante el cual las Personas Expuestas Políticamente ejercen las funciones </w:t>
      </w:r>
      <w:r w:rsidR="00746BA8">
        <w:rPr>
          <w:rFonts w:ascii="Verdana" w:eastAsia="Verdana" w:hAnsi="Verdana" w:cs="Verdana"/>
        </w:rPr>
        <w:t xml:space="preserve">enlistadas en el primer inciso </w:t>
      </w:r>
      <w:r w:rsidR="00632025">
        <w:rPr>
          <w:rFonts w:ascii="Verdana" w:eastAsia="Verdana" w:hAnsi="Verdana" w:cs="Verdana"/>
        </w:rPr>
        <w:t xml:space="preserve">del artículo </w:t>
      </w:r>
      <w:r w:rsidR="00746BA8" w:rsidRPr="00325639">
        <w:rPr>
          <w:rFonts w:ascii="Verdana" w:eastAsia="Verdana" w:hAnsi="Verdana" w:cs="Verdana"/>
        </w:rPr>
        <w:t>2.1.4.2.3</w:t>
      </w:r>
      <w:r w:rsidR="00632025">
        <w:rPr>
          <w:rFonts w:ascii="Verdana" w:eastAsia="Verdana" w:hAnsi="Verdana" w:cs="Verdana"/>
        </w:rPr>
        <w:t xml:space="preserve"> del Decreto</w:t>
      </w:r>
      <w:r w:rsidR="00F30254">
        <w:rPr>
          <w:rFonts w:ascii="Verdana" w:eastAsia="Verdana" w:hAnsi="Verdana" w:cs="Verdana"/>
        </w:rPr>
        <w:t xml:space="preserve"> 1081 de 2015. Esto significa que, no tod</w:t>
      </w:r>
      <w:r w:rsidR="00A2322C">
        <w:rPr>
          <w:rFonts w:ascii="Verdana" w:eastAsia="Verdana" w:hAnsi="Verdana" w:cs="Verdana"/>
        </w:rPr>
        <w:t xml:space="preserve">os los servidores públicos que intervienen en la gestión contractual </w:t>
      </w:r>
      <w:r w:rsidR="00017C42">
        <w:rPr>
          <w:rFonts w:ascii="Verdana" w:eastAsia="Verdana" w:hAnsi="Verdana" w:cs="Verdana"/>
        </w:rPr>
        <w:t>son susceptibles de ser considerados como Personas Expuestas Políticamente, sino</w:t>
      </w:r>
      <w:r w:rsidR="007C750E">
        <w:rPr>
          <w:rFonts w:ascii="Verdana" w:eastAsia="Verdana" w:hAnsi="Verdana" w:cs="Verdana"/>
        </w:rPr>
        <w:t xml:space="preserve"> únicamente que desarrollen funciones como las indicadas</w:t>
      </w:r>
      <w:r w:rsidR="00377950">
        <w:rPr>
          <w:rFonts w:ascii="Verdana" w:eastAsia="Verdana" w:hAnsi="Verdana" w:cs="Verdana"/>
        </w:rPr>
        <w:t xml:space="preserve"> </w:t>
      </w:r>
      <w:r w:rsidR="00377950" w:rsidRPr="003D5E43">
        <w:rPr>
          <w:rFonts w:ascii="Verdana" w:eastAsia="Verdana" w:hAnsi="Verdana" w:cs="Verdana"/>
          <w:i/>
          <w:iCs/>
        </w:rPr>
        <w:t>supra</w:t>
      </w:r>
      <w:r w:rsidR="008F1EDA">
        <w:rPr>
          <w:rStyle w:val="Refdenotaalpie"/>
          <w:rFonts w:ascii="Verdana" w:eastAsia="Verdana" w:hAnsi="Verdana" w:cs="Verdana"/>
          <w:i/>
          <w:iCs/>
        </w:rPr>
        <w:footnoteReference w:id="1"/>
      </w:r>
      <w:r w:rsidR="00377950">
        <w:rPr>
          <w:rFonts w:ascii="Verdana" w:eastAsia="Verdana" w:hAnsi="Verdana" w:cs="Verdana"/>
        </w:rPr>
        <w:t>.</w:t>
      </w:r>
      <w:r w:rsidR="00017C42">
        <w:rPr>
          <w:rFonts w:ascii="Verdana" w:eastAsia="Verdana" w:hAnsi="Verdana" w:cs="Verdana"/>
        </w:rPr>
        <w:t xml:space="preserve"> </w:t>
      </w:r>
      <w:r w:rsidR="00632025">
        <w:rPr>
          <w:rFonts w:ascii="Verdana" w:eastAsia="Verdana" w:hAnsi="Verdana" w:cs="Verdana"/>
        </w:rPr>
        <w:t xml:space="preserve"> </w:t>
      </w:r>
      <w:r w:rsidR="00746BA8">
        <w:rPr>
          <w:rFonts w:ascii="Verdana" w:eastAsia="Verdana" w:hAnsi="Verdana" w:cs="Verdana"/>
        </w:rPr>
        <w:t xml:space="preserve"> </w:t>
      </w:r>
    </w:p>
    <w:p w14:paraId="50505BE8" w14:textId="142542D5" w:rsidR="00DD30CB" w:rsidRDefault="007926DC" w:rsidP="008C730B">
      <w:pPr>
        <w:tabs>
          <w:tab w:val="left" w:pos="426"/>
        </w:tabs>
        <w:spacing w:after="120" w:line="276" w:lineRule="auto"/>
        <w:jc w:val="both"/>
        <w:rPr>
          <w:rFonts w:ascii="Verdana" w:eastAsia="Verdana" w:hAnsi="Verdana" w:cs="Verdana"/>
        </w:rPr>
      </w:pPr>
      <w:r>
        <w:rPr>
          <w:rFonts w:ascii="Verdana" w:eastAsia="Verdana" w:hAnsi="Verdana" w:cs="Verdana"/>
        </w:rPr>
        <w:lastRenderedPageBreak/>
        <w:tab/>
      </w:r>
      <w:r>
        <w:rPr>
          <w:rFonts w:ascii="Verdana" w:eastAsia="Verdana" w:hAnsi="Verdana" w:cs="Verdana"/>
        </w:rPr>
        <w:tab/>
      </w:r>
      <w:r w:rsidR="00377950">
        <w:rPr>
          <w:rFonts w:ascii="Verdana" w:eastAsia="Verdana" w:hAnsi="Verdana" w:cs="Verdana"/>
        </w:rPr>
        <w:t>En ese orden</w:t>
      </w:r>
      <w:r w:rsidR="00633EC0">
        <w:rPr>
          <w:rFonts w:ascii="Verdana" w:eastAsia="Verdana" w:hAnsi="Verdana" w:cs="Verdana"/>
        </w:rPr>
        <w:t xml:space="preserve">, en </w:t>
      </w:r>
      <w:r w:rsidR="00E17FB9">
        <w:rPr>
          <w:rFonts w:ascii="Verdana" w:eastAsia="Verdana" w:hAnsi="Verdana" w:cs="Verdana"/>
        </w:rPr>
        <w:t>relación con el objeto de la consulta, es pertinente mencionar</w:t>
      </w:r>
      <w:r w:rsidR="00227235">
        <w:rPr>
          <w:rFonts w:ascii="Verdana" w:eastAsia="Verdana" w:hAnsi="Verdana" w:cs="Verdana"/>
        </w:rPr>
        <w:t xml:space="preserve"> que, </w:t>
      </w:r>
      <w:r w:rsidR="00A15ABA">
        <w:rPr>
          <w:rFonts w:ascii="Verdana" w:eastAsia="Verdana" w:hAnsi="Verdana" w:cs="Verdana"/>
        </w:rPr>
        <w:t xml:space="preserve">actividades </w:t>
      </w:r>
      <w:r w:rsidR="00A15ABA" w:rsidRPr="00AB1A45">
        <w:rPr>
          <w:rFonts w:ascii="Verdana" w:eastAsia="Verdana" w:hAnsi="Verdana" w:cs="Verdana"/>
        </w:rPr>
        <w:t xml:space="preserve">como la </w:t>
      </w:r>
      <w:r w:rsidR="00077BE8" w:rsidRPr="003D5E43">
        <w:rPr>
          <w:rFonts w:ascii="Verdana" w:eastAsia="Verdana" w:hAnsi="Verdana" w:cs="Verdana"/>
        </w:rPr>
        <w:t>elaboración</w:t>
      </w:r>
      <w:r w:rsidR="00A15ABA" w:rsidRPr="00AB1A45">
        <w:rPr>
          <w:rFonts w:ascii="Verdana" w:eastAsia="Verdana" w:hAnsi="Verdana" w:cs="Verdana"/>
        </w:rPr>
        <w:t xml:space="preserve"> </w:t>
      </w:r>
      <w:r w:rsidR="00077BE8" w:rsidRPr="003D5E43">
        <w:rPr>
          <w:rFonts w:ascii="Verdana" w:eastAsia="Verdana" w:hAnsi="Verdana" w:cs="Verdana"/>
        </w:rPr>
        <w:t xml:space="preserve">y suscripción </w:t>
      </w:r>
      <w:r w:rsidR="00A15ABA" w:rsidRPr="00AB1A45">
        <w:rPr>
          <w:rFonts w:ascii="Verdana" w:eastAsia="Verdana" w:hAnsi="Verdana" w:cs="Verdana"/>
        </w:rPr>
        <w:t>de estudios previos, la supervisión de contratos estatales, el apoyo a</w:t>
      </w:r>
      <w:r w:rsidR="002671F5" w:rsidRPr="00AB1A45">
        <w:rPr>
          <w:rFonts w:ascii="Verdana" w:eastAsia="Verdana" w:hAnsi="Verdana" w:cs="Verdana"/>
        </w:rPr>
        <w:t xml:space="preserve"> la supervisión</w:t>
      </w:r>
      <w:r w:rsidR="00A4609B" w:rsidRPr="00AB1A45">
        <w:rPr>
          <w:rFonts w:ascii="Verdana" w:eastAsia="Verdana" w:hAnsi="Verdana" w:cs="Verdana"/>
        </w:rPr>
        <w:t xml:space="preserve"> y la suscripción de </w:t>
      </w:r>
      <w:r w:rsidR="00D8347D" w:rsidRPr="00AB1A45">
        <w:rPr>
          <w:rFonts w:ascii="Verdana" w:eastAsia="Verdana" w:hAnsi="Verdana" w:cs="Verdana"/>
        </w:rPr>
        <w:t>actas de liquidación</w:t>
      </w:r>
      <w:r w:rsidR="005F2407" w:rsidRPr="00AB1A45">
        <w:rPr>
          <w:rFonts w:ascii="Verdana" w:eastAsia="Verdana" w:hAnsi="Verdana" w:cs="Verdana"/>
        </w:rPr>
        <w:t xml:space="preserve">, no aparecen </w:t>
      </w:r>
      <w:r w:rsidR="00D323FF">
        <w:rPr>
          <w:rFonts w:ascii="Verdana" w:eastAsia="Verdana" w:hAnsi="Verdana" w:cs="Verdana"/>
        </w:rPr>
        <w:t>expresam</w:t>
      </w:r>
      <w:r w:rsidR="00227235">
        <w:rPr>
          <w:rFonts w:ascii="Verdana" w:eastAsia="Verdana" w:hAnsi="Verdana" w:cs="Verdana"/>
        </w:rPr>
        <w:t xml:space="preserve">ente enlistadas dentro del artículo </w:t>
      </w:r>
      <w:r w:rsidR="00227235" w:rsidRPr="00325639">
        <w:rPr>
          <w:rFonts w:ascii="Verdana" w:eastAsia="Verdana" w:hAnsi="Verdana" w:cs="Verdana"/>
        </w:rPr>
        <w:t>2.1.4.2.3</w:t>
      </w:r>
      <w:r w:rsidR="00227235">
        <w:rPr>
          <w:rFonts w:ascii="Verdana" w:eastAsia="Verdana" w:hAnsi="Verdana" w:cs="Verdana"/>
        </w:rPr>
        <w:t xml:space="preserve"> del Decreto 1081 de 2015, </w:t>
      </w:r>
      <w:r w:rsidR="00DD1447">
        <w:rPr>
          <w:rFonts w:ascii="Verdana" w:eastAsia="Verdana" w:hAnsi="Verdana" w:cs="Verdana"/>
        </w:rPr>
        <w:t>por lo que, en principio, no puede</w:t>
      </w:r>
      <w:r w:rsidR="00BA5223">
        <w:rPr>
          <w:rFonts w:ascii="Verdana" w:eastAsia="Verdana" w:hAnsi="Verdana" w:cs="Verdana"/>
        </w:rPr>
        <w:t xml:space="preserve"> considerarse como Personas políticamente Expuestas a quienes las desempeñen</w:t>
      </w:r>
      <w:r w:rsidR="0092575F">
        <w:rPr>
          <w:rFonts w:ascii="Verdana" w:eastAsia="Verdana" w:hAnsi="Verdana" w:cs="Verdana"/>
        </w:rPr>
        <w:t>, por el solo hecho de realizar estas act</w:t>
      </w:r>
      <w:r w:rsidR="00E01FA1">
        <w:rPr>
          <w:rFonts w:ascii="Verdana" w:eastAsia="Verdana" w:hAnsi="Verdana" w:cs="Verdana"/>
        </w:rPr>
        <w:t xml:space="preserve">uaciones en específico. </w:t>
      </w:r>
      <w:r w:rsidR="00BA5223">
        <w:rPr>
          <w:rFonts w:ascii="Verdana" w:eastAsia="Verdana" w:hAnsi="Verdana" w:cs="Verdana"/>
        </w:rPr>
        <w:t xml:space="preserve"> </w:t>
      </w:r>
    </w:p>
    <w:p w14:paraId="4C6376F8" w14:textId="6D0B3C53" w:rsidR="00DD1447" w:rsidRDefault="00DD30CB" w:rsidP="009F09D3">
      <w:pPr>
        <w:tabs>
          <w:tab w:val="left" w:pos="426"/>
        </w:tabs>
        <w:spacing w:after="120" w:line="276" w:lineRule="auto"/>
        <w:jc w:val="both"/>
        <w:rPr>
          <w:rFonts w:ascii="Verdana" w:eastAsia="Verdana" w:hAnsi="Verdana" w:cs="Verdana"/>
        </w:rPr>
      </w:pPr>
      <w:r>
        <w:rPr>
          <w:rFonts w:ascii="Verdana" w:eastAsia="Verdana" w:hAnsi="Verdana" w:cs="Verdana"/>
        </w:rPr>
        <w:tab/>
      </w:r>
      <w:r w:rsidR="008F1EDA">
        <w:rPr>
          <w:rFonts w:ascii="Verdana" w:eastAsia="Verdana" w:hAnsi="Verdana" w:cs="Verdana"/>
        </w:rPr>
        <w:tab/>
      </w:r>
      <w:r w:rsidR="00CE71F0">
        <w:rPr>
          <w:rFonts w:ascii="Verdana" w:eastAsia="Verdana" w:hAnsi="Verdana" w:cs="Verdana"/>
        </w:rPr>
        <w:t>Sin perjuicio de lo anterior</w:t>
      </w:r>
      <w:r w:rsidR="00A50641">
        <w:rPr>
          <w:rFonts w:ascii="Verdana" w:eastAsia="Verdana" w:hAnsi="Verdana" w:cs="Verdana"/>
        </w:rPr>
        <w:t xml:space="preserve">, </w:t>
      </w:r>
      <w:r w:rsidR="005F2080">
        <w:rPr>
          <w:rFonts w:ascii="Verdana" w:eastAsia="Verdana" w:hAnsi="Verdana" w:cs="Verdana"/>
        </w:rPr>
        <w:t xml:space="preserve">es posible que quienes </w:t>
      </w:r>
      <w:r w:rsidR="00BB10E8">
        <w:rPr>
          <w:rFonts w:ascii="Verdana" w:eastAsia="Verdana" w:hAnsi="Verdana" w:cs="Verdana"/>
        </w:rPr>
        <w:t>desarrollen actividades como las señaladas en la solicitud</w:t>
      </w:r>
      <w:r w:rsidR="00C43DB9">
        <w:rPr>
          <w:rFonts w:ascii="Verdana" w:eastAsia="Verdana" w:hAnsi="Verdana" w:cs="Verdana"/>
        </w:rPr>
        <w:t xml:space="preserve"> sean consideradas como Personas Expuestas Políticamente, cuando </w:t>
      </w:r>
      <w:r w:rsidR="008F0A50">
        <w:rPr>
          <w:rFonts w:ascii="Verdana" w:eastAsia="Verdana" w:hAnsi="Verdana" w:cs="Verdana"/>
        </w:rPr>
        <w:t xml:space="preserve">desempeñen funciones asociadas a la </w:t>
      </w:r>
      <w:r w:rsidR="008F0A50" w:rsidRPr="008F0A50">
        <w:rPr>
          <w:rFonts w:ascii="Verdana" w:eastAsia="Verdana" w:hAnsi="Verdana" w:cs="Verdana"/>
        </w:rPr>
        <w:t>dirección general</w:t>
      </w:r>
      <w:r w:rsidR="009F09D3">
        <w:rPr>
          <w:rFonts w:ascii="Verdana" w:eastAsia="Verdana" w:hAnsi="Verdana" w:cs="Verdana"/>
        </w:rPr>
        <w:t xml:space="preserve"> de la entidad</w:t>
      </w:r>
      <w:r w:rsidR="008F0A50" w:rsidRPr="008F0A50">
        <w:rPr>
          <w:rFonts w:ascii="Verdana" w:eastAsia="Verdana" w:hAnsi="Verdana" w:cs="Verdana"/>
        </w:rPr>
        <w:t>,</w:t>
      </w:r>
      <w:r w:rsidR="009F09D3">
        <w:rPr>
          <w:rFonts w:ascii="Verdana" w:eastAsia="Verdana" w:hAnsi="Verdana" w:cs="Verdana"/>
        </w:rPr>
        <w:t xml:space="preserve"> la</w:t>
      </w:r>
      <w:r w:rsidR="008F0A50" w:rsidRPr="008F0A50">
        <w:rPr>
          <w:rFonts w:ascii="Verdana" w:eastAsia="Verdana" w:hAnsi="Verdana" w:cs="Verdana"/>
        </w:rPr>
        <w:t xml:space="preserve"> formulación de políticas institucionales y</w:t>
      </w:r>
      <w:r w:rsidR="00847FF7">
        <w:rPr>
          <w:rFonts w:ascii="Verdana" w:eastAsia="Verdana" w:hAnsi="Verdana" w:cs="Verdana"/>
        </w:rPr>
        <w:t xml:space="preserve"> la</w:t>
      </w:r>
      <w:r w:rsidR="008F0A50" w:rsidRPr="008F0A50">
        <w:rPr>
          <w:rFonts w:ascii="Verdana" w:eastAsia="Verdana" w:hAnsi="Verdana" w:cs="Verdana"/>
        </w:rPr>
        <w:t xml:space="preserve"> adopción de planes, programas y proyecto</w:t>
      </w:r>
      <w:r w:rsidR="00AD0081">
        <w:rPr>
          <w:rFonts w:ascii="Verdana" w:eastAsia="Verdana" w:hAnsi="Verdana" w:cs="Verdana"/>
        </w:rPr>
        <w:t>s</w:t>
      </w:r>
      <w:r w:rsidR="00847FF7">
        <w:rPr>
          <w:rFonts w:ascii="Verdana" w:eastAsia="Verdana" w:hAnsi="Verdana" w:cs="Verdana"/>
        </w:rPr>
        <w:t>. En ese mismo sentido, pueden ser considerados</w:t>
      </w:r>
      <w:r w:rsidR="008A77B2">
        <w:rPr>
          <w:rFonts w:ascii="Verdana" w:eastAsia="Verdana" w:hAnsi="Verdana" w:cs="Verdana"/>
        </w:rPr>
        <w:t xml:space="preserve"> Personas Expuestas </w:t>
      </w:r>
      <w:r w:rsidR="006340A9">
        <w:rPr>
          <w:rFonts w:ascii="Verdana" w:eastAsia="Verdana" w:hAnsi="Verdana" w:cs="Verdana"/>
        </w:rPr>
        <w:t>Políticamente, quienes dentro del ciclo de la contrataci</w:t>
      </w:r>
      <w:r w:rsidR="005100C3">
        <w:rPr>
          <w:rFonts w:ascii="Verdana" w:eastAsia="Verdana" w:hAnsi="Verdana" w:cs="Verdana"/>
        </w:rPr>
        <w:t>ón</w:t>
      </w:r>
      <w:r w:rsidR="006340A9">
        <w:rPr>
          <w:rFonts w:ascii="Verdana" w:eastAsia="Verdana" w:hAnsi="Verdana" w:cs="Verdana"/>
        </w:rPr>
        <w:t xml:space="preserve"> </w:t>
      </w:r>
      <w:r w:rsidR="008A77B2" w:rsidRPr="008A77B2">
        <w:rPr>
          <w:rFonts w:ascii="Verdana" w:eastAsia="Verdana" w:hAnsi="Verdana" w:cs="Verdana"/>
        </w:rPr>
        <w:t>manej</w:t>
      </w:r>
      <w:r w:rsidR="005100C3">
        <w:rPr>
          <w:rFonts w:ascii="Verdana" w:eastAsia="Verdana" w:hAnsi="Verdana" w:cs="Verdana"/>
        </w:rPr>
        <w:t>an</w:t>
      </w:r>
      <w:r w:rsidR="008A77B2" w:rsidRPr="008A77B2">
        <w:rPr>
          <w:rFonts w:ascii="Verdana" w:eastAsia="Verdana" w:hAnsi="Verdana" w:cs="Verdana"/>
        </w:rPr>
        <w:t xml:space="preserve"> direct</w:t>
      </w:r>
      <w:r w:rsidR="005100C3">
        <w:rPr>
          <w:rFonts w:ascii="Verdana" w:eastAsia="Verdana" w:hAnsi="Verdana" w:cs="Verdana"/>
        </w:rPr>
        <w:t>amente</w:t>
      </w:r>
      <w:r w:rsidR="008A77B2" w:rsidRPr="008A77B2">
        <w:rPr>
          <w:rFonts w:ascii="Verdana" w:eastAsia="Verdana" w:hAnsi="Verdana" w:cs="Verdana"/>
        </w:rPr>
        <w:t xml:space="preserve"> bienes, dineros o valores del Estado</w:t>
      </w:r>
      <w:r w:rsidR="006340A9">
        <w:rPr>
          <w:rFonts w:ascii="Verdana" w:eastAsia="Verdana" w:hAnsi="Verdana" w:cs="Verdana"/>
        </w:rPr>
        <w:t xml:space="preserve">, </w:t>
      </w:r>
      <w:r w:rsidR="005100C3">
        <w:rPr>
          <w:rFonts w:ascii="Verdana" w:eastAsia="Verdana" w:hAnsi="Verdana" w:cs="Verdana"/>
        </w:rPr>
        <w:t xml:space="preserve">como es el caso de los </w:t>
      </w:r>
      <w:r w:rsidR="005100C3" w:rsidRPr="003D5E43">
        <w:rPr>
          <w:rFonts w:ascii="Verdana" w:eastAsia="Verdana" w:hAnsi="Verdana" w:cs="Verdana"/>
          <w:i/>
          <w:iCs/>
        </w:rPr>
        <w:t>ordenadores del gasto</w:t>
      </w:r>
      <w:r w:rsidR="00A149E5">
        <w:rPr>
          <w:rFonts w:ascii="Verdana" w:eastAsia="Verdana" w:hAnsi="Verdana" w:cs="Verdana"/>
          <w:i/>
          <w:iCs/>
        </w:rPr>
        <w:t xml:space="preserve"> </w:t>
      </w:r>
      <w:r w:rsidR="00A149E5">
        <w:t xml:space="preserve">y </w:t>
      </w:r>
      <w:r w:rsidR="00D5236E">
        <w:t>de los</w:t>
      </w:r>
      <w:r w:rsidR="00A3226E">
        <w:t xml:space="preserve"> </w:t>
      </w:r>
      <w:r w:rsidR="00A3226E" w:rsidRPr="003D5E43">
        <w:rPr>
          <w:rFonts w:ascii="Verdana" w:hAnsi="Verdana"/>
        </w:rPr>
        <w:t>demás servidores</w:t>
      </w:r>
      <w:r w:rsidR="00A149E5" w:rsidRPr="003D5E43">
        <w:rPr>
          <w:rFonts w:ascii="Verdana" w:hAnsi="Verdana"/>
        </w:rPr>
        <w:t xml:space="preserve"> con funciones </w:t>
      </w:r>
      <w:r w:rsidR="00D5236E">
        <w:rPr>
          <w:rFonts w:ascii="Verdana" w:hAnsi="Verdana"/>
        </w:rPr>
        <w:t xml:space="preserve">que impliquen </w:t>
      </w:r>
      <w:r w:rsidR="00884A95">
        <w:rPr>
          <w:rFonts w:ascii="Verdana" w:hAnsi="Verdana"/>
        </w:rPr>
        <w:t>el ejercicio de disposición de los recursos públicos</w:t>
      </w:r>
      <w:r w:rsidR="00386F5C" w:rsidRPr="00D5236E">
        <w:rPr>
          <w:rFonts w:ascii="Verdana" w:eastAsia="Verdana" w:hAnsi="Verdana" w:cs="Verdana"/>
        </w:rPr>
        <w:t>,</w:t>
      </w:r>
      <w:r w:rsidR="00386F5C">
        <w:rPr>
          <w:rFonts w:ascii="Verdana" w:eastAsia="Verdana" w:hAnsi="Verdana" w:cs="Verdana"/>
        </w:rPr>
        <w:t xml:space="preserve"> así como quienes</w:t>
      </w:r>
      <w:r w:rsidR="00D6157B">
        <w:rPr>
          <w:rFonts w:ascii="Verdana" w:eastAsia="Verdana" w:hAnsi="Verdana" w:cs="Verdana"/>
        </w:rPr>
        <w:t xml:space="preserve"> dentro de la respectiva entidad tienen atribuida</w:t>
      </w:r>
      <w:r w:rsidR="00DD1398">
        <w:rPr>
          <w:rFonts w:ascii="Verdana" w:eastAsia="Verdana" w:hAnsi="Verdana" w:cs="Verdana"/>
        </w:rPr>
        <w:t xml:space="preserve"> la facultad de</w:t>
      </w:r>
      <w:r w:rsidR="00386F5C">
        <w:rPr>
          <w:rFonts w:ascii="Verdana" w:eastAsia="Verdana" w:hAnsi="Verdana" w:cs="Verdana"/>
        </w:rPr>
        <w:t xml:space="preserve"> ejerce</w:t>
      </w:r>
      <w:r w:rsidR="00DD1398">
        <w:rPr>
          <w:rFonts w:ascii="Verdana" w:eastAsia="Verdana" w:hAnsi="Verdana" w:cs="Verdana"/>
        </w:rPr>
        <w:t>r</w:t>
      </w:r>
      <w:r w:rsidR="00386F5C">
        <w:rPr>
          <w:rFonts w:ascii="Verdana" w:eastAsia="Verdana" w:hAnsi="Verdana" w:cs="Verdana"/>
        </w:rPr>
        <w:t xml:space="preserve"> la </w:t>
      </w:r>
      <w:r w:rsidR="00FB3276">
        <w:rPr>
          <w:rFonts w:ascii="Verdana" w:eastAsia="Verdana" w:hAnsi="Verdana" w:cs="Verdana"/>
        </w:rPr>
        <w:t>potestad sancionatoria establecida en el artículo</w:t>
      </w:r>
      <w:r w:rsidR="00D6157B">
        <w:rPr>
          <w:rFonts w:ascii="Verdana" w:eastAsia="Verdana" w:hAnsi="Verdana" w:cs="Verdana"/>
        </w:rPr>
        <w:t xml:space="preserve"> 17 de la Ley 1150 de 2007.  </w:t>
      </w:r>
      <w:r w:rsidR="00AD0081">
        <w:rPr>
          <w:rFonts w:ascii="Verdana" w:eastAsia="Verdana" w:hAnsi="Verdana" w:cs="Verdana"/>
        </w:rPr>
        <w:t xml:space="preserve"> </w:t>
      </w:r>
      <w:r w:rsidR="008F0A50">
        <w:rPr>
          <w:rFonts w:ascii="Verdana" w:eastAsia="Verdana" w:hAnsi="Verdana" w:cs="Verdana"/>
        </w:rPr>
        <w:t xml:space="preserve"> </w:t>
      </w:r>
    </w:p>
    <w:p w14:paraId="14ECE294" w14:textId="34B906C2" w:rsidR="00BD7964" w:rsidRDefault="00BA5223" w:rsidP="008C730B">
      <w:pPr>
        <w:tabs>
          <w:tab w:val="left" w:pos="426"/>
        </w:tabs>
        <w:spacing w:after="120" w:line="276" w:lineRule="auto"/>
        <w:jc w:val="both"/>
        <w:rPr>
          <w:rFonts w:ascii="Verdana" w:eastAsia="Verdana" w:hAnsi="Verdana" w:cs="Verdana"/>
        </w:rPr>
      </w:pPr>
      <w:r>
        <w:rPr>
          <w:rFonts w:ascii="Verdana" w:eastAsia="Verdana" w:hAnsi="Verdana" w:cs="Verdana"/>
        </w:rPr>
        <w:tab/>
      </w:r>
      <w:r>
        <w:rPr>
          <w:rFonts w:ascii="Verdana" w:eastAsia="Verdana" w:hAnsi="Verdana" w:cs="Verdana"/>
        </w:rPr>
        <w:tab/>
      </w:r>
      <w:r w:rsidR="008953DB">
        <w:rPr>
          <w:rFonts w:ascii="Verdana" w:eastAsia="Verdana" w:hAnsi="Verdana" w:cs="Verdana"/>
        </w:rPr>
        <w:t>En síntesis</w:t>
      </w:r>
      <w:r w:rsidR="00EF33C3">
        <w:rPr>
          <w:rFonts w:ascii="Verdana" w:eastAsia="Verdana" w:hAnsi="Verdana" w:cs="Verdana"/>
        </w:rPr>
        <w:t>,</w:t>
      </w:r>
      <w:r w:rsidR="008953DB">
        <w:rPr>
          <w:rFonts w:ascii="Verdana" w:eastAsia="Verdana" w:hAnsi="Verdana" w:cs="Verdana"/>
        </w:rPr>
        <w:t xml:space="preserve"> es </w:t>
      </w:r>
      <w:r w:rsidR="00E808CB">
        <w:rPr>
          <w:rFonts w:ascii="Verdana" w:eastAsia="Verdana" w:hAnsi="Verdana" w:cs="Verdana"/>
        </w:rPr>
        <w:t xml:space="preserve">posible concluir </w:t>
      </w:r>
      <w:r w:rsidR="008953DB">
        <w:rPr>
          <w:rFonts w:ascii="Verdana" w:eastAsia="Verdana" w:hAnsi="Verdana" w:cs="Verdana"/>
        </w:rPr>
        <w:t>que, la mera suscripción de documentos como los estudios previos y actas de liquidación de contrat</w:t>
      </w:r>
      <w:r w:rsidR="00E808CB">
        <w:rPr>
          <w:rFonts w:ascii="Verdana" w:eastAsia="Verdana" w:hAnsi="Verdana" w:cs="Verdana"/>
        </w:rPr>
        <w:t xml:space="preserve">os estatales, no hace </w:t>
      </w:r>
      <w:r w:rsidR="00F43131">
        <w:rPr>
          <w:rFonts w:ascii="Verdana" w:eastAsia="Verdana" w:hAnsi="Verdana" w:cs="Verdana"/>
        </w:rPr>
        <w:t xml:space="preserve">al </w:t>
      </w:r>
      <w:r w:rsidR="00F553E7">
        <w:rPr>
          <w:rFonts w:ascii="Verdana" w:eastAsia="Verdana" w:hAnsi="Verdana" w:cs="Verdana"/>
        </w:rPr>
        <w:t xml:space="preserve">servidor público que </w:t>
      </w:r>
      <w:r w:rsidR="00F43131">
        <w:rPr>
          <w:rFonts w:ascii="Verdana" w:eastAsia="Verdana" w:hAnsi="Verdana" w:cs="Verdana"/>
        </w:rPr>
        <w:t>una Persona Expuesta Políticamente, en la medida en que no son actuaci</w:t>
      </w:r>
      <w:r w:rsidR="005E2B7E">
        <w:rPr>
          <w:rFonts w:ascii="Verdana" w:eastAsia="Verdana" w:hAnsi="Verdana" w:cs="Verdana"/>
        </w:rPr>
        <w:t>ones</w:t>
      </w:r>
      <w:r w:rsidR="00F43131">
        <w:rPr>
          <w:rFonts w:ascii="Verdana" w:eastAsia="Verdana" w:hAnsi="Verdana" w:cs="Verdana"/>
        </w:rPr>
        <w:t xml:space="preserve"> que</w:t>
      </w:r>
      <w:r w:rsidR="005E2B7E">
        <w:rPr>
          <w:rFonts w:ascii="Verdana" w:eastAsia="Verdana" w:hAnsi="Verdana" w:cs="Verdana"/>
        </w:rPr>
        <w:t xml:space="preserve">, </w:t>
      </w:r>
      <w:r w:rsidR="005E2B7E" w:rsidRPr="003D5E43">
        <w:rPr>
          <w:rFonts w:ascii="Verdana" w:eastAsia="Verdana" w:hAnsi="Verdana" w:cs="Verdana"/>
          <w:i/>
          <w:iCs/>
        </w:rPr>
        <w:t>per se</w:t>
      </w:r>
      <w:r w:rsidR="005E2B7E">
        <w:rPr>
          <w:rFonts w:ascii="Verdana" w:eastAsia="Verdana" w:hAnsi="Verdana" w:cs="Verdana"/>
        </w:rPr>
        <w:t xml:space="preserve">, impliquen el </w:t>
      </w:r>
      <w:r w:rsidR="007C2A49">
        <w:rPr>
          <w:rFonts w:ascii="Verdana" w:eastAsia="Verdana" w:hAnsi="Verdana" w:cs="Verdana"/>
        </w:rPr>
        <w:t xml:space="preserve">desarrollo de las funciones establecidas en el artículo </w:t>
      </w:r>
      <w:r w:rsidR="009A0E1D" w:rsidRPr="00325639">
        <w:rPr>
          <w:rFonts w:ascii="Verdana" w:eastAsia="Verdana" w:hAnsi="Verdana" w:cs="Verdana"/>
        </w:rPr>
        <w:t>2.1.4.2.3</w:t>
      </w:r>
      <w:r w:rsidR="009A0E1D">
        <w:rPr>
          <w:rFonts w:ascii="Verdana" w:eastAsia="Verdana" w:hAnsi="Verdana" w:cs="Verdana"/>
        </w:rPr>
        <w:t xml:space="preserve"> del Decreto 1081 de 2015. Lo mismo puede decirse de los funcionarios que fungen como supervisores de contratos estatales o</w:t>
      </w:r>
      <w:r w:rsidR="00EE14FD">
        <w:rPr>
          <w:rFonts w:ascii="Verdana" w:eastAsia="Verdana" w:hAnsi="Verdana" w:cs="Verdana"/>
        </w:rPr>
        <w:t xml:space="preserve"> que brindan apoyo a la supervisión, quienes solo podrán ser considerados como </w:t>
      </w:r>
      <w:r w:rsidR="001056CF">
        <w:rPr>
          <w:rFonts w:ascii="Verdana" w:eastAsia="Verdana" w:hAnsi="Verdana" w:cs="Verdana"/>
        </w:rPr>
        <w:t xml:space="preserve">Personas Políticamente Expuestas, cuando además de estas actividades, </w:t>
      </w:r>
      <w:r w:rsidR="00BD7964">
        <w:rPr>
          <w:rFonts w:ascii="Verdana" w:eastAsia="Verdana" w:hAnsi="Verdana" w:cs="Verdana"/>
        </w:rPr>
        <w:t xml:space="preserve">tengan atribuciones funcionales como las descritas por la norma en cita. </w:t>
      </w:r>
    </w:p>
    <w:p w14:paraId="0BC76D3F" w14:textId="5A68E155" w:rsidR="00DD1447" w:rsidRDefault="00BD7964" w:rsidP="008C730B">
      <w:pPr>
        <w:tabs>
          <w:tab w:val="left" w:pos="426"/>
        </w:tabs>
        <w:spacing w:after="120" w:line="276" w:lineRule="auto"/>
        <w:jc w:val="both"/>
        <w:rPr>
          <w:rFonts w:ascii="Verdana" w:eastAsia="Verdana" w:hAnsi="Verdana" w:cs="Verdana"/>
        </w:rPr>
      </w:pPr>
      <w:r>
        <w:rPr>
          <w:rFonts w:ascii="Verdana" w:eastAsia="Verdana" w:hAnsi="Verdana" w:cs="Verdana"/>
        </w:rPr>
        <w:tab/>
      </w:r>
      <w:r>
        <w:rPr>
          <w:rFonts w:ascii="Verdana" w:eastAsia="Verdana" w:hAnsi="Verdana" w:cs="Verdana"/>
        </w:rPr>
        <w:tab/>
      </w:r>
      <w:r w:rsidR="008636C3" w:rsidRPr="008636C3">
        <w:rPr>
          <w:rFonts w:ascii="Verdana" w:eastAsia="Verdana" w:hAnsi="Verdana" w:cs="Verdana"/>
        </w:rPr>
        <w:t>En todo caso, las personas que intervienen en la gestión contractual de las Entidades Estatales que ejerzan las funciones señaladas se encuentran obligadas a dar cumplimiento a lo dispuesto en los artículos 2.1.4.2.4</w:t>
      </w:r>
      <w:r w:rsidR="00C00F6D">
        <w:rPr>
          <w:rStyle w:val="Refdenotaalpie"/>
          <w:rFonts w:ascii="Verdana" w:eastAsia="Verdana" w:hAnsi="Verdana" w:cs="Verdana"/>
        </w:rPr>
        <w:footnoteReference w:id="2"/>
      </w:r>
      <w:r w:rsidR="008636C3" w:rsidRPr="008636C3">
        <w:rPr>
          <w:rFonts w:ascii="Verdana" w:eastAsia="Verdana" w:hAnsi="Verdana" w:cs="Verdana"/>
        </w:rPr>
        <w:t xml:space="preserve"> y </w:t>
      </w:r>
      <w:r w:rsidR="008636C3" w:rsidRPr="008636C3">
        <w:rPr>
          <w:rFonts w:ascii="Verdana" w:eastAsia="Verdana" w:hAnsi="Verdana" w:cs="Verdana"/>
        </w:rPr>
        <w:lastRenderedPageBreak/>
        <w:t>2.1.4.2.5</w:t>
      </w:r>
      <w:r w:rsidR="004A3833">
        <w:rPr>
          <w:rStyle w:val="Refdenotaalpie"/>
          <w:rFonts w:ascii="Verdana" w:eastAsia="Verdana" w:hAnsi="Verdana" w:cs="Verdana"/>
        </w:rPr>
        <w:footnoteReference w:id="3"/>
      </w:r>
      <w:r w:rsidR="008636C3" w:rsidRPr="008636C3">
        <w:rPr>
          <w:rFonts w:ascii="Verdana" w:eastAsia="Verdana" w:hAnsi="Verdana" w:cs="Verdana"/>
        </w:rPr>
        <w:t xml:space="preserve"> del Decreto 1081 de 2015</w:t>
      </w:r>
      <w:r w:rsidR="008636C3">
        <w:rPr>
          <w:rFonts w:ascii="Verdana" w:eastAsia="Verdana" w:hAnsi="Verdana" w:cs="Verdana"/>
        </w:rPr>
        <w:t>.</w:t>
      </w:r>
      <w:r w:rsidR="008636C3" w:rsidRPr="008636C3">
        <w:rPr>
          <w:rFonts w:ascii="Verdana" w:eastAsia="Verdana" w:hAnsi="Verdana" w:cs="Verdana"/>
        </w:rPr>
        <w:t xml:space="preserve"> </w:t>
      </w:r>
      <w:r w:rsidR="008636C3">
        <w:rPr>
          <w:rFonts w:ascii="Verdana" w:eastAsia="Verdana" w:hAnsi="Verdana" w:cs="Verdana"/>
        </w:rPr>
        <w:t>E</w:t>
      </w:r>
      <w:r w:rsidR="008636C3" w:rsidRPr="008636C3">
        <w:rPr>
          <w:rFonts w:ascii="Verdana" w:eastAsia="Verdana" w:hAnsi="Verdana" w:cs="Verdana"/>
        </w:rPr>
        <w:t>n particular</w:t>
      </w:r>
      <w:r w:rsidR="008636C3">
        <w:rPr>
          <w:rFonts w:ascii="Verdana" w:eastAsia="Verdana" w:hAnsi="Verdana" w:cs="Verdana"/>
        </w:rPr>
        <w:t>,</w:t>
      </w:r>
      <w:r w:rsidR="008636C3" w:rsidRPr="008636C3">
        <w:rPr>
          <w:rFonts w:ascii="Verdana" w:eastAsia="Verdana" w:hAnsi="Verdana" w:cs="Verdana"/>
        </w:rPr>
        <w:t xml:space="preserve"> en lo relacionado con la identificación, declaración, actualización y divulgación de su condición como Personas Expuestas Políticamente —cuando a ello haya lugar—, así como con la adopción de las medidas de debida diligencia, transparencia y control que correspondan, sin que dicha obligación se extienda a quienes, pese a participar en actuaciones contractuales específicas, no ostenten cargos ni ejerzan funciones que, por su naturaleza y alcance, configuren la referida condición.</w:t>
      </w:r>
    </w:p>
    <w:p w14:paraId="4ABD224B" w14:textId="21A1FFD2" w:rsidR="005F520B" w:rsidRPr="006A4EF9" w:rsidRDefault="00227235" w:rsidP="005F520B">
      <w:pPr>
        <w:spacing w:after="0" w:line="276" w:lineRule="auto"/>
        <w:ind w:firstLine="709"/>
        <w:jc w:val="both"/>
        <w:rPr>
          <w:rFonts w:ascii="Verdana" w:eastAsia="Times New Roman" w:hAnsi="Verdana" w:cs="Times New Roman"/>
          <w:lang w:eastAsia="es-ES"/>
        </w:rPr>
      </w:pPr>
      <w:r>
        <w:rPr>
          <w:rFonts w:ascii="Verdana" w:eastAsia="Verdana" w:hAnsi="Verdana" w:cs="Verdana"/>
        </w:rPr>
        <w:t xml:space="preserve"> </w:t>
      </w:r>
      <w:r w:rsidR="005F520B" w:rsidRPr="006A4EF9">
        <w:rPr>
          <w:rFonts w:ascii="Verdana" w:eastAsia="Calibri" w:hAnsi="Verdana" w:cs="Arial"/>
        </w:rPr>
        <w:t xml:space="preserve">Finalmente, es pertinente indicar que Colombia Compra Eficiente,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Por ello, serán las entidades públicas que adelantan el proceso de contratación, las facultadas para determinar en cada caso particular y concreto, con los principios básicos y las normas que rigen el EGCAP.  </w:t>
      </w:r>
      <w:r w:rsidR="005F520B" w:rsidRPr="006A4EF9">
        <w:rPr>
          <w:rFonts w:ascii="Verdana" w:eastAsia="Times New Roman" w:hAnsi="Verdana" w:cs="Times New Roman"/>
          <w:lang w:eastAsia="es-ES"/>
        </w:rPr>
        <w:t xml:space="preserve">En otras palabras, los conceptos de esta Agencia tienen como objeto la interpretación de normas de carácter general, esto es, del ordenamiento jurídico en abstracto, no la resolución de controversias o la asesoría para casos concretos; además, no son vinculantes o de obligatorio cumplimiento para el </w:t>
      </w:r>
      <w:r w:rsidR="005F520B" w:rsidRPr="006A4EF9">
        <w:rPr>
          <w:rFonts w:ascii="Verdana" w:eastAsia="Times New Roman" w:hAnsi="Verdana" w:cs="Times New Roman"/>
          <w:lang w:eastAsia="es-ES"/>
        </w:rPr>
        <w:lastRenderedPageBreak/>
        <w:t>destinatario, sino que expresan la posición interpretativa del organismo que elabora el concepto.</w:t>
      </w:r>
      <w:bookmarkEnd w:id="1"/>
      <w:bookmarkEnd w:id="2"/>
    </w:p>
    <w:p w14:paraId="54D96745" w14:textId="77777777" w:rsidR="005F520B" w:rsidRPr="0089716B" w:rsidRDefault="005F520B" w:rsidP="005F520B">
      <w:pPr>
        <w:spacing w:after="0" w:line="276" w:lineRule="auto"/>
        <w:ind w:firstLine="709"/>
        <w:jc w:val="both"/>
        <w:rPr>
          <w:rFonts w:ascii="Verdana" w:eastAsia="Times New Roman" w:hAnsi="Verdana" w:cs="Times New Roman"/>
          <w:lang w:eastAsia="es-ES"/>
        </w:rPr>
      </w:pPr>
    </w:p>
    <w:p w14:paraId="335B9B9B" w14:textId="77777777" w:rsidR="005F520B" w:rsidRPr="0089716B" w:rsidRDefault="005F520B" w:rsidP="005F520B">
      <w:pPr>
        <w:spacing w:after="120" w:line="276" w:lineRule="auto"/>
        <w:jc w:val="both"/>
        <w:rPr>
          <w:rFonts w:ascii="Verdana" w:eastAsia="Century Gothic" w:hAnsi="Verdana" w:cs="Century Gothic"/>
          <w:b/>
          <w:lang w:val="es-ES"/>
        </w:rPr>
      </w:pPr>
      <w:r w:rsidRPr="0089716B">
        <w:rPr>
          <w:rFonts w:ascii="Verdana" w:eastAsia="Century Gothic" w:hAnsi="Verdana" w:cs="Century Gothic"/>
          <w:b/>
          <w:lang w:val="es-ES"/>
        </w:rPr>
        <w:t>4. Referencias normativas, jurisprudenciales y otras fuentes:</w:t>
      </w: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F520B" w:rsidRPr="007645FA" w14:paraId="005591A2" w14:textId="77777777">
        <w:trPr>
          <w:trHeight w:val="870"/>
        </w:trPr>
        <w:tc>
          <w:tcPr>
            <w:tcW w:w="8647" w:type="dxa"/>
          </w:tcPr>
          <w:p w14:paraId="5C6D6578" w14:textId="3AB96723" w:rsidR="005F520B" w:rsidRPr="002A4441" w:rsidRDefault="005F520B">
            <w:pPr>
              <w:pStyle w:val="Prrafodelista"/>
              <w:widowControl w:val="0"/>
              <w:numPr>
                <w:ilvl w:val="0"/>
                <w:numId w:val="16"/>
              </w:numPr>
              <w:autoSpaceDE w:val="0"/>
              <w:autoSpaceDN w:val="0"/>
              <w:spacing w:before="120" w:after="120" w:line="276" w:lineRule="auto"/>
              <w:jc w:val="both"/>
              <w:rPr>
                <w:rFonts w:ascii="Verdana" w:hAnsi="Verdana" w:cs="Arial"/>
              </w:rPr>
            </w:pPr>
            <w:r w:rsidRPr="0027710F">
              <w:rPr>
                <w:rFonts w:ascii="Verdana" w:hAnsi="Verdana" w:cs="Arial"/>
              </w:rPr>
              <w:t>Decreto 1081 de 2015. Artículo</w:t>
            </w:r>
            <w:r>
              <w:rPr>
                <w:rFonts w:ascii="Verdana" w:hAnsi="Verdana" w:cs="Arial"/>
              </w:rPr>
              <w:t>s</w:t>
            </w:r>
            <w:r w:rsidRPr="0027710F">
              <w:rPr>
                <w:rFonts w:ascii="Verdana" w:hAnsi="Verdana" w:cs="Arial"/>
              </w:rPr>
              <w:t xml:space="preserve"> 2.1.4.2.2</w:t>
            </w:r>
            <w:r w:rsidR="007926DC">
              <w:rPr>
                <w:rFonts w:ascii="Verdana" w:hAnsi="Verdana" w:cs="Arial"/>
              </w:rPr>
              <w:t xml:space="preserve">, </w:t>
            </w:r>
            <w:r w:rsidRPr="0027710F">
              <w:rPr>
                <w:rFonts w:ascii="Verdana" w:hAnsi="Verdana" w:cs="Arial"/>
              </w:rPr>
              <w:t>2.1.4.2.3</w:t>
            </w:r>
            <w:r w:rsidR="007926DC">
              <w:rPr>
                <w:rFonts w:ascii="Verdana" w:hAnsi="Verdana" w:cs="Arial"/>
              </w:rPr>
              <w:t xml:space="preserve">, </w:t>
            </w:r>
            <w:r w:rsidR="007926DC" w:rsidRPr="008636C3">
              <w:rPr>
                <w:rFonts w:ascii="Verdana" w:eastAsia="Verdana" w:hAnsi="Verdana" w:cs="Verdana"/>
              </w:rPr>
              <w:t>2.1.4.2.4 y 2.1.4.2.5</w:t>
            </w:r>
            <w:r w:rsidR="00A148A3" w:rsidRPr="0027710F">
              <w:rPr>
                <w:rFonts w:ascii="Verdana" w:hAnsi="Verdana" w:cs="Arial"/>
              </w:rPr>
              <w:t>.</w:t>
            </w:r>
          </w:p>
          <w:p w14:paraId="6BDA9677" w14:textId="4CA76536" w:rsidR="005F520B" w:rsidRDefault="005F520B">
            <w:pPr>
              <w:pStyle w:val="Prrafodelista"/>
              <w:widowControl w:val="0"/>
              <w:numPr>
                <w:ilvl w:val="0"/>
                <w:numId w:val="16"/>
              </w:numPr>
              <w:autoSpaceDE w:val="0"/>
              <w:autoSpaceDN w:val="0"/>
              <w:spacing w:before="120" w:after="120" w:line="276" w:lineRule="auto"/>
              <w:jc w:val="both"/>
              <w:rPr>
                <w:rFonts w:ascii="Verdana" w:hAnsi="Verdana" w:cs="Arial"/>
              </w:rPr>
            </w:pPr>
            <w:r w:rsidRPr="0027710F">
              <w:rPr>
                <w:rFonts w:ascii="Verdana" w:hAnsi="Verdana" w:cs="Arial"/>
              </w:rPr>
              <w:t>Decreto 830 de 2021. Artículo</w:t>
            </w:r>
            <w:r w:rsidR="007926DC">
              <w:rPr>
                <w:rFonts w:ascii="Verdana" w:hAnsi="Verdana" w:cs="Arial"/>
              </w:rPr>
              <w:t>s</w:t>
            </w:r>
            <w:r w:rsidRPr="0027710F">
              <w:rPr>
                <w:rFonts w:ascii="Verdana" w:hAnsi="Verdana" w:cs="Arial"/>
              </w:rPr>
              <w:t xml:space="preserve"> 1</w:t>
            </w:r>
            <w:r w:rsidR="00694413">
              <w:rPr>
                <w:rFonts w:ascii="Verdana" w:hAnsi="Verdana" w:cs="Arial"/>
              </w:rPr>
              <w:t>, 2 y 3.</w:t>
            </w:r>
          </w:p>
          <w:p w14:paraId="3BCB4652" w14:textId="04764C81" w:rsidR="005F520B" w:rsidRPr="001A73BD" w:rsidRDefault="005F520B">
            <w:pPr>
              <w:pStyle w:val="Prrafodelista"/>
              <w:widowControl w:val="0"/>
              <w:numPr>
                <w:ilvl w:val="0"/>
                <w:numId w:val="16"/>
              </w:numPr>
              <w:autoSpaceDE w:val="0"/>
              <w:autoSpaceDN w:val="0"/>
              <w:spacing w:before="120" w:after="120" w:line="276" w:lineRule="auto"/>
              <w:jc w:val="both"/>
              <w:rPr>
                <w:rFonts w:ascii="Verdana" w:hAnsi="Verdana" w:cs="Arial"/>
              </w:rPr>
            </w:pPr>
            <w:r w:rsidRPr="001A73BD">
              <w:rPr>
                <w:rFonts w:ascii="Verdana" w:hAnsi="Verdana" w:cs="Arial"/>
              </w:rPr>
              <w:t>Departamento Administrativo de la Función Pública</w:t>
            </w:r>
            <w:r>
              <w:rPr>
                <w:rFonts w:ascii="Verdana" w:hAnsi="Verdana" w:cs="Arial"/>
              </w:rPr>
              <w:t xml:space="preserve">. </w:t>
            </w:r>
            <w:r w:rsidRPr="002A4441">
              <w:rPr>
                <w:rFonts w:ascii="Verdana" w:hAnsi="Verdana" w:cs="Arial"/>
              </w:rPr>
              <w:t xml:space="preserve">Concepto 357981 </w:t>
            </w:r>
            <w:r w:rsidR="00B06B62" w:rsidRPr="003D5E43">
              <w:rPr>
                <w:rFonts w:ascii="Verdana" w:hAnsi="Verdana" w:cs="Arial"/>
              </w:rPr>
              <w:t xml:space="preserve">del 29 de septiembre de 2021. Disponible en: </w:t>
            </w:r>
            <w:hyperlink r:id="rId13" w:history="1">
              <w:r w:rsidR="00B06B62" w:rsidRPr="003D5E43">
                <w:rPr>
                  <w:rStyle w:val="Hipervnculo"/>
                  <w:rFonts w:ascii="Verdana" w:hAnsi="Verdana" w:cs="Arial"/>
                </w:rPr>
                <w:t>https://www.funcionpublica.gov.co/eva/gestornormativo/norma.php?i=174041&amp;utm</w:t>
              </w:r>
            </w:hyperlink>
            <w:r w:rsidR="00B06B62" w:rsidRPr="003D5E43">
              <w:rPr>
                <w:rFonts w:ascii="Verdana" w:hAnsi="Verdana" w:cs="Arial"/>
              </w:rPr>
              <w:t xml:space="preserve"> </w:t>
            </w:r>
          </w:p>
        </w:tc>
      </w:tr>
    </w:tbl>
    <w:p w14:paraId="6DC09F28" w14:textId="77777777" w:rsidR="005F520B" w:rsidRPr="007645FA" w:rsidRDefault="005F520B" w:rsidP="005F520B">
      <w:pPr>
        <w:widowControl w:val="0"/>
        <w:autoSpaceDE w:val="0"/>
        <w:autoSpaceDN w:val="0"/>
        <w:spacing w:after="0" w:line="276" w:lineRule="auto"/>
        <w:jc w:val="both"/>
        <w:rPr>
          <w:rFonts w:ascii="Verdana" w:hAnsi="Verdana" w:cs="Arial"/>
          <w:highlight w:val="yellow"/>
          <w:lang w:val="es-ES"/>
        </w:rPr>
      </w:pPr>
    </w:p>
    <w:p w14:paraId="11A6C14A" w14:textId="77777777" w:rsidR="005F520B" w:rsidRPr="0089716B" w:rsidRDefault="005F520B" w:rsidP="005F520B">
      <w:pPr>
        <w:tabs>
          <w:tab w:val="left" w:pos="142"/>
          <w:tab w:val="left" w:pos="284"/>
        </w:tabs>
        <w:spacing w:after="0" w:line="276" w:lineRule="auto"/>
        <w:jc w:val="both"/>
        <w:rPr>
          <w:rFonts w:ascii="Verdana" w:eastAsia="Century Gothic" w:hAnsi="Verdana" w:cs="Century Gothic"/>
          <w:b/>
          <w:lang w:val="es-ES"/>
        </w:rPr>
      </w:pPr>
      <w:r w:rsidRPr="0089716B">
        <w:rPr>
          <w:rFonts w:ascii="Verdana" w:eastAsia="Century Gothic" w:hAnsi="Verdana" w:cs="Century Gothic"/>
          <w:b/>
          <w:lang w:val="es-ES"/>
        </w:rPr>
        <w:t>5. Doctrina de la Agencia Nacional de Contratación Pública:</w:t>
      </w:r>
    </w:p>
    <w:p w14:paraId="4551EA35" w14:textId="77777777" w:rsidR="005F520B" w:rsidRPr="007645FA" w:rsidRDefault="005F520B" w:rsidP="005F520B">
      <w:pPr>
        <w:widowControl w:val="0"/>
        <w:autoSpaceDE w:val="0"/>
        <w:autoSpaceDN w:val="0"/>
        <w:spacing w:after="0" w:line="276" w:lineRule="auto"/>
        <w:jc w:val="both"/>
        <w:rPr>
          <w:rFonts w:ascii="Verdana" w:hAnsi="Verdana" w:cs="Arial"/>
          <w:highlight w:val="yellow"/>
          <w:lang w:val="es-ES"/>
        </w:rPr>
      </w:pPr>
    </w:p>
    <w:p w14:paraId="2BAE882E" w14:textId="66A61CAE" w:rsidR="005F520B" w:rsidRPr="0089716B" w:rsidRDefault="005F520B" w:rsidP="005F520B">
      <w:pPr>
        <w:spacing w:after="0" w:line="276" w:lineRule="auto"/>
        <w:jc w:val="both"/>
        <w:rPr>
          <w:rFonts w:ascii="Verdana" w:hAnsi="Verdana"/>
          <w:color w:val="806000" w:themeColor="accent4" w:themeShade="80"/>
          <w:lang w:val="es-ES"/>
        </w:rPr>
      </w:pPr>
      <w:r w:rsidRPr="00564EB5">
        <w:rPr>
          <w:rFonts w:ascii="Verdana" w:eastAsia="Calibri" w:hAnsi="Verdana" w:cs="Arial"/>
          <w:lang w:val="es-ES"/>
        </w:rPr>
        <w:t>La Agencia Nacional de Contratación Pública –Colombia Compra Eficiente</w:t>
      </w:r>
      <w:r w:rsidR="008A0907">
        <w:rPr>
          <w:rFonts w:ascii="Verdana" w:eastAsia="Calibri" w:hAnsi="Verdana" w:cs="Arial"/>
          <w:lang w:val="es-ES"/>
        </w:rPr>
        <w:t>–</w:t>
      </w:r>
      <w:r w:rsidRPr="00564EB5">
        <w:rPr>
          <w:rFonts w:ascii="Verdana" w:eastAsia="Calibri" w:hAnsi="Verdana" w:cs="Arial"/>
          <w:lang w:val="es-ES"/>
        </w:rPr>
        <w:t xml:space="preserve"> se ha </w:t>
      </w:r>
      <w:r w:rsidRPr="001751E8">
        <w:rPr>
          <w:rFonts w:ascii="Verdana" w:eastAsia="Calibri" w:hAnsi="Verdana" w:cs="Arial"/>
          <w:lang w:val="es-ES"/>
        </w:rPr>
        <w:t xml:space="preserve">referido </w:t>
      </w:r>
      <w:r w:rsidRPr="001751E8">
        <w:rPr>
          <w:rFonts w:ascii="Verdana" w:hAnsi="Verdana" w:cs="Arial"/>
          <w:shd w:val="clear" w:color="auto" w:fill="FFFFFF"/>
          <w:lang w:val="es-ES"/>
        </w:rPr>
        <w:t xml:space="preserve">sobre el Decreto 1081 de 2015, en los conceptos con radicado </w:t>
      </w:r>
      <w:r w:rsidRPr="001751E8">
        <w:rPr>
          <w:rFonts w:ascii="Verdana" w:eastAsia="Calibri" w:hAnsi="Verdana" w:cs="Arial"/>
          <w:lang w:val="es-ES_tradnl" w:eastAsia="es-ES_tradnl"/>
        </w:rPr>
        <w:t>C-123 del 24 de julio del 2024,</w:t>
      </w:r>
      <w:r w:rsidRPr="001751E8">
        <w:rPr>
          <w:rFonts w:ascii="Verdana" w:hAnsi="Verdana" w:cs="Arial"/>
          <w:shd w:val="clear" w:color="auto" w:fill="FFFFFF"/>
          <w:lang w:val="es-ES"/>
        </w:rPr>
        <w:t xml:space="preserve"> </w:t>
      </w:r>
      <w:r w:rsidRPr="001751E8">
        <w:rPr>
          <w:rFonts w:ascii="Verdana" w:eastAsia="Calibri" w:hAnsi="Verdana" w:cs="Arial"/>
          <w:lang w:val="es-ES_tradnl" w:eastAsia="es-ES_tradnl"/>
        </w:rPr>
        <w:t>C-983 del 11 de agosto de 2025,</w:t>
      </w:r>
      <w:r w:rsidRPr="001751E8">
        <w:rPr>
          <w:rFonts w:ascii="Verdana" w:hAnsi="Verdana" w:cs="Arial"/>
          <w:shd w:val="clear" w:color="auto" w:fill="FFFFFF"/>
          <w:lang w:val="es-ES"/>
        </w:rPr>
        <w:t xml:space="preserve"> </w:t>
      </w:r>
      <w:r w:rsidRPr="001751E8">
        <w:rPr>
          <w:rFonts w:ascii="Verdana" w:eastAsia="Calibri" w:hAnsi="Verdana" w:cs="Arial"/>
          <w:lang w:val="es-ES_tradnl" w:eastAsia="es-ES_tradnl"/>
        </w:rPr>
        <w:t>C-1328 del 01 de octubre del 2025, C-1172 del 28 de octubre de 2025</w:t>
      </w:r>
      <w:r w:rsidRPr="001751E8">
        <w:rPr>
          <w:rFonts w:ascii="Verdana" w:hAnsi="Verdana" w:cs="Arial"/>
          <w:shd w:val="clear" w:color="auto" w:fill="FFFFFF"/>
          <w:lang w:val="es-ES"/>
        </w:rPr>
        <w:t xml:space="preserve">, </w:t>
      </w:r>
      <w:r w:rsidRPr="001751E8">
        <w:rPr>
          <w:rFonts w:ascii="Verdana" w:eastAsia="Calibri" w:hAnsi="Verdana" w:cs="Arial"/>
          <w:lang w:val="es-ES_tradnl" w:eastAsia="es-ES_tradnl"/>
        </w:rPr>
        <w:t>C</w:t>
      </w:r>
      <w:r w:rsidRPr="00C83E82">
        <w:rPr>
          <w:rFonts w:ascii="Verdana" w:eastAsia="Calibri" w:hAnsi="Verdana" w:cs="Arial"/>
          <w:lang w:val="es-ES_tradnl" w:eastAsia="es-ES_tradnl"/>
        </w:rPr>
        <w:t>-1594 del 11 de diciembre de 2025</w:t>
      </w:r>
      <w:r w:rsidRPr="00C83E82">
        <w:rPr>
          <w:rFonts w:ascii="Verdana" w:hAnsi="Verdana" w:cs="Arial"/>
          <w:shd w:val="clear" w:color="auto" w:fill="FFFFFF"/>
          <w:lang w:val="es-ES"/>
        </w:rPr>
        <w:t xml:space="preserve"> y </w:t>
      </w:r>
      <w:r w:rsidRPr="00C83E82">
        <w:rPr>
          <w:rFonts w:ascii="Verdana" w:eastAsia="Calibri" w:hAnsi="Verdana" w:cs="Arial"/>
          <w:lang w:val="es-ES_tradnl" w:eastAsia="es-ES_tradnl"/>
        </w:rPr>
        <w:t>C-1692 del 30 de diciembre de 2025</w:t>
      </w:r>
      <w:r w:rsidRPr="00C83E82">
        <w:rPr>
          <w:rFonts w:ascii="Verdana" w:eastAsia="Calibri" w:hAnsi="Verdana" w:cs="Arial"/>
          <w:lang w:val="es-ES_tradnl" w:eastAsia="es-ES"/>
        </w:rPr>
        <w:t>, entre otros.</w:t>
      </w:r>
      <w:r w:rsidR="008A0907">
        <w:rPr>
          <w:rFonts w:ascii="Verdana" w:hAnsi="Verdana" w:cs="Arial"/>
          <w:shd w:val="clear" w:color="auto" w:fill="FFFFFF"/>
          <w:lang w:val="es-ES"/>
        </w:rPr>
        <w:t xml:space="preserve"> </w:t>
      </w:r>
      <w:r w:rsidRPr="0089716B">
        <w:rPr>
          <w:rFonts w:ascii="Verdana" w:hAnsi="Verdana" w:cs="Arial"/>
          <w:shd w:val="clear" w:color="auto" w:fill="FFFFFF"/>
          <w:lang w:val="es-ES"/>
        </w:rPr>
        <w:t>Estos</w:t>
      </w:r>
      <w:r w:rsidRPr="0089716B">
        <w:rPr>
          <w:rFonts w:ascii="Verdana" w:hAnsi="Verdana"/>
          <w:lang w:val="es-ES"/>
        </w:rPr>
        <w:t xml:space="preserve"> y otros se encuentran disponibles para consulta en el Sistema de relatoría de la Agencia, al cual se puede acceder a través del siguiente enlace:</w:t>
      </w:r>
      <w:r w:rsidRPr="0089716B">
        <w:rPr>
          <w:rFonts w:ascii="Verdana" w:hAnsi="Verdana" w:cs="Arial"/>
          <w:shd w:val="clear" w:color="auto" w:fill="FFFFFF"/>
          <w:lang w:val="es-ES"/>
        </w:rPr>
        <w:t xml:space="preserve"> </w:t>
      </w:r>
      <w:hyperlink r:id="rId14" w:history="1">
        <w:r w:rsidRPr="0089716B">
          <w:rPr>
            <w:rStyle w:val="Hipervnculo"/>
            <w:rFonts w:ascii="Verdana" w:hAnsi="Verdana" w:cs="Arial"/>
            <w:shd w:val="clear" w:color="auto" w:fill="FFFFFF"/>
            <w:lang w:val="es-ES"/>
          </w:rPr>
          <w:t>https://relatoria.colombiacompra.gov.co/busqueda/conceptos</w:t>
        </w:r>
      </w:hyperlink>
    </w:p>
    <w:p w14:paraId="61AB0CB3" w14:textId="77777777" w:rsidR="005F520B" w:rsidRPr="0089716B" w:rsidRDefault="005F520B" w:rsidP="005F520B">
      <w:pPr>
        <w:spacing w:after="0"/>
        <w:jc w:val="both"/>
        <w:rPr>
          <w:rFonts w:ascii="Verdana" w:hAnsi="Verdana" w:cs="Arial"/>
          <w:color w:val="806000" w:themeColor="accent4" w:themeShade="80"/>
          <w:shd w:val="clear" w:color="auto" w:fill="FFFFFF"/>
          <w:lang w:val="es-ES"/>
        </w:rPr>
      </w:pPr>
    </w:p>
    <w:p w14:paraId="7A132483" w14:textId="77777777" w:rsidR="005F520B" w:rsidRPr="0089716B" w:rsidRDefault="005F520B" w:rsidP="005F520B">
      <w:pPr>
        <w:spacing w:after="0"/>
        <w:jc w:val="both"/>
        <w:rPr>
          <w:rFonts w:ascii="Verdana" w:hAnsi="Verdana" w:cs="Arial"/>
          <w:shd w:val="clear" w:color="auto" w:fill="FFFFFF"/>
        </w:rPr>
      </w:pPr>
      <w:r w:rsidRPr="0089716B">
        <w:rPr>
          <w:rFonts w:ascii="Verdana" w:hAnsi="Verdana" w:cs="Arial"/>
          <w:shd w:val="clear" w:color="auto" w:fill="FFFFFF"/>
        </w:rPr>
        <w:t>También le contamos que ya se encuentra disponible la </w:t>
      </w:r>
      <w:r w:rsidRPr="0089716B">
        <w:rPr>
          <w:rFonts w:ascii="Verdana" w:hAnsi="Verdana" w:cs="Arial"/>
          <w:b/>
          <w:bCs/>
          <w:shd w:val="clear" w:color="auto" w:fill="FFFFFF"/>
        </w:rPr>
        <w:t>Guía de lineamientos de transparencia y selección objetiva para el departamento de La Guajira – Objetivo sexto constitucional de la Sentencia T-302 del 2017. </w:t>
      </w:r>
      <w:r w:rsidRPr="0089716B">
        <w:rPr>
          <w:rFonts w:ascii="Verdana" w:hAnsi="Verdana" w:cs="Arial"/>
          <w:shd w:val="clear" w:color="auto" w:fill="FFFFFF"/>
        </w:rPr>
        <w:t>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Puede consultar la guía en el siguiente enlace: </w:t>
      </w:r>
      <w:hyperlink r:id="rId15" w:tgtFrame="_blank" w:tooltip="Dirección URL original: https://www.colombiacompra.gov.co/wp-content/uploads/2025/05/GUIA-DE-LINEAMIENTOS-DE-TRANSPARENCIA-Y-SELECCION-OBJETIVA-1.0.pdf. Haga clic o pulse si confía en este vínculo." w:history="1">
        <w:r w:rsidRPr="0089716B">
          <w:rPr>
            <w:rStyle w:val="Hipervnculo"/>
            <w:rFonts w:ascii="Verdana" w:hAnsi="Verdana"/>
          </w:rPr>
          <w:t>Guía de lineamientos de transparencia y selección objetiva para el departamento de La Guajira – Objetivo sexto constitucional de la Sentencia T-302 del 2017</w:t>
        </w:r>
      </w:hyperlink>
    </w:p>
    <w:p w14:paraId="4B6CAE99" w14:textId="77777777" w:rsidR="005F520B" w:rsidRPr="0089716B" w:rsidRDefault="005F520B" w:rsidP="005F520B">
      <w:pPr>
        <w:spacing w:after="0"/>
        <w:jc w:val="both"/>
        <w:rPr>
          <w:rFonts w:ascii="Verdana" w:hAnsi="Verdana" w:cs="Arial"/>
          <w:color w:val="806000" w:themeColor="accent4" w:themeShade="80"/>
          <w:shd w:val="clear" w:color="auto" w:fill="FFFFFF"/>
        </w:rPr>
      </w:pPr>
    </w:p>
    <w:p w14:paraId="23730AE9" w14:textId="77777777" w:rsidR="005F520B" w:rsidRPr="0089716B" w:rsidRDefault="005F520B" w:rsidP="005F520B">
      <w:pPr>
        <w:spacing w:after="0"/>
        <w:jc w:val="both"/>
        <w:rPr>
          <w:rFonts w:ascii="Verdana" w:hAnsi="Verdana" w:cs="Arial"/>
          <w:shd w:val="clear" w:color="auto" w:fill="FFFFFF"/>
        </w:rPr>
      </w:pPr>
      <w:r w:rsidRPr="0089716B">
        <w:rPr>
          <w:rFonts w:ascii="Verdana" w:hAnsi="Verdana" w:cs="Arial"/>
          <w:shd w:val="clear" w:color="auto" w:fill="FFFFFF"/>
        </w:rPr>
        <w:lastRenderedPageBreak/>
        <w:t xml:space="preserve">Por último, lo invitamos a seguirnos en las redes sociales en las cuales se difunde información institucional: </w:t>
      </w:r>
    </w:p>
    <w:p w14:paraId="0F7652A1" w14:textId="77777777" w:rsidR="005F520B" w:rsidRPr="0089716B" w:rsidRDefault="005F520B" w:rsidP="005F520B">
      <w:pPr>
        <w:spacing w:after="0"/>
        <w:jc w:val="both"/>
        <w:rPr>
          <w:rFonts w:ascii="Verdana" w:hAnsi="Verdana" w:cs="Arial"/>
          <w:color w:val="806000" w:themeColor="accent4" w:themeShade="80"/>
          <w:shd w:val="clear" w:color="auto" w:fill="FFFFFF"/>
        </w:rPr>
      </w:pPr>
    </w:p>
    <w:p w14:paraId="494CB6FD" w14:textId="77777777" w:rsidR="005F520B" w:rsidRPr="0089716B" w:rsidRDefault="005F520B" w:rsidP="005F520B">
      <w:pPr>
        <w:spacing w:after="0"/>
        <w:jc w:val="both"/>
        <w:rPr>
          <w:rFonts w:ascii="Verdana" w:hAnsi="Verdana" w:cs="Arial"/>
          <w:shd w:val="clear" w:color="auto" w:fill="FFFFFF"/>
        </w:rPr>
      </w:pPr>
      <w:r w:rsidRPr="0089716B">
        <w:rPr>
          <w:rFonts w:ascii="Verdana" w:hAnsi="Verdana" w:cs="Arial"/>
          <w:shd w:val="clear" w:color="auto" w:fill="FFFFFF"/>
        </w:rPr>
        <w:t xml:space="preserve">Twitter: </w:t>
      </w:r>
      <w:r w:rsidRPr="0089716B">
        <w:rPr>
          <w:rStyle w:val="Hipervnculo"/>
          <w:rFonts w:ascii="Verdana" w:hAnsi="Verdana"/>
          <w:lang w:val="es-ES"/>
        </w:rPr>
        <w:t xml:space="preserve">@colombiacompra </w:t>
      </w:r>
    </w:p>
    <w:p w14:paraId="1F14F336" w14:textId="77777777" w:rsidR="005F520B" w:rsidRPr="0089716B" w:rsidRDefault="005F520B" w:rsidP="005F520B">
      <w:pPr>
        <w:spacing w:after="0"/>
        <w:jc w:val="both"/>
        <w:rPr>
          <w:rFonts w:ascii="Verdana" w:hAnsi="Verdana" w:cs="Arial"/>
          <w:shd w:val="clear" w:color="auto" w:fill="FFFFFF"/>
        </w:rPr>
      </w:pPr>
      <w:r w:rsidRPr="0089716B">
        <w:rPr>
          <w:rFonts w:ascii="Verdana" w:hAnsi="Verdana" w:cs="Arial"/>
          <w:shd w:val="clear" w:color="auto" w:fill="FFFFFF"/>
        </w:rPr>
        <w:t>Facebook:</w:t>
      </w:r>
      <w:r w:rsidRPr="0089716B">
        <w:rPr>
          <w:rStyle w:val="Hipervnculo"/>
          <w:rFonts w:ascii="Verdana" w:hAnsi="Verdana"/>
          <w:color w:val="auto"/>
          <w:lang w:val="es-ES"/>
        </w:rPr>
        <w:t xml:space="preserve"> </w:t>
      </w:r>
      <w:r w:rsidRPr="0089716B">
        <w:rPr>
          <w:rStyle w:val="Hipervnculo"/>
          <w:rFonts w:ascii="Verdana" w:hAnsi="Verdana"/>
          <w:lang w:val="es-ES"/>
        </w:rPr>
        <w:t>ColombiaCompraEficiente</w:t>
      </w:r>
    </w:p>
    <w:p w14:paraId="01C3164B" w14:textId="77777777" w:rsidR="005F520B" w:rsidRPr="0089716B" w:rsidRDefault="005F520B" w:rsidP="005F520B">
      <w:pPr>
        <w:spacing w:after="0"/>
        <w:jc w:val="both"/>
        <w:rPr>
          <w:rFonts w:ascii="Verdana" w:hAnsi="Verdana" w:cs="Arial"/>
          <w:shd w:val="clear" w:color="auto" w:fill="FFFFFF"/>
        </w:rPr>
      </w:pPr>
      <w:r w:rsidRPr="0089716B">
        <w:rPr>
          <w:rFonts w:ascii="Verdana" w:hAnsi="Verdana" w:cs="Arial"/>
          <w:shd w:val="clear" w:color="auto" w:fill="FFFFFF"/>
        </w:rPr>
        <w:t xml:space="preserve">LinkedIn: </w:t>
      </w:r>
      <w:r w:rsidRPr="0089716B">
        <w:rPr>
          <w:rStyle w:val="Hipervnculo"/>
          <w:rFonts w:ascii="Verdana" w:hAnsi="Verdana"/>
          <w:lang w:val="es-ES"/>
        </w:rPr>
        <w:t>Agencia Nacional de Contratación Pública - Colombia Compra Eficiente</w:t>
      </w:r>
      <w:r w:rsidRPr="0089716B">
        <w:rPr>
          <w:rFonts w:ascii="Verdana" w:hAnsi="Verdana" w:cs="Arial"/>
          <w:color w:val="0000FF"/>
          <w:shd w:val="clear" w:color="auto" w:fill="FFFFFF"/>
        </w:rPr>
        <w:t xml:space="preserve"> </w:t>
      </w:r>
    </w:p>
    <w:p w14:paraId="343AED26" w14:textId="77777777" w:rsidR="005F520B" w:rsidRPr="0089716B" w:rsidRDefault="005F520B" w:rsidP="005F520B">
      <w:pPr>
        <w:spacing w:after="0"/>
        <w:jc w:val="both"/>
        <w:rPr>
          <w:rFonts w:ascii="Verdana" w:hAnsi="Verdana" w:cs="Arial"/>
          <w:color w:val="0000FF"/>
          <w:shd w:val="clear" w:color="auto" w:fill="FFFFFF"/>
        </w:rPr>
      </w:pPr>
      <w:r w:rsidRPr="0089716B">
        <w:rPr>
          <w:rFonts w:ascii="Verdana" w:hAnsi="Verdana" w:cs="Arial"/>
          <w:shd w:val="clear" w:color="auto" w:fill="FFFFFF"/>
        </w:rPr>
        <w:t xml:space="preserve">Instagram: </w:t>
      </w:r>
      <w:r w:rsidRPr="0089716B">
        <w:rPr>
          <w:rStyle w:val="Hipervnculo"/>
          <w:rFonts w:ascii="Verdana" w:hAnsi="Verdana"/>
          <w:lang w:val="es-ES"/>
        </w:rPr>
        <w:t>@colombiacompraeficiente_cce</w:t>
      </w:r>
    </w:p>
    <w:p w14:paraId="53A8A399" w14:textId="77777777" w:rsidR="005F520B" w:rsidRPr="0089716B" w:rsidRDefault="005F520B" w:rsidP="005F520B">
      <w:pPr>
        <w:widowControl w:val="0"/>
        <w:autoSpaceDE w:val="0"/>
        <w:autoSpaceDN w:val="0"/>
        <w:spacing w:after="0" w:line="276" w:lineRule="auto"/>
        <w:jc w:val="both"/>
        <w:rPr>
          <w:rFonts w:ascii="Verdana" w:hAnsi="Verdana" w:cs="Arial"/>
          <w:color w:val="806000" w:themeColor="accent4" w:themeShade="80"/>
          <w:lang w:val="es-ES"/>
        </w:rPr>
      </w:pPr>
    </w:p>
    <w:p w14:paraId="0798F86E" w14:textId="77777777" w:rsidR="005F520B" w:rsidRPr="0089716B" w:rsidRDefault="005F520B" w:rsidP="005F520B">
      <w:pPr>
        <w:widowControl w:val="0"/>
        <w:autoSpaceDE w:val="0"/>
        <w:autoSpaceDN w:val="0"/>
        <w:spacing w:after="0" w:line="276" w:lineRule="auto"/>
        <w:jc w:val="both"/>
        <w:rPr>
          <w:rFonts w:ascii="Verdana" w:hAnsi="Verdana" w:cs="Arial"/>
          <w:lang w:val="es-ES"/>
        </w:rPr>
      </w:pPr>
      <w:r w:rsidRPr="0089716B">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127F5141" w14:textId="77777777" w:rsidR="005F520B" w:rsidRPr="0089716B" w:rsidRDefault="005F520B" w:rsidP="005F520B">
      <w:pPr>
        <w:widowControl w:val="0"/>
        <w:autoSpaceDE w:val="0"/>
        <w:autoSpaceDN w:val="0"/>
        <w:spacing w:after="0" w:line="276" w:lineRule="auto"/>
        <w:jc w:val="both"/>
        <w:rPr>
          <w:rFonts w:ascii="Verdana" w:hAnsi="Verdana" w:cs="Arial"/>
          <w:color w:val="806000" w:themeColor="accent4" w:themeShade="80"/>
          <w:lang w:val="es-ES"/>
        </w:rPr>
      </w:pPr>
    </w:p>
    <w:p w14:paraId="395CF46B" w14:textId="77777777" w:rsidR="005F520B" w:rsidRDefault="005F520B" w:rsidP="005F520B">
      <w:pPr>
        <w:spacing w:after="0" w:line="276" w:lineRule="auto"/>
        <w:rPr>
          <w:rFonts w:ascii="Verdana" w:hAnsi="Verdana" w:cs="Arial"/>
          <w:lang w:val="es-ES" w:eastAsia="es-CO"/>
        </w:rPr>
      </w:pPr>
      <w:r w:rsidRPr="0089716B">
        <w:rPr>
          <w:rFonts w:ascii="Verdana" w:eastAsia="Times New Roman" w:hAnsi="Verdana" w:cs="Arial"/>
          <w:lang w:val="es-ES" w:eastAsia="es-CO"/>
        </w:rPr>
        <w:t>Atentamente,</w:t>
      </w:r>
      <w:r w:rsidRPr="0089716B">
        <w:rPr>
          <w:rFonts w:ascii="Verdana" w:hAnsi="Verdana" w:cs="Arial"/>
          <w:lang w:val="es-ES" w:eastAsia="es-CO"/>
        </w:rPr>
        <w:t xml:space="preserve"> </w:t>
      </w:r>
    </w:p>
    <w:p w14:paraId="242D25A9" w14:textId="24210E34" w:rsidR="005F520B" w:rsidRPr="0089716B" w:rsidRDefault="0070140B" w:rsidP="005F520B">
      <w:pPr>
        <w:spacing w:after="0" w:line="276" w:lineRule="auto"/>
        <w:rPr>
          <w:rFonts w:ascii="Verdana" w:hAnsi="Verdana" w:cs="Arial"/>
          <w:lang w:val="es-ES" w:eastAsia="es-CO"/>
        </w:rPr>
      </w:pPr>
      <w:r w:rsidRPr="0070140B">
        <w:rPr>
          <w:rFonts w:ascii="Verdana" w:hAnsi="Verdana"/>
          <w:noProof/>
        </w:rPr>
        <w:drawing>
          <wp:anchor distT="0" distB="0" distL="114300" distR="114300" simplePos="0" relativeHeight="251659264" behindDoc="1" locked="0" layoutInCell="1" allowOverlap="1" wp14:anchorId="0BDF8CDE" wp14:editId="232AAB72">
            <wp:simplePos x="0" y="0"/>
            <wp:positionH relativeFrom="margin">
              <wp:align>center</wp:align>
            </wp:positionH>
            <wp:positionV relativeFrom="paragraph">
              <wp:posOffset>147408</wp:posOffset>
            </wp:positionV>
            <wp:extent cx="2943636" cy="1286054"/>
            <wp:effectExtent l="0" t="0" r="9525" b="0"/>
            <wp:wrapTight wrapText="bothSides">
              <wp:wrapPolygon edited="0">
                <wp:start x="0" y="0"/>
                <wp:lineTo x="0" y="21120"/>
                <wp:lineTo x="21530" y="21120"/>
                <wp:lineTo x="21530" y="0"/>
                <wp:lineTo x="0" y="0"/>
              </wp:wrapPolygon>
            </wp:wrapTight>
            <wp:docPr id="1167027801"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7027801" name="Imagen 1" descr="Texto&#10;&#10;El contenido generado por IA puede ser incorrecto."/>
                    <pic:cNvPicPr/>
                  </pic:nvPicPr>
                  <pic:blipFill>
                    <a:blip r:embed="rId16">
                      <a:extLst>
                        <a:ext uri="{28A0092B-C50C-407E-A947-70E740481C1C}">
                          <a14:useLocalDpi xmlns:a14="http://schemas.microsoft.com/office/drawing/2010/main" val="0"/>
                        </a:ext>
                      </a:extLst>
                    </a:blip>
                    <a:stretch>
                      <a:fillRect/>
                    </a:stretch>
                  </pic:blipFill>
                  <pic:spPr>
                    <a:xfrm>
                      <a:off x="0" y="0"/>
                      <a:ext cx="2943636" cy="1286054"/>
                    </a:xfrm>
                    <a:prstGeom prst="rect">
                      <a:avLst/>
                    </a:prstGeom>
                  </pic:spPr>
                </pic:pic>
              </a:graphicData>
            </a:graphic>
          </wp:anchor>
        </w:drawing>
      </w:r>
    </w:p>
    <w:p w14:paraId="3E19837D" w14:textId="0757C06E" w:rsidR="005F520B" w:rsidRPr="007645FA" w:rsidRDefault="005F520B" w:rsidP="005F520B">
      <w:pPr>
        <w:spacing w:after="0" w:line="276" w:lineRule="auto"/>
        <w:jc w:val="center"/>
        <w:rPr>
          <w:rFonts w:ascii="Verdana" w:hAnsi="Verdana"/>
          <w:noProof/>
          <w:highlight w:val="yellow"/>
        </w:rPr>
      </w:pPr>
    </w:p>
    <w:p w14:paraId="73D62B59" w14:textId="7B631B73" w:rsidR="005F520B" w:rsidRPr="007645FA" w:rsidRDefault="005F520B" w:rsidP="005F520B">
      <w:pPr>
        <w:spacing w:after="0" w:line="276" w:lineRule="auto"/>
        <w:jc w:val="center"/>
        <w:rPr>
          <w:rFonts w:ascii="Verdana" w:hAnsi="Verdana"/>
          <w:noProof/>
          <w:highlight w:val="yellow"/>
        </w:rPr>
      </w:pPr>
    </w:p>
    <w:p w14:paraId="7A49E678" w14:textId="77777777" w:rsidR="005F520B" w:rsidRPr="007645FA" w:rsidRDefault="005F520B" w:rsidP="005F520B">
      <w:pPr>
        <w:spacing w:after="0" w:line="276" w:lineRule="auto"/>
        <w:jc w:val="center"/>
        <w:rPr>
          <w:rFonts w:ascii="Verdana" w:hAnsi="Verdana"/>
          <w:noProof/>
          <w:highlight w:val="yellow"/>
        </w:rPr>
      </w:pPr>
    </w:p>
    <w:p w14:paraId="001B9497" w14:textId="1A1FB145" w:rsidR="005F520B" w:rsidRPr="007645FA" w:rsidRDefault="005F520B" w:rsidP="005F520B">
      <w:pPr>
        <w:spacing w:after="0" w:line="276" w:lineRule="auto"/>
        <w:jc w:val="center"/>
        <w:rPr>
          <w:rFonts w:ascii="Verdana" w:hAnsi="Verdana"/>
          <w:noProof/>
          <w:highlight w:val="yellow"/>
        </w:rPr>
      </w:pPr>
    </w:p>
    <w:p w14:paraId="3D20163C" w14:textId="77777777" w:rsidR="005F520B" w:rsidRPr="007645FA" w:rsidRDefault="005F520B" w:rsidP="005F520B">
      <w:pPr>
        <w:spacing w:after="0" w:line="276" w:lineRule="auto"/>
        <w:jc w:val="center"/>
        <w:rPr>
          <w:rFonts w:ascii="Verdana" w:hAnsi="Verdana" w:cs="Arial"/>
          <w:highlight w:val="yellow"/>
          <w:lang w:val="es-ES" w:eastAsia="es-CO"/>
        </w:rPr>
      </w:pPr>
    </w:p>
    <w:p w14:paraId="1301CA2D" w14:textId="77777777" w:rsidR="005F520B" w:rsidRPr="007645FA" w:rsidRDefault="005F520B" w:rsidP="005F520B">
      <w:pPr>
        <w:spacing w:after="0" w:line="276" w:lineRule="auto"/>
        <w:jc w:val="center"/>
        <w:rPr>
          <w:rFonts w:ascii="Verdana" w:hAnsi="Verdana" w:cs="Arial"/>
          <w:highlight w:val="yellow"/>
          <w:lang w:val="es-ES" w:eastAsia="es-CO"/>
        </w:rPr>
      </w:pPr>
    </w:p>
    <w:p w14:paraId="1CB9ADD5" w14:textId="77777777" w:rsidR="0070140B" w:rsidRPr="007645FA" w:rsidRDefault="0070140B" w:rsidP="005F520B">
      <w:pPr>
        <w:spacing w:after="0" w:line="276" w:lineRule="auto"/>
        <w:rPr>
          <w:rFonts w:ascii="Verdana" w:hAnsi="Verdana" w:cs="Arial"/>
          <w:highlight w:val="yellow"/>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5F520B" w:rsidRPr="0089716B" w14:paraId="1A3FFB12" w14:textId="77777777">
        <w:trPr>
          <w:trHeight w:val="315"/>
        </w:trPr>
        <w:tc>
          <w:tcPr>
            <w:tcW w:w="893" w:type="dxa"/>
            <w:vAlign w:val="center"/>
            <w:hideMark/>
          </w:tcPr>
          <w:p w14:paraId="4AAE3EC0" w14:textId="77777777" w:rsidR="005F520B" w:rsidRPr="0089716B" w:rsidRDefault="005F520B">
            <w:pPr>
              <w:contextualSpacing/>
              <w:rPr>
                <w:rFonts w:ascii="Verdana" w:hAnsi="Verdana" w:cs="Arial"/>
                <w:sz w:val="16"/>
                <w:szCs w:val="16"/>
                <w:lang w:val="es-ES" w:eastAsia="es-ES"/>
              </w:rPr>
            </w:pPr>
            <w:r w:rsidRPr="0089716B">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9AA3BC5" w14:textId="77777777" w:rsidR="005F520B" w:rsidRPr="0089716B" w:rsidRDefault="005F520B">
            <w:pPr>
              <w:rPr>
                <w:rFonts w:ascii="Verdana" w:eastAsia="Times New Roman" w:hAnsi="Verdana" w:cs="Arial"/>
                <w:sz w:val="16"/>
                <w:szCs w:val="16"/>
                <w:lang w:eastAsia="es-ES"/>
              </w:rPr>
            </w:pPr>
            <w:r w:rsidRPr="0089716B">
              <w:rPr>
                <w:rFonts w:ascii="Verdana" w:eastAsia="Times New Roman" w:hAnsi="Verdana" w:cs="Arial"/>
                <w:sz w:val="16"/>
                <w:szCs w:val="16"/>
                <w:lang w:eastAsia="es-ES"/>
              </w:rPr>
              <w:t>Camila Alejandra Naranjo Gómez</w:t>
            </w:r>
          </w:p>
          <w:p w14:paraId="32C3BD3F" w14:textId="77777777" w:rsidR="005F520B" w:rsidRPr="0089716B" w:rsidRDefault="005F520B">
            <w:pPr>
              <w:contextualSpacing/>
              <w:rPr>
                <w:rFonts w:ascii="Verdana" w:eastAsia="Arial" w:hAnsi="Verdana" w:cs="Arial"/>
                <w:sz w:val="16"/>
                <w:szCs w:val="16"/>
                <w:lang w:val="es-ES"/>
              </w:rPr>
            </w:pPr>
            <w:r w:rsidRPr="0089716B">
              <w:rPr>
                <w:rFonts w:ascii="Verdana" w:eastAsia="Times New Roman" w:hAnsi="Verdana" w:cs="Arial"/>
                <w:sz w:val="16"/>
                <w:szCs w:val="16"/>
                <w:lang w:eastAsia="es-ES"/>
              </w:rPr>
              <w:t>Analista T2-</w:t>
            </w:r>
            <w:r>
              <w:rPr>
                <w:rFonts w:ascii="Verdana" w:eastAsia="Times New Roman" w:hAnsi="Verdana" w:cs="Arial"/>
                <w:sz w:val="16"/>
                <w:szCs w:val="16"/>
                <w:lang w:eastAsia="es-ES"/>
              </w:rPr>
              <w:t>02</w:t>
            </w:r>
            <w:r w:rsidRPr="0089716B">
              <w:rPr>
                <w:rFonts w:ascii="Verdana" w:eastAsia="Times New Roman" w:hAnsi="Verdana" w:cs="Arial"/>
                <w:sz w:val="16"/>
                <w:szCs w:val="16"/>
                <w:lang w:eastAsia="es-ES"/>
              </w:rPr>
              <w:t xml:space="preserve"> de la Subdirección de Gestión Contractual</w:t>
            </w:r>
          </w:p>
        </w:tc>
      </w:tr>
      <w:tr w:rsidR="005F520B" w:rsidRPr="0089716B" w14:paraId="176C91B7" w14:textId="77777777">
        <w:trPr>
          <w:trHeight w:val="330"/>
        </w:trPr>
        <w:tc>
          <w:tcPr>
            <w:tcW w:w="893" w:type="dxa"/>
            <w:vAlign w:val="center"/>
            <w:hideMark/>
          </w:tcPr>
          <w:p w14:paraId="238FAB92" w14:textId="77777777" w:rsidR="005F520B" w:rsidRPr="0089716B" w:rsidRDefault="005F520B">
            <w:pPr>
              <w:contextualSpacing/>
              <w:rPr>
                <w:rFonts w:ascii="Verdana" w:hAnsi="Verdana" w:cs="Arial"/>
                <w:sz w:val="16"/>
                <w:szCs w:val="16"/>
                <w:lang w:val="es-ES" w:eastAsia="es-ES"/>
              </w:rPr>
            </w:pPr>
            <w:r w:rsidRPr="0089716B">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9B5C532" w14:textId="77777777" w:rsidR="005F520B" w:rsidRPr="0089716B" w:rsidRDefault="005F520B">
            <w:pPr>
              <w:rPr>
                <w:rFonts w:ascii="Verdana" w:eastAsia="Times New Roman" w:hAnsi="Verdana" w:cs="Arial"/>
                <w:sz w:val="16"/>
                <w:szCs w:val="16"/>
                <w:lang w:eastAsia="es-ES"/>
              </w:rPr>
            </w:pPr>
            <w:r w:rsidRPr="0089716B">
              <w:rPr>
                <w:rFonts w:ascii="Verdana" w:eastAsia="Times New Roman" w:hAnsi="Verdana" w:cs="Arial"/>
                <w:sz w:val="16"/>
                <w:szCs w:val="16"/>
                <w:lang w:eastAsia="es-ES"/>
              </w:rPr>
              <w:t>Alejandro Sarmiento Cantillo</w:t>
            </w:r>
          </w:p>
          <w:p w14:paraId="2D5B021B" w14:textId="77777777" w:rsidR="005F520B" w:rsidRPr="0089716B" w:rsidRDefault="005F520B">
            <w:pPr>
              <w:pStyle w:val="paragraph"/>
              <w:spacing w:before="0" w:beforeAutospacing="0" w:after="0" w:afterAutospacing="0"/>
              <w:contextualSpacing/>
              <w:textAlignment w:val="baseline"/>
              <w:rPr>
                <w:rFonts w:ascii="Verdana" w:hAnsi="Verdana" w:cs="Segoe UI"/>
                <w:sz w:val="16"/>
                <w:szCs w:val="16"/>
                <w:lang w:val="es-ES"/>
              </w:rPr>
            </w:pPr>
            <w:r w:rsidRPr="0089716B">
              <w:rPr>
                <w:rFonts w:ascii="Verdana" w:hAnsi="Verdana" w:cs="Arial"/>
                <w:sz w:val="16"/>
                <w:szCs w:val="16"/>
                <w:lang w:eastAsia="es-ES"/>
              </w:rPr>
              <w:t>Gestor T1 ‒ 15 de la Subdirección de Gestión Contractual</w:t>
            </w:r>
          </w:p>
        </w:tc>
      </w:tr>
      <w:tr w:rsidR="005F520B" w:rsidRPr="0089716B" w14:paraId="7B21F496" w14:textId="77777777">
        <w:trPr>
          <w:trHeight w:val="300"/>
        </w:trPr>
        <w:tc>
          <w:tcPr>
            <w:tcW w:w="893" w:type="dxa"/>
            <w:vAlign w:val="center"/>
          </w:tcPr>
          <w:p w14:paraId="3B1ECD08" w14:textId="77777777" w:rsidR="005F520B" w:rsidRPr="0089716B" w:rsidRDefault="005F520B">
            <w:pPr>
              <w:contextualSpacing/>
              <w:rPr>
                <w:rFonts w:ascii="Verdana" w:hAnsi="Verdana" w:cs="Arial"/>
                <w:sz w:val="16"/>
                <w:szCs w:val="16"/>
                <w:lang w:val="es-ES" w:eastAsia="es-ES"/>
              </w:rPr>
            </w:pPr>
            <w:r w:rsidRPr="0089716B">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7AC848C" w14:textId="77777777" w:rsidR="005F520B" w:rsidRPr="0089716B" w:rsidRDefault="005F520B">
            <w:pPr>
              <w:contextualSpacing/>
              <w:rPr>
                <w:rFonts w:ascii="Verdana" w:eastAsia="Calibri" w:hAnsi="Verdana" w:cs="Arial"/>
                <w:sz w:val="16"/>
                <w:szCs w:val="16"/>
                <w:lang w:val="es-ES" w:eastAsia="es-ES"/>
              </w:rPr>
            </w:pPr>
            <w:r w:rsidRPr="0089716B">
              <w:rPr>
                <w:rFonts w:ascii="Verdana" w:eastAsia="Calibri" w:hAnsi="Verdana" w:cs="Arial"/>
                <w:sz w:val="16"/>
                <w:szCs w:val="16"/>
                <w:lang w:val="es-ES" w:eastAsia="es-ES"/>
              </w:rPr>
              <w:t>Carolina Quintero Gacharná</w:t>
            </w:r>
          </w:p>
          <w:p w14:paraId="2065C421" w14:textId="77777777" w:rsidR="005F520B" w:rsidRPr="0089716B" w:rsidRDefault="005F520B">
            <w:pPr>
              <w:contextualSpacing/>
              <w:rPr>
                <w:rFonts w:ascii="Verdana" w:eastAsia="Calibri" w:hAnsi="Verdana" w:cs="Arial"/>
                <w:sz w:val="16"/>
                <w:szCs w:val="16"/>
                <w:lang w:val="es-ES" w:eastAsia="es-ES"/>
              </w:rPr>
            </w:pPr>
            <w:r w:rsidRPr="0089716B">
              <w:rPr>
                <w:rFonts w:ascii="Verdana" w:eastAsia="Calibri" w:hAnsi="Verdana" w:cs="Arial"/>
                <w:sz w:val="16"/>
                <w:szCs w:val="16"/>
                <w:lang w:val="es-ES" w:eastAsia="es-ES"/>
              </w:rPr>
              <w:t>Subdirectora de Gestión Contractual ANCP – CCE</w:t>
            </w:r>
          </w:p>
        </w:tc>
      </w:tr>
      <w:bookmarkEnd w:id="0"/>
    </w:tbl>
    <w:p w14:paraId="60B10D16" w14:textId="77777777" w:rsidR="005F520B" w:rsidRPr="00835586" w:rsidRDefault="005F520B" w:rsidP="005F520B">
      <w:pPr>
        <w:spacing w:after="120" w:line="276" w:lineRule="auto"/>
        <w:jc w:val="both"/>
        <w:rPr>
          <w:rFonts w:ascii="Verdana" w:eastAsia="Century Gothic" w:hAnsi="Verdana" w:cs="Century Gothic"/>
          <w:b/>
          <w:color w:val="806000" w:themeColor="accent4" w:themeShade="80"/>
          <w:lang w:val="es-ES"/>
        </w:rPr>
      </w:pPr>
    </w:p>
    <w:p w14:paraId="0F293BF4" w14:textId="0058AF47" w:rsidR="00127233" w:rsidRPr="005F520B" w:rsidRDefault="00127233" w:rsidP="005F520B">
      <w:pPr>
        <w:rPr>
          <w:lang w:val="es-ES"/>
        </w:rPr>
      </w:pPr>
    </w:p>
    <w:sectPr w:rsidR="00127233" w:rsidRPr="005F520B"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EC773D" w14:textId="77777777" w:rsidR="00B72E94" w:rsidRDefault="00B72E94" w:rsidP="004A1847">
      <w:pPr>
        <w:spacing w:after="0" w:line="240" w:lineRule="auto"/>
      </w:pPr>
      <w:r>
        <w:separator/>
      </w:r>
    </w:p>
  </w:endnote>
  <w:endnote w:type="continuationSeparator" w:id="0">
    <w:p w14:paraId="584E31AA" w14:textId="77777777" w:rsidR="00B72E94" w:rsidRDefault="00B72E94"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00503000000020004"/>
    <w:charset w:val="00"/>
    <w:family w:val="modern"/>
    <w:notTrueType/>
    <w:pitch w:val="variable"/>
    <w:sig w:usb0="A000002F" w:usb1="1000004A" w:usb2="00000000" w:usb3="00000000" w:csb0="00000193" w:csb1="00000000"/>
  </w:font>
  <w:font w:name="Geomanist">
    <w:altName w:val="Calibri"/>
    <w:panose1 w:val="020005030000000200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00503000000020004"/>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C41246" w14:textId="77777777" w:rsidR="00B72E94" w:rsidRDefault="00B72E94" w:rsidP="004A1847">
      <w:pPr>
        <w:spacing w:after="0" w:line="240" w:lineRule="auto"/>
      </w:pPr>
      <w:r>
        <w:separator/>
      </w:r>
    </w:p>
  </w:footnote>
  <w:footnote w:type="continuationSeparator" w:id="0">
    <w:p w14:paraId="2B06304A" w14:textId="77777777" w:rsidR="00B72E94" w:rsidRDefault="00B72E94" w:rsidP="004A1847">
      <w:pPr>
        <w:spacing w:after="0" w:line="240" w:lineRule="auto"/>
      </w:pPr>
      <w:r>
        <w:continuationSeparator/>
      </w:r>
    </w:p>
  </w:footnote>
  <w:footnote w:id="1">
    <w:p w14:paraId="7D2DDD16" w14:textId="77777777" w:rsidR="008F1EDA" w:rsidRPr="00B06B62" w:rsidRDefault="008F1EDA" w:rsidP="003D5E43">
      <w:pPr>
        <w:tabs>
          <w:tab w:val="left" w:pos="426"/>
        </w:tabs>
        <w:spacing w:after="0" w:line="240" w:lineRule="auto"/>
        <w:ind w:firstLine="709"/>
        <w:jc w:val="both"/>
        <w:rPr>
          <w:rFonts w:ascii="Verdana" w:hAnsi="Verdana"/>
          <w:sz w:val="16"/>
          <w:szCs w:val="16"/>
        </w:rPr>
      </w:pPr>
      <w:r w:rsidRPr="00B06B62">
        <w:rPr>
          <w:rStyle w:val="Refdenotaalpie"/>
          <w:rFonts w:ascii="Verdana" w:hAnsi="Verdana"/>
          <w:sz w:val="16"/>
          <w:szCs w:val="16"/>
        </w:rPr>
        <w:footnoteRef/>
      </w:r>
      <w:r w:rsidRPr="00B06B62">
        <w:rPr>
          <w:rFonts w:ascii="Verdana" w:hAnsi="Verdana"/>
          <w:sz w:val="16"/>
          <w:szCs w:val="16"/>
        </w:rPr>
        <w:t xml:space="preserve">  La doctrina administrativa del Sector de la Función Pública se ha referido sobre la aplicabilidad e lo dispuesto en el artículo a los contratistas del Estado, indicando: </w:t>
      </w:r>
      <w:r w:rsidRPr="00B06B62">
        <w:rPr>
          <w:rFonts w:ascii="Verdana" w:hAnsi="Verdana"/>
          <w:sz w:val="16"/>
          <w:szCs w:val="16"/>
          <w:lang w:val="es-ES"/>
        </w:rPr>
        <w:t>“[… ]</w:t>
      </w:r>
      <w:r w:rsidRPr="00B06B62">
        <w:rPr>
          <w:rFonts w:ascii="Verdana" w:hAnsi="Verdana"/>
          <w:sz w:val="16"/>
          <w:szCs w:val="16"/>
        </w:rPr>
        <w:t>a pesar de que la lista de PEP que hace el artículo </w:t>
      </w:r>
      <w:hyperlink r:id="rId1" w:anchor="2.1.4.2.3" w:history="1">
        <w:r w:rsidRPr="00B06B62">
          <w:rPr>
            <w:rStyle w:val="Hipervnculo"/>
            <w:rFonts w:ascii="Verdana" w:hAnsi="Verdana"/>
            <w:color w:val="auto"/>
            <w:sz w:val="16"/>
            <w:szCs w:val="16"/>
            <w:u w:val="none"/>
          </w:rPr>
          <w:t>2.1.4.2.3</w:t>
        </w:r>
      </w:hyperlink>
      <w:r w:rsidRPr="00B06B62">
        <w:rPr>
          <w:rFonts w:ascii="Verdana" w:hAnsi="Verdana"/>
          <w:sz w:val="16"/>
          <w:szCs w:val="16"/>
        </w:rPr>
        <w:t xml:space="preserve"> del citado Decreto es meramente enunciativa, la norma es muy clara al estableces que únicamente serán considerados como personas expuestas políticamente los servidores públicos y los particulares que ejerzan las funciones o cargos establecidos en el mencionado artículo.[…] En ese orden de ideas y en respuesta a su consulta, esta Dirección Jurídica considera que los contratistas del Estado no deberán considerarse como personas expuestas políticamente (PEP).” </w:t>
      </w:r>
      <w:r w:rsidRPr="00B06B62">
        <w:rPr>
          <w:rFonts w:ascii="Verdana" w:hAnsi="Verdana" w:cs="Arial"/>
          <w:sz w:val="16"/>
          <w:szCs w:val="16"/>
        </w:rPr>
        <w:t xml:space="preserve">Departamento Administrativo de la Función Pública. Concepto 357981 del 29 de septiembre de 2021. Disponible en: </w:t>
      </w:r>
      <w:hyperlink r:id="rId2" w:history="1">
        <w:r w:rsidRPr="00B06B62">
          <w:rPr>
            <w:rStyle w:val="Hipervnculo"/>
            <w:rFonts w:ascii="Verdana" w:hAnsi="Verdana" w:cs="Arial"/>
            <w:sz w:val="16"/>
            <w:szCs w:val="16"/>
          </w:rPr>
          <w:t>https://www.funcionpublica.gov.co/eva/gestornormativo/norma.php?i=174041&amp;utm</w:t>
        </w:r>
      </w:hyperlink>
      <w:r w:rsidRPr="00B06B62">
        <w:rPr>
          <w:rFonts w:ascii="Verdana" w:hAnsi="Verdana" w:cs="Arial"/>
          <w:sz w:val="16"/>
          <w:szCs w:val="16"/>
        </w:rPr>
        <w:t xml:space="preserve"> </w:t>
      </w:r>
    </w:p>
  </w:footnote>
  <w:footnote w:id="2">
    <w:p w14:paraId="6E37BE06" w14:textId="7B2B1C2F" w:rsidR="00B31795" w:rsidRPr="003D5E43" w:rsidRDefault="00C00F6D" w:rsidP="003D5E43">
      <w:pPr>
        <w:pStyle w:val="Textonotapie"/>
        <w:ind w:firstLine="709"/>
        <w:jc w:val="both"/>
        <w:rPr>
          <w:rFonts w:ascii="Verdana" w:hAnsi="Verdana"/>
          <w:sz w:val="16"/>
          <w:szCs w:val="16"/>
          <w:lang w:val="es-CO"/>
        </w:rPr>
      </w:pPr>
      <w:r w:rsidRPr="003D5E43">
        <w:rPr>
          <w:rStyle w:val="Refdenotaalpie"/>
          <w:rFonts w:ascii="Verdana" w:hAnsi="Verdana"/>
          <w:sz w:val="16"/>
          <w:szCs w:val="16"/>
        </w:rPr>
        <w:footnoteRef/>
      </w:r>
      <w:r w:rsidRPr="003D5E43">
        <w:rPr>
          <w:rFonts w:ascii="Verdana" w:hAnsi="Verdana"/>
          <w:sz w:val="16"/>
          <w:szCs w:val="16"/>
        </w:rPr>
        <w:t xml:space="preserve"> </w:t>
      </w:r>
      <w:r w:rsidR="00B31795" w:rsidRPr="003D5E43">
        <w:rPr>
          <w:rFonts w:ascii="Verdana" w:hAnsi="Verdana"/>
          <w:sz w:val="16"/>
          <w:szCs w:val="16"/>
        </w:rPr>
        <w:t>Decreto 1081 de 2015: “</w:t>
      </w:r>
      <w:r w:rsidR="00B31795" w:rsidRPr="003D5E43">
        <w:rPr>
          <w:rFonts w:ascii="Verdana" w:hAnsi="Verdana"/>
          <w:sz w:val="16"/>
          <w:szCs w:val="16"/>
          <w:lang w:val="es-CO"/>
        </w:rPr>
        <w:t>Artículo 2.1.4.2.4.</w:t>
      </w:r>
      <w:r w:rsidR="00057AD3" w:rsidRPr="003D5E43">
        <w:rPr>
          <w:rFonts w:ascii="Verdana" w:hAnsi="Verdana"/>
          <w:sz w:val="16"/>
          <w:szCs w:val="16"/>
          <w:lang w:val="es-CO"/>
        </w:rPr>
        <w:t xml:space="preserve"> </w:t>
      </w:r>
      <w:r w:rsidR="00B31795" w:rsidRPr="003D5E43">
        <w:rPr>
          <w:rFonts w:ascii="Verdana" w:hAnsi="Verdana"/>
          <w:i/>
          <w:iCs/>
          <w:sz w:val="16"/>
          <w:szCs w:val="16"/>
          <w:lang w:val="es-CO"/>
        </w:rPr>
        <w:t>Obligación de las Personas Expuestas Políticamente y de las entidades. </w:t>
      </w:r>
      <w:r w:rsidR="00B31795" w:rsidRPr="003D5E43">
        <w:rPr>
          <w:rFonts w:ascii="Verdana" w:hAnsi="Verdana"/>
          <w:sz w:val="16"/>
          <w:szCs w:val="16"/>
          <w:lang w:val="es-CO"/>
        </w:rPr>
        <w:t>Personas consideradas como Personas Expuestas Políticamente (PEP) informarán su cargo, fecha de vinculación y fecha de desvinculación durante la debida diligencia realizada en los procesos de vinculación, monitoreo y actualización de los datos del cliente, a los sujetos obligados del artículo 2.1.4.2.2.  </w:t>
      </w:r>
    </w:p>
    <w:p w14:paraId="14C4D847" w14:textId="77777777" w:rsidR="00B31795" w:rsidRPr="003D5E43" w:rsidRDefault="00B31795" w:rsidP="003D5E43">
      <w:pPr>
        <w:pStyle w:val="Textonotapie"/>
        <w:jc w:val="both"/>
        <w:rPr>
          <w:rFonts w:ascii="Verdana" w:hAnsi="Verdana"/>
          <w:sz w:val="16"/>
          <w:szCs w:val="16"/>
          <w:lang w:val="es-CO"/>
        </w:rPr>
      </w:pPr>
      <w:r w:rsidRPr="003D5E43">
        <w:rPr>
          <w:rFonts w:ascii="Verdana" w:hAnsi="Verdana"/>
          <w:sz w:val="16"/>
          <w:szCs w:val="16"/>
          <w:lang w:val="es-CO"/>
        </w:rPr>
        <w:t>  </w:t>
      </w:r>
      <w:r w:rsidR="00057AD3" w:rsidRPr="003D5E43">
        <w:rPr>
          <w:rFonts w:ascii="Verdana" w:hAnsi="Verdana"/>
          <w:sz w:val="16"/>
          <w:szCs w:val="16"/>
          <w:lang w:val="es-CO"/>
        </w:rPr>
        <w:tab/>
      </w:r>
      <w:r w:rsidRPr="003D5E43">
        <w:rPr>
          <w:rFonts w:ascii="Verdana" w:hAnsi="Verdana"/>
          <w:sz w:val="16"/>
          <w:szCs w:val="16"/>
          <w:lang w:val="es-CO"/>
        </w:rPr>
        <w:t>Las Personas Expuestas Políticamente deberán, además, declarar: (i) los nombres e identificación de las personas con las que tengan sociedad conyugal, de hecho, o de derecho; (ii) los nombres e identificación de sus familiares hasta segundo grado de consanguinidad, primero afinidad y primero civil; (iii) la existencia de cuentas financieras en algún país extranjero en caso de que tengan derecho o poder de firma o de otra índole sobre alguna; y (iv) los nombres e identificación de las personas jurídicas o naturales, patrimonios autónomos o fiducias conforme lo dispuesto en el artículo 2.1.4.2.3., del presente decreto.  </w:t>
      </w:r>
    </w:p>
    <w:p w14:paraId="2FCFC1EA" w14:textId="754B7D3C" w:rsidR="00B31795" w:rsidRPr="003D5E43" w:rsidRDefault="00B31795" w:rsidP="003D5E43">
      <w:pPr>
        <w:pStyle w:val="Textonotapie"/>
        <w:jc w:val="both"/>
        <w:rPr>
          <w:rFonts w:ascii="Verdana" w:hAnsi="Verdana"/>
          <w:sz w:val="16"/>
          <w:szCs w:val="16"/>
          <w:lang w:val="es-CO"/>
        </w:rPr>
      </w:pPr>
      <w:r w:rsidRPr="003D5E43">
        <w:rPr>
          <w:rFonts w:ascii="Verdana" w:hAnsi="Verdana"/>
          <w:sz w:val="16"/>
          <w:szCs w:val="16"/>
          <w:lang w:val="es-CO"/>
        </w:rPr>
        <w:t>  </w:t>
      </w:r>
      <w:r w:rsidR="00057AD3" w:rsidRPr="003D5E43">
        <w:rPr>
          <w:rFonts w:ascii="Verdana" w:hAnsi="Verdana"/>
          <w:sz w:val="16"/>
          <w:szCs w:val="16"/>
          <w:lang w:val="es-CO"/>
        </w:rPr>
        <w:tab/>
      </w:r>
      <w:r w:rsidRPr="003D5E43">
        <w:rPr>
          <w:rFonts w:ascii="Verdana" w:hAnsi="Verdana"/>
          <w:sz w:val="16"/>
          <w:szCs w:val="16"/>
          <w:lang w:val="es-CO"/>
        </w:rPr>
        <w:t>La declaración respecto de los numerales (i) y (ii) deberá efectuarse a las entidades financieras en donde se tenga un vínculo contractual o legal para el suministro de un producto o la prestación de un servicio financiero en Colombia a efectos de que la entidad financiera realice una revisión más detallada. La imposibilidad para entregar cualquier información por desconocimiento también quedará incluida en la declaración.  </w:t>
      </w:r>
    </w:p>
    <w:p w14:paraId="00B0DB3E" w14:textId="6FF67006" w:rsidR="00B31795" w:rsidRPr="003D5E43" w:rsidRDefault="00B31795" w:rsidP="003D5E43">
      <w:pPr>
        <w:pStyle w:val="Textonotapie"/>
        <w:jc w:val="both"/>
        <w:rPr>
          <w:rFonts w:ascii="Verdana" w:hAnsi="Verdana"/>
          <w:sz w:val="16"/>
          <w:szCs w:val="16"/>
          <w:lang w:val="es-CO"/>
        </w:rPr>
      </w:pPr>
      <w:r w:rsidRPr="003D5E43">
        <w:rPr>
          <w:rFonts w:ascii="Verdana" w:hAnsi="Verdana"/>
          <w:sz w:val="16"/>
          <w:szCs w:val="16"/>
          <w:lang w:val="es-CO"/>
        </w:rPr>
        <w:t>  </w:t>
      </w:r>
      <w:r w:rsidR="00057AD3" w:rsidRPr="00B06B62">
        <w:rPr>
          <w:rFonts w:ascii="Verdana" w:hAnsi="Verdana"/>
          <w:sz w:val="16"/>
          <w:szCs w:val="16"/>
          <w:lang w:val="es-CO"/>
        </w:rPr>
        <w:tab/>
      </w:r>
      <w:r w:rsidRPr="003D5E43">
        <w:rPr>
          <w:rFonts w:ascii="Verdana" w:hAnsi="Verdana"/>
          <w:sz w:val="16"/>
          <w:szCs w:val="16"/>
          <w:lang w:val="es-CO"/>
        </w:rPr>
        <w:t>La declaración mencionada en el numeral (iii) deberá efectuarse ante: (a) el intermediario del mercado cambiario; (b) las entidades financieras en donde posea producto o servicios financiero en Colombia, y (c) a los sujetos obligados al cumplimiento de la regulación vigente sobre el riesgo de lavado de activos y financiación del terrorismo.  </w:t>
      </w:r>
    </w:p>
    <w:p w14:paraId="3962927D" w14:textId="5B3BC6B7" w:rsidR="00B31795" w:rsidRPr="003D5E43" w:rsidRDefault="00B31795" w:rsidP="003D5E43">
      <w:pPr>
        <w:pStyle w:val="Textonotapie"/>
        <w:jc w:val="both"/>
        <w:rPr>
          <w:rFonts w:ascii="Verdana" w:hAnsi="Verdana"/>
          <w:sz w:val="16"/>
          <w:szCs w:val="16"/>
          <w:lang w:val="es-CO"/>
        </w:rPr>
      </w:pPr>
      <w:r w:rsidRPr="003D5E43">
        <w:rPr>
          <w:rFonts w:ascii="Verdana" w:hAnsi="Verdana"/>
          <w:sz w:val="16"/>
          <w:szCs w:val="16"/>
          <w:lang w:val="es-CO"/>
        </w:rPr>
        <w:t>  </w:t>
      </w:r>
      <w:r w:rsidR="00057AD3" w:rsidRPr="003D5E43">
        <w:rPr>
          <w:rFonts w:ascii="Verdana" w:hAnsi="Verdana"/>
          <w:sz w:val="16"/>
          <w:szCs w:val="16"/>
          <w:lang w:val="es-CO"/>
        </w:rPr>
        <w:tab/>
      </w:r>
      <w:r w:rsidRPr="003D5E43">
        <w:rPr>
          <w:rFonts w:ascii="Verdana" w:hAnsi="Verdana"/>
          <w:sz w:val="16"/>
          <w:szCs w:val="16"/>
          <w:lang w:val="es-CO"/>
        </w:rPr>
        <w:t>Para el caso de los servidores públicos relacionados de los numerales 1 al 14 del artículo 2.1.4.2.3, la información requerida también deberá ser consignada en el formato de declaración de bienes y rentas del Sistema de Información y Gestión del Empleo Público (SIGEP) o en el aplicativo que el Departamento Administrativo de la Función Pública disponga, y actualizada máximo sesenta (60) días calendario siguientes al cambio de alguna de las condiciones o requerimientos de información señalados</w:t>
      </w:r>
      <w:r w:rsidR="00057AD3" w:rsidRPr="003D5E43">
        <w:rPr>
          <w:rFonts w:ascii="Verdana" w:hAnsi="Verdana"/>
          <w:sz w:val="16"/>
          <w:szCs w:val="16"/>
          <w:lang w:val="es-CO"/>
        </w:rPr>
        <w:t>”</w:t>
      </w:r>
      <w:r w:rsidRPr="003D5E43">
        <w:rPr>
          <w:rFonts w:ascii="Verdana" w:hAnsi="Verdana"/>
          <w:sz w:val="16"/>
          <w:szCs w:val="16"/>
          <w:lang w:val="es-CO"/>
        </w:rPr>
        <w:t>.  </w:t>
      </w:r>
    </w:p>
    <w:p w14:paraId="6D57A3B6" w14:textId="159AA6EF" w:rsidR="00C00F6D" w:rsidRPr="003D5E43" w:rsidRDefault="00C00F6D" w:rsidP="003D5E43">
      <w:pPr>
        <w:pStyle w:val="Textonotapie"/>
        <w:jc w:val="both"/>
        <w:rPr>
          <w:rFonts w:ascii="Verdana" w:hAnsi="Verdana"/>
          <w:sz w:val="16"/>
          <w:szCs w:val="16"/>
        </w:rPr>
      </w:pPr>
    </w:p>
  </w:footnote>
  <w:footnote w:id="3">
    <w:p w14:paraId="049963C2" w14:textId="37207D34" w:rsidR="004A3833" w:rsidRPr="003D5E43" w:rsidRDefault="004A3833" w:rsidP="003D5E43">
      <w:pPr>
        <w:pStyle w:val="Textonotapie"/>
        <w:ind w:firstLine="708"/>
        <w:jc w:val="both"/>
        <w:rPr>
          <w:rFonts w:ascii="Verdana" w:hAnsi="Verdana"/>
          <w:sz w:val="16"/>
          <w:szCs w:val="16"/>
        </w:rPr>
      </w:pPr>
      <w:r w:rsidRPr="003D5E43">
        <w:rPr>
          <w:rStyle w:val="Refdenotaalpie"/>
          <w:rFonts w:ascii="Verdana" w:hAnsi="Verdana"/>
          <w:sz w:val="16"/>
          <w:szCs w:val="16"/>
        </w:rPr>
        <w:footnoteRef/>
      </w:r>
      <w:r w:rsidRPr="003D5E43">
        <w:rPr>
          <w:rFonts w:ascii="Verdana" w:hAnsi="Verdana"/>
          <w:sz w:val="16"/>
          <w:szCs w:val="16"/>
        </w:rPr>
        <w:t xml:space="preserve"> Decreto 1081 de 2015 </w:t>
      </w:r>
      <w:r w:rsidR="00A148A3" w:rsidRPr="003D5E43">
        <w:rPr>
          <w:rFonts w:ascii="Verdana" w:hAnsi="Verdana"/>
          <w:sz w:val="16"/>
          <w:szCs w:val="16"/>
        </w:rPr>
        <w:t>“</w:t>
      </w:r>
      <w:r w:rsidRPr="003D5E43">
        <w:rPr>
          <w:rFonts w:ascii="Verdana" w:hAnsi="Verdana"/>
          <w:sz w:val="16"/>
          <w:szCs w:val="16"/>
          <w:lang w:val="es-CO"/>
        </w:rPr>
        <w:t>Artículo 2.1.4.2.5.</w:t>
      </w:r>
      <w:r w:rsidR="00EF09E0">
        <w:rPr>
          <w:rFonts w:ascii="Verdana" w:hAnsi="Verdana"/>
          <w:sz w:val="16"/>
          <w:szCs w:val="16"/>
          <w:lang w:val="es-CO"/>
        </w:rPr>
        <w:t xml:space="preserve"> </w:t>
      </w:r>
      <w:r w:rsidRPr="003D5E43">
        <w:rPr>
          <w:rFonts w:ascii="Verdana" w:hAnsi="Verdana"/>
          <w:i/>
          <w:iCs/>
          <w:sz w:val="16"/>
          <w:szCs w:val="16"/>
          <w:lang w:val="es-CO"/>
        </w:rPr>
        <w:t>Escrutinio y colaboración sobre productos y servicios financieros de PEP. </w:t>
      </w:r>
      <w:r w:rsidRPr="003D5E43">
        <w:rPr>
          <w:rFonts w:ascii="Verdana" w:hAnsi="Verdana"/>
          <w:sz w:val="16"/>
          <w:szCs w:val="16"/>
          <w:lang w:val="es-CO"/>
        </w:rPr>
        <w:t>Los sujetos obligados al cumplimiento de la regulación vigente sobre el riesgo de lavado de activos y financiación del terrorismo y los sujetos de reporte de la Unidad de Información y Análisis Financiero (UIAF) brindarán toda la colaboración y asistencia necesaria para facilitar la obtención de información, evidencias y el escrutinio de productos y servicios financieros de PEP, por parte de los entes de vigilancia y control, la Fiscalía General de la Nación, la Dirección Nacional de Inteligencia y la Unidad de Información y Análisis Financiero, de conformidad con las estrictas competencias atribuidas por la ley y con respeto del debido proceso</w:t>
      </w:r>
      <w:r w:rsidR="00A148A3" w:rsidRPr="003D5E43">
        <w:rPr>
          <w:rFonts w:ascii="Verdana" w:hAnsi="Verdana"/>
          <w:sz w:val="16"/>
          <w:szCs w:val="16"/>
          <w:lang w:val="es-CO"/>
        </w:rPr>
        <w:t>”</w:t>
      </w:r>
      <w:r w:rsidRPr="003D5E43">
        <w:rPr>
          <w:rFonts w:ascii="Verdana" w:hAnsi="Verdana"/>
          <w:sz w:val="16"/>
          <w:szCs w:val="16"/>
          <w:lang w:val="es-CO"/>
        </w:rPr>
        <w:t>.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9pt;height:10.9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2"/>
  </w:num>
  <w:num w:numId="7" w16cid:durableId="1946422806">
    <w:abstractNumId w:val="4"/>
  </w:num>
  <w:num w:numId="8" w16cid:durableId="152644682">
    <w:abstractNumId w:val="11"/>
  </w:num>
  <w:num w:numId="9" w16cid:durableId="1317221377">
    <w:abstractNumId w:val="6"/>
  </w:num>
  <w:num w:numId="10" w16cid:durableId="1471245386">
    <w:abstractNumId w:val="10"/>
  </w:num>
  <w:num w:numId="11" w16cid:durableId="289172385">
    <w:abstractNumId w:val="7"/>
  </w:num>
  <w:num w:numId="12" w16cid:durableId="1470781324">
    <w:abstractNumId w:val="0"/>
  </w:num>
  <w:num w:numId="13" w16cid:durableId="1512908409">
    <w:abstractNumId w:val="2"/>
  </w:num>
  <w:num w:numId="14" w16cid:durableId="895897244">
    <w:abstractNumId w:val="13"/>
  </w:num>
  <w:num w:numId="15" w16cid:durableId="390349800">
    <w:abstractNumId w:val="9"/>
  </w:num>
  <w:num w:numId="16" w16cid:durableId="15325584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17C42"/>
    <w:rsid w:val="0002298C"/>
    <w:rsid w:val="00043BCE"/>
    <w:rsid w:val="00046945"/>
    <w:rsid w:val="00057AD3"/>
    <w:rsid w:val="00061B2A"/>
    <w:rsid w:val="00077BE8"/>
    <w:rsid w:val="00082362"/>
    <w:rsid w:val="00084F96"/>
    <w:rsid w:val="00097C2E"/>
    <w:rsid w:val="000A683E"/>
    <w:rsid w:val="000B19B9"/>
    <w:rsid w:val="000D0334"/>
    <w:rsid w:val="000D1021"/>
    <w:rsid w:val="000D5DA7"/>
    <w:rsid w:val="000E431E"/>
    <w:rsid w:val="000F476E"/>
    <w:rsid w:val="000F6486"/>
    <w:rsid w:val="001056CF"/>
    <w:rsid w:val="00116940"/>
    <w:rsid w:val="00124D30"/>
    <w:rsid w:val="00125105"/>
    <w:rsid w:val="00127233"/>
    <w:rsid w:val="00132913"/>
    <w:rsid w:val="00146FC3"/>
    <w:rsid w:val="00154A91"/>
    <w:rsid w:val="0015577F"/>
    <w:rsid w:val="0015699B"/>
    <w:rsid w:val="001638F4"/>
    <w:rsid w:val="00177987"/>
    <w:rsid w:val="001A192F"/>
    <w:rsid w:val="001A33BF"/>
    <w:rsid w:val="001E4177"/>
    <w:rsid w:val="001F0B24"/>
    <w:rsid w:val="001F7DC6"/>
    <w:rsid w:val="0022400B"/>
    <w:rsid w:val="00227235"/>
    <w:rsid w:val="002421BB"/>
    <w:rsid w:val="0025796E"/>
    <w:rsid w:val="002671F5"/>
    <w:rsid w:val="002707A2"/>
    <w:rsid w:val="00287A18"/>
    <w:rsid w:val="002951A0"/>
    <w:rsid w:val="002962BC"/>
    <w:rsid w:val="002A093D"/>
    <w:rsid w:val="002A0DD0"/>
    <w:rsid w:val="002A4441"/>
    <w:rsid w:val="002A49AC"/>
    <w:rsid w:val="002A60F7"/>
    <w:rsid w:val="002A64FD"/>
    <w:rsid w:val="002A7B91"/>
    <w:rsid w:val="002C7831"/>
    <w:rsid w:val="002C7A84"/>
    <w:rsid w:val="002E2BF8"/>
    <w:rsid w:val="002E419E"/>
    <w:rsid w:val="002E4FD9"/>
    <w:rsid w:val="0030379A"/>
    <w:rsid w:val="0030657A"/>
    <w:rsid w:val="00322A85"/>
    <w:rsid w:val="00324168"/>
    <w:rsid w:val="00330834"/>
    <w:rsid w:val="003448F4"/>
    <w:rsid w:val="003460CF"/>
    <w:rsid w:val="0034750A"/>
    <w:rsid w:val="00352FE2"/>
    <w:rsid w:val="00374F5E"/>
    <w:rsid w:val="00377950"/>
    <w:rsid w:val="00377E3E"/>
    <w:rsid w:val="00386F5C"/>
    <w:rsid w:val="003A779E"/>
    <w:rsid w:val="003B7F58"/>
    <w:rsid w:val="003D0F4D"/>
    <w:rsid w:val="003D5B0D"/>
    <w:rsid w:val="003D5E43"/>
    <w:rsid w:val="003E0499"/>
    <w:rsid w:val="003E4F80"/>
    <w:rsid w:val="003E6439"/>
    <w:rsid w:val="003E7FF8"/>
    <w:rsid w:val="003F3941"/>
    <w:rsid w:val="00406575"/>
    <w:rsid w:val="00414C74"/>
    <w:rsid w:val="0042722E"/>
    <w:rsid w:val="004304B1"/>
    <w:rsid w:val="0044528D"/>
    <w:rsid w:val="004470BA"/>
    <w:rsid w:val="004514ED"/>
    <w:rsid w:val="00466E39"/>
    <w:rsid w:val="004843CD"/>
    <w:rsid w:val="004A1847"/>
    <w:rsid w:val="004A305D"/>
    <w:rsid w:val="004A3833"/>
    <w:rsid w:val="004A5064"/>
    <w:rsid w:val="004C606C"/>
    <w:rsid w:val="004F21C4"/>
    <w:rsid w:val="004F685F"/>
    <w:rsid w:val="005100C3"/>
    <w:rsid w:val="00514BAA"/>
    <w:rsid w:val="0051543C"/>
    <w:rsid w:val="005566E8"/>
    <w:rsid w:val="00574867"/>
    <w:rsid w:val="00591460"/>
    <w:rsid w:val="005A65E0"/>
    <w:rsid w:val="005C3777"/>
    <w:rsid w:val="005C5CDC"/>
    <w:rsid w:val="005D476C"/>
    <w:rsid w:val="005D6221"/>
    <w:rsid w:val="005E2B7E"/>
    <w:rsid w:val="005E4E36"/>
    <w:rsid w:val="005E73DA"/>
    <w:rsid w:val="005F2080"/>
    <w:rsid w:val="005F2407"/>
    <w:rsid w:val="005F520B"/>
    <w:rsid w:val="005F7FC8"/>
    <w:rsid w:val="00610CD4"/>
    <w:rsid w:val="006200BF"/>
    <w:rsid w:val="006219F8"/>
    <w:rsid w:val="006302F7"/>
    <w:rsid w:val="00632025"/>
    <w:rsid w:val="00633599"/>
    <w:rsid w:val="00633EC0"/>
    <w:rsid w:val="006340A9"/>
    <w:rsid w:val="00646B9F"/>
    <w:rsid w:val="00665D70"/>
    <w:rsid w:val="00670D8C"/>
    <w:rsid w:val="0068468E"/>
    <w:rsid w:val="006900D9"/>
    <w:rsid w:val="006922BF"/>
    <w:rsid w:val="00694413"/>
    <w:rsid w:val="006A0098"/>
    <w:rsid w:val="006B5874"/>
    <w:rsid w:val="006B76E8"/>
    <w:rsid w:val="006F023B"/>
    <w:rsid w:val="006F0C70"/>
    <w:rsid w:val="0070140B"/>
    <w:rsid w:val="00706C16"/>
    <w:rsid w:val="0072614A"/>
    <w:rsid w:val="00730241"/>
    <w:rsid w:val="007334A8"/>
    <w:rsid w:val="007340C3"/>
    <w:rsid w:val="00740CF6"/>
    <w:rsid w:val="00746BA8"/>
    <w:rsid w:val="00746C00"/>
    <w:rsid w:val="0075235A"/>
    <w:rsid w:val="007525AD"/>
    <w:rsid w:val="00752BA4"/>
    <w:rsid w:val="00756841"/>
    <w:rsid w:val="007649AB"/>
    <w:rsid w:val="00771D0C"/>
    <w:rsid w:val="007833AC"/>
    <w:rsid w:val="0079253C"/>
    <w:rsid w:val="007926DC"/>
    <w:rsid w:val="007B268C"/>
    <w:rsid w:val="007B7171"/>
    <w:rsid w:val="007C0C0F"/>
    <w:rsid w:val="007C2A49"/>
    <w:rsid w:val="007C3DC2"/>
    <w:rsid w:val="007C750E"/>
    <w:rsid w:val="007D1299"/>
    <w:rsid w:val="007D20EF"/>
    <w:rsid w:val="007E5497"/>
    <w:rsid w:val="007E6426"/>
    <w:rsid w:val="00806F5F"/>
    <w:rsid w:val="00820278"/>
    <w:rsid w:val="008258C9"/>
    <w:rsid w:val="008326EC"/>
    <w:rsid w:val="00844AE9"/>
    <w:rsid w:val="00847FF7"/>
    <w:rsid w:val="00851821"/>
    <w:rsid w:val="008545AC"/>
    <w:rsid w:val="00855BC9"/>
    <w:rsid w:val="008636C3"/>
    <w:rsid w:val="00866990"/>
    <w:rsid w:val="008669AF"/>
    <w:rsid w:val="00867F95"/>
    <w:rsid w:val="00870775"/>
    <w:rsid w:val="008843B6"/>
    <w:rsid w:val="00884A95"/>
    <w:rsid w:val="00891928"/>
    <w:rsid w:val="008953DB"/>
    <w:rsid w:val="008A0907"/>
    <w:rsid w:val="008A446D"/>
    <w:rsid w:val="008A77B2"/>
    <w:rsid w:val="008B238F"/>
    <w:rsid w:val="008B25F1"/>
    <w:rsid w:val="008C4EBB"/>
    <w:rsid w:val="008C730B"/>
    <w:rsid w:val="008D180B"/>
    <w:rsid w:val="008F0A50"/>
    <w:rsid w:val="008F0EA7"/>
    <w:rsid w:val="008F1EDA"/>
    <w:rsid w:val="00901FFB"/>
    <w:rsid w:val="00923EEF"/>
    <w:rsid w:val="0092575F"/>
    <w:rsid w:val="009320A4"/>
    <w:rsid w:val="00932AA4"/>
    <w:rsid w:val="009419F9"/>
    <w:rsid w:val="0095685E"/>
    <w:rsid w:val="00961B09"/>
    <w:rsid w:val="00965334"/>
    <w:rsid w:val="0097093E"/>
    <w:rsid w:val="00971B86"/>
    <w:rsid w:val="00974EA0"/>
    <w:rsid w:val="00996916"/>
    <w:rsid w:val="009A0DFA"/>
    <w:rsid w:val="009A0E1D"/>
    <w:rsid w:val="009A0F69"/>
    <w:rsid w:val="009A1C6F"/>
    <w:rsid w:val="009A3187"/>
    <w:rsid w:val="009B2D26"/>
    <w:rsid w:val="009C71FA"/>
    <w:rsid w:val="009C72E7"/>
    <w:rsid w:val="009C7F7E"/>
    <w:rsid w:val="009D3058"/>
    <w:rsid w:val="009F09D3"/>
    <w:rsid w:val="009F25D8"/>
    <w:rsid w:val="009F3A13"/>
    <w:rsid w:val="009F5873"/>
    <w:rsid w:val="00A10342"/>
    <w:rsid w:val="00A122D3"/>
    <w:rsid w:val="00A14468"/>
    <w:rsid w:val="00A148A3"/>
    <w:rsid w:val="00A149E5"/>
    <w:rsid w:val="00A15ABA"/>
    <w:rsid w:val="00A17F13"/>
    <w:rsid w:val="00A20739"/>
    <w:rsid w:val="00A2322C"/>
    <w:rsid w:val="00A23AF9"/>
    <w:rsid w:val="00A3226E"/>
    <w:rsid w:val="00A33C78"/>
    <w:rsid w:val="00A4609B"/>
    <w:rsid w:val="00A46C73"/>
    <w:rsid w:val="00A50641"/>
    <w:rsid w:val="00A545FC"/>
    <w:rsid w:val="00A6105F"/>
    <w:rsid w:val="00A63BFB"/>
    <w:rsid w:val="00A70B6E"/>
    <w:rsid w:val="00A75D68"/>
    <w:rsid w:val="00AB0ADB"/>
    <w:rsid w:val="00AB1A45"/>
    <w:rsid w:val="00AB4068"/>
    <w:rsid w:val="00AC7617"/>
    <w:rsid w:val="00AD0081"/>
    <w:rsid w:val="00AF1B4C"/>
    <w:rsid w:val="00AF5EFF"/>
    <w:rsid w:val="00B00C0E"/>
    <w:rsid w:val="00B01B1A"/>
    <w:rsid w:val="00B035BA"/>
    <w:rsid w:val="00B0381D"/>
    <w:rsid w:val="00B06B62"/>
    <w:rsid w:val="00B31795"/>
    <w:rsid w:val="00B42BE4"/>
    <w:rsid w:val="00B44A47"/>
    <w:rsid w:val="00B65C34"/>
    <w:rsid w:val="00B72CD3"/>
    <w:rsid w:val="00B72E94"/>
    <w:rsid w:val="00B72FFF"/>
    <w:rsid w:val="00B855E0"/>
    <w:rsid w:val="00B92D9B"/>
    <w:rsid w:val="00BA5223"/>
    <w:rsid w:val="00BB10E8"/>
    <w:rsid w:val="00BB557B"/>
    <w:rsid w:val="00BC3D36"/>
    <w:rsid w:val="00BD4566"/>
    <w:rsid w:val="00BD54A6"/>
    <w:rsid w:val="00BD7964"/>
    <w:rsid w:val="00BD7F72"/>
    <w:rsid w:val="00BF7425"/>
    <w:rsid w:val="00C00F6D"/>
    <w:rsid w:val="00C04FB3"/>
    <w:rsid w:val="00C11D8B"/>
    <w:rsid w:val="00C15139"/>
    <w:rsid w:val="00C17F06"/>
    <w:rsid w:val="00C330EB"/>
    <w:rsid w:val="00C43DB9"/>
    <w:rsid w:val="00C50D69"/>
    <w:rsid w:val="00C5365C"/>
    <w:rsid w:val="00C70F7A"/>
    <w:rsid w:val="00C754BE"/>
    <w:rsid w:val="00C76B1C"/>
    <w:rsid w:val="00C87DA1"/>
    <w:rsid w:val="00C925AC"/>
    <w:rsid w:val="00CB2C21"/>
    <w:rsid w:val="00CB6357"/>
    <w:rsid w:val="00CC1B26"/>
    <w:rsid w:val="00CD6188"/>
    <w:rsid w:val="00CE71F0"/>
    <w:rsid w:val="00CF22B1"/>
    <w:rsid w:val="00CF65F1"/>
    <w:rsid w:val="00D101BA"/>
    <w:rsid w:val="00D30DBC"/>
    <w:rsid w:val="00D316E0"/>
    <w:rsid w:val="00D323FF"/>
    <w:rsid w:val="00D33F62"/>
    <w:rsid w:val="00D361FD"/>
    <w:rsid w:val="00D423A2"/>
    <w:rsid w:val="00D44E26"/>
    <w:rsid w:val="00D46164"/>
    <w:rsid w:val="00D520D8"/>
    <w:rsid w:val="00D5236E"/>
    <w:rsid w:val="00D6157B"/>
    <w:rsid w:val="00D63AC2"/>
    <w:rsid w:val="00D7383B"/>
    <w:rsid w:val="00D7788A"/>
    <w:rsid w:val="00D8347D"/>
    <w:rsid w:val="00D84274"/>
    <w:rsid w:val="00DA231B"/>
    <w:rsid w:val="00DA2B49"/>
    <w:rsid w:val="00DB1431"/>
    <w:rsid w:val="00DC14C8"/>
    <w:rsid w:val="00DC1A62"/>
    <w:rsid w:val="00DC39FC"/>
    <w:rsid w:val="00DC7271"/>
    <w:rsid w:val="00DD1398"/>
    <w:rsid w:val="00DD1447"/>
    <w:rsid w:val="00DD30CB"/>
    <w:rsid w:val="00DE7C8C"/>
    <w:rsid w:val="00DF5254"/>
    <w:rsid w:val="00E01FA1"/>
    <w:rsid w:val="00E02524"/>
    <w:rsid w:val="00E13307"/>
    <w:rsid w:val="00E16408"/>
    <w:rsid w:val="00E17FB9"/>
    <w:rsid w:val="00E20894"/>
    <w:rsid w:val="00E245AB"/>
    <w:rsid w:val="00E2764C"/>
    <w:rsid w:val="00E27F2E"/>
    <w:rsid w:val="00E32219"/>
    <w:rsid w:val="00E43E8B"/>
    <w:rsid w:val="00E50AFE"/>
    <w:rsid w:val="00E5313F"/>
    <w:rsid w:val="00E56ED7"/>
    <w:rsid w:val="00E63F69"/>
    <w:rsid w:val="00E66B19"/>
    <w:rsid w:val="00E75C92"/>
    <w:rsid w:val="00E76730"/>
    <w:rsid w:val="00E771DC"/>
    <w:rsid w:val="00E808CB"/>
    <w:rsid w:val="00E86FDE"/>
    <w:rsid w:val="00E8772A"/>
    <w:rsid w:val="00E90F6B"/>
    <w:rsid w:val="00E92C27"/>
    <w:rsid w:val="00EA0E3D"/>
    <w:rsid w:val="00EA42D9"/>
    <w:rsid w:val="00EB5611"/>
    <w:rsid w:val="00EC05BE"/>
    <w:rsid w:val="00EC36B3"/>
    <w:rsid w:val="00EC38A7"/>
    <w:rsid w:val="00EE14FD"/>
    <w:rsid w:val="00EE1AA8"/>
    <w:rsid w:val="00EE300C"/>
    <w:rsid w:val="00EF09E0"/>
    <w:rsid w:val="00EF33C3"/>
    <w:rsid w:val="00F23FEA"/>
    <w:rsid w:val="00F30254"/>
    <w:rsid w:val="00F31EDC"/>
    <w:rsid w:val="00F43131"/>
    <w:rsid w:val="00F462B3"/>
    <w:rsid w:val="00F553E7"/>
    <w:rsid w:val="00F5664F"/>
    <w:rsid w:val="00F666C4"/>
    <w:rsid w:val="00F76AFC"/>
    <w:rsid w:val="00F77AC9"/>
    <w:rsid w:val="00FA47C0"/>
    <w:rsid w:val="00FB3276"/>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0EEFFA28-AFA3-4F3F-8728-655ED4E60B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5F520B"/>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F520B"/>
    <w:rPr>
      <w:rFonts w:ascii="Geomanist Light" w:hAnsi="Geomanist Light"/>
      <w:lang w:val="es-ES"/>
    </w:rPr>
  </w:style>
  <w:style w:type="character" w:styleId="Refdecomentario">
    <w:name w:val="annotation reference"/>
    <w:basedOn w:val="Fuentedeprrafopredeter"/>
    <w:uiPriority w:val="99"/>
    <w:semiHidden/>
    <w:unhideWhenUsed/>
    <w:rsid w:val="002A4441"/>
    <w:rPr>
      <w:sz w:val="16"/>
      <w:szCs w:val="16"/>
    </w:rPr>
  </w:style>
  <w:style w:type="paragraph" w:styleId="Textocomentario">
    <w:name w:val="annotation text"/>
    <w:basedOn w:val="Normal"/>
    <w:link w:val="TextocomentarioCar"/>
    <w:uiPriority w:val="99"/>
    <w:unhideWhenUsed/>
    <w:rsid w:val="002A4441"/>
    <w:pPr>
      <w:spacing w:line="240" w:lineRule="auto"/>
    </w:pPr>
    <w:rPr>
      <w:sz w:val="20"/>
      <w:szCs w:val="20"/>
    </w:rPr>
  </w:style>
  <w:style w:type="character" w:customStyle="1" w:styleId="TextocomentarioCar">
    <w:name w:val="Texto comentario Car"/>
    <w:basedOn w:val="Fuentedeprrafopredeter"/>
    <w:link w:val="Textocomentario"/>
    <w:uiPriority w:val="99"/>
    <w:rsid w:val="002A4441"/>
    <w:rPr>
      <w:sz w:val="20"/>
      <w:szCs w:val="20"/>
    </w:rPr>
  </w:style>
  <w:style w:type="paragraph" w:styleId="Asuntodelcomentario">
    <w:name w:val="annotation subject"/>
    <w:basedOn w:val="Textocomentario"/>
    <w:next w:val="Textocomentario"/>
    <w:link w:val="AsuntodelcomentarioCar"/>
    <w:uiPriority w:val="99"/>
    <w:semiHidden/>
    <w:unhideWhenUsed/>
    <w:rsid w:val="002A4441"/>
    <w:rPr>
      <w:b/>
      <w:bCs/>
    </w:rPr>
  </w:style>
  <w:style w:type="character" w:customStyle="1" w:styleId="AsuntodelcomentarioCar">
    <w:name w:val="Asunto del comentario Car"/>
    <w:basedOn w:val="TextocomentarioCar"/>
    <w:link w:val="Asuntodelcomentario"/>
    <w:uiPriority w:val="99"/>
    <w:semiHidden/>
    <w:rsid w:val="002A444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funcionpublica.gov.co/eva/gestornormativo/norma.php?i=174041&amp;utm"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andreshuertas555@gmail.com"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www.funcionpublica.gov.co/eva/gestornormativo/norma.php?i=174041&amp;utm" TargetMode="External"/><Relationship Id="rId1" Type="http://schemas.openxmlformats.org/officeDocument/2006/relationships/hyperlink" Target="https://www.funcionpublica.gov.co/eva/gestornormativo/norma.php?i=73593"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66e0e8f4-a3db-4751-88b2-15c075da91b6"/>
  </ds:schemaRefs>
</ds:datastoreItem>
</file>

<file path=customXml/itemProps3.xml><?xml version="1.0" encoding="utf-8"?>
<ds:datastoreItem xmlns:ds="http://schemas.openxmlformats.org/officeDocument/2006/customXml" ds:itemID="{63064A00-F68F-40B9-9628-22DB734C2FDA}"/>
</file>

<file path=customXml/itemProps4.xml><?xml version="1.0" encoding="utf-8"?>
<ds:datastoreItem xmlns:ds="http://schemas.openxmlformats.org/officeDocument/2006/customXml" ds:itemID="{4720C88D-0208-4436-815E-A43D766BE0B9}">
  <ds:schemaRefs>
    <ds:schemaRef ds:uri="http://schemas.openxmlformats.org/officeDocument/2006/bibliography"/>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21</TotalTime>
  <Pages>13</Pages>
  <Words>3879</Words>
  <Characters>22577</Characters>
  <Application>Microsoft Office Word</Application>
  <DocSecurity>0</DocSecurity>
  <Lines>490</Lines>
  <Paragraphs>116</Paragraphs>
  <ScaleCrop>false</ScaleCrop>
  <Company/>
  <LinksUpToDate>false</LinksUpToDate>
  <CharactersWithSpaces>26340</CharactersWithSpaces>
  <SharedDoc>false</SharedDoc>
  <HLinks>
    <vt:vector size="36" baseType="variant">
      <vt:variant>
        <vt:i4>3276900</vt:i4>
      </vt:variant>
      <vt:variant>
        <vt:i4>9</vt:i4>
      </vt:variant>
      <vt:variant>
        <vt:i4>0</vt:i4>
      </vt:variant>
      <vt:variant>
        <vt:i4>5</vt:i4>
      </vt:variant>
      <vt:variant>
        <vt:lpwstr>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vt:lpwstr>
      </vt:variant>
      <vt:variant>
        <vt:lpwstr/>
      </vt:variant>
      <vt:variant>
        <vt:i4>7471218</vt:i4>
      </vt:variant>
      <vt:variant>
        <vt:i4>6</vt:i4>
      </vt:variant>
      <vt:variant>
        <vt:i4>0</vt:i4>
      </vt:variant>
      <vt:variant>
        <vt:i4>5</vt:i4>
      </vt:variant>
      <vt:variant>
        <vt:lpwstr>https://relatoria.colombiacompra.gov.co/busqueda/conceptos</vt:lpwstr>
      </vt:variant>
      <vt:variant>
        <vt:lpwstr/>
      </vt:variant>
      <vt:variant>
        <vt:i4>720966</vt:i4>
      </vt:variant>
      <vt:variant>
        <vt:i4>3</vt:i4>
      </vt:variant>
      <vt:variant>
        <vt:i4>0</vt:i4>
      </vt:variant>
      <vt:variant>
        <vt:i4>5</vt:i4>
      </vt:variant>
      <vt:variant>
        <vt:lpwstr>https://www.funcionpublica.gov.co/eva/gestornormativo/norma.php?i=174041&amp;utm</vt:lpwstr>
      </vt:variant>
      <vt:variant>
        <vt:lpwstr/>
      </vt:variant>
      <vt:variant>
        <vt:i4>3670090</vt:i4>
      </vt:variant>
      <vt:variant>
        <vt:i4>0</vt:i4>
      </vt:variant>
      <vt:variant>
        <vt:i4>0</vt:i4>
      </vt:variant>
      <vt:variant>
        <vt:i4>5</vt:i4>
      </vt:variant>
      <vt:variant>
        <vt:lpwstr>mailto:andreshuertas555@gmail.com</vt:lpwstr>
      </vt:variant>
      <vt:variant>
        <vt:lpwstr/>
      </vt:variant>
      <vt:variant>
        <vt:i4>720966</vt:i4>
      </vt:variant>
      <vt:variant>
        <vt:i4>3</vt:i4>
      </vt:variant>
      <vt:variant>
        <vt:i4>0</vt:i4>
      </vt:variant>
      <vt:variant>
        <vt:i4>5</vt:i4>
      </vt:variant>
      <vt:variant>
        <vt:lpwstr>https://www.funcionpublica.gov.co/eva/gestornormativo/norma.php?i=174041&amp;utm</vt:lpwstr>
      </vt:variant>
      <vt:variant>
        <vt:lpwstr/>
      </vt:variant>
      <vt:variant>
        <vt:i4>3080226</vt:i4>
      </vt:variant>
      <vt:variant>
        <vt:i4>0</vt:i4>
      </vt:variant>
      <vt:variant>
        <vt:i4>0</vt:i4>
      </vt:variant>
      <vt:variant>
        <vt:i4>5</vt:i4>
      </vt:variant>
      <vt:variant>
        <vt:lpwstr>https://www.funcionpublica.gov.co/eva/gestornormativo/norma.php?i=73593</vt:lpwstr>
      </vt:variant>
      <vt:variant>
        <vt:lpwstr>2.1.4.2.3</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Camila Alejandra Naranjo Gómez</cp:lastModifiedBy>
  <cp:revision>16</cp:revision>
  <cp:lastPrinted>2023-01-10T21:18:00Z</cp:lastPrinted>
  <dcterms:created xsi:type="dcterms:W3CDTF">2026-02-02T17:33:00Z</dcterms:created>
  <dcterms:modified xsi:type="dcterms:W3CDTF">2026-02-02T21:18:00Z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