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5876D" w14:textId="620779C5" w:rsidR="00A0213F" w:rsidRDefault="00A0213F" w:rsidP="00A0213F">
      <w:pPr>
        <w:spacing w:after="0" w:line="240" w:lineRule="auto"/>
        <w:jc w:val="both"/>
        <w:rPr>
          <w:rFonts w:ascii="Verdana" w:hAnsi="Verdana"/>
          <w:b/>
          <w:bCs/>
        </w:rPr>
      </w:pPr>
      <w:r w:rsidRPr="00A0213F">
        <w:rPr>
          <w:rFonts w:ascii="Verdana" w:hAnsi="Verdana"/>
          <w:b/>
          <w:bCs/>
        </w:rPr>
        <w:t xml:space="preserve">SELECCIÓN OBJETIVA – Noción </w:t>
      </w:r>
    </w:p>
    <w:p w14:paraId="080CA543" w14:textId="77777777" w:rsidR="00A0213F" w:rsidRPr="00A0213F" w:rsidRDefault="00A0213F" w:rsidP="00A0213F">
      <w:pPr>
        <w:spacing w:after="0" w:line="240" w:lineRule="auto"/>
        <w:jc w:val="both"/>
        <w:rPr>
          <w:rFonts w:ascii="Verdana" w:hAnsi="Verdana"/>
        </w:rPr>
      </w:pPr>
    </w:p>
    <w:p w14:paraId="3CB917BF" w14:textId="77777777" w:rsidR="00A0213F" w:rsidRDefault="00A0213F" w:rsidP="00A0213F">
      <w:pPr>
        <w:spacing w:after="0" w:line="240" w:lineRule="auto"/>
        <w:jc w:val="both"/>
        <w:rPr>
          <w:rFonts w:ascii="Verdana" w:hAnsi="Verdana"/>
          <w:sz w:val="20"/>
          <w:szCs w:val="20"/>
        </w:rPr>
      </w:pPr>
      <w:r w:rsidRPr="00A0213F">
        <w:rPr>
          <w:rFonts w:ascii="Verdana" w:hAnsi="Verdana"/>
          <w:sz w:val="20"/>
          <w:szCs w:val="20"/>
        </w:rPr>
        <w:t>[…] se considera objetiva la selección en la cual la escogencia se haga al ofrecimiento más favorable a la Entidad y a los fines que ella busca, sin tener en consideración factores de afecto o de interés y, en general, cualquier clase de motivación subjetiva</w:t>
      </w:r>
      <w:r w:rsidRPr="00A0213F">
        <w:rPr>
          <w:rFonts w:ascii="Verdana" w:hAnsi="Verdana"/>
          <w:i/>
          <w:iCs/>
          <w:sz w:val="20"/>
          <w:szCs w:val="20"/>
        </w:rPr>
        <w:t>.</w:t>
      </w:r>
      <w:r w:rsidRPr="00A0213F">
        <w:rPr>
          <w:rFonts w:ascii="Verdana" w:hAnsi="Verdana"/>
          <w:sz w:val="20"/>
          <w:szCs w:val="20"/>
        </w:rPr>
        <w:t> En ese contexto, los factores de escogencia y calificación que establezcan las Entidades en los pliegos de condiciones o en sus documentos equivalentes deberán tener en cuenta, entre otras cuestiones, los criterios establecidos en dicha disposición.</w:t>
      </w:r>
    </w:p>
    <w:p w14:paraId="3B15A6D1" w14:textId="77777777" w:rsidR="006F0731" w:rsidRDefault="006F0731" w:rsidP="00A0213F">
      <w:pPr>
        <w:spacing w:after="0" w:line="240" w:lineRule="auto"/>
        <w:jc w:val="both"/>
        <w:rPr>
          <w:rFonts w:ascii="Verdana" w:eastAsia="Calibri" w:hAnsi="Verdana" w:cs="Arial"/>
          <w:lang w:val="it-CH" w:eastAsia="es-ES_tradnl"/>
        </w:rPr>
      </w:pPr>
    </w:p>
    <w:p w14:paraId="3A9D9F14" w14:textId="6D2838BD" w:rsidR="006F0731" w:rsidRPr="006F0731" w:rsidRDefault="006F0731" w:rsidP="00A0213F">
      <w:pPr>
        <w:spacing w:after="0" w:line="240" w:lineRule="auto"/>
        <w:jc w:val="both"/>
        <w:rPr>
          <w:rFonts w:ascii="Verdana" w:hAnsi="Verdana"/>
          <w:b/>
          <w:bCs/>
          <w:sz w:val="20"/>
          <w:szCs w:val="20"/>
        </w:rPr>
      </w:pPr>
      <w:r w:rsidRPr="006F0731">
        <w:rPr>
          <w:rFonts w:ascii="Verdana" w:eastAsia="Calibri" w:hAnsi="Verdana" w:cs="Arial"/>
          <w:b/>
          <w:bCs/>
          <w:lang w:val="it-CH" w:eastAsia="es-ES_tradnl"/>
        </w:rPr>
        <w:t>SELECCIÓN OBJETIVA – Ley 1150 de 2005 – Artículo 5</w:t>
      </w:r>
    </w:p>
    <w:p w14:paraId="0996CB62" w14:textId="77777777" w:rsidR="00A0213F" w:rsidRDefault="00A0213F" w:rsidP="00A0213F">
      <w:pPr>
        <w:spacing w:after="0" w:line="240" w:lineRule="auto"/>
        <w:jc w:val="both"/>
        <w:rPr>
          <w:rFonts w:ascii="Verdana" w:hAnsi="Verdana"/>
          <w:sz w:val="20"/>
          <w:szCs w:val="20"/>
        </w:rPr>
      </w:pPr>
    </w:p>
    <w:p w14:paraId="27B052A7" w14:textId="274F26E9" w:rsidR="0040170A" w:rsidRDefault="0040170A" w:rsidP="0040170A">
      <w:pPr>
        <w:spacing w:after="0" w:line="240" w:lineRule="auto"/>
        <w:jc w:val="both"/>
        <w:rPr>
          <w:rFonts w:ascii="Verdana" w:hAnsi="Verdana"/>
          <w:sz w:val="20"/>
          <w:szCs w:val="20"/>
        </w:rPr>
      </w:pPr>
      <w:r>
        <w:rPr>
          <w:rFonts w:ascii="Verdana" w:hAnsi="Verdana"/>
          <w:sz w:val="20"/>
          <w:szCs w:val="20"/>
        </w:rPr>
        <w:t>E</w:t>
      </w:r>
      <w:r w:rsidRPr="0040170A">
        <w:rPr>
          <w:rFonts w:ascii="Verdana" w:hAnsi="Verdana"/>
          <w:sz w:val="20"/>
          <w:szCs w:val="20"/>
        </w:rPr>
        <w:t>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36A80908" w14:textId="77777777" w:rsidR="0040170A" w:rsidRPr="0040170A" w:rsidRDefault="0040170A" w:rsidP="0040170A">
      <w:pPr>
        <w:spacing w:after="0" w:line="240" w:lineRule="auto"/>
        <w:jc w:val="both"/>
        <w:rPr>
          <w:rFonts w:ascii="Verdana" w:hAnsi="Verdana"/>
          <w:sz w:val="20"/>
          <w:szCs w:val="20"/>
        </w:rPr>
      </w:pPr>
    </w:p>
    <w:p w14:paraId="325FA856" w14:textId="77777777" w:rsidR="0040170A" w:rsidRPr="0040170A" w:rsidRDefault="0040170A" w:rsidP="0040170A">
      <w:pPr>
        <w:spacing w:after="0" w:line="240" w:lineRule="auto"/>
        <w:jc w:val="both"/>
        <w:rPr>
          <w:rFonts w:ascii="Verdana" w:hAnsi="Verdana"/>
          <w:sz w:val="20"/>
          <w:szCs w:val="20"/>
        </w:rPr>
      </w:pPr>
      <w:r w:rsidRPr="0040170A">
        <w:rPr>
          <w:rFonts w:ascii="Verdana" w:hAnsi="Verdana"/>
          <w:sz w:val="20"/>
          <w:szCs w:val="20"/>
        </w:rPr>
        <w:t>[…] En especial, señala la Ley que los criterios habilitantes que determine la Entidad deberán ser </w:t>
      </w:r>
      <w:r w:rsidRPr="0040170A">
        <w:rPr>
          <w:rFonts w:ascii="Verdana" w:hAnsi="Verdana"/>
          <w:i/>
          <w:iCs/>
          <w:sz w:val="20"/>
          <w:szCs w:val="20"/>
        </w:rPr>
        <w:t>adecuados y proporcionales</w:t>
      </w:r>
      <w:r w:rsidRPr="0040170A">
        <w:rPr>
          <w:rFonts w:ascii="Verdana" w:hAnsi="Verdana"/>
          <w:sz w:val="20"/>
          <w:szCs w:val="20"/>
        </w:rPr>
        <w:t>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 […]</w:t>
      </w:r>
    </w:p>
    <w:p w14:paraId="1E57F2C2" w14:textId="77777777" w:rsidR="0040170A" w:rsidRDefault="0040170A" w:rsidP="00A0213F">
      <w:pPr>
        <w:spacing w:after="0" w:line="240" w:lineRule="auto"/>
        <w:jc w:val="both"/>
        <w:rPr>
          <w:rFonts w:ascii="Verdana" w:hAnsi="Verdana"/>
          <w:sz w:val="20"/>
          <w:szCs w:val="20"/>
        </w:rPr>
      </w:pPr>
    </w:p>
    <w:p w14:paraId="04CBE4BF" w14:textId="3867EBD6" w:rsidR="00EB3CE7" w:rsidRPr="00670A7B" w:rsidRDefault="00670A7B" w:rsidP="00A0213F">
      <w:pPr>
        <w:spacing w:after="0" w:line="240" w:lineRule="auto"/>
        <w:jc w:val="both"/>
        <w:rPr>
          <w:rFonts w:ascii="Verdana" w:eastAsia="Calibri" w:hAnsi="Verdana" w:cs="Arial"/>
          <w:b/>
          <w:bCs/>
          <w:lang w:val="it-CH" w:eastAsia="es-ES_tradnl"/>
        </w:rPr>
      </w:pPr>
      <w:r w:rsidRPr="00670A7B">
        <w:rPr>
          <w:rFonts w:ascii="Verdana" w:eastAsia="Calibri" w:hAnsi="Verdana" w:cs="Arial"/>
          <w:b/>
          <w:bCs/>
          <w:lang w:val="it-CH" w:eastAsia="es-ES_tradnl"/>
        </w:rPr>
        <w:t>PLANEACIÓN – Estudios previos</w:t>
      </w:r>
      <w:r w:rsidRPr="00670A7B">
        <w:rPr>
          <w:rFonts w:ascii="Verdana" w:eastAsia="Calibri" w:hAnsi="Verdana" w:cs="Arial"/>
          <w:b/>
          <w:bCs/>
          <w:lang w:val="it-CH" w:eastAsia="es-ES_tradnl"/>
        </w:rPr>
        <w:t xml:space="preserve"> </w:t>
      </w:r>
    </w:p>
    <w:p w14:paraId="7C5608D5" w14:textId="77777777" w:rsidR="00670A7B" w:rsidRDefault="00670A7B" w:rsidP="00A0213F">
      <w:pPr>
        <w:spacing w:after="0" w:line="240" w:lineRule="auto"/>
        <w:jc w:val="both"/>
        <w:rPr>
          <w:rFonts w:ascii="Verdana" w:hAnsi="Verdana"/>
          <w:sz w:val="20"/>
          <w:szCs w:val="20"/>
        </w:rPr>
      </w:pPr>
    </w:p>
    <w:p w14:paraId="14FD965A" w14:textId="77777777" w:rsidR="00EB3CE7" w:rsidRDefault="00EB3CE7" w:rsidP="00EB3CE7">
      <w:pPr>
        <w:spacing w:after="0" w:line="240" w:lineRule="auto"/>
        <w:jc w:val="both"/>
        <w:rPr>
          <w:rFonts w:ascii="Verdana" w:hAnsi="Verdana"/>
          <w:sz w:val="20"/>
          <w:szCs w:val="20"/>
        </w:rPr>
      </w:pPr>
      <w:r w:rsidRPr="00EB3CE7">
        <w:rPr>
          <w:rFonts w:ascii="Verdana" w:hAnsi="Verdana"/>
          <w:sz w:val="20"/>
          <w:szCs w:val="20"/>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03633180" w14:textId="77777777" w:rsidR="00EB3CE7" w:rsidRPr="00EB3CE7" w:rsidRDefault="00EB3CE7" w:rsidP="00EB3CE7">
      <w:pPr>
        <w:spacing w:after="0" w:line="240" w:lineRule="auto"/>
        <w:jc w:val="both"/>
        <w:rPr>
          <w:rFonts w:ascii="Verdana" w:hAnsi="Verdana"/>
          <w:sz w:val="20"/>
          <w:szCs w:val="20"/>
        </w:rPr>
      </w:pPr>
    </w:p>
    <w:p w14:paraId="5F7DB6DC" w14:textId="77777777" w:rsidR="00EB3CE7" w:rsidRPr="00EB3CE7" w:rsidRDefault="00EB3CE7" w:rsidP="00EB3CE7">
      <w:pPr>
        <w:spacing w:after="0" w:line="240" w:lineRule="auto"/>
        <w:jc w:val="both"/>
        <w:rPr>
          <w:rFonts w:ascii="Verdana" w:hAnsi="Verdana"/>
          <w:sz w:val="20"/>
          <w:szCs w:val="20"/>
        </w:rPr>
      </w:pPr>
      <w:r w:rsidRPr="00EB3CE7">
        <w:rPr>
          <w:rFonts w:ascii="Verdana" w:hAnsi="Verdana"/>
          <w:sz w:val="20"/>
          <w:szCs w:val="20"/>
        </w:rPr>
        <w:t>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046A6B14" w14:textId="77777777" w:rsidR="00EB3CE7" w:rsidRDefault="00EB3CE7" w:rsidP="00A0213F">
      <w:pPr>
        <w:spacing w:after="0" w:line="240" w:lineRule="auto"/>
        <w:jc w:val="both"/>
        <w:rPr>
          <w:rFonts w:ascii="Verdana" w:hAnsi="Verdana"/>
          <w:sz w:val="20"/>
          <w:szCs w:val="20"/>
        </w:rPr>
      </w:pPr>
    </w:p>
    <w:p w14:paraId="49BD510B" w14:textId="63703409" w:rsidR="006D142B" w:rsidRPr="003C7F1A" w:rsidRDefault="006D142B" w:rsidP="006D142B">
      <w:pPr>
        <w:spacing w:after="0" w:line="240" w:lineRule="auto"/>
        <w:jc w:val="both"/>
        <w:rPr>
          <w:rFonts w:ascii="Verdana" w:hAnsi="Verdana"/>
          <w:b/>
          <w:bCs/>
        </w:rPr>
      </w:pPr>
      <w:r w:rsidRPr="006D142B">
        <w:rPr>
          <w:rFonts w:ascii="Verdana" w:hAnsi="Verdana"/>
          <w:b/>
          <w:bCs/>
        </w:rPr>
        <w:lastRenderedPageBreak/>
        <w:t xml:space="preserve">REQUISITOS HABILITANTES </w:t>
      </w:r>
      <w:r w:rsidR="00C64800" w:rsidRPr="003C7F1A">
        <w:rPr>
          <w:rFonts w:ascii="Verdana" w:hAnsi="Verdana"/>
          <w:b/>
          <w:bCs/>
        </w:rPr>
        <w:t xml:space="preserve">– Determinación </w:t>
      </w:r>
    </w:p>
    <w:p w14:paraId="44AF2C26" w14:textId="77777777" w:rsidR="00C64800" w:rsidRPr="006D142B" w:rsidRDefault="00C64800" w:rsidP="006D142B">
      <w:pPr>
        <w:spacing w:after="0" w:line="240" w:lineRule="auto"/>
        <w:jc w:val="both"/>
        <w:rPr>
          <w:rFonts w:ascii="Verdana" w:hAnsi="Verdana"/>
          <w:sz w:val="20"/>
          <w:szCs w:val="20"/>
        </w:rPr>
      </w:pPr>
    </w:p>
    <w:p w14:paraId="7EDAF1C7" w14:textId="77777777" w:rsidR="006D142B" w:rsidRDefault="006D142B" w:rsidP="006D142B">
      <w:pPr>
        <w:spacing w:after="0" w:line="240" w:lineRule="auto"/>
        <w:jc w:val="both"/>
        <w:rPr>
          <w:rFonts w:ascii="Verdana" w:hAnsi="Verdana"/>
          <w:sz w:val="20"/>
          <w:szCs w:val="20"/>
        </w:rPr>
      </w:pPr>
      <w:r w:rsidRPr="006D142B">
        <w:rPr>
          <w:rFonts w:ascii="Verdana" w:hAnsi="Verdana"/>
          <w:sz w:val="20"/>
          <w:szCs w:val="20"/>
        </w:rPr>
        <w:t>La Agencia Nacional de Contratación Pública – Colombia Compra Eficiente ha defendido el carácter 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0CE49124" w14:textId="77777777" w:rsidR="00C64800" w:rsidRPr="006D142B" w:rsidRDefault="00C64800" w:rsidP="006D142B">
      <w:pPr>
        <w:spacing w:after="0" w:line="240" w:lineRule="auto"/>
        <w:jc w:val="both"/>
        <w:rPr>
          <w:rFonts w:ascii="Verdana" w:hAnsi="Verdana"/>
          <w:sz w:val="20"/>
          <w:szCs w:val="20"/>
        </w:rPr>
      </w:pPr>
    </w:p>
    <w:p w14:paraId="307A56E1" w14:textId="77777777" w:rsidR="006D142B" w:rsidRDefault="006D142B" w:rsidP="006D142B">
      <w:pPr>
        <w:spacing w:after="0" w:line="240" w:lineRule="auto"/>
        <w:jc w:val="both"/>
        <w:rPr>
          <w:rFonts w:ascii="Verdana" w:hAnsi="Verdana"/>
          <w:sz w:val="20"/>
          <w:szCs w:val="20"/>
        </w:rPr>
      </w:pPr>
      <w:r w:rsidRPr="006D142B">
        <w:rPr>
          <w:rFonts w:ascii="Verdana" w:hAnsi="Verdana"/>
          <w:sz w:val="20"/>
          <w:szCs w:val="20"/>
        </w:rPr>
        <w:t>[…] En especial, señala la Ley que los criterios habilitantes que determine la Entidad deberán ser </w:t>
      </w:r>
      <w:r w:rsidRPr="006D142B">
        <w:rPr>
          <w:rFonts w:ascii="Verdana" w:hAnsi="Verdana"/>
          <w:i/>
          <w:iCs/>
          <w:sz w:val="20"/>
          <w:szCs w:val="20"/>
        </w:rPr>
        <w:t>adecuados y proporcionales</w:t>
      </w:r>
      <w:r w:rsidRPr="006D142B">
        <w:rPr>
          <w:rFonts w:ascii="Verdana" w:hAnsi="Verdana"/>
          <w:sz w:val="20"/>
          <w:szCs w:val="20"/>
        </w:rPr>
        <w:t>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 […]</w:t>
      </w:r>
    </w:p>
    <w:p w14:paraId="274AF5BB" w14:textId="77777777" w:rsidR="00DE3D6B" w:rsidRDefault="00DE3D6B" w:rsidP="006D142B">
      <w:pPr>
        <w:spacing w:after="0" w:line="240" w:lineRule="auto"/>
        <w:jc w:val="both"/>
        <w:rPr>
          <w:rFonts w:ascii="Verdana" w:hAnsi="Verdana"/>
          <w:sz w:val="20"/>
          <w:szCs w:val="20"/>
        </w:rPr>
      </w:pPr>
    </w:p>
    <w:p w14:paraId="0520E5E2" w14:textId="130BD847" w:rsidR="00DE3D6B" w:rsidRPr="003C7F1A" w:rsidRDefault="006D1B2F" w:rsidP="006D142B">
      <w:pPr>
        <w:spacing w:after="0" w:line="240" w:lineRule="auto"/>
        <w:jc w:val="both"/>
        <w:rPr>
          <w:rFonts w:ascii="Verdana" w:hAnsi="Verdana"/>
        </w:rPr>
      </w:pPr>
      <w:r w:rsidRPr="003C7F1A">
        <w:rPr>
          <w:rFonts w:ascii="Verdana" w:hAnsi="Verdana"/>
          <w:b/>
          <w:bCs/>
        </w:rPr>
        <w:t>EQUIPO DE TRABAJO</w:t>
      </w:r>
      <w:r w:rsidRPr="003C7F1A">
        <w:rPr>
          <w:rFonts w:ascii="Verdana" w:hAnsi="Verdana"/>
          <w:b/>
          <w:bCs/>
        </w:rPr>
        <w:t xml:space="preserve"> – </w:t>
      </w:r>
      <w:r w:rsidRPr="003C7F1A">
        <w:rPr>
          <w:rFonts w:ascii="Verdana" w:eastAsia="Calibri" w:hAnsi="Verdana" w:cs="Arial"/>
          <w:b/>
          <w:bCs/>
          <w:lang w:val="it-CH" w:eastAsia="es-ES_tradnl"/>
        </w:rPr>
        <w:t>Requisitos – Formación Academica – Experiencia</w:t>
      </w:r>
    </w:p>
    <w:p w14:paraId="3E5070D2" w14:textId="77777777" w:rsidR="00115D9D" w:rsidRDefault="00115D9D" w:rsidP="00DE3D6B">
      <w:pPr>
        <w:spacing w:after="0" w:line="240" w:lineRule="auto"/>
        <w:jc w:val="both"/>
        <w:rPr>
          <w:rFonts w:ascii="Verdana" w:hAnsi="Verdana"/>
          <w:sz w:val="20"/>
          <w:szCs w:val="20"/>
        </w:rPr>
      </w:pPr>
    </w:p>
    <w:p w14:paraId="7E215C39" w14:textId="0E9907D6" w:rsidR="00DE3D6B" w:rsidRDefault="00115D9D" w:rsidP="00DE3D6B">
      <w:pPr>
        <w:spacing w:after="0" w:line="240" w:lineRule="auto"/>
        <w:jc w:val="both"/>
        <w:rPr>
          <w:rFonts w:ascii="Verdana" w:hAnsi="Verdana"/>
          <w:sz w:val="20"/>
          <w:szCs w:val="20"/>
        </w:rPr>
      </w:pPr>
      <w:r>
        <w:rPr>
          <w:rFonts w:ascii="Verdana" w:hAnsi="Verdana"/>
          <w:sz w:val="20"/>
          <w:szCs w:val="20"/>
        </w:rPr>
        <w:t xml:space="preserve">Las </w:t>
      </w:r>
      <w:r w:rsidR="00DE3D6B" w:rsidRPr="00DE3D6B">
        <w:rPr>
          <w:rFonts w:ascii="Verdana" w:hAnsi="Verdana"/>
          <w:sz w:val="20"/>
          <w:szCs w:val="20"/>
        </w:rPr>
        <w:t>entidades estatales conservan la potestad y discrecionalidad técnica para determinar los medios idóneos de acreditación de la experiencia del personal clave evaluable, de acuerdo con la naturaleza y complejidad del contrato. Esta facultad comprende tanto la definición de los documentos que el oferente debe aportar para demostrar la experiencia, como el momento procesal en el cual se verificará dicha información, bien sea durante el proceso de selección o en la etapa de ejecución contractual.</w:t>
      </w:r>
    </w:p>
    <w:p w14:paraId="177C388B" w14:textId="77777777" w:rsidR="00D82C5C" w:rsidRDefault="00D82C5C" w:rsidP="00DE3D6B">
      <w:pPr>
        <w:spacing w:after="0" w:line="240" w:lineRule="auto"/>
        <w:jc w:val="both"/>
        <w:rPr>
          <w:rFonts w:ascii="Verdana" w:hAnsi="Verdana"/>
          <w:sz w:val="20"/>
          <w:szCs w:val="20"/>
        </w:rPr>
      </w:pPr>
    </w:p>
    <w:p w14:paraId="6B751FB1" w14:textId="2055D093" w:rsidR="00D82C5C" w:rsidRPr="00D82C5C" w:rsidRDefault="00D82C5C" w:rsidP="00D82C5C">
      <w:pPr>
        <w:tabs>
          <w:tab w:val="left" w:pos="426"/>
        </w:tabs>
        <w:spacing w:after="120" w:line="276" w:lineRule="auto"/>
        <w:jc w:val="both"/>
        <w:rPr>
          <w:rFonts w:ascii="Verdana" w:eastAsia="Times New Roman" w:hAnsi="Verdana" w:cs="Arial"/>
          <w:b/>
          <w:bCs/>
          <w:shd w:val="clear" w:color="auto" w:fill="FFFFFF"/>
        </w:rPr>
      </w:pPr>
      <w:r w:rsidRPr="00D82C5C">
        <w:rPr>
          <w:rFonts w:ascii="Verdana" w:eastAsia="Calibri" w:hAnsi="Verdana" w:cs="Arial"/>
          <w:b/>
          <w:bCs/>
          <w:lang w:val="it-CH" w:eastAsia="es-ES_tradnl"/>
        </w:rPr>
        <w:t>EQUIPO DE TRABAJO – Requisitos – Equivalencias – Reglas aplicables</w:t>
      </w:r>
      <w:r w:rsidRPr="00D82C5C">
        <w:rPr>
          <w:rFonts w:ascii="Verdana" w:eastAsia="Calibri" w:hAnsi="Verdana" w:cs="Arial"/>
          <w:b/>
          <w:bCs/>
          <w:lang w:val="it-CH" w:eastAsia="es-ES_tradnl"/>
        </w:rPr>
        <w:t xml:space="preserve"> </w:t>
      </w:r>
    </w:p>
    <w:p w14:paraId="0294D58C" w14:textId="47510C8A" w:rsidR="00DE3D6B" w:rsidRPr="006D142B" w:rsidRDefault="003C7F1A" w:rsidP="003C7F1A">
      <w:pPr>
        <w:tabs>
          <w:tab w:val="left" w:pos="426"/>
        </w:tabs>
        <w:spacing w:after="120" w:line="276" w:lineRule="auto"/>
        <w:jc w:val="both"/>
        <w:rPr>
          <w:rFonts w:ascii="Verdana" w:eastAsia="Times New Roman" w:hAnsi="Verdana" w:cs="Arial"/>
          <w:sz w:val="20"/>
          <w:szCs w:val="20"/>
          <w:shd w:val="clear" w:color="auto" w:fill="FFFFFF"/>
        </w:rPr>
      </w:pPr>
      <w:r>
        <w:rPr>
          <w:rFonts w:ascii="Verdana" w:eastAsia="Times New Roman" w:hAnsi="Verdana" w:cs="Arial"/>
          <w:sz w:val="20"/>
          <w:szCs w:val="20"/>
          <w:shd w:val="clear" w:color="auto" w:fill="FFFFFF"/>
        </w:rPr>
        <w:t>L</w:t>
      </w:r>
      <w:r w:rsidRPr="003C7F1A">
        <w:rPr>
          <w:rFonts w:ascii="Verdana" w:eastAsia="Times New Roman" w:hAnsi="Verdana" w:cs="Arial"/>
          <w:sz w:val="20"/>
          <w:szCs w:val="20"/>
          <w:shd w:val="clear" w:color="auto" w:fill="FFFFFF"/>
        </w:rPr>
        <w:t xml:space="preserve">as entidades estatales están llamadas a establecer dentro del pliego de condiciones o documento equivalente, las condiciones y reglas conforme a las cuales, quienes estén interesados en celebrar el contrato, deben acreditar los requisitos de formación académica y experiencia exigidos para el respectivo contrato. De acuerdo con lo explicado, en el marco de procesos competitivos, como la licitación pública, la selección abreviada y la mínima cuantía, en los que este tipo de requisitos no son relevantes para la comparación de ofertas, en principio, deben verificarse respecto del proponente durante la etapa de evaluación, de manera que en virtud de su cumplimiento se defina quien se encuentra habilitado o no para ser adjudicatario. De manera similar ocurre en el concurso de méritos, cuando se exige determina formación académica y/o experiencia del consultor, con la variable de que, en el marco de este tipo de procesos, el numeral 1 del artículo 2.2.1.2.1.3.2 del Decreto 1082 de 2015, permite valor la experiencia del </w:t>
      </w:r>
      <w:r w:rsidRPr="003C7F1A">
        <w:rPr>
          <w:rFonts w:ascii="Verdana" w:eastAsia="Times New Roman" w:hAnsi="Verdana" w:cs="Arial"/>
          <w:sz w:val="20"/>
          <w:szCs w:val="20"/>
          <w:shd w:val="clear" w:color="auto" w:fill="FFFFFF"/>
        </w:rPr>
        <w:lastRenderedPageBreak/>
        <w:t>consultor y del equipo de trabajo, así como la formación académica de dicho equipo, como factores de calificación de la oferta.</w:t>
      </w:r>
    </w:p>
    <w:p w14:paraId="56F8D3EB" w14:textId="77777777" w:rsidR="00A0213F" w:rsidRPr="00A0213F" w:rsidRDefault="00A0213F" w:rsidP="00A0213F">
      <w:pPr>
        <w:spacing w:after="0" w:line="240" w:lineRule="auto"/>
        <w:jc w:val="both"/>
        <w:rPr>
          <w:rFonts w:ascii="Verdana" w:hAnsi="Verdana"/>
          <w:sz w:val="20"/>
          <w:szCs w:val="20"/>
        </w:rPr>
      </w:pPr>
    </w:p>
    <w:p w14:paraId="030746AD" w14:textId="77777777" w:rsidR="00A0213F" w:rsidRDefault="00A0213F" w:rsidP="00FE6B8B">
      <w:pPr>
        <w:spacing w:after="0" w:line="240" w:lineRule="auto"/>
        <w:jc w:val="both"/>
        <w:rPr>
          <w:rFonts w:ascii="Verdana" w:hAnsi="Verdana"/>
        </w:rPr>
      </w:pPr>
    </w:p>
    <w:p w14:paraId="2B5F8DAF" w14:textId="77777777" w:rsidR="00A0213F" w:rsidRDefault="00A0213F" w:rsidP="00FE6B8B">
      <w:pPr>
        <w:spacing w:after="0" w:line="240" w:lineRule="auto"/>
        <w:jc w:val="both"/>
        <w:rPr>
          <w:rFonts w:ascii="Verdana" w:hAnsi="Verdana"/>
        </w:rPr>
      </w:pPr>
    </w:p>
    <w:p w14:paraId="0FC3E141" w14:textId="77777777" w:rsidR="00A0213F" w:rsidRDefault="00A0213F" w:rsidP="00FE6B8B">
      <w:pPr>
        <w:spacing w:after="0" w:line="240" w:lineRule="auto"/>
        <w:jc w:val="both"/>
        <w:rPr>
          <w:rFonts w:ascii="Verdana" w:hAnsi="Verdana"/>
        </w:rPr>
      </w:pPr>
    </w:p>
    <w:p w14:paraId="24DD2EE8" w14:textId="77777777" w:rsidR="00A0213F" w:rsidRDefault="00A0213F" w:rsidP="00FE6B8B">
      <w:pPr>
        <w:spacing w:after="0" w:line="240" w:lineRule="auto"/>
        <w:jc w:val="both"/>
        <w:rPr>
          <w:rFonts w:ascii="Verdana" w:hAnsi="Verdana"/>
        </w:rPr>
      </w:pPr>
    </w:p>
    <w:p w14:paraId="1A010B7D" w14:textId="77777777" w:rsidR="00A0213F" w:rsidRDefault="00A0213F" w:rsidP="00FE6B8B">
      <w:pPr>
        <w:spacing w:after="0" w:line="240" w:lineRule="auto"/>
        <w:jc w:val="both"/>
        <w:rPr>
          <w:rFonts w:ascii="Verdana" w:hAnsi="Verdana"/>
        </w:rPr>
      </w:pPr>
    </w:p>
    <w:p w14:paraId="091CFE41" w14:textId="77777777" w:rsidR="00A0213F" w:rsidRDefault="00A0213F" w:rsidP="00FE6B8B">
      <w:pPr>
        <w:spacing w:after="0" w:line="240" w:lineRule="auto"/>
        <w:jc w:val="both"/>
        <w:rPr>
          <w:rFonts w:ascii="Verdana" w:hAnsi="Verdana"/>
        </w:rPr>
      </w:pPr>
    </w:p>
    <w:p w14:paraId="5A7A25AE" w14:textId="77777777" w:rsidR="00A0213F" w:rsidRDefault="00A0213F" w:rsidP="00FE6B8B">
      <w:pPr>
        <w:spacing w:after="0" w:line="240" w:lineRule="auto"/>
        <w:jc w:val="both"/>
        <w:rPr>
          <w:rFonts w:ascii="Verdana" w:hAnsi="Verdana"/>
        </w:rPr>
      </w:pPr>
    </w:p>
    <w:p w14:paraId="11372ECB" w14:textId="77777777" w:rsidR="00A0213F" w:rsidRDefault="00A0213F" w:rsidP="00FE6B8B">
      <w:pPr>
        <w:spacing w:after="0" w:line="240" w:lineRule="auto"/>
        <w:jc w:val="both"/>
        <w:rPr>
          <w:rFonts w:ascii="Verdana" w:hAnsi="Verdana"/>
        </w:rPr>
      </w:pPr>
    </w:p>
    <w:p w14:paraId="775192F5" w14:textId="77777777" w:rsidR="00A0213F" w:rsidRDefault="00A0213F" w:rsidP="00FE6B8B">
      <w:pPr>
        <w:spacing w:after="0" w:line="240" w:lineRule="auto"/>
        <w:jc w:val="both"/>
        <w:rPr>
          <w:rFonts w:ascii="Verdana" w:hAnsi="Verdana"/>
        </w:rPr>
      </w:pPr>
    </w:p>
    <w:p w14:paraId="31B9B04C" w14:textId="77777777" w:rsidR="00A0213F" w:rsidRDefault="00A0213F" w:rsidP="00FE6B8B">
      <w:pPr>
        <w:spacing w:after="0" w:line="240" w:lineRule="auto"/>
        <w:jc w:val="both"/>
        <w:rPr>
          <w:rFonts w:ascii="Verdana" w:hAnsi="Verdana"/>
        </w:rPr>
      </w:pPr>
    </w:p>
    <w:p w14:paraId="7C0359F9" w14:textId="77777777" w:rsidR="00A0213F" w:rsidRDefault="00A0213F" w:rsidP="00FE6B8B">
      <w:pPr>
        <w:spacing w:after="0" w:line="240" w:lineRule="auto"/>
        <w:jc w:val="both"/>
        <w:rPr>
          <w:rFonts w:ascii="Verdana" w:hAnsi="Verdana"/>
        </w:rPr>
      </w:pPr>
    </w:p>
    <w:p w14:paraId="33D6A861" w14:textId="77777777" w:rsidR="00A0213F" w:rsidRDefault="00A0213F" w:rsidP="00FE6B8B">
      <w:pPr>
        <w:spacing w:after="0" w:line="240" w:lineRule="auto"/>
        <w:jc w:val="both"/>
        <w:rPr>
          <w:rFonts w:ascii="Verdana" w:hAnsi="Verdana"/>
        </w:rPr>
      </w:pPr>
    </w:p>
    <w:p w14:paraId="0974D962" w14:textId="77777777" w:rsidR="00A0213F" w:rsidRDefault="00A0213F" w:rsidP="00FE6B8B">
      <w:pPr>
        <w:spacing w:after="0" w:line="240" w:lineRule="auto"/>
        <w:jc w:val="both"/>
        <w:rPr>
          <w:rFonts w:ascii="Verdana" w:hAnsi="Verdana"/>
        </w:rPr>
      </w:pPr>
    </w:p>
    <w:p w14:paraId="1BAE1431" w14:textId="77777777" w:rsidR="00A0213F" w:rsidRDefault="00A0213F" w:rsidP="00FE6B8B">
      <w:pPr>
        <w:spacing w:after="0" w:line="240" w:lineRule="auto"/>
        <w:jc w:val="both"/>
        <w:rPr>
          <w:rFonts w:ascii="Verdana" w:hAnsi="Verdana"/>
        </w:rPr>
      </w:pPr>
    </w:p>
    <w:p w14:paraId="195EB25A" w14:textId="77777777" w:rsidR="00A0213F" w:rsidRDefault="00A0213F" w:rsidP="00FE6B8B">
      <w:pPr>
        <w:spacing w:after="0" w:line="240" w:lineRule="auto"/>
        <w:jc w:val="both"/>
        <w:rPr>
          <w:rFonts w:ascii="Verdana" w:hAnsi="Verdana"/>
        </w:rPr>
      </w:pPr>
    </w:p>
    <w:p w14:paraId="7D09E106" w14:textId="77777777" w:rsidR="00A0213F" w:rsidRDefault="00A0213F" w:rsidP="00FE6B8B">
      <w:pPr>
        <w:spacing w:after="0" w:line="240" w:lineRule="auto"/>
        <w:jc w:val="both"/>
        <w:rPr>
          <w:rFonts w:ascii="Verdana" w:hAnsi="Verdana"/>
        </w:rPr>
      </w:pPr>
    </w:p>
    <w:p w14:paraId="5641B750" w14:textId="77777777" w:rsidR="00A0213F" w:rsidRDefault="00A0213F" w:rsidP="00FE6B8B">
      <w:pPr>
        <w:spacing w:after="0" w:line="240" w:lineRule="auto"/>
        <w:jc w:val="both"/>
        <w:rPr>
          <w:rFonts w:ascii="Verdana" w:hAnsi="Verdana"/>
        </w:rPr>
      </w:pPr>
    </w:p>
    <w:p w14:paraId="6B78C7E5" w14:textId="77777777" w:rsidR="00A0213F" w:rsidRDefault="00A0213F" w:rsidP="00FE6B8B">
      <w:pPr>
        <w:spacing w:after="0" w:line="240" w:lineRule="auto"/>
        <w:jc w:val="both"/>
        <w:rPr>
          <w:rFonts w:ascii="Verdana" w:hAnsi="Verdana"/>
        </w:rPr>
      </w:pPr>
    </w:p>
    <w:p w14:paraId="05EC6DA2" w14:textId="77777777" w:rsidR="00A0213F" w:rsidRDefault="00A0213F" w:rsidP="00FE6B8B">
      <w:pPr>
        <w:spacing w:after="0" w:line="240" w:lineRule="auto"/>
        <w:jc w:val="both"/>
        <w:rPr>
          <w:rFonts w:ascii="Verdana" w:hAnsi="Verdana"/>
        </w:rPr>
      </w:pPr>
    </w:p>
    <w:p w14:paraId="7B79A6C7" w14:textId="77777777" w:rsidR="00A0213F" w:rsidRDefault="00A0213F" w:rsidP="00FE6B8B">
      <w:pPr>
        <w:spacing w:after="0" w:line="240" w:lineRule="auto"/>
        <w:jc w:val="both"/>
        <w:rPr>
          <w:rFonts w:ascii="Verdana" w:hAnsi="Verdana"/>
        </w:rPr>
      </w:pPr>
    </w:p>
    <w:p w14:paraId="70F41991" w14:textId="77777777" w:rsidR="00A0213F" w:rsidRDefault="00A0213F" w:rsidP="00FE6B8B">
      <w:pPr>
        <w:spacing w:after="0" w:line="240" w:lineRule="auto"/>
        <w:jc w:val="both"/>
        <w:rPr>
          <w:rFonts w:ascii="Verdana" w:hAnsi="Verdana"/>
        </w:rPr>
      </w:pPr>
    </w:p>
    <w:p w14:paraId="2BAFDA9F" w14:textId="77777777" w:rsidR="00A0213F" w:rsidRDefault="00A0213F" w:rsidP="00FE6B8B">
      <w:pPr>
        <w:spacing w:after="0" w:line="240" w:lineRule="auto"/>
        <w:jc w:val="both"/>
        <w:rPr>
          <w:rFonts w:ascii="Verdana" w:hAnsi="Verdana"/>
        </w:rPr>
      </w:pPr>
    </w:p>
    <w:p w14:paraId="2EAA99D2" w14:textId="77777777" w:rsidR="00A0213F" w:rsidRDefault="00A0213F" w:rsidP="00FE6B8B">
      <w:pPr>
        <w:spacing w:after="0" w:line="240" w:lineRule="auto"/>
        <w:jc w:val="both"/>
        <w:rPr>
          <w:rFonts w:ascii="Verdana" w:hAnsi="Verdana"/>
        </w:rPr>
      </w:pPr>
    </w:p>
    <w:p w14:paraId="48143EA4" w14:textId="77777777" w:rsidR="00A0213F" w:rsidRDefault="00A0213F" w:rsidP="00FE6B8B">
      <w:pPr>
        <w:spacing w:after="0" w:line="240" w:lineRule="auto"/>
        <w:jc w:val="both"/>
        <w:rPr>
          <w:rFonts w:ascii="Verdana" w:hAnsi="Verdana"/>
        </w:rPr>
      </w:pPr>
    </w:p>
    <w:p w14:paraId="50A54C05" w14:textId="77777777" w:rsidR="00A0213F" w:rsidRDefault="00A0213F" w:rsidP="00FE6B8B">
      <w:pPr>
        <w:spacing w:after="0" w:line="240" w:lineRule="auto"/>
        <w:jc w:val="both"/>
        <w:rPr>
          <w:rFonts w:ascii="Verdana" w:hAnsi="Verdana"/>
        </w:rPr>
      </w:pPr>
    </w:p>
    <w:p w14:paraId="00E83445" w14:textId="77777777" w:rsidR="00A0213F" w:rsidRDefault="00A0213F" w:rsidP="00FE6B8B">
      <w:pPr>
        <w:spacing w:after="0" w:line="240" w:lineRule="auto"/>
        <w:jc w:val="both"/>
        <w:rPr>
          <w:rFonts w:ascii="Verdana" w:hAnsi="Verdana"/>
        </w:rPr>
      </w:pPr>
    </w:p>
    <w:p w14:paraId="4F189783" w14:textId="77777777" w:rsidR="00A0213F" w:rsidRDefault="00A0213F" w:rsidP="00FE6B8B">
      <w:pPr>
        <w:spacing w:after="0" w:line="240" w:lineRule="auto"/>
        <w:jc w:val="both"/>
        <w:rPr>
          <w:rFonts w:ascii="Verdana" w:hAnsi="Verdana"/>
        </w:rPr>
      </w:pPr>
    </w:p>
    <w:p w14:paraId="355F8FD4" w14:textId="77777777" w:rsidR="00A0213F" w:rsidRDefault="00A0213F" w:rsidP="00FE6B8B">
      <w:pPr>
        <w:spacing w:after="0" w:line="240" w:lineRule="auto"/>
        <w:jc w:val="both"/>
        <w:rPr>
          <w:rFonts w:ascii="Verdana" w:hAnsi="Verdana"/>
        </w:rPr>
      </w:pPr>
    </w:p>
    <w:p w14:paraId="3ED61737" w14:textId="77777777" w:rsidR="00A0213F" w:rsidRDefault="00A0213F" w:rsidP="00FE6B8B">
      <w:pPr>
        <w:spacing w:after="0" w:line="240" w:lineRule="auto"/>
        <w:jc w:val="both"/>
        <w:rPr>
          <w:rFonts w:ascii="Verdana" w:hAnsi="Verdana"/>
        </w:rPr>
      </w:pPr>
    </w:p>
    <w:p w14:paraId="201C41EE" w14:textId="77777777" w:rsidR="00A0213F" w:rsidRDefault="00A0213F" w:rsidP="00FE6B8B">
      <w:pPr>
        <w:spacing w:after="0" w:line="240" w:lineRule="auto"/>
        <w:jc w:val="both"/>
        <w:rPr>
          <w:rFonts w:ascii="Verdana" w:hAnsi="Verdana"/>
        </w:rPr>
      </w:pPr>
    </w:p>
    <w:p w14:paraId="3E20B3CE" w14:textId="77777777" w:rsidR="00A0213F" w:rsidRDefault="00A0213F" w:rsidP="00FE6B8B">
      <w:pPr>
        <w:spacing w:after="0" w:line="240" w:lineRule="auto"/>
        <w:jc w:val="both"/>
        <w:rPr>
          <w:rFonts w:ascii="Verdana" w:hAnsi="Verdana"/>
        </w:rPr>
      </w:pPr>
    </w:p>
    <w:p w14:paraId="6D913F85" w14:textId="77777777" w:rsidR="00A0213F" w:rsidRDefault="00A0213F" w:rsidP="00FE6B8B">
      <w:pPr>
        <w:spacing w:after="0" w:line="240" w:lineRule="auto"/>
        <w:jc w:val="both"/>
        <w:rPr>
          <w:rFonts w:ascii="Verdana" w:hAnsi="Verdana"/>
        </w:rPr>
      </w:pPr>
    </w:p>
    <w:p w14:paraId="1C747304" w14:textId="77777777" w:rsidR="00A0213F" w:rsidRDefault="00A0213F" w:rsidP="00FE6B8B">
      <w:pPr>
        <w:spacing w:after="0" w:line="240" w:lineRule="auto"/>
        <w:jc w:val="both"/>
        <w:rPr>
          <w:rFonts w:ascii="Verdana" w:hAnsi="Verdana"/>
        </w:rPr>
      </w:pPr>
    </w:p>
    <w:p w14:paraId="06491BA3" w14:textId="77777777" w:rsidR="00A0213F" w:rsidRDefault="00A0213F" w:rsidP="00FE6B8B">
      <w:pPr>
        <w:spacing w:after="0" w:line="240" w:lineRule="auto"/>
        <w:jc w:val="both"/>
        <w:rPr>
          <w:rFonts w:ascii="Verdana" w:hAnsi="Verdana"/>
        </w:rPr>
      </w:pPr>
    </w:p>
    <w:p w14:paraId="0654BB03" w14:textId="77777777" w:rsidR="00A0213F" w:rsidRDefault="00A0213F" w:rsidP="00FE6B8B">
      <w:pPr>
        <w:spacing w:after="0" w:line="240" w:lineRule="auto"/>
        <w:jc w:val="both"/>
        <w:rPr>
          <w:rFonts w:ascii="Verdana" w:hAnsi="Verdana"/>
        </w:rPr>
      </w:pPr>
    </w:p>
    <w:p w14:paraId="6FE958E9" w14:textId="77777777" w:rsidR="00A0213F" w:rsidRDefault="00A0213F" w:rsidP="00FE6B8B">
      <w:pPr>
        <w:spacing w:after="0" w:line="240" w:lineRule="auto"/>
        <w:jc w:val="both"/>
        <w:rPr>
          <w:rFonts w:ascii="Verdana" w:hAnsi="Verdana"/>
        </w:rPr>
      </w:pPr>
    </w:p>
    <w:p w14:paraId="6AC20EB4" w14:textId="77777777" w:rsidR="00D82C5C" w:rsidRDefault="00D82C5C" w:rsidP="00FE6B8B">
      <w:pPr>
        <w:spacing w:after="0" w:line="240" w:lineRule="auto"/>
        <w:jc w:val="both"/>
        <w:rPr>
          <w:rFonts w:ascii="Verdana" w:hAnsi="Verdana"/>
        </w:rPr>
      </w:pPr>
    </w:p>
    <w:p w14:paraId="21B4F15A" w14:textId="77777777" w:rsidR="003C7F1A" w:rsidRDefault="003C7F1A" w:rsidP="00FE6B8B">
      <w:pPr>
        <w:spacing w:after="0" w:line="240" w:lineRule="auto"/>
        <w:jc w:val="both"/>
        <w:rPr>
          <w:rFonts w:ascii="Verdana" w:hAnsi="Verdana"/>
        </w:rPr>
      </w:pPr>
    </w:p>
    <w:p w14:paraId="34B1DBC4" w14:textId="77777777" w:rsidR="003C7F1A" w:rsidRDefault="003C7F1A" w:rsidP="00FE6B8B">
      <w:pPr>
        <w:spacing w:after="0" w:line="240" w:lineRule="auto"/>
        <w:jc w:val="both"/>
        <w:rPr>
          <w:rFonts w:ascii="Verdana" w:hAnsi="Verdana"/>
        </w:rPr>
      </w:pPr>
    </w:p>
    <w:p w14:paraId="3B036B8C" w14:textId="13AE8FF8" w:rsidR="00FE6B8B" w:rsidRPr="008E4F36" w:rsidRDefault="002C122B" w:rsidP="00FE6B8B">
      <w:pPr>
        <w:spacing w:after="0" w:line="240" w:lineRule="auto"/>
        <w:jc w:val="both"/>
        <w:rPr>
          <w:rFonts w:ascii="Verdana" w:hAnsi="Verdana"/>
        </w:rPr>
      </w:pPr>
      <w:r w:rsidRPr="002C122B">
        <w:rPr>
          <w:rFonts w:ascii="Verdana" w:hAnsi="Verdana"/>
        </w:rPr>
        <w:t xml:space="preserve">Bogotá D.C., 03 </w:t>
      </w:r>
      <w:r>
        <w:rPr>
          <w:rFonts w:ascii="Verdana" w:hAnsi="Verdana"/>
        </w:rPr>
        <w:t>f</w:t>
      </w:r>
      <w:r w:rsidRPr="002C122B">
        <w:rPr>
          <w:rFonts w:ascii="Verdana" w:hAnsi="Verdana"/>
        </w:rPr>
        <w:t>ebrero 2026</w:t>
      </w:r>
      <w:r>
        <w:rPr>
          <w:rFonts w:ascii="Verdana" w:hAnsi="Verdana"/>
        </w:rPr>
        <w:t xml:space="preserve"> </w:t>
      </w:r>
    </w:p>
    <w:p w14:paraId="0D41A1B8" w14:textId="77777777" w:rsidR="00FE6B8B" w:rsidRPr="008E4F36" w:rsidRDefault="00FE6B8B" w:rsidP="00FE6B8B">
      <w:pPr>
        <w:spacing w:after="0" w:line="240" w:lineRule="auto"/>
        <w:jc w:val="both"/>
        <w:rPr>
          <w:rFonts w:ascii="Verdana" w:eastAsia="Calibri" w:hAnsi="Verdana" w:cs="Arial"/>
          <w:lang w:eastAsia="es-ES"/>
        </w:rPr>
      </w:pPr>
      <w:bookmarkStart w:id="0" w:name="_Hlk197462763"/>
      <w:bookmarkStart w:id="1" w:name="_Hlk197529996"/>
    </w:p>
    <w:p w14:paraId="29E5CABD" w14:textId="54E708E3" w:rsidR="00FE6B8B" w:rsidRDefault="002C122B" w:rsidP="00FE6B8B">
      <w:pPr>
        <w:spacing w:after="0" w:line="240" w:lineRule="auto"/>
        <w:jc w:val="both"/>
        <w:rPr>
          <w:rFonts w:ascii="Verdana" w:eastAsia="Calibri" w:hAnsi="Verdana" w:cs="Arial"/>
          <w:lang w:eastAsia="es-ES"/>
        </w:rPr>
      </w:pPr>
      <w:r w:rsidRPr="002C122B">
        <w:rPr>
          <w:rFonts w:ascii="Verdana" w:eastAsia="Calibri" w:hAnsi="Verdana" w:cs="Arial"/>
          <w:lang w:eastAsia="es-ES"/>
        </w:rPr>
        <w:drawing>
          <wp:anchor distT="0" distB="0" distL="114300" distR="114300" simplePos="0" relativeHeight="251660288" behindDoc="1" locked="0" layoutInCell="1" allowOverlap="1" wp14:anchorId="251E43C3" wp14:editId="46FD1488">
            <wp:simplePos x="0" y="0"/>
            <wp:positionH relativeFrom="column">
              <wp:posOffset>2716558</wp:posOffset>
            </wp:positionH>
            <wp:positionV relativeFrom="paragraph">
              <wp:posOffset>58945</wp:posOffset>
            </wp:positionV>
            <wp:extent cx="3352800" cy="981075"/>
            <wp:effectExtent l="0" t="0" r="0" b="9525"/>
            <wp:wrapTight wrapText="bothSides">
              <wp:wrapPolygon edited="0">
                <wp:start x="0" y="0"/>
                <wp:lineTo x="0" y="21390"/>
                <wp:lineTo x="21477" y="21390"/>
                <wp:lineTo x="21477" y="0"/>
                <wp:lineTo x="0" y="0"/>
              </wp:wrapPolygon>
            </wp:wrapTight>
            <wp:docPr id="67126073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260734"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352800" cy="981075"/>
                    </a:xfrm>
                    <a:prstGeom prst="rect">
                      <a:avLst/>
                    </a:prstGeom>
                  </pic:spPr>
                </pic:pic>
              </a:graphicData>
            </a:graphic>
          </wp:anchor>
        </w:drawing>
      </w:r>
    </w:p>
    <w:p w14:paraId="74344458" w14:textId="7E030516" w:rsidR="002C122B" w:rsidRDefault="002C122B" w:rsidP="00FE6B8B">
      <w:pPr>
        <w:spacing w:after="0" w:line="240" w:lineRule="auto"/>
        <w:jc w:val="both"/>
        <w:rPr>
          <w:rFonts w:ascii="Verdana" w:eastAsia="Calibri" w:hAnsi="Verdana" w:cs="Arial"/>
          <w:lang w:eastAsia="es-ES"/>
        </w:rPr>
      </w:pPr>
    </w:p>
    <w:p w14:paraId="634DDC40" w14:textId="77777777" w:rsidR="002C122B" w:rsidRDefault="002C122B" w:rsidP="00FE6B8B">
      <w:pPr>
        <w:spacing w:after="0" w:line="240" w:lineRule="auto"/>
        <w:jc w:val="both"/>
        <w:rPr>
          <w:rFonts w:ascii="Verdana" w:eastAsia="Calibri" w:hAnsi="Verdana" w:cs="Arial"/>
          <w:lang w:eastAsia="es-ES"/>
        </w:rPr>
      </w:pPr>
    </w:p>
    <w:p w14:paraId="6F9F85A8" w14:textId="77777777" w:rsidR="00FE6B8B" w:rsidRPr="00384E78" w:rsidRDefault="00FE6B8B" w:rsidP="00FE6B8B">
      <w:pPr>
        <w:spacing w:after="0" w:line="240" w:lineRule="auto"/>
        <w:jc w:val="both"/>
        <w:rPr>
          <w:rFonts w:ascii="Verdana" w:eastAsia="Calibri" w:hAnsi="Verdana" w:cs="Arial"/>
          <w:lang w:eastAsia="es-ES"/>
        </w:rPr>
      </w:pPr>
      <w:r w:rsidRPr="00384E78">
        <w:rPr>
          <w:rFonts w:ascii="Verdana" w:eastAsia="Calibri" w:hAnsi="Verdana" w:cs="Arial"/>
          <w:lang w:eastAsia="es-ES"/>
        </w:rPr>
        <w:t>Señor</w:t>
      </w:r>
    </w:p>
    <w:p w14:paraId="55D7656E" w14:textId="77777777" w:rsidR="00FE6B8B" w:rsidRPr="00384E78" w:rsidRDefault="00FE6B8B" w:rsidP="00FE6B8B">
      <w:pPr>
        <w:spacing w:after="0" w:line="240" w:lineRule="auto"/>
        <w:jc w:val="both"/>
        <w:rPr>
          <w:rFonts w:ascii="Verdana" w:eastAsia="Calibri" w:hAnsi="Verdana" w:cs="Arial"/>
          <w:b/>
          <w:lang w:eastAsia="es-ES_tradnl"/>
        </w:rPr>
      </w:pPr>
      <w:r w:rsidRPr="00384E78">
        <w:rPr>
          <w:rFonts w:ascii="Verdana" w:eastAsia="Calibri" w:hAnsi="Verdana" w:cs="Arial"/>
          <w:b/>
          <w:lang w:eastAsia="es-ES_tradnl"/>
        </w:rPr>
        <w:t>Dilber Leandro Vargas D</w:t>
      </w:r>
      <w:r>
        <w:rPr>
          <w:rFonts w:ascii="Verdana" w:eastAsia="Calibri" w:hAnsi="Verdana" w:cs="Arial"/>
          <w:b/>
          <w:lang w:eastAsia="es-ES_tradnl"/>
        </w:rPr>
        <w:t>íaz</w:t>
      </w:r>
    </w:p>
    <w:p w14:paraId="435B2047" w14:textId="77777777" w:rsidR="00FE6B8B" w:rsidRPr="00384E78" w:rsidRDefault="00FE6B8B" w:rsidP="00FE6B8B">
      <w:pPr>
        <w:spacing w:after="0" w:line="240" w:lineRule="auto"/>
        <w:jc w:val="both"/>
        <w:rPr>
          <w:rFonts w:ascii="Verdana" w:eastAsia="Calibri" w:hAnsi="Verdana" w:cs="Arial"/>
          <w:b/>
          <w:lang w:eastAsia="es-ES_tradnl"/>
        </w:rPr>
      </w:pPr>
      <w:hyperlink r:id="rId12" w:history="1">
        <w:r w:rsidRPr="00384E78">
          <w:rPr>
            <w:rStyle w:val="Hipervnculo"/>
            <w:rFonts w:ascii="Verdana" w:eastAsia="Calibri" w:hAnsi="Verdana" w:cs="Arial"/>
            <w:b/>
            <w:lang w:eastAsia="es-ES_tradnl"/>
          </w:rPr>
          <w:t>dlvargas.diaz@gmail.com</w:t>
        </w:r>
      </w:hyperlink>
      <w:r w:rsidRPr="00384E78">
        <w:rPr>
          <w:rFonts w:ascii="Verdana" w:eastAsia="Calibri" w:hAnsi="Verdana" w:cs="Arial"/>
          <w:b/>
          <w:lang w:eastAsia="es-ES_tradnl"/>
        </w:rPr>
        <w:t xml:space="preserve"> </w:t>
      </w:r>
    </w:p>
    <w:p w14:paraId="19F20C2D" w14:textId="77777777" w:rsidR="00FE6B8B" w:rsidRPr="00624A4C" w:rsidRDefault="00FE6B8B" w:rsidP="00FE6B8B">
      <w:pPr>
        <w:spacing w:after="0" w:line="240" w:lineRule="auto"/>
        <w:jc w:val="both"/>
        <w:rPr>
          <w:rFonts w:ascii="Verdana" w:eastAsia="Calibri" w:hAnsi="Verdana" w:cs="Arial"/>
          <w:bCs/>
          <w:lang w:eastAsia="es-ES_tradnl"/>
        </w:rPr>
      </w:pPr>
      <w:r w:rsidRPr="00384E78">
        <w:rPr>
          <w:rFonts w:ascii="Verdana" w:eastAsia="Calibri" w:hAnsi="Verdana" w:cs="Arial"/>
          <w:bCs/>
          <w:lang w:eastAsia="es-ES_tradnl"/>
        </w:rPr>
        <w:t>Pereira, Risaralda</w:t>
      </w:r>
    </w:p>
    <w:p w14:paraId="75C9DFA7" w14:textId="77777777" w:rsidR="00FE6B8B" w:rsidRPr="005B4C57" w:rsidRDefault="00FE6B8B" w:rsidP="00FE6B8B">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FE6B8B" w:rsidRPr="002842E0" w14:paraId="114D76C9" w14:textId="77777777" w:rsidTr="00993DF0">
        <w:trPr>
          <w:trHeight w:val="162"/>
        </w:trPr>
        <w:tc>
          <w:tcPr>
            <w:tcW w:w="3119" w:type="dxa"/>
          </w:tcPr>
          <w:p w14:paraId="5C960A8B" w14:textId="77777777" w:rsidR="00FE6B8B" w:rsidRPr="005B4C57" w:rsidRDefault="00FE6B8B" w:rsidP="00993DF0">
            <w:pPr>
              <w:jc w:val="both"/>
              <w:rPr>
                <w:rFonts w:ascii="Verdana" w:eastAsia="Calibri" w:hAnsi="Verdana" w:cs="Arial"/>
                <w:b/>
                <w:bCs/>
                <w:color w:val="7030A0"/>
                <w:lang w:val="it-CH" w:eastAsia="es-ES_tradnl"/>
              </w:rPr>
            </w:pPr>
          </w:p>
        </w:tc>
        <w:tc>
          <w:tcPr>
            <w:tcW w:w="5670" w:type="dxa"/>
          </w:tcPr>
          <w:p w14:paraId="031F6086" w14:textId="77777777" w:rsidR="00FE6B8B" w:rsidRPr="00961166" w:rsidRDefault="00FE6B8B" w:rsidP="00993DF0">
            <w:pPr>
              <w:jc w:val="both"/>
              <w:rPr>
                <w:rFonts w:ascii="Verdana" w:eastAsia="Calibri" w:hAnsi="Verdana" w:cs="Arial"/>
                <w:b/>
                <w:bCs/>
                <w:lang w:val="it-CH" w:eastAsia="es-ES_tradnl"/>
              </w:rPr>
            </w:pPr>
            <w:r w:rsidRPr="00961166">
              <w:rPr>
                <w:rFonts w:ascii="Verdana" w:eastAsia="Calibri" w:hAnsi="Verdana" w:cs="Arial"/>
                <w:b/>
                <w:bCs/>
                <w:lang w:val="it-CH" w:eastAsia="es-ES_tradnl"/>
              </w:rPr>
              <w:t>Concepto C- 1863 de 2025</w:t>
            </w:r>
          </w:p>
          <w:p w14:paraId="65C6A8FA" w14:textId="77777777" w:rsidR="00FE6B8B" w:rsidRPr="00961166" w:rsidRDefault="00FE6B8B" w:rsidP="00993DF0">
            <w:pPr>
              <w:jc w:val="both"/>
              <w:rPr>
                <w:rFonts w:ascii="Verdana" w:eastAsia="Calibri" w:hAnsi="Verdana" w:cs="Arial"/>
                <w:b/>
                <w:bCs/>
                <w:lang w:val="it-CH" w:eastAsia="es-ES_tradnl"/>
              </w:rPr>
            </w:pPr>
          </w:p>
        </w:tc>
      </w:tr>
      <w:tr w:rsidR="00FE6B8B" w:rsidRPr="002842E0" w14:paraId="7DDC1041" w14:textId="77777777" w:rsidTr="00993DF0">
        <w:trPr>
          <w:trHeight w:val="884"/>
        </w:trPr>
        <w:tc>
          <w:tcPr>
            <w:tcW w:w="3119" w:type="dxa"/>
          </w:tcPr>
          <w:p w14:paraId="63D2C014" w14:textId="77777777" w:rsidR="00FE6B8B" w:rsidRPr="00961166" w:rsidRDefault="00FE6B8B" w:rsidP="00993DF0">
            <w:pPr>
              <w:jc w:val="both"/>
              <w:rPr>
                <w:rFonts w:ascii="Verdana" w:eastAsia="Calibri" w:hAnsi="Verdana" w:cs="Arial"/>
                <w:b/>
                <w:bCs/>
                <w:color w:val="7030A0"/>
                <w:lang w:val="it-CH" w:eastAsia="es-ES_tradnl"/>
              </w:rPr>
            </w:pPr>
            <w:r w:rsidRPr="00961166">
              <w:rPr>
                <w:rFonts w:ascii="Verdana" w:eastAsia="Calibri" w:hAnsi="Verdana" w:cs="Arial"/>
                <w:b/>
                <w:bCs/>
                <w:lang w:val="it-CH" w:eastAsia="es-ES_tradnl"/>
              </w:rPr>
              <w:t xml:space="preserve">Temas:                            </w:t>
            </w:r>
          </w:p>
        </w:tc>
        <w:tc>
          <w:tcPr>
            <w:tcW w:w="5670" w:type="dxa"/>
          </w:tcPr>
          <w:p w14:paraId="271FAEE9" w14:textId="77777777" w:rsidR="00FE6B8B" w:rsidRPr="00961166" w:rsidRDefault="00FE6B8B" w:rsidP="00993DF0">
            <w:pPr>
              <w:spacing w:line="276" w:lineRule="auto"/>
              <w:jc w:val="both"/>
              <w:rPr>
                <w:rFonts w:ascii="Verdana" w:eastAsia="Calibri" w:hAnsi="Verdana" w:cs="Arial"/>
                <w:lang w:val="it-CH" w:eastAsia="es-ES_tradnl"/>
              </w:rPr>
            </w:pPr>
            <w:r>
              <w:rPr>
                <w:rFonts w:ascii="Verdana" w:eastAsia="Calibri" w:hAnsi="Verdana" w:cs="Arial"/>
                <w:lang w:val="it-CH" w:eastAsia="es-ES_tradnl"/>
              </w:rPr>
              <w:t xml:space="preserve">SELECCIÓN OBJETIVA – Noción / SELECCIÓN OBJETIVA – Ley 1150 de 2005 – Artículo 5 – / </w:t>
            </w:r>
            <w:r w:rsidRPr="00961166">
              <w:rPr>
                <w:rFonts w:ascii="Verdana" w:eastAsia="Calibri" w:hAnsi="Verdana" w:cs="Arial"/>
                <w:lang w:val="it-CH" w:eastAsia="es-ES_tradnl"/>
              </w:rPr>
              <w:t>PLANEACIÓN – Estudios previos /</w:t>
            </w:r>
            <w:r>
              <w:rPr>
                <w:rFonts w:ascii="Verdana" w:eastAsia="Calibri" w:hAnsi="Verdana" w:cs="Arial"/>
                <w:lang w:val="it-CH" w:eastAsia="es-ES_tradnl"/>
              </w:rPr>
              <w:t xml:space="preserve"> REQUISITOS HABILITANTES – Determinación / EQUIPO DE TRABAJO – Requisitos </w:t>
            </w:r>
            <w:r w:rsidRPr="00961166">
              <w:rPr>
                <w:rFonts w:ascii="Verdana" w:eastAsia="Calibri" w:hAnsi="Verdana" w:cs="Arial"/>
                <w:lang w:val="it-CH" w:eastAsia="es-ES_tradnl"/>
              </w:rPr>
              <w:t xml:space="preserve">– </w:t>
            </w:r>
            <w:r>
              <w:rPr>
                <w:rFonts w:ascii="Verdana" w:eastAsia="Calibri" w:hAnsi="Verdana" w:cs="Arial"/>
                <w:lang w:val="it-CH" w:eastAsia="es-ES_tradnl"/>
              </w:rPr>
              <w:t xml:space="preserve">Formación Academica – Experiencia / EQUIPO DE TRABAJO – Requisitos – Equivalencias – Reglas aplicables </w:t>
            </w:r>
          </w:p>
          <w:p w14:paraId="0585ECDA" w14:textId="77777777" w:rsidR="00FE6B8B" w:rsidRPr="00961166" w:rsidRDefault="00FE6B8B" w:rsidP="00993DF0">
            <w:pPr>
              <w:spacing w:line="276" w:lineRule="auto"/>
              <w:jc w:val="both"/>
              <w:rPr>
                <w:rFonts w:ascii="Verdana" w:eastAsia="Calibri" w:hAnsi="Verdana" w:cs="Arial"/>
                <w:b/>
                <w:bCs/>
                <w:color w:val="7030A0"/>
                <w:lang w:val="it-CH" w:eastAsia="es-ES_tradnl"/>
              </w:rPr>
            </w:pPr>
          </w:p>
        </w:tc>
      </w:tr>
      <w:tr w:rsidR="00FE6B8B" w:rsidRPr="002842E0" w14:paraId="01A774BA" w14:textId="77777777" w:rsidTr="00993DF0">
        <w:tc>
          <w:tcPr>
            <w:tcW w:w="3119" w:type="dxa"/>
          </w:tcPr>
          <w:p w14:paraId="7E687C21" w14:textId="77777777" w:rsidR="00FE6B8B" w:rsidRPr="00801462" w:rsidRDefault="00FE6B8B" w:rsidP="00993DF0">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096EFB32" w14:textId="77777777" w:rsidR="00FE6B8B" w:rsidRPr="00801462" w:rsidRDefault="00FE6B8B" w:rsidP="00993DF0">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384E78">
              <w:rPr>
                <w:rFonts w:ascii="Verdana" w:eastAsia="Calibri" w:hAnsi="Verdana" w:cs="Arial"/>
                <w:lang w:eastAsia="es-ES_tradnl"/>
              </w:rPr>
              <w:t>1_2025_12_23_014279</w:t>
            </w:r>
            <w:r>
              <w:rPr>
                <w:rFonts w:ascii="Verdana" w:eastAsia="Calibri" w:hAnsi="Verdana" w:cs="Arial"/>
                <w:lang w:eastAsia="es-ES_tradnl"/>
              </w:rPr>
              <w:t xml:space="preserve">  </w:t>
            </w:r>
          </w:p>
        </w:tc>
      </w:tr>
    </w:tbl>
    <w:p w14:paraId="1035A298" w14:textId="77777777" w:rsidR="00FE6B8B" w:rsidRDefault="00FE6B8B" w:rsidP="00FE6B8B">
      <w:pPr>
        <w:spacing w:after="0" w:line="276" w:lineRule="auto"/>
        <w:jc w:val="both"/>
        <w:rPr>
          <w:rFonts w:ascii="Verdana" w:eastAsia="Calibri" w:hAnsi="Verdana" w:cs="Arial"/>
          <w:lang w:eastAsia="es-ES_tradnl"/>
        </w:rPr>
      </w:pPr>
    </w:p>
    <w:p w14:paraId="74AB5C56" w14:textId="77777777" w:rsidR="00FE6B8B" w:rsidRDefault="00FE6B8B" w:rsidP="00FE6B8B">
      <w:pPr>
        <w:spacing w:after="0" w:line="276" w:lineRule="auto"/>
        <w:jc w:val="both"/>
        <w:rPr>
          <w:rFonts w:ascii="Verdana" w:eastAsia="Calibri" w:hAnsi="Verdana" w:cs="Arial"/>
          <w:lang w:eastAsia="es-ES_tradnl"/>
        </w:rPr>
      </w:pPr>
    </w:p>
    <w:p w14:paraId="6D0240A5" w14:textId="77777777" w:rsidR="00FE6B8B" w:rsidRPr="008E4F36" w:rsidRDefault="00FE6B8B" w:rsidP="00FE6B8B">
      <w:pPr>
        <w:spacing w:after="0" w:line="276" w:lineRule="auto"/>
        <w:jc w:val="both"/>
        <w:rPr>
          <w:rFonts w:ascii="Verdana" w:eastAsia="Calibri" w:hAnsi="Verdana" w:cs="Arial"/>
          <w:lang w:eastAsia="es-ES"/>
        </w:rPr>
      </w:pPr>
      <w:r w:rsidRPr="00384E78">
        <w:rPr>
          <w:rFonts w:ascii="Verdana" w:eastAsia="Calibri" w:hAnsi="Verdana" w:cs="Arial"/>
          <w:lang w:eastAsia="es-ES"/>
        </w:rPr>
        <w:t>Estimado señor Vargas:</w:t>
      </w:r>
      <w:r w:rsidRPr="008E4F36">
        <w:rPr>
          <w:rFonts w:ascii="Verdana" w:eastAsia="Calibri" w:hAnsi="Verdana" w:cs="Arial"/>
          <w:lang w:eastAsia="es-ES"/>
        </w:rPr>
        <w:t xml:space="preserve"> </w:t>
      </w:r>
    </w:p>
    <w:p w14:paraId="0A76E3AB" w14:textId="77777777" w:rsidR="00FE6B8B" w:rsidRDefault="00FE6B8B" w:rsidP="00FE6B8B">
      <w:pPr>
        <w:tabs>
          <w:tab w:val="left" w:pos="3768"/>
        </w:tabs>
        <w:spacing w:after="0" w:line="240" w:lineRule="auto"/>
        <w:jc w:val="both"/>
        <w:rPr>
          <w:rFonts w:ascii="Verdana" w:eastAsia="Calibri" w:hAnsi="Verdana" w:cs="Arial"/>
          <w:lang w:eastAsia="es-ES"/>
        </w:rPr>
      </w:pPr>
    </w:p>
    <w:p w14:paraId="0E08D5FD" w14:textId="77777777" w:rsidR="00FE6B8B" w:rsidRPr="008169EB" w:rsidRDefault="00FE6B8B" w:rsidP="00FE6B8B">
      <w:pPr>
        <w:spacing w:after="0" w:line="276" w:lineRule="auto"/>
        <w:ind w:right="49"/>
        <w:jc w:val="both"/>
        <w:rPr>
          <w:rFonts w:ascii="Verdana" w:eastAsia="Century Gothic" w:hAnsi="Verdana" w:cs="Century Gothic"/>
          <w:i/>
          <w:iCs/>
        </w:rPr>
      </w:pPr>
      <w:r w:rsidRPr="005058B7">
        <w:rPr>
          <w:rFonts w:ascii="Verdana" w:eastAsia="Calibri" w:hAnsi="Verdana" w:cs="Arial"/>
          <w:lang w:eastAsia="es-ES"/>
        </w:rPr>
        <w:t>En ejercicio de la competencia otorgada por los artículos 3, numeral 5º, y 11, numeral 8º, del Decreto Ley 4170 de 2011, así como lo establecido en la Resolución 469 de 2025 expedida por esta Entidad, la Agencia Nacional de Contratación Pública – Colombia Compra Eficiente– responde su solicitud de consulta de fecha 23 de diciembre de 2025, en la cual manifiesta lo siguiente:</w:t>
      </w:r>
      <w:bookmarkStart w:id="2" w:name="_Hlk192699624"/>
      <w:bookmarkStart w:id="3" w:name="_Hlk199394899"/>
      <w:r w:rsidRPr="008169EB">
        <w:rPr>
          <w:rFonts w:ascii="Verdana" w:eastAsia="Century Gothic" w:hAnsi="Verdana" w:cs="Century Gothic"/>
        </w:rPr>
        <w:t xml:space="preserve"> </w:t>
      </w:r>
      <w:r w:rsidRPr="008169EB">
        <w:rPr>
          <w:rFonts w:ascii="Verdana" w:eastAsia="Century Gothic" w:hAnsi="Verdana" w:cs="Century Gothic"/>
          <w:i/>
          <w:iCs/>
        </w:rPr>
        <w:t>“</w:t>
      </w:r>
      <w:bookmarkEnd w:id="2"/>
      <w:bookmarkEnd w:id="3"/>
      <w:r w:rsidRPr="008169EB">
        <w:rPr>
          <w:rFonts w:ascii="Verdana" w:eastAsia="Century Gothic" w:hAnsi="Verdana" w:cs="Century Gothic"/>
          <w:i/>
          <w:iCs/>
        </w:rPr>
        <w:t>Consulta sobre la viabilidad de aplicar homologación y equivalencias (Decreto 1083 de 2015) para la aprobación del personal como requisito previo a la suscripción del Acta de Inicio y durante la ejecución contractual – Tensión con el Principio de Selección Objetiva”.</w:t>
      </w:r>
    </w:p>
    <w:p w14:paraId="04060D9A" w14:textId="77777777" w:rsidR="00FE6B8B" w:rsidRDefault="00FE6B8B" w:rsidP="00FE6B8B">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8E4F36">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7447361" w14:textId="77777777" w:rsidR="00FE6B8B" w:rsidRPr="00054383" w:rsidRDefault="00FE6B8B" w:rsidP="00FE6B8B">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180B5769" w14:textId="77777777" w:rsidR="00FE6B8B" w:rsidRPr="008E4F36" w:rsidRDefault="00FE6B8B" w:rsidP="00FE6B8B">
      <w:pPr>
        <w:spacing w:after="0"/>
        <w:ind w:firstLine="709"/>
        <w:jc w:val="both"/>
        <w:rPr>
          <w:rFonts w:ascii="Verdana" w:eastAsia="Calibri" w:hAnsi="Verdana" w:cs="Arial"/>
          <w:color w:val="000000"/>
          <w:lang w:eastAsia="es-ES"/>
        </w:rPr>
      </w:pPr>
    </w:p>
    <w:p w14:paraId="062524B3" w14:textId="77777777" w:rsidR="00FE6B8B" w:rsidRDefault="00FE6B8B" w:rsidP="00FE6B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59FD9A6D" w14:textId="77777777" w:rsidR="00FE6B8B" w:rsidRDefault="00FE6B8B" w:rsidP="00FE6B8B">
      <w:pPr>
        <w:spacing w:after="0" w:line="276" w:lineRule="auto"/>
        <w:jc w:val="both"/>
        <w:rPr>
          <w:rFonts w:ascii="Verdana" w:eastAsia="Calibri" w:hAnsi="Verdana" w:cs="Arial"/>
          <w:color w:val="000000"/>
          <w:highlight w:val="yellow"/>
          <w:lang w:eastAsia="es-ES"/>
        </w:rPr>
      </w:pPr>
    </w:p>
    <w:p w14:paraId="711A38A9" w14:textId="77777777" w:rsidR="00FE6B8B" w:rsidRPr="005A3B40" w:rsidRDefault="00FE6B8B" w:rsidP="00FE6B8B">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Pr>
          <w:rFonts w:ascii="Verdana" w:eastAsia="Calibri" w:hAnsi="Verdana" w:cs="Arial"/>
          <w:color w:val="000000"/>
          <w:lang w:eastAsia="es-ES"/>
        </w:rPr>
        <w:t xml:space="preserve"> Al momento de suscribir del acta de inicio, </w:t>
      </w:r>
      <w:r w:rsidRPr="00090BB0">
        <w:rPr>
          <w:rFonts w:ascii="Verdana" w:hAnsi="Verdana"/>
        </w:rPr>
        <w:t>¿</w:t>
      </w:r>
      <w:r>
        <w:rPr>
          <w:rFonts w:ascii="Verdana" w:hAnsi="Verdana"/>
        </w:rPr>
        <w:t xml:space="preserve">resulta valido aplicar las reglas para la </w:t>
      </w:r>
      <w:r w:rsidRPr="00090BB0">
        <w:rPr>
          <w:rFonts w:ascii="Verdana" w:hAnsi="Verdana"/>
        </w:rPr>
        <w:t>homologaci</w:t>
      </w:r>
      <w:r>
        <w:rPr>
          <w:rFonts w:ascii="Verdana" w:hAnsi="Verdana"/>
        </w:rPr>
        <w:t>ón</w:t>
      </w:r>
      <w:r w:rsidRPr="00090BB0">
        <w:rPr>
          <w:rFonts w:ascii="Verdana" w:hAnsi="Verdana"/>
        </w:rPr>
        <w:t xml:space="preserve"> y</w:t>
      </w:r>
      <w:r>
        <w:rPr>
          <w:rFonts w:ascii="Verdana" w:hAnsi="Verdana"/>
        </w:rPr>
        <w:t xml:space="preserve"> las</w:t>
      </w:r>
      <w:r w:rsidRPr="00090BB0">
        <w:rPr>
          <w:rFonts w:ascii="Verdana" w:hAnsi="Verdana"/>
        </w:rPr>
        <w:t xml:space="preserve"> equivalencias</w:t>
      </w:r>
      <w:r>
        <w:rPr>
          <w:rFonts w:ascii="Verdana" w:hAnsi="Verdana"/>
        </w:rPr>
        <w:t xml:space="preserve"> reguladas en el Decreto 1083 de 2015</w:t>
      </w:r>
      <w:r w:rsidRPr="00090BB0">
        <w:rPr>
          <w:rFonts w:ascii="Verdana" w:hAnsi="Verdana"/>
        </w:rPr>
        <w:t xml:space="preserve"> </w:t>
      </w:r>
      <w:r>
        <w:rPr>
          <w:rFonts w:ascii="Verdana" w:hAnsi="Verdana"/>
        </w:rPr>
        <w:t>para validar los requisitos de formación académica y/o experiencia del</w:t>
      </w:r>
      <w:r w:rsidRPr="00090BB0">
        <w:rPr>
          <w:rFonts w:ascii="Verdana" w:hAnsi="Verdana"/>
        </w:rPr>
        <w:t xml:space="preserve"> </w:t>
      </w:r>
      <w:r>
        <w:rPr>
          <w:rFonts w:ascii="Verdana" w:hAnsi="Verdana"/>
        </w:rPr>
        <w:t xml:space="preserve">equipo de trabajo del contratista? </w:t>
      </w:r>
    </w:p>
    <w:p w14:paraId="15FCAF45" w14:textId="77777777" w:rsidR="00FE6B8B" w:rsidRPr="002553A0" w:rsidRDefault="00FE6B8B" w:rsidP="00FE6B8B">
      <w:pPr>
        <w:spacing w:after="0" w:line="276" w:lineRule="auto"/>
        <w:jc w:val="both"/>
        <w:rPr>
          <w:rFonts w:ascii="Verdana" w:eastAsia="Calibri" w:hAnsi="Verdana" w:cs="Times New Roman"/>
          <w:lang w:val="es-ES"/>
        </w:rPr>
      </w:pPr>
    </w:p>
    <w:p w14:paraId="19DCB7EB" w14:textId="77777777" w:rsidR="00FE6B8B" w:rsidRPr="008E4F36" w:rsidRDefault="00FE6B8B" w:rsidP="00FE6B8B">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438881A5" w14:textId="77777777" w:rsidR="00FE6B8B" w:rsidRPr="008E4F36" w:rsidRDefault="00FE6B8B" w:rsidP="00FE6B8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FE6B8B" w:rsidRPr="008E4F36" w14:paraId="7AD3F0E3" w14:textId="77777777" w:rsidTr="00993DF0">
        <w:tc>
          <w:tcPr>
            <w:tcW w:w="8828" w:type="dxa"/>
            <w:tcBorders>
              <w:top w:val="dotted" w:sz="4" w:space="0" w:color="auto"/>
              <w:left w:val="dotted" w:sz="4" w:space="0" w:color="auto"/>
              <w:bottom w:val="dotted" w:sz="4" w:space="0" w:color="auto"/>
              <w:right w:val="dotted" w:sz="4" w:space="0" w:color="auto"/>
            </w:tcBorders>
          </w:tcPr>
          <w:p w14:paraId="66E27786" w14:textId="77777777" w:rsidR="00FE6B8B" w:rsidRPr="001517C0" w:rsidRDefault="00FE6B8B" w:rsidP="00993DF0">
            <w:pPr>
              <w:tabs>
                <w:tab w:val="left" w:pos="142"/>
                <w:tab w:val="left" w:pos="284"/>
              </w:tabs>
              <w:spacing w:after="120" w:line="276" w:lineRule="auto"/>
              <w:jc w:val="both"/>
              <w:rPr>
                <w:rFonts w:ascii="Verdana" w:hAnsi="Verdana" w:cs="Arial"/>
                <w:color w:val="000000" w:themeColor="text1"/>
              </w:rPr>
            </w:pPr>
            <w:r w:rsidRPr="001517C0">
              <w:rPr>
                <w:rFonts w:ascii="Verdana" w:hAnsi="Verdana" w:cs="Arial"/>
                <w:color w:val="000000" w:themeColor="text1"/>
              </w:rPr>
              <w:t>Las Entidades Estatales, en ejercicio de su discrecionalidad administrativa, pueden definir en los documentos del proceso los requisitos de formación académica y experiencia del equipo de trabajo del contratista, así como las reglas para su acreditación y valoración. En ese marco, es jurídicamente viable que establezcan sistemas de equivalencias entre formación académica y experiencia, siempre que dichas reglas se encuentren claramente previstas desde la etapa de planeación contractual, con criterios objetivos, verificables y previamente conocidos por los proponentes.</w:t>
            </w:r>
          </w:p>
          <w:p w14:paraId="19102EB1" w14:textId="77777777" w:rsidR="00FE6B8B" w:rsidRPr="001517C0" w:rsidRDefault="00FE6B8B" w:rsidP="00993DF0">
            <w:pPr>
              <w:tabs>
                <w:tab w:val="left" w:pos="142"/>
                <w:tab w:val="left" w:pos="284"/>
              </w:tabs>
              <w:spacing w:after="120" w:line="276" w:lineRule="auto"/>
              <w:ind w:firstLine="709"/>
              <w:jc w:val="both"/>
              <w:rPr>
                <w:rFonts w:ascii="Verdana" w:hAnsi="Verdana" w:cs="Arial"/>
                <w:color w:val="000000" w:themeColor="text1"/>
              </w:rPr>
            </w:pPr>
            <w:r w:rsidRPr="001517C0">
              <w:rPr>
                <w:rFonts w:ascii="Verdana" w:hAnsi="Verdana" w:cs="Arial"/>
                <w:color w:val="000000" w:themeColor="text1"/>
              </w:rPr>
              <w:lastRenderedPageBreak/>
              <w:t>No obstante, los sistemas de equivalencias regulados en los Decretos ley 770 y 785 de 2005, así como en el Decreto 1083 de 2015, tienen un ámbito de aplicación circunscrito al régimen del empleo público y no resultan directamente aplicables a la contratación estatal ni a las relaciones laborales de los particulares que ejecutan contratos estatales. En consecuencia, tales disposiciones no tienen carácter vinculante por sí mismas en los procesos de compra pública.</w:t>
            </w:r>
          </w:p>
          <w:p w14:paraId="1CDBFC11" w14:textId="77777777" w:rsidR="00FE6B8B" w:rsidRPr="001517C0" w:rsidRDefault="00FE6B8B" w:rsidP="00993DF0">
            <w:pPr>
              <w:tabs>
                <w:tab w:val="left" w:pos="142"/>
                <w:tab w:val="left" w:pos="284"/>
              </w:tabs>
              <w:spacing w:after="120" w:line="276" w:lineRule="auto"/>
              <w:ind w:firstLine="709"/>
              <w:jc w:val="both"/>
              <w:rPr>
                <w:rFonts w:ascii="Verdana" w:hAnsi="Verdana" w:cs="Arial"/>
                <w:color w:val="000000" w:themeColor="text1"/>
              </w:rPr>
            </w:pPr>
            <w:r w:rsidRPr="001517C0">
              <w:rPr>
                <w:rFonts w:ascii="Verdana" w:hAnsi="Verdana" w:cs="Arial"/>
                <w:color w:val="000000" w:themeColor="text1"/>
              </w:rPr>
              <w:t>Sin perjuicio de lo anterior, una Entidad Estatal puede tomar dichas normas como un referente técnico para diseñar reglas de equivalencia aplicables al equipo de trabajo del contratista, siempre que esta posibilidad haya sido prevista expresamente en los pliegos de condiciones o documentos del proceso. De lo contrario, la aplicación de equivalencias con fundamento exclusivo en el Decreto 1083 de 2015 carece de sustento jurídico en el ámbito contractual.</w:t>
            </w:r>
          </w:p>
          <w:p w14:paraId="3E61E1C1" w14:textId="77777777" w:rsidR="00FE6B8B" w:rsidRPr="001517C0" w:rsidRDefault="00FE6B8B" w:rsidP="00993DF0">
            <w:pPr>
              <w:tabs>
                <w:tab w:val="left" w:pos="142"/>
                <w:tab w:val="left" w:pos="284"/>
              </w:tabs>
              <w:spacing w:after="120" w:line="276" w:lineRule="auto"/>
              <w:ind w:firstLine="709"/>
              <w:jc w:val="both"/>
              <w:rPr>
                <w:rFonts w:ascii="Verdana" w:hAnsi="Verdana" w:cs="Arial"/>
                <w:color w:val="000000" w:themeColor="text1"/>
              </w:rPr>
            </w:pPr>
            <w:r w:rsidRPr="001517C0">
              <w:rPr>
                <w:rFonts w:ascii="Verdana" w:hAnsi="Verdana" w:cs="Arial"/>
                <w:color w:val="000000" w:themeColor="text1"/>
              </w:rPr>
              <w:t>En este sentido, la introducción, modificación o flexibilización de reglas de homologación o equivalencia con posterioridad a la adjudicación del contrato —ya sea antes de la suscripción del acta de inicio o durante la ejecución—, cuando estas no fueron previstas en los documentos del proceso, desconoce el principio de selección objetiva, en tanto altera las condiciones bajo las cuales se evaluaron las ofertas y se adoptó la decisión de adjudicación.</w:t>
            </w:r>
          </w:p>
          <w:p w14:paraId="4C1E9130" w14:textId="77777777" w:rsidR="00FE6B8B" w:rsidRPr="001517C0" w:rsidRDefault="00FE6B8B" w:rsidP="00993DF0">
            <w:pPr>
              <w:tabs>
                <w:tab w:val="left" w:pos="142"/>
                <w:tab w:val="left" w:pos="284"/>
              </w:tabs>
              <w:spacing w:after="120" w:line="276" w:lineRule="auto"/>
              <w:ind w:firstLine="709"/>
              <w:jc w:val="both"/>
              <w:rPr>
                <w:rFonts w:ascii="Verdana" w:hAnsi="Verdana" w:cs="Arial"/>
                <w:color w:val="000000" w:themeColor="text1"/>
              </w:rPr>
            </w:pPr>
            <w:r w:rsidRPr="001517C0">
              <w:rPr>
                <w:rFonts w:ascii="Verdana" w:hAnsi="Verdana" w:cs="Arial"/>
                <w:color w:val="000000" w:themeColor="text1"/>
              </w:rPr>
              <w:t>En conclusión, la aplicación de reglas de equivalencia en materia de formación académica o experiencia del personal solo es jurídicamente procedente cuando ha sido definida desde la planeación contractual y regulada de manera expresa, clara y objetiva en los documentos del proceso. Su incorporación extemporánea o su aplicación discrecional en etapas posteriores vulnera los principios de planeación, transparencia, igualdad y selección objetiva, y puede comprometer la validez del proceso de selección y del contrato celebrado.</w:t>
            </w:r>
          </w:p>
          <w:p w14:paraId="4BB4C3BD" w14:textId="77777777" w:rsidR="00FE6B8B" w:rsidRPr="001517C0" w:rsidRDefault="00FE6B8B" w:rsidP="00993DF0">
            <w:pPr>
              <w:tabs>
                <w:tab w:val="left" w:pos="142"/>
                <w:tab w:val="left" w:pos="284"/>
              </w:tabs>
              <w:spacing w:line="276" w:lineRule="auto"/>
              <w:ind w:firstLine="709"/>
              <w:jc w:val="both"/>
              <w:rPr>
                <w:rFonts w:ascii="Verdana" w:hAnsi="Verdana" w:cs="Arial"/>
                <w:color w:val="000000" w:themeColor="text1"/>
              </w:rPr>
            </w:pPr>
            <w:r w:rsidRPr="001517C0">
              <w:rPr>
                <w:rFonts w:ascii="Verdana" w:hAnsi="Verdana" w:cs="Arial"/>
                <w:color w:val="000000" w:themeColor="text1"/>
              </w:rPr>
              <w:t>Finalmente, se precisa que Colombia Compra Eficiente, en ejercicio de su función consultiva, suministra criterios de interpretación general y no define reglas universales o absolutas, correspondiendo a cada Entidad Estatal, en el caso concreto, adoptar sus decisiones con sujeción al Estatuto General de Contratación de la Administración Pública y a los principios que lo rigen</w:t>
            </w:r>
          </w:p>
          <w:p w14:paraId="70C619AD" w14:textId="77777777" w:rsidR="00FE6B8B" w:rsidRPr="00DE0DE8" w:rsidRDefault="00FE6B8B" w:rsidP="00993DF0">
            <w:pPr>
              <w:spacing w:after="120" w:line="276" w:lineRule="auto"/>
              <w:ind w:firstLine="709"/>
              <w:jc w:val="both"/>
              <w:rPr>
                <w:rFonts w:ascii="Verdana" w:hAnsi="Verdana" w:cs="Arial"/>
                <w:color w:val="000000" w:themeColor="text1"/>
              </w:rPr>
            </w:pPr>
          </w:p>
        </w:tc>
      </w:tr>
    </w:tbl>
    <w:p w14:paraId="2FCD3C29" w14:textId="77777777" w:rsidR="00FE6B8B" w:rsidRDefault="00FE6B8B" w:rsidP="00FE6B8B">
      <w:pPr>
        <w:tabs>
          <w:tab w:val="left" w:pos="142"/>
          <w:tab w:val="left" w:pos="284"/>
        </w:tabs>
        <w:spacing w:after="0" w:line="276" w:lineRule="auto"/>
        <w:jc w:val="both"/>
        <w:rPr>
          <w:rFonts w:ascii="Verdana" w:eastAsia="Century Gothic" w:hAnsi="Verdana" w:cs="Century Gothic"/>
          <w:b/>
          <w:bCs/>
        </w:rPr>
      </w:pPr>
    </w:p>
    <w:p w14:paraId="6F89C8EF" w14:textId="77777777" w:rsidR="00FE6B8B" w:rsidRPr="008E4F36" w:rsidRDefault="00FE6B8B" w:rsidP="00FE6B8B">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13EE6313" w14:textId="77777777" w:rsidR="00FE6B8B" w:rsidRDefault="00FE6B8B" w:rsidP="00FE6B8B">
      <w:pPr>
        <w:pStyle w:val="Prrafodelista"/>
        <w:tabs>
          <w:tab w:val="left" w:pos="142"/>
          <w:tab w:val="left" w:pos="284"/>
        </w:tabs>
        <w:spacing w:after="0" w:line="276" w:lineRule="auto"/>
        <w:ind w:left="0"/>
        <w:contextualSpacing w:val="0"/>
        <w:jc w:val="both"/>
        <w:rPr>
          <w:rFonts w:ascii="Verdana" w:eastAsia="Calibri" w:hAnsi="Verdana" w:cs="Arial"/>
        </w:rPr>
      </w:pPr>
    </w:p>
    <w:p w14:paraId="3B5B9942" w14:textId="77777777" w:rsidR="00FE6B8B" w:rsidRDefault="00FE6B8B" w:rsidP="00FE6B8B">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44134C26" w14:textId="77777777" w:rsidR="00FE6B8B" w:rsidRDefault="00FE6B8B" w:rsidP="00FE6B8B">
      <w:pPr>
        <w:pStyle w:val="Prrafodelista"/>
        <w:tabs>
          <w:tab w:val="left" w:pos="142"/>
          <w:tab w:val="left" w:pos="284"/>
        </w:tabs>
        <w:spacing w:after="0" w:line="240" w:lineRule="auto"/>
        <w:ind w:left="0"/>
        <w:contextualSpacing w:val="0"/>
        <w:jc w:val="both"/>
        <w:rPr>
          <w:rFonts w:ascii="Verdana" w:eastAsia="Calibri" w:hAnsi="Verdana" w:cs="Arial"/>
        </w:rPr>
      </w:pPr>
    </w:p>
    <w:p w14:paraId="335D191C" w14:textId="77777777" w:rsidR="00FE6B8B" w:rsidRPr="008169EB" w:rsidRDefault="00FE6B8B" w:rsidP="00FE6B8B">
      <w:pPr>
        <w:spacing w:line="276" w:lineRule="auto"/>
        <w:ind w:right="49"/>
        <w:jc w:val="both"/>
        <w:rPr>
          <w:rFonts w:ascii="Verdana" w:hAnsi="Verdana" w:cs="Arial"/>
          <w:bCs/>
          <w:color w:val="000000" w:themeColor="text1"/>
          <w:lang w:val="es-ES_tradnl"/>
        </w:rPr>
      </w:pPr>
      <w:bookmarkStart w:id="4" w:name="_Hlk54011258"/>
      <w:bookmarkStart w:id="5" w:name="_Hlk204856061"/>
      <w:bookmarkStart w:id="6" w:name="_Hlk78820161"/>
      <w:bookmarkStart w:id="7" w:name="_Hlk204854194"/>
      <w:r w:rsidRPr="008169EB">
        <w:rPr>
          <w:rFonts w:ascii="Verdana" w:eastAsia="Times New Roman" w:hAnsi="Verdana" w:cs="Arial"/>
          <w:shd w:val="clear" w:color="auto" w:fill="FFFFFF"/>
        </w:rPr>
        <w:t xml:space="preserve">i. </w:t>
      </w:r>
      <w:r w:rsidRPr="008169EB">
        <w:rPr>
          <w:rFonts w:ascii="Verdana" w:hAnsi="Verdana" w:cs="Arial"/>
          <w:bCs/>
          <w:color w:val="000000" w:themeColor="text1"/>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15990FB5" w14:textId="77777777" w:rsidR="00FE6B8B" w:rsidRPr="008169EB" w:rsidRDefault="00FE6B8B" w:rsidP="00FE6B8B">
      <w:pPr>
        <w:spacing w:before="120" w:line="276" w:lineRule="auto"/>
        <w:ind w:right="51" w:firstLine="708"/>
        <w:jc w:val="both"/>
        <w:rPr>
          <w:rFonts w:ascii="Verdana" w:hAnsi="Verdana" w:cs="Arial"/>
          <w:bCs/>
          <w:color w:val="000000" w:themeColor="text1"/>
        </w:rPr>
      </w:pPr>
      <w:r w:rsidRPr="008169EB">
        <w:rPr>
          <w:rFonts w:ascii="Verdana" w:hAnsi="Verdana" w:cs="Arial"/>
          <w:bCs/>
          <w:color w:val="000000" w:themeColor="text1"/>
        </w:rPr>
        <w:t>Si bien dentro de la historia de la contratación pública en Colombia, se vislumbran antecedentes normativos que consagraban dicho principio</w:t>
      </w:r>
      <w:r w:rsidRPr="002A6D44">
        <w:rPr>
          <w:vertAlign w:val="superscript"/>
        </w:rPr>
        <w:footnoteReference w:id="1"/>
      </w:r>
      <w:r w:rsidRPr="008169EB">
        <w:rPr>
          <w:rFonts w:ascii="Verdana" w:hAnsi="Verdana" w:cs="Arial"/>
          <w:bCs/>
          <w:color w:val="000000" w:themeColor="text1"/>
        </w:rPr>
        <w:t xml:space="preserve">, en la actualidad la disposición legal que lo prevé de manera más clara y contundente es el artículo 5 de la Ley 1150 de 2007, modificado por el artículo 88 de la Ley 1474 de 2011. De acuerdo con esta norma, puede decirse que el deber de selección objetiva supone que las entidades escojan en los procesos de selección el </w:t>
      </w:r>
      <w:r w:rsidRPr="008169EB">
        <w:rPr>
          <w:rFonts w:ascii="Verdana" w:hAnsi="Verdana" w:cs="Arial"/>
          <w:bCs/>
          <w:i/>
          <w:iCs/>
          <w:color w:val="000000" w:themeColor="text1"/>
        </w:rPr>
        <w:t>“[…] ofrecimiento más favorable a la entidad y a los fines que ella busca”</w:t>
      </w:r>
      <w:r w:rsidRPr="008169EB">
        <w:rPr>
          <w:rFonts w:ascii="Verdana" w:hAnsi="Verdana" w:cs="Arial"/>
          <w:bCs/>
          <w:color w:val="000000" w:themeColor="text1"/>
        </w:rPr>
        <w:t xml:space="preserve">.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2BFC3FA3" w14:textId="77777777" w:rsidR="00FE6B8B" w:rsidRPr="00F61C7A" w:rsidRDefault="00FE6B8B" w:rsidP="00FE6B8B">
      <w:pPr>
        <w:spacing w:before="120" w:line="276" w:lineRule="auto"/>
        <w:ind w:firstLine="708"/>
        <w:jc w:val="both"/>
        <w:rPr>
          <w:rFonts w:ascii="Verdana" w:eastAsia="Calibri" w:hAnsi="Verdana" w:cs="Arial"/>
          <w:color w:val="000000" w:themeColor="text1"/>
          <w:lang w:val="es-ES"/>
        </w:rPr>
      </w:pPr>
      <w:r w:rsidRPr="31F7AC4D">
        <w:rPr>
          <w:rFonts w:ascii="Verdana" w:eastAsia="Calibri" w:hAnsi="Verdana" w:cs="Arial"/>
          <w:color w:val="000000" w:themeColor="text1"/>
          <w:lang w:val="es-ES"/>
        </w:rPr>
        <w:t xml:space="preserve">El mencionado artículo dispone que se considera </w:t>
      </w:r>
      <w:r w:rsidRPr="31F7AC4D">
        <w:rPr>
          <w:rFonts w:ascii="Verdana" w:eastAsia="Calibri" w:hAnsi="Verdana" w:cs="Arial"/>
          <w:i/>
          <w:iCs/>
          <w:color w:val="000000" w:themeColor="text1"/>
          <w:lang w:val="es-ES"/>
        </w:rPr>
        <w:t>“</w:t>
      </w:r>
      <w:r w:rsidRPr="008169EB">
        <w:rPr>
          <w:rFonts w:ascii="Verdana" w:eastAsia="Calibri" w:hAnsi="Verdana" w:cs="Arial"/>
          <w:i/>
          <w:iCs/>
          <w:color w:val="000000" w:themeColor="text1"/>
          <w:lang w:val="es-ES"/>
        </w:rPr>
        <w:t xml:space="preserve">objetiva la selección en la cual la escogencia se haga al ofrecimiento más favorable a la entidad y a los fines que ella busca, sin tener en consideración factores de afecto o de interés </w:t>
      </w:r>
      <w:r w:rsidRPr="008169EB">
        <w:rPr>
          <w:rFonts w:ascii="Verdana" w:eastAsia="Calibri" w:hAnsi="Verdana" w:cs="Arial"/>
          <w:i/>
          <w:iCs/>
          <w:color w:val="000000" w:themeColor="text1"/>
          <w:lang w:val="es-ES"/>
        </w:rPr>
        <w:lastRenderedPageBreak/>
        <w:t>y, en general, cualquier clase de motivación subjetiva</w:t>
      </w:r>
      <w:r w:rsidRPr="00920C98">
        <w:rPr>
          <w:rFonts w:ascii="Verdana" w:eastAsia="Calibri" w:hAnsi="Verdana" w:cs="Arial"/>
          <w:i/>
          <w:iCs/>
          <w:color w:val="000000" w:themeColor="text1"/>
          <w:lang w:val="es-ES"/>
        </w:rPr>
        <w:t>”</w:t>
      </w:r>
      <w:r w:rsidRPr="31F7AC4D">
        <w:rPr>
          <w:rFonts w:ascii="Verdana" w:eastAsia="Calibri" w:hAnsi="Verdana" w:cs="Arial"/>
          <w:color w:val="000000" w:themeColor="text1"/>
          <w:lang w:val="es-ES"/>
        </w:rPr>
        <w:t xml:space="preserve">. De este modo, los factores de escogencia y calificación que establezcan las entidades en los pliegos de condiciones o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31F7AC4D">
        <w:rPr>
          <w:rFonts w:ascii="Verdana" w:eastAsia="Calibri" w:hAnsi="Verdana" w:cs="Arial"/>
          <w:i/>
          <w:iCs/>
          <w:color w:val="000000" w:themeColor="text1"/>
          <w:lang w:val="es-ES"/>
        </w:rPr>
        <w:t>entre otros</w:t>
      </w:r>
      <w:r w:rsidRPr="31F7AC4D">
        <w:rPr>
          <w:rFonts w:ascii="Verdana" w:eastAsia="Calibri" w:hAnsi="Verdana" w:cs="Arial"/>
          <w:color w:val="000000" w:themeColor="text1"/>
          <w:lang w:val="es-ES"/>
        </w:rPr>
        <w:t xml:space="preserve">, los siguientes: i) la capacidad jurídica; </w:t>
      </w:r>
      <w:proofErr w:type="spellStart"/>
      <w:r w:rsidRPr="31F7AC4D">
        <w:rPr>
          <w:rFonts w:ascii="Verdana" w:eastAsia="Calibri" w:hAnsi="Verdana" w:cs="Arial"/>
          <w:color w:val="000000" w:themeColor="text1"/>
          <w:lang w:val="es-ES"/>
        </w:rPr>
        <w:t>ii</w:t>
      </w:r>
      <w:proofErr w:type="spellEnd"/>
      <w:r w:rsidRPr="31F7AC4D">
        <w:rPr>
          <w:rFonts w:ascii="Verdana" w:eastAsia="Calibri" w:hAnsi="Verdana" w:cs="Arial"/>
          <w:color w:val="000000" w:themeColor="text1"/>
          <w:lang w:val="es-ES"/>
        </w:rPr>
        <w:t xml:space="preserve">) la experiencia; </w:t>
      </w:r>
      <w:proofErr w:type="spellStart"/>
      <w:r w:rsidRPr="31F7AC4D">
        <w:rPr>
          <w:rFonts w:ascii="Verdana" w:eastAsia="Calibri" w:hAnsi="Verdana" w:cs="Arial"/>
          <w:color w:val="000000" w:themeColor="text1"/>
          <w:lang w:val="es-ES"/>
        </w:rPr>
        <w:t>iii</w:t>
      </w:r>
      <w:proofErr w:type="spellEnd"/>
      <w:r w:rsidRPr="31F7AC4D">
        <w:rPr>
          <w:rFonts w:ascii="Verdana" w:eastAsia="Calibri" w:hAnsi="Verdana" w:cs="Arial"/>
          <w:color w:val="000000" w:themeColor="text1"/>
          <w:lang w:val="es-ES"/>
        </w:rPr>
        <w:t xml:space="preserve">) la capacidad financiera y </w:t>
      </w:r>
      <w:proofErr w:type="spellStart"/>
      <w:r w:rsidRPr="31F7AC4D">
        <w:rPr>
          <w:rFonts w:ascii="Verdana" w:eastAsia="Calibri" w:hAnsi="Verdana" w:cs="Arial"/>
          <w:color w:val="000000" w:themeColor="text1"/>
          <w:lang w:val="es-ES"/>
        </w:rPr>
        <w:t>iv</w:t>
      </w:r>
      <w:proofErr w:type="spellEnd"/>
      <w:r w:rsidRPr="31F7AC4D">
        <w:rPr>
          <w:rFonts w:ascii="Verdana" w:eastAsia="Calibri" w:hAnsi="Verdana" w:cs="Arial"/>
          <w:color w:val="000000" w:themeColor="text1"/>
          <w:lang w:val="es-ES"/>
        </w:rPr>
        <w:t xml:space="preserve">) la capacidad de organización. En efecto, la normativa citada dispone: </w:t>
      </w:r>
    </w:p>
    <w:p w14:paraId="0722227D" w14:textId="77777777" w:rsidR="00FE6B8B" w:rsidRPr="0035421E" w:rsidRDefault="00FE6B8B" w:rsidP="00FE6B8B">
      <w:pPr>
        <w:ind w:left="709" w:right="709"/>
        <w:jc w:val="both"/>
        <w:rPr>
          <w:rFonts w:ascii="Verdana" w:eastAsia="Calibri" w:hAnsi="Verdana" w:cs="Arial"/>
          <w:i/>
          <w:iCs/>
          <w:color w:val="000000" w:themeColor="text1"/>
          <w:sz w:val="20"/>
          <w:szCs w:val="20"/>
          <w:lang w:val="es-ES_tradnl"/>
        </w:rPr>
      </w:pPr>
      <w:r w:rsidRPr="0035421E">
        <w:rPr>
          <w:rFonts w:ascii="Verdana" w:eastAsia="Calibri" w:hAnsi="Verdana" w:cs="Arial"/>
          <w:i/>
          <w:iCs/>
          <w:color w:val="000000" w:themeColor="text1"/>
          <w:sz w:val="20"/>
          <w:szCs w:val="20"/>
          <w:lang w:val="es-ES_tradnl"/>
        </w:rPr>
        <w:t xml:space="preserve">“Artículo 5. De la Selección Objetiva. </w:t>
      </w:r>
    </w:p>
    <w:p w14:paraId="4391D9D2" w14:textId="77777777" w:rsidR="00FE6B8B" w:rsidRPr="0035421E" w:rsidRDefault="00FE6B8B" w:rsidP="00FE6B8B">
      <w:pPr>
        <w:spacing w:after="120"/>
        <w:ind w:left="709" w:right="709"/>
        <w:jc w:val="both"/>
        <w:rPr>
          <w:rFonts w:ascii="Verdana" w:eastAsia="Calibri" w:hAnsi="Verdana" w:cs="Arial"/>
          <w:i/>
          <w:iCs/>
          <w:color w:val="000000" w:themeColor="text1"/>
          <w:sz w:val="20"/>
          <w:szCs w:val="20"/>
          <w:lang w:val="es-ES_tradnl"/>
        </w:rPr>
      </w:pPr>
      <w:r w:rsidRPr="0035421E">
        <w:rPr>
          <w:rFonts w:ascii="Verdana" w:eastAsia="Calibri" w:hAnsi="Verdana" w:cs="Arial"/>
          <w:i/>
          <w:iCs/>
          <w:color w:val="000000" w:themeColor="text1"/>
          <w:sz w:val="20"/>
          <w:szCs w:val="20"/>
          <w:lang w:val="es-ES_tradnl"/>
        </w:rPr>
        <w:t>[…]</w:t>
      </w:r>
    </w:p>
    <w:p w14:paraId="4D5E20E9" w14:textId="77777777" w:rsidR="00FE6B8B" w:rsidRDefault="00FE6B8B" w:rsidP="00FE6B8B">
      <w:pPr>
        <w:spacing w:after="120"/>
        <w:ind w:left="709" w:right="709"/>
        <w:jc w:val="both"/>
        <w:rPr>
          <w:rFonts w:ascii="Verdana" w:eastAsia="Calibri" w:hAnsi="Verdana" w:cs="Arial"/>
          <w:i/>
          <w:iCs/>
          <w:color w:val="000000" w:themeColor="text1"/>
          <w:sz w:val="20"/>
          <w:szCs w:val="20"/>
          <w:lang w:val="es-ES"/>
        </w:rPr>
      </w:pPr>
      <w:r w:rsidRPr="31F7AC4D">
        <w:rPr>
          <w:rFonts w:ascii="Verdana" w:eastAsia="Calibri" w:hAnsi="Verdana" w:cs="Arial"/>
          <w:i/>
          <w:iCs/>
          <w:color w:val="000000" w:themeColor="text1"/>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2F215965" w14:textId="77777777" w:rsidR="00FE6B8B" w:rsidRPr="0035421E" w:rsidRDefault="00FE6B8B" w:rsidP="00FE6B8B">
      <w:pPr>
        <w:spacing w:after="0"/>
        <w:ind w:left="709" w:right="709"/>
        <w:jc w:val="both"/>
        <w:rPr>
          <w:rFonts w:ascii="Verdana" w:eastAsia="Calibri" w:hAnsi="Verdana" w:cs="Arial"/>
          <w:i/>
          <w:iCs/>
          <w:color w:val="000000" w:themeColor="text1"/>
          <w:sz w:val="20"/>
          <w:szCs w:val="20"/>
          <w:lang w:val="es-ES"/>
        </w:rPr>
      </w:pPr>
    </w:p>
    <w:p w14:paraId="2D6F4DDC" w14:textId="77777777" w:rsidR="00FE6B8B" w:rsidRDefault="00FE6B8B" w:rsidP="00FE6B8B">
      <w:pPr>
        <w:spacing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Conforme lo ha sostenido esta Agencia en distintos conceptos, </w:t>
      </w:r>
      <w:r w:rsidRPr="006D2F09">
        <w:rPr>
          <w:rFonts w:ascii="Verdana" w:eastAsia="Calibri" w:hAnsi="Verdana" w:cs="Arial"/>
          <w:color w:val="000000" w:themeColor="text1"/>
          <w:lang w:val="es-ES_tradnl"/>
        </w:rPr>
        <w:t>los requisitos habilitantes establecidos en el artículo 5, numeral 1, de la Ley 1150 de 2007</w:t>
      </w:r>
      <w:r>
        <w:rPr>
          <w:rFonts w:ascii="Verdana" w:eastAsia="Calibri" w:hAnsi="Verdana" w:cs="Arial"/>
          <w:color w:val="000000" w:themeColor="text1"/>
          <w:lang w:val="es-ES_tradnl"/>
        </w:rPr>
        <w:t xml:space="preserve"> son de carácter enunciativos y no taxativos. Esta interpretación legal se resume en los siguientes argumentos: E</w:t>
      </w:r>
      <w:r w:rsidRPr="007577B1">
        <w:rPr>
          <w:rFonts w:ascii="Verdana" w:eastAsia="Calibri" w:hAnsi="Verdana" w:cs="Arial"/>
          <w:color w:val="000000" w:themeColor="text1"/>
          <w:lang w:val="es-ES_tradnl"/>
        </w:rPr>
        <w:t>sta</w:t>
      </w:r>
      <w:r>
        <w:rPr>
          <w:rFonts w:ascii="Verdana" w:eastAsia="Calibri" w:hAnsi="Verdana" w:cs="Arial"/>
          <w:color w:val="000000" w:themeColor="text1"/>
          <w:lang w:val="es-ES_tradnl"/>
        </w:rPr>
        <w:t xml:space="preserve"> norma</w:t>
      </w:r>
      <w:r w:rsidRPr="007577B1">
        <w:rPr>
          <w:rFonts w:ascii="Verdana" w:eastAsia="Calibri" w:hAnsi="Verdana" w:cs="Arial"/>
          <w:color w:val="000000" w:themeColor="text1"/>
          <w:lang w:val="es-ES_tradnl"/>
        </w:rPr>
        <w:t xml:space="preserve">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Pr>
          <w:rStyle w:val="Refdenotaalpie"/>
          <w:rFonts w:ascii="Verdana" w:eastAsia="Calibri" w:hAnsi="Verdana" w:cs="Arial"/>
          <w:color w:val="000000" w:themeColor="text1"/>
          <w:lang w:val="es-ES_tradnl"/>
        </w:rPr>
        <w:footnoteReference w:id="2"/>
      </w:r>
      <w:r w:rsidRPr="007577B1">
        <w:rPr>
          <w:rFonts w:ascii="Verdana" w:eastAsia="Calibri" w:hAnsi="Verdana" w:cs="Arial"/>
          <w:color w:val="000000" w:themeColor="text1"/>
          <w:lang w:val="es-ES_tradnl"/>
        </w:rPr>
        <w:t>.</w:t>
      </w:r>
    </w:p>
    <w:p w14:paraId="220AC66B" w14:textId="77777777" w:rsidR="00FE6B8B" w:rsidRDefault="00FE6B8B" w:rsidP="00FE6B8B">
      <w:pPr>
        <w:spacing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lastRenderedPageBreak/>
        <w:t>Además, l</w:t>
      </w:r>
      <w:r w:rsidRPr="008F51FF">
        <w:rPr>
          <w:rFonts w:ascii="Verdana" w:eastAsia="Calibri" w:hAnsi="Verdana" w:cs="Arial"/>
          <w:color w:val="000000" w:themeColor="text1"/>
          <w:lang w:val="es-ES_tradnl"/>
        </w:rPr>
        <w:t>a intención del legislador, de la cual dan cuenta los antecedentes legislativos de la norma sub examine</w:t>
      </w:r>
      <w:r>
        <w:rPr>
          <w:rStyle w:val="Refdenotaalpie"/>
          <w:rFonts w:ascii="Verdana" w:eastAsia="Calibri" w:hAnsi="Verdana" w:cs="Arial"/>
          <w:color w:val="000000" w:themeColor="text1"/>
          <w:lang w:val="es-ES_tradnl"/>
        </w:rPr>
        <w:footnoteReference w:id="3"/>
      </w:r>
      <w:r w:rsidRPr="008F51FF">
        <w:rPr>
          <w:rFonts w:ascii="Verdana" w:eastAsia="Calibri" w:hAnsi="Verdana" w:cs="Arial"/>
          <w:color w:val="000000" w:themeColor="text1"/>
          <w:lang w:val="es-ES_tradnl"/>
        </w:rPr>
        <w:t>, también justifica la interpretación propuesta por esta Agencia, ya que fue hasta el cuarto debate legislativo en donde se incluyó</w:t>
      </w:r>
      <w:r>
        <w:rPr>
          <w:rFonts w:ascii="Verdana" w:eastAsia="Calibri" w:hAnsi="Verdana" w:cs="Arial"/>
          <w:color w:val="000000" w:themeColor="text1"/>
          <w:lang w:val="es-ES_tradnl"/>
        </w:rPr>
        <w:t xml:space="preserve"> </w:t>
      </w:r>
      <w:r w:rsidRPr="009B2760">
        <w:rPr>
          <w:rFonts w:ascii="Verdana" w:eastAsia="Calibri" w:hAnsi="Verdana" w:cs="Arial"/>
          <w:color w:val="000000" w:themeColor="text1"/>
          <w:lang w:val="es-ES_tradnl"/>
        </w:rPr>
        <w:t>parágrafo 2 del mismo artículo 5 de la Ley 1150 de 2007</w:t>
      </w:r>
      <w:r>
        <w:rPr>
          <w:rStyle w:val="Refdenotaalpie"/>
          <w:rFonts w:ascii="Verdana" w:eastAsia="Calibri" w:hAnsi="Verdana" w:cs="Arial"/>
          <w:color w:val="000000" w:themeColor="text1"/>
          <w:lang w:val="es-ES_tradnl"/>
        </w:rPr>
        <w:footnoteReference w:id="4"/>
      </w:r>
      <w:r>
        <w:rPr>
          <w:rFonts w:ascii="Verdana" w:eastAsia="Calibri" w:hAnsi="Verdana" w:cs="Arial"/>
          <w:color w:val="000000" w:themeColor="text1"/>
          <w:lang w:val="es-ES_tradnl"/>
        </w:rPr>
        <w:t xml:space="preserve">, </w:t>
      </w:r>
      <w:r w:rsidRPr="008F51FF">
        <w:rPr>
          <w:rFonts w:ascii="Verdana" w:eastAsia="Calibri" w:hAnsi="Verdana" w:cs="Arial"/>
          <w:color w:val="000000" w:themeColor="text1"/>
          <w:lang w:val="es-ES_tradnl"/>
        </w:rPr>
        <w:t xml:space="preserve">lo que deja ver la necesidad que tenía el Congreso de aclarar que unos documentos no podrían ser tenidos como requisitos habilitantes, lo que </w:t>
      </w:r>
      <w:r>
        <w:rPr>
          <w:rFonts w:ascii="Verdana" w:eastAsia="Calibri" w:hAnsi="Verdana" w:cs="Arial"/>
          <w:color w:val="000000" w:themeColor="text1"/>
          <w:lang w:val="es-ES_tradnl"/>
        </w:rPr>
        <w:t xml:space="preserve">asimismo evidencia </w:t>
      </w:r>
      <w:r w:rsidRPr="008F51FF">
        <w:rPr>
          <w:rFonts w:ascii="Verdana" w:eastAsia="Calibri" w:hAnsi="Verdana" w:cs="Arial"/>
          <w:color w:val="000000" w:themeColor="text1"/>
          <w:lang w:val="es-ES_tradnl"/>
        </w:rPr>
        <w:t xml:space="preserve">el reconocimiento tácito de la existencia de otros requisitos habilitantes, distintos a los cuatro que establece el artículo 5, </w:t>
      </w:r>
      <w:r>
        <w:rPr>
          <w:rFonts w:ascii="Verdana" w:eastAsia="Calibri" w:hAnsi="Verdana" w:cs="Arial"/>
          <w:color w:val="000000" w:themeColor="text1"/>
          <w:lang w:val="es-ES_tradnl"/>
        </w:rPr>
        <w:t xml:space="preserve">numeral </w:t>
      </w:r>
      <w:r w:rsidRPr="008F51FF">
        <w:rPr>
          <w:rFonts w:ascii="Verdana" w:eastAsia="Calibri" w:hAnsi="Verdana" w:cs="Arial"/>
          <w:color w:val="000000" w:themeColor="text1"/>
          <w:lang w:val="es-ES_tradnl"/>
        </w:rPr>
        <w:t>1, de la Ley 1150 de 2007</w:t>
      </w:r>
      <w:r>
        <w:rPr>
          <w:rFonts w:ascii="Verdana" w:eastAsia="Calibri" w:hAnsi="Verdana" w:cs="Arial"/>
          <w:color w:val="000000" w:themeColor="text1"/>
          <w:lang w:val="es-ES_tradnl"/>
        </w:rPr>
        <w:t xml:space="preserve">. </w:t>
      </w:r>
    </w:p>
    <w:p w14:paraId="126AB404" w14:textId="77777777" w:rsidR="00FE6B8B" w:rsidRPr="009616D4" w:rsidRDefault="00FE6B8B" w:rsidP="00FE6B8B">
      <w:pPr>
        <w:spacing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Por último, e</w:t>
      </w:r>
      <w:r w:rsidRPr="00FF0CF5">
        <w:rPr>
          <w:rFonts w:ascii="Verdana" w:eastAsia="Calibri" w:hAnsi="Verdana" w:cs="Arial"/>
          <w:color w:val="000000" w:themeColor="text1"/>
          <w:lang w:val="es-ES_tradnl"/>
        </w:rPr>
        <w:t xml:space="preserve">n el “Manual para determinar y verificar los requisitos habilitantes en los Procesos de Contratación” expedido por esta Agencia, </w:t>
      </w:r>
      <w:r>
        <w:rPr>
          <w:rFonts w:ascii="Verdana" w:eastAsia="Calibri" w:hAnsi="Verdana" w:cs="Arial"/>
          <w:color w:val="000000" w:themeColor="text1"/>
          <w:lang w:val="es-ES_tradnl"/>
        </w:rPr>
        <w:t xml:space="preserve">en el cual </w:t>
      </w:r>
      <w:r w:rsidRPr="00FF0CF5">
        <w:rPr>
          <w:rFonts w:ascii="Verdana" w:eastAsia="Calibri" w:hAnsi="Verdana" w:cs="Arial"/>
          <w:color w:val="000000" w:themeColor="text1"/>
          <w:lang w:val="es-ES_tradnl"/>
        </w:rPr>
        <w:t>se determinaron los parámetros para establecer, acreditar y subsanar los requisitos habilitantes estudiados en los párrafos precedentes</w:t>
      </w:r>
      <w:r>
        <w:rPr>
          <w:rFonts w:ascii="Verdana" w:eastAsia="Calibri" w:hAnsi="Verdana" w:cs="Arial"/>
          <w:color w:val="000000" w:themeColor="text1"/>
          <w:lang w:val="es-ES_tradnl"/>
        </w:rPr>
        <w:t xml:space="preserve">, se indica que su </w:t>
      </w:r>
      <w:r w:rsidRPr="00FF0CF5">
        <w:rPr>
          <w:rFonts w:ascii="Verdana" w:eastAsia="Calibri" w:hAnsi="Verdana" w:cs="Arial"/>
          <w:color w:val="000000" w:themeColor="text1"/>
          <w:lang w:val="es-ES_tradnl"/>
        </w:rPr>
        <w:t>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2288B953" w14:textId="77777777" w:rsidR="00FE6B8B" w:rsidRDefault="00FE6B8B" w:rsidP="00FE6B8B">
      <w:pPr>
        <w:widowControl w:val="0"/>
        <w:autoSpaceDE w:val="0"/>
        <w:autoSpaceDN w:val="0"/>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consecuencia, </w:t>
      </w:r>
      <w:r w:rsidRPr="009616D4">
        <w:rPr>
          <w:rFonts w:ascii="Verdana" w:eastAsia="Calibri" w:hAnsi="Verdana" w:cs="Arial"/>
          <w:color w:val="000000" w:themeColor="text1"/>
        </w:rPr>
        <w:t xml:space="preserve">corresponde a las entidades estatales, durante la etapa de planeación del contrato estatal, estudiar y determinar los requisitos habilitantes que establecerán en los pliegos de condiciones, los cuales deben fijarse de forma adecuada y proporcional. Esto último, según se deriva de la lectura del artículo 2.2.1.1.1.6.2 del Decreto 1082 de 2015, debe hacerse de acuerdo </w:t>
      </w:r>
      <w:bookmarkStart w:id="8" w:name="_Hlk182863897"/>
      <w:r w:rsidRPr="009616D4">
        <w:rPr>
          <w:rFonts w:ascii="Verdana" w:eastAsia="Calibri" w:hAnsi="Verdana" w:cs="Arial"/>
          <w:color w:val="000000" w:themeColor="text1"/>
        </w:rPr>
        <w:t xml:space="preserve">con la naturaleza, el valor del contrato, la forma de pago, los riesgos </w:t>
      </w:r>
      <w:r w:rsidRPr="009616D4">
        <w:rPr>
          <w:rFonts w:ascii="Verdana" w:eastAsia="Calibri" w:hAnsi="Verdana" w:cs="Arial"/>
          <w:color w:val="000000" w:themeColor="text1"/>
        </w:rPr>
        <w:lastRenderedPageBreak/>
        <w:t>asociados al contrato, el plazo y la complejidad de ejecución del objeto</w:t>
      </w:r>
      <w:r>
        <w:rPr>
          <w:rStyle w:val="Refdenotaalpie"/>
          <w:rFonts w:ascii="Verdana" w:eastAsia="Calibri" w:hAnsi="Verdana" w:cs="Arial"/>
          <w:color w:val="000000" w:themeColor="text1"/>
        </w:rPr>
        <w:footnoteReference w:id="5"/>
      </w:r>
      <w:r w:rsidRPr="009616D4">
        <w:rPr>
          <w:rFonts w:ascii="Verdana" w:eastAsia="Calibri" w:hAnsi="Verdana" w:cs="Arial"/>
          <w:color w:val="000000" w:themeColor="text1"/>
        </w:rPr>
        <w:t>.</w:t>
      </w:r>
      <w:bookmarkEnd w:id="8"/>
    </w:p>
    <w:p w14:paraId="723A5DA5" w14:textId="77777777" w:rsidR="00FE6B8B" w:rsidRDefault="00FE6B8B" w:rsidP="00FE6B8B">
      <w:pPr>
        <w:widowControl w:val="0"/>
        <w:autoSpaceDE w:val="0"/>
        <w:autoSpaceDN w:val="0"/>
        <w:spacing w:line="276" w:lineRule="auto"/>
        <w:ind w:firstLine="709"/>
        <w:jc w:val="both"/>
        <w:rPr>
          <w:rFonts w:ascii="Verdana" w:eastAsia="Calibri" w:hAnsi="Verdana" w:cs="Arial"/>
          <w:color w:val="000000" w:themeColor="text1"/>
        </w:rPr>
      </w:pPr>
      <w:r w:rsidRPr="009616D4">
        <w:rPr>
          <w:rFonts w:ascii="Verdana" w:eastAsia="Calibri" w:hAnsi="Verdana" w:cs="Arial"/>
          <w:color w:val="000000" w:themeColor="text1"/>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4427817F" w14:textId="77777777" w:rsidR="00FE6B8B" w:rsidRDefault="00FE6B8B" w:rsidP="00FE6B8B">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Bajo estas consideraciones, en atención a la consulta planteada, se precisa que</w:t>
      </w:r>
      <w:r w:rsidRPr="11B1BD54">
        <w:rPr>
          <w:rFonts w:ascii="Verdana" w:eastAsia="Calibri" w:hAnsi="Verdana" w:cs="Arial"/>
          <w:color w:val="000000" w:themeColor="text1"/>
        </w:rPr>
        <w:t xml:space="preserve"> las entidades pueden exigir</w:t>
      </w:r>
      <w:r>
        <w:rPr>
          <w:rFonts w:ascii="Verdana" w:eastAsia="Calibri" w:hAnsi="Verdana" w:cs="Arial"/>
          <w:color w:val="000000" w:themeColor="text1"/>
        </w:rPr>
        <w:t xml:space="preserve"> requisitos de experiencia y</w:t>
      </w:r>
      <w:r w:rsidRPr="11B1BD54">
        <w:rPr>
          <w:rFonts w:ascii="Verdana" w:eastAsia="Calibri" w:hAnsi="Verdana" w:cs="Arial"/>
          <w:color w:val="000000" w:themeColor="text1"/>
        </w:rPr>
        <w:t xml:space="preserve"> títulos de formación académica, para garantizar el adecuado cumplimiento del contrato, especialmente en aquellos contratos que demandan</w:t>
      </w:r>
      <w:r>
        <w:rPr>
          <w:rFonts w:ascii="Verdana" w:eastAsia="Calibri" w:hAnsi="Verdana" w:cs="Arial"/>
          <w:color w:val="000000" w:themeColor="text1"/>
        </w:rPr>
        <w:t xml:space="preserve"> el desarrollo de</w:t>
      </w:r>
      <w:r w:rsidRPr="11B1BD54">
        <w:rPr>
          <w:rFonts w:ascii="Verdana" w:eastAsia="Calibri" w:hAnsi="Verdana" w:cs="Arial"/>
          <w:color w:val="000000" w:themeColor="text1"/>
        </w:rPr>
        <w:t xml:space="preserve"> actividades especializadas. </w:t>
      </w:r>
      <w:r>
        <w:rPr>
          <w:rFonts w:ascii="Verdana" w:eastAsia="Calibri" w:hAnsi="Verdana" w:cs="Arial"/>
          <w:color w:val="000000" w:themeColor="text1"/>
        </w:rPr>
        <w:t>En ese sentido</w:t>
      </w:r>
      <w:r w:rsidRPr="11B1BD54">
        <w:rPr>
          <w:rFonts w:ascii="Verdana" w:eastAsia="Calibri" w:hAnsi="Verdana" w:cs="Arial"/>
          <w:color w:val="000000" w:themeColor="text1"/>
        </w:rPr>
        <w:t xml:space="preserve">, </w:t>
      </w:r>
      <w:r>
        <w:rPr>
          <w:rFonts w:ascii="Verdana" w:eastAsia="Calibri" w:hAnsi="Verdana" w:cs="Arial"/>
          <w:color w:val="000000" w:themeColor="text1"/>
        </w:rPr>
        <w:t>este tipo de requisitos</w:t>
      </w:r>
      <w:r w:rsidRPr="11B1BD54">
        <w:rPr>
          <w:rFonts w:ascii="Verdana" w:eastAsia="Calibri" w:hAnsi="Verdana" w:cs="Arial"/>
          <w:color w:val="000000" w:themeColor="text1"/>
        </w:rPr>
        <w:t xml:space="preserve"> debe estar justificada</w:t>
      </w:r>
      <w:r>
        <w:rPr>
          <w:rFonts w:ascii="Verdana" w:eastAsia="Calibri" w:hAnsi="Verdana" w:cs="Arial"/>
          <w:color w:val="000000" w:themeColor="text1"/>
        </w:rPr>
        <w:t xml:space="preserve"> en las características del objeto a contratar,</w:t>
      </w:r>
      <w:r w:rsidRPr="11B1BD54">
        <w:rPr>
          <w:rFonts w:ascii="Verdana" w:eastAsia="Calibri" w:hAnsi="Verdana" w:cs="Arial"/>
          <w:color w:val="000000" w:themeColor="text1"/>
        </w:rPr>
        <w:t xml:space="preserve"> lo que otorga a las entidades la discrecionalidad de determinar los requisitos de acuerdo con el tipo de contratación</w:t>
      </w:r>
      <w:r>
        <w:rPr>
          <w:rFonts w:ascii="Verdana" w:eastAsia="Calibri" w:hAnsi="Verdana" w:cs="Arial"/>
          <w:color w:val="000000" w:themeColor="text1"/>
        </w:rPr>
        <w:t xml:space="preserve">, los cuales resultan determinantes para verificar la idoneidad del contratista para ejecutar el contrato. </w:t>
      </w:r>
      <w:r w:rsidRPr="11B1BD54">
        <w:rPr>
          <w:rFonts w:ascii="Verdana" w:eastAsia="Calibri" w:hAnsi="Verdana" w:cs="Arial"/>
          <w:color w:val="000000" w:themeColor="text1"/>
        </w:rPr>
        <w:t xml:space="preserve"> </w:t>
      </w:r>
    </w:p>
    <w:p w14:paraId="3A9FB709"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t xml:space="preserve">En concordancia con lo anterior, las entidades estatales están llamadas a establecer dentro del pliego de condiciones o documento equivalente, las condiciones y reglas conforme a las cuales, quienes estén interesados en celebrar el contrato, deben acreditar los requisitos de formación académica y experiencia exigidos para el respectivo contrato. De acuerdo con lo explicado, en el marco de procesos competitivos, como la licitación pública, la selección abreviada y la mínima cuantía, en los que este tipo de requisitos no son relevantes para la comparación de ofertas, en principio, deben verificarse respecto del proponente durante la etapa de evaluación, de manera que en virtud de su cumplimiento se defina quien se encuentra habilitado o no para ser </w:t>
      </w:r>
      <w:r>
        <w:rPr>
          <w:rFonts w:ascii="Verdana" w:eastAsia="Times New Roman" w:hAnsi="Verdana" w:cs="Arial"/>
          <w:shd w:val="clear" w:color="auto" w:fill="FFFFFF"/>
        </w:rPr>
        <w:lastRenderedPageBreak/>
        <w:t xml:space="preserve">adjudicatario. De manera similar ocurre en el concurso de méritos, cuando se exige determina formación académica y/o experiencia del consultor, con la variable de que, en el marco de este tipo de procesos, el numeral 1 del artículo </w:t>
      </w:r>
      <w:r w:rsidRPr="00367B14">
        <w:rPr>
          <w:rFonts w:ascii="Verdana" w:eastAsia="Times New Roman" w:hAnsi="Verdana" w:cs="Arial"/>
          <w:shd w:val="clear" w:color="auto" w:fill="FFFFFF"/>
        </w:rPr>
        <w:t>2.2.1.2.1.3.2</w:t>
      </w:r>
      <w:r>
        <w:rPr>
          <w:rFonts w:ascii="Verdana" w:eastAsia="Times New Roman" w:hAnsi="Verdana" w:cs="Arial"/>
          <w:shd w:val="clear" w:color="auto" w:fill="FFFFFF"/>
        </w:rPr>
        <w:t xml:space="preserve"> del Decreto 1082 de 2015, permite valor la experiencia del consultor y del equipo de trabajo, así como la formación académica de dicho equipo, como factores de calificación de la oferta. </w:t>
      </w:r>
    </w:p>
    <w:p w14:paraId="1C3D9C34"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t xml:space="preserve">Sin perjuicio de lo anterior, e independientemente de la modalidad de selección y de si se contempla como factor de evaluación o no, es común que la ejecución de contratos estatales exija que el contratista cuente con un equipo de trabajo con unos conocimientos específicos que garanticen su idoneidad y/o aptitud técnica para desempeñar las actividades que derivan de la ejecución del objeto. Para estos efectos, la entidades estatales deben definir unos requisitos de formación académica y/o experiencia, respecto de cada uno de los perfiles que integran el equipo de trabajo, que, de conformidad con lo determinado en el marco de la planeación contractual, se determinó que es el necesario para ejecutar el contrato. </w:t>
      </w:r>
    </w:p>
    <w:p w14:paraId="029E38C2"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r>
      <w:r w:rsidRPr="00F162E2">
        <w:rPr>
          <w:rFonts w:ascii="Verdana" w:eastAsia="Times New Roman" w:hAnsi="Verdana" w:cs="Arial"/>
          <w:shd w:val="clear" w:color="auto" w:fill="FFFFFF"/>
        </w:rPr>
        <w:t>Al igual que con los requisitos exigidos</w:t>
      </w:r>
      <w:r w:rsidRPr="008169EB">
        <w:rPr>
          <w:rFonts w:ascii="Verdana" w:eastAsia="Times New Roman" w:hAnsi="Verdana" w:cs="Arial"/>
          <w:shd w:val="clear" w:color="auto" w:fill="FFFFFF"/>
        </w:rPr>
        <w:t xml:space="preserve"> directamente</w:t>
      </w:r>
      <w:r w:rsidRPr="00F162E2">
        <w:rPr>
          <w:rFonts w:ascii="Verdana" w:eastAsia="Times New Roman" w:hAnsi="Verdana" w:cs="Arial"/>
          <w:shd w:val="clear" w:color="auto" w:fill="FFFFFF"/>
        </w:rPr>
        <w:t xml:space="preserve"> al proponente, los requisitos de formación </w:t>
      </w:r>
      <w:r w:rsidRPr="008169EB">
        <w:rPr>
          <w:rFonts w:ascii="Verdana" w:eastAsia="Times New Roman" w:hAnsi="Verdana" w:cs="Arial"/>
          <w:shd w:val="clear" w:color="auto" w:fill="FFFFFF"/>
        </w:rPr>
        <w:t>académica</w:t>
      </w:r>
      <w:r w:rsidRPr="00F162E2">
        <w:rPr>
          <w:rFonts w:ascii="Verdana" w:eastAsia="Times New Roman" w:hAnsi="Verdana" w:cs="Arial"/>
          <w:shd w:val="clear" w:color="auto" w:fill="FFFFFF"/>
        </w:rPr>
        <w:t xml:space="preserve"> y experiencia exigidos a los miembros del equipo de trabajo del contratista, así como las reglas para su acreditación, en atención al principio de selección objetiva, deben ser definidas en el pliego de condiciones o alguno de los Documentos del Proceso, de tal manera que quienes concurran al proceso, lo hagan con pleno conocimiento de lo exigido por la Entidad Estatal. </w:t>
      </w:r>
    </w:p>
    <w:p w14:paraId="0AF410FE"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t xml:space="preserve">Para estipular estos requisitos, las entidades deben establecer con claridad las disciplinas o áreas del conocimiento en las que se exige la formación académica de cada uno de los perfiles, señalando el tipo de título o certificación necesaria para acreditarla. De igual manera, si se determina que es necesario exigir cierto tipo experiencia, la entidad estatal debe especificar las actividades respecto de las que se debe demostrar, indicando además el tiempo mínimo exigido y los medios para su acreditación.   En todo caso, la entidad estatal debe fijar estos requisitos atendiendo criterios de adecuación y proporcionalidad, garantizando que las condiciones de experiencia y formación sean adecuadas a la finalidad y actividades asignadas a cada perfil, al igual que proporcionales al valor del contrato y complejidad técnica de las labores que debe cumplir el integrante del equipo de trabajo para ejecutar el contrato. </w:t>
      </w:r>
    </w:p>
    <w:p w14:paraId="503CA1B0"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sidRPr="008169EB">
        <w:rPr>
          <w:rFonts w:ascii="Verdana" w:eastAsia="Times New Roman" w:hAnsi="Verdana" w:cs="Arial"/>
          <w:shd w:val="clear" w:color="auto" w:fill="FFFFFF"/>
        </w:rPr>
        <w:lastRenderedPageBreak/>
        <w:tab/>
      </w:r>
      <w:r w:rsidRPr="008169EB">
        <w:rPr>
          <w:rFonts w:ascii="Verdana" w:eastAsia="Times New Roman" w:hAnsi="Verdana" w:cs="Arial"/>
          <w:shd w:val="clear" w:color="auto" w:fill="FFFFFF"/>
        </w:rPr>
        <w:tab/>
        <w:t>La acreditación de cada una de estas condiciones, respecto de cada una de las personas que integran el equipo de trabajo, no necesariamente  debe darse en el marco de la evaluación de ofertas, etapa en la cual la entidad puede optar por limitarse a verificar que el proponente se comprometa a vincular un equipo de trabajo que cumpla con las condiciones de experiencia y formación académica exigidas por la Entidad Estatal, de manera tal que</w:t>
      </w:r>
      <w:r>
        <w:rPr>
          <w:rFonts w:ascii="Verdana" w:eastAsia="Times New Roman" w:hAnsi="Verdana" w:cs="Arial"/>
          <w:shd w:val="clear" w:color="auto" w:fill="FFFFFF"/>
        </w:rPr>
        <w:t xml:space="preserve"> esto sea un aspecto que se verifique durante la ejecución. Para el efecto, l</w:t>
      </w:r>
      <w:r w:rsidRPr="00FC4BF4">
        <w:rPr>
          <w:rFonts w:ascii="Verdana" w:eastAsia="Times New Roman" w:hAnsi="Verdana" w:cs="Arial"/>
          <w:shd w:val="clear" w:color="auto" w:fill="FFFFFF"/>
        </w:rPr>
        <w:t xml:space="preserve">a </w:t>
      </w:r>
      <w:r>
        <w:rPr>
          <w:rFonts w:ascii="Verdana" w:eastAsia="Times New Roman" w:hAnsi="Verdana" w:cs="Arial"/>
          <w:shd w:val="clear" w:color="auto" w:fill="FFFFFF"/>
        </w:rPr>
        <w:t>e</w:t>
      </w:r>
      <w:r w:rsidRPr="00FC4BF4">
        <w:rPr>
          <w:rFonts w:ascii="Verdana" w:eastAsia="Times New Roman" w:hAnsi="Verdana" w:cs="Arial"/>
          <w:shd w:val="clear" w:color="auto" w:fill="FFFFFF"/>
        </w:rPr>
        <w:t xml:space="preserve">ntidad </w:t>
      </w:r>
      <w:r>
        <w:rPr>
          <w:rFonts w:ascii="Verdana" w:eastAsia="Times New Roman" w:hAnsi="Verdana" w:cs="Arial"/>
          <w:shd w:val="clear" w:color="auto" w:fill="FFFFFF"/>
        </w:rPr>
        <w:t xml:space="preserve">tiene la posibilidad establecer si </w:t>
      </w:r>
      <w:r w:rsidRPr="00FC4BF4">
        <w:rPr>
          <w:rFonts w:ascii="Verdana" w:eastAsia="Times New Roman" w:hAnsi="Verdana" w:cs="Arial"/>
          <w:shd w:val="clear" w:color="auto" w:fill="FFFFFF"/>
        </w:rPr>
        <w:t>escoge</w:t>
      </w:r>
      <w:r>
        <w:rPr>
          <w:rFonts w:ascii="Verdana" w:eastAsia="Times New Roman" w:hAnsi="Verdana" w:cs="Arial"/>
          <w:shd w:val="clear" w:color="auto" w:fill="FFFFFF"/>
        </w:rPr>
        <w:t xml:space="preserve"> que </w:t>
      </w:r>
      <w:r w:rsidRPr="00FC4BF4">
        <w:rPr>
          <w:rFonts w:ascii="Verdana" w:eastAsia="Times New Roman" w:hAnsi="Verdana" w:cs="Arial"/>
          <w:shd w:val="clear" w:color="auto" w:fill="FFFFFF"/>
        </w:rPr>
        <w:t>la verificación de</w:t>
      </w:r>
      <w:r>
        <w:rPr>
          <w:rFonts w:ascii="Verdana" w:eastAsia="Times New Roman" w:hAnsi="Verdana" w:cs="Arial"/>
          <w:shd w:val="clear" w:color="auto" w:fill="FFFFFF"/>
        </w:rPr>
        <w:t xml:space="preserve"> los</w:t>
      </w:r>
      <w:r w:rsidRPr="00FC4BF4">
        <w:rPr>
          <w:rFonts w:ascii="Verdana" w:eastAsia="Times New Roman" w:hAnsi="Verdana" w:cs="Arial"/>
          <w:shd w:val="clear" w:color="auto" w:fill="FFFFFF"/>
        </w:rPr>
        <w:t xml:space="preserve"> soportes académicos y de experiencia </w:t>
      </w:r>
      <w:r>
        <w:rPr>
          <w:rFonts w:ascii="Verdana" w:eastAsia="Times New Roman" w:hAnsi="Verdana" w:cs="Arial"/>
          <w:shd w:val="clear" w:color="auto" w:fill="FFFFFF"/>
        </w:rPr>
        <w:t>como</w:t>
      </w:r>
      <w:r w:rsidRPr="00FC4BF4">
        <w:rPr>
          <w:rFonts w:ascii="Verdana" w:eastAsia="Times New Roman" w:hAnsi="Verdana" w:cs="Arial"/>
          <w:shd w:val="clear" w:color="auto" w:fill="FFFFFF"/>
        </w:rPr>
        <w:t xml:space="preserve"> un requisito para iniciar la ejecución del contrato o para otro momento que la </w:t>
      </w:r>
      <w:r>
        <w:rPr>
          <w:rFonts w:ascii="Verdana" w:eastAsia="Times New Roman" w:hAnsi="Verdana" w:cs="Arial"/>
          <w:shd w:val="clear" w:color="auto" w:fill="FFFFFF"/>
        </w:rPr>
        <w:t xml:space="preserve">entidad </w:t>
      </w:r>
      <w:r w:rsidRPr="00FC4BF4">
        <w:rPr>
          <w:rFonts w:ascii="Verdana" w:eastAsia="Times New Roman" w:hAnsi="Verdana" w:cs="Arial"/>
          <w:shd w:val="clear" w:color="auto" w:fill="FFFFFF"/>
        </w:rPr>
        <w:t>disponga</w:t>
      </w:r>
      <w:r>
        <w:rPr>
          <w:rFonts w:ascii="Verdana" w:eastAsia="Times New Roman" w:hAnsi="Verdana" w:cs="Arial"/>
          <w:shd w:val="clear" w:color="auto" w:fill="FFFFFF"/>
        </w:rPr>
        <w:t xml:space="preserve"> en función de la fases de ejecución del contrato</w:t>
      </w:r>
      <w:r w:rsidRPr="00FC4BF4">
        <w:rPr>
          <w:rFonts w:ascii="Verdana" w:eastAsia="Times New Roman" w:hAnsi="Verdana" w:cs="Arial"/>
          <w:shd w:val="clear" w:color="auto" w:fill="FFFFFF"/>
        </w:rPr>
        <w:t>, lo cual deberá mencionar claramente</w:t>
      </w:r>
      <w:r>
        <w:rPr>
          <w:rFonts w:ascii="Verdana" w:eastAsia="Times New Roman" w:hAnsi="Verdana" w:cs="Arial"/>
          <w:shd w:val="clear" w:color="auto" w:fill="FFFFFF"/>
        </w:rPr>
        <w:t xml:space="preserve">. </w:t>
      </w:r>
    </w:p>
    <w:p w14:paraId="4113BD5C"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t xml:space="preserve">En ejercicio de la discrecionalidad que les asiste a las Entidades Estatales para determinar los requisitos que debe cumplir los integrantes del equipo de trabajo y las condiciones para su valoración, es jurídicamente viable, y de hecho frecuente, que se establezcan reglas tendientes a permitir que, a través de sistemas de equivalencias, se acredite determinado requisito de formación académica a través de determinadas condiciones de experiencia y </w:t>
      </w:r>
      <w:r w:rsidRPr="008169EB">
        <w:rPr>
          <w:rFonts w:ascii="Verdana" w:eastAsia="Times New Roman" w:hAnsi="Verdana" w:cs="Arial"/>
          <w:i/>
          <w:iCs/>
          <w:shd w:val="clear" w:color="auto" w:fill="FFFFFF"/>
        </w:rPr>
        <w:t>viceversa</w:t>
      </w:r>
      <w:r>
        <w:rPr>
          <w:rFonts w:ascii="Verdana" w:eastAsia="Times New Roman" w:hAnsi="Verdana" w:cs="Arial"/>
          <w:shd w:val="clear" w:color="auto" w:fill="FFFFFF"/>
        </w:rPr>
        <w:t xml:space="preserve">. Para estos efectos, las entidades estatales deben establecer dentro de los Documentos del Proceso, las correlaciones necesarias entre títulos de formación académica y experiencia, señalando valores, coeficientes, formulas y en general, las pautas y datos necesarios para hacer aplicar las equivalencias.    </w:t>
      </w:r>
    </w:p>
    <w:p w14:paraId="2D545A93"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t>Por otro lado, en aras de responder al tema objeto de consulta, es necesario señalar la aplicación de sistemas de equivalencias para valorar el cumplimiento de requisitos de experiencia y formación académica proviene del derecho laboral. De hecho, en lo referente a empleados públicos del orden nacional, estos sistemas de equivalencias se encuentran regulados en el Decreto ley 770 de 2005, mientras que los del orden territorial se encuentran regulados en el Decreto ley 785 de 2005. En desarrollo de estas disposiciones, el C</w:t>
      </w:r>
      <w:r w:rsidRPr="001861BB">
        <w:rPr>
          <w:rFonts w:ascii="Verdana" w:eastAsia="Times New Roman" w:hAnsi="Verdana" w:cs="Arial"/>
          <w:shd w:val="clear" w:color="auto" w:fill="FFFFFF"/>
        </w:rPr>
        <w:t>apítulo 5 del Título 2 de la Parte 2 del Libro 2 del presente Decreto</w:t>
      </w:r>
      <w:r>
        <w:rPr>
          <w:rFonts w:ascii="Verdana" w:eastAsia="Times New Roman" w:hAnsi="Verdana" w:cs="Arial"/>
          <w:shd w:val="clear" w:color="auto" w:fill="FFFFFF"/>
        </w:rPr>
        <w:t xml:space="preserve"> 1083 de 2015, </w:t>
      </w:r>
      <w:r w:rsidRPr="00F20BC5">
        <w:rPr>
          <w:rFonts w:ascii="Verdana" w:eastAsia="Times New Roman" w:hAnsi="Verdana" w:cs="Arial"/>
          <w:shd w:val="clear" w:color="auto" w:fill="FFFFFF"/>
        </w:rPr>
        <w:t xml:space="preserve">Decreto Único </w:t>
      </w:r>
      <w:r w:rsidRPr="00A24323">
        <w:rPr>
          <w:rFonts w:ascii="Verdana" w:eastAsia="Times New Roman" w:hAnsi="Verdana" w:cs="Arial"/>
          <w:shd w:val="clear" w:color="auto" w:fill="FFFFFF"/>
        </w:rPr>
        <w:t xml:space="preserve">Reglamentario del Sector de Función Pública, reglamenta entre sus artículos 2.2.2.5.1 a </w:t>
      </w:r>
      <w:r w:rsidRPr="008169EB">
        <w:rPr>
          <w:rFonts w:ascii="Verdana" w:eastAsia="Times New Roman" w:hAnsi="Verdana" w:cs="Arial"/>
          <w:shd w:val="clear" w:color="auto" w:fill="FFFFFF"/>
        </w:rPr>
        <w:t>2.2.2.5.3</w:t>
      </w:r>
      <w:r w:rsidRPr="00A24323">
        <w:rPr>
          <w:rFonts w:ascii="Verdana" w:eastAsia="Times New Roman" w:hAnsi="Verdana" w:cs="Arial"/>
          <w:shd w:val="clear" w:color="auto" w:fill="FFFFFF"/>
        </w:rPr>
        <w:t>, un</w:t>
      </w:r>
      <w:r>
        <w:rPr>
          <w:rFonts w:ascii="Verdana" w:eastAsia="Times New Roman" w:hAnsi="Verdana" w:cs="Arial"/>
          <w:shd w:val="clear" w:color="auto" w:fill="FFFFFF"/>
        </w:rPr>
        <w:t xml:space="preserve"> sistema de equivalencias aplicable a los distintos empleos y niveles jerárquicos de los empleos públicos</w:t>
      </w:r>
    </w:p>
    <w:p w14:paraId="18237F50"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t xml:space="preserve">Con todo, de acuerdo con el ámbito de aplicación de las normas como ellos Decretos ley 770 y 785 de 2005, así como del propio Decreto 1083 de 2015, es posible concluir que, las equivalencias reguladas por estas normas son </w:t>
      </w:r>
      <w:r>
        <w:rPr>
          <w:rFonts w:ascii="Verdana" w:eastAsia="Times New Roman" w:hAnsi="Verdana" w:cs="Arial"/>
          <w:shd w:val="clear" w:color="auto" w:fill="FFFFFF"/>
        </w:rPr>
        <w:lastRenderedPageBreak/>
        <w:t xml:space="preserve">aplicables en el contexto del empleo público, más no en la contratación pública. Esto además considerando que dichas normas no contemplan referencia alguna a su aplicación en el contexto de la compra pública ni en la contratación laboral que desarrollan los particulares que ejecutan contratos estatales. </w:t>
      </w:r>
    </w:p>
    <w:p w14:paraId="24D7E599" w14:textId="77777777" w:rsidR="00FE6B8B" w:rsidRDefault="00FE6B8B" w:rsidP="00FE6B8B">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t>Sin perjuicio de lo anterior, es posible que, en ejercicio de su discrecionalidad administrativa, una entidad estatal tome lo regulado en el Decreto 1083 de 2015 como referente para aplicar equivalencias en la validación de los requisitos de formación académica y experiencia del equipo de trabajo, cuando lo encuentre razonable. Sin embargo, para que ello sea procedente y no atente contra la selección objetiva, es necesario que dicha posibilidad se haya regulado expresamente en el pliego de condiciones o en algún otro de los documentos del proceso, en la medida en que, de acuerdo con lo antes expuesto, ni los Decretos ley 770</w:t>
      </w:r>
      <w:r>
        <w:rPr>
          <w:rStyle w:val="Refdenotaalpie"/>
          <w:rFonts w:ascii="Verdana" w:eastAsia="Times New Roman" w:hAnsi="Verdana" w:cs="Arial"/>
          <w:shd w:val="clear" w:color="auto" w:fill="FFFFFF"/>
        </w:rPr>
        <w:footnoteReference w:id="6"/>
      </w:r>
      <w:r>
        <w:rPr>
          <w:rFonts w:ascii="Verdana" w:eastAsia="Times New Roman" w:hAnsi="Verdana" w:cs="Arial"/>
          <w:shd w:val="clear" w:color="auto" w:fill="FFFFFF"/>
        </w:rPr>
        <w:t xml:space="preserve"> y 785 de 2005</w:t>
      </w:r>
      <w:r>
        <w:rPr>
          <w:rStyle w:val="Refdenotaalpie"/>
          <w:rFonts w:ascii="Verdana" w:eastAsia="Times New Roman" w:hAnsi="Verdana" w:cs="Arial"/>
          <w:shd w:val="clear" w:color="auto" w:fill="FFFFFF"/>
        </w:rPr>
        <w:footnoteReference w:id="7"/>
      </w:r>
      <w:r>
        <w:rPr>
          <w:rFonts w:ascii="Verdana" w:eastAsia="Times New Roman" w:hAnsi="Verdana" w:cs="Arial"/>
          <w:shd w:val="clear" w:color="auto" w:fill="FFFFFF"/>
        </w:rPr>
        <w:t>, ni el Decreto 1083 de 2015</w:t>
      </w:r>
      <w:r>
        <w:rPr>
          <w:rStyle w:val="Refdenotaalpie"/>
          <w:rFonts w:ascii="Verdana" w:eastAsia="Times New Roman" w:hAnsi="Verdana" w:cs="Arial"/>
          <w:shd w:val="clear" w:color="auto" w:fill="FFFFFF"/>
        </w:rPr>
        <w:footnoteReference w:id="8"/>
      </w:r>
      <w:r>
        <w:rPr>
          <w:rFonts w:ascii="Verdana" w:eastAsia="Times New Roman" w:hAnsi="Verdana" w:cs="Arial"/>
          <w:shd w:val="clear" w:color="auto" w:fill="FFFFFF"/>
        </w:rPr>
        <w:t xml:space="preserve"> tienen su </w:t>
      </w:r>
      <w:r>
        <w:rPr>
          <w:rFonts w:ascii="Verdana" w:eastAsia="Times New Roman" w:hAnsi="Verdana" w:cs="Arial"/>
          <w:shd w:val="clear" w:color="auto" w:fill="FFFFFF"/>
        </w:rPr>
        <w:lastRenderedPageBreak/>
        <w:t xml:space="preserve">ámbito de aplicación en la contratación pública o en la contratación laboral de particulares, razón por la que por sí solos adolecen de carácter vinculante en el marco de procesos de contratación.  </w:t>
      </w:r>
      <w:bookmarkEnd w:id="4"/>
    </w:p>
    <w:p w14:paraId="098FE7A4" w14:textId="77777777" w:rsidR="00FE6B8B" w:rsidRPr="00A145BE" w:rsidRDefault="00FE6B8B" w:rsidP="00FE6B8B">
      <w:pPr>
        <w:tabs>
          <w:tab w:val="left" w:pos="426"/>
        </w:tabs>
        <w:spacing w:after="120" w:line="276" w:lineRule="auto"/>
        <w:ind w:firstLine="425"/>
        <w:jc w:val="both"/>
        <w:rPr>
          <w:rFonts w:ascii="Verdana" w:eastAsia="Times New Roman" w:hAnsi="Verdana" w:cs="Arial"/>
          <w:szCs w:val="24"/>
          <w:lang w:eastAsia="es-ES_tradnl"/>
        </w:rPr>
      </w:pPr>
      <w:r>
        <w:rPr>
          <w:rFonts w:ascii="Verdana" w:eastAsia="Times New Roman" w:hAnsi="Verdana" w:cs="Arial"/>
          <w:shd w:val="clear" w:color="auto" w:fill="FFFFFF"/>
        </w:rPr>
        <w:tab/>
      </w:r>
      <w:r>
        <w:rPr>
          <w:rFonts w:ascii="Verdana" w:eastAsia="Times New Roman" w:hAnsi="Verdana" w:cs="Arial"/>
          <w:shd w:val="clear" w:color="auto" w:fill="FFFFFF"/>
        </w:rPr>
        <w:tab/>
      </w:r>
      <w:r w:rsidRPr="00A145BE">
        <w:rPr>
          <w:rFonts w:ascii="Verdana" w:eastAsia="Times New Roman" w:hAnsi="Verdana" w:cs="Arial"/>
          <w:szCs w:val="24"/>
          <w:lang w:eastAsia="es-ES_tradnl"/>
        </w:rPr>
        <w:t xml:space="preserve">En </w:t>
      </w:r>
      <w:r>
        <w:rPr>
          <w:rFonts w:ascii="Verdana" w:eastAsia="Times New Roman" w:hAnsi="Verdana" w:cs="Arial"/>
          <w:szCs w:val="24"/>
          <w:lang w:eastAsia="es-ES_tradnl"/>
        </w:rPr>
        <w:t>conclusión</w:t>
      </w:r>
      <w:r w:rsidRPr="00A145BE">
        <w:rPr>
          <w:rFonts w:ascii="Verdana" w:eastAsia="Times New Roman" w:hAnsi="Verdana" w:cs="Arial"/>
          <w:szCs w:val="24"/>
          <w:lang w:eastAsia="es-ES_tradnl"/>
        </w:rPr>
        <w:t>, la aplicación de reglas de equivalencia</w:t>
      </w:r>
      <w:r>
        <w:rPr>
          <w:rFonts w:ascii="Verdana" w:eastAsia="Times New Roman" w:hAnsi="Verdana" w:cs="Arial"/>
          <w:szCs w:val="24"/>
          <w:lang w:eastAsia="es-ES_tradnl"/>
        </w:rPr>
        <w:t>s</w:t>
      </w:r>
      <w:r w:rsidRPr="00A145BE">
        <w:rPr>
          <w:rFonts w:ascii="Verdana" w:eastAsia="Times New Roman" w:hAnsi="Verdana" w:cs="Arial"/>
          <w:szCs w:val="24"/>
          <w:lang w:eastAsia="es-ES_tradnl"/>
        </w:rPr>
        <w:t xml:space="preserve"> en relación con la formación académica o la experiencia del personal requerido únicamente resulta jurídicamente procedente cuando dichas condiciones han sido definidas de manera previa en la etapa de planeación contractual y se encuentran expresamente incorporadas, con criterios claros, objetivos y verificables, en los en los pliegos de condiciones o documentos del proceso de selección. Esta exigencia se fundamenta en los principios de planeación, transparencia, igualdad y selección objetiva, consagrados en los artículos 24 y 25 de la Ley 80 de 1993 y en el artículo 5 de la Ley 1150 de 2007, en la medida en que garantiza que todos los proponentes conozcan anticipadamente las reglas aplicables y puedan estructurar sus ofertas en condiciones de igualdad.</w:t>
      </w:r>
    </w:p>
    <w:p w14:paraId="70B635DF" w14:textId="77777777" w:rsidR="00FE6B8B" w:rsidRPr="00A145BE" w:rsidRDefault="00FE6B8B" w:rsidP="00FE6B8B">
      <w:pPr>
        <w:tabs>
          <w:tab w:val="left" w:pos="426"/>
        </w:tabs>
        <w:spacing w:after="120" w:line="276" w:lineRule="auto"/>
        <w:ind w:firstLine="425"/>
        <w:jc w:val="both"/>
        <w:rPr>
          <w:rFonts w:ascii="Verdana" w:eastAsia="Times New Roman" w:hAnsi="Verdana" w:cs="Arial"/>
          <w:szCs w:val="24"/>
          <w:lang w:eastAsia="es-ES_tradnl"/>
        </w:rPr>
      </w:pPr>
      <w:r>
        <w:rPr>
          <w:rFonts w:ascii="Verdana" w:eastAsia="Times New Roman" w:hAnsi="Verdana" w:cs="Arial"/>
          <w:szCs w:val="24"/>
          <w:lang w:eastAsia="es-ES_tradnl"/>
        </w:rPr>
        <w:tab/>
      </w:r>
      <w:r>
        <w:rPr>
          <w:rFonts w:ascii="Verdana" w:eastAsia="Times New Roman" w:hAnsi="Verdana" w:cs="Arial"/>
          <w:szCs w:val="24"/>
          <w:lang w:eastAsia="es-ES_tradnl"/>
        </w:rPr>
        <w:tab/>
      </w:r>
      <w:r w:rsidRPr="00A145BE">
        <w:rPr>
          <w:rFonts w:ascii="Verdana" w:eastAsia="Times New Roman" w:hAnsi="Verdana" w:cs="Arial"/>
          <w:szCs w:val="24"/>
          <w:lang w:eastAsia="es-ES_tradnl"/>
        </w:rPr>
        <w:t>Por el contrario, la introducción, modificación o flexibilización de criterios de homologación o equivalencia con posterioridad a la adjudicación del contrato —ya sea de manera previa a la suscripción del acta de inicio o durante la fase de ejecución—, cuando tales reglas no fueron previstas en los documentos del proceso, constituye una actuación contraria al principio de selección objetiva, en tanto implica una alteración de las condiciones bajo las cuales se evaluaron las ofertas y se adoptó la decisión de adjudicación, comprometiendo la legalidad del procedimiento contractual.</w:t>
      </w:r>
    </w:p>
    <w:p w14:paraId="193DAE2A" w14:textId="77777777" w:rsidR="00FE6B8B" w:rsidRPr="00A145BE" w:rsidRDefault="00FE6B8B" w:rsidP="00FE6B8B">
      <w:pPr>
        <w:tabs>
          <w:tab w:val="left" w:pos="426"/>
        </w:tabs>
        <w:spacing w:after="120" w:line="276" w:lineRule="auto"/>
        <w:ind w:firstLine="425"/>
        <w:jc w:val="both"/>
        <w:rPr>
          <w:rFonts w:ascii="Verdana" w:eastAsia="Times New Roman" w:hAnsi="Verdana" w:cs="Arial"/>
          <w:szCs w:val="24"/>
          <w:lang w:eastAsia="es-ES_tradnl"/>
        </w:rPr>
      </w:pPr>
      <w:r>
        <w:rPr>
          <w:rFonts w:ascii="Verdana" w:eastAsia="Times New Roman" w:hAnsi="Verdana" w:cs="Arial"/>
          <w:szCs w:val="24"/>
          <w:lang w:eastAsia="es-ES_tradnl"/>
        </w:rPr>
        <w:tab/>
      </w:r>
      <w:r>
        <w:rPr>
          <w:rFonts w:ascii="Verdana" w:eastAsia="Times New Roman" w:hAnsi="Verdana" w:cs="Arial"/>
          <w:szCs w:val="24"/>
          <w:lang w:eastAsia="es-ES_tradnl"/>
        </w:rPr>
        <w:tab/>
      </w:r>
      <w:r w:rsidRPr="00A145BE">
        <w:rPr>
          <w:rFonts w:ascii="Verdana" w:eastAsia="Times New Roman" w:hAnsi="Verdana" w:cs="Arial"/>
          <w:szCs w:val="24"/>
          <w:lang w:eastAsia="es-ES_tradnl"/>
        </w:rPr>
        <w:t>Sin perjuicio de lo anterior, una vez perfeccionado y legalizado el contrato, la Entidad Estatal conserva la facultad de verificar el cumplimiento de los requisitos exigidos al personal propuesto, incluyendo equivalencias que hubieren sido previamente previstas en los documentos precontractuales. Dicha verificación debe entenderse como un control propio de la etapa de ejecución contractual, orientado a constatar el cumplimiento de las obligaciones asumidas por el contratista, y no puede derivar en la modificación, reinterpretación o flexibilización de los criterios habilitantes o de evaluación definidos en la fase precontractual.</w:t>
      </w:r>
    </w:p>
    <w:p w14:paraId="6E4F485D" w14:textId="77777777" w:rsidR="00FE6B8B" w:rsidRPr="00A145BE" w:rsidRDefault="00FE6B8B" w:rsidP="00FE6B8B">
      <w:pPr>
        <w:tabs>
          <w:tab w:val="left" w:pos="426"/>
        </w:tabs>
        <w:spacing w:after="120" w:line="276" w:lineRule="auto"/>
        <w:ind w:firstLine="425"/>
        <w:jc w:val="both"/>
        <w:rPr>
          <w:rFonts w:ascii="Verdana" w:eastAsia="Times New Roman" w:hAnsi="Verdana" w:cs="Arial"/>
          <w:szCs w:val="24"/>
          <w:lang w:eastAsia="es-ES_tradnl"/>
        </w:rPr>
      </w:pPr>
      <w:r>
        <w:rPr>
          <w:rFonts w:ascii="Verdana" w:eastAsia="Times New Roman" w:hAnsi="Verdana" w:cs="Arial"/>
          <w:szCs w:val="24"/>
          <w:lang w:eastAsia="es-ES_tradnl"/>
        </w:rPr>
        <w:lastRenderedPageBreak/>
        <w:tab/>
      </w:r>
      <w:r>
        <w:rPr>
          <w:rFonts w:ascii="Verdana" w:eastAsia="Times New Roman" w:hAnsi="Verdana" w:cs="Arial"/>
          <w:szCs w:val="24"/>
          <w:lang w:eastAsia="es-ES_tradnl"/>
        </w:rPr>
        <w:tab/>
      </w:r>
      <w:r w:rsidRPr="00A145BE">
        <w:rPr>
          <w:rFonts w:ascii="Verdana" w:eastAsia="Times New Roman" w:hAnsi="Verdana" w:cs="Arial"/>
          <w:szCs w:val="24"/>
          <w:lang w:eastAsia="es-ES_tradnl"/>
        </w:rPr>
        <w:t>En consecuencia, la</w:t>
      </w:r>
      <w:r>
        <w:rPr>
          <w:rFonts w:ascii="Verdana" w:eastAsia="Times New Roman" w:hAnsi="Verdana" w:cs="Arial"/>
          <w:szCs w:val="24"/>
          <w:lang w:eastAsia="es-ES_tradnl"/>
        </w:rPr>
        <w:t xml:space="preserve"> aplicación</w:t>
      </w:r>
      <w:r w:rsidRPr="00A145BE">
        <w:rPr>
          <w:rFonts w:ascii="Verdana" w:eastAsia="Times New Roman" w:hAnsi="Verdana" w:cs="Arial"/>
          <w:szCs w:val="24"/>
          <w:lang w:eastAsia="es-ES_tradnl"/>
        </w:rPr>
        <w:t xml:space="preserve"> equivalencia</w:t>
      </w:r>
      <w:r>
        <w:rPr>
          <w:rFonts w:ascii="Verdana" w:eastAsia="Times New Roman" w:hAnsi="Verdana" w:cs="Arial"/>
          <w:szCs w:val="24"/>
          <w:lang w:eastAsia="es-ES_tradnl"/>
        </w:rPr>
        <w:t>s respecto de los requisitos de formación académica del personal,</w:t>
      </w:r>
      <w:r w:rsidRPr="00A145BE">
        <w:rPr>
          <w:rFonts w:ascii="Verdana" w:eastAsia="Times New Roman" w:hAnsi="Verdana" w:cs="Arial"/>
          <w:szCs w:val="24"/>
          <w:lang w:eastAsia="es-ES_tradnl"/>
        </w:rPr>
        <w:t xml:space="preserve"> únicamente es jurídicamente viable cuando ha sido prevista desde la planeación contractual y aplicada de manera objetiva, uniforme y transparente. Su incorporación extemporánea o su aplicación discrecional en etapas posteriores desconoce los principios que rigen la contratación estatal, desnaturaliza el deber de planeación y puede afectar la validez del proceso de selección y del contrato celebrado, con las consecuentes responsabilidades administrativas, disciplinarias y contractuales a que haya lugar.</w:t>
      </w:r>
    </w:p>
    <w:bookmarkEnd w:id="5"/>
    <w:bookmarkEnd w:id="6"/>
    <w:p w14:paraId="72980015" w14:textId="77777777" w:rsidR="00FE6B8B" w:rsidRPr="001F283D" w:rsidRDefault="00FE6B8B" w:rsidP="00FE6B8B">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7"/>
    <w:p w14:paraId="4C481FD6" w14:textId="77777777" w:rsidR="00FE6B8B" w:rsidRPr="00593A5F" w:rsidRDefault="00FE6B8B" w:rsidP="00FE6B8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6B8B" w:rsidRPr="002407CE" w14:paraId="65C2B071" w14:textId="77777777" w:rsidTr="00993DF0">
        <w:trPr>
          <w:trHeight w:val="870"/>
          <w:jc w:val="center"/>
        </w:trPr>
        <w:tc>
          <w:tcPr>
            <w:tcW w:w="8647" w:type="dxa"/>
          </w:tcPr>
          <w:p w14:paraId="05FA387A" w14:textId="77777777" w:rsidR="00FE6B8B" w:rsidRDefault="00FE6B8B" w:rsidP="00FE6B8B">
            <w:pPr>
              <w:numPr>
                <w:ilvl w:val="0"/>
                <w:numId w:val="17"/>
              </w:numPr>
              <w:spacing w:after="160" w:line="276" w:lineRule="auto"/>
              <w:contextualSpacing/>
              <w:jc w:val="both"/>
              <w:rPr>
                <w:rFonts w:ascii="Verdana" w:eastAsia="Calibri" w:hAnsi="Verdana" w:cs="Arial"/>
                <w:lang w:val="es-ES" w:eastAsia="es-MX"/>
              </w:rPr>
            </w:pPr>
            <w:r w:rsidRPr="00A145BE">
              <w:rPr>
                <w:rFonts w:ascii="Verdana" w:eastAsia="Times New Roman" w:hAnsi="Verdana" w:cs="Arial"/>
                <w:szCs w:val="24"/>
                <w:lang w:eastAsia="es-ES_tradnl"/>
              </w:rPr>
              <w:t>Ley 80 de 1993</w:t>
            </w:r>
            <w:r>
              <w:rPr>
                <w:rFonts w:ascii="Verdana" w:eastAsia="Times New Roman" w:hAnsi="Verdana" w:cs="Arial"/>
                <w:szCs w:val="24"/>
                <w:lang w:eastAsia="es-ES_tradnl"/>
              </w:rPr>
              <w:t>: Artículos</w:t>
            </w:r>
            <w:r w:rsidRPr="00A145BE">
              <w:rPr>
                <w:rFonts w:ascii="Verdana" w:eastAsia="Times New Roman" w:hAnsi="Verdana" w:cs="Arial"/>
                <w:szCs w:val="24"/>
                <w:lang w:eastAsia="es-ES_tradnl"/>
              </w:rPr>
              <w:t xml:space="preserve"> 24</w:t>
            </w:r>
            <w:r>
              <w:rPr>
                <w:rFonts w:ascii="Verdana" w:eastAsia="Times New Roman" w:hAnsi="Verdana" w:cs="Arial"/>
                <w:szCs w:val="24"/>
                <w:lang w:eastAsia="es-ES_tradnl"/>
              </w:rPr>
              <w:t>, 25 y 77</w:t>
            </w:r>
          </w:p>
          <w:p w14:paraId="6B554ABA" w14:textId="77777777" w:rsidR="00FE6B8B" w:rsidRDefault="00FE6B8B" w:rsidP="00FE6B8B">
            <w:pPr>
              <w:numPr>
                <w:ilvl w:val="0"/>
                <w:numId w:val="17"/>
              </w:numPr>
              <w:spacing w:after="160" w:line="276" w:lineRule="auto"/>
              <w:contextualSpacing/>
              <w:jc w:val="both"/>
              <w:rPr>
                <w:rFonts w:ascii="Verdana" w:eastAsia="Calibri" w:hAnsi="Verdana" w:cs="Arial"/>
                <w:lang w:val="es-ES" w:eastAsia="es-MX"/>
              </w:rPr>
            </w:pPr>
            <w:r w:rsidRPr="00275B0F">
              <w:rPr>
                <w:rFonts w:ascii="Verdana" w:eastAsia="Calibri" w:hAnsi="Verdana" w:cs="Arial"/>
                <w:lang w:val="es-ES" w:eastAsia="es-MX"/>
              </w:rPr>
              <w:t xml:space="preserve">Ley 1150 de 2007: Artículo 5 y artículo 6. </w:t>
            </w:r>
          </w:p>
          <w:p w14:paraId="4220BA6E" w14:textId="77777777" w:rsidR="00FE6B8B" w:rsidRPr="008D0947" w:rsidRDefault="00FE6B8B" w:rsidP="00FE6B8B">
            <w:pPr>
              <w:numPr>
                <w:ilvl w:val="0"/>
                <w:numId w:val="17"/>
              </w:numPr>
              <w:spacing w:after="160" w:line="276" w:lineRule="auto"/>
              <w:contextualSpacing/>
              <w:jc w:val="both"/>
              <w:rPr>
                <w:rFonts w:ascii="Verdana" w:eastAsia="Calibri" w:hAnsi="Verdana" w:cs="Arial"/>
                <w:lang w:val="es-ES" w:eastAsia="es-MX"/>
              </w:rPr>
            </w:pPr>
            <w:r w:rsidRPr="008169EB">
              <w:rPr>
                <w:rFonts w:ascii="Verdana" w:hAnsi="Verdana" w:cs="Arial"/>
                <w:bCs/>
                <w:color w:val="000000" w:themeColor="text1"/>
              </w:rPr>
              <w:t>Ley 1474 de 2011</w:t>
            </w:r>
            <w:r>
              <w:rPr>
                <w:rFonts w:ascii="Verdana" w:hAnsi="Verdana" w:cs="Arial"/>
                <w:bCs/>
                <w:color w:val="000000" w:themeColor="text1"/>
              </w:rPr>
              <w:t>: A</w:t>
            </w:r>
            <w:r w:rsidRPr="008169EB">
              <w:rPr>
                <w:rFonts w:ascii="Verdana" w:hAnsi="Verdana" w:cs="Arial"/>
                <w:bCs/>
                <w:color w:val="000000" w:themeColor="text1"/>
              </w:rPr>
              <w:t>rtículo 88</w:t>
            </w:r>
          </w:p>
          <w:p w14:paraId="7C9CE759" w14:textId="77777777" w:rsidR="00FE6B8B" w:rsidRDefault="00FE6B8B" w:rsidP="00FE6B8B">
            <w:pPr>
              <w:numPr>
                <w:ilvl w:val="0"/>
                <w:numId w:val="17"/>
              </w:numPr>
              <w:spacing w:after="160" w:line="276" w:lineRule="auto"/>
              <w:contextualSpacing/>
              <w:jc w:val="both"/>
              <w:rPr>
                <w:rFonts w:ascii="Verdana" w:eastAsia="Calibri" w:hAnsi="Verdana" w:cs="Arial"/>
                <w:lang w:val="es-ES" w:eastAsia="es-MX"/>
              </w:rPr>
            </w:pPr>
            <w:r w:rsidRPr="00275B0F">
              <w:rPr>
                <w:rFonts w:ascii="Verdana" w:eastAsia="Calibri" w:hAnsi="Verdana" w:cs="Arial"/>
                <w:lang w:val="es-ES" w:eastAsia="es-MX"/>
              </w:rPr>
              <w:t xml:space="preserve">Ley 1437 de 2011: Artículo 44. </w:t>
            </w:r>
          </w:p>
          <w:p w14:paraId="2A6435EC" w14:textId="77777777" w:rsidR="00FE6B8B" w:rsidRPr="00226689" w:rsidRDefault="00FE6B8B" w:rsidP="00FE6B8B">
            <w:pPr>
              <w:widowControl w:val="0"/>
              <w:numPr>
                <w:ilvl w:val="0"/>
                <w:numId w:val="17"/>
              </w:numPr>
              <w:autoSpaceDE w:val="0"/>
              <w:autoSpaceDN w:val="0"/>
              <w:spacing w:after="120" w:line="276" w:lineRule="auto"/>
              <w:contextualSpacing/>
              <w:jc w:val="both"/>
              <w:rPr>
                <w:rFonts w:ascii="Verdana" w:hAnsi="Verdana" w:cs="Arial"/>
                <w:lang w:val="es-ES"/>
              </w:rPr>
            </w:pPr>
            <w:r w:rsidRPr="002A2163">
              <w:rPr>
                <w:rFonts w:ascii="Verdana" w:hAnsi="Verdana" w:cs="Arial"/>
                <w:lang w:val="es-ES"/>
              </w:rPr>
              <w:t>Decreto 1082 de 2015, artículos 2.2.1.1.2.1.1.,</w:t>
            </w:r>
            <w:r>
              <w:rPr>
                <w:rFonts w:ascii="Verdana" w:hAnsi="Verdana" w:cs="Arial"/>
                <w:lang w:val="es-ES"/>
              </w:rPr>
              <w:t xml:space="preserve"> </w:t>
            </w:r>
            <w:r w:rsidRPr="002A2163">
              <w:rPr>
                <w:rFonts w:ascii="Verdana" w:hAnsi="Verdana" w:cs="Arial"/>
                <w:lang w:val="es-ES"/>
              </w:rPr>
              <w:t>2.2.1.1.1.6.1.</w:t>
            </w:r>
            <w:r>
              <w:rPr>
                <w:rFonts w:ascii="Verdana" w:hAnsi="Verdana" w:cs="Arial"/>
                <w:lang w:val="es-ES"/>
              </w:rPr>
              <w:t xml:space="preserve"> y </w:t>
            </w:r>
            <w:r w:rsidRPr="009616D4">
              <w:rPr>
                <w:rFonts w:ascii="Verdana" w:eastAsia="Calibri" w:hAnsi="Verdana" w:cs="Arial"/>
                <w:color w:val="000000" w:themeColor="text1"/>
              </w:rPr>
              <w:t>2.2.1.1.1.6.2</w:t>
            </w:r>
            <w:r>
              <w:rPr>
                <w:rFonts w:ascii="Verdana" w:eastAsia="Calibri" w:hAnsi="Verdana" w:cs="Arial"/>
                <w:color w:val="000000" w:themeColor="text1"/>
              </w:rPr>
              <w:t xml:space="preserve"> </w:t>
            </w:r>
          </w:p>
          <w:p w14:paraId="61756A7C" w14:textId="77777777" w:rsidR="00FE6B8B" w:rsidRPr="00226689" w:rsidRDefault="00FE6B8B" w:rsidP="00FE6B8B">
            <w:pPr>
              <w:widowControl w:val="0"/>
              <w:numPr>
                <w:ilvl w:val="0"/>
                <w:numId w:val="17"/>
              </w:numPr>
              <w:autoSpaceDE w:val="0"/>
              <w:autoSpaceDN w:val="0"/>
              <w:spacing w:after="120" w:line="276" w:lineRule="auto"/>
              <w:contextualSpacing/>
              <w:jc w:val="both"/>
              <w:rPr>
                <w:rFonts w:ascii="Verdana" w:hAnsi="Verdana" w:cs="Arial"/>
                <w:lang w:val="es-ES"/>
              </w:rPr>
            </w:pPr>
            <w:r w:rsidRPr="001517C0">
              <w:rPr>
                <w:rFonts w:ascii="Verdana" w:hAnsi="Verdana" w:cs="Arial"/>
                <w:color w:val="000000" w:themeColor="text1"/>
              </w:rPr>
              <w:t>Decretos ley 770 2005</w:t>
            </w:r>
          </w:p>
          <w:p w14:paraId="70830963" w14:textId="77777777" w:rsidR="00FE6B8B" w:rsidRPr="00226689" w:rsidRDefault="00FE6B8B" w:rsidP="00FE6B8B">
            <w:pPr>
              <w:widowControl w:val="0"/>
              <w:numPr>
                <w:ilvl w:val="0"/>
                <w:numId w:val="17"/>
              </w:numPr>
              <w:autoSpaceDE w:val="0"/>
              <w:autoSpaceDN w:val="0"/>
              <w:spacing w:after="120" w:line="276" w:lineRule="auto"/>
              <w:contextualSpacing/>
              <w:jc w:val="both"/>
              <w:rPr>
                <w:rFonts w:ascii="Verdana" w:hAnsi="Verdana" w:cs="Arial"/>
                <w:lang w:val="es-ES"/>
              </w:rPr>
            </w:pPr>
            <w:r w:rsidRPr="001517C0">
              <w:rPr>
                <w:rFonts w:ascii="Verdana" w:hAnsi="Verdana" w:cs="Arial"/>
                <w:color w:val="000000" w:themeColor="text1"/>
              </w:rPr>
              <w:t>Decretos ley 7</w:t>
            </w:r>
            <w:r>
              <w:rPr>
                <w:rFonts w:ascii="Verdana" w:hAnsi="Verdana" w:cs="Arial"/>
                <w:color w:val="000000" w:themeColor="text1"/>
              </w:rPr>
              <w:t>85</w:t>
            </w:r>
            <w:r w:rsidRPr="001517C0">
              <w:rPr>
                <w:rFonts w:ascii="Verdana" w:hAnsi="Verdana" w:cs="Arial"/>
                <w:color w:val="000000" w:themeColor="text1"/>
              </w:rPr>
              <w:t xml:space="preserve"> 2005</w:t>
            </w:r>
          </w:p>
          <w:p w14:paraId="6E0BFBD8" w14:textId="77777777" w:rsidR="00FE6B8B" w:rsidRPr="008D0947" w:rsidRDefault="00FE6B8B" w:rsidP="00FE6B8B">
            <w:pPr>
              <w:widowControl w:val="0"/>
              <w:numPr>
                <w:ilvl w:val="0"/>
                <w:numId w:val="17"/>
              </w:numPr>
              <w:autoSpaceDE w:val="0"/>
              <w:autoSpaceDN w:val="0"/>
              <w:spacing w:after="120" w:line="276" w:lineRule="auto"/>
              <w:contextualSpacing/>
              <w:jc w:val="both"/>
              <w:rPr>
                <w:rFonts w:ascii="Verdana" w:hAnsi="Verdana" w:cs="Arial"/>
                <w:lang w:val="es-ES"/>
              </w:rPr>
            </w:pPr>
            <w:r w:rsidRPr="002A2163">
              <w:rPr>
                <w:rFonts w:ascii="Verdana" w:hAnsi="Verdana" w:cs="Arial"/>
                <w:lang w:val="es-ES"/>
              </w:rPr>
              <w:t xml:space="preserve">Decreto 1083 de 2015, </w:t>
            </w:r>
            <w:r>
              <w:rPr>
                <w:rFonts w:ascii="Verdana" w:hAnsi="Verdana" w:cs="Arial"/>
                <w:lang w:val="es-ES"/>
              </w:rPr>
              <w:t>a</w:t>
            </w:r>
            <w:r w:rsidRPr="002A2163">
              <w:rPr>
                <w:rFonts w:ascii="Verdana" w:hAnsi="Verdana" w:cs="Arial"/>
                <w:lang w:val="es-ES"/>
              </w:rPr>
              <w:t>rtículo 2.1.1.1</w:t>
            </w:r>
            <w:r>
              <w:rPr>
                <w:rFonts w:ascii="Verdana" w:hAnsi="Verdana" w:cs="Arial"/>
                <w:lang w:val="es-ES"/>
              </w:rPr>
              <w:t xml:space="preserve">, </w:t>
            </w:r>
            <w:r w:rsidRPr="002A2163">
              <w:rPr>
                <w:rFonts w:ascii="Verdana" w:hAnsi="Verdana" w:cs="Arial"/>
                <w:lang w:val="es-ES"/>
              </w:rPr>
              <w:t>2.1.1.</w:t>
            </w:r>
            <w:r>
              <w:rPr>
                <w:rFonts w:ascii="Verdana" w:hAnsi="Verdana" w:cs="Arial"/>
                <w:lang w:val="es-ES"/>
              </w:rPr>
              <w:t>2,</w:t>
            </w:r>
            <w:r w:rsidRPr="00A24323">
              <w:rPr>
                <w:rFonts w:ascii="Verdana" w:eastAsia="Times New Roman" w:hAnsi="Verdana" w:cs="Arial"/>
                <w:shd w:val="clear" w:color="auto" w:fill="FFFFFF"/>
              </w:rPr>
              <w:t xml:space="preserve"> 2.2.2.5.1 a </w:t>
            </w:r>
            <w:r w:rsidRPr="004011FE">
              <w:rPr>
                <w:rFonts w:ascii="Verdana" w:eastAsia="Times New Roman" w:hAnsi="Verdana" w:cs="Arial"/>
                <w:shd w:val="clear" w:color="auto" w:fill="FFFFFF"/>
              </w:rPr>
              <w:t>2.2.2.5.3</w:t>
            </w:r>
            <w:r>
              <w:rPr>
                <w:rFonts w:ascii="Verdana" w:eastAsia="Times New Roman" w:hAnsi="Verdana" w:cs="Arial"/>
                <w:shd w:val="clear" w:color="auto" w:fill="FFFFFF"/>
              </w:rPr>
              <w:t>.</w:t>
            </w:r>
          </w:p>
          <w:p w14:paraId="5CC9886D" w14:textId="77777777" w:rsidR="00FE6B8B" w:rsidRPr="002A2163" w:rsidRDefault="00FE6B8B" w:rsidP="00FE6B8B">
            <w:pPr>
              <w:widowControl w:val="0"/>
              <w:numPr>
                <w:ilvl w:val="0"/>
                <w:numId w:val="17"/>
              </w:numPr>
              <w:autoSpaceDE w:val="0"/>
              <w:autoSpaceDN w:val="0"/>
              <w:spacing w:after="120" w:line="276" w:lineRule="auto"/>
              <w:contextualSpacing/>
              <w:jc w:val="both"/>
              <w:rPr>
                <w:rFonts w:ascii="Verdana" w:hAnsi="Verdana" w:cs="Arial"/>
                <w:lang w:val="es-ES"/>
              </w:rPr>
            </w:pPr>
            <w:r w:rsidRPr="003542A8">
              <w:rPr>
                <w:rFonts w:ascii="Verdana" w:hAnsi="Verdana" w:cs="Arial"/>
                <w:i/>
                <w:iCs/>
              </w:rPr>
              <w:t>Manual para determinar y verificar los requisitos habilitantes en los procesos de contratación</w:t>
            </w:r>
            <w:r>
              <w:rPr>
                <w:rFonts w:ascii="Verdana" w:hAnsi="Verdana" w:cs="Arial"/>
              </w:rPr>
              <w:t xml:space="preserve">: </w:t>
            </w:r>
            <w:hyperlink r:id="rId13" w:history="1">
              <w:r w:rsidRPr="003542A8">
                <w:rPr>
                  <w:rStyle w:val="Hipervnculo"/>
                  <w:rFonts w:ascii="Verdana" w:hAnsi="Verdana" w:cs="Arial"/>
                </w:rPr>
                <w:t>cce-eicp-ma-04._manual_requisitos_habilitantes_v3_29-09-2023.pdf</w:t>
              </w:r>
            </w:hyperlink>
          </w:p>
          <w:p w14:paraId="3A839A49" w14:textId="77777777" w:rsidR="00FE6B8B" w:rsidRPr="00D601ED" w:rsidRDefault="00FE6B8B" w:rsidP="00993DF0">
            <w:pPr>
              <w:widowControl w:val="0"/>
              <w:tabs>
                <w:tab w:val="left" w:pos="816"/>
              </w:tabs>
              <w:autoSpaceDE w:val="0"/>
              <w:autoSpaceDN w:val="0"/>
              <w:spacing w:before="120" w:line="237" w:lineRule="auto"/>
              <w:ind w:left="720" w:right="106"/>
              <w:rPr>
                <w:rFonts w:ascii="Verdana" w:eastAsia="Verdana" w:hAnsi="Verdana" w:cs="Verdana"/>
                <w:lang w:val="es-ES"/>
              </w:rPr>
            </w:pPr>
          </w:p>
        </w:tc>
      </w:tr>
    </w:tbl>
    <w:p w14:paraId="78F7DBA7" w14:textId="77777777" w:rsidR="00FE6B8B" w:rsidRPr="00277E26" w:rsidRDefault="00FE6B8B" w:rsidP="00FE6B8B">
      <w:pPr>
        <w:widowControl w:val="0"/>
        <w:autoSpaceDE w:val="0"/>
        <w:autoSpaceDN w:val="0"/>
        <w:spacing w:after="0" w:line="276" w:lineRule="auto"/>
        <w:jc w:val="both"/>
        <w:rPr>
          <w:rFonts w:ascii="Verdana" w:hAnsi="Verdana" w:cs="Arial"/>
        </w:rPr>
      </w:pPr>
    </w:p>
    <w:p w14:paraId="57B2987E" w14:textId="77777777" w:rsidR="00FE6B8B" w:rsidRPr="001F283D" w:rsidRDefault="00FE6B8B" w:rsidP="00FE6B8B">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7990F94E" w14:textId="77777777" w:rsidR="00FE6B8B" w:rsidRDefault="00FE6B8B" w:rsidP="00FE6B8B">
      <w:pPr>
        <w:widowControl w:val="0"/>
        <w:autoSpaceDE w:val="0"/>
        <w:autoSpaceDN w:val="0"/>
        <w:spacing w:after="0" w:line="276" w:lineRule="auto"/>
        <w:jc w:val="both"/>
        <w:rPr>
          <w:rStyle w:val="normaltextrun"/>
          <w:rFonts w:ascii="Verdana" w:hAnsi="Verdana" w:cs="Arial"/>
          <w:shd w:val="clear" w:color="auto" w:fill="FFFFFF"/>
          <w:lang w:val="es-ES"/>
        </w:rPr>
      </w:pPr>
    </w:p>
    <w:p w14:paraId="49B915E1" w14:textId="77777777" w:rsidR="00FE6B8B" w:rsidRPr="00275B0F" w:rsidRDefault="00FE6B8B" w:rsidP="00FE6B8B">
      <w:pPr>
        <w:widowControl w:val="0"/>
        <w:autoSpaceDE w:val="0"/>
        <w:autoSpaceDN w:val="0"/>
        <w:spacing w:after="0" w:line="276" w:lineRule="auto"/>
        <w:jc w:val="both"/>
        <w:rPr>
          <w:rFonts w:ascii="Verdana" w:hAnsi="Verdana" w:cs="Arial"/>
          <w:color w:val="000000" w:themeColor="text1"/>
          <w:shd w:val="clear" w:color="auto" w:fill="FFFFFF"/>
          <w:lang w:val="es-ES"/>
        </w:rPr>
      </w:pPr>
      <w:r w:rsidRPr="00275B0F">
        <w:rPr>
          <w:rFonts w:ascii="Verdana" w:eastAsia="Calibri" w:hAnsi="Verdana" w:cs="Arial"/>
          <w:color w:val="000000" w:themeColor="text1"/>
          <w:lang w:eastAsia="es-ES_tradnl"/>
        </w:rPr>
        <w:t xml:space="preserve">La Agencia Nacional de Contratación Pública – Colombia Compra Eficiente </w:t>
      </w:r>
      <w:r w:rsidRPr="00275B0F">
        <w:rPr>
          <w:rFonts w:ascii="Verdana" w:eastAsia="Arial" w:hAnsi="Verdana" w:cs="Arial"/>
          <w:lang w:val="es-MX" w:eastAsia="es-ES_tradnl"/>
        </w:rPr>
        <w:t xml:space="preserve">se ha referido a la determinación de los requisitos habilitantes en los conceptos C-120 del 3 de marzo de 2020, C-204 del 31 de marzo de 2020, C-099 del 6 de abril  de 2020, C-195 del 13 de abril de 2020, C-013 del 17 de abril de 2020, C-330 del 27 de mayo de 2020 y C-396 de 16 de julio </w:t>
      </w:r>
      <w:r w:rsidRPr="00275B0F">
        <w:rPr>
          <w:rFonts w:ascii="Verdana" w:hAnsi="Verdana" w:cs="Arial"/>
          <w:shd w:val="clear" w:color="auto" w:fill="FFFFFF"/>
          <w:lang w:val="es-ES"/>
        </w:rPr>
        <w:t xml:space="preserve">de 2020, C-142 del 30 de marzo de 2022,  C-337 de 18de agosto de 2023,Concepto C-483 del 26 de septiembre de 2024, Concepto C- 662 de 2024 del 29 de enero de 2025, C –043 del 28 </w:t>
      </w:r>
      <w:proofErr w:type="spellStart"/>
      <w:r w:rsidRPr="00275B0F">
        <w:rPr>
          <w:rFonts w:ascii="Verdana" w:hAnsi="Verdana" w:cs="Arial"/>
          <w:shd w:val="clear" w:color="auto" w:fill="FFFFFF"/>
          <w:lang w:val="es-ES"/>
        </w:rPr>
        <w:t>del</w:t>
      </w:r>
      <w:proofErr w:type="spellEnd"/>
      <w:r w:rsidRPr="00275B0F">
        <w:rPr>
          <w:rFonts w:ascii="Verdana" w:hAnsi="Verdana" w:cs="Arial"/>
          <w:shd w:val="clear" w:color="auto" w:fill="FFFFFF"/>
          <w:lang w:val="es-ES"/>
        </w:rPr>
        <w:t xml:space="preserve"> febrero de 2025, C- 116 del 1 de marzo de 2025, C-1297 del 17 de octubre de 2025. Estos se encuentran disponibles para consulta en el Sistema de relatoría </w:t>
      </w:r>
      <w:r w:rsidRPr="00275B0F">
        <w:rPr>
          <w:rFonts w:ascii="Verdana" w:hAnsi="Verdana" w:cs="Arial"/>
          <w:shd w:val="clear" w:color="auto" w:fill="FFFFFF"/>
          <w:lang w:val="es-ES"/>
        </w:rPr>
        <w:lastRenderedPageBreak/>
        <w:t>de la Agencia, al cual puede accederse a través del siguiente enlace:</w:t>
      </w:r>
      <w:r w:rsidRPr="00275B0F">
        <w:rPr>
          <w:rFonts w:ascii="Verdana" w:hAnsi="Verdana"/>
          <w:lang w:val="es-ES"/>
        </w:rPr>
        <w:t xml:space="preserve"> </w:t>
      </w:r>
      <w:hyperlink r:id="rId14" w:history="1">
        <w:r w:rsidRPr="00275B0F">
          <w:rPr>
            <w:rFonts w:ascii="Verdana" w:hAnsi="Verdana" w:cs="Arial"/>
            <w:color w:val="0000FF"/>
            <w:u w:val="single"/>
            <w:shd w:val="clear" w:color="auto" w:fill="FFFFFF"/>
          </w:rPr>
          <w:t>https://relatoria.colombiacompra.gov.co/busqueda/conceptos</w:t>
        </w:r>
      </w:hyperlink>
      <w:r w:rsidRPr="00275B0F">
        <w:rPr>
          <w:rFonts w:ascii="Verdana" w:hAnsi="Verdana"/>
          <w:color w:val="0000FF"/>
          <w:u w:val="single"/>
        </w:rPr>
        <w:t>.</w:t>
      </w:r>
      <w:r w:rsidRPr="00275B0F">
        <w:rPr>
          <w:rFonts w:ascii="Verdana" w:hAnsi="Verdana" w:cs="Arial"/>
          <w:color w:val="000000" w:themeColor="text1"/>
          <w:shd w:val="clear" w:color="auto" w:fill="FFFFFF"/>
        </w:rPr>
        <w:t xml:space="preserve"> </w:t>
      </w:r>
      <w:r w:rsidRPr="00275B0F">
        <w:rPr>
          <w:rFonts w:ascii="Verdana" w:hAnsi="Verdana" w:cs="Arial"/>
          <w:color w:val="000000" w:themeColor="text1"/>
          <w:shd w:val="clear" w:color="auto" w:fill="FFFFFF"/>
          <w:lang w:val="es-ES"/>
        </w:rPr>
        <w:t xml:space="preserve"> </w:t>
      </w:r>
    </w:p>
    <w:p w14:paraId="5C892BFB" w14:textId="77777777" w:rsidR="00FE6B8B" w:rsidRPr="00F8009F" w:rsidRDefault="00FE6B8B" w:rsidP="00FE6B8B">
      <w:pPr>
        <w:widowControl w:val="0"/>
        <w:autoSpaceDE w:val="0"/>
        <w:autoSpaceDN w:val="0"/>
        <w:spacing w:after="120" w:line="276" w:lineRule="auto"/>
        <w:jc w:val="both"/>
        <w:rPr>
          <w:rFonts w:ascii="Verdana" w:eastAsia="Calibri" w:hAnsi="Verdana" w:cs="Arial"/>
          <w:color w:val="000000" w:themeColor="text1"/>
          <w:lang w:val="es-ES" w:eastAsia="es-ES_tradnl"/>
        </w:rPr>
      </w:pPr>
    </w:p>
    <w:p w14:paraId="156934D2" w14:textId="77777777" w:rsidR="00FE6B8B" w:rsidRPr="00237766" w:rsidRDefault="00FE6B8B" w:rsidP="00FE6B8B">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01C20B4" w14:textId="77777777" w:rsidR="00FE6B8B" w:rsidRPr="008E4F36" w:rsidRDefault="00FE6B8B" w:rsidP="00FE6B8B">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521F46A6" w14:textId="77777777" w:rsidR="00FE6B8B" w:rsidRPr="008E4F36" w:rsidRDefault="00FE6B8B" w:rsidP="00FE6B8B">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14E61D0F" w14:textId="77777777" w:rsidR="00FE6B8B" w:rsidRPr="008E4F36" w:rsidRDefault="00FE6B8B" w:rsidP="00FE6B8B">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5AF586A3" w14:textId="77777777" w:rsidR="00FE6B8B" w:rsidRPr="008E4F36" w:rsidRDefault="00FE6B8B" w:rsidP="00FE6B8B">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5" w:history="1">
        <w:r w:rsidRPr="008E4F36">
          <w:rPr>
            <w:rStyle w:val="Hipervnculo"/>
            <w:rFonts w:ascii="Verdana" w:hAnsi="Verdana"/>
          </w:rPr>
          <w:t>www.colombiacompra.gov.co</w:t>
        </w:r>
      </w:hyperlink>
    </w:p>
    <w:p w14:paraId="183B1247" w14:textId="77777777" w:rsidR="00FE6B8B" w:rsidRPr="008E4F36" w:rsidRDefault="00FE6B8B" w:rsidP="00FE6B8B">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2D38F952" w14:textId="77777777" w:rsidR="00FE6B8B" w:rsidRPr="008E4F36" w:rsidRDefault="00FE6B8B" w:rsidP="00FE6B8B">
      <w:pPr>
        <w:spacing w:after="0" w:line="276" w:lineRule="auto"/>
        <w:jc w:val="both"/>
        <w:rPr>
          <w:rFonts w:ascii="Verdana" w:hAnsi="Verdana"/>
        </w:rPr>
      </w:pPr>
    </w:p>
    <w:p w14:paraId="7DC19C39" w14:textId="77777777" w:rsidR="00FE6B8B" w:rsidRPr="008E4F36" w:rsidRDefault="00FE6B8B" w:rsidP="00FE6B8B">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079323F5" w14:textId="77777777" w:rsidR="00FE6B8B" w:rsidRPr="008E4F36" w:rsidRDefault="00FE6B8B" w:rsidP="00FE6B8B">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32D71B30" w14:textId="77777777" w:rsidR="00FE6B8B" w:rsidRDefault="00FE6B8B" w:rsidP="00FE6B8B">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013AC839" w14:textId="77777777" w:rsidR="00FE6B8B" w:rsidRDefault="00FE6B8B" w:rsidP="00FE6B8B">
      <w:pPr>
        <w:spacing w:after="0" w:line="276" w:lineRule="auto"/>
        <w:jc w:val="both"/>
        <w:rPr>
          <w:rFonts w:ascii="Verdana" w:hAnsi="Verdana"/>
        </w:rPr>
      </w:pPr>
    </w:p>
    <w:p w14:paraId="471FE6A2" w14:textId="77777777" w:rsidR="00FE6B8B" w:rsidRPr="00D601ED" w:rsidRDefault="00FE6B8B" w:rsidP="00FE6B8B">
      <w:pPr>
        <w:spacing w:before="120" w:after="0" w:line="276" w:lineRule="auto"/>
        <w:jc w:val="both"/>
        <w:rPr>
          <w:rFonts w:ascii="Verdana" w:hAnsi="Verdana"/>
          <w:sz w:val="20"/>
          <w:szCs w:val="20"/>
        </w:rPr>
      </w:pPr>
      <w:r w:rsidRPr="00D601ED">
        <w:rPr>
          <w:rFonts w:ascii="Verdana" w:hAnsi="Verdana"/>
          <w:sz w:val="20"/>
          <w:szCs w:val="20"/>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DDFA9F9" w14:textId="77777777" w:rsidR="00FE6B8B" w:rsidRPr="008E4F36" w:rsidRDefault="00FE6B8B" w:rsidP="00FE6B8B">
      <w:pPr>
        <w:spacing w:after="0" w:line="276" w:lineRule="auto"/>
        <w:jc w:val="both"/>
        <w:rPr>
          <w:rFonts w:ascii="Verdana" w:eastAsia="Calibri" w:hAnsi="Verdana" w:cs="Times New Roman"/>
        </w:rPr>
      </w:pPr>
    </w:p>
    <w:p w14:paraId="78888195" w14:textId="77777777" w:rsidR="00FE6B8B" w:rsidRDefault="00FE6B8B" w:rsidP="00FE6B8B">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27E01FF3" w14:textId="77777777" w:rsidR="00FE6B8B" w:rsidRDefault="00FE6B8B" w:rsidP="00FE6B8B">
      <w:pPr>
        <w:spacing w:after="0" w:line="256" w:lineRule="auto"/>
        <w:jc w:val="both"/>
        <w:rPr>
          <w:rFonts w:ascii="Verdana" w:eastAsia="Calibri" w:hAnsi="Verdana" w:cs="Times New Roman"/>
        </w:rPr>
      </w:pPr>
    </w:p>
    <w:p w14:paraId="538E089E" w14:textId="5BDFF2DF" w:rsidR="00FE6B8B" w:rsidRPr="00D93542" w:rsidRDefault="00D93542" w:rsidP="00D93542">
      <w:pPr>
        <w:spacing w:after="0" w:line="256" w:lineRule="auto"/>
        <w:jc w:val="center"/>
        <w:rPr>
          <w:noProof/>
        </w:rPr>
      </w:pPr>
      <w:r w:rsidRPr="002C3AD6">
        <w:rPr>
          <w:rFonts w:ascii="Century Gothic" w:hAnsi="Century Gothic"/>
          <w:noProof/>
          <w:lang w:val="en-US"/>
        </w:rPr>
        <w:drawing>
          <wp:inline distT="0" distB="0" distL="0" distR="0" wp14:anchorId="7323E745" wp14:editId="436C24BF">
            <wp:extent cx="3058510" cy="1135356"/>
            <wp:effectExtent l="0" t="0" r="0" b="825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101538" cy="1151329"/>
                    </a:xfrm>
                    <a:prstGeom prst="rect">
                      <a:avLst/>
                    </a:prstGeom>
                  </pic:spPr>
                </pic:pic>
              </a:graphicData>
            </a:graphic>
          </wp:inline>
        </w:drawing>
      </w:r>
      <w:bookmarkEnd w:id="0"/>
      <w:bookmarkEnd w:id="1"/>
    </w:p>
    <w:p w14:paraId="45004E77" w14:textId="77777777" w:rsidR="00FE6B8B" w:rsidRDefault="00FE6B8B" w:rsidP="00FE6B8B">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E6B8B" w:rsidRPr="002423D6" w14:paraId="229E94B7" w14:textId="77777777" w:rsidTr="00993DF0">
        <w:trPr>
          <w:trHeight w:val="315"/>
        </w:trPr>
        <w:tc>
          <w:tcPr>
            <w:tcW w:w="893" w:type="dxa"/>
            <w:vAlign w:val="center"/>
            <w:hideMark/>
          </w:tcPr>
          <w:p w14:paraId="37CEF928" w14:textId="77777777" w:rsidR="00FE6B8B" w:rsidRPr="002423D6" w:rsidRDefault="00FE6B8B" w:rsidP="00993DF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A3949C7" w14:textId="77777777" w:rsidR="00FE6B8B" w:rsidRPr="002423D6" w:rsidRDefault="00FE6B8B" w:rsidP="00993DF0">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22D00D65" w14:textId="77777777" w:rsidR="00FE6B8B" w:rsidRPr="002423D6" w:rsidRDefault="00FE6B8B" w:rsidP="00993DF0">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FE6B8B" w:rsidRPr="002423D6" w14:paraId="1CBFBF1D" w14:textId="77777777" w:rsidTr="00993DF0">
        <w:trPr>
          <w:trHeight w:val="330"/>
        </w:trPr>
        <w:tc>
          <w:tcPr>
            <w:tcW w:w="893" w:type="dxa"/>
            <w:vAlign w:val="center"/>
            <w:hideMark/>
          </w:tcPr>
          <w:p w14:paraId="38BBECB9" w14:textId="77777777" w:rsidR="00FE6B8B" w:rsidRPr="002423D6" w:rsidRDefault="00FE6B8B" w:rsidP="00993DF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75508C" w14:textId="77777777" w:rsidR="00FE6B8B" w:rsidRPr="002423D6" w:rsidRDefault="00FE6B8B" w:rsidP="00993DF0">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R. Sarmiento Cantillo </w:t>
            </w:r>
          </w:p>
          <w:p w14:paraId="5B9FCE71" w14:textId="77777777" w:rsidR="00FE6B8B" w:rsidRPr="002423D6" w:rsidRDefault="00FE6B8B" w:rsidP="00993DF0">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FE6B8B" w:rsidRPr="002423D6" w14:paraId="025C9A83" w14:textId="77777777" w:rsidTr="00993DF0">
        <w:trPr>
          <w:trHeight w:val="300"/>
        </w:trPr>
        <w:tc>
          <w:tcPr>
            <w:tcW w:w="893" w:type="dxa"/>
            <w:vAlign w:val="center"/>
          </w:tcPr>
          <w:p w14:paraId="03136AE5" w14:textId="77777777" w:rsidR="00FE6B8B" w:rsidRPr="002423D6" w:rsidRDefault="00FE6B8B" w:rsidP="00993DF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F87EE1" w14:textId="77777777" w:rsidR="00FE6B8B" w:rsidRPr="002423D6" w:rsidRDefault="00FE6B8B" w:rsidP="00993DF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4A282D3F" w14:textId="77777777" w:rsidR="00FE6B8B" w:rsidRPr="002423D6" w:rsidRDefault="00FE6B8B" w:rsidP="00993DF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35A05826" w14:textId="77777777" w:rsidR="00FE6B8B" w:rsidRPr="00BD5990" w:rsidRDefault="00FE6B8B" w:rsidP="00FE6B8B"/>
    <w:p w14:paraId="0F293BF4" w14:textId="4EC20B97" w:rsidR="00127233" w:rsidRPr="00FE6B8B" w:rsidRDefault="00127233" w:rsidP="00FE6B8B"/>
    <w:sectPr w:rsidR="00127233" w:rsidRPr="00FE6B8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79142" w14:textId="77777777" w:rsidR="00BC4F4E" w:rsidRDefault="00BC4F4E" w:rsidP="004A1847">
      <w:pPr>
        <w:spacing w:after="0" w:line="240" w:lineRule="auto"/>
      </w:pPr>
      <w:r>
        <w:separator/>
      </w:r>
    </w:p>
  </w:endnote>
  <w:endnote w:type="continuationSeparator" w:id="0">
    <w:p w14:paraId="58821063" w14:textId="77777777" w:rsidR="00BC4F4E" w:rsidRDefault="00BC4F4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CBF37" w14:textId="77777777" w:rsidR="00BC4F4E" w:rsidRDefault="00BC4F4E" w:rsidP="004A1847">
      <w:pPr>
        <w:spacing w:after="0" w:line="240" w:lineRule="auto"/>
      </w:pPr>
      <w:r>
        <w:separator/>
      </w:r>
    </w:p>
  </w:footnote>
  <w:footnote w:type="continuationSeparator" w:id="0">
    <w:p w14:paraId="2058B0A8" w14:textId="77777777" w:rsidR="00BC4F4E" w:rsidRDefault="00BC4F4E" w:rsidP="004A1847">
      <w:pPr>
        <w:spacing w:after="0" w:line="240" w:lineRule="auto"/>
      </w:pPr>
      <w:r>
        <w:continuationSeparator/>
      </w:r>
    </w:p>
  </w:footnote>
  <w:footnote w:id="1">
    <w:p w14:paraId="6C40CD75" w14:textId="77777777" w:rsidR="00FE6B8B" w:rsidRPr="00F94100" w:rsidRDefault="00FE6B8B" w:rsidP="00FE6B8B">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F94100">
        <w:rPr>
          <w:rFonts w:ascii="Verdana" w:hAnsi="Verdana" w:cs="Arial"/>
          <w:sz w:val="16"/>
          <w:szCs w:val="16"/>
          <w:vertAlign w:val="superscript"/>
        </w:rPr>
        <w:footnoteRef/>
      </w:r>
      <w:r w:rsidRPr="00F94100">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0D16F725" w14:textId="77777777" w:rsidR="00FE6B8B" w:rsidRPr="00F94100" w:rsidRDefault="00FE6B8B" w:rsidP="00FE6B8B">
      <w:pPr>
        <w:pBdr>
          <w:top w:val="nil"/>
          <w:left w:val="nil"/>
          <w:bottom w:val="nil"/>
          <w:right w:val="nil"/>
          <w:between w:val="nil"/>
        </w:pBdr>
        <w:spacing w:after="0" w:line="240" w:lineRule="auto"/>
        <w:ind w:firstLine="282"/>
        <w:contextualSpacing/>
        <w:jc w:val="both"/>
        <w:rPr>
          <w:rFonts w:ascii="Verdana" w:eastAsia="Arial" w:hAnsi="Verdana" w:cs="Arial"/>
          <w:color w:val="000000"/>
          <w:sz w:val="16"/>
          <w:szCs w:val="16"/>
        </w:rPr>
      </w:pPr>
      <w:r w:rsidRPr="00F94100">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451400D0" w14:textId="77777777" w:rsidR="00FE6B8B" w:rsidRPr="00F94100" w:rsidRDefault="00FE6B8B" w:rsidP="00FE6B8B">
      <w:pPr>
        <w:pBdr>
          <w:top w:val="nil"/>
          <w:left w:val="nil"/>
          <w:bottom w:val="nil"/>
          <w:right w:val="nil"/>
          <w:between w:val="nil"/>
        </w:pBdr>
        <w:spacing w:after="0" w:line="240" w:lineRule="auto"/>
        <w:ind w:firstLine="282"/>
        <w:contextualSpacing/>
        <w:jc w:val="both"/>
        <w:rPr>
          <w:rFonts w:ascii="Verdana" w:eastAsia="Arial" w:hAnsi="Verdana" w:cs="Arial"/>
          <w:color w:val="000000"/>
          <w:sz w:val="16"/>
          <w:szCs w:val="16"/>
        </w:rPr>
      </w:pPr>
      <w:r w:rsidRPr="00F94100">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2B6FF226" w14:textId="77777777" w:rsidR="00FE6B8B" w:rsidRPr="00F94100" w:rsidRDefault="00FE6B8B" w:rsidP="00FE6B8B">
      <w:pPr>
        <w:pBdr>
          <w:top w:val="nil"/>
          <w:left w:val="nil"/>
          <w:bottom w:val="nil"/>
          <w:right w:val="nil"/>
          <w:between w:val="nil"/>
        </w:pBdr>
        <w:spacing w:after="0" w:line="240" w:lineRule="auto"/>
        <w:ind w:firstLine="282"/>
        <w:contextualSpacing/>
        <w:jc w:val="both"/>
        <w:rPr>
          <w:rFonts w:ascii="Verdana" w:eastAsia="Arial" w:hAnsi="Verdana" w:cs="Arial"/>
          <w:color w:val="000000"/>
          <w:sz w:val="16"/>
          <w:szCs w:val="16"/>
        </w:rPr>
      </w:pPr>
      <w:r w:rsidRPr="00F94100">
        <w:rPr>
          <w:rFonts w:ascii="Verdana" w:eastAsia="Arial" w:hAnsi="Verdana" w:cs="Arial"/>
          <w:color w:val="000000"/>
          <w:sz w:val="16"/>
          <w:szCs w:val="16"/>
        </w:rPr>
        <w:t>“ 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00A95355" w14:textId="77777777" w:rsidR="00FE6B8B" w:rsidRPr="00F94100" w:rsidRDefault="00FE6B8B" w:rsidP="00FE6B8B">
      <w:pPr>
        <w:pBdr>
          <w:top w:val="nil"/>
          <w:left w:val="nil"/>
          <w:bottom w:val="nil"/>
          <w:right w:val="nil"/>
          <w:between w:val="nil"/>
        </w:pBdr>
        <w:spacing w:after="0" w:line="240" w:lineRule="auto"/>
        <w:ind w:firstLine="426"/>
        <w:contextualSpacing/>
        <w:jc w:val="both"/>
        <w:rPr>
          <w:rFonts w:ascii="Verdana" w:eastAsia="Arial" w:hAnsi="Verdana" w:cs="Arial"/>
          <w:color w:val="000000"/>
          <w:sz w:val="16"/>
          <w:szCs w:val="16"/>
        </w:rPr>
      </w:pPr>
      <w:r w:rsidRPr="00F94100">
        <w:rPr>
          <w:rFonts w:ascii="Verdana" w:eastAsia="Arial" w:hAnsi="Verdana" w:cs="Arial"/>
          <w:color w:val="000000"/>
          <w:sz w:val="16"/>
          <w:szCs w:val="16"/>
        </w:rPr>
        <w:t>“ En caso de comparación de propuestas nacionales y extranjeras, se incluirán los costos necesarios para la entrega del producto terminado en el lugar de su utilización”.</w:t>
      </w:r>
    </w:p>
  </w:footnote>
  <w:footnote w:id="2">
    <w:p w14:paraId="7AEE87D7" w14:textId="77777777" w:rsidR="00FE6B8B" w:rsidRPr="008169EB" w:rsidRDefault="00FE6B8B" w:rsidP="00FE6B8B">
      <w:pPr>
        <w:pStyle w:val="Textonotapie"/>
        <w:ind w:firstLine="426"/>
        <w:jc w:val="both"/>
        <w:rPr>
          <w:rFonts w:ascii="Verdana" w:hAnsi="Verdana"/>
          <w:sz w:val="16"/>
          <w:szCs w:val="16"/>
          <w:lang w:val="es-CO"/>
        </w:rPr>
      </w:pPr>
      <w:r w:rsidRPr="008169EB">
        <w:rPr>
          <w:rStyle w:val="Refdenotaalpie"/>
          <w:rFonts w:ascii="Verdana" w:hAnsi="Verdana"/>
          <w:sz w:val="16"/>
          <w:szCs w:val="16"/>
        </w:rPr>
        <w:footnoteRef/>
      </w:r>
      <w:r w:rsidRPr="008169EB">
        <w:rPr>
          <w:rFonts w:ascii="Verdana" w:hAnsi="Verdana"/>
          <w:sz w:val="16"/>
          <w:szCs w:val="16"/>
        </w:rPr>
        <w:t xml:space="preserve"> </w:t>
      </w:r>
      <w:r w:rsidRPr="008169EB">
        <w:rPr>
          <w:rFonts w:ascii="Verdana" w:hAnsi="Verdana"/>
          <w:sz w:val="16"/>
          <w:szCs w:val="16"/>
          <w:lang w:val="es-ES"/>
        </w:rPr>
        <w:t>“</w:t>
      </w:r>
      <w:r w:rsidRPr="008169EB">
        <w:rPr>
          <w:rFonts w:ascii="Verdana" w:hAnsi="Verdana"/>
          <w:sz w:val="16"/>
          <w:szCs w:val="16"/>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2BDE4A81" w14:textId="77777777" w:rsidR="00FE6B8B" w:rsidRPr="008169EB" w:rsidRDefault="00FE6B8B" w:rsidP="00FE6B8B">
      <w:pPr>
        <w:pStyle w:val="Textonotapie"/>
        <w:jc w:val="both"/>
        <w:rPr>
          <w:rFonts w:ascii="Verdana" w:hAnsi="Verdana"/>
          <w:sz w:val="16"/>
          <w:szCs w:val="16"/>
          <w:lang w:val="es-CO"/>
        </w:rPr>
      </w:pPr>
      <w:r w:rsidRPr="008169EB">
        <w:rPr>
          <w:rFonts w:ascii="Verdana" w:hAnsi="Verdana"/>
          <w:sz w:val="16"/>
          <w:szCs w:val="16"/>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09DCFE93" w14:textId="77777777" w:rsidR="00FE6B8B" w:rsidRPr="008169EB" w:rsidRDefault="00FE6B8B" w:rsidP="00FE6B8B">
      <w:pPr>
        <w:ind w:firstLine="567"/>
        <w:jc w:val="both"/>
        <w:rPr>
          <w:rFonts w:ascii="Verdana" w:hAnsi="Verdana"/>
          <w:sz w:val="16"/>
          <w:szCs w:val="16"/>
          <w:lang w:val="es-MX"/>
        </w:rPr>
      </w:pPr>
      <w:r w:rsidRPr="008169EB">
        <w:rPr>
          <w:rStyle w:val="Refdenotaalpie"/>
          <w:rFonts w:ascii="Verdana" w:hAnsi="Verdana"/>
          <w:sz w:val="16"/>
          <w:szCs w:val="16"/>
        </w:rPr>
        <w:footnoteRef/>
      </w:r>
      <w:r w:rsidRPr="008169EB">
        <w:rPr>
          <w:rFonts w:ascii="Verdana" w:hAnsi="Verdana"/>
          <w:sz w:val="16"/>
          <w:szCs w:val="16"/>
        </w:rPr>
        <w:t xml:space="preserve"> </w:t>
      </w:r>
      <w:r w:rsidRPr="008169EB">
        <w:rPr>
          <w:rFonts w:ascii="Verdana" w:hAnsi="Verdana"/>
          <w:sz w:val="16"/>
          <w:szCs w:val="16"/>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4">
    <w:p w14:paraId="7E1EFA5B" w14:textId="77777777" w:rsidR="00FE6B8B" w:rsidRPr="008169EB" w:rsidRDefault="00FE6B8B" w:rsidP="00FE6B8B">
      <w:pPr>
        <w:pStyle w:val="Textonotapie"/>
        <w:ind w:firstLine="567"/>
        <w:jc w:val="both"/>
        <w:rPr>
          <w:rFonts w:ascii="Verdana" w:hAnsi="Verdana"/>
          <w:sz w:val="16"/>
          <w:szCs w:val="16"/>
          <w:lang w:val="es-CO"/>
        </w:rPr>
      </w:pPr>
      <w:r w:rsidRPr="008169EB">
        <w:rPr>
          <w:rStyle w:val="Refdenotaalpie"/>
          <w:rFonts w:ascii="Verdana" w:hAnsi="Verdana"/>
          <w:sz w:val="16"/>
          <w:szCs w:val="16"/>
        </w:rPr>
        <w:footnoteRef/>
      </w:r>
      <w:r w:rsidRPr="008169EB">
        <w:rPr>
          <w:rFonts w:ascii="Verdana" w:hAnsi="Verdana"/>
          <w:sz w:val="16"/>
          <w:szCs w:val="16"/>
        </w:rPr>
        <w:t xml:space="preserve"> Según este parágrafo</w:t>
      </w:r>
      <w:r w:rsidRPr="008169EB">
        <w:rPr>
          <w:rFonts w:ascii="Verdana" w:hAnsi="Verdana" w:cs="Arial"/>
          <w:color w:val="000000" w:themeColor="text1"/>
          <w:sz w:val="16"/>
          <w:szCs w:val="16"/>
          <w:lang w:val="es-ES_tradnl"/>
        </w:rPr>
        <w:t xml:space="preserve"> </w:t>
      </w:r>
      <w:r w:rsidRPr="008169EB">
        <w:rPr>
          <w:rFonts w:ascii="Verdana" w:hAnsi="Verdana"/>
          <w:sz w:val="16"/>
          <w:szCs w:val="16"/>
          <w:lang w:val="es-ES_tradnl"/>
        </w:rPr>
        <w:t>las certificaciones de sistemas de gestión de calidad no serán objeto de calificación, ni podrán establecerse como documento habilitante para participar en licitaciones o concursos.</w:t>
      </w:r>
      <w:r w:rsidRPr="008169EB">
        <w:rPr>
          <w:rFonts w:ascii="Verdana" w:hAnsi="Verdana"/>
          <w:sz w:val="16"/>
          <w:szCs w:val="16"/>
        </w:rPr>
        <w:t xml:space="preserve"> </w:t>
      </w:r>
    </w:p>
  </w:footnote>
  <w:footnote w:id="5">
    <w:p w14:paraId="057774AA" w14:textId="77777777" w:rsidR="00FE6B8B" w:rsidRPr="008169EB" w:rsidRDefault="00FE6B8B" w:rsidP="00FE6B8B">
      <w:pPr>
        <w:pStyle w:val="Textonotapie"/>
        <w:ind w:firstLine="567"/>
        <w:jc w:val="both"/>
        <w:rPr>
          <w:rFonts w:ascii="Verdana" w:hAnsi="Verdana"/>
          <w:sz w:val="16"/>
          <w:szCs w:val="16"/>
          <w:lang w:val="es-CO"/>
        </w:rPr>
      </w:pPr>
      <w:r w:rsidRPr="008169EB">
        <w:rPr>
          <w:rStyle w:val="Refdenotaalpie"/>
          <w:rFonts w:ascii="Verdana" w:hAnsi="Verdana"/>
          <w:sz w:val="16"/>
          <w:szCs w:val="16"/>
        </w:rPr>
        <w:footnoteRef/>
      </w:r>
      <w:r w:rsidRPr="008169EB">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6">
    <w:p w14:paraId="52C35E1F" w14:textId="77777777" w:rsidR="00FE6B8B" w:rsidRPr="008169EB" w:rsidRDefault="00FE6B8B" w:rsidP="00FE6B8B">
      <w:pPr>
        <w:pStyle w:val="Textonotapie"/>
        <w:ind w:firstLine="567"/>
        <w:jc w:val="both"/>
        <w:rPr>
          <w:rFonts w:ascii="Verdana" w:hAnsi="Verdana"/>
          <w:sz w:val="16"/>
          <w:szCs w:val="16"/>
          <w:lang w:val="es-CO"/>
        </w:rPr>
      </w:pPr>
      <w:r w:rsidRPr="008169EB">
        <w:rPr>
          <w:rStyle w:val="Refdenotaalpie"/>
          <w:rFonts w:ascii="Verdana" w:hAnsi="Verdana"/>
          <w:sz w:val="16"/>
          <w:szCs w:val="16"/>
        </w:rPr>
        <w:footnoteRef/>
      </w:r>
      <w:r w:rsidRPr="008169EB">
        <w:rPr>
          <w:rFonts w:ascii="Verdana" w:hAnsi="Verdana"/>
          <w:sz w:val="16"/>
          <w:szCs w:val="16"/>
        </w:rPr>
        <w:t xml:space="preserve"> Decreto ley 770 de 2005: “</w:t>
      </w:r>
      <w:r w:rsidRPr="008169EB">
        <w:rPr>
          <w:rFonts w:ascii="Verdana" w:hAnsi="Verdana"/>
          <w:sz w:val="16"/>
          <w:szCs w:val="16"/>
          <w:lang w:val="es-CO"/>
        </w:rPr>
        <w:t>Artículo</w:t>
      </w:r>
      <w:bookmarkStart w:id="9" w:name="1"/>
      <w:r w:rsidRPr="008169EB">
        <w:rPr>
          <w:rFonts w:ascii="Verdana" w:hAnsi="Verdana"/>
          <w:sz w:val="16"/>
          <w:szCs w:val="16"/>
          <w:lang w:val="es-CO"/>
        </w:rPr>
        <w:t> </w:t>
      </w:r>
      <w:bookmarkEnd w:id="9"/>
      <w:r w:rsidRPr="008169EB">
        <w:rPr>
          <w:rFonts w:ascii="Verdana" w:hAnsi="Verdana"/>
          <w:sz w:val="16"/>
          <w:szCs w:val="16"/>
          <w:lang w:val="es-CO"/>
        </w:rPr>
        <w:t>1º. Ámbito de aplicación. El presente decreto establece el sistema de funciones y de requisitos generales que regirá para los empleos públicos pertenecientes a los Ministerios, Departamentos Administrativos, Superintendencias, Establecimientos Públicos, Unidades Administrativas Especiales, Corporaciones Autónomas Regionales y de Desarrollo Sostenible, Entes Universitarios Autónomos, Empresas Sociales del Estado, Empresas Industriales y Comerciales del Estado y Sociedades de Economía Mixta sometidas al régimen de dichas empresas, del Orden Nacional.</w:t>
      </w:r>
    </w:p>
    <w:p w14:paraId="2BFEA63A" w14:textId="77777777" w:rsidR="00FE6B8B" w:rsidRPr="008169EB" w:rsidRDefault="00FE6B8B" w:rsidP="00FE6B8B">
      <w:pPr>
        <w:pStyle w:val="Textonotapie"/>
        <w:ind w:firstLine="567"/>
        <w:jc w:val="both"/>
        <w:rPr>
          <w:rFonts w:ascii="Verdana" w:hAnsi="Verdana"/>
          <w:sz w:val="16"/>
          <w:szCs w:val="16"/>
          <w:lang w:val="es-CO"/>
        </w:rPr>
      </w:pPr>
      <w:r w:rsidRPr="008169EB">
        <w:rPr>
          <w:rFonts w:ascii="Verdana" w:hAnsi="Verdana"/>
          <w:sz w:val="16"/>
          <w:szCs w:val="16"/>
          <w:lang w:val="es-CO"/>
        </w:rPr>
        <w:t>Las disposiciones contenidas en el presente decreto serán aplicables, igualmente, a las entidades que teniendo sistemas especiales de nomenclatura y clasificación de empleos, se rigen por las disposiciones contenidas en la Ley 909 de 2004, así como para aquellas que están sometidas a un sistema específico de carrera.</w:t>
      </w:r>
    </w:p>
    <w:p w14:paraId="633BC62D" w14:textId="77777777" w:rsidR="00FE6B8B" w:rsidRPr="008169EB" w:rsidRDefault="00FE6B8B" w:rsidP="00FE6B8B">
      <w:pPr>
        <w:pStyle w:val="Textonotapie"/>
        <w:ind w:firstLine="567"/>
        <w:jc w:val="both"/>
        <w:rPr>
          <w:rFonts w:ascii="Verdana" w:hAnsi="Verdana"/>
          <w:sz w:val="16"/>
          <w:szCs w:val="16"/>
          <w:lang w:val="es-CO"/>
        </w:rPr>
      </w:pPr>
      <w:r w:rsidRPr="008169EB">
        <w:rPr>
          <w:rFonts w:ascii="Verdana" w:hAnsi="Verdana"/>
          <w:sz w:val="16"/>
          <w:szCs w:val="16"/>
          <w:lang w:val="es-CO"/>
        </w:rPr>
        <w:t>El presente decreto no se aplica a los organismos y entidades cuyas funciones y requisitos están o sean definidas por la Constitución o la ley”.</w:t>
      </w:r>
    </w:p>
    <w:p w14:paraId="072E94A7" w14:textId="77777777" w:rsidR="00FE6B8B" w:rsidRPr="008169EB" w:rsidRDefault="00FE6B8B" w:rsidP="00FE6B8B">
      <w:pPr>
        <w:pStyle w:val="Textonotapie"/>
        <w:ind w:firstLine="567"/>
        <w:jc w:val="both"/>
        <w:rPr>
          <w:rFonts w:ascii="Verdana" w:hAnsi="Verdana"/>
          <w:sz w:val="16"/>
          <w:szCs w:val="16"/>
        </w:rPr>
      </w:pPr>
      <w:r w:rsidRPr="008169EB">
        <w:rPr>
          <w:rFonts w:ascii="Verdana" w:hAnsi="Verdana"/>
          <w:sz w:val="16"/>
          <w:szCs w:val="16"/>
        </w:rPr>
        <w:t xml:space="preserve"> </w:t>
      </w:r>
    </w:p>
  </w:footnote>
  <w:footnote w:id="7">
    <w:p w14:paraId="21097827" w14:textId="77777777" w:rsidR="00FE6B8B" w:rsidRPr="008169EB" w:rsidRDefault="00FE6B8B" w:rsidP="00FE6B8B">
      <w:pPr>
        <w:pStyle w:val="Textonotapie"/>
        <w:ind w:firstLine="567"/>
        <w:jc w:val="both"/>
        <w:rPr>
          <w:rFonts w:ascii="Verdana" w:hAnsi="Verdana"/>
          <w:sz w:val="16"/>
          <w:szCs w:val="16"/>
        </w:rPr>
      </w:pPr>
      <w:r w:rsidRPr="008169EB">
        <w:rPr>
          <w:rStyle w:val="Refdenotaalpie"/>
          <w:rFonts w:ascii="Verdana" w:hAnsi="Verdana"/>
          <w:sz w:val="16"/>
          <w:szCs w:val="16"/>
        </w:rPr>
        <w:footnoteRef/>
      </w:r>
      <w:r w:rsidRPr="008169EB">
        <w:rPr>
          <w:rFonts w:ascii="Verdana" w:hAnsi="Verdana"/>
          <w:sz w:val="16"/>
          <w:szCs w:val="16"/>
        </w:rPr>
        <w:t xml:space="preserve"> Decreto ley 785 de 2005: “</w:t>
      </w:r>
      <w:r w:rsidRPr="008169EB">
        <w:rPr>
          <w:rFonts w:ascii="Verdana" w:hAnsi="Verdana"/>
          <w:sz w:val="16"/>
          <w:szCs w:val="16"/>
          <w:lang w:val="es-CO"/>
        </w:rPr>
        <w:t>Artículo 1. Ámbito de aplicación. El presente decreto establece el sistema de nomenclatura, clasificación de empleos, de funciones y de requisitos generales de los cargos de las entidades territoriales”.</w:t>
      </w:r>
      <w:r w:rsidRPr="008169EB">
        <w:rPr>
          <w:rFonts w:ascii="Verdana" w:hAnsi="Verdana"/>
          <w:sz w:val="16"/>
          <w:szCs w:val="16"/>
        </w:rPr>
        <w:t xml:space="preserve"> </w:t>
      </w:r>
    </w:p>
    <w:p w14:paraId="03532D77" w14:textId="77777777" w:rsidR="00FE6B8B" w:rsidRDefault="00FE6B8B" w:rsidP="00FE6B8B">
      <w:pPr>
        <w:pStyle w:val="Textonotapie"/>
        <w:ind w:firstLine="567"/>
      </w:pPr>
    </w:p>
  </w:footnote>
  <w:footnote w:id="8">
    <w:p w14:paraId="2903D1AC" w14:textId="77777777" w:rsidR="00FE6B8B" w:rsidRPr="008169EB" w:rsidRDefault="00FE6B8B" w:rsidP="00FE6B8B">
      <w:pPr>
        <w:pStyle w:val="Textonotapie"/>
        <w:spacing w:after="120"/>
        <w:ind w:firstLine="567"/>
        <w:jc w:val="both"/>
        <w:rPr>
          <w:rFonts w:ascii="Verdana" w:eastAsia="Calibri" w:hAnsi="Verdana" w:cs="Arial"/>
          <w:color w:val="000000"/>
          <w:sz w:val="16"/>
          <w:szCs w:val="16"/>
        </w:rPr>
      </w:pPr>
      <w:r w:rsidRPr="008169EB">
        <w:rPr>
          <w:rStyle w:val="Refdenotaalpie"/>
          <w:rFonts w:ascii="Verdana" w:hAnsi="Verdana"/>
          <w:sz w:val="16"/>
          <w:szCs w:val="16"/>
        </w:rPr>
        <w:footnoteRef/>
      </w:r>
      <w:r w:rsidRPr="008169EB">
        <w:rPr>
          <w:rFonts w:ascii="Verdana" w:hAnsi="Verdana"/>
          <w:sz w:val="16"/>
          <w:szCs w:val="16"/>
        </w:rPr>
        <w:t xml:space="preserve"> </w:t>
      </w:r>
      <w:r w:rsidRPr="008169EB">
        <w:rPr>
          <w:rFonts w:ascii="Verdana" w:eastAsia="Calibri" w:hAnsi="Verdana" w:cs="Arial"/>
          <w:color w:val="000000"/>
          <w:sz w:val="16"/>
          <w:szCs w:val="16"/>
        </w:rPr>
        <w:t>Decreto 1083 de 2015: “Artículo 2.1.1.1 Objeto. El presente decreto compila en un sólo cuerpo normativo los decretos reglamentarios vigentes de competencia del sector de la función pública, incluidos los atinentes a las siguientes materias: empleo público; funciones, competencias y requisitos generales para los empleos públicos de los distintos niveles jerárquicos de los organismos y entidades del orden nacional y territorial; administración de personal, situaciones administrativas; capacitación; sistema de estímulos; retiro del servicio; reformas de las plantas de empleos; gerencia pública; comisiones de personal; Sistema de Información y Gestión del Empleo Público - SIGEP; sistemas específicos de carrera de la Unidad Administrativa Especial Dirección de Impuestos y Aduanas Nacionales, DIAN, de las Superintendencias y de la Unidad Administrativa Especial de Aeronáutica Civil, AEROCIVIL; Sistema de Control Interno; Modelo Integrado de Planeación y Gestión; Sistema de Gestión de Calidad; Trámites; Premio Nacional de Alta Gerencia y Banco de Éxitos; régimen de los servidores de las sociedades de economía mixta en las cuales el aporte de la Nación, entidades territoriales y entidades descentralizadas, sea igual o superior al noventa por ciento (90%) del capital social, estándares mínimos para elección de personeros municipales; designación de los directores o gerentes regionales o seccionales o quienes hagan sus veces en los establecimientos públicos de la Rama Ejecutiva del orden nacional; designación del comisionado de la Comisión Nacional del Servicio Civil; normas relativas al trabajador oficiales; y cesantías para los Congresistas.</w:t>
      </w:r>
    </w:p>
    <w:p w14:paraId="128F8A1B" w14:textId="77777777" w:rsidR="00FE6B8B" w:rsidRDefault="00FE6B8B" w:rsidP="00FE6B8B">
      <w:pPr>
        <w:pStyle w:val="Textonotapie"/>
        <w:ind w:firstLine="567"/>
        <w:jc w:val="both"/>
      </w:pPr>
      <w:r w:rsidRPr="008169EB">
        <w:rPr>
          <w:rFonts w:ascii="Verdana" w:eastAsia="Calibri" w:hAnsi="Verdana" w:cs="Arial"/>
          <w:color w:val="000000"/>
          <w:sz w:val="16"/>
          <w:szCs w:val="16"/>
        </w:rPr>
        <w:t>Artículo 2.1.1.2 Ámbito de Aplicación: Las disposiciones contenidas en el presente decreto son aplicables a las entidades de la Rama Ejecutiva del poder público, de acuerdo con la determinación específica que se haga en cada Título de la Parte 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85pt;height:14.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21024868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BCD"/>
    <w:rsid w:val="0001063B"/>
    <w:rsid w:val="000121E6"/>
    <w:rsid w:val="00016F78"/>
    <w:rsid w:val="000423EC"/>
    <w:rsid w:val="00046945"/>
    <w:rsid w:val="00050DEB"/>
    <w:rsid w:val="0005284F"/>
    <w:rsid w:val="000534A2"/>
    <w:rsid w:val="00061B2A"/>
    <w:rsid w:val="00082362"/>
    <w:rsid w:val="000840A6"/>
    <w:rsid w:val="000879C3"/>
    <w:rsid w:val="000A596E"/>
    <w:rsid w:val="000A683E"/>
    <w:rsid w:val="000B19B9"/>
    <w:rsid w:val="000B5538"/>
    <w:rsid w:val="000D0334"/>
    <w:rsid w:val="000D2ED8"/>
    <w:rsid w:val="000D5DA7"/>
    <w:rsid w:val="000F6486"/>
    <w:rsid w:val="00104995"/>
    <w:rsid w:val="00115D9D"/>
    <w:rsid w:val="00116940"/>
    <w:rsid w:val="00125105"/>
    <w:rsid w:val="00125CED"/>
    <w:rsid w:val="00126F13"/>
    <w:rsid w:val="00127233"/>
    <w:rsid w:val="0012770F"/>
    <w:rsid w:val="001309FB"/>
    <w:rsid w:val="00131147"/>
    <w:rsid w:val="00145F44"/>
    <w:rsid w:val="001517C0"/>
    <w:rsid w:val="0015699B"/>
    <w:rsid w:val="00160058"/>
    <w:rsid w:val="00160F79"/>
    <w:rsid w:val="00166A88"/>
    <w:rsid w:val="001861BB"/>
    <w:rsid w:val="0018625E"/>
    <w:rsid w:val="001A33BF"/>
    <w:rsid w:val="001A3FF6"/>
    <w:rsid w:val="001B1C8E"/>
    <w:rsid w:val="001B6B7F"/>
    <w:rsid w:val="001D20DF"/>
    <w:rsid w:val="001E22A4"/>
    <w:rsid w:val="001E4177"/>
    <w:rsid w:val="001F0B24"/>
    <w:rsid w:val="001F7DC6"/>
    <w:rsid w:val="00201B8B"/>
    <w:rsid w:val="00204B46"/>
    <w:rsid w:val="0020641F"/>
    <w:rsid w:val="00210578"/>
    <w:rsid w:val="00213A48"/>
    <w:rsid w:val="002211EC"/>
    <w:rsid w:val="0022331B"/>
    <w:rsid w:val="0022400B"/>
    <w:rsid w:val="00226522"/>
    <w:rsid w:val="00233FD3"/>
    <w:rsid w:val="002421BB"/>
    <w:rsid w:val="0025796E"/>
    <w:rsid w:val="002614BF"/>
    <w:rsid w:val="00263E23"/>
    <w:rsid w:val="002707A2"/>
    <w:rsid w:val="00274ED7"/>
    <w:rsid w:val="00281975"/>
    <w:rsid w:val="00294904"/>
    <w:rsid w:val="002951A0"/>
    <w:rsid w:val="002962BC"/>
    <w:rsid w:val="002A066F"/>
    <w:rsid w:val="002A093D"/>
    <w:rsid w:val="002A0DD0"/>
    <w:rsid w:val="002A49AC"/>
    <w:rsid w:val="002A55D7"/>
    <w:rsid w:val="002A64FD"/>
    <w:rsid w:val="002B5E0F"/>
    <w:rsid w:val="002C122B"/>
    <w:rsid w:val="002C4B90"/>
    <w:rsid w:val="002C7A84"/>
    <w:rsid w:val="002D3FEE"/>
    <w:rsid w:val="002E212D"/>
    <w:rsid w:val="002E2BF8"/>
    <w:rsid w:val="002E4FD9"/>
    <w:rsid w:val="002F768E"/>
    <w:rsid w:val="002F7E64"/>
    <w:rsid w:val="003018DE"/>
    <w:rsid w:val="0030657A"/>
    <w:rsid w:val="00322A85"/>
    <w:rsid w:val="00324168"/>
    <w:rsid w:val="003242CF"/>
    <w:rsid w:val="00330834"/>
    <w:rsid w:val="00333DA0"/>
    <w:rsid w:val="003448F4"/>
    <w:rsid w:val="003470BE"/>
    <w:rsid w:val="00350EDA"/>
    <w:rsid w:val="003618B8"/>
    <w:rsid w:val="00365FE4"/>
    <w:rsid w:val="00366458"/>
    <w:rsid w:val="00367B14"/>
    <w:rsid w:val="0037096B"/>
    <w:rsid w:val="00374F5E"/>
    <w:rsid w:val="00377E3E"/>
    <w:rsid w:val="003870AC"/>
    <w:rsid w:val="00392D15"/>
    <w:rsid w:val="003A002D"/>
    <w:rsid w:val="003A72E4"/>
    <w:rsid w:val="003A779E"/>
    <w:rsid w:val="003B76CE"/>
    <w:rsid w:val="003C7F1A"/>
    <w:rsid w:val="003D0F4D"/>
    <w:rsid w:val="003D5B0D"/>
    <w:rsid w:val="003D74C6"/>
    <w:rsid w:val="003E0499"/>
    <w:rsid w:val="003E4F80"/>
    <w:rsid w:val="003E6439"/>
    <w:rsid w:val="003F1006"/>
    <w:rsid w:val="003F3941"/>
    <w:rsid w:val="003F5640"/>
    <w:rsid w:val="004000D3"/>
    <w:rsid w:val="0040170A"/>
    <w:rsid w:val="00406575"/>
    <w:rsid w:val="00414C74"/>
    <w:rsid w:val="00421522"/>
    <w:rsid w:val="00422033"/>
    <w:rsid w:val="0042722E"/>
    <w:rsid w:val="00431FBF"/>
    <w:rsid w:val="0044528D"/>
    <w:rsid w:val="00466E39"/>
    <w:rsid w:val="00492E96"/>
    <w:rsid w:val="0049750F"/>
    <w:rsid w:val="004A1847"/>
    <w:rsid w:val="004A1CE4"/>
    <w:rsid w:val="004A305D"/>
    <w:rsid w:val="004A44ED"/>
    <w:rsid w:val="004C7C19"/>
    <w:rsid w:val="004F21C4"/>
    <w:rsid w:val="004F685F"/>
    <w:rsid w:val="004F70F6"/>
    <w:rsid w:val="00503790"/>
    <w:rsid w:val="005058B7"/>
    <w:rsid w:val="0051125C"/>
    <w:rsid w:val="00511508"/>
    <w:rsid w:val="0051159D"/>
    <w:rsid w:val="005148B4"/>
    <w:rsid w:val="005301EB"/>
    <w:rsid w:val="005302F3"/>
    <w:rsid w:val="0053146A"/>
    <w:rsid w:val="00535B1E"/>
    <w:rsid w:val="005566E8"/>
    <w:rsid w:val="00574867"/>
    <w:rsid w:val="00591460"/>
    <w:rsid w:val="00596A67"/>
    <w:rsid w:val="00597B63"/>
    <w:rsid w:val="005A2121"/>
    <w:rsid w:val="005A65E0"/>
    <w:rsid w:val="005A720B"/>
    <w:rsid w:val="005B0701"/>
    <w:rsid w:val="005B6C4A"/>
    <w:rsid w:val="005C3777"/>
    <w:rsid w:val="005C5CDC"/>
    <w:rsid w:val="005D3EC1"/>
    <w:rsid w:val="005D476C"/>
    <w:rsid w:val="005F78EC"/>
    <w:rsid w:val="006200BF"/>
    <w:rsid w:val="006219F8"/>
    <w:rsid w:val="006302F7"/>
    <w:rsid w:val="00646B9F"/>
    <w:rsid w:val="006555B5"/>
    <w:rsid w:val="006560FF"/>
    <w:rsid w:val="00665D70"/>
    <w:rsid w:val="00670A7B"/>
    <w:rsid w:val="006767B5"/>
    <w:rsid w:val="00680737"/>
    <w:rsid w:val="006900D9"/>
    <w:rsid w:val="006B0A24"/>
    <w:rsid w:val="006B19E1"/>
    <w:rsid w:val="006C63CE"/>
    <w:rsid w:val="006D03D0"/>
    <w:rsid w:val="006D142B"/>
    <w:rsid w:val="006D1B2F"/>
    <w:rsid w:val="006D54EF"/>
    <w:rsid w:val="006E4450"/>
    <w:rsid w:val="006E6E16"/>
    <w:rsid w:val="006F0731"/>
    <w:rsid w:val="00706C16"/>
    <w:rsid w:val="007143B8"/>
    <w:rsid w:val="0072465C"/>
    <w:rsid w:val="007246C6"/>
    <w:rsid w:val="007340C3"/>
    <w:rsid w:val="00734E0C"/>
    <w:rsid w:val="0074247D"/>
    <w:rsid w:val="00744B26"/>
    <w:rsid w:val="0075235A"/>
    <w:rsid w:val="00754AC6"/>
    <w:rsid w:val="00756841"/>
    <w:rsid w:val="00760F91"/>
    <w:rsid w:val="00764258"/>
    <w:rsid w:val="007649AB"/>
    <w:rsid w:val="00767398"/>
    <w:rsid w:val="00771D0C"/>
    <w:rsid w:val="00774197"/>
    <w:rsid w:val="007833AC"/>
    <w:rsid w:val="00787C93"/>
    <w:rsid w:val="00790580"/>
    <w:rsid w:val="00790AA2"/>
    <w:rsid w:val="007A1A27"/>
    <w:rsid w:val="007B268C"/>
    <w:rsid w:val="007B7171"/>
    <w:rsid w:val="007C0C0F"/>
    <w:rsid w:val="007C3DC2"/>
    <w:rsid w:val="007D584B"/>
    <w:rsid w:val="007D666A"/>
    <w:rsid w:val="007E5497"/>
    <w:rsid w:val="007E6426"/>
    <w:rsid w:val="007F133F"/>
    <w:rsid w:val="007F748F"/>
    <w:rsid w:val="00806F5F"/>
    <w:rsid w:val="008169EB"/>
    <w:rsid w:val="00820278"/>
    <w:rsid w:val="00824C91"/>
    <w:rsid w:val="008258C9"/>
    <w:rsid w:val="0083614D"/>
    <w:rsid w:val="00840129"/>
    <w:rsid w:val="00844AE9"/>
    <w:rsid w:val="00867F95"/>
    <w:rsid w:val="00870775"/>
    <w:rsid w:val="008764B2"/>
    <w:rsid w:val="0088322D"/>
    <w:rsid w:val="008843B6"/>
    <w:rsid w:val="00885385"/>
    <w:rsid w:val="00891928"/>
    <w:rsid w:val="008A446D"/>
    <w:rsid w:val="008B1970"/>
    <w:rsid w:val="008B25F1"/>
    <w:rsid w:val="008B384F"/>
    <w:rsid w:val="008D180B"/>
    <w:rsid w:val="008E1C9D"/>
    <w:rsid w:val="008F0EA7"/>
    <w:rsid w:val="008F356C"/>
    <w:rsid w:val="00901973"/>
    <w:rsid w:val="00912A3D"/>
    <w:rsid w:val="009170FE"/>
    <w:rsid w:val="00920C98"/>
    <w:rsid w:val="00923EEF"/>
    <w:rsid w:val="009264C3"/>
    <w:rsid w:val="00932D7F"/>
    <w:rsid w:val="00934669"/>
    <w:rsid w:val="00935D7B"/>
    <w:rsid w:val="009419F9"/>
    <w:rsid w:val="009503DB"/>
    <w:rsid w:val="0095685E"/>
    <w:rsid w:val="00961B09"/>
    <w:rsid w:val="00965334"/>
    <w:rsid w:val="0097093E"/>
    <w:rsid w:val="00972ACE"/>
    <w:rsid w:val="00973BFF"/>
    <w:rsid w:val="00980145"/>
    <w:rsid w:val="009A0DFA"/>
    <w:rsid w:val="009A1C6F"/>
    <w:rsid w:val="009B2D26"/>
    <w:rsid w:val="009B3491"/>
    <w:rsid w:val="009C71FA"/>
    <w:rsid w:val="009C72BA"/>
    <w:rsid w:val="009C72E7"/>
    <w:rsid w:val="009C7F7E"/>
    <w:rsid w:val="009D3058"/>
    <w:rsid w:val="009F3A13"/>
    <w:rsid w:val="00A0213F"/>
    <w:rsid w:val="00A122D3"/>
    <w:rsid w:val="00A12CE6"/>
    <w:rsid w:val="00A14468"/>
    <w:rsid w:val="00A17F13"/>
    <w:rsid w:val="00A20739"/>
    <w:rsid w:val="00A23AF9"/>
    <w:rsid w:val="00A24323"/>
    <w:rsid w:val="00A33C78"/>
    <w:rsid w:val="00A3585F"/>
    <w:rsid w:val="00A65ED3"/>
    <w:rsid w:val="00A8113B"/>
    <w:rsid w:val="00AA1780"/>
    <w:rsid w:val="00AA7C1A"/>
    <w:rsid w:val="00AB0ADB"/>
    <w:rsid w:val="00AB4D17"/>
    <w:rsid w:val="00AD32FA"/>
    <w:rsid w:val="00AD6424"/>
    <w:rsid w:val="00AE1512"/>
    <w:rsid w:val="00AE2F40"/>
    <w:rsid w:val="00B00C0E"/>
    <w:rsid w:val="00B01B1A"/>
    <w:rsid w:val="00B01F67"/>
    <w:rsid w:val="00B0381D"/>
    <w:rsid w:val="00B073B0"/>
    <w:rsid w:val="00B132E9"/>
    <w:rsid w:val="00B168F4"/>
    <w:rsid w:val="00B323D0"/>
    <w:rsid w:val="00B36B98"/>
    <w:rsid w:val="00B40A62"/>
    <w:rsid w:val="00B44A47"/>
    <w:rsid w:val="00B45917"/>
    <w:rsid w:val="00B61CA8"/>
    <w:rsid w:val="00B72CD3"/>
    <w:rsid w:val="00B72FFF"/>
    <w:rsid w:val="00B76F80"/>
    <w:rsid w:val="00B93466"/>
    <w:rsid w:val="00BA0F31"/>
    <w:rsid w:val="00BA328E"/>
    <w:rsid w:val="00BC3D36"/>
    <w:rsid w:val="00BC4F4E"/>
    <w:rsid w:val="00BD54A6"/>
    <w:rsid w:val="00BD5990"/>
    <w:rsid w:val="00BD79EE"/>
    <w:rsid w:val="00BD7F72"/>
    <w:rsid w:val="00BE2183"/>
    <w:rsid w:val="00BF3F72"/>
    <w:rsid w:val="00BF4BC7"/>
    <w:rsid w:val="00BF69C2"/>
    <w:rsid w:val="00BF7425"/>
    <w:rsid w:val="00BF7D98"/>
    <w:rsid w:val="00C04FB3"/>
    <w:rsid w:val="00C11D8B"/>
    <w:rsid w:val="00C15139"/>
    <w:rsid w:val="00C330EB"/>
    <w:rsid w:val="00C4520F"/>
    <w:rsid w:val="00C50D69"/>
    <w:rsid w:val="00C5365C"/>
    <w:rsid w:val="00C642FB"/>
    <w:rsid w:val="00C64800"/>
    <w:rsid w:val="00C71A16"/>
    <w:rsid w:val="00C723CF"/>
    <w:rsid w:val="00C73288"/>
    <w:rsid w:val="00C754BE"/>
    <w:rsid w:val="00C759FB"/>
    <w:rsid w:val="00C76B1C"/>
    <w:rsid w:val="00C819CA"/>
    <w:rsid w:val="00C81CF5"/>
    <w:rsid w:val="00C925AC"/>
    <w:rsid w:val="00C95997"/>
    <w:rsid w:val="00CA14C9"/>
    <w:rsid w:val="00CB1CD2"/>
    <w:rsid w:val="00CB6357"/>
    <w:rsid w:val="00CB67B6"/>
    <w:rsid w:val="00CC1B26"/>
    <w:rsid w:val="00CC42A1"/>
    <w:rsid w:val="00CD0821"/>
    <w:rsid w:val="00D01505"/>
    <w:rsid w:val="00D142AB"/>
    <w:rsid w:val="00D361FD"/>
    <w:rsid w:val="00D4208A"/>
    <w:rsid w:val="00D423A2"/>
    <w:rsid w:val="00D44E26"/>
    <w:rsid w:val="00D45E93"/>
    <w:rsid w:val="00D520D8"/>
    <w:rsid w:val="00D53DC2"/>
    <w:rsid w:val="00D56844"/>
    <w:rsid w:val="00D63AC2"/>
    <w:rsid w:val="00D668A1"/>
    <w:rsid w:val="00D7383B"/>
    <w:rsid w:val="00D7788A"/>
    <w:rsid w:val="00D82C5C"/>
    <w:rsid w:val="00D93542"/>
    <w:rsid w:val="00DA231B"/>
    <w:rsid w:val="00DB49CE"/>
    <w:rsid w:val="00DC39FC"/>
    <w:rsid w:val="00DD2FFB"/>
    <w:rsid w:val="00DD7327"/>
    <w:rsid w:val="00DD7A43"/>
    <w:rsid w:val="00DE3D6B"/>
    <w:rsid w:val="00DF40A4"/>
    <w:rsid w:val="00DF5254"/>
    <w:rsid w:val="00E02524"/>
    <w:rsid w:val="00E123DB"/>
    <w:rsid w:val="00E16408"/>
    <w:rsid w:val="00E20894"/>
    <w:rsid w:val="00E233FF"/>
    <w:rsid w:val="00E245AB"/>
    <w:rsid w:val="00E2597E"/>
    <w:rsid w:val="00E26F20"/>
    <w:rsid w:val="00E2764C"/>
    <w:rsid w:val="00E27F2E"/>
    <w:rsid w:val="00E31963"/>
    <w:rsid w:val="00E430B4"/>
    <w:rsid w:val="00E43621"/>
    <w:rsid w:val="00E50AFE"/>
    <w:rsid w:val="00E54D43"/>
    <w:rsid w:val="00E75C92"/>
    <w:rsid w:val="00E771DC"/>
    <w:rsid w:val="00E8772A"/>
    <w:rsid w:val="00E90F6B"/>
    <w:rsid w:val="00E928FD"/>
    <w:rsid w:val="00E92C27"/>
    <w:rsid w:val="00E92DED"/>
    <w:rsid w:val="00E935A5"/>
    <w:rsid w:val="00EA0E3D"/>
    <w:rsid w:val="00EA6086"/>
    <w:rsid w:val="00EB3CE7"/>
    <w:rsid w:val="00EC38A7"/>
    <w:rsid w:val="00ED02CF"/>
    <w:rsid w:val="00ED0BFD"/>
    <w:rsid w:val="00ED22D7"/>
    <w:rsid w:val="00ED5991"/>
    <w:rsid w:val="00ED6405"/>
    <w:rsid w:val="00EE1AA8"/>
    <w:rsid w:val="00EF74B5"/>
    <w:rsid w:val="00F03960"/>
    <w:rsid w:val="00F162E2"/>
    <w:rsid w:val="00F20BC5"/>
    <w:rsid w:val="00F23FEA"/>
    <w:rsid w:val="00F251DD"/>
    <w:rsid w:val="00F31EDC"/>
    <w:rsid w:val="00F462B3"/>
    <w:rsid w:val="00F5664F"/>
    <w:rsid w:val="00F5698A"/>
    <w:rsid w:val="00F666C4"/>
    <w:rsid w:val="00F73BE4"/>
    <w:rsid w:val="00F75B03"/>
    <w:rsid w:val="00F76AFC"/>
    <w:rsid w:val="00F94100"/>
    <w:rsid w:val="00FA47C0"/>
    <w:rsid w:val="00FB086E"/>
    <w:rsid w:val="00FB4196"/>
    <w:rsid w:val="00FB5DD1"/>
    <w:rsid w:val="00FC2B5D"/>
    <w:rsid w:val="00FC4BF4"/>
    <w:rsid w:val="00FD1AB0"/>
    <w:rsid w:val="00FD5DAA"/>
    <w:rsid w:val="00FE2499"/>
    <w:rsid w:val="00FE4219"/>
    <w:rsid w:val="00FE6B8B"/>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C5C"/>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44B2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44B26"/>
    <w:rPr>
      <w:rFonts w:ascii="Geomanist Light" w:hAnsi="Geomanist Light"/>
      <w:lang w:val="es-ES"/>
    </w:rPr>
  </w:style>
  <w:style w:type="paragraph" w:styleId="Textoindependiente">
    <w:name w:val="Body Text"/>
    <w:basedOn w:val="Normal"/>
    <w:link w:val="TextoindependienteCar"/>
    <w:uiPriority w:val="99"/>
    <w:unhideWhenUsed/>
    <w:qFormat/>
    <w:rsid w:val="00744B26"/>
    <w:pPr>
      <w:spacing w:after="120"/>
    </w:pPr>
  </w:style>
  <w:style w:type="character" w:customStyle="1" w:styleId="TextoindependienteCar">
    <w:name w:val="Texto independiente Car"/>
    <w:basedOn w:val="Fuentedeprrafopredeter"/>
    <w:link w:val="Textoindependiente"/>
    <w:uiPriority w:val="99"/>
    <w:rsid w:val="00744B26"/>
  </w:style>
  <w:style w:type="character" w:styleId="Refdecomentario">
    <w:name w:val="annotation reference"/>
    <w:basedOn w:val="Fuentedeprrafopredeter"/>
    <w:uiPriority w:val="99"/>
    <w:semiHidden/>
    <w:unhideWhenUsed/>
    <w:rsid w:val="00BF3F72"/>
    <w:rPr>
      <w:sz w:val="16"/>
      <w:szCs w:val="16"/>
    </w:rPr>
  </w:style>
  <w:style w:type="paragraph" w:styleId="Textocomentario">
    <w:name w:val="annotation text"/>
    <w:basedOn w:val="Normal"/>
    <w:link w:val="TextocomentarioCar"/>
    <w:uiPriority w:val="99"/>
    <w:unhideWhenUsed/>
    <w:rsid w:val="00BF3F72"/>
    <w:pPr>
      <w:spacing w:line="240" w:lineRule="auto"/>
    </w:pPr>
    <w:rPr>
      <w:sz w:val="20"/>
      <w:szCs w:val="20"/>
    </w:rPr>
  </w:style>
  <w:style w:type="character" w:customStyle="1" w:styleId="TextocomentarioCar">
    <w:name w:val="Texto comentario Car"/>
    <w:basedOn w:val="Fuentedeprrafopredeter"/>
    <w:link w:val="Textocomentario"/>
    <w:uiPriority w:val="99"/>
    <w:rsid w:val="00BF3F72"/>
    <w:rPr>
      <w:sz w:val="20"/>
      <w:szCs w:val="20"/>
    </w:rPr>
  </w:style>
  <w:style w:type="paragraph" w:styleId="Asuntodelcomentario">
    <w:name w:val="annotation subject"/>
    <w:basedOn w:val="Textocomentario"/>
    <w:next w:val="Textocomentario"/>
    <w:link w:val="AsuntodelcomentarioCar"/>
    <w:uiPriority w:val="99"/>
    <w:semiHidden/>
    <w:unhideWhenUsed/>
    <w:rsid w:val="00BF3F72"/>
    <w:rPr>
      <w:b/>
      <w:bCs/>
    </w:rPr>
  </w:style>
  <w:style w:type="character" w:customStyle="1" w:styleId="AsuntodelcomentarioCar">
    <w:name w:val="Asunto del comentario Car"/>
    <w:basedOn w:val="TextocomentarioCar"/>
    <w:link w:val="Asuntodelcomentario"/>
    <w:uiPriority w:val="99"/>
    <w:semiHidden/>
    <w:rsid w:val="00BF3F7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cce-eicp-ma-04._manual_requisitos_habilitantes_v3_29-09-2023.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lvargas.diaz@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7AF8AD47-1021-4538-886F-BC300AE9450D}">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7B8E2892-CBE5-4AEE-826A-9F110F9181E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35</TotalTime>
  <Pages>17</Pages>
  <Words>4885</Words>
  <Characters>26970</Characters>
  <Application>Microsoft Office Word</Application>
  <DocSecurity>0</DocSecurity>
  <Lines>518</Lines>
  <Paragraphs>121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24</cp:revision>
  <cp:lastPrinted>2023-01-10T21:18:00Z</cp:lastPrinted>
  <dcterms:created xsi:type="dcterms:W3CDTF">2026-02-03T16:12:00Z</dcterms:created>
  <dcterms:modified xsi:type="dcterms:W3CDTF">2026-02-06T20:57:00Z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