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DCB1A8" w14:textId="77777777" w:rsidR="00E222DE" w:rsidRDefault="00E222DE" w:rsidP="00E222DE">
      <w:pPr>
        <w:spacing w:line="276" w:lineRule="auto"/>
        <w:jc w:val="both"/>
        <w:rPr>
          <w:rFonts w:ascii="Verdana" w:hAnsi="Verdana" w:cs="Arial"/>
          <w:b/>
          <w:bCs/>
          <w:lang w:val="es-MX" w:eastAsia="es-ES_tradnl"/>
        </w:rPr>
      </w:pPr>
      <w:r w:rsidRPr="000A1EEB">
        <w:rPr>
          <w:rFonts w:ascii="Verdana" w:hAnsi="Verdana" w:cs="Arial"/>
          <w:b/>
          <w:bCs/>
          <w:lang w:val="es-MX" w:eastAsia="es-ES_tradnl"/>
        </w:rPr>
        <w:t xml:space="preserve">LEY DE GARANTÍAS ELECTORALES ‒ Finalidad </w:t>
      </w:r>
    </w:p>
    <w:p w14:paraId="30986DB9" w14:textId="77777777" w:rsidR="00E222DE" w:rsidRDefault="00E222DE" w:rsidP="00E222DE">
      <w:pPr>
        <w:spacing w:line="276" w:lineRule="auto"/>
        <w:jc w:val="both"/>
        <w:rPr>
          <w:rFonts w:ascii="Verdana" w:hAnsi="Verdana" w:cs="Arial"/>
          <w:b/>
          <w:bCs/>
          <w:lang w:val="es-MX" w:eastAsia="es-ES_tradnl"/>
        </w:rPr>
      </w:pPr>
      <w:r>
        <w:rPr>
          <w:rStyle w:val="normaltextrun"/>
          <w:rFonts w:ascii="Verdana" w:hAnsi="Verdana"/>
          <w:color w:val="000000"/>
          <w:sz w:val="20"/>
          <w:szCs w:val="20"/>
          <w:shd w:val="clear" w:color="auto" w:fill="FFFFFF"/>
        </w:rPr>
        <w:t>La Ley 996 de 2005, conocida como “Ley de Garantías Electorales”, tiene como propósito evitar la injerencia inadecuada de intereses particulares en el ejercicio de la función pública. Esta ley busca evitar cualquier tipo de arbitrariedad, de ventaja injustificada, de uso irregular de los recursos del Estado en las campañas o falta de garantías en la elección presidencial.</w:t>
      </w:r>
      <w:r>
        <w:rPr>
          <w:rStyle w:val="eop"/>
          <w:rFonts w:ascii="Verdana" w:hAnsi="Verdana"/>
          <w:color w:val="000000"/>
          <w:sz w:val="20"/>
          <w:szCs w:val="20"/>
          <w:shd w:val="clear" w:color="auto" w:fill="FFFFFF"/>
        </w:rPr>
        <w:t> </w:t>
      </w:r>
    </w:p>
    <w:p w14:paraId="62B61710" w14:textId="77777777" w:rsidR="00E222DE" w:rsidRDefault="00E222DE" w:rsidP="00E222DE">
      <w:pPr>
        <w:spacing w:line="276" w:lineRule="auto"/>
        <w:jc w:val="both"/>
        <w:rPr>
          <w:rFonts w:ascii="Verdana" w:hAnsi="Verdana" w:cs="Arial"/>
          <w:b/>
          <w:bCs/>
          <w:lang w:val="es-MX" w:eastAsia="es-ES_tradnl"/>
        </w:rPr>
      </w:pPr>
      <w:r w:rsidRPr="000A1EEB">
        <w:rPr>
          <w:rFonts w:ascii="Verdana" w:hAnsi="Verdana" w:cs="Arial"/>
          <w:b/>
          <w:bCs/>
          <w:lang w:val="es-MX" w:eastAsia="es-ES_tradnl"/>
        </w:rPr>
        <w:t>LEY DE GARANTÍAS ELECTORALES ‒ Prohibición - Contratación directa</w:t>
      </w:r>
    </w:p>
    <w:p w14:paraId="7E9FBE3D" w14:textId="77777777" w:rsidR="00E222DE" w:rsidRDefault="00E222DE" w:rsidP="00E222DE">
      <w:pPr>
        <w:pStyle w:val="paragraph"/>
        <w:spacing w:before="0" w:beforeAutospacing="0" w:after="0" w:afterAutospacing="0"/>
        <w:jc w:val="both"/>
        <w:textAlignment w:val="baseline"/>
        <w:rPr>
          <w:rFonts w:ascii="Segoe UI" w:hAnsi="Segoe UI" w:cs="Segoe UI"/>
          <w:sz w:val="18"/>
          <w:szCs w:val="18"/>
        </w:rPr>
      </w:pPr>
      <w:r>
        <w:rPr>
          <w:rStyle w:val="normaltextrun"/>
          <w:rFonts w:ascii="Verdana" w:hAnsi="Verdana" w:cs="Segoe UI"/>
          <w:sz w:val="20"/>
          <w:szCs w:val="20"/>
        </w:rPr>
        <w:t>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Style w:val="eop"/>
          <w:rFonts w:ascii="Verdana" w:hAnsi="Verdana" w:cs="Segoe UI"/>
          <w:sz w:val="20"/>
          <w:szCs w:val="20"/>
        </w:rPr>
        <w:t> </w:t>
      </w:r>
    </w:p>
    <w:p w14:paraId="51522CE9" w14:textId="77777777" w:rsidR="00E222DE" w:rsidRDefault="00E222DE" w:rsidP="00E222DE">
      <w:pPr>
        <w:pStyle w:val="paragraph"/>
        <w:spacing w:before="0" w:beforeAutospacing="0" w:after="0" w:afterAutospacing="0"/>
        <w:jc w:val="both"/>
        <w:textAlignment w:val="baseline"/>
        <w:rPr>
          <w:rFonts w:ascii="Segoe UI" w:hAnsi="Segoe UI" w:cs="Segoe UI"/>
          <w:sz w:val="18"/>
          <w:szCs w:val="18"/>
        </w:rPr>
      </w:pPr>
      <w:r>
        <w:rPr>
          <w:rStyle w:val="eop"/>
          <w:rFonts w:ascii="Verdana" w:hAnsi="Verdana" w:cs="Segoe UI"/>
          <w:sz w:val="20"/>
          <w:szCs w:val="20"/>
        </w:rPr>
        <w:t> </w:t>
      </w:r>
    </w:p>
    <w:p w14:paraId="5891BF22" w14:textId="77777777" w:rsidR="00E222DE" w:rsidRDefault="00E222DE" w:rsidP="00E222DE">
      <w:pPr>
        <w:pStyle w:val="paragraph"/>
        <w:spacing w:before="0" w:beforeAutospacing="0" w:after="0" w:afterAutospacing="0"/>
        <w:jc w:val="both"/>
        <w:textAlignment w:val="baseline"/>
        <w:rPr>
          <w:rFonts w:ascii="Segoe UI" w:hAnsi="Segoe UI" w:cs="Segoe UI"/>
          <w:sz w:val="18"/>
          <w:szCs w:val="18"/>
        </w:rPr>
      </w:pPr>
      <w:r>
        <w:rPr>
          <w:rStyle w:val="normaltextrun"/>
          <w:rFonts w:ascii="Verdana" w:hAnsi="Verdana" w:cs="Segoe UI"/>
          <w:sz w:val="20"/>
          <w:szCs w:val="20"/>
          <w:lang w:val="es-MX"/>
        </w:rPr>
        <w:t>El ámbito material de la prohibición contenida en el artículo 33 de la Ley 996 de 2005 está delimitado por la expresión </w:t>
      </w:r>
      <w:r>
        <w:rPr>
          <w:rStyle w:val="normaltextrun"/>
          <w:rFonts w:ascii="Verdana" w:hAnsi="Verdana" w:cs="Segoe UI"/>
          <w:i/>
          <w:iCs/>
          <w:sz w:val="20"/>
          <w:szCs w:val="20"/>
          <w:lang w:val="es-MX"/>
        </w:rPr>
        <w:t>“queda prohibida la contratación directa”.</w:t>
      </w:r>
      <w:r>
        <w:rPr>
          <w:rStyle w:val="eop"/>
          <w:rFonts w:ascii="Verdana" w:hAnsi="Verdana" w:cs="Segoe UI"/>
          <w:sz w:val="20"/>
          <w:szCs w:val="20"/>
        </w:rPr>
        <w:t> </w:t>
      </w:r>
    </w:p>
    <w:p w14:paraId="6A5E690B" w14:textId="77777777" w:rsidR="00E222DE" w:rsidRDefault="00E222DE" w:rsidP="00E222DE">
      <w:pPr>
        <w:pStyle w:val="paragraph"/>
        <w:spacing w:before="0" w:beforeAutospacing="0" w:after="0" w:afterAutospacing="0"/>
        <w:jc w:val="both"/>
        <w:textAlignment w:val="baseline"/>
        <w:rPr>
          <w:rFonts w:ascii="Segoe UI" w:hAnsi="Segoe UI" w:cs="Segoe UI"/>
          <w:sz w:val="18"/>
          <w:szCs w:val="18"/>
        </w:rPr>
      </w:pPr>
      <w:r>
        <w:rPr>
          <w:rStyle w:val="eop"/>
          <w:rFonts w:ascii="Verdana" w:hAnsi="Verdana" w:cs="Segoe UI"/>
          <w:sz w:val="20"/>
          <w:szCs w:val="20"/>
        </w:rPr>
        <w:t> </w:t>
      </w:r>
    </w:p>
    <w:p w14:paraId="42F0C834" w14:textId="77777777" w:rsidR="00E222DE" w:rsidRDefault="00E222DE" w:rsidP="00E222DE">
      <w:pPr>
        <w:pStyle w:val="paragraph"/>
        <w:spacing w:before="0" w:beforeAutospacing="0" w:after="0" w:afterAutospacing="0"/>
        <w:jc w:val="both"/>
        <w:textAlignment w:val="baseline"/>
        <w:rPr>
          <w:rFonts w:ascii="Segoe UI" w:hAnsi="Segoe UI" w:cs="Segoe UI"/>
          <w:sz w:val="18"/>
          <w:szCs w:val="18"/>
        </w:rPr>
      </w:pPr>
      <w:r>
        <w:rPr>
          <w:rStyle w:val="normaltextrun"/>
          <w:rFonts w:ascii="Verdana" w:hAnsi="Verdana" w:cs="Segoe UI"/>
          <w:sz w:val="20"/>
          <w:szCs w:val="20"/>
        </w:rPr>
        <w:t>[…] la prohibición del artículo 33 de la Ley de Garantías Electorales se refiere a “cualquier sistema que no implique convocatoria pública y posibilidad de pluralidad de oferentes”, por lo que excluye las demás modalidades de contratación previstas en la Ley 1150 de 2007, es decir, la licitación pública, la selección abreviada y el concurso de méritos u otros previstos en normas especiales.</w:t>
      </w:r>
      <w:r>
        <w:rPr>
          <w:rStyle w:val="eop"/>
          <w:rFonts w:ascii="Verdana" w:hAnsi="Verdana" w:cs="Segoe UI"/>
          <w:sz w:val="20"/>
          <w:szCs w:val="20"/>
        </w:rPr>
        <w:t> </w:t>
      </w:r>
    </w:p>
    <w:p w14:paraId="2A3D3A60" w14:textId="77777777" w:rsidR="00E222DE" w:rsidRDefault="00E222DE" w:rsidP="00E222DE">
      <w:pPr>
        <w:spacing w:line="276" w:lineRule="auto"/>
        <w:jc w:val="both"/>
        <w:rPr>
          <w:rFonts w:ascii="Verdana" w:hAnsi="Verdana" w:cs="Arial"/>
          <w:b/>
          <w:bCs/>
          <w:lang w:val="es-MX" w:eastAsia="es-ES_tradnl"/>
        </w:rPr>
      </w:pPr>
    </w:p>
    <w:p w14:paraId="09F5334B" w14:textId="77777777" w:rsidR="00E222DE" w:rsidRDefault="00E222DE" w:rsidP="00E222DE">
      <w:pPr>
        <w:spacing w:line="276" w:lineRule="auto"/>
        <w:jc w:val="both"/>
        <w:rPr>
          <w:rFonts w:ascii="Verdana" w:eastAsia="Times New Roman" w:hAnsi="Verdana" w:cs="Arial"/>
          <w:b/>
          <w:bCs/>
          <w:lang w:eastAsia="es-ES_tradnl"/>
        </w:rPr>
      </w:pPr>
      <w:r w:rsidRPr="000A1EEB">
        <w:rPr>
          <w:rFonts w:ascii="Verdana" w:eastAsia="Times New Roman" w:hAnsi="Verdana" w:cs="Arial"/>
          <w:b/>
          <w:bCs/>
          <w:lang w:eastAsia="es-ES_tradnl"/>
        </w:rPr>
        <w:t xml:space="preserve">LEY DE GARANTÍAS ELECTORALES ─ Prohibición ‒ Contratación directa ‒ Excepciones </w:t>
      </w:r>
    </w:p>
    <w:p w14:paraId="1EBD837D" w14:textId="77777777" w:rsidR="00E222DE" w:rsidRDefault="00E222DE" w:rsidP="00E222DE">
      <w:pPr>
        <w:pStyle w:val="paragraph"/>
        <w:spacing w:before="0" w:beforeAutospacing="0" w:after="0" w:afterAutospacing="0"/>
        <w:jc w:val="both"/>
        <w:textAlignment w:val="baseline"/>
        <w:rPr>
          <w:rFonts w:ascii="Segoe UI" w:hAnsi="Segoe UI" w:cs="Segoe UI"/>
          <w:sz w:val="18"/>
          <w:szCs w:val="18"/>
        </w:rPr>
      </w:pPr>
      <w:r>
        <w:rPr>
          <w:rStyle w:val="normaltextrun"/>
          <w:rFonts w:ascii="Verdana" w:hAnsi="Verdana" w:cs="Segoe UI"/>
          <w:sz w:val="20"/>
          <w:szCs w:val="20"/>
          <w:lang w:val="es-MX"/>
        </w:rPr>
        <w:t>De otro lado, las excepciones a la restricción prevista en la Ley de Garantías Electorales,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w:t>
      </w:r>
      <w:proofErr w:type="spellStart"/>
      <w:r>
        <w:rPr>
          <w:rStyle w:val="normaltextrun"/>
          <w:rFonts w:ascii="Verdana" w:hAnsi="Verdana" w:cs="Segoe UI"/>
          <w:sz w:val="20"/>
          <w:szCs w:val="20"/>
          <w:lang w:val="es-MX"/>
        </w:rPr>
        <w:t>ii</w:t>
      </w:r>
      <w:proofErr w:type="spellEnd"/>
      <w:r>
        <w:rPr>
          <w:rStyle w:val="normaltextrun"/>
          <w:rFonts w:ascii="Verdana" w:hAnsi="Verdana" w:cs="Segoe UI"/>
          <w:sz w:val="20"/>
          <w:szCs w:val="20"/>
          <w:lang w:val="es-MX"/>
        </w:rPr>
        <w:t>) los contratos de crédito público; </w:t>
      </w:r>
      <w:proofErr w:type="spellStart"/>
      <w:r>
        <w:rPr>
          <w:rStyle w:val="normaltextrun"/>
          <w:rFonts w:ascii="Verdana" w:hAnsi="Verdana" w:cs="Segoe UI"/>
          <w:sz w:val="20"/>
          <w:szCs w:val="20"/>
          <w:lang w:val="es-MX"/>
        </w:rPr>
        <w:t>iii</w:t>
      </w:r>
      <w:proofErr w:type="spellEnd"/>
      <w:r>
        <w:rPr>
          <w:rStyle w:val="normaltextrun"/>
          <w:rFonts w:ascii="Verdana" w:hAnsi="Verdana" w:cs="Segoe UI"/>
          <w:sz w:val="20"/>
          <w:szCs w:val="20"/>
          <w:lang w:val="es-MX"/>
        </w:rPr>
        <w:t>) los requeridos para cubrir las emergencias educativas, sanitarias y desastres; </w:t>
      </w:r>
      <w:proofErr w:type="spellStart"/>
      <w:r>
        <w:rPr>
          <w:rStyle w:val="normaltextrun"/>
          <w:rFonts w:ascii="Verdana" w:hAnsi="Verdana" w:cs="Segoe UI"/>
          <w:sz w:val="20"/>
          <w:szCs w:val="20"/>
          <w:lang w:val="es-MX"/>
        </w:rPr>
        <w:t>iv</w:t>
      </w:r>
      <w:proofErr w:type="spellEnd"/>
      <w:r>
        <w:rPr>
          <w:rStyle w:val="normaltextrun"/>
          <w:rFonts w:ascii="Verdana" w:hAnsi="Verdana" w:cs="Segoe UI"/>
          <w:sz w:val="20"/>
          <w:szCs w:val="20"/>
          <w:lang w:val="es-MX"/>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actividades que adelanta y determinar si las mismas se enmarcan en alguna de las mencionadas </w:t>
      </w:r>
      <w:r>
        <w:rPr>
          <w:rStyle w:val="normaltextrun"/>
          <w:rFonts w:ascii="Verdana" w:hAnsi="Verdana" w:cs="Segoe UI"/>
          <w:sz w:val="20"/>
          <w:szCs w:val="20"/>
          <w:lang w:val="es-MX"/>
        </w:rPr>
        <w:lastRenderedPageBreak/>
        <w:t>excepciones, de manera que se le permita realizar la contratación que necesite en forma directa.</w:t>
      </w:r>
      <w:r>
        <w:rPr>
          <w:rStyle w:val="eop"/>
          <w:rFonts w:ascii="Verdana" w:hAnsi="Verdana" w:cs="Segoe UI"/>
          <w:sz w:val="20"/>
          <w:szCs w:val="20"/>
        </w:rPr>
        <w:t> </w:t>
      </w:r>
    </w:p>
    <w:p w14:paraId="676A1193" w14:textId="792AB824" w:rsidR="00E222DE" w:rsidRDefault="00E222DE" w:rsidP="00E222DE">
      <w:pPr>
        <w:pStyle w:val="paragraph"/>
        <w:spacing w:before="0" w:beforeAutospacing="0" w:after="0" w:afterAutospacing="0"/>
        <w:jc w:val="both"/>
        <w:textAlignment w:val="baseline"/>
        <w:rPr>
          <w:rFonts w:ascii="Segoe UI" w:hAnsi="Segoe UI" w:cs="Segoe UI"/>
          <w:sz w:val="18"/>
          <w:szCs w:val="18"/>
        </w:rPr>
      </w:pPr>
      <w:r>
        <w:rPr>
          <w:rStyle w:val="eop"/>
          <w:rFonts w:ascii="Verdana" w:hAnsi="Verdana" w:cs="Segoe UI"/>
          <w:sz w:val="20"/>
          <w:szCs w:val="20"/>
        </w:rPr>
        <w:t> </w:t>
      </w:r>
    </w:p>
    <w:p w14:paraId="6B3112F6" w14:textId="432EF78F" w:rsidR="00E222DE" w:rsidRDefault="00E222DE" w:rsidP="00E222DE">
      <w:pPr>
        <w:pStyle w:val="paragraph"/>
        <w:spacing w:before="0" w:beforeAutospacing="0" w:after="0" w:afterAutospacing="0"/>
        <w:jc w:val="both"/>
        <w:textAlignment w:val="baseline"/>
        <w:rPr>
          <w:rFonts w:ascii="Segoe UI" w:hAnsi="Segoe UI" w:cs="Segoe UI"/>
          <w:sz w:val="18"/>
          <w:szCs w:val="18"/>
        </w:rPr>
      </w:pPr>
      <w:r>
        <w:rPr>
          <w:rStyle w:val="normaltextrun"/>
          <w:rFonts w:ascii="Verdana" w:hAnsi="Verdana" w:cs="Segoe UI"/>
          <w:sz w:val="20"/>
          <w:szCs w:val="20"/>
          <w:lang w:val="es-MX"/>
        </w:rPr>
        <w:t>En esta labor es importante tener en cuenta, como lo anotó la Corte Constitucional, en Sentencia C-1153 de noviembre 11 de 2005, que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 De ahí que la Corte haya hecho particular énfasis en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r>
        <w:rPr>
          <w:rStyle w:val="eop"/>
          <w:rFonts w:ascii="Verdana" w:hAnsi="Verdana" w:cs="Segoe UI"/>
          <w:sz w:val="20"/>
          <w:szCs w:val="20"/>
        </w:rPr>
        <w:t> </w:t>
      </w:r>
    </w:p>
    <w:p w14:paraId="54B14A0C" w14:textId="77777777" w:rsidR="00E222DE" w:rsidRDefault="00E222DE" w:rsidP="00E222DE">
      <w:pPr>
        <w:spacing w:after="0" w:line="240" w:lineRule="auto"/>
        <w:jc w:val="both"/>
        <w:rPr>
          <w:rFonts w:ascii="Verdana" w:eastAsia="Times New Roman" w:hAnsi="Verdana" w:cs="Arial"/>
          <w:b/>
          <w:bCs/>
          <w:lang w:eastAsia="es-ES_tradnl"/>
        </w:rPr>
      </w:pPr>
    </w:p>
    <w:p w14:paraId="307290BE" w14:textId="11D2EEA5" w:rsidR="00E222DE" w:rsidRDefault="00E222DE" w:rsidP="00E222DE">
      <w:pPr>
        <w:spacing w:after="0" w:line="240" w:lineRule="auto"/>
        <w:jc w:val="both"/>
        <w:rPr>
          <w:rFonts w:ascii="Verdana" w:eastAsia="Times New Roman" w:hAnsi="Verdana" w:cs="Arial"/>
          <w:b/>
          <w:bCs/>
          <w:lang w:eastAsia="es-ES_tradnl"/>
        </w:rPr>
      </w:pPr>
      <w:r>
        <w:rPr>
          <w:rFonts w:ascii="Verdana" w:eastAsia="Times New Roman" w:hAnsi="Verdana" w:cs="Arial"/>
          <w:b/>
          <w:bCs/>
          <w:lang w:eastAsia="es-ES_tradnl"/>
        </w:rPr>
        <w:t xml:space="preserve"> VINCULACIÓN DE DOCENTES DE CATEDRA Y OCASIONALES – Ley 30 de 1992 - </w:t>
      </w:r>
      <w:r w:rsidRPr="00431E86">
        <w:rPr>
          <w:rFonts w:ascii="Verdana" w:eastAsia="Times New Roman" w:hAnsi="Verdana" w:cs="Arial"/>
          <w:b/>
          <w:bCs/>
          <w:lang w:eastAsia="es-ES_tradnl"/>
        </w:rPr>
        <w:t>Naturaleza jurídica de vinculación</w:t>
      </w:r>
      <w:r>
        <w:rPr>
          <w:rFonts w:ascii="Verdana" w:eastAsia="Times New Roman" w:hAnsi="Verdana" w:cs="Arial"/>
          <w:b/>
          <w:bCs/>
          <w:lang w:eastAsia="es-ES_tradnl"/>
        </w:rPr>
        <w:t xml:space="preserve"> – Pronunciamiento jurisprudencial.</w:t>
      </w:r>
    </w:p>
    <w:p w14:paraId="36278F75" w14:textId="77777777" w:rsidR="00E222DE" w:rsidRPr="008641CD" w:rsidRDefault="00E222DE" w:rsidP="00E222DE">
      <w:pPr>
        <w:spacing w:after="0" w:line="240" w:lineRule="auto"/>
        <w:jc w:val="both"/>
        <w:rPr>
          <w:rFonts w:ascii="Verdana" w:eastAsia="Times New Roman" w:hAnsi="Verdana" w:cs="Arial"/>
          <w:sz w:val="20"/>
          <w:szCs w:val="20"/>
          <w:lang w:eastAsia="es-ES_tradnl"/>
        </w:rPr>
      </w:pPr>
    </w:p>
    <w:p w14:paraId="26B74B74" w14:textId="465EB712" w:rsidR="00E222DE" w:rsidRPr="008641CD" w:rsidRDefault="00E222DE" w:rsidP="00E222DE">
      <w:pPr>
        <w:spacing w:after="0" w:line="240" w:lineRule="auto"/>
        <w:jc w:val="both"/>
        <w:rPr>
          <w:rFonts w:ascii="Verdana" w:eastAsia="Times New Roman" w:hAnsi="Verdana" w:cs="Arial"/>
          <w:sz w:val="20"/>
          <w:szCs w:val="20"/>
          <w:lang w:eastAsia="es-ES_tradnl"/>
        </w:rPr>
      </w:pPr>
      <w:r w:rsidRPr="008641CD">
        <w:rPr>
          <w:rFonts w:ascii="Verdana" w:eastAsia="Times New Roman" w:hAnsi="Verdana" w:cs="Arial"/>
          <w:sz w:val="20"/>
          <w:szCs w:val="20"/>
          <w:lang w:eastAsia="es-ES_tradnl"/>
        </w:rPr>
        <w:t>La Corte Constitucional, en la Sentencia C-006 de 1996, al analizar las modalidades de vinculación docente previstas en la Ley 30 de 1992, precisó que existen tres formas de vinculación orientadas a atender las distintas necesidades propias de las instituciones de educación superior: (i) los profesores empleados públicos, vinculados mediante concurso de méritos; (</w:t>
      </w:r>
      <w:proofErr w:type="spellStart"/>
      <w:r w:rsidRPr="008641CD">
        <w:rPr>
          <w:rFonts w:ascii="Verdana" w:eastAsia="Times New Roman" w:hAnsi="Verdana" w:cs="Arial"/>
          <w:sz w:val="20"/>
          <w:szCs w:val="20"/>
          <w:lang w:eastAsia="es-ES_tradnl"/>
        </w:rPr>
        <w:t>ii</w:t>
      </w:r>
      <w:proofErr w:type="spellEnd"/>
      <w:r w:rsidRPr="008641CD">
        <w:rPr>
          <w:rFonts w:ascii="Verdana" w:eastAsia="Times New Roman" w:hAnsi="Verdana" w:cs="Arial"/>
          <w:sz w:val="20"/>
          <w:szCs w:val="20"/>
          <w:lang w:eastAsia="es-ES_tradnl"/>
        </w:rPr>
        <w:t>) los profesores de cátedra, encargados de atender funciones docentes de carácter especializado o coyuntural; y (</w:t>
      </w:r>
      <w:proofErr w:type="spellStart"/>
      <w:r w:rsidRPr="008641CD">
        <w:rPr>
          <w:rFonts w:ascii="Verdana" w:eastAsia="Times New Roman" w:hAnsi="Verdana" w:cs="Arial"/>
          <w:sz w:val="20"/>
          <w:szCs w:val="20"/>
          <w:lang w:eastAsia="es-ES_tradnl"/>
        </w:rPr>
        <w:t>iii</w:t>
      </w:r>
      <w:proofErr w:type="spellEnd"/>
      <w:r w:rsidRPr="008641CD">
        <w:rPr>
          <w:rFonts w:ascii="Verdana" w:eastAsia="Times New Roman" w:hAnsi="Verdana" w:cs="Arial"/>
          <w:sz w:val="20"/>
          <w:szCs w:val="20"/>
          <w:lang w:eastAsia="es-ES_tradnl"/>
        </w:rPr>
        <w:t>) los profesores ocasionales, vinculados de manera transitoria con dedicación de medio tiempo o tiempo completo. En este contexto, la Corte fue enfática en señalar que, pese a la denominación legal utilizada, los docentes de cátedra al igual que llamados ocasionales desarrollan una relación materialmente laboral, en la medida en que prestan personalmente el servicio, perciben una remuneración y se encuentran sometidos a un grado de subordinación similar al de los demás docentes universitarios, evidenciado en el cumplimiento de horarios, la asistencia a reuniones, la realización de evaluaciones y las demás obligaciones previstas en los reglamentos institucionales.</w:t>
      </w:r>
    </w:p>
    <w:p w14:paraId="60D673B6" w14:textId="2660F3FE" w:rsidR="00E222DE" w:rsidRDefault="00E222DE" w:rsidP="00E222DE">
      <w:pPr>
        <w:spacing w:after="0" w:line="240" w:lineRule="auto"/>
        <w:jc w:val="both"/>
        <w:rPr>
          <w:rFonts w:ascii="Verdana" w:eastAsia="Times New Roman" w:hAnsi="Verdana" w:cs="Arial"/>
          <w:sz w:val="20"/>
          <w:szCs w:val="20"/>
          <w:lang w:eastAsia="es-ES_tradnl"/>
        </w:rPr>
      </w:pPr>
    </w:p>
    <w:p w14:paraId="1D9D7C21" w14:textId="77777777" w:rsidR="00E222DE" w:rsidRDefault="00E222DE" w:rsidP="00E222DE">
      <w:pPr>
        <w:spacing w:after="0" w:line="240" w:lineRule="auto"/>
        <w:jc w:val="both"/>
        <w:rPr>
          <w:rFonts w:ascii="Verdana" w:eastAsia="Times New Roman" w:hAnsi="Verdana" w:cs="Arial"/>
          <w:sz w:val="20"/>
          <w:szCs w:val="20"/>
          <w:lang w:eastAsia="es-ES_tradnl"/>
        </w:rPr>
      </w:pPr>
    </w:p>
    <w:p w14:paraId="5DBE57F7" w14:textId="77777777" w:rsidR="00E222DE" w:rsidRDefault="00E222DE" w:rsidP="00E222DE">
      <w:pPr>
        <w:spacing w:after="0" w:line="240" w:lineRule="auto"/>
        <w:jc w:val="both"/>
        <w:rPr>
          <w:rFonts w:ascii="Verdana" w:eastAsia="Times New Roman" w:hAnsi="Verdana" w:cs="Arial"/>
          <w:sz w:val="20"/>
          <w:szCs w:val="20"/>
          <w:lang w:eastAsia="es-ES_tradnl"/>
        </w:rPr>
      </w:pPr>
    </w:p>
    <w:p w14:paraId="6FBDA80D" w14:textId="77777777" w:rsidR="00E222DE" w:rsidRDefault="00E222DE" w:rsidP="00E222DE">
      <w:pPr>
        <w:spacing w:after="0" w:line="240" w:lineRule="auto"/>
        <w:jc w:val="both"/>
        <w:rPr>
          <w:rFonts w:ascii="Verdana" w:eastAsia="Times New Roman" w:hAnsi="Verdana" w:cs="Arial"/>
          <w:sz w:val="20"/>
          <w:szCs w:val="20"/>
          <w:lang w:eastAsia="es-ES_tradnl"/>
        </w:rPr>
      </w:pPr>
    </w:p>
    <w:p w14:paraId="3BE09CDE" w14:textId="77777777" w:rsidR="00E222DE" w:rsidRDefault="00E222DE" w:rsidP="00E222DE">
      <w:pPr>
        <w:spacing w:after="0" w:line="240" w:lineRule="auto"/>
        <w:jc w:val="both"/>
        <w:rPr>
          <w:rFonts w:ascii="Verdana" w:eastAsia="Times New Roman" w:hAnsi="Verdana" w:cs="Arial"/>
          <w:sz w:val="20"/>
          <w:szCs w:val="20"/>
          <w:lang w:eastAsia="es-ES_tradnl"/>
        </w:rPr>
      </w:pPr>
    </w:p>
    <w:p w14:paraId="0F1440FD" w14:textId="77777777" w:rsidR="00E222DE" w:rsidRDefault="00E222DE" w:rsidP="00E222DE">
      <w:pPr>
        <w:spacing w:after="0" w:line="240" w:lineRule="auto"/>
        <w:jc w:val="both"/>
        <w:rPr>
          <w:rFonts w:ascii="Verdana" w:eastAsia="Times New Roman" w:hAnsi="Verdana" w:cs="Arial"/>
          <w:sz w:val="20"/>
          <w:szCs w:val="20"/>
          <w:lang w:eastAsia="es-ES_tradnl"/>
        </w:rPr>
      </w:pPr>
    </w:p>
    <w:p w14:paraId="0B8DFE26" w14:textId="77777777" w:rsidR="00E222DE" w:rsidRDefault="00E222DE" w:rsidP="00E222DE">
      <w:pPr>
        <w:spacing w:after="0" w:line="240" w:lineRule="auto"/>
        <w:jc w:val="both"/>
        <w:rPr>
          <w:rFonts w:ascii="Verdana" w:eastAsia="Times New Roman" w:hAnsi="Verdana" w:cs="Arial"/>
          <w:sz w:val="20"/>
          <w:szCs w:val="20"/>
          <w:lang w:eastAsia="es-ES_tradnl"/>
        </w:rPr>
      </w:pPr>
    </w:p>
    <w:p w14:paraId="12A1B388" w14:textId="77777777" w:rsidR="00E222DE" w:rsidRDefault="00E222DE" w:rsidP="00E222DE">
      <w:pPr>
        <w:spacing w:after="0" w:line="240" w:lineRule="auto"/>
        <w:jc w:val="both"/>
        <w:rPr>
          <w:rFonts w:ascii="Verdana" w:eastAsia="Times New Roman" w:hAnsi="Verdana" w:cs="Arial"/>
          <w:sz w:val="20"/>
          <w:szCs w:val="20"/>
          <w:lang w:eastAsia="es-ES_tradnl"/>
        </w:rPr>
      </w:pPr>
    </w:p>
    <w:p w14:paraId="712FFD46" w14:textId="77777777" w:rsidR="00E222DE" w:rsidRDefault="00E222DE" w:rsidP="00E222DE">
      <w:pPr>
        <w:spacing w:after="0" w:line="240" w:lineRule="auto"/>
        <w:jc w:val="both"/>
        <w:rPr>
          <w:rFonts w:ascii="Verdana" w:eastAsia="Times New Roman" w:hAnsi="Verdana" w:cs="Arial"/>
          <w:sz w:val="20"/>
          <w:szCs w:val="20"/>
          <w:lang w:eastAsia="es-ES_tradnl"/>
        </w:rPr>
      </w:pPr>
    </w:p>
    <w:p w14:paraId="7FA67B87" w14:textId="77777777" w:rsidR="00E222DE" w:rsidRDefault="00E222DE" w:rsidP="00E222DE">
      <w:pPr>
        <w:spacing w:after="0" w:line="240" w:lineRule="auto"/>
        <w:jc w:val="both"/>
        <w:rPr>
          <w:rFonts w:ascii="Verdana" w:eastAsia="Times New Roman" w:hAnsi="Verdana" w:cs="Arial"/>
          <w:sz w:val="20"/>
          <w:szCs w:val="20"/>
          <w:lang w:eastAsia="es-ES_tradnl"/>
        </w:rPr>
      </w:pPr>
    </w:p>
    <w:p w14:paraId="4B9E6E26" w14:textId="77777777" w:rsidR="00E222DE" w:rsidRDefault="00E222DE" w:rsidP="00E222DE">
      <w:pPr>
        <w:spacing w:after="0" w:line="240" w:lineRule="auto"/>
        <w:jc w:val="both"/>
        <w:rPr>
          <w:rFonts w:ascii="Verdana" w:eastAsia="Times New Roman" w:hAnsi="Verdana" w:cs="Arial"/>
          <w:sz w:val="20"/>
          <w:szCs w:val="20"/>
          <w:lang w:eastAsia="es-ES_tradnl"/>
        </w:rPr>
      </w:pPr>
    </w:p>
    <w:p w14:paraId="1B3AFBD0" w14:textId="77777777" w:rsidR="00E222DE" w:rsidRDefault="00E222DE" w:rsidP="00E222DE">
      <w:pPr>
        <w:spacing w:after="0" w:line="240" w:lineRule="auto"/>
        <w:jc w:val="both"/>
        <w:rPr>
          <w:rFonts w:ascii="Verdana" w:eastAsia="Times New Roman" w:hAnsi="Verdana" w:cs="Arial"/>
          <w:sz w:val="20"/>
          <w:szCs w:val="20"/>
          <w:lang w:eastAsia="es-ES_tradnl"/>
        </w:rPr>
      </w:pPr>
    </w:p>
    <w:p w14:paraId="30BEAFE6" w14:textId="77777777" w:rsidR="00E222DE" w:rsidRPr="008641CD" w:rsidRDefault="00E222DE" w:rsidP="00E222DE">
      <w:pPr>
        <w:spacing w:after="0" w:line="240" w:lineRule="auto"/>
        <w:jc w:val="both"/>
        <w:rPr>
          <w:rFonts w:ascii="Verdana" w:eastAsia="Times New Roman" w:hAnsi="Verdana" w:cs="Arial"/>
          <w:sz w:val="20"/>
          <w:szCs w:val="20"/>
          <w:lang w:eastAsia="es-ES_tradnl"/>
        </w:rPr>
      </w:pPr>
    </w:p>
    <w:p w14:paraId="04794BFE" w14:textId="52D4CEA1" w:rsidR="0079629A" w:rsidRDefault="00E222DE" w:rsidP="0079629A">
      <w:pPr>
        <w:spacing w:after="0" w:line="240" w:lineRule="auto"/>
        <w:jc w:val="both"/>
        <w:rPr>
          <w:rFonts w:ascii="Verdana" w:eastAsia="Geomanist Light" w:hAnsi="Verdana" w:cs="Arial"/>
          <w:color w:val="201F1E"/>
        </w:rPr>
      </w:pPr>
      <w:r w:rsidRPr="00C615B8">
        <w:rPr>
          <w:rFonts w:ascii="Verdana" w:eastAsia="Calibri" w:hAnsi="Verdana" w:cs="Arial"/>
          <w:b/>
          <w:lang w:eastAsia="es-ES_tradnl"/>
        </w:rPr>
        <w:lastRenderedPageBreak/>
        <w:drawing>
          <wp:anchor distT="0" distB="0" distL="114300" distR="114300" simplePos="0" relativeHeight="251658240" behindDoc="0" locked="0" layoutInCell="1" allowOverlap="1" wp14:anchorId="092DA62F" wp14:editId="0D821153">
            <wp:simplePos x="0" y="0"/>
            <wp:positionH relativeFrom="margin">
              <wp:posOffset>2605949</wp:posOffset>
            </wp:positionH>
            <wp:positionV relativeFrom="margin">
              <wp:posOffset>-78921</wp:posOffset>
            </wp:positionV>
            <wp:extent cx="3314700" cy="1104900"/>
            <wp:effectExtent l="0" t="0" r="0" b="0"/>
            <wp:wrapSquare wrapText="bothSides"/>
            <wp:docPr id="442051088"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2051088"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3314700" cy="1104900"/>
                    </a:xfrm>
                    <a:prstGeom prst="rect">
                      <a:avLst/>
                    </a:prstGeom>
                  </pic:spPr>
                </pic:pic>
              </a:graphicData>
            </a:graphic>
          </wp:anchor>
        </w:drawing>
      </w:r>
      <w:r w:rsidR="0079629A" w:rsidRPr="002C771F">
        <w:rPr>
          <w:rFonts w:ascii="Verdana" w:eastAsia="Geomanist Light" w:hAnsi="Verdana" w:cs="Arial"/>
          <w:color w:val="000000" w:themeColor="text1"/>
        </w:rPr>
        <w:t xml:space="preserve">Bogotá D.C, </w:t>
      </w:r>
      <w:r w:rsidR="00C615B8">
        <w:rPr>
          <w:rFonts w:ascii="Verdana" w:eastAsia="Geomanist Light" w:hAnsi="Verdana" w:cs="Arial"/>
          <w:color w:val="000000" w:themeColor="text1"/>
        </w:rPr>
        <w:t>30 Enero 2026</w:t>
      </w:r>
    </w:p>
    <w:p w14:paraId="09DC94CA" w14:textId="0D8D3918" w:rsidR="0079629A" w:rsidRDefault="0079629A" w:rsidP="0079629A">
      <w:pPr>
        <w:spacing w:after="0" w:line="240" w:lineRule="auto"/>
        <w:jc w:val="both"/>
        <w:rPr>
          <w:rFonts w:ascii="Verdana" w:hAnsi="Verdana"/>
        </w:rPr>
      </w:pPr>
    </w:p>
    <w:p w14:paraId="6E44B477" w14:textId="4F2D5B29" w:rsidR="0079629A" w:rsidRPr="00056CA2" w:rsidRDefault="0079629A" w:rsidP="0079629A">
      <w:pPr>
        <w:spacing w:after="0" w:line="240" w:lineRule="auto"/>
        <w:jc w:val="both"/>
        <w:rPr>
          <w:rFonts w:ascii="Verdana" w:eastAsia="Calibri" w:hAnsi="Verdana" w:cs="Arial"/>
          <w:lang w:eastAsia="es-ES"/>
        </w:rPr>
      </w:pPr>
      <w:r w:rsidRPr="00056CA2">
        <w:rPr>
          <w:rFonts w:ascii="Verdana" w:eastAsia="Calibri" w:hAnsi="Verdana" w:cs="Arial"/>
          <w:lang w:eastAsia="es-ES"/>
        </w:rPr>
        <w:t>Señor</w:t>
      </w:r>
    </w:p>
    <w:p w14:paraId="5CCC2414" w14:textId="64810A47" w:rsidR="0079629A" w:rsidRDefault="0079629A" w:rsidP="00C615B8">
      <w:pPr>
        <w:tabs>
          <w:tab w:val="center" w:pos="4419"/>
        </w:tabs>
        <w:spacing w:after="0" w:line="240" w:lineRule="auto"/>
        <w:jc w:val="right"/>
        <w:rPr>
          <w:rFonts w:ascii="Verdana" w:eastAsia="Calibri" w:hAnsi="Verdana" w:cs="Arial"/>
          <w:b/>
          <w:lang w:eastAsia="es-ES_tradnl"/>
        </w:rPr>
      </w:pPr>
      <w:r w:rsidRPr="005D5BA8">
        <w:rPr>
          <w:rFonts w:ascii="Verdana" w:eastAsia="Calibri" w:hAnsi="Verdana" w:cs="Arial"/>
          <w:b/>
          <w:lang w:eastAsia="es-ES_tradnl"/>
        </w:rPr>
        <w:t>Orlando Sánchez Ruiz</w:t>
      </w:r>
      <w:r w:rsidR="00C615B8">
        <w:rPr>
          <w:rFonts w:ascii="Verdana" w:eastAsia="Calibri" w:hAnsi="Verdana" w:cs="Arial"/>
          <w:b/>
          <w:lang w:eastAsia="es-ES_tradnl"/>
        </w:rPr>
        <w:tab/>
      </w:r>
    </w:p>
    <w:p w14:paraId="1E90EE02" w14:textId="77777777" w:rsidR="0079629A" w:rsidRPr="00056CA2" w:rsidRDefault="0079629A" w:rsidP="0079629A">
      <w:pPr>
        <w:spacing w:after="0" w:line="240" w:lineRule="auto"/>
        <w:jc w:val="both"/>
        <w:rPr>
          <w:rFonts w:ascii="Verdana" w:hAnsi="Verdana"/>
        </w:rPr>
      </w:pPr>
      <w:hyperlink r:id="rId11" w:history="1">
        <w:r w:rsidRPr="00C95237">
          <w:rPr>
            <w:rStyle w:val="Hipervnculo"/>
            <w:rFonts w:ascii="Verdana" w:hAnsi="Verdana"/>
          </w:rPr>
          <w:t>contadat@gmail.com</w:t>
        </w:r>
      </w:hyperlink>
      <w:r>
        <w:rPr>
          <w:rFonts w:ascii="Verdana" w:hAnsi="Verdana"/>
        </w:rPr>
        <w:t xml:space="preserve">. </w:t>
      </w:r>
    </w:p>
    <w:p w14:paraId="390774EE" w14:textId="77777777" w:rsidR="0079629A" w:rsidRPr="00056CA2" w:rsidRDefault="0079629A" w:rsidP="0079629A">
      <w:pPr>
        <w:spacing w:after="0" w:line="240" w:lineRule="auto"/>
        <w:jc w:val="both"/>
        <w:rPr>
          <w:rFonts w:ascii="Verdana" w:hAnsi="Verdana"/>
        </w:rPr>
      </w:pPr>
      <w:r>
        <w:rPr>
          <w:rFonts w:ascii="Verdana" w:hAnsi="Verdana"/>
        </w:rPr>
        <w:t>Bogotá D.C.</w:t>
      </w:r>
    </w:p>
    <w:p w14:paraId="0113B791" w14:textId="2F75A2CE" w:rsidR="0079629A" w:rsidRPr="005B4C57" w:rsidRDefault="0079629A" w:rsidP="0079629A">
      <w:pPr>
        <w:spacing w:after="0" w:line="240" w:lineRule="auto"/>
        <w:jc w:val="both"/>
        <w:rPr>
          <w:rFonts w:ascii="Verdana" w:eastAsia="Calibri" w:hAnsi="Verdana" w:cs="Arial"/>
          <w:b/>
          <w:bCs/>
          <w:color w:val="000000"/>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79629A" w:rsidRPr="002842E0" w14:paraId="7BF5BCDA" w14:textId="77777777" w:rsidTr="007710EF">
        <w:trPr>
          <w:trHeight w:val="162"/>
        </w:trPr>
        <w:tc>
          <w:tcPr>
            <w:tcW w:w="3119" w:type="dxa"/>
          </w:tcPr>
          <w:p w14:paraId="6C75D72B" w14:textId="77777777" w:rsidR="0079629A" w:rsidRPr="00146A73" w:rsidRDefault="0079629A" w:rsidP="007710EF">
            <w:pPr>
              <w:jc w:val="both"/>
              <w:rPr>
                <w:rFonts w:ascii="Verdana" w:eastAsia="Calibri" w:hAnsi="Verdana" w:cs="Arial"/>
                <w:b/>
                <w:bCs/>
                <w:color w:val="7030A0"/>
                <w:lang w:val="it-CH" w:eastAsia="es-ES_tradnl"/>
              </w:rPr>
            </w:pPr>
          </w:p>
        </w:tc>
        <w:tc>
          <w:tcPr>
            <w:tcW w:w="5670" w:type="dxa"/>
          </w:tcPr>
          <w:p w14:paraId="7FCC6DE0" w14:textId="0BA614DB" w:rsidR="0079629A" w:rsidRPr="00146A73" w:rsidRDefault="0079629A" w:rsidP="007710EF">
            <w:pPr>
              <w:jc w:val="both"/>
              <w:rPr>
                <w:rFonts w:ascii="Verdana" w:eastAsia="Calibri" w:hAnsi="Verdana" w:cs="Arial"/>
                <w:b/>
                <w:bCs/>
                <w:lang w:eastAsia="es-ES"/>
              </w:rPr>
            </w:pPr>
            <w:r w:rsidRPr="00146A73">
              <w:rPr>
                <w:rFonts w:ascii="Verdana" w:eastAsia="Calibri" w:hAnsi="Verdana" w:cs="Arial"/>
                <w:b/>
                <w:bCs/>
                <w:lang w:eastAsia="es-ES"/>
              </w:rPr>
              <w:t>Concepto C- 18</w:t>
            </w:r>
            <w:r>
              <w:rPr>
                <w:rFonts w:ascii="Verdana" w:eastAsia="Calibri" w:hAnsi="Verdana" w:cs="Arial"/>
                <w:b/>
                <w:bCs/>
                <w:lang w:eastAsia="es-ES"/>
              </w:rPr>
              <w:t>67</w:t>
            </w:r>
            <w:r w:rsidRPr="00146A73">
              <w:rPr>
                <w:rFonts w:ascii="Verdana" w:eastAsia="Calibri" w:hAnsi="Verdana" w:cs="Arial"/>
                <w:b/>
                <w:bCs/>
                <w:lang w:eastAsia="es-ES"/>
              </w:rPr>
              <w:t xml:space="preserve"> de 2025</w:t>
            </w:r>
          </w:p>
          <w:p w14:paraId="60A02D46" w14:textId="77777777" w:rsidR="0079629A" w:rsidRPr="00146A73" w:rsidRDefault="0079629A" w:rsidP="007710EF">
            <w:pPr>
              <w:jc w:val="both"/>
              <w:rPr>
                <w:rFonts w:ascii="Verdana" w:eastAsia="Calibri" w:hAnsi="Verdana" w:cs="Arial"/>
                <w:b/>
                <w:bCs/>
                <w:color w:val="7030A0"/>
                <w:lang w:eastAsia="es-ES"/>
              </w:rPr>
            </w:pPr>
          </w:p>
        </w:tc>
      </w:tr>
      <w:tr w:rsidR="0079629A" w:rsidRPr="002842E0" w14:paraId="48C217AC" w14:textId="77777777" w:rsidTr="007710EF">
        <w:trPr>
          <w:trHeight w:val="884"/>
        </w:trPr>
        <w:tc>
          <w:tcPr>
            <w:tcW w:w="3119" w:type="dxa"/>
          </w:tcPr>
          <w:p w14:paraId="1D5B0304" w14:textId="77777777" w:rsidR="0079629A" w:rsidRPr="00146A73" w:rsidRDefault="0079629A" w:rsidP="007710EF">
            <w:pPr>
              <w:jc w:val="both"/>
              <w:rPr>
                <w:rFonts w:ascii="Verdana" w:eastAsia="Calibri" w:hAnsi="Verdana" w:cs="Arial"/>
                <w:color w:val="000000"/>
                <w:lang w:eastAsia="es-ES_tradnl"/>
              </w:rPr>
            </w:pPr>
            <w:r w:rsidRPr="00146A73">
              <w:rPr>
                <w:rFonts w:ascii="Verdana" w:eastAsia="Calibri" w:hAnsi="Verdana" w:cs="Arial"/>
                <w:b/>
                <w:color w:val="000000"/>
                <w:lang w:eastAsia="es-ES_tradnl"/>
              </w:rPr>
              <w:t>Temas:</w:t>
            </w:r>
            <w:r w:rsidRPr="00146A73">
              <w:rPr>
                <w:rFonts w:ascii="Verdana" w:eastAsia="Calibri" w:hAnsi="Verdana" w:cs="Arial"/>
                <w:color w:val="000000"/>
                <w:lang w:eastAsia="es-ES_tradnl"/>
              </w:rPr>
              <w:t xml:space="preserve">                   </w:t>
            </w:r>
          </w:p>
        </w:tc>
        <w:tc>
          <w:tcPr>
            <w:tcW w:w="5670" w:type="dxa"/>
          </w:tcPr>
          <w:p w14:paraId="6ADD5992" w14:textId="401077E8" w:rsidR="0079629A" w:rsidRPr="0079629A" w:rsidRDefault="0079629A" w:rsidP="007710EF">
            <w:pPr>
              <w:spacing w:line="276" w:lineRule="auto"/>
              <w:jc w:val="both"/>
              <w:rPr>
                <w:rFonts w:ascii="Verdana" w:eastAsia="Times New Roman" w:hAnsi="Verdana" w:cs="Arial"/>
                <w:lang w:eastAsia="es-ES_tradnl"/>
              </w:rPr>
            </w:pPr>
            <w:r w:rsidRPr="00124F33">
              <w:rPr>
                <w:rFonts w:ascii="Verdana" w:hAnsi="Verdana" w:cs="Arial"/>
                <w:lang w:val="es-MX" w:eastAsia="es-ES_tradnl"/>
              </w:rPr>
              <w:t>LEY DE GARANTÍAS ELECTORALES ‒ Finalidad / LEY DE GARANTÍAS ELECTORALES ‒ Prohibición - Contratación directa /</w:t>
            </w:r>
            <w:r w:rsidRPr="00124F33">
              <w:rPr>
                <w:rFonts w:ascii="Verdana" w:eastAsia="Times New Roman" w:hAnsi="Verdana" w:cs="Arial"/>
                <w:lang w:eastAsia="es-ES_tradnl"/>
              </w:rPr>
              <w:t xml:space="preserve"> LEY DE GARANTÍAS ELECTORALES ─ Prohibición ‒ Contratación directa ‒ Excepciones / VINCULACIÓN DE DOCENTES DE CATEDRA Y OCASIONALES – Ley 30 de 1992 - Naturaleza jurídica de vinculación – Pronunciamiento jurisprudencial.</w:t>
            </w:r>
          </w:p>
        </w:tc>
      </w:tr>
      <w:tr w:rsidR="0079629A" w:rsidRPr="002842E0" w14:paraId="461951F9" w14:textId="77777777" w:rsidTr="007710EF">
        <w:trPr>
          <w:trHeight w:val="552"/>
        </w:trPr>
        <w:tc>
          <w:tcPr>
            <w:tcW w:w="3119" w:type="dxa"/>
          </w:tcPr>
          <w:p w14:paraId="5912EF09" w14:textId="77777777" w:rsidR="0079629A" w:rsidRPr="00146A73" w:rsidRDefault="0079629A" w:rsidP="007710EF">
            <w:pPr>
              <w:jc w:val="both"/>
              <w:rPr>
                <w:rFonts w:ascii="Verdana" w:eastAsia="Calibri" w:hAnsi="Verdana" w:cs="Arial"/>
                <w:b/>
                <w:lang w:eastAsia="es-ES_tradnl"/>
              </w:rPr>
            </w:pPr>
            <w:r w:rsidRPr="00146A73">
              <w:rPr>
                <w:rFonts w:ascii="Verdana" w:eastAsia="Calibri" w:hAnsi="Verdana" w:cs="Arial"/>
                <w:b/>
                <w:lang w:eastAsia="es-ES_tradnl"/>
              </w:rPr>
              <w:t>Radicación:</w:t>
            </w:r>
            <w:r w:rsidRPr="00146A73">
              <w:rPr>
                <w:rFonts w:ascii="Verdana" w:eastAsia="Calibri" w:hAnsi="Verdana" w:cs="Arial"/>
                <w:lang w:eastAsia="es-ES_tradnl"/>
              </w:rPr>
              <w:t xml:space="preserve">               </w:t>
            </w:r>
          </w:p>
        </w:tc>
        <w:tc>
          <w:tcPr>
            <w:tcW w:w="5670" w:type="dxa"/>
          </w:tcPr>
          <w:p w14:paraId="46690609" w14:textId="77777777" w:rsidR="0079629A" w:rsidRPr="00656D96" w:rsidRDefault="0079629A" w:rsidP="007710EF">
            <w:pPr>
              <w:jc w:val="both"/>
              <w:rPr>
                <w:rFonts w:ascii="Verdana" w:eastAsia="Calibri" w:hAnsi="Verdana" w:cs="Arial"/>
                <w:lang w:eastAsia="es-ES_tradnl"/>
              </w:rPr>
            </w:pPr>
            <w:r w:rsidRPr="00656D96">
              <w:rPr>
                <w:rFonts w:ascii="Verdana" w:eastAsia="Calibri" w:hAnsi="Verdana" w:cs="Arial"/>
                <w:color w:val="000000" w:themeColor="text1"/>
                <w:lang w:eastAsia="es-ES_tradnl"/>
              </w:rPr>
              <w:t xml:space="preserve">Respuesta a consulta con radicado No. </w:t>
            </w:r>
            <w:r w:rsidRPr="000A16F9">
              <w:rPr>
                <w:rFonts w:ascii="Verdana" w:eastAsia="Calibri" w:hAnsi="Verdana" w:cs="Arial"/>
                <w:color w:val="000000" w:themeColor="text1"/>
                <w:lang w:eastAsia="es-ES_tradnl"/>
              </w:rPr>
              <w:t>1_2025_12_29_014390</w:t>
            </w:r>
          </w:p>
        </w:tc>
      </w:tr>
    </w:tbl>
    <w:p w14:paraId="546A9AF7" w14:textId="77777777" w:rsidR="0079629A" w:rsidRDefault="0079629A" w:rsidP="0079629A">
      <w:pPr>
        <w:spacing w:after="0" w:line="276" w:lineRule="auto"/>
        <w:jc w:val="both"/>
        <w:rPr>
          <w:rFonts w:ascii="Verdana" w:eastAsia="Calibri" w:hAnsi="Verdana" w:cs="Arial"/>
          <w:lang w:eastAsia="es-ES_tradnl"/>
        </w:rPr>
      </w:pPr>
    </w:p>
    <w:p w14:paraId="18C7E9F2" w14:textId="77777777" w:rsidR="0079629A" w:rsidRDefault="0079629A" w:rsidP="0079629A">
      <w:pPr>
        <w:spacing w:after="0" w:line="276" w:lineRule="auto"/>
        <w:jc w:val="both"/>
        <w:rPr>
          <w:rFonts w:ascii="Verdana" w:eastAsia="Calibri" w:hAnsi="Verdana" w:cs="Arial"/>
          <w:lang w:eastAsia="es-ES_tradnl"/>
        </w:rPr>
      </w:pPr>
    </w:p>
    <w:p w14:paraId="4866B830" w14:textId="0A11640E" w:rsidR="0079629A" w:rsidRPr="0028175F" w:rsidRDefault="0079629A" w:rsidP="0041548E">
      <w:pPr>
        <w:spacing w:after="120" w:line="276" w:lineRule="auto"/>
        <w:jc w:val="both"/>
        <w:rPr>
          <w:rFonts w:ascii="Verdana" w:eastAsia="Calibri" w:hAnsi="Verdana" w:cs="Arial"/>
          <w:lang w:eastAsia="es-ES"/>
        </w:rPr>
      </w:pPr>
      <w:r w:rsidRPr="0028175F">
        <w:rPr>
          <w:rFonts w:ascii="Verdana" w:eastAsia="Calibri" w:hAnsi="Verdana" w:cs="Arial"/>
          <w:lang w:eastAsia="es-ES"/>
        </w:rPr>
        <w:t>Estimad</w:t>
      </w:r>
      <w:r>
        <w:rPr>
          <w:rFonts w:ascii="Verdana" w:eastAsia="Calibri" w:hAnsi="Verdana" w:cs="Arial"/>
          <w:lang w:eastAsia="es-ES"/>
        </w:rPr>
        <w:t>o</w:t>
      </w:r>
      <w:r w:rsidRPr="0028175F">
        <w:rPr>
          <w:rFonts w:ascii="Verdana" w:eastAsia="Calibri" w:hAnsi="Verdana" w:cs="Arial"/>
          <w:lang w:eastAsia="es-ES"/>
        </w:rPr>
        <w:t xml:space="preserve"> señor</w:t>
      </w:r>
      <w:r>
        <w:rPr>
          <w:rFonts w:ascii="Verdana" w:eastAsia="Calibri" w:hAnsi="Verdana" w:cs="Arial"/>
          <w:lang w:eastAsia="es-ES"/>
        </w:rPr>
        <w:t xml:space="preserve"> Orlando, cordial saludo</w:t>
      </w:r>
      <w:r w:rsidRPr="0028175F">
        <w:rPr>
          <w:rFonts w:ascii="Verdana" w:eastAsia="Calibri" w:hAnsi="Verdana" w:cs="Arial"/>
          <w:lang w:eastAsia="es-ES"/>
        </w:rPr>
        <w:t xml:space="preserve">: </w:t>
      </w:r>
    </w:p>
    <w:p w14:paraId="27B4EA06" w14:textId="77777777" w:rsidR="0079629A" w:rsidRPr="0028175F" w:rsidRDefault="0079629A" w:rsidP="0041548E">
      <w:pPr>
        <w:tabs>
          <w:tab w:val="left" w:pos="3768"/>
        </w:tabs>
        <w:spacing w:after="120" w:line="240" w:lineRule="auto"/>
        <w:jc w:val="both"/>
        <w:rPr>
          <w:rFonts w:ascii="Verdana" w:eastAsia="Calibri" w:hAnsi="Verdana" w:cs="Arial"/>
          <w:lang w:eastAsia="es-ES"/>
        </w:rPr>
      </w:pPr>
    </w:p>
    <w:p w14:paraId="6282A0D3" w14:textId="5A582C56" w:rsidR="0079629A" w:rsidRPr="008E4F36" w:rsidRDefault="0079629A" w:rsidP="0041548E">
      <w:pPr>
        <w:tabs>
          <w:tab w:val="left" w:pos="3768"/>
        </w:tabs>
        <w:spacing w:after="120" w:line="276" w:lineRule="auto"/>
        <w:jc w:val="both"/>
        <w:rPr>
          <w:rFonts w:ascii="Verdana" w:eastAsia="Calibri" w:hAnsi="Verdana" w:cs="Arial"/>
          <w:lang w:eastAsia="es-ES"/>
        </w:rPr>
      </w:pPr>
      <w:r w:rsidRPr="0028175F">
        <w:rPr>
          <w:rFonts w:ascii="Verdana" w:eastAsia="Calibri" w:hAnsi="Verdana" w:cs="Arial"/>
          <w:color w:val="000000" w:themeColor="text1"/>
          <w:lang w:eastAsia="es-ES"/>
        </w:rPr>
        <w:t>En ejercicio de la competencia otorgada por los artículos 3, numeral 5º, y 11, numeral 8º, del Decreto Ley 4170 de 2011,</w:t>
      </w:r>
      <w:r w:rsidRPr="0028175F">
        <w:rPr>
          <w:rFonts w:ascii="Verdana" w:eastAsia="Arial MT" w:hAnsi="Verdana" w:cs="Arial MT"/>
          <w:lang w:eastAsia="es-ES"/>
        </w:rPr>
        <w:t xml:space="preserve"> </w:t>
      </w:r>
      <w:r w:rsidRPr="0028175F">
        <w:rPr>
          <w:rFonts w:ascii="Verdana" w:hAnsi="Verdana" w:cs="Arial"/>
        </w:rPr>
        <w:t xml:space="preserve">así como lo establecido en la Resolución 469 de 2025 expedida por esta Entidad, </w:t>
      </w:r>
      <w:r w:rsidRPr="0028175F">
        <w:rPr>
          <w:rFonts w:ascii="Verdana" w:eastAsia="Calibri" w:hAnsi="Verdana" w:cs="Arial"/>
          <w:color w:val="000000" w:themeColor="text1"/>
          <w:lang w:eastAsia="es-ES"/>
        </w:rPr>
        <w:t xml:space="preserve">la Agencia Nacional de Contratación </w:t>
      </w:r>
      <w:r w:rsidRPr="0028175F">
        <w:rPr>
          <w:rFonts w:ascii="Verdana" w:eastAsia="Calibri" w:hAnsi="Verdana" w:cs="Arial"/>
          <w:lang w:eastAsia="es-ES"/>
        </w:rPr>
        <w:t>Pública – Colombia Compra Eficiente– responde su solicitud de consulta de fecha 10 de diciembre de 2025, en la cual manifiesta lo siguiente:</w:t>
      </w:r>
      <w:r w:rsidRPr="008E4F36">
        <w:rPr>
          <w:rFonts w:ascii="Verdana" w:eastAsia="Calibri" w:hAnsi="Verdana" w:cs="Arial"/>
          <w:lang w:eastAsia="es-ES"/>
        </w:rPr>
        <w:t xml:space="preserve"> </w:t>
      </w:r>
    </w:p>
    <w:p w14:paraId="4860A4C8" w14:textId="77777777" w:rsidR="0079629A" w:rsidRPr="008E4F36" w:rsidRDefault="0079629A" w:rsidP="0041548E">
      <w:pPr>
        <w:pStyle w:val="Prrafodelista"/>
        <w:tabs>
          <w:tab w:val="left" w:pos="142"/>
          <w:tab w:val="left" w:pos="284"/>
        </w:tabs>
        <w:spacing w:after="120" w:line="276" w:lineRule="auto"/>
        <w:ind w:left="142"/>
        <w:contextualSpacing w:val="0"/>
        <w:jc w:val="both"/>
        <w:rPr>
          <w:rFonts w:ascii="Verdana" w:eastAsia="Century Gothic" w:hAnsi="Verdana" w:cs="Century Gothic"/>
          <w:b/>
          <w:bCs/>
          <w:i/>
          <w:iCs/>
          <w:sz w:val="20"/>
          <w:szCs w:val="20"/>
        </w:rPr>
      </w:pPr>
    </w:p>
    <w:p w14:paraId="3E9E563C" w14:textId="77777777" w:rsidR="0079629A" w:rsidRPr="0080582E" w:rsidRDefault="0079629A" w:rsidP="0041548E">
      <w:pPr>
        <w:spacing w:after="120" w:line="240" w:lineRule="auto"/>
        <w:ind w:left="709" w:right="709"/>
        <w:jc w:val="both"/>
        <w:rPr>
          <w:rFonts w:ascii="Verdana" w:eastAsia="Century Gothic" w:hAnsi="Verdana" w:cs="Century Gothic"/>
          <w:i/>
          <w:iCs/>
          <w:sz w:val="20"/>
          <w:szCs w:val="20"/>
        </w:rPr>
      </w:pPr>
      <w:r w:rsidRPr="0080582E">
        <w:rPr>
          <w:rFonts w:ascii="Verdana" w:eastAsia="Century Gothic" w:hAnsi="Verdana" w:cs="Century Gothic"/>
          <w:i/>
          <w:iCs/>
          <w:sz w:val="20"/>
          <w:szCs w:val="20"/>
        </w:rPr>
        <w:t xml:space="preserve">“De manera atenta, solicito emitir concepto normativo relacionado con SI ES APLICABLE O NO o hay alguna restricción o NO de la Ley 996 de 2005 (Ley de Garantas Electorales) respecto de los docentes vinculados bajo la modalidad de hora cátedra y los docentes ocasionales (medio tiempo y tiempo completo), </w:t>
      </w:r>
      <w:proofErr w:type="gramStart"/>
      <w:r w:rsidRPr="0080582E">
        <w:rPr>
          <w:rFonts w:ascii="Verdana" w:eastAsia="Century Gothic" w:hAnsi="Verdana" w:cs="Century Gothic"/>
          <w:i/>
          <w:iCs/>
          <w:sz w:val="20"/>
          <w:szCs w:val="20"/>
        </w:rPr>
        <w:t>regidos  por</w:t>
      </w:r>
      <w:proofErr w:type="gramEnd"/>
      <w:r w:rsidRPr="0080582E">
        <w:rPr>
          <w:rFonts w:ascii="Verdana" w:eastAsia="Century Gothic" w:hAnsi="Verdana" w:cs="Century Gothic"/>
          <w:i/>
          <w:iCs/>
          <w:sz w:val="20"/>
          <w:szCs w:val="20"/>
        </w:rPr>
        <w:t xml:space="preserve"> la Ley 30 de 1992. Vinculados mediante acto administrativo resolución”.</w:t>
      </w:r>
    </w:p>
    <w:p w14:paraId="5B5F23DF" w14:textId="77777777" w:rsidR="0079629A" w:rsidRPr="008E4F36" w:rsidRDefault="0079629A" w:rsidP="0041548E">
      <w:pPr>
        <w:spacing w:afterLines="120" w:after="288" w:line="240" w:lineRule="auto"/>
        <w:ind w:left="709" w:right="709"/>
        <w:jc w:val="both"/>
        <w:rPr>
          <w:rFonts w:ascii="Verdana" w:hAnsi="Verdana"/>
          <w:sz w:val="20"/>
          <w:szCs w:val="20"/>
        </w:rPr>
      </w:pPr>
    </w:p>
    <w:p w14:paraId="6BF00750" w14:textId="77777777" w:rsidR="0079629A" w:rsidRDefault="0079629A" w:rsidP="0041548E">
      <w:pPr>
        <w:spacing w:before="120" w:afterLines="120" w:after="288"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53EC8662" w14:textId="3A77ABFF" w:rsidR="0079629A" w:rsidRPr="0041548E" w:rsidRDefault="0079629A" w:rsidP="0041548E">
      <w:pPr>
        <w:spacing w:before="120" w:afterLines="120" w:after="288"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w:t>
      </w:r>
      <w:r w:rsidRPr="002975A0">
        <w:rPr>
          <w:rFonts w:ascii="Verdana" w:eastAsia="Calibri" w:hAnsi="Verdana" w:cs="Arial"/>
          <w:color w:val="000000"/>
          <w:lang w:eastAsia="es-ES"/>
        </w:rPr>
        <w:t xml:space="preserve">con </w:t>
      </w:r>
      <w:r>
        <w:rPr>
          <w:rFonts w:ascii="Verdana" w:eastAsia="Calibri" w:hAnsi="Verdana" w:cs="Arial"/>
          <w:color w:val="000000"/>
          <w:lang w:eastAsia="es-ES"/>
        </w:rPr>
        <w:t xml:space="preserve">el </w:t>
      </w:r>
      <w:r w:rsidRPr="002975A0">
        <w:rPr>
          <w:rFonts w:ascii="Verdana" w:eastAsia="Calibri" w:hAnsi="Verdana" w:cs="Arial"/>
          <w:color w:val="000000"/>
          <w:lang w:eastAsia="es-ES"/>
        </w:rPr>
        <w:t>problema jurídico de su consulta.</w:t>
      </w:r>
      <w:r w:rsidRPr="008E4F36">
        <w:rPr>
          <w:rFonts w:ascii="Verdana" w:eastAsia="Calibri" w:hAnsi="Verdana" w:cs="Arial"/>
          <w:color w:val="000000"/>
          <w:lang w:eastAsia="es-ES"/>
        </w:rPr>
        <w:t xml:space="preserve">  </w:t>
      </w:r>
    </w:p>
    <w:p w14:paraId="0A3FA2E5" w14:textId="6F25E05C" w:rsidR="0079629A" w:rsidRPr="0041548E" w:rsidRDefault="0079629A" w:rsidP="0041548E">
      <w:pPr>
        <w:pStyle w:val="Prrafodelista"/>
        <w:numPr>
          <w:ilvl w:val="0"/>
          <w:numId w:val="16"/>
        </w:numPr>
        <w:tabs>
          <w:tab w:val="left" w:pos="142"/>
          <w:tab w:val="left" w:pos="284"/>
        </w:tabs>
        <w:spacing w:afterLines="120" w:after="288" w:line="276" w:lineRule="auto"/>
        <w:ind w:left="0" w:firstLine="0"/>
        <w:contextualSpacing w:val="0"/>
        <w:jc w:val="both"/>
        <w:rPr>
          <w:rFonts w:ascii="Verdana" w:eastAsia="Century Gothic" w:hAnsi="Verdana" w:cs="Century Gothic"/>
          <w:b/>
          <w:bCs/>
        </w:rPr>
      </w:pPr>
      <w:r w:rsidRPr="008E4F36">
        <w:rPr>
          <w:rFonts w:ascii="Verdana" w:eastAsia="Century Gothic" w:hAnsi="Verdana" w:cs="Century Gothic"/>
          <w:b/>
          <w:bCs/>
        </w:rPr>
        <w:t>Problema planteado:</w:t>
      </w:r>
    </w:p>
    <w:p w14:paraId="4658EC9B" w14:textId="77777777" w:rsidR="0079629A" w:rsidRDefault="0079629A" w:rsidP="0041548E">
      <w:pPr>
        <w:spacing w:afterLines="120" w:after="288" w:line="276" w:lineRule="auto"/>
        <w:jc w:val="both"/>
        <w:rPr>
          <w:rFonts w:ascii="Verdana" w:eastAsia="Calibri" w:hAnsi="Verdana" w:cs="Arial"/>
          <w:color w:val="000000"/>
          <w:lang w:eastAsia="es-ES"/>
        </w:rPr>
      </w:pPr>
      <w:r w:rsidRPr="00EA5150">
        <w:rPr>
          <w:rFonts w:ascii="Verdana" w:eastAsia="Calibri" w:hAnsi="Verdana" w:cs="Arial"/>
          <w:color w:val="000000"/>
          <w:lang w:eastAsia="es-ES"/>
        </w:rPr>
        <w:t xml:space="preserve">De acuerdo con el contenido de su solicitud, esta Agencia resolverá </w:t>
      </w:r>
      <w:r>
        <w:rPr>
          <w:rFonts w:ascii="Verdana" w:eastAsia="Calibri" w:hAnsi="Verdana" w:cs="Arial"/>
          <w:color w:val="000000"/>
          <w:lang w:eastAsia="es-ES"/>
        </w:rPr>
        <w:t xml:space="preserve">el siguiente problema jurídico: </w:t>
      </w:r>
      <w:r w:rsidRPr="00BB6D44">
        <w:rPr>
          <w:rFonts w:ascii="Verdana" w:eastAsia="Calibri" w:hAnsi="Verdana" w:cs="Arial"/>
          <w:color w:val="000000"/>
          <w:lang w:eastAsia="es-ES"/>
        </w:rPr>
        <w:t>¿Resultan aplicables las restricciones establecidas en la Ley 996 de 2005 a los docentes de hora cátedra y a los docentes ocasionales, cuya vinculación se realiza conforme a la Ley 30 de 1992</w:t>
      </w:r>
      <w:r>
        <w:rPr>
          <w:rFonts w:ascii="Verdana" w:eastAsia="Calibri" w:hAnsi="Verdana" w:cs="Arial"/>
          <w:color w:val="000000"/>
          <w:lang w:eastAsia="es-ES"/>
        </w:rPr>
        <w:t>?</w:t>
      </w:r>
    </w:p>
    <w:p w14:paraId="5C79BFBD" w14:textId="77777777" w:rsidR="0079629A" w:rsidRDefault="0079629A" w:rsidP="0079629A">
      <w:pPr>
        <w:spacing w:after="0" w:line="276" w:lineRule="auto"/>
        <w:jc w:val="both"/>
        <w:rPr>
          <w:rFonts w:ascii="Verdana" w:eastAsia="Calibri" w:hAnsi="Verdana" w:cs="Arial"/>
          <w:color w:val="000000"/>
          <w:lang w:eastAsia="es-ES"/>
        </w:rPr>
      </w:pPr>
    </w:p>
    <w:p w14:paraId="45BD8FCD" w14:textId="77777777" w:rsidR="0079629A" w:rsidRPr="008E4F36" w:rsidRDefault="0079629A" w:rsidP="0079629A">
      <w:pPr>
        <w:spacing w:after="0" w:line="276" w:lineRule="auto"/>
        <w:jc w:val="both"/>
        <w:rPr>
          <w:rFonts w:ascii="Verdana" w:eastAsia="Century Gothic" w:hAnsi="Verdana" w:cs="Century Gothic"/>
          <w:b/>
          <w:bCs/>
        </w:rPr>
      </w:pPr>
      <w:r w:rsidRPr="008E4F36">
        <w:rPr>
          <w:rFonts w:ascii="Verdana" w:eastAsia="Century Gothic" w:hAnsi="Verdana" w:cs="Century Gothic"/>
          <w:b/>
          <w:bCs/>
        </w:rPr>
        <w:t>2. Respuesta:</w:t>
      </w:r>
    </w:p>
    <w:p w14:paraId="144272A8" w14:textId="77777777" w:rsidR="0079629A" w:rsidRPr="008E4F36" w:rsidRDefault="0079629A" w:rsidP="0079629A">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Ind w:w="-113"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9629A" w:rsidRPr="008E4F36" w14:paraId="4DD4DA21" w14:textId="77777777" w:rsidTr="007710EF">
        <w:tc>
          <w:tcPr>
            <w:tcW w:w="8828" w:type="dxa"/>
          </w:tcPr>
          <w:p w14:paraId="54355FF0" w14:textId="77777777" w:rsidR="0079629A" w:rsidRDefault="0079629A" w:rsidP="007710EF">
            <w:pPr>
              <w:spacing w:after="120" w:line="276" w:lineRule="auto"/>
              <w:jc w:val="both"/>
              <w:rPr>
                <w:rFonts w:ascii="Verdana" w:hAnsi="Verdana"/>
              </w:rPr>
            </w:pPr>
            <w:r w:rsidRPr="00C0042F">
              <w:rPr>
                <w:rFonts w:ascii="Verdana" w:hAnsi="Verdana"/>
              </w:rPr>
              <w:t>De manera general, no resultan aplicables las restricciones establecidas en la Ley 996 de 2005 a la vinculación de los docentes de hora cátedra o a los docentes ocasionales en las instituciones de educación superior oficiales, cuando dicha vinculación se realiza conforme a la Ley 30 de 1992.</w:t>
            </w:r>
          </w:p>
          <w:p w14:paraId="1EAE49EA" w14:textId="77777777" w:rsidR="0079629A" w:rsidRPr="00C0042F" w:rsidRDefault="0079629A" w:rsidP="007710EF">
            <w:pPr>
              <w:spacing w:after="120" w:line="276" w:lineRule="auto"/>
              <w:ind w:firstLine="709"/>
              <w:jc w:val="both"/>
              <w:rPr>
                <w:rFonts w:ascii="Verdana" w:hAnsi="Verdana"/>
              </w:rPr>
            </w:pPr>
            <w:r w:rsidRPr="00C0042F">
              <w:rPr>
                <w:rFonts w:ascii="Verdana" w:hAnsi="Verdana"/>
              </w:rPr>
              <w:t xml:space="preserve">Lo anterior se sustenta en que, según la Ley 30 de 1992 y la jurisprudencia de la Corte Constitucional — </w:t>
            </w:r>
            <w:r w:rsidRPr="00144953">
              <w:rPr>
                <w:rFonts w:ascii="Verdana" w:hAnsi="Verdana"/>
                <w:i/>
                <w:iCs/>
              </w:rPr>
              <w:t>Sentencia C-006 de 1996</w:t>
            </w:r>
            <w:r w:rsidRPr="00C0042F">
              <w:rPr>
                <w:rFonts w:ascii="Verdana" w:hAnsi="Verdana"/>
              </w:rPr>
              <w:t xml:space="preserve"> —, los docentes de hora cátedra y los docentes ocasionales no son empleados </w:t>
            </w:r>
            <w:r w:rsidRPr="00C0042F">
              <w:rPr>
                <w:rFonts w:ascii="Verdana" w:hAnsi="Verdana"/>
              </w:rPr>
              <w:lastRenderedPageBreak/>
              <w:t>públicos ni trabajadores oficiales, y su vinculación corresponde a modalidades especiales y excepcionales, propias del servicio público de educación superior, directamente relacionadas con la función misional de las universidades. Estas formas de vinculación no constituyen la provisión de empleos públicos ni la celebración de contratos estatales en sentido estricto, supuestos a los que se dirigen principalmente las restricciones de la Ley de Garantías Electorales.</w:t>
            </w:r>
          </w:p>
          <w:p w14:paraId="1F5653AD" w14:textId="77777777" w:rsidR="0079629A" w:rsidRPr="00685FC4" w:rsidRDefault="0079629A" w:rsidP="007710EF">
            <w:pPr>
              <w:spacing w:after="120" w:line="276" w:lineRule="auto"/>
              <w:ind w:firstLine="709"/>
              <w:jc w:val="both"/>
              <w:rPr>
                <w:rFonts w:ascii="Verdana" w:hAnsi="Verdana" w:cs="Arial"/>
                <w:lang w:val="es-ES"/>
              </w:rPr>
            </w:pPr>
            <w:r w:rsidRPr="00C0042F">
              <w:rPr>
                <w:rFonts w:ascii="Verdana" w:hAnsi="Verdana"/>
              </w:rPr>
              <w:t>En consecuencia, la vinculación o renovación de docentes de hora cátedra y docentes ocasionales no se subsume automáticamente dentro de las prohibiciones de la Ley 996 de 2005. No obstante, corresponde a cada institución de educación superior analizar, en cada caso concreto, que la vinculación responda a necesidades académicas reales y se ajuste al marco legal vigente, sin desnaturalizar la figura ni contrariar las finalidades de la Ley de Garantías.</w:t>
            </w:r>
          </w:p>
        </w:tc>
      </w:tr>
    </w:tbl>
    <w:p w14:paraId="79C10C5C" w14:textId="77777777" w:rsidR="0079629A" w:rsidRDefault="0079629A" w:rsidP="0079629A">
      <w:pPr>
        <w:tabs>
          <w:tab w:val="left" w:pos="142"/>
          <w:tab w:val="left" w:pos="284"/>
        </w:tabs>
        <w:spacing w:after="0" w:line="276" w:lineRule="auto"/>
        <w:jc w:val="both"/>
        <w:rPr>
          <w:rFonts w:ascii="Verdana" w:eastAsia="Century Gothic" w:hAnsi="Verdana" w:cs="Century Gothic"/>
          <w:b/>
          <w:bCs/>
        </w:rPr>
      </w:pPr>
    </w:p>
    <w:p w14:paraId="7E042698" w14:textId="77777777" w:rsidR="0079629A" w:rsidRPr="00DF1C88" w:rsidRDefault="0079629A" w:rsidP="0041548E">
      <w:pPr>
        <w:tabs>
          <w:tab w:val="left" w:pos="142"/>
          <w:tab w:val="left" w:pos="284"/>
        </w:tabs>
        <w:spacing w:afterLines="120" w:after="288" w:line="276" w:lineRule="auto"/>
        <w:jc w:val="both"/>
        <w:rPr>
          <w:rFonts w:ascii="Verdana" w:eastAsia="Century Gothic" w:hAnsi="Verdana" w:cs="Century Gothic"/>
          <w:b/>
          <w:bCs/>
        </w:rPr>
      </w:pPr>
      <w:r w:rsidRPr="008E4F36">
        <w:rPr>
          <w:rFonts w:ascii="Verdana" w:eastAsia="Century Gothic" w:hAnsi="Verdana" w:cs="Century Gothic"/>
          <w:b/>
          <w:bCs/>
        </w:rPr>
        <w:t>3. Razones de la respuesta:</w:t>
      </w:r>
    </w:p>
    <w:p w14:paraId="00499B1F" w14:textId="77777777" w:rsidR="0079629A" w:rsidRDefault="0079629A" w:rsidP="0041548E">
      <w:pPr>
        <w:tabs>
          <w:tab w:val="left" w:pos="426"/>
        </w:tabs>
        <w:spacing w:before="100" w:beforeAutospacing="1" w:afterLines="120" w:after="288" w:line="276" w:lineRule="auto"/>
        <w:ind w:firstLine="709"/>
        <w:jc w:val="both"/>
        <w:rPr>
          <w:rFonts w:ascii="Verdana" w:eastAsia="Calibri" w:hAnsi="Verdana" w:cs="Arial"/>
          <w:lang w:val="es-ES"/>
        </w:rPr>
      </w:pPr>
      <w:r>
        <w:rPr>
          <w:rFonts w:ascii="Verdana" w:eastAsia="Calibri" w:hAnsi="Verdana" w:cs="Arial"/>
          <w:lang w:val="es-ES"/>
        </w:rPr>
        <w:t xml:space="preserve">La </w:t>
      </w:r>
      <w:r w:rsidRPr="00FC6F34">
        <w:rPr>
          <w:rFonts w:ascii="Verdana" w:eastAsia="Times New Roman" w:hAnsi="Verdana" w:cs="Arial"/>
          <w:lang w:val="es-ES" w:eastAsia="es-CO"/>
        </w:rPr>
        <w:t>Ley 996 de 2005, conocida como “Ley de Garantías Electorales”,</w:t>
      </w:r>
      <w:r>
        <w:rPr>
          <w:rFonts w:ascii="Verdana" w:eastAsia="Times New Roman" w:hAnsi="Verdana" w:cs="Arial"/>
          <w:lang w:val="es-ES" w:eastAsia="es-CO"/>
        </w:rPr>
        <w:t xml:space="preserve"> hace parte del</w:t>
      </w:r>
      <w:r w:rsidRPr="00FC6F34">
        <w:rPr>
          <w:rFonts w:ascii="Verdana" w:eastAsia="Times New Roman" w:hAnsi="Verdana" w:cs="Arial"/>
          <w:lang w:val="es-ES" w:eastAsia="es-CO"/>
        </w:rPr>
        <w:t xml:space="preserve">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w:t>
      </w:r>
      <w:r>
        <w:rPr>
          <w:rFonts w:ascii="Verdana" w:eastAsia="Times New Roman" w:hAnsi="Verdana" w:cs="Arial"/>
          <w:lang w:val="es-ES" w:eastAsia="es-CO"/>
        </w:rPr>
        <w:t xml:space="preserve"> en los procesos electorales</w:t>
      </w:r>
      <w:r w:rsidRPr="00FC6F34">
        <w:rPr>
          <w:rFonts w:ascii="Verdana" w:eastAsia="Times New Roman" w:hAnsi="Verdana" w:cs="Arial"/>
          <w:vertAlign w:val="superscript"/>
          <w:lang w:val="es-ES" w:eastAsia="es-CO"/>
        </w:rPr>
        <w:footnoteReference w:id="1"/>
      </w:r>
      <w:r w:rsidRPr="00FC6F34">
        <w:rPr>
          <w:rFonts w:ascii="Verdana" w:eastAsia="Times New Roman" w:hAnsi="Verdana" w:cs="Arial"/>
          <w:lang w:val="es-ES" w:eastAsia="es-CO"/>
        </w:rPr>
        <w:t>. En esta medida, introduce limitaciones para realizar nombramientos, postulaciones, contrataciones o cualquier otro tipo de actividad que implique destinación de recursos públicos bajo el devenir propio de las Entidades Estatales.</w:t>
      </w:r>
      <w:r w:rsidRPr="00FC6F34">
        <w:rPr>
          <w:rFonts w:ascii="Verdana" w:eastAsia="Calibri" w:hAnsi="Verdana" w:cs="Arial"/>
          <w:lang w:val="es-ES"/>
        </w:rPr>
        <w:t xml:space="preserve"> </w:t>
      </w:r>
    </w:p>
    <w:p w14:paraId="22D09828" w14:textId="77777777" w:rsidR="0079629A" w:rsidRPr="00B57FDA" w:rsidRDefault="0079629A" w:rsidP="0041548E">
      <w:pPr>
        <w:tabs>
          <w:tab w:val="left" w:pos="426"/>
        </w:tabs>
        <w:spacing w:before="100" w:beforeAutospacing="1" w:afterLines="120" w:after="288" w:line="276" w:lineRule="auto"/>
        <w:ind w:firstLine="709"/>
        <w:jc w:val="both"/>
        <w:rPr>
          <w:rFonts w:ascii="Verdana" w:eastAsia="Calibri" w:hAnsi="Verdana" w:cs="Arial"/>
          <w:lang w:val="es-ES"/>
        </w:rPr>
      </w:pPr>
      <w:r w:rsidRPr="00FC6F34">
        <w:rPr>
          <w:rFonts w:ascii="Verdana" w:eastAsia="Times New Roman" w:hAnsi="Verdana" w:cs="Arial"/>
          <w:lang w:val="es-ES" w:eastAsia="es-CO"/>
        </w:rPr>
        <w:t>En armonía con lo anterior, la Corte Constitucional ha abordado la definición de la Ley de Garantías Electorales. De esta manera, explica que tiene como propósito:</w:t>
      </w:r>
    </w:p>
    <w:p w14:paraId="3769EA3C" w14:textId="77777777" w:rsidR="0079629A" w:rsidRPr="00FC6F34" w:rsidRDefault="0079629A" w:rsidP="0041548E">
      <w:pPr>
        <w:spacing w:before="100" w:beforeAutospacing="1" w:afterLines="120" w:after="288" w:line="240" w:lineRule="auto"/>
        <w:ind w:left="709" w:right="709" w:firstLine="709"/>
        <w:contextualSpacing/>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 la definición de reglas claras que permitan acceder a los canales de expresión democrática de manera efectiva e igualitaria. El objetivo de una ley de garantías es definir esas reglas.</w:t>
      </w:r>
    </w:p>
    <w:p w14:paraId="754BCE65" w14:textId="77777777" w:rsidR="0079629A" w:rsidRPr="00FC6F34" w:rsidRDefault="0079629A" w:rsidP="0041548E">
      <w:pPr>
        <w:spacing w:before="100" w:beforeAutospacing="1" w:afterLines="120" w:after="288" w:line="240" w:lineRule="auto"/>
        <w:ind w:left="709" w:right="709" w:firstLine="709"/>
        <w:contextualSpacing/>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 xml:space="preserve">[…] </w:t>
      </w:r>
    </w:p>
    <w:p w14:paraId="7839E748" w14:textId="77777777" w:rsidR="0079629A" w:rsidRDefault="0079629A" w:rsidP="0041548E">
      <w:pPr>
        <w:spacing w:before="100" w:beforeAutospacing="1" w:afterLines="120" w:after="288" w:line="240" w:lineRule="auto"/>
        <w:ind w:left="709" w:right="709" w:firstLine="709"/>
        <w:contextualSpacing/>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lastRenderedPageBreak/>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FC6F34">
        <w:rPr>
          <w:rFonts w:ascii="Verdana" w:eastAsia="Calibri" w:hAnsi="Verdana" w:cs="Arial"/>
          <w:sz w:val="20"/>
          <w:szCs w:val="20"/>
          <w:vertAlign w:val="superscript"/>
          <w:lang w:val="es-ES"/>
        </w:rPr>
        <w:footnoteReference w:id="2"/>
      </w:r>
    </w:p>
    <w:p w14:paraId="19BB1721" w14:textId="77777777" w:rsidR="00211242" w:rsidRPr="00B57FDA" w:rsidRDefault="00211242" w:rsidP="0041548E">
      <w:pPr>
        <w:spacing w:before="100" w:beforeAutospacing="1" w:afterLines="120" w:after="288" w:line="240" w:lineRule="auto"/>
        <w:ind w:left="709" w:right="709" w:firstLine="709"/>
        <w:contextualSpacing/>
        <w:jc w:val="both"/>
        <w:rPr>
          <w:rFonts w:ascii="Verdana" w:eastAsia="Times New Roman" w:hAnsi="Verdana" w:cs="Arial"/>
          <w:sz w:val="20"/>
          <w:szCs w:val="20"/>
          <w:lang w:val="es-ES" w:eastAsia="es-CO"/>
        </w:rPr>
      </w:pPr>
    </w:p>
    <w:p w14:paraId="606AB941" w14:textId="77777777" w:rsidR="0079629A" w:rsidRDefault="0079629A" w:rsidP="0041548E">
      <w:pPr>
        <w:spacing w:before="100" w:beforeAutospacing="1" w:afterLines="120" w:after="288" w:line="276" w:lineRule="auto"/>
        <w:ind w:firstLine="709"/>
        <w:jc w:val="both"/>
        <w:rPr>
          <w:rFonts w:ascii="Verdana" w:eastAsia="Times New Roman" w:hAnsi="Verdana" w:cs="Arial"/>
          <w:lang w:val="es-ES" w:eastAsia="es-CO"/>
        </w:rPr>
      </w:pPr>
      <w:r w:rsidRPr="00FC6F34">
        <w:rPr>
          <w:rFonts w:ascii="Verdana" w:eastAsia="Times New Roman" w:hAnsi="Verdana" w:cs="Arial"/>
          <w:lang w:val="es-ES" w:eastAsia="es-CO"/>
        </w:rPr>
        <w:t>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normas prohibitivas, deben interpretarse restrictivamente. En efecto, la Sala de Consulta y Servicio Civil del Consejo de Estado, precisó:</w:t>
      </w:r>
    </w:p>
    <w:p w14:paraId="7951D571" w14:textId="77777777" w:rsidR="0079629A" w:rsidRPr="00D279E4" w:rsidRDefault="0079629A" w:rsidP="0041548E">
      <w:pPr>
        <w:spacing w:before="100" w:beforeAutospacing="1" w:afterLines="120" w:after="288" w:line="240" w:lineRule="auto"/>
        <w:ind w:left="709" w:right="709" w:firstLine="709"/>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FC6F34">
        <w:rPr>
          <w:rFonts w:ascii="Verdana" w:eastAsia="Times New Roman" w:hAnsi="Verdana" w:cs="Arial"/>
          <w:sz w:val="20"/>
          <w:szCs w:val="20"/>
          <w:lang w:val="es-ES" w:eastAsia="es-CO"/>
        </w:rPr>
        <w:t>legis</w:t>
      </w:r>
      <w:proofErr w:type="spellEnd"/>
      <w:r w:rsidRPr="00FC6F34">
        <w:rPr>
          <w:rFonts w:ascii="Verdana" w:eastAsia="Times New Roman" w:hAnsi="Verdana" w:cs="Arial"/>
          <w:sz w:val="20"/>
          <w:szCs w:val="20"/>
          <w:lang w:val="es-ES"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w:t>
      </w:r>
      <w:r>
        <w:rPr>
          <w:rFonts w:ascii="Verdana" w:eastAsia="Times New Roman" w:hAnsi="Verdana" w:cs="Arial"/>
          <w:sz w:val="20"/>
          <w:szCs w:val="20"/>
          <w:lang w:val="es-ES" w:eastAsia="es-CO"/>
        </w:rPr>
        <w:t>e</w:t>
      </w:r>
      <w:r w:rsidRPr="00FC6F34">
        <w:rPr>
          <w:rFonts w:ascii="Verdana" w:eastAsia="Times New Roman" w:hAnsi="Verdana" w:cs="Arial"/>
          <w:sz w:val="20"/>
          <w:szCs w:val="20"/>
          <w:lang w:val="es-ES" w:eastAsia="es-CO"/>
        </w:rPr>
        <w:t>rdo o convenio o acto unilateral</w:t>
      </w:r>
    </w:p>
    <w:p w14:paraId="5376404B" w14:textId="77777777" w:rsidR="0079629A" w:rsidRPr="00C360CD" w:rsidRDefault="0079629A" w:rsidP="0041548E">
      <w:pPr>
        <w:spacing w:before="100" w:beforeAutospacing="1" w:afterLines="120" w:after="288" w:line="240" w:lineRule="auto"/>
        <w:ind w:left="709" w:right="709" w:firstLine="709"/>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La jurisprudencia de la Corte Constitucional</w:t>
      </w:r>
      <w:r w:rsidRPr="00FC6F34">
        <w:rPr>
          <w:rFonts w:ascii="Verdana" w:eastAsia="Times New Roman" w:hAnsi="Verdana" w:cs="Arial"/>
          <w:sz w:val="20"/>
          <w:szCs w:val="20"/>
          <w:vertAlign w:val="superscript"/>
          <w:lang w:val="es-ES" w:eastAsia="es-CO"/>
        </w:rPr>
        <w:footnoteReference w:id="3"/>
      </w:r>
      <w:r w:rsidRPr="00FC6F34">
        <w:rPr>
          <w:rFonts w:ascii="Verdana" w:eastAsia="Times New Roman" w:hAnsi="Verdana" w:cs="Arial"/>
          <w:sz w:val="20"/>
          <w:szCs w:val="20"/>
          <w:lang w:val="es-ES" w:eastAsia="es-CO"/>
        </w:rPr>
        <w:t> y del Consejo de Estado</w:t>
      </w:r>
      <w:r w:rsidRPr="00FC6F34">
        <w:rPr>
          <w:rFonts w:ascii="Verdana" w:eastAsia="Times New Roman" w:hAnsi="Verdana" w:cs="Arial"/>
          <w:sz w:val="20"/>
          <w:szCs w:val="20"/>
          <w:vertAlign w:val="superscript"/>
          <w:lang w:val="es-ES" w:eastAsia="es-CO"/>
        </w:rPr>
        <w:footnoteReference w:id="4"/>
      </w:r>
      <w:r w:rsidRPr="00FC6F34">
        <w:rPr>
          <w:rFonts w:ascii="Verdana" w:eastAsia="Times New Roman" w:hAnsi="Verdana" w:cs="Arial"/>
          <w:sz w:val="20"/>
          <w:szCs w:val="20"/>
          <w:lang w:val="es-ES" w:eastAsia="es-CO"/>
        </w:rPr>
        <w:t xml:space="preserve">, coinciden en que las normas que establecen prohibiciones deben estar de manera explícita en la Constitución o en la ley y no podrán ser </w:t>
      </w:r>
      <w:r w:rsidRPr="00FC6F34">
        <w:rPr>
          <w:rFonts w:ascii="Verdana" w:eastAsia="Times New Roman" w:hAnsi="Verdana" w:cs="Arial"/>
          <w:sz w:val="20"/>
          <w:szCs w:val="20"/>
          <w:lang w:val="es-ES" w:eastAsia="es-CO"/>
        </w:rPr>
        <w:lastRenderedPageBreak/>
        <w:t>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FC6F34">
        <w:rPr>
          <w:rFonts w:ascii="Verdana" w:eastAsia="Times New Roman" w:hAnsi="Verdana" w:cs="Arial"/>
          <w:sz w:val="20"/>
          <w:szCs w:val="20"/>
          <w:vertAlign w:val="superscript"/>
          <w:lang w:val="es-ES" w:eastAsia="es-CO"/>
        </w:rPr>
        <w:footnoteReference w:id="5"/>
      </w:r>
      <w:r w:rsidRPr="00FC6F34">
        <w:rPr>
          <w:rFonts w:ascii="Verdana" w:eastAsia="Times New Roman" w:hAnsi="Verdana" w:cs="Arial"/>
          <w:sz w:val="20"/>
          <w:szCs w:val="20"/>
          <w:lang w:val="es-ES" w:eastAsia="es-CO"/>
        </w:rPr>
        <w:t>.</w:t>
      </w:r>
    </w:p>
    <w:p w14:paraId="7A8D5AFA" w14:textId="77777777" w:rsidR="0079629A" w:rsidRDefault="0079629A" w:rsidP="0041548E">
      <w:pPr>
        <w:spacing w:before="100" w:beforeAutospacing="1" w:afterLines="120" w:after="288" w:line="276" w:lineRule="auto"/>
        <w:ind w:firstLine="709"/>
        <w:jc w:val="both"/>
        <w:rPr>
          <w:rFonts w:ascii="Verdana" w:eastAsia="Arial" w:hAnsi="Verdana" w:cs="Arial"/>
          <w:lang w:val="es-ES" w:eastAsia="es-ES" w:bidi="es-ES"/>
        </w:rPr>
      </w:pPr>
      <w:r w:rsidRPr="00FC6F34">
        <w:rPr>
          <w:rFonts w:ascii="Verdana" w:eastAsia="Times New Roman" w:hAnsi="Verdana" w:cs="Arial"/>
          <w:lang w:val="es-ES" w:eastAsia="es-CO"/>
        </w:rPr>
        <w:t>De</w:t>
      </w:r>
      <w:r w:rsidRPr="00FC6F34">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w:t>
      </w:r>
    </w:p>
    <w:p w14:paraId="1BE831F1" w14:textId="77777777" w:rsidR="0079629A" w:rsidRDefault="0079629A" w:rsidP="0041548E">
      <w:pPr>
        <w:spacing w:before="100" w:beforeAutospacing="1" w:afterLines="120" w:after="288"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t>Las restricciones consagradas en la Ley de Garantías se dirigen a dos (2) tipos de campañas electorales diferenciadas: las presidenciales y las que se adelanten para la elección de los demás cargos de elección popular, tanto a nivel nacional como territorial.</w:t>
      </w:r>
    </w:p>
    <w:p w14:paraId="35D0AD9D" w14:textId="77777777" w:rsidR="0079629A" w:rsidRPr="00FC6F34" w:rsidRDefault="0079629A" w:rsidP="0041548E">
      <w:pPr>
        <w:spacing w:before="100" w:beforeAutospacing="1" w:afterLines="120" w:after="288" w:line="276" w:lineRule="auto"/>
        <w:ind w:firstLine="709"/>
        <w:jc w:val="both"/>
        <w:rPr>
          <w:rFonts w:ascii="Verdana" w:eastAsia="Calibri" w:hAnsi="Verdana" w:cs="Arial"/>
          <w:lang w:val="es-ES"/>
        </w:rPr>
      </w:pPr>
      <w:r w:rsidRPr="00FC6F34">
        <w:rPr>
          <w:rFonts w:ascii="Verdana" w:eastAsia="Calibri" w:hAnsi="Verdana" w:cs="Arial"/>
          <w:lang w:val="es-ES"/>
        </w:rPr>
        <w:t xml:space="preserve">Por un lado, el </w:t>
      </w:r>
      <w:r w:rsidRPr="00FC6F34">
        <w:rPr>
          <w:rFonts w:ascii="Verdana" w:eastAsia="Calibri" w:hAnsi="Verdana" w:cs="Arial"/>
          <w:i/>
          <w:iCs/>
          <w:lang w:val="es-ES"/>
        </w:rPr>
        <w:t xml:space="preserve">artículo 33 </w:t>
      </w:r>
      <w:r w:rsidRPr="00FC6F34">
        <w:rPr>
          <w:rFonts w:ascii="Verdana" w:eastAsia="Calibri" w:hAnsi="Verdana" w:cs="Arial"/>
          <w:lang w:val="es-ES"/>
        </w:rPr>
        <w:t xml:space="preserve">de la Ley 996 de 2005 prohíbe “[…] la contratación directa por parte de </w:t>
      </w:r>
      <w:r w:rsidRPr="00FC6F34">
        <w:rPr>
          <w:rFonts w:ascii="Verdana" w:eastAsia="Calibri" w:hAnsi="Verdana" w:cs="Arial"/>
          <w:i/>
          <w:iCs/>
          <w:lang w:val="es-ES"/>
        </w:rPr>
        <w:t>todos los entes del Estado</w:t>
      </w:r>
      <w:r w:rsidRPr="00FC6F34">
        <w:rPr>
          <w:rFonts w:ascii="Verdana" w:eastAsia="Calibri" w:hAnsi="Verdana" w:cs="Arial"/>
          <w:lang w:val="es-ES"/>
        </w:rPr>
        <w:t xml:space="preserve">” durante los cuatro (4) meses anteriores a las </w:t>
      </w:r>
      <w:r w:rsidRPr="00FC6F34">
        <w:rPr>
          <w:rFonts w:ascii="Verdana" w:eastAsia="Calibri" w:hAnsi="Verdana" w:cs="Arial"/>
          <w:i/>
          <w:iCs/>
          <w:lang w:val="es-ES"/>
        </w:rPr>
        <w:t>elecciones presidenciales</w:t>
      </w:r>
      <w:r w:rsidRPr="00FC6F34">
        <w:rPr>
          <w:rFonts w:ascii="Verdana" w:eastAsia="Calibri" w:hAnsi="Verdana" w:cs="Arial"/>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FC6F34">
        <w:rPr>
          <w:rFonts w:ascii="Verdana" w:eastAsia="Calibri" w:hAnsi="Verdana" w:cs="Arial"/>
          <w:vertAlign w:val="superscript"/>
          <w:lang w:val="es-ES"/>
        </w:rPr>
        <w:footnoteReference w:id="6"/>
      </w:r>
      <w:r w:rsidRPr="00FC6F34">
        <w:rPr>
          <w:rFonts w:ascii="Verdana" w:eastAsia="Calibri" w:hAnsi="Verdana" w:cs="Arial"/>
          <w:lang w:val="es-ES"/>
        </w:rPr>
        <w:t>.</w:t>
      </w:r>
    </w:p>
    <w:p w14:paraId="21A12951" w14:textId="77777777" w:rsidR="0079629A" w:rsidRPr="00FC6F34" w:rsidRDefault="0079629A" w:rsidP="0041548E">
      <w:pPr>
        <w:widowControl w:val="0"/>
        <w:autoSpaceDE w:val="0"/>
        <w:autoSpaceDN w:val="0"/>
        <w:spacing w:before="100" w:beforeAutospacing="1" w:afterLines="120" w:after="288" w:line="276" w:lineRule="auto"/>
        <w:ind w:right="113" w:firstLine="709"/>
        <w:jc w:val="both"/>
        <w:rPr>
          <w:rFonts w:ascii="Verdana" w:eastAsia="Arial" w:hAnsi="Verdana" w:cs="Arial"/>
          <w:lang w:val="es-ES" w:eastAsia="es-ES" w:bidi="es-ES"/>
        </w:rPr>
      </w:pPr>
      <w:r w:rsidRPr="00FC6F34">
        <w:rPr>
          <w:rFonts w:ascii="Verdana" w:eastAsia="Calibri" w:hAnsi="Verdana" w:cs="Arial"/>
          <w:lang w:val="es-ES"/>
        </w:rPr>
        <w:lastRenderedPageBreak/>
        <w:t xml:space="preserve">Por otro lado, </w:t>
      </w:r>
      <w:r w:rsidRPr="00FC6F34">
        <w:rPr>
          <w:rFonts w:ascii="Verdana" w:eastAsia="Calibri" w:hAnsi="Verdana" w:cs="Arial"/>
          <w:i/>
          <w:iCs/>
          <w:lang w:val="es-ES"/>
        </w:rPr>
        <w:t xml:space="preserve">el parágrafo del artículo 38 </w:t>
      </w:r>
      <w:r w:rsidRPr="00FC6F34">
        <w:rPr>
          <w:rFonts w:ascii="Verdana" w:eastAsia="Calibri" w:hAnsi="Verdana" w:cs="Arial"/>
          <w:lang w:val="es-ES"/>
        </w:rPr>
        <w:t xml:space="preserve">de la Ley 996 de 2005 prevé una restricción, aplicable respecto de </w:t>
      </w:r>
      <w:r w:rsidRPr="00FC6F34">
        <w:rPr>
          <w:rFonts w:ascii="Verdana" w:eastAsia="Calibri" w:hAnsi="Verdana" w:cs="Arial"/>
          <w:i/>
          <w:iCs/>
          <w:lang w:val="es-ES"/>
        </w:rPr>
        <w:t>cualquier tipo de contienda electoral</w:t>
      </w:r>
      <w:r w:rsidRPr="00FC6F34">
        <w:rPr>
          <w:rFonts w:ascii="Verdana" w:eastAsia="Calibri" w:hAnsi="Verdana" w:cs="Arial"/>
          <w:lang w:val="es-ES"/>
        </w:rPr>
        <w:t>,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lang w:val="es-ES"/>
        </w:rPr>
        <w:t xml:space="preserve"> </w:t>
      </w:r>
      <w:r w:rsidRPr="00C83C16">
        <w:rPr>
          <w:rFonts w:ascii="Verdana" w:eastAsia="Calibri" w:hAnsi="Verdana" w:cs="Arial"/>
        </w:rPr>
        <w:t> en las que participen los candidatos a cargos de elección popular. Tampoco podrán hacerlo cuando participen voceros de los candidatos.</w:t>
      </w:r>
      <w:r w:rsidRPr="00FC6F34">
        <w:rPr>
          <w:rFonts w:ascii="Verdana" w:eastAsia="Calibri" w:hAnsi="Verdana" w:cs="Arial"/>
          <w:lang w:val="es-ES"/>
        </w:rPr>
        <w:t>”</w:t>
      </w:r>
      <w:r w:rsidRPr="00FC6F34">
        <w:rPr>
          <w:rFonts w:ascii="Verdana" w:eastAsia="Calibri" w:hAnsi="Verdana" w:cs="Arial"/>
          <w:vertAlign w:val="superscript"/>
          <w:lang w:val="es-ES"/>
        </w:rPr>
        <w:footnoteReference w:id="7"/>
      </w:r>
      <w:r w:rsidRPr="00FC6F34">
        <w:rPr>
          <w:rFonts w:ascii="Verdana" w:eastAsia="Calibri" w:hAnsi="Verdana" w:cs="Arial"/>
          <w:lang w:val="es-ES"/>
        </w:rPr>
        <w:t>.</w:t>
      </w:r>
      <w:r w:rsidRPr="00FC6F34">
        <w:rPr>
          <w:rFonts w:ascii="Verdana" w:eastAsia="Arial" w:hAnsi="Verdana" w:cs="Arial"/>
          <w:lang w:val="es-ES" w:eastAsia="es-ES" w:bidi="es-ES"/>
        </w:rPr>
        <w:t xml:space="preserve"> </w:t>
      </w:r>
    </w:p>
    <w:p w14:paraId="3EBAD4A1" w14:textId="77777777" w:rsidR="0079629A" w:rsidRDefault="0079629A" w:rsidP="0041548E">
      <w:pPr>
        <w:widowControl w:val="0"/>
        <w:autoSpaceDE w:val="0"/>
        <w:autoSpaceDN w:val="0"/>
        <w:spacing w:before="100" w:beforeAutospacing="1" w:afterLines="120" w:after="288" w:line="276" w:lineRule="auto"/>
        <w:ind w:right="113" w:firstLine="709"/>
        <w:contextualSpacing/>
        <w:jc w:val="both"/>
        <w:rPr>
          <w:rFonts w:ascii="Verdana" w:eastAsia="Arial" w:hAnsi="Verdana" w:cs="Arial"/>
          <w:lang w:val="es-ES" w:eastAsia="es-ES" w:bidi="es-ES"/>
        </w:rPr>
      </w:pPr>
      <w:r w:rsidRPr="00FC6F34">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señala:</w:t>
      </w:r>
    </w:p>
    <w:p w14:paraId="1F1CC696" w14:textId="77777777" w:rsidR="004F492A" w:rsidRPr="00FC6F34" w:rsidRDefault="004F492A" w:rsidP="0041548E">
      <w:pPr>
        <w:widowControl w:val="0"/>
        <w:autoSpaceDE w:val="0"/>
        <w:autoSpaceDN w:val="0"/>
        <w:spacing w:before="100" w:beforeAutospacing="1" w:afterLines="120" w:after="288" w:line="276" w:lineRule="auto"/>
        <w:ind w:right="113" w:firstLine="709"/>
        <w:contextualSpacing/>
        <w:jc w:val="both"/>
        <w:rPr>
          <w:rFonts w:ascii="Verdana" w:eastAsia="Arial" w:hAnsi="Verdana" w:cs="Arial"/>
          <w:lang w:val="es-ES" w:eastAsia="es-ES" w:bidi="es-ES"/>
        </w:rPr>
      </w:pPr>
    </w:p>
    <w:p w14:paraId="18C4394B" w14:textId="303A3117" w:rsidR="00CF1D47" w:rsidRPr="00FC6F34" w:rsidRDefault="0079629A" w:rsidP="006E20B5">
      <w:pPr>
        <w:widowControl w:val="0"/>
        <w:autoSpaceDE w:val="0"/>
        <w:autoSpaceDN w:val="0"/>
        <w:spacing w:before="100" w:beforeAutospacing="1" w:afterLines="120" w:after="288" w:line="240" w:lineRule="auto"/>
        <w:ind w:left="709" w:right="709" w:firstLine="709"/>
        <w:jc w:val="both"/>
        <w:rPr>
          <w:rFonts w:ascii="Verdana" w:eastAsia="Arial" w:hAnsi="Verdana" w:cs="Arial"/>
          <w:sz w:val="20"/>
          <w:szCs w:val="20"/>
          <w:lang w:val="es-ES" w:eastAsia="es-ES" w:bidi="es-ES"/>
        </w:rPr>
      </w:pPr>
      <w:r w:rsidRPr="00FC6F34">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FC6F34">
        <w:rPr>
          <w:rFonts w:ascii="Verdana" w:eastAsia="Arial" w:hAnsi="Verdana" w:cs="Arial"/>
          <w:sz w:val="20"/>
          <w:szCs w:val="20"/>
          <w:lang w:val="es-ES" w:eastAsia="es-ES" w:bidi="es-ES"/>
        </w:rPr>
        <w:t>Presidente</w:t>
      </w:r>
      <w:proofErr w:type="gramEnd"/>
      <w:r w:rsidRPr="00FC6F34">
        <w:rPr>
          <w:rFonts w:ascii="Verdana" w:eastAsia="Arial" w:hAnsi="Verdana" w:cs="Arial"/>
          <w:sz w:val="20"/>
          <w:szCs w:val="20"/>
          <w:lang w:val="es-ES" w:eastAsia="es-ES" w:bidi="es-ES"/>
        </w:rPr>
        <w:t xml:space="preserve"> de la República, a las autoridades territoriales allí mencionadas sólo se aplican las </w:t>
      </w:r>
      <w:r w:rsidRPr="00FC6F34">
        <w:rPr>
          <w:rFonts w:ascii="Verdana" w:eastAsia="Arial" w:hAnsi="Verdana" w:cs="Arial"/>
          <w:sz w:val="20"/>
          <w:szCs w:val="20"/>
          <w:lang w:val="es-ES" w:eastAsia="es-ES" w:bidi="es-ES"/>
        </w:rPr>
        <w:lastRenderedPageBreak/>
        <w:t>restricciones contenidas en el parágrafo del artículo 38”.</w:t>
      </w:r>
      <w:r w:rsidRPr="00FC6F34">
        <w:rPr>
          <w:rFonts w:ascii="Verdana" w:eastAsia="Arial" w:hAnsi="Verdana" w:cs="Arial"/>
          <w:sz w:val="20"/>
          <w:szCs w:val="20"/>
          <w:vertAlign w:val="superscript"/>
          <w:lang w:val="es-ES" w:eastAsia="es-ES" w:bidi="es-ES"/>
        </w:rPr>
        <w:footnoteReference w:id="8"/>
      </w:r>
    </w:p>
    <w:p w14:paraId="4E49202A" w14:textId="77777777" w:rsidR="0079629A" w:rsidRPr="00FC6F34" w:rsidRDefault="0079629A" w:rsidP="004F492A">
      <w:pPr>
        <w:spacing w:before="100" w:beforeAutospacing="1" w:afterLines="120" w:after="288"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sidRPr="00FC6F34">
        <w:rPr>
          <w:rFonts w:ascii="Verdana" w:eastAsia="Arial" w:hAnsi="Verdana" w:cs="Arial"/>
          <w:i/>
          <w:lang w:val="es-ES" w:eastAsia="es-ES" w:bidi="es-ES"/>
        </w:rPr>
        <w:t>En primer lugar</w:t>
      </w:r>
      <w:r w:rsidRPr="00FC6F34">
        <w:rPr>
          <w:rFonts w:ascii="Verdana" w:eastAsia="Arial" w:hAnsi="Verdana" w:cs="Arial"/>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FC6F34">
        <w:rPr>
          <w:rFonts w:ascii="Verdana" w:eastAsia="Arial" w:hAnsi="Verdana" w:cs="Arial"/>
          <w:i/>
          <w:lang w:val="es-ES" w:eastAsia="es-ES" w:bidi="es-ES"/>
        </w:rPr>
        <w:t>En segundo lugar</w:t>
      </w:r>
      <w:r w:rsidRPr="00FC6F34">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6663C206" w14:textId="77777777" w:rsidR="0079629A" w:rsidRDefault="0079629A" w:rsidP="0041548E">
      <w:pPr>
        <w:spacing w:before="100" w:beforeAutospacing="1" w:afterLines="120" w:after="288"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FC6F34">
        <w:rPr>
          <w:rFonts w:ascii="Verdana" w:eastAsia="Arial" w:hAnsi="Verdana" w:cs="Arial"/>
          <w:lang w:val="es-ES" w:eastAsia="es-ES" w:bidi="es-ES"/>
        </w:rPr>
        <w:t>Presidente</w:t>
      </w:r>
      <w:proofErr w:type="gramEnd"/>
      <w:r w:rsidRPr="00FC6F34">
        <w:rPr>
          <w:rFonts w:ascii="Verdana" w:eastAsia="Arial" w:hAnsi="Verdana" w:cs="Arial"/>
          <w:lang w:val="es-ES" w:eastAsia="es-ES" w:bidi="es-ES"/>
        </w:rPr>
        <w:t xml:space="preserve"> de la República, aplican las restricciones del artículo 33 con sus excepciones, así como las del parágrafo del artículo 38, a todos los entes del Estado. En cambio, tratándose de elecciones en general, excluyendo las correspondientes al </w:t>
      </w:r>
      <w:proofErr w:type="gramStart"/>
      <w:r w:rsidRPr="00FC6F34">
        <w:rPr>
          <w:rFonts w:ascii="Verdana" w:eastAsia="Arial" w:hAnsi="Verdana" w:cs="Arial"/>
          <w:lang w:val="es-ES" w:eastAsia="es-ES" w:bidi="es-ES"/>
        </w:rPr>
        <w:t>Presidente</w:t>
      </w:r>
      <w:proofErr w:type="gramEnd"/>
      <w:r w:rsidRPr="00FC6F34">
        <w:rPr>
          <w:rFonts w:ascii="Verdana" w:eastAsia="Arial" w:hAnsi="Verdana" w:cs="Arial"/>
          <w:lang w:val="es-ES" w:eastAsia="es-ES" w:bidi="es-ES"/>
        </w:rPr>
        <w:t xml:space="preserve"> de la República, las autoridades allí mencionadas sólo deben aplicar las restricciones contenidas en el parágrafo del artículo 38.</w:t>
      </w:r>
    </w:p>
    <w:p w14:paraId="1C17470F" w14:textId="77777777" w:rsidR="0079629A" w:rsidRDefault="0079629A" w:rsidP="0041548E">
      <w:pPr>
        <w:widowControl w:val="0"/>
        <w:autoSpaceDE w:val="0"/>
        <w:autoSpaceDN w:val="0"/>
        <w:spacing w:before="100" w:beforeAutospacing="1" w:afterLines="120" w:after="288" w:line="276" w:lineRule="auto"/>
        <w:ind w:firstLine="709"/>
        <w:jc w:val="both"/>
        <w:rPr>
          <w:rFonts w:ascii="Verdana" w:eastAsia="Arial MT" w:hAnsi="Verdana" w:cs="Arial"/>
          <w:lang w:eastAsia="es-ES" w:bidi="es-ES"/>
        </w:rPr>
      </w:pPr>
      <w:r w:rsidRPr="006A09D6">
        <w:rPr>
          <w:rFonts w:ascii="Verdana" w:eastAsia="Arial MT" w:hAnsi="Verdana" w:cs="Arial"/>
          <w:lang w:eastAsia="es-ES" w:bidi="es-ES"/>
        </w:rPr>
        <w:t xml:space="preserve">Con relación al objeto de la consulta, en vista de que lo que se pretende a través de los interrogantes planteados es establecer si </w:t>
      </w:r>
      <w:r>
        <w:rPr>
          <w:rFonts w:ascii="Verdana" w:eastAsia="Arial MT" w:hAnsi="Verdana" w:cs="Arial"/>
          <w:lang w:eastAsia="es-ES" w:bidi="es-ES"/>
        </w:rPr>
        <w:t>r</w:t>
      </w:r>
      <w:r w:rsidRPr="00582B66">
        <w:rPr>
          <w:rFonts w:ascii="Verdana" w:eastAsia="Arial MT" w:hAnsi="Verdana" w:cs="Arial"/>
          <w:lang w:eastAsia="es-ES" w:bidi="es-ES"/>
        </w:rPr>
        <w:t>esultan aplicables las restricciones establecidas en la Ley 996 de 2005 a los docentes de hora cátedra y a los docentes ocasionales, vinculados bajo las disposiciones de la Ley 30 de 1992 y mediante resolución administrativa</w:t>
      </w:r>
      <w:r>
        <w:rPr>
          <w:rFonts w:ascii="Verdana" w:eastAsia="Arial MT" w:hAnsi="Verdana" w:cs="Arial"/>
          <w:lang w:eastAsia="es-ES" w:bidi="es-ES"/>
        </w:rPr>
        <w:t xml:space="preserve"> a las</w:t>
      </w:r>
      <w:r w:rsidRPr="00582B66">
        <w:rPr>
          <w:rFonts w:ascii="Verdana" w:eastAsia="Arial MT" w:hAnsi="Verdana" w:cs="Arial"/>
          <w:lang w:eastAsia="es-ES" w:bidi="es-ES"/>
        </w:rPr>
        <w:t xml:space="preserve"> </w:t>
      </w:r>
      <w:r w:rsidRPr="006A09D6">
        <w:rPr>
          <w:rFonts w:ascii="Verdana" w:eastAsia="Arial MT" w:hAnsi="Verdana" w:cs="Arial"/>
          <w:lang w:eastAsia="es-ES" w:bidi="es-ES"/>
        </w:rPr>
        <w:t>institucion</w:t>
      </w:r>
      <w:r>
        <w:rPr>
          <w:rFonts w:ascii="Verdana" w:eastAsia="Arial MT" w:hAnsi="Verdana" w:cs="Arial"/>
          <w:lang w:eastAsia="es-ES" w:bidi="es-ES"/>
        </w:rPr>
        <w:t>es</w:t>
      </w:r>
      <w:r w:rsidRPr="006A09D6">
        <w:rPr>
          <w:rFonts w:ascii="Verdana" w:eastAsia="Arial MT" w:hAnsi="Verdana" w:cs="Arial"/>
          <w:lang w:eastAsia="es-ES" w:bidi="es-ES"/>
        </w:rPr>
        <w:t xml:space="preserve"> de educación superior, es bueno señalar que, en virtud del artículo 3.5 del Decreto 4170 de 2011, esta Agencia tiene competencia para absolver consultas sobre la </w:t>
      </w:r>
      <w:r w:rsidRPr="006A09D6">
        <w:rPr>
          <w:rFonts w:ascii="Verdana" w:eastAsia="Arial MT" w:hAnsi="Verdana" w:cs="Arial"/>
          <w:lang w:eastAsia="es-ES" w:bidi="es-ES"/>
        </w:rPr>
        <w:lastRenderedPageBreak/>
        <w:t>aplicación de normas de carácter general en materia de compras y contratación pública, de manera que la interpretación de normas que no hagan parte de dicha materia desborda las facultades y competencias consultivas que otorgó la disposición en cita.</w:t>
      </w:r>
    </w:p>
    <w:p w14:paraId="440DCCFC" w14:textId="77777777" w:rsidR="0079629A" w:rsidRDefault="0079629A" w:rsidP="0041548E">
      <w:pPr>
        <w:widowControl w:val="0"/>
        <w:autoSpaceDE w:val="0"/>
        <w:autoSpaceDN w:val="0"/>
        <w:spacing w:before="100" w:beforeAutospacing="1" w:afterLines="120" w:after="288" w:line="276" w:lineRule="auto"/>
        <w:ind w:firstLine="709"/>
        <w:jc w:val="both"/>
        <w:rPr>
          <w:rFonts w:ascii="Verdana" w:eastAsia="Arial MT" w:hAnsi="Verdana" w:cs="Arial"/>
          <w:lang w:eastAsia="es-ES" w:bidi="es-ES"/>
        </w:rPr>
      </w:pPr>
      <w:r w:rsidRPr="00FB3804">
        <w:rPr>
          <w:rFonts w:ascii="Verdana" w:eastAsia="Arial MT" w:hAnsi="Verdana" w:cs="Arial"/>
          <w:lang w:eastAsia="es-ES" w:bidi="es-ES"/>
        </w:rPr>
        <w:t>En ejercicio de la facultad consultiva de esta Agencia, se advierte que resulta necesario evaluar, en cada caso concreto, la naturaleza de la vinculación de los docentes de cátedra en las instituciones de educación superior, con el fin de determinar si, de acuerdo con dicha naturaleza, procede la aplicación de las restricciones previstas en la Ley 996 de 2005 o si, por el contrario, tales circunstancias corresponden al ámbito de competencia de la autoridad respectiva, como el Departamento Administrativo de la Función Pública</w:t>
      </w:r>
      <w:r w:rsidRPr="006A09D6">
        <w:rPr>
          <w:rFonts w:ascii="Verdana" w:eastAsia="Arial MT" w:hAnsi="Verdana" w:cs="Arial"/>
          <w:lang w:eastAsia="es-ES" w:bidi="es-ES"/>
        </w:rPr>
        <w:t>– DAFP</w:t>
      </w:r>
      <w:r>
        <w:rPr>
          <w:rFonts w:ascii="Verdana" w:eastAsia="Arial MT" w:hAnsi="Verdana" w:cs="Arial"/>
          <w:lang w:eastAsia="es-ES" w:bidi="es-ES"/>
        </w:rPr>
        <w:t>.</w:t>
      </w:r>
    </w:p>
    <w:p w14:paraId="607DC4C6" w14:textId="77777777" w:rsidR="0079629A" w:rsidRDefault="0079629A" w:rsidP="0041548E">
      <w:pPr>
        <w:widowControl w:val="0"/>
        <w:autoSpaceDE w:val="0"/>
        <w:autoSpaceDN w:val="0"/>
        <w:spacing w:before="100" w:beforeAutospacing="1" w:afterLines="120" w:after="288" w:line="276" w:lineRule="auto"/>
        <w:ind w:firstLine="709"/>
        <w:jc w:val="both"/>
        <w:rPr>
          <w:rFonts w:ascii="Verdana" w:eastAsia="Arial MT" w:hAnsi="Verdana" w:cs="Arial"/>
          <w:lang w:eastAsia="es-ES" w:bidi="es-ES"/>
        </w:rPr>
      </w:pPr>
      <w:r>
        <w:rPr>
          <w:rFonts w:ascii="Verdana" w:eastAsia="Arial MT" w:hAnsi="Verdana" w:cs="Arial"/>
          <w:lang w:eastAsia="es-ES" w:bidi="es-ES"/>
        </w:rPr>
        <w:t>Para efectos de hacer consideraciones generales sobre la materia, vale la pena señalar que</w:t>
      </w:r>
      <w:r w:rsidRPr="006A09D6">
        <w:rPr>
          <w:rFonts w:ascii="Verdana" w:eastAsia="Arial MT" w:hAnsi="Verdana" w:cs="Arial"/>
          <w:lang w:eastAsia="es-ES" w:bidi="es-ES"/>
        </w:rPr>
        <w:t xml:space="preserve"> la Ley 30 de 1992 “por la cual se organiza el servicio público de la Educación Superior” la cual se fundamenta en el principio constitucional de autonomía universitaria consagrado en el artículo 69 de la Constitución Política de 1991, señaló en su Capitulo Tercero lo concerniente al personal de dichas organizaciones, particularmente, en lo que nos interesa para efectos de la consulta, los docentes, creando tres categorías de acuerdo con la vinculación</w:t>
      </w:r>
      <w:r w:rsidRPr="006A09D6">
        <w:rPr>
          <w:rStyle w:val="Refdenotaalpie"/>
          <w:rFonts w:ascii="Verdana" w:eastAsia="Arial MT" w:hAnsi="Verdana" w:cs="Arial"/>
          <w:lang w:eastAsia="es-ES" w:bidi="es-ES"/>
        </w:rPr>
        <w:footnoteReference w:id="9"/>
      </w:r>
      <w:r w:rsidRPr="006A09D6">
        <w:rPr>
          <w:rFonts w:ascii="Verdana" w:eastAsia="Arial MT" w:hAnsi="Verdana" w:cs="Arial"/>
          <w:lang w:eastAsia="es-ES" w:bidi="es-ES"/>
        </w:rPr>
        <w:t xml:space="preserve"> de aquellos, así: i) profesores que adquieren la connotación de empleados públicos, elegidos por libre nombramiento y remoción, quienes ingresan por concurso de méritos, y están sujetos a un régimen especial</w:t>
      </w:r>
      <w:r w:rsidRPr="006A09D6">
        <w:rPr>
          <w:rStyle w:val="Refdenotaalpie"/>
          <w:rFonts w:ascii="Verdana" w:eastAsia="Arial MT" w:hAnsi="Verdana" w:cs="Arial"/>
          <w:lang w:eastAsia="es-ES" w:bidi="es-ES"/>
        </w:rPr>
        <w:footnoteReference w:id="10"/>
      </w:r>
      <w:r w:rsidRPr="006A09D6">
        <w:rPr>
          <w:rFonts w:ascii="Verdana" w:eastAsia="Arial MT" w:hAnsi="Verdana" w:cs="Arial"/>
          <w:lang w:eastAsia="es-ES" w:bidi="es-ES"/>
        </w:rPr>
        <w:t xml:space="preserve">; </w:t>
      </w:r>
      <w:proofErr w:type="spellStart"/>
      <w:r w:rsidRPr="006A09D6">
        <w:rPr>
          <w:rFonts w:ascii="Verdana" w:eastAsia="Arial MT" w:hAnsi="Verdana" w:cs="Arial"/>
          <w:lang w:eastAsia="es-ES" w:bidi="es-ES"/>
        </w:rPr>
        <w:t>ii</w:t>
      </w:r>
      <w:proofErr w:type="spellEnd"/>
      <w:r w:rsidRPr="006A09D6">
        <w:rPr>
          <w:rFonts w:ascii="Verdana" w:eastAsia="Arial MT" w:hAnsi="Verdana" w:cs="Arial"/>
          <w:lang w:eastAsia="es-ES" w:bidi="es-ES"/>
        </w:rPr>
        <w:t>) los profesores de cátedra</w:t>
      </w:r>
      <w:r w:rsidRPr="006A09D6">
        <w:rPr>
          <w:rStyle w:val="Refdenotaalpie"/>
          <w:rFonts w:ascii="Verdana" w:eastAsia="Arial MT" w:hAnsi="Verdana" w:cs="Arial"/>
          <w:lang w:eastAsia="es-ES" w:bidi="es-ES"/>
        </w:rPr>
        <w:footnoteReference w:id="11"/>
      </w:r>
      <w:r w:rsidRPr="006A09D6">
        <w:rPr>
          <w:rFonts w:ascii="Verdana" w:eastAsia="Arial MT" w:hAnsi="Verdana" w:cs="Arial"/>
          <w:lang w:eastAsia="es-ES" w:bidi="es-ES"/>
        </w:rPr>
        <w:t xml:space="preserve"> quienes, antes del estudio que efectúo la Corte Constitucional sobre </w:t>
      </w:r>
      <w:r w:rsidRPr="006A09D6">
        <w:rPr>
          <w:rFonts w:ascii="Verdana" w:eastAsia="Arial MT" w:hAnsi="Verdana" w:cs="Arial"/>
          <w:lang w:eastAsia="es-ES" w:bidi="es-ES"/>
        </w:rPr>
        <w:lastRenderedPageBreak/>
        <w:t xml:space="preserve">la </w:t>
      </w:r>
      <w:proofErr w:type="spellStart"/>
      <w:r w:rsidRPr="006A09D6">
        <w:rPr>
          <w:rFonts w:ascii="Verdana" w:eastAsia="Arial MT" w:hAnsi="Verdana" w:cs="Arial"/>
          <w:lang w:eastAsia="es-ES" w:bidi="es-ES"/>
        </w:rPr>
        <w:t>exequibilidad</w:t>
      </w:r>
      <w:proofErr w:type="spellEnd"/>
      <w:r w:rsidRPr="006A09D6">
        <w:rPr>
          <w:rFonts w:ascii="Verdana" w:eastAsia="Arial MT" w:hAnsi="Verdana" w:cs="Arial"/>
          <w:lang w:eastAsia="es-ES" w:bidi="es-ES"/>
        </w:rPr>
        <w:t xml:space="preserve"> del aparte del artículo 73 y a la que nos referiremos a continuación, se vinculaban mediante contrato de prestación de servicios, celebrados por períodos académicos y, </w:t>
      </w:r>
      <w:proofErr w:type="spellStart"/>
      <w:r w:rsidRPr="006A09D6">
        <w:rPr>
          <w:rFonts w:ascii="Verdana" w:eastAsia="Arial MT" w:hAnsi="Verdana" w:cs="Arial"/>
          <w:lang w:eastAsia="es-ES" w:bidi="es-ES"/>
        </w:rPr>
        <w:t>iii</w:t>
      </w:r>
      <w:proofErr w:type="spellEnd"/>
      <w:r w:rsidRPr="006A09D6">
        <w:rPr>
          <w:rFonts w:ascii="Verdana" w:eastAsia="Arial MT" w:hAnsi="Verdana" w:cs="Arial"/>
          <w:lang w:eastAsia="es-ES" w:bidi="es-ES"/>
        </w:rPr>
        <w:t>) los profesores ocasionales</w:t>
      </w:r>
      <w:r w:rsidRPr="006A09D6">
        <w:rPr>
          <w:rStyle w:val="Refdenotaalpie"/>
          <w:rFonts w:ascii="Verdana" w:eastAsia="Arial MT" w:hAnsi="Verdana" w:cs="Arial"/>
          <w:lang w:eastAsia="es-ES" w:bidi="es-ES"/>
        </w:rPr>
        <w:footnoteReference w:id="12"/>
      </w:r>
      <w:r w:rsidRPr="006A09D6">
        <w:rPr>
          <w:rFonts w:ascii="Verdana" w:eastAsia="Arial MT" w:hAnsi="Verdana" w:cs="Arial"/>
          <w:lang w:eastAsia="es-ES" w:bidi="es-ES"/>
        </w:rPr>
        <w:t xml:space="preserve">, definidos en el artículo 74, con vinculación de manera transitoria. </w:t>
      </w:r>
    </w:p>
    <w:p w14:paraId="53F2C8FA" w14:textId="77777777" w:rsidR="0079629A" w:rsidRDefault="0079629A" w:rsidP="0041548E">
      <w:pPr>
        <w:widowControl w:val="0"/>
        <w:autoSpaceDE w:val="0"/>
        <w:autoSpaceDN w:val="0"/>
        <w:spacing w:before="100" w:beforeAutospacing="1" w:afterLines="120" w:after="288" w:line="276" w:lineRule="auto"/>
        <w:ind w:firstLine="709"/>
        <w:jc w:val="both"/>
        <w:rPr>
          <w:rFonts w:ascii="Verdana" w:eastAsia="Arial MT" w:hAnsi="Verdana" w:cs="Arial"/>
          <w:lang w:eastAsia="es-ES" w:bidi="es-ES"/>
        </w:rPr>
      </w:pPr>
      <w:r w:rsidRPr="00832B9B">
        <w:rPr>
          <w:rFonts w:ascii="Verdana" w:eastAsia="Arial MT" w:hAnsi="Verdana" w:cs="Arial"/>
          <w:lang w:eastAsia="es-ES" w:bidi="es-ES"/>
        </w:rPr>
        <w:t>La Corte Constitucional, en la Sentencia C-006 de 1996, al analizar las modalidades de vinculación docente previstas en la Ley 30 de 1992, precisó que existen tres formas de vinculación orientadas a atender las distintas necesidades propias de las instituciones de educación superior: (i) los profesores empleados públicos, vinculados mediante concurso de méritos; (</w:t>
      </w:r>
      <w:proofErr w:type="spellStart"/>
      <w:r w:rsidRPr="00832B9B">
        <w:rPr>
          <w:rFonts w:ascii="Verdana" w:eastAsia="Arial MT" w:hAnsi="Verdana" w:cs="Arial"/>
          <w:lang w:eastAsia="es-ES" w:bidi="es-ES"/>
        </w:rPr>
        <w:t>ii</w:t>
      </w:r>
      <w:proofErr w:type="spellEnd"/>
      <w:r w:rsidRPr="00832B9B">
        <w:rPr>
          <w:rFonts w:ascii="Verdana" w:eastAsia="Arial MT" w:hAnsi="Verdana" w:cs="Arial"/>
          <w:lang w:eastAsia="es-ES" w:bidi="es-ES"/>
        </w:rPr>
        <w:t>) los profesores de cátedra, encargados de atender funciones docentes de carácter especializado o coyuntural; y (</w:t>
      </w:r>
      <w:proofErr w:type="spellStart"/>
      <w:r w:rsidRPr="00832B9B">
        <w:rPr>
          <w:rFonts w:ascii="Verdana" w:eastAsia="Arial MT" w:hAnsi="Verdana" w:cs="Arial"/>
          <w:lang w:eastAsia="es-ES" w:bidi="es-ES"/>
        </w:rPr>
        <w:t>iii</w:t>
      </w:r>
      <w:proofErr w:type="spellEnd"/>
      <w:r w:rsidRPr="00832B9B">
        <w:rPr>
          <w:rFonts w:ascii="Verdana" w:eastAsia="Arial MT" w:hAnsi="Verdana" w:cs="Arial"/>
          <w:lang w:eastAsia="es-ES" w:bidi="es-ES"/>
        </w:rPr>
        <w:t xml:space="preserve">) los profesores ocasionales, vinculados de manera transitoria con dedicación de medio tiempo o tiempo completo. En este contexto, la Corte fue enfática en señalar que, pese a la denominación legal utilizada, los docentes de cátedra </w:t>
      </w:r>
      <w:r>
        <w:rPr>
          <w:rFonts w:ascii="Verdana" w:eastAsia="Arial MT" w:hAnsi="Verdana" w:cs="Arial"/>
          <w:lang w:eastAsia="es-ES" w:bidi="es-ES"/>
        </w:rPr>
        <w:t xml:space="preserve">al igual que llamados ocasionales </w:t>
      </w:r>
      <w:r w:rsidRPr="00832B9B">
        <w:rPr>
          <w:rFonts w:ascii="Verdana" w:eastAsia="Arial MT" w:hAnsi="Verdana" w:cs="Arial"/>
          <w:lang w:eastAsia="es-ES" w:bidi="es-ES"/>
        </w:rPr>
        <w:t>desarrollan una relación materialmente laboral, en la medida en que prestan personalmente el servicio, perciben una remuneración y se encuentran sometidos a un grado de subordinación similar al de los demás docentes universitarios, evidenciado en el cumplimiento de horarios, la asistencia a reuniones, la realización de evaluaciones y las demás obligaciones previstas en los reglamentos institucionales</w:t>
      </w:r>
      <w:r>
        <w:rPr>
          <w:rFonts w:ascii="Verdana" w:eastAsia="Arial MT" w:hAnsi="Verdana" w:cs="Arial"/>
          <w:lang w:eastAsia="es-ES" w:bidi="es-ES"/>
        </w:rPr>
        <w:t>.</w:t>
      </w:r>
    </w:p>
    <w:p w14:paraId="241511FD" w14:textId="77777777" w:rsidR="0079629A" w:rsidRPr="00004F27" w:rsidRDefault="0079629A" w:rsidP="0041548E">
      <w:pPr>
        <w:widowControl w:val="0"/>
        <w:autoSpaceDE w:val="0"/>
        <w:autoSpaceDN w:val="0"/>
        <w:spacing w:before="100" w:beforeAutospacing="1" w:afterLines="120" w:after="288" w:line="276" w:lineRule="auto"/>
        <w:ind w:firstLine="709"/>
        <w:jc w:val="both"/>
        <w:rPr>
          <w:rFonts w:ascii="Verdana" w:eastAsia="Arial MT" w:hAnsi="Verdana" w:cs="Arial"/>
          <w:lang w:val="es-ES" w:eastAsia="es-ES" w:bidi="es-ES"/>
        </w:rPr>
      </w:pPr>
      <w:r w:rsidRPr="00832B9B">
        <w:rPr>
          <w:rFonts w:ascii="Verdana" w:eastAsia="Arial" w:hAnsi="Verdana" w:cs="Arial"/>
          <w:lang w:val="es-ES" w:eastAsia="es-ES" w:bidi="es-ES"/>
        </w:rPr>
        <w:t>En armonía con lo expuesto por la Corte Constitucional en la Sentencia C-006 de 1996 y con la doctrina administrativa del Departamento Administrativo de la Función Pública</w:t>
      </w:r>
      <w:r>
        <w:rPr>
          <w:rStyle w:val="Refdenotaalpie"/>
          <w:rFonts w:ascii="Verdana" w:eastAsia="Arial" w:hAnsi="Verdana" w:cs="Arial"/>
          <w:lang w:val="es-ES" w:eastAsia="es-ES" w:bidi="es-ES"/>
        </w:rPr>
        <w:footnoteReference w:id="13"/>
      </w:r>
      <w:r w:rsidRPr="00832B9B">
        <w:rPr>
          <w:rFonts w:ascii="Verdana" w:eastAsia="Arial" w:hAnsi="Verdana" w:cs="Arial"/>
          <w:lang w:val="es-ES" w:eastAsia="es-ES" w:bidi="es-ES"/>
        </w:rPr>
        <w:t xml:space="preserve">, tanto la vinculación de los docentes de cátedra como la de los docentes ocasionales en las instituciones de educación superior oficiales </w:t>
      </w:r>
      <w:r w:rsidRPr="00832B9B">
        <w:rPr>
          <w:rFonts w:ascii="Verdana" w:eastAsia="Arial" w:hAnsi="Verdana" w:cs="Arial"/>
          <w:lang w:val="es-ES" w:eastAsia="es-ES" w:bidi="es-ES"/>
        </w:rPr>
        <w:lastRenderedPageBreak/>
        <w:t>responde a modalidades especiales de vinculación, creadas por el legislador para atender necesidades académicas específicas y transitorias propias del servicio público de educación superior.</w:t>
      </w:r>
    </w:p>
    <w:p w14:paraId="575FD15A" w14:textId="77777777" w:rsidR="0079629A" w:rsidRDefault="0079629A" w:rsidP="0041548E">
      <w:pPr>
        <w:spacing w:before="100" w:beforeAutospacing="1" w:afterLines="120" w:after="288" w:line="276" w:lineRule="auto"/>
        <w:ind w:firstLine="709"/>
        <w:jc w:val="both"/>
        <w:rPr>
          <w:rFonts w:ascii="Verdana" w:eastAsia="Arial" w:hAnsi="Verdana" w:cs="Arial"/>
          <w:lang w:val="es-ES" w:eastAsia="es-ES" w:bidi="es-ES"/>
        </w:rPr>
      </w:pPr>
      <w:r w:rsidRPr="00832B9B">
        <w:rPr>
          <w:rFonts w:ascii="Verdana" w:eastAsia="Arial" w:hAnsi="Verdana" w:cs="Arial"/>
          <w:lang w:val="es-ES" w:eastAsia="es-ES" w:bidi="es-ES"/>
        </w:rPr>
        <w:t>En efecto, los docentes de cátedra, cuya vinculación se formaliza a través de un contrato, y los docentes ocasionales, vinculados mediante acto administrativo de carácter particular y temporal, no ostentan la calidad de empleados públicos ni de trabajadores oficiales, ni su vinculación puede equipararse a la provisión ordinaria de empleos públicos o a la contratación administrativa típica regulada por el Estatuto General de Contratación de la Administración Pública. Se trata, en ambos casos, de figuras excepcionales, directamente ligadas al cumplimiento de la función misional de docencia y/o investigación, y amparadas por el principio de autonomía universitaria.</w:t>
      </w:r>
    </w:p>
    <w:p w14:paraId="11EF5D9D" w14:textId="77777777" w:rsidR="0079629A" w:rsidRPr="00832B9B" w:rsidRDefault="0079629A" w:rsidP="0041548E">
      <w:pPr>
        <w:spacing w:before="100" w:beforeAutospacing="1" w:afterLines="120" w:after="288" w:line="276" w:lineRule="auto"/>
        <w:ind w:firstLine="709"/>
        <w:jc w:val="both"/>
        <w:rPr>
          <w:rFonts w:ascii="Verdana" w:eastAsia="Arial" w:hAnsi="Verdana" w:cs="Arial"/>
          <w:lang w:val="es-ES" w:eastAsia="es-ES" w:bidi="es-ES"/>
        </w:rPr>
      </w:pPr>
      <w:r w:rsidRPr="006D4E95">
        <w:rPr>
          <w:rFonts w:ascii="Verdana" w:eastAsia="Arial" w:hAnsi="Verdana" w:cs="Arial"/>
          <w:lang w:eastAsia="es-ES" w:bidi="es-ES"/>
        </w:rPr>
        <w:t>En consecuencia, la vinculación o renovación de docentes de cátedra y docentes ocasionales, en tanto no constituye la provisión de empleos públicos ni la celebración de contratos estatales en sentido estricto, no se subsume automáticamente dentro del ámbito de aplicación de las restricciones previstas en la Ley 996 de 2005, siempre que dichas vinculaciones respondan a necesidades académicas reales, se realicen conforme al marco legal vigente y no se utilicen para desnaturalizar las figuras previstas por el legislador ni para eludir las finalidades propias del régimen de garantías electorales.</w:t>
      </w:r>
    </w:p>
    <w:p w14:paraId="077BAA65" w14:textId="29D29D0E" w:rsidR="0079629A" w:rsidRPr="006E20B5" w:rsidRDefault="0079629A" w:rsidP="006E20B5">
      <w:pPr>
        <w:spacing w:before="100" w:beforeAutospacing="1" w:afterLines="120" w:after="288" w:line="276" w:lineRule="auto"/>
        <w:ind w:firstLine="709"/>
        <w:jc w:val="both"/>
        <w:rPr>
          <w:rFonts w:ascii="Verdana" w:eastAsia="Arial" w:hAnsi="Verdana" w:cs="Arial"/>
          <w:lang w:eastAsia="es-ES" w:bidi="es-ES"/>
        </w:rPr>
      </w:pPr>
      <w:r w:rsidRPr="006D4E95">
        <w:rPr>
          <w:rFonts w:ascii="Verdana" w:eastAsia="Arial" w:hAnsi="Verdana" w:cs="Arial"/>
          <w:lang w:eastAsia="es-ES" w:bidi="es-ES"/>
        </w:rPr>
        <w:t xml:space="preserve">Finalmente, es importante advertir que corresponde a cada entidad estatal que considere celebrar una vinculación específica definir si esta se enmarca o no dentro de las prohibiciones establecidas en la Ley de Garantías Electorales. En este contexto, la entidad respectiva deberá realizar el análisis en cada caso concreto, atendiendo a las particularidades del vínculo y a las circunstancias específicas que lo rodean. Dado que se trata de un examen que recae sobre situaciones particulares y concretas, esta Agencia no puede fijar un criterio universal y absoluto por vía consultiva, sino que se limita a proporcionar elementos de carácter general para orientar a los partícipes del Sistema de Compras y Contratación Pública en la adopción de la decisión que corresponda, en concordancia con el principio de juridicidad. En consecuencia, cada entidad establecerá la forma de adelantar su gestión contractual, sin que sea atribución </w:t>
      </w:r>
      <w:r w:rsidRPr="006D4E95">
        <w:rPr>
          <w:rFonts w:ascii="Verdana" w:eastAsia="Arial" w:hAnsi="Verdana" w:cs="Arial"/>
          <w:lang w:eastAsia="es-ES" w:bidi="es-ES"/>
        </w:rPr>
        <w:lastRenderedPageBreak/>
        <w:t>de la Agencia Nacional de Contratación Pública – Colombia Compra Eficiente validar dichas decisiones.</w:t>
      </w:r>
    </w:p>
    <w:p w14:paraId="2E449BD7" w14:textId="77777777" w:rsidR="0079629A" w:rsidRPr="001F283D" w:rsidRDefault="0079629A" w:rsidP="0079629A">
      <w:pPr>
        <w:tabs>
          <w:tab w:val="left" w:pos="142"/>
          <w:tab w:val="left" w:pos="284"/>
        </w:tabs>
        <w:spacing w:after="0" w:line="276" w:lineRule="auto"/>
        <w:rPr>
          <w:rFonts w:ascii="Verdana" w:eastAsia="Century Gothic" w:hAnsi="Verdana" w:cs="Century Gothic"/>
          <w:b/>
          <w:bCs/>
        </w:rPr>
      </w:pPr>
      <w:bookmarkStart w:id="0" w:name="_Hlk204854194"/>
      <w:r>
        <w:rPr>
          <w:rFonts w:ascii="Verdana" w:eastAsia="Century Gothic" w:hAnsi="Verdana" w:cs="Century Gothic"/>
          <w:b/>
          <w:bCs/>
        </w:rPr>
        <w:t xml:space="preserve">4. </w:t>
      </w:r>
      <w:r w:rsidRPr="001F283D">
        <w:rPr>
          <w:rFonts w:ascii="Verdana" w:eastAsia="Century Gothic" w:hAnsi="Verdana" w:cs="Century Gothic"/>
          <w:b/>
          <w:bCs/>
        </w:rPr>
        <w:t>Referencias normativas:</w:t>
      </w:r>
    </w:p>
    <w:bookmarkEnd w:id="0"/>
    <w:p w14:paraId="191B54F5" w14:textId="77777777" w:rsidR="0079629A" w:rsidRPr="00593A5F" w:rsidRDefault="0079629A" w:rsidP="0079629A">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9629A" w:rsidRPr="002407CE" w14:paraId="337C231D" w14:textId="77777777" w:rsidTr="007710EF">
        <w:trPr>
          <w:trHeight w:val="870"/>
          <w:jc w:val="center"/>
        </w:trPr>
        <w:tc>
          <w:tcPr>
            <w:tcW w:w="8647" w:type="dxa"/>
          </w:tcPr>
          <w:p w14:paraId="48970A47" w14:textId="77777777" w:rsidR="0079629A" w:rsidRPr="00734FFE" w:rsidRDefault="0079629A" w:rsidP="0079629A">
            <w:pPr>
              <w:pStyle w:val="Prrafodelista"/>
              <w:numPr>
                <w:ilvl w:val="0"/>
                <w:numId w:val="17"/>
              </w:numPr>
              <w:spacing w:line="276" w:lineRule="auto"/>
              <w:rPr>
                <w:rFonts w:ascii="Verdana" w:eastAsia="Arial MT" w:hAnsi="Verdana" w:cs="Arial"/>
                <w:lang w:eastAsia="es-ES" w:bidi="es-ES"/>
              </w:rPr>
            </w:pPr>
            <w:r w:rsidRPr="00734FFE">
              <w:rPr>
                <w:rFonts w:ascii="Verdana" w:eastAsia="Arial MT" w:hAnsi="Verdana" w:cs="Arial"/>
                <w:lang w:eastAsia="es-ES" w:bidi="es-ES"/>
              </w:rPr>
              <w:t>Constitución Política, artículo 127. </w:t>
            </w:r>
          </w:p>
          <w:p w14:paraId="65722660" w14:textId="77777777" w:rsidR="0079629A" w:rsidRDefault="0079629A" w:rsidP="0079629A">
            <w:pPr>
              <w:pStyle w:val="Prrafodelista"/>
              <w:numPr>
                <w:ilvl w:val="0"/>
                <w:numId w:val="17"/>
              </w:numPr>
              <w:spacing w:line="276" w:lineRule="auto"/>
              <w:rPr>
                <w:rFonts w:ascii="Verdana" w:eastAsia="Arial MT" w:hAnsi="Verdana" w:cs="Arial"/>
                <w:lang w:eastAsia="es-ES" w:bidi="es-ES"/>
              </w:rPr>
            </w:pPr>
            <w:r w:rsidRPr="00734FFE">
              <w:rPr>
                <w:rFonts w:ascii="Verdana" w:eastAsia="Arial MT" w:hAnsi="Verdana" w:cs="Arial"/>
                <w:lang w:eastAsia="es-ES" w:bidi="es-ES"/>
              </w:rPr>
              <w:t>Ley 996 de 2005: artículos 33 y 38. </w:t>
            </w:r>
          </w:p>
          <w:p w14:paraId="67370FE2" w14:textId="77777777" w:rsidR="0079629A" w:rsidRPr="00114014" w:rsidRDefault="0079629A" w:rsidP="0079629A">
            <w:pPr>
              <w:pStyle w:val="Prrafodelista"/>
              <w:numPr>
                <w:ilvl w:val="0"/>
                <w:numId w:val="17"/>
              </w:numPr>
              <w:spacing w:line="276" w:lineRule="auto"/>
              <w:rPr>
                <w:rFonts w:ascii="Verdana" w:eastAsia="Arial MT" w:hAnsi="Verdana" w:cs="Arial"/>
                <w:lang w:eastAsia="es-ES" w:bidi="es-ES"/>
              </w:rPr>
            </w:pPr>
            <w:r w:rsidRPr="00114014">
              <w:rPr>
                <w:rFonts w:ascii="Verdana" w:eastAsia="Times New Roman" w:hAnsi="Verdana" w:cs="Arial"/>
              </w:rPr>
              <w:t>Ley 30 de 1992, artículos 70, 71 73 y 74</w:t>
            </w:r>
          </w:p>
          <w:p w14:paraId="4669373B" w14:textId="77777777" w:rsidR="0079629A" w:rsidRPr="009855E6" w:rsidRDefault="0079629A" w:rsidP="0079629A">
            <w:pPr>
              <w:widowControl w:val="0"/>
              <w:numPr>
                <w:ilvl w:val="0"/>
                <w:numId w:val="17"/>
              </w:numPr>
              <w:autoSpaceDE w:val="0"/>
              <w:autoSpaceDN w:val="0"/>
              <w:contextualSpacing/>
              <w:jc w:val="both"/>
              <w:rPr>
                <w:rFonts w:ascii="Verdana" w:eastAsia="Times New Roman" w:hAnsi="Verdana" w:cs="Arial"/>
                <w:lang w:val="es-ES"/>
              </w:rPr>
            </w:pPr>
            <w:r w:rsidRPr="009855E6">
              <w:rPr>
                <w:rFonts w:ascii="Verdana" w:eastAsia="Times New Roman" w:hAnsi="Verdana" w:cs="Arial"/>
                <w:lang w:val="es-ES"/>
              </w:rPr>
              <w:t>Decreto 4170 de 2011, artículo 3.5</w:t>
            </w:r>
          </w:p>
          <w:p w14:paraId="4D789C03" w14:textId="77777777" w:rsidR="0079629A" w:rsidRPr="00734FFE" w:rsidRDefault="0079629A" w:rsidP="0079629A">
            <w:pPr>
              <w:pStyle w:val="Prrafodelista"/>
              <w:numPr>
                <w:ilvl w:val="0"/>
                <w:numId w:val="17"/>
              </w:numPr>
              <w:spacing w:line="276" w:lineRule="auto"/>
              <w:rPr>
                <w:rFonts w:ascii="Verdana" w:eastAsia="Arial MT" w:hAnsi="Verdana" w:cs="Arial"/>
                <w:lang w:eastAsia="es-ES" w:bidi="es-ES"/>
              </w:rPr>
            </w:pPr>
            <w:r w:rsidRPr="00734FFE">
              <w:rPr>
                <w:rFonts w:ascii="Verdana" w:eastAsia="Arial MT" w:hAnsi="Verdana" w:cs="Arial"/>
                <w:lang w:eastAsia="es-ES" w:bidi="es-ES"/>
              </w:rPr>
              <w:t>Consejo de Estado. Sala de Consulta y Servicio Civil. Concepto del 17 de febrero de 2015. C.P. William Zambrano Cetina. Radicación No. 11001-03-06-000-2015-00164-00(2269). </w:t>
            </w:r>
          </w:p>
          <w:p w14:paraId="2706072B" w14:textId="77777777" w:rsidR="0079629A" w:rsidRDefault="0079629A" w:rsidP="0079629A">
            <w:pPr>
              <w:pStyle w:val="Prrafodelista"/>
              <w:numPr>
                <w:ilvl w:val="0"/>
                <w:numId w:val="17"/>
              </w:numPr>
              <w:spacing w:line="276" w:lineRule="auto"/>
              <w:jc w:val="both"/>
              <w:rPr>
                <w:rFonts w:ascii="Verdana" w:eastAsia="Arial MT" w:hAnsi="Verdana" w:cs="Arial"/>
                <w:lang w:val="es-CO" w:eastAsia="es-ES" w:bidi="es-ES"/>
              </w:rPr>
            </w:pPr>
            <w:r w:rsidRPr="001F1B67">
              <w:rPr>
                <w:rFonts w:ascii="Verdana" w:eastAsia="Arial MT" w:hAnsi="Verdana" w:cs="Arial"/>
                <w:lang w:val="es-CO" w:eastAsia="es-ES" w:bidi="es-ES"/>
              </w:rPr>
              <w:t xml:space="preserve">Consejo de Estado, Sala de Consulta y Servicio Civil de fecha 24 de julio de 2013, Rad. 2166, C. P. Álvaro Namén Vargas.  </w:t>
            </w:r>
          </w:p>
          <w:p w14:paraId="2D4DBB90" w14:textId="77777777" w:rsidR="0079629A" w:rsidRDefault="0079629A" w:rsidP="0079629A">
            <w:pPr>
              <w:widowControl w:val="0"/>
              <w:numPr>
                <w:ilvl w:val="0"/>
                <w:numId w:val="17"/>
              </w:numPr>
              <w:tabs>
                <w:tab w:val="left" w:pos="8419"/>
              </w:tabs>
              <w:autoSpaceDE w:val="0"/>
              <w:autoSpaceDN w:val="0"/>
              <w:contextualSpacing/>
              <w:jc w:val="both"/>
              <w:rPr>
                <w:rFonts w:ascii="Verdana" w:eastAsia="Times New Roman" w:hAnsi="Verdana" w:cs="Arial"/>
                <w:lang w:val="es-ES"/>
              </w:rPr>
            </w:pPr>
            <w:r w:rsidRPr="00F5386A">
              <w:rPr>
                <w:rFonts w:ascii="Verdana" w:eastAsia="Times New Roman" w:hAnsi="Verdana" w:cs="Arial"/>
                <w:lang w:val="pt-BR"/>
              </w:rPr>
              <w:t xml:space="preserve">Corte Constitucional. Sentencia C-006 de 1996. </w:t>
            </w:r>
            <w:r w:rsidRPr="00F5386A">
              <w:rPr>
                <w:rFonts w:ascii="Verdana" w:eastAsia="Times New Roman" w:hAnsi="Verdana" w:cs="Arial"/>
                <w:lang w:val="es-ES"/>
              </w:rPr>
              <w:t>Bogotá, D.C., enero 18 de 1996. Magistrado Ponente: Dr. Fabio Morón Díaz.</w:t>
            </w:r>
          </w:p>
          <w:p w14:paraId="319B4CA7" w14:textId="2948C207" w:rsidR="00EC0294" w:rsidRPr="00F5386A" w:rsidRDefault="00EC0294" w:rsidP="0079629A">
            <w:pPr>
              <w:widowControl w:val="0"/>
              <w:numPr>
                <w:ilvl w:val="0"/>
                <w:numId w:val="17"/>
              </w:numPr>
              <w:tabs>
                <w:tab w:val="left" w:pos="8419"/>
              </w:tabs>
              <w:autoSpaceDE w:val="0"/>
              <w:autoSpaceDN w:val="0"/>
              <w:contextualSpacing/>
              <w:jc w:val="both"/>
              <w:rPr>
                <w:rFonts w:ascii="Verdana" w:eastAsia="Times New Roman" w:hAnsi="Verdana" w:cs="Arial"/>
                <w:lang w:val="es-ES"/>
              </w:rPr>
            </w:pPr>
            <w:r>
              <w:rPr>
                <w:rFonts w:ascii="Verdana" w:eastAsia="Times New Roman" w:hAnsi="Verdana" w:cs="Arial"/>
                <w:lang w:val="es-ES"/>
              </w:rPr>
              <w:t xml:space="preserve">Agencia Nacional de Contratación Pública. </w:t>
            </w:r>
          </w:p>
          <w:p w14:paraId="0A928EC7" w14:textId="66211726" w:rsidR="0079629A" w:rsidRPr="00F97F00" w:rsidRDefault="0079629A" w:rsidP="00F97F00">
            <w:pPr>
              <w:pStyle w:val="Prrafodelista"/>
              <w:numPr>
                <w:ilvl w:val="0"/>
                <w:numId w:val="17"/>
              </w:numPr>
              <w:spacing w:line="276" w:lineRule="auto"/>
              <w:jc w:val="both"/>
              <w:rPr>
                <w:rFonts w:ascii="Verdana" w:eastAsia="Arial MT" w:hAnsi="Verdana" w:cs="Arial"/>
                <w:lang w:val="es-CO" w:eastAsia="es-ES" w:bidi="es-ES"/>
              </w:rPr>
            </w:pPr>
            <w:r w:rsidRPr="00F33DDE">
              <w:rPr>
                <w:rFonts w:ascii="Verdana" w:eastAsia="Arial MT" w:hAnsi="Verdana" w:cs="Arial"/>
                <w:lang w:val="es-CO" w:eastAsia="es-ES" w:bidi="es-ES"/>
              </w:rPr>
              <w:t>Departamento Administrativo de la Función Pública. Concepto 052041 de 2021. REF</w:t>
            </w:r>
            <w:r>
              <w:rPr>
                <w:rFonts w:ascii="Verdana" w:eastAsia="Arial MT" w:hAnsi="Verdana" w:cs="Arial"/>
                <w:lang w:val="es-CO" w:eastAsia="es-ES" w:bidi="es-ES"/>
              </w:rPr>
              <w:t xml:space="preserve">. </w:t>
            </w:r>
            <w:r w:rsidRPr="00F33DDE">
              <w:rPr>
                <w:rFonts w:ascii="Verdana" w:eastAsia="Arial MT" w:hAnsi="Verdana" w:cs="Arial"/>
                <w:lang w:val="es-CO" w:eastAsia="es-ES" w:bidi="es-ES"/>
              </w:rPr>
              <w:t>DOCENTES Y/O DIRECTIVOS DOCENTES. Prestaciones sociales. Radicado: 20219000062602 del 5 de febrero de 2021. Consultar en:</w:t>
            </w:r>
            <w:r>
              <w:rPr>
                <w:rFonts w:ascii="Verdana" w:eastAsia="Arial MT" w:hAnsi="Verdana" w:cs="Arial"/>
                <w:lang w:val="es-CO" w:eastAsia="es-ES" w:bidi="es-ES"/>
              </w:rPr>
              <w:t xml:space="preserve"> </w:t>
            </w:r>
            <w:hyperlink r:id="rId12" w:history="1">
              <w:r w:rsidRPr="00320744">
                <w:rPr>
                  <w:rStyle w:val="Hipervnculo"/>
                  <w:rFonts w:ascii="Verdana" w:eastAsia="Arial MT" w:hAnsi="Verdana" w:cs="Arial"/>
                  <w:lang w:val="es-CO" w:eastAsia="es-ES" w:bidi="es-ES"/>
                </w:rPr>
                <w:t>https://www.funcionpublica.gov.co/eva/gestornormativo/norma.php?i=160771</w:t>
              </w:r>
            </w:hyperlink>
            <w:r w:rsidRPr="00F33DDE">
              <w:rPr>
                <w:rFonts w:ascii="Verdana" w:eastAsia="Arial MT" w:hAnsi="Verdana" w:cs="Arial"/>
                <w:lang w:val="es-CO" w:eastAsia="es-ES" w:bidi="es-ES"/>
              </w:rPr>
              <w:t>.</w:t>
            </w:r>
          </w:p>
        </w:tc>
      </w:tr>
    </w:tbl>
    <w:p w14:paraId="3C5BD991" w14:textId="77777777" w:rsidR="0079629A" w:rsidRPr="007F13BA" w:rsidRDefault="0079629A" w:rsidP="0079629A">
      <w:pPr>
        <w:widowControl w:val="0"/>
        <w:autoSpaceDE w:val="0"/>
        <w:autoSpaceDN w:val="0"/>
        <w:spacing w:after="0" w:line="276" w:lineRule="auto"/>
        <w:jc w:val="both"/>
        <w:rPr>
          <w:rFonts w:ascii="Verdana" w:hAnsi="Verdana" w:cs="Arial"/>
        </w:rPr>
      </w:pPr>
    </w:p>
    <w:p w14:paraId="2AB654D6" w14:textId="77777777" w:rsidR="0079629A" w:rsidRPr="00911583" w:rsidRDefault="0079629A" w:rsidP="0079629A">
      <w:pPr>
        <w:tabs>
          <w:tab w:val="left" w:pos="142"/>
          <w:tab w:val="left" w:pos="284"/>
        </w:tabs>
        <w:spacing w:after="0" w:line="276" w:lineRule="auto"/>
        <w:jc w:val="both"/>
        <w:rPr>
          <w:rFonts w:ascii="Verdana" w:eastAsia="Century Gothic" w:hAnsi="Verdana" w:cs="Century Gothic"/>
          <w:b/>
          <w:bCs/>
        </w:rPr>
      </w:pPr>
      <w:r w:rsidRPr="007F13BA">
        <w:rPr>
          <w:rFonts w:ascii="Verdana" w:eastAsia="Century Gothic" w:hAnsi="Verdana" w:cs="Century Gothic"/>
          <w:b/>
          <w:bCs/>
        </w:rPr>
        <w:t xml:space="preserve">5. </w:t>
      </w:r>
      <w:r w:rsidRPr="00911583">
        <w:rPr>
          <w:rFonts w:ascii="Verdana" w:eastAsia="Century Gothic" w:hAnsi="Verdana" w:cs="Century Gothic"/>
          <w:b/>
          <w:bCs/>
        </w:rPr>
        <w:t>Doctrina de la Agencia Nacional de Contratación Pública:</w:t>
      </w:r>
    </w:p>
    <w:p w14:paraId="2FE16252" w14:textId="77777777" w:rsidR="0079629A" w:rsidRPr="00911583" w:rsidRDefault="0079629A" w:rsidP="0079629A">
      <w:pPr>
        <w:widowControl w:val="0"/>
        <w:autoSpaceDE w:val="0"/>
        <w:autoSpaceDN w:val="0"/>
        <w:spacing w:after="0" w:line="276" w:lineRule="auto"/>
        <w:jc w:val="both"/>
        <w:rPr>
          <w:rStyle w:val="normaltextrun"/>
          <w:rFonts w:ascii="Verdana" w:hAnsi="Verdana" w:cs="Arial"/>
          <w:highlight w:val="yellow"/>
          <w:shd w:val="clear" w:color="auto" w:fill="FFFFFF"/>
          <w:lang w:val="es-ES"/>
        </w:rPr>
      </w:pPr>
    </w:p>
    <w:p w14:paraId="734D38F9" w14:textId="4A8085A7" w:rsidR="00EC0294" w:rsidRPr="00EC0294" w:rsidRDefault="0079629A" w:rsidP="0079629A">
      <w:pPr>
        <w:spacing w:after="120" w:line="276" w:lineRule="auto"/>
        <w:jc w:val="both"/>
        <w:rPr>
          <w:rFonts w:ascii="Verdana" w:hAnsi="Verdana" w:cs="Arial"/>
          <w:color w:val="FF0000"/>
          <w:shd w:val="clear" w:color="auto" w:fill="FFFFFF"/>
          <w:lang w:val="es-ES"/>
        </w:rPr>
      </w:pPr>
      <w:r w:rsidRPr="00FC6F34">
        <w:rPr>
          <w:rFonts w:ascii="Verdana" w:eastAsia="Calibri" w:hAnsi="Verdana" w:cs="Arial"/>
          <w:lang w:val="es-ES"/>
        </w:rPr>
        <w:t xml:space="preserve">La Agencia Nacional de Contratación Pública – Colombia Compra Eficiente se ha referido </w:t>
      </w:r>
      <w:r w:rsidRPr="00FC6F34">
        <w:rPr>
          <w:rFonts w:ascii="Verdana" w:hAnsi="Verdana" w:cs="Arial"/>
          <w:shd w:val="clear" w:color="auto" w:fill="FFFFFF"/>
          <w:lang w:val="es-ES"/>
        </w:rPr>
        <w:t xml:space="preserve">sobre la Ley de Garantías Electorales en los conceptos con radicado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C-180 del 21 de marzo de 2025, C-317 del 25 de abril de 2025, C-510 del 4 de </w:t>
      </w:r>
      <w:r w:rsidRPr="00FC6F34">
        <w:rPr>
          <w:rFonts w:ascii="Verdana" w:hAnsi="Verdana" w:cs="Arial"/>
          <w:shd w:val="clear" w:color="auto" w:fill="FFFFFF"/>
          <w:lang w:val="es-ES"/>
        </w:rPr>
        <w:lastRenderedPageBreak/>
        <w:t>junio de 2025, C -635 del 27 de junio de 2025, C–750 de</w:t>
      </w:r>
      <w:r w:rsidR="00D06F5B">
        <w:rPr>
          <w:rFonts w:ascii="Verdana" w:hAnsi="Verdana" w:cs="Arial"/>
          <w:shd w:val="clear" w:color="auto" w:fill="FFFFFF"/>
          <w:lang w:val="es-ES"/>
        </w:rPr>
        <w:t>l</w:t>
      </w:r>
      <w:r w:rsidRPr="00FC6F34">
        <w:rPr>
          <w:rFonts w:ascii="Verdana" w:hAnsi="Verdana" w:cs="Arial"/>
          <w:shd w:val="clear" w:color="auto" w:fill="FFFFFF"/>
          <w:lang w:val="es-ES"/>
        </w:rPr>
        <w:t xml:space="preserve"> 17 de julio 2025, C-729 del 15 de Julio de 20</w:t>
      </w:r>
      <w:r w:rsidR="00D06F5B">
        <w:rPr>
          <w:rFonts w:ascii="Verdana" w:hAnsi="Verdana" w:cs="Arial"/>
          <w:shd w:val="clear" w:color="auto" w:fill="FFFFFF"/>
          <w:lang w:val="es-ES"/>
        </w:rPr>
        <w:t>2</w:t>
      </w:r>
      <w:r w:rsidRPr="00FC6F34">
        <w:rPr>
          <w:rFonts w:ascii="Verdana" w:hAnsi="Verdana" w:cs="Arial"/>
          <w:shd w:val="clear" w:color="auto" w:fill="FFFFFF"/>
          <w:lang w:val="es-ES"/>
        </w:rPr>
        <w:t>5</w:t>
      </w:r>
      <w:r>
        <w:rPr>
          <w:rFonts w:ascii="Verdana" w:hAnsi="Verdana" w:cs="Arial"/>
          <w:shd w:val="clear" w:color="auto" w:fill="FFFFFF"/>
          <w:lang w:val="es-ES"/>
        </w:rPr>
        <w:t>,</w:t>
      </w:r>
      <w:r w:rsidRPr="00FC6F34">
        <w:rPr>
          <w:rFonts w:ascii="Verdana" w:hAnsi="Verdana" w:cs="Arial"/>
          <w:shd w:val="clear" w:color="auto" w:fill="FFFFFF"/>
          <w:lang w:val="es-ES"/>
        </w:rPr>
        <w:t xml:space="preserve"> C-273-A </w:t>
      </w:r>
      <w:r w:rsidR="00AA386B">
        <w:rPr>
          <w:rFonts w:ascii="Verdana" w:hAnsi="Verdana" w:cs="Arial"/>
          <w:shd w:val="clear" w:color="auto" w:fill="FFFFFF"/>
          <w:lang w:val="es-ES"/>
        </w:rPr>
        <w:t>de</w:t>
      </w:r>
      <w:r w:rsidR="00D06F5B">
        <w:rPr>
          <w:rFonts w:ascii="Verdana" w:hAnsi="Verdana" w:cs="Arial"/>
          <w:shd w:val="clear" w:color="auto" w:fill="FFFFFF"/>
          <w:lang w:val="es-ES"/>
        </w:rPr>
        <w:t>l</w:t>
      </w:r>
      <w:r w:rsidR="00AA386B">
        <w:rPr>
          <w:rFonts w:ascii="Verdana" w:hAnsi="Verdana" w:cs="Arial"/>
          <w:shd w:val="clear" w:color="auto" w:fill="FFFFFF"/>
          <w:lang w:val="es-ES"/>
        </w:rPr>
        <w:t xml:space="preserve"> </w:t>
      </w:r>
      <w:r w:rsidR="00AA386B" w:rsidRPr="00AA386B">
        <w:rPr>
          <w:rFonts w:ascii="Verdana" w:hAnsi="Verdana" w:cs="Arial"/>
          <w:shd w:val="clear" w:color="auto" w:fill="FFFFFF"/>
          <w:lang w:val="es-MX"/>
        </w:rPr>
        <w:t xml:space="preserve">30 de abril </w:t>
      </w:r>
      <w:r w:rsidRPr="00FC6F34">
        <w:rPr>
          <w:rFonts w:ascii="Verdana" w:hAnsi="Verdana" w:cs="Arial"/>
          <w:shd w:val="clear" w:color="auto" w:fill="FFFFFF"/>
          <w:lang w:val="es-ES"/>
        </w:rPr>
        <w:t>de 2025</w:t>
      </w:r>
      <w:r>
        <w:rPr>
          <w:rFonts w:ascii="Verdana" w:hAnsi="Verdana" w:cs="Arial"/>
          <w:shd w:val="clear" w:color="auto" w:fill="FFFFFF"/>
          <w:lang w:val="es-ES"/>
        </w:rPr>
        <w:t>,  C-1274 de</w:t>
      </w:r>
      <w:r w:rsidR="00D06F5B">
        <w:rPr>
          <w:rFonts w:ascii="Verdana" w:hAnsi="Verdana" w:cs="Arial"/>
          <w:shd w:val="clear" w:color="auto" w:fill="FFFFFF"/>
          <w:lang w:val="es-ES"/>
        </w:rPr>
        <w:t>l 1</w:t>
      </w:r>
      <w:r w:rsidR="004B198D">
        <w:rPr>
          <w:rFonts w:ascii="Verdana" w:hAnsi="Verdana" w:cs="Arial"/>
          <w:shd w:val="clear" w:color="auto" w:fill="FFFFFF"/>
          <w:lang w:val="es-ES"/>
        </w:rPr>
        <w:t xml:space="preserve">6 de octubre de </w:t>
      </w:r>
      <w:r>
        <w:rPr>
          <w:rFonts w:ascii="Verdana" w:hAnsi="Verdana" w:cs="Arial"/>
          <w:shd w:val="clear" w:color="auto" w:fill="FFFFFF"/>
          <w:lang w:val="es-ES"/>
        </w:rPr>
        <w:t>2025, C-1488 de</w:t>
      </w:r>
      <w:r w:rsidR="00BB4C0A">
        <w:rPr>
          <w:rFonts w:ascii="Verdana" w:hAnsi="Verdana" w:cs="Arial"/>
          <w:shd w:val="clear" w:color="auto" w:fill="FFFFFF"/>
          <w:lang w:val="es-ES"/>
        </w:rPr>
        <w:t>l 30 de octubre de 2025</w:t>
      </w:r>
      <w:r>
        <w:rPr>
          <w:rFonts w:ascii="Verdana" w:hAnsi="Verdana" w:cs="Arial"/>
          <w:shd w:val="clear" w:color="auto" w:fill="FFFFFF"/>
          <w:lang w:val="es-ES"/>
        </w:rPr>
        <w:t xml:space="preserve">, C-1785 del </w:t>
      </w:r>
      <w:r w:rsidR="00EC0294">
        <w:rPr>
          <w:rFonts w:ascii="Verdana" w:hAnsi="Verdana" w:cs="Arial"/>
          <w:shd w:val="clear" w:color="auto" w:fill="FFFFFF"/>
          <w:lang w:val="es-ES"/>
        </w:rPr>
        <w:t xml:space="preserve">31 de diciembre de 2025 </w:t>
      </w:r>
      <w:r>
        <w:rPr>
          <w:rFonts w:ascii="Verdana" w:hAnsi="Verdana" w:cs="Arial"/>
          <w:shd w:val="clear" w:color="auto" w:fill="FFFFFF"/>
          <w:lang w:val="es-ES"/>
        </w:rPr>
        <w:t>entre otros</w:t>
      </w:r>
      <w:r w:rsidRPr="00FC6F34">
        <w:rPr>
          <w:rFonts w:ascii="Verdana" w:hAnsi="Verdana" w:cs="Arial"/>
          <w:shd w:val="clear" w:color="auto" w:fill="FFFFFF"/>
          <w:lang w:val="es-ES"/>
        </w:rPr>
        <w:t xml:space="preserve">. </w:t>
      </w:r>
      <w:r w:rsidRPr="00BC2C1E">
        <w:rPr>
          <w:rFonts w:ascii="Verdana" w:hAnsi="Verdana" w:cs="Arial"/>
          <w:shd w:val="clear" w:color="auto" w:fill="FFFFFF"/>
          <w:lang w:val="es-ES"/>
        </w:rPr>
        <w:t xml:space="preserve">Sobre los docentes ocasionales y de catedra se pronunció esta Subdirección en concepto C-061 del 25 de febrero de 2025, </w:t>
      </w:r>
      <w:r w:rsidRPr="00BC2C1E">
        <w:rPr>
          <w:rFonts w:ascii="Verdana" w:hAnsi="Verdana" w:cs="Arial"/>
          <w:shd w:val="clear" w:color="auto" w:fill="FFFFFF"/>
        </w:rPr>
        <w:t xml:space="preserve">C-1630 del 16 de diciembre de 2025. </w:t>
      </w:r>
      <w:r w:rsidRPr="00BC2C1E">
        <w:rPr>
          <w:rFonts w:ascii="Verdana" w:hAnsi="Verdana" w:cs="Arial"/>
          <w:shd w:val="clear" w:color="auto" w:fill="FFFFFF"/>
          <w:lang w:val="es-ES"/>
        </w:rPr>
        <w:t>Estos</w:t>
      </w:r>
      <w:r w:rsidRPr="00BC2C1E">
        <w:rPr>
          <w:rFonts w:ascii="Verdana" w:hAnsi="Verdana"/>
          <w:lang w:val="es-ES"/>
        </w:rPr>
        <w:t xml:space="preserve"> y otros se encuentran disponibles para consulta en el Sistema de relatoría de la Agencia, al cual se puede acceder a través del siguiente enlace:</w:t>
      </w:r>
      <w:r w:rsidRPr="00BC2C1E">
        <w:rPr>
          <w:rFonts w:ascii="Verdana" w:hAnsi="Verdana" w:cs="Arial"/>
          <w:shd w:val="clear" w:color="auto" w:fill="FFFFFF"/>
          <w:lang w:val="es-ES"/>
        </w:rPr>
        <w:t xml:space="preserve"> </w:t>
      </w:r>
      <w:hyperlink r:id="rId13" w:history="1">
        <w:r w:rsidR="00EC0294" w:rsidRPr="00320744">
          <w:rPr>
            <w:rStyle w:val="Hipervnculo"/>
            <w:rFonts w:ascii="Verdana" w:hAnsi="Verdana" w:cs="Arial"/>
            <w:shd w:val="clear" w:color="auto" w:fill="FFFFFF"/>
            <w:lang w:val="es-ES"/>
          </w:rPr>
          <w:t>https://relatoria.colombiacompra.gov.co/busqueda/conceptos</w:t>
        </w:r>
      </w:hyperlink>
      <w:r w:rsidRPr="00BC2C1E">
        <w:rPr>
          <w:rFonts w:ascii="Verdana" w:hAnsi="Verdana" w:cs="Arial"/>
          <w:shd w:val="clear" w:color="auto" w:fill="FFFFFF"/>
          <w:lang w:val="es-ES"/>
        </w:rPr>
        <w:t>.</w:t>
      </w:r>
    </w:p>
    <w:p w14:paraId="47B1F337" w14:textId="77777777" w:rsidR="0079629A" w:rsidRPr="006D4E95" w:rsidRDefault="0079629A" w:rsidP="0079629A">
      <w:pPr>
        <w:widowControl w:val="0"/>
        <w:autoSpaceDE w:val="0"/>
        <w:autoSpaceDN w:val="0"/>
        <w:spacing w:after="0" w:line="276" w:lineRule="auto"/>
        <w:jc w:val="both"/>
        <w:rPr>
          <w:rFonts w:ascii="Verdana" w:hAnsi="Verdana" w:cs="Arial"/>
          <w:color w:val="000000" w:themeColor="text1"/>
          <w:shd w:val="clear" w:color="auto" w:fill="FFFFFF"/>
          <w:lang w:val="es-ES_tradnl"/>
        </w:rPr>
      </w:pPr>
    </w:p>
    <w:p w14:paraId="10CC5DA0" w14:textId="77777777" w:rsidR="0079629A" w:rsidRPr="00DA47E6" w:rsidRDefault="0079629A" w:rsidP="0079629A">
      <w:pPr>
        <w:widowControl w:val="0"/>
        <w:autoSpaceDE w:val="0"/>
        <w:autoSpaceDN w:val="0"/>
        <w:spacing w:after="0" w:line="276" w:lineRule="auto"/>
        <w:jc w:val="both"/>
        <w:rPr>
          <w:rFonts w:ascii="Verdana" w:hAnsi="Verdana" w:cs="Arial"/>
          <w:color w:val="000000" w:themeColor="text1"/>
          <w:shd w:val="clear" w:color="auto" w:fill="FFFFFF"/>
        </w:rPr>
      </w:pPr>
      <w:r w:rsidRPr="007F13BA">
        <w:rPr>
          <w:rFonts w:ascii="Verdana" w:hAnsi="Verdana" w:cs="Arial"/>
          <w:shd w:val="clear" w:color="auto" w:fill="FFFFFF"/>
        </w:rPr>
        <w:t>Por último, lo invitamos a seguirnos en las redes sociales en las cuales se difunde información institucional:  </w:t>
      </w:r>
    </w:p>
    <w:p w14:paraId="0B307209" w14:textId="77777777" w:rsidR="0079629A" w:rsidRPr="007F13BA" w:rsidRDefault="0079629A" w:rsidP="0079629A">
      <w:pPr>
        <w:widowControl w:val="0"/>
        <w:autoSpaceDE w:val="0"/>
        <w:autoSpaceDN w:val="0"/>
        <w:spacing w:after="0" w:line="276" w:lineRule="auto"/>
        <w:jc w:val="both"/>
        <w:rPr>
          <w:rFonts w:ascii="Verdana" w:hAnsi="Verdana" w:cs="Arial"/>
          <w:shd w:val="clear" w:color="auto" w:fill="FFFFFF"/>
        </w:rPr>
      </w:pPr>
      <w:r w:rsidRPr="007F13BA">
        <w:rPr>
          <w:rFonts w:ascii="Verdana" w:hAnsi="Verdana" w:cs="Arial"/>
          <w:shd w:val="clear" w:color="auto" w:fill="FFFFFF"/>
        </w:rPr>
        <w:t>Twitter: </w:t>
      </w:r>
      <w:r w:rsidRPr="007F13BA">
        <w:rPr>
          <w:rFonts w:ascii="Verdana" w:hAnsi="Verdana" w:cs="Arial"/>
          <w:u w:val="single"/>
          <w:shd w:val="clear" w:color="auto" w:fill="FFFFFF"/>
        </w:rPr>
        <w:t>@colombiacompra</w:t>
      </w:r>
      <w:r w:rsidRPr="007F13BA">
        <w:rPr>
          <w:rFonts w:ascii="Verdana" w:hAnsi="Verdana" w:cs="Arial"/>
          <w:shd w:val="clear" w:color="auto" w:fill="FFFFFF"/>
        </w:rPr>
        <w:t>  </w:t>
      </w:r>
    </w:p>
    <w:p w14:paraId="5C936B81" w14:textId="77777777" w:rsidR="0079629A" w:rsidRPr="00146A73" w:rsidRDefault="0079629A" w:rsidP="0079629A">
      <w:pPr>
        <w:widowControl w:val="0"/>
        <w:autoSpaceDE w:val="0"/>
        <w:autoSpaceDN w:val="0"/>
        <w:spacing w:after="0" w:line="276" w:lineRule="auto"/>
        <w:jc w:val="both"/>
        <w:rPr>
          <w:rFonts w:ascii="Verdana" w:hAnsi="Verdana" w:cs="Arial"/>
          <w:shd w:val="clear" w:color="auto" w:fill="FFFFFF"/>
        </w:rPr>
      </w:pPr>
      <w:r w:rsidRPr="00911583">
        <w:rPr>
          <w:rFonts w:ascii="Verdana" w:hAnsi="Verdana" w:cs="Arial"/>
          <w:shd w:val="clear" w:color="auto" w:fill="FFFFFF"/>
        </w:rPr>
        <w:t>Facebook: </w:t>
      </w:r>
      <w:proofErr w:type="spellStart"/>
      <w:r w:rsidRPr="00911583">
        <w:rPr>
          <w:rFonts w:ascii="Verdana" w:hAnsi="Verdana" w:cs="Arial"/>
          <w:u w:val="single"/>
          <w:shd w:val="clear" w:color="auto" w:fill="FFFFFF"/>
        </w:rPr>
        <w:t>ColombiaCompraEficiente</w:t>
      </w:r>
      <w:proofErr w:type="spellEnd"/>
      <w:r w:rsidRPr="00146A73">
        <w:rPr>
          <w:rFonts w:ascii="Verdana" w:hAnsi="Verdana" w:cs="Arial"/>
          <w:shd w:val="clear" w:color="auto" w:fill="FFFFFF"/>
        </w:rPr>
        <w:t> </w:t>
      </w:r>
    </w:p>
    <w:p w14:paraId="1E902276" w14:textId="77777777" w:rsidR="0079629A" w:rsidRDefault="0079629A" w:rsidP="0079629A">
      <w:pPr>
        <w:widowControl w:val="0"/>
        <w:autoSpaceDE w:val="0"/>
        <w:autoSpaceDN w:val="0"/>
        <w:spacing w:after="0" w:line="276" w:lineRule="auto"/>
        <w:jc w:val="both"/>
        <w:rPr>
          <w:rFonts w:ascii="Verdana" w:hAnsi="Verdana" w:cs="Arial"/>
          <w:shd w:val="clear" w:color="auto" w:fill="FFFFFF"/>
        </w:rPr>
      </w:pPr>
      <w:r w:rsidRPr="00DA47E6">
        <w:rPr>
          <w:rFonts w:ascii="Verdana" w:hAnsi="Verdana" w:cs="Arial"/>
          <w:shd w:val="clear" w:color="auto" w:fill="FFFFFF"/>
        </w:rPr>
        <w:t xml:space="preserve">LinkedIn: Agencia Nacional de Contratación Pública - Colombia Compra Eficiente </w:t>
      </w:r>
      <w:r w:rsidRPr="007F13BA">
        <w:rPr>
          <w:rFonts w:ascii="Verdana" w:hAnsi="Verdana" w:cs="Arial"/>
          <w:shd w:val="clear" w:color="auto" w:fill="FFFFFF"/>
        </w:rPr>
        <w:t>Instagram: </w:t>
      </w:r>
      <w:r w:rsidRPr="007F13BA">
        <w:rPr>
          <w:rFonts w:ascii="Verdana" w:hAnsi="Verdana" w:cs="Arial"/>
          <w:u w:val="single"/>
          <w:shd w:val="clear" w:color="auto" w:fill="FFFFFF"/>
        </w:rPr>
        <w:t>@colombiacompraeficiente_cce</w:t>
      </w:r>
      <w:r w:rsidRPr="007F13BA">
        <w:rPr>
          <w:rFonts w:ascii="Verdana" w:hAnsi="Verdana" w:cs="Arial"/>
          <w:shd w:val="clear" w:color="auto" w:fill="FFFFFF"/>
        </w:rPr>
        <w:t> </w:t>
      </w:r>
    </w:p>
    <w:p w14:paraId="1A86C03E" w14:textId="77777777" w:rsidR="0079629A" w:rsidRDefault="0079629A" w:rsidP="0079629A">
      <w:pPr>
        <w:widowControl w:val="0"/>
        <w:autoSpaceDE w:val="0"/>
        <w:autoSpaceDN w:val="0"/>
        <w:spacing w:after="0" w:line="276" w:lineRule="auto"/>
        <w:jc w:val="both"/>
        <w:rPr>
          <w:rFonts w:ascii="Verdana" w:hAnsi="Verdana" w:cs="Arial"/>
          <w:shd w:val="clear" w:color="auto" w:fill="FFFFFF"/>
        </w:rPr>
      </w:pPr>
    </w:p>
    <w:p w14:paraId="3E89C6EB" w14:textId="77777777" w:rsidR="0079629A" w:rsidRPr="00DA47E6" w:rsidRDefault="0079629A" w:rsidP="0079629A">
      <w:pPr>
        <w:widowControl w:val="0"/>
        <w:autoSpaceDE w:val="0"/>
        <w:autoSpaceDN w:val="0"/>
        <w:spacing w:after="0" w:line="276" w:lineRule="auto"/>
        <w:jc w:val="both"/>
        <w:rPr>
          <w:rFonts w:ascii="Verdana" w:hAnsi="Verdana" w:cs="Arial"/>
          <w:shd w:val="clear" w:color="auto" w:fill="FFFFFF"/>
        </w:rPr>
      </w:pPr>
      <w:r w:rsidRPr="007F13BA">
        <w:rPr>
          <w:rFonts w:ascii="Verdana" w:hAnsi="Verdana"/>
        </w:rPr>
        <w:t>Este concepto tiene el alcance previsto en el artículo 28 del Código de Procedimiento Administrativo y de lo Contencioso Administrativo y las expresiones utilizadas con mayúscula inicial de</w:t>
      </w:r>
      <w:r w:rsidRPr="00911583">
        <w:rPr>
          <w:rFonts w:ascii="Verdana" w:hAnsi="Verdana"/>
        </w:rPr>
        <w:t>ben ser entendidas con el significado que les otorga el artículo 2.2.1.1.1.3.1 del Decreto 1082 de 2015.</w:t>
      </w:r>
    </w:p>
    <w:p w14:paraId="46A0E848" w14:textId="77777777" w:rsidR="0079629A" w:rsidRPr="007F13BA" w:rsidRDefault="0079629A" w:rsidP="0079629A">
      <w:pPr>
        <w:spacing w:after="0" w:line="276" w:lineRule="auto"/>
        <w:jc w:val="both"/>
        <w:rPr>
          <w:rFonts w:ascii="Verdana" w:eastAsia="Calibri" w:hAnsi="Verdana" w:cs="Times New Roman"/>
        </w:rPr>
      </w:pPr>
    </w:p>
    <w:p w14:paraId="25FBF3DD" w14:textId="77777777" w:rsidR="0079629A" w:rsidRPr="007F13BA" w:rsidRDefault="0079629A" w:rsidP="0079629A">
      <w:pPr>
        <w:spacing w:after="0" w:line="276" w:lineRule="auto"/>
        <w:jc w:val="both"/>
        <w:rPr>
          <w:rFonts w:ascii="Verdana" w:eastAsia="Calibri" w:hAnsi="Verdana" w:cs="Times New Roman"/>
        </w:rPr>
      </w:pPr>
      <w:r w:rsidRPr="007F13BA">
        <w:rPr>
          <w:rFonts w:ascii="Verdana" w:eastAsia="Calibri" w:hAnsi="Verdana" w:cs="Times New Roman"/>
        </w:rPr>
        <w:t>Atentamente,</w:t>
      </w:r>
    </w:p>
    <w:p w14:paraId="6EFE899B" w14:textId="0777ADA6" w:rsidR="0079629A" w:rsidRPr="007F13BA" w:rsidRDefault="007D1D8F" w:rsidP="0079629A">
      <w:pPr>
        <w:spacing w:after="0" w:line="276" w:lineRule="auto"/>
        <w:jc w:val="center"/>
        <w:rPr>
          <w:rFonts w:ascii="Verdana" w:eastAsia="Calibri" w:hAnsi="Verdana" w:cs="Times New Roman"/>
        </w:rPr>
      </w:pPr>
      <w:r>
        <w:rPr>
          <w:rFonts w:ascii="Verdana" w:eastAsia="Calibri" w:hAnsi="Verdana" w:cs="Times New Roman"/>
          <w:noProof/>
        </w:rPr>
        <w:drawing>
          <wp:inline distT="0" distB="0" distL="0" distR="0" wp14:anchorId="154D6A63" wp14:editId="1698D41A">
            <wp:extent cx="3493311" cy="1298561"/>
            <wp:effectExtent l="0" t="0" r="0" b="0"/>
            <wp:docPr id="1734289570"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4289570" name="Imagen 1" descr="Texto&#10;&#10;El contenido generado por IA puede ser incorrecto."/>
                    <pic:cNvPicPr/>
                  </pic:nvPicPr>
                  <pic:blipFill>
                    <a:blip r:embed="rId14">
                      <a:extLst>
                        <a:ext uri="{28A0092B-C50C-407E-A947-70E740481C1C}">
                          <a14:useLocalDpi xmlns:a14="http://schemas.microsoft.com/office/drawing/2010/main" val="0"/>
                        </a:ext>
                      </a:extLst>
                    </a:blip>
                    <a:stretch>
                      <a:fillRect/>
                    </a:stretch>
                  </pic:blipFill>
                  <pic:spPr>
                    <a:xfrm>
                      <a:off x="0" y="0"/>
                      <a:ext cx="3493311" cy="1298561"/>
                    </a:xfrm>
                    <a:prstGeom prst="rect">
                      <a:avLst/>
                    </a:prstGeom>
                  </pic:spPr>
                </pic:pic>
              </a:graphicData>
            </a:graphic>
          </wp:inline>
        </w:drawing>
      </w:r>
    </w:p>
    <w:p w14:paraId="35F1F4DF" w14:textId="77777777" w:rsidR="0079629A" w:rsidRPr="00902D8C" w:rsidRDefault="0079629A" w:rsidP="0079629A">
      <w:pPr>
        <w:spacing w:after="0" w:line="276" w:lineRule="auto"/>
        <w:jc w:val="center"/>
        <w:rPr>
          <w:rFonts w:ascii="Verdana" w:eastAsia="Calibri" w:hAnsi="Verdana" w:cs="Times New Roman"/>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9629A" w:rsidRPr="00713B63" w14:paraId="58A87774" w14:textId="77777777" w:rsidTr="007710EF">
        <w:trPr>
          <w:trHeight w:val="315"/>
        </w:trPr>
        <w:tc>
          <w:tcPr>
            <w:tcW w:w="893" w:type="dxa"/>
            <w:vAlign w:val="center"/>
            <w:hideMark/>
          </w:tcPr>
          <w:p w14:paraId="1E4BE8B4" w14:textId="77777777" w:rsidR="0079629A" w:rsidRPr="00713B63" w:rsidRDefault="0079629A" w:rsidP="007710EF">
            <w:pPr>
              <w:contextualSpacing/>
              <w:rPr>
                <w:rFonts w:ascii="Verdana" w:hAnsi="Verdana" w:cs="Arial"/>
                <w:sz w:val="16"/>
                <w:szCs w:val="16"/>
                <w:lang w:eastAsia="es-ES"/>
              </w:rPr>
            </w:pPr>
            <w:r w:rsidRPr="00713B63">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612B0520" w14:textId="77777777" w:rsidR="0079629A" w:rsidRPr="00713B63" w:rsidRDefault="0079629A" w:rsidP="007710EF">
            <w:pPr>
              <w:contextualSpacing/>
              <w:rPr>
                <w:rFonts w:ascii="Verdana" w:hAnsi="Verdana"/>
                <w:sz w:val="16"/>
                <w:szCs w:val="16"/>
              </w:rPr>
            </w:pPr>
            <w:r>
              <w:rPr>
                <w:rFonts w:ascii="Verdana" w:hAnsi="Verdana"/>
                <w:sz w:val="16"/>
                <w:szCs w:val="16"/>
              </w:rPr>
              <w:t>Denis Andrea Cárdenas Hernández.</w:t>
            </w:r>
          </w:p>
          <w:p w14:paraId="4A707E42" w14:textId="77777777" w:rsidR="0079629A" w:rsidRPr="00713B63" w:rsidRDefault="0079629A" w:rsidP="007710EF">
            <w:pPr>
              <w:contextualSpacing/>
              <w:rPr>
                <w:rFonts w:ascii="Verdana" w:eastAsia="Arial" w:hAnsi="Verdana" w:cs="Arial"/>
                <w:sz w:val="16"/>
                <w:szCs w:val="16"/>
              </w:rPr>
            </w:pPr>
            <w:r>
              <w:rPr>
                <w:rFonts w:ascii="Verdana" w:hAnsi="Verdana"/>
                <w:sz w:val="16"/>
                <w:szCs w:val="16"/>
              </w:rPr>
              <w:t xml:space="preserve">Analista </w:t>
            </w:r>
            <w:r w:rsidRPr="00713B63">
              <w:rPr>
                <w:rFonts w:ascii="Verdana" w:hAnsi="Verdana" w:cs="Arial"/>
                <w:sz w:val="16"/>
                <w:szCs w:val="16"/>
                <w:lang w:val="es-ES_tradnl"/>
              </w:rPr>
              <w:t>T</w:t>
            </w:r>
            <w:r>
              <w:rPr>
                <w:rFonts w:ascii="Verdana" w:hAnsi="Verdana" w:cs="Arial"/>
                <w:sz w:val="16"/>
                <w:szCs w:val="16"/>
                <w:lang w:val="es-ES_tradnl"/>
              </w:rPr>
              <w:t>2</w:t>
            </w:r>
            <w:r w:rsidRPr="00713B63">
              <w:rPr>
                <w:rFonts w:ascii="Verdana" w:hAnsi="Verdana" w:cs="Arial"/>
                <w:sz w:val="16"/>
                <w:szCs w:val="16"/>
                <w:lang w:val="es-ES_tradnl"/>
              </w:rPr>
              <w:t xml:space="preserve"> ‒ 1</w:t>
            </w:r>
            <w:r>
              <w:rPr>
                <w:rFonts w:ascii="Verdana" w:hAnsi="Verdana" w:cs="Arial"/>
                <w:sz w:val="16"/>
                <w:szCs w:val="16"/>
                <w:lang w:val="es-ES_tradnl"/>
              </w:rPr>
              <w:t xml:space="preserve"> </w:t>
            </w:r>
            <w:r w:rsidRPr="00713B63">
              <w:rPr>
                <w:rFonts w:ascii="Verdana" w:hAnsi="Verdana" w:cs="Arial"/>
                <w:sz w:val="16"/>
                <w:szCs w:val="16"/>
                <w:lang w:val="es-ES_tradnl"/>
              </w:rPr>
              <w:t>de la Subdirección de Gestión Contractual</w:t>
            </w:r>
            <w:r>
              <w:rPr>
                <w:rFonts w:ascii="Verdana" w:hAnsi="Verdana" w:cs="Arial"/>
                <w:sz w:val="16"/>
                <w:szCs w:val="16"/>
                <w:lang w:val="es-ES_tradnl"/>
              </w:rPr>
              <w:t>.</w:t>
            </w:r>
          </w:p>
        </w:tc>
      </w:tr>
      <w:tr w:rsidR="000D0209" w:rsidRPr="00713B63" w14:paraId="03E63372" w14:textId="77777777" w:rsidTr="007710EF">
        <w:trPr>
          <w:trHeight w:val="330"/>
        </w:trPr>
        <w:tc>
          <w:tcPr>
            <w:tcW w:w="893" w:type="dxa"/>
            <w:vAlign w:val="center"/>
            <w:hideMark/>
          </w:tcPr>
          <w:p w14:paraId="51FB6FF0" w14:textId="77777777" w:rsidR="000D0209" w:rsidRPr="00713B63" w:rsidRDefault="000D0209" w:rsidP="000D0209">
            <w:pPr>
              <w:contextualSpacing/>
              <w:rPr>
                <w:rFonts w:ascii="Verdana" w:hAnsi="Verdana" w:cs="Arial"/>
                <w:sz w:val="16"/>
                <w:szCs w:val="16"/>
                <w:lang w:eastAsia="es-ES"/>
              </w:rPr>
            </w:pPr>
            <w:r w:rsidRPr="00713B63">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535D807" w14:textId="77777777" w:rsidR="000D0209" w:rsidRPr="008A018A" w:rsidRDefault="000D0209" w:rsidP="000D0209">
            <w:pPr>
              <w:textAlignment w:val="baseline"/>
              <w:rPr>
                <w:rFonts w:ascii="Verdana" w:eastAsia="Times New Roman" w:hAnsi="Verdana" w:cs="Arial"/>
                <w:color w:val="000000" w:themeColor="text1"/>
                <w:sz w:val="16"/>
                <w:szCs w:val="16"/>
                <w:lang w:val="es-ES_tradnl" w:eastAsia="es-ES_tradnl"/>
              </w:rPr>
            </w:pPr>
            <w:r w:rsidRPr="008A018A">
              <w:rPr>
                <w:rFonts w:ascii="Verdana" w:eastAsia="Times New Roman" w:hAnsi="Verdana" w:cs="Arial"/>
                <w:color w:val="000000" w:themeColor="text1"/>
                <w:sz w:val="16"/>
                <w:szCs w:val="16"/>
                <w:lang w:val="es-ES_tradnl" w:eastAsia="es-ES_tradnl"/>
              </w:rPr>
              <w:t>Juan David Cárdenas Cabeza</w:t>
            </w:r>
          </w:p>
          <w:p w14:paraId="0986653B" w14:textId="6DAD4235" w:rsidR="000D0209" w:rsidRPr="00713B63" w:rsidRDefault="000D0209" w:rsidP="000D0209">
            <w:pPr>
              <w:contextualSpacing/>
              <w:textAlignment w:val="baseline"/>
              <w:rPr>
                <w:rFonts w:ascii="Verdana" w:eastAsia="Times New Roman" w:hAnsi="Verdana" w:cs="Segoe UI"/>
                <w:sz w:val="16"/>
                <w:szCs w:val="16"/>
                <w:lang w:eastAsia="es-ES_tradnl"/>
              </w:rPr>
            </w:pPr>
            <w:r w:rsidRPr="008A018A">
              <w:rPr>
                <w:rFonts w:ascii="Verdana" w:eastAsia="Times New Roman" w:hAnsi="Verdana" w:cs="Arial"/>
                <w:color w:val="000000" w:themeColor="text1"/>
                <w:sz w:val="16"/>
                <w:szCs w:val="16"/>
                <w:lang w:val="es-ES_tradnl" w:eastAsia="es-ES_tradnl"/>
              </w:rPr>
              <w:t>Contratista de la Subdirección de Gestión Contractual</w:t>
            </w:r>
          </w:p>
        </w:tc>
      </w:tr>
      <w:tr w:rsidR="0079629A" w:rsidRPr="00713B63" w14:paraId="4E06E64C" w14:textId="77777777" w:rsidTr="007710EF">
        <w:trPr>
          <w:trHeight w:val="300"/>
        </w:trPr>
        <w:tc>
          <w:tcPr>
            <w:tcW w:w="893" w:type="dxa"/>
            <w:vAlign w:val="center"/>
          </w:tcPr>
          <w:p w14:paraId="315059EE" w14:textId="77777777" w:rsidR="0079629A" w:rsidRPr="00713B63" w:rsidRDefault="0079629A" w:rsidP="007710EF">
            <w:pPr>
              <w:contextualSpacing/>
              <w:rPr>
                <w:rFonts w:ascii="Verdana" w:hAnsi="Verdana" w:cs="Arial"/>
                <w:sz w:val="16"/>
                <w:szCs w:val="16"/>
                <w:lang w:eastAsia="es-ES"/>
              </w:rPr>
            </w:pPr>
            <w:r w:rsidRPr="00713B63">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296DE2B" w14:textId="77777777" w:rsidR="0079629A" w:rsidRPr="00713B63" w:rsidRDefault="0079629A" w:rsidP="007710EF">
            <w:pPr>
              <w:contextualSpacing/>
              <w:rPr>
                <w:rFonts w:ascii="Verdana" w:eastAsia="Calibri" w:hAnsi="Verdana" w:cs="Arial"/>
                <w:sz w:val="16"/>
                <w:szCs w:val="16"/>
                <w:lang w:eastAsia="es-ES"/>
              </w:rPr>
            </w:pPr>
            <w:r w:rsidRPr="00713B63">
              <w:rPr>
                <w:rFonts w:ascii="Verdana" w:eastAsia="Calibri" w:hAnsi="Verdana" w:cs="Arial"/>
                <w:sz w:val="16"/>
                <w:szCs w:val="16"/>
                <w:lang w:eastAsia="es-ES"/>
              </w:rPr>
              <w:t>Carolina Quintero Gacharná</w:t>
            </w:r>
            <w:r>
              <w:rPr>
                <w:rFonts w:ascii="Verdana" w:eastAsia="Calibri" w:hAnsi="Verdana" w:cs="Arial"/>
                <w:sz w:val="16"/>
                <w:szCs w:val="16"/>
                <w:lang w:eastAsia="es-ES"/>
              </w:rPr>
              <w:t>.</w:t>
            </w:r>
          </w:p>
          <w:p w14:paraId="20D6083E" w14:textId="77777777" w:rsidR="0079629A" w:rsidRPr="00713B63" w:rsidRDefault="0079629A" w:rsidP="007710EF">
            <w:pPr>
              <w:contextualSpacing/>
              <w:rPr>
                <w:rFonts w:ascii="Verdana" w:eastAsia="Calibri" w:hAnsi="Verdana" w:cs="Arial"/>
                <w:sz w:val="16"/>
                <w:szCs w:val="16"/>
                <w:lang w:eastAsia="es-ES"/>
              </w:rPr>
            </w:pPr>
            <w:r w:rsidRPr="00713B63">
              <w:rPr>
                <w:rFonts w:ascii="Verdana" w:eastAsia="Calibri" w:hAnsi="Verdana" w:cs="Arial"/>
                <w:sz w:val="16"/>
                <w:szCs w:val="16"/>
                <w:lang w:eastAsia="es-ES"/>
              </w:rPr>
              <w:t>Subdirectora de Gestión Contractual ANCP – CCE</w:t>
            </w:r>
            <w:r>
              <w:rPr>
                <w:rFonts w:ascii="Verdana" w:eastAsia="Calibri" w:hAnsi="Verdana" w:cs="Arial"/>
                <w:sz w:val="16"/>
                <w:szCs w:val="16"/>
                <w:lang w:eastAsia="es-ES"/>
              </w:rPr>
              <w:t>.</w:t>
            </w:r>
          </w:p>
        </w:tc>
      </w:tr>
    </w:tbl>
    <w:p w14:paraId="0F293BF4" w14:textId="2A29594A" w:rsidR="00127233" w:rsidRPr="0079629A" w:rsidRDefault="00127233" w:rsidP="0079629A"/>
    <w:sectPr w:rsidR="00127233" w:rsidRPr="0079629A"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C8C6D9" w14:textId="77777777" w:rsidR="00BD08A4" w:rsidRDefault="00BD08A4" w:rsidP="004A1847">
      <w:pPr>
        <w:spacing w:after="0" w:line="240" w:lineRule="auto"/>
      </w:pPr>
      <w:r>
        <w:separator/>
      </w:r>
    </w:p>
  </w:endnote>
  <w:endnote w:type="continuationSeparator" w:id="0">
    <w:p w14:paraId="3ECBCFA1" w14:textId="77777777" w:rsidR="00BD08A4" w:rsidRDefault="00BD08A4"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68D252" w14:textId="77777777" w:rsidR="007359DB" w:rsidRDefault="007359DB" w:rsidP="00D520D8">
    <w:pPr>
      <w:pBdr>
        <w:top w:val="single" w:sz="4" w:space="1" w:color="auto"/>
      </w:pBdr>
      <w:spacing w:after="0"/>
      <w:rPr>
        <w:rFonts w:ascii="Verdana" w:hAnsi="Verdana"/>
        <w:b/>
        <w:bCs/>
        <w:sz w:val="20"/>
        <w:szCs w:val="20"/>
      </w:rPr>
    </w:pPr>
  </w:p>
  <w:p w14:paraId="594D6D9F" w14:textId="74EED4DB"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62F466" w14:textId="77777777" w:rsidR="00BD08A4" w:rsidRDefault="00BD08A4" w:rsidP="004A1847">
      <w:pPr>
        <w:spacing w:after="0" w:line="240" w:lineRule="auto"/>
      </w:pPr>
      <w:r>
        <w:separator/>
      </w:r>
    </w:p>
  </w:footnote>
  <w:footnote w:type="continuationSeparator" w:id="0">
    <w:p w14:paraId="018E64C9" w14:textId="77777777" w:rsidR="00BD08A4" w:rsidRDefault="00BD08A4" w:rsidP="004A1847">
      <w:pPr>
        <w:spacing w:after="0" w:line="240" w:lineRule="auto"/>
      </w:pPr>
      <w:r>
        <w:continuationSeparator/>
      </w:r>
    </w:p>
  </w:footnote>
  <w:footnote w:id="1">
    <w:p w14:paraId="7506520B" w14:textId="77777777" w:rsidR="0079629A" w:rsidRDefault="0079629A" w:rsidP="0079629A">
      <w:pPr>
        <w:pStyle w:val="Textonotapie"/>
        <w:ind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Gaceta del Congreso de la República No. 71 del 2005.</w:t>
      </w:r>
    </w:p>
    <w:p w14:paraId="37A1EC33" w14:textId="77777777" w:rsidR="00F97F00" w:rsidRPr="0016660C" w:rsidRDefault="00F97F00" w:rsidP="0079629A">
      <w:pPr>
        <w:pStyle w:val="Textonotapie"/>
        <w:ind w:firstLine="709"/>
        <w:contextualSpacing/>
        <w:jc w:val="both"/>
        <w:rPr>
          <w:rFonts w:ascii="Verdana" w:hAnsi="Verdana" w:cs="Arial"/>
          <w:sz w:val="16"/>
          <w:szCs w:val="16"/>
        </w:rPr>
      </w:pPr>
    </w:p>
  </w:footnote>
  <w:footnote w:id="2">
    <w:p w14:paraId="0E865886" w14:textId="77777777" w:rsidR="0079629A" w:rsidRPr="0016660C" w:rsidRDefault="0079629A" w:rsidP="0079629A">
      <w:pPr>
        <w:pStyle w:val="Textonotapie"/>
        <w:ind w:firstLine="709"/>
        <w:contextualSpacing/>
        <w:jc w:val="both"/>
        <w:rPr>
          <w:rFonts w:ascii="Verdana" w:hAnsi="Verdana" w:cs="Arial"/>
          <w:sz w:val="16"/>
          <w:szCs w:val="16"/>
          <w:lang w:val="pt-BR"/>
        </w:rPr>
      </w:pPr>
      <w:r w:rsidRPr="0016660C">
        <w:rPr>
          <w:rStyle w:val="Refdenotaalpie"/>
          <w:rFonts w:ascii="Verdana" w:hAnsi="Verdana" w:cs="Arial"/>
          <w:sz w:val="16"/>
          <w:szCs w:val="16"/>
        </w:rPr>
        <w:footnoteRef/>
      </w:r>
      <w:r w:rsidRPr="0016660C">
        <w:rPr>
          <w:rFonts w:ascii="Verdana" w:hAnsi="Verdana" w:cs="Arial"/>
          <w:sz w:val="16"/>
          <w:szCs w:val="16"/>
          <w:lang w:val="pt-BR"/>
        </w:rPr>
        <w:t xml:space="preserve"> Corte Constitucional, Sentencia C- 1153 de 2005, M.P. Marco Gerardo </w:t>
      </w:r>
      <w:proofErr w:type="spellStart"/>
      <w:r w:rsidRPr="0016660C">
        <w:rPr>
          <w:rFonts w:ascii="Verdana" w:hAnsi="Verdana" w:cs="Arial"/>
          <w:sz w:val="16"/>
          <w:szCs w:val="16"/>
          <w:lang w:val="pt-BR"/>
        </w:rPr>
        <w:t>Monroy</w:t>
      </w:r>
      <w:proofErr w:type="spellEnd"/>
      <w:r w:rsidRPr="0016660C">
        <w:rPr>
          <w:rFonts w:ascii="Verdana" w:hAnsi="Verdana" w:cs="Arial"/>
          <w:sz w:val="16"/>
          <w:szCs w:val="16"/>
          <w:lang w:val="pt-BR"/>
        </w:rPr>
        <w:t xml:space="preserve"> Cabra.</w:t>
      </w:r>
    </w:p>
  </w:footnote>
  <w:footnote w:id="3">
    <w:p w14:paraId="52FECF24" w14:textId="77777777" w:rsidR="0079629A" w:rsidRPr="0016660C" w:rsidRDefault="0079629A" w:rsidP="0079629A">
      <w:pPr>
        <w:pStyle w:val="Textonotapie"/>
        <w:ind w:firstLine="709"/>
        <w:contextualSpacing/>
        <w:jc w:val="both"/>
        <w:rPr>
          <w:rFonts w:ascii="Verdana" w:hAnsi="Verdana" w:cs="Arial"/>
          <w:sz w:val="16"/>
          <w:szCs w:val="16"/>
          <w:lang w:val="pt-BR"/>
        </w:rPr>
      </w:pPr>
      <w:r w:rsidRPr="0016660C">
        <w:rPr>
          <w:rStyle w:val="Refdenotaalpie"/>
          <w:rFonts w:ascii="Verdana" w:hAnsi="Verdana" w:cs="Arial"/>
          <w:sz w:val="16"/>
          <w:szCs w:val="16"/>
        </w:rPr>
        <w:footnoteRef/>
      </w:r>
      <w:r w:rsidRPr="0016660C">
        <w:rPr>
          <w:rFonts w:ascii="Verdana" w:hAnsi="Verdana" w:cs="Arial"/>
          <w:sz w:val="16"/>
          <w:szCs w:val="16"/>
          <w:lang w:val="pt-BR"/>
        </w:rPr>
        <w:t xml:space="preserve"> Corte Constitucional. Sentencias: C-233 de 4 de abril de 2002, expediente: D-3704; C-551 de 9 de </w:t>
      </w:r>
      <w:proofErr w:type="spellStart"/>
      <w:r w:rsidRPr="0016660C">
        <w:rPr>
          <w:rFonts w:ascii="Verdana" w:hAnsi="Verdana" w:cs="Arial"/>
          <w:sz w:val="16"/>
          <w:szCs w:val="16"/>
          <w:lang w:val="pt-BR"/>
        </w:rPr>
        <w:t>julio</w:t>
      </w:r>
      <w:proofErr w:type="spellEnd"/>
      <w:r w:rsidRPr="0016660C">
        <w:rPr>
          <w:rFonts w:ascii="Verdana" w:hAnsi="Verdana" w:cs="Arial"/>
          <w:sz w:val="16"/>
          <w:szCs w:val="16"/>
          <w:lang w:val="pt-BR"/>
        </w:rPr>
        <w:t xml:space="preserve"> de 2003, expediente: CRF-001 de 9 de </w:t>
      </w:r>
      <w:proofErr w:type="spellStart"/>
      <w:r w:rsidRPr="0016660C">
        <w:rPr>
          <w:rFonts w:ascii="Verdana" w:hAnsi="Verdana" w:cs="Arial"/>
          <w:sz w:val="16"/>
          <w:szCs w:val="16"/>
          <w:lang w:val="pt-BR"/>
        </w:rPr>
        <w:t>julio</w:t>
      </w:r>
      <w:proofErr w:type="spellEnd"/>
      <w:r w:rsidRPr="0016660C">
        <w:rPr>
          <w:rFonts w:ascii="Verdana" w:hAnsi="Verdana" w:cs="Arial"/>
          <w:sz w:val="16"/>
          <w:szCs w:val="16"/>
          <w:lang w:val="pt-BR"/>
        </w:rPr>
        <w:t xml:space="preserve"> de 2003; C-652 de 5 de agosto de 2003, expediente: D-4330; C-353 de 20 de </w:t>
      </w:r>
      <w:proofErr w:type="spellStart"/>
      <w:r w:rsidRPr="0016660C">
        <w:rPr>
          <w:rFonts w:ascii="Verdana" w:hAnsi="Verdana" w:cs="Arial"/>
          <w:sz w:val="16"/>
          <w:szCs w:val="16"/>
          <w:lang w:val="pt-BR"/>
        </w:rPr>
        <w:t>mayo</w:t>
      </w:r>
      <w:proofErr w:type="spellEnd"/>
      <w:r w:rsidRPr="0016660C">
        <w:rPr>
          <w:rFonts w:ascii="Verdana" w:hAnsi="Verdana" w:cs="Arial"/>
          <w:sz w:val="16"/>
          <w:szCs w:val="16"/>
          <w:lang w:val="pt-BR"/>
        </w:rPr>
        <w:t xml:space="preserve"> de 2009, expediente: D-7518, C-541 de 30 de </w:t>
      </w:r>
      <w:proofErr w:type="spellStart"/>
      <w:r w:rsidRPr="0016660C">
        <w:rPr>
          <w:rFonts w:ascii="Verdana" w:hAnsi="Verdana" w:cs="Arial"/>
          <w:sz w:val="16"/>
          <w:szCs w:val="16"/>
          <w:lang w:val="pt-BR"/>
        </w:rPr>
        <w:t>junio</w:t>
      </w:r>
      <w:proofErr w:type="spellEnd"/>
      <w:r w:rsidRPr="0016660C">
        <w:rPr>
          <w:rFonts w:ascii="Verdana" w:hAnsi="Verdana" w:cs="Arial"/>
          <w:sz w:val="16"/>
          <w:szCs w:val="16"/>
          <w:lang w:val="pt-BR"/>
        </w:rPr>
        <w:t xml:space="preserve"> de 2010, expediente: DD7966; entre </w:t>
      </w:r>
      <w:proofErr w:type="spellStart"/>
      <w:r w:rsidRPr="0016660C">
        <w:rPr>
          <w:rFonts w:ascii="Verdana" w:hAnsi="Verdana" w:cs="Arial"/>
          <w:sz w:val="16"/>
          <w:szCs w:val="16"/>
          <w:lang w:val="pt-BR"/>
        </w:rPr>
        <w:t>otras</w:t>
      </w:r>
      <w:proofErr w:type="spellEnd"/>
      <w:r w:rsidRPr="0016660C">
        <w:rPr>
          <w:rFonts w:ascii="Verdana" w:hAnsi="Verdana" w:cs="Arial"/>
          <w:sz w:val="16"/>
          <w:szCs w:val="16"/>
          <w:lang w:val="pt-BR"/>
        </w:rPr>
        <w:t>.</w:t>
      </w:r>
    </w:p>
  </w:footnote>
  <w:footnote w:id="4">
    <w:p w14:paraId="145D7657" w14:textId="77777777" w:rsidR="0079629A" w:rsidRDefault="0079629A" w:rsidP="0079629A">
      <w:pPr>
        <w:pStyle w:val="Textonotapie"/>
        <w:ind w:firstLine="709"/>
        <w:contextualSpacing/>
        <w:jc w:val="both"/>
        <w:rPr>
          <w:rFonts w:ascii="Verdana" w:hAnsi="Verdana" w:cs="Arial"/>
          <w:sz w:val="16"/>
          <w:szCs w:val="16"/>
          <w:lang w:val="es-CO"/>
        </w:rPr>
      </w:pPr>
      <w:r w:rsidRPr="0016660C">
        <w:rPr>
          <w:rStyle w:val="Refdenotaalpie"/>
          <w:rFonts w:ascii="Verdana" w:hAnsi="Verdana" w:cs="Arial"/>
          <w:sz w:val="16"/>
          <w:szCs w:val="16"/>
        </w:rPr>
        <w:footnoteRef/>
      </w:r>
      <w:r w:rsidRPr="0016660C">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p w14:paraId="1B88DEF7" w14:textId="77777777" w:rsidR="007359DB" w:rsidRDefault="007359DB" w:rsidP="0079629A">
      <w:pPr>
        <w:pStyle w:val="Textonotapie"/>
        <w:ind w:firstLine="709"/>
        <w:contextualSpacing/>
        <w:jc w:val="both"/>
        <w:rPr>
          <w:rFonts w:ascii="Verdana" w:hAnsi="Verdana" w:cs="Arial"/>
          <w:sz w:val="16"/>
          <w:szCs w:val="16"/>
          <w:lang w:val="es-CO"/>
        </w:rPr>
      </w:pPr>
    </w:p>
    <w:p w14:paraId="2D1A245A" w14:textId="77777777" w:rsidR="007359DB" w:rsidRPr="0016660C" w:rsidRDefault="007359DB" w:rsidP="0079629A">
      <w:pPr>
        <w:pStyle w:val="Textonotapie"/>
        <w:ind w:firstLine="709"/>
        <w:contextualSpacing/>
        <w:jc w:val="both"/>
        <w:rPr>
          <w:rFonts w:ascii="Verdana" w:hAnsi="Verdana" w:cs="Arial"/>
          <w:sz w:val="16"/>
          <w:szCs w:val="16"/>
          <w:lang w:val="es-CO"/>
        </w:rPr>
      </w:pPr>
    </w:p>
  </w:footnote>
  <w:footnote w:id="5">
    <w:p w14:paraId="5E673C69" w14:textId="2DE19298" w:rsidR="00CF1D47" w:rsidRDefault="0079629A" w:rsidP="006E20B5">
      <w:pPr>
        <w:pStyle w:val="Textonotapie"/>
        <w:ind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Consejo de Estado, Sala de Consulta y Servicio Civil de fecha 24 de julio de 2013, Rad. 2166, C. P. Álvaro Namén Vargas.  </w:t>
      </w:r>
    </w:p>
    <w:p w14:paraId="3976A20B" w14:textId="77777777" w:rsidR="006E20B5" w:rsidRPr="0016660C" w:rsidRDefault="006E20B5" w:rsidP="006E20B5">
      <w:pPr>
        <w:pStyle w:val="Textonotapie"/>
        <w:ind w:firstLine="709"/>
        <w:contextualSpacing/>
        <w:jc w:val="both"/>
        <w:rPr>
          <w:rFonts w:ascii="Verdana" w:hAnsi="Verdana" w:cs="Arial"/>
          <w:sz w:val="16"/>
          <w:szCs w:val="16"/>
        </w:rPr>
      </w:pPr>
    </w:p>
  </w:footnote>
  <w:footnote w:id="6">
    <w:p w14:paraId="4FDCE4EF" w14:textId="77777777" w:rsidR="0079629A" w:rsidRPr="0016660C" w:rsidRDefault="0079629A" w:rsidP="0079629A">
      <w:pPr>
        <w:spacing w:after="0" w:line="240" w:lineRule="auto"/>
        <w:ind w:firstLine="709"/>
        <w:contextualSpacing/>
        <w:jc w:val="both"/>
        <w:rPr>
          <w:rFonts w:ascii="Verdana" w:eastAsia="Times New Roman"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eastAsia="Calibri" w:hAnsi="Verdana" w:cs="Arial"/>
          <w:color w:val="000000"/>
          <w:sz w:val="16"/>
          <w:szCs w:val="16"/>
        </w:rPr>
        <w:t>“</w:t>
      </w:r>
      <w:r w:rsidRPr="0016660C">
        <w:rPr>
          <w:rFonts w:ascii="Verdana" w:eastAsia="Times New Roman" w:hAnsi="Verdana" w:cs="Arial"/>
          <w:sz w:val="16"/>
          <w:szCs w:val="16"/>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6F3D53AE" w14:textId="69998938" w:rsidR="007359DB" w:rsidRDefault="0079629A" w:rsidP="00CF1D47">
      <w:pPr>
        <w:spacing w:after="0" w:line="240" w:lineRule="auto"/>
        <w:ind w:firstLine="709"/>
        <w:contextualSpacing/>
        <w:jc w:val="both"/>
        <w:rPr>
          <w:rFonts w:ascii="Verdana" w:eastAsia="Calibri" w:hAnsi="Verdana" w:cs="Arial"/>
          <w:color w:val="000000"/>
          <w:sz w:val="16"/>
          <w:szCs w:val="16"/>
        </w:rPr>
      </w:pPr>
      <w:r w:rsidRPr="0016660C">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16660C">
        <w:rPr>
          <w:rFonts w:ascii="Verdana" w:eastAsia="Calibri" w:hAnsi="Verdana" w:cs="Arial"/>
          <w:color w:val="000000"/>
          <w:sz w:val="16"/>
          <w:szCs w:val="16"/>
        </w:rPr>
        <w:t>”</w:t>
      </w:r>
    </w:p>
    <w:p w14:paraId="24E55CA1" w14:textId="77777777" w:rsidR="006E20B5" w:rsidRPr="0016660C" w:rsidRDefault="006E20B5" w:rsidP="00CF1D47">
      <w:pPr>
        <w:spacing w:after="0" w:line="240" w:lineRule="auto"/>
        <w:ind w:firstLine="709"/>
        <w:contextualSpacing/>
        <w:jc w:val="both"/>
        <w:rPr>
          <w:rFonts w:ascii="Verdana" w:eastAsia="Times New Roman" w:hAnsi="Verdana" w:cs="Arial"/>
          <w:sz w:val="16"/>
          <w:szCs w:val="16"/>
        </w:rPr>
      </w:pPr>
    </w:p>
  </w:footnote>
  <w:footnote w:id="7">
    <w:p w14:paraId="1B657F54" w14:textId="77777777" w:rsidR="0079629A" w:rsidRPr="0016660C" w:rsidRDefault="0079629A" w:rsidP="0079629A">
      <w:pPr>
        <w:pStyle w:val="NormalWeb"/>
        <w:spacing w:before="0" w:beforeAutospacing="0" w:after="0" w:afterAutospacing="0"/>
        <w:ind w:firstLine="709"/>
        <w:contextualSpacing/>
        <w:jc w:val="both"/>
        <w:rPr>
          <w:rFonts w:ascii="Verdana" w:hAnsi="Verdana" w:cs="Arial"/>
          <w:sz w:val="16"/>
          <w:szCs w:val="16"/>
          <w:lang w:val="es-MX"/>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eastAsia="Calibri" w:hAnsi="Verdana" w:cs="Arial"/>
          <w:color w:val="000000"/>
          <w:sz w:val="16"/>
          <w:szCs w:val="16"/>
        </w:rPr>
        <w:t>“</w:t>
      </w:r>
      <w:r w:rsidRPr="0016660C">
        <w:rPr>
          <w:rFonts w:ascii="Verdana" w:hAnsi="Verdana" w:cs="Arial"/>
          <w:sz w:val="16"/>
          <w:szCs w:val="16"/>
          <w:lang w:val="es-MX"/>
        </w:rPr>
        <w:t>Artículo 38. Prohibiciones para los servidores públicos. A los empleados del Estado les está prohibido: […]</w:t>
      </w:r>
    </w:p>
    <w:p w14:paraId="1FD26B0C" w14:textId="77777777" w:rsidR="0079629A" w:rsidRPr="0016660C" w:rsidRDefault="0079629A" w:rsidP="0079629A">
      <w:pPr>
        <w:pStyle w:val="NormalWeb"/>
        <w:spacing w:before="0" w:beforeAutospacing="0" w:after="0" w:afterAutospacing="0"/>
        <w:ind w:firstLine="709"/>
        <w:contextualSpacing/>
        <w:jc w:val="both"/>
        <w:rPr>
          <w:rFonts w:ascii="Verdana" w:hAnsi="Verdana" w:cs="Arial"/>
          <w:sz w:val="16"/>
          <w:szCs w:val="16"/>
          <w:lang w:val="es-MX"/>
        </w:rPr>
      </w:pPr>
      <w:r w:rsidRPr="0016660C">
        <w:rPr>
          <w:rStyle w:val="baj"/>
          <w:rFonts w:ascii="Verdana" w:hAnsi="Verdana" w:cs="Arial"/>
          <w:sz w:val="16"/>
          <w:szCs w:val="16"/>
          <w:lang w:val="es-MX"/>
        </w:rPr>
        <w:t>Parágrafo.</w:t>
      </w:r>
      <w:r w:rsidRPr="0016660C">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16660C">
        <w:rPr>
          <w:rFonts w:ascii="Verdana" w:eastAsia="Calibri" w:hAnsi="Verdana" w:cs="Arial"/>
          <w:color w:val="000000"/>
          <w:sz w:val="16"/>
          <w:szCs w:val="16"/>
        </w:rPr>
        <w:t>”</w:t>
      </w:r>
      <w:r w:rsidRPr="0016660C">
        <w:rPr>
          <w:rFonts w:ascii="Verdana" w:hAnsi="Verdana" w:cs="Arial"/>
          <w:sz w:val="16"/>
          <w:szCs w:val="16"/>
          <w:lang w:val="es-MX"/>
        </w:rPr>
        <w:t>.</w:t>
      </w:r>
    </w:p>
  </w:footnote>
  <w:footnote w:id="8">
    <w:p w14:paraId="0F27A16D" w14:textId="6A6CBA75" w:rsidR="00E37693" w:rsidRDefault="0079629A" w:rsidP="00E37693">
      <w:pPr>
        <w:spacing w:after="0" w:line="240" w:lineRule="auto"/>
        <w:ind w:left="100" w:right="244"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Consejo de Estado. Sala de Consulta y Servicio Civil. Concepto del 17 de febrero de 2015. C.P. William Zambrano Cetina. Radicación No. 11001-03-06-000-2015-00164-00(2269).</w:t>
      </w:r>
      <w:r w:rsidR="00E37693">
        <w:rPr>
          <w:rFonts w:ascii="Verdana" w:hAnsi="Verdana" w:cs="Arial"/>
          <w:sz w:val="16"/>
          <w:szCs w:val="16"/>
        </w:rPr>
        <w:t xml:space="preserve"> </w:t>
      </w:r>
    </w:p>
    <w:p w14:paraId="4CED2484" w14:textId="77777777" w:rsidR="007359DB" w:rsidRPr="0016660C" w:rsidRDefault="007359DB" w:rsidP="0079629A">
      <w:pPr>
        <w:spacing w:after="0" w:line="240" w:lineRule="auto"/>
        <w:ind w:left="100" w:right="244" w:firstLine="709"/>
        <w:contextualSpacing/>
        <w:jc w:val="both"/>
        <w:rPr>
          <w:rFonts w:ascii="Verdana" w:hAnsi="Verdana" w:cs="Arial"/>
          <w:sz w:val="16"/>
          <w:szCs w:val="16"/>
          <w:lang w:val="es-ES"/>
        </w:rPr>
      </w:pPr>
    </w:p>
  </w:footnote>
  <w:footnote w:id="9">
    <w:p w14:paraId="40DEE526" w14:textId="77777777" w:rsidR="0079629A" w:rsidRPr="00083BD2" w:rsidRDefault="0079629A" w:rsidP="0079629A">
      <w:pPr>
        <w:pStyle w:val="Textonotapie"/>
        <w:ind w:firstLine="708"/>
        <w:jc w:val="both"/>
        <w:rPr>
          <w:rFonts w:ascii="Verdana" w:hAnsi="Verdana"/>
          <w:sz w:val="16"/>
          <w:szCs w:val="16"/>
          <w:lang w:val="es-CO"/>
        </w:rPr>
      </w:pPr>
      <w:r w:rsidRPr="00083BD2">
        <w:rPr>
          <w:rStyle w:val="Refdenotaalpie"/>
          <w:rFonts w:ascii="Verdana" w:hAnsi="Verdana"/>
          <w:sz w:val="16"/>
          <w:szCs w:val="16"/>
          <w:lang w:val="es-CO"/>
        </w:rPr>
        <w:footnoteRef/>
      </w:r>
      <w:r w:rsidRPr="00083BD2">
        <w:rPr>
          <w:rFonts w:ascii="Verdana" w:hAnsi="Verdana"/>
          <w:sz w:val="16"/>
          <w:szCs w:val="16"/>
          <w:lang w:val="es-CO"/>
        </w:rPr>
        <w:t xml:space="preserve"> Ley 30 de 1992. “Artículo 71. Los profesores podrán ser de dedicación exclusiva, de tiempo completo, de medio tiempo y de cátedra.   </w:t>
      </w:r>
    </w:p>
    <w:p w14:paraId="4209A74A" w14:textId="77777777" w:rsidR="0079629A" w:rsidRPr="00083BD2" w:rsidRDefault="0079629A" w:rsidP="0079629A">
      <w:pPr>
        <w:pStyle w:val="Textonotapie"/>
        <w:ind w:firstLine="708"/>
        <w:jc w:val="both"/>
        <w:rPr>
          <w:rFonts w:ascii="Verdana" w:hAnsi="Verdana"/>
          <w:sz w:val="16"/>
          <w:szCs w:val="16"/>
          <w:lang w:val="es-CO"/>
        </w:rPr>
      </w:pPr>
      <w:r w:rsidRPr="00083BD2">
        <w:rPr>
          <w:rFonts w:ascii="Verdana" w:hAnsi="Verdana"/>
          <w:sz w:val="16"/>
          <w:szCs w:val="16"/>
          <w:lang w:val="es-CO"/>
        </w:rPr>
        <w:t>La dedicación del profesor de tiempo completo a la universidad será de cuarenta horas laborales semanales.” </w:t>
      </w:r>
    </w:p>
    <w:p w14:paraId="07639C7A" w14:textId="77777777" w:rsidR="0079629A" w:rsidRPr="00083BD2" w:rsidRDefault="0079629A" w:rsidP="0079629A">
      <w:pPr>
        <w:pStyle w:val="Textonotapie"/>
        <w:ind w:firstLine="708"/>
        <w:jc w:val="both"/>
        <w:rPr>
          <w:sz w:val="16"/>
          <w:szCs w:val="16"/>
          <w:lang w:val="es-CO"/>
        </w:rPr>
      </w:pPr>
    </w:p>
  </w:footnote>
  <w:footnote w:id="10">
    <w:p w14:paraId="13769897" w14:textId="77777777" w:rsidR="0079629A" w:rsidRPr="00083BD2" w:rsidRDefault="0079629A" w:rsidP="0079629A">
      <w:pPr>
        <w:pStyle w:val="Textonotapie"/>
        <w:ind w:firstLine="708"/>
        <w:jc w:val="both"/>
        <w:rPr>
          <w:rFonts w:ascii="Verdana" w:hAnsi="Verdana"/>
          <w:sz w:val="16"/>
          <w:szCs w:val="16"/>
          <w:lang w:val="es-CO"/>
        </w:rPr>
      </w:pPr>
      <w:r w:rsidRPr="00083BD2">
        <w:rPr>
          <w:rStyle w:val="Refdenotaalpie"/>
          <w:rFonts w:ascii="Verdana" w:hAnsi="Verdana"/>
          <w:sz w:val="16"/>
          <w:szCs w:val="16"/>
          <w:lang w:val="es-CO"/>
        </w:rPr>
        <w:footnoteRef/>
      </w:r>
      <w:r w:rsidRPr="00083BD2">
        <w:rPr>
          <w:rFonts w:ascii="Verdana" w:hAnsi="Verdana"/>
          <w:sz w:val="16"/>
          <w:szCs w:val="16"/>
          <w:lang w:val="es-CO"/>
        </w:rPr>
        <w:t xml:space="preserve"> </w:t>
      </w:r>
      <w:r w:rsidRPr="00083BD2">
        <w:rPr>
          <w:rFonts w:ascii="Verdana" w:hAnsi="Verdana"/>
          <w:i/>
          <w:iCs/>
          <w:sz w:val="16"/>
          <w:szCs w:val="16"/>
          <w:lang w:val="es-CO"/>
        </w:rPr>
        <w:t>Ibidem</w:t>
      </w:r>
      <w:r w:rsidRPr="00083BD2">
        <w:rPr>
          <w:rFonts w:ascii="Verdana" w:hAnsi="Verdana"/>
          <w:sz w:val="16"/>
          <w:szCs w:val="16"/>
          <w:lang w:val="es-CO"/>
        </w:rPr>
        <w:t>. “Artículo 70. Para ser nombrado profesor de universidad estatal u oficial se requiere como mínimo poseer título profesional universitario. Su incorporación se efectuará previo concurso público de méritos cuya reglamentación corresponde al Consejo Superior Universitario.</w:t>
      </w:r>
    </w:p>
    <w:p w14:paraId="47C88909" w14:textId="77777777" w:rsidR="0079629A" w:rsidRPr="00083BD2" w:rsidRDefault="0079629A" w:rsidP="0079629A">
      <w:pPr>
        <w:pStyle w:val="Textonotapie"/>
        <w:ind w:firstLine="708"/>
        <w:jc w:val="both"/>
        <w:rPr>
          <w:rFonts w:ascii="Verdana" w:hAnsi="Verdana"/>
          <w:sz w:val="16"/>
          <w:szCs w:val="16"/>
          <w:lang w:val="es-CO"/>
        </w:rPr>
      </w:pPr>
      <w:r w:rsidRPr="00083BD2">
        <w:rPr>
          <w:rFonts w:ascii="Verdana" w:hAnsi="Verdana"/>
          <w:sz w:val="16"/>
          <w:szCs w:val="16"/>
          <w:lang w:val="es-CO"/>
        </w:rPr>
        <w:t>[…]”</w:t>
      </w:r>
    </w:p>
    <w:p w14:paraId="733DF03D" w14:textId="77777777" w:rsidR="0079629A" w:rsidRPr="00083BD2" w:rsidRDefault="0079629A" w:rsidP="0079629A">
      <w:pPr>
        <w:pStyle w:val="Textonotapie"/>
        <w:ind w:firstLine="708"/>
        <w:jc w:val="both"/>
        <w:rPr>
          <w:rFonts w:ascii="Verdana" w:hAnsi="Verdana"/>
          <w:sz w:val="16"/>
          <w:szCs w:val="16"/>
          <w:lang w:val="es-CO"/>
        </w:rPr>
      </w:pPr>
    </w:p>
  </w:footnote>
  <w:footnote w:id="11">
    <w:p w14:paraId="2A36496D" w14:textId="77777777" w:rsidR="0079629A" w:rsidRPr="00083BD2" w:rsidRDefault="0079629A" w:rsidP="0079629A">
      <w:pPr>
        <w:pStyle w:val="Textonotapie"/>
        <w:ind w:firstLine="708"/>
        <w:jc w:val="both"/>
        <w:rPr>
          <w:rFonts w:ascii="Verdana" w:hAnsi="Verdana"/>
          <w:sz w:val="16"/>
          <w:szCs w:val="16"/>
          <w:u w:val="single"/>
          <w:lang w:val="es-CO"/>
        </w:rPr>
      </w:pPr>
      <w:r w:rsidRPr="00083BD2">
        <w:rPr>
          <w:rStyle w:val="Refdenotaalpie"/>
          <w:rFonts w:ascii="Verdana" w:hAnsi="Verdana"/>
          <w:sz w:val="16"/>
          <w:szCs w:val="16"/>
          <w:lang w:val="es-CO"/>
        </w:rPr>
        <w:footnoteRef/>
      </w:r>
      <w:r w:rsidRPr="00083BD2">
        <w:rPr>
          <w:sz w:val="16"/>
          <w:szCs w:val="16"/>
          <w:lang w:val="es-CO"/>
        </w:rPr>
        <w:t xml:space="preserve"> </w:t>
      </w:r>
      <w:r w:rsidRPr="00083BD2">
        <w:rPr>
          <w:rFonts w:ascii="Verdana" w:hAnsi="Verdana"/>
          <w:i/>
          <w:iCs/>
          <w:sz w:val="16"/>
          <w:szCs w:val="16"/>
          <w:lang w:val="es-CO"/>
        </w:rPr>
        <w:t>Ibidem</w:t>
      </w:r>
      <w:r w:rsidRPr="00083BD2">
        <w:rPr>
          <w:rFonts w:ascii="Verdana" w:hAnsi="Verdana"/>
          <w:sz w:val="16"/>
          <w:szCs w:val="16"/>
          <w:lang w:val="es-CO"/>
        </w:rPr>
        <w:t xml:space="preserve">. “Artículo 73. Los profesores de cátedra no son empleados públicos ni trabajadores oficiales; </w:t>
      </w:r>
      <w:r w:rsidRPr="00083BD2">
        <w:rPr>
          <w:rFonts w:ascii="Verdana" w:hAnsi="Verdana"/>
          <w:sz w:val="16"/>
          <w:szCs w:val="16"/>
          <w:u w:val="single"/>
          <w:lang w:val="es-CO"/>
        </w:rPr>
        <w:t>son contratistas y su vinculación a la entidad se hará mediante contrato de prestación de servicios, el cual se celebrará por períodos académicos.</w:t>
      </w:r>
    </w:p>
    <w:p w14:paraId="7FAB9869" w14:textId="77777777" w:rsidR="0079629A" w:rsidRPr="00083BD2" w:rsidRDefault="0079629A" w:rsidP="0079629A">
      <w:pPr>
        <w:pStyle w:val="Textonotapie"/>
        <w:ind w:firstLine="708"/>
        <w:jc w:val="both"/>
        <w:rPr>
          <w:rFonts w:ascii="Verdana" w:hAnsi="Verdana"/>
          <w:sz w:val="16"/>
          <w:szCs w:val="16"/>
          <w:u w:val="single"/>
          <w:lang w:val="es-CO"/>
        </w:rPr>
      </w:pPr>
      <w:r w:rsidRPr="00083BD2">
        <w:rPr>
          <w:rFonts w:ascii="Verdana" w:hAnsi="Verdana"/>
          <w:sz w:val="16"/>
          <w:szCs w:val="16"/>
          <w:u w:val="single"/>
          <w:lang w:val="es-CO"/>
        </w:rPr>
        <w:t xml:space="preserve">Los contratos a que se refiere este artículo no estarán sujetos a formalidades distintas a las que se acostumbran entre particulares. El régimen de estipulaciones será el determinado por la naturaleza del servicio y el contrato podrá darse por terminado sin indemnización alguna en los casos de incumplimiento de los deberes previstos en la ley o en el contrato.   </w:t>
      </w:r>
    </w:p>
    <w:p w14:paraId="0266EB06" w14:textId="6E5D65C5" w:rsidR="007D1D8F" w:rsidRDefault="0079629A" w:rsidP="007D1D8F">
      <w:pPr>
        <w:pStyle w:val="Textonotapie"/>
        <w:ind w:firstLine="708"/>
        <w:jc w:val="both"/>
        <w:rPr>
          <w:rFonts w:ascii="Verdana" w:hAnsi="Verdana"/>
          <w:sz w:val="16"/>
          <w:szCs w:val="16"/>
          <w:lang w:val="es-CO"/>
        </w:rPr>
      </w:pPr>
      <w:r w:rsidRPr="00083BD2">
        <w:rPr>
          <w:rFonts w:ascii="Verdana" w:hAnsi="Verdana"/>
          <w:sz w:val="16"/>
          <w:szCs w:val="16"/>
          <w:u w:val="single"/>
          <w:lang w:val="es-CO"/>
        </w:rPr>
        <w:t>Estos contratos requieren, para su perfeccionamiento, el registro presupuestal correspondiente</w:t>
      </w:r>
      <w:r w:rsidRPr="00083BD2">
        <w:rPr>
          <w:rFonts w:ascii="Verdana" w:hAnsi="Verdana"/>
          <w:sz w:val="16"/>
          <w:szCs w:val="16"/>
          <w:lang w:val="es-CO"/>
        </w:rPr>
        <w:t>”. [Subrayado declarado inexequible por la Corte Constitucional en Sentencia C-006 de 1996. Magistrado Ponente Dr. Fabio Morón Díaz].</w:t>
      </w:r>
    </w:p>
    <w:p w14:paraId="3E7C7E1C" w14:textId="77777777" w:rsidR="007D1D8F" w:rsidRPr="007D1D8F" w:rsidRDefault="007D1D8F" w:rsidP="007D1D8F">
      <w:pPr>
        <w:pStyle w:val="Textonotapie"/>
        <w:ind w:firstLine="708"/>
        <w:jc w:val="both"/>
        <w:rPr>
          <w:rFonts w:ascii="Verdana" w:hAnsi="Verdana"/>
          <w:sz w:val="16"/>
          <w:szCs w:val="16"/>
          <w:lang w:val="es-CO"/>
        </w:rPr>
      </w:pPr>
    </w:p>
  </w:footnote>
  <w:footnote w:id="12">
    <w:p w14:paraId="20521608" w14:textId="77777777" w:rsidR="0079629A" w:rsidRPr="00772F09" w:rsidRDefault="0079629A" w:rsidP="0079629A">
      <w:pPr>
        <w:pStyle w:val="Textonotapie"/>
        <w:ind w:firstLine="708"/>
        <w:jc w:val="both"/>
        <w:rPr>
          <w:rFonts w:ascii="Verdana" w:hAnsi="Verdana"/>
          <w:sz w:val="16"/>
          <w:szCs w:val="16"/>
          <w:lang w:val="es-CO"/>
        </w:rPr>
      </w:pPr>
      <w:r w:rsidRPr="00083BD2">
        <w:rPr>
          <w:rStyle w:val="Refdenotaalpie"/>
          <w:rFonts w:ascii="Verdana" w:hAnsi="Verdana"/>
          <w:sz w:val="16"/>
          <w:szCs w:val="16"/>
          <w:lang w:val="es-CO"/>
        </w:rPr>
        <w:footnoteRef/>
      </w:r>
      <w:r w:rsidRPr="00083BD2">
        <w:rPr>
          <w:rFonts w:ascii="Verdana" w:hAnsi="Verdana"/>
          <w:sz w:val="16"/>
          <w:szCs w:val="16"/>
          <w:lang w:val="es-CO"/>
        </w:rPr>
        <w:t xml:space="preserve"> </w:t>
      </w:r>
      <w:r w:rsidRPr="00772F09">
        <w:rPr>
          <w:rFonts w:ascii="Verdana" w:hAnsi="Verdana"/>
          <w:i/>
          <w:iCs/>
          <w:sz w:val="16"/>
          <w:szCs w:val="16"/>
          <w:lang w:val="es-CO"/>
        </w:rPr>
        <w:t>Ibidem. “</w:t>
      </w:r>
      <w:r w:rsidRPr="00772F09">
        <w:rPr>
          <w:rFonts w:ascii="Verdana" w:hAnsi="Verdana"/>
          <w:sz w:val="16"/>
          <w:szCs w:val="16"/>
          <w:lang w:val="es-CO"/>
        </w:rPr>
        <w:t>Artículo 74. Serán profesores ocasionales aquellos que con dedicación de tiempo completo o de medio tiempo, sean requeridos transitoriamente por la entidad para un período inferior a un año.   </w:t>
      </w:r>
    </w:p>
    <w:p w14:paraId="11D5158C" w14:textId="7AAAD7D5" w:rsidR="007D1D8F" w:rsidRDefault="0079629A" w:rsidP="007D1D8F">
      <w:pPr>
        <w:pStyle w:val="Textonotapie"/>
        <w:ind w:firstLine="708"/>
        <w:jc w:val="both"/>
        <w:rPr>
          <w:rFonts w:ascii="Verdana" w:hAnsi="Verdana"/>
          <w:sz w:val="16"/>
          <w:szCs w:val="16"/>
          <w:lang w:val="es-CO"/>
        </w:rPr>
      </w:pPr>
      <w:r w:rsidRPr="00772F09">
        <w:rPr>
          <w:rFonts w:ascii="Verdana" w:hAnsi="Verdana"/>
          <w:sz w:val="16"/>
          <w:szCs w:val="16"/>
          <w:lang w:val="es-CO"/>
        </w:rPr>
        <w:t>Los docentes ocasionales no son empleados públicos ni trabajadores oficiales, sus servicios serán reconocidos mediante resolución y no gozarán del régimen prestacional previsto para estos últimos”. </w:t>
      </w:r>
    </w:p>
    <w:p w14:paraId="70C7B59F" w14:textId="77777777" w:rsidR="007D1D8F" w:rsidRPr="00772F09" w:rsidRDefault="007D1D8F" w:rsidP="0079629A">
      <w:pPr>
        <w:pStyle w:val="Textonotapie"/>
        <w:ind w:firstLine="708"/>
        <w:jc w:val="both"/>
        <w:rPr>
          <w:rFonts w:ascii="Verdana" w:hAnsi="Verdana"/>
          <w:sz w:val="16"/>
          <w:szCs w:val="16"/>
          <w:lang w:val="es-CO"/>
        </w:rPr>
      </w:pPr>
    </w:p>
    <w:p w14:paraId="64D4EB92" w14:textId="77777777" w:rsidR="0079629A" w:rsidRPr="00772F09" w:rsidRDefault="0079629A" w:rsidP="0079629A">
      <w:pPr>
        <w:pStyle w:val="Textonotapie"/>
        <w:rPr>
          <w:sz w:val="16"/>
          <w:szCs w:val="16"/>
          <w:lang w:val="es-CO"/>
        </w:rPr>
      </w:pPr>
    </w:p>
  </w:footnote>
  <w:footnote w:id="13">
    <w:p w14:paraId="575E3D9E" w14:textId="77777777" w:rsidR="0079629A" w:rsidRDefault="0079629A" w:rsidP="0079629A">
      <w:pPr>
        <w:pStyle w:val="Textonotapie"/>
        <w:ind w:firstLine="709"/>
        <w:rPr>
          <w:rFonts w:ascii="Verdana" w:hAnsi="Verdana"/>
          <w:sz w:val="16"/>
          <w:szCs w:val="16"/>
          <w:lang w:val="es-CO"/>
        </w:rPr>
      </w:pPr>
      <w:r w:rsidRPr="00F33DDE">
        <w:rPr>
          <w:rStyle w:val="Refdenotaalpie"/>
          <w:rFonts w:ascii="Verdana" w:hAnsi="Verdana"/>
          <w:sz w:val="16"/>
          <w:szCs w:val="16"/>
        </w:rPr>
        <w:footnoteRef/>
      </w:r>
      <w:r w:rsidRPr="00F33DDE">
        <w:rPr>
          <w:rFonts w:ascii="Verdana" w:hAnsi="Verdana"/>
          <w:sz w:val="16"/>
          <w:szCs w:val="16"/>
          <w:lang w:val="es-ES"/>
        </w:rPr>
        <w:t xml:space="preserve"> </w:t>
      </w:r>
      <w:r w:rsidRPr="00F33DDE">
        <w:rPr>
          <w:rFonts w:ascii="Verdana" w:hAnsi="Verdana"/>
          <w:sz w:val="16"/>
          <w:szCs w:val="16"/>
          <w:lang w:val="es-CO"/>
        </w:rPr>
        <w:t xml:space="preserve">Departamento Administrativo de la Función Pública. </w:t>
      </w:r>
      <w:r w:rsidRPr="00F33DDE">
        <w:rPr>
          <w:rFonts w:ascii="Verdana" w:hAnsi="Verdana"/>
          <w:sz w:val="16"/>
          <w:szCs w:val="16"/>
          <w:lang w:val="es-ES"/>
        </w:rPr>
        <w:t>Concepto 052041 de 2021</w:t>
      </w:r>
      <w:r w:rsidRPr="00F33DDE">
        <w:rPr>
          <w:rFonts w:ascii="Verdana" w:hAnsi="Verdana"/>
          <w:sz w:val="16"/>
          <w:szCs w:val="16"/>
          <w:lang w:val="pt-BR"/>
        </w:rPr>
        <w:t>. REF</w:t>
      </w:r>
      <w:r w:rsidRPr="00F33DDE">
        <w:rPr>
          <w:rFonts w:ascii="Verdana" w:hAnsi="Verdana"/>
          <w:sz w:val="16"/>
          <w:szCs w:val="16"/>
          <w:lang w:val="es-CO"/>
        </w:rPr>
        <w:t xml:space="preserve">DOCENTES Y/O DIRECTIVOS DOCENTES. Prestaciones sociales. Radicado: 20219000062602 del 5 de febrero de 2021. </w:t>
      </w:r>
      <w:r w:rsidRPr="00F33DDE">
        <w:rPr>
          <w:rFonts w:ascii="Verdana" w:hAnsi="Verdana"/>
          <w:sz w:val="16"/>
          <w:szCs w:val="16"/>
          <w:lang w:val="pt-BR"/>
        </w:rPr>
        <w:t xml:space="preserve">Consultar </w:t>
      </w:r>
      <w:proofErr w:type="spellStart"/>
      <w:r w:rsidRPr="00F33DDE">
        <w:rPr>
          <w:rFonts w:ascii="Verdana" w:hAnsi="Verdana"/>
          <w:sz w:val="16"/>
          <w:szCs w:val="16"/>
          <w:lang w:val="pt-BR"/>
        </w:rPr>
        <w:t>en</w:t>
      </w:r>
      <w:proofErr w:type="spellEnd"/>
      <w:r w:rsidRPr="00F33DDE">
        <w:rPr>
          <w:rFonts w:ascii="Verdana" w:hAnsi="Verdana"/>
          <w:sz w:val="16"/>
          <w:szCs w:val="16"/>
          <w:lang w:val="pt-BR"/>
        </w:rPr>
        <w:t xml:space="preserve">: </w:t>
      </w:r>
      <w:hyperlink r:id="rId1" w:history="1">
        <w:r w:rsidRPr="00320744">
          <w:rPr>
            <w:rStyle w:val="Hipervnculo"/>
            <w:rFonts w:ascii="Verdana" w:hAnsi="Verdana"/>
            <w:sz w:val="16"/>
            <w:szCs w:val="16"/>
            <w:lang w:val="es-CO"/>
          </w:rPr>
          <w:t>https://www.funcionpublica.gov.co/eva/gestornormativo/norma.php?i=160771</w:t>
        </w:r>
      </w:hyperlink>
      <w:r>
        <w:rPr>
          <w:rFonts w:ascii="Verdana" w:hAnsi="Verdana"/>
          <w:sz w:val="16"/>
          <w:szCs w:val="16"/>
          <w:lang w:val="es-CO"/>
        </w:rPr>
        <w:t>.</w:t>
      </w:r>
    </w:p>
    <w:p w14:paraId="556EC0B8" w14:textId="77777777" w:rsidR="0079629A" w:rsidRPr="00F33DDE" w:rsidRDefault="0079629A" w:rsidP="0079629A">
      <w:pPr>
        <w:pStyle w:val="Textonotapie"/>
        <w:ind w:firstLine="709"/>
        <w:rPr>
          <w:rFonts w:ascii="Verdana" w:hAnsi="Verdana"/>
          <w:sz w:val="16"/>
          <w:szCs w:val="16"/>
          <w:lang w:val="es-CO"/>
        </w:rPr>
      </w:pPr>
    </w:p>
    <w:p w14:paraId="14E44962" w14:textId="77777777" w:rsidR="0079629A" w:rsidRPr="006D4E95" w:rsidRDefault="0079629A" w:rsidP="0079629A">
      <w:pPr>
        <w:pStyle w:val="Textonotapie"/>
        <w:rPr>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3pt;height:11.3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560793310">
    <w:abstractNumId w:val="0"/>
  </w:num>
  <w:num w:numId="17" w16cid:durableId="100960053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3"/>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2F63"/>
    <w:rsid w:val="00016F78"/>
    <w:rsid w:val="00046945"/>
    <w:rsid w:val="00060FCC"/>
    <w:rsid w:val="00061B2A"/>
    <w:rsid w:val="00082362"/>
    <w:rsid w:val="000A683E"/>
    <w:rsid w:val="000B19B9"/>
    <w:rsid w:val="000D0209"/>
    <w:rsid w:val="000D0334"/>
    <w:rsid w:val="000D5CC2"/>
    <w:rsid w:val="000D5DA7"/>
    <w:rsid w:val="000F6486"/>
    <w:rsid w:val="00116940"/>
    <w:rsid w:val="00125105"/>
    <w:rsid w:val="00127233"/>
    <w:rsid w:val="0015699B"/>
    <w:rsid w:val="001A33BF"/>
    <w:rsid w:val="001E4177"/>
    <w:rsid w:val="001F0B24"/>
    <w:rsid w:val="001F7DC6"/>
    <w:rsid w:val="00211242"/>
    <w:rsid w:val="0022400B"/>
    <w:rsid w:val="002421BB"/>
    <w:rsid w:val="0025796E"/>
    <w:rsid w:val="002707A2"/>
    <w:rsid w:val="002900D3"/>
    <w:rsid w:val="002951A0"/>
    <w:rsid w:val="002962BC"/>
    <w:rsid w:val="002A093D"/>
    <w:rsid w:val="002A0DD0"/>
    <w:rsid w:val="002A49AC"/>
    <w:rsid w:val="002A64FD"/>
    <w:rsid w:val="002C7A84"/>
    <w:rsid w:val="002E2BF8"/>
    <w:rsid w:val="002E4FD9"/>
    <w:rsid w:val="0030657A"/>
    <w:rsid w:val="00322A85"/>
    <w:rsid w:val="00324168"/>
    <w:rsid w:val="00330834"/>
    <w:rsid w:val="00336EAE"/>
    <w:rsid w:val="003448F4"/>
    <w:rsid w:val="00374F5E"/>
    <w:rsid w:val="00377E3E"/>
    <w:rsid w:val="003A779E"/>
    <w:rsid w:val="003D0F4D"/>
    <w:rsid w:val="003D5B0D"/>
    <w:rsid w:val="003E0499"/>
    <w:rsid w:val="003E4F80"/>
    <w:rsid w:val="003E6439"/>
    <w:rsid w:val="003F3941"/>
    <w:rsid w:val="00402ACD"/>
    <w:rsid w:val="00406575"/>
    <w:rsid w:val="00414C74"/>
    <w:rsid w:val="0041548E"/>
    <w:rsid w:val="0042722E"/>
    <w:rsid w:val="00430E23"/>
    <w:rsid w:val="0044528D"/>
    <w:rsid w:val="00466E39"/>
    <w:rsid w:val="004A1847"/>
    <w:rsid w:val="004A305D"/>
    <w:rsid w:val="004B198D"/>
    <w:rsid w:val="004C0E2B"/>
    <w:rsid w:val="004F21C4"/>
    <w:rsid w:val="004F492A"/>
    <w:rsid w:val="004F685F"/>
    <w:rsid w:val="005566E8"/>
    <w:rsid w:val="00574867"/>
    <w:rsid w:val="00591460"/>
    <w:rsid w:val="005A0574"/>
    <w:rsid w:val="005A65E0"/>
    <w:rsid w:val="005C3777"/>
    <w:rsid w:val="005C5CDC"/>
    <w:rsid w:val="005D476C"/>
    <w:rsid w:val="006200BF"/>
    <w:rsid w:val="006219F8"/>
    <w:rsid w:val="006302F7"/>
    <w:rsid w:val="00646B9F"/>
    <w:rsid w:val="00665D70"/>
    <w:rsid w:val="006812D0"/>
    <w:rsid w:val="006900D9"/>
    <w:rsid w:val="006B2E8C"/>
    <w:rsid w:val="006E20B5"/>
    <w:rsid w:val="00706C16"/>
    <w:rsid w:val="007340C3"/>
    <w:rsid w:val="007359DB"/>
    <w:rsid w:val="0075235A"/>
    <w:rsid w:val="00756841"/>
    <w:rsid w:val="007649AB"/>
    <w:rsid w:val="007710EF"/>
    <w:rsid w:val="00771D0C"/>
    <w:rsid w:val="007833AC"/>
    <w:rsid w:val="0079629A"/>
    <w:rsid w:val="007A3367"/>
    <w:rsid w:val="007B268C"/>
    <w:rsid w:val="007B7171"/>
    <w:rsid w:val="007C0C0F"/>
    <w:rsid w:val="007C3DC2"/>
    <w:rsid w:val="007D1D8F"/>
    <w:rsid w:val="007E5497"/>
    <w:rsid w:val="00806F5F"/>
    <w:rsid w:val="0081057C"/>
    <w:rsid w:val="00820278"/>
    <w:rsid w:val="008258C9"/>
    <w:rsid w:val="00844AE9"/>
    <w:rsid w:val="00867F95"/>
    <w:rsid w:val="0088372C"/>
    <w:rsid w:val="008843B6"/>
    <w:rsid w:val="00891928"/>
    <w:rsid w:val="008A446D"/>
    <w:rsid w:val="008B25F1"/>
    <w:rsid w:val="008C5ED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1CC1"/>
    <w:rsid w:val="00A122D3"/>
    <w:rsid w:val="00A14468"/>
    <w:rsid w:val="00A17F13"/>
    <w:rsid w:val="00A20739"/>
    <w:rsid w:val="00A23AF9"/>
    <w:rsid w:val="00A33C78"/>
    <w:rsid w:val="00AA386B"/>
    <w:rsid w:val="00AB0ADB"/>
    <w:rsid w:val="00B00C0E"/>
    <w:rsid w:val="00B01B1A"/>
    <w:rsid w:val="00B0381D"/>
    <w:rsid w:val="00B44A47"/>
    <w:rsid w:val="00B61F9E"/>
    <w:rsid w:val="00B72CD3"/>
    <w:rsid w:val="00B72FFF"/>
    <w:rsid w:val="00B7406E"/>
    <w:rsid w:val="00BB4C0A"/>
    <w:rsid w:val="00BC3D36"/>
    <w:rsid w:val="00BC6CA9"/>
    <w:rsid w:val="00BD08A4"/>
    <w:rsid w:val="00BD54A6"/>
    <w:rsid w:val="00BD7F72"/>
    <w:rsid w:val="00BF7425"/>
    <w:rsid w:val="00C04FB3"/>
    <w:rsid w:val="00C11D8B"/>
    <w:rsid w:val="00C13470"/>
    <w:rsid w:val="00C15139"/>
    <w:rsid w:val="00C330EB"/>
    <w:rsid w:val="00C50D69"/>
    <w:rsid w:val="00C5365C"/>
    <w:rsid w:val="00C615B8"/>
    <w:rsid w:val="00C74B4A"/>
    <w:rsid w:val="00C754BE"/>
    <w:rsid w:val="00C76B1C"/>
    <w:rsid w:val="00C925AC"/>
    <w:rsid w:val="00CB6357"/>
    <w:rsid w:val="00CC1B26"/>
    <w:rsid w:val="00CF1D47"/>
    <w:rsid w:val="00D0482C"/>
    <w:rsid w:val="00D06F5B"/>
    <w:rsid w:val="00D2401B"/>
    <w:rsid w:val="00D361FD"/>
    <w:rsid w:val="00D423A2"/>
    <w:rsid w:val="00D44E26"/>
    <w:rsid w:val="00D520D8"/>
    <w:rsid w:val="00D63AC2"/>
    <w:rsid w:val="00D7383B"/>
    <w:rsid w:val="00D7788A"/>
    <w:rsid w:val="00D87E07"/>
    <w:rsid w:val="00DA231B"/>
    <w:rsid w:val="00DC39FC"/>
    <w:rsid w:val="00DC43DA"/>
    <w:rsid w:val="00DE264F"/>
    <w:rsid w:val="00DF5254"/>
    <w:rsid w:val="00E02524"/>
    <w:rsid w:val="00E16408"/>
    <w:rsid w:val="00E20894"/>
    <w:rsid w:val="00E222DE"/>
    <w:rsid w:val="00E245AB"/>
    <w:rsid w:val="00E2764C"/>
    <w:rsid w:val="00E27F2E"/>
    <w:rsid w:val="00E37693"/>
    <w:rsid w:val="00E44A82"/>
    <w:rsid w:val="00E50AFE"/>
    <w:rsid w:val="00E70BBD"/>
    <w:rsid w:val="00E75C92"/>
    <w:rsid w:val="00E771DC"/>
    <w:rsid w:val="00E8772A"/>
    <w:rsid w:val="00E90F6B"/>
    <w:rsid w:val="00E92C27"/>
    <w:rsid w:val="00EA0E3D"/>
    <w:rsid w:val="00EC0294"/>
    <w:rsid w:val="00EC38A7"/>
    <w:rsid w:val="00EE1AA8"/>
    <w:rsid w:val="00F23FEA"/>
    <w:rsid w:val="00F31EDC"/>
    <w:rsid w:val="00F462B3"/>
    <w:rsid w:val="00F5664F"/>
    <w:rsid w:val="00F666C4"/>
    <w:rsid w:val="00F76AFC"/>
    <w:rsid w:val="00F97F00"/>
    <w:rsid w:val="00FA47C0"/>
    <w:rsid w:val="00FB5DD1"/>
    <w:rsid w:val="00FC04C3"/>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2C66B72C-8A1D-4288-B83E-A10A20ABE3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rsid w:val="0079629A"/>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9629A"/>
    <w:rPr>
      <w:rFonts w:ascii="Geomanist Light" w:hAnsi="Geomanist Light"/>
      <w:lang w:val="es-ES"/>
    </w:rPr>
  </w:style>
  <w:style w:type="character" w:customStyle="1" w:styleId="NormalWebCar">
    <w:name w:val="Normal (Web) Car"/>
    <w:link w:val="NormalWeb"/>
    <w:uiPriority w:val="99"/>
    <w:locked/>
    <w:rsid w:val="0079629A"/>
    <w:rPr>
      <w:rFonts w:ascii="Times New Roman" w:eastAsia="Times New Roman" w:hAnsi="Times New Roman" w:cs="Times New Roman"/>
      <w:sz w:val="24"/>
      <w:szCs w:val="24"/>
      <w:lang w:eastAsia="es-CO"/>
    </w:rPr>
  </w:style>
  <w:style w:type="character" w:customStyle="1" w:styleId="baj">
    <w:name w:val="b_aj"/>
    <w:basedOn w:val="Fuentedeprrafopredeter"/>
    <w:rsid w:val="007962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funcionpublica.gov.co/eva/gestornormativo/norma.php?i=160771"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ontadat@g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www.funcionpublica.gov.co/eva/gestornormativo/norma.php?i=160771"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401B752-FBF4-44DD-9B78-BA5ADC9E4F3C}"/>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66e0e8f4-a3db-4751-88b2-15c075da91b6"/>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10</TotalTime>
  <Pages>14</Pages>
  <Words>4355</Words>
  <Characters>24127</Characters>
  <Application>Microsoft Office Word</Application>
  <DocSecurity>0</DocSecurity>
  <Lines>473</Lines>
  <Paragraphs>99</Paragraphs>
  <ScaleCrop>false</ScaleCrop>
  <Company/>
  <LinksUpToDate>false</LinksUpToDate>
  <CharactersWithSpaces>28383</CharactersWithSpaces>
  <SharedDoc>false</SharedDoc>
  <HLinks>
    <vt:vector size="24" baseType="variant">
      <vt:variant>
        <vt:i4>7471218</vt:i4>
      </vt:variant>
      <vt:variant>
        <vt:i4>6</vt:i4>
      </vt:variant>
      <vt:variant>
        <vt:i4>0</vt:i4>
      </vt:variant>
      <vt:variant>
        <vt:i4>5</vt:i4>
      </vt:variant>
      <vt:variant>
        <vt:lpwstr>https://relatoria.colombiacompra.gov.co/busqueda/conceptos</vt:lpwstr>
      </vt:variant>
      <vt:variant>
        <vt:lpwstr/>
      </vt:variant>
      <vt:variant>
        <vt:i4>1376275</vt:i4>
      </vt:variant>
      <vt:variant>
        <vt:i4>3</vt:i4>
      </vt:variant>
      <vt:variant>
        <vt:i4>0</vt:i4>
      </vt:variant>
      <vt:variant>
        <vt:i4>5</vt:i4>
      </vt:variant>
      <vt:variant>
        <vt:lpwstr>https://www.funcionpublica.gov.co/eva/gestornormativo/norma.php?i=160771</vt:lpwstr>
      </vt:variant>
      <vt:variant>
        <vt:lpwstr/>
      </vt:variant>
      <vt:variant>
        <vt:i4>6946888</vt:i4>
      </vt:variant>
      <vt:variant>
        <vt:i4>0</vt:i4>
      </vt:variant>
      <vt:variant>
        <vt:i4>0</vt:i4>
      </vt:variant>
      <vt:variant>
        <vt:i4>5</vt:i4>
      </vt:variant>
      <vt:variant>
        <vt:lpwstr>mailto:contadat@gmail.com</vt:lpwstr>
      </vt:variant>
      <vt:variant>
        <vt:lpwstr/>
      </vt:variant>
      <vt:variant>
        <vt:i4>1376275</vt:i4>
      </vt:variant>
      <vt:variant>
        <vt:i4>0</vt:i4>
      </vt:variant>
      <vt:variant>
        <vt:i4>0</vt:i4>
      </vt:variant>
      <vt:variant>
        <vt:i4>5</vt:i4>
      </vt:variant>
      <vt:variant>
        <vt:lpwstr>https://www.funcionpublica.gov.co/eva/gestornormativo/norma.php?i=160771</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Denis Andrea Cárdenas Hernández</cp:lastModifiedBy>
  <cp:revision>9</cp:revision>
  <cp:lastPrinted>2023-01-10T21:18:00Z</cp:lastPrinted>
  <dcterms:created xsi:type="dcterms:W3CDTF">2026-01-29T20:11:00Z</dcterms:created>
  <dcterms:modified xsi:type="dcterms:W3CDTF">2026-02-02T12:38:00Z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