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1225A" w14:textId="77777777" w:rsidR="00972587" w:rsidRPr="00244412" w:rsidRDefault="00972587" w:rsidP="00972587">
      <w:pPr>
        <w:tabs>
          <w:tab w:val="left" w:pos="426"/>
        </w:tabs>
        <w:spacing w:line="240" w:lineRule="auto"/>
        <w:contextualSpacing/>
        <w:jc w:val="both"/>
        <w:rPr>
          <w:rFonts w:ascii="Verdana" w:eastAsia="Calibri" w:hAnsi="Verdana" w:cs="Arial"/>
          <w:b/>
          <w:bCs/>
          <w:lang w:val="es-MX"/>
        </w:rPr>
      </w:pPr>
      <w:r w:rsidRPr="00244412">
        <w:rPr>
          <w:rFonts w:ascii="Verdana" w:eastAsia="Calibri" w:hAnsi="Verdana" w:cs="Arial"/>
          <w:b/>
          <w:bCs/>
          <w:lang w:val="es-MX"/>
        </w:rPr>
        <w:t xml:space="preserve">LEY DE GARANTÍAS ELECTORALES ─ Prohibición ‒ Contratación directa ‒ Alcance </w:t>
      </w:r>
    </w:p>
    <w:p w14:paraId="595F8FB7" w14:textId="77777777" w:rsidR="00972587" w:rsidRPr="00244412" w:rsidRDefault="00972587" w:rsidP="00972587">
      <w:pPr>
        <w:tabs>
          <w:tab w:val="left" w:pos="426"/>
        </w:tabs>
        <w:spacing w:line="240" w:lineRule="auto"/>
        <w:contextualSpacing/>
        <w:jc w:val="both"/>
        <w:rPr>
          <w:rFonts w:ascii="Verdana" w:eastAsia="Calibri" w:hAnsi="Verdana" w:cs="Arial"/>
          <w:noProof/>
          <w:sz w:val="20"/>
          <w:szCs w:val="20"/>
          <w:lang w:val="es-MX"/>
        </w:rPr>
      </w:pPr>
    </w:p>
    <w:p w14:paraId="42194216" w14:textId="77777777" w:rsidR="00972587" w:rsidRPr="00244412" w:rsidRDefault="00972587" w:rsidP="00972587">
      <w:pPr>
        <w:spacing w:line="240" w:lineRule="auto"/>
        <w:contextualSpacing/>
        <w:jc w:val="both"/>
        <w:rPr>
          <w:rFonts w:ascii="Verdana" w:eastAsia="Times New Roman" w:hAnsi="Verdana" w:cs="Arial"/>
          <w:bCs/>
          <w:sz w:val="20"/>
          <w:szCs w:val="20"/>
          <w:lang w:val="es-MX" w:eastAsia="x-none"/>
        </w:rPr>
      </w:pPr>
      <w:r w:rsidRPr="00244412">
        <w:rPr>
          <w:rFonts w:ascii="Verdana" w:eastAsia="Calibri" w:hAnsi="Verdana" w:cs="Arial"/>
          <w:noProof/>
          <w:sz w:val="20"/>
          <w:szCs w:val="20"/>
          <w:lang w:val="es-ES_tradnl"/>
        </w:rPr>
        <w:t xml:space="preserve">[…] </w:t>
      </w:r>
      <w:r w:rsidRPr="00244412">
        <w:rPr>
          <w:rFonts w:ascii="Verdana" w:eastAsia="Times New Roman" w:hAnsi="Verdana" w:cs="Arial"/>
          <w:bCs/>
          <w:sz w:val="20"/>
          <w:szCs w:val="20"/>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244412">
        <w:rPr>
          <w:rFonts w:ascii="Verdana" w:eastAsia="Times New Roman" w:hAnsi="Verdana" w:cs="Arial"/>
          <w:sz w:val="20"/>
          <w:szCs w:val="20"/>
          <w:vertAlign w:val="superscript"/>
          <w:lang w:eastAsia="x-none"/>
        </w:rPr>
        <w:t xml:space="preserve"> </w:t>
      </w:r>
    </w:p>
    <w:p w14:paraId="5E092154" w14:textId="77777777" w:rsidR="00972587" w:rsidRPr="00244412" w:rsidRDefault="00972587" w:rsidP="00972587">
      <w:pPr>
        <w:spacing w:line="240" w:lineRule="auto"/>
        <w:contextualSpacing/>
        <w:jc w:val="both"/>
        <w:rPr>
          <w:rFonts w:ascii="Verdana" w:eastAsia="Times New Roman" w:hAnsi="Verdana" w:cs="Arial"/>
          <w:bCs/>
          <w:sz w:val="20"/>
          <w:szCs w:val="20"/>
          <w:lang w:val="es-MX" w:eastAsia="x-none"/>
        </w:rPr>
      </w:pPr>
    </w:p>
    <w:p w14:paraId="1F507D77" w14:textId="77777777" w:rsidR="00972587" w:rsidRPr="00244412" w:rsidRDefault="00972587" w:rsidP="00972587">
      <w:pPr>
        <w:spacing w:line="240" w:lineRule="auto"/>
        <w:contextualSpacing/>
        <w:jc w:val="both"/>
        <w:rPr>
          <w:rFonts w:ascii="Verdana" w:eastAsia="Times New Roman" w:hAnsi="Verdana" w:cs="Arial"/>
          <w:sz w:val="20"/>
          <w:szCs w:val="20"/>
          <w:lang w:eastAsia="x-none"/>
        </w:rPr>
      </w:pPr>
      <w:r w:rsidRPr="00244412">
        <w:rPr>
          <w:rFonts w:ascii="Verdana" w:eastAsia="Times New Roman" w:hAnsi="Verdana" w:cs="Arial"/>
          <w:bCs/>
          <w:sz w:val="20"/>
          <w:szCs w:val="20"/>
          <w:lang w:val="es-MX" w:eastAsia="x-none"/>
        </w:rPr>
        <w:t>De lo anterior se desprende que la restricción aplica, sin perjuicio de las excepciones establecidas en la misma ley, para celebrar cualquier contrato de forma directa, esto es, sin que exista un proceso abierto y competitivo.</w:t>
      </w:r>
      <w:r w:rsidRPr="00244412">
        <w:rPr>
          <w:rFonts w:ascii="Verdana" w:eastAsia="Times New Roman" w:hAnsi="Verdana" w:cs="Arial"/>
          <w:sz w:val="20"/>
          <w:szCs w:val="20"/>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las entidades públicas pueden seguir contratando bajo estos sistemas.</w:t>
      </w:r>
    </w:p>
    <w:p w14:paraId="6DEA11EC" w14:textId="77777777" w:rsidR="00972587" w:rsidRPr="00244412" w:rsidRDefault="00972587" w:rsidP="00972587">
      <w:pPr>
        <w:spacing w:line="240" w:lineRule="auto"/>
        <w:contextualSpacing/>
        <w:jc w:val="both"/>
        <w:rPr>
          <w:rFonts w:ascii="Verdana" w:eastAsia="Times New Roman" w:hAnsi="Verdana" w:cs="Arial"/>
          <w:lang w:eastAsia="x-none"/>
        </w:rPr>
      </w:pPr>
    </w:p>
    <w:p w14:paraId="47BE86D1" w14:textId="77777777" w:rsidR="00972587" w:rsidRPr="00244412" w:rsidRDefault="00972587" w:rsidP="00972587">
      <w:pPr>
        <w:tabs>
          <w:tab w:val="left" w:pos="426"/>
        </w:tabs>
        <w:spacing w:line="240" w:lineRule="auto"/>
        <w:contextualSpacing/>
        <w:jc w:val="both"/>
        <w:rPr>
          <w:rFonts w:ascii="Verdana" w:eastAsia="Calibri" w:hAnsi="Verdana" w:cs="Arial"/>
          <w:b/>
          <w:bCs/>
          <w:sz w:val="20"/>
          <w:szCs w:val="20"/>
          <w:lang w:val="es-MX"/>
        </w:rPr>
      </w:pPr>
      <w:r w:rsidRPr="00244412">
        <w:rPr>
          <w:rFonts w:ascii="Verdana" w:eastAsia="Calibri" w:hAnsi="Verdana" w:cs="Arial"/>
          <w:b/>
          <w:bCs/>
          <w:lang w:val="es-MX"/>
        </w:rPr>
        <w:t xml:space="preserve">LEY DE GARANTÍAS ELECTORALES ─ Prohibición ‒ Contratación directa ‒ </w:t>
      </w:r>
      <w:r w:rsidRPr="00244412">
        <w:rPr>
          <w:rFonts w:ascii="Verdana" w:eastAsia="Times New Roman" w:hAnsi="Verdana" w:cs="Arial"/>
          <w:b/>
          <w:bCs/>
          <w:lang w:eastAsia="es-CO"/>
        </w:rPr>
        <w:t>Excepciones</w:t>
      </w:r>
      <w:r w:rsidRPr="00244412">
        <w:rPr>
          <w:rFonts w:ascii="Verdana" w:eastAsia="Calibri" w:hAnsi="Verdana" w:cs="Arial"/>
          <w:b/>
          <w:bCs/>
          <w:lang w:val="es-MX"/>
        </w:rPr>
        <w:t xml:space="preserve"> </w:t>
      </w:r>
    </w:p>
    <w:p w14:paraId="7346D1F8" w14:textId="77777777" w:rsidR="00972587" w:rsidRPr="00244412" w:rsidRDefault="00972587" w:rsidP="00972587">
      <w:pPr>
        <w:tabs>
          <w:tab w:val="left" w:pos="426"/>
        </w:tabs>
        <w:spacing w:line="240" w:lineRule="auto"/>
        <w:contextualSpacing/>
        <w:jc w:val="both"/>
        <w:rPr>
          <w:rFonts w:ascii="Verdana" w:eastAsia="Times New Roman" w:hAnsi="Verdana" w:cs="Arial"/>
          <w:sz w:val="20"/>
          <w:szCs w:val="20"/>
          <w:lang w:eastAsia="x-none"/>
        </w:rPr>
      </w:pPr>
    </w:p>
    <w:p w14:paraId="7EF21352" w14:textId="77777777" w:rsidR="00972587" w:rsidRPr="00244412" w:rsidRDefault="00972587" w:rsidP="00972587">
      <w:pPr>
        <w:spacing w:line="240" w:lineRule="auto"/>
        <w:contextualSpacing/>
        <w:jc w:val="both"/>
        <w:rPr>
          <w:rFonts w:ascii="Verdana" w:eastAsia="Times New Roman" w:hAnsi="Verdana" w:cs="Arial"/>
          <w:bCs/>
          <w:sz w:val="20"/>
          <w:szCs w:val="20"/>
          <w:lang w:val="es-MX" w:eastAsia="es-CO"/>
        </w:rPr>
      </w:pPr>
      <w:r w:rsidRPr="00244412">
        <w:rPr>
          <w:rFonts w:ascii="Verdana" w:eastAsia="Calibri" w:hAnsi="Verdana" w:cs="Arial"/>
          <w:noProof/>
          <w:sz w:val="20"/>
          <w:szCs w:val="20"/>
          <w:lang w:val="es-ES_tradnl"/>
        </w:rPr>
        <w:t xml:space="preserve">[…] </w:t>
      </w:r>
      <w:r w:rsidRPr="00244412">
        <w:rPr>
          <w:rFonts w:ascii="Verdana" w:eastAsia="Times New Roman" w:hAnsi="Verdana" w:cs="Arial"/>
          <w:bCs/>
          <w:sz w:val="20"/>
          <w:szCs w:val="20"/>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244412">
        <w:rPr>
          <w:rFonts w:ascii="Verdana" w:eastAsia="Times New Roman" w:hAnsi="Verdana" w:cs="Arial"/>
          <w:bCs/>
          <w:sz w:val="20"/>
          <w:szCs w:val="20"/>
          <w:lang w:val="es-MX" w:eastAsia="x-none"/>
        </w:rPr>
        <w:t>ii</w:t>
      </w:r>
      <w:proofErr w:type="spellEnd"/>
      <w:r w:rsidRPr="00244412">
        <w:rPr>
          <w:rFonts w:ascii="Verdana" w:eastAsia="Times New Roman" w:hAnsi="Verdana" w:cs="Arial"/>
          <w:bCs/>
          <w:sz w:val="20"/>
          <w:szCs w:val="20"/>
          <w:lang w:val="es-MX" w:eastAsia="x-none"/>
        </w:rPr>
        <w:t xml:space="preserve">) los contratos de crédito público; </w:t>
      </w:r>
      <w:proofErr w:type="spellStart"/>
      <w:r w:rsidRPr="00244412">
        <w:rPr>
          <w:rFonts w:ascii="Verdana" w:eastAsia="Times New Roman" w:hAnsi="Verdana" w:cs="Arial"/>
          <w:bCs/>
          <w:sz w:val="20"/>
          <w:szCs w:val="20"/>
          <w:lang w:val="es-MX" w:eastAsia="x-none"/>
        </w:rPr>
        <w:t>iii</w:t>
      </w:r>
      <w:proofErr w:type="spellEnd"/>
      <w:r w:rsidRPr="00244412">
        <w:rPr>
          <w:rFonts w:ascii="Verdana" w:eastAsia="Times New Roman" w:hAnsi="Verdana" w:cs="Arial"/>
          <w:bCs/>
          <w:sz w:val="20"/>
          <w:szCs w:val="20"/>
          <w:lang w:val="es-MX" w:eastAsia="x-none"/>
        </w:rPr>
        <w:t xml:space="preserve">) los requeridos para cubrir las emergencias educativas, sanitarias y desastres; </w:t>
      </w:r>
      <w:proofErr w:type="spellStart"/>
      <w:r w:rsidRPr="00244412">
        <w:rPr>
          <w:rFonts w:ascii="Verdana" w:eastAsia="Times New Roman" w:hAnsi="Verdana" w:cs="Arial"/>
          <w:bCs/>
          <w:sz w:val="20"/>
          <w:szCs w:val="20"/>
          <w:lang w:val="es-MX" w:eastAsia="x-none"/>
        </w:rPr>
        <w:t>iv</w:t>
      </w:r>
      <w:proofErr w:type="spellEnd"/>
      <w:r w:rsidRPr="00244412">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244412">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7DC374A" w14:textId="77777777" w:rsidR="00972587" w:rsidRPr="00244412" w:rsidRDefault="00972587" w:rsidP="00972587">
      <w:pPr>
        <w:spacing w:line="240" w:lineRule="auto"/>
        <w:contextualSpacing/>
        <w:jc w:val="both"/>
        <w:rPr>
          <w:rFonts w:ascii="Verdana" w:eastAsia="Times New Roman" w:hAnsi="Verdana" w:cs="Arial"/>
          <w:bCs/>
          <w:sz w:val="20"/>
          <w:szCs w:val="20"/>
          <w:lang w:val="es-MX" w:eastAsia="es-CO"/>
        </w:rPr>
      </w:pPr>
    </w:p>
    <w:p w14:paraId="4641C728" w14:textId="77777777" w:rsidR="00972587" w:rsidRPr="00244412" w:rsidRDefault="00972587" w:rsidP="00972587">
      <w:pPr>
        <w:tabs>
          <w:tab w:val="left" w:pos="426"/>
        </w:tabs>
        <w:spacing w:line="240" w:lineRule="auto"/>
        <w:contextualSpacing/>
        <w:jc w:val="both"/>
        <w:rPr>
          <w:rFonts w:ascii="Verdana" w:eastAsia="Calibri" w:hAnsi="Verdana" w:cs="Arial"/>
          <w:b/>
          <w:bCs/>
          <w:sz w:val="20"/>
          <w:szCs w:val="20"/>
          <w:lang w:val="es-MX"/>
        </w:rPr>
      </w:pPr>
      <w:r w:rsidRPr="00244412">
        <w:rPr>
          <w:rFonts w:ascii="Verdana" w:eastAsia="Calibri" w:hAnsi="Verdana" w:cs="Arial"/>
          <w:b/>
          <w:bCs/>
          <w:lang w:val="es-MX"/>
        </w:rPr>
        <w:t xml:space="preserve">LEY DE GARANTÍAS ELECTORALES ‒ Contratación directa ‒ </w:t>
      </w:r>
      <w:r w:rsidRPr="00244412">
        <w:rPr>
          <w:rFonts w:ascii="Verdana" w:eastAsia="Times New Roman" w:hAnsi="Verdana" w:cs="Arial"/>
          <w:b/>
          <w:bCs/>
          <w:lang w:eastAsia="es-CO"/>
        </w:rPr>
        <w:t>Contrato de arrendamiento</w:t>
      </w:r>
      <w:r w:rsidRPr="00244412">
        <w:rPr>
          <w:rFonts w:ascii="Verdana" w:eastAsia="Calibri" w:hAnsi="Verdana" w:cs="Arial"/>
          <w:b/>
          <w:bCs/>
          <w:lang w:val="es-MX"/>
        </w:rPr>
        <w:t xml:space="preserve"> </w:t>
      </w:r>
    </w:p>
    <w:p w14:paraId="648228FD" w14:textId="77777777" w:rsidR="00972587" w:rsidRPr="00244412" w:rsidRDefault="00972587" w:rsidP="00972587">
      <w:pPr>
        <w:spacing w:after="0" w:line="240" w:lineRule="auto"/>
        <w:jc w:val="both"/>
        <w:rPr>
          <w:rFonts w:ascii="Verdana" w:eastAsia="Times New Roman" w:hAnsi="Verdana" w:cs="Arial"/>
          <w:noProof/>
          <w:lang w:val="es-MX" w:eastAsia="es-ES_tradnl"/>
        </w:rPr>
      </w:pPr>
    </w:p>
    <w:p w14:paraId="706B5B7B" w14:textId="77777777" w:rsidR="00972587" w:rsidRPr="00244412" w:rsidRDefault="00972587" w:rsidP="00972587">
      <w:pPr>
        <w:spacing w:line="240" w:lineRule="auto"/>
        <w:contextualSpacing/>
        <w:jc w:val="both"/>
        <w:rPr>
          <w:rFonts w:ascii="Verdana" w:eastAsia="Times New Roman" w:hAnsi="Verdana" w:cs="Arial"/>
          <w:bCs/>
          <w:sz w:val="20"/>
          <w:szCs w:val="20"/>
          <w:lang w:val="es-MX" w:eastAsia="es-CO"/>
        </w:rPr>
      </w:pPr>
      <w:r w:rsidRPr="00244412">
        <w:rPr>
          <w:rFonts w:ascii="Verdana" w:eastAsia="Times New Roman" w:hAnsi="Verdana" w:cs="Arial"/>
          <w:bCs/>
          <w:sz w:val="20"/>
          <w:szCs w:val="20"/>
          <w:lang w:val="es-MX" w:eastAsia="es-CO"/>
        </w:rPr>
        <w:t>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w:t>
      </w:r>
    </w:p>
    <w:p w14:paraId="61A17B43" w14:textId="77777777" w:rsidR="00972587" w:rsidRPr="00244412" w:rsidRDefault="00972587" w:rsidP="00972587">
      <w:pPr>
        <w:spacing w:line="240" w:lineRule="auto"/>
        <w:contextualSpacing/>
        <w:jc w:val="both"/>
        <w:rPr>
          <w:rFonts w:ascii="Verdana" w:eastAsia="Times New Roman" w:hAnsi="Verdana" w:cs="Arial"/>
          <w:bCs/>
          <w:sz w:val="20"/>
          <w:szCs w:val="20"/>
          <w:lang w:val="es-MX" w:eastAsia="es-CO"/>
        </w:rPr>
      </w:pPr>
    </w:p>
    <w:p w14:paraId="0B02A3AB" w14:textId="77777777" w:rsidR="00972587" w:rsidRPr="00244412" w:rsidRDefault="00972587" w:rsidP="00972587">
      <w:pPr>
        <w:spacing w:line="240" w:lineRule="auto"/>
        <w:contextualSpacing/>
        <w:jc w:val="both"/>
        <w:rPr>
          <w:rFonts w:ascii="Verdana" w:eastAsia="Times New Roman" w:hAnsi="Verdana" w:cs="Arial"/>
          <w:bCs/>
          <w:sz w:val="20"/>
          <w:szCs w:val="20"/>
          <w:lang w:val="es-MX" w:eastAsia="es-CO"/>
        </w:rPr>
      </w:pPr>
      <w:r w:rsidRPr="00244412">
        <w:rPr>
          <w:rFonts w:ascii="Verdana" w:eastAsia="Times New Roman" w:hAnsi="Verdana" w:cs="Arial"/>
          <w:bCs/>
          <w:sz w:val="20"/>
          <w:szCs w:val="20"/>
          <w:lang w:val="es-MX" w:eastAsia="es-CO"/>
        </w:rPr>
        <w:lastRenderedPageBreak/>
        <w:t>Por tanto, teniendo en cuenta que el literal i) del numeral 4° del artículo 2º de la Ley 1150 de 2007 establece que una de las causales de este procedimiento es: “i) El arrendamiento o adquisición de inmuebles”; y adicionalmente, el artículo 2.2.1.2.1.4.11 del Decreto 1082 de 2015 dispone que las Entidades Estatales pueden alquilar o arrendar inmuebles mediante contratación directa; esta contratación al ser directa se encuentra cobijada por la prohibición del artículo 33 de la Ley de Garantías Electorales, ya que como se señaló en el párrafo anterior, la prohibición es amplia y aplica a toda la contratación que no implique convocatoria pública.</w:t>
      </w:r>
    </w:p>
    <w:p w14:paraId="08773BB2" w14:textId="77777777" w:rsidR="00476412" w:rsidRPr="00972587" w:rsidRDefault="00476412" w:rsidP="005F5D0F">
      <w:pPr>
        <w:spacing w:after="0" w:line="240" w:lineRule="auto"/>
        <w:jc w:val="both"/>
        <w:rPr>
          <w:rFonts w:ascii="Verdana" w:hAnsi="Verdana"/>
          <w:lang w:val="es-MX"/>
        </w:rPr>
      </w:pPr>
    </w:p>
    <w:p w14:paraId="0053DAB2" w14:textId="77777777" w:rsidR="00476412" w:rsidRDefault="00476412" w:rsidP="005F5D0F">
      <w:pPr>
        <w:spacing w:after="0" w:line="240" w:lineRule="auto"/>
        <w:jc w:val="both"/>
        <w:rPr>
          <w:rFonts w:ascii="Verdana" w:hAnsi="Verdana"/>
        </w:rPr>
      </w:pPr>
    </w:p>
    <w:p w14:paraId="20C15CBF" w14:textId="77777777" w:rsidR="00476412" w:rsidRDefault="00476412" w:rsidP="005F5D0F">
      <w:pPr>
        <w:spacing w:after="0" w:line="240" w:lineRule="auto"/>
        <w:jc w:val="both"/>
        <w:rPr>
          <w:rFonts w:ascii="Verdana" w:hAnsi="Verdana"/>
        </w:rPr>
      </w:pPr>
    </w:p>
    <w:p w14:paraId="384AD3C2" w14:textId="77777777" w:rsidR="00476412" w:rsidRDefault="00476412" w:rsidP="005F5D0F">
      <w:pPr>
        <w:spacing w:after="0" w:line="240" w:lineRule="auto"/>
        <w:jc w:val="both"/>
        <w:rPr>
          <w:rFonts w:ascii="Verdana" w:hAnsi="Verdana"/>
        </w:rPr>
      </w:pPr>
    </w:p>
    <w:p w14:paraId="10D0F15E" w14:textId="77777777" w:rsidR="00476412" w:rsidRDefault="00476412" w:rsidP="005F5D0F">
      <w:pPr>
        <w:spacing w:after="0" w:line="240" w:lineRule="auto"/>
        <w:jc w:val="both"/>
        <w:rPr>
          <w:rFonts w:ascii="Verdana" w:hAnsi="Verdana"/>
        </w:rPr>
      </w:pPr>
    </w:p>
    <w:p w14:paraId="331A6503" w14:textId="77777777" w:rsidR="00476412" w:rsidRDefault="00476412" w:rsidP="005F5D0F">
      <w:pPr>
        <w:spacing w:after="0" w:line="240" w:lineRule="auto"/>
        <w:jc w:val="both"/>
        <w:rPr>
          <w:rFonts w:ascii="Verdana" w:hAnsi="Verdana"/>
        </w:rPr>
      </w:pPr>
    </w:p>
    <w:p w14:paraId="5FAB843A" w14:textId="77777777" w:rsidR="00476412" w:rsidRDefault="00476412" w:rsidP="005F5D0F">
      <w:pPr>
        <w:spacing w:after="0" w:line="240" w:lineRule="auto"/>
        <w:jc w:val="both"/>
        <w:rPr>
          <w:rFonts w:ascii="Verdana" w:hAnsi="Verdana"/>
        </w:rPr>
      </w:pPr>
    </w:p>
    <w:p w14:paraId="5FF952AB" w14:textId="77777777" w:rsidR="00476412" w:rsidRDefault="00476412" w:rsidP="005F5D0F">
      <w:pPr>
        <w:spacing w:after="0" w:line="240" w:lineRule="auto"/>
        <w:jc w:val="both"/>
        <w:rPr>
          <w:rFonts w:ascii="Verdana" w:hAnsi="Verdana"/>
        </w:rPr>
      </w:pPr>
    </w:p>
    <w:p w14:paraId="485EA6AF" w14:textId="77777777" w:rsidR="00476412" w:rsidRDefault="00476412" w:rsidP="005F5D0F">
      <w:pPr>
        <w:spacing w:after="0" w:line="240" w:lineRule="auto"/>
        <w:jc w:val="both"/>
        <w:rPr>
          <w:rFonts w:ascii="Verdana" w:hAnsi="Verdana"/>
        </w:rPr>
      </w:pPr>
    </w:p>
    <w:p w14:paraId="55070E43" w14:textId="77777777" w:rsidR="00476412" w:rsidRDefault="00476412" w:rsidP="005F5D0F">
      <w:pPr>
        <w:spacing w:after="0" w:line="240" w:lineRule="auto"/>
        <w:jc w:val="both"/>
        <w:rPr>
          <w:rFonts w:ascii="Verdana" w:hAnsi="Verdana"/>
        </w:rPr>
      </w:pPr>
    </w:p>
    <w:p w14:paraId="4205896B" w14:textId="77777777" w:rsidR="00476412" w:rsidRDefault="00476412" w:rsidP="005F5D0F">
      <w:pPr>
        <w:spacing w:after="0" w:line="240" w:lineRule="auto"/>
        <w:jc w:val="both"/>
        <w:rPr>
          <w:rFonts w:ascii="Verdana" w:hAnsi="Verdana"/>
        </w:rPr>
      </w:pPr>
    </w:p>
    <w:p w14:paraId="60CF8CE0" w14:textId="77777777" w:rsidR="00476412" w:rsidRDefault="00476412" w:rsidP="005F5D0F">
      <w:pPr>
        <w:spacing w:after="0" w:line="240" w:lineRule="auto"/>
        <w:jc w:val="both"/>
        <w:rPr>
          <w:rFonts w:ascii="Verdana" w:hAnsi="Verdana"/>
        </w:rPr>
      </w:pPr>
    </w:p>
    <w:p w14:paraId="12414258" w14:textId="77777777" w:rsidR="00476412" w:rsidRDefault="00476412" w:rsidP="005F5D0F">
      <w:pPr>
        <w:spacing w:after="0" w:line="240" w:lineRule="auto"/>
        <w:jc w:val="both"/>
        <w:rPr>
          <w:rFonts w:ascii="Verdana" w:hAnsi="Verdana"/>
        </w:rPr>
      </w:pPr>
    </w:p>
    <w:p w14:paraId="0AFD7DCC" w14:textId="77777777" w:rsidR="00476412" w:rsidRDefault="00476412" w:rsidP="005F5D0F">
      <w:pPr>
        <w:spacing w:after="0" w:line="240" w:lineRule="auto"/>
        <w:jc w:val="both"/>
        <w:rPr>
          <w:rFonts w:ascii="Verdana" w:hAnsi="Verdana"/>
        </w:rPr>
      </w:pPr>
    </w:p>
    <w:p w14:paraId="71916955" w14:textId="77777777" w:rsidR="00476412" w:rsidRDefault="00476412" w:rsidP="005F5D0F">
      <w:pPr>
        <w:spacing w:after="0" w:line="240" w:lineRule="auto"/>
        <w:jc w:val="both"/>
        <w:rPr>
          <w:rFonts w:ascii="Verdana" w:hAnsi="Verdana"/>
        </w:rPr>
      </w:pPr>
    </w:p>
    <w:p w14:paraId="1E7EFB8A" w14:textId="77777777" w:rsidR="00476412" w:rsidRDefault="00476412" w:rsidP="005F5D0F">
      <w:pPr>
        <w:spacing w:after="0" w:line="240" w:lineRule="auto"/>
        <w:jc w:val="both"/>
        <w:rPr>
          <w:rFonts w:ascii="Verdana" w:hAnsi="Verdana"/>
        </w:rPr>
      </w:pPr>
    </w:p>
    <w:p w14:paraId="61C635AB" w14:textId="77777777" w:rsidR="00476412" w:rsidRDefault="00476412" w:rsidP="005F5D0F">
      <w:pPr>
        <w:spacing w:after="0" w:line="240" w:lineRule="auto"/>
        <w:jc w:val="both"/>
        <w:rPr>
          <w:rFonts w:ascii="Verdana" w:hAnsi="Verdana"/>
        </w:rPr>
      </w:pPr>
    </w:p>
    <w:p w14:paraId="5588A284" w14:textId="77777777" w:rsidR="00476412" w:rsidRDefault="00476412" w:rsidP="005F5D0F">
      <w:pPr>
        <w:spacing w:after="0" w:line="240" w:lineRule="auto"/>
        <w:jc w:val="both"/>
        <w:rPr>
          <w:rFonts w:ascii="Verdana" w:hAnsi="Verdana"/>
        </w:rPr>
      </w:pPr>
    </w:p>
    <w:p w14:paraId="37760242" w14:textId="77777777" w:rsidR="00476412" w:rsidRDefault="00476412" w:rsidP="005F5D0F">
      <w:pPr>
        <w:spacing w:after="0" w:line="240" w:lineRule="auto"/>
        <w:jc w:val="both"/>
        <w:rPr>
          <w:rFonts w:ascii="Verdana" w:hAnsi="Verdana"/>
        </w:rPr>
      </w:pPr>
    </w:p>
    <w:p w14:paraId="7B7060AA" w14:textId="77777777" w:rsidR="00476412" w:rsidRDefault="00476412" w:rsidP="005F5D0F">
      <w:pPr>
        <w:spacing w:after="0" w:line="240" w:lineRule="auto"/>
        <w:jc w:val="both"/>
        <w:rPr>
          <w:rFonts w:ascii="Verdana" w:hAnsi="Verdana"/>
        </w:rPr>
      </w:pPr>
    </w:p>
    <w:p w14:paraId="2E8DD784" w14:textId="77777777" w:rsidR="00476412" w:rsidRDefault="00476412" w:rsidP="005F5D0F">
      <w:pPr>
        <w:spacing w:after="0" w:line="240" w:lineRule="auto"/>
        <w:jc w:val="both"/>
        <w:rPr>
          <w:rFonts w:ascii="Verdana" w:hAnsi="Verdana"/>
        </w:rPr>
      </w:pPr>
    </w:p>
    <w:p w14:paraId="77E598E1" w14:textId="77777777" w:rsidR="00476412" w:rsidRDefault="00476412" w:rsidP="005F5D0F">
      <w:pPr>
        <w:spacing w:after="0" w:line="240" w:lineRule="auto"/>
        <w:jc w:val="both"/>
        <w:rPr>
          <w:rFonts w:ascii="Verdana" w:hAnsi="Verdana"/>
        </w:rPr>
      </w:pPr>
    </w:p>
    <w:p w14:paraId="736E894C" w14:textId="77777777" w:rsidR="00476412" w:rsidRDefault="00476412" w:rsidP="005F5D0F">
      <w:pPr>
        <w:spacing w:after="0" w:line="240" w:lineRule="auto"/>
        <w:jc w:val="both"/>
        <w:rPr>
          <w:rFonts w:ascii="Verdana" w:hAnsi="Verdana"/>
        </w:rPr>
      </w:pPr>
    </w:p>
    <w:p w14:paraId="03D9BA36" w14:textId="77777777" w:rsidR="00476412" w:rsidRDefault="00476412" w:rsidP="005F5D0F">
      <w:pPr>
        <w:spacing w:after="0" w:line="240" w:lineRule="auto"/>
        <w:jc w:val="both"/>
        <w:rPr>
          <w:rFonts w:ascii="Verdana" w:hAnsi="Verdana"/>
        </w:rPr>
      </w:pPr>
    </w:p>
    <w:p w14:paraId="0FFFCAAC" w14:textId="77777777" w:rsidR="00476412" w:rsidRDefault="00476412" w:rsidP="005F5D0F">
      <w:pPr>
        <w:spacing w:after="0" w:line="240" w:lineRule="auto"/>
        <w:jc w:val="both"/>
        <w:rPr>
          <w:rFonts w:ascii="Verdana" w:hAnsi="Verdana"/>
        </w:rPr>
      </w:pPr>
    </w:p>
    <w:p w14:paraId="4DF66892" w14:textId="77777777" w:rsidR="00476412" w:rsidRDefault="00476412" w:rsidP="005F5D0F">
      <w:pPr>
        <w:spacing w:after="0" w:line="240" w:lineRule="auto"/>
        <w:jc w:val="both"/>
        <w:rPr>
          <w:rFonts w:ascii="Verdana" w:hAnsi="Verdana"/>
        </w:rPr>
      </w:pPr>
    </w:p>
    <w:p w14:paraId="588DB910" w14:textId="77777777" w:rsidR="00476412" w:rsidRDefault="00476412" w:rsidP="005F5D0F">
      <w:pPr>
        <w:spacing w:after="0" w:line="240" w:lineRule="auto"/>
        <w:jc w:val="both"/>
        <w:rPr>
          <w:rFonts w:ascii="Verdana" w:hAnsi="Verdana"/>
        </w:rPr>
      </w:pPr>
    </w:p>
    <w:p w14:paraId="6529ADAE" w14:textId="77777777" w:rsidR="00476412" w:rsidRDefault="00476412" w:rsidP="005F5D0F">
      <w:pPr>
        <w:spacing w:after="0" w:line="240" w:lineRule="auto"/>
        <w:jc w:val="both"/>
        <w:rPr>
          <w:rFonts w:ascii="Verdana" w:hAnsi="Verdana"/>
        </w:rPr>
      </w:pPr>
    </w:p>
    <w:p w14:paraId="05488D19" w14:textId="77777777" w:rsidR="00476412" w:rsidRDefault="00476412" w:rsidP="005F5D0F">
      <w:pPr>
        <w:spacing w:after="0" w:line="240" w:lineRule="auto"/>
        <w:jc w:val="both"/>
        <w:rPr>
          <w:rFonts w:ascii="Verdana" w:hAnsi="Verdana"/>
        </w:rPr>
      </w:pPr>
    </w:p>
    <w:p w14:paraId="47B31A2B" w14:textId="77777777" w:rsidR="00476412" w:rsidRDefault="00476412" w:rsidP="005F5D0F">
      <w:pPr>
        <w:spacing w:after="0" w:line="240" w:lineRule="auto"/>
        <w:jc w:val="both"/>
        <w:rPr>
          <w:rFonts w:ascii="Verdana" w:hAnsi="Verdana"/>
        </w:rPr>
      </w:pPr>
    </w:p>
    <w:p w14:paraId="39539234" w14:textId="77777777" w:rsidR="00476412" w:rsidRDefault="00476412" w:rsidP="005F5D0F">
      <w:pPr>
        <w:spacing w:after="0" w:line="240" w:lineRule="auto"/>
        <w:jc w:val="both"/>
        <w:rPr>
          <w:rFonts w:ascii="Verdana" w:hAnsi="Verdana"/>
        </w:rPr>
      </w:pPr>
    </w:p>
    <w:p w14:paraId="26792152" w14:textId="77777777" w:rsidR="00476412" w:rsidRDefault="00476412" w:rsidP="005F5D0F">
      <w:pPr>
        <w:spacing w:after="0" w:line="240" w:lineRule="auto"/>
        <w:jc w:val="both"/>
        <w:rPr>
          <w:rFonts w:ascii="Verdana" w:hAnsi="Verdana"/>
        </w:rPr>
      </w:pPr>
    </w:p>
    <w:p w14:paraId="6EB18083" w14:textId="77777777" w:rsidR="00476412" w:rsidRDefault="00476412" w:rsidP="005F5D0F">
      <w:pPr>
        <w:spacing w:after="0" w:line="240" w:lineRule="auto"/>
        <w:jc w:val="both"/>
        <w:rPr>
          <w:rFonts w:ascii="Verdana" w:hAnsi="Verdana"/>
        </w:rPr>
      </w:pPr>
    </w:p>
    <w:p w14:paraId="2D88B361" w14:textId="77777777" w:rsidR="00972587" w:rsidRDefault="00972587" w:rsidP="005F5D0F">
      <w:pPr>
        <w:spacing w:after="0" w:line="240" w:lineRule="auto"/>
        <w:jc w:val="both"/>
        <w:rPr>
          <w:rFonts w:ascii="Verdana" w:hAnsi="Verdana"/>
        </w:rPr>
      </w:pPr>
    </w:p>
    <w:p w14:paraId="2D88335B" w14:textId="7A087C39" w:rsidR="005F5D0F" w:rsidRPr="008E4F36" w:rsidRDefault="001440DD" w:rsidP="005F5D0F">
      <w:pPr>
        <w:spacing w:after="0" w:line="240" w:lineRule="auto"/>
        <w:jc w:val="both"/>
        <w:rPr>
          <w:rFonts w:ascii="Verdana" w:hAnsi="Verdana"/>
        </w:rPr>
      </w:pPr>
      <w:r w:rsidRPr="001440DD">
        <w:rPr>
          <w:rFonts w:ascii="Verdana" w:hAnsi="Verdana"/>
        </w:rPr>
        <w:lastRenderedPageBreak/>
        <w:t xml:space="preserve">Bogotá D.C., 09 </w:t>
      </w:r>
      <w:r>
        <w:rPr>
          <w:rFonts w:ascii="Verdana" w:hAnsi="Verdana"/>
        </w:rPr>
        <w:t>f</w:t>
      </w:r>
      <w:r w:rsidRPr="001440DD">
        <w:rPr>
          <w:rFonts w:ascii="Verdana" w:hAnsi="Verdana"/>
        </w:rPr>
        <w:t>ebrero 2026</w:t>
      </w:r>
      <w:r>
        <w:rPr>
          <w:rFonts w:ascii="Verdana" w:hAnsi="Verdana"/>
        </w:rPr>
        <w:t xml:space="preserve"> </w:t>
      </w:r>
    </w:p>
    <w:p w14:paraId="5D26FFDA" w14:textId="3B5DB532" w:rsidR="005F5D0F" w:rsidRPr="008E4F36" w:rsidRDefault="001E7E08" w:rsidP="005F5D0F">
      <w:pPr>
        <w:spacing w:after="0" w:line="240" w:lineRule="auto"/>
        <w:jc w:val="both"/>
        <w:rPr>
          <w:rFonts w:ascii="Verdana" w:eastAsia="Calibri" w:hAnsi="Verdana" w:cs="Arial"/>
          <w:lang w:eastAsia="es-ES"/>
        </w:rPr>
      </w:pPr>
      <w:bookmarkStart w:id="0" w:name="_Hlk197462763"/>
      <w:bookmarkStart w:id="1" w:name="_Hlk197529996"/>
      <w:r w:rsidRPr="001E7E08">
        <w:rPr>
          <w:rFonts w:ascii="Verdana" w:eastAsia="Calibri" w:hAnsi="Verdana" w:cs="Arial"/>
          <w:lang w:eastAsia="es-ES"/>
        </w:rPr>
        <w:drawing>
          <wp:anchor distT="0" distB="0" distL="114300" distR="114300" simplePos="0" relativeHeight="251660288" behindDoc="1" locked="0" layoutInCell="1" allowOverlap="1" wp14:anchorId="30E5B774" wp14:editId="6C6B43AC">
            <wp:simplePos x="0" y="0"/>
            <wp:positionH relativeFrom="column">
              <wp:posOffset>2935219</wp:posOffset>
            </wp:positionH>
            <wp:positionV relativeFrom="paragraph">
              <wp:posOffset>80093</wp:posOffset>
            </wp:positionV>
            <wp:extent cx="3314700" cy="1000125"/>
            <wp:effectExtent l="0" t="0" r="0" b="9525"/>
            <wp:wrapTight wrapText="bothSides">
              <wp:wrapPolygon edited="0">
                <wp:start x="0" y="0"/>
                <wp:lineTo x="0" y="21394"/>
                <wp:lineTo x="21476" y="21394"/>
                <wp:lineTo x="21476" y="0"/>
                <wp:lineTo x="0" y="0"/>
              </wp:wrapPolygon>
            </wp:wrapTight>
            <wp:docPr id="28141122" name="Imagen 1" descr="Interfaz de usuario gráfica, Texto,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41122" name="Imagen 1" descr="Interfaz de usuario gráfica, Texto, Chat o mensaje de 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314700" cy="1000125"/>
                    </a:xfrm>
                    <a:prstGeom prst="rect">
                      <a:avLst/>
                    </a:prstGeom>
                  </pic:spPr>
                </pic:pic>
              </a:graphicData>
            </a:graphic>
          </wp:anchor>
        </w:drawing>
      </w:r>
    </w:p>
    <w:p w14:paraId="3C322736" w14:textId="0576D889" w:rsidR="005F5D0F" w:rsidRDefault="005F5D0F" w:rsidP="005F5D0F">
      <w:pPr>
        <w:spacing w:after="0" w:line="240" w:lineRule="auto"/>
        <w:jc w:val="both"/>
        <w:rPr>
          <w:rFonts w:ascii="Verdana" w:eastAsia="Calibri" w:hAnsi="Verdana" w:cs="Arial"/>
          <w:lang w:eastAsia="es-ES"/>
        </w:rPr>
      </w:pPr>
    </w:p>
    <w:p w14:paraId="6B17145D" w14:textId="77777777" w:rsidR="005F5D0F" w:rsidRPr="008E4F36" w:rsidRDefault="005F5D0F" w:rsidP="005F5D0F">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r>
        <w:rPr>
          <w:rFonts w:ascii="Verdana" w:eastAsia="Calibri" w:hAnsi="Verdana" w:cs="Arial"/>
          <w:lang w:eastAsia="es-ES"/>
        </w:rPr>
        <w:t>a</w:t>
      </w:r>
    </w:p>
    <w:p w14:paraId="6F751424" w14:textId="77777777" w:rsidR="005F5D0F" w:rsidRPr="000F2158" w:rsidRDefault="005F5D0F" w:rsidP="005F5D0F">
      <w:pPr>
        <w:spacing w:after="0" w:line="240" w:lineRule="auto"/>
        <w:jc w:val="both"/>
        <w:rPr>
          <w:rFonts w:ascii="Verdana" w:eastAsia="Calibri" w:hAnsi="Verdana" w:cs="Arial"/>
          <w:b/>
          <w:highlight w:val="yellow"/>
          <w:lang w:eastAsia="es-ES_tradnl"/>
        </w:rPr>
      </w:pPr>
      <w:r w:rsidRPr="0011465C">
        <w:rPr>
          <w:rFonts w:ascii="Verdana" w:eastAsia="Calibri" w:hAnsi="Verdana" w:cs="Arial"/>
          <w:b/>
          <w:lang w:eastAsia="es-ES_tradnl"/>
        </w:rPr>
        <w:t>María Paula Archila</w:t>
      </w:r>
      <w:r>
        <w:rPr>
          <w:rFonts w:ascii="Verdana" w:eastAsia="Calibri" w:hAnsi="Verdana" w:cs="Arial"/>
          <w:b/>
          <w:lang w:eastAsia="es-ES_tradnl"/>
        </w:rPr>
        <w:t xml:space="preserve">  </w:t>
      </w:r>
    </w:p>
    <w:p w14:paraId="799299B1" w14:textId="77777777" w:rsidR="005F5D0F" w:rsidRPr="00187CA0" w:rsidRDefault="005F5D0F" w:rsidP="005F5D0F">
      <w:pPr>
        <w:spacing w:after="0" w:line="240" w:lineRule="auto"/>
        <w:jc w:val="both"/>
        <w:rPr>
          <w:rFonts w:ascii="Verdana" w:eastAsia="Calibri" w:hAnsi="Verdana" w:cs="Arial"/>
          <w:b/>
          <w:lang w:eastAsia="es-ES_tradnl"/>
        </w:rPr>
      </w:pPr>
      <w:hyperlink r:id="rId11" w:history="1">
        <w:r w:rsidRPr="001C724A">
          <w:rPr>
            <w:rStyle w:val="Hipervnculo"/>
            <w:rFonts w:ascii="Verdana" w:eastAsia="Calibri" w:hAnsi="Verdana" w:cs="Arial"/>
            <w:b/>
            <w:lang w:eastAsia="es-ES_tradnl"/>
          </w:rPr>
          <w:t>marchila@cremil.gov.co</w:t>
        </w:r>
      </w:hyperlink>
      <w:r>
        <w:rPr>
          <w:rFonts w:ascii="Verdana" w:eastAsia="Calibri" w:hAnsi="Verdana" w:cs="Arial"/>
          <w:b/>
          <w:lang w:eastAsia="es-ES_tradnl"/>
        </w:rPr>
        <w:t xml:space="preserve"> </w:t>
      </w:r>
    </w:p>
    <w:p w14:paraId="081F1BCE" w14:textId="77777777" w:rsidR="005F5D0F" w:rsidRPr="00624A4C" w:rsidRDefault="005F5D0F" w:rsidP="005F5D0F">
      <w:pPr>
        <w:spacing w:after="0" w:line="240" w:lineRule="auto"/>
        <w:jc w:val="both"/>
        <w:rPr>
          <w:rFonts w:ascii="Verdana" w:eastAsia="Calibri" w:hAnsi="Verdana" w:cs="Arial"/>
          <w:bCs/>
          <w:lang w:eastAsia="es-ES_tradnl"/>
        </w:rPr>
      </w:pPr>
      <w:r>
        <w:rPr>
          <w:rFonts w:ascii="Verdana" w:eastAsia="Calibri" w:hAnsi="Verdana" w:cs="Arial"/>
          <w:bCs/>
          <w:lang w:eastAsia="es-ES_tradnl"/>
        </w:rPr>
        <w:t>Ciudad</w:t>
      </w:r>
    </w:p>
    <w:p w14:paraId="2C7A7518" w14:textId="77777777" w:rsidR="005F5D0F" w:rsidRPr="005B4C57" w:rsidRDefault="005F5D0F" w:rsidP="005F5D0F">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F5D0F" w:rsidRPr="002842E0" w14:paraId="5545EA5F" w14:textId="77777777" w:rsidTr="00A024CB">
        <w:trPr>
          <w:trHeight w:val="162"/>
        </w:trPr>
        <w:tc>
          <w:tcPr>
            <w:tcW w:w="3119" w:type="dxa"/>
          </w:tcPr>
          <w:p w14:paraId="70EAE997" w14:textId="77777777" w:rsidR="005F5D0F" w:rsidRPr="005B4C57" w:rsidRDefault="005F5D0F" w:rsidP="00A024CB">
            <w:pPr>
              <w:jc w:val="both"/>
              <w:rPr>
                <w:rFonts w:ascii="Verdana" w:eastAsia="Calibri" w:hAnsi="Verdana" w:cs="Arial"/>
                <w:b/>
                <w:bCs/>
                <w:color w:val="7030A0"/>
                <w:lang w:val="it-CH" w:eastAsia="es-ES_tradnl"/>
              </w:rPr>
            </w:pPr>
          </w:p>
        </w:tc>
        <w:tc>
          <w:tcPr>
            <w:tcW w:w="5670" w:type="dxa"/>
          </w:tcPr>
          <w:p w14:paraId="7F1037D1" w14:textId="77777777" w:rsidR="005F5D0F" w:rsidRPr="00187CA0" w:rsidRDefault="005F5D0F" w:rsidP="00A024CB">
            <w:pPr>
              <w:jc w:val="both"/>
              <w:rPr>
                <w:rFonts w:ascii="Verdana" w:eastAsia="Calibri" w:hAnsi="Verdana" w:cs="Arial"/>
                <w:b/>
                <w:bCs/>
                <w:lang w:eastAsia="es-ES"/>
              </w:rPr>
            </w:pPr>
            <w:r w:rsidRPr="00187CA0">
              <w:rPr>
                <w:rFonts w:ascii="Verdana" w:eastAsia="Calibri" w:hAnsi="Verdana" w:cs="Arial"/>
                <w:b/>
                <w:bCs/>
                <w:lang w:eastAsia="es-ES"/>
              </w:rPr>
              <w:t>Concepto C- 18</w:t>
            </w:r>
            <w:r>
              <w:rPr>
                <w:rFonts w:ascii="Verdana" w:eastAsia="Calibri" w:hAnsi="Verdana" w:cs="Arial"/>
                <w:b/>
                <w:bCs/>
                <w:lang w:eastAsia="es-ES"/>
              </w:rPr>
              <w:t>68</w:t>
            </w:r>
            <w:r w:rsidRPr="00187CA0">
              <w:rPr>
                <w:rFonts w:ascii="Verdana" w:eastAsia="Calibri" w:hAnsi="Verdana" w:cs="Arial"/>
                <w:b/>
                <w:bCs/>
                <w:lang w:eastAsia="es-ES"/>
              </w:rPr>
              <w:t xml:space="preserve"> de 2025</w:t>
            </w:r>
          </w:p>
          <w:p w14:paraId="2C3A57C5" w14:textId="77777777" w:rsidR="005F5D0F" w:rsidRPr="00187CA0" w:rsidRDefault="005F5D0F" w:rsidP="00A024CB">
            <w:pPr>
              <w:jc w:val="both"/>
              <w:rPr>
                <w:rFonts w:ascii="Verdana" w:eastAsia="Calibri" w:hAnsi="Verdana" w:cs="Arial"/>
                <w:b/>
                <w:bCs/>
                <w:color w:val="7030A0"/>
                <w:lang w:eastAsia="es-ES"/>
              </w:rPr>
            </w:pPr>
          </w:p>
        </w:tc>
      </w:tr>
      <w:tr w:rsidR="005F5D0F" w:rsidRPr="002842E0" w14:paraId="1CC46C83" w14:textId="77777777" w:rsidTr="00A024CB">
        <w:trPr>
          <w:trHeight w:val="884"/>
        </w:trPr>
        <w:tc>
          <w:tcPr>
            <w:tcW w:w="3119" w:type="dxa"/>
          </w:tcPr>
          <w:p w14:paraId="763D1520" w14:textId="77777777" w:rsidR="005F5D0F" w:rsidRPr="00801462" w:rsidRDefault="005F5D0F" w:rsidP="00A024CB">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0E5E888E" w14:textId="77777777" w:rsidR="005F5D0F" w:rsidRDefault="00995C7E" w:rsidP="00995C7E">
            <w:pPr>
              <w:spacing w:line="276" w:lineRule="auto"/>
              <w:jc w:val="both"/>
              <w:rPr>
                <w:rFonts w:ascii="Verdana" w:eastAsia="Times New Roman" w:hAnsi="Verdana" w:cs="Arial"/>
                <w:lang w:eastAsia="es-ES_tradnl"/>
              </w:rPr>
            </w:pPr>
            <w:r w:rsidRPr="00A16436">
              <w:rPr>
                <w:rFonts w:ascii="Verdana" w:eastAsia="Times New Roman" w:hAnsi="Verdana" w:cs="Arial"/>
                <w:lang w:eastAsia="es-ES_tradnl"/>
              </w:rPr>
              <w:t>LEY DE GARANTÍAS ELECTORALES ─ Prohibición ‒ Contratación directa ‒ Alcance / LEY DE GARANTÍAS ELECTORALES ─ Prohibición ‒ Contratación directa ‒ Excepciones / LEY DE GARANTÍAS ELECTORALES ‒ Contratación directa ‒ Contrato de arrendamiento</w:t>
            </w:r>
          </w:p>
          <w:p w14:paraId="2E195451" w14:textId="4D1835AE" w:rsidR="00BC1714" w:rsidRPr="00187CA0" w:rsidRDefault="00BC1714" w:rsidP="00995C7E">
            <w:pPr>
              <w:spacing w:line="276" w:lineRule="auto"/>
              <w:jc w:val="both"/>
              <w:rPr>
                <w:rFonts w:ascii="Verdana" w:eastAsia="Calibri" w:hAnsi="Verdana" w:cs="Arial"/>
                <w:lang w:val="es-ES_tradnl" w:eastAsia="es-ES"/>
              </w:rPr>
            </w:pPr>
          </w:p>
        </w:tc>
      </w:tr>
      <w:tr w:rsidR="005F5D0F" w:rsidRPr="002842E0" w14:paraId="2B3B2A14" w14:textId="77777777" w:rsidTr="00A024CB">
        <w:tc>
          <w:tcPr>
            <w:tcW w:w="3119" w:type="dxa"/>
          </w:tcPr>
          <w:p w14:paraId="3683A333" w14:textId="77777777" w:rsidR="005F5D0F" w:rsidRPr="00187CA0" w:rsidRDefault="005F5D0F" w:rsidP="00A024CB">
            <w:pPr>
              <w:jc w:val="both"/>
              <w:rPr>
                <w:rFonts w:ascii="Verdana" w:eastAsia="Calibri" w:hAnsi="Verdana" w:cs="Arial"/>
                <w:b/>
                <w:lang w:eastAsia="es-ES_tradnl"/>
              </w:rPr>
            </w:pPr>
            <w:r w:rsidRPr="00187CA0">
              <w:rPr>
                <w:rFonts w:ascii="Verdana" w:eastAsia="Calibri" w:hAnsi="Verdana" w:cs="Arial"/>
                <w:b/>
                <w:lang w:eastAsia="es-ES_tradnl"/>
              </w:rPr>
              <w:t>Radicación:</w:t>
            </w:r>
            <w:r w:rsidRPr="00187CA0">
              <w:rPr>
                <w:rFonts w:ascii="Verdana" w:eastAsia="Calibri" w:hAnsi="Verdana" w:cs="Arial"/>
                <w:lang w:eastAsia="es-ES_tradnl"/>
              </w:rPr>
              <w:t xml:space="preserve">               </w:t>
            </w:r>
          </w:p>
        </w:tc>
        <w:tc>
          <w:tcPr>
            <w:tcW w:w="5670" w:type="dxa"/>
          </w:tcPr>
          <w:p w14:paraId="7318AB8C" w14:textId="77777777" w:rsidR="005F5D0F" w:rsidRPr="00C23A4D" w:rsidRDefault="005F5D0F" w:rsidP="00A024CB">
            <w:pPr>
              <w:jc w:val="both"/>
              <w:rPr>
                <w:rFonts w:ascii="Verdana" w:eastAsia="Calibri" w:hAnsi="Verdana" w:cs="Arial"/>
                <w:lang w:eastAsia="es-ES_tradnl"/>
              </w:rPr>
            </w:pPr>
            <w:r w:rsidRPr="00C23A4D">
              <w:rPr>
                <w:rFonts w:ascii="Verdana" w:eastAsia="Calibri" w:hAnsi="Verdana" w:cs="Arial"/>
                <w:lang w:eastAsia="es-ES_tradnl"/>
              </w:rPr>
              <w:t xml:space="preserve">Respuesta a consulta con radicado </w:t>
            </w:r>
          </w:p>
          <w:p w14:paraId="147A19C4" w14:textId="77777777" w:rsidR="005F5D0F" w:rsidRPr="00C23A4D" w:rsidRDefault="005F5D0F" w:rsidP="00A024CB">
            <w:pPr>
              <w:jc w:val="both"/>
              <w:rPr>
                <w:rFonts w:ascii="Verdana" w:hAnsi="Verdana"/>
                <w:color w:val="000000"/>
              </w:rPr>
            </w:pPr>
            <w:r w:rsidRPr="00D6614B">
              <w:rPr>
                <w:rFonts w:ascii="Verdana" w:hAnsi="Verdana"/>
                <w:color w:val="000000"/>
              </w:rPr>
              <w:t>1_2025_12_29_014409</w:t>
            </w:r>
            <w:r>
              <w:rPr>
                <w:rFonts w:ascii="Verdana" w:hAnsi="Verdana"/>
                <w:color w:val="000000"/>
              </w:rPr>
              <w:t xml:space="preserve"> &amp; </w:t>
            </w:r>
            <w:r w:rsidRPr="00BE1811">
              <w:rPr>
                <w:rFonts w:ascii="Verdana" w:hAnsi="Verdana"/>
                <w:color w:val="000000"/>
              </w:rPr>
              <w:t>1_2026_01_26_000783</w:t>
            </w:r>
            <w:r>
              <w:rPr>
                <w:rFonts w:ascii="Verdana" w:hAnsi="Verdana"/>
                <w:color w:val="000000"/>
              </w:rPr>
              <w:t xml:space="preserve"> </w:t>
            </w:r>
            <w:r w:rsidRPr="00D75386">
              <w:rPr>
                <w:rFonts w:ascii="Verdana" w:hAnsi="Verdana"/>
                <w:b/>
                <w:bCs/>
                <w:color w:val="000000"/>
              </w:rPr>
              <w:t>(acumuladas)</w:t>
            </w:r>
            <w:r>
              <w:rPr>
                <w:rFonts w:ascii="Verdana" w:hAnsi="Verdana"/>
                <w:color w:val="000000"/>
              </w:rPr>
              <w:t xml:space="preserve">  </w:t>
            </w:r>
          </w:p>
        </w:tc>
      </w:tr>
    </w:tbl>
    <w:p w14:paraId="17CA0BBF" w14:textId="77777777" w:rsidR="005F5D0F" w:rsidRDefault="005F5D0F" w:rsidP="005F5D0F">
      <w:pPr>
        <w:spacing w:after="0" w:line="276" w:lineRule="auto"/>
        <w:jc w:val="both"/>
        <w:rPr>
          <w:rFonts w:ascii="Verdana" w:eastAsia="Calibri" w:hAnsi="Verdana" w:cs="Arial"/>
          <w:lang w:eastAsia="es-ES_tradnl"/>
        </w:rPr>
      </w:pPr>
    </w:p>
    <w:p w14:paraId="3D3166FE" w14:textId="77777777" w:rsidR="005F5D0F" w:rsidRPr="008E4F36" w:rsidRDefault="005F5D0F" w:rsidP="005F5D0F">
      <w:pPr>
        <w:spacing w:after="0" w:line="276" w:lineRule="auto"/>
        <w:jc w:val="both"/>
        <w:rPr>
          <w:rFonts w:ascii="Verdana" w:eastAsia="Calibri" w:hAnsi="Verdana" w:cs="Arial"/>
          <w:lang w:eastAsia="es-ES"/>
        </w:rPr>
      </w:pPr>
      <w:r w:rsidRPr="00187CA0">
        <w:rPr>
          <w:rFonts w:ascii="Verdana" w:eastAsia="Calibri" w:hAnsi="Verdana" w:cs="Arial"/>
          <w:lang w:eastAsia="es-ES"/>
        </w:rPr>
        <w:t>Estimad</w:t>
      </w:r>
      <w:r>
        <w:rPr>
          <w:rFonts w:ascii="Verdana" w:eastAsia="Calibri" w:hAnsi="Verdana" w:cs="Arial"/>
          <w:lang w:eastAsia="es-ES"/>
        </w:rPr>
        <w:t>a</w:t>
      </w:r>
      <w:r w:rsidRPr="00187CA0">
        <w:rPr>
          <w:rFonts w:ascii="Verdana" w:eastAsia="Calibri" w:hAnsi="Verdana" w:cs="Arial"/>
          <w:lang w:eastAsia="es-ES"/>
        </w:rPr>
        <w:t xml:space="preserve"> seño</w:t>
      </w:r>
      <w:r>
        <w:rPr>
          <w:rFonts w:ascii="Verdana" w:eastAsia="Calibri" w:hAnsi="Verdana" w:cs="Arial"/>
          <w:lang w:eastAsia="es-ES"/>
        </w:rPr>
        <w:t>ra María:</w:t>
      </w:r>
      <w:r w:rsidRPr="008E4F36">
        <w:rPr>
          <w:rFonts w:ascii="Verdana" w:eastAsia="Calibri" w:hAnsi="Verdana" w:cs="Arial"/>
          <w:lang w:eastAsia="es-ES"/>
        </w:rPr>
        <w:t xml:space="preserve"> </w:t>
      </w:r>
    </w:p>
    <w:p w14:paraId="2B48F87D" w14:textId="77777777" w:rsidR="005F5D0F" w:rsidRDefault="005F5D0F" w:rsidP="005F5D0F">
      <w:pPr>
        <w:tabs>
          <w:tab w:val="left" w:pos="3768"/>
        </w:tabs>
        <w:spacing w:after="0" w:line="240" w:lineRule="auto"/>
        <w:jc w:val="both"/>
        <w:rPr>
          <w:rFonts w:ascii="Verdana" w:eastAsia="Calibri" w:hAnsi="Verdana" w:cs="Arial"/>
          <w:lang w:eastAsia="es-ES"/>
        </w:rPr>
      </w:pPr>
    </w:p>
    <w:p w14:paraId="2971A190" w14:textId="77777777" w:rsidR="005F5D0F" w:rsidRPr="008E4F36" w:rsidRDefault="005F5D0F" w:rsidP="005F5D0F">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w:t>
      </w:r>
      <w:r w:rsidRPr="00187CA0">
        <w:rPr>
          <w:rFonts w:ascii="Verdana" w:eastAsia="Calibri" w:hAnsi="Verdana" w:cs="Arial"/>
          <w:lang w:eastAsia="es-ES"/>
        </w:rPr>
        <w:t>Contratación Pública – Colombia Compra Eficiente– responde su solicitud de consulta de fecha 2</w:t>
      </w:r>
      <w:r>
        <w:rPr>
          <w:rFonts w:ascii="Verdana" w:eastAsia="Calibri" w:hAnsi="Verdana" w:cs="Arial"/>
          <w:lang w:eastAsia="es-ES"/>
        </w:rPr>
        <w:t>9</w:t>
      </w:r>
      <w:r w:rsidRPr="00187CA0">
        <w:rPr>
          <w:rFonts w:ascii="Verdana" w:eastAsia="Calibri" w:hAnsi="Verdana" w:cs="Arial"/>
          <w:lang w:eastAsia="es-ES"/>
        </w:rPr>
        <w:t xml:space="preserve"> de diciembre de 2025,</w:t>
      </w:r>
      <w:r w:rsidRPr="000F2158">
        <w:rPr>
          <w:rFonts w:ascii="Verdana" w:eastAsia="Calibri" w:hAnsi="Verdana" w:cs="Arial"/>
          <w:lang w:eastAsia="es-ES"/>
        </w:rPr>
        <w:t xml:space="preserve"> en la cual manifiesta lo siguiente:</w:t>
      </w:r>
    </w:p>
    <w:p w14:paraId="074FD61A" w14:textId="77777777" w:rsidR="005F5D0F" w:rsidRPr="008E4F36" w:rsidRDefault="005F5D0F" w:rsidP="005F5D0F">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1CD54D2F" w14:textId="77777777" w:rsidR="005F5D0F" w:rsidRDefault="005F5D0F" w:rsidP="005F5D0F">
      <w:pPr>
        <w:spacing w:after="0" w:line="240" w:lineRule="auto"/>
        <w:ind w:left="709" w:right="709"/>
        <w:jc w:val="both"/>
        <w:rPr>
          <w:rFonts w:ascii="Verdana" w:eastAsia="Century Gothic" w:hAnsi="Verdana" w:cs="Century Gothic"/>
          <w:sz w:val="20"/>
          <w:szCs w:val="20"/>
        </w:rPr>
      </w:pPr>
      <w:bookmarkStart w:id="2" w:name="_Hlk192699624"/>
      <w:bookmarkStart w:id="3" w:name="_Hlk199394899"/>
      <w:r>
        <w:rPr>
          <w:rFonts w:ascii="Verdana" w:eastAsia="Century Gothic" w:hAnsi="Verdana" w:cs="Century Gothic"/>
          <w:sz w:val="20"/>
          <w:szCs w:val="20"/>
        </w:rPr>
        <w:t>“</w:t>
      </w:r>
      <w:bookmarkEnd w:id="2"/>
      <w:bookmarkEnd w:id="3"/>
      <w:r w:rsidRPr="00D23C30">
        <w:rPr>
          <w:rFonts w:ascii="Verdana" w:eastAsia="Century Gothic" w:hAnsi="Verdana" w:cs="Century Gothic"/>
          <w:sz w:val="20"/>
          <w:szCs w:val="20"/>
        </w:rPr>
        <w:t xml:space="preserve">1. Dentro del marco de contratación que adelanta la Caja de Retiro de las Fuerzas Militares y dado que, con los recursos recaudados por concepto de la suscripción de contratos de arrendamiento, se consulta: ¿Son aplicables las restricciones descritas en la ley 996 de 2005 (ley de garantías Electorales) frente a la celebración de los contratos de arrendamiento con personas naturales y jurídicas privadas, dado que esa modalidad corresponde a contratación Directa por parte de esta Entidad? </w:t>
      </w:r>
    </w:p>
    <w:p w14:paraId="3DFEBE38" w14:textId="77777777" w:rsidR="005F5D0F" w:rsidRDefault="005F5D0F" w:rsidP="005F5D0F">
      <w:pPr>
        <w:spacing w:after="0" w:line="240" w:lineRule="auto"/>
        <w:ind w:left="709" w:right="709"/>
        <w:jc w:val="both"/>
        <w:rPr>
          <w:rFonts w:ascii="Verdana" w:eastAsia="Century Gothic" w:hAnsi="Verdana" w:cs="Century Gothic"/>
          <w:sz w:val="20"/>
          <w:szCs w:val="20"/>
        </w:rPr>
      </w:pPr>
    </w:p>
    <w:p w14:paraId="70D44262" w14:textId="77777777" w:rsidR="005F5D0F" w:rsidRDefault="005F5D0F" w:rsidP="005F5D0F">
      <w:pPr>
        <w:spacing w:after="0" w:line="240" w:lineRule="auto"/>
        <w:ind w:left="709" w:right="709"/>
        <w:jc w:val="both"/>
        <w:rPr>
          <w:rFonts w:ascii="Verdana" w:eastAsia="Century Gothic" w:hAnsi="Verdana" w:cs="Century Gothic"/>
          <w:sz w:val="20"/>
          <w:szCs w:val="20"/>
        </w:rPr>
      </w:pPr>
      <w:r w:rsidRPr="00D23C30">
        <w:rPr>
          <w:rFonts w:ascii="Verdana" w:eastAsia="Century Gothic" w:hAnsi="Verdana" w:cs="Century Gothic"/>
          <w:sz w:val="20"/>
          <w:szCs w:val="20"/>
        </w:rPr>
        <w:t xml:space="preserve">2. De ser negativa la respuesta anterior solicitamos incluir los soportes de viabilidad jurídica y legal para la suscripción de contratos de arrendamiento, máxime cuando se trata de una modalidad de contratación directa. </w:t>
      </w:r>
    </w:p>
    <w:p w14:paraId="1A0393DA" w14:textId="77777777" w:rsidR="005F5D0F" w:rsidRDefault="005F5D0F" w:rsidP="005F5D0F">
      <w:pPr>
        <w:spacing w:after="0" w:line="240" w:lineRule="auto"/>
        <w:ind w:left="709" w:right="709"/>
        <w:jc w:val="both"/>
        <w:rPr>
          <w:rFonts w:ascii="Verdana" w:eastAsia="Century Gothic" w:hAnsi="Verdana" w:cs="Century Gothic"/>
          <w:sz w:val="20"/>
          <w:szCs w:val="20"/>
        </w:rPr>
      </w:pPr>
    </w:p>
    <w:p w14:paraId="164BDB8E" w14:textId="77777777" w:rsidR="005F5D0F" w:rsidRPr="00617A31" w:rsidRDefault="005F5D0F" w:rsidP="005F5D0F">
      <w:pPr>
        <w:spacing w:after="0" w:line="240" w:lineRule="auto"/>
        <w:ind w:left="709" w:right="709"/>
        <w:jc w:val="both"/>
        <w:rPr>
          <w:rFonts w:ascii="Verdana" w:eastAsia="Century Gothic" w:hAnsi="Verdana" w:cs="Century Gothic"/>
          <w:sz w:val="20"/>
          <w:szCs w:val="20"/>
        </w:rPr>
      </w:pPr>
      <w:r w:rsidRPr="00D23C30">
        <w:rPr>
          <w:rFonts w:ascii="Verdana" w:eastAsia="Century Gothic" w:hAnsi="Verdana" w:cs="Century Gothic"/>
          <w:sz w:val="20"/>
          <w:szCs w:val="20"/>
        </w:rPr>
        <w:t>3. Solicitamos se indiquen las condiciones y limitaciones que deben considerarse para evitar extralimitaciones en el ejercicio de las facultades de contratación directa, en cumplimiento con los principios de legalidad, transparencia y buena fe administrativa.</w:t>
      </w:r>
      <w:r>
        <w:rPr>
          <w:rFonts w:ascii="Verdana" w:eastAsia="Century Gothic" w:hAnsi="Verdana" w:cs="Century Gothic"/>
          <w:sz w:val="20"/>
          <w:szCs w:val="20"/>
        </w:rPr>
        <w:t>”</w:t>
      </w:r>
    </w:p>
    <w:p w14:paraId="77328364" w14:textId="77777777" w:rsidR="005F5D0F" w:rsidRPr="008E4F36" w:rsidRDefault="005F5D0F" w:rsidP="005F5D0F">
      <w:pPr>
        <w:spacing w:after="0" w:line="240" w:lineRule="auto"/>
        <w:ind w:left="709" w:right="709"/>
        <w:jc w:val="both"/>
        <w:rPr>
          <w:rFonts w:ascii="Verdana" w:hAnsi="Verdana"/>
          <w:sz w:val="20"/>
          <w:szCs w:val="20"/>
        </w:rPr>
      </w:pPr>
    </w:p>
    <w:p w14:paraId="67E784FE" w14:textId="77777777" w:rsidR="005F5D0F" w:rsidRDefault="005F5D0F" w:rsidP="005F5D0F">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7E5F33E" w14:textId="77777777" w:rsidR="005F5D0F" w:rsidRPr="00054383" w:rsidRDefault="005F5D0F" w:rsidP="005F5D0F">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0BB16BBE" w14:textId="77777777" w:rsidR="005F5D0F" w:rsidRPr="008E4F36" w:rsidRDefault="005F5D0F" w:rsidP="005F5D0F">
      <w:pPr>
        <w:spacing w:after="0"/>
        <w:ind w:firstLine="709"/>
        <w:jc w:val="both"/>
        <w:rPr>
          <w:rFonts w:ascii="Verdana" w:eastAsia="Calibri" w:hAnsi="Verdana" w:cs="Arial"/>
          <w:color w:val="000000"/>
          <w:lang w:eastAsia="es-ES"/>
        </w:rPr>
      </w:pPr>
    </w:p>
    <w:p w14:paraId="307EFFD0" w14:textId="77777777" w:rsidR="005F5D0F" w:rsidRDefault="005F5D0F" w:rsidP="005F5D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1328935A" w14:textId="77777777" w:rsidR="005F5D0F" w:rsidRDefault="005F5D0F" w:rsidP="005F5D0F">
      <w:pPr>
        <w:spacing w:after="0" w:line="276" w:lineRule="auto"/>
        <w:jc w:val="both"/>
        <w:rPr>
          <w:rFonts w:ascii="Verdana" w:eastAsia="Calibri" w:hAnsi="Verdana" w:cs="Arial"/>
          <w:color w:val="000000"/>
          <w:highlight w:val="yellow"/>
          <w:lang w:eastAsia="es-ES"/>
        </w:rPr>
      </w:pPr>
    </w:p>
    <w:p w14:paraId="16A98D6F" w14:textId="7F74155D" w:rsidR="005F5D0F" w:rsidRPr="005A3B40" w:rsidRDefault="005F5D0F" w:rsidP="005F5D0F">
      <w:pPr>
        <w:spacing w:after="0" w:line="276" w:lineRule="auto"/>
        <w:jc w:val="both"/>
        <w:rPr>
          <w:rFonts w:ascii="Verdana" w:eastAsia="Calibri" w:hAnsi="Verdana" w:cs="Arial"/>
          <w:color w:val="000000"/>
          <w:lang w:eastAsia="es-ES"/>
        </w:rPr>
      </w:pPr>
      <w:r w:rsidRPr="00CB2AFF">
        <w:rPr>
          <w:rFonts w:ascii="Verdana" w:eastAsia="Calibri" w:hAnsi="Verdana" w:cs="Arial"/>
          <w:color w:val="000000"/>
          <w:lang w:eastAsia="es-ES"/>
        </w:rPr>
        <w:t xml:space="preserve">De acuerdo con el contenido de su solicitud, esta Agencia resolverá el siguiente problema jurídico: </w:t>
      </w:r>
      <w:r>
        <w:rPr>
          <w:rFonts w:ascii="Verdana" w:eastAsia="Calibri" w:hAnsi="Verdana" w:cs="Arial"/>
          <w:color w:val="000000"/>
          <w:lang w:eastAsia="es-ES"/>
        </w:rPr>
        <w:t xml:space="preserve">i) </w:t>
      </w:r>
      <w:r w:rsidRPr="00ED6367">
        <w:rPr>
          <w:rFonts w:ascii="Verdana" w:eastAsia="Calibri" w:hAnsi="Verdana" w:cs="Arial"/>
          <w:color w:val="000000"/>
          <w:lang w:eastAsia="es-ES"/>
        </w:rPr>
        <w:t>¿Son aplicables las restricciones del artículo 33 de la Ley 996 de 2005 (Ley de Garantías Electorales) a los contratos de arrendamiento?”</w:t>
      </w:r>
    </w:p>
    <w:p w14:paraId="01A39579" w14:textId="77777777" w:rsidR="005F5D0F" w:rsidRPr="007C530A" w:rsidRDefault="005F5D0F" w:rsidP="005F5D0F">
      <w:pPr>
        <w:spacing w:after="0" w:line="276" w:lineRule="auto"/>
        <w:jc w:val="both"/>
        <w:rPr>
          <w:rFonts w:ascii="Verdana" w:eastAsia="Calibri" w:hAnsi="Verdana" w:cs="Times New Roman"/>
          <w:lang w:val="es-ES"/>
        </w:rPr>
      </w:pPr>
    </w:p>
    <w:p w14:paraId="7BA9F4A2" w14:textId="77777777" w:rsidR="005F5D0F" w:rsidRPr="008E4F36" w:rsidRDefault="005F5D0F" w:rsidP="005F5D0F">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421AD51A" w14:textId="77777777" w:rsidR="005F5D0F" w:rsidRPr="008E4F36" w:rsidRDefault="005F5D0F" w:rsidP="005F5D0F">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5F5D0F" w:rsidRPr="008E4F36" w14:paraId="7B3974DE" w14:textId="77777777" w:rsidTr="00A024CB">
        <w:tc>
          <w:tcPr>
            <w:tcW w:w="8828" w:type="dxa"/>
          </w:tcPr>
          <w:p w14:paraId="2589374F" w14:textId="77777777" w:rsidR="00FC5AB5" w:rsidRDefault="00FC5AB5" w:rsidP="00FC5AB5">
            <w:pPr>
              <w:spacing w:after="120" w:line="276" w:lineRule="auto"/>
              <w:jc w:val="both"/>
              <w:rPr>
                <w:rFonts w:ascii="Verdana" w:eastAsia="Times New Roman" w:hAnsi="Verdana" w:cs="Arial"/>
                <w:lang w:eastAsia="x-none"/>
              </w:rPr>
            </w:pPr>
            <w:bookmarkStart w:id="4" w:name="_Hlk78818702"/>
            <w:r>
              <w:rPr>
                <w:rFonts w:ascii="Verdana" w:eastAsia="Times New Roman" w:hAnsi="Verdana" w:cs="Arial"/>
                <w:lang w:eastAsia="x-none"/>
              </w:rPr>
              <w:t>L</w:t>
            </w:r>
            <w:r w:rsidRPr="00F02C5A">
              <w:rPr>
                <w:rFonts w:ascii="Verdana" w:eastAsia="Times New Roman" w:hAnsi="Verdana" w:cs="Arial"/>
                <w:lang w:eastAsia="x-none"/>
              </w:rPr>
              <w:t xml:space="preserve">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w:t>
            </w:r>
            <w:r w:rsidRPr="00F02C5A">
              <w:rPr>
                <w:rFonts w:ascii="Verdana" w:eastAsia="Times New Roman" w:hAnsi="Verdana" w:cs="Arial"/>
                <w:lang w:eastAsia="x-none"/>
              </w:rPr>
              <w:lastRenderedPageBreak/>
              <w:t>la selección abreviada y el concurso de méritos u otros previstos en normas especiales.</w:t>
            </w:r>
            <w:bookmarkEnd w:id="4"/>
          </w:p>
          <w:p w14:paraId="7315298D" w14:textId="2E98A220" w:rsidR="00CE0D5C" w:rsidRDefault="00FC5AB5" w:rsidP="00FC5AB5">
            <w:pPr>
              <w:spacing w:after="120" w:line="276" w:lineRule="auto"/>
              <w:jc w:val="both"/>
              <w:rPr>
                <w:rFonts w:ascii="Verdana" w:eastAsia="Times New Roman" w:hAnsi="Verdana" w:cs="Arial"/>
                <w:lang w:eastAsia="x-none"/>
              </w:rPr>
            </w:pPr>
            <w:r>
              <w:rPr>
                <w:rFonts w:ascii="Verdana" w:eastAsia="Times New Roman" w:hAnsi="Verdana" w:cs="Arial"/>
                <w:lang w:eastAsia="x-none"/>
              </w:rPr>
              <w:t xml:space="preserve">Por tanto, teniendo en cuenta que </w:t>
            </w:r>
            <w:r w:rsidRPr="00F81DDB">
              <w:rPr>
                <w:rFonts w:ascii="Verdana" w:eastAsia="Times New Roman" w:hAnsi="Verdana" w:cs="Arial"/>
                <w:lang w:eastAsia="x-none"/>
              </w:rPr>
              <w:t>el literal i) del numeral 4° del artículo 2º de la Ley 1150 de 2007 establece que una de las causales de este procedimiento es: “i) El arrendamiento o adquisición de inmuebles”</w:t>
            </w:r>
            <w:r>
              <w:rPr>
                <w:rFonts w:ascii="Verdana" w:eastAsia="Times New Roman" w:hAnsi="Verdana" w:cs="Arial"/>
                <w:lang w:eastAsia="x-none"/>
              </w:rPr>
              <w:t>; y a</w:t>
            </w:r>
            <w:r w:rsidRPr="00F81DDB">
              <w:rPr>
                <w:rFonts w:ascii="Verdana" w:eastAsia="Times New Roman" w:hAnsi="Verdana" w:cs="Arial"/>
                <w:lang w:eastAsia="x-none"/>
              </w:rPr>
              <w:t>dicionalmente, el artículo 2.2.1.2.1.4.11 del Decreto 1082 de 2015 dispone que las Entidades Estatales pueden alquilar o arrendar inmuebles mediante contratación directa</w:t>
            </w:r>
            <w:r>
              <w:rPr>
                <w:rFonts w:ascii="Verdana" w:eastAsia="Times New Roman" w:hAnsi="Verdana" w:cs="Arial"/>
                <w:lang w:eastAsia="x-none"/>
              </w:rPr>
              <w:t>; esta contratación al ser directa se encuentra cobijada por la prohibición del artículo 33 de la Ley de Garantías Electorales, ya que como se señaló en el párrafo anterior, la prohibición es amplia y aplica a toda la contratación que no implique convocatoria pública.</w:t>
            </w:r>
          </w:p>
          <w:p w14:paraId="7479AEF2" w14:textId="77777777" w:rsidR="005F5D0F" w:rsidRPr="002C21F5" w:rsidRDefault="005F5D0F" w:rsidP="00A024CB">
            <w:pPr>
              <w:spacing w:line="276" w:lineRule="auto"/>
              <w:ind w:firstLine="709"/>
              <w:jc w:val="both"/>
              <w:rPr>
                <w:rFonts w:ascii="Verdana" w:eastAsia="Calibri" w:hAnsi="Verdana" w:cs="Arial"/>
                <w:color w:val="000000" w:themeColor="text1"/>
              </w:rPr>
            </w:pPr>
            <w:r>
              <w:rPr>
                <w:rFonts w:ascii="Verdana" w:eastAsia="Calibri" w:hAnsi="Verdana" w:cs="Arial"/>
              </w:rPr>
              <w:t xml:space="preserve">Finalmente, </w:t>
            </w:r>
            <w:r w:rsidRPr="005E4C47">
              <w:rPr>
                <w:rFonts w:ascii="Verdana" w:eastAsia="Calibri" w:hAnsi="Verdana" w:cs="Arial"/>
                <w:color w:val="000000" w:themeColor="text1"/>
              </w:rPr>
              <w:t xml:space="preserve">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66456BB2" w14:textId="77777777" w:rsidR="005F5D0F" w:rsidRDefault="005F5D0F" w:rsidP="005F5D0F">
      <w:pPr>
        <w:tabs>
          <w:tab w:val="left" w:pos="142"/>
          <w:tab w:val="left" w:pos="284"/>
        </w:tabs>
        <w:spacing w:after="0" w:line="276" w:lineRule="auto"/>
        <w:jc w:val="both"/>
        <w:rPr>
          <w:rFonts w:ascii="Verdana" w:eastAsia="Century Gothic" w:hAnsi="Verdana" w:cs="Century Gothic"/>
          <w:b/>
          <w:bCs/>
        </w:rPr>
      </w:pPr>
    </w:p>
    <w:p w14:paraId="10418008" w14:textId="77777777" w:rsidR="005F5D0F" w:rsidRPr="008E4F36" w:rsidRDefault="005F5D0F" w:rsidP="005F5D0F">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3BD969C1" w14:textId="77777777" w:rsidR="005F5D0F" w:rsidRDefault="005F5D0F" w:rsidP="005F5D0F">
      <w:pPr>
        <w:pStyle w:val="Prrafodelista"/>
        <w:tabs>
          <w:tab w:val="left" w:pos="142"/>
          <w:tab w:val="left" w:pos="284"/>
        </w:tabs>
        <w:spacing w:after="0" w:line="276" w:lineRule="auto"/>
        <w:ind w:left="0"/>
        <w:contextualSpacing w:val="0"/>
        <w:jc w:val="both"/>
        <w:rPr>
          <w:rFonts w:ascii="Verdana" w:eastAsia="Calibri" w:hAnsi="Verdana" w:cs="Arial"/>
        </w:rPr>
      </w:pPr>
    </w:p>
    <w:p w14:paraId="1EBAE975" w14:textId="77777777" w:rsidR="005F5D0F" w:rsidRDefault="005F5D0F" w:rsidP="005F5D0F">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039AE6E7" w14:textId="77777777" w:rsidR="005F5D0F" w:rsidRDefault="005F5D0F" w:rsidP="005F5D0F">
      <w:pPr>
        <w:pStyle w:val="Prrafodelista"/>
        <w:tabs>
          <w:tab w:val="left" w:pos="142"/>
          <w:tab w:val="left" w:pos="284"/>
        </w:tabs>
        <w:spacing w:after="0" w:line="276" w:lineRule="auto"/>
        <w:ind w:left="0"/>
        <w:contextualSpacing w:val="0"/>
        <w:jc w:val="both"/>
        <w:rPr>
          <w:rFonts w:ascii="Verdana" w:eastAsia="Calibri" w:hAnsi="Verdana" w:cs="Arial"/>
        </w:rPr>
      </w:pPr>
    </w:p>
    <w:p w14:paraId="4C1ADC7C" w14:textId="77777777" w:rsidR="00CC2197" w:rsidRPr="00F02C5A" w:rsidRDefault="005F5D0F" w:rsidP="00CC2197">
      <w:pPr>
        <w:spacing w:after="0" w:line="276" w:lineRule="auto"/>
        <w:contextualSpacing/>
        <w:jc w:val="both"/>
        <w:rPr>
          <w:rFonts w:ascii="Verdana" w:eastAsia="Times New Roman" w:hAnsi="Verdana" w:cs="Arial"/>
          <w:lang w:val="es-MX" w:eastAsia="es-CO"/>
        </w:rPr>
      </w:pPr>
      <w:r w:rsidRPr="002D6B43">
        <w:rPr>
          <w:rFonts w:ascii="Verdana" w:eastAsia="Calibri" w:hAnsi="Verdana" w:cs="Arial"/>
        </w:rPr>
        <w:t xml:space="preserve">i. </w:t>
      </w:r>
      <w:r w:rsidR="00CC2197" w:rsidRPr="00F02C5A">
        <w:rPr>
          <w:rFonts w:ascii="Verdana" w:eastAsia="Times New Roman" w:hAnsi="Verdana" w:cs="Arial"/>
          <w:lang w:val="es-MX" w:eastAsia="x-none"/>
        </w:rPr>
        <w:t xml:space="preserve">El ámbito material de la prohibición contenida </w:t>
      </w:r>
      <w:bookmarkStart w:id="5" w:name="_Hlk75628761"/>
      <w:r w:rsidR="00CC2197" w:rsidRPr="00F02C5A">
        <w:rPr>
          <w:rFonts w:ascii="Verdana" w:eastAsia="Times New Roman" w:hAnsi="Verdana" w:cs="Arial"/>
          <w:lang w:val="es-MX" w:eastAsia="x-none"/>
        </w:rPr>
        <w:t xml:space="preserve">en el artículo 33 de la Ley 996 de 2005 </w:t>
      </w:r>
      <w:bookmarkEnd w:id="5"/>
      <w:r w:rsidR="00CC2197" w:rsidRPr="00F02C5A">
        <w:rPr>
          <w:rFonts w:ascii="Verdana" w:eastAsia="Times New Roman" w:hAnsi="Verdana" w:cs="Arial"/>
          <w:lang w:val="es-MX" w:eastAsia="x-none"/>
        </w:rPr>
        <w:t xml:space="preserve">está delimitado por la expresión </w:t>
      </w:r>
      <w:r w:rsidR="00CC2197" w:rsidRPr="00F02C5A">
        <w:rPr>
          <w:rFonts w:ascii="Verdana" w:eastAsia="Calibri" w:hAnsi="Verdana" w:cs="Arial"/>
          <w:sz w:val="20"/>
          <w:szCs w:val="20"/>
          <w:lang w:val="es-MX"/>
        </w:rPr>
        <w:t>“</w:t>
      </w:r>
      <w:r w:rsidR="00CC2197" w:rsidRPr="00F02C5A">
        <w:rPr>
          <w:rFonts w:ascii="Verdana" w:eastAsia="Times New Roman" w:hAnsi="Verdana" w:cs="Arial"/>
          <w:lang w:val="es-MX" w:eastAsia="x-none"/>
        </w:rPr>
        <w:t>queda prohibida la contratación directa</w:t>
      </w:r>
      <w:r w:rsidR="00CC2197" w:rsidRPr="00F02C5A">
        <w:rPr>
          <w:rFonts w:ascii="Verdana" w:eastAsia="Calibri" w:hAnsi="Verdana" w:cs="Arial"/>
          <w:sz w:val="20"/>
          <w:szCs w:val="20"/>
          <w:lang w:val="es-MX"/>
        </w:rPr>
        <w:t>”</w:t>
      </w:r>
      <w:r w:rsidR="00CC2197" w:rsidRPr="00F02C5A">
        <w:rPr>
          <w:rFonts w:ascii="Verdana" w:eastAsia="Times New Roman" w:hAnsi="Verdana" w:cs="Arial"/>
          <w:lang w:val="es-MX" w:eastAsia="x-none"/>
        </w:rPr>
        <w:t>.</w:t>
      </w:r>
      <w:r w:rsidR="00CC2197" w:rsidRPr="00F02C5A">
        <w:rPr>
          <w:rFonts w:ascii="Verdana" w:eastAsia="Times New Roman" w:hAnsi="Verdana" w:cs="Arial"/>
          <w:lang w:val="es-MX" w:eastAsia="es-CO"/>
        </w:rPr>
        <w:t xml:space="preserve"> A propósito de </w:t>
      </w:r>
      <w:r w:rsidR="00CC2197" w:rsidRPr="00F02C5A">
        <w:rPr>
          <w:rFonts w:ascii="Verdana" w:eastAsia="Times New Roman" w:hAnsi="Verdana" w:cs="Arial"/>
          <w:lang w:eastAsia="es-CO"/>
        </w:rPr>
        <w:t>esta restricción de la Ley de Garantías Electorales, la Sala de Consulta y Servicio Civil del Consejo de Estado ha considerado que:</w:t>
      </w:r>
    </w:p>
    <w:p w14:paraId="3D896228" w14:textId="77777777" w:rsidR="00CC2197" w:rsidRPr="00F02C5A" w:rsidRDefault="00CC2197" w:rsidP="00CC2197">
      <w:pPr>
        <w:spacing w:after="0" w:line="276" w:lineRule="auto"/>
        <w:ind w:left="708" w:right="709"/>
        <w:contextualSpacing/>
        <w:jc w:val="both"/>
        <w:rPr>
          <w:rFonts w:ascii="Verdana" w:eastAsia="Calibri" w:hAnsi="Verdana" w:cs="Arial"/>
          <w:sz w:val="21"/>
          <w:szCs w:val="21"/>
          <w:lang w:val="es-MX"/>
        </w:rPr>
      </w:pPr>
    </w:p>
    <w:p w14:paraId="5A875B97" w14:textId="77777777" w:rsidR="00CC2197" w:rsidRPr="00F02C5A" w:rsidRDefault="00CC2197" w:rsidP="00CC2197">
      <w:pPr>
        <w:spacing w:after="0" w:line="240" w:lineRule="auto"/>
        <w:ind w:left="709"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w:t>
      </w:r>
      <w:r w:rsidRPr="00F02C5A">
        <w:rPr>
          <w:rFonts w:ascii="Verdana" w:eastAsia="Calibri" w:hAnsi="Verdana" w:cs="Arial"/>
          <w:sz w:val="21"/>
          <w:szCs w:val="21"/>
          <w:lang w:val="es-MX"/>
        </w:rPr>
        <w:lastRenderedPageBreak/>
        <w:t>(numeral 4, artículo 2, ley 1150 de 2007), y cumpliendo siempre los principios que rigen la contratación pública</w:t>
      </w:r>
      <w:r w:rsidRPr="00F02C5A">
        <w:rPr>
          <w:rFonts w:ascii="Verdana" w:eastAsia="Times New Roman" w:hAnsi="Verdana" w:cs="Arial"/>
          <w:vertAlign w:val="superscript"/>
          <w:lang w:eastAsia="es-CO"/>
        </w:rPr>
        <w:footnoteReference w:id="1"/>
      </w:r>
      <w:r w:rsidRPr="00F02C5A">
        <w:rPr>
          <w:rFonts w:ascii="Verdana" w:eastAsia="Calibri" w:hAnsi="Verdana" w:cs="Arial"/>
          <w:sz w:val="21"/>
          <w:szCs w:val="21"/>
          <w:lang w:val="es-MX"/>
        </w:rPr>
        <w:t>.</w:t>
      </w:r>
    </w:p>
    <w:p w14:paraId="15D19F80" w14:textId="77777777" w:rsidR="00CC2197" w:rsidRPr="00F02C5A" w:rsidRDefault="00CC2197" w:rsidP="00CC2197">
      <w:pPr>
        <w:spacing w:after="0" w:line="240" w:lineRule="auto"/>
        <w:ind w:left="709" w:right="709"/>
        <w:contextualSpacing/>
        <w:jc w:val="both"/>
        <w:rPr>
          <w:rFonts w:ascii="Verdana" w:eastAsia="Calibri" w:hAnsi="Verdana" w:cs="Arial"/>
          <w:sz w:val="12"/>
          <w:szCs w:val="12"/>
          <w:lang w:val="es-MX"/>
        </w:rPr>
      </w:pPr>
    </w:p>
    <w:p w14:paraId="25E0BDB4" w14:textId="77777777" w:rsidR="00CC2197" w:rsidRPr="00F02C5A" w:rsidRDefault="00CC2197" w:rsidP="00CC2197">
      <w:pPr>
        <w:spacing w:after="0" w:line="240" w:lineRule="auto"/>
        <w:ind w:left="708"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Esta Sala ha entendido </w:t>
      </w:r>
      <w:proofErr w:type="gramStart"/>
      <w:r w:rsidRPr="00F02C5A">
        <w:rPr>
          <w:rFonts w:ascii="Verdana" w:eastAsia="Calibri" w:hAnsi="Verdana" w:cs="Arial"/>
          <w:sz w:val="21"/>
          <w:szCs w:val="21"/>
          <w:lang w:val="es-MX"/>
        </w:rPr>
        <w:t>que</w:t>
      </w:r>
      <w:proofErr w:type="gramEnd"/>
      <w:r w:rsidRPr="00F02C5A">
        <w:rPr>
          <w:rFonts w:ascii="Verdana" w:eastAsia="Calibri" w:hAnsi="Verdana" w:cs="Arial"/>
          <w:sz w:val="21"/>
          <w:szCs w:val="21"/>
          <w:lang w:val="es-MX"/>
        </w:rPr>
        <w:t xml:space="preserve"> para los efectos de la ley de garantías, y dada su finalidad, el enunciado ´contratación directa´ es sinónimo </w:t>
      </w:r>
      <w:bookmarkStart w:id="6" w:name="_Hlk75741738"/>
      <w:r w:rsidRPr="00F02C5A">
        <w:rPr>
          <w:rFonts w:ascii="Verdana" w:eastAsia="Calibri" w:hAnsi="Verdana" w:cs="Arial"/>
          <w:sz w:val="21"/>
          <w:szCs w:val="21"/>
          <w:lang w:val="es-MX"/>
        </w:rPr>
        <w:t xml:space="preserve">de cualquier sistema que no implique convocatoria pública y posibilidad de pluralidad de oferentes, </w:t>
      </w:r>
      <w:bookmarkEnd w:id="6"/>
      <w:r w:rsidRPr="00F02C5A">
        <w:rPr>
          <w:rFonts w:ascii="Verdana" w:eastAsia="Calibri" w:hAnsi="Verdana" w:cs="Arial"/>
          <w:sz w:val="21"/>
          <w:szCs w:val="21"/>
          <w:lang w:val="es-MX"/>
        </w:rPr>
        <w:t>y que, además, no necesariamente hace referencia al procedimiento especial regulado por la ley de contratación estatal, sino a cualquier otro que prescinda de un proceso de licitación pública o concurso</w:t>
      </w:r>
      <w:r w:rsidRPr="00F02C5A">
        <w:rPr>
          <w:rFonts w:ascii="Verdana" w:eastAsia="Times New Roman" w:hAnsi="Verdana" w:cs="Arial"/>
          <w:sz w:val="21"/>
          <w:szCs w:val="21"/>
          <w:vertAlign w:val="superscript"/>
          <w:lang w:val="es-MX"/>
        </w:rPr>
        <w:footnoteReference w:id="2"/>
      </w:r>
      <w:r w:rsidRPr="00F02C5A">
        <w:rPr>
          <w:rFonts w:ascii="Verdana" w:eastAsia="Times New Roman" w:hAnsi="Verdana" w:cs="Arial"/>
          <w:sz w:val="21"/>
          <w:szCs w:val="21"/>
          <w:vertAlign w:val="superscript"/>
          <w:lang w:val="es-MX"/>
        </w:rPr>
        <w:t>.</w:t>
      </w:r>
      <w:r w:rsidRPr="00F02C5A">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02C5A">
        <w:rPr>
          <w:rFonts w:ascii="Verdana" w:eastAsia="Times New Roman" w:hAnsi="Verdana" w:cs="Arial"/>
          <w:vertAlign w:val="superscript"/>
          <w:lang w:eastAsia="es-CO"/>
        </w:rPr>
        <w:footnoteReference w:id="3"/>
      </w:r>
      <w:r w:rsidRPr="00F02C5A">
        <w:rPr>
          <w:rFonts w:ascii="Verdana" w:eastAsia="Calibri" w:hAnsi="Verdana" w:cs="Arial"/>
          <w:sz w:val="21"/>
          <w:szCs w:val="21"/>
          <w:lang w:val="es-MX"/>
        </w:rPr>
        <w:t xml:space="preserve"> .</w:t>
      </w:r>
    </w:p>
    <w:p w14:paraId="39DA71D1" w14:textId="77777777" w:rsidR="00CC2197" w:rsidRPr="00F02C5A" w:rsidRDefault="00CC2197" w:rsidP="00CC2197">
      <w:pPr>
        <w:shd w:val="clear" w:color="auto" w:fill="FFFFFF"/>
        <w:spacing w:after="0" w:line="276" w:lineRule="auto"/>
        <w:ind w:firstLine="709"/>
        <w:contextualSpacing/>
        <w:jc w:val="both"/>
        <w:rPr>
          <w:rFonts w:ascii="Verdana" w:eastAsia="Times New Roman" w:hAnsi="Verdana" w:cs="Arial"/>
          <w:lang w:eastAsia="x-none"/>
        </w:rPr>
      </w:pPr>
    </w:p>
    <w:p w14:paraId="0C4D2716" w14:textId="77777777" w:rsidR="00CC2197" w:rsidRPr="00F02C5A" w:rsidRDefault="00CC2197" w:rsidP="00CC2197">
      <w:pPr>
        <w:spacing w:after="120" w:line="276" w:lineRule="auto"/>
        <w:ind w:firstLine="709"/>
        <w:jc w:val="both"/>
        <w:rPr>
          <w:rFonts w:ascii="Verdana" w:eastAsia="Times New Roman" w:hAnsi="Verdana" w:cs="Arial"/>
          <w:lang w:eastAsia="x-none"/>
        </w:rPr>
      </w:pPr>
      <w:bookmarkStart w:id="8"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8"/>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4"/>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5"/>
      </w:r>
      <w:r w:rsidRPr="00F02C5A">
        <w:rPr>
          <w:rFonts w:ascii="Verdana" w:eastAsia="Times New Roman" w:hAnsi="Verdana" w:cs="Arial"/>
          <w:lang w:eastAsia="x-none"/>
        </w:rPr>
        <w:t xml:space="preserve">. </w:t>
      </w:r>
    </w:p>
    <w:p w14:paraId="06E12766" w14:textId="77777777" w:rsidR="00CC2197" w:rsidRPr="00F02C5A" w:rsidRDefault="00CC2197" w:rsidP="00CC2197">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w:t>
      </w:r>
      <w:r w:rsidRPr="00F02C5A">
        <w:rPr>
          <w:rFonts w:ascii="Verdana" w:eastAsia="Times New Roman" w:hAnsi="Verdana" w:cs="Arial"/>
          <w:lang w:eastAsia="x-none"/>
        </w:rPr>
        <w:lastRenderedPageBreak/>
        <w:t>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6"/>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06B13492" w14:textId="77777777" w:rsidR="00CC2197" w:rsidRPr="00F02C5A" w:rsidRDefault="00CC2197" w:rsidP="00CC2197">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9"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9"/>
      <w:r w:rsidRPr="00F02C5A">
        <w:rPr>
          <w:rFonts w:ascii="Verdana" w:eastAsia="Times New Roman" w:hAnsi="Verdana" w:cs="Arial"/>
          <w:vertAlign w:val="superscript"/>
          <w:lang w:eastAsia="x-none"/>
        </w:rPr>
        <w:footnoteReference w:id="7"/>
      </w:r>
      <w:r w:rsidRPr="00F02C5A">
        <w:rPr>
          <w:rFonts w:ascii="Verdana" w:eastAsia="Times New Roman" w:hAnsi="Verdana" w:cs="Arial"/>
          <w:lang w:eastAsia="x-none"/>
        </w:rPr>
        <w:t xml:space="preserve">. </w:t>
      </w:r>
    </w:p>
    <w:p w14:paraId="573A8793" w14:textId="77777777" w:rsidR="00CC2197" w:rsidRPr="00F02C5A" w:rsidRDefault="00CC2197" w:rsidP="00CC2197">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7B6FF7A1" w14:textId="77777777" w:rsidR="00CC2197" w:rsidRPr="00F02C5A" w:rsidRDefault="00CC2197" w:rsidP="00CC2197">
      <w:pPr>
        <w:spacing w:after="120" w:line="276" w:lineRule="auto"/>
        <w:ind w:firstLine="709"/>
        <w:jc w:val="both"/>
        <w:rPr>
          <w:rFonts w:ascii="Verdana" w:eastAsia="Times New Roman" w:hAnsi="Verdana" w:cs="Arial"/>
          <w:lang w:val="es-MX" w:eastAsia="x-none"/>
        </w:rPr>
      </w:pPr>
      <w:bookmarkStart w:id="10" w:name="_Hlk78818796"/>
      <w:r w:rsidRPr="00F02C5A">
        <w:rPr>
          <w:rFonts w:ascii="Verdana" w:eastAsia="Times New Roman" w:hAnsi="Verdana" w:cs="Arial"/>
          <w:lang w:val="es-MX" w:eastAsia="x-none"/>
        </w:rPr>
        <w:t xml:space="preserve"> Así las cosas, </w:t>
      </w:r>
      <w:bookmarkStart w:id="11"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8"/>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10"/>
    <w:p w14:paraId="117BC48A" w14:textId="77777777" w:rsidR="00CC2197" w:rsidRPr="00F02C5A" w:rsidRDefault="00CC2197" w:rsidP="00CC2197">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lastRenderedPageBreak/>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42FAF15" w14:textId="77777777" w:rsidR="00CC2197" w:rsidRPr="00F02C5A" w:rsidRDefault="00CC2197" w:rsidP="00CC2197">
      <w:pPr>
        <w:spacing w:after="120" w:line="276" w:lineRule="auto"/>
        <w:ind w:firstLine="709"/>
        <w:jc w:val="both"/>
        <w:rPr>
          <w:rFonts w:ascii="Verdana" w:eastAsia="Times New Roman" w:hAnsi="Verdana" w:cs="Arial"/>
          <w:lang w:val="es-MX" w:eastAsia="x-none"/>
        </w:rPr>
      </w:pPr>
      <w:bookmarkStart w:id="12" w:name="_Hlk77237094"/>
      <w:bookmarkEnd w:id="11"/>
      <w:r w:rsidRPr="00F02C5A">
        <w:rPr>
          <w:rFonts w:ascii="Verdana" w:eastAsia="Times New Roman" w:hAnsi="Verdana" w:cs="Arial"/>
          <w:lang w:val="es-MX" w:eastAsia="es-CO"/>
        </w:rPr>
        <w:t xml:space="preserve">Como en otras oportunidades lo ha manifestado esta Agencia, las prórrogas, modificaciones o adiciones de los contratos suscritos antes de la </w:t>
      </w:r>
      <w:proofErr w:type="gramStart"/>
      <w:r w:rsidRPr="00F02C5A">
        <w:rPr>
          <w:rFonts w:ascii="Verdana" w:eastAsia="Times New Roman" w:hAnsi="Verdana" w:cs="Arial"/>
          <w:lang w:val="es-MX" w:eastAsia="es-CO"/>
        </w:rPr>
        <w:t>entrada en vigencia</w:t>
      </w:r>
      <w:proofErr w:type="gramEnd"/>
      <w:r w:rsidRPr="00F02C5A">
        <w:rPr>
          <w:rFonts w:ascii="Verdana" w:eastAsia="Times New Roman" w:hAnsi="Verdana" w:cs="Arial"/>
          <w:lang w:val="es-MX" w:eastAsia="es-CO"/>
        </w:rPr>
        <w:t xml:space="preserve"> de las prohibiciones anotadas, así como la cesión de </w:t>
      </w:r>
      <w:proofErr w:type="gramStart"/>
      <w:r w:rsidRPr="00F02C5A">
        <w:rPr>
          <w:rFonts w:ascii="Verdana" w:eastAsia="Times New Roman" w:hAnsi="Verdana" w:cs="Arial"/>
          <w:lang w:val="es-MX" w:eastAsia="es-CO"/>
        </w:rPr>
        <w:t>los mismos</w:t>
      </w:r>
      <w:proofErr w:type="gramEnd"/>
      <w:r w:rsidRPr="00F02C5A">
        <w:rPr>
          <w:rFonts w:ascii="Verdana" w:eastAsia="Times New Roman" w:hAnsi="Verdana" w:cs="Arial"/>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2"/>
    </w:p>
    <w:p w14:paraId="445CA75F" w14:textId="77777777" w:rsidR="00CC2197" w:rsidRPr="00F02C5A" w:rsidRDefault="00CC2197" w:rsidP="00CC2197">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13" w:name="_Hlk99577887"/>
      <w:bookmarkStart w:id="14" w:name="_Hlk100679762"/>
      <w:r w:rsidRPr="00F02C5A">
        <w:rPr>
          <w:rFonts w:ascii="Verdana" w:eastAsia="Times New Roman" w:hAnsi="Verdana" w:cs="Arial"/>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02C5A">
        <w:rPr>
          <w:rFonts w:ascii="Verdana" w:eastAsia="Times New Roman" w:hAnsi="Verdana" w:cs="Arial"/>
          <w:lang w:val="es-MX" w:eastAsia="x-none"/>
        </w:rPr>
        <w:t>ii</w:t>
      </w:r>
      <w:proofErr w:type="spellEnd"/>
      <w:r w:rsidRPr="00F02C5A">
        <w:rPr>
          <w:rFonts w:ascii="Verdana" w:eastAsia="Times New Roman" w:hAnsi="Verdana" w:cs="Arial"/>
          <w:lang w:val="es-MX" w:eastAsia="x-none"/>
        </w:rPr>
        <w:t xml:space="preserve">) los contratos de crédito público; </w:t>
      </w:r>
      <w:proofErr w:type="spellStart"/>
      <w:r w:rsidRPr="00F02C5A">
        <w:rPr>
          <w:rFonts w:ascii="Verdana" w:eastAsia="Times New Roman" w:hAnsi="Verdana" w:cs="Arial"/>
          <w:lang w:val="es-MX" w:eastAsia="x-none"/>
        </w:rPr>
        <w:t>iii</w:t>
      </w:r>
      <w:proofErr w:type="spellEnd"/>
      <w:r w:rsidRPr="00F02C5A">
        <w:rPr>
          <w:rFonts w:ascii="Verdana" w:eastAsia="Times New Roman" w:hAnsi="Verdana" w:cs="Arial"/>
          <w:lang w:val="es-MX" w:eastAsia="x-none"/>
        </w:rPr>
        <w:t xml:space="preserve">) los requeridos para cubrir las emergencias educativas, sanitarias y desastres; </w:t>
      </w:r>
      <w:proofErr w:type="spellStart"/>
      <w:r w:rsidRPr="00F02C5A">
        <w:rPr>
          <w:rFonts w:ascii="Verdana" w:eastAsia="Times New Roman" w:hAnsi="Verdana" w:cs="Arial"/>
          <w:lang w:val="es-MX" w:eastAsia="x-none"/>
        </w:rPr>
        <w:t>iv</w:t>
      </w:r>
      <w:proofErr w:type="spellEnd"/>
      <w:r w:rsidRPr="00F02C5A">
        <w:rPr>
          <w:rFonts w:ascii="Verdana" w:eastAsia="Times New Roman" w:hAnsi="Verdana" w:cs="Arial"/>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13"/>
    </w:p>
    <w:bookmarkEnd w:id="14"/>
    <w:p w14:paraId="318DD32F" w14:textId="77777777" w:rsidR="00CC2197" w:rsidRDefault="00CC2197" w:rsidP="00CC2197">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w:t>
      </w:r>
      <w:bookmarkStart w:id="15" w:name="_Hlk74309042"/>
      <w:r w:rsidRPr="00F02C5A">
        <w:rPr>
          <w:rFonts w:ascii="Verdana" w:eastAsia="Times New Roman" w:hAnsi="Verdana" w:cs="Arial"/>
          <w:lang w:val="es-MX" w:eastAsia="x-none"/>
        </w:rPr>
        <w:t>que “</w:t>
      </w:r>
      <w:bookmarkEnd w:id="15"/>
      <w:r w:rsidRPr="00F02C5A">
        <w:rPr>
          <w:rFonts w:ascii="Verdana" w:eastAsia="Times New Roman" w:hAnsi="Verdana" w:cs="Arial"/>
          <w:lang w:val="es-MX" w:eastAsia="x-none"/>
        </w:rPr>
        <w:t xml:space="preserve">si bien la limitación garantiza la igualdad de condiciones, también es necesario que tal limitación que pretende la igualdad </w:t>
      </w:r>
      <w:bookmarkStart w:id="16" w:name="_Hlk75768308"/>
      <w:r w:rsidRPr="00F02C5A">
        <w:rPr>
          <w:rFonts w:ascii="Verdana" w:eastAsia="Times New Roman" w:hAnsi="Verdana" w:cs="Arial"/>
          <w:lang w:val="es-MX" w:eastAsia="x-none"/>
        </w:rPr>
        <w:t xml:space="preserve">no termine yendo en detrimento de intereses públicos, cuya garantía está en cabeza del ejecutivo, como son los inmersos en </w:t>
      </w:r>
      <w:r w:rsidRPr="00F02C5A">
        <w:rPr>
          <w:rFonts w:ascii="Verdana" w:eastAsia="Times New Roman" w:hAnsi="Verdana" w:cs="Arial"/>
          <w:lang w:val="es-MX" w:eastAsia="x-none"/>
        </w:rPr>
        <w:lastRenderedPageBreak/>
        <w:t>las excepciones para la prohibición de contratación”</w:t>
      </w:r>
      <w:r w:rsidRPr="00F02C5A">
        <w:rPr>
          <w:rFonts w:ascii="Verdana" w:eastAsia="Calibri" w:hAnsi="Verdana" w:cs="Arial"/>
          <w:vertAlign w:val="superscript"/>
          <w:lang w:val="es-MX"/>
        </w:rPr>
        <w:footnoteReference w:id="9"/>
      </w:r>
      <w:r w:rsidRPr="00F02C5A">
        <w:rPr>
          <w:rFonts w:ascii="Verdana" w:eastAsia="Times New Roman" w:hAnsi="Verdana" w:cs="Arial"/>
          <w:lang w:val="es-MX" w:eastAsia="x-none"/>
        </w:rPr>
        <w:t xml:space="preserve">.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bookmarkEnd w:id="16"/>
    </w:p>
    <w:p w14:paraId="28EB8C97" w14:textId="77777777" w:rsidR="00CC2197" w:rsidRPr="00280722" w:rsidRDefault="00CC2197" w:rsidP="00CC2197">
      <w:pPr>
        <w:spacing w:after="120" w:line="276" w:lineRule="auto"/>
        <w:ind w:firstLine="708"/>
        <w:jc w:val="both"/>
        <w:rPr>
          <w:rFonts w:ascii="Verdana" w:hAnsi="Verdana" w:cs="Arial"/>
        </w:rPr>
      </w:pPr>
      <w:r>
        <w:rPr>
          <w:rFonts w:ascii="Verdana" w:eastAsia="Times New Roman" w:hAnsi="Verdana" w:cs="Arial"/>
          <w:lang w:val="es-MX" w:eastAsia="x-none"/>
        </w:rPr>
        <w:t xml:space="preserve">Por otra parte, </w:t>
      </w:r>
      <w:r>
        <w:rPr>
          <w:rFonts w:ascii="Verdana" w:eastAsia="Calibri" w:hAnsi="Verdana" w:cs="Arial"/>
          <w:color w:val="000000" w:themeColor="text1"/>
        </w:rPr>
        <w:t>t</w:t>
      </w:r>
      <w:r w:rsidRPr="009E0887">
        <w:rPr>
          <w:rFonts w:ascii="Verdana" w:eastAsia="Calibri" w:hAnsi="Verdana" w:cs="Arial"/>
          <w:color w:val="000000" w:themeColor="text1"/>
        </w:rPr>
        <w:t xml:space="preserve">eniendo en cuenta el objeto de su consulta, es pertinente indicar que </w:t>
      </w:r>
      <w:r w:rsidRPr="00280722">
        <w:rPr>
          <w:rFonts w:ascii="Verdana" w:hAnsi="Verdana" w:cs="Arial"/>
          <w:bCs/>
          <w:color w:val="000000" w:themeColor="text1"/>
          <w:lang w:val="es-ES"/>
        </w:rPr>
        <w:t>la Ley 80 de 1993</w:t>
      </w:r>
      <w:r w:rsidRPr="00280722">
        <w:rPr>
          <w:rFonts w:ascii="Verdana" w:hAnsi="Verdana" w:cs="Arial"/>
        </w:rPr>
        <w:t xml:space="preserve"> define los contratos estatales en el artículo 32 y establece un listado enunciativo de contratos estatales</w:t>
      </w:r>
      <w:r>
        <w:rPr>
          <w:rFonts w:ascii="Verdana" w:hAnsi="Verdana" w:cs="Arial"/>
        </w:rPr>
        <w:t xml:space="preserve">. </w:t>
      </w:r>
      <w:r w:rsidRPr="00C02EA0">
        <w:rPr>
          <w:rFonts w:ascii="Verdana" w:hAnsi="Verdana" w:cs="Arial"/>
        </w:rPr>
        <w:t>De acuerdo con esta disposición</w:t>
      </w:r>
      <w:r>
        <w:rPr>
          <w:rFonts w:ascii="Verdana" w:hAnsi="Verdana" w:cs="Arial"/>
        </w:rPr>
        <w:t>,</w:t>
      </w:r>
      <w:r w:rsidRPr="00C02EA0">
        <w:rPr>
          <w:rFonts w:ascii="Verdana" w:hAnsi="Verdana" w:cs="Arial"/>
        </w:rPr>
        <w:t xml:space="preserve"> todos los actos jurídicos, cualquiera que sea su denominación, que celebren las entidades a las que se refiere el EGCAP y que generen obligaciones, son contratos estatales</w:t>
      </w:r>
      <w:r w:rsidRPr="00C02EA0">
        <w:rPr>
          <w:rStyle w:val="Refdenotaalpie"/>
          <w:rFonts w:ascii="Verdana" w:hAnsi="Verdana" w:cs="Arial"/>
          <w:bCs/>
          <w:color w:val="000000" w:themeColor="text1"/>
        </w:rPr>
        <w:footnoteReference w:id="10"/>
      </w:r>
      <w:r w:rsidRPr="00C02EA0">
        <w:rPr>
          <w:rFonts w:ascii="Verdana" w:hAnsi="Verdana" w:cs="Arial"/>
        </w:rPr>
        <w:t xml:space="preserve">. </w:t>
      </w:r>
      <w:r>
        <w:rPr>
          <w:rFonts w:ascii="Verdana" w:hAnsi="Verdana" w:cs="Arial"/>
        </w:rPr>
        <w:t>E</w:t>
      </w:r>
      <w:r w:rsidRPr="00280722">
        <w:rPr>
          <w:rFonts w:ascii="Verdana" w:hAnsi="Verdana" w:cs="Arial"/>
        </w:rPr>
        <w:t>ntre</w:t>
      </w:r>
      <w:r>
        <w:rPr>
          <w:rFonts w:ascii="Verdana" w:hAnsi="Verdana" w:cs="Arial"/>
        </w:rPr>
        <w:t xml:space="preserve"> los contratos que enuncia el artículo 32 </w:t>
      </w:r>
      <w:r w:rsidRPr="00280722">
        <w:rPr>
          <w:rFonts w:ascii="Verdana" w:hAnsi="Verdana" w:cs="Arial"/>
          <w:i/>
          <w:iCs/>
        </w:rPr>
        <w:t>ibidem</w:t>
      </w:r>
      <w:r>
        <w:rPr>
          <w:rFonts w:ascii="Verdana" w:hAnsi="Verdana" w:cs="Arial"/>
        </w:rPr>
        <w:t xml:space="preserve"> </w:t>
      </w:r>
      <w:r w:rsidRPr="00280722">
        <w:rPr>
          <w:rFonts w:ascii="Verdana" w:hAnsi="Verdana" w:cs="Arial"/>
        </w:rPr>
        <w:t xml:space="preserve">se encuentran el contrato de obra, el contrato de consultoría, el contrato de prestación de servicios, el contrato de concesión y los encargos fiduciarios y fiducia pública. </w:t>
      </w:r>
    </w:p>
    <w:p w14:paraId="6F7D4083" w14:textId="77777777" w:rsidR="00CC2197" w:rsidRPr="00280722" w:rsidRDefault="00CC2197" w:rsidP="00CC2197">
      <w:pPr>
        <w:spacing w:after="120" w:line="276" w:lineRule="auto"/>
        <w:ind w:firstLine="708"/>
        <w:jc w:val="both"/>
        <w:rPr>
          <w:rFonts w:ascii="Verdana" w:hAnsi="Verdana" w:cs="Arial"/>
          <w:bCs/>
          <w:color w:val="000000" w:themeColor="text1"/>
          <w:lang w:val="es-ES"/>
        </w:rPr>
      </w:pPr>
      <w:r w:rsidRPr="00280722">
        <w:rPr>
          <w:rFonts w:ascii="Verdana" w:hAnsi="Verdana" w:cs="Arial"/>
          <w:lang w:eastAsia="es-MX"/>
        </w:rPr>
        <w:t>Aunque el contrato de arrendamiento no se encuentra dentro del listado enunciativo del</w:t>
      </w:r>
      <w:r w:rsidRPr="00280722">
        <w:rPr>
          <w:rFonts w:ascii="Verdana" w:hAnsi="Verdana" w:cs="Arial"/>
          <w:bCs/>
          <w:color w:val="000000" w:themeColor="text1"/>
          <w:lang w:val="es-ES"/>
        </w:rPr>
        <w:t xml:space="preserve"> artículo 32 de la Ley 80 de 1993, su regulación se encuentra en el Código Civil y en el Código de Comercio, principalmente, los artículos 1973 al 2078 del Código Civil que lo desarrollan. Pero 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w14:paraId="3320E29E" w14:textId="77777777" w:rsidR="00CC2197" w:rsidRPr="009E0887" w:rsidRDefault="00CC2197" w:rsidP="00CC2197">
      <w:pPr>
        <w:spacing w:after="120" w:line="276" w:lineRule="auto"/>
        <w:ind w:firstLine="708"/>
        <w:jc w:val="both"/>
        <w:rPr>
          <w:rFonts w:ascii="Verdana" w:eastAsia="Calibri" w:hAnsi="Verdana" w:cs="Arial"/>
          <w:color w:val="000000" w:themeColor="text1"/>
          <w:lang w:val="es-ES"/>
        </w:rPr>
      </w:pPr>
      <w:r w:rsidRPr="009E0887">
        <w:rPr>
          <w:rFonts w:ascii="Verdana" w:eastAsia="Calibri" w:hAnsi="Verdana" w:cs="Arial"/>
          <w:color w:val="000000" w:themeColor="text1"/>
        </w:rPr>
        <w:t xml:space="preserve">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w:t>
      </w:r>
      <w:r w:rsidRPr="009E0887">
        <w:rPr>
          <w:rFonts w:ascii="Verdana" w:eastAsia="Calibri" w:hAnsi="Verdana" w:cs="Arial"/>
          <w:color w:val="000000" w:themeColor="text1"/>
        </w:rPr>
        <w:lastRenderedPageBreak/>
        <w:t>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w14:paraId="0FA29926" w14:textId="77777777" w:rsidR="00CC2197" w:rsidRPr="009E0887" w:rsidRDefault="00CC2197" w:rsidP="00CC2197">
      <w:pPr>
        <w:spacing w:after="120" w:line="276" w:lineRule="auto"/>
        <w:ind w:firstLine="360"/>
        <w:jc w:val="both"/>
        <w:rPr>
          <w:rFonts w:ascii="Verdana" w:eastAsia="Calibri" w:hAnsi="Verdana" w:cs="Arial"/>
          <w:color w:val="000000" w:themeColor="text1"/>
        </w:rPr>
      </w:pPr>
      <w:r>
        <w:rPr>
          <w:rFonts w:ascii="Verdana" w:eastAsia="Calibri" w:hAnsi="Verdana" w:cs="Arial"/>
          <w:color w:val="000000" w:themeColor="text1"/>
        </w:rPr>
        <w:tab/>
      </w:r>
      <w:r w:rsidRPr="009E0887">
        <w:rPr>
          <w:rFonts w:ascii="Verdana" w:eastAsia="Calibri" w:hAnsi="Verdana" w:cs="Arial"/>
          <w:color w:val="000000" w:themeColor="text1"/>
        </w:rPr>
        <w:t xml:space="preserve">En cuanto a sus características, la doctrina ha indicado que el arrendamiento es un contrato: i) bilateral, pues ambas partes se obligan recíprocamente; </w:t>
      </w:r>
      <w:proofErr w:type="spellStart"/>
      <w:r w:rsidRPr="009E0887">
        <w:rPr>
          <w:rFonts w:ascii="Verdana" w:eastAsia="Calibri" w:hAnsi="Verdana" w:cs="Arial"/>
          <w:color w:val="000000" w:themeColor="text1"/>
        </w:rPr>
        <w:t>ii</w:t>
      </w:r>
      <w:proofErr w:type="spellEnd"/>
      <w:r w:rsidRPr="009E0887">
        <w:rPr>
          <w:rFonts w:ascii="Verdana" w:eastAsia="Calibri" w:hAnsi="Verdana" w:cs="Arial"/>
          <w:color w:val="000000" w:themeColor="text1"/>
        </w:rPr>
        <w:t xml:space="preserve">) consensual, dado que se perfecciona con el consentimiento; </w:t>
      </w:r>
      <w:proofErr w:type="spellStart"/>
      <w:r w:rsidRPr="009E0887">
        <w:rPr>
          <w:rFonts w:ascii="Verdana" w:eastAsia="Calibri" w:hAnsi="Verdana" w:cs="Arial"/>
          <w:color w:val="000000" w:themeColor="text1"/>
        </w:rPr>
        <w:t>iii</w:t>
      </w:r>
      <w:proofErr w:type="spellEnd"/>
      <w:r w:rsidRPr="009E0887">
        <w:rPr>
          <w:rFonts w:ascii="Verdana" w:eastAsia="Calibri" w:hAnsi="Verdana" w:cs="Arial"/>
          <w:color w:val="000000" w:themeColor="text1"/>
        </w:rPr>
        <w:t xml:space="preserve">) oneroso, ya que ambas partes obtienen utilidades –el arrendatario, el uso y goce del bien, y el arrendador la renta o canon–; </w:t>
      </w:r>
      <w:proofErr w:type="spellStart"/>
      <w:r w:rsidRPr="009E0887">
        <w:rPr>
          <w:rFonts w:ascii="Verdana" w:eastAsia="Calibri" w:hAnsi="Verdana" w:cs="Arial"/>
          <w:color w:val="000000" w:themeColor="text1"/>
        </w:rPr>
        <w:t>iv</w:t>
      </w:r>
      <w:proofErr w:type="spellEnd"/>
      <w:r w:rsidRPr="009E0887">
        <w:rPr>
          <w:rFonts w:ascii="Verdana" w:eastAsia="Calibri" w:hAnsi="Verdana" w:cs="Arial"/>
          <w:color w:val="000000" w:themeColor="text1"/>
        </w:rPr>
        <w:t>) de ejecución sucesiva, en la medida en que se ejecuta en forma periódica; v) principal, porque existe en forma autónoma; y v) nominado, porque está tipificado y desarrollado en la ley.</w:t>
      </w:r>
    </w:p>
    <w:p w14:paraId="6BDA00CC" w14:textId="77777777" w:rsidR="00CC2197" w:rsidRDefault="00CC2197" w:rsidP="00CC2197">
      <w:pPr>
        <w:spacing w:after="120" w:line="276" w:lineRule="auto"/>
        <w:ind w:firstLine="360"/>
        <w:jc w:val="both"/>
        <w:rPr>
          <w:rFonts w:ascii="Verdana" w:eastAsia="Calibri" w:hAnsi="Verdana" w:cs="Arial"/>
          <w:color w:val="000000" w:themeColor="text1"/>
        </w:rPr>
      </w:pPr>
      <w:r>
        <w:rPr>
          <w:rFonts w:ascii="Verdana" w:eastAsia="Calibri" w:hAnsi="Verdana" w:cs="Arial"/>
          <w:color w:val="000000" w:themeColor="text1"/>
        </w:rPr>
        <w:tab/>
      </w:r>
      <w:r w:rsidRPr="009E0887">
        <w:rPr>
          <w:rFonts w:ascii="Verdana" w:eastAsia="Calibri" w:hAnsi="Verdana" w:cs="Arial"/>
          <w:color w:val="000000" w:themeColor="text1"/>
        </w:rPr>
        <w:t xml:space="preserve">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w:t>
      </w:r>
      <w:r>
        <w:rPr>
          <w:rFonts w:ascii="Verdana" w:eastAsia="Calibri" w:hAnsi="Verdana" w:cs="Arial"/>
          <w:color w:val="000000" w:themeColor="text1"/>
        </w:rPr>
        <w:t>EGCAP</w:t>
      </w:r>
      <w:r w:rsidRPr="009E0887">
        <w:rPr>
          <w:rFonts w:ascii="Verdana" w:eastAsia="Calibri" w:hAnsi="Verdana" w:cs="Arial"/>
          <w:color w:val="000000" w:themeColor="text1"/>
        </w:rPr>
        <w:t xml:space="preserve">,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w:t>
      </w:r>
    </w:p>
    <w:p w14:paraId="255D8294" w14:textId="77777777" w:rsidR="00CC2197" w:rsidRDefault="00CC2197" w:rsidP="00CC2197">
      <w:pPr>
        <w:spacing w:after="0" w:line="276" w:lineRule="auto"/>
        <w:ind w:firstLine="708"/>
        <w:jc w:val="both"/>
        <w:rPr>
          <w:rFonts w:ascii="Verdana" w:hAnsi="Verdana"/>
          <w:bCs/>
          <w:color w:val="000000" w:themeColor="text1"/>
          <w:lang w:eastAsia="es-ES_tradnl"/>
        </w:rPr>
      </w:pPr>
      <w:r w:rsidRPr="009E0887">
        <w:rPr>
          <w:rFonts w:ascii="Verdana" w:eastAsia="Calibri" w:hAnsi="Verdana" w:cs="Arial"/>
          <w:color w:val="000000" w:themeColor="text1"/>
        </w:rPr>
        <w:t>En contrate, si la Entidad Estatal se rige por el EGCAP, bien sea que obre en calidad de arrendadora o arrendataria, debe acudir a la modalidad de selección de contratación directa si arrendara un inmueble</w:t>
      </w:r>
      <w:r>
        <w:rPr>
          <w:rFonts w:ascii="Verdana" w:eastAsia="Calibri" w:hAnsi="Verdana" w:cs="Arial"/>
          <w:color w:val="000000" w:themeColor="text1"/>
        </w:rPr>
        <w:t xml:space="preserve">. Esto, </w:t>
      </w:r>
      <w:r w:rsidRPr="009E0887">
        <w:rPr>
          <w:rFonts w:ascii="Verdana" w:eastAsia="Calibri" w:hAnsi="Verdana" w:cs="Arial"/>
          <w:color w:val="000000" w:themeColor="text1"/>
        </w:rPr>
        <w:t xml:space="preserve">pues el literal i) </w:t>
      </w:r>
      <w:r>
        <w:rPr>
          <w:rFonts w:ascii="Verdana" w:eastAsia="Calibri" w:hAnsi="Verdana" w:cs="Arial"/>
          <w:color w:val="000000" w:themeColor="text1"/>
        </w:rPr>
        <w:t xml:space="preserve">del </w:t>
      </w:r>
      <w:r w:rsidRPr="009E0887">
        <w:rPr>
          <w:rFonts w:ascii="Verdana" w:eastAsia="Calibri" w:hAnsi="Verdana" w:cs="Arial"/>
          <w:color w:val="000000" w:themeColor="text1"/>
        </w:rPr>
        <w:t xml:space="preserve">numeral 4° </w:t>
      </w:r>
      <w:r>
        <w:rPr>
          <w:rFonts w:ascii="Verdana" w:eastAsia="Calibri" w:hAnsi="Verdana" w:cs="Arial"/>
          <w:color w:val="000000" w:themeColor="text1"/>
        </w:rPr>
        <w:t xml:space="preserve">del </w:t>
      </w:r>
      <w:r w:rsidRPr="009E0887">
        <w:rPr>
          <w:rFonts w:ascii="Verdana" w:eastAsia="Calibri" w:hAnsi="Verdana" w:cs="Arial"/>
          <w:color w:val="000000" w:themeColor="text1"/>
        </w:rPr>
        <w:t>artículo 2º de la Ley 1150 de 2007 establece que una de las causales de este procedimiento es</w:t>
      </w:r>
      <w:r>
        <w:rPr>
          <w:rFonts w:ascii="Verdana" w:eastAsia="Calibri" w:hAnsi="Verdana" w:cs="Arial"/>
          <w:color w:val="000000" w:themeColor="text1"/>
        </w:rPr>
        <w:t>:</w:t>
      </w:r>
      <w:r w:rsidRPr="009E0887">
        <w:rPr>
          <w:rFonts w:ascii="Verdana" w:eastAsia="Calibri" w:hAnsi="Verdana" w:cs="Arial"/>
          <w:color w:val="000000" w:themeColor="text1"/>
        </w:rPr>
        <w:t xml:space="preserve"> “i) El arrendamiento o adquisición de inmuebles”. </w:t>
      </w:r>
      <w:r w:rsidRPr="009E0887">
        <w:rPr>
          <w:rFonts w:ascii="Verdana" w:hAnsi="Verdana"/>
          <w:bCs/>
          <w:color w:val="000000" w:themeColor="text1"/>
          <w:lang w:eastAsia="es-ES_tradnl"/>
        </w:rPr>
        <w:t xml:space="preserve">Adicionalmente, el artículo 2.2.1.2.1.4.11 del Decreto 1082 de 2015 dispone que las Entidades Estatales pueden alquilar o arrendar inmuebles mediante contratación directa para lo cual deben seguir las siguientes reglas: </w:t>
      </w:r>
    </w:p>
    <w:p w14:paraId="0F6733F9" w14:textId="77777777" w:rsidR="00CC2197" w:rsidRPr="009E0887" w:rsidRDefault="00CC2197" w:rsidP="00CC2197">
      <w:pPr>
        <w:spacing w:after="0" w:line="276" w:lineRule="auto"/>
        <w:ind w:firstLine="709"/>
        <w:jc w:val="both"/>
        <w:rPr>
          <w:rFonts w:ascii="Verdana" w:hAnsi="Verdana"/>
          <w:bCs/>
          <w:color w:val="000000" w:themeColor="text1"/>
          <w:lang w:eastAsia="es-ES_tradnl"/>
        </w:rPr>
      </w:pPr>
    </w:p>
    <w:p w14:paraId="05418086" w14:textId="77777777" w:rsidR="00CC2197" w:rsidRPr="00280722" w:rsidRDefault="00CC2197" w:rsidP="00CC2197">
      <w:pPr>
        <w:spacing w:after="0" w:line="240" w:lineRule="auto"/>
        <w:ind w:left="709" w:right="709"/>
        <w:jc w:val="both"/>
        <w:rPr>
          <w:rFonts w:ascii="Verdana" w:eastAsia="Calibri" w:hAnsi="Verdana" w:cs="Arial"/>
          <w:sz w:val="20"/>
          <w:szCs w:val="20"/>
          <w:lang w:val="es-MX"/>
        </w:rPr>
      </w:pPr>
      <w:r w:rsidRPr="00280722">
        <w:rPr>
          <w:rFonts w:ascii="Verdana" w:eastAsia="Calibri" w:hAnsi="Verdana" w:cs="Arial"/>
          <w:sz w:val="20"/>
          <w:szCs w:val="20"/>
          <w:lang w:val="es-MX"/>
        </w:rPr>
        <w:t>“1.    Verificar las condiciones del mercado inmobiliario en la ciudad en la que la Entidad Estatal requiere el inmueble.</w:t>
      </w:r>
    </w:p>
    <w:p w14:paraId="3CEC3679" w14:textId="77777777" w:rsidR="00CC2197" w:rsidRPr="00280722" w:rsidRDefault="00CC2197" w:rsidP="00CC2197">
      <w:pPr>
        <w:spacing w:after="0" w:line="240" w:lineRule="auto"/>
        <w:ind w:left="709" w:right="709"/>
        <w:jc w:val="both"/>
        <w:rPr>
          <w:rFonts w:ascii="Verdana" w:eastAsia="Calibri" w:hAnsi="Verdana" w:cs="Arial"/>
          <w:sz w:val="20"/>
          <w:szCs w:val="20"/>
          <w:lang w:val="es-MX"/>
        </w:rPr>
      </w:pPr>
    </w:p>
    <w:p w14:paraId="4CF296B9" w14:textId="77777777" w:rsidR="00CC2197" w:rsidRPr="00280722" w:rsidRDefault="00CC2197" w:rsidP="00CC2197">
      <w:pPr>
        <w:spacing w:after="0" w:line="240" w:lineRule="auto"/>
        <w:ind w:left="709" w:right="709"/>
        <w:jc w:val="both"/>
        <w:rPr>
          <w:rFonts w:ascii="Verdana" w:eastAsia="Calibri" w:hAnsi="Verdana" w:cs="Arial"/>
          <w:sz w:val="20"/>
          <w:szCs w:val="20"/>
          <w:lang w:val="es-MX"/>
        </w:rPr>
      </w:pPr>
      <w:r w:rsidRPr="00280722">
        <w:rPr>
          <w:rFonts w:ascii="Verdana" w:eastAsia="Calibri" w:hAnsi="Verdana" w:cs="Arial"/>
          <w:sz w:val="20"/>
          <w:szCs w:val="20"/>
          <w:lang w:val="es-MX"/>
        </w:rPr>
        <w:t>2.    Analizar y comparar las condiciones de los bienes inmuebles que satisfacen las necesidades identificadas y las opciones de arrendamiento, análisis que deberá tener en cuenta los principios y objetivos del sistema de compra y contratación pública”.</w:t>
      </w:r>
    </w:p>
    <w:p w14:paraId="118D1E16" w14:textId="77777777" w:rsidR="00CC2197" w:rsidRDefault="00CC2197" w:rsidP="00CC2197">
      <w:pPr>
        <w:spacing w:after="0" w:line="276" w:lineRule="auto"/>
        <w:ind w:firstLine="357"/>
        <w:jc w:val="both"/>
        <w:rPr>
          <w:rFonts w:ascii="Verdana" w:hAnsi="Verdana"/>
          <w:color w:val="000000" w:themeColor="text1"/>
          <w:lang w:eastAsia="es-ES"/>
        </w:rPr>
      </w:pPr>
    </w:p>
    <w:p w14:paraId="6DC7F487" w14:textId="77777777" w:rsidR="00CC2197" w:rsidRPr="00023091" w:rsidRDefault="00CC2197" w:rsidP="00CC2197">
      <w:pPr>
        <w:spacing w:after="120" w:line="276" w:lineRule="auto"/>
        <w:ind w:firstLine="708"/>
        <w:jc w:val="both"/>
        <w:rPr>
          <w:rFonts w:ascii="Verdana" w:hAnsi="Verdana"/>
          <w:color w:val="000000" w:themeColor="text1"/>
          <w:lang w:val="es-ES" w:eastAsia="es-ES"/>
        </w:rPr>
      </w:pPr>
      <w:r w:rsidRPr="00023091">
        <w:rPr>
          <w:rFonts w:ascii="Verdana" w:hAnsi="Verdana"/>
          <w:color w:val="000000" w:themeColor="text1"/>
          <w:lang w:val="es-ES" w:eastAsia="es-ES"/>
        </w:rPr>
        <w:lastRenderedPageBreak/>
        <w:t xml:space="preserve">Conforme lo anterior, la entidad debe elaborar los </w:t>
      </w:r>
      <w:proofErr w:type="gramStart"/>
      <w:r w:rsidRPr="00023091">
        <w:rPr>
          <w:rFonts w:ascii="Verdana" w:hAnsi="Verdana"/>
          <w:color w:val="000000" w:themeColor="text1"/>
          <w:lang w:val="es-ES" w:eastAsia="es-ES"/>
        </w:rPr>
        <w:t>estudios previos y documentos previos</w:t>
      </w:r>
      <w:proofErr w:type="gramEnd"/>
      <w:r w:rsidRPr="00023091">
        <w:rPr>
          <w:rFonts w:ascii="Verdana" w:hAnsi="Verdana"/>
          <w:color w:val="000000" w:themeColor="text1"/>
          <w:lang w:val="es-ES" w:eastAsia="es-ES"/>
        </w:rPr>
        <w:t xml:space="preserve"> y verificar las condiciones del mercado inmobiliario en la ciudad donde la Entidad Estatal requiere el documento. Además, tiene el deber analizar y comparar las condiciones de los bienes inmuebles que satisfacen sus necesidades; y de tener en cuenta los principios y objetivos del Sistema de Compra y Contratación Pública.</w:t>
      </w:r>
    </w:p>
    <w:p w14:paraId="2AFCC446" w14:textId="77777777" w:rsidR="00CC2197" w:rsidRPr="00023091" w:rsidRDefault="00CC2197" w:rsidP="00CC2197">
      <w:pPr>
        <w:spacing w:after="120" w:line="276" w:lineRule="auto"/>
        <w:ind w:firstLine="708"/>
        <w:jc w:val="both"/>
        <w:rPr>
          <w:rFonts w:ascii="Verdana" w:eastAsia="Calibri" w:hAnsi="Verdana" w:cs="Arial"/>
          <w:color w:val="000000" w:themeColor="text1"/>
        </w:rPr>
      </w:pPr>
      <w:r w:rsidRPr="00023091">
        <w:rPr>
          <w:rFonts w:ascii="Verdana" w:hAnsi="Verdana"/>
          <w:color w:val="000000" w:themeColor="text1"/>
          <w:lang w:eastAsia="es-ES"/>
        </w:rPr>
        <w:t xml:space="preserve">En contraste, si se trata de arrendamiento de bienes muebles, la modalidad aplicable será la licitación pública, la selección abreviada o la mínima cuantía, según corresponda dependiendo del valor de la contratación. Lo anterior, en la medida que no se encuentran dentro de las causales de contratación directa que expresamente señala el numeral 4 del artículo 2 de la Ley 1150 de 2007. </w:t>
      </w:r>
      <w:r w:rsidRPr="00023091">
        <w:rPr>
          <w:rFonts w:ascii="Verdana" w:eastAsia="Calibri" w:hAnsi="Verdana" w:cs="Arial"/>
          <w:color w:val="000000" w:themeColor="text1"/>
        </w:rPr>
        <w:t>En ambos supuestos la Entidad Estatal también debe aplicar las normas civiles y comerciales que regulan la sustantividad del contrato de arrendamiento, porque a estas se remiten los artículos 13, 32 y 40 de la Ley 80 de 1993.</w:t>
      </w:r>
    </w:p>
    <w:p w14:paraId="3E027431" w14:textId="77777777" w:rsidR="00CC2197" w:rsidRPr="00023091" w:rsidRDefault="00CC2197" w:rsidP="00CC2197">
      <w:pPr>
        <w:spacing w:after="120" w:line="276" w:lineRule="auto"/>
        <w:ind w:firstLine="708"/>
        <w:jc w:val="both"/>
        <w:rPr>
          <w:rFonts w:ascii="Verdana" w:hAnsi="Verdana"/>
          <w:color w:val="000000" w:themeColor="text1"/>
          <w:lang w:eastAsia="es-ES"/>
        </w:rPr>
      </w:pPr>
      <w:r w:rsidRPr="00023091">
        <w:rPr>
          <w:rFonts w:ascii="Verdana" w:hAnsi="Verdana"/>
          <w:color w:val="000000" w:themeColor="text1"/>
          <w:lang w:eastAsia="es-ES"/>
        </w:rPr>
        <w:t>Si el arrendamiento recae sobre bienes públicos debe tenerse en cuenta que la Sección Tercera del Consejo de Estado señaló que los bienes que pueden ser susceptibles de arrendamiento son únicamente los bienes fiscales, no los bienes de uso público.</w:t>
      </w:r>
    </w:p>
    <w:p w14:paraId="7F304F91" w14:textId="77777777" w:rsidR="00CC2197" w:rsidRPr="00023091" w:rsidRDefault="00CC2197" w:rsidP="00CC2197">
      <w:pPr>
        <w:spacing w:after="120" w:line="276" w:lineRule="auto"/>
        <w:ind w:firstLine="360"/>
        <w:jc w:val="both"/>
        <w:rPr>
          <w:rFonts w:ascii="Verdana" w:eastAsia="Calibri" w:hAnsi="Verdana"/>
          <w:color w:val="000000" w:themeColor="text1"/>
        </w:rPr>
      </w:pPr>
      <w:r w:rsidRPr="00023091">
        <w:rPr>
          <w:rFonts w:ascii="Verdana" w:eastAsia="Calibri" w:hAnsi="Verdana" w:cs="Arial"/>
          <w:color w:val="000000" w:themeColor="text1"/>
          <w:lang w:val="es-ES_tradnl"/>
        </w:rPr>
        <w:tab/>
      </w:r>
      <w:r w:rsidRPr="00023091">
        <w:rPr>
          <w:rFonts w:ascii="Verdana" w:eastAsia="Calibri" w:hAnsi="Verdana"/>
          <w:color w:val="000000" w:themeColor="text1"/>
        </w:rPr>
        <w:t xml:space="preserve">Por otro lado, la Ley 80 de 1993, en el texto original del artículo 41, estableció que los requisitos para perfeccionar el contrato eran: i) llegar a un acuerdo sobre el objeto y la contraprestación y </w:t>
      </w:r>
      <w:proofErr w:type="spellStart"/>
      <w:r w:rsidRPr="00023091">
        <w:rPr>
          <w:rFonts w:ascii="Verdana" w:eastAsia="Calibri" w:hAnsi="Verdana"/>
          <w:color w:val="000000" w:themeColor="text1"/>
        </w:rPr>
        <w:t>ii</w:t>
      </w:r>
      <w:proofErr w:type="spellEnd"/>
      <w:r w:rsidRPr="00023091">
        <w:rPr>
          <w:rFonts w:ascii="Verdana" w:eastAsia="Calibri" w:hAnsi="Verdana"/>
          <w:color w:val="000000" w:themeColor="text1"/>
        </w:rPr>
        <w:t xml:space="preserve">) que conste por escrito. Por su parte, para iniciar la ejecución se requería: i) la constitución y aprobación de la garantía y </w:t>
      </w:r>
      <w:proofErr w:type="spellStart"/>
      <w:r w:rsidRPr="00023091">
        <w:rPr>
          <w:rFonts w:ascii="Verdana" w:eastAsia="Calibri" w:hAnsi="Verdana"/>
          <w:color w:val="000000" w:themeColor="text1"/>
        </w:rPr>
        <w:t>ii</w:t>
      </w:r>
      <w:proofErr w:type="spellEnd"/>
      <w:r w:rsidRPr="00023091">
        <w:rPr>
          <w:rFonts w:ascii="Verdana" w:eastAsia="Calibri" w:hAnsi="Verdana"/>
          <w:color w:val="000000" w:themeColor="text1"/>
        </w:rPr>
        <w:t>) la existencia del registro presupuestal.</w:t>
      </w:r>
    </w:p>
    <w:p w14:paraId="7B6970B9" w14:textId="77777777" w:rsidR="00CC2197" w:rsidRPr="00023091" w:rsidRDefault="00CC2197" w:rsidP="00CC2197">
      <w:pPr>
        <w:spacing w:after="120" w:line="276" w:lineRule="auto"/>
        <w:ind w:firstLine="360"/>
        <w:jc w:val="both"/>
        <w:rPr>
          <w:rFonts w:ascii="Verdana" w:hAnsi="Verdana"/>
          <w:color w:val="000000" w:themeColor="text1"/>
          <w:lang w:eastAsia="es-ES"/>
        </w:rPr>
      </w:pPr>
      <w:r w:rsidRPr="00023091">
        <w:rPr>
          <w:rFonts w:ascii="Verdana" w:hAnsi="Verdana"/>
          <w:bCs/>
          <w:color w:val="000000" w:themeColor="text1"/>
          <w:lang w:eastAsia="es-ES_tradnl"/>
        </w:rPr>
        <w:tab/>
      </w:r>
      <w:r w:rsidRPr="00023091">
        <w:rPr>
          <w:rFonts w:ascii="Verdana" w:hAnsi="Verdana"/>
          <w:color w:val="000000" w:themeColor="text1"/>
          <w:lang w:eastAsia="es-ES"/>
        </w:rPr>
        <w:t xml:space="preserve">En virtud de este contrato, las partes se obligan, una a conceder el goce del inmueble, y otra a pagar un precio por el mismo. Estos contratos tienen como elementos característicos, conforme a la ley y a la jurisprudencia del Consejo de Estado, los siguientes: i) entrega de un bien que efectúa el arrendador al arrendatario para el goce o uso exclusivo de este y </w:t>
      </w:r>
      <w:proofErr w:type="spellStart"/>
      <w:r w:rsidRPr="00023091">
        <w:rPr>
          <w:rFonts w:ascii="Verdana" w:hAnsi="Verdana"/>
          <w:color w:val="000000" w:themeColor="text1"/>
          <w:lang w:eastAsia="es-ES"/>
        </w:rPr>
        <w:t>ii</w:t>
      </w:r>
      <w:proofErr w:type="spellEnd"/>
      <w:r w:rsidRPr="00023091">
        <w:rPr>
          <w:rFonts w:ascii="Verdana" w:hAnsi="Verdana"/>
          <w:color w:val="000000" w:themeColor="text1"/>
          <w:lang w:eastAsia="es-ES"/>
        </w:rPr>
        <w:t xml:space="preserve">) el pago de un precio por el uso o goce del bien arrendado. </w:t>
      </w:r>
    </w:p>
    <w:p w14:paraId="17165D93" w14:textId="77777777" w:rsidR="00CC2197" w:rsidRPr="00023091" w:rsidRDefault="00CC2197" w:rsidP="00CC2197">
      <w:pPr>
        <w:spacing w:after="120" w:line="276" w:lineRule="auto"/>
        <w:ind w:firstLine="708"/>
        <w:jc w:val="both"/>
        <w:rPr>
          <w:rFonts w:ascii="Verdana" w:eastAsia="Calibri" w:hAnsi="Verdana"/>
          <w:color w:val="000000" w:themeColor="text1"/>
        </w:rPr>
      </w:pPr>
      <w:r w:rsidRPr="00023091">
        <w:rPr>
          <w:rFonts w:ascii="Verdana" w:eastAsia="Calibri" w:hAnsi="Verdana"/>
          <w:color w:val="000000" w:themeColor="text1"/>
        </w:rPr>
        <w:t xml:space="preserve">No cabe duda, pues, de que el contrato de arrendamiento, al ser un contrato oneroso, genera para el arrendador una renta periódica y, en tal sentido, hace que se encuentre obligado a cotizar al Sistema de Seguridad Social Integral, si el canon es superior a un salario mínimo mensual legal vigente. En </w:t>
      </w:r>
      <w:r w:rsidRPr="00023091">
        <w:rPr>
          <w:rFonts w:ascii="Verdana" w:eastAsia="Calibri" w:hAnsi="Verdana"/>
          <w:color w:val="000000" w:themeColor="text1"/>
        </w:rPr>
        <w:lastRenderedPageBreak/>
        <w:t>efecto, el artículo 2000 del Código Civil establece que “El arrendatario es obligado al pago del precio o renta”. Es decir que la renta es un elemento de la esencia del contrato de arrendamiento. Si el “arrendador” no la percibiera no sería un arrendamiento, sino un comodato.</w:t>
      </w:r>
    </w:p>
    <w:p w14:paraId="44CFF56C" w14:textId="029F5878" w:rsidR="005F5D0F" w:rsidRPr="00CC2197" w:rsidRDefault="00CC2197" w:rsidP="00CC2197">
      <w:pPr>
        <w:spacing w:after="120" w:line="276" w:lineRule="auto"/>
        <w:ind w:firstLine="708"/>
        <w:jc w:val="both"/>
        <w:rPr>
          <w:rFonts w:ascii="Verdana" w:eastAsia="Calibri" w:hAnsi="Verdana" w:cs="Arial"/>
          <w:color w:val="000000" w:themeColor="text1"/>
        </w:rPr>
      </w:pPr>
      <w:r w:rsidRPr="00023091">
        <w:rPr>
          <w:rFonts w:ascii="Verdana" w:eastAsia="Calibri" w:hAnsi="Verdana" w:cs="Arial"/>
          <w:color w:val="000000" w:themeColor="text1"/>
        </w:rPr>
        <w:t>Además, otro aspecto importante del contrato de arrendamiento consiste en la imposibilidad de pactar cláusulas de prórroga automática, puesto que el Consejo de Estado explica que  en el EGCAP no existe norma alguna que autorice pactar prórrogas automáticas que favorezcan a un determinado contratista, resulta violatorio de los principios generales de libre concurrencia, de igualdad, de imparcialidad, de prevalencia del interés general y de transparencia que rigen todas las actuaciones contractuales de las entidades estatales</w:t>
      </w:r>
      <w:r>
        <w:rPr>
          <w:rFonts w:ascii="Verdana" w:eastAsia="Calibri" w:hAnsi="Verdana" w:cs="Arial"/>
          <w:color w:val="000000" w:themeColor="text1"/>
        </w:rPr>
        <w:t>.</w:t>
      </w:r>
    </w:p>
    <w:p w14:paraId="79070127" w14:textId="77777777" w:rsidR="005F5D0F" w:rsidRDefault="005F5D0F" w:rsidP="005F5D0F">
      <w:pPr>
        <w:pStyle w:val="Prrafodelista"/>
        <w:tabs>
          <w:tab w:val="left" w:pos="142"/>
          <w:tab w:val="left" w:pos="284"/>
        </w:tabs>
        <w:spacing w:after="0" w:line="240" w:lineRule="auto"/>
        <w:ind w:left="0"/>
        <w:contextualSpacing w:val="0"/>
        <w:jc w:val="both"/>
        <w:rPr>
          <w:rFonts w:ascii="Verdana" w:eastAsia="Calibri" w:hAnsi="Verdana" w:cs="Arial"/>
        </w:rPr>
      </w:pPr>
    </w:p>
    <w:p w14:paraId="1CC43BF7" w14:textId="77777777" w:rsidR="005F5D0F" w:rsidRPr="001F283D" w:rsidRDefault="005F5D0F" w:rsidP="005F5D0F">
      <w:pPr>
        <w:tabs>
          <w:tab w:val="left" w:pos="142"/>
          <w:tab w:val="left" w:pos="284"/>
        </w:tabs>
        <w:spacing w:after="0" w:line="276" w:lineRule="auto"/>
        <w:rPr>
          <w:rFonts w:ascii="Verdana" w:eastAsia="Century Gothic" w:hAnsi="Verdana" w:cs="Century Gothic"/>
          <w:b/>
          <w:bCs/>
        </w:rPr>
      </w:pPr>
      <w:bookmarkStart w:id="17" w:name="_Hlk204854194"/>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17"/>
    <w:p w14:paraId="2F3D43E1" w14:textId="77777777" w:rsidR="005F5D0F" w:rsidRPr="00593A5F" w:rsidRDefault="005F5D0F" w:rsidP="005F5D0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F5D0F" w:rsidRPr="002407CE" w14:paraId="6F74AE19" w14:textId="77777777" w:rsidTr="00A024CB">
        <w:trPr>
          <w:trHeight w:val="870"/>
          <w:jc w:val="center"/>
        </w:trPr>
        <w:tc>
          <w:tcPr>
            <w:tcW w:w="8647" w:type="dxa"/>
          </w:tcPr>
          <w:p w14:paraId="49399EF8" w14:textId="77777777" w:rsidR="00232A14" w:rsidRPr="00B015A8" w:rsidRDefault="00232A14" w:rsidP="00232A14">
            <w:pPr>
              <w:pStyle w:val="Prrafodelista"/>
              <w:widowControl w:val="0"/>
              <w:numPr>
                <w:ilvl w:val="0"/>
                <w:numId w:val="17"/>
              </w:numPr>
              <w:autoSpaceDE w:val="0"/>
              <w:autoSpaceDN w:val="0"/>
              <w:spacing w:after="120" w:line="276" w:lineRule="auto"/>
              <w:jc w:val="both"/>
              <w:rPr>
                <w:rFonts w:ascii="Verdana" w:hAnsi="Verdana" w:cs="Arial"/>
              </w:rPr>
            </w:pPr>
            <w:r w:rsidRPr="00B015A8">
              <w:rPr>
                <w:rFonts w:ascii="Verdana" w:hAnsi="Verdana" w:cs="Arial"/>
              </w:rPr>
              <w:t>Ley 1150 de 2007: Artículo 2, numeral 4, artículo 5.</w:t>
            </w:r>
          </w:p>
          <w:p w14:paraId="42945A93" w14:textId="77777777" w:rsidR="00232A14" w:rsidRDefault="00232A14" w:rsidP="00232A14">
            <w:pPr>
              <w:pStyle w:val="Prrafodelista"/>
              <w:widowControl w:val="0"/>
              <w:numPr>
                <w:ilvl w:val="0"/>
                <w:numId w:val="17"/>
              </w:numPr>
              <w:autoSpaceDE w:val="0"/>
              <w:autoSpaceDN w:val="0"/>
              <w:spacing w:after="120" w:line="276" w:lineRule="auto"/>
              <w:jc w:val="both"/>
              <w:rPr>
                <w:rFonts w:ascii="Verdana" w:hAnsi="Verdana" w:cs="Arial"/>
              </w:rPr>
            </w:pPr>
            <w:r w:rsidRPr="00B015A8">
              <w:rPr>
                <w:rFonts w:ascii="Verdana" w:hAnsi="Verdana" w:cs="Arial"/>
              </w:rPr>
              <w:t>Decreto 1082 de 2015: Artículo 2.2.1.2.1.4.11.</w:t>
            </w:r>
          </w:p>
          <w:p w14:paraId="50638202" w14:textId="77777777" w:rsidR="00232A14" w:rsidRDefault="00232A14" w:rsidP="00232A14">
            <w:pPr>
              <w:pStyle w:val="Prrafodelista"/>
              <w:widowControl w:val="0"/>
              <w:numPr>
                <w:ilvl w:val="0"/>
                <w:numId w:val="17"/>
              </w:numPr>
              <w:autoSpaceDE w:val="0"/>
              <w:autoSpaceDN w:val="0"/>
              <w:spacing w:after="120" w:line="276" w:lineRule="auto"/>
              <w:jc w:val="both"/>
              <w:rPr>
                <w:rFonts w:ascii="Verdana" w:hAnsi="Verdana" w:cs="Arial"/>
              </w:rPr>
            </w:pPr>
            <w:r w:rsidRPr="00745CAA">
              <w:rPr>
                <w:rFonts w:ascii="Verdana" w:hAnsi="Verdana" w:cs="Arial"/>
              </w:rPr>
              <w:t xml:space="preserve">Ley </w:t>
            </w:r>
            <w:r>
              <w:rPr>
                <w:rFonts w:ascii="Verdana" w:hAnsi="Verdana" w:cs="Arial"/>
              </w:rPr>
              <w:t>996</w:t>
            </w:r>
            <w:r w:rsidRPr="00745CAA">
              <w:rPr>
                <w:rFonts w:ascii="Verdana" w:hAnsi="Verdana" w:cs="Arial"/>
              </w:rPr>
              <w:t xml:space="preserve"> de 200</w:t>
            </w:r>
            <w:r>
              <w:rPr>
                <w:rFonts w:ascii="Verdana" w:hAnsi="Verdana" w:cs="Arial"/>
              </w:rPr>
              <w:t>5</w:t>
            </w:r>
            <w:r w:rsidRPr="00745CAA">
              <w:rPr>
                <w:rFonts w:ascii="Verdana" w:hAnsi="Verdana" w:cs="Arial"/>
              </w:rPr>
              <w:t>, artículo</w:t>
            </w:r>
            <w:r>
              <w:rPr>
                <w:rFonts w:ascii="Verdana" w:hAnsi="Verdana" w:cs="Arial"/>
              </w:rPr>
              <w:t>s 33 y 38</w:t>
            </w:r>
            <w:r w:rsidRPr="00745CAA">
              <w:rPr>
                <w:rFonts w:ascii="Verdana" w:hAnsi="Verdana" w:cs="Arial"/>
              </w:rPr>
              <w:t>.</w:t>
            </w:r>
          </w:p>
          <w:p w14:paraId="147F60F1" w14:textId="77777777" w:rsidR="00232A14" w:rsidRPr="003E412A" w:rsidRDefault="00232A14" w:rsidP="00232A14">
            <w:pPr>
              <w:pStyle w:val="Prrafodelista"/>
              <w:widowControl w:val="0"/>
              <w:numPr>
                <w:ilvl w:val="0"/>
                <w:numId w:val="17"/>
              </w:numPr>
              <w:autoSpaceDE w:val="0"/>
              <w:autoSpaceDN w:val="0"/>
              <w:spacing w:after="120" w:line="276" w:lineRule="auto"/>
              <w:jc w:val="both"/>
              <w:rPr>
                <w:rFonts w:ascii="Verdana" w:hAnsi="Verdana" w:cs="Arial"/>
              </w:rPr>
            </w:pPr>
            <w:r w:rsidRPr="00F02C5A">
              <w:rPr>
                <w:rFonts w:ascii="Verdana" w:eastAsia="Times New Roman" w:hAnsi="Verdana" w:cs="Arial"/>
                <w:lang w:val="es-MX" w:eastAsia="x-none"/>
              </w:rPr>
              <w:t>Corte Constitucional, Sentencia C-1153 de noviembre 11 de 2005</w:t>
            </w:r>
            <w:r>
              <w:rPr>
                <w:rFonts w:ascii="Verdana" w:eastAsia="Times New Roman" w:hAnsi="Verdana" w:cs="Arial"/>
                <w:lang w:val="es-MX" w:eastAsia="x-none"/>
              </w:rPr>
              <w:t>.</w:t>
            </w:r>
          </w:p>
          <w:p w14:paraId="75B6CBB3" w14:textId="77777777" w:rsidR="00232A14" w:rsidRPr="003E412A" w:rsidRDefault="00232A14" w:rsidP="00232A14">
            <w:pPr>
              <w:pStyle w:val="Prrafodelista"/>
              <w:widowControl w:val="0"/>
              <w:numPr>
                <w:ilvl w:val="0"/>
                <w:numId w:val="17"/>
              </w:numPr>
              <w:autoSpaceDE w:val="0"/>
              <w:autoSpaceDN w:val="0"/>
              <w:spacing w:after="120" w:line="276" w:lineRule="auto"/>
              <w:jc w:val="both"/>
              <w:rPr>
                <w:rFonts w:ascii="Verdana" w:hAnsi="Verdana" w:cs="Arial"/>
              </w:rPr>
            </w:pPr>
            <w:r w:rsidRPr="003E412A">
              <w:rPr>
                <w:rFonts w:ascii="Verdana" w:hAnsi="Verdana" w:cs="Arial"/>
              </w:rPr>
              <w:t>Consejo de Estado. Sala de Consulta y Servicio Civil, Concepto de 8 de mayo de 2018. Radicación Número: 11001-03-06-000-2018-00095-00(2382). Consejero Ponente: Álvaro Namén Vargas.</w:t>
            </w:r>
          </w:p>
          <w:p w14:paraId="00B17D2E" w14:textId="77777777" w:rsidR="00232A14" w:rsidRDefault="00232A14" w:rsidP="00232A14">
            <w:pPr>
              <w:pStyle w:val="Prrafodelista"/>
              <w:widowControl w:val="0"/>
              <w:numPr>
                <w:ilvl w:val="0"/>
                <w:numId w:val="17"/>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del 08 de mayo de 2018. </w:t>
            </w:r>
            <w:proofErr w:type="spellStart"/>
            <w:r w:rsidRPr="003E412A">
              <w:rPr>
                <w:rFonts w:ascii="Verdana" w:hAnsi="Verdana" w:cs="Arial"/>
              </w:rPr>
              <w:t>Exp</w:t>
            </w:r>
            <w:proofErr w:type="spellEnd"/>
            <w:r w:rsidRPr="003E412A">
              <w:rPr>
                <w:rFonts w:ascii="Verdana" w:hAnsi="Verdana" w:cs="Arial"/>
              </w:rPr>
              <w:t>. 2.382. C.P. Álvaro Namén Vargas.</w:t>
            </w:r>
          </w:p>
          <w:p w14:paraId="341BF799" w14:textId="77777777" w:rsidR="00232A14" w:rsidRPr="007E43EB" w:rsidRDefault="00232A14" w:rsidP="00232A14">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t>C</w:t>
            </w:r>
            <w:r w:rsidRPr="007E43EB">
              <w:rPr>
                <w:rFonts w:ascii="Verdana" w:hAnsi="Verdana" w:cs="Arial"/>
              </w:rPr>
              <w:t>onsejo de Estado. Sección Tercera. Sentencia de 3 de diciembre de 2007. Radicados: 24.715, 25.206, 25.409, 24.524, 27.834, 25.410, 26.105, 28.244, 31.447 -acumulados-”.</w:t>
            </w:r>
          </w:p>
          <w:p w14:paraId="2FF670AA" w14:textId="77777777" w:rsidR="00232A14" w:rsidRPr="007E43EB" w:rsidRDefault="00232A14" w:rsidP="00232A14">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t xml:space="preserve">Consejo de Estado, </w:t>
            </w:r>
            <w:r w:rsidRPr="007E43EB">
              <w:rPr>
                <w:rFonts w:ascii="Verdana" w:hAnsi="Verdana" w:cs="Arial"/>
              </w:rPr>
              <w:t>Sala de Consulta y Servicio Civil</w:t>
            </w:r>
            <w:r>
              <w:rPr>
                <w:rFonts w:ascii="Verdana" w:hAnsi="Verdana" w:cs="Arial"/>
              </w:rPr>
              <w:t>, C</w:t>
            </w:r>
            <w:r w:rsidRPr="007E43EB">
              <w:rPr>
                <w:rFonts w:ascii="Verdana" w:hAnsi="Verdana" w:cs="Arial"/>
              </w:rPr>
              <w:t xml:space="preserve">oncepto 1712 de 2 de febrero de 2006. </w:t>
            </w:r>
          </w:p>
          <w:p w14:paraId="1C4D050F" w14:textId="77777777" w:rsidR="00232A14" w:rsidRDefault="00232A14" w:rsidP="00232A14">
            <w:pPr>
              <w:pStyle w:val="Prrafodelista"/>
              <w:widowControl w:val="0"/>
              <w:numPr>
                <w:ilvl w:val="0"/>
                <w:numId w:val="17"/>
              </w:numPr>
              <w:autoSpaceDE w:val="0"/>
              <w:autoSpaceDN w:val="0"/>
              <w:spacing w:after="120" w:line="276" w:lineRule="auto"/>
              <w:jc w:val="both"/>
              <w:rPr>
                <w:rFonts w:ascii="Verdana" w:hAnsi="Verdana" w:cs="Arial"/>
              </w:rPr>
            </w:pPr>
            <w:r w:rsidRPr="007E43EB">
              <w:rPr>
                <w:rFonts w:ascii="Verdana" w:hAnsi="Verdana" w:cs="Arial"/>
              </w:rPr>
              <w:t>Consejo de Estado. Sala de Consulta y Servicio Civil. Concepto del 2 de septiembre de 2013. Radicación número: 11001-03-06-000-2013-00412-00 (2168). Consejero Ponente: Álvaro Namén Vargas.</w:t>
            </w:r>
          </w:p>
          <w:p w14:paraId="0CFA0A95" w14:textId="51C7E3BB" w:rsidR="005F5D0F" w:rsidRPr="00A57FA0" w:rsidRDefault="00232A14" w:rsidP="00232A14">
            <w:pPr>
              <w:widowControl w:val="0"/>
              <w:numPr>
                <w:ilvl w:val="0"/>
                <w:numId w:val="17"/>
              </w:numPr>
              <w:autoSpaceDE w:val="0"/>
              <w:autoSpaceDN w:val="0"/>
              <w:spacing w:before="120" w:after="120" w:line="276" w:lineRule="auto"/>
              <w:jc w:val="both"/>
              <w:rPr>
                <w:rFonts w:ascii="Verdana" w:hAnsi="Verdana" w:cs="Arial"/>
                <w:color w:val="000000" w:themeColor="text1"/>
              </w:rPr>
            </w:pPr>
            <w:r>
              <w:rPr>
                <w:rFonts w:ascii="Verdana" w:hAnsi="Verdana" w:cs="Arial"/>
              </w:rPr>
              <w:t xml:space="preserve">Colombia Compra Eficiente, </w:t>
            </w:r>
            <w:r w:rsidRPr="00D4444C">
              <w:rPr>
                <w:rFonts w:ascii="Verdana" w:hAnsi="Verdana" w:cs="Arial"/>
              </w:rPr>
              <w:t>Circular Externa Única</w:t>
            </w:r>
            <w:r>
              <w:rPr>
                <w:rFonts w:ascii="Verdana" w:hAnsi="Verdana" w:cs="Arial"/>
              </w:rPr>
              <w:t>. Disponible en</w:t>
            </w:r>
            <w:r w:rsidRPr="00D4444C">
              <w:rPr>
                <w:rFonts w:ascii="Verdana" w:hAnsi="Verdana" w:cs="Arial"/>
              </w:rPr>
              <w:t xml:space="preserve">: </w:t>
            </w:r>
            <w:hyperlink r:id="rId12" w:history="1">
              <w:r w:rsidRPr="008D4636">
                <w:rPr>
                  <w:rStyle w:val="Hipervnculo"/>
                  <w:rFonts w:ascii="Verdana" w:hAnsi="Verdana" w:cs="Arial"/>
                </w:rPr>
                <w:t>https://colombiacompra.gov.co/sites/cce_public/files/cce_circulares/cce-eicp-ma-06_circular_externa_con_comentarios_de_ciudadanos-_v2f_002.pdf</w:t>
              </w:r>
            </w:hyperlink>
            <w:r w:rsidR="005F5D0F" w:rsidRPr="002B08F8">
              <w:rPr>
                <w:rFonts w:ascii="Verdana" w:eastAsia="Arial MT" w:hAnsi="Verdana" w:cs="Arial"/>
                <w:lang w:val="es-ES" w:eastAsia="es-ES" w:bidi="es-ES"/>
              </w:rPr>
              <w:t xml:space="preserve"> </w:t>
            </w:r>
          </w:p>
        </w:tc>
      </w:tr>
    </w:tbl>
    <w:p w14:paraId="6A47E938" w14:textId="77777777" w:rsidR="005F5D0F" w:rsidRPr="00277E26" w:rsidRDefault="005F5D0F" w:rsidP="005F5D0F">
      <w:pPr>
        <w:widowControl w:val="0"/>
        <w:autoSpaceDE w:val="0"/>
        <w:autoSpaceDN w:val="0"/>
        <w:spacing w:after="0" w:line="276" w:lineRule="auto"/>
        <w:jc w:val="both"/>
        <w:rPr>
          <w:rFonts w:ascii="Verdana" w:hAnsi="Verdana" w:cs="Arial"/>
        </w:rPr>
      </w:pPr>
    </w:p>
    <w:p w14:paraId="63CAF829" w14:textId="77777777" w:rsidR="005F5D0F" w:rsidRPr="001F283D" w:rsidRDefault="005F5D0F" w:rsidP="005F5D0F">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7C9F2F88" w14:textId="77777777" w:rsidR="005F5D0F" w:rsidRDefault="005F5D0F" w:rsidP="005F5D0F">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01EF712A" w14:textId="77777777" w:rsidR="005F5D0F" w:rsidRPr="00657CF4" w:rsidRDefault="005F5D0F" w:rsidP="005F5D0F">
      <w:pPr>
        <w:widowControl w:val="0"/>
        <w:autoSpaceDE w:val="0"/>
        <w:autoSpaceDN w:val="0"/>
        <w:spacing w:after="0" w:line="276" w:lineRule="auto"/>
        <w:jc w:val="both"/>
        <w:rPr>
          <w:rFonts w:ascii="Verdana" w:hAnsi="Verdana" w:cs="Arial"/>
          <w:bCs/>
          <w:shd w:val="clear" w:color="auto" w:fill="FFFFFF"/>
        </w:rPr>
      </w:pPr>
      <w:r w:rsidRPr="00657CF4">
        <w:rPr>
          <w:rFonts w:ascii="Verdana" w:eastAsia="Calibri" w:hAnsi="Verdana" w:cs="Arial"/>
        </w:rPr>
        <w:t xml:space="preserve">La Agencia Nacional de Contratación Pública – Colombia Compra Eficiente se ha referido </w:t>
      </w:r>
      <w:r w:rsidRPr="00657CF4">
        <w:rPr>
          <w:rFonts w:ascii="Verdana" w:hAnsi="Verdana" w:cs="Arial"/>
          <w:shd w:val="clear" w:color="auto" w:fill="FFFFFF"/>
        </w:rPr>
        <w:t xml:space="preserve">sobre la Ley de Garantías Electorales en los conceptos con radicado C-227 del 24 de mayo de 2021 y 396 del 13 de agosto de 2021, C-439 del 27 de agosto de 2021, C-456 del 3 de septiembre de 2021, C-614 del 2 de noviembre de 2021, C-636 del 16 de noviembre de 2021, C-681 del 7 de diciembre de 2021, C-686 del 21 de diciembre de 2021, C-180 del 21 de marzo de 2025, C-317 del 25 de abril de 2025, C-510 del 4 de junio de 2025, </w:t>
      </w:r>
      <w:r w:rsidRPr="00657CF4">
        <w:rPr>
          <w:rFonts w:ascii="Verdana" w:hAnsi="Verdana" w:cs="Arial"/>
          <w:shd w:val="clear" w:color="auto" w:fill="FFFFFF"/>
          <w:lang w:val="es-ES"/>
        </w:rPr>
        <w:t xml:space="preserve">646 del 26 de junio de 2025, C-957 del 23 de agosto de 2025, C-975 del 28 de agosto de 2025, C-1015 del 4 de septiembre de 2025, C-1096 del 28 de agosto de 2025, C-1170 del 16 de septiembre de 2025, </w:t>
      </w:r>
      <w:r w:rsidRPr="00657CF4">
        <w:rPr>
          <w:rFonts w:ascii="Verdana" w:hAnsi="Verdana" w:cs="Arial"/>
          <w:shd w:val="clear" w:color="auto" w:fill="FFFFFF"/>
        </w:rPr>
        <w:t xml:space="preserve">C–750 de 17 de julio 2025, C-868 del 12 de agosto de 2025, C-1057 del 5 de septiembre de 2025, C-1195 del 3 de octubre de 2025, C-1350 del 19 de septiembre de 2025 y C- 1236 del 27 de octubre de 2025, </w:t>
      </w:r>
      <w:r w:rsidRPr="00657CF4">
        <w:rPr>
          <w:rFonts w:ascii="Verdana" w:hAnsi="Verdana" w:cs="Arial"/>
          <w:shd w:val="clear" w:color="auto" w:fill="FFFFFF"/>
          <w:lang w:val="es-ES"/>
        </w:rPr>
        <w:t xml:space="preserve">entre otros. </w:t>
      </w:r>
      <w:r w:rsidRPr="00657CF4">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9D51C5E" w14:textId="77777777" w:rsidR="005F5D0F" w:rsidRPr="00657CF4" w:rsidRDefault="005F5D0F" w:rsidP="005F5D0F">
      <w:pPr>
        <w:spacing w:after="0" w:line="276" w:lineRule="auto"/>
        <w:jc w:val="both"/>
        <w:rPr>
          <w:rFonts w:ascii="Verdana" w:eastAsia="Calibri" w:hAnsi="Verdana" w:cs="Times New Roman"/>
        </w:rPr>
      </w:pPr>
      <w:hyperlink r:id="rId13" w:history="1">
        <w:r w:rsidRPr="00657CF4">
          <w:rPr>
            <w:rFonts w:ascii="Verdana" w:eastAsia="Calibri" w:hAnsi="Verdana" w:cs="Times New Roman"/>
            <w:color w:val="0000FF"/>
            <w:u w:val="single"/>
            <w:lang w:val="es-ES"/>
          </w:rPr>
          <w:t>https://relatoria.colombiacompra.gov.co/busqueda/conceptos</w:t>
        </w:r>
      </w:hyperlink>
      <w:r w:rsidRPr="00657CF4">
        <w:rPr>
          <w:rFonts w:ascii="Verdana" w:eastAsia="Calibri" w:hAnsi="Verdana" w:cs="Times New Roman"/>
        </w:rPr>
        <w:t xml:space="preserve">. </w:t>
      </w:r>
    </w:p>
    <w:p w14:paraId="5FAE2042" w14:textId="77777777" w:rsidR="005F5D0F" w:rsidRPr="00B9037F" w:rsidRDefault="005F5D0F" w:rsidP="005F5D0F">
      <w:pPr>
        <w:widowControl w:val="0"/>
        <w:autoSpaceDE w:val="0"/>
        <w:autoSpaceDN w:val="0"/>
        <w:spacing w:after="0" w:line="276" w:lineRule="auto"/>
        <w:jc w:val="both"/>
        <w:rPr>
          <w:rFonts w:ascii="Verdana" w:hAnsi="Verdana" w:cs="Arial"/>
          <w:shd w:val="clear" w:color="auto" w:fill="FFFFFF"/>
        </w:rPr>
      </w:pPr>
      <w:r w:rsidRPr="00667CD6">
        <w:rPr>
          <w:rFonts w:ascii="Verdana" w:hAnsi="Verdana" w:cs="Arial"/>
          <w:color w:val="FF0000"/>
          <w:shd w:val="clear" w:color="auto" w:fill="FFFFFF"/>
          <w:lang w:val="es-ES_tradnl"/>
        </w:rPr>
        <w:t xml:space="preserve"> </w:t>
      </w:r>
    </w:p>
    <w:p w14:paraId="36187A37" w14:textId="77777777" w:rsidR="005F5D0F" w:rsidRPr="00237766" w:rsidRDefault="005F5D0F" w:rsidP="005F5D0F">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4155B95" w14:textId="77777777" w:rsidR="005F5D0F" w:rsidRPr="008E4F36" w:rsidRDefault="005F5D0F" w:rsidP="005F5D0F">
      <w:pPr>
        <w:pStyle w:val="Prrafodelista"/>
        <w:numPr>
          <w:ilvl w:val="0"/>
          <w:numId w:val="15"/>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22674789" w14:textId="77777777" w:rsidR="005F5D0F" w:rsidRPr="008E4F36" w:rsidRDefault="005F5D0F" w:rsidP="005F5D0F">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6F301587" w14:textId="77777777" w:rsidR="005F5D0F" w:rsidRPr="008E4F36" w:rsidRDefault="005F5D0F" w:rsidP="005F5D0F">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22B6D62E" w14:textId="77777777" w:rsidR="005F5D0F" w:rsidRPr="008E4F36" w:rsidRDefault="005F5D0F" w:rsidP="005F5D0F">
      <w:pPr>
        <w:pStyle w:val="Prrafodelista"/>
        <w:numPr>
          <w:ilvl w:val="0"/>
          <w:numId w:val="15"/>
        </w:numPr>
        <w:spacing w:after="0" w:line="276" w:lineRule="auto"/>
        <w:contextualSpacing w:val="0"/>
        <w:jc w:val="both"/>
        <w:rPr>
          <w:rFonts w:ascii="Verdana" w:hAnsi="Verdana"/>
        </w:rPr>
      </w:pPr>
      <w:r w:rsidRPr="008E4F36">
        <w:rPr>
          <w:rFonts w:ascii="Verdana" w:hAnsi="Verdana"/>
        </w:rPr>
        <w:t xml:space="preserve">Página web: </w:t>
      </w:r>
      <w:hyperlink r:id="rId14" w:history="1">
        <w:r w:rsidRPr="008E4F36">
          <w:rPr>
            <w:rStyle w:val="Hipervnculo"/>
            <w:rFonts w:ascii="Verdana" w:hAnsi="Verdana"/>
          </w:rPr>
          <w:t>www.colombiacompra.gov.co</w:t>
        </w:r>
      </w:hyperlink>
    </w:p>
    <w:p w14:paraId="5B43592F" w14:textId="77777777" w:rsidR="005F5D0F" w:rsidRPr="008E4F36" w:rsidRDefault="005F5D0F" w:rsidP="005F5D0F">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41C13BF0" w14:textId="77777777" w:rsidR="005F5D0F" w:rsidRPr="008E4F36" w:rsidRDefault="005F5D0F" w:rsidP="005F5D0F">
      <w:pPr>
        <w:spacing w:after="0" w:line="276" w:lineRule="auto"/>
        <w:jc w:val="both"/>
        <w:rPr>
          <w:rFonts w:ascii="Verdana" w:hAnsi="Verdana"/>
        </w:rPr>
      </w:pPr>
    </w:p>
    <w:p w14:paraId="2D253430" w14:textId="77777777" w:rsidR="005F5D0F" w:rsidRPr="008E4F36" w:rsidRDefault="005F5D0F" w:rsidP="005F5D0F">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074FF2A7" w14:textId="77777777" w:rsidR="005F5D0F" w:rsidRPr="008E4F36" w:rsidRDefault="005F5D0F" w:rsidP="005F5D0F">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211CA2A6" w14:textId="77777777" w:rsidR="005F5D0F" w:rsidRPr="008E4F36" w:rsidRDefault="005F5D0F" w:rsidP="005F5D0F">
      <w:pPr>
        <w:spacing w:after="0" w:line="276" w:lineRule="auto"/>
        <w:jc w:val="both"/>
        <w:rPr>
          <w:rFonts w:ascii="Verdana" w:hAnsi="Verdana"/>
        </w:rPr>
      </w:pPr>
      <w:r w:rsidRPr="008E4F36">
        <w:rPr>
          <w:rFonts w:ascii="Verdana" w:hAnsi="Verdana"/>
        </w:rPr>
        <w:lastRenderedPageBreak/>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629873B3" w14:textId="77777777" w:rsidR="005F5D0F" w:rsidRDefault="005F5D0F" w:rsidP="005F5D0F">
      <w:pPr>
        <w:spacing w:before="120" w:after="0" w:line="276" w:lineRule="auto"/>
        <w:jc w:val="both"/>
        <w:rPr>
          <w:rFonts w:ascii="Verdana" w:hAnsi="Verdana"/>
        </w:rPr>
      </w:pPr>
    </w:p>
    <w:p w14:paraId="0D9B791D" w14:textId="77777777" w:rsidR="005F5D0F" w:rsidRPr="00FB6C33" w:rsidRDefault="005F5D0F" w:rsidP="005F5D0F">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0821445" w14:textId="77777777" w:rsidR="005F5D0F" w:rsidRPr="008E4F36" w:rsidRDefault="005F5D0F" w:rsidP="005F5D0F">
      <w:pPr>
        <w:spacing w:after="0" w:line="276" w:lineRule="auto"/>
        <w:jc w:val="both"/>
        <w:rPr>
          <w:rFonts w:ascii="Verdana" w:eastAsia="Calibri" w:hAnsi="Verdana" w:cs="Times New Roman"/>
        </w:rPr>
      </w:pPr>
    </w:p>
    <w:p w14:paraId="0A378CFC" w14:textId="1E7F598B" w:rsidR="005F5D0F" w:rsidRPr="008316E4" w:rsidRDefault="005F5D0F" w:rsidP="008316E4">
      <w:pPr>
        <w:spacing w:after="0" w:line="276" w:lineRule="auto"/>
        <w:jc w:val="both"/>
        <w:rPr>
          <w:rFonts w:ascii="Verdana" w:eastAsia="Calibri" w:hAnsi="Verdana" w:cs="Times New Roman"/>
        </w:rPr>
      </w:pPr>
      <w:r w:rsidRPr="008E4F36">
        <w:rPr>
          <w:rFonts w:ascii="Verdana" w:eastAsia="Calibri" w:hAnsi="Verdana" w:cs="Times New Roman"/>
        </w:rPr>
        <w:t>Atentamente,</w:t>
      </w:r>
      <w:bookmarkEnd w:id="0"/>
      <w:bookmarkEnd w:id="1"/>
    </w:p>
    <w:p w14:paraId="73BB793B" w14:textId="77777777" w:rsidR="005F5D0F" w:rsidRDefault="005F5D0F" w:rsidP="005F5D0F">
      <w:pPr>
        <w:spacing w:after="0"/>
        <w:rPr>
          <w:rFonts w:ascii="Verdana" w:hAnsi="Verdana"/>
        </w:rPr>
      </w:pPr>
    </w:p>
    <w:p w14:paraId="7A26C8E3" w14:textId="77777777" w:rsidR="005F5D0F" w:rsidRDefault="005F5D0F" w:rsidP="005F5D0F">
      <w:pPr>
        <w:spacing w:after="0"/>
        <w:rPr>
          <w:rFonts w:ascii="Verdana" w:hAnsi="Verdana"/>
        </w:rPr>
      </w:pPr>
    </w:p>
    <w:p w14:paraId="3CF5A16E" w14:textId="3BA2D9DA" w:rsidR="005F5D0F" w:rsidRDefault="008316E4" w:rsidP="008316E4">
      <w:pPr>
        <w:spacing w:after="0"/>
        <w:jc w:val="center"/>
        <w:rPr>
          <w:rFonts w:ascii="Verdana" w:hAnsi="Verdana"/>
        </w:rPr>
      </w:pPr>
      <w:r>
        <w:rPr>
          <w:noProof/>
          <w14:ligatures w14:val="standardContextual"/>
        </w:rPr>
        <w:drawing>
          <wp:inline distT="0" distB="0" distL="0" distR="0" wp14:anchorId="718C4A72" wp14:editId="2E10F7D8">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771900" cy="1400175"/>
                    </a:xfrm>
                    <a:prstGeom prst="rect">
                      <a:avLst/>
                    </a:prstGeom>
                  </pic:spPr>
                </pic:pic>
              </a:graphicData>
            </a:graphic>
          </wp:inline>
        </w:drawing>
      </w:r>
    </w:p>
    <w:p w14:paraId="4A5F9E6A" w14:textId="77777777" w:rsidR="005F5D0F" w:rsidRDefault="005F5D0F" w:rsidP="005F5D0F">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F5D0F" w:rsidRPr="002423D6" w14:paraId="62C58A1F" w14:textId="77777777" w:rsidTr="1F1BB926">
        <w:trPr>
          <w:trHeight w:val="315"/>
        </w:trPr>
        <w:tc>
          <w:tcPr>
            <w:tcW w:w="893" w:type="dxa"/>
            <w:vAlign w:val="center"/>
            <w:hideMark/>
          </w:tcPr>
          <w:p w14:paraId="514D3228" w14:textId="77777777" w:rsidR="005F5D0F" w:rsidRPr="002423D6" w:rsidRDefault="005F5D0F" w:rsidP="00A024C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98A06B8" w14:textId="77777777" w:rsidR="005F5D0F" w:rsidRPr="002423D6" w:rsidRDefault="005F5D0F" w:rsidP="00A024CB">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Andreina Cerpa Muñoz </w:t>
            </w:r>
            <w:r w:rsidRPr="002423D6">
              <w:rPr>
                <w:rFonts w:ascii="Verdana" w:eastAsia="Arial" w:hAnsi="Verdana" w:cs="Arial"/>
                <w:color w:val="000000" w:themeColor="text1"/>
                <w:sz w:val="16"/>
                <w:szCs w:val="16"/>
              </w:rPr>
              <w:t xml:space="preserve"> </w:t>
            </w:r>
          </w:p>
          <w:p w14:paraId="5F3080AE" w14:textId="77777777" w:rsidR="005F5D0F" w:rsidRPr="002423D6" w:rsidRDefault="005F5D0F" w:rsidP="00A024CB">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5F5D0F" w:rsidRPr="002423D6" w14:paraId="1E48FC7C" w14:textId="77777777" w:rsidTr="1F1BB926">
        <w:trPr>
          <w:trHeight w:val="330"/>
        </w:trPr>
        <w:tc>
          <w:tcPr>
            <w:tcW w:w="893" w:type="dxa"/>
            <w:vAlign w:val="center"/>
            <w:hideMark/>
          </w:tcPr>
          <w:p w14:paraId="4F50AB37" w14:textId="77777777" w:rsidR="005F5D0F" w:rsidRPr="002423D6" w:rsidRDefault="005F5D0F" w:rsidP="00A024C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C542A8" w14:textId="48069A0E" w:rsidR="005F5D0F" w:rsidRPr="002423D6" w:rsidRDefault="005F5D0F" w:rsidP="1F1BB926">
            <w:pPr>
              <w:pStyle w:val="paragraph"/>
              <w:spacing w:before="0" w:beforeAutospacing="0" w:after="0" w:afterAutospacing="0"/>
              <w:contextualSpacing/>
              <w:textAlignment w:val="baseline"/>
              <w:rPr>
                <w:rFonts w:ascii="Verdana" w:hAnsi="Verdana" w:cs="Segoe UI"/>
                <w:color w:val="000000" w:themeColor="text1"/>
                <w:sz w:val="16"/>
                <w:szCs w:val="16"/>
              </w:rPr>
            </w:pPr>
            <w:r w:rsidRPr="1F1BB926">
              <w:rPr>
                <w:rFonts w:ascii="Verdana" w:hAnsi="Verdana" w:cs="Segoe UI"/>
                <w:color w:val="000000" w:themeColor="text1"/>
                <w:sz w:val="16"/>
                <w:szCs w:val="16"/>
              </w:rPr>
              <w:t>Martha Al</w:t>
            </w:r>
            <w:r w:rsidR="546B551B" w:rsidRPr="1F1BB926">
              <w:rPr>
                <w:rFonts w:ascii="Verdana" w:hAnsi="Verdana" w:cs="Segoe UI"/>
                <w:color w:val="000000" w:themeColor="text1"/>
                <w:sz w:val="16"/>
                <w:szCs w:val="16"/>
              </w:rPr>
              <w:t>i</w:t>
            </w:r>
            <w:r w:rsidRPr="1F1BB926">
              <w:rPr>
                <w:rFonts w:ascii="Verdana" w:hAnsi="Verdana" w:cs="Segoe UI"/>
                <w:color w:val="000000" w:themeColor="text1"/>
                <w:sz w:val="16"/>
                <w:szCs w:val="16"/>
              </w:rPr>
              <w:t xml:space="preserve">cia Romero Vargas </w:t>
            </w:r>
          </w:p>
          <w:p w14:paraId="7E9B1386" w14:textId="77777777" w:rsidR="005F5D0F" w:rsidRPr="002423D6" w:rsidRDefault="005F5D0F" w:rsidP="00A024CB">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 grado15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5F5D0F" w:rsidRPr="002423D6" w14:paraId="0CDAAB1B" w14:textId="77777777" w:rsidTr="1F1BB926">
        <w:trPr>
          <w:trHeight w:val="300"/>
        </w:trPr>
        <w:tc>
          <w:tcPr>
            <w:tcW w:w="893" w:type="dxa"/>
            <w:vAlign w:val="center"/>
          </w:tcPr>
          <w:p w14:paraId="710ADDD0" w14:textId="77777777" w:rsidR="005F5D0F" w:rsidRPr="002423D6" w:rsidRDefault="005F5D0F" w:rsidP="00A024C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8EC5A51" w14:textId="77777777" w:rsidR="005F5D0F" w:rsidRPr="002423D6" w:rsidRDefault="005F5D0F" w:rsidP="00A024C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2E51A2AE" w14:textId="77777777" w:rsidR="005F5D0F" w:rsidRPr="002423D6" w:rsidRDefault="005F5D0F" w:rsidP="00A024C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3BE2DFA2" w14:textId="77777777" w:rsidR="005F5D0F" w:rsidRDefault="005F5D0F" w:rsidP="005F5D0F"/>
    <w:p w14:paraId="09AA25DE" w14:textId="77777777" w:rsidR="005F5D0F" w:rsidRDefault="005F5D0F" w:rsidP="005F5D0F"/>
    <w:p w14:paraId="0F293BF4" w14:textId="775B8C0E" w:rsidR="00127233" w:rsidRPr="00911E93" w:rsidRDefault="00127233" w:rsidP="00911E93"/>
    <w:sectPr w:rsidR="00127233" w:rsidRPr="00911E9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A12267" w14:textId="77777777" w:rsidR="0066381D" w:rsidRDefault="0066381D" w:rsidP="004A1847">
      <w:pPr>
        <w:spacing w:after="0" w:line="240" w:lineRule="auto"/>
      </w:pPr>
      <w:r>
        <w:separator/>
      </w:r>
    </w:p>
  </w:endnote>
  <w:endnote w:type="continuationSeparator" w:id="0">
    <w:p w14:paraId="4EF6F902" w14:textId="77777777" w:rsidR="0066381D" w:rsidRDefault="0066381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89187" w14:textId="77777777" w:rsidR="0066381D" w:rsidRDefault="0066381D" w:rsidP="004A1847">
      <w:pPr>
        <w:spacing w:after="0" w:line="240" w:lineRule="auto"/>
      </w:pPr>
      <w:r>
        <w:separator/>
      </w:r>
    </w:p>
  </w:footnote>
  <w:footnote w:type="continuationSeparator" w:id="0">
    <w:p w14:paraId="15253DFB" w14:textId="77777777" w:rsidR="0066381D" w:rsidRDefault="0066381D" w:rsidP="004A1847">
      <w:pPr>
        <w:spacing w:after="0" w:line="240" w:lineRule="auto"/>
      </w:pPr>
      <w:r>
        <w:continuationSeparator/>
      </w:r>
    </w:p>
  </w:footnote>
  <w:footnote w:id="1">
    <w:p w14:paraId="7EAF3C80" w14:textId="77777777" w:rsidR="00CC2197" w:rsidRPr="00020A5B" w:rsidRDefault="00CC2197" w:rsidP="00CC2197">
      <w:pPr>
        <w:pStyle w:val="Textonotapie"/>
        <w:ind w:right="51"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w:t>
      </w:r>
      <w:r w:rsidRPr="00020A5B">
        <w:rPr>
          <w:rFonts w:ascii="Verdana" w:hAnsi="Verdana" w:cs="Arial"/>
          <w:sz w:val="16"/>
          <w:szCs w:val="16"/>
          <w:lang w:val="es-ES"/>
        </w:rPr>
        <w:t xml:space="preserve">[25] </w:t>
      </w:r>
      <w:r w:rsidRPr="00020A5B">
        <w:rPr>
          <w:rFonts w:ascii="Verdana" w:hAnsi="Verdana" w:cs="Arial"/>
          <w:sz w:val="16"/>
          <w:szCs w:val="16"/>
        </w:rPr>
        <w:t>Cfr. Consejo de Estado. Sección Tercera. Sentencia de 3 de diciembre de 2007. Radicados: 24.715, 25.206, 25.409, 24.524, 27.834, 25.410, 26.105, 28.244, 31.447 -acumulados-”.</w:t>
      </w:r>
    </w:p>
    <w:p w14:paraId="23B10053" w14:textId="77777777" w:rsidR="00CC2197" w:rsidRPr="00020A5B" w:rsidRDefault="00CC2197" w:rsidP="00CC2197">
      <w:pPr>
        <w:pStyle w:val="Textonotapie"/>
        <w:ind w:right="51" w:firstLine="709"/>
        <w:contextualSpacing/>
        <w:jc w:val="both"/>
        <w:rPr>
          <w:rFonts w:ascii="Verdana" w:hAnsi="Verdana" w:cs="Arial"/>
          <w:sz w:val="16"/>
          <w:szCs w:val="16"/>
        </w:rPr>
      </w:pPr>
    </w:p>
  </w:footnote>
  <w:footnote w:id="2">
    <w:p w14:paraId="58663383" w14:textId="77777777" w:rsidR="00CC2197" w:rsidRPr="00020A5B" w:rsidRDefault="00CC2197" w:rsidP="00CC2197">
      <w:pPr>
        <w:pStyle w:val="Textonotapie"/>
        <w:ind w:right="51"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w:t>
      </w:r>
      <w:bookmarkStart w:id="7" w:name="_Hlk74294506"/>
      <w:r w:rsidRPr="00020A5B">
        <w:rPr>
          <w:rFonts w:ascii="Verdana" w:hAnsi="Verdana" w:cs="Arial"/>
          <w:sz w:val="16"/>
          <w:szCs w:val="16"/>
        </w:rPr>
        <w:t>“</w:t>
      </w:r>
      <w:r w:rsidRPr="00020A5B">
        <w:rPr>
          <w:rFonts w:ascii="Verdana" w:hAnsi="Verdana" w:cs="Arial"/>
          <w:sz w:val="16"/>
          <w:szCs w:val="16"/>
          <w:lang w:val="es-ES"/>
        </w:rPr>
        <w:t xml:space="preserve">[26] </w:t>
      </w:r>
      <w:bookmarkEnd w:id="7"/>
      <w:r w:rsidRPr="00020A5B">
        <w:rPr>
          <w:rFonts w:ascii="Verdana" w:hAnsi="Verdana" w:cs="Arial"/>
          <w:sz w:val="16"/>
          <w:szCs w:val="16"/>
        </w:rPr>
        <w:t>Al respecto ver el concepto 1712 de 2 de febrero de 2006. Consejo de Estado Sala de Consulta y Servicio Civil”.</w:t>
      </w:r>
    </w:p>
    <w:p w14:paraId="63D30DBE" w14:textId="77777777" w:rsidR="00CC2197" w:rsidRPr="00020A5B" w:rsidRDefault="00CC2197" w:rsidP="00CC2197">
      <w:pPr>
        <w:pStyle w:val="Textonotapie"/>
        <w:ind w:right="51" w:firstLine="709"/>
        <w:contextualSpacing/>
        <w:jc w:val="both"/>
        <w:rPr>
          <w:rFonts w:ascii="Verdana" w:hAnsi="Verdana" w:cs="Arial"/>
          <w:sz w:val="16"/>
          <w:szCs w:val="16"/>
        </w:rPr>
      </w:pPr>
    </w:p>
  </w:footnote>
  <w:footnote w:id="3">
    <w:p w14:paraId="32C3141B" w14:textId="77777777" w:rsidR="00CC2197" w:rsidRPr="00020A5B" w:rsidRDefault="00CC2197" w:rsidP="00CC2197">
      <w:pPr>
        <w:pStyle w:val="Textonotapie"/>
        <w:ind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00E720BC" w14:textId="77777777" w:rsidR="00CC2197" w:rsidRPr="00020A5B" w:rsidRDefault="00CC2197" w:rsidP="00CC2197">
      <w:pPr>
        <w:pStyle w:val="Textonotapie"/>
        <w:ind w:firstLine="709"/>
        <w:contextualSpacing/>
        <w:jc w:val="both"/>
        <w:rPr>
          <w:rFonts w:ascii="Verdana" w:hAnsi="Verdana" w:cs="Arial"/>
          <w:sz w:val="16"/>
          <w:szCs w:val="16"/>
        </w:rPr>
      </w:pPr>
    </w:p>
  </w:footnote>
  <w:footnote w:id="4">
    <w:p w14:paraId="3DDF865E" w14:textId="77777777" w:rsidR="00CC2197" w:rsidRPr="00020A5B" w:rsidRDefault="00CC2197" w:rsidP="00CC2197">
      <w:pPr>
        <w:pStyle w:val="Textonotapie"/>
        <w:ind w:firstLine="709"/>
        <w:contextualSpacing/>
        <w:jc w:val="both"/>
        <w:rPr>
          <w:rFonts w:ascii="Verdana" w:hAnsi="Verdana" w:cs="Arial"/>
          <w:sz w:val="16"/>
          <w:szCs w:val="16"/>
          <w:lang w:val="es-ES"/>
        </w:rPr>
      </w:pPr>
      <w:r w:rsidRPr="00020A5B">
        <w:rPr>
          <w:rStyle w:val="Refdenotaalpie"/>
          <w:rFonts w:ascii="Verdana" w:hAnsi="Verdana" w:cs="Arial"/>
          <w:sz w:val="16"/>
          <w:szCs w:val="16"/>
        </w:rPr>
        <w:footnoteRef/>
      </w:r>
      <w:r w:rsidRPr="00020A5B">
        <w:rPr>
          <w:rFonts w:ascii="Verdana" w:hAnsi="Verdana" w:cs="Arial"/>
          <w:sz w:val="16"/>
          <w:szCs w:val="16"/>
        </w:rPr>
        <w:t xml:space="preserve"> </w:t>
      </w:r>
      <w:r w:rsidRPr="00020A5B">
        <w:rPr>
          <w:rFonts w:ascii="Verdana" w:hAnsi="Verdana" w:cs="Arial"/>
          <w:sz w:val="16"/>
          <w:szCs w:val="16"/>
          <w:lang w:val="es-ES"/>
        </w:rPr>
        <w:t xml:space="preserve">Artículo 2. </w:t>
      </w:r>
    </w:p>
  </w:footnote>
  <w:footnote w:id="5">
    <w:p w14:paraId="43329539" w14:textId="77777777" w:rsidR="00CC2197" w:rsidRPr="00020A5B" w:rsidRDefault="00CC2197" w:rsidP="00CC2197">
      <w:pPr>
        <w:pStyle w:val="Textonotapie"/>
        <w:ind w:firstLine="709"/>
        <w:contextualSpacing/>
        <w:jc w:val="both"/>
        <w:rPr>
          <w:rFonts w:ascii="Verdana" w:hAnsi="Verdana" w:cs="Arial"/>
          <w:sz w:val="16"/>
          <w:szCs w:val="16"/>
        </w:rPr>
      </w:pPr>
    </w:p>
    <w:p w14:paraId="06937F2E" w14:textId="77777777" w:rsidR="00CC2197" w:rsidRPr="00020A5B" w:rsidRDefault="00CC2197" w:rsidP="00CC2197">
      <w:pPr>
        <w:pStyle w:val="Textonotapie"/>
        <w:ind w:firstLine="709"/>
        <w:contextualSpacing/>
        <w:jc w:val="both"/>
        <w:rPr>
          <w:rFonts w:ascii="Verdana" w:hAnsi="Verdana" w:cs="Arial"/>
          <w:sz w:val="16"/>
          <w:szCs w:val="16"/>
          <w:lang w:val="es-ES"/>
        </w:rPr>
      </w:pPr>
      <w:r w:rsidRPr="00020A5B">
        <w:rPr>
          <w:rStyle w:val="Refdenotaalpie"/>
          <w:rFonts w:ascii="Verdana" w:hAnsi="Verdana" w:cs="Arial"/>
          <w:sz w:val="16"/>
          <w:szCs w:val="16"/>
        </w:rPr>
        <w:footnoteRef/>
      </w:r>
      <w:r w:rsidRPr="00020A5B">
        <w:rPr>
          <w:rFonts w:ascii="Verdana" w:hAnsi="Verdana" w:cs="Arial"/>
          <w:sz w:val="16"/>
          <w:szCs w:val="16"/>
        </w:rPr>
        <w:t xml:space="preserve"> </w:t>
      </w:r>
      <w:r w:rsidRPr="00020A5B">
        <w:rPr>
          <w:rFonts w:ascii="Verdana" w:hAnsi="Verdana" w:cs="Arial"/>
          <w:i/>
          <w:sz w:val="16"/>
          <w:szCs w:val="16"/>
          <w:lang w:val="es-ES"/>
        </w:rPr>
        <w:t>Ídem</w:t>
      </w:r>
      <w:r w:rsidRPr="00020A5B">
        <w:rPr>
          <w:rFonts w:ascii="Verdana" w:hAnsi="Verdana" w:cs="Arial"/>
          <w:sz w:val="16"/>
          <w:szCs w:val="16"/>
          <w:lang w:val="es-ES"/>
        </w:rPr>
        <w:t>.</w:t>
      </w:r>
    </w:p>
  </w:footnote>
  <w:footnote w:id="6">
    <w:p w14:paraId="6382C886" w14:textId="77777777" w:rsidR="00CC2197" w:rsidRPr="00020A5B" w:rsidRDefault="00CC2197" w:rsidP="00CC2197">
      <w:pPr>
        <w:pStyle w:val="Textonotapie"/>
        <w:ind w:firstLine="709"/>
        <w:contextualSpacing/>
        <w:jc w:val="both"/>
        <w:rPr>
          <w:rFonts w:ascii="Verdana" w:hAnsi="Verdana" w:cs="Arial"/>
          <w:sz w:val="16"/>
          <w:szCs w:val="16"/>
          <w:lang w:val="es-ES"/>
        </w:rPr>
      </w:pPr>
      <w:r w:rsidRPr="00020A5B">
        <w:rPr>
          <w:rStyle w:val="Refdenotaalpie"/>
          <w:rFonts w:ascii="Verdana" w:hAnsi="Verdana" w:cs="Arial"/>
          <w:sz w:val="16"/>
          <w:szCs w:val="16"/>
        </w:rPr>
        <w:footnoteRef/>
      </w:r>
      <w:r w:rsidRPr="00020A5B">
        <w:rPr>
          <w:rStyle w:val="Refdenotaalpie"/>
          <w:rFonts w:ascii="Verdana" w:hAnsi="Verdana" w:cs="Arial"/>
          <w:sz w:val="16"/>
          <w:szCs w:val="16"/>
        </w:rPr>
        <w:t xml:space="preserve"> </w:t>
      </w:r>
      <w:r w:rsidRPr="00020A5B">
        <w:rPr>
          <w:rFonts w:ascii="Verdana" w:hAnsi="Verdana" w:cs="Arial"/>
          <w:sz w:val="16"/>
          <w:szCs w:val="16"/>
          <w:lang w:val="es-ES"/>
        </w:rPr>
        <w:t xml:space="preserve">“[…] A este respecto, cabe recordar que el artículo 860 del Código de Comercio regula la licitación en el derecho privado”. </w:t>
      </w:r>
    </w:p>
    <w:p w14:paraId="2B539B17" w14:textId="77777777" w:rsidR="00CC2197" w:rsidRPr="00020A5B" w:rsidRDefault="00CC2197" w:rsidP="00CC2197">
      <w:pPr>
        <w:pStyle w:val="Textonotapie"/>
        <w:ind w:firstLine="709"/>
        <w:contextualSpacing/>
        <w:jc w:val="both"/>
        <w:rPr>
          <w:rFonts w:ascii="Verdana" w:hAnsi="Verdana" w:cs="Arial"/>
          <w:sz w:val="16"/>
          <w:szCs w:val="16"/>
          <w:lang w:val="es-ES"/>
        </w:rPr>
      </w:pPr>
    </w:p>
  </w:footnote>
  <w:footnote w:id="7">
    <w:p w14:paraId="41719619" w14:textId="77777777" w:rsidR="00CC2197" w:rsidRPr="00020A5B" w:rsidRDefault="00CC2197" w:rsidP="00CC2197">
      <w:pPr>
        <w:shd w:val="clear" w:color="auto" w:fill="FFFFFF"/>
        <w:spacing w:after="0" w:line="240" w:lineRule="auto"/>
        <w:ind w:firstLine="709"/>
        <w:contextualSpacing/>
        <w:jc w:val="both"/>
        <w:rPr>
          <w:rFonts w:ascii="Verdana" w:hAnsi="Verdana" w:cs="Arial"/>
          <w:sz w:val="16"/>
          <w:szCs w:val="16"/>
          <w:lang w:val="es-ES"/>
        </w:rPr>
      </w:pPr>
      <w:r w:rsidRPr="00020A5B">
        <w:rPr>
          <w:rStyle w:val="Refdenotaalpie"/>
          <w:rFonts w:ascii="Verdana" w:hAnsi="Verdana" w:cs="Arial"/>
          <w:sz w:val="16"/>
          <w:szCs w:val="16"/>
        </w:rPr>
        <w:footnoteRef/>
      </w:r>
      <w:r w:rsidRPr="00020A5B">
        <w:rPr>
          <w:rStyle w:val="Refdenotaalpie"/>
          <w:rFonts w:ascii="Verdana" w:hAnsi="Verdana" w:cs="Arial"/>
          <w:sz w:val="16"/>
          <w:szCs w:val="16"/>
        </w:rPr>
        <w:t xml:space="preserve"> </w:t>
      </w:r>
      <w:r w:rsidRPr="00020A5B">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8">
    <w:p w14:paraId="3D9827A1" w14:textId="77777777" w:rsidR="00CC2197" w:rsidRPr="00020A5B" w:rsidRDefault="00CC2197" w:rsidP="00CC2197">
      <w:pPr>
        <w:pStyle w:val="Textonotapie"/>
        <w:ind w:firstLine="709"/>
        <w:contextualSpacing/>
        <w:jc w:val="both"/>
        <w:rPr>
          <w:rFonts w:ascii="Verdana" w:hAnsi="Verdana" w:cs="Arial"/>
          <w:sz w:val="16"/>
          <w:szCs w:val="16"/>
        </w:rPr>
      </w:pPr>
    </w:p>
    <w:p w14:paraId="11353092" w14:textId="77777777" w:rsidR="00CC2197" w:rsidRPr="00020A5B" w:rsidRDefault="00CC2197" w:rsidP="00CC2197">
      <w:pPr>
        <w:pStyle w:val="Textonotapie"/>
        <w:ind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Consejo de Estado. Sala de Consulta y Servicio Civil. Concepto del 08 de mayo de 2018. </w:t>
      </w:r>
      <w:proofErr w:type="spellStart"/>
      <w:r w:rsidRPr="00020A5B">
        <w:rPr>
          <w:rFonts w:ascii="Verdana" w:hAnsi="Verdana" w:cs="Arial"/>
          <w:sz w:val="16"/>
          <w:szCs w:val="16"/>
        </w:rPr>
        <w:t>Exp</w:t>
      </w:r>
      <w:proofErr w:type="spellEnd"/>
      <w:r w:rsidRPr="00020A5B">
        <w:rPr>
          <w:rFonts w:ascii="Verdana" w:hAnsi="Verdana" w:cs="Arial"/>
          <w:sz w:val="16"/>
          <w:szCs w:val="16"/>
        </w:rPr>
        <w:t>. 2.382. C.P. Álvaro Namén Vargas.</w:t>
      </w:r>
    </w:p>
    <w:p w14:paraId="409505CA" w14:textId="77777777" w:rsidR="00CC2197" w:rsidRPr="00020A5B" w:rsidRDefault="00CC2197" w:rsidP="00CC2197">
      <w:pPr>
        <w:pStyle w:val="Textonotapie"/>
        <w:ind w:firstLine="709"/>
        <w:contextualSpacing/>
        <w:jc w:val="both"/>
        <w:rPr>
          <w:rFonts w:ascii="Verdana" w:hAnsi="Verdana" w:cs="Arial"/>
          <w:sz w:val="16"/>
          <w:szCs w:val="16"/>
        </w:rPr>
      </w:pPr>
    </w:p>
  </w:footnote>
  <w:footnote w:id="9">
    <w:p w14:paraId="300BEB6D" w14:textId="77777777" w:rsidR="00CC2197" w:rsidRPr="00020A5B" w:rsidRDefault="00CC2197" w:rsidP="00CC2197">
      <w:pPr>
        <w:pStyle w:val="Textonotapie"/>
        <w:ind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020A5B">
        <w:rPr>
          <w:rFonts w:ascii="Verdana" w:hAnsi="Verdana" w:cs="Arial"/>
          <w:sz w:val="16"/>
          <w:szCs w:val="16"/>
        </w:rPr>
        <w:t>N°</w:t>
      </w:r>
      <w:proofErr w:type="spellEnd"/>
      <w:r w:rsidRPr="00020A5B">
        <w:rPr>
          <w:rFonts w:ascii="Verdana" w:hAnsi="Verdana" w:cs="Arial"/>
          <w:sz w:val="16"/>
          <w:szCs w:val="16"/>
        </w:rPr>
        <w:t xml:space="preserve"> 216/05 Senado, </w:t>
      </w:r>
      <w:proofErr w:type="spellStart"/>
      <w:r w:rsidRPr="00020A5B">
        <w:rPr>
          <w:rFonts w:ascii="Verdana" w:hAnsi="Verdana" w:cs="Arial"/>
          <w:sz w:val="16"/>
          <w:szCs w:val="16"/>
        </w:rPr>
        <w:t>N°</w:t>
      </w:r>
      <w:proofErr w:type="spellEnd"/>
      <w:r w:rsidRPr="00020A5B">
        <w:rPr>
          <w:rFonts w:ascii="Verdana" w:hAnsi="Verdana" w:cs="Arial"/>
          <w:sz w:val="16"/>
          <w:szCs w:val="16"/>
        </w:rPr>
        <w:t xml:space="preserve"> 235-Cámara que dio lugar a la Ley de Garantías Electorales.</w:t>
      </w:r>
    </w:p>
    <w:p w14:paraId="545394A8" w14:textId="77777777" w:rsidR="00CC2197" w:rsidRPr="00020A5B" w:rsidRDefault="00CC2197" w:rsidP="00CC2197">
      <w:pPr>
        <w:pStyle w:val="Textonotapie"/>
        <w:ind w:firstLine="709"/>
        <w:contextualSpacing/>
        <w:jc w:val="both"/>
        <w:rPr>
          <w:rFonts w:ascii="Verdana" w:hAnsi="Verdana" w:cs="Arial"/>
          <w:sz w:val="16"/>
          <w:szCs w:val="16"/>
        </w:rPr>
      </w:pPr>
    </w:p>
  </w:footnote>
  <w:footnote w:id="10">
    <w:p w14:paraId="257AC5A1" w14:textId="77777777" w:rsidR="00CC2197" w:rsidRPr="00020A5B" w:rsidRDefault="00CC2197" w:rsidP="00CC2197">
      <w:pPr>
        <w:spacing w:after="0" w:line="240" w:lineRule="auto"/>
        <w:ind w:firstLine="708"/>
        <w:contextualSpacing/>
        <w:jc w:val="both"/>
        <w:rPr>
          <w:rFonts w:ascii="Verdana" w:hAnsi="Verdana" w:cs="Arial"/>
          <w:color w:val="000000" w:themeColor="text1"/>
          <w:sz w:val="16"/>
          <w:szCs w:val="16"/>
          <w:lang w:val="es-ES"/>
        </w:rPr>
      </w:pPr>
      <w:r w:rsidRPr="00020A5B">
        <w:rPr>
          <w:rStyle w:val="Refdenotaalpie"/>
          <w:rFonts w:ascii="Verdana" w:hAnsi="Verdana" w:cs="Arial"/>
          <w:sz w:val="16"/>
          <w:szCs w:val="16"/>
        </w:rPr>
        <w:footnoteRef/>
      </w:r>
      <w:r w:rsidRPr="00020A5B">
        <w:rPr>
          <w:rFonts w:ascii="Verdana" w:hAnsi="Verdana" w:cs="Arial"/>
          <w:sz w:val="16"/>
          <w:szCs w:val="16"/>
        </w:rPr>
        <w:t xml:space="preserve"> Ley 80 de 1993. “</w:t>
      </w:r>
      <w:r w:rsidRPr="00020A5B">
        <w:rPr>
          <w:rFonts w:ascii="Verdana" w:hAnsi="Verdana" w:cs="Arial"/>
          <w:color w:val="000000" w:themeColor="text1"/>
          <w:sz w:val="16"/>
          <w:szCs w:val="16"/>
          <w:lang w:val="es-ES"/>
        </w:rPr>
        <w:t>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p w14:paraId="71FC67BC" w14:textId="77777777" w:rsidR="00CC2197" w:rsidRPr="00020A5B" w:rsidRDefault="00CC2197" w:rsidP="00CC2197">
      <w:pPr>
        <w:pStyle w:val="Textonotapie"/>
        <w:contextualSpacing/>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046EC"/>
    <w:rsid w:val="00116940"/>
    <w:rsid w:val="00125105"/>
    <w:rsid w:val="00127233"/>
    <w:rsid w:val="001440DD"/>
    <w:rsid w:val="0015699B"/>
    <w:rsid w:val="001A33BF"/>
    <w:rsid w:val="001E4177"/>
    <w:rsid w:val="001E7E08"/>
    <w:rsid w:val="001F0B24"/>
    <w:rsid w:val="001F7DC6"/>
    <w:rsid w:val="0022400B"/>
    <w:rsid w:val="00232A14"/>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76412"/>
    <w:rsid w:val="004A1847"/>
    <w:rsid w:val="004A305D"/>
    <w:rsid w:val="004F21C4"/>
    <w:rsid w:val="004F685F"/>
    <w:rsid w:val="005566E8"/>
    <w:rsid w:val="00574867"/>
    <w:rsid w:val="00577F3C"/>
    <w:rsid w:val="00591460"/>
    <w:rsid w:val="005A65E0"/>
    <w:rsid w:val="005C3777"/>
    <w:rsid w:val="005C5CDC"/>
    <w:rsid w:val="005D476C"/>
    <w:rsid w:val="005F5D0F"/>
    <w:rsid w:val="006200BF"/>
    <w:rsid w:val="006219F8"/>
    <w:rsid w:val="006302F7"/>
    <w:rsid w:val="00646B9F"/>
    <w:rsid w:val="0066381D"/>
    <w:rsid w:val="00665D70"/>
    <w:rsid w:val="0067474A"/>
    <w:rsid w:val="006900D9"/>
    <w:rsid w:val="006E283D"/>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316E4"/>
    <w:rsid w:val="00844AE9"/>
    <w:rsid w:val="00867F95"/>
    <w:rsid w:val="008843B6"/>
    <w:rsid w:val="00891928"/>
    <w:rsid w:val="008A446D"/>
    <w:rsid w:val="008B25F1"/>
    <w:rsid w:val="008D180B"/>
    <w:rsid w:val="008F0EA7"/>
    <w:rsid w:val="00911E93"/>
    <w:rsid w:val="00923EEF"/>
    <w:rsid w:val="0093138C"/>
    <w:rsid w:val="009419F9"/>
    <w:rsid w:val="0095685E"/>
    <w:rsid w:val="00961B09"/>
    <w:rsid w:val="00965334"/>
    <w:rsid w:val="0097093E"/>
    <w:rsid w:val="00972587"/>
    <w:rsid w:val="00995C7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F6F48"/>
    <w:rsid w:val="00B00C0E"/>
    <w:rsid w:val="00B01B1A"/>
    <w:rsid w:val="00B0381D"/>
    <w:rsid w:val="00B44A47"/>
    <w:rsid w:val="00B72CD3"/>
    <w:rsid w:val="00B72FFF"/>
    <w:rsid w:val="00BC1714"/>
    <w:rsid w:val="00BC3D36"/>
    <w:rsid w:val="00BD54A6"/>
    <w:rsid w:val="00BD7F72"/>
    <w:rsid w:val="00BF7425"/>
    <w:rsid w:val="00C04FB3"/>
    <w:rsid w:val="00C11D8B"/>
    <w:rsid w:val="00C15139"/>
    <w:rsid w:val="00C330EB"/>
    <w:rsid w:val="00C50D69"/>
    <w:rsid w:val="00C5365C"/>
    <w:rsid w:val="00C754BE"/>
    <w:rsid w:val="00C76B1C"/>
    <w:rsid w:val="00C925AC"/>
    <w:rsid w:val="00C979A2"/>
    <w:rsid w:val="00CB6357"/>
    <w:rsid w:val="00CC1B26"/>
    <w:rsid w:val="00CC2197"/>
    <w:rsid w:val="00CD54AA"/>
    <w:rsid w:val="00CE0D5C"/>
    <w:rsid w:val="00CE1A92"/>
    <w:rsid w:val="00D01505"/>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5FC8"/>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4058"/>
    <w:rsid w:val="00F5664F"/>
    <w:rsid w:val="00F666C4"/>
    <w:rsid w:val="00F76AFC"/>
    <w:rsid w:val="00F809B6"/>
    <w:rsid w:val="00FA47C0"/>
    <w:rsid w:val="00FB5DD1"/>
    <w:rsid w:val="00FC2B5D"/>
    <w:rsid w:val="00FC5AB5"/>
    <w:rsid w:val="00FF1449"/>
    <w:rsid w:val="00FF7963"/>
    <w:rsid w:val="071B8F93"/>
    <w:rsid w:val="09908A09"/>
    <w:rsid w:val="0FF4CCA8"/>
    <w:rsid w:val="13CFC91B"/>
    <w:rsid w:val="19A2EC2C"/>
    <w:rsid w:val="1F1BB926"/>
    <w:rsid w:val="2859CA1B"/>
    <w:rsid w:val="32A4F9CF"/>
    <w:rsid w:val="356CEDFD"/>
    <w:rsid w:val="546B55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F5D0F"/>
    <w:rPr>
      <w:rFonts w:ascii="Geomanist Light" w:hAnsi="Geomanist Light"/>
      <w:lang w:val="es-ES"/>
    </w:rPr>
  </w:style>
  <w:style w:type="paragraph" w:customStyle="1" w:styleId="Appelnotedebasde">
    <w:name w:val="Appel note de bas de..."/>
    <w:basedOn w:val="Normal"/>
    <w:link w:val="Refdenotaalpie"/>
    <w:uiPriority w:val="99"/>
    <w:rsid w:val="005F5D0F"/>
    <w:pPr>
      <w:spacing w:line="240" w:lineRule="exact"/>
    </w:pPr>
    <w:rPr>
      <w:vertAlign w:val="superscript"/>
    </w:rPr>
  </w:style>
  <w:style w:type="character" w:customStyle="1" w:styleId="NormalWebCar">
    <w:name w:val="Normal (Web) Car"/>
    <w:link w:val="NormalWeb"/>
    <w:uiPriority w:val="99"/>
    <w:locked/>
    <w:rsid w:val="005F5D0F"/>
    <w:rPr>
      <w:rFonts w:ascii="Times New Roman" w:eastAsia="Times New Roman" w:hAnsi="Times New Roman" w:cs="Times New Roman"/>
      <w:sz w:val="24"/>
      <w:szCs w:val="24"/>
      <w:lang w:eastAsia="es-CO"/>
    </w:rPr>
  </w:style>
  <w:style w:type="character" w:customStyle="1" w:styleId="baj">
    <w:name w:val="b_aj"/>
    <w:basedOn w:val="Fuentedeprrafopredeter"/>
    <w:rsid w:val="005F5D0F"/>
  </w:style>
  <w:style w:type="character" w:styleId="Refdecomentario">
    <w:name w:val="annotation reference"/>
    <w:basedOn w:val="Fuentedeprrafopredeter"/>
    <w:uiPriority w:val="99"/>
    <w:semiHidden/>
    <w:unhideWhenUsed/>
    <w:rsid w:val="006E283D"/>
    <w:rPr>
      <w:sz w:val="16"/>
      <w:szCs w:val="16"/>
    </w:rPr>
  </w:style>
  <w:style w:type="paragraph" w:styleId="Textocomentario">
    <w:name w:val="annotation text"/>
    <w:basedOn w:val="Normal"/>
    <w:link w:val="TextocomentarioCar"/>
    <w:uiPriority w:val="99"/>
    <w:unhideWhenUsed/>
    <w:rsid w:val="006E283D"/>
    <w:pPr>
      <w:spacing w:line="240" w:lineRule="auto"/>
    </w:pPr>
    <w:rPr>
      <w:sz w:val="20"/>
      <w:szCs w:val="20"/>
    </w:rPr>
  </w:style>
  <w:style w:type="character" w:customStyle="1" w:styleId="TextocomentarioCar">
    <w:name w:val="Texto comentario Car"/>
    <w:basedOn w:val="Fuentedeprrafopredeter"/>
    <w:link w:val="Textocomentario"/>
    <w:uiPriority w:val="99"/>
    <w:rsid w:val="006E283D"/>
    <w:rPr>
      <w:sz w:val="20"/>
      <w:szCs w:val="20"/>
    </w:rPr>
  </w:style>
  <w:style w:type="paragraph" w:styleId="Asuntodelcomentario">
    <w:name w:val="annotation subject"/>
    <w:basedOn w:val="Textocomentario"/>
    <w:next w:val="Textocomentario"/>
    <w:link w:val="AsuntodelcomentarioCar"/>
    <w:uiPriority w:val="99"/>
    <w:semiHidden/>
    <w:unhideWhenUsed/>
    <w:rsid w:val="006E283D"/>
    <w:rPr>
      <w:b/>
      <w:bCs/>
    </w:rPr>
  </w:style>
  <w:style w:type="character" w:customStyle="1" w:styleId="AsuntodelcomentarioCar">
    <w:name w:val="Asunto del comentario Car"/>
    <w:basedOn w:val="TextocomentarioCar"/>
    <w:link w:val="Asuntodelcomentario"/>
    <w:uiPriority w:val="99"/>
    <w:semiHidden/>
    <w:rsid w:val="006E283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sites/cce_public/files/cce_circulares/cce-eicp-ma-06_circular_externa_con_comentarios_de_ciudadanos-_v2f_002.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chila@cremil.gov.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BB359EB-279C-400F-97BF-6629C6F01E37}"/>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14</Pages>
  <Words>4368</Words>
  <Characters>23417</Characters>
  <Application>Microsoft Office Word</Application>
  <DocSecurity>0</DocSecurity>
  <Lines>477</Lines>
  <Paragraphs>119</Paragraphs>
  <ScaleCrop>false</ScaleCrop>
  <Company/>
  <LinksUpToDate>false</LinksUpToDate>
  <CharactersWithSpaces>27666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8</cp:revision>
  <cp:lastPrinted>2023-01-10T21:18:00Z</cp:lastPrinted>
  <dcterms:created xsi:type="dcterms:W3CDTF">2026-02-09T16:05:00Z</dcterms:created>
  <dcterms:modified xsi:type="dcterms:W3CDTF">2026-02-10T13:57:00Z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