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532A9" w14:textId="77777777" w:rsidR="00145A03" w:rsidRPr="001D1B48" w:rsidRDefault="00145A03" w:rsidP="00145A03">
      <w:pPr>
        <w:spacing w:after="0" w:line="240" w:lineRule="auto"/>
        <w:jc w:val="both"/>
        <w:rPr>
          <w:rFonts w:ascii="Verdana" w:eastAsia="Calibri" w:hAnsi="Verdana" w:cs="Arial"/>
          <w:b/>
          <w:bCs/>
          <w:lang w:val="es-ES"/>
        </w:rPr>
      </w:pPr>
      <w:r w:rsidRPr="001D1B48">
        <w:rPr>
          <w:rFonts w:ascii="Verdana" w:eastAsia="Calibri" w:hAnsi="Verdana" w:cs="Arial"/>
          <w:b/>
          <w:bCs/>
          <w:lang w:val="es-ES"/>
        </w:rPr>
        <w:t xml:space="preserve">INHABILIDADES E INCOMPATIBILIDADES – Límites a la capacidad – Régimen </w:t>
      </w:r>
    </w:p>
    <w:p w14:paraId="3D752B1A" w14:textId="77777777" w:rsidR="00145A03" w:rsidRPr="001D1B48" w:rsidRDefault="00145A03" w:rsidP="00145A03">
      <w:pPr>
        <w:spacing w:after="0" w:line="240" w:lineRule="auto"/>
        <w:jc w:val="both"/>
        <w:rPr>
          <w:rFonts w:ascii="Verdana" w:eastAsia="Calibri" w:hAnsi="Verdana" w:cs="Arial"/>
          <w:sz w:val="20"/>
          <w:szCs w:val="20"/>
          <w:lang w:val="es-ES"/>
        </w:rPr>
      </w:pPr>
    </w:p>
    <w:p w14:paraId="530356A4" w14:textId="77777777" w:rsidR="00145A03" w:rsidRPr="001D1B48" w:rsidRDefault="00145A03" w:rsidP="00145A03">
      <w:pPr>
        <w:spacing w:after="0" w:line="240" w:lineRule="auto"/>
        <w:jc w:val="both"/>
        <w:rPr>
          <w:rFonts w:ascii="Verdana" w:eastAsia="Aptos" w:hAnsi="Verdana" w:cs="Arial"/>
          <w:sz w:val="20"/>
          <w:szCs w:val="20"/>
        </w:rPr>
      </w:pPr>
      <w:r w:rsidRPr="001D1B48">
        <w:rPr>
          <w:rFonts w:ascii="Verdana" w:eastAsia="Calibri" w:hAnsi="Verdana" w:cs="Arial"/>
          <w:sz w:val="20"/>
          <w:szCs w:val="20"/>
          <w:lang w:val="es-ES"/>
        </w:rPr>
        <w:t xml:space="preserve">[…] </w:t>
      </w:r>
      <w:r w:rsidRPr="001D1B48">
        <w:rPr>
          <w:rFonts w:ascii="Verdana" w:eastAsia="Calibri" w:hAnsi="Verdana" w:cs="Arial"/>
          <w:sz w:val="20"/>
          <w:szCs w:val="20"/>
          <w:lang w:val="es-ES_tradnl" w:eastAsia="es-ES_tradnl"/>
        </w:rPr>
        <w:t>e</w:t>
      </w:r>
      <w:r w:rsidRPr="001D1B48">
        <w:rPr>
          <w:rFonts w:ascii="Verdana" w:eastAsia="Aptos" w:hAnsi="Verdana" w:cs="Arial"/>
          <w:sz w:val="20"/>
          <w:szCs w:val="20"/>
          <w:lang w:val="es-MX"/>
        </w:rPr>
        <w:t xml:space="preserv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w:t>
      </w:r>
      <w:r w:rsidRPr="001D1B48">
        <w:rPr>
          <w:rFonts w:ascii="Verdana" w:eastAsia="Aptos" w:hAnsi="Verdana" w:cs="Arial"/>
          <w:sz w:val="20"/>
          <w:szCs w:val="20"/>
        </w:rPr>
        <w:t>consagradas</w:t>
      </w:r>
      <w:r w:rsidRPr="001D1B48">
        <w:rPr>
          <w:rFonts w:ascii="Verdana" w:eastAsia="Aptos" w:hAnsi="Verdana" w:cs="Arial"/>
          <w:sz w:val="20"/>
          <w:szCs w:val="20"/>
          <w:lang w:val="es-MX"/>
        </w:rPr>
        <w:t xml:space="preserve"> por el ordenamiento jurídico</w:t>
      </w:r>
      <w:r w:rsidRPr="001D1B48">
        <w:rPr>
          <w:rFonts w:ascii="Verdana" w:eastAsia="Aptos" w:hAnsi="Verdana" w:cs="Arial"/>
          <w:sz w:val="20"/>
          <w:szCs w:val="20"/>
        </w:rPr>
        <w:t xml:space="preserve">. </w:t>
      </w:r>
    </w:p>
    <w:p w14:paraId="421FB562" w14:textId="77777777" w:rsidR="00145A03" w:rsidRPr="001D1B48" w:rsidRDefault="00145A03" w:rsidP="00145A03">
      <w:pPr>
        <w:spacing w:after="0" w:line="240" w:lineRule="auto"/>
        <w:jc w:val="both"/>
        <w:rPr>
          <w:rFonts w:ascii="Verdana" w:eastAsia="Calibri" w:hAnsi="Verdana" w:cs="Arial"/>
          <w:sz w:val="20"/>
          <w:szCs w:val="20"/>
        </w:rPr>
      </w:pPr>
    </w:p>
    <w:p w14:paraId="557E4857" w14:textId="77777777" w:rsidR="00145A03" w:rsidRPr="001D1B48" w:rsidRDefault="00145A03" w:rsidP="00145A03">
      <w:pPr>
        <w:spacing w:after="0" w:line="240" w:lineRule="auto"/>
        <w:jc w:val="both"/>
        <w:rPr>
          <w:rFonts w:ascii="Verdana" w:eastAsia="Calibri" w:hAnsi="Verdana" w:cs="Arial"/>
          <w:b/>
          <w:bCs/>
          <w:lang w:val="es-ES"/>
        </w:rPr>
      </w:pPr>
      <w:r w:rsidRPr="001D1B48">
        <w:rPr>
          <w:rFonts w:ascii="Verdana" w:eastAsia="Calibri" w:hAnsi="Verdana" w:cs="Arial"/>
          <w:b/>
          <w:bCs/>
          <w:lang w:val="es-ES"/>
        </w:rPr>
        <w:t xml:space="preserve">INHABILIDADES E INCOMPATIBILIDADES – Concepto </w:t>
      </w:r>
    </w:p>
    <w:p w14:paraId="68AA2657" w14:textId="77777777" w:rsidR="00145A03" w:rsidRPr="001D1B48" w:rsidRDefault="00145A03" w:rsidP="00145A03">
      <w:pPr>
        <w:spacing w:after="0" w:line="240" w:lineRule="auto"/>
        <w:jc w:val="both"/>
        <w:rPr>
          <w:rFonts w:ascii="Verdana" w:eastAsia="Calibri" w:hAnsi="Verdana" w:cs="Arial"/>
          <w:b/>
          <w:bCs/>
          <w:sz w:val="20"/>
          <w:szCs w:val="20"/>
          <w:lang w:val="es-ES"/>
        </w:rPr>
      </w:pPr>
    </w:p>
    <w:p w14:paraId="628DD7A8" w14:textId="77777777" w:rsidR="00145A03" w:rsidRPr="001D1B48" w:rsidRDefault="00145A03" w:rsidP="00145A03">
      <w:pPr>
        <w:spacing w:after="0" w:line="240" w:lineRule="auto"/>
        <w:jc w:val="both"/>
        <w:rPr>
          <w:rFonts w:ascii="Verdana" w:eastAsia="Aptos" w:hAnsi="Verdana" w:cs="Arial"/>
          <w:sz w:val="20"/>
          <w:szCs w:val="20"/>
          <w:lang w:val="es-MX"/>
        </w:rPr>
      </w:pPr>
      <w:r w:rsidRPr="001D1B48">
        <w:rPr>
          <w:rFonts w:ascii="Verdana" w:eastAsia="Aptos" w:hAnsi="Verdana" w:cs="Arial"/>
          <w:sz w:val="20"/>
          <w:szCs w:val="20"/>
        </w:rPr>
        <w:t>La</w:t>
      </w:r>
      <w:r w:rsidRPr="001D1B48">
        <w:rPr>
          <w:rFonts w:ascii="Verdana" w:eastAsia="Aptos" w:hAnsi="Verdana" w:cs="Arial"/>
          <w:sz w:val="20"/>
          <w:szCs w:val="20"/>
          <w:lang w:val="es-MX"/>
        </w:rPr>
        <w:t xml:space="preserve">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1D1B48">
        <w:rPr>
          <w:rFonts w:ascii="Verdana" w:hAnsi="Verdana"/>
          <w:sz w:val="20"/>
          <w:szCs w:val="20"/>
          <w:vertAlign w:val="superscript"/>
          <w:lang w:val="es-MX"/>
        </w:rPr>
        <w:t>.</w:t>
      </w:r>
    </w:p>
    <w:p w14:paraId="76973220" w14:textId="77777777" w:rsidR="00145A03" w:rsidRPr="001D1B48" w:rsidRDefault="00145A03" w:rsidP="00145A03">
      <w:pPr>
        <w:pStyle w:val="Prrafodelista"/>
        <w:spacing w:after="0" w:line="240" w:lineRule="auto"/>
        <w:ind w:left="360"/>
        <w:contextualSpacing w:val="0"/>
        <w:jc w:val="both"/>
        <w:rPr>
          <w:rFonts w:ascii="Verdana" w:eastAsia="Aptos" w:hAnsi="Verdana" w:cs="Arial"/>
          <w:sz w:val="20"/>
          <w:szCs w:val="20"/>
          <w:lang w:val="es-MX"/>
        </w:rPr>
      </w:pPr>
    </w:p>
    <w:p w14:paraId="216AFD9F" w14:textId="77777777" w:rsidR="00145A03" w:rsidRPr="001D1B48" w:rsidRDefault="00145A03" w:rsidP="00145A03">
      <w:pPr>
        <w:spacing w:after="0" w:line="240" w:lineRule="auto"/>
        <w:jc w:val="both"/>
        <w:rPr>
          <w:rFonts w:ascii="Verdana" w:eastAsia="Aptos" w:hAnsi="Verdana" w:cs="Arial"/>
          <w:sz w:val="20"/>
          <w:szCs w:val="20"/>
          <w:lang w:val="es-MX"/>
        </w:rPr>
      </w:pPr>
      <w:r w:rsidRPr="33F06424">
        <w:rPr>
          <w:rFonts w:ascii="Verdana" w:eastAsia="Aptos" w:hAnsi="Verdana" w:cs="Arial"/>
          <w:sz w:val="20"/>
          <w:szCs w:val="20"/>
          <w:lang w:val="es-MX"/>
        </w:rPr>
        <w:t>La consagración de limitaciones que afectan la capacidad jurídica para contratar desarrolla los principios de la función administrativa consagrados en el artículo 209 de la Constitución Política, con especial énfasis el de moralidad.</w:t>
      </w:r>
    </w:p>
    <w:p w14:paraId="20908A51" w14:textId="77777777" w:rsidR="00145A03" w:rsidRPr="001D1B48" w:rsidRDefault="00145A03" w:rsidP="00145A03">
      <w:pPr>
        <w:spacing w:after="0" w:line="240" w:lineRule="auto"/>
        <w:jc w:val="both"/>
        <w:rPr>
          <w:rFonts w:ascii="Verdana" w:eastAsia="Calibri" w:hAnsi="Verdana" w:cs="Arial"/>
          <w:sz w:val="20"/>
          <w:szCs w:val="20"/>
          <w:lang w:val="es-ES"/>
        </w:rPr>
      </w:pPr>
    </w:p>
    <w:p w14:paraId="6416F8D3" w14:textId="77777777" w:rsidR="00145A03" w:rsidRPr="001D1B48" w:rsidRDefault="00145A03" w:rsidP="00145A03">
      <w:pPr>
        <w:spacing w:after="0" w:line="240" w:lineRule="auto"/>
        <w:jc w:val="both"/>
        <w:rPr>
          <w:rFonts w:ascii="Verdana" w:eastAsia="Aptos" w:hAnsi="Verdana" w:cs="Times New Roman"/>
          <w:b/>
          <w:bCs/>
          <w:shd w:val="clear" w:color="auto" w:fill="FFFFFF"/>
          <w:lang w:val="es-ES"/>
        </w:rPr>
      </w:pPr>
      <w:r w:rsidRPr="001D1B48">
        <w:rPr>
          <w:rFonts w:ascii="Verdana" w:eastAsia="Calibri" w:hAnsi="Verdana" w:cs="Arial"/>
          <w:b/>
          <w:bCs/>
          <w:lang w:val="es-ES"/>
        </w:rPr>
        <w:t xml:space="preserve">INHABILIDADES E INCOMPATIBILIDADES – Interpretación restrictiva – Principio </w:t>
      </w:r>
      <w:r w:rsidRPr="001D1B48">
        <w:rPr>
          <w:rFonts w:ascii="Verdana" w:eastAsia="Calibri" w:hAnsi="Verdana" w:cs="Arial"/>
          <w:b/>
          <w:bCs/>
          <w:i/>
          <w:lang w:val="es-ES"/>
        </w:rPr>
        <w:t xml:space="preserve">pro </w:t>
      </w:r>
      <w:proofErr w:type="spellStart"/>
      <w:r w:rsidRPr="001D1B48">
        <w:rPr>
          <w:rFonts w:ascii="Verdana" w:eastAsia="Calibri" w:hAnsi="Verdana" w:cs="Arial"/>
          <w:b/>
          <w:bCs/>
          <w:i/>
          <w:lang w:val="es-ES"/>
        </w:rPr>
        <w:t>libertate</w:t>
      </w:r>
      <w:proofErr w:type="spellEnd"/>
      <w:r w:rsidRPr="001D1B48">
        <w:rPr>
          <w:rFonts w:ascii="Verdana" w:eastAsia="Aptos" w:hAnsi="Verdana" w:cs="Times New Roman"/>
          <w:b/>
          <w:bCs/>
          <w:shd w:val="clear" w:color="auto" w:fill="FFFFFF"/>
          <w:lang w:val="es-ES"/>
        </w:rPr>
        <w:t xml:space="preserve"> </w:t>
      </w:r>
    </w:p>
    <w:p w14:paraId="6054A7B8" w14:textId="77777777" w:rsidR="00145A03" w:rsidRPr="001D1B48" w:rsidRDefault="00145A03" w:rsidP="00145A03">
      <w:pPr>
        <w:spacing w:after="0" w:line="240" w:lineRule="auto"/>
        <w:jc w:val="both"/>
        <w:rPr>
          <w:rFonts w:ascii="Verdana" w:eastAsia="Aptos" w:hAnsi="Verdana" w:cs="Times New Roman"/>
          <w:b/>
          <w:bCs/>
          <w:sz w:val="20"/>
          <w:szCs w:val="20"/>
          <w:shd w:val="clear" w:color="auto" w:fill="FFFFFF"/>
          <w:lang w:val="es-ES"/>
        </w:rPr>
      </w:pPr>
    </w:p>
    <w:p w14:paraId="2AB31B5B" w14:textId="77777777" w:rsidR="00145A03" w:rsidRPr="001D1B48" w:rsidRDefault="00145A03" w:rsidP="00145A03">
      <w:pPr>
        <w:spacing w:after="0" w:line="240" w:lineRule="auto"/>
        <w:jc w:val="both"/>
        <w:rPr>
          <w:rFonts w:ascii="Verdana" w:eastAsia="Calibri" w:hAnsi="Verdana" w:cs="Arial"/>
          <w:color w:val="000000"/>
          <w:kern w:val="2"/>
          <w:sz w:val="20"/>
          <w:szCs w:val="20"/>
          <w:lang w:eastAsia="es-ES"/>
        </w:rPr>
      </w:pPr>
      <w:r w:rsidRPr="001D1B48">
        <w:rPr>
          <w:rFonts w:ascii="Verdana" w:eastAsia="Aptos" w:hAnsi="Verdana" w:cs="Times New Roman"/>
          <w:sz w:val="20"/>
          <w:szCs w:val="20"/>
          <w:shd w:val="clear" w:color="auto" w:fill="FFFFFF"/>
          <w:lang w:val="es-ES"/>
        </w:rPr>
        <w:t xml:space="preserve">[…] </w:t>
      </w:r>
      <w:r w:rsidRPr="001D1B48">
        <w:rPr>
          <w:rFonts w:ascii="Verdana" w:eastAsia="Calibri" w:hAnsi="Verdana" w:cs="Arial"/>
          <w:color w:val="000000"/>
          <w:kern w:val="2"/>
          <w:sz w:val="20"/>
          <w:szCs w:val="20"/>
          <w:lang w:eastAsia="es-ES"/>
        </w:rPr>
        <w:t xml:space="preserve">el principio pro </w:t>
      </w:r>
      <w:proofErr w:type="spellStart"/>
      <w:r w:rsidRPr="001D1B48">
        <w:rPr>
          <w:rFonts w:ascii="Verdana" w:eastAsia="Calibri" w:hAnsi="Verdana" w:cs="Arial"/>
          <w:color w:val="000000"/>
          <w:kern w:val="2"/>
          <w:sz w:val="20"/>
          <w:szCs w:val="20"/>
          <w:lang w:eastAsia="es-ES"/>
        </w:rPr>
        <w:t>libertate</w:t>
      </w:r>
      <w:proofErr w:type="spellEnd"/>
      <w:r w:rsidRPr="001D1B48">
        <w:rPr>
          <w:rFonts w:ascii="Verdana" w:eastAsia="Calibri" w:hAnsi="Verdana" w:cs="Arial"/>
          <w:color w:val="000000"/>
          <w:kern w:val="2"/>
          <w:sz w:val="20"/>
          <w:szCs w:val="20"/>
          <w:lang w:eastAsia="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342D3FE9" w14:textId="77777777" w:rsidR="00145A03" w:rsidRPr="00B77E42" w:rsidRDefault="00145A03" w:rsidP="00145A03">
      <w:pPr>
        <w:spacing w:after="0" w:line="240" w:lineRule="auto"/>
        <w:jc w:val="both"/>
        <w:rPr>
          <w:rFonts w:ascii="Verdana" w:eastAsia="Aptos" w:hAnsi="Verdana" w:cs="Times New Roman"/>
          <w:sz w:val="20"/>
          <w:szCs w:val="20"/>
          <w:shd w:val="clear" w:color="auto" w:fill="FFFFFF"/>
        </w:rPr>
      </w:pPr>
    </w:p>
    <w:p w14:paraId="46F99CEB" w14:textId="77777777" w:rsidR="00145A03" w:rsidRPr="001D1B48" w:rsidRDefault="00145A03" w:rsidP="00145A03">
      <w:pPr>
        <w:spacing w:after="0" w:line="240" w:lineRule="auto"/>
        <w:jc w:val="both"/>
        <w:rPr>
          <w:rFonts w:ascii="Verdana" w:eastAsia="Aptos" w:hAnsi="Verdana" w:cs="Times New Roman"/>
          <w:b/>
          <w:bCs/>
          <w:shd w:val="clear" w:color="auto" w:fill="FFFFFF"/>
          <w:lang w:val="es-ES"/>
        </w:rPr>
      </w:pPr>
      <w:r w:rsidRPr="001D1B48">
        <w:rPr>
          <w:rFonts w:ascii="Verdana" w:eastAsia="Aptos" w:hAnsi="Verdana" w:cs="Times New Roman"/>
          <w:b/>
          <w:bCs/>
          <w:shd w:val="clear" w:color="auto" w:fill="FFFFFF"/>
          <w:lang w:val="es-ES"/>
        </w:rPr>
        <w:t>INHABILIDADES E INCOMPATIBILIDADES – Ley 80 de 1993 – Artículo 8 – Numeral 2 – Literal B</w:t>
      </w:r>
    </w:p>
    <w:p w14:paraId="7105C3F3" w14:textId="77777777" w:rsidR="00145A03" w:rsidRPr="00AE6F8C" w:rsidRDefault="00145A03" w:rsidP="00145A03">
      <w:pPr>
        <w:spacing w:after="0" w:line="240" w:lineRule="auto"/>
        <w:jc w:val="both"/>
        <w:rPr>
          <w:rFonts w:ascii="Verdana" w:eastAsia="Aptos" w:hAnsi="Verdana" w:cs="Times New Roman"/>
          <w:b/>
          <w:bCs/>
          <w:sz w:val="20"/>
          <w:szCs w:val="20"/>
          <w:highlight w:val="yellow"/>
          <w:shd w:val="clear" w:color="auto" w:fill="FFFFFF"/>
          <w:lang w:val="es-ES"/>
        </w:rPr>
      </w:pPr>
    </w:p>
    <w:p w14:paraId="053B46A7" w14:textId="77777777" w:rsidR="00145A03" w:rsidRPr="00BE015B" w:rsidRDefault="00145A03" w:rsidP="00145A03">
      <w:pPr>
        <w:spacing w:after="0" w:line="240" w:lineRule="auto"/>
        <w:jc w:val="both"/>
        <w:rPr>
          <w:rFonts w:ascii="Verdana" w:eastAsia="Calibri" w:hAnsi="Verdana" w:cs="Arial"/>
          <w:color w:val="000000"/>
          <w:kern w:val="2"/>
          <w:sz w:val="20"/>
          <w:szCs w:val="20"/>
          <w:lang w:eastAsia="es-ES"/>
        </w:rPr>
      </w:pPr>
      <w:r w:rsidRPr="00BE015B">
        <w:rPr>
          <w:rFonts w:ascii="Verdana" w:eastAsia="Calibri" w:hAnsi="Verdana" w:cs="Arial"/>
          <w:color w:val="000000"/>
          <w:kern w:val="2"/>
          <w:sz w:val="20"/>
          <w:szCs w:val="20"/>
          <w:lang w:eastAsia="es-ES"/>
        </w:rPr>
        <w:t>Así lo establece el literal b) del numeral 2 del artículo 8 de la Ley 80 de 1993, que dispone que no pueden contratar con el Estado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p>
    <w:p w14:paraId="4E12346E" w14:textId="77777777" w:rsidR="00145A03" w:rsidRPr="00BE015B" w:rsidRDefault="00145A03" w:rsidP="00145A03">
      <w:pPr>
        <w:spacing w:after="0" w:line="240" w:lineRule="auto"/>
        <w:jc w:val="both"/>
        <w:rPr>
          <w:rFonts w:ascii="Verdana" w:eastAsia="Calibri" w:hAnsi="Verdana" w:cs="Arial"/>
          <w:color w:val="000000"/>
          <w:kern w:val="2"/>
          <w:sz w:val="20"/>
          <w:szCs w:val="20"/>
          <w:lang w:eastAsia="es-ES"/>
        </w:rPr>
      </w:pPr>
    </w:p>
    <w:p w14:paraId="2B724FE8" w14:textId="535CB403" w:rsidR="00145A03" w:rsidRDefault="003455DF" w:rsidP="00145A03">
      <w:pPr>
        <w:spacing w:after="0" w:line="240" w:lineRule="auto"/>
        <w:jc w:val="both"/>
        <w:rPr>
          <w:rFonts w:ascii="Verdana" w:eastAsia="Calibri" w:hAnsi="Verdana" w:cs="Arial"/>
          <w:color w:val="000000"/>
          <w:kern w:val="2"/>
          <w:sz w:val="20"/>
          <w:szCs w:val="20"/>
          <w:lang w:eastAsia="es-ES"/>
        </w:rPr>
      </w:pPr>
      <w:r w:rsidRPr="003455DF">
        <w:rPr>
          <w:rFonts w:ascii="Verdana" w:eastAsia="Calibri" w:hAnsi="Verdana" w:cs="Arial"/>
          <w:color w:val="000000"/>
          <w:kern w:val="2"/>
          <w:sz w:val="20"/>
          <w:szCs w:val="20"/>
          <w:lang w:eastAsia="es-ES"/>
        </w:rPr>
        <w:t>Es decir, la inhabilidad antes descrita aplica, de acuerdo con lo señalado en su consulta, cuando quienes son hermanos trabajan para la misma entidad contratante, uno como servidor público que ejerce el control fiscal de la entidad contratante, según la norma, y el otro como contratista</w:t>
      </w:r>
      <w:r w:rsidR="00145A03" w:rsidRPr="00BE015B">
        <w:rPr>
          <w:rFonts w:ascii="Verdana" w:eastAsia="Calibri" w:hAnsi="Verdana" w:cs="Arial"/>
          <w:color w:val="000000"/>
          <w:kern w:val="2"/>
          <w:sz w:val="20"/>
          <w:szCs w:val="20"/>
          <w:lang w:eastAsia="es-ES"/>
        </w:rPr>
        <w:t>.</w:t>
      </w:r>
    </w:p>
    <w:p w14:paraId="190E8B3B" w14:textId="77777777" w:rsidR="003455DF" w:rsidRDefault="003455DF" w:rsidP="00145A03">
      <w:pPr>
        <w:spacing w:after="0" w:line="240" w:lineRule="auto"/>
        <w:jc w:val="both"/>
        <w:rPr>
          <w:rFonts w:ascii="Verdana" w:eastAsia="Calibri" w:hAnsi="Verdana" w:cs="Arial"/>
          <w:color w:val="000000"/>
          <w:kern w:val="2"/>
          <w:sz w:val="20"/>
          <w:szCs w:val="20"/>
          <w:lang w:eastAsia="es-ES"/>
        </w:rPr>
      </w:pPr>
    </w:p>
    <w:p w14:paraId="0BEA90AC" w14:textId="1310946D" w:rsidR="00F17EFB" w:rsidRPr="001D1B48" w:rsidRDefault="00F17EFB" w:rsidP="00F17EFB">
      <w:pPr>
        <w:spacing w:after="0" w:line="240" w:lineRule="auto"/>
        <w:jc w:val="both"/>
        <w:rPr>
          <w:rFonts w:ascii="Verdana" w:eastAsia="Aptos" w:hAnsi="Verdana" w:cs="Times New Roman"/>
          <w:b/>
          <w:bCs/>
          <w:shd w:val="clear" w:color="auto" w:fill="FFFFFF"/>
          <w:lang w:val="es-ES"/>
        </w:rPr>
      </w:pPr>
      <w:r w:rsidRPr="00054F18">
        <w:rPr>
          <w:rFonts w:ascii="Verdana" w:eastAsia="Aptos" w:hAnsi="Verdana" w:cs="Times New Roman"/>
          <w:b/>
          <w:bCs/>
          <w:shd w:val="clear" w:color="auto" w:fill="FFFFFF"/>
          <w:lang w:val="es-ES"/>
        </w:rPr>
        <w:t xml:space="preserve">INHABILIDAD SOBREVINIENTE – </w:t>
      </w:r>
      <w:r w:rsidR="005534B6" w:rsidRPr="00054F18">
        <w:rPr>
          <w:rFonts w:ascii="Verdana" w:eastAsia="Aptos" w:hAnsi="Verdana" w:cs="Times New Roman"/>
          <w:b/>
          <w:bCs/>
          <w:shd w:val="clear" w:color="auto" w:fill="FFFFFF"/>
          <w:lang w:val="es-ES"/>
        </w:rPr>
        <w:t>Aplicación</w:t>
      </w:r>
      <w:r w:rsidRPr="00054F18">
        <w:rPr>
          <w:rFonts w:ascii="Verdana" w:eastAsia="Aptos" w:hAnsi="Verdana" w:cs="Times New Roman"/>
          <w:b/>
          <w:bCs/>
          <w:shd w:val="clear" w:color="auto" w:fill="FFFFFF"/>
          <w:lang w:val="es-ES"/>
        </w:rPr>
        <w:t xml:space="preserve"> – </w:t>
      </w:r>
      <w:r w:rsidR="00054F18" w:rsidRPr="00054F18">
        <w:rPr>
          <w:rFonts w:ascii="Verdana" w:eastAsia="Aptos" w:hAnsi="Verdana" w:cs="Times New Roman"/>
          <w:b/>
          <w:bCs/>
          <w:shd w:val="clear" w:color="auto" w:fill="FFFFFF"/>
          <w:lang w:val="es-ES"/>
        </w:rPr>
        <w:t>Consecuencias</w:t>
      </w:r>
    </w:p>
    <w:p w14:paraId="43E4D1AB" w14:textId="77777777" w:rsidR="003455DF" w:rsidRPr="00BF3066" w:rsidRDefault="003455DF" w:rsidP="00145A03">
      <w:pPr>
        <w:spacing w:after="0" w:line="240" w:lineRule="auto"/>
        <w:jc w:val="both"/>
        <w:rPr>
          <w:rFonts w:ascii="Verdana" w:eastAsia="Calibri" w:hAnsi="Verdana" w:cs="Arial"/>
          <w:color w:val="000000"/>
          <w:kern w:val="2"/>
          <w:sz w:val="20"/>
          <w:szCs w:val="20"/>
          <w:lang w:eastAsia="es-ES"/>
        </w:rPr>
      </w:pPr>
    </w:p>
    <w:p w14:paraId="0F2C95FD" w14:textId="77777777" w:rsidR="00BF3066" w:rsidRPr="00BF3066" w:rsidRDefault="00BF3066" w:rsidP="00BF3066">
      <w:pPr>
        <w:spacing w:after="0" w:line="240" w:lineRule="auto"/>
        <w:jc w:val="both"/>
        <w:rPr>
          <w:rFonts w:ascii="Verdana" w:eastAsia="Calibri" w:hAnsi="Verdana" w:cs="Arial"/>
          <w:color w:val="000000"/>
          <w:kern w:val="2"/>
          <w:sz w:val="20"/>
          <w:szCs w:val="20"/>
          <w:lang w:eastAsia="es-ES"/>
        </w:rPr>
      </w:pPr>
      <w:r w:rsidRPr="00BF3066">
        <w:rPr>
          <w:rFonts w:ascii="Verdana" w:eastAsia="Calibri" w:hAnsi="Verdana" w:cs="Arial"/>
          <w:color w:val="000000"/>
          <w:kern w:val="2"/>
          <w:sz w:val="20"/>
          <w:szCs w:val="20"/>
          <w:lang w:eastAsia="es-ES"/>
        </w:rPr>
        <w:t>En ese sentido, según la normativa aplicable, el contratista estatal persona natural que se encuentre ejecutando un contrato con una entidad estatal y su hermano sea nombrado contralor en la misma entidad, estará incurso en una inhabilidad sobreviniente y, por tanto, según lo previsto en el artículo 9 de la Ley 80 de 1993, deberá ceder el contrato, si la entidad estatal lo autoriza por escrito o, en caso contrario, tendrá que renunciar a la ejecución del contrato.</w:t>
      </w:r>
    </w:p>
    <w:p w14:paraId="2471C17E" w14:textId="77777777" w:rsidR="00F17EFB" w:rsidRDefault="00F17EFB" w:rsidP="00145A03">
      <w:pPr>
        <w:spacing w:after="0" w:line="240" w:lineRule="auto"/>
        <w:jc w:val="both"/>
        <w:rPr>
          <w:rFonts w:ascii="Verdana" w:eastAsia="Aptos" w:hAnsi="Verdana" w:cs="Times New Roman"/>
          <w:sz w:val="20"/>
          <w:szCs w:val="20"/>
          <w:shd w:val="clear" w:color="auto" w:fill="FFFFFF"/>
          <w:lang w:val="es-ES"/>
        </w:rPr>
      </w:pPr>
    </w:p>
    <w:p w14:paraId="3E66C851" w14:textId="77777777" w:rsidR="00F17EFB" w:rsidRDefault="00F17EFB" w:rsidP="00145A03">
      <w:pPr>
        <w:spacing w:after="0" w:line="240" w:lineRule="auto"/>
        <w:jc w:val="both"/>
        <w:rPr>
          <w:rFonts w:ascii="Verdana" w:eastAsia="Aptos" w:hAnsi="Verdana" w:cs="Times New Roman"/>
          <w:sz w:val="20"/>
          <w:szCs w:val="20"/>
          <w:shd w:val="clear" w:color="auto" w:fill="FFFFFF"/>
          <w:lang w:val="es-ES"/>
        </w:rPr>
      </w:pPr>
    </w:p>
    <w:p w14:paraId="421C677A" w14:textId="77777777" w:rsidR="00F17EFB" w:rsidRDefault="00F17EFB" w:rsidP="00145A03">
      <w:pPr>
        <w:spacing w:after="0" w:line="240" w:lineRule="auto"/>
        <w:jc w:val="both"/>
        <w:rPr>
          <w:rFonts w:ascii="Verdana" w:eastAsia="Aptos" w:hAnsi="Verdana" w:cs="Times New Roman"/>
          <w:sz w:val="20"/>
          <w:szCs w:val="20"/>
          <w:shd w:val="clear" w:color="auto" w:fill="FFFFFF"/>
          <w:lang w:val="es-ES"/>
        </w:rPr>
      </w:pPr>
    </w:p>
    <w:p w14:paraId="72779146" w14:textId="77777777" w:rsidR="00FF7583" w:rsidRDefault="00FF7583" w:rsidP="00145A03">
      <w:pPr>
        <w:spacing w:after="0" w:line="240" w:lineRule="auto"/>
        <w:rPr>
          <w:rFonts w:ascii="Verdana" w:eastAsia="Geomanist Light" w:hAnsi="Verdana" w:cs="Arial"/>
          <w:lang w:val="es-MX"/>
        </w:rPr>
      </w:pPr>
    </w:p>
    <w:p w14:paraId="43ECFD64" w14:textId="77777777" w:rsidR="00FF7583" w:rsidRDefault="00FF7583" w:rsidP="00145A03">
      <w:pPr>
        <w:spacing w:after="0" w:line="240" w:lineRule="auto"/>
        <w:rPr>
          <w:rFonts w:ascii="Verdana" w:eastAsia="Geomanist Light" w:hAnsi="Verdana" w:cs="Arial"/>
          <w:lang w:val="es-MX"/>
        </w:rPr>
      </w:pPr>
    </w:p>
    <w:p w14:paraId="2290C029" w14:textId="77777777" w:rsidR="00FF7583" w:rsidRDefault="00FF7583" w:rsidP="00145A03">
      <w:pPr>
        <w:spacing w:after="0" w:line="240" w:lineRule="auto"/>
        <w:rPr>
          <w:rFonts w:ascii="Verdana" w:eastAsia="Geomanist Light" w:hAnsi="Verdana" w:cs="Arial"/>
          <w:lang w:val="es-MX"/>
        </w:rPr>
      </w:pPr>
    </w:p>
    <w:p w14:paraId="0127A6A2" w14:textId="77777777" w:rsidR="00FF7583" w:rsidRDefault="00FF7583" w:rsidP="00145A03">
      <w:pPr>
        <w:spacing w:after="0" w:line="240" w:lineRule="auto"/>
        <w:rPr>
          <w:rFonts w:ascii="Verdana" w:eastAsia="Geomanist Light" w:hAnsi="Verdana" w:cs="Arial"/>
          <w:lang w:val="es-MX"/>
        </w:rPr>
      </w:pPr>
    </w:p>
    <w:p w14:paraId="7B0BDEEE" w14:textId="77777777" w:rsidR="00FF7583" w:rsidRDefault="00FF7583" w:rsidP="00145A03">
      <w:pPr>
        <w:spacing w:after="0" w:line="240" w:lineRule="auto"/>
        <w:rPr>
          <w:rFonts w:ascii="Verdana" w:eastAsia="Geomanist Light" w:hAnsi="Verdana" w:cs="Arial"/>
          <w:lang w:val="es-MX"/>
        </w:rPr>
      </w:pPr>
    </w:p>
    <w:p w14:paraId="33985A57" w14:textId="77777777" w:rsidR="00FF7583" w:rsidRDefault="00FF7583" w:rsidP="00145A03">
      <w:pPr>
        <w:spacing w:after="0" w:line="240" w:lineRule="auto"/>
        <w:rPr>
          <w:rFonts w:ascii="Verdana" w:eastAsia="Geomanist Light" w:hAnsi="Verdana" w:cs="Arial"/>
          <w:lang w:val="es-MX"/>
        </w:rPr>
      </w:pPr>
    </w:p>
    <w:p w14:paraId="6C56BE75" w14:textId="77777777" w:rsidR="00FF7583" w:rsidRDefault="00FF7583" w:rsidP="00145A03">
      <w:pPr>
        <w:spacing w:after="0" w:line="240" w:lineRule="auto"/>
        <w:rPr>
          <w:rFonts w:ascii="Verdana" w:eastAsia="Geomanist Light" w:hAnsi="Verdana" w:cs="Arial"/>
          <w:lang w:val="es-MX"/>
        </w:rPr>
      </w:pPr>
    </w:p>
    <w:p w14:paraId="575DE3B1" w14:textId="77777777" w:rsidR="00FF7583" w:rsidRDefault="00FF7583" w:rsidP="00145A03">
      <w:pPr>
        <w:spacing w:after="0" w:line="240" w:lineRule="auto"/>
        <w:rPr>
          <w:rFonts w:ascii="Verdana" w:eastAsia="Geomanist Light" w:hAnsi="Verdana" w:cs="Arial"/>
          <w:lang w:val="es-MX"/>
        </w:rPr>
      </w:pPr>
    </w:p>
    <w:p w14:paraId="1A4F8AD3" w14:textId="77777777" w:rsidR="00FF7583" w:rsidRDefault="00FF7583" w:rsidP="00145A03">
      <w:pPr>
        <w:spacing w:after="0" w:line="240" w:lineRule="auto"/>
        <w:rPr>
          <w:rFonts w:ascii="Verdana" w:eastAsia="Geomanist Light" w:hAnsi="Verdana" w:cs="Arial"/>
          <w:lang w:val="es-MX"/>
        </w:rPr>
      </w:pPr>
    </w:p>
    <w:p w14:paraId="696FDC55" w14:textId="77777777" w:rsidR="00FF7583" w:rsidRDefault="00FF7583" w:rsidP="00145A03">
      <w:pPr>
        <w:spacing w:after="0" w:line="240" w:lineRule="auto"/>
        <w:rPr>
          <w:rFonts w:ascii="Verdana" w:eastAsia="Geomanist Light" w:hAnsi="Verdana" w:cs="Arial"/>
          <w:lang w:val="es-MX"/>
        </w:rPr>
      </w:pPr>
    </w:p>
    <w:p w14:paraId="47BD1C0B" w14:textId="77777777" w:rsidR="00FF7583" w:rsidRDefault="00FF7583" w:rsidP="00145A03">
      <w:pPr>
        <w:spacing w:after="0" w:line="240" w:lineRule="auto"/>
        <w:rPr>
          <w:rFonts w:ascii="Verdana" w:eastAsia="Geomanist Light" w:hAnsi="Verdana" w:cs="Arial"/>
          <w:lang w:val="es-MX"/>
        </w:rPr>
      </w:pPr>
    </w:p>
    <w:p w14:paraId="6A24916A" w14:textId="77777777" w:rsidR="00FF7583" w:rsidRDefault="00FF7583" w:rsidP="00145A03">
      <w:pPr>
        <w:spacing w:after="0" w:line="240" w:lineRule="auto"/>
        <w:rPr>
          <w:rFonts w:ascii="Verdana" w:eastAsia="Geomanist Light" w:hAnsi="Verdana" w:cs="Arial"/>
          <w:lang w:val="es-MX"/>
        </w:rPr>
      </w:pPr>
    </w:p>
    <w:p w14:paraId="3FCA6F42" w14:textId="77777777" w:rsidR="00FF7583" w:rsidRDefault="00FF7583" w:rsidP="00145A03">
      <w:pPr>
        <w:spacing w:after="0" w:line="240" w:lineRule="auto"/>
        <w:rPr>
          <w:rFonts w:ascii="Verdana" w:eastAsia="Geomanist Light" w:hAnsi="Verdana" w:cs="Arial"/>
          <w:lang w:val="es-MX"/>
        </w:rPr>
      </w:pPr>
    </w:p>
    <w:p w14:paraId="2EFEE0FA" w14:textId="77777777" w:rsidR="00FF7583" w:rsidRDefault="00FF7583" w:rsidP="00145A03">
      <w:pPr>
        <w:spacing w:after="0" w:line="240" w:lineRule="auto"/>
        <w:rPr>
          <w:rFonts w:ascii="Verdana" w:eastAsia="Geomanist Light" w:hAnsi="Verdana" w:cs="Arial"/>
          <w:lang w:val="es-MX"/>
        </w:rPr>
      </w:pPr>
    </w:p>
    <w:p w14:paraId="2307F4E2" w14:textId="77777777" w:rsidR="00FF7583" w:rsidRDefault="00FF7583" w:rsidP="00145A03">
      <w:pPr>
        <w:spacing w:after="0" w:line="240" w:lineRule="auto"/>
        <w:rPr>
          <w:rFonts w:ascii="Verdana" w:eastAsia="Geomanist Light" w:hAnsi="Verdana" w:cs="Arial"/>
          <w:lang w:val="es-MX"/>
        </w:rPr>
      </w:pPr>
    </w:p>
    <w:p w14:paraId="5357BC06" w14:textId="77777777" w:rsidR="00FF7583" w:rsidRDefault="00FF7583" w:rsidP="00145A03">
      <w:pPr>
        <w:spacing w:after="0" w:line="240" w:lineRule="auto"/>
        <w:rPr>
          <w:rFonts w:ascii="Verdana" w:eastAsia="Geomanist Light" w:hAnsi="Verdana" w:cs="Arial"/>
          <w:lang w:val="es-MX"/>
        </w:rPr>
      </w:pPr>
    </w:p>
    <w:p w14:paraId="731B65E9" w14:textId="77777777" w:rsidR="00FF7583" w:rsidRDefault="00FF7583" w:rsidP="00145A03">
      <w:pPr>
        <w:spacing w:after="0" w:line="240" w:lineRule="auto"/>
        <w:rPr>
          <w:rFonts w:ascii="Verdana" w:eastAsia="Geomanist Light" w:hAnsi="Verdana" w:cs="Arial"/>
          <w:lang w:val="es-MX"/>
        </w:rPr>
      </w:pPr>
    </w:p>
    <w:p w14:paraId="0D02E9FB" w14:textId="77777777" w:rsidR="00FF7583" w:rsidRDefault="00FF7583" w:rsidP="00145A03">
      <w:pPr>
        <w:spacing w:after="0" w:line="240" w:lineRule="auto"/>
        <w:rPr>
          <w:rFonts w:ascii="Verdana" w:eastAsia="Geomanist Light" w:hAnsi="Verdana" w:cs="Arial"/>
          <w:lang w:val="es-MX"/>
        </w:rPr>
      </w:pPr>
    </w:p>
    <w:p w14:paraId="279871B5" w14:textId="77777777" w:rsidR="00FF7583" w:rsidRDefault="00FF7583" w:rsidP="00145A03">
      <w:pPr>
        <w:spacing w:after="0" w:line="240" w:lineRule="auto"/>
        <w:rPr>
          <w:rFonts w:ascii="Verdana" w:eastAsia="Geomanist Light" w:hAnsi="Verdana" w:cs="Arial"/>
          <w:lang w:val="es-MX"/>
        </w:rPr>
      </w:pPr>
    </w:p>
    <w:p w14:paraId="56C2DDA7" w14:textId="77777777" w:rsidR="00FF7583" w:rsidRDefault="00FF7583" w:rsidP="00145A03">
      <w:pPr>
        <w:spacing w:after="0" w:line="240" w:lineRule="auto"/>
        <w:rPr>
          <w:rFonts w:ascii="Verdana" w:eastAsia="Geomanist Light" w:hAnsi="Verdana" w:cs="Arial"/>
          <w:lang w:val="es-MX"/>
        </w:rPr>
      </w:pPr>
    </w:p>
    <w:p w14:paraId="75AFF8E1" w14:textId="77777777" w:rsidR="00FF7583" w:rsidRDefault="00FF7583" w:rsidP="00145A03">
      <w:pPr>
        <w:spacing w:after="0" w:line="240" w:lineRule="auto"/>
        <w:rPr>
          <w:rFonts w:ascii="Verdana" w:eastAsia="Geomanist Light" w:hAnsi="Verdana" w:cs="Arial"/>
          <w:lang w:val="es-MX"/>
        </w:rPr>
      </w:pPr>
    </w:p>
    <w:p w14:paraId="425EB044" w14:textId="77777777" w:rsidR="00FF7583" w:rsidRDefault="00FF7583" w:rsidP="00145A03">
      <w:pPr>
        <w:spacing w:after="0" w:line="240" w:lineRule="auto"/>
        <w:rPr>
          <w:rFonts w:ascii="Verdana" w:eastAsia="Geomanist Light" w:hAnsi="Verdana" w:cs="Arial"/>
          <w:lang w:val="es-MX"/>
        </w:rPr>
      </w:pPr>
    </w:p>
    <w:p w14:paraId="30F7072C" w14:textId="77777777" w:rsidR="00FF7583" w:rsidRDefault="00FF7583" w:rsidP="00145A03">
      <w:pPr>
        <w:spacing w:after="0" w:line="240" w:lineRule="auto"/>
        <w:rPr>
          <w:rFonts w:ascii="Verdana" w:eastAsia="Geomanist Light" w:hAnsi="Verdana" w:cs="Arial"/>
          <w:lang w:val="es-MX"/>
        </w:rPr>
      </w:pPr>
    </w:p>
    <w:p w14:paraId="5BF760CB" w14:textId="77777777" w:rsidR="00FF7583" w:rsidRDefault="00FF7583" w:rsidP="00145A03">
      <w:pPr>
        <w:spacing w:after="0" w:line="240" w:lineRule="auto"/>
        <w:rPr>
          <w:rFonts w:ascii="Verdana" w:eastAsia="Geomanist Light" w:hAnsi="Verdana" w:cs="Arial"/>
          <w:lang w:val="es-MX"/>
        </w:rPr>
      </w:pPr>
    </w:p>
    <w:p w14:paraId="5ED1AA8A" w14:textId="77777777" w:rsidR="00FF7583" w:rsidRDefault="00FF7583" w:rsidP="00145A03">
      <w:pPr>
        <w:spacing w:after="0" w:line="240" w:lineRule="auto"/>
        <w:rPr>
          <w:rFonts w:ascii="Verdana" w:eastAsia="Geomanist Light" w:hAnsi="Verdana" w:cs="Arial"/>
          <w:lang w:val="es-MX"/>
        </w:rPr>
      </w:pPr>
    </w:p>
    <w:p w14:paraId="068744BB" w14:textId="77777777" w:rsidR="00FF7583" w:rsidRDefault="00FF7583" w:rsidP="00145A03">
      <w:pPr>
        <w:spacing w:after="0" w:line="240" w:lineRule="auto"/>
        <w:rPr>
          <w:rFonts w:ascii="Verdana" w:eastAsia="Geomanist Light" w:hAnsi="Verdana" w:cs="Arial"/>
          <w:lang w:val="es-MX"/>
        </w:rPr>
      </w:pPr>
    </w:p>
    <w:p w14:paraId="40278B66" w14:textId="77777777" w:rsidR="00FF7583" w:rsidRDefault="00FF7583" w:rsidP="00145A03">
      <w:pPr>
        <w:spacing w:after="0" w:line="240" w:lineRule="auto"/>
        <w:rPr>
          <w:rFonts w:ascii="Verdana" w:eastAsia="Geomanist Light" w:hAnsi="Verdana" w:cs="Arial"/>
          <w:lang w:val="es-MX"/>
        </w:rPr>
      </w:pPr>
    </w:p>
    <w:p w14:paraId="685AD1A3" w14:textId="77777777" w:rsidR="00FF7583" w:rsidRDefault="00FF7583" w:rsidP="00145A03">
      <w:pPr>
        <w:spacing w:after="0" w:line="240" w:lineRule="auto"/>
        <w:rPr>
          <w:rFonts w:ascii="Verdana" w:eastAsia="Geomanist Light" w:hAnsi="Verdana" w:cs="Arial"/>
          <w:lang w:val="es-MX"/>
        </w:rPr>
      </w:pPr>
    </w:p>
    <w:p w14:paraId="6BBBC360" w14:textId="77777777" w:rsidR="00FF7583" w:rsidRDefault="00FF7583" w:rsidP="00145A03">
      <w:pPr>
        <w:spacing w:after="0" w:line="240" w:lineRule="auto"/>
        <w:rPr>
          <w:rFonts w:ascii="Verdana" w:eastAsia="Geomanist Light" w:hAnsi="Verdana" w:cs="Arial"/>
          <w:lang w:val="es-MX"/>
        </w:rPr>
      </w:pPr>
    </w:p>
    <w:p w14:paraId="34718189" w14:textId="77777777" w:rsidR="00FF7583" w:rsidRDefault="00FF7583" w:rsidP="00145A03">
      <w:pPr>
        <w:spacing w:after="0" w:line="240" w:lineRule="auto"/>
        <w:rPr>
          <w:rFonts w:ascii="Verdana" w:eastAsia="Geomanist Light" w:hAnsi="Verdana" w:cs="Arial"/>
          <w:lang w:val="es-MX"/>
        </w:rPr>
      </w:pPr>
    </w:p>
    <w:p w14:paraId="20457808" w14:textId="77777777" w:rsidR="00FF7583" w:rsidRDefault="00FF7583" w:rsidP="00145A03">
      <w:pPr>
        <w:spacing w:after="0" w:line="240" w:lineRule="auto"/>
        <w:rPr>
          <w:rFonts w:ascii="Verdana" w:eastAsia="Geomanist Light" w:hAnsi="Verdana" w:cs="Arial"/>
          <w:lang w:val="es-MX"/>
        </w:rPr>
      </w:pPr>
    </w:p>
    <w:p w14:paraId="29329E79" w14:textId="77777777" w:rsidR="00FF7583" w:rsidRDefault="00FF7583" w:rsidP="00145A03">
      <w:pPr>
        <w:spacing w:after="0" w:line="240" w:lineRule="auto"/>
        <w:rPr>
          <w:rFonts w:ascii="Verdana" w:eastAsia="Geomanist Light" w:hAnsi="Verdana" w:cs="Arial"/>
          <w:lang w:val="es-MX"/>
        </w:rPr>
      </w:pPr>
    </w:p>
    <w:p w14:paraId="2539F191" w14:textId="77777777" w:rsidR="00FF7583" w:rsidRDefault="00FF7583" w:rsidP="00145A03">
      <w:pPr>
        <w:spacing w:after="0" w:line="240" w:lineRule="auto"/>
        <w:rPr>
          <w:rFonts w:ascii="Verdana" w:eastAsia="Geomanist Light" w:hAnsi="Verdana" w:cs="Arial"/>
          <w:lang w:val="es-MX"/>
        </w:rPr>
      </w:pPr>
    </w:p>
    <w:p w14:paraId="6777192E" w14:textId="77777777" w:rsidR="00FF7583" w:rsidRDefault="00FF7583" w:rsidP="00145A03">
      <w:pPr>
        <w:spacing w:after="0" w:line="240" w:lineRule="auto"/>
        <w:rPr>
          <w:rFonts w:ascii="Verdana" w:eastAsia="Geomanist Light" w:hAnsi="Verdana" w:cs="Arial"/>
          <w:lang w:val="es-MX"/>
        </w:rPr>
      </w:pPr>
    </w:p>
    <w:p w14:paraId="3048623B" w14:textId="6D13DB9C" w:rsidR="00C03CD7" w:rsidRDefault="00B424D7" w:rsidP="00145A03">
      <w:pPr>
        <w:spacing w:after="0" w:line="240" w:lineRule="auto"/>
        <w:rPr>
          <w:rFonts w:ascii="Verdana" w:eastAsia="Geomanist Light" w:hAnsi="Verdana" w:cs="Arial"/>
          <w:lang w:val="es-MX"/>
        </w:rPr>
      </w:pPr>
      <w:r w:rsidRPr="00B424D7">
        <w:rPr>
          <w:rFonts w:ascii="Verdana" w:eastAsia="Geomanist Light" w:hAnsi="Verdana" w:cs="Arial"/>
          <w:lang w:val="es-MX"/>
        </w:rPr>
        <w:lastRenderedPageBreak/>
        <w:t xml:space="preserve">Bogotá D.C., </w:t>
      </w:r>
      <w:r w:rsidR="00DF5811">
        <w:rPr>
          <w:rFonts w:ascii="Verdana" w:eastAsia="Geomanist Light" w:hAnsi="Verdana" w:cs="Arial"/>
          <w:lang w:val="es-MX"/>
        </w:rPr>
        <w:t>27 de enero de 2026</w:t>
      </w:r>
    </w:p>
    <w:p w14:paraId="0B36CC3D" w14:textId="77777777" w:rsidR="00DF5811" w:rsidRDefault="00DF5811" w:rsidP="00145A03">
      <w:pPr>
        <w:spacing w:after="0" w:line="240" w:lineRule="auto"/>
        <w:rPr>
          <w:rFonts w:ascii="Verdana" w:eastAsia="Geomanist Light" w:hAnsi="Verdana" w:cs="Arial"/>
          <w:lang w:val="es-MX"/>
        </w:rPr>
      </w:pPr>
    </w:p>
    <w:p w14:paraId="269DA605" w14:textId="4F95F587" w:rsidR="00DF5811" w:rsidRDefault="00DF5811" w:rsidP="00DF5811">
      <w:pPr>
        <w:spacing w:after="0" w:line="240" w:lineRule="auto"/>
        <w:jc w:val="right"/>
        <w:rPr>
          <w:rFonts w:ascii="Verdana" w:eastAsia="Geomanist Light" w:hAnsi="Verdana" w:cs="Arial"/>
          <w:lang w:val="es-MX"/>
        </w:rPr>
      </w:pPr>
      <w:r w:rsidRPr="00DF5811">
        <w:rPr>
          <w:rFonts w:ascii="Verdana" w:eastAsia="Geomanist Light" w:hAnsi="Verdana" w:cs="Arial"/>
          <w:lang w:val="es-MX"/>
        </w:rPr>
        <w:drawing>
          <wp:inline distT="0" distB="0" distL="0" distR="0" wp14:anchorId="46F91E80" wp14:editId="3CAFDCD2">
            <wp:extent cx="4896533" cy="1428949"/>
            <wp:effectExtent l="0" t="0" r="0" b="0"/>
            <wp:docPr id="42689318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93184" name="Imagen 1" descr="Texto&#10;&#10;El contenido generado por IA puede ser incorrecto."/>
                    <pic:cNvPicPr/>
                  </pic:nvPicPr>
                  <pic:blipFill>
                    <a:blip r:embed="rId10"/>
                    <a:stretch>
                      <a:fillRect/>
                    </a:stretch>
                  </pic:blipFill>
                  <pic:spPr>
                    <a:xfrm>
                      <a:off x="0" y="0"/>
                      <a:ext cx="4896533" cy="1428949"/>
                    </a:xfrm>
                    <a:prstGeom prst="rect">
                      <a:avLst/>
                    </a:prstGeom>
                  </pic:spPr>
                </pic:pic>
              </a:graphicData>
            </a:graphic>
          </wp:inline>
        </w:drawing>
      </w:r>
    </w:p>
    <w:p w14:paraId="7C200A90" w14:textId="77777777" w:rsidR="00B424D7" w:rsidRDefault="00B424D7" w:rsidP="00145A03">
      <w:pPr>
        <w:spacing w:after="0" w:line="240" w:lineRule="auto"/>
        <w:rPr>
          <w:rFonts w:ascii="Verdana" w:eastAsia="Geomanist Light" w:hAnsi="Verdana" w:cs="Arial"/>
          <w:lang w:val="es-MX"/>
        </w:rPr>
      </w:pPr>
    </w:p>
    <w:p w14:paraId="62B1CA07" w14:textId="77777777" w:rsidR="00145A03" w:rsidRPr="007C1C94" w:rsidRDefault="00145A03" w:rsidP="00145A03">
      <w:pPr>
        <w:spacing w:after="0" w:line="240" w:lineRule="auto"/>
        <w:jc w:val="both"/>
        <w:rPr>
          <w:rFonts w:ascii="Verdana" w:eastAsia="Calibri" w:hAnsi="Verdana" w:cs="Arial"/>
          <w:lang w:val="es-ES"/>
        </w:rPr>
      </w:pPr>
    </w:p>
    <w:p w14:paraId="59A04EF9" w14:textId="402B3927" w:rsidR="00145A03" w:rsidRPr="00D20089" w:rsidRDefault="00145A03" w:rsidP="00145A03">
      <w:pPr>
        <w:spacing w:after="0" w:line="240" w:lineRule="auto"/>
        <w:jc w:val="both"/>
        <w:rPr>
          <w:rFonts w:ascii="Verdana" w:eastAsia="Calibri" w:hAnsi="Verdana" w:cs="Arial"/>
          <w:lang w:val="es-ES" w:eastAsia="es-ES"/>
        </w:rPr>
      </w:pPr>
      <w:r w:rsidRPr="00D20089">
        <w:rPr>
          <w:rFonts w:ascii="Verdana" w:eastAsia="Calibri" w:hAnsi="Verdana" w:cs="Arial"/>
          <w:lang w:val="es-ES" w:eastAsia="es-ES"/>
        </w:rPr>
        <w:t>Señor</w:t>
      </w:r>
      <w:r w:rsidR="00010D0A">
        <w:rPr>
          <w:rFonts w:ascii="Verdana" w:eastAsia="Calibri" w:hAnsi="Verdana" w:cs="Arial"/>
          <w:lang w:val="es-ES" w:eastAsia="es-ES"/>
        </w:rPr>
        <w:t>es</w:t>
      </w:r>
    </w:p>
    <w:p w14:paraId="08787169" w14:textId="77777777" w:rsidR="00010D0A" w:rsidRDefault="00010D0A" w:rsidP="00145A03">
      <w:pPr>
        <w:spacing w:after="0" w:line="240" w:lineRule="auto"/>
        <w:rPr>
          <w:rFonts w:ascii="Verdana" w:eastAsia="Calibri" w:hAnsi="Verdana" w:cs="Arial"/>
          <w:b/>
          <w:lang w:val="es-ES_tradnl" w:eastAsia="es-ES_tradnl"/>
        </w:rPr>
      </w:pPr>
      <w:r w:rsidRPr="00010D0A">
        <w:rPr>
          <w:rFonts w:ascii="Verdana" w:eastAsia="Calibri" w:hAnsi="Verdana" w:cs="Arial"/>
          <w:b/>
          <w:lang w:val="es-ES_tradnl" w:eastAsia="es-ES_tradnl"/>
        </w:rPr>
        <w:t>NORIEGA &amp; ABOGADOS ASOCIADOS S.A.S.</w:t>
      </w:r>
    </w:p>
    <w:p w14:paraId="31DCC76F" w14:textId="77777777" w:rsidR="00145A03" w:rsidRPr="00D20089" w:rsidRDefault="00145A03" w:rsidP="00145A03">
      <w:pPr>
        <w:spacing w:after="0" w:line="240" w:lineRule="auto"/>
        <w:rPr>
          <w:rFonts w:ascii="Verdana" w:eastAsia="Calibri" w:hAnsi="Verdana" w:cs="Arial"/>
          <w:b/>
          <w:bCs/>
          <w:lang w:val="es-ES" w:eastAsia="es-ES"/>
        </w:rPr>
      </w:pPr>
      <w:r w:rsidRPr="00D20089">
        <w:rPr>
          <w:rFonts w:ascii="Verdana" w:eastAsia="Calibri" w:hAnsi="Verdana" w:cs="Arial"/>
          <w:lang w:val="es-ES" w:eastAsia="es-ES"/>
        </w:rPr>
        <w:t>Ciudad</w:t>
      </w:r>
    </w:p>
    <w:p w14:paraId="7DDBBD0B" w14:textId="77777777" w:rsidR="00145A03" w:rsidRPr="007C1C94" w:rsidRDefault="00145A03" w:rsidP="00145A03">
      <w:pPr>
        <w:spacing w:after="0" w:line="240" w:lineRule="auto"/>
        <w:rPr>
          <w:rFonts w:ascii="Verdana" w:eastAsia="Calibri" w:hAnsi="Verdana" w:cs="Arial"/>
          <w:b/>
          <w:bCs/>
          <w:lang w:val="es-ES_tradnl" w:eastAsia="es-ES_tradnl"/>
        </w:rPr>
      </w:pPr>
    </w:p>
    <w:p w14:paraId="71F05963" w14:textId="77777777" w:rsidR="00145A03" w:rsidRPr="007C1C94" w:rsidRDefault="00145A03" w:rsidP="00145A03">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45A03" w:rsidRPr="007C1C94" w14:paraId="279B84F0" w14:textId="77777777" w:rsidTr="00697118">
        <w:trPr>
          <w:trHeight w:val="884"/>
        </w:trPr>
        <w:tc>
          <w:tcPr>
            <w:tcW w:w="2689" w:type="dxa"/>
          </w:tcPr>
          <w:p w14:paraId="2CA217B0" w14:textId="77777777" w:rsidR="00145A03" w:rsidRPr="007C1C94" w:rsidRDefault="00145A03" w:rsidP="00697118">
            <w:pPr>
              <w:jc w:val="both"/>
              <w:rPr>
                <w:rFonts w:ascii="Verdana" w:eastAsia="Calibri" w:hAnsi="Verdana" w:cs="Arial"/>
                <w:b/>
                <w:bCs/>
                <w:lang w:val="es-ES_tradnl" w:eastAsia="es-ES_tradnl"/>
              </w:rPr>
            </w:pPr>
          </w:p>
        </w:tc>
        <w:tc>
          <w:tcPr>
            <w:tcW w:w="6100" w:type="dxa"/>
          </w:tcPr>
          <w:p w14:paraId="617383FE" w14:textId="16A91575" w:rsidR="00145A03" w:rsidRPr="007C1C94" w:rsidRDefault="00145A03" w:rsidP="00697118">
            <w:pPr>
              <w:jc w:val="both"/>
              <w:rPr>
                <w:rFonts w:ascii="Verdana" w:eastAsia="Calibri" w:hAnsi="Verdana" w:cs="Arial"/>
                <w:b/>
                <w:bCs/>
                <w:lang w:val="es-ES" w:eastAsia="es-ES"/>
              </w:rPr>
            </w:pPr>
            <w:r w:rsidRPr="007C1C94">
              <w:rPr>
                <w:rFonts w:ascii="Verdana" w:eastAsia="Calibri" w:hAnsi="Verdana" w:cs="Arial"/>
                <w:b/>
                <w:bCs/>
                <w:lang w:val="es-ES" w:eastAsia="es-ES"/>
              </w:rPr>
              <w:t xml:space="preserve">Concepto C- </w:t>
            </w:r>
            <w:r w:rsidR="00B424D7">
              <w:rPr>
                <w:rFonts w:ascii="Verdana" w:eastAsia="Calibri" w:hAnsi="Verdana" w:cs="Arial"/>
                <w:b/>
                <w:bCs/>
                <w:lang w:val="es-ES" w:eastAsia="es-ES"/>
              </w:rPr>
              <w:t>1873</w:t>
            </w:r>
            <w:r w:rsidRPr="007C1C94">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145A03" w:rsidRPr="007C1C94" w14:paraId="08306383" w14:textId="77777777" w:rsidTr="00697118">
        <w:trPr>
          <w:trHeight w:val="884"/>
        </w:trPr>
        <w:tc>
          <w:tcPr>
            <w:tcW w:w="2689" w:type="dxa"/>
          </w:tcPr>
          <w:p w14:paraId="1447A09D" w14:textId="77777777" w:rsidR="00145A03" w:rsidRPr="00D37CA7" w:rsidRDefault="00145A03" w:rsidP="00697118">
            <w:pPr>
              <w:jc w:val="both"/>
              <w:rPr>
                <w:rFonts w:ascii="Verdana" w:eastAsia="Calibri" w:hAnsi="Verdana" w:cs="Arial"/>
                <w:lang w:val="es-ES_tradnl" w:eastAsia="es-ES_tradnl"/>
              </w:rPr>
            </w:pPr>
            <w:r w:rsidRPr="00D37CA7">
              <w:rPr>
                <w:rFonts w:ascii="Verdana" w:eastAsia="Calibri" w:hAnsi="Verdana" w:cs="Arial"/>
                <w:b/>
                <w:lang w:val="es-ES_tradnl" w:eastAsia="es-ES_tradnl"/>
              </w:rPr>
              <w:t>Temas:</w:t>
            </w:r>
            <w:r w:rsidRPr="00D37CA7">
              <w:rPr>
                <w:rFonts w:ascii="Verdana" w:eastAsia="Calibri" w:hAnsi="Verdana" w:cs="Arial"/>
                <w:lang w:val="es-ES_tradnl" w:eastAsia="es-ES_tradnl"/>
              </w:rPr>
              <w:t xml:space="preserve">                   </w:t>
            </w:r>
          </w:p>
        </w:tc>
        <w:tc>
          <w:tcPr>
            <w:tcW w:w="6100" w:type="dxa"/>
          </w:tcPr>
          <w:p w14:paraId="1AE96E12" w14:textId="48830270" w:rsidR="00145A03" w:rsidRPr="00D37CA7" w:rsidRDefault="00145A03" w:rsidP="00697118">
            <w:pPr>
              <w:jc w:val="both"/>
              <w:rPr>
                <w:rFonts w:ascii="Verdana" w:eastAsia="Calibri" w:hAnsi="Verdana" w:cs="Arial"/>
                <w:lang w:val="es-ES" w:eastAsia="es-ES"/>
              </w:rPr>
            </w:pPr>
            <w:r w:rsidRPr="001D1B48">
              <w:rPr>
                <w:rFonts w:ascii="Verdana" w:eastAsia="Calibri" w:hAnsi="Verdana" w:cs="Arial"/>
                <w:lang w:val="es-ES" w:eastAsia="es-ES"/>
              </w:rPr>
              <w:t xml:space="preserve">INHABILIDADES E INCOMPATIBILIDADES – Límites a la capacidad – Régimen / INHABILIDADES E INCOMPATIBILIDADES – Concepto / INHABILIDADES E INCOMPATIBILIDADES – Interpretación restrictiva – Principio pro </w:t>
            </w:r>
            <w:proofErr w:type="spellStart"/>
            <w:r w:rsidRPr="001D1B48">
              <w:rPr>
                <w:rFonts w:ascii="Verdana" w:eastAsia="Calibri" w:hAnsi="Verdana" w:cs="Arial"/>
                <w:lang w:val="es-ES" w:eastAsia="es-ES"/>
              </w:rPr>
              <w:t>libertate</w:t>
            </w:r>
            <w:proofErr w:type="spellEnd"/>
            <w:r w:rsidRPr="001D1B48">
              <w:rPr>
                <w:rFonts w:ascii="Verdana" w:eastAsia="Calibri" w:hAnsi="Verdana" w:cs="Arial"/>
                <w:lang w:val="es-ES" w:eastAsia="es-ES"/>
              </w:rPr>
              <w:t xml:space="preserve"> / INHABILIDADES E INCOMPATIBILIDADES – Ley 80 de 1993 – Artículo 8 – Numeral 2 – Literal B</w:t>
            </w:r>
            <w:r w:rsidR="00F17EFB">
              <w:rPr>
                <w:rFonts w:ascii="Verdana" w:eastAsia="Calibri" w:hAnsi="Verdana" w:cs="Arial"/>
                <w:lang w:val="es-ES" w:eastAsia="es-ES"/>
              </w:rPr>
              <w:t xml:space="preserve"> / </w:t>
            </w:r>
            <w:r w:rsidR="00A8244C" w:rsidRPr="00A8244C">
              <w:rPr>
                <w:rFonts w:ascii="Verdana" w:eastAsia="Calibri" w:hAnsi="Verdana" w:cs="Arial"/>
                <w:lang w:val="es-ES" w:eastAsia="es-ES"/>
              </w:rPr>
              <w:t>INHABILIDAD SOBREVINIENTE – Aplicación – Consecuencias</w:t>
            </w:r>
          </w:p>
        </w:tc>
      </w:tr>
      <w:tr w:rsidR="00145A03" w:rsidRPr="007C1C94" w14:paraId="181D7BF5" w14:textId="77777777" w:rsidTr="00697118">
        <w:tc>
          <w:tcPr>
            <w:tcW w:w="2689" w:type="dxa"/>
          </w:tcPr>
          <w:p w14:paraId="43664A31" w14:textId="77777777" w:rsidR="00145A03" w:rsidRPr="007C1C94" w:rsidRDefault="00145A03" w:rsidP="00697118">
            <w:pPr>
              <w:jc w:val="both"/>
              <w:rPr>
                <w:rFonts w:ascii="Verdana" w:eastAsia="Calibri" w:hAnsi="Verdana" w:cs="Arial"/>
                <w:b/>
                <w:lang w:val="es-ES_tradnl" w:eastAsia="es-ES_tradnl"/>
              </w:rPr>
            </w:pPr>
            <w:r w:rsidRPr="007C1C94">
              <w:rPr>
                <w:rFonts w:ascii="Verdana" w:eastAsia="Calibri" w:hAnsi="Verdana" w:cs="Arial"/>
                <w:b/>
                <w:lang w:val="es-ES_tradnl" w:eastAsia="es-ES_tradnl"/>
              </w:rPr>
              <w:t>Radicación:</w:t>
            </w:r>
            <w:r w:rsidRPr="007C1C94">
              <w:rPr>
                <w:rFonts w:ascii="Verdana" w:eastAsia="Calibri" w:hAnsi="Verdana" w:cs="Arial"/>
                <w:lang w:val="es-ES_tradnl" w:eastAsia="es-ES_tradnl"/>
              </w:rPr>
              <w:t xml:space="preserve">               </w:t>
            </w:r>
          </w:p>
        </w:tc>
        <w:tc>
          <w:tcPr>
            <w:tcW w:w="6100" w:type="dxa"/>
          </w:tcPr>
          <w:p w14:paraId="46391D15" w14:textId="5676080D" w:rsidR="00145A03" w:rsidRPr="007C1C94" w:rsidRDefault="00145A03" w:rsidP="00697118">
            <w:pPr>
              <w:jc w:val="both"/>
              <w:rPr>
                <w:rFonts w:ascii="Verdana" w:eastAsia="Calibri" w:hAnsi="Verdana" w:cs="Arial"/>
                <w:lang w:val="es-ES_tradnl" w:eastAsia="es-ES_tradnl"/>
              </w:rPr>
            </w:pPr>
            <w:r w:rsidRPr="007C1C94">
              <w:rPr>
                <w:rFonts w:ascii="Verdana" w:eastAsia="Calibri" w:hAnsi="Verdana" w:cs="Arial"/>
                <w:lang w:val="es-ES_tradnl" w:eastAsia="es-ES_tradnl"/>
              </w:rPr>
              <w:t xml:space="preserve">Respuesta a consulta con radicado No. </w:t>
            </w:r>
            <w:r w:rsidR="0016462A" w:rsidRPr="0016462A">
              <w:rPr>
                <w:rFonts w:ascii="Verdana" w:eastAsia="Calibri" w:hAnsi="Verdana" w:cs="Arial"/>
                <w:lang w:val="es-ES_tradnl" w:eastAsia="es-ES_tradnl"/>
              </w:rPr>
              <w:t>1_2025_12_29_014417</w:t>
            </w:r>
          </w:p>
        </w:tc>
      </w:tr>
    </w:tbl>
    <w:p w14:paraId="3E292ADD" w14:textId="77777777" w:rsidR="00145A03" w:rsidRPr="007C1C94" w:rsidRDefault="00145A03" w:rsidP="00145A03">
      <w:pPr>
        <w:spacing w:after="0" w:line="240" w:lineRule="auto"/>
        <w:jc w:val="both"/>
        <w:rPr>
          <w:rFonts w:ascii="Verdana" w:eastAsia="Calibri" w:hAnsi="Verdana" w:cs="Arial"/>
          <w:lang w:val="es-ES_tradnl" w:eastAsia="es-ES_tradnl"/>
        </w:rPr>
      </w:pPr>
    </w:p>
    <w:p w14:paraId="4C5E375A" w14:textId="77777777" w:rsidR="00145A03" w:rsidRPr="007C1C94" w:rsidRDefault="00145A03" w:rsidP="00145A03">
      <w:pPr>
        <w:spacing w:after="0" w:line="240" w:lineRule="auto"/>
        <w:jc w:val="both"/>
        <w:rPr>
          <w:rFonts w:ascii="Verdana" w:eastAsia="Calibri" w:hAnsi="Verdana" w:cs="Arial"/>
          <w:lang w:val="es-ES_tradnl" w:eastAsia="es-ES_tradnl"/>
        </w:rPr>
      </w:pPr>
    </w:p>
    <w:p w14:paraId="557E5415" w14:textId="48F21078" w:rsidR="00145A03" w:rsidRPr="007C1C94" w:rsidRDefault="00145A03" w:rsidP="00145A03">
      <w:pPr>
        <w:spacing w:after="0" w:line="276" w:lineRule="auto"/>
        <w:jc w:val="both"/>
        <w:rPr>
          <w:rFonts w:ascii="Verdana" w:eastAsia="Calibri" w:hAnsi="Verdana" w:cs="Arial"/>
          <w:lang w:val="es-ES" w:eastAsia="es-ES"/>
        </w:rPr>
      </w:pPr>
      <w:r w:rsidRPr="007C1C94">
        <w:rPr>
          <w:rFonts w:ascii="Verdana" w:eastAsia="Calibri" w:hAnsi="Verdana" w:cs="Arial"/>
          <w:lang w:val="es-ES" w:eastAsia="es-ES"/>
        </w:rPr>
        <w:t>Estimad</w:t>
      </w:r>
      <w:r w:rsidR="00023905">
        <w:rPr>
          <w:rFonts w:ascii="Verdana" w:eastAsia="Calibri" w:hAnsi="Verdana" w:cs="Arial"/>
          <w:lang w:val="es-ES" w:eastAsia="es-ES"/>
        </w:rPr>
        <w:t>os</w:t>
      </w:r>
      <w:r w:rsidRPr="007C1C94">
        <w:rPr>
          <w:rFonts w:ascii="Verdana" w:eastAsia="Calibri" w:hAnsi="Verdana" w:cs="Arial"/>
          <w:lang w:val="es-ES" w:eastAsia="es-ES"/>
        </w:rPr>
        <w:t xml:space="preserve"> señor</w:t>
      </w:r>
      <w:r w:rsidR="00023905">
        <w:rPr>
          <w:rFonts w:ascii="Verdana" w:eastAsia="Calibri" w:hAnsi="Verdana" w:cs="Arial"/>
          <w:lang w:val="es-ES" w:eastAsia="es-ES"/>
        </w:rPr>
        <w:t>e</w:t>
      </w:r>
      <w:r>
        <w:rPr>
          <w:rFonts w:ascii="Verdana" w:eastAsia="Calibri" w:hAnsi="Verdana" w:cs="Arial"/>
          <w:lang w:val="es-ES" w:eastAsia="es-ES"/>
        </w:rPr>
        <w:t>s</w:t>
      </w:r>
      <w:r w:rsidRPr="007C1C94">
        <w:rPr>
          <w:rFonts w:ascii="Verdana" w:eastAsia="Calibri" w:hAnsi="Verdana" w:cs="Arial"/>
          <w:lang w:val="es-ES" w:eastAsia="es-ES"/>
        </w:rPr>
        <w:t xml:space="preserve">: </w:t>
      </w:r>
    </w:p>
    <w:p w14:paraId="6A6C820B" w14:textId="77777777" w:rsidR="00145A03" w:rsidRPr="007C1C94" w:rsidRDefault="00145A03" w:rsidP="00145A03">
      <w:pPr>
        <w:tabs>
          <w:tab w:val="left" w:pos="3768"/>
        </w:tabs>
        <w:spacing w:after="0" w:line="276" w:lineRule="auto"/>
        <w:jc w:val="both"/>
        <w:rPr>
          <w:rFonts w:ascii="Verdana" w:eastAsia="Calibri" w:hAnsi="Verdana" w:cs="Arial"/>
          <w:lang w:val="es-ES" w:eastAsia="es-ES"/>
        </w:rPr>
      </w:pPr>
      <w:r w:rsidRPr="007C1C94">
        <w:rPr>
          <w:rFonts w:ascii="Verdana" w:eastAsia="Calibri" w:hAnsi="Verdana" w:cs="Arial"/>
          <w:lang w:val="es-ES" w:eastAsia="es-ES"/>
        </w:rPr>
        <w:tab/>
      </w:r>
    </w:p>
    <w:p w14:paraId="5FC5C6B9" w14:textId="73A1FF0A" w:rsidR="00145A03" w:rsidRPr="007C1C94" w:rsidRDefault="00145A03" w:rsidP="00145A03">
      <w:pPr>
        <w:spacing w:after="0" w:line="276" w:lineRule="auto"/>
        <w:jc w:val="both"/>
        <w:rPr>
          <w:rFonts w:ascii="Verdana" w:eastAsia="Calibri" w:hAnsi="Verdana" w:cs="Arial"/>
          <w:lang w:val="es-ES" w:eastAsia="es-ES"/>
        </w:rPr>
      </w:pPr>
      <w:r w:rsidRPr="007C1C94">
        <w:rPr>
          <w:rFonts w:ascii="Verdana" w:eastAsia="Calibri" w:hAnsi="Verdana" w:cs="Arial"/>
          <w:lang w:val="es-ES" w:eastAsia="es-ES"/>
        </w:rPr>
        <w:t>En ejercicio de la competencia otorgada por los artículos 3, numeral 5º, y 11, numeral 8º, del Decreto Ley 4170 de 2011,</w:t>
      </w:r>
      <w:r w:rsidRPr="007C1C94">
        <w:rPr>
          <w:rFonts w:ascii="Verdana" w:eastAsia="Arial MT" w:hAnsi="Verdana" w:cs="Arial MT"/>
          <w:lang w:val="es-ES" w:eastAsia="es-ES"/>
        </w:rPr>
        <w:t xml:space="preserve"> </w:t>
      </w:r>
      <w:r w:rsidRPr="007C1C94">
        <w:rPr>
          <w:rFonts w:ascii="Verdana" w:hAnsi="Verdana" w:cs="Arial"/>
        </w:rPr>
        <w:t xml:space="preserve">así como lo establecido en el artículo 4 de la Resolución 1707 de 2018 expedida por esta Entidad, </w:t>
      </w:r>
      <w:r w:rsidRPr="007C1C94">
        <w:rPr>
          <w:rFonts w:ascii="Verdana" w:eastAsia="Calibri" w:hAnsi="Verdana" w:cs="Arial"/>
          <w:lang w:val="es-ES" w:eastAsia="es-ES"/>
        </w:rPr>
        <w:t xml:space="preserve">la Agencia Nacional de Contratación Pública – Colombia Compra Eficiente– responde su solicitud de consulta de fecha </w:t>
      </w:r>
      <w:r w:rsidR="0016462A">
        <w:rPr>
          <w:rFonts w:ascii="Verdana" w:eastAsia="Calibri" w:hAnsi="Verdana" w:cs="Arial"/>
          <w:lang w:val="es-ES" w:eastAsia="es-ES"/>
        </w:rPr>
        <w:t>29</w:t>
      </w:r>
      <w:r w:rsidRPr="007C1C94">
        <w:rPr>
          <w:rFonts w:ascii="Verdana" w:eastAsia="Calibri" w:hAnsi="Verdana" w:cs="Arial"/>
          <w:lang w:val="es-ES" w:eastAsia="es-ES"/>
        </w:rPr>
        <w:t xml:space="preserve"> de </w:t>
      </w:r>
      <w:r w:rsidR="0016462A">
        <w:rPr>
          <w:rFonts w:ascii="Verdana" w:eastAsia="Calibri" w:hAnsi="Verdana" w:cs="Arial"/>
          <w:lang w:val="es-ES" w:eastAsia="es-ES"/>
        </w:rPr>
        <w:t>diciembre</w:t>
      </w:r>
      <w:r w:rsidRPr="007C1C94">
        <w:rPr>
          <w:rFonts w:ascii="Verdana" w:eastAsia="Calibri" w:hAnsi="Verdana" w:cs="Arial"/>
          <w:lang w:val="es-ES" w:eastAsia="es-ES"/>
        </w:rPr>
        <w:t xml:space="preserve"> de 20</w:t>
      </w:r>
      <w:r>
        <w:rPr>
          <w:rFonts w:ascii="Verdana" w:eastAsia="Calibri" w:hAnsi="Verdana" w:cs="Arial"/>
          <w:lang w:val="es-ES" w:eastAsia="es-ES"/>
        </w:rPr>
        <w:t>25</w:t>
      </w:r>
      <w:r w:rsidRPr="007C1C94">
        <w:rPr>
          <w:rFonts w:ascii="Verdana" w:eastAsia="Calibri" w:hAnsi="Verdana" w:cs="Arial"/>
          <w:lang w:val="es-ES" w:eastAsia="es-ES"/>
        </w:rPr>
        <w:t>,</w:t>
      </w:r>
      <w:r w:rsidR="000F1E76">
        <w:rPr>
          <w:rFonts w:ascii="Verdana" w:eastAsia="Calibri" w:hAnsi="Verdana" w:cs="Arial"/>
          <w:lang w:val="es-ES" w:eastAsia="es-ES"/>
        </w:rPr>
        <w:t xml:space="preserve"> remitida por la Auditoría General de la República mediante radicado No. </w:t>
      </w:r>
      <w:r w:rsidR="000F1E76" w:rsidRPr="000F1E76">
        <w:rPr>
          <w:rFonts w:ascii="Verdana" w:eastAsia="Calibri" w:hAnsi="Verdana" w:cs="Arial"/>
          <w:lang w:val="es-ES" w:eastAsia="es-ES"/>
        </w:rPr>
        <w:t>2102-202504225</w:t>
      </w:r>
      <w:r w:rsidR="000F1E76">
        <w:rPr>
          <w:rFonts w:ascii="Verdana" w:eastAsia="Calibri" w:hAnsi="Verdana" w:cs="Arial"/>
          <w:lang w:val="es-ES" w:eastAsia="es-ES"/>
        </w:rPr>
        <w:t>,</w:t>
      </w:r>
      <w:r w:rsidRPr="007C1C94">
        <w:rPr>
          <w:rFonts w:ascii="Verdana" w:eastAsia="Calibri" w:hAnsi="Verdana" w:cs="Arial"/>
          <w:lang w:val="es-ES" w:eastAsia="es-ES"/>
        </w:rPr>
        <w:t xml:space="preserve"> en la cual manifiesta lo siguiente: </w:t>
      </w:r>
    </w:p>
    <w:p w14:paraId="4165822C" w14:textId="77777777" w:rsidR="00145A03" w:rsidRPr="007C1C94" w:rsidRDefault="00145A03" w:rsidP="00145A03">
      <w:pPr>
        <w:pStyle w:val="Prrafodelista"/>
        <w:tabs>
          <w:tab w:val="left" w:pos="142"/>
          <w:tab w:val="left" w:pos="284"/>
        </w:tabs>
        <w:spacing w:line="276" w:lineRule="auto"/>
        <w:ind w:left="0"/>
        <w:jc w:val="both"/>
        <w:rPr>
          <w:rFonts w:ascii="Verdana" w:eastAsia="Century Gothic" w:hAnsi="Verdana" w:cs="Century Gothic"/>
          <w:b/>
          <w:bCs/>
        </w:rPr>
      </w:pPr>
    </w:p>
    <w:p w14:paraId="5909A4BC" w14:textId="78D2D84C" w:rsidR="00145A03" w:rsidRPr="00517373" w:rsidRDefault="00444D02" w:rsidP="00444D02">
      <w:pPr>
        <w:spacing w:after="0" w:line="240" w:lineRule="auto"/>
        <w:ind w:left="709" w:right="709"/>
        <w:jc w:val="both"/>
        <w:rPr>
          <w:rFonts w:ascii="Verdana" w:hAnsi="Verdana" w:cs="Arial"/>
          <w:sz w:val="20"/>
          <w:szCs w:val="20"/>
          <w:shd w:val="clear" w:color="auto" w:fill="FFFFFF"/>
          <w:lang w:val="es-MX"/>
        </w:rPr>
      </w:pPr>
      <w:bookmarkStart w:id="0" w:name="_Hlk95313578"/>
      <w:r w:rsidRPr="00444D02">
        <w:rPr>
          <w:rFonts w:ascii="Verdana" w:eastAsia="Century Gothic" w:hAnsi="Verdana" w:cs="Century Gothic"/>
          <w:sz w:val="20"/>
          <w:szCs w:val="20"/>
          <w:lang w:val="es-ES"/>
        </w:rPr>
        <w:t>Si un contratista de una entidad territorial municipal posteriormente a haber suscrito su contrato de</w:t>
      </w:r>
      <w:r>
        <w:rPr>
          <w:rFonts w:ascii="Verdana" w:eastAsia="Century Gothic" w:hAnsi="Verdana" w:cs="Century Gothic"/>
          <w:sz w:val="20"/>
          <w:szCs w:val="20"/>
          <w:lang w:val="es-ES"/>
        </w:rPr>
        <w:t xml:space="preserve"> </w:t>
      </w:r>
      <w:r w:rsidRPr="00444D02">
        <w:rPr>
          <w:rFonts w:ascii="Verdana" w:eastAsia="Century Gothic" w:hAnsi="Verdana" w:cs="Century Gothic"/>
          <w:sz w:val="20"/>
          <w:szCs w:val="20"/>
          <w:lang w:val="es-ES"/>
        </w:rPr>
        <w:t>prestación de servicios profesionales le resulta su hermano elegido como contralor del mismo</w:t>
      </w:r>
      <w:r>
        <w:rPr>
          <w:rFonts w:ascii="Verdana" w:eastAsia="Century Gothic" w:hAnsi="Verdana" w:cs="Century Gothic"/>
          <w:sz w:val="20"/>
          <w:szCs w:val="20"/>
          <w:lang w:val="es-ES"/>
        </w:rPr>
        <w:t xml:space="preserve"> </w:t>
      </w:r>
      <w:r w:rsidRPr="00444D02">
        <w:rPr>
          <w:rFonts w:ascii="Verdana" w:eastAsia="Century Gothic" w:hAnsi="Verdana" w:cs="Century Gothic"/>
          <w:sz w:val="20"/>
          <w:szCs w:val="20"/>
          <w:lang w:val="es-ES"/>
        </w:rPr>
        <w:t>municipio por convocatoria pública, debe el contratista terminar su contrato o cederlo? O puede el</w:t>
      </w:r>
      <w:r>
        <w:rPr>
          <w:rFonts w:ascii="Verdana" w:eastAsia="Century Gothic" w:hAnsi="Verdana" w:cs="Century Gothic"/>
          <w:sz w:val="20"/>
          <w:szCs w:val="20"/>
          <w:lang w:val="es-ES"/>
        </w:rPr>
        <w:t xml:space="preserve"> </w:t>
      </w:r>
      <w:r w:rsidRPr="00444D02">
        <w:rPr>
          <w:rFonts w:ascii="Verdana" w:eastAsia="Century Gothic" w:hAnsi="Verdana" w:cs="Century Gothic"/>
          <w:sz w:val="20"/>
          <w:szCs w:val="20"/>
          <w:lang w:val="es-ES"/>
        </w:rPr>
        <w:t>contratista continuar con la ejecución de su contrato y en ejercicio de vigilancia y control fiscal</w:t>
      </w:r>
      <w:r>
        <w:rPr>
          <w:rFonts w:ascii="Verdana" w:eastAsia="Century Gothic" w:hAnsi="Verdana" w:cs="Century Gothic"/>
          <w:sz w:val="20"/>
          <w:szCs w:val="20"/>
          <w:lang w:val="es-ES"/>
        </w:rPr>
        <w:t xml:space="preserve"> </w:t>
      </w:r>
      <w:r w:rsidRPr="00444D02">
        <w:rPr>
          <w:rFonts w:ascii="Verdana" w:eastAsia="Century Gothic" w:hAnsi="Verdana" w:cs="Century Gothic"/>
          <w:sz w:val="20"/>
          <w:szCs w:val="20"/>
          <w:lang w:val="es-ES"/>
        </w:rPr>
        <w:t>territorial el electo contralor declarar su impedimento para las situaciones donde esté vinculado su</w:t>
      </w:r>
      <w:r>
        <w:rPr>
          <w:rFonts w:ascii="Verdana" w:eastAsia="Century Gothic" w:hAnsi="Verdana" w:cs="Century Gothic"/>
          <w:sz w:val="20"/>
          <w:szCs w:val="20"/>
          <w:lang w:val="es-ES"/>
        </w:rPr>
        <w:t xml:space="preserve"> </w:t>
      </w:r>
      <w:r w:rsidRPr="00444D02">
        <w:rPr>
          <w:rFonts w:ascii="Verdana" w:eastAsia="Century Gothic" w:hAnsi="Verdana" w:cs="Century Gothic"/>
          <w:sz w:val="20"/>
          <w:szCs w:val="20"/>
          <w:lang w:val="es-ES"/>
        </w:rPr>
        <w:t>hermano contratista?</w:t>
      </w:r>
      <w:r w:rsidR="00145A03" w:rsidRPr="006C632C">
        <w:rPr>
          <w:rFonts w:ascii="Verdana" w:eastAsia="Century Gothic" w:hAnsi="Verdana" w:cs="Century Gothic"/>
          <w:sz w:val="20"/>
          <w:szCs w:val="20"/>
          <w:lang w:val="es-ES"/>
        </w:rPr>
        <w:t>”</w:t>
      </w:r>
      <w:bookmarkEnd w:id="0"/>
      <w:r w:rsidR="00145A03" w:rsidRPr="006C632C">
        <w:rPr>
          <w:rFonts w:ascii="Verdana" w:eastAsia="Century Gothic" w:hAnsi="Verdana" w:cs="Century Gothic"/>
          <w:sz w:val="20"/>
          <w:szCs w:val="20"/>
          <w:lang w:val="es-ES"/>
        </w:rPr>
        <w:t>.</w:t>
      </w:r>
    </w:p>
    <w:p w14:paraId="6201993C" w14:textId="77777777" w:rsidR="00145A03" w:rsidRPr="007C1C94" w:rsidRDefault="00145A03" w:rsidP="00145A03">
      <w:pPr>
        <w:pStyle w:val="Prrafodelista"/>
        <w:tabs>
          <w:tab w:val="left" w:pos="142"/>
          <w:tab w:val="left" w:pos="284"/>
        </w:tabs>
        <w:spacing w:line="276" w:lineRule="auto"/>
        <w:ind w:left="0"/>
        <w:jc w:val="both"/>
        <w:rPr>
          <w:rFonts w:ascii="Verdana" w:eastAsia="Century Gothic" w:hAnsi="Verdana" w:cs="Century Gothic"/>
          <w:b/>
          <w:bCs/>
        </w:rPr>
      </w:pPr>
    </w:p>
    <w:p w14:paraId="726083F0" w14:textId="77777777" w:rsidR="00145A03" w:rsidRPr="007C1C94" w:rsidRDefault="00145A03" w:rsidP="00145A03">
      <w:pPr>
        <w:spacing w:after="120" w:line="276" w:lineRule="auto"/>
        <w:ind w:firstLine="709"/>
        <w:jc w:val="both"/>
        <w:rPr>
          <w:rFonts w:ascii="Verdana" w:eastAsia="Calibri" w:hAnsi="Verdana" w:cs="Arial"/>
          <w:szCs w:val="24"/>
          <w:lang w:val="es-ES_tradnl" w:eastAsia="es-ES_tradnl"/>
        </w:rPr>
      </w:pPr>
      <w:r w:rsidRPr="007C1C9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C1C94">
        <w:rPr>
          <w:rFonts w:ascii="Verdana" w:eastAsia="Calibri" w:hAnsi="Verdana" w:cs="Arial"/>
          <w:szCs w:val="24"/>
          <w:lang w:val="es-ES_tradnl" w:eastAsia="es-ES_tradnl"/>
        </w:rPr>
        <w:tab/>
      </w:r>
    </w:p>
    <w:p w14:paraId="7BB272AA" w14:textId="77777777" w:rsidR="00145A03" w:rsidRPr="007C1C94" w:rsidRDefault="00145A03" w:rsidP="00145A03">
      <w:pPr>
        <w:spacing w:after="0" w:line="276" w:lineRule="auto"/>
        <w:ind w:firstLine="709"/>
        <w:jc w:val="both"/>
        <w:rPr>
          <w:rFonts w:ascii="Verdana" w:eastAsia="Calibri" w:hAnsi="Verdana" w:cs="Arial"/>
          <w:lang w:val="es-ES" w:eastAsia="es-ES"/>
        </w:rPr>
      </w:pPr>
      <w:r w:rsidRPr="007C1C9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07E5D3EE" w14:textId="77777777" w:rsidR="00145A03" w:rsidRPr="007C1C94" w:rsidRDefault="00145A03" w:rsidP="00145A03">
      <w:pPr>
        <w:spacing w:after="0" w:line="276" w:lineRule="auto"/>
        <w:ind w:firstLine="709"/>
        <w:jc w:val="both"/>
        <w:rPr>
          <w:rFonts w:ascii="Verdana" w:eastAsia="Calibri" w:hAnsi="Verdana" w:cs="Arial"/>
          <w:lang w:val="es-ES" w:eastAsia="es-ES"/>
        </w:rPr>
      </w:pPr>
    </w:p>
    <w:p w14:paraId="170001CB" w14:textId="77777777" w:rsidR="00145A03" w:rsidRPr="007C1C94" w:rsidRDefault="00145A03" w:rsidP="00145A0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7C1C94">
        <w:rPr>
          <w:rFonts w:ascii="Verdana" w:eastAsia="Century Gothic" w:hAnsi="Verdana" w:cs="Century Gothic"/>
          <w:b/>
          <w:bCs/>
        </w:rPr>
        <w:t>Problema planteado:</w:t>
      </w:r>
    </w:p>
    <w:p w14:paraId="7651824A" w14:textId="77777777" w:rsidR="00145A03" w:rsidRPr="007C1C94" w:rsidRDefault="00145A03" w:rsidP="00145A03">
      <w:pPr>
        <w:tabs>
          <w:tab w:val="left" w:pos="426"/>
        </w:tabs>
        <w:spacing w:after="0" w:line="276" w:lineRule="auto"/>
        <w:jc w:val="both"/>
        <w:rPr>
          <w:rFonts w:ascii="Verdana" w:eastAsia="Century Gothic" w:hAnsi="Verdana" w:cs="Century Gothic"/>
          <w:lang w:val="es-ES"/>
        </w:rPr>
      </w:pPr>
    </w:p>
    <w:p w14:paraId="30003DE8" w14:textId="08994DA0" w:rsidR="00145A03" w:rsidRPr="007C1C94" w:rsidRDefault="00145A03" w:rsidP="00145A03">
      <w:pPr>
        <w:spacing w:after="0" w:line="276" w:lineRule="auto"/>
        <w:jc w:val="both"/>
        <w:rPr>
          <w:rFonts w:ascii="Verdana" w:eastAsia="Century Gothic" w:hAnsi="Verdana" w:cs="Century Gothic"/>
        </w:rPr>
      </w:pPr>
      <w:r w:rsidRPr="33F06424">
        <w:rPr>
          <w:rFonts w:ascii="Verdana" w:eastAsia="Century Gothic" w:hAnsi="Verdana" w:cs="Century Gothic"/>
        </w:rPr>
        <w:t xml:space="preserve">De acuerdo con el contenido de su solicitud, esta Agencia resolverá el siguiente problema jurídico: ¿Existe inhabilidad </w:t>
      </w:r>
      <w:r w:rsidR="00F53BC5">
        <w:rPr>
          <w:rFonts w:ascii="Verdana" w:eastAsia="Century Gothic" w:hAnsi="Verdana" w:cs="Century Gothic"/>
        </w:rPr>
        <w:t xml:space="preserve">sobreviniente </w:t>
      </w:r>
      <w:r w:rsidRPr="33F06424">
        <w:rPr>
          <w:rFonts w:ascii="Verdana" w:eastAsia="Century Gothic" w:hAnsi="Verdana" w:cs="Century Gothic"/>
        </w:rPr>
        <w:t xml:space="preserve">para </w:t>
      </w:r>
      <w:r w:rsidR="00F53BC5">
        <w:rPr>
          <w:rFonts w:ascii="Verdana" w:eastAsia="Century Gothic" w:hAnsi="Verdana" w:cs="Century Gothic"/>
        </w:rPr>
        <w:t>un contratista</w:t>
      </w:r>
      <w:r w:rsidRPr="33F06424">
        <w:rPr>
          <w:rFonts w:ascii="Verdana" w:eastAsia="Century Gothic" w:hAnsi="Verdana" w:cs="Century Gothic"/>
        </w:rPr>
        <w:t xml:space="preserve"> de prestación de servicios</w:t>
      </w:r>
      <w:r w:rsidR="00625EEE">
        <w:rPr>
          <w:rFonts w:ascii="Verdana" w:eastAsia="Century Gothic" w:hAnsi="Verdana" w:cs="Century Gothic"/>
        </w:rPr>
        <w:t xml:space="preserve"> </w:t>
      </w:r>
      <w:r w:rsidR="0094171F">
        <w:rPr>
          <w:rFonts w:ascii="Verdana" w:eastAsia="Century Gothic" w:hAnsi="Verdana" w:cs="Century Gothic"/>
        </w:rPr>
        <w:t>que tiene</w:t>
      </w:r>
      <w:r w:rsidR="00625EEE">
        <w:rPr>
          <w:rFonts w:ascii="Verdana" w:eastAsia="Century Gothic" w:hAnsi="Verdana" w:cs="Century Gothic"/>
        </w:rPr>
        <w:t xml:space="preserve"> vínculos de consanguinidad</w:t>
      </w:r>
      <w:r w:rsidR="00F53BC5">
        <w:rPr>
          <w:rFonts w:ascii="Verdana" w:eastAsia="Century Gothic" w:hAnsi="Verdana" w:cs="Century Gothic"/>
        </w:rPr>
        <w:t xml:space="preserve"> (hermano) </w:t>
      </w:r>
      <w:r w:rsidR="003B3BD7">
        <w:rPr>
          <w:rFonts w:ascii="Verdana" w:eastAsia="Century Gothic" w:hAnsi="Verdana" w:cs="Century Gothic"/>
        </w:rPr>
        <w:t>en la misma jurisdicción donde</w:t>
      </w:r>
      <w:r w:rsidR="00625EEE">
        <w:rPr>
          <w:rFonts w:ascii="Verdana" w:eastAsia="Century Gothic" w:hAnsi="Verdana" w:cs="Century Gothic"/>
        </w:rPr>
        <w:t xml:space="preserve"> su familiar es</w:t>
      </w:r>
      <w:r w:rsidR="00F53BC5">
        <w:rPr>
          <w:rFonts w:ascii="Verdana" w:eastAsia="Century Gothic" w:hAnsi="Verdana" w:cs="Century Gothic"/>
        </w:rPr>
        <w:t xml:space="preserve"> elegido</w:t>
      </w:r>
      <w:r w:rsidR="00625EEE">
        <w:rPr>
          <w:rFonts w:ascii="Verdana" w:eastAsia="Century Gothic" w:hAnsi="Verdana" w:cs="Century Gothic"/>
        </w:rPr>
        <w:t xml:space="preserve"> </w:t>
      </w:r>
      <w:r w:rsidR="00C314C8">
        <w:rPr>
          <w:rFonts w:ascii="Verdana" w:eastAsia="Century Gothic" w:hAnsi="Verdana" w:cs="Century Gothic"/>
        </w:rPr>
        <w:t>contralor</w:t>
      </w:r>
      <w:r w:rsidRPr="33F06424">
        <w:rPr>
          <w:rFonts w:ascii="Verdana" w:eastAsia="Century Gothic" w:hAnsi="Verdana" w:cs="Century Gothic"/>
        </w:rPr>
        <w:t>?</w:t>
      </w:r>
    </w:p>
    <w:p w14:paraId="1453ABD9" w14:textId="77777777" w:rsidR="00145A03" w:rsidRPr="00B77E42" w:rsidRDefault="00145A03" w:rsidP="00145A03">
      <w:pPr>
        <w:spacing w:after="0" w:line="276" w:lineRule="auto"/>
        <w:jc w:val="both"/>
        <w:rPr>
          <w:rFonts w:ascii="Verdana" w:eastAsia="Calibri" w:hAnsi="Verdana" w:cs="Arial"/>
        </w:rPr>
      </w:pPr>
    </w:p>
    <w:p w14:paraId="68F47102" w14:textId="77777777" w:rsidR="00145A03" w:rsidRPr="007C1C94" w:rsidRDefault="00145A03" w:rsidP="00145A0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C1C94">
        <w:rPr>
          <w:rFonts w:ascii="Verdana" w:eastAsia="Century Gothic" w:hAnsi="Verdana" w:cs="Century Gothic"/>
          <w:b/>
          <w:bCs/>
        </w:rPr>
        <w:t>Respuesta:</w:t>
      </w:r>
    </w:p>
    <w:p w14:paraId="04A03704" w14:textId="77777777" w:rsidR="00145A03" w:rsidRPr="007C1C94" w:rsidRDefault="00145A03" w:rsidP="00145A0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45A03" w:rsidRPr="00567EFD" w14:paraId="62B42584" w14:textId="77777777" w:rsidTr="33F06424">
        <w:tc>
          <w:tcPr>
            <w:tcW w:w="8828" w:type="dxa"/>
          </w:tcPr>
          <w:p w14:paraId="116B4D67" w14:textId="77777777" w:rsidR="00145A03" w:rsidRDefault="00145A03" w:rsidP="00275235">
            <w:pPr>
              <w:spacing w:after="120" w:line="276" w:lineRule="auto"/>
              <w:jc w:val="both"/>
              <w:rPr>
                <w:rFonts w:ascii="Verdana" w:eastAsia="Calibri" w:hAnsi="Verdana" w:cs="Arial"/>
                <w:lang w:val="es-ES"/>
              </w:rPr>
            </w:pPr>
            <w:r>
              <w:rPr>
                <w:rFonts w:ascii="Verdana" w:eastAsia="Calibri" w:hAnsi="Verdana" w:cs="Arial"/>
                <w:lang w:val="es-ES"/>
              </w:rPr>
              <w:t xml:space="preserve">De acuerdo con el régimen de inhabilidades e incompatibilidades de la contratación estatal, el parentesco es causal de inhabilidad para celebrar contratos respecto de la persona que quiere ser contratista y su vínculo con servidores públicos que ejercen los cargos que señala la Ley 80 de 1993, dentro de la misma entidad contratante. </w:t>
            </w:r>
          </w:p>
          <w:p w14:paraId="79D0EEC2" w14:textId="77777777" w:rsidR="00145A03" w:rsidRDefault="00145A03" w:rsidP="00275235">
            <w:pPr>
              <w:spacing w:after="120" w:line="276" w:lineRule="auto"/>
              <w:ind w:firstLine="709"/>
              <w:jc w:val="both"/>
              <w:rPr>
                <w:rFonts w:ascii="Verdana" w:eastAsia="Calibri" w:hAnsi="Verdana" w:cs="Arial"/>
                <w:lang w:val="es-ES"/>
              </w:rPr>
            </w:pPr>
            <w:r w:rsidRPr="00275235">
              <w:rPr>
                <w:rFonts w:ascii="Verdana" w:eastAsia="Calibri" w:hAnsi="Verdana" w:cs="Arial"/>
                <w:lang w:val="es-ES"/>
              </w:rPr>
              <w:t>Así</w:t>
            </w:r>
            <w:r>
              <w:rPr>
                <w:rFonts w:ascii="Verdana" w:eastAsia="Century Gothic" w:hAnsi="Verdana" w:cs="Century Gothic"/>
              </w:rPr>
              <w:t xml:space="preserve"> lo establece el literal b) del numeral 2 del artículo 8 de la Ley 80 de 1993</w:t>
            </w:r>
            <w:r w:rsidRPr="00671CEA">
              <w:rPr>
                <w:rFonts w:ascii="Verdana" w:eastAsia="Calibri" w:hAnsi="Verdana" w:cs="Arial"/>
                <w:lang w:val="es-ES"/>
              </w:rPr>
              <w:t>,</w:t>
            </w:r>
            <w:r>
              <w:rPr>
                <w:rFonts w:ascii="Verdana" w:eastAsia="Calibri" w:hAnsi="Verdana" w:cs="Arial"/>
                <w:lang w:val="es-ES"/>
              </w:rPr>
              <w:t xml:space="preserve"> que dispone que no pueden contratar con el Estado “l</w:t>
            </w:r>
            <w:r w:rsidRPr="006617EE">
              <w:rPr>
                <w:rFonts w:ascii="Verdana" w:eastAsia="Calibri" w:hAnsi="Verdana" w:cs="Arial"/>
              </w:rPr>
              <w:t xml:space="preserve">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w:t>
            </w:r>
            <w:r w:rsidRPr="00275235">
              <w:rPr>
                <w:rFonts w:ascii="Verdana" w:eastAsia="Calibri" w:hAnsi="Verdana" w:cs="Arial"/>
                <w:lang w:val="es-ES"/>
              </w:rPr>
              <w:t>contratante</w:t>
            </w:r>
            <w:r>
              <w:rPr>
                <w:rFonts w:ascii="Verdana" w:eastAsia="Calibri" w:hAnsi="Verdana" w:cs="Arial"/>
              </w:rPr>
              <w:t>”</w:t>
            </w:r>
            <w:r>
              <w:rPr>
                <w:rFonts w:ascii="Verdana" w:eastAsia="Calibri" w:hAnsi="Verdana" w:cs="Arial"/>
                <w:lang w:val="es-ES"/>
              </w:rPr>
              <w:t>.</w:t>
            </w:r>
          </w:p>
          <w:p w14:paraId="2B783404" w14:textId="03264132" w:rsidR="00145A03" w:rsidRDefault="00145A03" w:rsidP="00275235">
            <w:pPr>
              <w:spacing w:after="120" w:line="276" w:lineRule="auto"/>
              <w:ind w:firstLine="709"/>
              <w:jc w:val="both"/>
              <w:rPr>
                <w:rFonts w:ascii="Verdana" w:eastAsia="Calibri" w:hAnsi="Verdana" w:cs="Arial"/>
                <w:lang w:val="es-ES"/>
              </w:rPr>
            </w:pPr>
            <w:r w:rsidRPr="33F06424">
              <w:rPr>
                <w:rFonts w:ascii="Verdana" w:eastAsia="Calibri" w:hAnsi="Verdana" w:cs="Arial"/>
                <w:lang w:val="es-ES"/>
              </w:rPr>
              <w:t xml:space="preserve">Es </w:t>
            </w:r>
            <w:r w:rsidRPr="00275235">
              <w:rPr>
                <w:rFonts w:ascii="Verdana" w:eastAsia="Century Gothic" w:hAnsi="Verdana" w:cs="Century Gothic"/>
              </w:rPr>
              <w:t>decir</w:t>
            </w:r>
            <w:r w:rsidRPr="33F06424">
              <w:rPr>
                <w:rFonts w:ascii="Verdana" w:eastAsia="Calibri" w:hAnsi="Verdana" w:cs="Arial"/>
                <w:lang w:val="es-ES"/>
              </w:rPr>
              <w:t>, la inhabilidad antes descrita aplica</w:t>
            </w:r>
            <w:r w:rsidR="1C08B981" w:rsidRPr="33F06424">
              <w:rPr>
                <w:rFonts w:ascii="Verdana" w:eastAsia="Calibri" w:hAnsi="Verdana" w:cs="Arial"/>
                <w:lang w:val="es-ES"/>
              </w:rPr>
              <w:t>,</w:t>
            </w:r>
            <w:r w:rsidR="001A50A3">
              <w:rPr>
                <w:rFonts w:ascii="Verdana" w:eastAsia="Calibri" w:hAnsi="Verdana" w:cs="Arial"/>
                <w:lang w:val="es-ES"/>
              </w:rPr>
              <w:t xml:space="preserve"> de acuerdo con lo señalado en su consulta,</w:t>
            </w:r>
            <w:r w:rsidRPr="33F06424">
              <w:rPr>
                <w:rFonts w:ascii="Verdana" w:eastAsia="Calibri" w:hAnsi="Verdana" w:cs="Arial"/>
                <w:lang w:val="es-ES"/>
              </w:rPr>
              <w:t xml:space="preserve"> cuando quienes son hermanos trabajan para la misma entidad contratante, uno como servidor público </w:t>
            </w:r>
            <w:r w:rsidR="001A50A3">
              <w:rPr>
                <w:rFonts w:ascii="Verdana" w:eastAsia="Calibri" w:hAnsi="Verdana" w:cs="Arial"/>
                <w:lang w:val="es-ES"/>
              </w:rPr>
              <w:t>que ejerce el control fiscal de la entidad contratante</w:t>
            </w:r>
            <w:r w:rsidR="00447113">
              <w:rPr>
                <w:rFonts w:ascii="Verdana" w:eastAsia="Calibri" w:hAnsi="Verdana" w:cs="Arial"/>
                <w:lang w:val="es-ES"/>
              </w:rPr>
              <w:t xml:space="preserve">, según </w:t>
            </w:r>
            <w:r w:rsidRPr="33F06424">
              <w:rPr>
                <w:rFonts w:ascii="Verdana" w:eastAsia="Calibri" w:hAnsi="Verdana" w:cs="Arial"/>
                <w:lang w:val="es-ES"/>
              </w:rPr>
              <w:t>la norma, y el otro como contratista</w:t>
            </w:r>
            <w:r w:rsidR="00C82051">
              <w:rPr>
                <w:rFonts w:ascii="Verdana" w:eastAsia="Calibri" w:hAnsi="Verdana" w:cs="Arial"/>
                <w:lang w:val="es-ES"/>
              </w:rPr>
              <w:t>.</w:t>
            </w:r>
          </w:p>
          <w:p w14:paraId="2D4F0506" w14:textId="12768317" w:rsidR="00524BBA" w:rsidRPr="00B71F3D" w:rsidRDefault="00275235" w:rsidP="00524BBA">
            <w:pPr>
              <w:spacing w:after="120" w:line="276" w:lineRule="auto"/>
              <w:ind w:right="49" w:firstLine="709"/>
              <w:jc w:val="both"/>
              <w:rPr>
                <w:rFonts w:ascii="Verdana" w:eastAsia="Times New Roman" w:hAnsi="Verdana" w:cs="Arial"/>
                <w:lang w:val="es-ES" w:eastAsia="es-MX"/>
              </w:rPr>
            </w:pPr>
            <w:r w:rsidRPr="00275235">
              <w:rPr>
                <w:rFonts w:ascii="Verdana" w:eastAsia="Century Gothic" w:hAnsi="Verdana" w:cs="Century Gothic"/>
              </w:rPr>
              <w:t>En</w:t>
            </w:r>
            <w:r>
              <w:rPr>
                <w:rFonts w:ascii="Verdana" w:eastAsia="Calibri" w:hAnsi="Verdana" w:cs="Arial"/>
                <w:lang w:val="es-ES"/>
              </w:rPr>
              <w:t xml:space="preserve"> ese sentido,</w:t>
            </w:r>
            <w:r w:rsidR="00524BBA" w:rsidRPr="00B71F3D">
              <w:rPr>
                <w:rFonts w:ascii="Verdana" w:eastAsia="Times New Roman" w:hAnsi="Verdana" w:cs="Arial"/>
                <w:lang w:val="es-ES" w:eastAsia="es-MX"/>
              </w:rPr>
              <w:t xml:space="preserve"> </w:t>
            </w:r>
            <w:r w:rsidR="00524BBA">
              <w:rPr>
                <w:rFonts w:ascii="Verdana" w:eastAsia="Times New Roman" w:hAnsi="Verdana" w:cs="Arial"/>
                <w:lang w:val="es-ES" w:eastAsia="es-MX"/>
              </w:rPr>
              <w:t xml:space="preserve">según </w:t>
            </w:r>
            <w:r w:rsidR="00524BBA" w:rsidRPr="00B71F3D">
              <w:rPr>
                <w:rFonts w:ascii="Verdana" w:eastAsia="Times New Roman" w:hAnsi="Verdana" w:cs="Arial"/>
                <w:lang w:val="es-ES" w:eastAsia="es-MX"/>
              </w:rPr>
              <w:t>la normativa aplicable</w:t>
            </w:r>
            <w:r w:rsidR="00524BBA">
              <w:rPr>
                <w:rFonts w:ascii="Verdana" w:eastAsia="Times New Roman" w:hAnsi="Verdana" w:cs="Arial"/>
                <w:lang w:val="es-ES" w:eastAsia="es-MX"/>
              </w:rPr>
              <w:t xml:space="preserve">, </w:t>
            </w:r>
            <w:r w:rsidR="00524BBA" w:rsidRPr="00B71F3D">
              <w:rPr>
                <w:rFonts w:ascii="Verdana" w:eastAsia="Times New Roman" w:hAnsi="Verdana" w:cs="Arial"/>
                <w:lang w:val="es-ES" w:eastAsia="es-MX"/>
              </w:rPr>
              <w:t xml:space="preserve">el contratista estatal persona natural que se encuentre ejecutando un contrato con una entidad estatal y </w:t>
            </w:r>
            <w:r w:rsidR="003B38FB">
              <w:rPr>
                <w:rFonts w:ascii="Verdana" w:eastAsia="Times New Roman" w:hAnsi="Verdana" w:cs="Arial"/>
                <w:lang w:val="es-ES" w:eastAsia="es-MX"/>
              </w:rPr>
              <w:t>su hermano sea nombrado contralor en la misma entidad,</w:t>
            </w:r>
            <w:r w:rsidR="00524BBA" w:rsidRPr="00B71F3D">
              <w:rPr>
                <w:rFonts w:ascii="Verdana" w:eastAsia="Times New Roman" w:hAnsi="Verdana" w:cs="Arial"/>
                <w:lang w:val="es-ES" w:eastAsia="es-MX"/>
              </w:rPr>
              <w:t xml:space="preserve"> estará incurso en </w:t>
            </w:r>
            <w:r w:rsidR="00BF3066" w:rsidRPr="00B71F3D">
              <w:rPr>
                <w:rFonts w:ascii="Verdana" w:eastAsia="Times New Roman" w:hAnsi="Verdana" w:cs="Arial"/>
                <w:lang w:val="es-ES" w:eastAsia="es-MX"/>
              </w:rPr>
              <w:t>una inhabilidad</w:t>
            </w:r>
            <w:r w:rsidR="00524BBA" w:rsidRPr="00B71F3D">
              <w:rPr>
                <w:rFonts w:ascii="Verdana" w:eastAsia="Times New Roman" w:hAnsi="Verdana" w:cs="Arial"/>
                <w:lang w:val="es-ES" w:eastAsia="es-MX"/>
              </w:rPr>
              <w:t xml:space="preserve"> sobreviniente y, por tanto, según lo previsto en el artículo 9 de la Ley 80 de 1993, deberá ceder el contrato, si la entidad estatal lo autoriza por escrito o, en caso contrario, tendrá que renunciar a la ejecución del contrato.</w:t>
            </w:r>
          </w:p>
          <w:p w14:paraId="1795A3A8" w14:textId="6D977D47" w:rsidR="00145A03" w:rsidRPr="007C1C94" w:rsidRDefault="00145A03" w:rsidP="00275235">
            <w:pPr>
              <w:spacing w:line="276" w:lineRule="auto"/>
              <w:ind w:firstLine="709"/>
              <w:jc w:val="both"/>
              <w:rPr>
                <w:rFonts w:ascii="Verdana" w:eastAsia="Calibri" w:hAnsi="Verdana" w:cs="Arial"/>
                <w:lang w:val="es-ES"/>
              </w:rPr>
            </w:pPr>
            <w:r w:rsidRPr="33F06424">
              <w:rPr>
                <w:rFonts w:ascii="Verdana" w:eastAsia="Calibri" w:hAnsi="Verdana" w:cs="Arial"/>
                <w:lang w:val="es-ES"/>
              </w:rPr>
              <w:t xml:space="preserve">En </w:t>
            </w:r>
            <w:r w:rsidRPr="00275235">
              <w:rPr>
                <w:rFonts w:ascii="Verdana" w:eastAsia="Century Gothic" w:hAnsi="Verdana" w:cs="Century Gothic"/>
              </w:rPr>
              <w:t>todo</w:t>
            </w:r>
            <w:r w:rsidRPr="33F06424">
              <w:rPr>
                <w:rFonts w:ascii="Verdana" w:eastAsia="Calibri" w:hAnsi="Verdana" w:cs="Arial"/>
                <w:lang w:val="es-ES"/>
              </w:rPr>
              <w:t xml:space="preserve"> caso, sobre el régimen de inhabilidades e incompatibilidades para ser candidato a una corporación de elección popular y otras causales que están reguladas por normas diferentes al Estatuto General de Contratación de la Administración Pública; a</w:t>
            </w:r>
            <w:r w:rsidRPr="33F06424">
              <w:rPr>
                <w:rFonts w:ascii="Verdana" w:eastAsia="Calibri" w:hAnsi="Verdana" w:cs="Arial"/>
              </w:rPr>
              <w:t xml:space="preserve">l margen de la explicación precedente debe advertirse que el análisis requerido para resolver problemas específicos en torno a normas diferentes a la contratación estatal debe ser realizado por quienes tengan interés en ello, de acuerdo con lo explicado en el presente </w:t>
            </w:r>
            <w:r w:rsidR="002916B0">
              <w:rPr>
                <w:rFonts w:ascii="Verdana" w:eastAsia="Calibri" w:hAnsi="Verdana" w:cs="Arial"/>
              </w:rPr>
              <w:t>concepto</w:t>
            </w:r>
            <w:r w:rsidRPr="33F06424">
              <w:rPr>
                <w:rFonts w:ascii="Verdana" w:eastAsia="Calibri" w:hAnsi="Verdana" w:cs="Arial"/>
              </w:rPr>
              <w:t xml:space="preserve">.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w:t>
            </w:r>
            <w:r w:rsidRPr="33F06424">
              <w:rPr>
                <w:rFonts w:ascii="Verdana" w:eastAsia="Calibri" w:hAnsi="Verdana" w:cs="Arial"/>
              </w:rPr>
              <w:lastRenderedPageBreak/>
              <w:t>contractual, sin que sea atribución de Colombia Compra Eficiente validar sus actuaciones.</w:t>
            </w:r>
          </w:p>
        </w:tc>
      </w:tr>
    </w:tbl>
    <w:p w14:paraId="34102FB7" w14:textId="77777777" w:rsidR="00145A03" w:rsidRPr="00567EFD" w:rsidRDefault="00145A03" w:rsidP="00145A03">
      <w:pPr>
        <w:tabs>
          <w:tab w:val="left" w:pos="142"/>
          <w:tab w:val="left" w:pos="284"/>
        </w:tabs>
        <w:spacing w:after="0" w:line="276" w:lineRule="auto"/>
        <w:jc w:val="both"/>
        <w:rPr>
          <w:rFonts w:ascii="Verdana" w:eastAsia="Century Gothic" w:hAnsi="Verdana" w:cs="Century Gothic"/>
          <w:b/>
          <w:bCs/>
        </w:rPr>
      </w:pPr>
    </w:p>
    <w:p w14:paraId="6C03557F" w14:textId="77777777" w:rsidR="00145A03" w:rsidRPr="007C1C94" w:rsidRDefault="00145A03" w:rsidP="00145A0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C1C94">
        <w:rPr>
          <w:rFonts w:ascii="Verdana" w:eastAsia="Century Gothic" w:hAnsi="Verdana" w:cs="Century Gothic"/>
          <w:b/>
          <w:bCs/>
        </w:rPr>
        <w:t>Razones de la</w:t>
      </w:r>
      <w:r>
        <w:rPr>
          <w:rFonts w:ascii="Verdana" w:eastAsia="Century Gothic" w:hAnsi="Verdana" w:cs="Century Gothic"/>
          <w:b/>
          <w:bCs/>
        </w:rPr>
        <w:t>s</w:t>
      </w:r>
      <w:r w:rsidRPr="007C1C94">
        <w:rPr>
          <w:rFonts w:ascii="Verdana" w:eastAsia="Century Gothic" w:hAnsi="Verdana" w:cs="Century Gothic"/>
          <w:b/>
          <w:bCs/>
        </w:rPr>
        <w:t xml:space="preserve"> respuesta</w:t>
      </w:r>
      <w:r>
        <w:rPr>
          <w:rFonts w:ascii="Verdana" w:eastAsia="Century Gothic" w:hAnsi="Verdana" w:cs="Century Gothic"/>
          <w:b/>
          <w:bCs/>
        </w:rPr>
        <w:t>s</w:t>
      </w:r>
      <w:r w:rsidRPr="007C1C94">
        <w:rPr>
          <w:rFonts w:ascii="Verdana" w:eastAsia="Century Gothic" w:hAnsi="Verdana" w:cs="Century Gothic"/>
          <w:b/>
          <w:bCs/>
        </w:rPr>
        <w:t>:</w:t>
      </w:r>
    </w:p>
    <w:p w14:paraId="56F3D70E" w14:textId="77777777" w:rsidR="00145A03" w:rsidRPr="007C1C94" w:rsidRDefault="00145A03" w:rsidP="00145A03">
      <w:pPr>
        <w:spacing w:after="0" w:line="276" w:lineRule="auto"/>
        <w:jc w:val="both"/>
        <w:rPr>
          <w:rFonts w:ascii="Verdana" w:eastAsia="Calibri" w:hAnsi="Verdana" w:cs="Arial"/>
          <w:lang w:val="es-ES"/>
        </w:rPr>
      </w:pPr>
    </w:p>
    <w:p w14:paraId="638E1FE8" w14:textId="77777777" w:rsidR="00145A03" w:rsidRPr="007C1C94" w:rsidRDefault="00145A03" w:rsidP="00145A03">
      <w:pPr>
        <w:spacing w:after="0" w:line="276" w:lineRule="auto"/>
        <w:jc w:val="both"/>
        <w:rPr>
          <w:rFonts w:ascii="Verdana" w:eastAsia="Calibri" w:hAnsi="Verdana" w:cs="Arial"/>
          <w:lang w:val="es-ES"/>
        </w:rPr>
      </w:pPr>
      <w:r w:rsidRPr="007C1C94">
        <w:rPr>
          <w:rFonts w:ascii="Verdana" w:eastAsia="Calibri" w:hAnsi="Verdana" w:cs="Arial"/>
          <w:lang w:val="es-ES"/>
        </w:rPr>
        <w:t xml:space="preserve">Lo anterior se sustenta en las siguientes consideraciones: </w:t>
      </w:r>
    </w:p>
    <w:p w14:paraId="5E6AEFBB" w14:textId="77777777" w:rsidR="00145A03" w:rsidRDefault="00145A03" w:rsidP="00145A03">
      <w:pPr>
        <w:widowControl w:val="0"/>
        <w:autoSpaceDE w:val="0"/>
        <w:autoSpaceDN w:val="0"/>
        <w:spacing w:after="0" w:line="276" w:lineRule="auto"/>
        <w:jc w:val="both"/>
        <w:rPr>
          <w:rFonts w:ascii="Verdana" w:eastAsia="Calibri" w:hAnsi="Verdana" w:cs="Arial"/>
          <w:lang w:val="es-ES"/>
        </w:rPr>
      </w:pPr>
    </w:p>
    <w:p w14:paraId="477BBAB7" w14:textId="77777777" w:rsidR="00145A03" w:rsidRPr="005E3465" w:rsidRDefault="00145A03" w:rsidP="00145A03">
      <w:pPr>
        <w:spacing w:after="120" w:line="276" w:lineRule="auto"/>
        <w:jc w:val="both"/>
        <w:rPr>
          <w:rFonts w:ascii="Verdana" w:eastAsia="Aptos" w:hAnsi="Verdana" w:cs="Arial"/>
          <w:lang w:val="es-MX"/>
        </w:rPr>
      </w:pPr>
      <w:r w:rsidRPr="005E3465">
        <w:rPr>
          <w:rFonts w:ascii="Verdana" w:eastAsia="Calibri" w:hAnsi="Verdana" w:cs="Arial"/>
          <w:lang w:val="es-ES"/>
        </w:rPr>
        <w:t xml:space="preserve">En </w:t>
      </w:r>
      <w:r w:rsidRPr="005E3465">
        <w:rPr>
          <w:rFonts w:ascii="Verdana" w:eastAsia="Calibri" w:hAnsi="Verdana" w:cs="Arial"/>
          <w:i/>
          <w:iCs/>
          <w:lang w:val="es-ES"/>
        </w:rPr>
        <w:t>primer lugar</w:t>
      </w:r>
      <w:r w:rsidRPr="005E3465">
        <w:rPr>
          <w:rFonts w:ascii="Verdana" w:eastAsia="Calibri" w:hAnsi="Verdana" w:cs="Arial"/>
          <w:lang w:val="es-ES"/>
        </w:rPr>
        <w:t>, respecto del objeto de su consulta, debe advertirse que,</w:t>
      </w:r>
      <w:r w:rsidRPr="005E3465">
        <w:rPr>
          <w:rFonts w:ascii="Verdana" w:eastAsia="Calibri" w:hAnsi="Verdana" w:cs="Arial"/>
          <w:lang w:val="es-ES_tradnl" w:eastAsia="es-ES_tradnl"/>
        </w:rPr>
        <w:t xml:space="preserve"> l</w:t>
      </w:r>
      <w:r w:rsidRPr="005E3465">
        <w:rPr>
          <w:rFonts w:ascii="Verdana" w:eastAsia="Aptos" w:hAnsi="Verdana" w:cs="Arial"/>
          <w:lang w:val="es-MX"/>
        </w:rPr>
        <w:t>as inhabilidades son circunstancias establecidas por la Constitución o en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w:t>
      </w:r>
    </w:p>
    <w:p w14:paraId="70B6D9E4" w14:textId="77777777" w:rsidR="00145A03" w:rsidRPr="005E3465" w:rsidRDefault="00145A03" w:rsidP="00145A03">
      <w:pPr>
        <w:spacing w:after="120" w:line="276" w:lineRule="auto"/>
        <w:ind w:firstLine="708"/>
        <w:jc w:val="both"/>
        <w:rPr>
          <w:rFonts w:ascii="Verdana" w:eastAsia="Aptos" w:hAnsi="Verdana" w:cs="Arial"/>
          <w:lang w:val="es-MX"/>
        </w:rPr>
      </w:pPr>
      <w:r w:rsidRPr="005E3465">
        <w:rPr>
          <w:rFonts w:ascii="Verdana" w:eastAsia="Aptos" w:hAnsi="Verdana" w:cs="Arial"/>
          <w:lang w:val="es-MX"/>
        </w:rPr>
        <w:t xml:space="preserve">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w:t>
      </w:r>
    </w:p>
    <w:p w14:paraId="31D1F0BF" w14:textId="77777777" w:rsidR="00145A03" w:rsidRPr="005E3465" w:rsidRDefault="00145A03" w:rsidP="00145A03">
      <w:pPr>
        <w:spacing w:before="120" w:after="0" w:line="276" w:lineRule="auto"/>
        <w:ind w:firstLine="709"/>
        <w:jc w:val="both"/>
        <w:rPr>
          <w:rFonts w:ascii="Verdana" w:eastAsia="Aptos" w:hAnsi="Verdana" w:cs="Arial"/>
          <w:lang w:val="es-MX"/>
        </w:rPr>
      </w:pPr>
      <w:r w:rsidRPr="33F06424">
        <w:rPr>
          <w:rFonts w:ascii="Verdana" w:eastAsia="Aptos" w:hAnsi="Verdana" w:cs="Arial"/>
          <w:lang w:val="es-MX"/>
        </w:rPr>
        <w:t xml:space="preserve">La consagración de limitaciones que afectan la capacidad jurídica para contratar desarrolla los principios de la función administrativa consagrados en el artículo 209 de la Constitución Política, con especial énfasis el de moralidad. Así lo entiende el Consejo de Estado: </w:t>
      </w:r>
    </w:p>
    <w:p w14:paraId="5E0D9F09" w14:textId="77777777" w:rsidR="00145A03" w:rsidRPr="005E3465" w:rsidRDefault="00145A03" w:rsidP="00145A03">
      <w:pPr>
        <w:spacing w:after="0" w:line="276" w:lineRule="auto"/>
        <w:ind w:firstLine="709"/>
        <w:jc w:val="both"/>
        <w:rPr>
          <w:rFonts w:ascii="Verdana" w:eastAsia="Aptos" w:hAnsi="Verdana" w:cs="Arial"/>
          <w:lang w:val="es-MX"/>
        </w:rPr>
      </w:pPr>
    </w:p>
    <w:p w14:paraId="4B9AF955" w14:textId="77777777" w:rsidR="00145A03" w:rsidRPr="00160B30" w:rsidRDefault="00145A03" w:rsidP="00145A03">
      <w:pPr>
        <w:shd w:val="clear" w:color="auto" w:fill="FFFFFF"/>
        <w:spacing w:after="0" w:line="240" w:lineRule="auto"/>
        <w:ind w:left="709" w:right="709"/>
        <w:contextualSpacing/>
        <w:jc w:val="both"/>
        <w:rPr>
          <w:rFonts w:ascii="Verdana" w:eastAsia="Aptos" w:hAnsi="Verdana" w:cs="Arial"/>
          <w:sz w:val="20"/>
          <w:szCs w:val="20"/>
          <w:lang w:val="es-ES"/>
        </w:rPr>
      </w:pPr>
      <w:r w:rsidRPr="00160B30">
        <w:rPr>
          <w:rFonts w:ascii="Verdana" w:eastAsia="Aptos"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135BFC49" w14:textId="77777777" w:rsidR="00145A03" w:rsidRPr="00160B30" w:rsidRDefault="00145A03" w:rsidP="00145A03">
      <w:pPr>
        <w:shd w:val="clear" w:color="auto" w:fill="FFFFFF"/>
        <w:spacing w:after="0" w:line="240" w:lineRule="auto"/>
        <w:ind w:left="709" w:right="709"/>
        <w:contextualSpacing/>
        <w:jc w:val="both"/>
        <w:rPr>
          <w:rFonts w:ascii="Verdana" w:eastAsia="Aptos" w:hAnsi="Verdana" w:cs="Arial"/>
          <w:sz w:val="20"/>
          <w:szCs w:val="20"/>
          <w:lang w:val="es-ES"/>
        </w:rPr>
      </w:pPr>
    </w:p>
    <w:p w14:paraId="4AEA3E28" w14:textId="77777777" w:rsidR="00145A03" w:rsidRPr="00160B30" w:rsidRDefault="00145A03" w:rsidP="00145A03">
      <w:pPr>
        <w:shd w:val="clear" w:color="auto" w:fill="FFFFFF"/>
        <w:spacing w:after="0" w:line="240" w:lineRule="auto"/>
        <w:ind w:left="709" w:right="709"/>
        <w:contextualSpacing/>
        <w:jc w:val="both"/>
        <w:rPr>
          <w:rFonts w:ascii="Verdana" w:eastAsia="Aptos" w:hAnsi="Verdana" w:cs="Arial"/>
          <w:sz w:val="20"/>
          <w:szCs w:val="20"/>
          <w:lang w:val="es-ES"/>
        </w:rPr>
      </w:pPr>
      <w:r w:rsidRPr="00160B30">
        <w:rPr>
          <w:rFonts w:ascii="Verdana" w:eastAsia="Aptos" w:hAnsi="Verdana" w:cs="Arial"/>
          <w:sz w:val="20"/>
          <w:szCs w:val="20"/>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w:t>
      </w:r>
      <w:r w:rsidRPr="00160B30">
        <w:rPr>
          <w:rFonts w:ascii="Verdana" w:eastAsia="Aptos" w:hAnsi="Verdana" w:cs="Arial"/>
          <w:sz w:val="20"/>
          <w:szCs w:val="20"/>
          <w:lang w:val="es-ES"/>
        </w:rPr>
        <w:lastRenderedPageBreak/>
        <w:t>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160B30">
        <w:rPr>
          <w:rFonts w:ascii="Verdana" w:eastAsia="Aptos" w:hAnsi="Verdana" w:cs="Arial"/>
          <w:sz w:val="20"/>
          <w:szCs w:val="20"/>
          <w:vertAlign w:val="superscript"/>
          <w:lang w:val="es-ES"/>
        </w:rPr>
        <w:footnoteReference w:id="1"/>
      </w:r>
      <w:r w:rsidRPr="00160B30">
        <w:rPr>
          <w:rFonts w:ascii="Verdana" w:eastAsia="Aptos" w:hAnsi="Verdana" w:cs="Arial"/>
          <w:sz w:val="20"/>
          <w:szCs w:val="20"/>
          <w:lang w:val="es-ES"/>
        </w:rPr>
        <w:t xml:space="preserve">. </w:t>
      </w:r>
    </w:p>
    <w:p w14:paraId="175F62DE" w14:textId="77777777" w:rsidR="00145A03" w:rsidRPr="005E3465" w:rsidRDefault="00145A03" w:rsidP="00145A03">
      <w:pPr>
        <w:spacing w:after="0" w:line="276" w:lineRule="auto"/>
        <w:jc w:val="both"/>
        <w:rPr>
          <w:rFonts w:ascii="Verdana" w:eastAsia="Aptos" w:hAnsi="Verdana" w:cs="Arial"/>
          <w:lang w:val="es-MX"/>
        </w:rPr>
      </w:pPr>
    </w:p>
    <w:p w14:paraId="4160AC6D" w14:textId="77777777" w:rsidR="00145A03" w:rsidRPr="005E3465" w:rsidRDefault="00145A03" w:rsidP="00145A03">
      <w:pPr>
        <w:spacing w:after="120" w:line="276" w:lineRule="auto"/>
        <w:ind w:firstLine="709"/>
        <w:jc w:val="both"/>
        <w:rPr>
          <w:rFonts w:ascii="Verdana" w:eastAsia="Times New Roman" w:hAnsi="Verdana" w:cs="Arial"/>
          <w:lang w:eastAsia="es-MX"/>
        </w:rPr>
      </w:pPr>
      <w:r w:rsidRPr="005E3465">
        <w:rPr>
          <w:rFonts w:ascii="Verdana" w:eastAsia="Aptos" w:hAnsi="Verdana" w:cs="Arial"/>
          <w:lang w:val="es-MX"/>
        </w:rPr>
        <w:t xml:space="preserve">Conforme lo anterior, 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w:t>
      </w:r>
    </w:p>
    <w:p w14:paraId="34C399E8" w14:textId="77777777" w:rsidR="00145A03" w:rsidRPr="005E3465" w:rsidRDefault="00145A03" w:rsidP="00145A03">
      <w:pPr>
        <w:spacing w:after="120" w:line="276" w:lineRule="auto"/>
        <w:ind w:firstLine="709"/>
        <w:jc w:val="both"/>
        <w:rPr>
          <w:rFonts w:ascii="Verdana" w:eastAsia="Times New Roman" w:hAnsi="Verdana" w:cs="Arial"/>
          <w:lang w:eastAsia="es-MX"/>
        </w:rPr>
      </w:pPr>
      <w:r w:rsidRPr="005E3465">
        <w:rPr>
          <w:rFonts w:ascii="Verdana" w:eastAsia="Times New Roman" w:hAnsi="Verdana" w:cs="Arial"/>
          <w:lang w:eastAsia="es-MX"/>
        </w:rPr>
        <w:t xml:space="preserve">Conviene también distinguir las fuentes de las inhabilidades, las cuales han sido clasificadas en dos (2) grupos: i) inhabilidades-sanción y </w:t>
      </w:r>
      <w:proofErr w:type="spellStart"/>
      <w:r w:rsidRPr="005E3465">
        <w:rPr>
          <w:rFonts w:ascii="Verdana" w:eastAsia="Times New Roman" w:hAnsi="Verdana" w:cs="Arial"/>
          <w:lang w:eastAsia="es-MX"/>
        </w:rPr>
        <w:t>ii</w:t>
      </w:r>
      <w:proofErr w:type="spellEnd"/>
      <w:r w:rsidRPr="005E3465">
        <w:rPr>
          <w:rFonts w:ascii="Verdana" w:eastAsia="Times New Roman" w:hAnsi="Verdana" w:cs="Arial"/>
          <w:lang w:eastAsia="es-MX"/>
        </w:rPr>
        <w:t xml:space="preserve">) inhabilidades-requisito. En el </w:t>
      </w:r>
      <w:r w:rsidRPr="005E3465">
        <w:rPr>
          <w:rFonts w:ascii="Verdana" w:eastAsia="Times New Roman" w:hAnsi="Verdana" w:cs="Arial"/>
          <w:i/>
          <w:iCs/>
          <w:lang w:eastAsia="es-MX"/>
        </w:rPr>
        <w:t>primer</w:t>
      </w:r>
      <w:r w:rsidRPr="005E3465">
        <w:rPr>
          <w:rFonts w:ascii="Verdana" w:eastAsia="Times New Roman" w:hAnsi="Verdana" w:cs="Arial"/>
          <w:lang w:eastAsia="es-MX"/>
        </w:rPr>
        <w:t xml:space="preserve"> grupo se encuentran las inhabilidades que surgen como consecuencia de un proceso sancionatorio, en los ámbitos penal, disciplinario, contravencional o de pérdida de investidura. En el </w:t>
      </w:r>
      <w:r w:rsidRPr="005E3465">
        <w:rPr>
          <w:rFonts w:ascii="Verdana" w:eastAsia="Times New Roman" w:hAnsi="Verdana" w:cs="Arial"/>
          <w:i/>
          <w:iCs/>
          <w:lang w:eastAsia="es-MX"/>
        </w:rPr>
        <w:t>segundo</w:t>
      </w:r>
      <w:r w:rsidRPr="005E3465">
        <w:rPr>
          <w:rFonts w:ascii="Verdana" w:eastAsia="Times New Roman" w:hAnsi="Verdana" w:cs="Arial"/>
          <w:lang w:eastAsia="es-MX"/>
        </w:rPr>
        <w:t xml:space="preserve"> grupo están aquellas que no devienen de un proceso sancionatorio, sino de condiciones propias de la persona y garantizan la moralidad, la imparcialidad, la eficacia y la transparencia</w:t>
      </w:r>
      <w:r w:rsidRPr="005E3465">
        <w:rPr>
          <w:rFonts w:ascii="Verdana" w:eastAsia="Times New Roman" w:hAnsi="Verdana" w:cs="Arial"/>
          <w:vertAlign w:val="superscript"/>
          <w:lang w:eastAsia="es-MX"/>
        </w:rPr>
        <w:footnoteReference w:id="2"/>
      </w:r>
      <w:r w:rsidRPr="005E3465">
        <w:rPr>
          <w:rFonts w:ascii="Verdana" w:eastAsia="Times New Roman" w:hAnsi="Verdana" w:cs="Arial"/>
          <w:lang w:eastAsia="es-MX"/>
        </w:rPr>
        <w:t xml:space="preserve">. </w:t>
      </w:r>
    </w:p>
    <w:p w14:paraId="4EF4179F" w14:textId="77777777" w:rsidR="00145A03" w:rsidRPr="005E3465" w:rsidRDefault="00145A03" w:rsidP="00145A03">
      <w:pPr>
        <w:spacing w:after="120" w:line="276" w:lineRule="auto"/>
        <w:ind w:firstLine="708"/>
        <w:jc w:val="both"/>
        <w:rPr>
          <w:rFonts w:ascii="Verdana" w:eastAsia="Times New Roman" w:hAnsi="Verdana" w:cs="Arial"/>
          <w:lang w:eastAsia="es-MX"/>
        </w:rPr>
      </w:pPr>
      <w:r w:rsidRPr="005E3465">
        <w:rPr>
          <w:rFonts w:ascii="Verdana" w:eastAsia="Times New Roman" w:hAnsi="Verdana" w:cs="Arial"/>
          <w:lang w:eastAsia="es-MX"/>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053B0D66" w14:textId="77777777" w:rsidR="00145A03" w:rsidRPr="005E3465" w:rsidRDefault="00145A03" w:rsidP="00145A03">
      <w:pPr>
        <w:spacing w:after="120" w:line="276" w:lineRule="auto"/>
        <w:ind w:firstLine="709"/>
        <w:jc w:val="both"/>
        <w:rPr>
          <w:rFonts w:ascii="Verdana" w:eastAsia="Times New Roman" w:hAnsi="Verdana" w:cs="Arial"/>
          <w:lang w:eastAsia="es-MX"/>
        </w:rPr>
      </w:pPr>
      <w:r w:rsidRPr="005E3465">
        <w:rPr>
          <w:rFonts w:ascii="Verdana" w:eastAsia="Times New Roman" w:hAnsi="Verdana" w:cs="Arial"/>
          <w:lang w:eastAsia="es-MX"/>
        </w:rPr>
        <w:t xml:space="preserve">En ambos eventos, la inhabilidad tiene como fuente una situación o un hecho propio del proponente –una conducta o una condición– ajena a la oferta. </w:t>
      </w:r>
      <w:r w:rsidRPr="005E3465">
        <w:rPr>
          <w:rFonts w:ascii="Verdana" w:eastAsia="Times New Roman" w:hAnsi="Verdana" w:cs="Arial"/>
          <w:lang w:eastAsia="es-MX"/>
        </w:rPr>
        <w:lastRenderedPageBreak/>
        <w:t xml:space="preserve">La inhabilidad surge, entre otros, por su grado de parentesco o afinidad, por su condición de servidor público o por una declaratoria de responsabilidad penal, disciplinaria o sancionatoria contractual sobre él. </w:t>
      </w:r>
    </w:p>
    <w:p w14:paraId="457DC557" w14:textId="77777777" w:rsidR="00145A03" w:rsidRPr="005E3465" w:rsidRDefault="00145A03" w:rsidP="00145A03">
      <w:pPr>
        <w:spacing w:after="120" w:line="276" w:lineRule="auto"/>
        <w:ind w:firstLine="709"/>
        <w:jc w:val="both"/>
        <w:rPr>
          <w:rFonts w:ascii="Verdana" w:eastAsia="Calibri" w:hAnsi="Verdana" w:cs="Arial"/>
          <w:color w:val="000000"/>
          <w:lang w:val="es-ES_tradnl" w:eastAsia="es-ES_tradnl"/>
        </w:rPr>
      </w:pPr>
      <w:r w:rsidRPr="005E3465">
        <w:rPr>
          <w:rFonts w:ascii="Verdana" w:eastAsia="Calibri" w:hAnsi="Verdana" w:cs="Arial"/>
          <w:color w:val="000000"/>
          <w:lang w:val="es-ES_tradnl" w:eastAsia="es-ES_tradnl"/>
        </w:rPr>
        <w:t xml:space="preserve">Ahora bien, las inhabilidades e incompatibilidades al ser restricciones o límites especiales a la capacidad para presentar ofertas y celebrar contratos estatales, solo pueden tipificarse en la ley –o sea, deben satisfacer el principio de legalidad– y su interpretación debe ser </w:t>
      </w:r>
      <w:r w:rsidRPr="005E3465">
        <w:rPr>
          <w:rFonts w:ascii="Verdana" w:eastAsia="Calibri" w:hAnsi="Verdana" w:cs="Arial"/>
          <w:i/>
          <w:iCs/>
          <w:color w:val="000000"/>
          <w:lang w:val="es-ES_tradnl" w:eastAsia="es-ES_tradnl"/>
        </w:rPr>
        <w:t>restrictiva</w:t>
      </w:r>
      <w:r w:rsidRPr="005E3465">
        <w:rPr>
          <w:rFonts w:ascii="Verdana" w:eastAsia="Aptos" w:hAnsi="Verdana" w:cs="Times New Roman"/>
          <w:vertAlign w:val="superscript"/>
        </w:rPr>
        <w:footnoteReference w:id="3"/>
      </w:r>
      <w:r w:rsidRPr="005E3465">
        <w:rPr>
          <w:rFonts w:ascii="Verdana" w:eastAsia="Calibri" w:hAnsi="Verdana" w:cs="Arial"/>
          <w:color w:val="000000"/>
          <w:lang w:eastAsia="es-ES_tradnl"/>
        </w:rPr>
        <w:t>. S</w:t>
      </w:r>
      <w:r w:rsidRPr="005E3465">
        <w:rPr>
          <w:rFonts w:ascii="Verdana" w:eastAsia="Calibri" w:hAnsi="Verdana" w:cs="Arial"/>
          <w:color w:val="000000"/>
          <w:lang w:val="es-ES_tradnl" w:eastAsia="es-ES_tradnl"/>
        </w:rPr>
        <w:t xml:space="preserve">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w:t>
      </w:r>
    </w:p>
    <w:p w14:paraId="050878CB" w14:textId="77777777" w:rsidR="00145A03" w:rsidRPr="005E3465" w:rsidRDefault="00145A03" w:rsidP="00145A03">
      <w:pPr>
        <w:spacing w:after="120" w:line="276" w:lineRule="auto"/>
        <w:ind w:firstLine="709"/>
        <w:jc w:val="both"/>
        <w:rPr>
          <w:rFonts w:ascii="Verdana" w:eastAsia="Calibri" w:hAnsi="Verdana" w:cs="Arial"/>
          <w:color w:val="000000"/>
          <w:lang w:val="es-ES_tradnl" w:eastAsia="es-ES_tradnl"/>
        </w:rPr>
      </w:pPr>
      <w:r w:rsidRPr="005E3465">
        <w:rPr>
          <w:rFonts w:ascii="Verdana" w:eastAsia="Calibri" w:hAnsi="Verdana" w:cs="Arial"/>
          <w:color w:val="000000"/>
          <w:lang w:val="es-ES_tradnl" w:eastAsia="es-ES_tradnl"/>
        </w:rPr>
        <w:t xml:space="preserve">Tal ha sido la postura al interior de la jurisprudencia, tanto de la Corte Constitucional como de la Sección Tercera del Consejo de Estado. En efecto, el máximo tribunal constitucional ha indicado que, al precisar el sentido de este tipo de normas, </w:t>
      </w:r>
      <w:r w:rsidRPr="00160B30">
        <w:rPr>
          <w:rFonts w:ascii="Verdana" w:eastAsia="Calibri" w:hAnsi="Verdana" w:cs="Arial"/>
          <w:i/>
          <w:iCs/>
          <w:color w:val="000000"/>
          <w:lang w:val="es-ES_tradnl" w:eastAsia="es-ES_tradnl"/>
        </w:rPr>
        <w:t>“[…]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5E3465">
        <w:rPr>
          <w:rFonts w:ascii="Verdana" w:eastAsia="Aptos" w:hAnsi="Verdana" w:cs="Times New Roman"/>
          <w:vertAlign w:val="superscript"/>
        </w:rPr>
        <w:footnoteReference w:id="4"/>
      </w:r>
      <w:r w:rsidRPr="005E3465">
        <w:rPr>
          <w:rFonts w:ascii="Verdana" w:eastAsia="Calibri" w:hAnsi="Verdana" w:cs="Arial"/>
          <w:color w:val="000000"/>
          <w:lang w:val="es-ES_tradnl" w:eastAsia="es-ES_tradnl"/>
        </w:rPr>
        <w:t xml:space="preserve">. </w:t>
      </w:r>
    </w:p>
    <w:p w14:paraId="310EC396" w14:textId="77777777" w:rsidR="00145A03" w:rsidRPr="005E3465" w:rsidRDefault="00145A03" w:rsidP="00145A03">
      <w:pPr>
        <w:spacing w:after="0" w:line="276" w:lineRule="auto"/>
        <w:ind w:firstLine="709"/>
        <w:jc w:val="both"/>
        <w:rPr>
          <w:rFonts w:ascii="Verdana" w:eastAsia="Calibri" w:hAnsi="Verdana" w:cs="Arial"/>
          <w:color w:val="000000"/>
          <w:lang w:val="es-ES_tradnl" w:eastAsia="es-ES_tradnl"/>
        </w:rPr>
      </w:pPr>
      <w:r w:rsidRPr="005E3465">
        <w:rPr>
          <w:rFonts w:ascii="Verdana" w:eastAsia="Calibri" w:hAnsi="Verdana" w:cs="Arial"/>
          <w:color w:val="000000"/>
          <w:lang w:val="es-ES_tradnl" w:eastAsia="es-ES_tradnl"/>
        </w:rPr>
        <w:t xml:space="preserve">Por su parte, el Consejo de Estado ha acogido también este criterio, considerando –como expresa la Sala de Consulta y Servicio Civil– que </w:t>
      </w:r>
      <w:r w:rsidRPr="00E45F63">
        <w:rPr>
          <w:rFonts w:ascii="Verdana" w:eastAsia="Calibri" w:hAnsi="Verdana" w:cs="Arial"/>
          <w:i/>
          <w:iCs/>
          <w:color w:val="000000"/>
          <w:lang w:val="es-ES_tradnl" w:eastAsia="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5E3465">
        <w:rPr>
          <w:rFonts w:ascii="Verdana" w:eastAsia="Aptos" w:hAnsi="Verdana" w:cs="Times New Roman"/>
          <w:vertAlign w:val="superscript"/>
        </w:rPr>
        <w:footnoteReference w:id="5"/>
      </w:r>
      <w:r w:rsidRPr="005E3465">
        <w:rPr>
          <w:rFonts w:ascii="Verdana" w:eastAsia="Calibri" w:hAnsi="Verdana" w:cs="Arial"/>
          <w:color w:val="000000"/>
          <w:lang w:val="es-ES_tradnl" w:eastAsia="es-ES_tradnl"/>
        </w:rPr>
        <w:t>. En tal sentido, la Sección Tercera ha señalado que:</w:t>
      </w:r>
    </w:p>
    <w:p w14:paraId="1E72220B" w14:textId="77777777" w:rsidR="00145A03" w:rsidRPr="005E3465" w:rsidRDefault="00145A03" w:rsidP="00145A03">
      <w:pPr>
        <w:spacing w:after="0" w:line="276" w:lineRule="auto"/>
        <w:ind w:firstLine="709"/>
        <w:jc w:val="both"/>
        <w:rPr>
          <w:rFonts w:ascii="Verdana" w:eastAsia="Calibri" w:hAnsi="Verdana" w:cs="Arial"/>
          <w:color w:val="000000"/>
          <w:lang w:val="es-ES_tradnl" w:eastAsia="es-ES_tradnl"/>
        </w:rPr>
      </w:pPr>
    </w:p>
    <w:p w14:paraId="1B90BD97" w14:textId="77777777" w:rsidR="00145A03" w:rsidRPr="00160B30" w:rsidRDefault="00145A03" w:rsidP="00145A03">
      <w:pPr>
        <w:spacing w:after="0" w:line="240" w:lineRule="auto"/>
        <w:ind w:left="709" w:right="709"/>
        <w:jc w:val="both"/>
        <w:rPr>
          <w:rFonts w:ascii="Verdana" w:eastAsia="Times New Roman" w:hAnsi="Verdana" w:cs="Arial"/>
          <w:bCs/>
          <w:color w:val="000000"/>
          <w:sz w:val="20"/>
          <w:szCs w:val="20"/>
          <w:lang w:val="es-ES_tradnl" w:eastAsia="es-ES_tradnl"/>
        </w:rPr>
      </w:pPr>
      <w:r w:rsidRPr="00160B30">
        <w:rPr>
          <w:rFonts w:ascii="Verdana" w:eastAsia="Times New Roman" w:hAnsi="Verdana" w:cs="Arial"/>
          <w:color w:val="000000"/>
          <w:sz w:val="20"/>
          <w:szCs w:val="20"/>
          <w:lang w:val="es-ES_tradnl" w:eastAsia="es-ES_tradnl"/>
        </w:rPr>
        <w:lastRenderedPageBreak/>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160B30">
        <w:rPr>
          <w:rFonts w:ascii="Verdana" w:eastAsia="Aptos" w:hAnsi="Verdana" w:cs="Times New Roman"/>
          <w:sz w:val="20"/>
          <w:szCs w:val="20"/>
          <w:vertAlign w:val="superscript"/>
        </w:rPr>
        <w:footnoteReference w:id="6"/>
      </w:r>
      <w:r w:rsidRPr="00160B30">
        <w:rPr>
          <w:rFonts w:ascii="Verdana" w:eastAsia="Times New Roman" w:hAnsi="Verdana" w:cs="Arial"/>
          <w:color w:val="000000"/>
          <w:sz w:val="20"/>
          <w:szCs w:val="20"/>
          <w:lang w:val="es-ES_tradnl" w:eastAsia="es-ES_tradnl"/>
        </w:rPr>
        <w:t>.</w:t>
      </w:r>
    </w:p>
    <w:p w14:paraId="1AC6092C" w14:textId="77777777" w:rsidR="00145A03" w:rsidRPr="00160B30" w:rsidRDefault="00145A03" w:rsidP="00145A03">
      <w:pPr>
        <w:spacing w:after="0" w:line="240" w:lineRule="auto"/>
        <w:ind w:left="709" w:right="709"/>
        <w:jc w:val="both"/>
        <w:rPr>
          <w:rFonts w:ascii="Verdana" w:eastAsia="Times New Roman" w:hAnsi="Verdana" w:cs="Arial"/>
          <w:bCs/>
          <w:color w:val="000000"/>
          <w:sz w:val="20"/>
          <w:szCs w:val="20"/>
          <w:lang w:val="es-ES_tradnl" w:eastAsia="es-ES_tradnl"/>
        </w:rPr>
      </w:pPr>
    </w:p>
    <w:p w14:paraId="3A5AA31E" w14:textId="77777777" w:rsidR="00145A03" w:rsidRPr="00160B30" w:rsidRDefault="00145A03" w:rsidP="00145A03">
      <w:pPr>
        <w:spacing w:after="0" w:line="240" w:lineRule="auto"/>
        <w:ind w:left="709" w:right="709"/>
        <w:jc w:val="both"/>
        <w:rPr>
          <w:rFonts w:ascii="Verdana" w:eastAsia="Times New Roman" w:hAnsi="Verdana" w:cs="Arial"/>
          <w:bCs/>
          <w:color w:val="000000"/>
          <w:sz w:val="20"/>
          <w:szCs w:val="20"/>
          <w:lang w:val="es-ES_tradnl" w:eastAsia="es-ES_tradnl"/>
        </w:rPr>
      </w:pPr>
      <w:r w:rsidRPr="00160B30">
        <w:rPr>
          <w:rFonts w:ascii="Verdana" w:eastAsia="Calibri" w:hAnsi="Verdana" w:cs="Arial"/>
          <w:color w:val="000000"/>
          <w:sz w:val="20"/>
          <w:szCs w:val="20"/>
          <w:lang w:val="es-ES_tradnl" w:eastAsia="es-ES_tradnl"/>
        </w:rPr>
        <w:t>También ha dicho que:</w:t>
      </w:r>
    </w:p>
    <w:p w14:paraId="42309056" w14:textId="77777777" w:rsidR="00145A03" w:rsidRPr="00160B30" w:rsidRDefault="00145A03" w:rsidP="00145A03">
      <w:pPr>
        <w:spacing w:after="0" w:line="240" w:lineRule="auto"/>
        <w:ind w:left="709" w:right="709" w:firstLine="709"/>
        <w:jc w:val="both"/>
        <w:rPr>
          <w:rFonts w:ascii="Verdana" w:eastAsia="Calibri" w:hAnsi="Verdana" w:cs="Arial"/>
          <w:color w:val="000000"/>
          <w:sz w:val="20"/>
          <w:szCs w:val="20"/>
          <w:lang w:val="es-ES_tradnl" w:eastAsia="es-ES_tradnl"/>
        </w:rPr>
      </w:pPr>
    </w:p>
    <w:p w14:paraId="5C1E164C" w14:textId="77777777" w:rsidR="00145A03" w:rsidRPr="00160B30" w:rsidRDefault="00145A03" w:rsidP="00145A03">
      <w:pPr>
        <w:spacing w:after="0" w:line="240" w:lineRule="auto"/>
        <w:ind w:left="709" w:right="709"/>
        <w:jc w:val="both"/>
        <w:rPr>
          <w:rFonts w:ascii="Verdana" w:eastAsia="Times New Roman" w:hAnsi="Verdana" w:cs="Arial"/>
          <w:color w:val="000000"/>
          <w:sz w:val="20"/>
          <w:szCs w:val="20"/>
          <w:lang w:val="es-ES_tradnl" w:eastAsia="es-ES_tradnl"/>
        </w:rPr>
      </w:pPr>
      <w:r w:rsidRPr="00160B30">
        <w:rPr>
          <w:rFonts w:ascii="Verdana" w:eastAsia="Times New Roman" w:hAnsi="Verdana" w:cs="Arial"/>
          <w:color w:val="000000"/>
          <w:sz w:val="20"/>
          <w:szCs w:val="20"/>
          <w:lang w:val="es-ES_tradnl" w:eastAsia="es-ES_tradnl"/>
        </w:rPr>
        <w:t xml:space="preserve">[…] la aplicación de estos preceptos exige una interpretación restrictiva, dado que según el principio hermenéutico </w:t>
      </w:r>
      <w:r w:rsidRPr="00160B30">
        <w:rPr>
          <w:rFonts w:ascii="Verdana" w:eastAsia="Times New Roman" w:hAnsi="Verdana" w:cs="Arial"/>
          <w:i/>
          <w:iCs/>
          <w:color w:val="000000"/>
          <w:sz w:val="20"/>
          <w:szCs w:val="20"/>
          <w:lang w:val="es-ES_tradnl" w:eastAsia="es-ES_tradnl"/>
        </w:rPr>
        <w:t xml:space="preserve">pro </w:t>
      </w:r>
      <w:proofErr w:type="spellStart"/>
      <w:r w:rsidRPr="00160B30">
        <w:rPr>
          <w:rFonts w:ascii="Verdana" w:eastAsia="Times New Roman" w:hAnsi="Verdana" w:cs="Arial"/>
          <w:i/>
          <w:iCs/>
          <w:color w:val="000000"/>
          <w:sz w:val="20"/>
          <w:szCs w:val="20"/>
          <w:lang w:val="es-ES_tradnl" w:eastAsia="es-ES_tradnl"/>
        </w:rPr>
        <w:t>libertate</w:t>
      </w:r>
      <w:proofErr w:type="spellEnd"/>
      <w:r w:rsidRPr="00160B30">
        <w:rPr>
          <w:rFonts w:ascii="Verdana" w:eastAsia="Times New Roman" w:hAnsi="Verdana" w:cs="Arial"/>
          <w:color w:val="000000"/>
          <w:sz w:val="20"/>
          <w:szCs w:val="20"/>
          <w:lang w:val="es-ES_tradnl" w:eastAsia="es-ES_tradnl"/>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160B30">
        <w:rPr>
          <w:rFonts w:ascii="Verdana" w:eastAsia="Aptos" w:hAnsi="Verdana" w:cs="Times New Roman"/>
          <w:sz w:val="20"/>
          <w:szCs w:val="20"/>
          <w:vertAlign w:val="superscript"/>
        </w:rPr>
        <w:footnoteReference w:id="7"/>
      </w:r>
      <w:r w:rsidRPr="00160B30">
        <w:rPr>
          <w:rFonts w:ascii="Verdana" w:eastAsia="Times New Roman" w:hAnsi="Verdana" w:cs="Arial"/>
          <w:color w:val="000000"/>
          <w:sz w:val="20"/>
          <w:szCs w:val="20"/>
          <w:lang w:val="es-ES_tradnl" w:eastAsia="es-ES_tradnl"/>
        </w:rPr>
        <w:t>.</w:t>
      </w:r>
    </w:p>
    <w:p w14:paraId="094A4066" w14:textId="77777777" w:rsidR="00145A03" w:rsidRPr="005E3465" w:rsidRDefault="00145A03" w:rsidP="00145A03">
      <w:pPr>
        <w:spacing w:after="0" w:line="276" w:lineRule="auto"/>
        <w:jc w:val="both"/>
        <w:rPr>
          <w:rFonts w:ascii="Verdana" w:eastAsia="Calibri" w:hAnsi="Verdana" w:cs="Arial"/>
          <w:color w:val="000000"/>
          <w:lang w:val="es-ES_tradnl" w:eastAsia="es-ES_tradnl"/>
        </w:rPr>
      </w:pPr>
    </w:p>
    <w:p w14:paraId="009533EB" w14:textId="77777777" w:rsidR="00145A03" w:rsidRPr="005E3465" w:rsidRDefault="00145A03" w:rsidP="33F06424">
      <w:pPr>
        <w:spacing w:after="120" w:line="276" w:lineRule="auto"/>
        <w:ind w:firstLine="709"/>
        <w:jc w:val="both"/>
        <w:rPr>
          <w:rFonts w:ascii="Verdana" w:eastAsia="Times New Roman" w:hAnsi="Verdana" w:cs="Arial"/>
          <w:color w:val="000000"/>
          <w:shd w:val="clear" w:color="auto" w:fill="FFFFFF"/>
          <w:lang w:val="es-ES" w:eastAsia="es-ES"/>
        </w:rPr>
      </w:pPr>
      <w:r w:rsidRPr="33F06424">
        <w:rPr>
          <w:rFonts w:ascii="Verdana" w:eastAsia="Calibri" w:hAnsi="Verdana" w:cs="Arial"/>
          <w:color w:val="000000"/>
          <w:lang w:val="es-ES" w:eastAsia="es-ES"/>
        </w:rPr>
        <w:t xml:space="preserve">Como se aprecia, el principio </w:t>
      </w:r>
      <w:r w:rsidRPr="33F06424">
        <w:rPr>
          <w:rFonts w:ascii="Verdana" w:eastAsia="Calibri" w:hAnsi="Verdana" w:cs="Arial"/>
          <w:i/>
          <w:iCs/>
          <w:color w:val="000000"/>
          <w:lang w:val="es-ES" w:eastAsia="es-ES"/>
        </w:rPr>
        <w:t xml:space="preserve">pro </w:t>
      </w:r>
      <w:proofErr w:type="spellStart"/>
      <w:r w:rsidRPr="33F06424">
        <w:rPr>
          <w:rFonts w:ascii="Verdana" w:eastAsia="Calibri" w:hAnsi="Verdana" w:cs="Arial"/>
          <w:i/>
          <w:iCs/>
          <w:color w:val="000000"/>
          <w:lang w:val="es-ES" w:eastAsia="es-ES"/>
        </w:rPr>
        <w:t>libertate</w:t>
      </w:r>
      <w:proofErr w:type="spellEnd"/>
      <w:r w:rsidRPr="33F06424">
        <w:rPr>
          <w:rFonts w:ascii="Verdana" w:eastAsia="Calibri" w:hAnsi="Verdana" w:cs="Arial"/>
          <w:color w:val="000000"/>
          <w:lang w:val="es-ES" w:eastAsia="es-ES"/>
        </w:rPr>
        <w:t xml:space="preserve"> es el que debe dirigir la interpretación de las disposiciones normativas que consagran restricciones de derechos, como sucede con las causales de inhabilidad e incompatibilidad en la contratación estatal. </w:t>
      </w:r>
      <w:r w:rsidRPr="33F06424">
        <w:rPr>
          <w:rFonts w:ascii="Verdana" w:eastAsia="Times New Roman" w:hAnsi="Verdana" w:cs="Arial"/>
          <w:color w:val="000000"/>
          <w:shd w:val="clear" w:color="auto" w:fill="FFFFFF"/>
          <w:lang w:val="es-ES" w:eastAsia="es-ES"/>
        </w:rPr>
        <w:t>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76F56DF3" w14:textId="77777777" w:rsidR="00145A03" w:rsidRPr="005E3465" w:rsidRDefault="00145A03" w:rsidP="00145A03">
      <w:pPr>
        <w:spacing w:after="0" w:line="276" w:lineRule="auto"/>
        <w:ind w:firstLine="709"/>
        <w:jc w:val="both"/>
        <w:rPr>
          <w:rFonts w:ascii="Verdana" w:eastAsia="Aptos" w:hAnsi="Verdana" w:cs="Arial"/>
        </w:rPr>
      </w:pPr>
      <w:r w:rsidRPr="005E3465">
        <w:rPr>
          <w:rFonts w:ascii="Verdana" w:eastAsia="Aptos" w:hAnsi="Verdana" w:cs="Arial"/>
        </w:rPr>
        <w:t xml:space="preserve">En </w:t>
      </w:r>
      <w:r w:rsidRPr="005E3465">
        <w:rPr>
          <w:rFonts w:ascii="Verdana" w:eastAsia="Aptos" w:hAnsi="Verdana" w:cs="Arial"/>
          <w:i/>
          <w:iCs/>
        </w:rPr>
        <w:t>segundo lugar,</w:t>
      </w:r>
      <w:r w:rsidRPr="005E3465">
        <w:rPr>
          <w:rFonts w:ascii="Verdana" w:eastAsia="Aptos" w:hAnsi="Verdana" w:cs="Arial"/>
        </w:rPr>
        <w:t xml:space="preserve"> </w:t>
      </w:r>
      <w:r w:rsidRPr="005E3465">
        <w:rPr>
          <w:rFonts w:ascii="Verdana" w:eastAsia="Calibri" w:hAnsi="Verdana" w:cs="Arial"/>
          <w:lang w:val="es-ES_tradnl"/>
        </w:rPr>
        <w:t xml:space="preserve">con la finalidad de resolver la duda planteada en su consulta, </w:t>
      </w:r>
      <w:r>
        <w:rPr>
          <w:rFonts w:ascii="Verdana" w:eastAsia="Calibri" w:hAnsi="Verdana" w:cs="Arial"/>
          <w:lang w:val="es-ES_tradnl"/>
        </w:rPr>
        <w:t>debe tenerse en cuenta las causales de inhabilidad e incompatibilidad</w:t>
      </w:r>
      <w:r w:rsidRPr="005E3465">
        <w:rPr>
          <w:rFonts w:ascii="Verdana" w:eastAsia="Calibri" w:hAnsi="Verdana" w:cs="Arial"/>
          <w:lang w:val="es-ES_tradnl"/>
        </w:rPr>
        <w:t xml:space="preserve"> </w:t>
      </w:r>
      <w:r>
        <w:rPr>
          <w:rFonts w:ascii="Verdana" w:eastAsia="Calibri" w:hAnsi="Verdana" w:cs="Arial"/>
          <w:lang w:val="es-ES_tradnl"/>
        </w:rPr>
        <w:t xml:space="preserve">consagradas en </w:t>
      </w:r>
      <w:r w:rsidRPr="005E3465">
        <w:rPr>
          <w:rFonts w:ascii="Verdana" w:eastAsia="Calibri" w:hAnsi="Verdana" w:cs="Arial"/>
          <w:lang w:val="es-ES_tradnl"/>
        </w:rPr>
        <w:t xml:space="preserve">el artículo 8 de la Ley 80 de 1993, el cual reza de la siguiente forma: </w:t>
      </w:r>
    </w:p>
    <w:p w14:paraId="4087EA3B" w14:textId="77777777" w:rsidR="00145A03" w:rsidRDefault="00145A03" w:rsidP="00145A03">
      <w:pPr>
        <w:widowControl w:val="0"/>
        <w:autoSpaceDE w:val="0"/>
        <w:autoSpaceDN w:val="0"/>
        <w:spacing w:after="0" w:line="276" w:lineRule="auto"/>
        <w:jc w:val="both"/>
        <w:rPr>
          <w:rFonts w:ascii="Verdana" w:hAnsi="Verdana" w:cs="Arial"/>
        </w:rPr>
      </w:pPr>
    </w:p>
    <w:p w14:paraId="3931AE7A"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“ARTICULO 8°. DE LAS INHABILIDADES E INCOMPATIBILIDADES PARA CONTRATAR.</w:t>
      </w:r>
    </w:p>
    <w:p w14:paraId="41FF5E61"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7CD483D4"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1°. Son inhábiles para participar en licitaciones o concursos y para celebrar contratos con las entidades estatales:</w:t>
      </w:r>
    </w:p>
    <w:p w14:paraId="7FD25EFD"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4492FD3B"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lastRenderedPageBreak/>
        <w:t>a) Las personas que se hallen inhabilitadas para contratar por la Constitución y las leyes.</w:t>
      </w:r>
    </w:p>
    <w:p w14:paraId="56099ADF"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49874011"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b) Quienes participaron en las licitaciones o concursos o celebraron los contratos de que trata el literal anterior estando inhabilitados.</w:t>
      </w:r>
    </w:p>
    <w:p w14:paraId="64B1AAF5"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0EF87098"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c) Quienes dieron lugar a la declaratoria de caducidad.</w:t>
      </w:r>
    </w:p>
    <w:p w14:paraId="6C0426CC"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7651470F"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 xml:space="preserve">d) Quienes en sentencia judicial hayan sido condenados a la pena accesoria de interdicción de derechos y funciones públicas y quienes hayan sido sancionados disciplinariamente con destitución. </w:t>
      </w:r>
    </w:p>
    <w:p w14:paraId="271FFA78"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10D8965A"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e) Quienes sin justa causa se abstengan de suscribir el contrato estatal adjudicado.</w:t>
      </w:r>
    </w:p>
    <w:p w14:paraId="600CBC7B"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63A7A6F4"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f) Los servidores públicos.</w:t>
      </w:r>
    </w:p>
    <w:p w14:paraId="31BCCA8A"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32B2D930"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g) Quienes sean cónyuges o compañeros permanentes y quienes se encuentren dentro del segundo grado de consanguinidad o segundo de afinidad con cualquier otra persona que formalmente haya presentado propuesta para una misma licitación.</w:t>
      </w:r>
    </w:p>
    <w:p w14:paraId="1242E41A"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2B356EDF"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w:t>
      </w:r>
    </w:p>
    <w:p w14:paraId="3BEB280B"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476C0F54"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i) Los socios de sociedades de personas a las cuales se haya declarado la caducidad, así como las sociedades de personas de las que aquellos formen parte con posterioridad a dicha declaratoria.</w:t>
      </w:r>
    </w:p>
    <w:p w14:paraId="1794E17C"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459B0EF7"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de la de celebración del contrato, o de la de expiración del plazo para su firma.</w:t>
      </w:r>
    </w:p>
    <w:p w14:paraId="6899E70E"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7341EF4E"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 xml:space="preserve">j) Literal reglamentado por el Decreto 1358 de 2020. Literal modificado por la Ley 2014 de 2019, artículo 2º.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w:t>
      </w:r>
      <w:r w:rsidRPr="00A63A08">
        <w:rPr>
          <w:rFonts w:ascii="Verdana" w:eastAsia="Aptos" w:hAnsi="Verdana" w:cs="Arial"/>
          <w:sz w:val="20"/>
          <w:szCs w:val="20"/>
          <w:lang w:val="es-MX" w:eastAsia="es-MX"/>
        </w:rPr>
        <w:lastRenderedPageBreak/>
        <w:t>Colombia, así como las personas jurídicas que hayan sido declaradas responsables administrativamente por la conducta de soborno transnacional.</w:t>
      </w:r>
    </w:p>
    <w:p w14:paraId="438680C4"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1A06BBBE"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 xml:space="preserve">Esta inhabilidad procederá preventivamente aún en los casos en los que esté pendiente la decisión sobre la impugnación de la sentencia condenatoria.  </w:t>
      </w:r>
    </w:p>
    <w:p w14:paraId="0F5D2804"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03D4D994"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Asimismo, la inhabilidad se extenderá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excepción de las sociedades anónimas abiertas.</w:t>
      </w:r>
    </w:p>
    <w:p w14:paraId="17ABB81E"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31C316F7"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También se considerarán inhabilitadas para contratar, las personas jurídicas sobre las cuales se haya ordenado la suspensión de la personería jurídica en los términos de ley, o cuyos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p w14:paraId="2454C0D2"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62760FE1"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La inhabilidad prevista en este literal se extenderá de forma permanente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w:t>
      </w:r>
    </w:p>
    <w:p w14:paraId="664C118A"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0F49BD11" w14:textId="77777777" w:rsidR="00145A03" w:rsidRPr="00557894"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557894">
        <w:rPr>
          <w:rFonts w:ascii="Verdana" w:eastAsia="Aptos" w:hAnsi="Verdana" w:cs="Arial"/>
          <w:sz w:val="20"/>
          <w:szCs w:val="20"/>
          <w:lang w:val="es-MX" w:eastAsia="es-MX"/>
        </w:rPr>
        <w:t>k) Literal adicionado por la Ley 1474 de 2011, artículo 2º. Éste modificado por la Ley 1778 de 2016, artículo 33. Inhabilidad para contratar de quienes financien campañas políticas. 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p>
    <w:p w14:paraId="1AE6F82A" w14:textId="77777777" w:rsidR="00145A03" w:rsidRPr="00557894"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29CB2592" w14:textId="77777777" w:rsidR="00145A03" w:rsidRPr="00557894"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557894">
        <w:rPr>
          <w:rFonts w:ascii="Verdana" w:eastAsia="Aptos" w:hAnsi="Verdana" w:cs="Arial"/>
          <w:sz w:val="20"/>
          <w:szCs w:val="20"/>
          <w:lang w:val="es-MX" w:eastAsia="es-MX"/>
        </w:rPr>
        <w:t>La inhabilidad se extenderá por todo el período para el cual el candidato fue elegido. Esta causal también operará para las personas que se encuentren dentro del segundo grado de consanguinidad, segundo de afinidad, o primero civil de la persona que ha financiado la campaña política.</w:t>
      </w:r>
    </w:p>
    <w:p w14:paraId="716D225C" w14:textId="77777777" w:rsidR="00145A03" w:rsidRPr="00557894"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02CC18D7" w14:textId="77777777" w:rsidR="00145A03" w:rsidRPr="00557894"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557894">
        <w:rPr>
          <w:rFonts w:ascii="Verdana" w:eastAsia="Aptos" w:hAnsi="Verdana" w:cs="Arial"/>
          <w:sz w:val="20"/>
          <w:szCs w:val="20"/>
          <w:lang w:val="es-MX" w:eastAsia="es-MX"/>
        </w:rPr>
        <w:t>Esta inhabilidad comprenderá también a las personas jurídicas en las cuales el representante legal, los miembros de junta directiva o cualquiera de sus socios controlantes hayan financiado directamente o por interpuesta persona campañas políticas a la Presidencia de la República, a las gobernaciones, las alcaldías o al Congreso de la República.</w:t>
      </w:r>
    </w:p>
    <w:p w14:paraId="6AE1957E" w14:textId="77777777" w:rsidR="00145A03" w:rsidRPr="00557894"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6B30F51D" w14:textId="77777777" w:rsidR="00145A03" w:rsidRPr="00557894"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557894">
        <w:rPr>
          <w:rFonts w:ascii="Verdana" w:eastAsia="Aptos" w:hAnsi="Verdana" w:cs="Arial"/>
          <w:sz w:val="20"/>
          <w:szCs w:val="20"/>
          <w:lang w:val="es-MX" w:eastAsia="es-MX"/>
        </w:rPr>
        <w:t>La inhabilidad contemplada en esta norma no se aplicará respecto de los contratos de prestación de servicios profesionales.</w:t>
      </w:r>
    </w:p>
    <w:p w14:paraId="5038517F"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1B9B47A3" w14:textId="77777777" w:rsidR="00145A03" w:rsidRPr="005514B7" w:rsidRDefault="00145A03" w:rsidP="00145A03">
      <w:pPr>
        <w:spacing w:after="0" w:line="240" w:lineRule="auto"/>
        <w:ind w:left="709" w:right="709"/>
        <w:contextualSpacing/>
        <w:jc w:val="both"/>
        <w:rPr>
          <w:rFonts w:ascii="Verdana" w:eastAsia="Aptos" w:hAnsi="Verdana" w:cs="Arial"/>
          <w:sz w:val="20"/>
          <w:szCs w:val="20"/>
          <w:lang w:val="es-MX" w:eastAsia="es-MX"/>
        </w:rPr>
      </w:pPr>
      <w:r w:rsidRPr="33F06424">
        <w:rPr>
          <w:rFonts w:ascii="Verdana" w:eastAsia="Aptos" w:hAnsi="Verdana" w:cs="Arial"/>
          <w:sz w:val="20"/>
          <w:szCs w:val="20"/>
          <w:lang w:val="es-MX" w:eastAsia="es-MX"/>
        </w:rPr>
        <w:t>k) Literal adicionado por la Ley 1474 de 2011, artículo 84, parágrafo 2º. (éste declarado exequible condicionalmente por los cargos analizados por la Corte Constitucional en la Sentencia C-434 de 2013.).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w:t>
      </w:r>
    </w:p>
    <w:p w14:paraId="2F17EB2B" w14:textId="77777777" w:rsidR="00145A03" w:rsidRPr="005514B7"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43A597E1" w14:textId="77777777" w:rsidR="00145A03" w:rsidRPr="005514B7"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5514B7">
        <w:rPr>
          <w:rFonts w:ascii="Verdana" w:eastAsia="Aptos" w:hAnsi="Verdana" w:cs="Arial"/>
          <w:sz w:val="20"/>
          <w:szCs w:val="20"/>
          <w:lang w:val="es-MX" w:eastAsia="es-MX"/>
        </w:rPr>
        <w:t>Esta inhabilidad se extenderá por un término de cinco (5) años, contados a partir de la ejecutoria del acto administrativo que así lo declare, previa la actuación administrativa correspondiente.</w:t>
      </w:r>
    </w:p>
    <w:p w14:paraId="42C0629D"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6993ECA3"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2°. Tampoco podrán participar en licitaciones o concursos ni celebrar contratos estatales con la entidad respectiva:</w:t>
      </w:r>
    </w:p>
    <w:p w14:paraId="6AEA0D9E"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30194F86"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w:t>
      </w:r>
    </w:p>
    <w:p w14:paraId="560C9B86"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3CB74756" w14:textId="77777777" w:rsidR="00145A03" w:rsidRPr="00557894" w:rsidRDefault="00145A03" w:rsidP="00145A03">
      <w:pPr>
        <w:spacing w:after="0" w:line="240" w:lineRule="auto"/>
        <w:ind w:left="709" w:right="709"/>
        <w:contextualSpacing/>
        <w:jc w:val="both"/>
        <w:rPr>
          <w:rFonts w:ascii="Verdana" w:eastAsia="Aptos" w:hAnsi="Verdana" w:cs="Arial"/>
          <w:i/>
          <w:iCs/>
          <w:sz w:val="20"/>
          <w:szCs w:val="20"/>
          <w:lang w:val="es-MX" w:eastAsia="es-MX"/>
        </w:rPr>
      </w:pPr>
      <w:r w:rsidRPr="00557894">
        <w:rPr>
          <w:rFonts w:ascii="Verdana" w:eastAsia="Aptos" w:hAnsi="Verdana" w:cs="Arial"/>
          <w:i/>
          <w:iCs/>
          <w:sz w:val="20"/>
          <w:szCs w:val="20"/>
          <w:lang w:val="es-MX" w:eastAsia="es-MX"/>
        </w:rPr>
        <w:t xml:space="preserve">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w:t>
      </w:r>
      <w:proofErr w:type="spellStart"/>
      <w:r w:rsidRPr="00557894">
        <w:rPr>
          <w:rFonts w:ascii="Verdana" w:eastAsia="Aptos" w:hAnsi="Verdana" w:cs="Arial"/>
          <w:i/>
          <w:iCs/>
          <w:sz w:val="20"/>
          <w:szCs w:val="20"/>
          <w:lang w:val="es-MX" w:eastAsia="es-MX"/>
        </w:rPr>
        <w:t>ejerzan</w:t>
      </w:r>
      <w:proofErr w:type="spellEnd"/>
      <w:r w:rsidRPr="00557894">
        <w:rPr>
          <w:rFonts w:ascii="Verdana" w:eastAsia="Aptos" w:hAnsi="Verdana" w:cs="Arial"/>
          <w:i/>
          <w:iCs/>
          <w:sz w:val="20"/>
          <w:szCs w:val="20"/>
          <w:lang w:val="es-MX" w:eastAsia="es-MX"/>
        </w:rPr>
        <w:t xml:space="preserve"> el control interno o fiscal de la entidad contratante.</w:t>
      </w:r>
    </w:p>
    <w:p w14:paraId="5E38780C"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37623AFA"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 xml:space="preserve">c) El cónyuge, compañero o compañera permanente del servidor público en los niveles directivo, asesor, ejecutivo, o de un miembro de la junta o consejo directivo, o de quien ejerza funciones de control interno o de control fiscal.  </w:t>
      </w:r>
    </w:p>
    <w:p w14:paraId="4E7D61C2"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3B1C409E"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 xml:space="preserve">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w:t>
      </w:r>
      <w:r w:rsidRPr="00A63A08">
        <w:rPr>
          <w:rFonts w:ascii="Verdana" w:eastAsia="Aptos" w:hAnsi="Verdana" w:cs="Arial"/>
          <w:sz w:val="20"/>
          <w:szCs w:val="20"/>
          <w:lang w:val="es-MX" w:eastAsia="es-MX"/>
        </w:rPr>
        <w:lastRenderedPageBreak/>
        <w:t>miembro de la junta o consejo directivo, o el cónyuge, compañero o compañera permanente o los parientes hasta el segundo grado de consanguinidad, afinidad o civil de cualquiera de ellos, tenga participación o desempeñe cargos de dirección o manejo.</w:t>
      </w:r>
    </w:p>
    <w:p w14:paraId="45E7D1E1"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696B6E77"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e) Los miembros de las juntas o consejos directivos. Esta incompatibilidad sólo se predica respecto de la entidad a la cual prestan sus servicios y de las del sector administrativo al que la misma esté adscrita o vinculada.</w:t>
      </w:r>
    </w:p>
    <w:p w14:paraId="5979C13E"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2EF74496"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f) Literal adicionado por la Ley 1474 de 2011, artículo 4º.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w:t>
      </w:r>
    </w:p>
    <w:p w14:paraId="5F0EF8E5"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5C6F5131"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 xml:space="preserve">Esta incompatibilidad también operará para las personas que se encuentren dentro del primer grado de consanguinidad, primero de afinidad, o primero civil del </w:t>
      </w:r>
      <w:proofErr w:type="gramStart"/>
      <w:r w:rsidRPr="00A63A08">
        <w:rPr>
          <w:rFonts w:ascii="Verdana" w:eastAsia="Aptos" w:hAnsi="Verdana" w:cs="Arial"/>
          <w:sz w:val="20"/>
          <w:szCs w:val="20"/>
          <w:lang w:val="es-MX" w:eastAsia="es-MX"/>
        </w:rPr>
        <w:t>ex empleado</w:t>
      </w:r>
      <w:proofErr w:type="gramEnd"/>
      <w:r w:rsidRPr="00A63A08">
        <w:rPr>
          <w:rFonts w:ascii="Verdana" w:eastAsia="Aptos" w:hAnsi="Verdana" w:cs="Arial"/>
          <w:sz w:val="20"/>
          <w:szCs w:val="20"/>
          <w:lang w:val="es-MX" w:eastAsia="es-MX"/>
        </w:rPr>
        <w:t xml:space="preserve"> público.</w:t>
      </w:r>
    </w:p>
    <w:p w14:paraId="358AA323"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22A1437E"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PARAGRAFO 1°. La inhabilidad prevista en el literal d) del ordinal 2°. de este artículo no se aplicará en relación con las corporaciones, asociaciones, fundaciones y sociedades allí mencionadas, cuando por disposición legal o estatutaria el servidor público en los niveles referidos debe desempeñar en ellas cargos de dirección o manejo.</w:t>
      </w:r>
    </w:p>
    <w:p w14:paraId="1FA70115"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64E140F8"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Inciso adicionado por la Ley 1150 de 2007, artículo 18. En las causales de inhabilidad por parentesco o por matrimonio, los vínculos desaparecen por muerte o por disolución del matrimonio.</w:t>
      </w:r>
    </w:p>
    <w:p w14:paraId="308648BB"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2AA0F139"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PARAGRAFO 2°. Para los efectos previstos en este artículo, el Gobierno Nacional determinará que debe entenderse por sociedades anónimas abiertas.</w:t>
      </w:r>
    </w:p>
    <w:p w14:paraId="7B52CF86"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p>
    <w:p w14:paraId="32F0543F" w14:textId="77777777" w:rsidR="00145A03" w:rsidRPr="00A63A08" w:rsidRDefault="00145A03" w:rsidP="00145A03">
      <w:pPr>
        <w:spacing w:after="0" w:line="240" w:lineRule="auto"/>
        <w:ind w:left="709" w:right="709"/>
        <w:contextualSpacing/>
        <w:jc w:val="both"/>
        <w:rPr>
          <w:rFonts w:ascii="Verdana" w:eastAsia="Aptos" w:hAnsi="Verdana" w:cs="Arial"/>
          <w:sz w:val="20"/>
          <w:szCs w:val="20"/>
          <w:lang w:val="es-MX" w:eastAsia="es-MX"/>
        </w:rPr>
      </w:pPr>
      <w:r w:rsidRPr="00A63A08">
        <w:rPr>
          <w:rFonts w:ascii="Verdana" w:eastAsia="Aptos" w:hAnsi="Verdana" w:cs="Arial"/>
          <w:sz w:val="20"/>
          <w:szCs w:val="20"/>
          <w:lang w:val="es-MX" w:eastAsia="es-MX"/>
        </w:rPr>
        <w:t>PARÁGRAFO 3º. Adicionado por la Ley 2014 de 2019, artículo 3o. Las inhabilidades e incompatibilidades contempladas en este artículo se aplicarán a cualquier proceso de contratación privada en el que se comprometan recursos públicos”. [Énfasis fuera del texto original]</w:t>
      </w:r>
    </w:p>
    <w:p w14:paraId="48DCC56F" w14:textId="77777777" w:rsidR="00145A03" w:rsidRDefault="00145A03" w:rsidP="00145A03">
      <w:pPr>
        <w:spacing w:after="0" w:line="276" w:lineRule="auto"/>
        <w:ind w:firstLine="709"/>
        <w:jc w:val="both"/>
        <w:rPr>
          <w:rFonts w:ascii="Verdana" w:eastAsia="Aptos" w:hAnsi="Verdana" w:cs="Arial"/>
        </w:rPr>
      </w:pPr>
    </w:p>
    <w:p w14:paraId="6C01135D" w14:textId="0C51310C" w:rsidR="00D767C1" w:rsidRDefault="00A970CC" w:rsidP="00D767C1">
      <w:pPr>
        <w:spacing w:after="0" w:line="276" w:lineRule="auto"/>
        <w:ind w:right="49" w:firstLine="709"/>
        <w:jc w:val="both"/>
        <w:rPr>
          <w:rFonts w:ascii="Verdana" w:eastAsia="Calibri" w:hAnsi="Verdana" w:cs="Arial"/>
          <w:color w:val="000000" w:themeColor="text1"/>
        </w:rPr>
      </w:pPr>
      <w:r>
        <w:rPr>
          <w:rFonts w:ascii="Verdana" w:eastAsia="Times New Roman" w:hAnsi="Verdana" w:cs="Arial"/>
          <w:lang w:eastAsia="es-MX"/>
        </w:rPr>
        <w:t>En consecuencia y p</w:t>
      </w:r>
      <w:r w:rsidR="00D767C1" w:rsidRPr="002A6C2C">
        <w:rPr>
          <w:rFonts w:ascii="Verdana" w:eastAsia="Times New Roman" w:hAnsi="Verdana" w:cs="Arial"/>
          <w:lang w:eastAsia="es-MX"/>
        </w:rPr>
        <w:t>ara casos como e</w:t>
      </w:r>
      <w:r w:rsidR="00253C67">
        <w:rPr>
          <w:rFonts w:ascii="Verdana" w:eastAsia="Times New Roman" w:hAnsi="Verdana" w:cs="Arial"/>
          <w:lang w:eastAsia="es-MX"/>
        </w:rPr>
        <w:t>l señalado en su consulta</w:t>
      </w:r>
      <w:r w:rsidR="00D767C1" w:rsidRPr="002A6C2C">
        <w:rPr>
          <w:rFonts w:ascii="Verdana" w:eastAsia="Times New Roman" w:hAnsi="Verdana" w:cs="Arial"/>
          <w:lang w:eastAsia="es-MX"/>
        </w:rPr>
        <w:t xml:space="preserve">, en el que la inhabilidad se presenta de manera sobreviniente, existe una </w:t>
      </w:r>
      <w:bookmarkStart w:id="2" w:name="_Hlk80369925"/>
      <w:r w:rsidR="00D767C1" w:rsidRPr="002A6C2C">
        <w:rPr>
          <w:rFonts w:ascii="Verdana" w:eastAsia="Calibri" w:hAnsi="Verdana" w:cs="Arial"/>
          <w:color w:val="000000" w:themeColor="text1"/>
        </w:rPr>
        <w:t>la regulación especial del Estatuto General de la Contratación Pública</w:t>
      </w:r>
      <w:bookmarkEnd w:id="2"/>
      <w:r w:rsidR="00D767C1" w:rsidRPr="002A6C2C">
        <w:rPr>
          <w:rFonts w:ascii="Verdana" w:eastAsia="Calibri" w:hAnsi="Verdana" w:cs="Arial"/>
          <w:color w:val="000000" w:themeColor="text1"/>
        </w:rPr>
        <w:t>, establecida en el artículo 9 de la Ley 80 de 1993 en los siguientes términos:</w:t>
      </w:r>
    </w:p>
    <w:p w14:paraId="0050D74B" w14:textId="77777777" w:rsidR="00D767C1" w:rsidRPr="002A6C2C" w:rsidRDefault="00D767C1" w:rsidP="00D767C1">
      <w:pPr>
        <w:spacing w:after="0" w:line="276" w:lineRule="auto"/>
        <w:ind w:right="49" w:firstLine="709"/>
        <w:jc w:val="both"/>
        <w:rPr>
          <w:rFonts w:ascii="Verdana" w:eastAsia="Calibri" w:hAnsi="Verdana" w:cs="Arial"/>
          <w:color w:val="000000" w:themeColor="text1"/>
          <w:sz w:val="16"/>
          <w:szCs w:val="16"/>
        </w:rPr>
      </w:pPr>
    </w:p>
    <w:p w14:paraId="385FF924" w14:textId="77777777" w:rsidR="00D767C1" w:rsidRDefault="00D767C1" w:rsidP="00435107">
      <w:pPr>
        <w:spacing w:after="0" w:line="240" w:lineRule="auto"/>
        <w:ind w:left="709" w:right="709"/>
        <w:contextualSpacing/>
        <w:jc w:val="both"/>
        <w:rPr>
          <w:rFonts w:ascii="Verdana" w:eastAsia="Aptos" w:hAnsi="Verdana" w:cs="Arial"/>
          <w:sz w:val="20"/>
          <w:szCs w:val="20"/>
          <w:lang w:val="es-MX" w:eastAsia="es-MX"/>
        </w:rPr>
      </w:pPr>
      <w:r w:rsidRPr="00435107">
        <w:rPr>
          <w:rFonts w:ascii="Verdana" w:eastAsia="Aptos" w:hAnsi="Verdana" w:cs="Arial"/>
          <w:sz w:val="20"/>
          <w:szCs w:val="20"/>
          <w:lang w:val="es-MX" w:eastAsia="es-MX"/>
        </w:rPr>
        <w:lastRenderedPageBreak/>
        <w:t>Si llegare a sobrevenir inhabilidad o incompatibilidad en el contratista, este cederá el contrato previa autorización escrita de la entidad contratante o, si ello no fuere posible, renunciará a su ejecución.</w:t>
      </w:r>
    </w:p>
    <w:p w14:paraId="760FF84B" w14:textId="77777777" w:rsidR="007D52CD" w:rsidRPr="00435107" w:rsidRDefault="007D52CD" w:rsidP="00435107">
      <w:pPr>
        <w:spacing w:after="0" w:line="240" w:lineRule="auto"/>
        <w:ind w:left="709" w:right="709"/>
        <w:contextualSpacing/>
        <w:jc w:val="both"/>
        <w:rPr>
          <w:rFonts w:ascii="Verdana" w:eastAsia="Aptos" w:hAnsi="Verdana" w:cs="Arial"/>
          <w:sz w:val="20"/>
          <w:szCs w:val="20"/>
          <w:lang w:val="es-MX" w:eastAsia="es-MX"/>
        </w:rPr>
      </w:pPr>
    </w:p>
    <w:p w14:paraId="54E5A9F4" w14:textId="77777777" w:rsidR="00D767C1" w:rsidRDefault="00D767C1" w:rsidP="00435107">
      <w:pPr>
        <w:spacing w:after="0" w:line="240" w:lineRule="auto"/>
        <w:ind w:left="709" w:right="709"/>
        <w:contextualSpacing/>
        <w:jc w:val="both"/>
        <w:rPr>
          <w:rFonts w:ascii="Verdana" w:eastAsia="Aptos" w:hAnsi="Verdana" w:cs="Arial"/>
          <w:sz w:val="20"/>
          <w:szCs w:val="20"/>
          <w:lang w:val="es-MX" w:eastAsia="es-MX"/>
        </w:rPr>
      </w:pPr>
      <w:r w:rsidRPr="00435107">
        <w:rPr>
          <w:rFonts w:ascii="Verdana" w:eastAsia="Aptos" w:hAnsi="Verdana" w:cs="Arial"/>
          <w:sz w:val="20"/>
          <w:szCs w:val="20"/>
          <w:lang w:val="es-MX" w:eastAsia="es-MX"/>
        </w:rPr>
        <w:t>Cuando la inhabilidad o incompatibilidad sobrevenga en un proponente dentro de un proceso de selección, se entenderá que renuncia a la participación en el proceso de selección y a los derechos surgidos del mismo.</w:t>
      </w:r>
    </w:p>
    <w:p w14:paraId="0D54944A" w14:textId="77777777" w:rsidR="007D52CD" w:rsidRPr="00435107" w:rsidRDefault="007D52CD" w:rsidP="00435107">
      <w:pPr>
        <w:spacing w:after="0" w:line="240" w:lineRule="auto"/>
        <w:ind w:left="709" w:right="709"/>
        <w:contextualSpacing/>
        <w:jc w:val="both"/>
        <w:rPr>
          <w:rFonts w:ascii="Verdana" w:eastAsia="Aptos" w:hAnsi="Verdana" w:cs="Arial"/>
          <w:sz w:val="20"/>
          <w:szCs w:val="20"/>
          <w:lang w:val="es-MX" w:eastAsia="es-MX"/>
        </w:rPr>
      </w:pPr>
    </w:p>
    <w:p w14:paraId="09B5CFA2" w14:textId="77777777" w:rsidR="00D767C1" w:rsidRPr="00435107" w:rsidRDefault="00D767C1" w:rsidP="00435107">
      <w:pPr>
        <w:spacing w:after="0" w:line="240" w:lineRule="auto"/>
        <w:ind w:left="709" w:right="709"/>
        <w:contextualSpacing/>
        <w:jc w:val="both"/>
        <w:rPr>
          <w:rFonts w:ascii="Verdana" w:eastAsia="Aptos" w:hAnsi="Verdana" w:cs="Arial"/>
          <w:sz w:val="20"/>
          <w:szCs w:val="20"/>
          <w:lang w:val="es-MX" w:eastAsia="es-MX"/>
        </w:rPr>
      </w:pPr>
      <w:r w:rsidRPr="00435107">
        <w:rPr>
          <w:rFonts w:ascii="Verdana" w:eastAsia="Aptos" w:hAnsi="Verdana" w:cs="Arial"/>
          <w:sz w:val="20"/>
          <w:szCs w:val="20"/>
          <w:lang w:val="es-MX" w:eastAsia="es-MX"/>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p>
    <w:p w14:paraId="1EEB3319" w14:textId="77777777" w:rsidR="00D767C1" w:rsidRDefault="00D767C1" w:rsidP="00435107">
      <w:pPr>
        <w:spacing w:after="0" w:line="240" w:lineRule="auto"/>
        <w:ind w:left="709" w:right="709"/>
        <w:contextualSpacing/>
        <w:jc w:val="both"/>
        <w:rPr>
          <w:rFonts w:ascii="Verdana" w:eastAsia="Aptos" w:hAnsi="Verdana" w:cs="Arial"/>
          <w:sz w:val="20"/>
          <w:szCs w:val="20"/>
          <w:lang w:val="es-MX" w:eastAsia="es-MX"/>
        </w:rPr>
      </w:pPr>
      <w:r w:rsidRPr="00435107">
        <w:rPr>
          <w:rFonts w:ascii="Verdana" w:eastAsia="Aptos" w:hAnsi="Verdana" w:cs="Arial"/>
          <w:sz w:val="20"/>
          <w:szCs w:val="20"/>
          <w:lang w:val="es-MX" w:eastAsia="es-MX"/>
        </w:rPr>
        <w:t>Parágrafo 1º. Cuando la inhabilidad sobreviniente sea la contemplada en el literal j) del numeral 1 del artículo 8º de la Ley 80 de 1993, o cuando administrativamente se haya sancionado por actos de corrupción al contratista, no procederá la renuncia del contrato a la que se refiere este artículo. La entidad estatal ordenará mediante acto administrativo motivado la cesión unilateral, sin lugar a indemnización alguna al contratista inhábil.</w:t>
      </w:r>
    </w:p>
    <w:p w14:paraId="527DAD87" w14:textId="77777777" w:rsidR="007D52CD" w:rsidRPr="00435107" w:rsidRDefault="007D52CD" w:rsidP="00435107">
      <w:pPr>
        <w:spacing w:after="0" w:line="240" w:lineRule="auto"/>
        <w:ind w:left="709" w:right="709"/>
        <w:contextualSpacing/>
        <w:jc w:val="both"/>
        <w:rPr>
          <w:rFonts w:ascii="Verdana" w:eastAsia="Aptos" w:hAnsi="Verdana" w:cs="Arial"/>
          <w:sz w:val="20"/>
          <w:szCs w:val="20"/>
          <w:lang w:val="es-MX" w:eastAsia="es-MX"/>
        </w:rPr>
      </w:pPr>
    </w:p>
    <w:p w14:paraId="4014173B" w14:textId="022316A0" w:rsidR="00D767C1" w:rsidRPr="00435107" w:rsidRDefault="00D767C1" w:rsidP="00435107">
      <w:pPr>
        <w:spacing w:after="0" w:line="240" w:lineRule="auto"/>
        <w:ind w:left="709" w:right="709"/>
        <w:contextualSpacing/>
        <w:jc w:val="both"/>
        <w:rPr>
          <w:rFonts w:ascii="Verdana" w:eastAsia="Aptos" w:hAnsi="Verdana" w:cs="Arial"/>
          <w:sz w:val="20"/>
          <w:szCs w:val="20"/>
          <w:lang w:val="es-MX" w:eastAsia="es-MX"/>
        </w:rPr>
      </w:pPr>
      <w:r w:rsidRPr="00435107">
        <w:rPr>
          <w:rFonts w:ascii="Verdana" w:eastAsia="Aptos" w:hAnsi="Verdana" w:cs="Arial"/>
          <w:sz w:val="20"/>
          <w:szCs w:val="20"/>
          <w:lang w:val="es-MX" w:eastAsia="es-MX"/>
        </w:rPr>
        <w:t>Para el caso de cesión, será la entidad contratante la encargada de determinar el cesionario del contrato. […]</w:t>
      </w:r>
      <w:bookmarkStart w:id="3" w:name="_Hlk79777330"/>
      <w:r w:rsidRPr="00435107">
        <w:rPr>
          <w:rFonts w:eastAsia="Aptos"/>
          <w:sz w:val="20"/>
          <w:szCs w:val="20"/>
          <w:vertAlign w:val="superscript"/>
          <w:lang w:val="es-MX" w:eastAsia="es-MX"/>
        </w:rPr>
        <w:footnoteReference w:id="8"/>
      </w:r>
      <w:bookmarkEnd w:id="3"/>
      <w:r w:rsidRPr="00435107">
        <w:rPr>
          <w:rFonts w:ascii="Verdana" w:eastAsia="Aptos" w:hAnsi="Verdana" w:cs="Arial"/>
          <w:sz w:val="20"/>
          <w:szCs w:val="20"/>
          <w:lang w:val="es-MX" w:eastAsia="es-MX"/>
        </w:rPr>
        <w:t>.</w:t>
      </w:r>
    </w:p>
    <w:p w14:paraId="5DCC0168" w14:textId="77777777" w:rsidR="00D767C1" w:rsidRPr="002A6C2C" w:rsidRDefault="00D767C1" w:rsidP="00D767C1">
      <w:pPr>
        <w:tabs>
          <w:tab w:val="left" w:pos="709"/>
        </w:tabs>
        <w:spacing w:after="0"/>
        <w:ind w:left="709" w:right="879"/>
        <w:jc w:val="both"/>
        <w:rPr>
          <w:rFonts w:ascii="Verdana" w:eastAsia="Calibri" w:hAnsi="Verdana" w:cs="Arial"/>
          <w:color w:val="000000" w:themeColor="text1"/>
          <w:sz w:val="20"/>
          <w:szCs w:val="20"/>
        </w:rPr>
      </w:pPr>
    </w:p>
    <w:p w14:paraId="765EDDDA" w14:textId="77777777" w:rsidR="00D767C1" w:rsidRDefault="00D767C1" w:rsidP="00D767C1">
      <w:pPr>
        <w:tabs>
          <w:tab w:val="left" w:pos="709"/>
        </w:tabs>
        <w:spacing w:after="0" w:line="276" w:lineRule="auto"/>
        <w:jc w:val="both"/>
        <w:rPr>
          <w:rFonts w:ascii="Verdana" w:eastAsia="Calibri" w:hAnsi="Verdana" w:cs="Arial"/>
          <w:color w:val="000000" w:themeColor="text1"/>
        </w:rPr>
      </w:pPr>
      <w:r w:rsidRPr="002A6C2C">
        <w:rPr>
          <w:rFonts w:ascii="Verdana" w:eastAsia="Calibri" w:hAnsi="Verdana" w:cs="Arial"/>
          <w:color w:val="000000" w:themeColor="text1"/>
          <w:sz w:val="21"/>
          <w:szCs w:val="21"/>
        </w:rPr>
        <w:tab/>
      </w:r>
      <w:r w:rsidRPr="002A6C2C">
        <w:rPr>
          <w:rFonts w:ascii="Verdana" w:eastAsia="Calibri" w:hAnsi="Verdana" w:cs="Arial"/>
          <w:color w:val="000000" w:themeColor="text1"/>
        </w:rPr>
        <w:t>Esta regulación de las inhabilidades e incompatibilidades sobrevinientes fue una innovación del Estatuto General de Contratación de la Administración Pública, pues el tema no fue abordado en los Decretos Leyes 150 de 1976 y 222 de 1983. Naturalmente, no se trata de causales nuevas, sino de su configuración posterior antes de que finalice el procedimiento de selección o después de perfeccionado el contrato. Sobre la constitucionalidad de esta norma se pronunció la Corte Constitucional indicando que:</w:t>
      </w:r>
    </w:p>
    <w:p w14:paraId="3071E3B1" w14:textId="77777777" w:rsidR="00D767C1" w:rsidRPr="002A6C2C" w:rsidRDefault="00D767C1" w:rsidP="00D767C1">
      <w:pPr>
        <w:tabs>
          <w:tab w:val="left" w:pos="709"/>
        </w:tabs>
        <w:spacing w:after="0" w:line="276" w:lineRule="auto"/>
        <w:jc w:val="both"/>
        <w:rPr>
          <w:rFonts w:ascii="Verdana" w:eastAsia="Calibri" w:hAnsi="Verdana" w:cs="Arial"/>
          <w:color w:val="000000" w:themeColor="text1"/>
          <w:sz w:val="20"/>
          <w:szCs w:val="20"/>
        </w:rPr>
      </w:pPr>
    </w:p>
    <w:p w14:paraId="1C38BB92" w14:textId="77777777" w:rsidR="00D767C1" w:rsidRPr="006D5A71" w:rsidRDefault="00D767C1" w:rsidP="006D5A71">
      <w:pPr>
        <w:spacing w:after="0" w:line="240" w:lineRule="auto"/>
        <w:ind w:left="709" w:right="709"/>
        <w:contextualSpacing/>
        <w:jc w:val="both"/>
        <w:rPr>
          <w:rFonts w:ascii="Verdana" w:eastAsia="Aptos" w:hAnsi="Verdana" w:cs="Arial"/>
          <w:sz w:val="20"/>
          <w:szCs w:val="20"/>
          <w:lang w:val="es-MX" w:eastAsia="es-MX"/>
        </w:rPr>
      </w:pPr>
      <w:r w:rsidRPr="006D5A71">
        <w:rPr>
          <w:rFonts w:ascii="Verdana" w:eastAsia="Aptos" w:hAnsi="Verdana" w:cs="Arial"/>
          <w:sz w:val="20"/>
          <w:szCs w:val="20"/>
          <w:lang w:val="es-MX" w:eastAsia="es-MX"/>
        </w:rPr>
        <w:t xml:space="preserve">[…] Se trata de evitar que contraten con el Estado quienes se ubican en alguna de las situaciones contempladas por el artículo 8º de la Ley 80 de 1993, a la cual pertenece también la disposición demandada. Como tales incompatibilidades e inhabilidades no siempre surgen desde el comienzo de los trámites previos a la contratación, debe la ley ocuparse en la determinación clara de las reglas que han de observarse si ellas aparecen de manera sobreviniente, esto es, cuando la relación contractual ya se </w:t>
      </w:r>
      <w:r w:rsidRPr="006D5A71">
        <w:rPr>
          <w:rFonts w:ascii="Verdana" w:eastAsia="Aptos" w:hAnsi="Verdana" w:cs="Arial"/>
          <w:sz w:val="20"/>
          <w:szCs w:val="20"/>
          <w:lang w:val="es-MX" w:eastAsia="es-MX"/>
        </w:rPr>
        <w:lastRenderedPageBreak/>
        <w:t>había establecido o dentro del tiempo de una licitación o concurso ya iniciados.</w:t>
      </w:r>
    </w:p>
    <w:p w14:paraId="47808157" w14:textId="77777777" w:rsidR="00D767C1" w:rsidRDefault="00D767C1" w:rsidP="006D5A71">
      <w:pPr>
        <w:spacing w:after="0" w:line="240" w:lineRule="auto"/>
        <w:ind w:left="709" w:right="709"/>
        <w:contextualSpacing/>
        <w:jc w:val="both"/>
        <w:rPr>
          <w:rFonts w:ascii="Verdana" w:eastAsia="Times New Roman" w:hAnsi="Verdana" w:cs="Arial"/>
          <w:color w:val="000000" w:themeColor="text1"/>
          <w:sz w:val="21"/>
          <w:szCs w:val="21"/>
          <w:lang w:eastAsia="es-MX"/>
        </w:rPr>
      </w:pPr>
      <w:r w:rsidRPr="006D5A71">
        <w:rPr>
          <w:rFonts w:ascii="Verdana" w:eastAsia="Aptos" w:hAnsi="Verdana" w:cs="Arial"/>
          <w:sz w:val="20"/>
          <w:szCs w:val="20"/>
          <w:lang w:val="es-MX" w:eastAsia="es-MX"/>
        </w:rPr>
        <w:t>A juicio de la Corte, en nada se ofende el imperio de la Constitución por haberse establecido que el hecho de sobrevenir una causal de inhabilidad o incompatibilidad en cabeza de quien ya es contratista da lugar a la obligación de éste de ceder el contrato previa autorización escrita de la entidad contratante, o a la de renunciar a su ejecución si aquello no fuere posible. Tampoco se vulnera la Carta por consagrar que quien participa en un proceso de licitación o concurso y resulta intempestivamente afectado por inhabilidades o incompatibilidades deba renunciar a dicha participación, ni se desconoce la normatividad superior por prever, como lo hace la norma, la cesión en favor de un tercero de la participación en el consorcio o unión temporal que licita o es contratista cuando la causa de inhabilidad o incompatibilidad se radica en uno de sus miembros. Se trata de evitar en tales casos que el contratista, pese a su situación, prosiga vinculado contractualmente con el Estado, o que el aspirante a serlo continúe tomando parte en los procesos de adjudicación y selección […]</w:t>
      </w:r>
      <w:r w:rsidRPr="002A6C2C">
        <w:rPr>
          <w:rStyle w:val="Refdenotaalpie"/>
          <w:rFonts w:ascii="Verdana" w:eastAsia="Times New Roman" w:hAnsi="Verdana" w:cs="Arial"/>
          <w:color w:val="000000" w:themeColor="text1"/>
          <w:sz w:val="21"/>
          <w:szCs w:val="21"/>
          <w:lang w:eastAsia="es-MX"/>
        </w:rPr>
        <w:footnoteReference w:id="9"/>
      </w:r>
    </w:p>
    <w:p w14:paraId="27EED461" w14:textId="77777777" w:rsidR="00D767C1" w:rsidRPr="002A6C2C" w:rsidRDefault="00D767C1" w:rsidP="00D767C1">
      <w:pPr>
        <w:spacing w:after="0"/>
        <w:ind w:left="709" w:right="709"/>
        <w:jc w:val="both"/>
        <w:rPr>
          <w:rFonts w:ascii="Verdana" w:eastAsia="Calibri" w:hAnsi="Verdana" w:cs="Arial"/>
          <w:color w:val="000000" w:themeColor="text1"/>
        </w:rPr>
      </w:pPr>
    </w:p>
    <w:p w14:paraId="105644B0" w14:textId="77777777" w:rsidR="00D767C1" w:rsidRPr="002A6C2C" w:rsidRDefault="00D767C1" w:rsidP="00D767C1">
      <w:pPr>
        <w:tabs>
          <w:tab w:val="left" w:pos="709"/>
        </w:tabs>
        <w:spacing w:after="120" w:line="276" w:lineRule="auto"/>
        <w:jc w:val="both"/>
        <w:rPr>
          <w:rFonts w:ascii="Verdana" w:eastAsia="Calibri" w:hAnsi="Verdana" w:cs="Arial"/>
          <w:color w:val="000000" w:themeColor="text1"/>
        </w:rPr>
      </w:pPr>
      <w:r w:rsidRPr="002A6C2C">
        <w:rPr>
          <w:rFonts w:ascii="Verdana" w:eastAsia="Calibri" w:hAnsi="Verdana" w:cs="Arial"/>
          <w:color w:val="000000" w:themeColor="text1"/>
        </w:rPr>
        <w:tab/>
        <w:t xml:space="preserve">En efecto, si el contrato se celebra con personas incursas previamente en una situación de inhabilidad o incompatibilidad, este surge a la vida jurídica viciado de nulidad absoluta. En contraste, si se generan en forma sobreviniente, el contrato no es inválido porque se perfeccionó de forma lícita; pero conforme al principio de moralidad administrativa no se puede continuar ejecutando ni mantenerse el vínculo con ese contratista inhábil y se producen entonces las consecuencias dispuestas por el legislador. </w:t>
      </w:r>
    </w:p>
    <w:p w14:paraId="5895D74C" w14:textId="77777777" w:rsidR="00D767C1" w:rsidRPr="002A6C2C" w:rsidRDefault="00D767C1" w:rsidP="00D767C1">
      <w:pPr>
        <w:tabs>
          <w:tab w:val="left" w:pos="709"/>
        </w:tabs>
        <w:spacing w:after="120" w:line="276" w:lineRule="auto"/>
        <w:jc w:val="both"/>
        <w:rPr>
          <w:rFonts w:ascii="Verdana" w:eastAsia="Calibri" w:hAnsi="Verdana" w:cs="Arial"/>
          <w:color w:val="000000" w:themeColor="text1"/>
        </w:rPr>
      </w:pPr>
      <w:r w:rsidRPr="002A6C2C">
        <w:rPr>
          <w:rFonts w:ascii="Verdana" w:eastAsia="Calibri" w:hAnsi="Verdana" w:cs="Arial"/>
          <w:color w:val="000000" w:themeColor="text1"/>
        </w:rPr>
        <w:tab/>
        <w:t>Según se desprende del texto del artículo 9, y sin perjuicio de la regla especial establecida en el parágrafo 1 de dicho artículo</w:t>
      </w:r>
      <w:r w:rsidRPr="002A6C2C">
        <w:rPr>
          <w:rStyle w:val="Refdenotaalpie"/>
          <w:rFonts w:ascii="Verdana" w:eastAsia="Calibri" w:hAnsi="Verdana" w:cs="Arial"/>
          <w:color w:val="000000" w:themeColor="text1"/>
        </w:rPr>
        <w:footnoteReference w:id="10"/>
      </w:r>
      <w:r w:rsidRPr="002A6C2C">
        <w:rPr>
          <w:rFonts w:ascii="Verdana" w:eastAsia="Calibri" w:hAnsi="Verdana" w:cs="Arial"/>
          <w:color w:val="000000" w:themeColor="text1"/>
        </w:rPr>
        <w:t xml:space="preserve">, si la inhabilidad o incompatibilidad se configura después del perfeccionamiento del contrato, el contratista cederá el contrato a un tercero previa autorización escrita de la entidad contratante; pero si esto no es posible, está obligado a renunciar a la ejecución. Por otra parte, si la inhabilidad o incompatibilidad sobreviene en un </w:t>
      </w:r>
      <w:r w:rsidRPr="002A6C2C">
        <w:rPr>
          <w:rFonts w:ascii="Verdana" w:eastAsia="Calibri" w:hAnsi="Verdana" w:cs="Arial"/>
          <w:color w:val="000000" w:themeColor="text1"/>
        </w:rPr>
        <w:lastRenderedPageBreak/>
        <w:t xml:space="preserve">procedimiento de selección, se entiende que </w:t>
      </w:r>
      <w:proofErr w:type="gramStart"/>
      <w:r w:rsidRPr="002A6C2C">
        <w:rPr>
          <w:rFonts w:ascii="Verdana" w:eastAsia="Calibri" w:hAnsi="Verdana" w:cs="Arial"/>
          <w:color w:val="000000" w:themeColor="text1"/>
        </w:rPr>
        <w:t>el proponente renuncia</w:t>
      </w:r>
      <w:proofErr w:type="gramEnd"/>
      <w:r w:rsidRPr="002A6C2C">
        <w:rPr>
          <w:rFonts w:ascii="Verdana" w:eastAsia="Calibri" w:hAnsi="Verdana" w:cs="Arial"/>
          <w:color w:val="000000" w:themeColor="text1"/>
        </w:rPr>
        <w:t xml:space="preserve"> a la participación y a los derechos surgidos del mismo. Finalmente, si la inhabilidad o incompatibilidad sobreviene en uno de los integrantes de un proponente plural, este debe ceder su participación con la autorización escrita del contratante, con la restricción de que el cesionario no puede ser alguno de los demás integrantes del consorcio o la unión temporal</w:t>
      </w:r>
      <w:r w:rsidRPr="002A6C2C">
        <w:rPr>
          <w:rStyle w:val="Refdenotaalpie"/>
          <w:rFonts w:ascii="Verdana" w:eastAsia="Calibri" w:hAnsi="Verdana" w:cs="Arial"/>
          <w:color w:val="000000" w:themeColor="text1"/>
        </w:rPr>
        <w:footnoteReference w:id="11"/>
      </w:r>
      <w:r w:rsidRPr="002A6C2C">
        <w:rPr>
          <w:rFonts w:ascii="Verdana" w:eastAsia="Calibri" w:hAnsi="Verdana" w:cs="Arial"/>
          <w:color w:val="000000" w:themeColor="text1"/>
        </w:rPr>
        <w:t xml:space="preserve">. </w:t>
      </w:r>
    </w:p>
    <w:p w14:paraId="077163C4" w14:textId="77777777" w:rsidR="00D767C1" w:rsidRDefault="00D767C1" w:rsidP="00D767C1">
      <w:pPr>
        <w:tabs>
          <w:tab w:val="left" w:pos="709"/>
        </w:tabs>
        <w:spacing w:after="120" w:line="276" w:lineRule="auto"/>
        <w:jc w:val="both"/>
        <w:rPr>
          <w:rFonts w:ascii="Verdana" w:eastAsia="Times New Roman" w:hAnsi="Verdana" w:cs="Arial"/>
          <w:lang w:eastAsia="es-MX"/>
        </w:rPr>
      </w:pPr>
      <w:r w:rsidRPr="002A6C2C">
        <w:rPr>
          <w:rFonts w:ascii="Verdana" w:eastAsia="Calibri" w:hAnsi="Verdana" w:cs="Arial"/>
          <w:color w:val="000000" w:themeColor="text1"/>
        </w:rPr>
        <w:tab/>
      </w:r>
      <w:r w:rsidRPr="002A6C2C">
        <w:rPr>
          <w:rFonts w:ascii="Verdana" w:eastAsia="Times New Roman" w:hAnsi="Verdana" w:cs="Arial"/>
          <w:lang w:eastAsia="es-MX"/>
        </w:rPr>
        <w:t>Conforme a lo anterior,</w:t>
      </w:r>
      <w:r w:rsidRPr="002A6C2C">
        <w:rPr>
          <w:rFonts w:ascii="Verdana" w:eastAsia="Times New Roman" w:hAnsi="Verdana" w:cs="Arial"/>
          <w:color w:val="000000" w:themeColor="text1"/>
          <w:lang w:eastAsia="es-MX"/>
        </w:rPr>
        <w:t xml:space="preserve"> en el caso en que se llegue a presentar una inhabilidad o incompatibilidad durante la ejecución del contrato estatal, el contratista tiene dos opciones: primero, ceder el contrato, previa autorización escrita de la entidad estatal y, segundo, en el caso en que la cesión no fuera posible, deberá renunciar a la ejecución del contrato. En ese sentido,</w:t>
      </w:r>
      <w:r w:rsidRPr="002A6C2C">
        <w:rPr>
          <w:rFonts w:ascii="Verdana" w:eastAsia="Times New Roman" w:hAnsi="Verdana" w:cs="Arial"/>
          <w:lang w:eastAsia="es-MX"/>
        </w:rPr>
        <w:t xml:space="preserve"> si durante la ejecución del contrato se llega a configurar alguna de las situaciones establecidas en el artículo 8 de la Ley 80 de 1993, se configuraría una inhabilidad o incompatibilidad sobreviniente y, ante este supuesto, la normativa solo prevé las dos soluciones referidas.  </w:t>
      </w:r>
    </w:p>
    <w:p w14:paraId="588F1747" w14:textId="47A895FD" w:rsidR="00145A03" w:rsidRPr="005E3465" w:rsidRDefault="00145A03" w:rsidP="00145A03">
      <w:pPr>
        <w:spacing w:after="120" w:line="276" w:lineRule="auto"/>
        <w:ind w:firstLine="709"/>
        <w:jc w:val="both"/>
        <w:rPr>
          <w:rFonts w:ascii="Verdana" w:eastAsia="Calibri" w:hAnsi="Verdana" w:cs="Arial"/>
          <w:color w:val="000000" w:themeColor="text1"/>
          <w:szCs w:val="24"/>
          <w:lang w:val="es-ES_tradnl" w:eastAsia="es-ES_tradnl"/>
        </w:rPr>
      </w:pPr>
      <w:r w:rsidRPr="005E3465">
        <w:rPr>
          <w:rFonts w:ascii="Verdana" w:eastAsia="Calibri" w:hAnsi="Verdana" w:cs="Arial"/>
          <w:color w:val="000000" w:themeColor="text1"/>
          <w:szCs w:val="24"/>
          <w:lang w:val="es-ES_tradnl" w:eastAsia="es-ES_tradnl"/>
        </w:rPr>
        <w:t xml:space="preserve">Conforme lo expuesto, en cada caso deberá analizarse si un proponente está incurso en alguna de las causales establecidas en la precitada disposición. </w:t>
      </w:r>
      <w:r>
        <w:rPr>
          <w:rFonts w:ascii="Verdana" w:eastAsia="Calibri" w:hAnsi="Verdana" w:cs="Arial"/>
          <w:color w:val="000000" w:themeColor="text1"/>
          <w:szCs w:val="24"/>
          <w:lang w:val="es-ES_tradnl" w:eastAsia="es-ES_tradnl"/>
        </w:rPr>
        <w:t xml:space="preserve">Para la Agencia </w:t>
      </w:r>
      <w:r w:rsidRPr="00A63A08">
        <w:rPr>
          <w:rFonts w:ascii="Verdana" w:eastAsia="Calibri" w:hAnsi="Verdana" w:cs="Arial"/>
          <w:color w:val="000000" w:themeColor="text1"/>
          <w:szCs w:val="24"/>
          <w:lang w:val="es-ES" w:eastAsia="es-ES_tradnl"/>
        </w:rPr>
        <w:t>Nacional de Contratación Pública – Colombia Compra Eficiente,</w:t>
      </w:r>
      <w:r>
        <w:rPr>
          <w:rFonts w:ascii="Verdana" w:eastAsia="Calibri" w:hAnsi="Verdana" w:cs="Arial"/>
          <w:color w:val="000000" w:themeColor="text1"/>
          <w:szCs w:val="24"/>
          <w:lang w:val="es-ES" w:eastAsia="es-ES_tradnl"/>
        </w:rPr>
        <w:t xml:space="preserve"> </w:t>
      </w:r>
      <w:r w:rsidRPr="00A63A08">
        <w:rPr>
          <w:rFonts w:ascii="Verdana" w:eastAsia="Calibri" w:hAnsi="Verdana" w:cs="Arial"/>
          <w:color w:val="000000" w:themeColor="text1"/>
          <w:szCs w:val="24"/>
          <w:lang w:val="es-ES" w:eastAsia="es-ES_tradnl"/>
        </w:rPr>
        <w:t xml:space="preserve">en sede consultiva, </w:t>
      </w:r>
      <w:r>
        <w:rPr>
          <w:rFonts w:ascii="Verdana" w:eastAsia="Calibri" w:hAnsi="Verdana" w:cs="Arial"/>
          <w:color w:val="000000" w:themeColor="text1"/>
          <w:szCs w:val="24"/>
          <w:lang w:val="es-ES" w:eastAsia="es-ES_tradnl"/>
        </w:rPr>
        <w:t xml:space="preserve">no le es posible </w:t>
      </w:r>
      <w:r w:rsidRPr="00A63A08">
        <w:rPr>
          <w:rFonts w:ascii="Verdana" w:eastAsia="Calibri" w:hAnsi="Verdana" w:cs="Arial"/>
          <w:color w:val="000000" w:themeColor="text1"/>
          <w:szCs w:val="24"/>
          <w:lang w:val="es-ES" w:eastAsia="es-ES_tradnl"/>
        </w:rPr>
        <w:t>determinar</w:t>
      </w:r>
      <w:r>
        <w:rPr>
          <w:rFonts w:ascii="Verdana" w:eastAsia="Calibri" w:hAnsi="Verdana" w:cs="Arial"/>
          <w:color w:val="000000" w:themeColor="text1"/>
          <w:szCs w:val="24"/>
          <w:lang w:val="es-ES" w:eastAsia="es-ES_tradnl"/>
        </w:rPr>
        <w:t xml:space="preserve"> si en un determinado caso un proponente estaría inhabilitado para participar en un Proceso de Contratación. </w:t>
      </w:r>
      <w:r w:rsidRPr="00A63A08">
        <w:rPr>
          <w:rFonts w:ascii="Verdana" w:eastAsia="Calibri" w:hAnsi="Verdana" w:cs="Arial"/>
          <w:color w:val="000000" w:themeColor="text1"/>
          <w:szCs w:val="24"/>
          <w:lang w:eastAsia="es-ES_tradnl"/>
        </w:rPr>
        <w:t xml:space="preserve">Lo anterior, en la medida en que, para resolver una consulta de carácter particular, además de conocer un sinnúmero de detalles de la actuación administrativa, es necesario acceder al expediente y a los documentos del procedimiento contractual donde surge la inquietud. </w:t>
      </w:r>
      <w:r w:rsidRPr="005E3465">
        <w:rPr>
          <w:rFonts w:ascii="Verdana" w:eastAsia="Calibri" w:hAnsi="Verdana" w:cs="Arial"/>
          <w:color w:val="000000" w:themeColor="text1"/>
          <w:szCs w:val="24"/>
          <w:lang w:val="es-ES_tradnl" w:eastAsia="es-ES_tradnl"/>
        </w:rPr>
        <w:t xml:space="preserve"> </w:t>
      </w:r>
    </w:p>
    <w:p w14:paraId="047CE47A" w14:textId="77777777" w:rsidR="00145A03" w:rsidRPr="00735F20" w:rsidRDefault="00145A03" w:rsidP="00145A03">
      <w:pPr>
        <w:widowControl w:val="0"/>
        <w:autoSpaceDE w:val="0"/>
        <w:autoSpaceDN w:val="0"/>
        <w:spacing w:after="0" w:line="276" w:lineRule="auto"/>
        <w:jc w:val="both"/>
        <w:rPr>
          <w:rFonts w:ascii="Verdana" w:hAnsi="Verdana" w:cs="Arial"/>
          <w:lang w:val="es-ES_tradnl"/>
        </w:rPr>
      </w:pPr>
    </w:p>
    <w:p w14:paraId="4655BC17" w14:textId="77777777" w:rsidR="00145A03" w:rsidRPr="007C1C94" w:rsidRDefault="00145A03" w:rsidP="00145A0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C1C94">
        <w:rPr>
          <w:rFonts w:ascii="Verdana" w:eastAsia="Century Gothic" w:hAnsi="Verdana" w:cs="Century Gothic"/>
          <w:b/>
          <w:bCs/>
        </w:rPr>
        <w:t>Referencias normativas, jurisprudenciales y otras fuentes:</w:t>
      </w:r>
    </w:p>
    <w:p w14:paraId="621D98CB" w14:textId="77777777" w:rsidR="00145A03" w:rsidRPr="007C1C94" w:rsidRDefault="00145A03" w:rsidP="00145A0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45A03" w:rsidRPr="007C1C94" w14:paraId="1E75260E" w14:textId="77777777" w:rsidTr="00697118">
        <w:trPr>
          <w:trHeight w:val="650"/>
        </w:trPr>
        <w:tc>
          <w:tcPr>
            <w:tcW w:w="8647" w:type="dxa"/>
          </w:tcPr>
          <w:p w14:paraId="247B86CE" w14:textId="40BF4D5C" w:rsidR="00145A03" w:rsidRDefault="00145A03" w:rsidP="00145A03">
            <w:pPr>
              <w:pStyle w:val="Prrafodelista"/>
              <w:widowControl w:val="0"/>
              <w:numPr>
                <w:ilvl w:val="0"/>
                <w:numId w:val="17"/>
              </w:numPr>
              <w:autoSpaceDE w:val="0"/>
              <w:autoSpaceDN w:val="0"/>
              <w:spacing w:line="276" w:lineRule="auto"/>
              <w:ind w:left="357" w:hanging="357"/>
              <w:contextualSpacing w:val="0"/>
              <w:jc w:val="both"/>
              <w:rPr>
                <w:rFonts w:ascii="Verdana" w:hAnsi="Verdana" w:cs="Arial"/>
              </w:rPr>
            </w:pPr>
            <w:r w:rsidRPr="007F4658">
              <w:rPr>
                <w:rFonts w:ascii="Verdana" w:hAnsi="Verdana" w:cs="Arial"/>
              </w:rPr>
              <w:t xml:space="preserve">Ley </w:t>
            </w:r>
            <w:r w:rsidRPr="007F4658">
              <w:rPr>
                <w:rFonts w:ascii="Verdana" w:hAnsi="Verdana" w:cs="Arial"/>
                <w:lang w:val="pt-BR"/>
              </w:rPr>
              <w:t>80</w:t>
            </w:r>
            <w:r w:rsidRPr="007F4658">
              <w:rPr>
                <w:rFonts w:ascii="Verdana" w:hAnsi="Verdana" w:cs="Arial"/>
              </w:rPr>
              <w:t xml:space="preserve"> de 1993: Literal </w:t>
            </w:r>
            <w:r>
              <w:rPr>
                <w:rFonts w:ascii="Verdana" w:hAnsi="Verdana" w:cs="Arial"/>
              </w:rPr>
              <w:t>b</w:t>
            </w:r>
            <w:r w:rsidRPr="007F4658">
              <w:rPr>
                <w:rFonts w:ascii="Verdana" w:hAnsi="Verdana" w:cs="Arial"/>
              </w:rPr>
              <w:t xml:space="preserve">) del numeral </w:t>
            </w:r>
            <w:r>
              <w:rPr>
                <w:rFonts w:ascii="Verdana" w:hAnsi="Verdana" w:cs="Arial"/>
              </w:rPr>
              <w:t>2</w:t>
            </w:r>
            <w:r w:rsidRPr="007F4658">
              <w:rPr>
                <w:rFonts w:ascii="Verdana" w:hAnsi="Verdana" w:cs="Arial"/>
              </w:rPr>
              <w:t xml:space="preserve"> del artículo 8</w:t>
            </w:r>
            <w:r w:rsidR="00E86A98">
              <w:rPr>
                <w:rFonts w:ascii="Verdana" w:hAnsi="Verdana" w:cs="Arial"/>
              </w:rPr>
              <w:t xml:space="preserve"> y artículo 9</w:t>
            </w:r>
            <w:r w:rsidRPr="007F4658">
              <w:rPr>
                <w:rFonts w:ascii="Verdana" w:hAnsi="Verdana" w:cs="Arial"/>
              </w:rPr>
              <w:t>.</w:t>
            </w:r>
          </w:p>
          <w:p w14:paraId="31EF4542" w14:textId="77777777" w:rsidR="00145A03" w:rsidRPr="007F4658" w:rsidRDefault="00145A03" w:rsidP="00697118">
            <w:pPr>
              <w:pStyle w:val="Prrafodelista"/>
              <w:widowControl w:val="0"/>
              <w:autoSpaceDE w:val="0"/>
              <w:autoSpaceDN w:val="0"/>
              <w:spacing w:line="276" w:lineRule="auto"/>
              <w:ind w:left="357"/>
              <w:contextualSpacing w:val="0"/>
              <w:jc w:val="both"/>
              <w:rPr>
                <w:rFonts w:ascii="Verdana" w:hAnsi="Verdana" w:cs="Arial"/>
              </w:rPr>
            </w:pPr>
          </w:p>
          <w:p w14:paraId="4340C633" w14:textId="77777777" w:rsidR="00145A03" w:rsidRDefault="00145A03" w:rsidP="00145A03">
            <w:pPr>
              <w:pStyle w:val="Prrafodelista"/>
              <w:widowControl w:val="0"/>
              <w:numPr>
                <w:ilvl w:val="0"/>
                <w:numId w:val="17"/>
              </w:numPr>
              <w:autoSpaceDE w:val="0"/>
              <w:autoSpaceDN w:val="0"/>
              <w:spacing w:line="276" w:lineRule="auto"/>
              <w:ind w:left="357" w:hanging="357"/>
              <w:contextualSpacing w:val="0"/>
              <w:jc w:val="both"/>
              <w:rPr>
                <w:rFonts w:ascii="Verdana" w:hAnsi="Verdana" w:cs="Arial"/>
              </w:rPr>
            </w:pPr>
            <w:r w:rsidRPr="00D66E6D">
              <w:rPr>
                <w:rFonts w:ascii="Verdana" w:hAnsi="Verdana" w:cs="Arial"/>
                <w:lang w:val="pt-BR"/>
              </w:rPr>
              <w:t xml:space="preserve">Corte Constitucional. </w:t>
            </w:r>
            <w:r w:rsidRPr="00D66E6D">
              <w:rPr>
                <w:rFonts w:ascii="Verdana" w:hAnsi="Verdana" w:cs="Arial"/>
              </w:rPr>
              <w:t xml:space="preserve">Sentencia C-780 de 2001. Magistrado Ponente: Jaime Córdoba Triviño. </w:t>
            </w:r>
          </w:p>
          <w:p w14:paraId="50487065" w14:textId="77777777" w:rsidR="00E86A98" w:rsidRPr="00E86A98" w:rsidRDefault="00E86A98" w:rsidP="00E86A98">
            <w:pPr>
              <w:pStyle w:val="Prrafodelista"/>
              <w:rPr>
                <w:rFonts w:ascii="Verdana" w:hAnsi="Verdana" w:cs="Arial"/>
              </w:rPr>
            </w:pPr>
          </w:p>
          <w:p w14:paraId="5210242B" w14:textId="0E57F998" w:rsidR="00E86A98" w:rsidRDefault="00E86A98" w:rsidP="00145A03">
            <w:pPr>
              <w:pStyle w:val="Prrafodelista"/>
              <w:widowControl w:val="0"/>
              <w:numPr>
                <w:ilvl w:val="0"/>
                <w:numId w:val="17"/>
              </w:numPr>
              <w:autoSpaceDE w:val="0"/>
              <w:autoSpaceDN w:val="0"/>
              <w:spacing w:line="276" w:lineRule="auto"/>
              <w:ind w:left="357" w:hanging="357"/>
              <w:contextualSpacing w:val="0"/>
              <w:jc w:val="both"/>
              <w:rPr>
                <w:rFonts w:ascii="Verdana" w:hAnsi="Verdana" w:cs="Arial"/>
              </w:rPr>
            </w:pPr>
            <w:r w:rsidRPr="00E86A98">
              <w:rPr>
                <w:rFonts w:ascii="Verdana" w:hAnsi="Verdana" w:cs="Arial"/>
              </w:rPr>
              <w:t>Corte Constitucional. C-221 de 1996. Magistrado Ponente: José Gregorio Hernández Galindo.</w:t>
            </w:r>
          </w:p>
          <w:p w14:paraId="27006879" w14:textId="77777777" w:rsidR="00145A03" w:rsidRPr="00D66E6D" w:rsidRDefault="00145A03" w:rsidP="00697118">
            <w:pPr>
              <w:widowControl w:val="0"/>
              <w:autoSpaceDE w:val="0"/>
              <w:autoSpaceDN w:val="0"/>
              <w:spacing w:line="276" w:lineRule="auto"/>
              <w:jc w:val="both"/>
              <w:rPr>
                <w:rFonts w:ascii="Verdana" w:hAnsi="Verdana" w:cs="Arial"/>
              </w:rPr>
            </w:pPr>
          </w:p>
          <w:p w14:paraId="55B4AA8B" w14:textId="77777777" w:rsidR="00145A03" w:rsidRPr="00D66E6D" w:rsidRDefault="00145A03" w:rsidP="00145A03">
            <w:pPr>
              <w:pStyle w:val="Prrafodelista"/>
              <w:widowControl w:val="0"/>
              <w:numPr>
                <w:ilvl w:val="0"/>
                <w:numId w:val="17"/>
              </w:numPr>
              <w:autoSpaceDE w:val="0"/>
              <w:autoSpaceDN w:val="0"/>
              <w:spacing w:line="276" w:lineRule="auto"/>
              <w:ind w:left="357" w:hanging="357"/>
              <w:contextualSpacing w:val="0"/>
              <w:jc w:val="both"/>
              <w:rPr>
                <w:rFonts w:ascii="Verdana" w:hAnsi="Verdana" w:cs="Arial"/>
                <w:lang w:val="es-MX"/>
              </w:rPr>
            </w:pPr>
            <w:r w:rsidRPr="00D66E6D">
              <w:rPr>
                <w:rFonts w:ascii="Verdana" w:hAnsi="Verdana" w:cs="Arial"/>
                <w:color w:val="000000"/>
              </w:rPr>
              <w:t xml:space="preserve">Corte Constitucional. Sentencia T-1039 de 2006. </w:t>
            </w:r>
            <w:r w:rsidRPr="00D71D00">
              <w:rPr>
                <w:rFonts w:ascii="Verdana" w:hAnsi="Verdana" w:cs="Arial"/>
                <w:color w:val="000000"/>
                <w:lang w:val="it-IT"/>
              </w:rPr>
              <w:t xml:space="preserve">Magistrado Ponente: Humberto Sierra Porto. </w:t>
            </w:r>
            <w:r w:rsidRPr="00D66E6D">
              <w:rPr>
                <w:rFonts w:ascii="Verdana" w:hAnsi="Verdana" w:cs="Arial"/>
                <w:color w:val="000000"/>
              </w:rPr>
              <w:t xml:space="preserve">La Corte ha mantenido este criterio en las sentencias: C-903 de 2008. Magistrado Ponente: Jaime Araujo Rentería; C-101 de 2018. Magistrada Ponente Gloria Stella Ortiz Delgado; entre otras. </w:t>
            </w:r>
          </w:p>
          <w:p w14:paraId="0EFF865E" w14:textId="77777777" w:rsidR="00145A03" w:rsidRPr="00D66E6D" w:rsidRDefault="00145A03" w:rsidP="00697118">
            <w:pPr>
              <w:widowControl w:val="0"/>
              <w:autoSpaceDE w:val="0"/>
              <w:autoSpaceDN w:val="0"/>
              <w:spacing w:line="276" w:lineRule="auto"/>
              <w:jc w:val="both"/>
              <w:rPr>
                <w:rFonts w:ascii="Verdana" w:hAnsi="Verdana" w:cs="Arial"/>
              </w:rPr>
            </w:pPr>
          </w:p>
          <w:p w14:paraId="7BD27EE4" w14:textId="77777777" w:rsidR="00145A03" w:rsidRPr="00D66E6D" w:rsidRDefault="00145A03" w:rsidP="00145A03">
            <w:pPr>
              <w:pStyle w:val="Prrafodelista"/>
              <w:widowControl w:val="0"/>
              <w:numPr>
                <w:ilvl w:val="0"/>
                <w:numId w:val="17"/>
              </w:numPr>
              <w:autoSpaceDE w:val="0"/>
              <w:autoSpaceDN w:val="0"/>
              <w:spacing w:line="276" w:lineRule="auto"/>
              <w:ind w:left="357" w:hanging="357"/>
              <w:contextualSpacing w:val="0"/>
              <w:jc w:val="both"/>
              <w:rPr>
                <w:rFonts w:ascii="Verdana" w:hAnsi="Verdana" w:cs="Arial"/>
              </w:rPr>
            </w:pPr>
            <w:r w:rsidRPr="00D66E6D">
              <w:rPr>
                <w:rFonts w:ascii="Verdana" w:hAnsi="Verdana" w:cs="Arial"/>
                <w:color w:val="000000"/>
              </w:rPr>
              <w:t xml:space="preserve">Consejo de Estado. Sección Tercera. Subsección C. Sentencia del 22 de mayo de 2013. </w:t>
            </w:r>
            <w:proofErr w:type="spellStart"/>
            <w:r w:rsidRPr="00D66E6D">
              <w:rPr>
                <w:rFonts w:ascii="Verdana" w:hAnsi="Verdana" w:cs="Arial"/>
                <w:color w:val="000000"/>
              </w:rPr>
              <w:t>Exp</w:t>
            </w:r>
            <w:proofErr w:type="spellEnd"/>
            <w:r w:rsidRPr="00D66E6D">
              <w:rPr>
                <w:rFonts w:ascii="Verdana" w:hAnsi="Verdana" w:cs="Arial"/>
                <w:color w:val="000000"/>
              </w:rPr>
              <w:t xml:space="preserve">. 24.057. Consejera Ponente: Olga Melida Valle De </w:t>
            </w:r>
            <w:proofErr w:type="spellStart"/>
            <w:r w:rsidRPr="00D66E6D">
              <w:rPr>
                <w:rFonts w:ascii="Verdana" w:hAnsi="Verdana" w:cs="Arial"/>
                <w:color w:val="000000"/>
              </w:rPr>
              <w:t>De</w:t>
            </w:r>
            <w:proofErr w:type="spellEnd"/>
            <w:r w:rsidRPr="00D66E6D">
              <w:rPr>
                <w:rFonts w:ascii="Verdana" w:hAnsi="Verdana" w:cs="Arial"/>
                <w:color w:val="000000"/>
              </w:rPr>
              <w:t xml:space="preserve"> La Hoz.</w:t>
            </w:r>
          </w:p>
          <w:p w14:paraId="555ADA40" w14:textId="77777777" w:rsidR="00145A03" w:rsidRPr="00D66E6D" w:rsidRDefault="00145A03" w:rsidP="00697118">
            <w:pPr>
              <w:widowControl w:val="0"/>
              <w:autoSpaceDE w:val="0"/>
              <w:autoSpaceDN w:val="0"/>
              <w:spacing w:line="276" w:lineRule="auto"/>
              <w:jc w:val="both"/>
              <w:rPr>
                <w:rFonts w:ascii="Verdana" w:hAnsi="Verdana" w:cs="Arial"/>
              </w:rPr>
            </w:pPr>
          </w:p>
          <w:p w14:paraId="1973B8F9" w14:textId="77777777" w:rsidR="00145A03" w:rsidRPr="00D66E6D" w:rsidRDefault="00145A03" w:rsidP="00145A03">
            <w:pPr>
              <w:pStyle w:val="Prrafodelista"/>
              <w:widowControl w:val="0"/>
              <w:numPr>
                <w:ilvl w:val="0"/>
                <w:numId w:val="17"/>
              </w:numPr>
              <w:autoSpaceDE w:val="0"/>
              <w:autoSpaceDN w:val="0"/>
              <w:spacing w:line="276" w:lineRule="auto"/>
              <w:ind w:left="357" w:hanging="357"/>
              <w:contextualSpacing w:val="0"/>
              <w:jc w:val="both"/>
              <w:rPr>
                <w:rFonts w:ascii="Verdana" w:hAnsi="Verdana" w:cs="Arial"/>
                <w:lang w:val="es-MX"/>
              </w:rPr>
            </w:pPr>
            <w:r w:rsidRPr="00D66E6D">
              <w:rPr>
                <w:rFonts w:ascii="Verdana" w:hAnsi="Verdana" w:cs="Arial"/>
              </w:rPr>
              <w:t xml:space="preserve">Consejo De Estado. Sección Tercera. Subsección A. Sentencia del 13 de noviembre de 2013. </w:t>
            </w:r>
            <w:r w:rsidRPr="00D66E6D">
              <w:rPr>
                <w:rFonts w:ascii="Verdana" w:hAnsi="Verdana" w:cs="Arial"/>
                <w:lang w:val="pt-BR"/>
              </w:rPr>
              <w:t xml:space="preserve">Rad. 25.646. </w:t>
            </w:r>
            <w:proofErr w:type="spellStart"/>
            <w:r w:rsidRPr="00D66E6D">
              <w:rPr>
                <w:rFonts w:ascii="Verdana" w:hAnsi="Verdana" w:cs="Arial"/>
                <w:lang w:val="pt-BR"/>
              </w:rPr>
              <w:t>Consejero</w:t>
            </w:r>
            <w:proofErr w:type="spellEnd"/>
            <w:r w:rsidRPr="00D66E6D">
              <w:rPr>
                <w:rFonts w:ascii="Verdana" w:hAnsi="Verdana" w:cs="Arial"/>
                <w:lang w:val="pt-BR"/>
              </w:rPr>
              <w:t xml:space="preserve"> </w:t>
            </w:r>
            <w:proofErr w:type="spellStart"/>
            <w:r w:rsidRPr="00D66E6D">
              <w:rPr>
                <w:rFonts w:ascii="Verdana" w:hAnsi="Verdana" w:cs="Arial"/>
                <w:lang w:val="pt-BR"/>
              </w:rPr>
              <w:t>Ponente</w:t>
            </w:r>
            <w:proofErr w:type="spellEnd"/>
            <w:r w:rsidRPr="00D66E6D">
              <w:rPr>
                <w:rFonts w:ascii="Verdana" w:hAnsi="Verdana" w:cs="Arial"/>
                <w:lang w:val="pt-BR"/>
              </w:rPr>
              <w:t xml:space="preserve">: Mauricio Fajardo Gómez.  </w:t>
            </w:r>
          </w:p>
          <w:p w14:paraId="078BD545" w14:textId="77777777" w:rsidR="00145A03" w:rsidRPr="00D66E6D" w:rsidRDefault="00145A03" w:rsidP="00697118">
            <w:pPr>
              <w:widowControl w:val="0"/>
              <w:autoSpaceDE w:val="0"/>
              <w:autoSpaceDN w:val="0"/>
              <w:spacing w:line="276" w:lineRule="auto"/>
              <w:jc w:val="both"/>
              <w:rPr>
                <w:rFonts w:ascii="Verdana" w:hAnsi="Verdana" w:cs="Arial"/>
              </w:rPr>
            </w:pPr>
          </w:p>
          <w:p w14:paraId="1A815D02" w14:textId="77777777" w:rsidR="00145A03" w:rsidRPr="007F4658" w:rsidRDefault="00145A03" w:rsidP="00145A03">
            <w:pPr>
              <w:pStyle w:val="Prrafodelista"/>
              <w:widowControl w:val="0"/>
              <w:numPr>
                <w:ilvl w:val="0"/>
                <w:numId w:val="17"/>
              </w:numPr>
              <w:autoSpaceDE w:val="0"/>
              <w:autoSpaceDN w:val="0"/>
              <w:spacing w:line="276" w:lineRule="auto"/>
              <w:ind w:left="357" w:hanging="357"/>
              <w:contextualSpacing w:val="0"/>
              <w:jc w:val="both"/>
              <w:rPr>
                <w:rFonts w:ascii="Verdana" w:hAnsi="Verdana" w:cs="Arial"/>
                <w:lang w:val="es-MX"/>
              </w:rPr>
            </w:pPr>
            <w:r w:rsidRPr="00D66E6D">
              <w:rPr>
                <w:rFonts w:ascii="Verdana" w:hAnsi="Verdana" w:cs="Arial"/>
                <w:color w:val="000000"/>
              </w:rPr>
              <w:t>Consejo de Estado. Sala de Consulta y Servicio Civil. Concepto del 30 de abril de 2015. Expediente: 2.251. Consejero Ponente: Álvaro Namén Vargas.</w:t>
            </w:r>
          </w:p>
          <w:p w14:paraId="6FD9DE41" w14:textId="77777777" w:rsidR="00145A03" w:rsidRPr="007F4658" w:rsidRDefault="00145A03" w:rsidP="00697118">
            <w:pPr>
              <w:pStyle w:val="Prrafodelista"/>
              <w:rPr>
                <w:rFonts w:ascii="Verdana" w:hAnsi="Verdana" w:cs="Arial"/>
                <w:color w:val="000000"/>
              </w:rPr>
            </w:pPr>
          </w:p>
          <w:p w14:paraId="14305D3A" w14:textId="77777777" w:rsidR="00145A03" w:rsidRPr="007F4658" w:rsidRDefault="00145A03" w:rsidP="00145A03">
            <w:pPr>
              <w:pStyle w:val="Prrafodelista"/>
              <w:widowControl w:val="0"/>
              <w:numPr>
                <w:ilvl w:val="0"/>
                <w:numId w:val="17"/>
              </w:numPr>
              <w:autoSpaceDE w:val="0"/>
              <w:autoSpaceDN w:val="0"/>
              <w:spacing w:line="276" w:lineRule="auto"/>
              <w:ind w:left="357" w:hanging="357"/>
              <w:contextualSpacing w:val="0"/>
              <w:jc w:val="both"/>
              <w:rPr>
                <w:rFonts w:ascii="Verdana" w:hAnsi="Verdana" w:cs="Arial"/>
                <w:lang w:val="es-MX"/>
              </w:rPr>
            </w:pPr>
            <w:r w:rsidRPr="007F4658">
              <w:rPr>
                <w:rFonts w:ascii="Verdana" w:hAnsi="Verdana" w:cs="Arial"/>
                <w:color w:val="000000"/>
              </w:rPr>
              <w:t xml:space="preserve">Consejo de Estado. Sección Tercera. Subsección A. Sentencia del 24 de junio de 2015. </w:t>
            </w:r>
            <w:proofErr w:type="spellStart"/>
            <w:r w:rsidRPr="007F4658">
              <w:rPr>
                <w:rFonts w:ascii="Verdana" w:hAnsi="Verdana" w:cs="Arial"/>
                <w:color w:val="000000"/>
              </w:rPr>
              <w:t>Exp</w:t>
            </w:r>
            <w:proofErr w:type="spellEnd"/>
            <w:r w:rsidRPr="007F4658">
              <w:rPr>
                <w:rFonts w:ascii="Verdana" w:hAnsi="Verdana" w:cs="Arial"/>
                <w:color w:val="000000"/>
              </w:rPr>
              <w:t>. 40.635. Consejero Ponente: Hernán Andrade Rincón (E).</w:t>
            </w:r>
          </w:p>
        </w:tc>
      </w:tr>
    </w:tbl>
    <w:p w14:paraId="0F41B278" w14:textId="77777777" w:rsidR="00145A03" w:rsidRPr="007C1C94" w:rsidRDefault="00145A03" w:rsidP="00145A03">
      <w:pPr>
        <w:widowControl w:val="0"/>
        <w:autoSpaceDE w:val="0"/>
        <w:autoSpaceDN w:val="0"/>
        <w:spacing w:after="0" w:line="276" w:lineRule="auto"/>
        <w:jc w:val="both"/>
        <w:rPr>
          <w:rFonts w:ascii="Verdana" w:hAnsi="Verdana" w:cs="Arial"/>
        </w:rPr>
      </w:pPr>
    </w:p>
    <w:p w14:paraId="66684EBA" w14:textId="77777777" w:rsidR="00145A03" w:rsidRPr="007C1C94" w:rsidRDefault="00145A03" w:rsidP="00145A0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C1C94">
        <w:rPr>
          <w:rFonts w:ascii="Verdana" w:eastAsia="Century Gothic" w:hAnsi="Verdana" w:cs="Century Gothic"/>
          <w:b/>
          <w:bCs/>
        </w:rPr>
        <w:t>Doctrina de la Agencia Nacional de Contratación Pública:</w:t>
      </w:r>
    </w:p>
    <w:p w14:paraId="4AA12B0F" w14:textId="77777777" w:rsidR="00145A03" w:rsidRPr="007C1C94" w:rsidRDefault="00145A03" w:rsidP="00145A03">
      <w:pPr>
        <w:widowControl w:val="0"/>
        <w:autoSpaceDE w:val="0"/>
        <w:autoSpaceDN w:val="0"/>
        <w:spacing w:after="0" w:line="276" w:lineRule="auto"/>
        <w:jc w:val="both"/>
        <w:rPr>
          <w:rFonts w:ascii="Verdana" w:hAnsi="Verdana" w:cs="Arial"/>
        </w:rPr>
      </w:pPr>
    </w:p>
    <w:p w14:paraId="23FDB119" w14:textId="65B8BA82" w:rsidR="00145A03" w:rsidRPr="007C1C94" w:rsidRDefault="00145A03" w:rsidP="00145A03">
      <w:pPr>
        <w:widowControl w:val="0"/>
        <w:autoSpaceDE w:val="0"/>
        <w:autoSpaceDN w:val="0"/>
        <w:spacing w:after="0" w:line="276" w:lineRule="auto"/>
        <w:jc w:val="both"/>
        <w:rPr>
          <w:rStyle w:val="normaltextrun"/>
          <w:rFonts w:ascii="Verdana" w:hAnsi="Verdana" w:cs="Arial"/>
          <w:shd w:val="clear" w:color="auto" w:fill="FFFFFF"/>
          <w:lang w:val="es-ES"/>
        </w:rPr>
      </w:pPr>
      <w:r w:rsidRPr="006E66BF">
        <w:rPr>
          <w:rFonts w:ascii="Verdana" w:eastAsia="Calibri" w:hAnsi="Verdana" w:cs="Arial"/>
          <w:lang w:val="es-ES_tradnl" w:eastAsia="es-ES_tradnl"/>
        </w:rPr>
        <w:t>L</w:t>
      </w:r>
      <w:r w:rsidRPr="006E66BF">
        <w:rPr>
          <w:rFonts w:ascii="Verdana" w:eastAsia="Times New Roman" w:hAnsi="Verdana" w:cs="Arial"/>
          <w:lang w:val="es-ES_tradnl" w:eastAsia="es-ES_tradnl"/>
        </w:rPr>
        <w:t xml:space="preserve">a Agencia Nacional de Contratación Pública ― Colombia Compra Eficiente analizó el régimen de inhabilidades e incompatibilidades en la contratación pública, sus criterios de interpretación –restrictivo y </w:t>
      </w:r>
      <w:r w:rsidRPr="006E66BF">
        <w:rPr>
          <w:rFonts w:ascii="Verdana" w:eastAsia="Times New Roman" w:hAnsi="Verdana" w:cs="Arial"/>
          <w:i/>
          <w:iCs/>
          <w:lang w:val="es-ES_tradnl" w:eastAsia="es-ES_tradnl"/>
        </w:rPr>
        <w:t xml:space="preserve">pro </w:t>
      </w:r>
      <w:proofErr w:type="spellStart"/>
      <w:r w:rsidRPr="006E66BF">
        <w:rPr>
          <w:rFonts w:ascii="Verdana" w:eastAsia="Times New Roman" w:hAnsi="Verdana" w:cs="Arial"/>
          <w:i/>
          <w:iCs/>
          <w:lang w:val="es-ES_tradnl" w:eastAsia="es-ES_tradnl"/>
        </w:rPr>
        <w:t>libertate</w:t>
      </w:r>
      <w:proofErr w:type="spellEnd"/>
      <w:r w:rsidRPr="006E66BF">
        <w:rPr>
          <w:rFonts w:ascii="Verdana" w:eastAsia="Times New Roman" w:hAnsi="Verdana" w:cs="Arial"/>
          <w:lang w:val="es-ES_tradnl" w:eastAsia="es-ES_tradnl"/>
        </w:rPr>
        <w:t xml:space="preserve">– y sus efectos en la capacidad contractual, entre otros, en los conceptos: C-090 del 24 de febrero de 2020, C-125 del 3 de marzo de 2020, C-157 del 17 de marzo de 2020, C-273 del 21 de mayo de 2020, C-402 del 26 de junio de 2020, C-386 del 24 de julio de 2020, C-701 del 6 de enero de 2021, C-004 del 12 de febrero de 2021, C-210 del 12 de mayo de 2021, C-275 del 11 de junio de 2021, C-449 del 31 de agosto de 2021, C-028 del 28 de febrero de 2022, C-318 del 18 de mayo </w:t>
      </w:r>
      <w:r w:rsidRPr="006E66BF">
        <w:rPr>
          <w:rFonts w:ascii="Verdana" w:eastAsia="Times New Roman" w:hAnsi="Verdana" w:cs="Arial"/>
          <w:lang w:val="es-ES_tradnl" w:eastAsia="es-ES_tradnl"/>
        </w:rPr>
        <w:lastRenderedPageBreak/>
        <w:t>de 2022, C-252 del 30 de mayo de 2022,</w:t>
      </w:r>
      <w:r>
        <w:rPr>
          <w:rFonts w:ascii="Verdana" w:eastAsia="Times New Roman" w:hAnsi="Verdana" w:cs="Arial"/>
          <w:lang w:val="es-ES_tradnl" w:eastAsia="es-ES_tradnl"/>
        </w:rPr>
        <w:t xml:space="preserve"> </w:t>
      </w:r>
      <w:r w:rsidRPr="006E66BF">
        <w:rPr>
          <w:rFonts w:ascii="Verdana" w:eastAsia="Times New Roman" w:hAnsi="Verdana" w:cs="Arial"/>
          <w:lang w:val="es-ES_tradnl" w:eastAsia="es-ES_tradnl"/>
        </w:rPr>
        <w:t>C-619 del 27 de septiembre de 2022,</w:t>
      </w:r>
      <w:r>
        <w:rPr>
          <w:rFonts w:ascii="Verdana" w:eastAsia="Times New Roman" w:hAnsi="Verdana" w:cs="Arial"/>
          <w:lang w:val="es-ES_tradnl" w:eastAsia="es-ES_tradnl"/>
        </w:rPr>
        <w:t xml:space="preserve"> C-205 del 12 de septiembre de 2024</w:t>
      </w:r>
      <w:r w:rsidR="00090594">
        <w:rPr>
          <w:rFonts w:ascii="Verdana" w:eastAsia="Times New Roman" w:hAnsi="Verdana" w:cs="Arial"/>
          <w:lang w:val="es-ES_tradnl" w:eastAsia="es-ES_tradnl"/>
        </w:rPr>
        <w:t>,</w:t>
      </w:r>
      <w:r>
        <w:rPr>
          <w:rFonts w:ascii="Verdana" w:eastAsia="Times New Roman" w:hAnsi="Verdana" w:cs="Arial"/>
          <w:lang w:val="es-ES_tradnl" w:eastAsia="es-ES_tradnl"/>
        </w:rPr>
        <w:t xml:space="preserve"> C-344 del 28 de abril de 2025</w:t>
      </w:r>
      <w:r w:rsidR="00362234">
        <w:rPr>
          <w:rFonts w:ascii="Verdana" w:eastAsia="Times New Roman" w:hAnsi="Verdana" w:cs="Arial"/>
          <w:lang w:val="es-ES_tradnl" w:eastAsia="es-ES_tradnl"/>
        </w:rPr>
        <w:t xml:space="preserve">, </w:t>
      </w:r>
      <w:r w:rsidR="00090594">
        <w:rPr>
          <w:rFonts w:ascii="Verdana" w:eastAsia="Times New Roman" w:hAnsi="Verdana" w:cs="Arial"/>
          <w:lang w:val="es-ES_tradnl" w:eastAsia="es-ES_tradnl"/>
        </w:rPr>
        <w:t>C-7</w:t>
      </w:r>
      <w:r w:rsidR="00C91B63">
        <w:rPr>
          <w:rFonts w:ascii="Verdana" w:eastAsia="Times New Roman" w:hAnsi="Verdana" w:cs="Arial"/>
          <w:lang w:val="es-ES_tradnl" w:eastAsia="es-ES_tradnl"/>
        </w:rPr>
        <w:t>92 del 25 de julio de 2025</w:t>
      </w:r>
      <w:r w:rsidR="00362234">
        <w:rPr>
          <w:rFonts w:ascii="Verdana" w:eastAsia="Times New Roman" w:hAnsi="Verdana" w:cs="Arial"/>
          <w:lang w:val="es-ES_tradnl" w:eastAsia="es-ES_tradnl"/>
        </w:rPr>
        <w:t xml:space="preserve"> y C-827 del 5 de agosto de 2025</w:t>
      </w:r>
      <w:r>
        <w:rPr>
          <w:rFonts w:ascii="Verdana" w:eastAsia="Times New Roman" w:hAnsi="Verdana" w:cs="Arial"/>
          <w:lang w:val="es-ES_tradnl" w:eastAsia="es-ES_tradnl"/>
        </w:rPr>
        <w:t>,</w:t>
      </w:r>
      <w:r w:rsidRPr="006E66BF">
        <w:rPr>
          <w:rFonts w:ascii="Verdana" w:eastAsia="Times New Roman" w:hAnsi="Verdana" w:cs="Arial"/>
          <w:lang w:val="es-ES_tradnl" w:eastAsia="es-ES_tradnl"/>
        </w:rPr>
        <w:t xml:space="preserve"> entre otros</w:t>
      </w:r>
      <w:r w:rsidRPr="007C1C94">
        <w:rPr>
          <w:rStyle w:val="normaltextrun"/>
          <w:rFonts w:ascii="Verdana" w:hAnsi="Verdana" w:cs="Arial"/>
          <w:shd w:val="clear" w:color="auto" w:fill="FFFFFF"/>
          <w:lang w:val="es-ES"/>
        </w:rPr>
        <w:t>. Es</w:t>
      </w:r>
      <w:r w:rsidRPr="007C1C94">
        <w:rPr>
          <w:rFonts w:ascii="Verdana" w:hAnsi="Verdana"/>
        </w:rPr>
        <w:t>tos y otros conceptos se encuentran disponibles para consulta en el Sistema de relatoría de la Agencia, al cual se puede acceder a través del siguiente enlace:</w:t>
      </w:r>
      <w:r w:rsidRPr="007C1C94">
        <w:rPr>
          <w:rStyle w:val="normaltextrun"/>
          <w:rFonts w:ascii="Verdana" w:hAnsi="Verdana" w:cs="Arial"/>
          <w:shd w:val="clear" w:color="auto" w:fill="FFFFFF"/>
          <w:lang w:val="es-ES"/>
        </w:rPr>
        <w:t xml:space="preserve"> </w:t>
      </w:r>
      <w:hyperlink r:id="rId11" w:history="1">
        <w:r w:rsidRPr="007C1C94">
          <w:rPr>
            <w:rStyle w:val="Hipervnculo"/>
            <w:rFonts w:ascii="Verdana" w:hAnsi="Verdana" w:cs="Arial"/>
            <w:shd w:val="clear" w:color="auto" w:fill="FFFFFF"/>
            <w:lang w:val="es-ES"/>
          </w:rPr>
          <w:t>https://relatoria.colombiacompra.gov.co/busqueda/conceptos</w:t>
        </w:r>
      </w:hyperlink>
    </w:p>
    <w:p w14:paraId="567FCCF8" w14:textId="77777777" w:rsidR="00145A03" w:rsidRPr="007C1C94" w:rsidRDefault="00145A03" w:rsidP="00145A03">
      <w:pPr>
        <w:widowControl w:val="0"/>
        <w:autoSpaceDE w:val="0"/>
        <w:autoSpaceDN w:val="0"/>
        <w:spacing w:after="0" w:line="276" w:lineRule="auto"/>
        <w:jc w:val="both"/>
        <w:rPr>
          <w:rStyle w:val="normaltextrun"/>
          <w:rFonts w:ascii="Verdana" w:hAnsi="Verdana" w:cs="Arial"/>
          <w:shd w:val="clear" w:color="auto" w:fill="FFFFFF"/>
          <w:lang w:val="es-ES"/>
        </w:rPr>
      </w:pPr>
    </w:p>
    <w:p w14:paraId="7BA5F7C4" w14:textId="77777777" w:rsidR="0008012C" w:rsidRPr="0008012C" w:rsidRDefault="0008012C" w:rsidP="0008012C">
      <w:pPr>
        <w:spacing w:line="276" w:lineRule="auto"/>
        <w:contextualSpacing/>
        <w:jc w:val="both"/>
        <w:rPr>
          <w:rFonts w:ascii="Verdana" w:eastAsia="Calibri" w:hAnsi="Verdana" w:cs="Times New Roman"/>
          <w:lang w:val="es-ES"/>
        </w:rPr>
      </w:pPr>
      <w:r w:rsidRPr="0008012C">
        <w:rPr>
          <w:rFonts w:ascii="Verdana" w:eastAsia="Calibri" w:hAnsi="Verdana" w:cs="Times New Roman"/>
          <w:lang w:val="es-ES"/>
        </w:rPr>
        <w:t>También le contamos que ya se encuentra disponible la </w:t>
      </w:r>
      <w:r w:rsidRPr="0008012C">
        <w:rPr>
          <w:rFonts w:ascii="Verdana" w:eastAsia="Calibri" w:hAnsi="Verdana" w:cs="Times New Roman"/>
          <w:b/>
          <w:bCs/>
          <w:lang w:val="es-ES"/>
        </w:rPr>
        <w:t>Guía de lineamientos de transparencia y selección objetiva para el departamento de La Guajira – Objetivo sexto constitucional de la Sentencia T-302 del 2017. </w:t>
      </w:r>
      <w:r w:rsidRPr="0008012C">
        <w:rPr>
          <w:rFonts w:ascii="Verdana" w:eastAsia="Calibri" w:hAnsi="Verdana" w:cs="Times New Roman"/>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8012C">
        <w:rPr>
          <w:rFonts w:ascii="Verdana" w:eastAsia="Calibri" w:hAnsi="Verdana" w:cs="Times New Roman"/>
          <w:lang w:val="es-ES"/>
        </w:rPr>
        <w:t>Wayúu</w:t>
      </w:r>
      <w:proofErr w:type="spellEnd"/>
      <w:r w:rsidRPr="0008012C">
        <w:rPr>
          <w:rFonts w:ascii="Verdana" w:eastAsia="Calibri" w:hAnsi="Verdana" w:cs="Times New Roman"/>
          <w:lang w:val="es-ES"/>
        </w:rPr>
        <w:t>. Puede consultar la guía en el siguiente enlace: </w:t>
      </w:r>
      <w:hyperlink r:id="rId12" w:tgtFrame="_blank" w:tooltip="Original URL: https://www.colombiacompra.gov.co/wp-content/uploads/2025/05/GUIA-DE-LINEAMIENTOS-DE-TRANSPARENCIA-Y-SELECCION-OBJETIVA-1.0.pdf. Click or tap if you trust this link." w:history="1">
        <w:r w:rsidRPr="0008012C">
          <w:rPr>
            <w:rFonts w:ascii="Verdana" w:eastAsia="Calibri" w:hAnsi="Verdana" w:cs="Times New Roman"/>
            <w:color w:val="0000FF"/>
            <w:u w:val="single"/>
            <w:lang w:val="es-ES"/>
          </w:rPr>
          <w:t>Guía de lineamientos de transparencia y selección objetiva para el departamento de La Guajira – Objetivo sexto constitucional de la Sentencia T-302 del 2017</w:t>
        </w:r>
      </w:hyperlink>
      <w:r w:rsidRPr="0008012C">
        <w:rPr>
          <w:rFonts w:ascii="Verdana" w:eastAsia="Calibri" w:hAnsi="Verdana" w:cs="Times New Roman"/>
          <w:u w:val="single"/>
          <w:lang w:val="es-ES"/>
        </w:rPr>
        <w:t>"</w:t>
      </w:r>
    </w:p>
    <w:p w14:paraId="291F0AAC" w14:textId="77777777" w:rsidR="0008012C" w:rsidRPr="0008012C" w:rsidRDefault="0008012C" w:rsidP="0008012C">
      <w:pPr>
        <w:widowControl w:val="0"/>
        <w:autoSpaceDE w:val="0"/>
        <w:autoSpaceDN w:val="0"/>
        <w:spacing w:after="0" w:line="276" w:lineRule="auto"/>
        <w:jc w:val="both"/>
        <w:rPr>
          <w:rFonts w:ascii="Calibri" w:eastAsia="Calibri" w:hAnsi="Calibri" w:cs="Arial"/>
          <w:color w:val="FF0000"/>
          <w:shd w:val="clear" w:color="auto" w:fill="FFFFFF"/>
          <w:lang w:val="es-ES"/>
        </w:rPr>
      </w:pPr>
    </w:p>
    <w:p w14:paraId="26E934B0" w14:textId="77777777" w:rsidR="0008012C" w:rsidRPr="0008012C" w:rsidRDefault="0008012C" w:rsidP="0008012C">
      <w:pPr>
        <w:spacing w:after="0" w:line="240" w:lineRule="auto"/>
        <w:jc w:val="both"/>
        <w:rPr>
          <w:rFonts w:ascii="Calibri" w:eastAsia="Calibri" w:hAnsi="Calibri" w:cs="Times New Roman"/>
        </w:rPr>
      </w:pPr>
      <w:r w:rsidRPr="0008012C">
        <w:rPr>
          <w:rFonts w:ascii="Verdana" w:eastAsia="Calibri" w:hAnsi="Verdana" w:cs="Times New Roman"/>
        </w:rPr>
        <w:t xml:space="preserve">Por último, lo invitamos a seguirnos en las redes sociales en las cuales se difunde información institucional: </w:t>
      </w:r>
    </w:p>
    <w:p w14:paraId="5B97135C" w14:textId="77777777" w:rsidR="0008012C" w:rsidRPr="0008012C" w:rsidRDefault="0008012C" w:rsidP="0008012C">
      <w:pPr>
        <w:spacing w:after="0" w:line="240" w:lineRule="auto"/>
        <w:jc w:val="both"/>
        <w:rPr>
          <w:rFonts w:ascii="Verdana" w:eastAsia="Calibri" w:hAnsi="Verdana" w:cs="Times New Roman"/>
        </w:rPr>
      </w:pPr>
    </w:p>
    <w:p w14:paraId="4DCE9EF1" w14:textId="77777777" w:rsidR="0008012C" w:rsidRPr="0008012C" w:rsidRDefault="0008012C" w:rsidP="0008012C">
      <w:pPr>
        <w:spacing w:after="0" w:line="240" w:lineRule="auto"/>
        <w:jc w:val="both"/>
        <w:rPr>
          <w:rFonts w:ascii="Verdana" w:eastAsia="Calibri" w:hAnsi="Verdana" w:cs="Times New Roman"/>
        </w:rPr>
      </w:pPr>
      <w:r w:rsidRPr="0008012C">
        <w:rPr>
          <w:rFonts w:ascii="Verdana" w:eastAsia="Calibri" w:hAnsi="Verdana" w:cs="Times New Roman"/>
        </w:rPr>
        <w:t xml:space="preserve">Twitter: </w:t>
      </w:r>
      <w:r w:rsidRPr="0008012C">
        <w:rPr>
          <w:rFonts w:ascii="Verdana" w:eastAsia="Calibri" w:hAnsi="Verdana" w:cs="Arial"/>
          <w:color w:val="0000FF"/>
          <w:u w:val="single"/>
          <w:shd w:val="clear" w:color="auto" w:fill="FFFFFF"/>
        </w:rPr>
        <w:t>@colombiacompra</w:t>
      </w:r>
      <w:r w:rsidRPr="0008012C">
        <w:rPr>
          <w:rFonts w:ascii="Verdana" w:eastAsia="Calibri" w:hAnsi="Verdana" w:cs="Times New Roman"/>
          <w:color w:val="4472C4" w:themeColor="accent1"/>
        </w:rPr>
        <w:t xml:space="preserve"> </w:t>
      </w:r>
    </w:p>
    <w:p w14:paraId="0AB45A52" w14:textId="77777777" w:rsidR="0008012C" w:rsidRPr="0008012C" w:rsidRDefault="0008012C" w:rsidP="0008012C">
      <w:pPr>
        <w:spacing w:after="0" w:line="240" w:lineRule="auto"/>
        <w:jc w:val="both"/>
        <w:rPr>
          <w:rFonts w:ascii="Verdana" w:eastAsia="Calibri" w:hAnsi="Verdana" w:cs="Times New Roman"/>
        </w:rPr>
      </w:pPr>
      <w:r w:rsidRPr="0008012C">
        <w:rPr>
          <w:rFonts w:ascii="Verdana" w:eastAsia="Calibri" w:hAnsi="Verdana" w:cs="Times New Roman"/>
        </w:rPr>
        <w:t xml:space="preserve">Facebook: </w:t>
      </w:r>
      <w:proofErr w:type="spellStart"/>
      <w:r w:rsidRPr="0008012C">
        <w:rPr>
          <w:rFonts w:ascii="Verdana" w:eastAsia="Calibri" w:hAnsi="Verdana" w:cs="Arial"/>
          <w:color w:val="0000FF"/>
          <w:u w:val="single"/>
          <w:shd w:val="clear" w:color="auto" w:fill="FFFFFF"/>
        </w:rPr>
        <w:t>ColombiaCompraEficiente</w:t>
      </w:r>
      <w:proofErr w:type="spellEnd"/>
    </w:p>
    <w:p w14:paraId="43F9BC4D" w14:textId="77777777" w:rsidR="0008012C" w:rsidRPr="0008012C" w:rsidRDefault="0008012C" w:rsidP="0008012C">
      <w:pPr>
        <w:spacing w:after="0" w:line="240" w:lineRule="auto"/>
        <w:jc w:val="both"/>
        <w:rPr>
          <w:rFonts w:ascii="Verdana" w:eastAsia="Calibri" w:hAnsi="Verdana" w:cs="Times New Roman"/>
        </w:rPr>
      </w:pPr>
      <w:r w:rsidRPr="0008012C">
        <w:rPr>
          <w:rFonts w:ascii="Verdana" w:eastAsia="Calibri" w:hAnsi="Verdana" w:cs="Times New Roman"/>
        </w:rPr>
        <w:t xml:space="preserve">LinkedIn: </w:t>
      </w:r>
      <w:r w:rsidRPr="0008012C">
        <w:rPr>
          <w:rFonts w:ascii="Verdana" w:eastAsia="Calibri" w:hAnsi="Verdana" w:cs="Arial"/>
          <w:color w:val="0000FF"/>
          <w:u w:val="single"/>
          <w:shd w:val="clear" w:color="auto" w:fill="FFFFFF"/>
        </w:rPr>
        <w:t>Agencia Nacional de Contratación Pública - Colombia Compra Eficiente</w:t>
      </w:r>
      <w:r w:rsidRPr="0008012C">
        <w:rPr>
          <w:rFonts w:ascii="Calibri" w:eastAsia="Calibri" w:hAnsi="Calibri" w:cs="Arial"/>
          <w:color w:val="0000FF"/>
          <w:u w:val="single"/>
          <w:shd w:val="clear" w:color="auto" w:fill="FFFFFF"/>
        </w:rPr>
        <w:t xml:space="preserve"> </w:t>
      </w:r>
      <w:r w:rsidRPr="0008012C">
        <w:rPr>
          <w:rFonts w:ascii="Verdana" w:eastAsia="Calibri" w:hAnsi="Verdana" w:cs="Times New Roman"/>
        </w:rPr>
        <w:t xml:space="preserve">Instagram: </w:t>
      </w:r>
      <w:r w:rsidRPr="0008012C">
        <w:rPr>
          <w:rFonts w:ascii="Verdana" w:eastAsia="Calibri" w:hAnsi="Verdana" w:cs="Arial"/>
          <w:color w:val="0000FF"/>
          <w:u w:val="single"/>
          <w:shd w:val="clear" w:color="auto" w:fill="FFFFFF"/>
        </w:rPr>
        <w:t>@colombiacompraeficiente_cce</w:t>
      </w:r>
    </w:p>
    <w:p w14:paraId="5EB9BEDF" w14:textId="77777777" w:rsidR="0008012C" w:rsidRPr="0008012C" w:rsidRDefault="0008012C" w:rsidP="0008012C">
      <w:pPr>
        <w:widowControl w:val="0"/>
        <w:autoSpaceDE w:val="0"/>
        <w:autoSpaceDN w:val="0"/>
        <w:spacing w:after="0" w:line="276" w:lineRule="auto"/>
        <w:jc w:val="both"/>
        <w:rPr>
          <w:rFonts w:ascii="Verdana" w:eastAsia="Calibri" w:hAnsi="Verdana" w:cs="Arial"/>
          <w:color w:val="000000" w:themeColor="text1"/>
        </w:rPr>
      </w:pPr>
    </w:p>
    <w:p w14:paraId="16DC563E" w14:textId="77777777" w:rsidR="0008012C" w:rsidRPr="0008012C" w:rsidRDefault="0008012C" w:rsidP="0008012C">
      <w:pPr>
        <w:widowControl w:val="0"/>
        <w:autoSpaceDE w:val="0"/>
        <w:autoSpaceDN w:val="0"/>
        <w:spacing w:after="0" w:line="276" w:lineRule="auto"/>
        <w:jc w:val="both"/>
        <w:rPr>
          <w:rFonts w:ascii="Verdana" w:eastAsia="Calibri" w:hAnsi="Verdana" w:cs="Arial"/>
          <w:lang w:val="es-ES_tradnl"/>
        </w:rPr>
      </w:pPr>
      <w:r w:rsidRPr="0008012C">
        <w:rPr>
          <w:rFonts w:ascii="Verdana" w:eastAsia="Calibri" w:hAnsi="Verdana" w:cs="Arial"/>
        </w:rPr>
        <w:t xml:space="preserve">Este concepto tiene el alcance previsto en el artículo 28 del Código de Procedimiento Administrativo y de lo Contencioso Administrativo </w:t>
      </w:r>
      <w:r w:rsidRPr="0008012C">
        <w:rPr>
          <w:rFonts w:ascii="Verdana" w:eastAsia="Calibri" w:hAnsi="Verdana" w:cs="Arial"/>
          <w:lang w:val="es-ES_tradnl"/>
        </w:rPr>
        <w:t>y las expresiones aquí utilizadas con mayúscula inicial deben ser entendidas con el significado que les otorga el artículo 2.2.1.1.1.3.1. del Decreto 1082 de 2015.</w:t>
      </w:r>
    </w:p>
    <w:p w14:paraId="1DE54B36" w14:textId="77777777" w:rsidR="0008012C" w:rsidRPr="0008012C" w:rsidRDefault="0008012C" w:rsidP="0008012C">
      <w:pPr>
        <w:widowControl w:val="0"/>
        <w:autoSpaceDE w:val="0"/>
        <w:autoSpaceDN w:val="0"/>
        <w:spacing w:after="0" w:line="276" w:lineRule="auto"/>
        <w:jc w:val="both"/>
        <w:rPr>
          <w:rFonts w:ascii="Verdana" w:eastAsia="Calibri" w:hAnsi="Verdana" w:cs="Arial"/>
        </w:rPr>
      </w:pPr>
    </w:p>
    <w:p w14:paraId="0083236C" w14:textId="77777777" w:rsidR="0008012C" w:rsidRPr="0008012C" w:rsidRDefault="0008012C" w:rsidP="0008012C">
      <w:pPr>
        <w:spacing w:after="0" w:line="276" w:lineRule="auto"/>
        <w:rPr>
          <w:rFonts w:ascii="Verdana" w:eastAsia="Calibri" w:hAnsi="Verdana" w:cs="Arial"/>
          <w:lang w:eastAsia="es-CO"/>
        </w:rPr>
      </w:pPr>
      <w:r w:rsidRPr="0008012C">
        <w:rPr>
          <w:rFonts w:ascii="Verdana" w:eastAsia="Times New Roman" w:hAnsi="Verdana" w:cs="Arial"/>
          <w:lang w:eastAsia="es-CO"/>
        </w:rPr>
        <w:t>Atentamente,</w:t>
      </w:r>
      <w:r w:rsidRPr="0008012C">
        <w:rPr>
          <w:rFonts w:ascii="Verdana" w:eastAsia="Calibri" w:hAnsi="Verdana" w:cs="Arial"/>
          <w:lang w:eastAsia="es-CO"/>
        </w:rPr>
        <w:t xml:space="preserve"> </w:t>
      </w:r>
    </w:p>
    <w:p w14:paraId="41F2A0AE" w14:textId="6414054E" w:rsidR="0008012C" w:rsidRPr="0008012C" w:rsidRDefault="000536D2" w:rsidP="0008012C">
      <w:pPr>
        <w:spacing w:line="276" w:lineRule="auto"/>
        <w:jc w:val="center"/>
        <w:rPr>
          <w:rFonts w:ascii="Verdana" w:eastAsia="Times New Roman" w:hAnsi="Verdana" w:cs="Arial"/>
          <w:sz w:val="24"/>
          <w:szCs w:val="24"/>
          <w:lang w:eastAsia="es-ES"/>
        </w:rPr>
      </w:pPr>
      <w:r w:rsidRPr="002C3AD6">
        <w:rPr>
          <w:rFonts w:ascii="Century Gothic" w:hAnsi="Century Gothic"/>
          <w:noProof/>
        </w:rPr>
        <w:lastRenderedPageBreak/>
        <w:drawing>
          <wp:inline distT="0" distB="0" distL="0" distR="0" wp14:anchorId="6F1C5FBE" wp14:editId="2E91F72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08012C" w:rsidRPr="0008012C" w14:paraId="057F8CE0" w14:textId="77777777">
        <w:trPr>
          <w:trHeight w:val="315"/>
        </w:trPr>
        <w:tc>
          <w:tcPr>
            <w:tcW w:w="993" w:type="dxa"/>
            <w:vAlign w:val="center"/>
            <w:hideMark/>
          </w:tcPr>
          <w:p w14:paraId="140B00C4" w14:textId="77777777" w:rsidR="0008012C" w:rsidRPr="0008012C" w:rsidRDefault="0008012C" w:rsidP="0008012C">
            <w:pPr>
              <w:spacing w:after="0" w:line="276" w:lineRule="auto"/>
              <w:rPr>
                <w:rFonts w:ascii="Verdana" w:eastAsia="Calibri" w:hAnsi="Verdana" w:cs="Arial"/>
                <w:bCs/>
                <w:sz w:val="16"/>
                <w:szCs w:val="16"/>
                <w:lang w:eastAsia="es-CO"/>
              </w:rPr>
            </w:pPr>
            <w:r w:rsidRPr="0008012C">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05291E12" w14:textId="77777777" w:rsidR="0008012C" w:rsidRPr="0008012C" w:rsidRDefault="0008012C" w:rsidP="0008012C">
            <w:pPr>
              <w:spacing w:after="0" w:line="240" w:lineRule="auto"/>
              <w:rPr>
                <w:rFonts w:ascii="Verdana" w:eastAsia="Calibri" w:hAnsi="Verdana" w:cs="Arial"/>
                <w:sz w:val="16"/>
                <w:szCs w:val="16"/>
                <w:lang w:eastAsia="es-CO"/>
              </w:rPr>
            </w:pPr>
            <w:r w:rsidRPr="0008012C">
              <w:rPr>
                <w:rFonts w:ascii="Verdana" w:eastAsia="Calibri" w:hAnsi="Verdana" w:cs="Arial"/>
                <w:sz w:val="16"/>
                <w:szCs w:val="16"/>
                <w:lang w:eastAsia="es-CO"/>
              </w:rPr>
              <w:t>Ximena Ríos López</w:t>
            </w:r>
          </w:p>
          <w:p w14:paraId="15735B3A" w14:textId="77777777" w:rsidR="0008012C" w:rsidRPr="0008012C" w:rsidRDefault="0008012C" w:rsidP="0008012C">
            <w:pPr>
              <w:spacing w:after="0" w:line="240" w:lineRule="auto"/>
              <w:rPr>
                <w:rFonts w:ascii="Verdana" w:eastAsia="Calibri" w:hAnsi="Verdana" w:cs="Arial"/>
                <w:sz w:val="16"/>
                <w:szCs w:val="16"/>
                <w:lang w:eastAsia="es-CO"/>
              </w:rPr>
            </w:pPr>
            <w:r w:rsidRPr="0008012C">
              <w:rPr>
                <w:rFonts w:ascii="Verdana" w:eastAsia="Calibri" w:hAnsi="Verdana" w:cs="Arial"/>
                <w:sz w:val="16"/>
                <w:szCs w:val="16"/>
                <w:lang w:eastAsia="es-CO"/>
              </w:rPr>
              <w:t>Gestor T1 -11 Subdirección de Gestión Contractual</w:t>
            </w:r>
          </w:p>
        </w:tc>
      </w:tr>
      <w:tr w:rsidR="0008012C" w:rsidRPr="0008012C" w14:paraId="7CBB52B6" w14:textId="77777777">
        <w:trPr>
          <w:trHeight w:val="330"/>
        </w:trPr>
        <w:tc>
          <w:tcPr>
            <w:tcW w:w="993" w:type="dxa"/>
            <w:vAlign w:val="center"/>
            <w:hideMark/>
          </w:tcPr>
          <w:p w14:paraId="094C27D3" w14:textId="77777777" w:rsidR="0008012C" w:rsidRPr="0008012C" w:rsidRDefault="0008012C" w:rsidP="0008012C">
            <w:pPr>
              <w:spacing w:after="0" w:line="276" w:lineRule="auto"/>
              <w:rPr>
                <w:rFonts w:ascii="Verdana" w:eastAsia="Calibri" w:hAnsi="Verdana" w:cs="Arial"/>
                <w:bCs/>
                <w:sz w:val="16"/>
                <w:szCs w:val="16"/>
                <w:lang w:eastAsia="es-CO"/>
              </w:rPr>
            </w:pPr>
            <w:r w:rsidRPr="0008012C">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49A070D7" w14:textId="77777777" w:rsidR="0008012C" w:rsidRPr="0008012C" w:rsidRDefault="0008012C" w:rsidP="0008012C">
            <w:pPr>
              <w:spacing w:after="0" w:line="240" w:lineRule="auto"/>
              <w:rPr>
                <w:rFonts w:ascii="Verdana" w:eastAsia="Calibri" w:hAnsi="Verdana" w:cs="Arial"/>
                <w:sz w:val="16"/>
                <w:szCs w:val="16"/>
                <w:lang w:eastAsia="es-CO"/>
              </w:rPr>
            </w:pPr>
            <w:r w:rsidRPr="0008012C">
              <w:rPr>
                <w:rFonts w:ascii="Verdana" w:eastAsia="Calibri" w:hAnsi="Verdana" w:cs="Arial"/>
                <w:sz w:val="16"/>
                <w:szCs w:val="16"/>
                <w:lang w:eastAsia="es-CO"/>
              </w:rPr>
              <w:t>Martha Romero</w:t>
            </w:r>
          </w:p>
          <w:p w14:paraId="2B15C1DF" w14:textId="77777777" w:rsidR="0008012C" w:rsidRPr="0008012C" w:rsidRDefault="0008012C" w:rsidP="0008012C">
            <w:pPr>
              <w:spacing w:after="0" w:line="240" w:lineRule="auto"/>
              <w:rPr>
                <w:rFonts w:ascii="Verdana" w:eastAsia="Calibri" w:hAnsi="Verdana" w:cs="Arial"/>
                <w:sz w:val="16"/>
                <w:szCs w:val="16"/>
                <w:lang w:eastAsia="es-CO"/>
              </w:rPr>
            </w:pPr>
            <w:r w:rsidRPr="0008012C">
              <w:rPr>
                <w:rFonts w:ascii="Verdana" w:eastAsia="Calibri" w:hAnsi="Verdana" w:cs="Arial"/>
                <w:sz w:val="16"/>
                <w:szCs w:val="16"/>
                <w:lang w:eastAsia="es-CO"/>
              </w:rPr>
              <w:t>Gestor T1 -15 Subdirección de Gestión Contractual</w:t>
            </w:r>
          </w:p>
        </w:tc>
      </w:tr>
      <w:tr w:rsidR="0008012C" w:rsidRPr="0008012C" w14:paraId="3703F723" w14:textId="77777777">
        <w:trPr>
          <w:trHeight w:val="300"/>
        </w:trPr>
        <w:tc>
          <w:tcPr>
            <w:tcW w:w="993" w:type="dxa"/>
            <w:vAlign w:val="center"/>
            <w:hideMark/>
          </w:tcPr>
          <w:p w14:paraId="396113FE" w14:textId="77777777" w:rsidR="0008012C" w:rsidRPr="0008012C" w:rsidRDefault="0008012C" w:rsidP="0008012C">
            <w:pPr>
              <w:spacing w:after="0" w:line="276" w:lineRule="auto"/>
              <w:rPr>
                <w:rFonts w:ascii="Verdana" w:eastAsia="Calibri" w:hAnsi="Verdana" w:cs="Arial"/>
                <w:bCs/>
                <w:sz w:val="16"/>
                <w:szCs w:val="16"/>
                <w:lang w:eastAsia="es-CO"/>
              </w:rPr>
            </w:pPr>
            <w:r w:rsidRPr="0008012C">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5C48C51F" w14:textId="77777777" w:rsidR="0008012C" w:rsidRPr="0008012C" w:rsidRDefault="0008012C" w:rsidP="0008012C">
            <w:pPr>
              <w:spacing w:after="0" w:line="240" w:lineRule="auto"/>
              <w:rPr>
                <w:rFonts w:ascii="Verdana" w:eastAsia="Calibri" w:hAnsi="Verdana" w:cs="Arial"/>
                <w:sz w:val="16"/>
                <w:szCs w:val="16"/>
                <w:lang w:eastAsia="es-CO"/>
              </w:rPr>
            </w:pPr>
            <w:r w:rsidRPr="0008012C">
              <w:rPr>
                <w:rFonts w:ascii="Verdana" w:eastAsia="Calibri" w:hAnsi="Verdana" w:cs="Arial"/>
                <w:sz w:val="16"/>
                <w:szCs w:val="16"/>
                <w:lang w:eastAsia="es-CO"/>
              </w:rPr>
              <w:t>Carolina Quintero Gacharná</w:t>
            </w:r>
          </w:p>
          <w:p w14:paraId="6EBF2BE6" w14:textId="77777777" w:rsidR="0008012C" w:rsidRPr="0008012C" w:rsidRDefault="0008012C" w:rsidP="0008012C">
            <w:pPr>
              <w:spacing w:after="0" w:line="240" w:lineRule="auto"/>
              <w:rPr>
                <w:rFonts w:ascii="Verdana" w:eastAsia="Calibri" w:hAnsi="Verdana" w:cs="Arial"/>
                <w:sz w:val="16"/>
                <w:szCs w:val="16"/>
                <w:lang w:eastAsia="es-CO"/>
              </w:rPr>
            </w:pPr>
            <w:r w:rsidRPr="0008012C">
              <w:rPr>
                <w:rFonts w:ascii="Verdana" w:eastAsia="Calibri" w:hAnsi="Verdana" w:cs="Arial"/>
                <w:sz w:val="16"/>
                <w:szCs w:val="16"/>
                <w:lang w:eastAsia="es-CO"/>
              </w:rPr>
              <w:t>Subdirectora de Gestión Contractual ANCP – CCE</w:t>
            </w:r>
          </w:p>
        </w:tc>
      </w:tr>
    </w:tbl>
    <w:p w14:paraId="2E2CD8CD" w14:textId="77777777" w:rsidR="0008012C" w:rsidRPr="0008012C" w:rsidRDefault="0008012C" w:rsidP="0008012C">
      <w:pPr>
        <w:widowControl w:val="0"/>
        <w:autoSpaceDE w:val="0"/>
        <w:autoSpaceDN w:val="0"/>
        <w:spacing w:after="0" w:line="276" w:lineRule="auto"/>
        <w:jc w:val="both"/>
        <w:rPr>
          <w:rFonts w:ascii="Calibri" w:eastAsia="Calibri" w:hAnsi="Calibri" w:cs="Times New Roman"/>
        </w:rPr>
      </w:pPr>
    </w:p>
    <w:p w14:paraId="0985F735" w14:textId="77777777" w:rsidR="0008012C" w:rsidRPr="0008012C" w:rsidRDefault="0008012C" w:rsidP="0008012C">
      <w:pPr>
        <w:spacing w:after="0" w:line="256" w:lineRule="auto"/>
        <w:rPr>
          <w:rFonts w:ascii="Verdana" w:eastAsia="Calibri" w:hAnsi="Verdana" w:cs="Times New Roman"/>
        </w:rPr>
      </w:pPr>
    </w:p>
    <w:p w14:paraId="736971B6" w14:textId="77777777" w:rsidR="0008012C" w:rsidRPr="0008012C" w:rsidRDefault="0008012C" w:rsidP="0008012C">
      <w:pPr>
        <w:spacing w:line="256" w:lineRule="auto"/>
        <w:rPr>
          <w:rFonts w:ascii="Calibri" w:eastAsia="Calibri" w:hAnsi="Calibri" w:cs="Times New Roman"/>
        </w:rPr>
      </w:pPr>
    </w:p>
    <w:p w14:paraId="3900974D" w14:textId="77777777" w:rsidR="003D5B0D" w:rsidRPr="00145A03" w:rsidRDefault="003D5B0D" w:rsidP="0008012C">
      <w:pPr>
        <w:spacing w:after="0" w:line="276" w:lineRule="auto"/>
        <w:jc w:val="both"/>
      </w:pPr>
    </w:p>
    <w:sectPr w:rsidR="003D5B0D" w:rsidRPr="00145A0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975C5" w14:textId="77777777" w:rsidR="0081233B" w:rsidRDefault="0081233B" w:rsidP="004A1847">
      <w:pPr>
        <w:spacing w:after="0" w:line="240" w:lineRule="auto"/>
      </w:pPr>
      <w:r>
        <w:separator/>
      </w:r>
    </w:p>
  </w:endnote>
  <w:endnote w:type="continuationSeparator" w:id="0">
    <w:p w14:paraId="18DE3654" w14:textId="77777777" w:rsidR="0081233B" w:rsidRDefault="0081233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charset w:val="00"/>
    <w:family w:val="modern"/>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2A08C" w14:textId="77777777" w:rsidR="0081233B" w:rsidRDefault="0081233B" w:rsidP="004A1847">
      <w:pPr>
        <w:spacing w:after="0" w:line="240" w:lineRule="auto"/>
      </w:pPr>
      <w:r>
        <w:separator/>
      </w:r>
    </w:p>
  </w:footnote>
  <w:footnote w:type="continuationSeparator" w:id="0">
    <w:p w14:paraId="20454AB7" w14:textId="77777777" w:rsidR="0081233B" w:rsidRDefault="0081233B" w:rsidP="004A1847">
      <w:pPr>
        <w:spacing w:after="0" w:line="240" w:lineRule="auto"/>
      </w:pPr>
      <w:r>
        <w:continuationSeparator/>
      </w:r>
    </w:p>
  </w:footnote>
  <w:footnote w:id="1">
    <w:p w14:paraId="44F2EC5E" w14:textId="77777777" w:rsidR="00145A03" w:rsidRPr="00435107" w:rsidRDefault="00145A03" w:rsidP="00435107">
      <w:pPr>
        <w:pStyle w:val="Textonotapie"/>
        <w:ind w:firstLine="708"/>
        <w:contextualSpacing/>
        <w:jc w:val="both"/>
        <w:rPr>
          <w:rFonts w:ascii="Verdana" w:hAnsi="Verdana" w:cs="Arial"/>
          <w:sz w:val="16"/>
          <w:szCs w:val="16"/>
          <w:lang w:val="pt-BR"/>
        </w:rPr>
      </w:pPr>
      <w:r w:rsidRPr="00435107">
        <w:rPr>
          <w:rStyle w:val="Refdenotaalpie"/>
          <w:rFonts w:ascii="Verdana" w:hAnsi="Verdana" w:cs="Arial"/>
          <w:sz w:val="16"/>
          <w:szCs w:val="16"/>
        </w:rPr>
        <w:footnoteRef/>
      </w:r>
      <w:r w:rsidRPr="00435107">
        <w:rPr>
          <w:rFonts w:ascii="Verdana" w:hAnsi="Verdana" w:cs="Arial"/>
          <w:sz w:val="16"/>
          <w:szCs w:val="16"/>
        </w:rPr>
        <w:t xml:space="preserve"> Consejo De Estado. Sección Tercera. Subsección A. Sentencia del 13 de noviembre de 2013. </w:t>
      </w:r>
      <w:r w:rsidRPr="00435107">
        <w:rPr>
          <w:rFonts w:ascii="Verdana" w:hAnsi="Verdana" w:cs="Arial"/>
          <w:sz w:val="16"/>
          <w:szCs w:val="16"/>
          <w:lang w:val="pt-BR"/>
        </w:rPr>
        <w:t xml:space="preserve">Rad. 25.646. C.P. Mauricio Fajardo Gómez.  </w:t>
      </w:r>
    </w:p>
    <w:p w14:paraId="3662A82B" w14:textId="77777777" w:rsidR="00145A03" w:rsidRPr="00435107" w:rsidRDefault="00145A03" w:rsidP="00435107">
      <w:pPr>
        <w:pStyle w:val="Textonotapie"/>
        <w:ind w:firstLine="708"/>
        <w:contextualSpacing/>
        <w:jc w:val="both"/>
        <w:rPr>
          <w:rFonts w:ascii="Verdana" w:hAnsi="Verdana" w:cs="Arial"/>
          <w:sz w:val="16"/>
          <w:szCs w:val="16"/>
          <w:lang w:val="pt-BR"/>
        </w:rPr>
      </w:pPr>
    </w:p>
  </w:footnote>
  <w:footnote w:id="2">
    <w:p w14:paraId="01DA412F" w14:textId="77777777" w:rsidR="00145A03" w:rsidRPr="00435107" w:rsidRDefault="00145A03" w:rsidP="00435107">
      <w:pPr>
        <w:pStyle w:val="Textonotapie"/>
        <w:ind w:firstLine="708"/>
        <w:contextualSpacing/>
        <w:jc w:val="both"/>
        <w:rPr>
          <w:rFonts w:ascii="Verdana" w:hAnsi="Verdana" w:cs="Arial"/>
          <w:sz w:val="16"/>
          <w:szCs w:val="16"/>
        </w:rPr>
      </w:pPr>
      <w:r w:rsidRPr="00435107">
        <w:rPr>
          <w:rStyle w:val="Refdenotaalpie"/>
          <w:rFonts w:ascii="Verdana" w:hAnsi="Verdana" w:cs="Arial"/>
          <w:sz w:val="16"/>
          <w:szCs w:val="16"/>
        </w:rPr>
        <w:footnoteRef/>
      </w:r>
      <w:r w:rsidRPr="00435107">
        <w:rPr>
          <w:rFonts w:ascii="Verdana" w:hAnsi="Verdana" w:cs="Arial"/>
          <w:sz w:val="16"/>
          <w:szCs w:val="16"/>
          <w:lang w:val="pt-BR"/>
        </w:rPr>
        <w:t xml:space="preserve"> Corte Constitucional. </w:t>
      </w:r>
      <w:r w:rsidRPr="00435107">
        <w:rPr>
          <w:rFonts w:ascii="Verdana" w:hAnsi="Verdana" w:cs="Arial"/>
          <w:sz w:val="16"/>
          <w:szCs w:val="16"/>
        </w:rPr>
        <w:t xml:space="preserve">Sentencia C-780 de 2001. M.P. Jaime Córdoba Triviño. </w:t>
      </w:r>
    </w:p>
    <w:p w14:paraId="2D034719" w14:textId="77777777" w:rsidR="00145A03" w:rsidRPr="00435107" w:rsidRDefault="00145A03" w:rsidP="00435107">
      <w:pPr>
        <w:pStyle w:val="Textonotapie"/>
        <w:ind w:firstLine="708"/>
        <w:contextualSpacing/>
        <w:jc w:val="both"/>
        <w:rPr>
          <w:rFonts w:ascii="Verdana" w:hAnsi="Verdana" w:cs="Arial"/>
          <w:sz w:val="16"/>
          <w:szCs w:val="16"/>
        </w:rPr>
      </w:pPr>
    </w:p>
  </w:footnote>
  <w:footnote w:id="3">
    <w:p w14:paraId="71CB4533" w14:textId="77777777" w:rsidR="00145A03" w:rsidRPr="00435107" w:rsidRDefault="00145A03" w:rsidP="00435107">
      <w:pPr>
        <w:pStyle w:val="Textonotapie"/>
        <w:ind w:firstLine="709"/>
        <w:contextualSpacing/>
        <w:jc w:val="both"/>
        <w:rPr>
          <w:rFonts w:ascii="Verdana" w:hAnsi="Verdana" w:cs="Arial"/>
          <w:color w:val="000000"/>
          <w:sz w:val="16"/>
          <w:szCs w:val="16"/>
          <w:lang w:val="es-ES"/>
        </w:rPr>
      </w:pPr>
      <w:r w:rsidRPr="00435107">
        <w:rPr>
          <w:rStyle w:val="Refdenotaalpie"/>
          <w:rFonts w:ascii="Verdana" w:hAnsi="Verdana" w:cs="Arial"/>
          <w:sz w:val="16"/>
          <w:szCs w:val="16"/>
        </w:rPr>
        <w:footnoteRef/>
      </w:r>
      <w:r w:rsidRPr="00435107">
        <w:rPr>
          <w:rFonts w:ascii="Verdana" w:hAnsi="Verdana" w:cs="Arial"/>
          <w:color w:val="000000"/>
          <w:sz w:val="16"/>
          <w:szCs w:val="16"/>
        </w:rPr>
        <w:t xml:space="preserve"> </w:t>
      </w:r>
      <w:r w:rsidRPr="00435107">
        <w:rPr>
          <w:rFonts w:ascii="Verdana" w:hAnsi="Verdana" w:cs="Arial"/>
          <w:sz w:val="16"/>
          <w:szCs w:val="16"/>
          <w:lang w:val="pt-BR"/>
        </w:rPr>
        <w:t>Ibidem</w:t>
      </w:r>
      <w:r w:rsidRPr="00435107">
        <w:rPr>
          <w:rFonts w:ascii="Verdana" w:hAnsi="Verdana" w:cs="Arial"/>
          <w:color w:val="000000"/>
          <w:sz w:val="16"/>
          <w:szCs w:val="16"/>
          <w:lang w:val="es-ES"/>
        </w:rPr>
        <w:t>. Página 69.</w:t>
      </w:r>
    </w:p>
    <w:p w14:paraId="1E2AB26F" w14:textId="77777777" w:rsidR="00145A03" w:rsidRPr="00435107" w:rsidRDefault="00145A03" w:rsidP="00435107">
      <w:pPr>
        <w:pStyle w:val="Textonotapie"/>
        <w:ind w:firstLine="709"/>
        <w:contextualSpacing/>
        <w:jc w:val="both"/>
        <w:rPr>
          <w:rFonts w:ascii="Verdana" w:hAnsi="Verdana" w:cs="Arial"/>
          <w:color w:val="000000"/>
          <w:sz w:val="16"/>
          <w:szCs w:val="16"/>
          <w:lang w:val="es-ES"/>
        </w:rPr>
      </w:pPr>
    </w:p>
  </w:footnote>
  <w:footnote w:id="4">
    <w:p w14:paraId="670C1E5E" w14:textId="77777777" w:rsidR="00145A03" w:rsidRPr="00435107" w:rsidRDefault="00145A03" w:rsidP="00435107">
      <w:pPr>
        <w:pStyle w:val="Textonotapie"/>
        <w:ind w:firstLine="709"/>
        <w:contextualSpacing/>
        <w:jc w:val="both"/>
        <w:rPr>
          <w:rFonts w:ascii="Verdana" w:hAnsi="Verdana" w:cs="Arial"/>
          <w:color w:val="000000"/>
          <w:sz w:val="16"/>
          <w:szCs w:val="16"/>
          <w:lang w:val="es-ES"/>
        </w:rPr>
      </w:pPr>
      <w:r w:rsidRPr="00435107">
        <w:rPr>
          <w:rStyle w:val="Refdenotaalpie"/>
          <w:rFonts w:ascii="Verdana" w:hAnsi="Verdana" w:cs="Arial"/>
          <w:sz w:val="16"/>
          <w:szCs w:val="16"/>
        </w:rPr>
        <w:footnoteRef/>
      </w:r>
      <w:r w:rsidRPr="00435107">
        <w:rPr>
          <w:rFonts w:ascii="Verdana" w:hAnsi="Verdana" w:cs="Arial"/>
          <w:color w:val="000000"/>
          <w:sz w:val="16"/>
          <w:szCs w:val="16"/>
        </w:rPr>
        <w:t xml:space="preserve"> </w:t>
      </w:r>
      <w:bookmarkStart w:id="1" w:name="_Hlk177050025"/>
      <w:r w:rsidRPr="00435107">
        <w:rPr>
          <w:rFonts w:ascii="Verdana" w:hAnsi="Verdana" w:cs="Arial"/>
          <w:color w:val="000000"/>
          <w:sz w:val="16"/>
          <w:szCs w:val="16"/>
          <w:lang w:val="es-ES"/>
        </w:rPr>
        <w:t xml:space="preserve">Corte Constitucional. Sentencia T-1039 de 2006. </w:t>
      </w:r>
      <w:r w:rsidRPr="00435107">
        <w:rPr>
          <w:rFonts w:ascii="Verdana" w:hAnsi="Verdana" w:cs="Arial"/>
          <w:color w:val="000000"/>
          <w:sz w:val="16"/>
          <w:szCs w:val="16"/>
          <w:lang w:val="it-IT"/>
        </w:rPr>
        <w:t xml:space="preserve">Magistrado Ponente: Humberto Sierra Porto. </w:t>
      </w:r>
      <w:r w:rsidRPr="00435107">
        <w:rPr>
          <w:rFonts w:ascii="Verdana" w:hAnsi="Verdana" w:cs="Arial"/>
          <w:color w:val="000000"/>
          <w:sz w:val="16"/>
          <w:szCs w:val="16"/>
          <w:lang w:val="es-ES"/>
        </w:rPr>
        <w:t xml:space="preserve">La Corte ha mantenido este criterio en las sentencias: C-903 de 2008. Magistrado Ponente: Jaime Araujo Rentería; C-101 de 2018. Magistrada Ponente Gloria Stella Ortiz Delgado; entre otras. </w:t>
      </w:r>
    </w:p>
    <w:bookmarkEnd w:id="1"/>
    <w:p w14:paraId="56F5F861" w14:textId="77777777" w:rsidR="00145A03" w:rsidRPr="00435107" w:rsidRDefault="00145A03" w:rsidP="00435107">
      <w:pPr>
        <w:pStyle w:val="Textonotapie"/>
        <w:ind w:firstLine="709"/>
        <w:contextualSpacing/>
        <w:jc w:val="both"/>
        <w:rPr>
          <w:rFonts w:ascii="Verdana" w:hAnsi="Verdana" w:cs="Arial"/>
          <w:color w:val="000000"/>
          <w:sz w:val="16"/>
          <w:szCs w:val="16"/>
          <w:lang w:val="es-ES"/>
        </w:rPr>
      </w:pPr>
    </w:p>
  </w:footnote>
  <w:footnote w:id="5">
    <w:p w14:paraId="35468139" w14:textId="77777777" w:rsidR="00145A03" w:rsidRPr="00435107" w:rsidRDefault="00145A03" w:rsidP="00435107">
      <w:pPr>
        <w:pStyle w:val="Textonotapie"/>
        <w:ind w:firstLine="709"/>
        <w:contextualSpacing/>
        <w:jc w:val="both"/>
        <w:rPr>
          <w:rFonts w:ascii="Verdana" w:hAnsi="Verdana" w:cs="Arial"/>
          <w:color w:val="000000"/>
          <w:sz w:val="16"/>
          <w:szCs w:val="16"/>
          <w:lang w:val="es-ES"/>
        </w:rPr>
      </w:pPr>
      <w:r w:rsidRPr="00435107">
        <w:rPr>
          <w:rStyle w:val="Refdenotaalpie"/>
          <w:rFonts w:ascii="Verdana" w:hAnsi="Verdana" w:cs="Arial"/>
          <w:sz w:val="16"/>
          <w:szCs w:val="16"/>
        </w:rPr>
        <w:footnoteRef/>
      </w:r>
      <w:r w:rsidRPr="00435107">
        <w:rPr>
          <w:rFonts w:ascii="Verdana" w:hAnsi="Verdana" w:cs="Arial"/>
          <w:color w:val="000000"/>
          <w:sz w:val="16"/>
          <w:szCs w:val="16"/>
        </w:rPr>
        <w:t xml:space="preserve"> </w:t>
      </w:r>
      <w:r w:rsidRPr="00435107">
        <w:rPr>
          <w:rFonts w:ascii="Verdana" w:hAnsi="Verdana" w:cs="Arial"/>
          <w:color w:val="000000"/>
          <w:sz w:val="16"/>
          <w:szCs w:val="16"/>
          <w:lang w:val="es-ES"/>
        </w:rPr>
        <w:t>Consejo de Estado. Sala de Consulta y Servicio Civil. Concepto del 30 de abril de 2015. Expediente: 2.251. Consejero Ponente: Álvaro Namén Vargas.</w:t>
      </w:r>
    </w:p>
    <w:p w14:paraId="6CD83555" w14:textId="77777777" w:rsidR="00145A03" w:rsidRPr="00435107" w:rsidRDefault="00145A03" w:rsidP="00435107">
      <w:pPr>
        <w:pStyle w:val="Textonotapie"/>
        <w:ind w:firstLine="709"/>
        <w:contextualSpacing/>
        <w:jc w:val="both"/>
        <w:rPr>
          <w:rFonts w:ascii="Verdana" w:hAnsi="Verdana" w:cs="Arial"/>
          <w:color w:val="000000"/>
          <w:sz w:val="16"/>
          <w:szCs w:val="16"/>
          <w:lang w:val="es-ES"/>
        </w:rPr>
      </w:pPr>
    </w:p>
  </w:footnote>
  <w:footnote w:id="6">
    <w:p w14:paraId="3D82DE9D" w14:textId="77777777" w:rsidR="00145A03" w:rsidRPr="00435107" w:rsidRDefault="00145A03" w:rsidP="00435107">
      <w:pPr>
        <w:pStyle w:val="Textonotapie"/>
        <w:ind w:firstLine="709"/>
        <w:contextualSpacing/>
        <w:jc w:val="both"/>
        <w:rPr>
          <w:rFonts w:ascii="Verdana" w:hAnsi="Verdana" w:cs="Arial"/>
          <w:color w:val="000000"/>
          <w:sz w:val="16"/>
          <w:szCs w:val="16"/>
        </w:rPr>
      </w:pPr>
      <w:r w:rsidRPr="00435107">
        <w:rPr>
          <w:rStyle w:val="Refdenotaalpie"/>
          <w:rFonts w:ascii="Verdana" w:hAnsi="Verdana" w:cs="Arial"/>
          <w:sz w:val="16"/>
          <w:szCs w:val="16"/>
        </w:rPr>
        <w:footnoteRef/>
      </w:r>
      <w:r w:rsidRPr="00435107">
        <w:rPr>
          <w:rFonts w:ascii="Verdana" w:hAnsi="Verdana" w:cs="Arial"/>
          <w:color w:val="000000"/>
          <w:sz w:val="16"/>
          <w:szCs w:val="16"/>
        </w:rPr>
        <w:t xml:space="preserve"> Consejo de Estado. Sección Tercera. Subsección A. Sentencia del 24 de junio de 2015. </w:t>
      </w:r>
      <w:proofErr w:type="spellStart"/>
      <w:r w:rsidRPr="00435107">
        <w:rPr>
          <w:rFonts w:ascii="Verdana" w:hAnsi="Verdana" w:cs="Arial"/>
          <w:color w:val="000000"/>
          <w:sz w:val="16"/>
          <w:szCs w:val="16"/>
        </w:rPr>
        <w:t>Exp</w:t>
      </w:r>
      <w:proofErr w:type="spellEnd"/>
      <w:r w:rsidRPr="00435107">
        <w:rPr>
          <w:rFonts w:ascii="Verdana" w:hAnsi="Verdana" w:cs="Arial"/>
          <w:color w:val="000000"/>
          <w:sz w:val="16"/>
          <w:szCs w:val="16"/>
        </w:rPr>
        <w:t>. 40.635. Consejero Ponente: Hernán Andrade Rincón (E).</w:t>
      </w:r>
    </w:p>
    <w:p w14:paraId="60A2F3B1" w14:textId="77777777" w:rsidR="00145A03" w:rsidRPr="00435107" w:rsidRDefault="00145A03" w:rsidP="00435107">
      <w:pPr>
        <w:pStyle w:val="Textonotapie"/>
        <w:ind w:firstLine="709"/>
        <w:contextualSpacing/>
        <w:jc w:val="both"/>
        <w:rPr>
          <w:rFonts w:ascii="Verdana" w:hAnsi="Verdana" w:cs="Arial"/>
          <w:color w:val="000000"/>
          <w:sz w:val="16"/>
          <w:szCs w:val="16"/>
          <w:lang w:val="es-ES"/>
        </w:rPr>
      </w:pPr>
    </w:p>
  </w:footnote>
  <w:footnote w:id="7">
    <w:p w14:paraId="666BB227" w14:textId="77777777" w:rsidR="00145A03" w:rsidRPr="00435107" w:rsidRDefault="00145A03" w:rsidP="00435107">
      <w:pPr>
        <w:pStyle w:val="Textonotapie"/>
        <w:ind w:firstLine="709"/>
        <w:contextualSpacing/>
        <w:jc w:val="both"/>
        <w:rPr>
          <w:rFonts w:ascii="Verdana" w:hAnsi="Verdana" w:cs="Arial"/>
          <w:color w:val="000000"/>
          <w:sz w:val="16"/>
          <w:szCs w:val="16"/>
        </w:rPr>
      </w:pPr>
      <w:r w:rsidRPr="00435107">
        <w:rPr>
          <w:rStyle w:val="Refdenotaalpie"/>
          <w:rFonts w:ascii="Verdana" w:hAnsi="Verdana" w:cs="Arial"/>
          <w:sz w:val="16"/>
          <w:szCs w:val="16"/>
        </w:rPr>
        <w:footnoteRef/>
      </w:r>
      <w:r w:rsidRPr="00435107">
        <w:rPr>
          <w:rFonts w:ascii="Verdana" w:hAnsi="Verdana" w:cs="Arial"/>
          <w:color w:val="000000"/>
          <w:sz w:val="16"/>
          <w:szCs w:val="16"/>
        </w:rPr>
        <w:t xml:space="preserve"> Consejo de Estado. Sección Tercera. Subsección C. Sentencia del 22 de mayo de 2013. </w:t>
      </w:r>
      <w:proofErr w:type="spellStart"/>
      <w:r w:rsidRPr="00435107">
        <w:rPr>
          <w:rFonts w:ascii="Verdana" w:hAnsi="Verdana" w:cs="Arial"/>
          <w:color w:val="000000"/>
          <w:sz w:val="16"/>
          <w:szCs w:val="16"/>
        </w:rPr>
        <w:t>Exp</w:t>
      </w:r>
      <w:proofErr w:type="spellEnd"/>
      <w:r w:rsidRPr="00435107">
        <w:rPr>
          <w:rFonts w:ascii="Verdana" w:hAnsi="Verdana" w:cs="Arial"/>
          <w:color w:val="000000"/>
          <w:sz w:val="16"/>
          <w:szCs w:val="16"/>
        </w:rPr>
        <w:t xml:space="preserve">. 24.057. Consejera Ponente: Olga Melida Valle De </w:t>
      </w:r>
      <w:proofErr w:type="spellStart"/>
      <w:r w:rsidRPr="00435107">
        <w:rPr>
          <w:rFonts w:ascii="Verdana" w:hAnsi="Verdana" w:cs="Arial"/>
          <w:color w:val="000000"/>
          <w:sz w:val="16"/>
          <w:szCs w:val="16"/>
        </w:rPr>
        <w:t>De</w:t>
      </w:r>
      <w:proofErr w:type="spellEnd"/>
      <w:r w:rsidRPr="00435107">
        <w:rPr>
          <w:rFonts w:ascii="Verdana" w:hAnsi="Verdana" w:cs="Arial"/>
          <w:color w:val="000000"/>
          <w:sz w:val="16"/>
          <w:szCs w:val="16"/>
        </w:rPr>
        <w:t xml:space="preserve"> La Hoz.</w:t>
      </w:r>
    </w:p>
    <w:p w14:paraId="4C9E6EBD" w14:textId="77777777" w:rsidR="00145A03" w:rsidRPr="00435107" w:rsidRDefault="00145A03" w:rsidP="00435107">
      <w:pPr>
        <w:pStyle w:val="Textonotapie"/>
        <w:ind w:firstLine="709"/>
        <w:contextualSpacing/>
        <w:jc w:val="both"/>
        <w:rPr>
          <w:rFonts w:ascii="Verdana" w:hAnsi="Verdana" w:cs="Arial"/>
          <w:color w:val="000000"/>
          <w:sz w:val="16"/>
          <w:szCs w:val="16"/>
          <w:lang w:val="es-ES"/>
        </w:rPr>
      </w:pPr>
    </w:p>
  </w:footnote>
  <w:footnote w:id="8">
    <w:p w14:paraId="240D11EC" w14:textId="77777777" w:rsidR="00D767C1" w:rsidRPr="00435107" w:rsidRDefault="00D767C1" w:rsidP="00435107">
      <w:pPr>
        <w:pStyle w:val="Textonotapie"/>
        <w:ind w:firstLine="709"/>
        <w:jc w:val="both"/>
        <w:rPr>
          <w:rFonts w:ascii="Verdana" w:eastAsia="Calibri" w:hAnsi="Verdana" w:cs="Arial"/>
          <w:bCs/>
          <w:color w:val="000000" w:themeColor="text1"/>
          <w:sz w:val="16"/>
          <w:szCs w:val="16"/>
        </w:rPr>
      </w:pPr>
      <w:r w:rsidRPr="00435107">
        <w:rPr>
          <w:rStyle w:val="Refdenotaalpie"/>
          <w:rFonts w:ascii="Verdana" w:hAnsi="Verdana" w:cs="Arial"/>
          <w:sz w:val="16"/>
          <w:szCs w:val="16"/>
        </w:rPr>
        <w:footnoteRef/>
      </w:r>
      <w:r w:rsidRPr="00435107">
        <w:rPr>
          <w:rFonts w:ascii="Verdana" w:hAnsi="Verdana" w:cs="Arial"/>
          <w:sz w:val="16"/>
          <w:szCs w:val="16"/>
        </w:rPr>
        <w:t xml:space="preserve"> </w:t>
      </w:r>
      <w:r w:rsidRPr="00435107">
        <w:rPr>
          <w:rFonts w:ascii="Verdana" w:eastAsia="Calibri" w:hAnsi="Verdana" w:cs="Arial"/>
          <w:bCs/>
          <w:color w:val="000000" w:themeColor="text1"/>
          <w:sz w:val="16"/>
          <w:szCs w:val="16"/>
        </w:rPr>
        <w:t>El Parágrafo 2º. del artículo 6 de la Ley 2014 de 2019, que modificó el artículo 9 de la Ley 80 de 1993, fue declarado inexequible por la Corte Constitucional en Sentencia C-037 del 24 de febrero de 2021, M.P. Cristina Pardo Schlesinger. La disposición era del siguiente tenor</w:t>
      </w:r>
      <w:bookmarkStart w:id="4" w:name="_Hlk79776115"/>
      <w:r w:rsidRPr="00435107">
        <w:rPr>
          <w:rFonts w:ascii="Verdana" w:eastAsia="Calibri" w:hAnsi="Verdana" w:cs="Arial"/>
          <w:bCs/>
          <w:color w:val="000000" w:themeColor="text1"/>
          <w:sz w:val="16"/>
          <w:szCs w:val="16"/>
        </w:rPr>
        <w:t>: “El Gobierno nacional reglamentará el procedimiento de la cesión del contrato de que trata este artículo, en término no mayor a seis (6) meses.”</w:t>
      </w:r>
    </w:p>
    <w:p w14:paraId="24755BA9" w14:textId="77777777" w:rsidR="00D767C1" w:rsidRPr="00435107" w:rsidRDefault="00D767C1" w:rsidP="00435107">
      <w:pPr>
        <w:pStyle w:val="Textonotapie"/>
        <w:ind w:firstLine="709"/>
        <w:jc w:val="both"/>
        <w:rPr>
          <w:rFonts w:ascii="Verdana" w:hAnsi="Verdana" w:cs="Arial"/>
          <w:sz w:val="16"/>
          <w:szCs w:val="16"/>
        </w:rPr>
      </w:pPr>
    </w:p>
    <w:bookmarkEnd w:id="4"/>
  </w:footnote>
  <w:footnote w:id="9">
    <w:p w14:paraId="454A1C77" w14:textId="77777777" w:rsidR="00D767C1" w:rsidRPr="00435107" w:rsidRDefault="00D767C1" w:rsidP="00435107">
      <w:pPr>
        <w:pStyle w:val="Textonotapie"/>
        <w:ind w:firstLine="708"/>
        <w:jc w:val="both"/>
        <w:rPr>
          <w:rFonts w:ascii="Verdana" w:hAnsi="Verdana" w:cs="Arial"/>
          <w:sz w:val="16"/>
          <w:szCs w:val="16"/>
          <w:lang w:val="pt-BR"/>
        </w:rPr>
      </w:pPr>
      <w:r w:rsidRPr="00435107">
        <w:rPr>
          <w:rStyle w:val="Refdenotaalpie"/>
          <w:rFonts w:ascii="Verdana" w:hAnsi="Verdana" w:cs="Arial"/>
          <w:sz w:val="16"/>
          <w:szCs w:val="16"/>
        </w:rPr>
        <w:footnoteRef/>
      </w:r>
      <w:r w:rsidRPr="00435107">
        <w:rPr>
          <w:rFonts w:ascii="Verdana" w:hAnsi="Verdana" w:cs="Arial"/>
          <w:sz w:val="16"/>
          <w:szCs w:val="16"/>
          <w:lang w:val="pt-BR"/>
        </w:rPr>
        <w:t xml:space="preserve"> Sentencia de la Corte Constitucional. C-221 de 1996. Magistrado </w:t>
      </w:r>
      <w:proofErr w:type="spellStart"/>
      <w:r w:rsidRPr="00435107">
        <w:rPr>
          <w:rFonts w:ascii="Verdana" w:hAnsi="Verdana" w:cs="Arial"/>
          <w:sz w:val="16"/>
          <w:szCs w:val="16"/>
          <w:lang w:val="pt-BR"/>
        </w:rPr>
        <w:t>Ponente</w:t>
      </w:r>
      <w:proofErr w:type="spellEnd"/>
      <w:r w:rsidRPr="00435107">
        <w:rPr>
          <w:rFonts w:ascii="Verdana" w:hAnsi="Verdana" w:cs="Arial"/>
          <w:sz w:val="16"/>
          <w:szCs w:val="16"/>
          <w:lang w:val="pt-BR"/>
        </w:rPr>
        <w:t xml:space="preserve">: José </w:t>
      </w:r>
      <w:proofErr w:type="spellStart"/>
      <w:r w:rsidRPr="00435107">
        <w:rPr>
          <w:rFonts w:ascii="Verdana" w:hAnsi="Verdana" w:cs="Arial"/>
          <w:sz w:val="16"/>
          <w:szCs w:val="16"/>
          <w:lang w:val="pt-BR"/>
        </w:rPr>
        <w:t>Gregorio</w:t>
      </w:r>
      <w:proofErr w:type="spellEnd"/>
      <w:r w:rsidRPr="00435107">
        <w:rPr>
          <w:rFonts w:ascii="Verdana" w:hAnsi="Verdana" w:cs="Arial"/>
          <w:sz w:val="16"/>
          <w:szCs w:val="16"/>
          <w:lang w:val="pt-BR"/>
        </w:rPr>
        <w:t xml:space="preserve"> Hernández Galindo. </w:t>
      </w:r>
    </w:p>
    <w:p w14:paraId="4732D24E" w14:textId="77777777" w:rsidR="00D767C1" w:rsidRPr="00435107" w:rsidRDefault="00D767C1" w:rsidP="00435107">
      <w:pPr>
        <w:pStyle w:val="Textonotapie"/>
        <w:ind w:firstLine="708"/>
        <w:jc w:val="both"/>
        <w:rPr>
          <w:rFonts w:ascii="Verdana" w:hAnsi="Verdana" w:cs="Arial"/>
          <w:sz w:val="16"/>
          <w:szCs w:val="16"/>
          <w:lang w:val="pt-BR"/>
        </w:rPr>
      </w:pPr>
    </w:p>
  </w:footnote>
  <w:footnote w:id="10">
    <w:p w14:paraId="03BAC259" w14:textId="77777777" w:rsidR="00D767C1" w:rsidRPr="00435107" w:rsidRDefault="00D767C1" w:rsidP="00435107">
      <w:pPr>
        <w:pStyle w:val="Textonotapie"/>
        <w:ind w:firstLine="708"/>
        <w:jc w:val="both"/>
        <w:rPr>
          <w:rFonts w:ascii="Verdana" w:hAnsi="Verdana" w:cs="Arial"/>
          <w:sz w:val="16"/>
          <w:szCs w:val="16"/>
        </w:rPr>
      </w:pPr>
      <w:r w:rsidRPr="00435107">
        <w:rPr>
          <w:rStyle w:val="Refdenotaalpie"/>
          <w:rFonts w:ascii="Verdana" w:hAnsi="Verdana" w:cs="Arial"/>
          <w:sz w:val="16"/>
          <w:szCs w:val="16"/>
        </w:rPr>
        <w:footnoteRef/>
      </w:r>
      <w:r w:rsidRPr="00435107">
        <w:rPr>
          <w:rFonts w:ascii="Verdana" w:hAnsi="Verdana" w:cs="Arial"/>
          <w:sz w:val="16"/>
          <w:szCs w:val="16"/>
        </w:rPr>
        <w:t xml:space="preserve"> El parágrafo del artículo 9, introducido por el artículo 6 de la Ley 2014 de 2019, establece una regla especial para los casos en los que se presente de manera sobreviniente la inhabilidad tipificada en el literal j) del artículo 8 de la Ley 80 de 1993, o cuando el contratista sea sancionado administrativamente por actos de corrupción, situaciones en las que correspondería a la Administración escoger al </w:t>
      </w:r>
      <w:proofErr w:type="gramStart"/>
      <w:r w:rsidRPr="00435107">
        <w:rPr>
          <w:rFonts w:ascii="Verdana" w:hAnsi="Verdana" w:cs="Arial"/>
          <w:sz w:val="16"/>
          <w:szCs w:val="16"/>
        </w:rPr>
        <w:t>cesionario .</w:t>
      </w:r>
      <w:proofErr w:type="gramEnd"/>
      <w:r w:rsidRPr="00435107">
        <w:rPr>
          <w:rFonts w:ascii="Verdana" w:hAnsi="Verdana" w:cs="Arial"/>
          <w:sz w:val="16"/>
          <w:szCs w:val="16"/>
        </w:rPr>
        <w:t xml:space="preserve"> De acuerdo con esto, en principio, cualquier inhabilidad sobreviniente que afecte al contratista se regiría por el inciso primero de la norma citada, que corresponde a la redacción inicial de la Ley 80 de 1993. Sin embargo, el legislador buscaba un efecto distinto para los contratistas en los que se configurara la inhabilidad del artículo 8, literal j) del numeral 1, de la Ley 80 de 1993 o que fueran sancionados administrativamente por actos de corrupción, pues cuando se aplica la cesión unilateral no son procedentes la cesión bilateral del contrato ni la renuncia a la ejecución. </w:t>
      </w:r>
    </w:p>
    <w:p w14:paraId="2EBE72CD" w14:textId="77777777" w:rsidR="00D767C1" w:rsidRPr="00435107" w:rsidRDefault="00D767C1" w:rsidP="00435107">
      <w:pPr>
        <w:pStyle w:val="Textonotapie"/>
        <w:ind w:firstLine="708"/>
        <w:jc w:val="both"/>
        <w:rPr>
          <w:rFonts w:ascii="Verdana" w:hAnsi="Verdana"/>
          <w:sz w:val="16"/>
          <w:szCs w:val="16"/>
        </w:rPr>
      </w:pPr>
    </w:p>
  </w:footnote>
  <w:footnote w:id="11">
    <w:p w14:paraId="5B46EB3A" w14:textId="77777777" w:rsidR="00D767C1" w:rsidRPr="00435107" w:rsidRDefault="00D767C1" w:rsidP="00435107">
      <w:pPr>
        <w:pStyle w:val="Textonotapie"/>
        <w:ind w:firstLine="709"/>
        <w:jc w:val="both"/>
        <w:rPr>
          <w:rFonts w:ascii="Verdana" w:hAnsi="Verdana" w:cs="Arial"/>
          <w:sz w:val="16"/>
          <w:szCs w:val="16"/>
          <w:lang w:val="es-ES"/>
        </w:rPr>
      </w:pPr>
      <w:r w:rsidRPr="00435107">
        <w:rPr>
          <w:rStyle w:val="Refdenotaalpie"/>
          <w:rFonts w:ascii="Verdana" w:hAnsi="Verdana" w:cs="Arial"/>
          <w:sz w:val="16"/>
          <w:szCs w:val="16"/>
        </w:rPr>
        <w:footnoteRef/>
      </w:r>
      <w:r w:rsidRPr="00435107">
        <w:rPr>
          <w:rFonts w:ascii="Verdana" w:hAnsi="Verdana" w:cs="Arial"/>
          <w:sz w:val="16"/>
          <w:szCs w:val="16"/>
        </w:rPr>
        <w:t xml:space="preserve"> Aunque el artículo 9 de la Ley 80 de 1993 no regula el tema de las inhabilidades e incompatibilidades sobrevinientes entre la adjudicación del contrato y su perfeccionamiento, es necesario tener en cuenta que el artículo 9, inciso cuarto, de la Ley 1150 de 2007 establece que «[…] si dentro del plazo comprendido entre la adjudicación del contrato y la suscripción del mismo, sobreviene una inhabilidad o incompatibilidad o si se demuestra que el acto se obtuvo por medios ilegales, [el acto de adjudicación] podrá ser revocado, caso en el cual, la entidad podrá aplicar lo previsto en el inciso final del numeral 12 del artículo 30 de la Ley 80 de 1993» (Corchetes fuera de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439"/>
    <w:rsid w:val="00010D0A"/>
    <w:rsid w:val="00016F78"/>
    <w:rsid w:val="00023905"/>
    <w:rsid w:val="00046945"/>
    <w:rsid w:val="000536D2"/>
    <w:rsid w:val="00054F18"/>
    <w:rsid w:val="00061B2A"/>
    <w:rsid w:val="0008012C"/>
    <w:rsid w:val="00082362"/>
    <w:rsid w:val="00090594"/>
    <w:rsid w:val="000A40A2"/>
    <w:rsid w:val="000A683E"/>
    <w:rsid w:val="000B19B9"/>
    <w:rsid w:val="000D0334"/>
    <w:rsid w:val="000D4917"/>
    <w:rsid w:val="000F1E76"/>
    <w:rsid w:val="000F6486"/>
    <w:rsid w:val="00125105"/>
    <w:rsid w:val="00127233"/>
    <w:rsid w:val="00145A03"/>
    <w:rsid w:val="001511A0"/>
    <w:rsid w:val="0016462A"/>
    <w:rsid w:val="001A50A3"/>
    <w:rsid w:val="001E4177"/>
    <w:rsid w:val="001F7DC6"/>
    <w:rsid w:val="002421BB"/>
    <w:rsid w:val="00253C67"/>
    <w:rsid w:val="0025796E"/>
    <w:rsid w:val="002707A2"/>
    <w:rsid w:val="00275235"/>
    <w:rsid w:val="002916B0"/>
    <w:rsid w:val="002951A0"/>
    <w:rsid w:val="002962BC"/>
    <w:rsid w:val="002A093D"/>
    <w:rsid w:val="002A0DD0"/>
    <w:rsid w:val="002A47EB"/>
    <w:rsid w:val="002A49AC"/>
    <w:rsid w:val="002A64FD"/>
    <w:rsid w:val="002C397F"/>
    <w:rsid w:val="002C7A84"/>
    <w:rsid w:val="002E4FD9"/>
    <w:rsid w:val="00311391"/>
    <w:rsid w:val="00314690"/>
    <w:rsid w:val="00322A85"/>
    <w:rsid w:val="00324168"/>
    <w:rsid w:val="003448F4"/>
    <w:rsid w:val="003455DF"/>
    <w:rsid w:val="00362234"/>
    <w:rsid w:val="00374F5E"/>
    <w:rsid w:val="00375F1A"/>
    <w:rsid w:val="00377E3E"/>
    <w:rsid w:val="003A779E"/>
    <w:rsid w:val="003B38FB"/>
    <w:rsid w:val="003B3BD7"/>
    <w:rsid w:val="003D0F4D"/>
    <w:rsid w:val="003D5B0D"/>
    <w:rsid w:val="003E01F0"/>
    <w:rsid w:val="003E0499"/>
    <w:rsid w:val="003F3941"/>
    <w:rsid w:val="00406575"/>
    <w:rsid w:val="00414C74"/>
    <w:rsid w:val="00421E85"/>
    <w:rsid w:val="0042722E"/>
    <w:rsid w:val="00433DEC"/>
    <w:rsid w:val="00435107"/>
    <w:rsid w:val="00444D02"/>
    <w:rsid w:val="0044528D"/>
    <w:rsid w:val="00447113"/>
    <w:rsid w:val="004A1847"/>
    <w:rsid w:val="004A305D"/>
    <w:rsid w:val="004F21C4"/>
    <w:rsid w:val="004F685F"/>
    <w:rsid w:val="00524BBA"/>
    <w:rsid w:val="005471BA"/>
    <w:rsid w:val="00552EE9"/>
    <w:rsid w:val="005534B6"/>
    <w:rsid w:val="005566E8"/>
    <w:rsid w:val="00574867"/>
    <w:rsid w:val="00591460"/>
    <w:rsid w:val="005B3816"/>
    <w:rsid w:val="005C3777"/>
    <w:rsid w:val="005C5CDC"/>
    <w:rsid w:val="005D476C"/>
    <w:rsid w:val="00615A5A"/>
    <w:rsid w:val="006219F8"/>
    <w:rsid w:val="00625EEE"/>
    <w:rsid w:val="006432F3"/>
    <w:rsid w:val="00665D70"/>
    <w:rsid w:val="006900D9"/>
    <w:rsid w:val="006D5A71"/>
    <w:rsid w:val="00706C16"/>
    <w:rsid w:val="00756841"/>
    <w:rsid w:val="007649AB"/>
    <w:rsid w:val="00771D0C"/>
    <w:rsid w:val="007833AC"/>
    <w:rsid w:val="007B268C"/>
    <w:rsid w:val="007B7171"/>
    <w:rsid w:val="007C0C0F"/>
    <w:rsid w:val="007C3DC2"/>
    <w:rsid w:val="007D52CD"/>
    <w:rsid w:val="007E5497"/>
    <w:rsid w:val="00806F5F"/>
    <w:rsid w:val="0081233B"/>
    <w:rsid w:val="008164F8"/>
    <w:rsid w:val="00820278"/>
    <w:rsid w:val="00865F31"/>
    <w:rsid w:val="00867F95"/>
    <w:rsid w:val="008843B6"/>
    <w:rsid w:val="00891928"/>
    <w:rsid w:val="008A446D"/>
    <w:rsid w:val="008C0EF5"/>
    <w:rsid w:val="008D180B"/>
    <w:rsid w:val="008F0EA7"/>
    <w:rsid w:val="008F3282"/>
    <w:rsid w:val="00910C53"/>
    <w:rsid w:val="00923EEF"/>
    <w:rsid w:val="0094171F"/>
    <w:rsid w:val="009419F9"/>
    <w:rsid w:val="0095685E"/>
    <w:rsid w:val="00961B09"/>
    <w:rsid w:val="00965334"/>
    <w:rsid w:val="0097093E"/>
    <w:rsid w:val="00986AC5"/>
    <w:rsid w:val="009A0DFA"/>
    <w:rsid w:val="009B2D26"/>
    <w:rsid w:val="009C69A0"/>
    <w:rsid w:val="009C71FA"/>
    <w:rsid w:val="009C72E7"/>
    <w:rsid w:val="009D3058"/>
    <w:rsid w:val="009F3A13"/>
    <w:rsid w:val="00A122D3"/>
    <w:rsid w:val="00A17F13"/>
    <w:rsid w:val="00A20739"/>
    <w:rsid w:val="00A24E30"/>
    <w:rsid w:val="00A33C78"/>
    <w:rsid w:val="00A8244C"/>
    <w:rsid w:val="00A970CC"/>
    <w:rsid w:val="00AB0ADB"/>
    <w:rsid w:val="00AC0A62"/>
    <w:rsid w:val="00AD484E"/>
    <w:rsid w:val="00B01B1A"/>
    <w:rsid w:val="00B424D7"/>
    <w:rsid w:val="00B6292F"/>
    <w:rsid w:val="00B66319"/>
    <w:rsid w:val="00B72CD3"/>
    <w:rsid w:val="00B72FFF"/>
    <w:rsid w:val="00B77E42"/>
    <w:rsid w:val="00BC3D36"/>
    <w:rsid w:val="00BD7F72"/>
    <w:rsid w:val="00BF3066"/>
    <w:rsid w:val="00C03CD7"/>
    <w:rsid w:val="00C04FB3"/>
    <w:rsid w:val="00C314C8"/>
    <w:rsid w:val="00C330EB"/>
    <w:rsid w:val="00C34DBF"/>
    <w:rsid w:val="00C41061"/>
    <w:rsid w:val="00C754BE"/>
    <w:rsid w:val="00C76B1C"/>
    <w:rsid w:val="00C82051"/>
    <w:rsid w:val="00C91B63"/>
    <w:rsid w:val="00CB6357"/>
    <w:rsid w:val="00CC1B26"/>
    <w:rsid w:val="00CC6693"/>
    <w:rsid w:val="00D423A2"/>
    <w:rsid w:val="00D520D8"/>
    <w:rsid w:val="00D63AC2"/>
    <w:rsid w:val="00D7383B"/>
    <w:rsid w:val="00D767C1"/>
    <w:rsid w:val="00DA231B"/>
    <w:rsid w:val="00DC39FC"/>
    <w:rsid w:val="00DD766B"/>
    <w:rsid w:val="00DF5254"/>
    <w:rsid w:val="00DF5811"/>
    <w:rsid w:val="00E16408"/>
    <w:rsid w:val="00E20894"/>
    <w:rsid w:val="00E245AB"/>
    <w:rsid w:val="00E2764C"/>
    <w:rsid w:val="00E27F2E"/>
    <w:rsid w:val="00E50063"/>
    <w:rsid w:val="00E50AFE"/>
    <w:rsid w:val="00E75C92"/>
    <w:rsid w:val="00E771DC"/>
    <w:rsid w:val="00E86A98"/>
    <w:rsid w:val="00E8772A"/>
    <w:rsid w:val="00E90F6B"/>
    <w:rsid w:val="00E92C27"/>
    <w:rsid w:val="00EA0E3D"/>
    <w:rsid w:val="00EC38A7"/>
    <w:rsid w:val="00ED7384"/>
    <w:rsid w:val="00EE1AA8"/>
    <w:rsid w:val="00F17EFB"/>
    <w:rsid w:val="00F31EDC"/>
    <w:rsid w:val="00F41FFD"/>
    <w:rsid w:val="00F462B3"/>
    <w:rsid w:val="00F53BC5"/>
    <w:rsid w:val="00F5664F"/>
    <w:rsid w:val="00F666C4"/>
    <w:rsid w:val="00F76AFC"/>
    <w:rsid w:val="00FA47C0"/>
    <w:rsid w:val="00FB5DD1"/>
    <w:rsid w:val="00FC2B5D"/>
    <w:rsid w:val="00FF1449"/>
    <w:rsid w:val="00FF7583"/>
    <w:rsid w:val="06A53C2E"/>
    <w:rsid w:val="08563608"/>
    <w:rsid w:val="0BA2B688"/>
    <w:rsid w:val="165E9519"/>
    <w:rsid w:val="16900766"/>
    <w:rsid w:val="1C08B981"/>
    <w:rsid w:val="33F06424"/>
    <w:rsid w:val="36D3A4DD"/>
    <w:rsid w:val="382536D9"/>
    <w:rsid w:val="38DAF911"/>
    <w:rsid w:val="3ADF333B"/>
    <w:rsid w:val="49B0D12A"/>
    <w:rsid w:val="5E28D450"/>
    <w:rsid w:val="6EFDAB80"/>
    <w:rsid w:val="76AA60DA"/>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45A0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45A03"/>
    <w:rPr>
      <w:rFonts w:ascii="Geomanist Light" w:hAnsi="Geomanist Light"/>
      <w:lang w:val="es-ES"/>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AC0A62"/>
    <w:rPr>
      <w:b/>
      <w:bCs/>
    </w:rPr>
  </w:style>
  <w:style w:type="character" w:customStyle="1" w:styleId="AsuntodelcomentarioCar">
    <w:name w:val="Asunto del comentario Car"/>
    <w:basedOn w:val="TextocomentarioCar"/>
    <w:link w:val="Asuntodelcomentario"/>
    <w:uiPriority w:val="99"/>
    <w:semiHidden/>
    <w:rsid w:val="00AC0A6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592fe157-d5c2-474d-aeb4-2e8e8fcba8d3"/>
    <ds:schemaRef ds:uri="8ae15d26-076e-464e-81a7-6f76a0fb3917"/>
  </ds:schemaRefs>
</ds:datastoreItem>
</file>

<file path=customXml/itemProps2.xml><?xml version="1.0" encoding="utf-8"?>
<ds:datastoreItem xmlns:ds="http://schemas.openxmlformats.org/officeDocument/2006/customXml" ds:itemID="{BC67ED9F-7CED-493C-86D6-7ADCD1078478}"/>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38</TotalTime>
  <Pages>19</Pages>
  <Words>5894</Words>
  <Characters>32423</Characters>
  <Application>Microsoft Office Word</Application>
  <DocSecurity>0</DocSecurity>
  <Lines>270</Lines>
  <Paragraphs>76</Paragraphs>
  <ScaleCrop>false</ScaleCrop>
  <Company/>
  <LinksUpToDate>false</LinksUpToDate>
  <CharactersWithSpaces>38241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48</cp:revision>
  <cp:lastPrinted>2023-01-10T21:18:00Z</cp:lastPrinted>
  <dcterms:created xsi:type="dcterms:W3CDTF">2026-01-16T21:33:00Z</dcterms:created>
  <dcterms:modified xsi:type="dcterms:W3CDTF">2026-01-27T21:11:00Z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