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735B3" w14:textId="77777777" w:rsidR="008A16D1" w:rsidRDefault="008A16D1" w:rsidP="008A16D1">
      <w:pPr>
        <w:spacing w:after="0" w:line="240" w:lineRule="auto"/>
        <w:jc w:val="both"/>
        <w:rPr>
          <w:rFonts w:ascii="Verdana" w:hAnsi="Verdana"/>
          <w:b/>
          <w:bCs/>
        </w:rPr>
      </w:pPr>
      <w:r w:rsidRPr="008A16D1">
        <w:rPr>
          <w:rFonts w:ascii="Verdana" w:hAnsi="Verdana"/>
          <w:b/>
          <w:bCs/>
        </w:rPr>
        <w:t>REQUISITOS HABILITANTES ‒ Concepto</w:t>
      </w:r>
    </w:p>
    <w:p w14:paraId="2B29624B" w14:textId="77777777" w:rsidR="008A16D1" w:rsidRPr="008A16D1" w:rsidRDefault="008A16D1" w:rsidP="008A16D1">
      <w:pPr>
        <w:spacing w:after="0" w:line="240" w:lineRule="auto"/>
        <w:jc w:val="both"/>
        <w:rPr>
          <w:rFonts w:ascii="Verdana" w:hAnsi="Verdana"/>
        </w:rPr>
      </w:pPr>
    </w:p>
    <w:p w14:paraId="11F3DAEA" w14:textId="77777777" w:rsidR="008A16D1" w:rsidRDefault="008A16D1" w:rsidP="008A16D1">
      <w:pPr>
        <w:spacing w:after="0" w:line="240" w:lineRule="auto"/>
        <w:jc w:val="both"/>
        <w:rPr>
          <w:rFonts w:ascii="Verdana" w:hAnsi="Verdana"/>
          <w:sz w:val="20"/>
          <w:szCs w:val="20"/>
        </w:rPr>
      </w:pPr>
      <w:r w:rsidRPr="008A16D1">
        <w:rPr>
          <w:rFonts w:ascii="Verdana" w:hAnsi="Verdana"/>
          <w:sz w:val="20"/>
          <w:szCs w:val="20"/>
        </w:rPr>
        <w:t>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43E9688D" w14:textId="77777777" w:rsidR="008A16D1" w:rsidRPr="008A16D1" w:rsidRDefault="008A16D1" w:rsidP="008A16D1">
      <w:pPr>
        <w:spacing w:after="0" w:line="240" w:lineRule="auto"/>
        <w:jc w:val="both"/>
        <w:rPr>
          <w:rFonts w:ascii="Verdana" w:hAnsi="Verdana"/>
          <w:sz w:val="20"/>
          <w:szCs w:val="20"/>
        </w:rPr>
      </w:pPr>
    </w:p>
    <w:p w14:paraId="5F787970" w14:textId="09E11A7A" w:rsidR="00B05B47" w:rsidRPr="0072650A" w:rsidRDefault="0072650A" w:rsidP="0073024D">
      <w:pPr>
        <w:spacing w:after="0" w:line="240" w:lineRule="auto"/>
        <w:jc w:val="both"/>
        <w:rPr>
          <w:rFonts w:ascii="Verdana" w:hAnsi="Verdana"/>
          <w:b/>
          <w:bCs/>
        </w:rPr>
      </w:pPr>
      <w:r w:rsidRPr="0072650A">
        <w:rPr>
          <w:rFonts w:ascii="Verdana" w:eastAsia="Times New Roman" w:hAnsi="Verdana" w:cs="Arial"/>
          <w:b/>
          <w:bCs/>
          <w:lang w:val="es-ES_tradnl" w:eastAsia="es-MX"/>
        </w:rPr>
        <w:t xml:space="preserve">REQUISITOS HABILITANTES – </w:t>
      </w:r>
      <w:r w:rsidRPr="0072650A">
        <w:rPr>
          <w:rFonts w:ascii="Verdana" w:hAnsi="Verdana" w:cs="Arial"/>
          <w:b/>
          <w:bCs/>
        </w:rPr>
        <w:t>Acreditación – RUP – Otros documentos</w:t>
      </w:r>
    </w:p>
    <w:p w14:paraId="0BEAC48B" w14:textId="77777777" w:rsidR="00B05B47" w:rsidRDefault="00B05B47" w:rsidP="0073024D">
      <w:pPr>
        <w:spacing w:after="0" w:line="240" w:lineRule="auto"/>
        <w:jc w:val="both"/>
        <w:rPr>
          <w:rFonts w:ascii="Verdana" w:hAnsi="Verdana"/>
        </w:rPr>
      </w:pPr>
    </w:p>
    <w:p w14:paraId="408F7FD0" w14:textId="13FAD57D" w:rsidR="00C42B06" w:rsidRDefault="00C42B06" w:rsidP="00C42B06">
      <w:pPr>
        <w:jc w:val="both"/>
        <w:rPr>
          <w:rFonts w:ascii="Verdana" w:hAnsi="Verdana"/>
          <w:bCs/>
          <w:sz w:val="20"/>
          <w:szCs w:val="20"/>
        </w:rPr>
      </w:pPr>
      <w:r w:rsidRPr="00180BB6">
        <w:rPr>
          <w:rFonts w:ascii="Verdana" w:hAnsi="Verdana"/>
          <w:bCs/>
          <w:sz w:val="20"/>
          <w:szCs w:val="20"/>
        </w:rPr>
        <w:t>Por otra parte, el artículo 5 del Decreto 399 de 2021 adicionó dos parágrafos transitorios al artículo 2.2.1.1.1.5.6 del Decreto 1082 de 2015, que regula el contenido del certificado del RUP. El primer parágrafo transitorio, que fue posteriormente sustituido por el artícul</w:t>
      </w:r>
      <w:r w:rsidR="00B310F7">
        <w:rPr>
          <w:rFonts w:ascii="Verdana" w:hAnsi="Verdana"/>
          <w:bCs/>
          <w:sz w:val="20"/>
          <w:szCs w:val="20"/>
        </w:rPr>
        <w:t>0</w:t>
      </w:r>
      <w:r w:rsidRPr="00180BB6">
        <w:rPr>
          <w:rFonts w:ascii="Verdana" w:hAnsi="Verdana"/>
          <w:bCs/>
          <w:sz w:val="20"/>
          <w:szCs w:val="20"/>
        </w:rPr>
        <w:t xml:space="preserve">o 2 del Decreto 579 de 2021, establece que </w:t>
      </w:r>
      <w:r w:rsidRPr="00180BB6">
        <w:rPr>
          <w:rFonts w:ascii="Verdana" w:hAnsi="Verdana"/>
          <w:bCs/>
          <w:i/>
          <w:iCs/>
          <w:sz w:val="20"/>
          <w:szCs w:val="20"/>
        </w:rPr>
        <w:t xml:space="preserve">“[…] </w:t>
      </w:r>
      <w:r w:rsidRPr="00180BB6">
        <w:rPr>
          <w:rFonts w:ascii="Verdana" w:hAnsi="Verdana"/>
          <w:bCs/>
          <w:sz w:val="20"/>
          <w:szCs w:val="20"/>
        </w:rPr>
        <w:t>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w:t>
      </w:r>
      <w:r w:rsidRPr="00180BB6">
        <w:rPr>
          <w:rFonts w:ascii="Verdana" w:hAnsi="Verdana"/>
          <w:bCs/>
          <w:i/>
          <w:iCs/>
          <w:sz w:val="20"/>
          <w:szCs w:val="20"/>
        </w:rPr>
        <w:t>”</w:t>
      </w:r>
      <w:r w:rsidRPr="00180BB6">
        <w:rPr>
          <w:rFonts w:ascii="Verdana" w:hAnsi="Verdana"/>
          <w:bCs/>
          <w:sz w:val="20"/>
          <w:szCs w:val="20"/>
        </w:rPr>
        <w:t>. Para esto, las cámaras de comercio, a partir del 1 de julio de 2021, “certificarán la información de que tratan los parágrafos transitorios 1 y 2 del artículo 2.2.1.1.1.5.2. de este Decreto</w:t>
      </w:r>
      <w:r w:rsidRPr="00180BB6">
        <w:rPr>
          <w:rFonts w:ascii="Verdana" w:hAnsi="Verdana"/>
          <w:bCs/>
          <w:i/>
          <w:iCs/>
          <w:sz w:val="20"/>
          <w:szCs w:val="20"/>
        </w:rPr>
        <w:t>”.</w:t>
      </w:r>
      <w:r w:rsidRPr="00180BB6">
        <w:rPr>
          <w:rFonts w:ascii="Verdana" w:hAnsi="Verdana"/>
          <w:bCs/>
          <w:sz w:val="20"/>
          <w:szCs w:val="20"/>
        </w:rPr>
        <w:t xml:space="preserve"> Los requisitos e indicadores de la capacidad financiera consagrados en el literal b) del artículo 2.2.1.1.1.5.6 del Decreto 1082 de 2015 son: i) el índice de liquidez, ii) el índice de endeudamiento y iii) la razón de cobertura de intereses. Los requisitos e indicadores de capacidad organizacional son: i) la rentabilidad del patrimonio y ii) la rentabilidad del activo.</w:t>
      </w:r>
    </w:p>
    <w:p w14:paraId="0ACE1842" w14:textId="77777777" w:rsidR="00972A60" w:rsidRDefault="00C42B06" w:rsidP="00972A60">
      <w:pPr>
        <w:jc w:val="both"/>
        <w:rPr>
          <w:rFonts w:ascii="Verdana" w:hAnsi="Verdana"/>
          <w:bCs/>
          <w:sz w:val="20"/>
          <w:szCs w:val="20"/>
        </w:rPr>
      </w:pPr>
      <w:r w:rsidRPr="00180BB6">
        <w:rPr>
          <w:rFonts w:ascii="Verdana" w:hAnsi="Verdana"/>
          <w:bCs/>
          <w:sz w:val="20"/>
          <w:szCs w:val="20"/>
        </w:rPr>
        <w:t>Ahora bien, teniendo en cuenta que el RUP debía contener la información financiera y organizacional del proponente correspondiente a los últimos tres (3) años o al período transcurrido desde su primer cierre fiscal, según el caso, al momento de evaluar tales indicadores las Entidades Estatales debían tener en cuenta “el mejor año fiscal” que reflejara el registro. Por “mejor año fiscal” se interpreta la información relativa al año apreciada en su conjunto, o sea, de manera integral, que permitiera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Decreto 1041 de 2022, establecía que “[…] las Entidades Estatales evaluarán estos indicadores, teniendo en cuenta el mejor año fiscal que se refleje en el registro de cada proponente”, significaba que debían examinar los años certificados en el RUP y escoger para ser evaluado el que reflejara mejores indicadores de capacidad financiera y organizacional, que permitiera al proponente cumplir los requisitos habilitantes de capacidad financiera y organizacional.</w:t>
      </w:r>
    </w:p>
    <w:p w14:paraId="34538C88" w14:textId="5D1D5FB5" w:rsidR="00B05B47" w:rsidRPr="00972A60" w:rsidRDefault="00972A60" w:rsidP="00972A60">
      <w:pPr>
        <w:jc w:val="both"/>
        <w:rPr>
          <w:rFonts w:ascii="Verdana" w:hAnsi="Verdana"/>
          <w:b/>
          <w:bCs/>
          <w:sz w:val="20"/>
          <w:szCs w:val="20"/>
        </w:rPr>
      </w:pPr>
      <w:r w:rsidRPr="00972A60">
        <w:rPr>
          <w:rFonts w:ascii="Verdana" w:eastAsia="Times New Roman" w:hAnsi="Verdana" w:cs="Arial"/>
          <w:b/>
          <w:bCs/>
          <w:lang w:val="es-ES_tradnl" w:eastAsia="es-MX"/>
        </w:rPr>
        <w:lastRenderedPageBreak/>
        <w:t>CAPACIDAD JURÍDICA – Régimen de inhabilidades e incompatibilidades</w:t>
      </w:r>
    </w:p>
    <w:p w14:paraId="79F17D9F" w14:textId="77777777" w:rsidR="00972A60" w:rsidRPr="004572F2" w:rsidRDefault="00972A60" w:rsidP="00972A60">
      <w:pPr>
        <w:spacing w:after="120" w:line="276" w:lineRule="auto"/>
        <w:jc w:val="both"/>
        <w:rPr>
          <w:rFonts w:ascii="Verdana" w:eastAsia="Calibri" w:hAnsi="Verdana" w:cs="Arial"/>
          <w:sz w:val="20"/>
          <w:szCs w:val="20"/>
        </w:rPr>
      </w:pPr>
      <w:r w:rsidRPr="004572F2">
        <w:rPr>
          <w:rFonts w:ascii="Verdana" w:hAnsi="Verdana" w:cs="Arial"/>
          <w:sz w:val="20"/>
          <w:szCs w:val="20"/>
          <w:lang w:val="es-ES"/>
        </w:rPr>
        <w:t xml:space="preserve">La </w:t>
      </w:r>
      <w:r w:rsidRPr="004572F2">
        <w:rPr>
          <w:rFonts w:ascii="Verdana" w:hAnsi="Verdana" w:cs="Arial"/>
          <w:sz w:val="20"/>
          <w:szCs w:val="20"/>
        </w:rPr>
        <w:t xml:space="preserve">capacidad jurídica es uno de los principales requisitos habilitantes que deben acreditar quienes participan en procesos de contratación, el cual comporta uno de los presupuestos del contrato estatal, pues se entiende como la aptitud de un sujeto para ser titular de derechos y obligaciones, de ejercer o exigir los primeros y contraer las segundas en forma personal, sumada la posibilidad de comparecer en juicio. La capacidad jurídica permite crear, modificar o extinguir relaciones jurídicas de forma voluntaria </w:t>
      </w:r>
      <w:r w:rsidRPr="004572F2">
        <w:rPr>
          <w:rFonts w:ascii="Verdana" w:eastAsia="Calibri" w:hAnsi="Verdana" w:cs="Arial"/>
          <w:sz w:val="20"/>
          <w:szCs w:val="20"/>
        </w:rPr>
        <w:t>y autónoma.</w:t>
      </w:r>
    </w:p>
    <w:p w14:paraId="18A9AE0F" w14:textId="11BB5EA1" w:rsidR="00B05B47" w:rsidRPr="00D02EF2" w:rsidRDefault="00972A60" w:rsidP="00D02EF2">
      <w:pPr>
        <w:spacing w:after="0" w:line="276" w:lineRule="auto"/>
        <w:jc w:val="both"/>
        <w:rPr>
          <w:rFonts w:ascii="Verdana" w:hAnsi="Verdana" w:cs="Arial"/>
          <w:sz w:val="20"/>
          <w:szCs w:val="20"/>
        </w:rPr>
      </w:pPr>
      <w:r w:rsidRPr="00972A60">
        <w:rPr>
          <w:rFonts w:ascii="Verdana" w:eastAsia="Calibri" w:hAnsi="Verdana" w:cs="Arial"/>
          <w:sz w:val="20"/>
          <w:szCs w:val="20"/>
        </w:rPr>
        <w:t>D</w:t>
      </w:r>
      <w:r w:rsidRPr="00972A60">
        <w:rPr>
          <w:rFonts w:ascii="Verdana" w:hAnsi="Verdana" w:cs="Arial"/>
          <w:sz w:val="20"/>
          <w:szCs w:val="20"/>
        </w:rPr>
        <w:t xml:space="preserve">e acuerdo con el Código Civil, la capacidad se refiere a la facultad que la ley le confiere a la persona para ejercer derechos y contraer obligaciones, partiendo del supuesto de que todas las personas naturales mayores de edad son capaces, con excepción de aquellas que la ley expresamente excluye de esta presunción –artículos 1502, 1503 y 1504 </w:t>
      </w:r>
      <w:r w:rsidRPr="00972A60">
        <w:rPr>
          <w:rFonts w:ascii="Verdana" w:hAnsi="Verdana" w:cs="Arial"/>
          <w:i/>
          <w:iCs/>
          <w:sz w:val="20"/>
          <w:szCs w:val="20"/>
        </w:rPr>
        <w:t>ibidem</w:t>
      </w:r>
      <w:r w:rsidRPr="00972A60">
        <w:rPr>
          <w:rFonts w:ascii="Verdana" w:hAnsi="Verdana" w:cs="Arial"/>
          <w:sz w:val="20"/>
          <w:szCs w:val="20"/>
        </w:rPr>
        <w:t>–, y de que la capacidad de las personas jurídicas se circunscribe a su objeto social –artículo 99 del Código de Comercio–.</w:t>
      </w:r>
      <w:r w:rsidRPr="00972A60">
        <w:rPr>
          <w:rFonts w:ascii="Verdana" w:hAnsi="Verdana"/>
          <w:sz w:val="20"/>
          <w:szCs w:val="20"/>
        </w:rPr>
        <w:t xml:space="preserve"> </w:t>
      </w:r>
      <w:r w:rsidRPr="00972A60">
        <w:rPr>
          <w:rFonts w:ascii="Verdana" w:hAnsi="Verdana" w:cs="Arial"/>
          <w:sz w:val="20"/>
          <w:szCs w:val="20"/>
        </w:rPr>
        <w:t>Al respecto, el artículo 6 de la Ley 80 de 1993 –modificado por</w:t>
      </w:r>
      <w:r w:rsidRPr="00972A60">
        <w:rPr>
          <w:rFonts w:ascii="Verdana" w:hAnsi="Verdana"/>
          <w:sz w:val="20"/>
          <w:szCs w:val="20"/>
        </w:rPr>
        <w:t xml:space="preserve"> </w:t>
      </w:r>
      <w:r w:rsidRPr="00972A60">
        <w:rPr>
          <w:rFonts w:ascii="Verdana" w:hAnsi="Verdana" w:cs="Arial"/>
          <w:sz w:val="20"/>
          <w:szCs w:val="20"/>
        </w:rPr>
        <w:t xml:space="preserve">la Ley 2160 de 2021– dispone que: </w:t>
      </w:r>
      <w:r w:rsidRPr="00972A60">
        <w:rPr>
          <w:rFonts w:ascii="Verdana" w:hAnsi="Verdana" w:cs="Arial"/>
          <w:i/>
          <w:iCs/>
          <w:sz w:val="20"/>
          <w:szCs w:val="20"/>
        </w:rPr>
        <w:t xml:space="preserve">“Pueden celebrar contratos con las entidades estatales las personas consideradas legalmente capaces en las disposiciones vigentes". </w:t>
      </w:r>
    </w:p>
    <w:p w14:paraId="1D9F84B5" w14:textId="77777777" w:rsidR="00924D2C" w:rsidRPr="00D02EF2" w:rsidRDefault="00924D2C" w:rsidP="0073024D">
      <w:pPr>
        <w:spacing w:after="0" w:line="240" w:lineRule="auto"/>
        <w:jc w:val="both"/>
        <w:rPr>
          <w:rFonts w:ascii="Verdana" w:hAnsi="Verdana"/>
          <w:b/>
          <w:bCs/>
        </w:rPr>
      </w:pPr>
    </w:p>
    <w:p w14:paraId="6915801D" w14:textId="1C522FF3" w:rsidR="00924D2C" w:rsidRPr="00D02EF2" w:rsidRDefault="00D02EF2" w:rsidP="0073024D">
      <w:pPr>
        <w:spacing w:after="0" w:line="240" w:lineRule="auto"/>
        <w:jc w:val="both"/>
        <w:rPr>
          <w:rFonts w:ascii="Verdana" w:eastAsia="Times New Roman" w:hAnsi="Verdana" w:cs="Arial"/>
          <w:b/>
          <w:bCs/>
          <w:lang w:val="es-ES_tradnl" w:eastAsia="es-MX"/>
        </w:rPr>
      </w:pPr>
      <w:r w:rsidRPr="00D02EF2">
        <w:rPr>
          <w:rFonts w:ascii="Verdana" w:eastAsia="Times New Roman" w:hAnsi="Verdana" w:cs="Arial"/>
          <w:b/>
          <w:bCs/>
          <w:lang w:val="es-ES_tradnl" w:eastAsia="es-MX"/>
        </w:rPr>
        <w:t>CAPACIDAD JURÍDICA – Régimen de inhabilidades e incompatibilidades</w:t>
      </w:r>
      <w:r w:rsidRPr="00D02EF2">
        <w:rPr>
          <w:rFonts w:ascii="Verdana" w:eastAsia="Times New Roman" w:hAnsi="Verdana" w:cs="Arial"/>
          <w:b/>
          <w:bCs/>
          <w:lang w:val="es-ES_tradnl" w:eastAsia="es-MX"/>
        </w:rPr>
        <w:t xml:space="preserve"> </w:t>
      </w:r>
    </w:p>
    <w:p w14:paraId="430A30F2" w14:textId="77777777" w:rsidR="00D02EF2" w:rsidRDefault="00D02EF2" w:rsidP="0073024D">
      <w:pPr>
        <w:spacing w:after="0" w:line="240" w:lineRule="auto"/>
        <w:jc w:val="both"/>
        <w:rPr>
          <w:rFonts w:ascii="Verdana" w:hAnsi="Verdana"/>
        </w:rPr>
      </w:pPr>
    </w:p>
    <w:p w14:paraId="63C82943" w14:textId="5923B96F" w:rsidR="00924D2C" w:rsidRPr="00924D2C" w:rsidRDefault="00924D2C" w:rsidP="0073024D">
      <w:pPr>
        <w:spacing w:after="0" w:line="240" w:lineRule="auto"/>
        <w:jc w:val="both"/>
        <w:rPr>
          <w:rFonts w:ascii="Verdana" w:hAnsi="Verdana"/>
          <w:sz w:val="20"/>
          <w:szCs w:val="20"/>
        </w:rPr>
      </w:pPr>
      <w:r w:rsidRPr="00924D2C">
        <w:rPr>
          <w:rFonts w:ascii="Verdana" w:hAnsi="Verdana" w:cs="Arial"/>
          <w:sz w:val="20"/>
          <w:szCs w:val="20"/>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924D2C">
        <w:rPr>
          <w:rFonts w:ascii="Verdana" w:hAnsi="Verdana" w:cs="Arial"/>
          <w:sz w:val="20"/>
          <w:szCs w:val="20"/>
        </w:rPr>
        <w:t>.</w:t>
      </w:r>
    </w:p>
    <w:p w14:paraId="1DC96BCC" w14:textId="77777777" w:rsidR="00B05B47" w:rsidRDefault="00B05B47" w:rsidP="0073024D">
      <w:pPr>
        <w:spacing w:after="0" w:line="240" w:lineRule="auto"/>
        <w:jc w:val="both"/>
        <w:rPr>
          <w:rFonts w:ascii="Verdana" w:hAnsi="Verdana"/>
        </w:rPr>
      </w:pPr>
    </w:p>
    <w:p w14:paraId="19B80CA1" w14:textId="77777777" w:rsidR="006D5339" w:rsidRPr="004572F2" w:rsidRDefault="006D5339" w:rsidP="006D5339">
      <w:pPr>
        <w:spacing w:line="276" w:lineRule="auto"/>
        <w:contextualSpacing/>
        <w:jc w:val="both"/>
        <w:rPr>
          <w:rFonts w:ascii="Verdana" w:eastAsia="Times New Roman" w:hAnsi="Verdana" w:cs="Arial"/>
          <w:b/>
          <w:bCs/>
          <w:lang w:val="es-ES" w:eastAsia="es-ES_tradnl"/>
        </w:rPr>
      </w:pPr>
      <w:r w:rsidRPr="004572F2">
        <w:rPr>
          <w:rFonts w:ascii="Verdana" w:eastAsia="Times New Roman" w:hAnsi="Verdana" w:cs="Arial"/>
          <w:b/>
          <w:bCs/>
          <w:lang w:val="es-ES_tradnl" w:eastAsia="es-MX"/>
        </w:rPr>
        <w:t>CAPACIDAD JURÍDICA – Forma de acreditación</w:t>
      </w:r>
      <w:r w:rsidRPr="004572F2">
        <w:rPr>
          <w:rFonts w:ascii="Verdana" w:eastAsia="Calibri" w:hAnsi="Verdana" w:cs="Arial"/>
          <w:b/>
          <w:bCs/>
          <w:lang w:val="es-ES" w:eastAsia="es-ES"/>
        </w:rPr>
        <w:t xml:space="preserve"> </w:t>
      </w:r>
      <w:r w:rsidRPr="004572F2">
        <w:rPr>
          <w:rFonts w:ascii="Verdana" w:eastAsia="Times New Roman" w:hAnsi="Verdana" w:cs="Arial"/>
          <w:b/>
          <w:bCs/>
          <w:lang w:val="es-ES_tradnl" w:eastAsia="es-MX"/>
        </w:rPr>
        <w:t xml:space="preserve">– Documentos adicionales al RUP – Exigibilidad </w:t>
      </w:r>
    </w:p>
    <w:p w14:paraId="5290BC6A" w14:textId="5CB09027" w:rsidR="00B05B47" w:rsidRPr="006D5339" w:rsidRDefault="006D5339" w:rsidP="0073024D">
      <w:pPr>
        <w:spacing w:after="0" w:line="240" w:lineRule="auto"/>
        <w:jc w:val="both"/>
        <w:rPr>
          <w:rFonts w:ascii="Verdana" w:hAnsi="Verdana"/>
          <w:lang w:val="es-ES"/>
        </w:rPr>
      </w:pPr>
      <w:r>
        <w:rPr>
          <w:rFonts w:ascii="Verdana" w:hAnsi="Verdana"/>
          <w:lang w:val="es-ES"/>
        </w:rPr>
        <w:t xml:space="preserve"> </w:t>
      </w:r>
    </w:p>
    <w:p w14:paraId="3E788D3D" w14:textId="41370B25" w:rsidR="000C526E" w:rsidRPr="000C526E" w:rsidRDefault="006D5339" w:rsidP="000C526E">
      <w:pPr>
        <w:spacing w:after="120" w:line="276" w:lineRule="auto"/>
        <w:jc w:val="both"/>
        <w:rPr>
          <w:rFonts w:ascii="Verdana" w:eastAsia="Times New Roman" w:hAnsi="Verdana" w:cs="Arial"/>
          <w:sz w:val="20"/>
          <w:szCs w:val="20"/>
          <w:lang w:eastAsia="es-CO"/>
        </w:rPr>
      </w:pPr>
      <w:r w:rsidRPr="006D5339">
        <w:rPr>
          <w:rFonts w:ascii="Verdana" w:eastAsia="Times New Roman" w:hAnsi="Verdana" w:cs="Arial"/>
          <w:sz w:val="20"/>
          <w:szCs w:val="20"/>
          <w:lang w:eastAsia="es-CO"/>
        </w:rPr>
        <w:t xml:space="preserve">[…] </w:t>
      </w:r>
      <w:r>
        <w:rPr>
          <w:rFonts w:ascii="Verdana" w:eastAsia="Times New Roman" w:hAnsi="Verdana" w:cs="Arial"/>
          <w:sz w:val="20"/>
          <w:szCs w:val="20"/>
          <w:lang w:eastAsia="es-CO"/>
        </w:rPr>
        <w:t xml:space="preserve"> </w:t>
      </w:r>
      <w:r w:rsidR="000C526E" w:rsidRPr="000C526E">
        <w:rPr>
          <w:rFonts w:ascii="Verdana" w:eastAsia="Times New Roman" w:hAnsi="Verdana" w:cs="Arial"/>
          <w:sz w:val="20"/>
          <w:szCs w:val="20"/>
          <w:lang w:eastAsia="es-CO"/>
        </w:rPr>
        <w:t>para acreditar el cumplimiento de los requisitos habilitantes, las entidades estatales sometidas al Estatuto General de Contratación de la Administración Pública -EGCAP-, en virtud de lo establecido en el artículo 5 y 6 de la Ley 1150 de 2007, están obligadas a efectuar la evaluación correspondiente teniendo en cuenta la información que reposa en el RUP, documento que constituye plena prueba de la información que contiene, tal como lo establece el artículo 6.1 de la Ley 1150 de 200</w:t>
      </w:r>
      <w:r>
        <w:rPr>
          <w:rFonts w:ascii="Verdana" w:eastAsia="Times New Roman" w:hAnsi="Verdana" w:cs="Arial"/>
          <w:sz w:val="20"/>
          <w:szCs w:val="20"/>
          <w:lang w:eastAsia="es-CO"/>
        </w:rPr>
        <w:t>7.</w:t>
      </w:r>
    </w:p>
    <w:p w14:paraId="31CF32A8" w14:textId="3AC6D6CF" w:rsidR="000C526E" w:rsidRPr="000C526E" w:rsidRDefault="000C526E" w:rsidP="000C526E">
      <w:pPr>
        <w:spacing w:after="120" w:line="276" w:lineRule="auto"/>
        <w:jc w:val="both"/>
        <w:rPr>
          <w:rFonts w:ascii="Verdana" w:eastAsia="Times New Roman" w:hAnsi="Verdana" w:cs="Arial"/>
          <w:sz w:val="20"/>
          <w:szCs w:val="20"/>
          <w:lang w:eastAsia="es-CO"/>
        </w:rPr>
      </w:pPr>
      <w:r w:rsidRPr="000C526E">
        <w:rPr>
          <w:rFonts w:ascii="Verdana" w:eastAsia="Times New Roman" w:hAnsi="Verdana" w:cs="Arial"/>
          <w:sz w:val="20"/>
          <w:szCs w:val="20"/>
          <w:lang w:eastAsia="es-CO"/>
        </w:rPr>
        <w:lastRenderedPageBreak/>
        <w:t>Dicha información debe tenerse en cuenta por las entidades en los procedimientos de contratación en los que es exigible el RUP. Así las cosas, los requisitos habilitantes deberán ser verificadas exclusivamente a través del Registro Único de Proponentes, pues de acuerdo con lo expuesto, este documento es plena prueba de la información financiera, de experiencia y de capacidad acreditada por la persona natural o jurídic</w:t>
      </w:r>
      <w:r w:rsidRPr="000C526E">
        <w:rPr>
          <w:rFonts w:ascii="Verdana" w:eastAsia="Times New Roman" w:hAnsi="Verdana" w:cs="Arial"/>
          <w:sz w:val="20"/>
          <w:szCs w:val="20"/>
          <w:lang w:eastAsia="es-CO"/>
        </w:rPr>
        <w:t>a.</w:t>
      </w:r>
    </w:p>
    <w:p w14:paraId="2A273869" w14:textId="77777777" w:rsidR="00B05B47" w:rsidRDefault="00B05B47" w:rsidP="0073024D">
      <w:pPr>
        <w:spacing w:after="0" w:line="240" w:lineRule="auto"/>
        <w:jc w:val="both"/>
        <w:rPr>
          <w:rFonts w:ascii="Verdana" w:hAnsi="Verdana"/>
        </w:rPr>
      </w:pPr>
    </w:p>
    <w:p w14:paraId="07AA902A" w14:textId="77777777" w:rsidR="00B05B47" w:rsidRDefault="00B05B47" w:rsidP="0073024D">
      <w:pPr>
        <w:spacing w:after="0" w:line="240" w:lineRule="auto"/>
        <w:jc w:val="both"/>
        <w:rPr>
          <w:rFonts w:ascii="Verdana" w:hAnsi="Verdana"/>
        </w:rPr>
      </w:pPr>
    </w:p>
    <w:p w14:paraId="21B10E7C" w14:textId="77777777" w:rsidR="00B05B47" w:rsidRDefault="00B05B47" w:rsidP="0073024D">
      <w:pPr>
        <w:spacing w:after="0" w:line="240" w:lineRule="auto"/>
        <w:jc w:val="both"/>
        <w:rPr>
          <w:rFonts w:ascii="Verdana" w:hAnsi="Verdana"/>
        </w:rPr>
      </w:pPr>
    </w:p>
    <w:p w14:paraId="37966BB5" w14:textId="77777777" w:rsidR="00B05B47" w:rsidRDefault="00B05B47" w:rsidP="0073024D">
      <w:pPr>
        <w:spacing w:after="0" w:line="240" w:lineRule="auto"/>
        <w:jc w:val="both"/>
        <w:rPr>
          <w:rFonts w:ascii="Verdana" w:hAnsi="Verdana"/>
        </w:rPr>
      </w:pPr>
    </w:p>
    <w:p w14:paraId="6B90553B" w14:textId="77777777" w:rsidR="00B05B47" w:rsidRDefault="00B05B47" w:rsidP="0073024D">
      <w:pPr>
        <w:spacing w:after="0" w:line="240" w:lineRule="auto"/>
        <w:jc w:val="both"/>
        <w:rPr>
          <w:rFonts w:ascii="Verdana" w:hAnsi="Verdana"/>
        </w:rPr>
      </w:pPr>
    </w:p>
    <w:p w14:paraId="19522D98" w14:textId="77777777" w:rsidR="00B05B47" w:rsidRDefault="00B05B47" w:rsidP="0073024D">
      <w:pPr>
        <w:spacing w:after="0" w:line="240" w:lineRule="auto"/>
        <w:jc w:val="both"/>
        <w:rPr>
          <w:rFonts w:ascii="Verdana" w:hAnsi="Verdana"/>
        </w:rPr>
      </w:pPr>
    </w:p>
    <w:p w14:paraId="5D5AA903" w14:textId="77777777" w:rsidR="00B05B47" w:rsidRDefault="00B05B47" w:rsidP="0073024D">
      <w:pPr>
        <w:spacing w:after="0" w:line="240" w:lineRule="auto"/>
        <w:jc w:val="both"/>
        <w:rPr>
          <w:rFonts w:ascii="Verdana" w:hAnsi="Verdana"/>
        </w:rPr>
      </w:pPr>
    </w:p>
    <w:p w14:paraId="3CEA15F2" w14:textId="77777777" w:rsidR="00B05B47" w:rsidRDefault="00B05B47" w:rsidP="0073024D">
      <w:pPr>
        <w:spacing w:after="0" w:line="240" w:lineRule="auto"/>
        <w:jc w:val="both"/>
        <w:rPr>
          <w:rFonts w:ascii="Verdana" w:hAnsi="Verdana"/>
        </w:rPr>
      </w:pPr>
    </w:p>
    <w:p w14:paraId="18722E94" w14:textId="77777777" w:rsidR="00B05B47" w:rsidRDefault="00B05B47" w:rsidP="0073024D">
      <w:pPr>
        <w:spacing w:after="0" w:line="240" w:lineRule="auto"/>
        <w:jc w:val="both"/>
        <w:rPr>
          <w:rFonts w:ascii="Verdana" w:hAnsi="Verdana"/>
        </w:rPr>
      </w:pPr>
    </w:p>
    <w:p w14:paraId="75EBDE5D" w14:textId="77777777" w:rsidR="00B05B47" w:rsidRDefault="00B05B47" w:rsidP="0073024D">
      <w:pPr>
        <w:spacing w:after="0" w:line="240" w:lineRule="auto"/>
        <w:jc w:val="both"/>
        <w:rPr>
          <w:rFonts w:ascii="Verdana" w:hAnsi="Verdana"/>
        </w:rPr>
      </w:pPr>
    </w:p>
    <w:p w14:paraId="4AE9868F" w14:textId="77777777" w:rsidR="00B05B47" w:rsidRDefault="00B05B47" w:rsidP="0073024D">
      <w:pPr>
        <w:spacing w:after="0" w:line="240" w:lineRule="auto"/>
        <w:jc w:val="both"/>
        <w:rPr>
          <w:rFonts w:ascii="Verdana" w:hAnsi="Verdana"/>
        </w:rPr>
      </w:pPr>
    </w:p>
    <w:p w14:paraId="404E999B" w14:textId="77777777" w:rsidR="00B05B47" w:rsidRDefault="00B05B47" w:rsidP="0073024D">
      <w:pPr>
        <w:spacing w:after="0" w:line="240" w:lineRule="auto"/>
        <w:jc w:val="both"/>
        <w:rPr>
          <w:rFonts w:ascii="Verdana" w:hAnsi="Verdana"/>
        </w:rPr>
      </w:pPr>
    </w:p>
    <w:p w14:paraId="7F6ED5DA" w14:textId="77777777" w:rsidR="00B05B47" w:rsidRDefault="00B05B47" w:rsidP="0073024D">
      <w:pPr>
        <w:spacing w:after="0" w:line="240" w:lineRule="auto"/>
        <w:jc w:val="both"/>
        <w:rPr>
          <w:rFonts w:ascii="Verdana" w:hAnsi="Verdana"/>
        </w:rPr>
      </w:pPr>
    </w:p>
    <w:p w14:paraId="0B98569F" w14:textId="77777777" w:rsidR="00B05B47" w:rsidRDefault="00B05B47" w:rsidP="0073024D">
      <w:pPr>
        <w:spacing w:after="0" w:line="240" w:lineRule="auto"/>
        <w:jc w:val="both"/>
        <w:rPr>
          <w:rFonts w:ascii="Verdana" w:hAnsi="Verdana"/>
        </w:rPr>
      </w:pPr>
    </w:p>
    <w:p w14:paraId="1D2B819B" w14:textId="77777777" w:rsidR="00B05B47" w:rsidRDefault="00B05B47" w:rsidP="0073024D">
      <w:pPr>
        <w:spacing w:after="0" w:line="240" w:lineRule="auto"/>
        <w:jc w:val="both"/>
        <w:rPr>
          <w:rFonts w:ascii="Verdana" w:hAnsi="Verdana"/>
        </w:rPr>
      </w:pPr>
    </w:p>
    <w:p w14:paraId="1218C3B1" w14:textId="77777777" w:rsidR="00B05B47" w:rsidRDefault="00B05B47" w:rsidP="0073024D">
      <w:pPr>
        <w:spacing w:after="0" w:line="240" w:lineRule="auto"/>
        <w:jc w:val="both"/>
        <w:rPr>
          <w:rFonts w:ascii="Verdana" w:hAnsi="Verdana"/>
        </w:rPr>
      </w:pPr>
    </w:p>
    <w:p w14:paraId="4850910C" w14:textId="77777777" w:rsidR="00B05B47" w:rsidRDefault="00B05B47" w:rsidP="0073024D">
      <w:pPr>
        <w:spacing w:after="0" w:line="240" w:lineRule="auto"/>
        <w:jc w:val="both"/>
        <w:rPr>
          <w:rFonts w:ascii="Verdana" w:hAnsi="Verdana"/>
        </w:rPr>
      </w:pPr>
    </w:p>
    <w:p w14:paraId="0D429E3D" w14:textId="77777777" w:rsidR="00B05B47" w:rsidRDefault="00B05B47" w:rsidP="0073024D">
      <w:pPr>
        <w:spacing w:after="0" w:line="240" w:lineRule="auto"/>
        <w:jc w:val="both"/>
        <w:rPr>
          <w:rFonts w:ascii="Verdana" w:hAnsi="Verdana"/>
        </w:rPr>
      </w:pPr>
    </w:p>
    <w:p w14:paraId="291231FA" w14:textId="77777777" w:rsidR="00B05B47" w:rsidRDefault="00B05B47" w:rsidP="0073024D">
      <w:pPr>
        <w:spacing w:after="0" w:line="240" w:lineRule="auto"/>
        <w:jc w:val="both"/>
        <w:rPr>
          <w:rFonts w:ascii="Verdana" w:hAnsi="Verdana"/>
        </w:rPr>
      </w:pPr>
    </w:p>
    <w:p w14:paraId="2D1F57F8" w14:textId="77777777" w:rsidR="00B05B47" w:rsidRDefault="00B05B47" w:rsidP="0073024D">
      <w:pPr>
        <w:spacing w:after="0" w:line="240" w:lineRule="auto"/>
        <w:jc w:val="both"/>
        <w:rPr>
          <w:rFonts w:ascii="Verdana" w:hAnsi="Verdana"/>
        </w:rPr>
      </w:pPr>
    </w:p>
    <w:p w14:paraId="61735634" w14:textId="77777777" w:rsidR="00B05B47" w:rsidRDefault="00B05B47" w:rsidP="0073024D">
      <w:pPr>
        <w:spacing w:after="0" w:line="240" w:lineRule="auto"/>
        <w:jc w:val="both"/>
        <w:rPr>
          <w:rFonts w:ascii="Verdana" w:hAnsi="Verdana"/>
        </w:rPr>
      </w:pPr>
    </w:p>
    <w:p w14:paraId="5834D8C6" w14:textId="77777777" w:rsidR="00B05B47" w:rsidRDefault="00B05B47" w:rsidP="0073024D">
      <w:pPr>
        <w:spacing w:after="0" w:line="240" w:lineRule="auto"/>
        <w:jc w:val="both"/>
        <w:rPr>
          <w:rFonts w:ascii="Verdana" w:hAnsi="Verdana"/>
        </w:rPr>
      </w:pPr>
    </w:p>
    <w:p w14:paraId="3866E82F" w14:textId="77777777" w:rsidR="00B05B47" w:rsidRDefault="00B05B47" w:rsidP="0073024D">
      <w:pPr>
        <w:spacing w:after="0" w:line="240" w:lineRule="auto"/>
        <w:jc w:val="both"/>
        <w:rPr>
          <w:rFonts w:ascii="Verdana" w:hAnsi="Verdana"/>
        </w:rPr>
      </w:pPr>
    </w:p>
    <w:p w14:paraId="3F615E2A" w14:textId="77777777" w:rsidR="00B05B47" w:rsidRDefault="00B05B47" w:rsidP="0073024D">
      <w:pPr>
        <w:spacing w:after="0" w:line="240" w:lineRule="auto"/>
        <w:jc w:val="both"/>
        <w:rPr>
          <w:rFonts w:ascii="Verdana" w:hAnsi="Verdana"/>
        </w:rPr>
      </w:pPr>
    </w:p>
    <w:p w14:paraId="0DD22CFC" w14:textId="77777777" w:rsidR="00B05B47" w:rsidRDefault="00B05B47" w:rsidP="0073024D">
      <w:pPr>
        <w:spacing w:after="0" w:line="240" w:lineRule="auto"/>
        <w:jc w:val="both"/>
        <w:rPr>
          <w:rFonts w:ascii="Verdana" w:hAnsi="Verdana"/>
        </w:rPr>
      </w:pPr>
    </w:p>
    <w:p w14:paraId="54146D43" w14:textId="77777777" w:rsidR="00B05B47" w:rsidRDefault="00B05B47" w:rsidP="0073024D">
      <w:pPr>
        <w:spacing w:after="0" w:line="240" w:lineRule="auto"/>
        <w:jc w:val="both"/>
        <w:rPr>
          <w:rFonts w:ascii="Verdana" w:hAnsi="Verdana"/>
        </w:rPr>
      </w:pPr>
    </w:p>
    <w:p w14:paraId="45ECC64B" w14:textId="77777777" w:rsidR="00B05B47" w:rsidRDefault="00B05B47" w:rsidP="0073024D">
      <w:pPr>
        <w:spacing w:after="0" w:line="240" w:lineRule="auto"/>
        <w:jc w:val="both"/>
        <w:rPr>
          <w:rFonts w:ascii="Verdana" w:hAnsi="Verdana"/>
        </w:rPr>
      </w:pPr>
    </w:p>
    <w:p w14:paraId="762A64D5" w14:textId="77777777" w:rsidR="00B05B47" w:rsidRDefault="00B05B47" w:rsidP="0073024D">
      <w:pPr>
        <w:spacing w:after="0" w:line="240" w:lineRule="auto"/>
        <w:jc w:val="both"/>
        <w:rPr>
          <w:rFonts w:ascii="Verdana" w:hAnsi="Verdana"/>
        </w:rPr>
      </w:pPr>
    </w:p>
    <w:p w14:paraId="53705484" w14:textId="77777777" w:rsidR="00B05B47" w:rsidRDefault="00B05B47" w:rsidP="0073024D">
      <w:pPr>
        <w:spacing w:after="0" w:line="240" w:lineRule="auto"/>
        <w:jc w:val="both"/>
        <w:rPr>
          <w:rFonts w:ascii="Verdana" w:hAnsi="Verdana"/>
        </w:rPr>
      </w:pPr>
    </w:p>
    <w:p w14:paraId="6A331926" w14:textId="77777777" w:rsidR="00B05B47" w:rsidRDefault="00B05B47" w:rsidP="0073024D">
      <w:pPr>
        <w:spacing w:after="0" w:line="240" w:lineRule="auto"/>
        <w:jc w:val="both"/>
        <w:rPr>
          <w:rFonts w:ascii="Verdana" w:hAnsi="Verdana"/>
        </w:rPr>
      </w:pPr>
    </w:p>
    <w:p w14:paraId="794A8FBB" w14:textId="77777777" w:rsidR="00B05B47" w:rsidRDefault="00B05B47" w:rsidP="0073024D">
      <w:pPr>
        <w:spacing w:after="0" w:line="240" w:lineRule="auto"/>
        <w:jc w:val="both"/>
        <w:rPr>
          <w:rFonts w:ascii="Verdana" w:hAnsi="Verdana"/>
        </w:rPr>
      </w:pPr>
    </w:p>
    <w:p w14:paraId="096D54B5" w14:textId="77777777" w:rsidR="00B05B47" w:rsidRDefault="00B05B47" w:rsidP="0073024D">
      <w:pPr>
        <w:spacing w:after="0" w:line="240" w:lineRule="auto"/>
        <w:jc w:val="both"/>
        <w:rPr>
          <w:rFonts w:ascii="Verdana" w:hAnsi="Verdana"/>
        </w:rPr>
      </w:pPr>
    </w:p>
    <w:p w14:paraId="199884FB" w14:textId="77777777" w:rsidR="0077657A" w:rsidRDefault="0077657A" w:rsidP="0073024D">
      <w:pPr>
        <w:spacing w:after="0" w:line="240" w:lineRule="auto"/>
        <w:jc w:val="both"/>
        <w:rPr>
          <w:rFonts w:ascii="Verdana" w:hAnsi="Verdana"/>
        </w:rPr>
      </w:pPr>
    </w:p>
    <w:p w14:paraId="25833669" w14:textId="77777777" w:rsidR="0077657A" w:rsidRDefault="0077657A" w:rsidP="0073024D">
      <w:pPr>
        <w:spacing w:after="0" w:line="240" w:lineRule="auto"/>
        <w:jc w:val="both"/>
        <w:rPr>
          <w:rFonts w:ascii="Verdana" w:hAnsi="Verdana"/>
        </w:rPr>
      </w:pPr>
    </w:p>
    <w:p w14:paraId="4AFB913E" w14:textId="77777777" w:rsidR="0077657A" w:rsidRDefault="0077657A" w:rsidP="0073024D">
      <w:pPr>
        <w:spacing w:after="0" w:line="240" w:lineRule="auto"/>
        <w:jc w:val="both"/>
        <w:rPr>
          <w:rFonts w:ascii="Verdana" w:hAnsi="Verdana"/>
        </w:rPr>
      </w:pPr>
    </w:p>
    <w:p w14:paraId="043DAC64" w14:textId="77777777" w:rsidR="0077657A" w:rsidRDefault="0077657A" w:rsidP="0073024D">
      <w:pPr>
        <w:spacing w:after="0" w:line="240" w:lineRule="auto"/>
        <w:jc w:val="both"/>
        <w:rPr>
          <w:rFonts w:ascii="Verdana" w:hAnsi="Verdana"/>
        </w:rPr>
      </w:pPr>
    </w:p>
    <w:p w14:paraId="69070CF3" w14:textId="77777777" w:rsidR="00025F5A" w:rsidRDefault="00025F5A" w:rsidP="0073024D">
      <w:pPr>
        <w:spacing w:after="0" w:line="240" w:lineRule="auto"/>
        <w:jc w:val="both"/>
        <w:rPr>
          <w:rFonts w:ascii="Verdana" w:hAnsi="Verdana"/>
        </w:rPr>
      </w:pPr>
    </w:p>
    <w:p w14:paraId="6B5C4618" w14:textId="77777777" w:rsidR="00025F5A" w:rsidRDefault="00025F5A" w:rsidP="0073024D">
      <w:pPr>
        <w:spacing w:after="0" w:line="240" w:lineRule="auto"/>
        <w:jc w:val="both"/>
        <w:rPr>
          <w:rFonts w:ascii="Verdana" w:hAnsi="Verdana"/>
        </w:rPr>
      </w:pPr>
    </w:p>
    <w:p w14:paraId="395A77F7" w14:textId="4E88A62F" w:rsidR="0073024D" w:rsidRPr="008E4F36" w:rsidRDefault="000601B1" w:rsidP="0073024D">
      <w:pPr>
        <w:spacing w:after="0" w:line="240" w:lineRule="auto"/>
        <w:jc w:val="both"/>
        <w:rPr>
          <w:rFonts w:ascii="Verdana" w:hAnsi="Verdana"/>
        </w:rPr>
      </w:pPr>
      <w:r w:rsidRPr="000601B1">
        <w:rPr>
          <w:rFonts w:ascii="Verdana" w:hAnsi="Verdana"/>
        </w:rPr>
        <w:t xml:space="preserve">Bogotá D.C., 09 </w:t>
      </w:r>
      <w:r>
        <w:rPr>
          <w:rFonts w:ascii="Verdana" w:hAnsi="Verdana"/>
        </w:rPr>
        <w:t>f</w:t>
      </w:r>
      <w:r w:rsidRPr="000601B1">
        <w:rPr>
          <w:rFonts w:ascii="Verdana" w:hAnsi="Verdana"/>
        </w:rPr>
        <w:t>ebrero 2026</w:t>
      </w:r>
      <w:r>
        <w:rPr>
          <w:rFonts w:ascii="Verdana" w:hAnsi="Verdana"/>
        </w:rPr>
        <w:t xml:space="preserve"> </w:t>
      </w:r>
    </w:p>
    <w:p w14:paraId="5EB9199E" w14:textId="012DAF05" w:rsidR="0073024D" w:rsidRPr="008E4F36" w:rsidRDefault="000601B1" w:rsidP="0073024D">
      <w:pPr>
        <w:spacing w:after="0" w:line="240" w:lineRule="auto"/>
        <w:jc w:val="both"/>
        <w:rPr>
          <w:rFonts w:ascii="Verdana" w:eastAsia="Calibri" w:hAnsi="Verdana" w:cs="Arial"/>
          <w:lang w:eastAsia="es-ES"/>
        </w:rPr>
      </w:pPr>
      <w:bookmarkStart w:id="0" w:name="_Hlk197462763"/>
      <w:bookmarkStart w:id="1" w:name="_Hlk197529996"/>
      <w:r w:rsidRPr="000601B1">
        <w:rPr>
          <w:rFonts w:ascii="Verdana" w:eastAsia="Calibri" w:hAnsi="Verdana" w:cs="Arial"/>
          <w:lang w:eastAsia="es-ES"/>
        </w:rPr>
        <w:drawing>
          <wp:anchor distT="0" distB="0" distL="114300" distR="114300" simplePos="0" relativeHeight="251659264" behindDoc="1" locked="0" layoutInCell="1" allowOverlap="1" wp14:anchorId="187F29E1" wp14:editId="56EF8576">
            <wp:simplePos x="0" y="0"/>
            <wp:positionH relativeFrom="column">
              <wp:posOffset>3203050</wp:posOffset>
            </wp:positionH>
            <wp:positionV relativeFrom="paragraph">
              <wp:posOffset>50221</wp:posOffset>
            </wp:positionV>
            <wp:extent cx="3190240" cy="990600"/>
            <wp:effectExtent l="0" t="0" r="0" b="0"/>
            <wp:wrapTight wrapText="bothSides">
              <wp:wrapPolygon edited="0">
                <wp:start x="0" y="0"/>
                <wp:lineTo x="0" y="21185"/>
                <wp:lineTo x="21411" y="21185"/>
                <wp:lineTo x="21411" y="0"/>
                <wp:lineTo x="0" y="0"/>
              </wp:wrapPolygon>
            </wp:wrapTight>
            <wp:docPr id="11287416" name="Imagen 1" descr="Interfaz de usuario gráfica, Texto,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7416" name="Imagen 1" descr="Interfaz de usuario gráfica, Texto, Chat o mensaje de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90240" cy="990600"/>
                    </a:xfrm>
                    <a:prstGeom prst="rect">
                      <a:avLst/>
                    </a:prstGeom>
                  </pic:spPr>
                </pic:pic>
              </a:graphicData>
            </a:graphic>
            <wp14:sizeRelH relativeFrom="margin">
              <wp14:pctWidth>0</wp14:pctWidth>
            </wp14:sizeRelH>
          </wp:anchor>
        </w:drawing>
      </w:r>
    </w:p>
    <w:p w14:paraId="7E18A8E6" w14:textId="351D5B1E" w:rsidR="0073024D" w:rsidRDefault="0073024D" w:rsidP="0073024D">
      <w:pPr>
        <w:spacing w:after="0" w:line="240" w:lineRule="auto"/>
        <w:jc w:val="both"/>
        <w:rPr>
          <w:rFonts w:ascii="Verdana" w:eastAsia="Calibri" w:hAnsi="Verdana" w:cs="Arial"/>
          <w:lang w:eastAsia="es-ES"/>
        </w:rPr>
      </w:pPr>
    </w:p>
    <w:p w14:paraId="45A74096" w14:textId="6DF8E9C9" w:rsidR="000601B1" w:rsidRDefault="000601B1" w:rsidP="0073024D">
      <w:pPr>
        <w:spacing w:after="0" w:line="240" w:lineRule="auto"/>
        <w:jc w:val="both"/>
        <w:rPr>
          <w:rFonts w:ascii="Verdana" w:eastAsia="Calibri" w:hAnsi="Verdana" w:cs="Arial"/>
          <w:lang w:eastAsia="es-ES"/>
        </w:rPr>
      </w:pPr>
    </w:p>
    <w:p w14:paraId="1F1AA080" w14:textId="77777777" w:rsidR="000601B1" w:rsidRDefault="000601B1" w:rsidP="0073024D">
      <w:pPr>
        <w:spacing w:after="0" w:line="240" w:lineRule="auto"/>
        <w:jc w:val="both"/>
        <w:rPr>
          <w:rFonts w:ascii="Verdana" w:eastAsia="Calibri" w:hAnsi="Verdana" w:cs="Arial"/>
          <w:lang w:eastAsia="es-ES"/>
        </w:rPr>
      </w:pPr>
    </w:p>
    <w:p w14:paraId="13146BFB" w14:textId="77777777" w:rsidR="0073024D" w:rsidRPr="008E4F36" w:rsidRDefault="0073024D" w:rsidP="0073024D">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117F295E" w14:textId="7EDE923E" w:rsidR="0073024D" w:rsidRPr="000F2158" w:rsidRDefault="0073024D" w:rsidP="0073024D">
      <w:pPr>
        <w:spacing w:after="0" w:line="240" w:lineRule="auto"/>
        <w:jc w:val="both"/>
        <w:rPr>
          <w:rFonts w:ascii="Verdana" w:eastAsia="Calibri" w:hAnsi="Verdana" w:cs="Arial"/>
          <w:b/>
          <w:highlight w:val="yellow"/>
          <w:lang w:eastAsia="es-ES_tradnl"/>
        </w:rPr>
      </w:pPr>
      <w:r w:rsidRPr="006E088F">
        <w:rPr>
          <w:rFonts w:ascii="Verdana" w:eastAsia="Calibri" w:hAnsi="Verdana" w:cs="Arial"/>
          <w:b/>
          <w:lang w:eastAsia="es-ES_tradnl"/>
        </w:rPr>
        <w:t>Andrés Felipe</w:t>
      </w:r>
      <w:r>
        <w:rPr>
          <w:rFonts w:ascii="Verdana" w:eastAsia="Calibri" w:hAnsi="Verdana" w:cs="Arial"/>
          <w:b/>
          <w:lang w:eastAsia="es-ES_tradnl"/>
        </w:rPr>
        <w:t xml:space="preserve"> </w:t>
      </w:r>
      <w:r w:rsidRPr="006E088F">
        <w:rPr>
          <w:rFonts w:ascii="Verdana" w:eastAsia="Calibri" w:hAnsi="Verdana" w:cs="Arial"/>
          <w:b/>
          <w:lang w:eastAsia="es-ES_tradnl"/>
        </w:rPr>
        <w:t>Guzm</w:t>
      </w:r>
      <w:r w:rsidR="005A6FB0">
        <w:rPr>
          <w:rFonts w:ascii="Verdana" w:eastAsia="Calibri" w:hAnsi="Verdana" w:cs="Arial"/>
          <w:b/>
          <w:lang w:eastAsia="es-ES_tradnl"/>
        </w:rPr>
        <w:t>á</w:t>
      </w:r>
      <w:r w:rsidRPr="006E088F">
        <w:rPr>
          <w:rFonts w:ascii="Verdana" w:eastAsia="Calibri" w:hAnsi="Verdana" w:cs="Arial"/>
          <w:b/>
          <w:lang w:eastAsia="es-ES_tradnl"/>
        </w:rPr>
        <w:t>n Rojas</w:t>
      </w:r>
      <w:r>
        <w:rPr>
          <w:rFonts w:ascii="Verdana" w:eastAsia="Calibri" w:hAnsi="Verdana" w:cs="Arial"/>
          <w:b/>
          <w:lang w:eastAsia="es-ES_tradnl"/>
        </w:rPr>
        <w:t xml:space="preserve">  </w:t>
      </w:r>
    </w:p>
    <w:p w14:paraId="5662C2EE" w14:textId="77777777" w:rsidR="0073024D" w:rsidRPr="009252E0" w:rsidRDefault="0073024D" w:rsidP="0073024D">
      <w:pPr>
        <w:spacing w:after="0" w:line="240" w:lineRule="auto"/>
        <w:jc w:val="both"/>
        <w:rPr>
          <w:rFonts w:ascii="Verdana" w:eastAsia="Calibri" w:hAnsi="Verdana" w:cs="Arial"/>
          <w:highlight w:val="yellow"/>
          <w:lang w:eastAsia="es-ES_tradnl"/>
        </w:rPr>
      </w:pPr>
      <w:hyperlink r:id="rId11" w:history="1">
        <w:r w:rsidRPr="009252E0">
          <w:rPr>
            <w:rStyle w:val="Hipervnculo"/>
            <w:rFonts w:ascii="Verdana" w:eastAsia="Calibri" w:hAnsi="Verdana" w:cs="Arial"/>
            <w:lang w:eastAsia="es-ES_tradnl"/>
          </w:rPr>
          <w:t>santiago.cardenas@gobiernobogota.gov.co</w:t>
        </w:r>
      </w:hyperlink>
      <w:r w:rsidRPr="009252E0">
        <w:rPr>
          <w:rFonts w:ascii="Verdana" w:eastAsia="Calibri" w:hAnsi="Verdana" w:cs="Arial"/>
          <w:lang w:eastAsia="es-ES_tradnl"/>
        </w:rPr>
        <w:t xml:space="preserve"> </w:t>
      </w:r>
    </w:p>
    <w:p w14:paraId="25DCFEC0" w14:textId="77777777" w:rsidR="0073024D" w:rsidRPr="006E088F" w:rsidRDefault="0073024D" w:rsidP="0073024D">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2A25E0DF" w14:textId="77777777" w:rsidR="0073024D" w:rsidRPr="005B4C57" w:rsidRDefault="0073024D" w:rsidP="0073024D">
      <w:pPr>
        <w:spacing w:after="0" w:line="240" w:lineRule="auto"/>
        <w:jc w:val="both"/>
        <w:rPr>
          <w:rFonts w:ascii="Verdana" w:eastAsia="Calibri" w:hAnsi="Verdana" w:cs="Arial"/>
          <w:b/>
          <w:bCs/>
          <w:color w:val="000000"/>
          <w:lang w:val="it-CH" w:eastAsia="es-ES_tradnl"/>
        </w:rPr>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528"/>
      </w:tblGrid>
      <w:tr w:rsidR="0073024D" w:rsidRPr="002842E0" w14:paraId="4D6F7FBA" w14:textId="77777777" w:rsidTr="00591044">
        <w:trPr>
          <w:trHeight w:val="162"/>
        </w:trPr>
        <w:tc>
          <w:tcPr>
            <w:tcW w:w="3119" w:type="dxa"/>
          </w:tcPr>
          <w:p w14:paraId="0A308BAE" w14:textId="77777777" w:rsidR="0073024D" w:rsidRPr="005B4C57" w:rsidRDefault="0073024D" w:rsidP="00A024CB">
            <w:pPr>
              <w:jc w:val="both"/>
              <w:rPr>
                <w:rFonts w:ascii="Verdana" w:eastAsia="Calibri" w:hAnsi="Verdana" w:cs="Arial"/>
                <w:b/>
                <w:bCs/>
                <w:color w:val="7030A0"/>
                <w:lang w:val="it-CH" w:eastAsia="es-ES_tradnl"/>
              </w:rPr>
            </w:pPr>
          </w:p>
        </w:tc>
        <w:tc>
          <w:tcPr>
            <w:tcW w:w="5528" w:type="dxa"/>
          </w:tcPr>
          <w:p w14:paraId="036B3C53" w14:textId="77777777" w:rsidR="0073024D" w:rsidRPr="00801462" w:rsidRDefault="0073024D" w:rsidP="00A024CB">
            <w:pPr>
              <w:jc w:val="both"/>
              <w:rPr>
                <w:rFonts w:ascii="Verdana" w:eastAsia="Calibri" w:hAnsi="Verdana" w:cs="Arial"/>
                <w:b/>
                <w:bCs/>
                <w:lang w:eastAsia="es-ES"/>
              </w:rPr>
            </w:pPr>
            <w:r w:rsidRPr="00083AB6">
              <w:rPr>
                <w:rFonts w:ascii="Verdana" w:eastAsia="Calibri" w:hAnsi="Verdana" w:cs="Arial"/>
                <w:b/>
                <w:bCs/>
                <w:lang w:eastAsia="es-ES"/>
              </w:rPr>
              <w:t>Concepto C- 1</w:t>
            </w:r>
            <w:r>
              <w:rPr>
                <w:rFonts w:ascii="Verdana" w:eastAsia="Calibri" w:hAnsi="Verdana" w:cs="Arial"/>
                <w:b/>
                <w:bCs/>
                <w:lang w:eastAsia="es-ES"/>
              </w:rPr>
              <w:t>876</w:t>
            </w:r>
            <w:r w:rsidRPr="00083AB6">
              <w:rPr>
                <w:rFonts w:ascii="Verdana" w:eastAsia="Calibri" w:hAnsi="Verdana" w:cs="Arial"/>
                <w:b/>
                <w:bCs/>
                <w:lang w:eastAsia="es-ES"/>
              </w:rPr>
              <w:t xml:space="preserve"> de 2025</w:t>
            </w:r>
          </w:p>
          <w:p w14:paraId="43F5F2C6" w14:textId="77777777" w:rsidR="0073024D" w:rsidRPr="00801462" w:rsidRDefault="0073024D" w:rsidP="00A024CB">
            <w:pPr>
              <w:jc w:val="both"/>
              <w:rPr>
                <w:rFonts w:ascii="Verdana" w:eastAsia="Calibri" w:hAnsi="Verdana" w:cs="Arial"/>
                <w:b/>
                <w:bCs/>
                <w:color w:val="7030A0"/>
                <w:lang w:eastAsia="es-ES"/>
              </w:rPr>
            </w:pPr>
          </w:p>
        </w:tc>
      </w:tr>
      <w:tr w:rsidR="0073024D" w:rsidRPr="002842E0" w14:paraId="053A0321" w14:textId="77777777" w:rsidTr="00591044">
        <w:trPr>
          <w:trHeight w:val="884"/>
        </w:trPr>
        <w:tc>
          <w:tcPr>
            <w:tcW w:w="3119" w:type="dxa"/>
          </w:tcPr>
          <w:p w14:paraId="4983EEB1" w14:textId="77777777" w:rsidR="0073024D" w:rsidRPr="00801462" w:rsidRDefault="0073024D" w:rsidP="00A024C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528" w:type="dxa"/>
          </w:tcPr>
          <w:p w14:paraId="065DFDE0" w14:textId="6F115D2C" w:rsidR="002B7721" w:rsidRPr="0061296B" w:rsidRDefault="00DC69DF" w:rsidP="009252E0">
            <w:pPr>
              <w:spacing w:line="276" w:lineRule="auto"/>
              <w:contextualSpacing/>
              <w:jc w:val="both"/>
              <w:rPr>
                <w:rFonts w:ascii="Verdana" w:eastAsia="Times New Roman" w:hAnsi="Verdana" w:cs="Arial"/>
                <w:lang w:val="es-ES" w:eastAsia="es-ES_tradnl"/>
              </w:rPr>
            </w:pPr>
            <w:r w:rsidRPr="00CA5AD6">
              <w:rPr>
                <w:rFonts w:ascii="Verdana" w:eastAsia="Times New Roman" w:hAnsi="Verdana" w:cs="Arial"/>
                <w:lang w:val="es-ES_tradnl" w:eastAsia="es-MX"/>
              </w:rPr>
              <w:t xml:space="preserve">REQUISITOS HABILITANTES – Concepto / REQUISITOS HABILITANTES – </w:t>
            </w:r>
            <w:r w:rsidRPr="00CA5AD6">
              <w:rPr>
                <w:rFonts w:ascii="Verdana" w:hAnsi="Verdana" w:cs="Arial"/>
                <w:bCs/>
              </w:rPr>
              <w:t xml:space="preserve">Acreditación – RUP – Otros documentos </w:t>
            </w:r>
            <w:r w:rsidRPr="00CA5AD6">
              <w:rPr>
                <w:rFonts w:ascii="Verdana" w:eastAsia="Times New Roman" w:hAnsi="Verdana" w:cs="Arial"/>
                <w:lang w:val="es-ES_tradnl" w:eastAsia="es-MX"/>
              </w:rPr>
              <w:t xml:space="preserve">/ </w:t>
            </w:r>
            <w:r>
              <w:rPr>
                <w:rFonts w:ascii="Verdana" w:eastAsia="Times New Roman" w:hAnsi="Verdana" w:cs="Arial"/>
                <w:lang w:val="es-ES_tradnl" w:eastAsia="es-MX"/>
              </w:rPr>
              <w:t>CAPACIDAD</w:t>
            </w:r>
            <w:r w:rsidRPr="00CA5AD6">
              <w:rPr>
                <w:rFonts w:ascii="Verdana" w:eastAsia="Times New Roman" w:hAnsi="Verdana" w:cs="Arial"/>
                <w:lang w:val="es-ES_tradnl" w:eastAsia="es-MX"/>
              </w:rPr>
              <w:t xml:space="preserve"> </w:t>
            </w:r>
            <w:r>
              <w:rPr>
                <w:rFonts w:ascii="Verdana" w:eastAsia="Times New Roman" w:hAnsi="Verdana" w:cs="Arial"/>
                <w:lang w:val="es-ES_tradnl" w:eastAsia="es-MX"/>
              </w:rPr>
              <w:t xml:space="preserve">JURÍDICA – Noción / </w:t>
            </w:r>
            <w:r w:rsidR="00C213C7">
              <w:rPr>
                <w:rFonts w:ascii="Verdana" w:eastAsia="Times New Roman" w:hAnsi="Verdana" w:cs="Arial"/>
                <w:lang w:val="es-ES_tradnl" w:eastAsia="es-MX"/>
              </w:rPr>
              <w:t>CAPACIDAD</w:t>
            </w:r>
            <w:r w:rsidR="00C213C7" w:rsidRPr="00CA5AD6">
              <w:rPr>
                <w:rFonts w:ascii="Verdana" w:eastAsia="Times New Roman" w:hAnsi="Verdana" w:cs="Arial"/>
                <w:lang w:val="es-ES_tradnl" w:eastAsia="es-MX"/>
              </w:rPr>
              <w:t xml:space="preserve"> </w:t>
            </w:r>
            <w:r w:rsidR="00C213C7">
              <w:rPr>
                <w:rFonts w:ascii="Verdana" w:eastAsia="Times New Roman" w:hAnsi="Verdana" w:cs="Arial"/>
                <w:lang w:val="es-ES_tradnl" w:eastAsia="es-MX"/>
              </w:rPr>
              <w:t>JURÍDICA – Régimen de inhabilidades e incompatibilidades / CAPACIDAD</w:t>
            </w:r>
            <w:r w:rsidR="00C213C7" w:rsidRPr="00CA5AD6">
              <w:rPr>
                <w:rFonts w:ascii="Verdana" w:eastAsia="Times New Roman" w:hAnsi="Verdana" w:cs="Arial"/>
                <w:lang w:val="es-ES_tradnl" w:eastAsia="es-MX"/>
              </w:rPr>
              <w:t xml:space="preserve"> </w:t>
            </w:r>
            <w:r w:rsidR="00C213C7">
              <w:rPr>
                <w:rFonts w:ascii="Verdana" w:eastAsia="Times New Roman" w:hAnsi="Verdana" w:cs="Arial"/>
                <w:lang w:val="es-ES_tradnl" w:eastAsia="es-MX"/>
              </w:rPr>
              <w:t>JURÍDICA</w:t>
            </w:r>
            <w:r w:rsidR="00535BC7">
              <w:rPr>
                <w:rFonts w:ascii="Verdana" w:eastAsia="Times New Roman" w:hAnsi="Verdana" w:cs="Arial"/>
                <w:lang w:val="es-ES_tradnl" w:eastAsia="es-MX"/>
              </w:rPr>
              <w:t xml:space="preserve"> –</w:t>
            </w:r>
            <w:r>
              <w:rPr>
                <w:rFonts w:ascii="Verdana" w:eastAsia="Times New Roman" w:hAnsi="Verdana" w:cs="Arial"/>
                <w:lang w:val="es-ES_tradnl" w:eastAsia="es-MX"/>
              </w:rPr>
              <w:t xml:space="preserve"> </w:t>
            </w:r>
            <w:r w:rsidRPr="00CA5AD6">
              <w:rPr>
                <w:rFonts w:ascii="Verdana" w:eastAsia="Times New Roman" w:hAnsi="Verdana" w:cs="Arial"/>
                <w:lang w:val="es-ES_tradnl" w:eastAsia="es-MX"/>
              </w:rPr>
              <w:t>Forma de acreditación</w:t>
            </w:r>
            <w:r w:rsidRPr="00CA5AD6">
              <w:rPr>
                <w:rFonts w:ascii="Verdana" w:eastAsia="Calibri" w:hAnsi="Verdana" w:cs="Arial"/>
                <w:lang w:val="es-ES" w:eastAsia="es-ES"/>
              </w:rPr>
              <w:t xml:space="preserve"> </w:t>
            </w:r>
            <w:r w:rsidRPr="00CA5AD6">
              <w:rPr>
                <w:rFonts w:ascii="Verdana" w:eastAsia="Times New Roman" w:hAnsi="Verdana" w:cs="Arial"/>
                <w:lang w:val="es-ES_tradnl" w:eastAsia="es-MX"/>
              </w:rPr>
              <w:t>–</w:t>
            </w:r>
            <w:r w:rsidR="00C213C7">
              <w:rPr>
                <w:rFonts w:ascii="Verdana" w:eastAsia="Times New Roman" w:hAnsi="Verdana" w:cs="Arial"/>
                <w:lang w:val="es-ES_tradnl" w:eastAsia="es-MX"/>
              </w:rPr>
              <w:t xml:space="preserve"> </w:t>
            </w:r>
            <w:r w:rsidR="00535BC7">
              <w:rPr>
                <w:rFonts w:ascii="Verdana" w:eastAsia="Times New Roman" w:hAnsi="Verdana" w:cs="Arial"/>
                <w:lang w:val="es-ES_tradnl" w:eastAsia="es-MX"/>
              </w:rPr>
              <w:t>Documentos adicionales al RUP – Exigibilidad</w:t>
            </w:r>
            <w:r w:rsidRPr="00CA5AD6">
              <w:rPr>
                <w:rFonts w:ascii="Verdana" w:eastAsia="Times New Roman" w:hAnsi="Verdana" w:cs="Arial"/>
                <w:lang w:val="es-ES_tradnl" w:eastAsia="es-MX"/>
              </w:rPr>
              <w:t xml:space="preserve"> </w:t>
            </w:r>
          </w:p>
          <w:p w14:paraId="028A0DA4" w14:textId="77777777" w:rsidR="0073024D" w:rsidRPr="009252E0" w:rsidRDefault="0073024D" w:rsidP="00A024CB">
            <w:pPr>
              <w:jc w:val="both"/>
              <w:rPr>
                <w:rFonts w:ascii="Verdana" w:eastAsia="Calibri" w:hAnsi="Verdana" w:cs="Arial"/>
                <w:lang w:val="es-ES" w:eastAsia="es-ES"/>
              </w:rPr>
            </w:pPr>
          </w:p>
        </w:tc>
      </w:tr>
      <w:tr w:rsidR="0073024D" w:rsidRPr="002842E0" w14:paraId="7E8F2082" w14:textId="77777777" w:rsidTr="00591044">
        <w:tc>
          <w:tcPr>
            <w:tcW w:w="3119" w:type="dxa"/>
          </w:tcPr>
          <w:p w14:paraId="1D96C576" w14:textId="77777777" w:rsidR="0073024D" w:rsidRPr="00801462" w:rsidRDefault="0073024D" w:rsidP="00A024CB">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528" w:type="dxa"/>
          </w:tcPr>
          <w:p w14:paraId="3C21FA61" w14:textId="77777777" w:rsidR="0073024D" w:rsidRPr="00801462" w:rsidRDefault="0073024D" w:rsidP="00A024CB">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6E088F">
              <w:rPr>
                <w:rFonts w:ascii="Verdana" w:eastAsia="Calibri" w:hAnsi="Verdana" w:cs="Arial"/>
                <w:lang w:eastAsia="es-ES_tradnl"/>
              </w:rPr>
              <w:t>1_2025_12_30_014446</w:t>
            </w:r>
            <w:r>
              <w:rPr>
                <w:rFonts w:ascii="Verdana" w:eastAsia="Calibri" w:hAnsi="Verdana" w:cs="Arial"/>
                <w:lang w:eastAsia="es-ES_tradnl"/>
              </w:rPr>
              <w:t xml:space="preserve"> </w:t>
            </w:r>
          </w:p>
        </w:tc>
      </w:tr>
    </w:tbl>
    <w:p w14:paraId="53DF0579" w14:textId="77777777" w:rsidR="0073024D" w:rsidRDefault="0073024D" w:rsidP="0073024D">
      <w:pPr>
        <w:spacing w:after="0" w:line="276" w:lineRule="auto"/>
        <w:jc w:val="both"/>
        <w:rPr>
          <w:rFonts w:ascii="Verdana" w:eastAsia="Calibri" w:hAnsi="Verdana" w:cs="Arial"/>
          <w:lang w:eastAsia="es-ES_tradnl"/>
        </w:rPr>
      </w:pPr>
    </w:p>
    <w:p w14:paraId="2DE1E2AD" w14:textId="77777777" w:rsidR="0073024D" w:rsidRDefault="0073024D" w:rsidP="0073024D">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Guzman</w:t>
      </w:r>
      <w:r w:rsidRPr="00083AB6">
        <w:rPr>
          <w:rFonts w:ascii="Verdana" w:eastAsia="Calibri" w:hAnsi="Verdana" w:cs="Arial"/>
          <w:lang w:eastAsia="es-ES"/>
        </w:rPr>
        <w:t>:</w:t>
      </w:r>
      <w:r w:rsidRPr="008E4F36">
        <w:rPr>
          <w:rFonts w:ascii="Verdana" w:eastAsia="Calibri" w:hAnsi="Verdana" w:cs="Arial"/>
          <w:lang w:eastAsia="es-ES"/>
        </w:rPr>
        <w:t xml:space="preserve"> </w:t>
      </w:r>
    </w:p>
    <w:p w14:paraId="7D7C932A" w14:textId="77777777" w:rsidR="003C2D9F" w:rsidRPr="008E4F36" w:rsidRDefault="003C2D9F" w:rsidP="0073024D">
      <w:pPr>
        <w:spacing w:after="0" w:line="276" w:lineRule="auto"/>
        <w:jc w:val="both"/>
        <w:rPr>
          <w:rFonts w:ascii="Verdana" w:eastAsia="Calibri" w:hAnsi="Verdana" w:cs="Arial"/>
          <w:lang w:eastAsia="es-ES"/>
        </w:rPr>
      </w:pPr>
    </w:p>
    <w:p w14:paraId="672738CC" w14:textId="52A7C7A1" w:rsidR="003C2D9F" w:rsidRDefault="0073024D" w:rsidP="009252E0">
      <w:pPr>
        <w:spacing w:before="120" w:after="0" w:line="276" w:lineRule="auto"/>
        <w:jc w:val="both"/>
        <w:rPr>
          <w:rFonts w:ascii="Verdana" w:eastAsia="Calibri" w:hAnsi="Verdana" w:cs="Arial"/>
          <w:color w:val="000000"/>
          <w:lang w:eastAsia="es-ES"/>
        </w:rPr>
      </w:pPr>
      <w:r w:rsidRPr="003C2D9F">
        <w:rPr>
          <w:rFonts w:ascii="Verdana" w:eastAsia="Calibri" w:hAnsi="Verdana" w:cs="Arial"/>
          <w:lang w:eastAsia="es-ES"/>
        </w:rPr>
        <w:t>En ejercicio de la competencia otorgada por los artículos 3, numeral 5º, y 11, numeral 8º, del Decreto Ley 4170 de 2011, así como lo establecido en la Resolución 469 de 2025 expedida por esta Entidad, la Agencia Nacional de Contratación Pública – Colombia Compra Eficiente– responde su solicitud de consulta de fecha 30 de diciembre de 2025, en la cual manifiesta lo siguiente:</w:t>
      </w:r>
      <w:bookmarkStart w:id="2" w:name="_Hlk192699624"/>
      <w:bookmarkStart w:id="3" w:name="_Hlk199394899"/>
      <w:r w:rsidR="003C2D9F" w:rsidRPr="009252E0">
        <w:rPr>
          <w:rFonts w:ascii="Verdana" w:eastAsia="Century Gothic" w:hAnsi="Verdana" w:cs="Century Gothic"/>
        </w:rPr>
        <w:t xml:space="preserve"> </w:t>
      </w:r>
      <w:r w:rsidRPr="009252E0">
        <w:rPr>
          <w:rFonts w:ascii="Verdana" w:eastAsia="Century Gothic" w:hAnsi="Verdana" w:cs="Century Gothic"/>
          <w:i/>
          <w:iCs/>
        </w:rPr>
        <w:t>“</w:t>
      </w:r>
      <w:bookmarkEnd w:id="2"/>
      <w:bookmarkEnd w:id="3"/>
      <w:r w:rsidRPr="009252E0">
        <w:rPr>
          <w:rFonts w:ascii="Verdana" w:eastAsia="Century Gothic" w:hAnsi="Verdana" w:cs="Century Gothic"/>
          <w:i/>
          <w:iCs/>
        </w:rPr>
        <w:t>¿En un proceso de contratación público, una sociedad extranjera con sucursal en Colombia, debe acreditar la capacidad jurídica de los datos certificados en el RUP, únicamente con el certificado del Registro Único de Proponentes? O ¿es viable que la Entidad Estatal pida algún otro documento?”</w:t>
      </w:r>
      <w:r w:rsidR="003C2D9F">
        <w:rPr>
          <w:rFonts w:ascii="Verdana" w:eastAsia="Century Gothic" w:hAnsi="Verdana" w:cs="Century Gothic"/>
          <w:i/>
          <w:iCs/>
        </w:rPr>
        <w:t>.</w:t>
      </w:r>
      <w:r w:rsidRPr="009252E0">
        <w:rPr>
          <w:rFonts w:ascii="Verdana" w:eastAsia="Century Gothic" w:hAnsi="Verdana" w:cs="Century Gothic"/>
          <w:i/>
          <w:iCs/>
          <w:sz w:val="20"/>
          <w:szCs w:val="20"/>
        </w:rPr>
        <w:t xml:space="preserve"> </w:t>
      </w:r>
    </w:p>
    <w:p w14:paraId="76ECF544" w14:textId="3F422236" w:rsidR="0073024D" w:rsidRDefault="0073024D" w:rsidP="0073024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E4F36">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B8A2BAF" w14:textId="77777777" w:rsidR="0073024D" w:rsidRPr="00054383" w:rsidRDefault="0073024D" w:rsidP="0073024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EBACDAF" w14:textId="77777777" w:rsidR="0073024D" w:rsidRPr="008E4F36" w:rsidRDefault="0073024D" w:rsidP="0073024D">
      <w:pPr>
        <w:spacing w:after="0"/>
        <w:ind w:firstLine="709"/>
        <w:jc w:val="both"/>
        <w:rPr>
          <w:rFonts w:ascii="Verdana" w:eastAsia="Calibri" w:hAnsi="Verdana" w:cs="Arial"/>
          <w:color w:val="000000"/>
          <w:lang w:eastAsia="es-ES"/>
        </w:rPr>
      </w:pPr>
    </w:p>
    <w:p w14:paraId="5F71AF2E" w14:textId="77777777" w:rsidR="0073024D" w:rsidRDefault="0073024D" w:rsidP="0073024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275A5440" w14:textId="77777777" w:rsidR="0073024D" w:rsidRDefault="0073024D" w:rsidP="0073024D">
      <w:pPr>
        <w:spacing w:after="0" w:line="276" w:lineRule="auto"/>
        <w:jc w:val="both"/>
        <w:rPr>
          <w:rFonts w:ascii="Verdana" w:eastAsia="Calibri" w:hAnsi="Verdana" w:cs="Arial"/>
          <w:color w:val="000000"/>
          <w:highlight w:val="yellow"/>
          <w:lang w:eastAsia="es-ES"/>
        </w:rPr>
      </w:pPr>
    </w:p>
    <w:p w14:paraId="4F5EDB3D" w14:textId="7942197B" w:rsidR="0073024D" w:rsidRDefault="0073024D" w:rsidP="002B7721">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sidRPr="003B6746">
        <w:rPr>
          <w:rFonts w:ascii="Verdana" w:eastAsia="Calibri" w:hAnsi="Verdana" w:cs="Arial"/>
          <w:color w:val="000000"/>
          <w:lang w:eastAsia="es-ES"/>
        </w:rPr>
        <w:t>:</w:t>
      </w:r>
      <w:r w:rsidR="005D2AA6" w:rsidRPr="009252E0">
        <w:rPr>
          <w:rFonts w:ascii="Verdana" w:hAnsi="Verdana"/>
        </w:rPr>
        <w:t xml:space="preserve"> </w:t>
      </w:r>
      <w:r w:rsidR="007530FD" w:rsidRPr="009252E0">
        <w:rPr>
          <w:rFonts w:ascii="Verdana" w:hAnsi="Verdana"/>
        </w:rPr>
        <w:t xml:space="preserve">¿Puede </w:t>
      </w:r>
      <w:r w:rsidR="003B6746">
        <w:rPr>
          <w:rFonts w:ascii="Verdana" w:hAnsi="Verdana"/>
        </w:rPr>
        <w:t>una</w:t>
      </w:r>
      <w:r w:rsidR="007530FD" w:rsidRPr="009252E0">
        <w:rPr>
          <w:rFonts w:ascii="Verdana" w:hAnsi="Verdana"/>
        </w:rPr>
        <w:t xml:space="preserve"> Entidad Estatal requerir documentos distintos al certificado del RUP para verificar la capacidad jurídica de un</w:t>
      </w:r>
      <w:r w:rsidR="003B6746">
        <w:rPr>
          <w:rFonts w:ascii="Verdana" w:hAnsi="Verdana"/>
        </w:rPr>
        <w:t xml:space="preserve"> proponente </w:t>
      </w:r>
      <w:r w:rsidR="00B304DE">
        <w:rPr>
          <w:rFonts w:ascii="Verdana" w:hAnsi="Verdana"/>
        </w:rPr>
        <w:t xml:space="preserve">en </w:t>
      </w:r>
      <w:r w:rsidR="007530FD" w:rsidRPr="009252E0">
        <w:rPr>
          <w:rFonts w:ascii="Verdana" w:hAnsi="Verdana"/>
        </w:rPr>
        <w:t>un proceso de contratación pública?</w:t>
      </w:r>
    </w:p>
    <w:p w14:paraId="050D91A6" w14:textId="77777777" w:rsidR="0073024D" w:rsidRPr="00BD0538" w:rsidRDefault="0073024D" w:rsidP="0073024D">
      <w:pPr>
        <w:spacing w:after="0" w:line="276" w:lineRule="auto"/>
        <w:jc w:val="both"/>
        <w:rPr>
          <w:rFonts w:ascii="Verdana" w:eastAsia="Calibri" w:hAnsi="Verdana" w:cs="Arial"/>
          <w:color w:val="000000"/>
          <w:lang w:eastAsia="es-ES"/>
        </w:rPr>
      </w:pPr>
    </w:p>
    <w:p w14:paraId="749942A7" w14:textId="77777777" w:rsidR="0073024D" w:rsidRPr="008E4F36" w:rsidRDefault="0073024D" w:rsidP="0073024D">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369EE719" w14:textId="77777777" w:rsidR="0073024D" w:rsidRPr="008E4F36" w:rsidRDefault="0073024D" w:rsidP="0073024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3024D" w:rsidRPr="008E4F36" w14:paraId="6F167472" w14:textId="77777777" w:rsidTr="009252E0">
        <w:tc>
          <w:tcPr>
            <w:tcW w:w="8828" w:type="dxa"/>
          </w:tcPr>
          <w:p w14:paraId="74030436" w14:textId="7F860D87" w:rsidR="005014DB" w:rsidRPr="005014DB" w:rsidRDefault="005014DB" w:rsidP="002B7721">
            <w:pPr>
              <w:spacing w:after="120" w:line="276" w:lineRule="auto"/>
              <w:jc w:val="both"/>
              <w:rPr>
                <w:rFonts w:ascii="Verdana" w:hAnsi="Verdana"/>
              </w:rPr>
            </w:pPr>
            <w:r w:rsidRPr="005014DB">
              <w:rPr>
                <w:rFonts w:ascii="Verdana" w:hAnsi="Verdana"/>
              </w:rPr>
              <w:t>Sí. En los procesos de contratación en los que es obligatoria la inscripción en el Registro Único de Proponentes (RUP), las entidades estatales deben verificar los requisitos habilitantes —incluida la capacidad jurídica— con base en la información que allí reposa, pues el certificado constituye plena prueba de los datos registrados. No obstante, cuando el proceso está exceptuado de la exigencia del RUP, o cuando sea necesario complementar información que no repose en dicho registro, la entidad puede acudir a otros medios de verificación adecuados y proporcionales, definidos previamente en los documentos del proceso, con el fin de garantizar la selección objetiva y la libre concurrencia.</w:t>
            </w:r>
          </w:p>
          <w:p w14:paraId="32C57664" w14:textId="77777777" w:rsidR="005014DB" w:rsidRPr="005014DB" w:rsidRDefault="005014DB" w:rsidP="009252E0">
            <w:pPr>
              <w:spacing w:after="120" w:line="276" w:lineRule="auto"/>
              <w:ind w:firstLine="709"/>
              <w:jc w:val="both"/>
              <w:rPr>
                <w:rFonts w:ascii="Verdana" w:hAnsi="Verdana"/>
              </w:rPr>
            </w:pPr>
            <w:r w:rsidRPr="005014DB">
              <w:rPr>
                <w:rFonts w:ascii="Verdana" w:hAnsi="Verdana"/>
              </w:rPr>
              <w:lastRenderedPageBreak/>
              <w:t>En este sentido, aun en los procesos donde el RUP es requisito indispensable, su sola presentación puede no ser suficiente para acreditar integralmente la capacidad jurídica del proponente, especialmente frente a la ausencia de inhabilidades o incompatibilidades u otras circunstancias no consignadas en el registro. Por ello, resulta jurídicamente viable que la entidad estatal solicite documentos adicionales que complementen la información del RUP —como certificaciones, actas contractuales o facturas para verificar la experiencia— siempre que tales exigencias estén previstas de manera clara, objetiva y previa en los pliegos de condiciones o documento equivalente.</w:t>
            </w:r>
          </w:p>
          <w:p w14:paraId="09146940" w14:textId="5C5BAE06" w:rsidR="0073024D" w:rsidRPr="00BD0538" w:rsidRDefault="00D92DBF" w:rsidP="009252E0">
            <w:pPr>
              <w:spacing w:after="120" w:line="276" w:lineRule="auto"/>
              <w:ind w:firstLine="709"/>
              <w:jc w:val="both"/>
              <w:rPr>
                <w:rFonts w:ascii="Verdana" w:hAnsi="Verdana" w:cs="Arial"/>
                <w:color w:val="000000" w:themeColor="text1"/>
              </w:rPr>
            </w:pPr>
            <w:r w:rsidRPr="004F23CF">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0073024D">
              <w:rPr>
                <w:rFonts w:ascii="Verdana" w:hAnsi="Verdana" w:cs="Arial"/>
                <w:color w:val="000000" w:themeColor="text1"/>
              </w:rPr>
              <w:t xml:space="preserve"> </w:t>
            </w:r>
          </w:p>
        </w:tc>
      </w:tr>
    </w:tbl>
    <w:p w14:paraId="4B7E1C18" w14:textId="77777777" w:rsidR="0073024D" w:rsidRDefault="0073024D" w:rsidP="0073024D">
      <w:pPr>
        <w:tabs>
          <w:tab w:val="left" w:pos="142"/>
          <w:tab w:val="left" w:pos="284"/>
        </w:tabs>
        <w:spacing w:after="0" w:line="276" w:lineRule="auto"/>
        <w:jc w:val="both"/>
        <w:rPr>
          <w:rFonts w:ascii="Verdana" w:eastAsia="Century Gothic" w:hAnsi="Verdana" w:cs="Century Gothic"/>
          <w:b/>
          <w:bCs/>
        </w:rPr>
      </w:pPr>
    </w:p>
    <w:p w14:paraId="4008A71A" w14:textId="77777777" w:rsidR="0073024D" w:rsidRPr="008E4F36" w:rsidRDefault="0073024D" w:rsidP="0073024D">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6FF56E1" w14:textId="77777777" w:rsidR="0073024D" w:rsidRDefault="0073024D" w:rsidP="0073024D">
      <w:pPr>
        <w:pStyle w:val="Prrafodelista"/>
        <w:tabs>
          <w:tab w:val="left" w:pos="142"/>
          <w:tab w:val="left" w:pos="284"/>
        </w:tabs>
        <w:spacing w:after="0" w:line="276" w:lineRule="auto"/>
        <w:ind w:left="0"/>
        <w:contextualSpacing w:val="0"/>
        <w:jc w:val="both"/>
        <w:rPr>
          <w:rFonts w:ascii="Verdana" w:eastAsia="Calibri" w:hAnsi="Verdana" w:cs="Arial"/>
        </w:rPr>
      </w:pPr>
    </w:p>
    <w:p w14:paraId="2CB4C5B0" w14:textId="77777777" w:rsidR="0073024D" w:rsidRDefault="0073024D" w:rsidP="0073024D">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30C13942" w14:textId="77777777" w:rsidR="005014DB" w:rsidRDefault="005014DB" w:rsidP="009252E0">
      <w:pPr>
        <w:spacing w:after="0" w:line="276" w:lineRule="auto"/>
        <w:jc w:val="both"/>
        <w:rPr>
          <w:rFonts w:ascii="Verdana" w:hAnsi="Verdana" w:cs="Arial"/>
        </w:rPr>
      </w:pPr>
    </w:p>
    <w:p w14:paraId="7544B2DE" w14:textId="2CDC005F" w:rsidR="004B6F93" w:rsidRPr="009252E0" w:rsidRDefault="003C2D9F" w:rsidP="005014DB">
      <w:pPr>
        <w:spacing w:after="120" w:line="276" w:lineRule="auto"/>
        <w:jc w:val="both"/>
        <w:rPr>
          <w:rFonts w:ascii="Verdana" w:hAnsi="Verdana" w:cs="Arial"/>
        </w:rPr>
      </w:pPr>
      <w:r>
        <w:rPr>
          <w:rFonts w:ascii="Verdana" w:hAnsi="Verdana" w:cs="Arial"/>
        </w:rPr>
        <w:t xml:space="preserve">i. </w:t>
      </w:r>
      <w:r w:rsidR="004B6F93" w:rsidRPr="009252E0">
        <w:rPr>
          <w:rFonts w:ascii="Verdana" w:hAnsi="Verdana" w:cs="Arial"/>
        </w:rPr>
        <w:t xml:space="preserve">El artículo 5 de la Ley 1150 de 2007, establece que, dentro de los procesos de contratación, la escogencia del oferente se efectuará conforme al ofrecimiento más favorable a la entidad y a los fines que ella busca, sin tener en consideración factores de afecto o de interés y, en general, cualquier clase de motivación subjetiva. De esta manera, el numeral 1 del artículo referido indica que en los procesos de selección de contratistas serán objeto de verificación, como requisitos habilitantes, entre otros, los siguientes: i) la capacidad jurídica; ii) la experiencia; iii) la capacidad financiera; y iv) la capacidad de organización. </w:t>
      </w:r>
    </w:p>
    <w:p w14:paraId="1C39F57E" w14:textId="7313E9BA" w:rsidR="00085409" w:rsidRPr="00CA5AD6" w:rsidRDefault="00085409" w:rsidP="00085409">
      <w:pPr>
        <w:spacing w:after="120" w:line="276" w:lineRule="auto"/>
        <w:ind w:firstLine="709"/>
        <w:jc w:val="both"/>
        <w:rPr>
          <w:rFonts w:ascii="Verdana" w:eastAsia="Calibri" w:hAnsi="Verdana" w:cs="Arial"/>
          <w:lang w:val="es-ES" w:eastAsia="es-MX"/>
        </w:rPr>
      </w:pPr>
      <w:r w:rsidRPr="00CA5AD6">
        <w:rPr>
          <w:rFonts w:ascii="Verdana" w:eastAsia="Calibri" w:hAnsi="Verdana" w:cs="Arial"/>
          <w:lang w:val="es-ES" w:eastAsia="es-MX"/>
        </w:rPr>
        <w:t xml:space="preserve">Los requisitos habilitantes constituyen los requerimientos mínimos con los que deben cumplir los proponentes para participar en el procedimiento de selección, por tal razón éstos no se valoran con un puntaje tendiente a determinar el orden de escogencia, sino que se analizan como criterios previos </w:t>
      </w:r>
      <w:r w:rsidRPr="00CA5AD6">
        <w:rPr>
          <w:rFonts w:ascii="Verdana" w:eastAsia="Calibri" w:hAnsi="Verdana" w:cs="Arial"/>
          <w:lang w:val="es-ES" w:eastAsia="es-MX"/>
        </w:rPr>
        <w:lastRenderedPageBreak/>
        <w:t>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 al 4, de la Ley 1150 de 2007.</w:t>
      </w:r>
    </w:p>
    <w:p w14:paraId="2D05564F" w14:textId="6DA1DF43" w:rsidR="002D1DCD" w:rsidRPr="00542544" w:rsidRDefault="00BC60E9" w:rsidP="009252E0">
      <w:pPr>
        <w:spacing w:after="120" w:line="276" w:lineRule="auto"/>
        <w:ind w:firstLine="708"/>
        <w:jc w:val="both"/>
        <w:rPr>
          <w:rFonts w:ascii="Verdana" w:eastAsia="Calibri" w:hAnsi="Verdana" w:cs="Arial"/>
        </w:rPr>
      </w:pPr>
      <w:r>
        <w:rPr>
          <w:rFonts w:ascii="Verdana" w:hAnsi="Verdana" w:cs="Arial"/>
          <w:lang w:val="es-ES"/>
        </w:rPr>
        <w:t xml:space="preserve">La </w:t>
      </w:r>
      <w:r w:rsidR="002D1DCD" w:rsidRPr="009252E0">
        <w:rPr>
          <w:rFonts w:ascii="Verdana" w:hAnsi="Verdana" w:cs="Arial"/>
          <w:i/>
          <w:iCs/>
        </w:rPr>
        <w:t>capacidad jurídica</w:t>
      </w:r>
      <w:r w:rsidR="002D1DCD" w:rsidRPr="00542544">
        <w:rPr>
          <w:rFonts w:ascii="Verdana" w:hAnsi="Verdana" w:cs="Arial"/>
        </w:rPr>
        <w:t xml:space="preserve"> </w:t>
      </w:r>
      <w:r>
        <w:rPr>
          <w:rFonts w:ascii="Verdana" w:hAnsi="Verdana" w:cs="Arial"/>
        </w:rPr>
        <w:t>es uno</w:t>
      </w:r>
      <w:r w:rsidR="002D1DCD" w:rsidRPr="00542544">
        <w:rPr>
          <w:rFonts w:ascii="Verdana" w:hAnsi="Verdana" w:cs="Arial"/>
        </w:rPr>
        <w:t xml:space="preserve"> de los </w:t>
      </w:r>
      <w:r>
        <w:rPr>
          <w:rFonts w:ascii="Verdana" w:hAnsi="Verdana" w:cs="Arial"/>
        </w:rPr>
        <w:t xml:space="preserve">principales </w:t>
      </w:r>
      <w:r w:rsidR="002D1DCD" w:rsidRPr="00542544">
        <w:rPr>
          <w:rFonts w:ascii="Verdana" w:hAnsi="Verdana" w:cs="Arial"/>
        </w:rPr>
        <w:t>requisitos habilitantes que debe</w:t>
      </w:r>
      <w:r>
        <w:rPr>
          <w:rFonts w:ascii="Verdana" w:hAnsi="Verdana" w:cs="Arial"/>
        </w:rPr>
        <w:t>n</w:t>
      </w:r>
      <w:r w:rsidR="002D1DCD" w:rsidRPr="00542544">
        <w:rPr>
          <w:rFonts w:ascii="Verdana" w:hAnsi="Verdana" w:cs="Arial"/>
        </w:rPr>
        <w:t xml:space="preserve"> acreditar</w:t>
      </w:r>
      <w:r w:rsidR="004D1A15">
        <w:rPr>
          <w:rFonts w:ascii="Verdana" w:hAnsi="Verdana" w:cs="Arial"/>
        </w:rPr>
        <w:t xml:space="preserve"> quienes participan en procesos de contrataci</w:t>
      </w:r>
      <w:r w:rsidR="00214840">
        <w:rPr>
          <w:rFonts w:ascii="Verdana" w:hAnsi="Verdana" w:cs="Arial"/>
        </w:rPr>
        <w:t xml:space="preserve">ón, el cual </w:t>
      </w:r>
      <w:r w:rsidR="002D1DCD" w:rsidRPr="00542544">
        <w:rPr>
          <w:rFonts w:ascii="Verdana" w:hAnsi="Verdana" w:cs="Arial"/>
        </w:rPr>
        <w:t xml:space="preserve">comporta uno de los presupuestos del contrato estatal, pues se entiende como la aptitud de un sujeto para ser titular de derechos y obligaciones, de ejercer o exigir los primeros y contraer las segundas en forma personal, sumada la posibilidad de comparecer en juicio. La capacidad jurídica permite crear, modificar o extinguir relaciones jurídicas de forma voluntaria </w:t>
      </w:r>
      <w:r w:rsidR="002D1DCD" w:rsidRPr="00542544">
        <w:rPr>
          <w:rFonts w:ascii="Verdana" w:eastAsia="Calibri" w:hAnsi="Verdana" w:cs="Arial"/>
        </w:rPr>
        <w:t>y autónoma.</w:t>
      </w:r>
    </w:p>
    <w:p w14:paraId="5EA745A5" w14:textId="698CC908" w:rsidR="00CE5994" w:rsidRDefault="002D1DCD" w:rsidP="009252E0">
      <w:pPr>
        <w:spacing w:after="0" w:line="276" w:lineRule="auto"/>
        <w:ind w:firstLine="709"/>
        <w:jc w:val="both"/>
        <w:rPr>
          <w:rFonts w:ascii="Verdana" w:hAnsi="Verdana" w:cs="Arial"/>
          <w:i/>
          <w:iCs/>
        </w:rPr>
      </w:pPr>
      <w:r w:rsidRPr="00542544">
        <w:rPr>
          <w:rFonts w:ascii="Verdana" w:eastAsia="Calibri" w:hAnsi="Verdana" w:cs="Arial"/>
        </w:rPr>
        <w:t>D</w:t>
      </w:r>
      <w:r w:rsidRPr="00542544">
        <w:rPr>
          <w:rFonts w:ascii="Verdana" w:hAnsi="Verdana" w:cs="Arial"/>
        </w:rPr>
        <w:t xml:space="preserve">e acuerdo con el Código Civil, la capacidad se refiere a la facultad que la ley le confiere a la persona para ejercer derechos y contraer obligaciones, partiendo del supuesto de que todas las personas naturales mayores de edad son capaces, con excepción de aquellas que la ley expresamente excluye de esta presunción –artículos 1502, 1503 y 1504 </w:t>
      </w:r>
      <w:r w:rsidRPr="00542544">
        <w:rPr>
          <w:rFonts w:ascii="Verdana" w:hAnsi="Verdana" w:cs="Arial"/>
          <w:i/>
          <w:iCs/>
        </w:rPr>
        <w:t>ibidem</w:t>
      </w:r>
      <w:r w:rsidRPr="00542544">
        <w:rPr>
          <w:rFonts w:ascii="Verdana" w:hAnsi="Verdana" w:cs="Arial"/>
        </w:rPr>
        <w:t>–, y de que la capacidad de las personas jurídicas se circunscribe a su objeto social –artículo 99 del Código de Comercio–.</w:t>
      </w:r>
      <w:r w:rsidRPr="00542544">
        <w:rPr>
          <w:rFonts w:ascii="Verdana" w:hAnsi="Verdana"/>
        </w:rPr>
        <w:t xml:space="preserve"> </w:t>
      </w:r>
      <w:r w:rsidRPr="00542544">
        <w:rPr>
          <w:rFonts w:ascii="Verdana" w:hAnsi="Verdana" w:cs="Arial"/>
        </w:rPr>
        <w:t xml:space="preserve">Al respecto, el artículo 6 de la Ley 80 de 1993 </w:t>
      </w:r>
      <w:r w:rsidR="00214840">
        <w:rPr>
          <w:rFonts w:ascii="Verdana" w:hAnsi="Verdana" w:cs="Arial"/>
        </w:rPr>
        <w:t>–</w:t>
      </w:r>
      <w:r w:rsidRPr="00542544">
        <w:rPr>
          <w:rFonts w:ascii="Verdana" w:hAnsi="Verdana" w:cs="Arial"/>
        </w:rPr>
        <w:t>modificado por</w:t>
      </w:r>
      <w:r w:rsidRPr="00542544">
        <w:rPr>
          <w:rFonts w:ascii="Verdana" w:hAnsi="Verdana"/>
        </w:rPr>
        <w:t xml:space="preserve"> </w:t>
      </w:r>
      <w:r w:rsidRPr="00542544">
        <w:rPr>
          <w:rFonts w:ascii="Verdana" w:hAnsi="Verdana" w:cs="Arial"/>
        </w:rPr>
        <w:t>la Ley 2160 de 2021</w:t>
      </w:r>
      <w:r w:rsidR="00214840">
        <w:rPr>
          <w:rFonts w:ascii="Verdana" w:hAnsi="Verdana" w:cs="Arial"/>
        </w:rPr>
        <w:t>–</w:t>
      </w:r>
      <w:r w:rsidRPr="00542544">
        <w:rPr>
          <w:rFonts w:ascii="Verdana" w:hAnsi="Verdana" w:cs="Arial"/>
        </w:rPr>
        <w:t xml:space="preserve"> dispone que: </w:t>
      </w:r>
      <w:r w:rsidRPr="009252E0">
        <w:rPr>
          <w:rFonts w:ascii="Verdana" w:hAnsi="Verdana" w:cs="Arial"/>
          <w:i/>
          <w:iCs/>
        </w:rPr>
        <w:t>“Pueden celebrar contratos con las entidades estatales las personas consideradas legalmente capaces en las disposiciones vigentes</w:t>
      </w:r>
      <w:r w:rsidR="005937A5">
        <w:rPr>
          <w:rFonts w:ascii="Verdana" w:hAnsi="Verdana" w:cs="Arial"/>
          <w:i/>
          <w:iCs/>
        </w:rPr>
        <w:t>"</w:t>
      </w:r>
      <w:r w:rsidRPr="009252E0">
        <w:rPr>
          <w:rFonts w:ascii="Verdana" w:hAnsi="Verdana" w:cs="Arial"/>
          <w:i/>
          <w:iCs/>
        </w:rPr>
        <w:t xml:space="preserve">. </w:t>
      </w:r>
    </w:p>
    <w:p w14:paraId="0CC6FC15" w14:textId="77777777" w:rsidR="00045F28" w:rsidRDefault="00045F28" w:rsidP="009252E0">
      <w:pPr>
        <w:spacing w:after="0" w:line="276" w:lineRule="auto"/>
        <w:ind w:firstLine="709"/>
        <w:jc w:val="both"/>
        <w:rPr>
          <w:rFonts w:ascii="Verdana" w:hAnsi="Verdana" w:cs="Arial"/>
          <w:i/>
          <w:iCs/>
        </w:rPr>
      </w:pPr>
    </w:p>
    <w:p w14:paraId="41792041" w14:textId="21A3642F" w:rsidR="00A80331" w:rsidRPr="00911055" w:rsidRDefault="00A80331" w:rsidP="00A80331">
      <w:pPr>
        <w:pStyle w:val="Sinespaciado"/>
        <w:spacing w:after="120" w:line="276" w:lineRule="auto"/>
        <w:jc w:val="both"/>
        <w:rPr>
          <w:rFonts w:ascii="Verdana" w:hAnsi="Verdana" w:cs="Arial"/>
          <w:sz w:val="22"/>
        </w:rPr>
      </w:pPr>
      <w:r>
        <w:rPr>
          <w:rFonts w:ascii="Verdana" w:hAnsi="Verdana" w:cs="Arial"/>
        </w:rPr>
        <w:t>ii.</w:t>
      </w:r>
      <w:r w:rsidR="00045F28">
        <w:rPr>
          <w:rFonts w:ascii="Verdana" w:hAnsi="Verdana" w:cs="Arial"/>
        </w:rPr>
        <w:t xml:space="preserve"> </w:t>
      </w:r>
      <w:r>
        <w:rPr>
          <w:rFonts w:ascii="Verdana" w:hAnsi="Verdana" w:cs="Arial"/>
        </w:rPr>
        <w:t xml:space="preserve"> </w:t>
      </w:r>
      <w:r w:rsidRPr="00911055">
        <w:rPr>
          <w:rFonts w:ascii="Verdana" w:hAnsi="Verdana"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5ED74790" w14:textId="77777777" w:rsidR="00A80331" w:rsidRPr="00911055" w:rsidRDefault="00A80331" w:rsidP="00A80331">
      <w:pPr>
        <w:spacing w:line="276" w:lineRule="auto"/>
        <w:ind w:firstLine="709"/>
        <w:jc w:val="both"/>
        <w:rPr>
          <w:rFonts w:ascii="Verdana" w:hAnsi="Verdana" w:cs="Arial"/>
        </w:rPr>
      </w:pPr>
      <w:r w:rsidRPr="00911055">
        <w:rPr>
          <w:rFonts w:ascii="Verdana" w:hAnsi="Verdana" w:cs="Arial"/>
        </w:rPr>
        <w:t xml:space="preserve">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w:t>
      </w:r>
      <w:r w:rsidRPr="00911055">
        <w:rPr>
          <w:rFonts w:ascii="Verdana" w:hAnsi="Verdana" w:cs="Arial"/>
        </w:rPr>
        <w:lastRenderedPageBreak/>
        <w:t>a la falta de aptitud o a la carencia de una cualidad, calidad o requisito en el sujeto incapacitado quien por esta razón no podrá hacer parte de una relación contractual”</w:t>
      </w:r>
      <w:r w:rsidRPr="00911055">
        <w:rPr>
          <w:rStyle w:val="Refdenotaalpie"/>
          <w:rFonts w:ascii="Verdana" w:hAnsi="Verdana" w:cs="Arial"/>
        </w:rPr>
        <w:footnoteReference w:id="1"/>
      </w:r>
      <w:r w:rsidRPr="00911055">
        <w:rPr>
          <w:rFonts w:ascii="Verdana" w:hAnsi="Verdana" w:cs="Arial"/>
        </w:rPr>
        <w:t>.</w:t>
      </w:r>
    </w:p>
    <w:p w14:paraId="03E13E7A" w14:textId="77777777" w:rsidR="00A80331" w:rsidRPr="00911055" w:rsidRDefault="00A80331" w:rsidP="00A80331">
      <w:pPr>
        <w:pStyle w:val="Sinespaciado"/>
        <w:spacing w:line="276" w:lineRule="auto"/>
        <w:ind w:firstLine="709"/>
        <w:jc w:val="both"/>
        <w:rPr>
          <w:rFonts w:ascii="Verdana" w:hAnsi="Verdana" w:cs="Arial"/>
          <w:sz w:val="22"/>
        </w:rPr>
      </w:pPr>
      <w:r w:rsidRPr="00911055">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732675A8" w14:textId="77777777" w:rsidR="00A80331" w:rsidRPr="00911055" w:rsidRDefault="00A80331" w:rsidP="00A80331">
      <w:pPr>
        <w:pStyle w:val="Sinespaciado"/>
        <w:spacing w:line="276" w:lineRule="auto"/>
        <w:jc w:val="both"/>
        <w:rPr>
          <w:rFonts w:ascii="Verdana" w:hAnsi="Verdana" w:cs="Arial"/>
          <w:sz w:val="22"/>
        </w:rPr>
      </w:pPr>
    </w:p>
    <w:p w14:paraId="257C95BC" w14:textId="77777777" w:rsidR="00A80331" w:rsidRPr="00613100" w:rsidRDefault="00A80331" w:rsidP="00A80331">
      <w:pPr>
        <w:pStyle w:val="NormalWeb"/>
        <w:shd w:val="clear" w:color="auto" w:fill="FFFFFF"/>
        <w:spacing w:before="0" w:beforeAutospacing="0" w:after="120" w:afterAutospacing="0"/>
        <w:ind w:left="709" w:right="709"/>
        <w:jc w:val="both"/>
        <w:rPr>
          <w:rFonts w:ascii="Verdana" w:hAnsi="Verdana" w:cs="Arial"/>
          <w:sz w:val="20"/>
          <w:szCs w:val="20"/>
          <w:lang w:val="es-ES"/>
        </w:rPr>
      </w:pPr>
      <w:r w:rsidRPr="00613100">
        <w:rPr>
          <w:rFonts w:ascii="Verdana"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37890FC2" w14:textId="77777777" w:rsidR="00A80331" w:rsidRPr="00613100" w:rsidRDefault="00A80331" w:rsidP="00A80331">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613100">
        <w:rPr>
          <w:rFonts w:ascii="Verdana"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13100">
        <w:rPr>
          <w:rStyle w:val="Refdenotaalpie"/>
          <w:rFonts w:ascii="Verdana" w:hAnsi="Verdana" w:cs="Arial"/>
          <w:sz w:val="20"/>
          <w:szCs w:val="20"/>
          <w:lang w:val="es-ES"/>
        </w:rPr>
        <w:footnoteReference w:id="2"/>
      </w:r>
      <w:r w:rsidRPr="00613100">
        <w:rPr>
          <w:rFonts w:ascii="Verdana" w:hAnsi="Verdana" w:cs="Arial"/>
          <w:sz w:val="20"/>
          <w:szCs w:val="20"/>
          <w:lang w:val="es-ES"/>
        </w:rPr>
        <w:t>.</w:t>
      </w:r>
    </w:p>
    <w:p w14:paraId="202E63BD" w14:textId="77777777" w:rsidR="00A80331" w:rsidRPr="00911055" w:rsidRDefault="00A80331" w:rsidP="00A80331">
      <w:pPr>
        <w:pStyle w:val="NormalWeb"/>
        <w:shd w:val="clear" w:color="auto" w:fill="FFFFFF"/>
        <w:spacing w:before="0" w:beforeAutospacing="0" w:after="0" w:afterAutospacing="0"/>
        <w:ind w:left="709" w:right="709"/>
        <w:jc w:val="both"/>
        <w:rPr>
          <w:rFonts w:ascii="Verdana" w:hAnsi="Verdana" w:cs="Arial"/>
          <w:sz w:val="21"/>
          <w:szCs w:val="21"/>
          <w:lang w:val="es-ES"/>
        </w:rPr>
      </w:pPr>
    </w:p>
    <w:p w14:paraId="2EB51078" w14:textId="77777777" w:rsidR="00A80331" w:rsidRPr="00911055" w:rsidRDefault="00A80331" w:rsidP="00A80331">
      <w:pPr>
        <w:pStyle w:val="Sinespaciado"/>
        <w:spacing w:line="276" w:lineRule="auto"/>
        <w:ind w:firstLine="709"/>
        <w:jc w:val="both"/>
        <w:rPr>
          <w:rFonts w:ascii="Verdana" w:hAnsi="Verdana" w:cs="Arial"/>
          <w:sz w:val="22"/>
        </w:rPr>
      </w:pPr>
      <w:r w:rsidRPr="00911055">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w:t>
      </w:r>
      <w:r w:rsidRPr="00911055">
        <w:rPr>
          <w:rFonts w:ascii="Verdana" w:hAnsi="Verdana" w:cs="Arial"/>
          <w:sz w:val="22"/>
        </w:rPr>
        <w:lastRenderedPageBreak/>
        <w:t xml:space="preserve">justificadas en la salvaguarda del interés general y que su lectura e interpretación es taxativa y restrictiva: </w:t>
      </w:r>
    </w:p>
    <w:p w14:paraId="73459805" w14:textId="77777777" w:rsidR="00A80331" w:rsidRPr="00911055" w:rsidRDefault="00A80331" w:rsidP="00A80331">
      <w:pPr>
        <w:pStyle w:val="Sinespaciado"/>
        <w:spacing w:line="276" w:lineRule="auto"/>
        <w:ind w:firstLine="709"/>
        <w:jc w:val="both"/>
        <w:rPr>
          <w:rFonts w:ascii="Verdana" w:hAnsi="Verdana" w:cs="Arial"/>
          <w:sz w:val="22"/>
        </w:rPr>
      </w:pPr>
    </w:p>
    <w:p w14:paraId="4FE5DC25" w14:textId="77777777" w:rsidR="00A80331" w:rsidRPr="00613100" w:rsidRDefault="00A80331" w:rsidP="00A80331">
      <w:pPr>
        <w:spacing w:after="120" w:line="240" w:lineRule="auto"/>
        <w:ind w:left="709" w:right="709"/>
        <w:jc w:val="both"/>
        <w:rPr>
          <w:rFonts w:ascii="Verdana" w:hAnsi="Verdana" w:cs="Arial"/>
          <w:sz w:val="20"/>
          <w:szCs w:val="20"/>
        </w:rPr>
      </w:pPr>
      <w:r w:rsidRPr="00613100">
        <w:rPr>
          <w:rFonts w:ascii="Verdana" w:hAnsi="Verdana" w:cs="Arial"/>
          <w:sz w:val="20"/>
          <w:szCs w:val="20"/>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403B59AC" w14:textId="77777777" w:rsidR="00A80331" w:rsidRPr="00613100" w:rsidRDefault="00A80331" w:rsidP="00A80331">
      <w:pPr>
        <w:spacing w:after="0" w:line="240" w:lineRule="auto"/>
        <w:ind w:left="709" w:right="709"/>
        <w:jc w:val="both"/>
        <w:rPr>
          <w:rFonts w:ascii="Verdana" w:hAnsi="Verdana" w:cs="Arial"/>
          <w:sz w:val="20"/>
          <w:szCs w:val="20"/>
        </w:rPr>
      </w:pPr>
      <w:r w:rsidRPr="00613100">
        <w:rPr>
          <w:rFonts w:ascii="Verdana" w:hAnsi="Verdana" w:cs="Arial"/>
          <w:sz w:val="20"/>
          <w:szCs w:val="20"/>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13100">
        <w:rPr>
          <w:rStyle w:val="Refdenotaalpie"/>
          <w:rFonts w:ascii="Verdana" w:hAnsi="Verdana" w:cs="Arial"/>
          <w:sz w:val="20"/>
          <w:szCs w:val="20"/>
        </w:rPr>
        <w:footnoteReference w:id="3"/>
      </w:r>
      <w:r w:rsidRPr="00613100">
        <w:rPr>
          <w:rFonts w:ascii="Verdana" w:hAnsi="Verdana" w:cs="Arial"/>
          <w:sz w:val="20"/>
          <w:szCs w:val="20"/>
        </w:rPr>
        <w:t>.</w:t>
      </w:r>
    </w:p>
    <w:p w14:paraId="3FEBFA58" w14:textId="77777777" w:rsidR="00A80331" w:rsidRPr="00911055" w:rsidRDefault="00A80331" w:rsidP="00A80331">
      <w:pPr>
        <w:spacing w:after="0" w:line="240" w:lineRule="auto"/>
        <w:ind w:right="709"/>
        <w:jc w:val="both"/>
        <w:rPr>
          <w:rFonts w:ascii="Verdana" w:hAnsi="Verdana" w:cs="Arial"/>
        </w:rPr>
      </w:pPr>
    </w:p>
    <w:p w14:paraId="5AEFDA28" w14:textId="77777777" w:rsidR="00A80331" w:rsidRPr="00911055" w:rsidRDefault="00A80331" w:rsidP="003C2D9F">
      <w:pPr>
        <w:spacing w:after="0" w:line="276" w:lineRule="auto"/>
        <w:ind w:firstLine="709"/>
        <w:jc w:val="both"/>
        <w:rPr>
          <w:rFonts w:ascii="Verdana" w:hAnsi="Verdana" w:cs="Arial"/>
        </w:rPr>
      </w:pPr>
      <w:r w:rsidRPr="00911055">
        <w:rPr>
          <w:rFonts w:ascii="Verdana" w:hAnsi="Verdana"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3E9128B7" w14:textId="77777777" w:rsidR="00A80331" w:rsidRPr="00911055" w:rsidRDefault="00A80331" w:rsidP="00A80331">
      <w:pPr>
        <w:pStyle w:val="Sinespaciado"/>
        <w:tabs>
          <w:tab w:val="left" w:pos="1532"/>
        </w:tabs>
        <w:spacing w:line="276" w:lineRule="auto"/>
        <w:jc w:val="both"/>
        <w:rPr>
          <w:rFonts w:ascii="Verdana" w:hAnsi="Verdana" w:cs="Arial"/>
          <w:sz w:val="22"/>
        </w:rPr>
      </w:pPr>
    </w:p>
    <w:p w14:paraId="61D3DBCE" w14:textId="77777777" w:rsidR="00A80331" w:rsidRPr="00453762" w:rsidRDefault="00A80331" w:rsidP="00A80331">
      <w:pPr>
        <w:spacing w:after="0" w:line="240" w:lineRule="auto"/>
        <w:ind w:left="709" w:right="709"/>
        <w:jc w:val="both"/>
        <w:rPr>
          <w:rFonts w:ascii="Verdana" w:hAnsi="Verdana" w:cs="Arial"/>
          <w:sz w:val="20"/>
          <w:szCs w:val="20"/>
        </w:rPr>
      </w:pPr>
      <w:r w:rsidRPr="00453762">
        <w:rPr>
          <w:rFonts w:ascii="Verdana" w:hAnsi="Verdana" w:cs="Arial"/>
          <w:sz w:val="20"/>
          <w:szCs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453762">
        <w:rPr>
          <w:rFonts w:ascii="Verdana" w:hAnsi="Verdana" w:cs="Arial"/>
          <w:i/>
          <w:iCs/>
          <w:sz w:val="20"/>
          <w:szCs w:val="20"/>
        </w:rPr>
        <w:t>pro libertate</w:t>
      </w:r>
      <w:r w:rsidRPr="00453762">
        <w:rPr>
          <w:rFonts w:ascii="Verdana" w:hAnsi="Verdana" w:cs="Arial"/>
          <w:sz w:val="20"/>
          <w:szCs w:val="20"/>
        </w:rPr>
        <w:t xml:space="preserve">, sino el de legalidad, el que ordena que la función pública debe </w:t>
      </w:r>
      <w:r w:rsidRPr="00453762">
        <w:rPr>
          <w:rFonts w:ascii="Verdana" w:hAnsi="Verdana" w:cs="Arial"/>
          <w:sz w:val="20"/>
          <w:szCs w:val="20"/>
        </w:rPr>
        <w:lastRenderedPageBreak/>
        <w:t xml:space="preserve">someterse estrictamente a lo que disponga la Constitución y la ley (CP art. 6). </w:t>
      </w:r>
    </w:p>
    <w:p w14:paraId="17A45A2F" w14:textId="77777777" w:rsidR="00A80331" w:rsidRPr="00453762" w:rsidRDefault="00A80331" w:rsidP="00A80331">
      <w:pPr>
        <w:spacing w:after="120" w:line="240" w:lineRule="auto"/>
        <w:ind w:left="709" w:right="709"/>
        <w:jc w:val="both"/>
        <w:rPr>
          <w:rFonts w:ascii="Verdana" w:hAnsi="Verdana" w:cs="Arial"/>
          <w:sz w:val="20"/>
          <w:szCs w:val="20"/>
        </w:rPr>
      </w:pPr>
      <w:r w:rsidRPr="00453762">
        <w:rPr>
          <w:rFonts w:ascii="Verdana" w:hAnsi="Verdana" w:cs="Arial"/>
          <w:sz w:val="20"/>
          <w:szCs w:val="20"/>
        </w:rPr>
        <w:t xml:space="preserve">[…] </w:t>
      </w:r>
    </w:p>
    <w:p w14:paraId="17248994" w14:textId="77777777" w:rsidR="00A80331" w:rsidRPr="00453762" w:rsidRDefault="00A80331" w:rsidP="00A80331">
      <w:pPr>
        <w:spacing w:after="0" w:line="240" w:lineRule="auto"/>
        <w:ind w:left="709" w:right="709"/>
        <w:jc w:val="both"/>
        <w:rPr>
          <w:rFonts w:ascii="Verdana" w:hAnsi="Verdana" w:cs="Arial"/>
          <w:sz w:val="20"/>
          <w:szCs w:val="20"/>
        </w:rPr>
      </w:pPr>
      <w:r w:rsidRPr="00453762">
        <w:rPr>
          <w:rFonts w:ascii="Verdana" w:hAnsi="Verdana" w:cs="Arial"/>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53762">
        <w:rPr>
          <w:rStyle w:val="Refdenotaalpie"/>
          <w:rFonts w:ascii="Verdana" w:hAnsi="Verdana" w:cs="Arial"/>
          <w:sz w:val="20"/>
          <w:szCs w:val="20"/>
        </w:rPr>
        <w:footnoteReference w:id="4"/>
      </w:r>
      <w:r w:rsidRPr="00453762">
        <w:rPr>
          <w:rFonts w:ascii="Verdana" w:hAnsi="Verdana" w:cs="Arial"/>
          <w:sz w:val="20"/>
          <w:szCs w:val="20"/>
        </w:rPr>
        <w:t>.</w:t>
      </w:r>
    </w:p>
    <w:p w14:paraId="6FBEB7B2" w14:textId="77777777" w:rsidR="00A80331" w:rsidRPr="00911055" w:rsidRDefault="00A80331" w:rsidP="00A80331">
      <w:pPr>
        <w:spacing w:after="0" w:line="276" w:lineRule="auto"/>
        <w:ind w:left="709" w:right="709"/>
        <w:jc w:val="both"/>
        <w:rPr>
          <w:rFonts w:ascii="Verdana" w:hAnsi="Verdana" w:cs="Arial"/>
        </w:rPr>
      </w:pPr>
    </w:p>
    <w:p w14:paraId="029A2C11" w14:textId="77777777" w:rsidR="00A80331" w:rsidRPr="003C2D9F" w:rsidRDefault="00A80331" w:rsidP="003C2D9F">
      <w:pPr>
        <w:spacing w:line="276" w:lineRule="auto"/>
        <w:ind w:firstLine="709"/>
        <w:jc w:val="both"/>
        <w:rPr>
          <w:rFonts w:ascii="Verdana" w:hAnsi="Verdana" w:cs="Arial"/>
        </w:rPr>
      </w:pPr>
      <w:r w:rsidRPr="003C2D9F">
        <w:rPr>
          <w:rFonts w:ascii="Verdana" w:hAnsi="Verdana" w:cs="Arial"/>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3C2D9F">
        <w:rPr>
          <w:rStyle w:val="Refdenotaalpie"/>
          <w:rFonts w:ascii="Verdana" w:hAnsi="Verdana" w:cs="Arial"/>
        </w:rPr>
        <w:footnoteReference w:id="5"/>
      </w:r>
      <w:r w:rsidRPr="003C2D9F">
        <w:rPr>
          <w:rFonts w:ascii="Verdana" w:hAnsi="Verdana" w:cs="Arial"/>
        </w:rPr>
        <w:t>.</w:t>
      </w:r>
    </w:p>
    <w:p w14:paraId="6F993A26" w14:textId="77777777" w:rsidR="00A80331" w:rsidRPr="003C2D9F" w:rsidRDefault="00A80331" w:rsidP="003C2D9F">
      <w:pPr>
        <w:spacing w:before="120" w:after="120" w:line="276" w:lineRule="auto"/>
        <w:ind w:firstLine="709"/>
        <w:jc w:val="both"/>
        <w:rPr>
          <w:rFonts w:ascii="Verdana" w:hAnsi="Verdana" w:cs="Arial"/>
        </w:rPr>
      </w:pPr>
      <w:r w:rsidRPr="003C2D9F">
        <w:rPr>
          <w:rFonts w:ascii="Verdana"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4" w:name="_Hlk40976328"/>
      <w:r w:rsidRPr="003C2D9F">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4"/>
    </w:p>
    <w:p w14:paraId="6458C9ED" w14:textId="77777777" w:rsidR="00A80331" w:rsidRPr="003C2D9F" w:rsidRDefault="00A80331" w:rsidP="003C2D9F">
      <w:pPr>
        <w:spacing w:after="120" w:line="276" w:lineRule="auto"/>
        <w:ind w:firstLine="708"/>
        <w:jc w:val="both"/>
        <w:rPr>
          <w:rFonts w:ascii="Verdana" w:eastAsia="Calibri" w:hAnsi="Verdana" w:cs="Arial"/>
          <w:lang w:val="es-ES_tradnl"/>
        </w:rPr>
      </w:pPr>
      <w:r w:rsidRPr="003C2D9F">
        <w:rPr>
          <w:rFonts w:ascii="Verdana" w:eastAsia="Calibri" w:hAnsi="Verdana" w:cs="Arial"/>
          <w:i/>
          <w:iCs/>
          <w:lang w:val="es-ES_tradnl"/>
        </w:rPr>
        <w:t>Igualmente</w:t>
      </w:r>
      <w:r w:rsidRPr="003C2D9F">
        <w:rPr>
          <w:rFonts w:ascii="Verdana" w:eastAsia="Calibri" w:hAnsi="Verdana" w:cs="Arial"/>
          <w:lang w:val="es-ES_tradnl"/>
        </w:rPr>
        <w:t xml:space="preserve">, </w:t>
      </w:r>
      <w:bookmarkStart w:id="5" w:name="_Hlk135133412"/>
      <w:r w:rsidRPr="003C2D9F">
        <w:rPr>
          <w:rFonts w:ascii="Verdana" w:eastAsia="Calibri" w:hAnsi="Verdana" w:cs="Arial"/>
          <w:lang w:val="es-ES_tradnl"/>
        </w:rPr>
        <w:t xml:space="preserve">en la contratación estatal, la </w:t>
      </w:r>
      <w:r w:rsidRPr="003C2D9F">
        <w:rPr>
          <w:rFonts w:ascii="Verdana" w:eastAsia="Calibri" w:hAnsi="Verdana" w:cs="Arial"/>
          <w:i/>
          <w:iCs/>
          <w:lang w:val="es-ES_tradnl"/>
        </w:rPr>
        <w:t>capacidad</w:t>
      </w:r>
      <w:r w:rsidRPr="003C2D9F">
        <w:rPr>
          <w:rFonts w:ascii="Verdana" w:eastAsia="Calibri" w:hAnsi="Verdana" w:cs="Arial"/>
          <w:lang w:val="es-ES_tradnl"/>
        </w:rPr>
        <w:t xml:space="preserve"> también es un requisito de validez de los contratos, tanto en el régimen de las entidades sujetas </w:t>
      </w:r>
      <w:r w:rsidRPr="003C2D9F">
        <w:rPr>
          <w:rFonts w:ascii="Verdana" w:eastAsia="Calibri" w:hAnsi="Verdana" w:cs="Arial"/>
          <w:lang w:val="es-ES_tradnl"/>
        </w:rPr>
        <w:lastRenderedPageBreak/>
        <w:t>al Estatuto General de Contratación de la Administración Pública</w:t>
      </w:r>
      <w:r w:rsidRPr="003C2D9F">
        <w:rPr>
          <w:rStyle w:val="Refdenotaalpie"/>
          <w:rFonts w:ascii="Verdana" w:eastAsia="Calibri" w:hAnsi="Verdana" w:cs="Arial"/>
          <w:lang w:val="es-ES_tradnl"/>
        </w:rPr>
        <w:footnoteReference w:id="6"/>
      </w:r>
      <w:r w:rsidRPr="003C2D9F">
        <w:rPr>
          <w:rFonts w:ascii="Verdana" w:eastAsia="Calibri" w:hAnsi="Verdana" w:cs="Arial"/>
          <w:lang w:val="es-ES_tradnl"/>
        </w:rPr>
        <w:t xml:space="preserve"> como en el de las entidades exceptuadas de aquel</w:t>
      </w:r>
      <w:r w:rsidRPr="003C2D9F">
        <w:rPr>
          <w:rStyle w:val="Refdenotaalpie"/>
          <w:rFonts w:ascii="Verdana" w:eastAsia="Calibri" w:hAnsi="Verdana" w:cs="Arial"/>
          <w:lang w:val="es-ES_tradnl"/>
        </w:rPr>
        <w:footnoteReference w:id="7"/>
      </w:r>
      <w:r w:rsidRPr="003C2D9F">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3C2D9F">
        <w:rPr>
          <w:rStyle w:val="Refdenotaalpie"/>
          <w:rFonts w:ascii="Verdana" w:eastAsia="Calibri" w:hAnsi="Verdana" w:cs="Arial"/>
          <w:lang w:val="es-ES_tradnl"/>
        </w:rPr>
        <w:footnoteReference w:id="8"/>
      </w:r>
      <w:r w:rsidRPr="003C2D9F">
        <w:rPr>
          <w:rFonts w:ascii="Verdana" w:eastAsia="Calibri" w:hAnsi="Verdana" w:cs="Arial"/>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003C2D9F">
        <w:rPr>
          <w:rStyle w:val="Refdenotaalpie"/>
          <w:rFonts w:ascii="Verdana" w:eastAsia="Calibri" w:hAnsi="Verdana" w:cs="Arial"/>
          <w:lang w:val="es-ES_tradnl"/>
        </w:rPr>
        <w:footnoteReference w:id="9"/>
      </w:r>
      <w:r w:rsidRPr="003C2D9F">
        <w:rPr>
          <w:rFonts w:ascii="Verdana" w:eastAsia="Calibri" w:hAnsi="Verdana" w:cs="Arial"/>
          <w:lang w:val="es-ES_tradnl"/>
        </w:rPr>
        <w:t>.</w:t>
      </w:r>
    </w:p>
    <w:p w14:paraId="3D477F43" w14:textId="77777777" w:rsidR="00A80331" w:rsidRPr="003C2D9F" w:rsidRDefault="00A80331" w:rsidP="003C2D9F">
      <w:pPr>
        <w:spacing w:after="120" w:line="276" w:lineRule="auto"/>
        <w:ind w:firstLine="709"/>
        <w:jc w:val="both"/>
        <w:rPr>
          <w:rFonts w:ascii="Verdana" w:eastAsia="Calibri" w:hAnsi="Verdana" w:cs="Arial"/>
          <w:lang w:val="es-ES"/>
        </w:rPr>
      </w:pPr>
      <w:r w:rsidRPr="003C2D9F">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w:t>
      </w:r>
      <w:r w:rsidRPr="003C2D9F">
        <w:rPr>
          <w:rFonts w:ascii="Verdana" w:eastAsia="Calibri" w:hAnsi="Verdana" w:cs="Arial"/>
          <w:lang w:val="es-ES"/>
        </w:rPr>
        <w:lastRenderedPageBreak/>
        <w:t>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03C2D9F">
        <w:rPr>
          <w:rStyle w:val="Refdenotaalpie"/>
          <w:rFonts w:ascii="Verdana" w:eastAsia="Calibri" w:hAnsi="Verdana" w:cs="Arial"/>
          <w:lang w:val="es-ES"/>
        </w:rPr>
        <w:footnoteReference w:id="10"/>
      </w:r>
      <w:r w:rsidRPr="003C2D9F">
        <w:rPr>
          <w:rFonts w:ascii="Verdana" w:eastAsia="Calibri" w:hAnsi="Verdana" w:cs="Arial"/>
          <w:lang w:val="es-ES"/>
        </w:rPr>
        <w:t>.</w:t>
      </w:r>
    </w:p>
    <w:bookmarkEnd w:id="5"/>
    <w:p w14:paraId="7AE9F1F9" w14:textId="77777777" w:rsidR="00A80331" w:rsidRPr="003C2D9F" w:rsidRDefault="00A80331" w:rsidP="003C2D9F">
      <w:pPr>
        <w:spacing w:after="120" w:line="276" w:lineRule="auto"/>
        <w:ind w:firstLine="709"/>
        <w:jc w:val="both"/>
        <w:rPr>
          <w:rFonts w:ascii="Verdana" w:eastAsia="Calibri" w:hAnsi="Verdana" w:cs="Arial"/>
          <w:lang w:val="es-ES"/>
        </w:rPr>
      </w:pPr>
      <w:r w:rsidRPr="003C2D9F">
        <w:rPr>
          <w:rFonts w:ascii="Verdana" w:eastAsia="Calibri" w:hAnsi="Verdana" w:cs="Arial"/>
          <w:lang w:val="es-ES"/>
        </w:rPr>
        <w:t>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“neopunitiva”</w:t>
      </w:r>
      <w:r w:rsidRPr="003C2D9F">
        <w:rPr>
          <w:rStyle w:val="Refdenotaalpie"/>
          <w:rFonts w:ascii="Verdana" w:eastAsia="Calibri" w:hAnsi="Verdana" w:cs="Arial"/>
          <w:lang w:val="es-ES"/>
        </w:rPr>
        <w:footnoteReference w:id="11"/>
      </w:r>
      <w:r w:rsidRPr="003C2D9F">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364C4EDC" w14:textId="589B3578" w:rsidR="00A80331" w:rsidRPr="003C2D9F" w:rsidRDefault="00A80331" w:rsidP="003C2D9F">
      <w:pPr>
        <w:spacing w:after="120" w:line="276" w:lineRule="auto"/>
        <w:ind w:firstLine="708"/>
        <w:jc w:val="both"/>
        <w:rPr>
          <w:rFonts w:ascii="Verdana" w:eastAsia="Calibri" w:hAnsi="Verdana" w:cs="Arial"/>
          <w:lang w:val="es-ES_tradnl"/>
        </w:rPr>
      </w:pPr>
      <w:r w:rsidRPr="003C2D9F">
        <w:rPr>
          <w:rFonts w:ascii="Verdana" w:eastAsia="Calibri" w:hAnsi="Verdana" w:cs="Arial"/>
          <w:lang w:val="es-ES_tradnl"/>
        </w:rPr>
        <w:t xml:space="preserve">Ahora bien, el literal a) del artículo 8.1 de la Ley 80 de 1993 dispone que son inhábiles para participar procesos de selección y para celebrar contratos estatales “Las personas que se hallen inhabilitadas para contratar por la Constitución y las leyes”. De esta manera, el régimen de inhabilidades en el </w:t>
      </w:r>
      <w:r w:rsidRPr="003C2D9F">
        <w:rPr>
          <w:rFonts w:ascii="Verdana" w:eastAsia="Calibri" w:hAnsi="Verdana" w:cs="Arial"/>
          <w:lang w:val="es-ES_tradnl"/>
        </w:rPr>
        <w:lastRenderedPageBreak/>
        <w:t>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en virtud del artículo 6 del Decreto 092 de 2017, también hacen parte de los negocios jurídicos que se suscriban con las</w:t>
      </w:r>
      <w:r w:rsidR="00DF55E6" w:rsidRPr="003C2D9F">
        <w:rPr>
          <w:rFonts w:ascii="Verdana" w:eastAsia="Calibri" w:hAnsi="Verdana" w:cs="Arial"/>
          <w:lang w:val="es-ES_tradnl"/>
        </w:rPr>
        <w:t xml:space="preserve"> ESAL conforme a los artículos 355 constitucional o 96 de la Ley 489 de 1998</w:t>
      </w:r>
      <w:r w:rsidR="00DF55E6" w:rsidRPr="003C2D9F">
        <w:rPr>
          <w:rStyle w:val="Refdenotaalpie"/>
          <w:rFonts w:ascii="Verdana" w:eastAsia="Calibri" w:hAnsi="Verdana" w:cs="Arial"/>
          <w:lang w:val="es-ES_tradnl"/>
        </w:rPr>
        <w:footnoteReference w:id="12"/>
      </w:r>
      <w:r w:rsidR="00DF55E6" w:rsidRPr="003C2D9F">
        <w:rPr>
          <w:rFonts w:ascii="Verdana" w:eastAsia="Calibri" w:hAnsi="Verdana" w:cs="Arial"/>
          <w:lang w:val="es-ES_tradnl"/>
        </w:rPr>
        <w:t>.</w:t>
      </w:r>
    </w:p>
    <w:p w14:paraId="73600B1A" w14:textId="13165371" w:rsidR="00045F28" w:rsidRPr="009252E0" w:rsidRDefault="00045F28" w:rsidP="009252E0">
      <w:pPr>
        <w:spacing w:after="120" w:line="276" w:lineRule="auto"/>
        <w:ind w:firstLine="708"/>
        <w:jc w:val="both"/>
        <w:rPr>
          <w:rFonts w:ascii="Verdana" w:hAnsi="Verdana" w:cs="Arial"/>
        </w:rPr>
      </w:pPr>
      <w:r w:rsidRPr="003C2D9F">
        <w:rPr>
          <w:rFonts w:ascii="Verdana" w:hAnsi="Verdana" w:cs="Arial"/>
        </w:rPr>
        <w:t xml:space="preserve">En este contexto, la relación entre el régimen de inhabilidades e incompatibilidades y la capacidad jurídica para contratar con el Estado se manifiesta en que dichas figuras operan como </w:t>
      </w:r>
      <w:r w:rsidRPr="009252E0">
        <w:rPr>
          <w:rFonts w:ascii="Verdana" w:hAnsi="Verdana" w:cs="Arial"/>
        </w:rPr>
        <w:t>límites normativos específicos a la capacidad legal general</w:t>
      </w:r>
      <w:r w:rsidRPr="003C2D9F">
        <w:rPr>
          <w:rFonts w:ascii="Verdana" w:hAnsi="Verdana" w:cs="Arial"/>
        </w:rPr>
        <w:t xml:space="preserve">, de modo que, aun cuando una persona natural o jurídica sea titular de personalidad jurídica y, en abstracto, tenga aptitud para obligarse, la configuración de una causal de inhabilidad o incompatibilidad restringe de manera directa su </w:t>
      </w:r>
      <w:r w:rsidRPr="009252E0">
        <w:rPr>
          <w:rFonts w:ascii="Verdana" w:hAnsi="Verdana" w:cs="Arial"/>
        </w:rPr>
        <w:t>capacidad jurídica especial en materia contractual estatal</w:t>
      </w:r>
      <w:r w:rsidRPr="003C2D9F">
        <w:rPr>
          <w:rFonts w:ascii="Verdana" w:hAnsi="Verdana" w:cs="Arial"/>
        </w:rPr>
        <w:t xml:space="preserve">. Así, más que suprimir la personalidad o la capacidad civil, estas restricciones delimitan el ámbito dentro del cual puede ejercerse válidamente la autonomía de la voluntad frente al Estado, en función de la protección del interés general, la moralidad administrativa y la transparencia. En consecuencia, la verificación de la ausencia de inhabilidades e incompatibilidades se erige como una </w:t>
      </w:r>
      <w:r w:rsidRPr="009252E0">
        <w:rPr>
          <w:rFonts w:ascii="Verdana" w:hAnsi="Verdana" w:cs="Arial"/>
        </w:rPr>
        <w:t>condición de validez y legitimidad de la relación contractual pública</w:t>
      </w:r>
      <w:r w:rsidRPr="003C2D9F">
        <w:rPr>
          <w:rFonts w:ascii="Verdana" w:hAnsi="Verdana" w:cs="Arial"/>
        </w:rPr>
        <w:t>, pues solo quien ostente plena capacidad jurídica en este ámbito específico puede participar en los procedimientos de selección y celebrar contratos estatales conforme al ordenamiento jurídico.</w:t>
      </w:r>
    </w:p>
    <w:p w14:paraId="38A37624" w14:textId="5B3E2140" w:rsidR="00CE5994" w:rsidRPr="003C2D9F" w:rsidRDefault="00CE5994" w:rsidP="009252E0">
      <w:pPr>
        <w:spacing w:after="120" w:line="276" w:lineRule="auto"/>
        <w:jc w:val="both"/>
        <w:rPr>
          <w:rFonts w:ascii="Verdana" w:hAnsi="Verdana"/>
        </w:rPr>
      </w:pPr>
      <w:r w:rsidRPr="003C2D9F">
        <w:rPr>
          <w:rFonts w:ascii="Verdana" w:hAnsi="Verdana" w:cs="Arial"/>
        </w:rPr>
        <w:t>i</w:t>
      </w:r>
      <w:r w:rsidR="00A80331" w:rsidRPr="003C2D9F">
        <w:rPr>
          <w:rFonts w:ascii="Verdana" w:hAnsi="Verdana" w:cs="Arial"/>
        </w:rPr>
        <w:t>i</w:t>
      </w:r>
      <w:r w:rsidRPr="003C2D9F">
        <w:rPr>
          <w:rFonts w:ascii="Verdana" w:hAnsi="Verdana" w:cs="Arial"/>
        </w:rPr>
        <w:t xml:space="preserve">i. </w:t>
      </w:r>
      <w:r w:rsidR="00834127" w:rsidRPr="003C2D9F">
        <w:rPr>
          <w:rFonts w:ascii="Verdana" w:hAnsi="Verdana"/>
        </w:rPr>
        <w:t>De otra parte</w:t>
      </w:r>
      <w:r w:rsidRPr="003C2D9F">
        <w:rPr>
          <w:rFonts w:ascii="Verdana" w:hAnsi="Verdana"/>
        </w:rPr>
        <w:t xml:space="preserve">, el artículo 6 de la Ley 1150 de 2007, establece que “todas las personas naturales o jurídicas, nacionales o extranjeras, domiciliadas o con sucursal en Colombia, que aspiren celebrar contratos con las entidades </w:t>
      </w:r>
      <w:r w:rsidRPr="003C2D9F">
        <w:rPr>
          <w:rFonts w:ascii="Verdana" w:hAnsi="Verdana"/>
        </w:rPr>
        <w:lastRenderedPageBreak/>
        <w:t>estatales, deberán estar inscritas en el Registro Único de Proponentes (RUP)</w:t>
      </w:r>
      <w:r w:rsidR="00834127" w:rsidRPr="003C2D9F">
        <w:rPr>
          <w:rFonts w:ascii="Verdana" w:hAnsi="Verdana"/>
        </w:rPr>
        <w:t>”</w:t>
      </w:r>
      <w:r w:rsidRPr="003C2D9F">
        <w:rPr>
          <w:rFonts w:ascii="Verdana" w:eastAsia="Calibri" w:hAnsi="Verdana"/>
          <w:vertAlign w:val="superscript"/>
          <w:lang w:val="es-ES"/>
        </w:rPr>
        <w:footnoteReference w:id="13"/>
      </w:r>
      <w:r w:rsidRPr="003C2D9F">
        <w:rPr>
          <w:rFonts w:ascii="Verdana" w:hAnsi="Verdana"/>
        </w:rPr>
        <w:t>. En dicho registro constará la información relacionada previamente con los requisitos habilitantes de experiencia, capacidad jurídica, financiera y de organización del proponente y su clasificación la cual ha tenido que ser acreditada con certificaciones y soportes ante las Cámaras de Comercio para que se surta su inscripción. Estos soportes en el caso de la experiencia igual podrán provenir de empresas nacionales o extranjeras, entidades públicas o privadas.</w:t>
      </w:r>
    </w:p>
    <w:p w14:paraId="71F819D8" w14:textId="77777777" w:rsidR="00CE5994" w:rsidRPr="003C2D9F" w:rsidRDefault="00CE5994" w:rsidP="003C2D9F">
      <w:pPr>
        <w:spacing w:after="120" w:line="276" w:lineRule="auto"/>
        <w:ind w:firstLine="709"/>
        <w:jc w:val="both"/>
        <w:rPr>
          <w:rFonts w:ascii="Verdana" w:eastAsia="Times New Roman" w:hAnsi="Verdana" w:cs="Arial"/>
          <w:lang w:eastAsia="es-CO"/>
        </w:rPr>
      </w:pPr>
      <w:r w:rsidRPr="003C2D9F">
        <w:rPr>
          <w:rFonts w:ascii="Verdana" w:hAnsi="Verdana"/>
        </w:rPr>
        <w:t>En tal sentido</w:t>
      </w:r>
      <w:bookmarkStart w:id="6" w:name="_Hlk99548176"/>
      <w:r w:rsidRPr="003C2D9F">
        <w:rPr>
          <w:rFonts w:ascii="Verdana" w:hAnsi="Verdana" w:cs="Arial"/>
          <w:lang w:val="es-ES"/>
        </w:rPr>
        <w:t xml:space="preserve">, </w:t>
      </w:r>
      <w:r w:rsidRPr="003C2D9F">
        <w:rPr>
          <w:rFonts w:ascii="Verdana" w:eastAsia="Times New Roman" w:hAnsi="Verdana" w:cs="Arial"/>
          <w:lang w:eastAsia="es-CO"/>
        </w:rPr>
        <w:t>para acreditar el cumplimiento de los requisitos habilitantes, las entidades estatales sometidas al Estatuto General de Contratación de la Administración Pública -EGCAP-, en virtud de lo establecido en el artículo 5 y 6 de la Ley 1150 de 2007, están obligadas a efectuar la evaluación correspondiente teniendo en cuenta la información que reposa en el RUP, documento que constituye plena prueba de la información que contiene, tal como lo establece el artículo 6.1 de la Ley 1150 de 2007</w:t>
      </w:r>
      <w:r w:rsidRPr="003C2D9F">
        <w:rPr>
          <w:rFonts w:ascii="Verdana" w:eastAsia="Times New Roman" w:hAnsi="Verdana" w:cs="Arial"/>
          <w:vertAlign w:val="superscript"/>
          <w:lang w:eastAsia="es-CO"/>
        </w:rPr>
        <w:footnoteReference w:id="14"/>
      </w:r>
      <w:r w:rsidRPr="003C2D9F">
        <w:rPr>
          <w:rFonts w:ascii="Verdana" w:eastAsia="Times New Roman" w:hAnsi="Verdana" w:cs="Arial"/>
          <w:lang w:eastAsia="es-CO"/>
        </w:rPr>
        <w:t xml:space="preserve">. </w:t>
      </w:r>
    </w:p>
    <w:p w14:paraId="56045A58" w14:textId="0284804B" w:rsidR="00CE5994" w:rsidRPr="003C2D9F" w:rsidRDefault="00CE5994" w:rsidP="003C2D9F">
      <w:pPr>
        <w:spacing w:after="120" w:line="276" w:lineRule="auto"/>
        <w:ind w:firstLine="708"/>
        <w:jc w:val="both"/>
        <w:rPr>
          <w:rFonts w:ascii="Verdana" w:eastAsia="Times New Roman" w:hAnsi="Verdana" w:cs="Arial"/>
          <w:lang w:eastAsia="es-CO"/>
        </w:rPr>
      </w:pPr>
      <w:r w:rsidRPr="003C2D9F">
        <w:rPr>
          <w:rFonts w:ascii="Verdana" w:eastAsia="Times New Roman" w:hAnsi="Verdana" w:cs="Arial"/>
          <w:lang w:eastAsia="es-CO"/>
        </w:rPr>
        <w:t>Dicha información debe tenerse en cuenta por las entidades en los procedimientos de contratación en los que es exigible el RUP. Así las cosas, los requisitos habilitantes deberán ser verificadas exclusivamente a través del Registro Único de Proponentes, pues de acuerdo con lo expuesto, este documento es plena prueba de la información financiera, de experiencia y de capacidad acreditada por la persona natural o jurídica</w:t>
      </w:r>
      <w:r w:rsidRPr="003C2D9F">
        <w:rPr>
          <w:rFonts w:ascii="Verdana" w:eastAsia="Times New Roman" w:hAnsi="Verdana" w:cs="Arial"/>
          <w:vertAlign w:val="superscript"/>
          <w:lang w:eastAsia="es-CO"/>
        </w:rPr>
        <w:footnoteReference w:id="15"/>
      </w:r>
      <w:r w:rsidRPr="003C2D9F">
        <w:rPr>
          <w:rFonts w:ascii="Verdana" w:eastAsia="Times New Roman" w:hAnsi="Verdana" w:cs="Arial"/>
          <w:lang w:eastAsia="es-CO"/>
        </w:rPr>
        <w:t>.</w:t>
      </w:r>
      <w:bookmarkEnd w:id="6"/>
    </w:p>
    <w:p w14:paraId="000ACAF3" w14:textId="77777777" w:rsidR="00CE5994" w:rsidRPr="003C2D9F" w:rsidRDefault="00CE5994" w:rsidP="003C2D9F">
      <w:pPr>
        <w:spacing w:after="120" w:line="276" w:lineRule="auto"/>
        <w:ind w:firstLine="708"/>
        <w:jc w:val="both"/>
        <w:rPr>
          <w:rFonts w:ascii="Verdana" w:hAnsi="Verdana"/>
        </w:rPr>
      </w:pPr>
      <w:r w:rsidRPr="003C2D9F">
        <w:rPr>
          <w:rFonts w:ascii="Verdana" w:hAnsi="Verdana"/>
        </w:rPr>
        <w:t xml:space="preserve">No obstante lo anterior, el artículo 6 </w:t>
      </w:r>
      <w:r w:rsidRPr="003C2D9F">
        <w:rPr>
          <w:rFonts w:ascii="Verdana" w:hAnsi="Verdana"/>
          <w:i/>
          <w:iCs/>
        </w:rPr>
        <w:t>ibidem</w:t>
      </w:r>
      <w:r w:rsidRPr="003C2D9F">
        <w:rPr>
          <w:rFonts w:ascii="Verdana" w:hAnsi="Verdana"/>
        </w:rPr>
        <w:t xml:space="preserve"> también prescribe que “no se requerirá de este registro, ni de clasificación, en los casos de contratación directa; contratos para la prestación de servicios de salud; contratos de mínima </w:t>
      </w:r>
      <w:r w:rsidRPr="003C2D9F">
        <w:rPr>
          <w:rFonts w:ascii="Verdana" w:hAnsi="Verdana"/>
        </w:rPr>
        <w:lastRenderedPageBreak/>
        <w:t>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3C2D9F">
        <w:rPr>
          <w:rFonts w:ascii="Verdana" w:hAnsi="Verdana"/>
          <w:i/>
          <w:iCs/>
        </w:rPr>
        <w:t xml:space="preserve"> </w:t>
      </w:r>
    </w:p>
    <w:p w14:paraId="39186BBF" w14:textId="77777777" w:rsidR="00CE5994" w:rsidRPr="003C2D9F" w:rsidRDefault="00CE5994" w:rsidP="003C2D9F">
      <w:pPr>
        <w:spacing w:after="120" w:line="276" w:lineRule="auto"/>
        <w:ind w:firstLine="708"/>
        <w:jc w:val="both"/>
        <w:rPr>
          <w:rFonts w:ascii="Verdana" w:eastAsia="Calibri" w:hAnsi="Verdana"/>
        </w:rPr>
      </w:pPr>
      <w:r w:rsidRPr="003C2D9F">
        <w:rPr>
          <w:rFonts w:ascii="Verdana" w:eastAsia="Calibri" w:hAnsi="Verdana"/>
        </w:rPr>
        <w:t xml:space="preserve">Por lo tanto, 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 </w:t>
      </w:r>
    </w:p>
    <w:p w14:paraId="78EA6350" w14:textId="77777777" w:rsidR="00CE5994" w:rsidRPr="003C2D9F" w:rsidRDefault="00CE5994" w:rsidP="003C2D9F">
      <w:pPr>
        <w:spacing w:after="120" w:line="276" w:lineRule="auto"/>
        <w:ind w:firstLine="708"/>
        <w:jc w:val="both"/>
        <w:rPr>
          <w:rFonts w:ascii="Verdana" w:eastAsia="Calibri" w:hAnsi="Verdana"/>
        </w:rPr>
      </w:pPr>
      <w:r w:rsidRPr="003C2D9F">
        <w:rPr>
          <w:rFonts w:ascii="Verdana" w:eastAsia="Calibri" w:hAnsi="Verdana"/>
        </w:rPr>
        <w:t xml:space="preserve">Sobre el particular, el Manual </w:t>
      </w:r>
      <w:r w:rsidRPr="003C2D9F">
        <w:rPr>
          <w:rFonts w:ascii="Verdana" w:hAnsi="Verdana" w:cs="Arial"/>
          <w:lang w:eastAsia="es-MX"/>
        </w:rPr>
        <w:t xml:space="preserve">para determinar y verificar los Requisitos Habilitantes en los Procesos de Contratación expedido por la ANCP-CCE </w:t>
      </w:r>
      <w:r w:rsidRPr="003C2D9F">
        <w:rPr>
          <w:rFonts w:ascii="Verdana" w:eastAsia="Calibri" w:hAnsi="Verdana"/>
        </w:rPr>
        <w:t xml:space="preserve">señaló que </w:t>
      </w:r>
      <w:r w:rsidRPr="009252E0">
        <w:rPr>
          <w:rFonts w:ascii="Verdana" w:eastAsia="Calibri" w:hAnsi="Verdana"/>
          <w:i/>
          <w:iCs/>
        </w:rPr>
        <w:t>“En estos supuestos las Entidades Estatales deben verificar directamente el cumplimiento de los requisitos habilitantes, pues, se resalta, la no obligatoriedad del RUP no quiere decir que la Entidad Estatal no debe establecer requisitos habilitantes, sino que su acreditación y verificación deberán hacerse mediante otros mecanismos y unas reglas particulares definidas de manera autónoma por la Entidad Estatal en el pliego de condiciones o documento equivalente.”</w:t>
      </w:r>
      <w:bookmarkStart w:id="7" w:name="_Hlk63643037"/>
    </w:p>
    <w:p w14:paraId="52F0F53D" w14:textId="6783A495" w:rsidR="00CE5994" w:rsidRPr="003C2D9F" w:rsidRDefault="00045F28" w:rsidP="009252E0">
      <w:pPr>
        <w:spacing w:after="120" w:line="276" w:lineRule="auto"/>
        <w:jc w:val="both"/>
        <w:rPr>
          <w:rFonts w:ascii="Verdana" w:eastAsia="Calibri" w:hAnsi="Verdana" w:cs="Arial"/>
          <w:lang w:eastAsia="es-CO"/>
        </w:rPr>
      </w:pPr>
      <w:r w:rsidRPr="003C2D9F">
        <w:rPr>
          <w:rFonts w:ascii="Verdana" w:eastAsia="Calibri" w:hAnsi="Verdana"/>
        </w:rPr>
        <w:t>iv. Sin perjuicio de lo anterior,</w:t>
      </w:r>
      <w:r w:rsidR="00CE5994" w:rsidRPr="003C2D9F">
        <w:rPr>
          <w:rFonts w:ascii="Verdana" w:eastAsia="Calibri" w:hAnsi="Verdana" w:cs="Arial"/>
          <w:lang w:eastAsia="es-CO"/>
        </w:rPr>
        <w:t xml:space="preserve"> debe precisarse que cuando por las características del objeto a contratar y con la finalidad de acreditar una debida idoneidad y </w:t>
      </w:r>
      <w:r w:rsidR="00834127" w:rsidRPr="003C2D9F">
        <w:rPr>
          <w:rFonts w:ascii="Verdana" w:eastAsia="Calibri" w:hAnsi="Verdana" w:cs="Arial"/>
          <w:lang w:eastAsia="es-CO"/>
        </w:rPr>
        <w:t>capac</w:t>
      </w:r>
      <w:r w:rsidR="00090AE3" w:rsidRPr="003C2D9F">
        <w:rPr>
          <w:rFonts w:ascii="Verdana" w:eastAsia="Calibri" w:hAnsi="Verdana" w:cs="Arial"/>
          <w:lang w:eastAsia="es-CO"/>
        </w:rPr>
        <w:t xml:space="preserve">idad </w:t>
      </w:r>
      <w:r w:rsidR="00CE5994" w:rsidRPr="003C2D9F">
        <w:rPr>
          <w:rFonts w:ascii="Verdana" w:eastAsia="Calibri" w:hAnsi="Verdana" w:cs="Arial"/>
          <w:lang w:eastAsia="es-CO"/>
        </w:rPr>
        <w:t xml:space="preserve">del proponente, se requieran verificar requisitos o información adicional a los contenidos en el RUP, las entidades deben hacer la verificación de forma directa. En estos supuestos, la Entidad Estatal, en el marco de la autonomía y la potestad de dirección que le asiste en los procesos de contratación que adelanta debe establecer en los Documentos del Proceso </w:t>
      </w:r>
      <w:r w:rsidR="00090AE3" w:rsidRPr="003C2D9F">
        <w:rPr>
          <w:rFonts w:ascii="Verdana" w:eastAsia="Calibri" w:hAnsi="Verdana" w:cs="Arial"/>
          <w:lang w:eastAsia="es-CO"/>
        </w:rPr>
        <w:t>–</w:t>
      </w:r>
      <w:r w:rsidR="00CE5994" w:rsidRPr="003C2D9F">
        <w:rPr>
          <w:rFonts w:ascii="Verdana" w:eastAsia="Calibri" w:hAnsi="Verdana" w:cs="Arial"/>
          <w:lang w:eastAsia="es-CO"/>
        </w:rPr>
        <w:t>particularmente en el pliego de condiciones o la invitación</w:t>
      </w:r>
      <w:r w:rsidR="00090AE3" w:rsidRPr="003C2D9F">
        <w:rPr>
          <w:rFonts w:ascii="Verdana" w:eastAsia="Calibri" w:hAnsi="Verdana" w:cs="Arial"/>
          <w:lang w:eastAsia="es-CO"/>
        </w:rPr>
        <w:t>–</w:t>
      </w:r>
      <w:r w:rsidR="00CE5994" w:rsidRPr="003C2D9F">
        <w:rPr>
          <w:rFonts w:ascii="Verdana" w:eastAsia="Calibri" w:hAnsi="Verdana" w:cs="Arial"/>
          <w:lang w:eastAsia="es-CO"/>
        </w:rPr>
        <w:t xml:space="preserve"> los documentos o instrumentos</w:t>
      </w:r>
      <w:r w:rsidR="008A498C" w:rsidRPr="003C2D9F">
        <w:rPr>
          <w:rFonts w:ascii="Verdana" w:eastAsia="Calibri" w:hAnsi="Verdana" w:cs="Arial"/>
          <w:lang w:eastAsia="es-CO"/>
        </w:rPr>
        <w:t xml:space="preserve"> complementarios al RUP</w:t>
      </w:r>
      <w:r w:rsidR="00CE5994" w:rsidRPr="003C2D9F">
        <w:rPr>
          <w:rFonts w:ascii="Verdana" w:eastAsia="Calibri" w:hAnsi="Verdana" w:cs="Arial"/>
          <w:lang w:eastAsia="es-CO"/>
        </w:rPr>
        <w:t xml:space="preserve"> que exigirá a los proponentes para acreditar </w:t>
      </w:r>
      <w:r w:rsidR="008A498C" w:rsidRPr="003C2D9F">
        <w:rPr>
          <w:rFonts w:ascii="Verdana" w:eastAsia="Calibri" w:hAnsi="Verdana" w:cs="Arial"/>
          <w:lang w:eastAsia="es-CO"/>
        </w:rPr>
        <w:t>los requisitos habilitantes</w:t>
      </w:r>
      <w:r w:rsidR="00F23F78" w:rsidRPr="003C2D9F">
        <w:rPr>
          <w:rFonts w:ascii="Verdana" w:eastAsia="Calibri" w:hAnsi="Verdana" w:cs="Arial"/>
          <w:lang w:eastAsia="es-CO"/>
        </w:rPr>
        <w:t>,</w:t>
      </w:r>
      <w:r w:rsidR="00CE5994" w:rsidRPr="003C2D9F">
        <w:rPr>
          <w:rFonts w:ascii="Verdana" w:eastAsia="Calibri" w:hAnsi="Verdana" w:cs="Arial"/>
          <w:lang w:eastAsia="es-CO"/>
        </w:rPr>
        <w:t xml:space="preserve"> contando con cierta discrecionalidad para establecer qué documentos son adecuados y proporcionales para verificar el requisito de experiencia establecido. </w:t>
      </w:r>
    </w:p>
    <w:p w14:paraId="00FD04B3" w14:textId="77777777" w:rsidR="00CE5994" w:rsidRPr="003C2D9F" w:rsidRDefault="00CE5994" w:rsidP="003C2D9F">
      <w:pPr>
        <w:spacing w:after="120" w:line="276" w:lineRule="auto"/>
        <w:ind w:firstLine="708"/>
        <w:jc w:val="both"/>
        <w:rPr>
          <w:rFonts w:ascii="Verdana" w:eastAsia="Calibri" w:hAnsi="Verdana" w:cs="Arial"/>
          <w:lang w:val="es-ES" w:eastAsia="es-MX"/>
        </w:rPr>
      </w:pPr>
      <w:r w:rsidRPr="003C2D9F">
        <w:rPr>
          <w:rFonts w:ascii="Verdana" w:eastAsia="Calibri" w:hAnsi="Verdana"/>
        </w:rPr>
        <w:lastRenderedPageBreak/>
        <w:t xml:space="preserve">Al respecto, el Manual </w:t>
      </w:r>
      <w:r w:rsidRPr="003C2D9F">
        <w:rPr>
          <w:rFonts w:ascii="Verdana" w:hAnsi="Verdana" w:cs="Arial"/>
          <w:lang w:eastAsia="es-MX"/>
        </w:rPr>
        <w:t xml:space="preserve">para determinar y verificar los Requisitos Habilitantes en los Procesos de Contratación expedido por la ANCP-CCE </w:t>
      </w:r>
      <w:r w:rsidRPr="003C2D9F">
        <w:rPr>
          <w:rFonts w:ascii="Verdana" w:eastAsia="Calibri" w:hAnsi="Verdana"/>
        </w:rPr>
        <w:t>señaló que “En todo caso, a pesar de que el RUP contenga algunos de los requisitos habilitantes, las Entidades Estatales pueden solicitar requisitos adicionales, caso en el cual debe verificarlos directamente mediante documentos complementarios. Adicionalmente, el numeral 6.1. del artículo 6 de la Ley 1150 de 2007 establece que cuando sea necesario verificar requisitos o información que no reposan en el RUP, la Entidad Estatal podrá solicitar información adicional solo para complementar la información contenida en el RUP”.</w:t>
      </w:r>
    </w:p>
    <w:p w14:paraId="05A9EAD9" w14:textId="752A0CDC" w:rsidR="00CE5994" w:rsidRPr="003C2D9F" w:rsidRDefault="00CE5994" w:rsidP="003C2D9F">
      <w:pPr>
        <w:spacing w:after="120" w:line="276" w:lineRule="auto"/>
        <w:ind w:firstLine="709"/>
        <w:jc w:val="both"/>
        <w:rPr>
          <w:rFonts w:ascii="Verdana" w:eastAsia="Calibri" w:hAnsi="Verdana" w:cs="Arial"/>
          <w:lang w:eastAsia="es-CO"/>
        </w:rPr>
      </w:pPr>
      <w:r w:rsidRPr="003C2D9F">
        <w:rPr>
          <w:rFonts w:ascii="Verdana" w:eastAsia="Calibri" w:hAnsi="Verdana" w:cs="Arial"/>
          <w:lang w:eastAsia="es-CO"/>
        </w:rPr>
        <w:t>En este contexto,</w:t>
      </w:r>
      <w:r w:rsidR="00992C14" w:rsidRPr="003C2D9F">
        <w:rPr>
          <w:rFonts w:ascii="Verdana" w:eastAsia="Calibri" w:hAnsi="Verdana" w:cs="Arial"/>
          <w:lang w:eastAsia="es-CO"/>
        </w:rPr>
        <w:t xml:space="preserve"> tratándose del requisito habilitante de experiencia,</w:t>
      </w:r>
      <w:r w:rsidRPr="003C2D9F">
        <w:rPr>
          <w:rFonts w:ascii="Verdana" w:eastAsia="Calibri" w:hAnsi="Verdana" w:cs="Arial"/>
          <w:lang w:eastAsia="es-CO"/>
        </w:rPr>
        <w:t xml:space="preserve"> las entidades</w:t>
      </w:r>
      <w:r w:rsidR="00992C14" w:rsidRPr="003C2D9F">
        <w:rPr>
          <w:rFonts w:ascii="Verdana" w:eastAsia="Calibri" w:hAnsi="Verdana" w:cs="Arial"/>
          <w:lang w:eastAsia="es-CO"/>
        </w:rPr>
        <w:t>,</w:t>
      </w:r>
      <w:r w:rsidRPr="003C2D9F">
        <w:rPr>
          <w:rFonts w:ascii="Verdana" w:eastAsia="Calibri" w:hAnsi="Verdana" w:cs="Arial"/>
          <w:lang w:eastAsia="es-CO"/>
        </w:rPr>
        <w:t xml:space="preserve"> por ejemplo</w:t>
      </w:r>
      <w:r w:rsidR="00992C14" w:rsidRPr="003C2D9F">
        <w:rPr>
          <w:rFonts w:ascii="Verdana" w:eastAsia="Calibri" w:hAnsi="Verdana" w:cs="Arial"/>
          <w:lang w:eastAsia="es-CO"/>
        </w:rPr>
        <w:t>,</w:t>
      </w:r>
      <w:r w:rsidRPr="003C2D9F">
        <w:rPr>
          <w:rFonts w:ascii="Verdana" w:eastAsia="Calibri" w:hAnsi="Verdana" w:cs="Arial"/>
          <w:lang w:eastAsia="es-CO"/>
        </w:rPr>
        <w:t xml:space="preserve"> suelen requerir documentos como actas de liquidación, actas de entrega, actas de terminación, o de recibo definitivo, certificaciones expedidas con posterioridad a la fecha de terminación del contrato, así como facturas, entre otros documentos</w:t>
      </w:r>
      <w:r w:rsidR="00992C14" w:rsidRPr="003C2D9F">
        <w:rPr>
          <w:rFonts w:ascii="Verdana" w:eastAsia="Calibri" w:hAnsi="Verdana" w:cs="Arial"/>
          <w:lang w:eastAsia="es-CO"/>
        </w:rPr>
        <w:t xml:space="preserve"> relativos a los contratos</w:t>
      </w:r>
      <w:r w:rsidRPr="003C2D9F">
        <w:rPr>
          <w:rFonts w:ascii="Verdana" w:eastAsia="Calibri" w:hAnsi="Verdana" w:cs="Arial"/>
          <w:lang w:eastAsia="es-CO"/>
        </w:rPr>
        <w:t>.</w:t>
      </w:r>
      <w:bookmarkStart w:id="8" w:name="_Hlk190876018"/>
      <w:bookmarkEnd w:id="7"/>
      <w:r w:rsidRPr="003C2D9F">
        <w:rPr>
          <w:rFonts w:ascii="Verdana" w:eastAsia="Calibri" w:hAnsi="Verdana" w:cs="Arial"/>
          <w:lang w:eastAsia="es-CO"/>
        </w:rPr>
        <w:t xml:space="preserve"> Estos documentos permiten que la entidad pueda comprobar la experiencia del proponente, como, por ejemplo, el objeto del contrato, las actividades específicas desarrolladas, el valor del contrato o el valor debidamente ejecutado, o cualquier otra información que le de certeza y seguridad a la entidad estatal en la verificación del requisito de experiencia.</w:t>
      </w:r>
    </w:p>
    <w:p w14:paraId="54FF397E" w14:textId="28FA1B52" w:rsidR="00992C14" w:rsidRPr="003C2D9F" w:rsidRDefault="00992C14" w:rsidP="009252E0">
      <w:pPr>
        <w:spacing w:after="120" w:line="276" w:lineRule="auto"/>
        <w:jc w:val="both"/>
        <w:rPr>
          <w:rFonts w:ascii="Verdana" w:eastAsia="Calibri" w:hAnsi="Verdana" w:cs="Arial"/>
          <w:lang w:eastAsia="es-CO"/>
        </w:rPr>
      </w:pPr>
      <w:r w:rsidRPr="003C2D9F">
        <w:rPr>
          <w:rFonts w:ascii="Verdana" w:eastAsia="Calibri" w:hAnsi="Verdana" w:cs="Arial"/>
          <w:lang w:eastAsia="es-CO"/>
        </w:rPr>
        <w:tab/>
        <w:t>Por otro lado,</w:t>
      </w:r>
      <w:r w:rsidR="00B0395A" w:rsidRPr="003C2D9F">
        <w:rPr>
          <w:rFonts w:ascii="Verdana" w:eastAsia="Calibri" w:hAnsi="Verdana" w:cs="Arial"/>
          <w:lang w:eastAsia="es-CO"/>
        </w:rPr>
        <w:t xml:space="preserve"> </w:t>
      </w:r>
      <w:r w:rsidRPr="003C2D9F">
        <w:rPr>
          <w:rFonts w:ascii="Verdana" w:eastAsia="Calibri" w:hAnsi="Verdana" w:cs="Arial"/>
          <w:lang w:eastAsia="es-CO"/>
        </w:rPr>
        <w:t xml:space="preserve">en </w:t>
      </w:r>
      <w:r w:rsidR="00913E54" w:rsidRPr="003C2D9F">
        <w:rPr>
          <w:rFonts w:ascii="Verdana" w:eastAsia="Calibri" w:hAnsi="Verdana" w:cs="Arial"/>
          <w:lang w:eastAsia="es-CO"/>
        </w:rPr>
        <w:t>aras</w:t>
      </w:r>
      <w:r w:rsidRPr="003C2D9F">
        <w:rPr>
          <w:rFonts w:ascii="Verdana" w:eastAsia="Calibri" w:hAnsi="Verdana" w:cs="Arial"/>
          <w:lang w:eastAsia="es-CO"/>
        </w:rPr>
        <w:t xml:space="preserve"> de responder el objeto de la consulta,</w:t>
      </w:r>
      <w:r w:rsidR="00913E54" w:rsidRPr="003C2D9F">
        <w:rPr>
          <w:rFonts w:ascii="Verdana" w:eastAsia="Calibri" w:hAnsi="Verdana" w:cs="Arial"/>
          <w:lang w:eastAsia="es-CO"/>
        </w:rPr>
        <w:t xml:space="preserve"> </w:t>
      </w:r>
      <w:r w:rsidR="00B33DCD" w:rsidRPr="003C2D9F">
        <w:rPr>
          <w:rFonts w:ascii="Verdana" w:eastAsia="Calibri" w:hAnsi="Verdana" w:cs="Arial"/>
          <w:lang w:eastAsia="es-CO"/>
        </w:rPr>
        <w:t>se debe advertir que,</w:t>
      </w:r>
      <w:r w:rsidR="00AD4C43" w:rsidRPr="003C2D9F">
        <w:rPr>
          <w:rFonts w:ascii="Verdana" w:eastAsia="Calibri" w:hAnsi="Verdana" w:cs="Arial"/>
          <w:lang w:eastAsia="es-CO"/>
        </w:rPr>
        <w:t xml:space="preserve"> si bien </w:t>
      </w:r>
      <w:r w:rsidR="00B33DCD" w:rsidRPr="003C2D9F">
        <w:rPr>
          <w:rFonts w:ascii="Verdana" w:eastAsia="Calibri" w:hAnsi="Verdana" w:cs="Arial"/>
          <w:lang w:eastAsia="es-CO"/>
        </w:rPr>
        <w:t xml:space="preserve">en aquellos </w:t>
      </w:r>
      <w:r w:rsidR="00712C61" w:rsidRPr="003C2D9F">
        <w:rPr>
          <w:rFonts w:ascii="Verdana" w:eastAsia="Calibri" w:hAnsi="Verdana" w:cs="Arial"/>
          <w:lang w:eastAsia="es-CO"/>
        </w:rPr>
        <w:t xml:space="preserve">procesos </w:t>
      </w:r>
      <w:r w:rsidR="00C83C1C" w:rsidRPr="003C2D9F">
        <w:rPr>
          <w:rFonts w:ascii="Verdana" w:eastAsia="Calibri" w:hAnsi="Verdana" w:cs="Arial"/>
          <w:lang w:eastAsia="es-CO"/>
        </w:rPr>
        <w:t xml:space="preserve">en los que resulta obligatorio concurrir con RUP, este se torna </w:t>
      </w:r>
      <w:r w:rsidR="00AD4C43" w:rsidRPr="003C2D9F">
        <w:rPr>
          <w:rFonts w:ascii="Verdana" w:eastAsia="Calibri" w:hAnsi="Verdana" w:cs="Arial"/>
          <w:lang w:eastAsia="es-CO"/>
        </w:rPr>
        <w:t>en un</w:t>
      </w:r>
      <w:r w:rsidR="00980EF9" w:rsidRPr="003C2D9F">
        <w:rPr>
          <w:rFonts w:ascii="Verdana" w:eastAsia="Calibri" w:hAnsi="Verdana" w:cs="Arial"/>
          <w:lang w:eastAsia="es-CO"/>
        </w:rPr>
        <w:t xml:space="preserve">a </w:t>
      </w:r>
      <w:r w:rsidR="00712C61" w:rsidRPr="009252E0">
        <w:rPr>
          <w:rFonts w:ascii="Verdana" w:eastAsia="Calibri" w:hAnsi="Verdana" w:cs="Arial"/>
          <w:i/>
          <w:iCs/>
          <w:lang w:eastAsia="es-CO"/>
        </w:rPr>
        <w:t>conditio sine qua non</w:t>
      </w:r>
      <w:r w:rsidR="00712C61" w:rsidRPr="003C2D9F">
        <w:rPr>
          <w:rFonts w:ascii="Verdana" w:eastAsia="Calibri" w:hAnsi="Verdana" w:cs="Arial"/>
          <w:lang w:eastAsia="es-CO"/>
        </w:rPr>
        <w:t xml:space="preserve"> para demostrar la capacidad </w:t>
      </w:r>
      <w:r w:rsidR="00CC0D9C" w:rsidRPr="003C2D9F">
        <w:rPr>
          <w:rFonts w:ascii="Verdana" w:eastAsia="Calibri" w:hAnsi="Verdana" w:cs="Arial"/>
          <w:lang w:eastAsia="es-CO"/>
        </w:rPr>
        <w:t xml:space="preserve">jurídica, puede que su sola presentación, ni los hechos de los que da plena prueba, </w:t>
      </w:r>
      <w:r w:rsidR="00043240" w:rsidRPr="003C2D9F">
        <w:rPr>
          <w:rFonts w:ascii="Verdana" w:eastAsia="Calibri" w:hAnsi="Verdana" w:cs="Arial"/>
          <w:lang w:eastAsia="es-CO"/>
        </w:rPr>
        <w:t xml:space="preserve">brinden a la </w:t>
      </w:r>
      <w:r w:rsidR="000B70B7" w:rsidRPr="003C2D9F">
        <w:rPr>
          <w:rFonts w:ascii="Verdana" w:eastAsia="Calibri" w:hAnsi="Verdana" w:cs="Arial"/>
          <w:lang w:eastAsia="es-CO"/>
        </w:rPr>
        <w:t xml:space="preserve">entidad estatal </w:t>
      </w:r>
      <w:r w:rsidR="00043240" w:rsidRPr="003C2D9F">
        <w:rPr>
          <w:rFonts w:ascii="Verdana" w:eastAsia="Calibri" w:hAnsi="Verdana" w:cs="Arial"/>
          <w:lang w:eastAsia="es-CO"/>
        </w:rPr>
        <w:t xml:space="preserve">la información suficiente para verificar </w:t>
      </w:r>
      <w:r w:rsidR="00D56212" w:rsidRPr="003C2D9F">
        <w:rPr>
          <w:rFonts w:ascii="Verdana" w:eastAsia="Calibri" w:hAnsi="Verdana" w:cs="Arial"/>
          <w:lang w:eastAsia="es-CO"/>
        </w:rPr>
        <w:t xml:space="preserve">que el proponente cuenta con la capacidad jurídica. En particular, </w:t>
      </w:r>
      <w:r w:rsidR="00A41534" w:rsidRPr="003C2D9F">
        <w:rPr>
          <w:rFonts w:ascii="Verdana" w:eastAsia="Calibri" w:hAnsi="Verdana" w:cs="Arial"/>
          <w:lang w:eastAsia="es-CO"/>
        </w:rPr>
        <w:t xml:space="preserve">resulta ilustrativo el ejemplo </w:t>
      </w:r>
      <w:r w:rsidR="00704298" w:rsidRPr="003C2D9F">
        <w:rPr>
          <w:rFonts w:ascii="Verdana" w:eastAsia="Calibri" w:hAnsi="Verdana" w:cs="Arial"/>
          <w:lang w:eastAsia="es-CO"/>
        </w:rPr>
        <w:t>de las inhabilidad</w:t>
      </w:r>
      <w:r w:rsidR="0044275F" w:rsidRPr="003C2D9F">
        <w:rPr>
          <w:rFonts w:ascii="Verdana" w:eastAsia="Calibri" w:hAnsi="Verdana" w:cs="Arial"/>
          <w:lang w:eastAsia="es-CO"/>
        </w:rPr>
        <w:t>es</w:t>
      </w:r>
      <w:r w:rsidR="00704298" w:rsidRPr="003C2D9F">
        <w:rPr>
          <w:rFonts w:ascii="Verdana" w:eastAsia="Calibri" w:hAnsi="Verdana" w:cs="Arial"/>
          <w:lang w:eastAsia="es-CO"/>
        </w:rPr>
        <w:t xml:space="preserve"> e incompatibilidades cuya ausencia es un presupuesto </w:t>
      </w:r>
      <w:r w:rsidR="0044275F" w:rsidRPr="003C2D9F">
        <w:rPr>
          <w:rFonts w:ascii="Verdana" w:eastAsia="Calibri" w:hAnsi="Verdana" w:cs="Arial"/>
          <w:lang w:eastAsia="es-CO"/>
        </w:rPr>
        <w:t xml:space="preserve">validar </w:t>
      </w:r>
      <w:r w:rsidR="00AE4868" w:rsidRPr="003C2D9F">
        <w:rPr>
          <w:rFonts w:ascii="Verdana" w:eastAsia="Calibri" w:hAnsi="Verdana" w:cs="Arial"/>
          <w:lang w:eastAsia="es-CO"/>
        </w:rPr>
        <w:t xml:space="preserve">la </w:t>
      </w:r>
      <w:r w:rsidR="0044275F" w:rsidRPr="003C2D9F">
        <w:rPr>
          <w:rFonts w:ascii="Verdana" w:eastAsia="Calibri" w:hAnsi="Verdana" w:cs="Arial"/>
          <w:lang w:eastAsia="es-CO"/>
        </w:rPr>
        <w:t>capacidad</w:t>
      </w:r>
      <w:r w:rsidR="00AE4868" w:rsidRPr="003C2D9F">
        <w:rPr>
          <w:rFonts w:ascii="Verdana" w:eastAsia="Calibri" w:hAnsi="Verdana" w:cs="Arial"/>
          <w:lang w:eastAsia="es-CO"/>
        </w:rPr>
        <w:t xml:space="preserve"> contractual</w:t>
      </w:r>
      <w:r w:rsidR="001C39B8" w:rsidRPr="003C2D9F">
        <w:rPr>
          <w:rFonts w:ascii="Verdana" w:eastAsia="Calibri" w:hAnsi="Verdana" w:cs="Arial"/>
          <w:lang w:eastAsia="es-CO"/>
        </w:rPr>
        <w:t xml:space="preserve">, </w:t>
      </w:r>
      <w:r w:rsidR="006B6439" w:rsidRPr="003C2D9F">
        <w:rPr>
          <w:rFonts w:ascii="Verdana" w:eastAsia="Calibri" w:hAnsi="Verdana" w:cs="Arial"/>
          <w:lang w:eastAsia="es-CO"/>
        </w:rPr>
        <w:t>lo cual conlleva verificar una serie de circunstancias que pueden presentarse respecto del proponente</w:t>
      </w:r>
      <w:r w:rsidR="00AE003E" w:rsidRPr="003C2D9F">
        <w:rPr>
          <w:rFonts w:ascii="Verdana" w:eastAsia="Calibri" w:hAnsi="Verdana" w:cs="Arial"/>
          <w:lang w:eastAsia="es-CO"/>
        </w:rPr>
        <w:t>, sus socios, aportantes, representantes y familiare</w:t>
      </w:r>
      <w:r w:rsidR="00607C9B" w:rsidRPr="003C2D9F">
        <w:rPr>
          <w:rFonts w:ascii="Verdana" w:eastAsia="Calibri" w:hAnsi="Verdana" w:cs="Arial"/>
          <w:lang w:eastAsia="es-CO"/>
        </w:rPr>
        <w:t xml:space="preserve">s, las cuales exceden </w:t>
      </w:r>
      <w:r w:rsidR="000B70B7" w:rsidRPr="003C2D9F">
        <w:rPr>
          <w:rFonts w:ascii="Verdana" w:eastAsia="Calibri" w:hAnsi="Verdana" w:cs="Arial"/>
          <w:lang w:eastAsia="es-CO"/>
        </w:rPr>
        <w:t xml:space="preserve">lo consignado en RUP. Es por esto </w:t>
      </w:r>
      <w:r w:rsidR="00045F28" w:rsidRPr="003C2D9F">
        <w:rPr>
          <w:rFonts w:ascii="Verdana" w:eastAsia="Calibri" w:hAnsi="Verdana" w:cs="Arial"/>
          <w:lang w:eastAsia="es-CO"/>
        </w:rPr>
        <w:t>por lo que</w:t>
      </w:r>
      <w:r w:rsidR="000B70B7" w:rsidRPr="003C2D9F">
        <w:rPr>
          <w:rFonts w:ascii="Verdana" w:eastAsia="Calibri" w:hAnsi="Verdana" w:cs="Arial"/>
          <w:lang w:eastAsia="es-CO"/>
        </w:rPr>
        <w:t xml:space="preserve"> las entidades estatales suelen exigir diferentes tipos de certificaciones, </w:t>
      </w:r>
      <w:r w:rsidR="003C6177" w:rsidRPr="003C2D9F">
        <w:rPr>
          <w:rFonts w:ascii="Verdana" w:eastAsia="Calibri" w:hAnsi="Verdana" w:cs="Arial"/>
          <w:lang w:eastAsia="es-CO"/>
        </w:rPr>
        <w:t xml:space="preserve">declaraciones y documentos adicionales al RUP, cuya presentación resulta necesaria para verificar la capacidad jurídica del proponente. </w:t>
      </w:r>
      <w:r w:rsidR="000B70B7" w:rsidRPr="003C2D9F">
        <w:rPr>
          <w:rFonts w:ascii="Verdana" w:eastAsia="Calibri" w:hAnsi="Verdana" w:cs="Arial"/>
          <w:lang w:eastAsia="es-CO"/>
        </w:rPr>
        <w:t xml:space="preserve"> </w:t>
      </w:r>
      <w:r w:rsidR="00607C9B" w:rsidRPr="003C2D9F">
        <w:rPr>
          <w:rFonts w:ascii="Verdana" w:eastAsia="Calibri" w:hAnsi="Verdana" w:cs="Arial"/>
          <w:lang w:eastAsia="es-CO"/>
        </w:rPr>
        <w:t xml:space="preserve"> </w:t>
      </w:r>
      <w:r w:rsidR="001C39B8" w:rsidRPr="003C2D9F">
        <w:rPr>
          <w:rFonts w:ascii="Verdana" w:eastAsia="Calibri" w:hAnsi="Verdana" w:cs="Arial"/>
          <w:lang w:eastAsia="es-CO"/>
        </w:rPr>
        <w:t xml:space="preserve"> </w:t>
      </w:r>
      <w:r w:rsidR="00704298" w:rsidRPr="003C2D9F">
        <w:rPr>
          <w:rFonts w:ascii="Verdana" w:eastAsia="Calibri" w:hAnsi="Verdana" w:cs="Arial"/>
          <w:lang w:eastAsia="es-CO"/>
        </w:rPr>
        <w:t xml:space="preserve"> </w:t>
      </w:r>
      <w:r w:rsidR="00CC0D9C" w:rsidRPr="003C2D9F">
        <w:rPr>
          <w:rFonts w:ascii="Verdana" w:eastAsia="Calibri" w:hAnsi="Verdana" w:cs="Arial"/>
          <w:lang w:eastAsia="es-CO"/>
        </w:rPr>
        <w:t xml:space="preserve"> </w:t>
      </w:r>
    </w:p>
    <w:bookmarkEnd w:id="8"/>
    <w:p w14:paraId="62A33390" w14:textId="112FBBCD" w:rsidR="00CE5994" w:rsidRPr="003C2D9F" w:rsidRDefault="00CE5994" w:rsidP="003C2D9F">
      <w:pPr>
        <w:spacing w:after="120" w:line="276" w:lineRule="auto"/>
        <w:ind w:firstLine="709"/>
        <w:jc w:val="both"/>
        <w:rPr>
          <w:rFonts w:ascii="Verdana" w:eastAsia="Calibri" w:hAnsi="Verdana" w:cs="Arial"/>
          <w:lang w:eastAsia="es-CO"/>
        </w:rPr>
      </w:pPr>
      <w:r w:rsidRPr="003C2D9F">
        <w:rPr>
          <w:rFonts w:ascii="Verdana" w:eastAsia="Calibri" w:hAnsi="Verdana" w:cs="Arial"/>
          <w:lang w:eastAsia="es-CO"/>
        </w:rPr>
        <w:t>Conforme a lo expuesto, en los supuestos señalado</w:t>
      </w:r>
      <w:r w:rsidR="00A317BF" w:rsidRPr="003C2D9F">
        <w:rPr>
          <w:rFonts w:ascii="Verdana" w:eastAsia="Calibri" w:hAnsi="Verdana" w:cs="Arial"/>
          <w:lang w:eastAsia="es-CO"/>
        </w:rPr>
        <w:t>s</w:t>
      </w:r>
      <w:r w:rsidRPr="003C2D9F">
        <w:rPr>
          <w:rFonts w:ascii="Verdana" w:eastAsia="Calibri" w:hAnsi="Verdana" w:cs="Arial"/>
          <w:lang w:eastAsia="es-CO"/>
        </w:rPr>
        <w:t xml:space="preserve"> es viable que las entidades estatales soliciten documentos</w:t>
      </w:r>
      <w:r w:rsidR="002B4C8A" w:rsidRPr="003C2D9F">
        <w:rPr>
          <w:rFonts w:ascii="Verdana" w:eastAsia="Calibri" w:hAnsi="Verdana" w:cs="Arial"/>
          <w:lang w:eastAsia="es-CO"/>
        </w:rPr>
        <w:t xml:space="preserve"> </w:t>
      </w:r>
      <w:r w:rsidR="009A6AAB" w:rsidRPr="003C2D9F">
        <w:rPr>
          <w:rFonts w:ascii="Verdana" w:eastAsia="Calibri" w:hAnsi="Verdana" w:cs="Arial"/>
          <w:lang w:eastAsia="es-CO"/>
        </w:rPr>
        <w:t>distintos del</w:t>
      </w:r>
      <w:r w:rsidR="002B4C8A" w:rsidRPr="003C2D9F">
        <w:rPr>
          <w:rFonts w:ascii="Verdana" w:eastAsia="Calibri" w:hAnsi="Verdana" w:cs="Arial"/>
          <w:lang w:eastAsia="es-CO"/>
        </w:rPr>
        <w:t xml:space="preserve"> RUP para</w:t>
      </w:r>
      <w:r w:rsidRPr="003C2D9F">
        <w:rPr>
          <w:rFonts w:ascii="Verdana" w:eastAsia="Calibri" w:hAnsi="Verdana" w:cs="Arial"/>
          <w:lang w:eastAsia="es-CO"/>
        </w:rPr>
        <w:t xml:space="preserve"> verificar </w:t>
      </w:r>
      <w:r w:rsidRPr="003C2D9F">
        <w:rPr>
          <w:rFonts w:ascii="Verdana" w:eastAsia="Calibri" w:hAnsi="Verdana" w:cs="Arial"/>
          <w:lang w:eastAsia="es-CO"/>
        </w:rPr>
        <w:lastRenderedPageBreak/>
        <w:t xml:space="preserve">información adicional relativa a la </w:t>
      </w:r>
      <w:r w:rsidR="00A317BF" w:rsidRPr="003C2D9F">
        <w:rPr>
          <w:rFonts w:ascii="Verdana" w:eastAsia="Calibri" w:hAnsi="Verdana" w:cs="Arial"/>
          <w:lang w:eastAsia="es-CO"/>
        </w:rPr>
        <w:t xml:space="preserve">capacidad jurídica </w:t>
      </w:r>
      <w:r w:rsidRPr="003C2D9F">
        <w:rPr>
          <w:rFonts w:ascii="Verdana" w:eastAsia="Calibri" w:hAnsi="Verdana" w:cs="Arial"/>
          <w:lang w:eastAsia="es-CO"/>
        </w:rPr>
        <w:t>del proponente, siempre y cuando dicha exigencia haya sido previamente prevista en los pliegos de condiciones o documento equivalente.</w:t>
      </w:r>
      <w:r w:rsidR="00C04749" w:rsidRPr="003C2D9F">
        <w:rPr>
          <w:rFonts w:ascii="Verdana" w:eastAsia="Calibri" w:hAnsi="Verdana" w:cs="Arial"/>
          <w:lang w:eastAsia="es-CO"/>
        </w:rPr>
        <w:t xml:space="preserve"> En ese sentido,</w:t>
      </w:r>
      <w:r w:rsidRPr="003C2D9F">
        <w:rPr>
          <w:rFonts w:ascii="Verdana" w:eastAsia="Calibri" w:hAnsi="Verdana" w:cs="Arial"/>
          <w:lang w:eastAsia="es-CO"/>
        </w:rPr>
        <w:t xml:space="preserve"> </w:t>
      </w:r>
      <w:r w:rsidR="00C04749" w:rsidRPr="003C2D9F">
        <w:rPr>
          <w:rFonts w:ascii="Verdana" w:eastAsia="Calibri" w:hAnsi="Verdana" w:cs="Arial"/>
          <w:lang w:eastAsia="es-CO"/>
        </w:rPr>
        <w:t xml:space="preserve">de acuerdo con </w:t>
      </w:r>
      <w:r w:rsidRPr="003C2D9F">
        <w:rPr>
          <w:rFonts w:ascii="Verdana" w:eastAsia="Calibri" w:hAnsi="Verdana" w:cs="Arial"/>
          <w:lang w:eastAsia="es-CO"/>
        </w:rPr>
        <w:t>lo disp</w:t>
      </w:r>
      <w:r w:rsidR="00C04749" w:rsidRPr="003C2D9F">
        <w:rPr>
          <w:rFonts w:ascii="Verdana" w:eastAsia="Calibri" w:hAnsi="Verdana" w:cs="Arial"/>
          <w:lang w:eastAsia="es-CO"/>
        </w:rPr>
        <w:t>uesto en</w:t>
      </w:r>
      <w:r w:rsidRPr="003C2D9F">
        <w:rPr>
          <w:rFonts w:ascii="Verdana" w:eastAsia="Calibri" w:hAnsi="Verdana" w:cs="Arial"/>
          <w:lang w:eastAsia="es-CO"/>
        </w:rPr>
        <w:t xml:space="preserve"> el numeral 2 del artículo 30 de la Ley 80 de 1993 y el artículo 5 de la Ley 1150 de 2007, </w:t>
      </w:r>
      <w:r w:rsidR="00C04749" w:rsidRPr="003C2D9F">
        <w:rPr>
          <w:rFonts w:ascii="Verdana" w:eastAsia="Calibri" w:hAnsi="Verdana" w:cs="Arial"/>
          <w:lang w:eastAsia="es-CO"/>
        </w:rPr>
        <w:t>las entidades estatales debe</w:t>
      </w:r>
      <w:r w:rsidRPr="003C2D9F">
        <w:rPr>
          <w:rFonts w:ascii="Verdana" w:eastAsia="Calibri" w:hAnsi="Verdana" w:cs="Arial"/>
          <w:lang w:eastAsia="es-CO"/>
        </w:rPr>
        <w:t xml:space="preserve">n detallar los aspectos relativos a la determinación y ponderación de los factores objetivos de selección y todas las demás circunstancias de tiempo, modo y lugar que se consideren necesarias para garantizar reglas objetivas, claras y completa. </w:t>
      </w:r>
      <w:r w:rsidR="00A317BF" w:rsidRPr="003C2D9F">
        <w:rPr>
          <w:rFonts w:ascii="Verdana" w:eastAsia="Calibri" w:hAnsi="Verdana" w:cs="Arial"/>
          <w:lang w:eastAsia="es-CO"/>
        </w:rPr>
        <w:t>En todo caso, la</w:t>
      </w:r>
      <w:r w:rsidR="00C04749" w:rsidRPr="003C2D9F">
        <w:rPr>
          <w:rFonts w:ascii="Verdana" w:eastAsia="Calibri" w:hAnsi="Verdana" w:cs="Arial"/>
          <w:lang w:eastAsia="es-CO"/>
        </w:rPr>
        <w:t xml:space="preserve"> exigencia de exigir documentos para acreditar la capacidad jurídica además debe sustentarse en la ley</w:t>
      </w:r>
      <w:r w:rsidR="00EC5350" w:rsidRPr="003C2D9F">
        <w:rPr>
          <w:rFonts w:ascii="Verdana" w:eastAsia="Calibri" w:hAnsi="Verdana" w:cs="Arial"/>
          <w:lang w:eastAsia="es-CO"/>
        </w:rPr>
        <w:t xml:space="preserve">, </w:t>
      </w:r>
      <w:r w:rsidR="003C2D9F" w:rsidRPr="003C2D9F">
        <w:rPr>
          <w:rFonts w:ascii="Verdana" w:eastAsia="Calibri" w:hAnsi="Verdana" w:cs="Arial"/>
          <w:lang w:eastAsia="es-CO"/>
        </w:rPr>
        <w:t>como,</w:t>
      </w:r>
      <w:r w:rsidR="00EC5350" w:rsidRPr="003C2D9F">
        <w:rPr>
          <w:rFonts w:ascii="Verdana" w:eastAsia="Calibri" w:hAnsi="Verdana" w:cs="Arial"/>
          <w:lang w:eastAsia="es-CO"/>
        </w:rPr>
        <w:t xml:space="preserve"> por ejemplo, en las disposiciones que integran el régimen de inhabilidades e incompatibilidades. </w:t>
      </w:r>
      <w:r w:rsidR="00C04749" w:rsidRPr="003C2D9F">
        <w:rPr>
          <w:rFonts w:ascii="Verdana" w:eastAsia="Calibri" w:hAnsi="Verdana" w:cs="Arial"/>
          <w:lang w:eastAsia="es-CO"/>
        </w:rPr>
        <w:t xml:space="preserve"> </w:t>
      </w:r>
    </w:p>
    <w:p w14:paraId="5902EB4E" w14:textId="77777777" w:rsidR="0046225C" w:rsidRPr="003C2D9F" w:rsidRDefault="0046225C" w:rsidP="003C2D9F">
      <w:pPr>
        <w:spacing w:after="120" w:line="276" w:lineRule="auto"/>
        <w:ind w:firstLine="708"/>
        <w:jc w:val="both"/>
        <w:rPr>
          <w:rFonts w:ascii="Verdana" w:eastAsia="Times New Roman" w:hAnsi="Verdana" w:cs="Arial"/>
          <w:lang w:eastAsia="es-CO"/>
        </w:rPr>
      </w:pPr>
      <w:bookmarkStart w:id="9" w:name="_1fob9te" w:colFirst="0" w:colLast="0"/>
      <w:bookmarkEnd w:id="9"/>
      <w:r w:rsidRPr="003C2D9F">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09E31B" w14:textId="77777777" w:rsidR="0046225C" w:rsidRPr="003C2D9F" w:rsidRDefault="0046225C" w:rsidP="003C2D9F">
      <w:pPr>
        <w:spacing w:after="0" w:line="276" w:lineRule="auto"/>
        <w:ind w:firstLine="708"/>
        <w:jc w:val="both"/>
        <w:rPr>
          <w:rFonts w:ascii="Verdana" w:hAnsi="Verdana" w:cs="Arial"/>
          <w:bCs/>
          <w:color w:val="000000" w:themeColor="text1"/>
        </w:rPr>
      </w:pPr>
      <w:r w:rsidRPr="003C2D9F">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60D31F9" w14:textId="77777777" w:rsidR="0073024D" w:rsidRPr="00742A56" w:rsidRDefault="0073024D" w:rsidP="0073024D">
      <w:pPr>
        <w:spacing w:after="0" w:line="276" w:lineRule="auto"/>
        <w:ind w:firstLine="708"/>
        <w:jc w:val="both"/>
        <w:rPr>
          <w:rFonts w:ascii="Verdana" w:hAnsi="Verdana" w:cs="Arial"/>
          <w:bCs/>
          <w:color w:val="000000" w:themeColor="text1"/>
        </w:rPr>
      </w:pPr>
      <w:bookmarkStart w:id="10" w:name="_Hlk204856061"/>
      <w:bookmarkStart w:id="11" w:name="_Hlk78820161"/>
      <w:bookmarkStart w:id="12" w:name="_Hlk204854194"/>
    </w:p>
    <w:bookmarkEnd w:id="10"/>
    <w:bookmarkEnd w:id="11"/>
    <w:p w14:paraId="6342D427" w14:textId="77777777" w:rsidR="0073024D" w:rsidRPr="001F283D" w:rsidRDefault="0073024D" w:rsidP="0073024D">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12"/>
    <w:p w14:paraId="15D1CCF0" w14:textId="77777777" w:rsidR="0073024D" w:rsidRPr="00593A5F" w:rsidRDefault="0073024D" w:rsidP="0073024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3024D" w:rsidRPr="002407CE" w14:paraId="25F8CAEB" w14:textId="77777777" w:rsidTr="00A024CB">
        <w:trPr>
          <w:trHeight w:val="870"/>
          <w:jc w:val="center"/>
        </w:trPr>
        <w:tc>
          <w:tcPr>
            <w:tcW w:w="8647" w:type="dxa"/>
          </w:tcPr>
          <w:p w14:paraId="2CAFD4D4" w14:textId="77777777" w:rsidR="0073024D" w:rsidRPr="00542544" w:rsidRDefault="0073024D" w:rsidP="0073024D">
            <w:pPr>
              <w:pStyle w:val="Prrafodelista"/>
              <w:numPr>
                <w:ilvl w:val="0"/>
                <w:numId w:val="17"/>
              </w:numPr>
              <w:spacing w:line="276" w:lineRule="auto"/>
              <w:jc w:val="both"/>
              <w:rPr>
                <w:rFonts w:ascii="Verdana" w:hAnsi="Verdana"/>
              </w:rPr>
            </w:pPr>
            <w:r w:rsidRPr="00542544">
              <w:rPr>
                <w:rFonts w:ascii="Verdana" w:hAnsi="Verdana" w:cs="Arial"/>
                <w:color w:val="000000" w:themeColor="text1"/>
              </w:rPr>
              <w:lastRenderedPageBreak/>
              <w:t>Constitución Política, Preámbulo y artículos 1, 2 y 3 inciso 2</w:t>
            </w:r>
          </w:p>
          <w:p w14:paraId="708480FC" w14:textId="77777777" w:rsidR="0073024D" w:rsidRPr="00542544" w:rsidRDefault="0073024D" w:rsidP="0073024D">
            <w:pPr>
              <w:pStyle w:val="Prrafodelista"/>
              <w:numPr>
                <w:ilvl w:val="0"/>
                <w:numId w:val="17"/>
              </w:numPr>
              <w:spacing w:line="276" w:lineRule="auto"/>
              <w:jc w:val="both"/>
              <w:rPr>
                <w:rFonts w:ascii="Verdana" w:hAnsi="Verdana"/>
              </w:rPr>
            </w:pPr>
            <w:r w:rsidRPr="00542544">
              <w:rPr>
                <w:rFonts w:ascii="Verdana" w:hAnsi="Verdana" w:cs="Arial"/>
                <w:color w:val="000000" w:themeColor="text1"/>
              </w:rPr>
              <w:t xml:space="preserve">Código Civil, artículos 18, </w:t>
            </w:r>
            <w:r w:rsidRPr="00542544">
              <w:rPr>
                <w:rFonts w:ascii="Verdana" w:hAnsi="Verdana" w:cs="Arial"/>
              </w:rPr>
              <w:t>1502, 1503 1504 y 1505</w:t>
            </w:r>
          </w:p>
          <w:p w14:paraId="265537B0" w14:textId="77777777" w:rsidR="0073024D" w:rsidRPr="00542544" w:rsidRDefault="0073024D" w:rsidP="0073024D">
            <w:pPr>
              <w:pStyle w:val="Prrafodelista"/>
              <w:numPr>
                <w:ilvl w:val="0"/>
                <w:numId w:val="17"/>
              </w:numPr>
              <w:spacing w:line="276" w:lineRule="auto"/>
              <w:jc w:val="both"/>
              <w:rPr>
                <w:rFonts w:ascii="Verdana" w:hAnsi="Verdana"/>
              </w:rPr>
            </w:pPr>
            <w:r w:rsidRPr="00542544">
              <w:rPr>
                <w:rFonts w:ascii="Verdana" w:eastAsia="Arial MT" w:hAnsi="Verdana" w:cs="Arial"/>
                <w:lang w:eastAsia="es-ES" w:bidi="es-ES"/>
              </w:rPr>
              <w:t xml:space="preserve">Ley 80 de 1993, artículos 6 y 7 </w:t>
            </w:r>
          </w:p>
          <w:p w14:paraId="2E462365" w14:textId="77777777" w:rsidR="0073024D" w:rsidRPr="00542544" w:rsidRDefault="0073024D" w:rsidP="0073024D">
            <w:pPr>
              <w:pStyle w:val="Prrafodelista"/>
              <w:numPr>
                <w:ilvl w:val="0"/>
                <w:numId w:val="17"/>
              </w:numPr>
              <w:spacing w:line="276" w:lineRule="auto"/>
              <w:jc w:val="both"/>
              <w:rPr>
                <w:rFonts w:ascii="Verdana" w:hAnsi="Verdana" w:cs="Arial"/>
              </w:rPr>
            </w:pPr>
            <w:r w:rsidRPr="00542544">
              <w:rPr>
                <w:rFonts w:ascii="Verdana" w:hAnsi="Verdana" w:cs="Arial"/>
              </w:rPr>
              <w:t>Ley 1150 de 2007, artículos 5 y 6</w:t>
            </w:r>
          </w:p>
          <w:p w14:paraId="53C8A5F8" w14:textId="77777777" w:rsidR="0073024D" w:rsidRPr="00542544" w:rsidRDefault="0073024D" w:rsidP="0073024D">
            <w:pPr>
              <w:pStyle w:val="Prrafodelista"/>
              <w:numPr>
                <w:ilvl w:val="0"/>
                <w:numId w:val="17"/>
              </w:numPr>
              <w:spacing w:line="276" w:lineRule="auto"/>
              <w:jc w:val="both"/>
              <w:rPr>
                <w:rFonts w:ascii="Verdana" w:hAnsi="Verdana" w:cs="Arial"/>
              </w:rPr>
            </w:pPr>
            <w:r w:rsidRPr="00542544">
              <w:rPr>
                <w:rFonts w:ascii="Verdana" w:hAnsi="Verdana" w:cs="Arial"/>
              </w:rPr>
              <w:t xml:space="preserve">Decreto 1082 de 2015, artículos 2.2.1.1.1.6.2 y </w:t>
            </w:r>
            <w:r w:rsidRPr="00542544">
              <w:rPr>
                <w:rFonts w:ascii="Verdana" w:eastAsia="Arial MT" w:hAnsi="Verdana" w:cs="Arial"/>
                <w:lang w:eastAsia="es-ES" w:bidi="es-ES"/>
              </w:rPr>
              <w:t>2.2.1.1.1.5.1.</w:t>
            </w:r>
          </w:p>
          <w:p w14:paraId="2698CA96" w14:textId="77777777" w:rsidR="00E063D8" w:rsidRPr="00E063D8" w:rsidRDefault="00E063D8" w:rsidP="00E063D8">
            <w:pPr>
              <w:pStyle w:val="Prrafodelista"/>
              <w:numPr>
                <w:ilvl w:val="0"/>
                <w:numId w:val="17"/>
              </w:numPr>
              <w:spacing w:line="276" w:lineRule="auto"/>
              <w:jc w:val="both"/>
              <w:rPr>
                <w:rFonts w:ascii="Verdana" w:hAnsi="Verdana" w:cs="Arial"/>
                <w:color w:val="000000" w:themeColor="text1"/>
              </w:rPr>
            </w:pPr>
            <w:r w:rsidRPr="00E063D8">
              <w:rPr>
                <w:rFonts w:ascii="Verdana" w:hAnsi="Verdana" w:cs="Arial"/>
                <w:color w:val="000000" w:themeColor="text1"/>
              </w:rPr>
              <w:t>CORTE CONSTITUCIONAL. Sentencia C-415 de 1994. M.P. Eduardo Cifuentes Muñoz.</w:t>
            </w:r>
          </w:p>
          <w:p w14:paraId="4EA093F0" w14:textId="77777777" w:rsidR="00E063D8" w:rsidRPr="00E063D8" w:rsidRDefault="00E063D8" w:rsidP="00E063D8">
            <w:pPr>
              <w:pStyle w:val="Prrafodelista"/>
              <w:numPr>
                <w:ilvl w:val="0"/>
                <w:numId w:val="17"/>
              </w:numPr>
              <w:spacing w:line="276" w:lineRule="auto"/>
              <w:jc w:val="both"/>
              <w:rPr>
                <w:rFonts w:ascii="Verdana" w:hAnsi="Verdana" w:cs="Arial"/>
                <w:color w:val="000000" w:themeColor="text1"/>
              </w:rPr>
            </w:pPr>
            <w:r w:rsidRPr="00E063D8">
              <w:rPr>
                <w:rFonts w:ascii="Verdana" w:hAnsi="Verdana" w:cs="Arial"/>
                <w:color w:val="000000" w:themeColor="text1"/>
              </w:rPr>
              <w:t>CORTE CONSTITUCIONAL. Sentencia C-780 de 2001. M.P. Jaime Córdoba Triviño.</w:t>
            </w:r>
          </w:p>
          <w:p w14:paraId="32CB9ACD" w14:textId="77777777" w:rsidR="00E063D8" w:rsidRPr="00E063D8" w:rsidRDefault="00E063D8" w:rsidP="00E063D8">
            <w:pPr>
              <w:pStyle w:val="Prrafodelista"/>
              <w:numPr>
                <w:ilvl w:val="0"/>
                <w:numId w:val="17"/>
              </w:numPr>
              <w:spacing w:line="276" w:lineRule="auto"/>
              <w:jc w:val="both"/>
              <w:rPr>
                <w:rFonts w:ascii="Verdana" w:hAnsi="Verdana" w:cs="Arial"/>
                <w:color w:val="000000" w:themeColor="text1"/>
              </w:rPr>
            </w:pPr>
            <w:r w:rsidRPr="00E063D8">
              <w:rPr>
                <w:rFonts w:ascii="Verdana" w:hAnsi="Verdana" w:cs="Arial"/>
                <w:color w:val="000000" w:themeColor="text1"/>
              </w:rPr>
              <w:t>CORTE CONSTITUCIONAL. Sentencia C-1016 de 2012. M.P. Jorge Iván Palacio.</w:t>
            </w:r>
          </w:p>
          <w:p w14:paraId="47FE6631" w14:textId="77777777" w:rsidR="00E063D8" w:rsidRPr="00E063D8" w:rsidRDefault="00E063D8" w:rsidP="00E063D8">
            <w:pPr>
              <w:pStyle w:val="Prrafodelista"/>
              <w:numPr>
                <w:ilvl w:val="0"/>
                <w:numId w:val="17"/>
              </w:numPr>
              <w:spacing w:line="276" w:lineRule="auto"/>
              <w:jc w:val="both"/>
              <w:rPr>
                <w:rFonts w:ascii="Verdana" w:hAnsi="Verdana" w:cs="Arial"/>
                <w:color w:val="000000" w:themeColor="text1"/>
              </w:rPr>
            </w:pPr>
            <w:r w:rsidRPr="00E063D8">
              <w:rPr>
                <w:rFonts w:ascii="Verdana" w:hAnsi="Verdana" w:cs="Arial"/>
                <w:color w:val="000000" w:themeColor="text1"/>
              </w:rPr>
              <w:t>CONSEJO DE ESTADO. Sección Tercera. Subsección A. Sentencia del 13 de noviembre de 2013. Rad. 25.646. C.P. Mauricio Fajardo Gómez.</w:t>
            </w:r>
          </w:p>
          <w:p w14:paraId="05A3423B" w14:textId="77777777" w:rsidR="00E063D8" w:rsidRPr="00E063D8" w:rsidRDefault="00E063D8" w:rsidP="00E063D8">
            <w:pPr>
              <w:pStyle w:val="Prrafodelista"/>
              <w:numPr>
                <w:ilvl w:val="0"/>
                <w:numId w:val="17"/>
              </w:numPr>
              <w:spacing w:line="276" w:lineRule="auto"/>
              <w:jc w:val="both"/>
              <w:rPr>
                <w:rFonts w:ascii="Verdana" w:hAnsi="Verdana" w:cs="Arial"/>
                <w:color w:val="000000" w:themeColor="text1"/>
              </w:rPr>
            </w:pPr>
            <w:r w:rsidRPr="00E063D8">
              <w:rPr>
                <w:rFonts w:ascii="Verdana" w:hAnsi="Verdana" w:cs="Arial"/>
                <w:color w:val="000000" w:themeColor="text1"/>
              </w:rPr>
              <w:t>CONSEJO DE ESTADO. Sección Tercera. Subsección A. Sentencia del 12 de febrero de 2014. Exp. 31.753. C.P. Mauricio Fajardo Gómez:</w:t>
            </w:r>
          </w:p>
          <w:p w14:paraId="633073C0" w14:textId="77777777" w:rsidR="00E063D8" w:rsidRPr="00E063D8" w:rsidRDefault="00E063D8" w:rsidP="00E063D8">
            <w:pPr>
              <w:pStyle w:val="Prrafodelista"/>
              <w:numPr>
                <w:ilvl w:val="0"/>
                <w:numId w:val="17"/>
              </w:numPr>
              <w:spacing w:line="276" w:lineRule="auto"/>
              <w:jc w:val="both"/>
              <w:rPr>
                <w:rFonts w:ascii="Verdana" w:hAnsi="Verdana" w:cs="Arial"/>
                <w:color w:val="000000" w:themeColor="text1"/>
              </w:rPr>
            </w:pPr>
            <w:r w:rsidRPr="00E063D8">
              <w:rPr>
                <w:rFonts w:ascii="Verdana" w:hAnsi="Verdana" w:cs="Arial"/>
                <w:color w:val="000000" w:themeColor="text1"/>
              </w:rPr>
              <w:t>ALVIAR GARCÍA, Helena (Coordinadora). Nuevas tendencias del Derecho administrativo. Bogotá: Universidad de los Andes; Temis, 2016.</w:t>
            </w:r>
          </w:p>
          <w:p w14:paraId="54D56DEE" w14:textId="77777777" w:rsidR="00E063D8" w:rsidRPr="00E063D8" w:rsidRDefault="00E063D8" w:rsidP="00E063D8">
            <w:pPr>
              <w:pStyle w:val="Prrafodelista"/>
              <w:numPr>
                <w:ilvl w:val="0"/>
                <w:numId w:val="17"/>
              </w:numPr>
              <w:spacing w:line="276" w:lineRule="auto"/>
              <w:jc w:val="both"/>
              <w:rPr>
                <w:rFonts w:ascii="Verdana" w:hAnsi="Verdana" w:cs="Arial"/>
                <w:color w:val="000000" w:themeColor="text1"/>
              </w:rPr>
            </w:pPr>
            <w:r w:rsidRPr="00E063D8">
              <w:rPr>
                <w:rFonts w:ascii="Verdana" w:hAnsi="Verdana" w:cs="Arial"/>
                <w:color w:val="000000" w:themeColor="text1"/>
              </w:rPr>
              <w:t>BENAVIDES, José Luis. El contrato estatal. Entre el Derecho público y el Derecho privado. 2ª ed. Bogotá: Universidad Externado de Colombia, 2004.</w:t>
            </w:r>
          </w:p>
          <w:p w14:paraId="5F05274D" w14:textId="10DE7E96" w:rsidR="00E063D8" w:rsidRDefault="00E063D8" w:rsidP="0073024D">
            <w:pPr>
              <w:pStyle w:val="Prrafodelista"/>
              <w:numPr>
                <w:ilvl w:val="0"/>
                <w:numId w:val="17"/>
              </w:numPr>
              <w:spacing w:line="276" w:lineRule="auto"/>
              <w:jc w:val="both"/>
              <w:rPr>
                <w:rFonts w:ascii="Verdana" w:hAnsi="Verdana" w:cs="Arial"/>
              </w:rPr>
            </w:pPr>
            <w:r w:rsidRPr="00E063D8">
              <w:rPr>
                <w:rFonts w:ascii="Verdana" w:hAnsi="Verdana" w:cs="Arial"/>
                <w:color w:val="000000" w:themeColor="text1"/>
              </w:rPr>
              <w:t>DÁVILA VINUEZA, Luis Guillermo. Régimen jurídico de la contratación estatal. 3ª ed. Bogotá: Legis, 2016.</w:t>
            </w:r>
          </w:p>
          <w:p w14:paraId="2604ECAF" w14:textId="2B07E4D6" w:rsidR="00F423D2" w:rsidRPr="00A57FA0" w:rsidRDefault="00E063D8" w:rsidP="009252E0">
            <w:pPr>
              <w:pStyle w:val="Prrafodelista"/>
              <w:numPr>
                <w:ilvl w:val="0"/>
                <w:numId w:val="17"/>
              </w:numPr>
              <w:spacing w:before="120" w:line="276" w:lineRule="auto"/>
              <w:jc w:val="both"/>
              <w:rPr>
                <w:rFonts w:ascii="Verdana" w:hAnsi="Verdana" w:cs="Arial"/>
                <w:color w:val="000000" w:themeColor="text1"/>
              </w:rPr>
            </w:pPr>
            <w:r w:rsidRPr="00C57C09">
              <w:rPr>
                <w:rFonts w:ascii="Verdana" w:hAnsi="Verdana" w:cs="Arial"/>
              </w:rPr>
              <w:t xml:space="preserve">Agencia Nacional de Contratación Pública –Colombia Compra Eficiente–. </w:t>
            </w:r>
            <w:r w:rsidR="0073024D" w:rsidRPr="00C57C09">
              <w:rPr>
                <w:rFonts w:ascii="Verdana" w:hAnsi="Verdana" w:cs="Arial"/>
              </w:rPr>
              <w:t>Manual para determinar y verificar los requisitos habilitantes en los Procesos de Contratación</w:t>
            </w:r>
            <w:r w:rsidRPr="00C57C09">
              <w:rPr>
                <w:rFonts w:ascii="Verdana" w:hAnsi="Verdana" w:cs="Arial"/>
              </w:rPr>
              <w:t xml:space="preserve">. Disponible en: </w:t>
            </w:r>
            <w:hyperlink r:id="rId12" w:history="1">
              <w:r w:rsidR="00C57C09" w:rsidRPr="00C57C09">
                <w:rPr>
                  <w:rStyle w:val="Hipervnculo"/>
                  <w:rFonts w:ascii="Verdana" w:hAnsi="Verdana" w:cs="Arial"/>
                </w:rPr>
                <w:t>https://www.colombiacompra.gov.co/archivos/manual/manual-para-determinar-y-verificar-los-requisitos-habilitantes-en-los-procesos-de-contratacion</w:t>
              </w:r>
            </w:hyperlink>
            <w:r w:rsidR="00C57C09" w:rsidRPr="00C57C09">
              <w:rPr>
                <w:rFonts w:ascii="Verdana" w:hAnsi="Verdana" w:cs="Arial"/>
              </w:rPr>
              <w:t xml:space="preserve"> </w:t>
            </w:r>
          </w:p>
        </w:tc>
      </w:tr>
    </w:tbl>
    <w:p w14:paraId="548D6EF0" w14:textId="77777777" w:rsidR="0073024D" w:rsidRPr="00277E26" w:rsidRDefault="0073024D" w:rsidP="0073024D">
      <w:pPr>
        <w:widowControl w:val="0"/>
        <w:autoSpaceDE w:val="0"/>
        <w:autoSpaceDN w:val="0"/>
        <w:spacing w:after="0" w:line="276" w:lineRule="auto"/>
        <w:jc w:val="both"/>
        <w:rPr>
          <w:rFonts w:ascii="Verdana" w:hAnsi="Verdana" w:cs="Arial"/>
        </w:rPr>
      </w:pPr>
    </w:p>
    <w:p w14:paraId="50E5D7A9" w14:textId="77777777" w:rsidR="0073024D" w:rsidRPr="001F283D" w:rsidRDefault="0073024D" w:rsidP="0073024D">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C8F4C82" w14:textId="77777777" w:rsidR="0073024D" w:rsidRDefault="0073024D" w:rsidP="0073024D">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4076D019" w14:textId="5CB96295" w:rsidR="0073024D" w:rsidRPr="00542544" w:rsidRDefault="0073024D" w:rsidP="0073024D">
      <w:pPr>
        <w:widowControl w:val="0"/>
        <w:autoSpaceDE w:val="0"/>
        <w:autoSpaceDN w:val="0"/>
        <w:spacing w:after="0" w:line="276" w:lineRule="auto"/>
        <w:jc w:val="both"/>
        <w:rPr>
          <w:rStyle w:val="normaltextrun"/>
          <w:rFonts w:ascii="Verdana" w:hAnsi="Verdana" w:cs="Arial"/>
          <w:shd w:val="clear" w:color="auto" w:fill="FFFFFF"/>
          <w:lang w:val="es-ES"/>
        </w:rPr>
      </w:pPr>
      <w:r w:rsidRPr="007C1489">
        <w:rPr>
          <w:rFonts w:ascii="Verdana" w:eastAsia="Aptos" w:hAnsi="Verdana" w:cs="Arial"/>
          <w:shd w:val="clear" w:color="auto" w:fill="FFFFFF"/>
          <w:lang w:val="es-ES"/>
        </w:rPr>
        <w:t xml:space="preserve">Sobre los requisitos habilitantes en los procesos de contratación pública, esta Subdirección se ha referido en los Conceptos </w:t>
      </w:r>
      <w:r w:rsidRPr="00542544">
        <w:rPr>
          <w:rFonts w:ascii="Verdana" w:eastAsia="Calibri" w:hAnsi="Verdana" w:cs="Arial"/>
          <w:lang w:val="es-ES_tradnl" w:eastAsia="es-MX"/>
        </w:rPr>
        <w:t xml:space="preserve">C-120 del 3 de marzo de 2020, C-099 del 6 de abril de 2020, C-195 del 13 de abril de 2020, C-142 del 30 de marzo de 2022, C-337 del 18 de agosto de 2023, </w:t>
      </w:r>
      <w:r w:rsidRPr="00542544">
        <w:rPr>
          <w:rFonts w:ascii="Verdana" w:eastAsia="Aptos" w:hAnsi="Verdana" w:cs="Arial"/>
          <w:shd w:val="clear" w:color="auto" w:fill="FFFFFF"/>
          <w:lang w:val="es-ES"/>
        </w:rPr>
        <w:t xml:space="preserve">C-246 del 16 de julio de 2024, </w:t>
      </w:r>
      <w:r w:rsidRPr="00542544">
        <w:rPr>
          <w:rFonts w:ascii="Verdana" w:eastAsia="Aptos" w:hAnsi="Verdana" w:cs="Arial"/>
          <w:shd w:val="clear" w:color="auto" w:fill="FFFFFF"/>
          <w:lang w:val="es-ES"/>
        </w:rPr>
        <w:lastRenderedPageBreak/>
        <w:t xml:space="preserve">C-277 del 16 de julio de 2024, C-193 del 19 de julio de 2024, C-178 del 29 de julio de 2024, C-204 del 29 de julio de 2024, C-278 del 31 de julio de 2024, C-201 del 02 de agosto de 2024, C-349 del 15 de agosto de 2024, C-291 del 20 de agosto de 2024, </w:t>
      </w:r>
      <w:r w:rsidRPr="00542544">
        <w:rPr>
          <w:rFonts w:ascii="Verdana" w:eastAsia="Calibri" w:hAnsi="Verdana" w:cs="Arial"/>
          <w:lang w:eastAsia="es-ES_tradnl"/>
        </w:rPr>
        <w:t>entre otros.</w:t>
      </w:r>
      <w:r w:rsidRPr="007037F3">
        <w:rPr>
          <w:rFonts w:ascii="Verdana" w:hAnsi="Verdana"/>
          <w:lang w:val="es-ES_tradnl"/>
        </w:rPr>
        <w:t xml:space="preserve"> </w:t>
      </w:r>
      <w:r w:rsidRPr="00542544">
        <w:rPr>
          <w:rFonts w:ascii="Verdana" w:hAnsi="Verdana"/>
        </w:rPr>
        <w:t>Estos y otros conceptos se encuentran disponibles para consulta en el Sistema de relatoría de la Agencia, al cual se puede acceder a través del siguiente enlace:</w:t>
      </w:r>
      <w:r w:rsidRPr="00542544">
        <w:rPr>
          <w:rStyle w:val="normaltextrun"/>
          <w:rFonts w:ascii="Verdana" w:hAnsi="Verdana" w:cs="Arial"/>
          <w:shd w:val="clear" w:color="auto" w:fill="FFFFFF"/>
          <w:lang w:val="es-ES"/>
        </w:rPr>
        <w:t xml:space="preserve"> </w:t>
      </w:r>
      <w:hyperlink r:id="rId13" w:history="1">
        <w:r w:rsidRPr="00542544">
          <w:rPr>
            <w:rStyle w:val="Hipervnculo"/>
            <w:rFonts w:ascii="Verdana" w:hAnsi="Verdana" w:cs="Arial"/>
            <w:shd w:val="clear" w:color="auto" w:fill="FFFFFF"/>
            <w:lang w:val="es-ES"/>
          </w:rPr>
          <w:t>https://relatoria.colombiacompra.gov.co/busqueda/conceptos</w:t>
        </w:r>
      </w:hyperlink>
      <w:r w:rsidRPr="00542544">
        <w:rPr>
          <w:rStyle w:val="normaltextrun"/>
          <w:rFonts w:ascii="Verdana" w:hAnsi="Verdana" w:cs="Arial"/>
          <w:shd w:val="clear" w:color="auto" w:fill="FFFFFF"/>
          <w:lang w:val="es-ES"/>
        </w:rPr>
        <w:t xml:space="preserve"> </w:t>
      </w:r>
    </w:p>
    <w:p w14:paraId="291A23C1" w14:textId="77777777" w:rsidR="0073024D" w:rsidRPr="00900D7D" w:rsidRDefault="0073024D" w:rsidP="0073024D">
      <w:pPr>
        <w:widowControl w:val="0"/>
        <w:autoSpaceDE w:val="0"/>
        <w:autoSpaceDN w:val="0"/>
        <w:spacing w:after="120" w:line="276" w:lineRule="auto"/>
        <w:jc w:val="both"/>
        <w:rPr>
          <w:rFonts w:ascii="Verdana" w:eastAsia="Calibri" w:hAnsi="Verdana" w:cs="Arial"/>
          <w:color w:val="000000" w:themeColor="text1"/>
          <w:lang w:eastAsia="es-ES_tradnl"/>
        </w:rPr>
      </w:pPr>
    </w:p>
    <w:p w14:paraId="6ADA6054" w14:textId="77777777" w:rsidR="0073024D" w:rsidRPr="00237766" w:rsidRDefault="0073024D" w:rsidP="0073024D">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6AE5FB7" w14:textId="77777777" w:rsidR="0073024D" w:rsidRPr="008E4F36" w:rsidRDefault="0073024D" w:rsidP="0073024D">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7A9ACA37" w14:textId="77777777" w:rsidR="0073024D" w:rsidRPr="008E4F36" w:rsidRDefault="0073024D" w:rsidP="0073024D">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1F4C9EE9" w14:textId="77777777" w:rsidR="0073024D" w:rsidRPr="008E4F36" w:rsidRDefault="0073024D" w:rsidP="0073024D">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59791F18" w14:textId="77777777" w:rsidR="0073024D" w:rsidRPr="008E4F36" w:rsidRDefault="0073024D" w:rsidP="0073024D">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4" w:history="1">
        <w:r w:rsidRPr="008E4F36">
          <w:rPr>
            <w:rStyle w:val="Hipervnculo"/>
            <w:rFonts w:ascii="Verdana" w:hAnsi="Verdana"/>
          </w:rPr>
          <w:t>www.colombiacompra.gov.co</w:t>
        </w:r>
      </w:hyperlink>
    </w:p>
    <w:p w14:paraId="16AABC61" w14:textId="77777777" w:rsidR="0073024D" w:rsidRPr="008E4F36" w:rsidRDefault="0073024D" w:rsidP="0073024D">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2F0994DB" w14:textId="77777777" w:rsidR="0073024D" w:rsidRPr="008E4F36" w:rsidRDefault="0073024D" w:rsidP="0073024D">
      <w:pPr>
        <w:spacing w:after="0" w:line="276" w:lineRule="auto"/>
        <w:jc w:val="both"/>
        <w:rPr>
          <w:rFonts w:ascii="Verdana" w:hAnsi="Verdana"/>
        </w:rPr>
      </w:pPr>
    </w:p>
    <w:p w14:paraId="1DA05134" w14:textId="77777777" w:rsidR="0073024D" w:rsidRPr="008E4F36" w:rsidRDefault="0073024D" w:rsidP="0073024D">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2A5801D9" w14:textId="77777777" w:rsidR="0073024D" w:rsidRPr="008E4F36" w:rsidRDefault="0073024D" w:rsidP="0073024D">
      <w:pPr>
        <w:spacing w:after="0" w:line="276" w:lineRule="auto"/>
        <w:jc w:val="both"/>
        <w:rPr>
          <w:rFonts w:ascii="Verdana" w:hAnsi="Verdana"/>
        </w:rPr>
      </w:pPr>
      <w:r w:rsidRPr="008E4F36">
        <w:rPr>
          <w:rFonts w:ascii="Verdana" w:hAnsi="Verdana"/>
        </w:rPr>
        <w:t xml:space="preserve">Facebook: </w:t>
      </w:r>
      <w:r w:rsidRPr="008E4F36">
        <w:rPr>
          <w:rStyle w:val="Hipervnculo"/>
          <w:rFonts w:ascii="Verdana" w:hAnsi="Verdana"/>
        </w:rPr>
        <w:t>ColombiaCompraEficiente</w:t>
      </w:r>
    </w:p>
    <w:p w14:paraId="0D4BA007" w14:textId="77777777" w:rsidR="0073024D" w:rsidRPr="008E4F36" w:rsidRDefault="0073024D" w:rsidP="0073024D">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35279394" w14:textId="77777777" w:rsidR="00AF3CA2" w:rsidRDefault="00AF3CA2" w:rsidP="0073024D">
      <w:pPr>
        <w:spacing w:before="120" w:after="0" w:line="276" w:lineRule="auto"/>
        <w:jc w:val="both"/>
        <w:rPr>
          <w:rFonts w:ascii="Verdana" w:hAnsi="Verdana"/>
        </w:rPr>
      </w:pPr>
    </w:p>
    <w:p w14:paraId="1DAE4145" w14:textId="4B1664D8" w:rsidR="0073024D" w:rsidRPr="00FB6C33" w:rsidRDefault="0073024D" w:rsidP="0073024D">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10AAB24" w14:textId="77777777" w:rsidR="0073024D" w:rsidRPr="008E4F36" w:rsidRDefault="0073024D" w:rsidP="0073024D">
      <w:pPr>
        <w:spacing w:after="0" w:line="276" w:lineRule="auto"/>
        <w:jc w:val="both"/>
        <w:rPr>
          <w:rFonts w:ascii="Verdana" w:eastAsia="Calibri" w:hAnsi="Verdana" w:cs="Times New Roman"/>
        </w:rPr>
      </w:pPr>
    </w:p>
    <w:p w14:paraId="6A748095" w14:textId="63A475FA" w:rsidR="0073024D" w:rsidRPr="00025F5A" w:rsidRDefault="0073024D" w:rsidP="00025F5A">
      <w:pPr>
        <w:spacing w:after="0" w:line="276" w:lineRule="auto"/>
        <w:jc w:val="both"/>
        <w:rPr>
          <w:rFonts w:ascii="Verdana" w:eastAsia="Calibri" w:hAnsi="Verdana" w:cs="Times New Roman"/>
        </w:rPr>
      </w:pPr>
      <w:r w:rsidRPr="008E4F36">
        <w:rPr>
          <w:rFonts w:ascii="Verdana" w:eastAsia="Calibri" w:hAnsi="Verdana" w:cs="Times New Roman"/>
        </w:rPr>
        <w:t>Atentamente,</w:t>
      </w:r>
      <w:bookmarkEnd w:id="0"/>
      <w:bookmarkEnd w:id="1"/>
    </w:p>
    <w:p w14:paraId="1275BB4F" w14:textId="4F541353" w:rsidR="0073024D" w:rsidRDefault="00025F5A" w:rsidP="00025F5A">
      <w:pPr>
        <w:spacing w:after="0"/>
        <w:jc w:val="center"/>
        <w:rPr>
          <w:rFonts w:ascii="Verdana" w:hAnsi="Verdana"/>
        </w:rPr>
      </w:pPr>
      <w:r>
        <w:rPr>
          <w:noProof/>
          <w14:ligatures w14:val="standardContextual"/>
        </w:rPr>
        <w:lastRenderedPageBreak/>
        <w:drawing>
          <wp:inline distT="0" distB="0" distL="0" distR="0" wp14:anchorId="67763E2D" wp14:editId="00C2C544">
            <wp:extent cx="3453326" cy="119253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460569" cy="1195031"/>
                    </a:xfrm>
                    <a:prstGeom prst="rect">
                      <a:avLst/>
                    </a:prstGeom>
                  </pic:spPr>
                </pic:pic>
              </a:graphicData>
            </a:graphic>
          </wp:inline>
        </w:drawing>
      </w:r>
    </w:p>
    <w:p w14:paraId="499F7DBF" w14:textId="77777777" w:rsidR="0073024D" w:rsidRDefault="0073024D" w:rsidP="0073024D">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3024D" w:rsidRPr="002423D6" w14:paraId="6DBAA904" w14:textId="77777777" w:rsidTr="00A024CB">
        <w:trPr>
          <w:trHeight w:val="315"/>
        </w:trPr>
        <w:tc>
          <w:tcPr>
            <w:tcW w:w="893" w:type="dxa"/>
            <w:vAlign w:val="center"/>
            <w:hideMark/>
          </w:tcPr>
          <w:p w14:paraId="06A7DD22" w14:textId="77777777" w:rsidR="0073024D" w:rsidRPr="002423D6" w:rsidRDefault="0073024D" w:rsidP="00A024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0DB2589" w14:textId="77777777" w:rsidR="0073024D" w:rsidRPr="002423D6" w:rsidRDefault="0073024D" w:rsidP="00A024CB">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223BDDDA" w14:textId="77777777" w:rsidR="0073024D" w:rsidRPr="002423D6" w:rsidRDefault="0073024D" w:rsidP="00A024CB">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73024D" w:rsidRPr="002423D6" w14:paraId="31FC8AC4" w14:textId="77777777" w:rsidTr="00A024CB">
        <w:trPr>
          <w:trHeight w:val="330"/>
        </w:trPr>
        <w:tc>
          <w:tcPr>
            <w:tcW w:w="893" w:type="dxa"/>
            <w:vAlign w:val="center"/>
            <w:hideMark/>
          </w:tcPr>
          <w:p w14:paraId="2CF300D4" w14:textId="77777777" w:rsidR="0073024D" w:rsidRPr="002423D6" w:rsidRDefault="0073024D" w:rsidP="00A024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173A0F5" w14:textId="77777777" w:rsidR="0073024D" w:rsidRPr="002423D6" w:rsidRDefault="0073024D" w:rsidP="00A024C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4BF2859C" w14:textId="60A21A93" w:rsidR="0073024D" w:rsidRPr="002423D6" w:rsidRDefault="0073024D" w:rsidP="00A024CB">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sidR="00F423D2">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73024D" w:rsidRPr="002423D6" w14:paraId="3BD76EFB" w14:textId="77777777" w:rsidTr="00A024CB">
        <w:trPr>
          <w:trHeight w:val="300"/>
        </w:trPr>
        <w:tc>
          <w:tcPr>
            <w:tcW w:w="893" w:type="dxa"/>
            <w:vAlign w:val="center"/>
          </w:tcPr>
          <w:p w14:paraId="40643F05" w14:textId="77777777" w:rsidR="0073024D" w:rsidRPr="002423D6" w:rsidRDefault="0073024D" w:rsidP="00A024C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0D27709" w14:textId="77777777" w:rsidR="0073024D" w:rsidRPr="002423D6" w:rsidRDefault="0073024D" w:rsidP="00A024C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052D7468" w14:textId="77777777" w:rsidR="0073024D" w:rsidRPr="002423D6" w:rsidRDefault="0073024D" w:rsidP="00A024C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0F293BF4" w14:textId="2C94E9C4" w:rsidR="00127233" w:rsidRPr="00552014" w:rsidRDefault="00127233" w:rsidP="00552014"/>
    <w:sectPr w:rsidR="00127233" w:rsidRPr="0055201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B0C69" w14:textId="77777777" w:rsidR="00566165" w:rsidRDefault="00566165" w:rsidP="004A1847">
      <w:pPr>
        <w:spacing w:after="0" w:line="240" w:lineRule="auto"/>
      </w:pPr>
      <w:r>
        <w:separator/>
      </w:r>
    </w:p>
  </w:endnote>
  <w:endnote w:type="continuationSeparator" w:id="0">
    <w:p w14:paraId="39E97B6C" w14:textId="77777777" w:rsidR="00566165" w:rsidRDefault="0056616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88A3F" w14:textId="77777777" w:rsidR="00566165" w:rsidRDefault="00566165" w:rsidP="004A1847">
      <w:pPr>
        <w:spacing w:after="0" w:line="240" w:lineRule="auto"/>
      </w:pPr>
      <w:r>
        <w:separator/>
      </w:r>
    </w:p>
  </w:footnote>
  <w:footnote w:type="continuationSeparator" w:id="0">
    <w:p w14:paraId="0B7F00E7" w14:textId="77777777" w:rsidR="00566165" w:rsidRDefault="00566165" w:rsidP="004A1847">
      <w:pPr>
        <w:spacing w:after="0" w:line="240" w:lineRule="auto"/>
      </w:pPr>
      <w:r>
        <w:continuationSeparator/>
      </w:r>
    </w:p>
  </w:footnote>
  <w:footnote w:id="1">
    <w:p w14:paraId="785C1701" w14:textId="77777777" w:rsidR="00A80331" w:rsidRPr="00761B17" w:rsidRDefault="00A80331" w:rsidP="00A80331">
      <w:pPr>
        <w:pStyle w:val="Textonotapie"/>
        <w:ind w:firstLine="709"/>
        <w:jc w:val="both"/>
        <w:rPr>
          <w:rFonts w:ascii="Verdana" w:hAnsi="Verdana" w:cs="Arial"/>
          <w:sz w:val="14"/>
          <w:szCs w:val="14"/>
          <w:lang w:val="es-ES_tradnl"/>
        </w:rPr>
      </w:pPr>
      <w:r w:rsidRPr="00761B17">
        <w:rPr>
          <w:rStyle w:val="Refdenotaalpie"/>
          <w:rFonts w:ascii="Verdana" w:hAnsi="Verdana" w:cs="Arial"/>
          <w:sz w:val="14"/>
          <w:szCs w:val="14"/>
        </w:rPr>
        <w:footnoteRef/>
      </w:r>
      <w:r w:rsidRPr="00761B17">
        <w:rPr>
          <w:rFonts w:ascii="Verdana" w:hAnsi="Verdana" w:cs="Arial"/>
          <w:sz w:val="14"/>
          <w:szCs w:val="14"/>
        </w:rPr>
        <w:t xml:space="preserve"> </w:t>
      </w:r>
      <w:r w:rsidRPr="00761B17">
        <w:rPr>
          <w:rFonts w:ascii="Verdana" w:hAnsi="Verdana" w:cs="Arial"/>
          <w:sz w:val="14"/>
          <w:szCs w:val="14"/>
          <w:lang w:val="pt-BR"/>
        </w:rPr>
        <w:t>CORTE CONSTITUCIONAL. Sentencia C-1016 de 2012. M.P. Jorge Iván Palacio.</w:t>
      </w:r>
    </w:p>
  </w:footnote>
  <w:footnote w:id="2">
    <w:p w14:paraId="7FEB860F" w14:textId="77777777" w:rsidR="00A80331" w:rsidRPr="00932500" w:rsidRDefault="00A80331" w:rsidP="00A80331">
      <w:pPr>
        <w:pStyle w:val="Textonotapie"/>
        <w:ind w:firstLine="709"/>
        <w:jc w:val="both"/>
        <w:rPr>
          <w:rFonts w:ascii="Verdana" w:hAnsi="Verdana" w:cs="Arial"/>
          <w:sz w:val="16"/>
          <w:szCs w:val="16"/>
          <w:lang w:val="pt-BR"/>
        </w:rPr>
      </w:pPr>
      <w:r w:rsidRPr="00761B17">
        <w:rPr>
          <w:rStyle w:val="Refdenotaalpie"/>
          <w:rFonts w:ascii="Verdana" w:hAnsi="Verdana" w:cs="Arial"/>
          <w:sz w:val="14"/>
          <w:szCs w:val="14"/>
        </w:rPr>
        <w:footnoteRef/>
      </w:r>
      <w:r w:rsidRPr="00761B17">
        <w:rPr>
          <w:rFonts w:ascii="Verdana" w:hAnsi="Verdana" w:cs="Arial"/>
          <w:sz w:val="14"/>
          <w:szCs w:val="14"/>
        </w:rPr>
        <w:t xml:space="preserve"> CONSEJO DE ESTADO. Sección Tercera. Subsección A. Sentencia del 13 de noviembre de 2013. </w:t>
      </w:r>
      <w:r w:rsidRPr="00761B17">
        <w:rPr>
          <w:rFonts w:ascii="Verdana" w:hAnsi="Verdana" w:cs="Arial"/>
          <w:sz w:val="14"/>
          <w:szCs w:val="14"/>
          <w:lang w:val="pt-BR"/>
        </w:rPr>
        <w:t>Rad. 25.646. C.P. Mauricio Fajardo Gómez.</w:t>
      </w:r>
    </w:p>
  </w:footnote>
  <w:footnote w:id="3">
    <w:p w14:paraId="0982E1AB" w14:textId="77777777" w:rsidR="00A80331" w:rsidRPr="00761B17" w:rsidRDefault="00A80331" w:rsidP="00A80331">
      <w:pPr>
        <w:pStyle w:val="Textonotapie"/>
        <w:ind w:firstLine="709"/>
        <w:jc w:val="both"/>
        <w:rPr>
          <w:rFonts w:ascii="Verdana" w:hAnsi="Verdana" w:cs="Arial"/>
          <w:sz w:val="14"/>
          <w:szCs w:val="14"/>
          <w:lang w:val="pt-BR"/>
        </w:rPr>
      </w:pPr>
      <w:r w:rsidRPr="00761B17">
        <w:rPr>
          <w:rStyle w:val="Refdenotaalpie"/>
          <w:rFonts w:ascii="Verdana" w:hAnsi="Verdana" w:cs="Arial"/>
          <w:sz w:val="14"/>
          <w:szCs w:val="14"/>
        </w:rPr>
        <w:footnoteRef/>
      </w:r>
      <w:r w:rsidRPr="00761B17">
        <w:rPr>
          <w:rFonts w:ascii="Verdana" w:hAnsi="Verdana" w:cs="Arial"/>
          <w:sz w:val="14"/>
          <w:szCs w:val="14"/>
          <w:lang w:val="pt-BR"/>
        </w:rPr>
        <w:t xml:space="preserve"> CORTE CONSTITUCIONAL. Sentencia C-415 de 1994. M.P. Eduardo Cifuentes Muñoz.</w:t>
      </w:r>
    </w:p>
  </w:footnote>
  <w:footnote w:id="4">
    <w:p w14:paraId="7D18061A" w14:textId="6F8D054E" w:rsidR="00A80331" w:rsidRPr="00761B17" w:rsidRDefault="00A80331" w:rsidP="00A80331">
      <w:pPr>
        <w:pStyle w:val="Textonotapie"/>
        <w:ind w:firstLine="709"/>
        <w:jc w:val="both"/>
        <w:rPr>
          <w:rFonts w:ascii="Verdana" w:hAnsi="Verdana" w:cs="Arial"/>
          <w:sz w:val="14"/>
          <w:szCs w:val="14"/>
          <w:lang w:val="pt-BR"/>
        </w:rPr>
      </w:pPr>
      <w:r w:rsidRPr="00761B17">
        <w:rPr>
          <w:rStyle w:val="Refdenotaalpie"/>
          <w:rFonts w:ascii="Verdana" w:hAnsi="Verdana" w:cs="Arial"/>
          <w:sz w:val="14"/>
          <w:szCs w:val="14"/>
        </w:rPr>
        <w:footnoteRef/>
      </w:r>
      <w:r w:rsidRPr="00761B17">
        <w:rPr>
          <w:rFonts w:ascii="Verdana" w:hAnsi="Verdana" w:cs="Arial"/>
          <w:sz w:val="14"/>
          <w:szCs w:val="14"/>
          <w:lang w:val="pt-BR"/>
        </w:rPr>
        <w:t xml:space="preserve"> </w:t>
      </w:r>
      <w:r w:rsidRPr="00761B17">
        <w:rPr>
          <w:rFonts w:ascii="Verdana" w:hAnsi="Verdana" w:cs="Arial"/>
          <w:i/>
          <w:iCs/>
          <w:sz w:val="14"/>
          <w:szCs w:val="14"/>
          <w:lang w:val="pt-BR"/>
        </w:rPr>
        <w:t>Ib</w:t>
      </w:r>
      <w:r w:rsidR="001A570A" w:rsidRPr="00761B17">
        <w:rPr>
          <w:rFonts w:ascii="Verdana" w:hAnsi="Verdana" w:cs="Arial"/>
          <w:i/>
          <w:iCs/>
          <w:sz w:val="14"/>
          <w:szCs w:val="14"/>
          <w:lang w:val="pt-BR"/>
        </w:rPr>
        <w:t>í</w:t>
      </w:r>
      <w:r w:rsidRPr="00761B17">
        <w:rPr>
          <w:rFonts w:ascii="Verdana" w:hAnsi="Verdana" w:cs="Arial"/>
          <w:i/>
          <w:iCs/>
          <w:sz w:val="14"/>
          <w:szCs w:val="14"/>
          <w:lang w:val="pt-BR"/>
        </w:rPr>
        <w:t>d</w:t>
      </w:r>
      <w:r w:rsidR="001A570A" w:rsidRPr="00761B17">
        <w:rPr>
          <w:rFonts w:ascii="Verdana" w:hAnsi="Verdana" w:cs="Arial"/>
          <w:sz w:val="14"/>
          <w:szCs w:val="14"/>
          <w:lang w:val="pt-BR"/>
        </w:rPr>
        <w:t>.</w:t>
      </w:r>
    </w:p>
  </w:footnote>
  <w:footnote w:id="5">
    <w:p w14:paraId="1DAF215D" w14:textId="77777777" w:rsidR="00A80331" w:rsidRPr="00932500" w:rsidRDefault="00A80331" w:rsidP="00A80331">
      <w:pPr>
        <w:pStyle w:val="Textonotapie"/>
        <w:ind w:firstLine="709"/>
        <w:jc w:val="both"/>
        <w:rPr>
          <w:rFonts w:ascii="Verdana" w:hAnsi="Verdana" w:cs="Arial"/>
          <w:sz w:val="16"/>
          <w:szCs w:val="16"/>
          <w:lang w:val="es-CO"/>
        </w:rPr>
      </w:pPr>
      <w:r w:rsidRPr="00761B17">
        <w:rPr>
          <w:rStyle w:val="Refdenotaalpie"/>
          <w:rFonts w:ascii="Verdana" w:hAnsi="Verdana" w:cs="Arial"/>
          <w:sz w:val="14"/>
          <w:szCs w:val="14"/>
        </w:rPr>
        <w:footnoteRef/>
      </w:r>
      <w:r w:rsidRPr="00761B17">
        <w:rPr>
          <w:rFonts w:ascii="Verdana" w:hAnsi="Verdana" w:cs="Arial"/>
          <w:sz w:val="14"/>
          <w:szCs w:val="14"/>
          <w:lang w:val="pt-BR"/>
        </w:rPr>
        <w:t xml:space="preserve"> CORTE CONSTITUCIONAL. </w:t>
      </w:r>
      <w:r w:rsidRPr="00761B17">
        <w:rPr>
          <w:rFonts w:ascii="Verdana" w:hAnsi="Verdana" w:cs="Arial"/>
          <w:sz w:val="14"/>
          <w:szCs w:val="14"/>
        </w:rPr>
        <w:t xml:space="preserve">Sentencia C-780 de 2001. </w:t>
      </w:r>
      <w:r w:rsidRPr="00761B17">
        <w:rPr>
          <w:rFonts w:ascii="Verdana" w:hAnsi="Verdana" w:cs="Arial"/>
          <w:sz w:val="14"/>
          <w:szCs w:val="14"/>
          <w:lang w:val="es-CO"/>
        </w:rPr>
        <w:t>M.P. Jaime Córdoba Triviño</w:t>
      </w:r>
      <w:r w:rsidRPr="00932500">
        <w:rPr>
          <w:rFonts w:ascii="Verdana" w:hAnsi="Verdana" w:cs="Arial"/>
          <w:sz w:val="16"/>
          <w:szCs w:val="16"/>
          <w:lang w:val="es-CO"/>
        </w:rPr>
        <w:t xml:space="preserve">. </w:t>
      </w:r>
    </w:p>
  </w:footnote>
  <w:footnote w:id="6">
    <w:p w14:paraId="629FA175" w14:textId="77777777" w:rsidR="00A80331" w:rsidRPr="00932500" w:rsidRDefault="00A80331" w:rsidP="00A80331">
      <w:pPr>
        <w:pStyle w:val="Textonotapie"/>
        <w:ind w:firstLine="709"/>
        <w:jc w:val="both"/>
        <w:rPr>
          <w:rFonts w:ascii="Verdana" w:hAnsi="Verdana" w:cs="Arial"/>
          <w:sz w:val="16"/>
          <w:szCs w:val="16"/>
        </w:rPr>
      </w:pPr>
      <w:r w:rsidRPr="00932500">
        <w:rPr>
          <w:rStyle w:val="Refdenotaalpie"/>
          <w:rFonts w:ascii="Verdana" w:hAnsi="Verdana" w:cs="Arial"/>
          <w:sz w:val="16"/>
          <w:szCs w:val="16"/>
        </w:rPr>
        <w:footnoteRef/>
      </w:r>
      <w:r w:rsidRPr="00932500">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2101F9F2" w14:textId="77777777" w:rsidR="00A80331" w:rsidRPr="00932500" w:rsidRDefault="00A80331" w:rsidP="00A80331">
      <w:pPr>
        <w:pStyle w:val="Textonotapie"/>
        <w:ind w:firstLine="709"/>
        <w:jc w:val="both"/>
        <w:rPr>
          <w:rFonts w:ascii="Verdana" w:hAnsi="Verdana" w:cs="Arial"/>
          <w:sz w:val="16"/>
          <w:szCs w:val="16"/>
        </w:rPr>
      </w:pPr>
      <w:r w:rsidRPr="00932500">
        <w:rPr>
          <w:rFonts w:ascii="Verdana" w:hAnsi="Verdana" w:cs="Arial"/>
          <w:sz w:val="16"/>
          <w:szCs w:val="16"/>
        </w:rPr>
        <w:t>Las personas jurídicas nacionales y extranjeras deberán acreditar que su duración no será inferior a la del plazo del contrato y un año más”.</w:t>
      </w:r>
    </w:p>
  </w:footnote>
  <w:footnote w:id="7">
    <w:p w14:paraId="63DE76BA" w14:textId="77777777" w:rsidR="00A80331" w:rsidRPr="00932500" w:rsidRDefault="00A80331" w:rsidP="00A80331">
      <w:pPr>
        <w:pStyle w:val="Textonotapie"/>
        <w:ind w:firstLine="709"/>
        <w:jc w:val="both"/>
        <w:rPr>
          <w:rFonts w:ascii="Verdana" w:hAnsi="Verdana" w:cs="Arial"/>
          <w:sz w:val="16"/>
          <w:szCs w:val="16"/>
        </w:rPr>
      </w:pPr>
      <w:r w:rsidRPr="00932500">
        <w:rPr>
          <w:rStyle w:val="Refdenotaalpie"/>
          <w:rFonts w:ascii="Verdana" w:hAnsi="Verdana" w:cs="Arial"/>
          <w:sz w:val="16"/>
          <w:szCs w:val="16"/>
        </w:rPr>
        <w:footnoteRef/>
      </w:r>
      <w:r w:rsidRPr="00932500">
        <w:rPr>
          <w:rFonts w:ascii="Verdana" w:hAnsi="Verdana" w:cs="Arial"/>
          <w:sz w:val="16"/>
          <w:szCs w:val="16"/>
        </w:rPr>
        <w:t xml:space="preserve"> Código Civil: “Artículo 1502. Requisitos para obligarse. Para que una persona se obligue a otra por un acto o declaración de voluntad, es necesario:</w:t>
      </w:r>
    </w:p>
    <w:p w14:paraId="687DB827" w14:textId="77777777" w:rsidR="00A80331" w:rsidRPr="00932500" w:rsidRDefault="00A80331" w:rsidP="00A80331">
      <w:pPr>
        <w:pStyle w:val="Textonotapie"/>
        <w:ind w:firstLine="709"/>
        <w:jc w:val="both"/>
        <w:rPr>
          <w:rFonts w:ascii="Verdana" w:hAnsi="Verdana" w:cs="Arial"/>
          <w:sz w:val="16"/>
          <w:szCs w:val="16"/>
        </w:rPr>
      </w:pPr>
      <w:r w:rsidRPr="00932500">
        <w:rPr>
          <w:rFonts w:ascii="Verdana" w:hAnsi="Verdana" w:cs="Arial"/>
          <w:sz w:val="16"/>
          <w:szCs w:val="16"/>
        </w:rPr>
        <w:t>1o.) que sea legalmente capaz.</w:t>
      </w:r>
    </w:p>
    <w:p w14:paraId="3A0E904D" w14:textId="77777777" w:rsidR="00A80331" w:rsidRPr="00932500" w:rsidRDefault="00A80331" w:rsidP="00A80331">
      <w:pPr>
        <w:pStyle w:val="Textonotapie"/>
        <w:ind w:firstLine="709"/>
        <w:jc w:val="both"/>
        <w:rPr>
          <w:rFonts w:ascii="Verdana" w:hAnsi="Verdana" w:cs="Arial"/>
          <w:sz w:val="16"/>
          <w:szCs w:val="16"/>
        </w:rPr>
      </w:pPr>
      <w:r w:rsidRPr="00932500">
        <w:rPr>
          <w:rFonts w:ascii="Verdana" w:hAnsi="Verdana" w:cs="Arial"/>
          <w:sz w:val="16"/>
          <w:szCs w:val="16"/>
        </w:rPr>
        <w:t>[…]</w:t>
      </w:r>
    </w:p>
    <w:p w14:paraId="5BC2B589" w14:textId="77777777" w:rsidR="00A80331" w:rsidRPr="00932500" w:rsidRDefault="00A80331" w:rsidP="00A80331">
      <w:pPr>
        <w:pStyle w:val="Textonotapie"/>
        <w:ind w:firstLine="709"/>
        <w:jc w:val="both"/>
        <w:rPr>
          <w:rFonts w:ascii="Verdana" w:hAnsi="Verdana" w:cs="Arial"/>
          <w:sz w:val="16"/>
          <w:szCs w:val="16"/>
        </w:rPr>
      </w:pPr>
      <w:r w:rsidRPr="00932500">
        <w:rPr>
          <w:rFonts w:ascii="Verdana" w:hAnsi="Verdana" w:cs="Arial"/>
          <w:sz w:val="16"/>
          <w:szCs w:val="16"/>
        </w:rPr>
        <w:t>La capacidad legal de una persona consiste en poderse obligar por sí misma, sin el ministerio o la autorización de otra”.</w:t>
      </w:r>
    </w:p>
  </w:footnote>
  <w:footnote w:id="8">
    <w:p w14:paraId="57BB2142" w14:textId="77777777" w:rsidR="00A80331" w:rsidRPr="00932500" w:rsidRDefault="00A80331" w:rsidP="00A80331">
      <w:pPr>
        <w:pStyle w:val="Textonotapie"/>
        <w:ind w:firstLine="709"/>
        <w:jc w:val="both"/>
        <w:rPr>
          <w:rFonts w:ascii="Verdana" w:hAnsi="Verdana" w:cs="Arial"/>
          <w:sz w:val="16"/>
          <w:szCs w:val="16"/>
        </w:rPr>
      </w:pPr>
      <w:r w:rsidRPr="00932500">
        <w:rPr>
          <w:rStyle w:val="Refdenotaalpie"/>
          <w:rFonts w:ascii="Verdana" w:hAnsi="Verdana" w:cs="Arial"/>
          <w:sz w:val="16"/>
          <w:szCs w:val="16"/>
        </w:rPr>
        <w:footnoteRef/>
      </w:r>
      <w:r w:rsidRPr="00932500">
        <w:rPr>
          <w:rFonts w:ascii="Verdana" w:hAnsi="Verdana" w:cs="Arial"/>
          <w:sz w:val="16"/>
          <w:szCs w:val="16"/>
        </w:rPr>
        <w:t xml:space="preserve"> Decreto Ley 19 de 2012: “Artículo 221. El artículo 6 de la Ley 1150 de 2007, quedará así:</w:t>
      </w:r>
    </w:p>
    <w:p w14:paraId="40F7CEAC" w14:textId="77777777" w:rsidR="00A80331" w:rsidRPr="00932500" w:rsidRDefault="00A80331" w:rsidP="00A80331">
      <w:pPr>
        <w:pStyle w:val="Textonotapie"/>
        <w:ind w:firstLine="709"/>
        <w:jc w:val="both"/>
        <w:rPr>
          <w:rFonts w:ascii="Verdana" w:hAnsi="Verdana" w:cs="Arial"/>
          <w:sz w:val="16"/>
          <w:szCs w:val="16"/>
          <w:lang w:val="es-ES"/>
        </w:rPr>
      </w:pPr>
      <w:r w:rsidRPr="00932500">
        <w:rPr>
          <w:rFonts w:ascii="Verdana" w:hAnsi="Verdana" w:cs="Arial"/>
          <w:sz w:val="16"/>
          <w:szCs w:val="16"/>
        </w:rPr>
        <w:t>Artículo 6. De la verificación de las condiciones de los proponentes. T</w:t>
      </w:r>
      <w:r w:rsidRPr="00932500">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DC07353" w14:textId="77777777" w:rsidR="00A80331" w:rsidRPr="00932500" w:rsidRDefault="00A80331" w:rsidP="00A80331">
      <w:pPr>
        <w:pStyle w:val="Textonotapie"/>
        <w:ind w:firstLine="709"/>
        <w:jc w:val="both"/>
        <w:rPr>
          <w:rFonts w:ascii="Verdana" w:hAnsi="Verdana" w:cs="Arial"/>
          <w:sz w:val="16"/>
          <w:szCs w:val="16"/>
          <w:lang w:val="es-ES"/>
        </w:rPr>
      </w:pPr>
      <w:r w:rsidRPr="00932500">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9">
    <w:p w14:paraId="5B1524FF" w14:textId="77777777" w:rsidR="00A80331" w:rsidRPr="00932500" w:rsidRDefault="00A80331" w:rsidP="00A80331">
      <w:pPr>
        <w:pStyle w:val="Textonotapie"/>
        <w:ind w:firstLine="709"/>
        <w:jc w:val="both"/>
        <w:rPr>
          <w:rFonts w:ascii="Verdana" w:hAnsi="Verdana" w:cs="Arial"/>
          <w:sz w:val="16"/>
          <w:szCs w:val="16"/>
          <w:lang w:val="es-ES"/>
        </w:rPr>
      </w:pPr>
      <w:r w:rsidRPr="00932500">
        <w:rPr>
          <w:rStyle w:val="Refdenotaalpie"/>
          <w:rFonts w:ascii="Verdana" w:hAnsi="Verdana" w:cs="Arial"/>
          <w:sz w:val="16"/>
          <w:szCs w:val="16"/>
        </w:rPr>
        <w:footnoteRef/>
      </w:r>
      <w:r w:rsidRPr="00932500">
        <w:rPr>
          <w:rFonts w:ascii="Verdana" w:hAnsi="Verdana" w:cs="Arial"/>
          <w:sz w:val="16"/>
          <w:szCs w:val="16"/>
        </w:rPr>
        <w:t xml:space="preserve"> </w:t>
      </w:r>
      <w:r w:rsidRPr="00932500">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932500">
        <w:rPr>
          <w:rFonts w:ascii="Verdana" w:hAnsi="Verdana" w:cs="Arial"/>
          <w:i/>
          <w:iCs/>
          <w:sz w:val="16"/>
          <w:szCs w:val="16"/>
          <w:lang w:val="es-ES"/>
        </w:rPr>
        <w:t>el régimen de inhabilidades e incompatibilidades</w:t>
      </w:r>
      <w:r w:rsidRPr="00932500">
        <w:rPr>
          <w:rFonts w:ascii="Verdana" w:hAnsi="Verdana" w:cs="Arial"/>
          <w:sz w:val="16"/>
          <w:szCs w:val="16"/>
          <w:lang w:val="es-ES"/>
        </w:rPr>
        <w:t xml:space="preserve"> (1) y la obligación de ciertos proponentes de inscribirse en el </w:t>
      </w:r>
      <w:r w:rsidRPr="00932500">
        <w:rPr>
          <w:rFonts w:ascii="Verdana" w:hAnsi="Verdana" w:cs="Arial"/>
          <w:i/>
          <w:iCs/>
          <w:sz w:val="16"/>
          <w:szCs w:val="16"/>
          <w:lang w:val="es-ES"/>
        </w:rPr>
        <w:t>registro único</w:t>
      </w:r>
      <w:r w:rsidRPr="00932500">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0">
    <w:p w14:paraId="55392F90" w14:textId="77777777" w:rsidR="00A80331" w:rsidRPr="00761B17" w:rsidRDefault="00A80331" w:rsidP="00A80331">
      <w:pPr>
        <w:pStyle w:val="Textonotapie"/>
        <w:ind w:firstLine="709"/>
        <w:jc w:val="both"/>
        <w:rPr>
          <w:rFonts w:ascii="Verdana" w:hAnsi="Verdana" w:cs="Arial"/>
          <w:sz w:val="14"/>
          <w:szCs w:val="14"/>
        </w:rPr>
      </w:pPr>
      <w:r w:rsidRPr="00761B17">
        <w:rPr>
          <w:rStyle w:val="Refdenotaalpie"/>
          <w:rFonts w:ascii="Verdana" w:hAnsi="Verdana" w:cs="Arial"/>
          <w:sz w:val="14"/>
          <w:szCs w:val="14"/>
        </w:rPr>
        <w:footnoteRef/>
      </w:r>
      <w:r w:rsidRPr="00761B17">
        <w:rPr>
          <w:rFonts w:ascii="Verdana" w:hAnsi="Verdana" w:cs="Arial"/>
          <w:sz w:val="14"/>
          <w:szCs w:val="14"/>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1">
    <w:p w14:paraId="0DE29ADB" w14:textId="77777777" w:rsidR="00A80331" w:rsidRPr="00932500" w:rsidRDefault="00A80331" w:rsidP="00A80331">
      <w:pPr>
        <w:pStyle w:val="Textonotapie"/>
        <w:ind w:firstLine="709"/>
        <w:jc w:val="both"/>
        <w:rPr>
          <w:rFonts w:ascii="Verdana" w:hAnsi="Verdana" w:cs="Arial"/>
          <w:sz w:val="16"/>
          <w:szCs w:val="16"/>
          <w:lang w:val="es-ES"/>
        </w:rPr>
      </w:pPr>
      <w:r w:rsidRPr="00761B17">
        <w:rPr>
          <w:rStyle w:val="Refdenotaalpie"/>
          <w:rFonts w:ascii="Verdana" w:hAnsi="Verdana" w:cs="Arial"/>
          <w:sz w:val="14"/>
          <w:szCs w:val="14"/>
        </w:rPr>
        <w:footnoteRef/>
      </w:r>
      <w:r w:rsidRPr="00761B17">
        <w:rPr>
          <w:rFonts w:ascii="Verdana" w:hAnsi="Verdana" w:cs="Arial"/>
          <w:sz w:val="14"/>
          <w:szCs w:val="14"/>
        </w:rPr>
        <w:t xml:space="preserve"> </w:t>
      </w:r>
      <w:r w:rsidRPr="00761B17">
        <w:rPr>
          <w:rFonts w:ascii="Verdana" w:hAnsi="Verdana" w:cs="Arial"/>
          <w:sz w:val="14"/>
          <w:szCs w:val="14"/>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2">
    <w:p w14:paraId="3AA7F628" w14:textId="77777777" w:rsidR="00DF55E6" w:rsidRPr="00761B17" w:rsidRDefault="00DF55E6" w:rsidP="00DF55E6">
      <w:pPr>
        <w:pStyle w:val="Textonotapie"/>
        <w:ind w:firstLine="709"/>
        <w:jc w:val="both"/>
        <w:rPr>
          <w:rFonts w:ascii="Verdana" w:hAnsi="Verdana"/>
          <w:sz w:val="14"/>
          <w:szCs w:val="14"/>
          <w:lang w:val="es-CO"/>
        </w:rPr>
      </w:pPr>
      <w:r w:rsidRPr="00761B17">
        <w:rPr>
          <w:rStyle w:val="Refdenotaalpie"/>
          <w:rFonts w:ascii="Verdana" w:hAnsi="Verdana"/>
          <w:sz w:val="14"/>
          <w:szCs w:val="14"/>
        </w:rPr>
        <w:footnoteRef/>
      </w:r>
      <w:r w:rsidRPr="00761B17">
        <w:rPr>
          <w:rFonts w:ascii="Verdana" w:hAnsi="Verdana"/>
          <w:sz w:val="14"/>
          <w:szCs w:val="14"/>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13">
    <w:p w14:paraId="12F27BED" w14:textId="4293F9CA" w:rsidR="00CE5994" w:rsidRPr="00761B17" w:rsidRDefault="00CE5994" w:rsidP="00CE5994">
      <w:pPr>
        <w:pStyle w:val="Textonotapie"/>
        <w:ind w:left="708"/>
        <w:rPr>
          <w:rFonts w:ascii="Verdana" w:hAnsi="Verdana"/>
          <w:sz w:val="14"/>
          <w:szCs w:val="14"/>
          <w:lang w:val="es-ES"/>
        </w:rPr>
      </w:pPr>
      <w:r w:rsidRPr="00761B17">
        <w:rPr>
          <w:rStyle w:val="Refdenotaalpie"/>
          <w:rFonts w:ascii="Verdana" w:hAnsi="Verdana"/>
          <w:sz w:val="14"/>
          <w:szCs w:val="14"/>
        </w:rPr>
        <w:footnoteRef/>
      </w:r>
      <w:r w:rsidRPr="00761B17">
        <w:rPr>
          <w:rFonts w:ascii="Verdana" w:hAnsi="Verdana"/>
          <w:sz w:val="14"/>
          <w:szCs w:val="14"/>
        </w:rPr>
        <w:t xml:space="preserve"> </w:t>
      </w:r>
      <w:r w:rsidR="00834127" w:rsidRPr="00761B17">
        <w:rPr>
          <w:rFonts w:ascii="Verdana" w:hAnsi="Verdana"/>
          <w:sz w:val="14"/>
          <w:szCs w:val="14"/>
        </w:rPr>
        <w:t>A</w:t>
      </w:r>
      <w:r w:rsidRPr="00761B17">
        <w:rPr>
          <w:rFonts w:ascii="Verdana" w:hAnsi="Verdana"/>
          <w:sz w:val="14"/>
          <w:szCs w:val="14"/>
        </w:rPr>
        <w:t>rtículo 6 de la Ley 1150 de 2007.</w:t>
      </w:r>
    </w:p>
  </w:footnote>
  <w:footnote w:id="14">
    <w:p w14:paraId="7B88E273" w14:textId="77777777" w:rsidR="00CE5994" w:rsidRPr="00761B17" w:rsidRDefault="00CE5994" w:rsidP="00CE5994">
      <w:pPr>
        <w:pStyle w:val="Textonotapie"/>
        <w:ind w:firstLine="709"/>
        <w:contextualSpacing/>
        <w:jc w:val="both"/>
        <w:rPr>
          <w:rFonts w:ascii="Verdana" w:hAnsi="Verdana" w:cs="Arial"/>
          <w:sz w:val="14"/>
          <w:szCs w:val="14"/>
        </w:rPr>
      </w:pPr>
      <w:r w:rsidRPr="00761B17">
        <w:rPr>
          <w:rStyle w:val="Refdenotaalpie"/>
          <w:rFonts w:ascii="Verdana" w:hAnsi="Verdana"/>
          <w:sz w:val="14"/>
          <w:szCs w:val="14"/>
        </w:rPr>
        <w:footnoteRef/>
      </w:r>
      <w:r w:rsidRPr="00761B17">
        <w:rPr>
          <w:rFonts w:ascii="Verdana" w:hAnsi="Verdana"/>
          <w:sz w:val="14"/>
          <w:szCs w:val="14"/>
        </w:rPr>
        <w:t xml:space="preserve"> </w:t>
      </w:r>
      <w:r w:rsidRPr="00761B17">
        <w:rPr>
          <w:rFonts w:ascii="Verdana" w:hAnsi="Verdana" w:cs="Arial"/>
          <w:sz w:val="14"/>
          <w:szCs w:val="14"/>
        </w:rPr>
        <w:t xml:space="preserve">Ley 1150 de 2007: </w:t>
      </w:r>
      <w:r w:rsidRPr="00761B17">
        <w:rPr>
          <w:rFonts w:ascii="Verdana" w:hAnsi="Verdana" w:cs="Arial"/>
          <w:i/>
          <w:iCs/>
          <w:sz w:val="14"/>
          <w:szCs w:val="14"/>
        </w:rPr>
        <w:t>“</w:t>
      </w:r>
      <w:r w:rsidRPr="00761B17">
        <w:rPr>
          <w:rFonts w:ascii="Verdana" w:hAnsi="Verdana" w:cs="Arial"/>
          <w:sz w:val="14"/>
          <w:szCs w:val="14"/>
        </w:rPr>
        <w:t>Artículo 6. De la verificación de las condiciones de los proponentes.</w:t>
      </w:r>
    </w:p>
    <w:p w14:paraId="4D644E30" w14:textId="77777777" w:rsidR="00CE5994" w:rsidRPr="00761B17" w:rsidRDefault="00CE5994" w:rsidP="00CE5994">
      <w:pPr>
        <w:pStyle w:val="Textonotapie"/>
        <w:ind w:firstLine="709"/>
        <w:contextualSpacing/>
        <w:jc w:val="both"/>
        <w:rPr>
          <w:rFonts w:ascii="Verdana" w:hAnsi="Verdana" w:cs="Arial"/>
          <w:sz w:val="14"/>
          <w:szCs w:val="14"/>
        </w:rPr>
      </w:pPr>
      <w:r w:rsidRPr="00761B17">
        <w:rPr>
          <w:rFonts w:ascii="Verdana" w:hAnsi="Verdana" w:cs="Arial"/>
          <w:sz w:val="14"/>
          <w:szCs w:val="14"/>
        </w:rPr>
        <w:t>[…]</w:t>
      </w:r>
    </w:p>
    <w:p w14:paraId="1C185D62" w14:textId="77777777" w:rsidR="00CE5994" w:rsidRPr="00761B17" w:rsidRDefault="00CE5994" w:rsidP="00CE5994">
      <w:pPr>
        <w:pStyle w:val="Textonotapie"/>
        <w:ind w:firstLine="709"/>
        <w:contextualSpacing/>
        <w:jc w:val="both"/>
        <w:rPr>
          <w:rFonts w:ascii="Verdana" w:hAnsi="Verdana" w:cs="Arial"/>
          <w:sz w:val="14"/>
          <w:szCs w:val="14"/>
        </w:rPr>
      </w:pPr>
      <w:r w:rsidRPr="00761B17">
        <w:rPr>
          <w:rFonts w:ascii="Verdana" w:hAnsi="Verdana" w:cs="Arial"/>
          <w:i/>
          <w:iCs/>
          <w:sz w:val="14"/>
          <w:szCs w:val="14"/>
        </w:rPr>
        <w:t>“</w:t>
      </w:r>
      <w:r w:rsidRPr="00761B17">
        <w:rPr>
          <w:rFonts w:ascii="Verdana" w:hAnsi="Verdana" w:cs="Arial"/>
          <w:sz w:val="14"/>
          <w:szCs w:val="14"/>
        </w:rPr>
        <w:t>6.1. […]</w:t>
      </w:r>
    </w:p>
    <w:p w14:paraId="6DC33930" w14:textId="77777777" w:rsidR="00CE5994" w:rsidRPr="00761B17" w:rsidRDefault="00CE5994" w:rsidP="00CE5994">
      <w:pPr>
        <w:pStyle w:val="Textonotapie"/>
        <w:ind w:firstLine="709"/>
        <w:contextualSpacing/>
        <w:jc w:val="both"/>
        <w:rPr>
          <w:rFonts w:ascii="Verdana" w:hAnsi="Verdana" w:cs="Arial"/>
          <w:sz w:val="14"/>
          <w:szCs w:val="14"/>
        </w:rPr>
      </w:pPr>
      <w:r w:rsidRPr="00761B17">
        <w:rPr>
          <w:rFonts w:ascii="Verdana" w:hAnsi="Verdana" w:cs="Arial"/>
          <w:i/>
          <w:iCs/>
          <w:sz w:val="14"/>
          <w:szCs w:val="14"/>
        </w:rPr>
        <w:t>“</w:t>
      </w:r>
      <w:r w:rsidRPr="00761B17">
        <w:rPr>
          <w:rFonts w:ascii="Verdana" w:hAnsi="Verdana" w:cs="Arial"/>
          <w:sz w:val="14"/>
          <w:szCs w:val="14"/>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575D64D" w14:textId="77777777" w:rsidR="00CE5994" w:rsidRPr="00761B17" w:rsidRDefault="00CE5994" w:rsidP="00CE5994">
      <w:pPr>
        <w:pStyle w:val="Textonotapie"/>
        <w:ind w:firstLine="709"/>
        <w:contextualSpacing/>
        <w:jc w:val="both"/>
        <w:rPr>
          <w:rFonts w:ascii="Verdana" w:hAnsi="Verdana" w:cs="Arial"/>
          <w:sz w:val="14"/>
          <w:szCs w:val="14"/>
        </w:rPr>
      </w:pPr>
      <w:r w:rsidRPr="00761B17">
        <w:rPr>
          <w:rFonts w:ascii="Verdana" w:hAnsi="Verdana" w:cs="Arial"/>
          <w:i/>
          <w:iCs/>
          <w:sz w:val="14"/>
          <w:szCs w:val="14"/>
        </w:rPr>
        <w:t>“</w:t>
      </w:r>
      <w:r w:rsidRPr="00761B17">
        <w:rPr>
          <w:rFonts w:ascii="Verdana" w:hAnsi="Verdana" w:cs="Arial"/>
          <w:sz w:val="14"/>
          <w:szCs w:val="14"/>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44AB4F85" w14:textId="77777777" w:rsidR="00CE5994" w:rsidRPr="00761B17" w:rsidRDefault="00CE5994" w:rsidP="00CE5994">
      <w:pPr>
        <w:pStyle w:val="Textonotapie"/>
        <w:ind w:firstLine="709"/>
        <w:contextualSpacing/>
        <w:jc w:val="both"/>
        <w:rPr>
          <w:rFonts w:ascii="Verdana" w:hAnsi="Verdana" w:cs="Arial"/>
          <w:sz w:val="14"/>
          <w:szCs w:val="14"/>
        </w:rPr>
      </w:pPr>
      <w:r w:rsidRPr="00761B17">
        <w:rPr>
          <w:rFonts w:ascii="Verdana" w:hAnsi="Verdana" w:cs="Arial"/>
          <w:sz w:val="14"/>
          <w:szCs w:val="14"/>
        </w:rPr>
        <w:t>[…]</w:t>
      </w:r>
      <w:r w:rsidRPr="00761B17">
        <w:rPr>
          <w:rFonts w:ascii="Verdana" w:hAnsi="Verdana" w:cs="Arial"/>
          <w:i/>
          <w:iCs/>
          <w:sz w:val="14"/>
          <w:szCs w:val="14"/>
        </w:rPr>
        <w:t>”</w:t>
      </w:r>
      <w:r w:rsidRPr="00761B17">
        <w:rPr>
          <w:rFonts w:ascii="Verdana" w:hAnsi="Verdana" w:cs="Arial"/>
          <w:sz w:val="14"/>
          <w:szCs w:val="14"/>
        </w:rPr>
        <w:t>.</w:t>
      </w:r>
    </w:p>
    <w:p w14:paraId="7B166B6B" w14:textId="77777777" w:rsidR="00CE5994" w:rsidRPr="00761B17" w:rsidRDefault="00CE5994" w:rsidP="00CE5994">
      <w:pPr>
        <w:pStyle w:val="Textonotapie"/>
        <w:rPr>
          <w:rFonts w:ascii="Verdana" w:hAnsi="Verdana"/>
          <w:sz w:val="14"/>
          <w:szCs w:val="14"/>
        </w:rPr>
      </w:pPr>
    </w:p>
  </w:footnote>
  <w:footnote w:id="15">
    <w:p w14:paraId="2623DA5D" w14:textId="77777777" w:rsidR="00CE5994" w:rsidRPr="00761B17" w:rsidRDefault="00CE5994" w:rsidP="00CE5994">
      <w:pPr>
        <w:pStyle w:val="Textonotapie"/>
        <w:ind w:firstLine="709"/>
        <w:contextualSpacing/>
        <w:jc w:val="both"/>
        <w:rPr>
          <w:rFonts w:ascii="Verdana" w:hAnsi="Verdana" w:cs="Arial"/>
          <w:sz w:val="14"/>
          <w:szCs w:val="14"/>
        </w:rPr>
      </w:pPr>
      <w:r w:rsidRPr="00761B17">
        <w:rPr>
          <w:rStyle w:val="Refdenotaalpie"/>
          <w:rFonts w:ascii="Verdana" w:hAnsi="Verdana" w:cs="Arial"/>
          <w:sz w:val="14"/>
          <w:szCs w:val="14"/>
        </w:rPr>
        <w:footnoteRef/>
      </w:r>
      <w:r w:rsidRPr="00761B17">
        <w:rPr>
          <w:rFonts w:ascii="Verdana" w:hAnsi="Verdana" w:cs="Arial"/>
          <w:sz w:val="14"/>
          <w:szCs w:val="14"/>
        </w:rPr>
        <w:t xml:space="preserve"> Consejo de Estado. Sección Tercera. Subsección A. Sentencia del 12 de febrero de 2014. Exp. 31.753. C.P. Mauricio Fajardo Gómez: </w:t>
      </w:r>
      <w:r w:rsidRPr="00761B17">
        <w:rPr>
          <w:rFonts w:ascii="Verdana" w:hAnsi="Verdana" w:cs="Arial"/>
          <w:i/>
          <w:iCs/>
          <w:sz w:val="14"/>
          <w:szCs w:val="14"/>
        </w:rPr>
        <w:t>“</w:t>
      </w:r>
      <w:r w:rsidRPr="00761B17">
        <w:rPr>
          <w:rFonts w:ascii="Verdana" w:hAnsi="Verdana" w:cs="Arial"/>
          <w:sz w:val="14"/>
          <w:szCs w:val="14"/>
        </w:rPr>
        <w:t>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r w:rsidRPr="00761B17">
        <w:rPr>
          <w:rFonts w:ascii="Verdana" w:hAnsi="Verdana" w:cs="Arial"/>
          <w:i/>
          <w:iCs/>
          <w:sz w:val="14"/>
          <w:szCs w:val="14"/>
        </w:rPr>
        <w:t>”</w:t>
      </w:r>
      <w:r w:rsidRPr="00761B17">
        <w:rPr>
          <w:rFonts w:ascii="Verdana" w:hAnsi="Verdana" w:cs="Arial"/>
          <w:sz w:val="14"/>
          <w:szCs w:val="14"/>
        </w:rPr>
        <w:t>.</w:t>
      </w:r>
    </w:p>
    <w:p w14:paraId="487CEA3E" w14:textId="77777777" w:rsidR="00CE5994" w:rsidRPr="001332B3" w:rsidRDefault="00CE5994" w:rsidP="00CE5994">
      <w:pPr>
        <w:pStyle w:val="Textonotapie"/>
        <w:ind w:firstLine="709"/>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1E169A"/>
    <w:multiLevelType w:val="hybridMultilevel"/>
    <w:tmpl w:val="089A75AE"/>
    <w:lvl w:ilvl="0" w:tplc="8E18C45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CB169F"/>
    <w:multiLevelType w:val="hybridMultilevel"/>
    <w:tmpl w:val="49E8DCF4"/>
    <w:lvl w:ilvl="0" w:tplc="427875F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514882945">
    <w:abstractNumId w:val="16"/>
  </w:num>
  <w:num w:numId="19" w16cid:durableId="12556322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F5A"/>
    <w:rsid w:val="00043240"/>
    <w:rsid w:val="00045F28"/>
    <w:rsid w:val="00046945"/>
    <w:rsid w:val="000601B1"/>
    <w:rsid w:val="00061B2A"/>
    <w:rsid w:val="00082362"/>
    <w:rsid w:val="00085409"/>
    <w:rsid w:val="00090AE3"/>
    <w:rsid w:val="00093462"/>
    <w:rsid w:val="00093B66"/>
    <w:rsid w:val="000A683E"/>
    <w:rsid w:val="000B19B9"/>
    <w:rsid w:val="000B70B7"/>
    <w:rsid w:val="000C526E"/>
    <w:rsid w:val="000D0334"/>
    <w:rsid w:val="000D5DA7"/>
    <w:rsid w:val="000F6486"/>
    <w:rsid w:val="00116940"/>
    <w:rsid w:val="00125105"/>
    <w:rsid w:val="00127233"/>
    <w:rsid w:val="0015699B"/>
    <w:rsid w:val="00163CFC"/>
    <w:rsid w:val="001A33BF"/>
    <w:rsid w:val="001A570A"/>
    <w:rsid w:val="001C39B8"/>
    <w:rsid w:val="001D65C5"/>
    <w:rsid w:val="001E4177"/>
    <w:rsid w:val="001F0B24"/>
    <w:rsid w:val="001F7DC6"/>
    <w:rsid w:val="00214840"/>
    <w:rsid w:val="0022400B"/>
    <w:rsid w:val="002421BB"/>
    <w:rsid w:val="0025796E"/>
    <w:rsid w:val="002707A2"/>
    <w:rsid w:val="00275C80"/>
    <w:rsid w:val="002951A0"/>
    <w:rsid w:val="002962BC"/>
    <w:rsid w:val="002A093D"/>
    <w:rsid w:val="002A0DD0"/>
    <w:rsid w:val="002A49AC"/>
    <w:rsid w:val="002A64FD"/>
    <w:rsid w:val="002B4C8A"/>
    <w:rsid w:val="002B7721"/>
    <w:rsid w:val="002C7A84"/>
    <w:rsid w:val="002D1DCD"/>
    <w:rsid w:val="002E2BF8"/>
    <w:rsid w:val="002E4FD9"/>
    <w:rsid w:val="0030657A"/>
    <w:rsid w:val="00322A85"/>
    <w:rsid w:val="00324168"/>
    <w:rsid w:val="00330834"/>
    <w:rsid w:val="003448F4"/>
    <w:rsid w:val="00374F5E"/>
    <w:rsid w:val="00377E3E"/>
    <w:rsid w:val="00390204"/>
    <w:rsid w:val="003A2C14"/>
    <w:rsid w:val="003A779E"/>
    <w:rsid w:val="003B6746"/>
    <w:rsid w:val="003C2D9F"/>
    <w:rsid w:val="003C6177"/>
    <w:rsid w:val="003D0F4D"/>
    <w:rsid w:val="003D5B0D"/>
    <w:rsid w:val="003E0499"/>
    <w:rsid w:val="003E4F80"/>
    <w:rsid w:val="003E6439"/>
    <w:rsid w:val="003F3941"/>
    <w:rsid w:val="00406575"/>
    <w:rsid w:val="00414C74"/>
    <w:rsid w:val="0042722E"/>
    <w:rsid w:val="0044275F"/>
    <w:rsid w:val="0044528D"/>
    <w:rsid w:val="004572F2"/>
    <w:rsid w:val="0046225C"/>
    <w:rsid w:val="00466E39"/>
    <w:rsid w:val="00471472"/>
    <w:rsid w:val="004A1847"/>
    <w:rsid w:val="004A305D"/>
    <w:rsid w:val="004B6F93"/>
    <w:rsid w:val="004D1A15"/>
    <w:rsid w:val="004D6581"/>
    <w:rsid w:val="004E1106"/>
    <w:rsid w:val="004F21C4"/>
    <w:rsid w:val="004F685F"/>
    <w:rsid w:val="005014DB"/>
    <w:rsid w:val="00507F6C"/>
    <w:rsid w:val="00535BC7"/>
    <w:rsid w:val="005437FD"/>
    <w:rsid w:val="00547BD8"/>
    <w:rsid w:val="00552014"/>
    <w:rsid w:val="005566E8"/>
    <w:rsid w:val="00566165"/>
    <w:rsid w:val="00574867"/>
    <w:rsid w:val="00591044"/>
    <w:rsid w:val="00591460"/>
    <w:rsid w:val="005937A5"/>
    <w:rsid w:val="005A65E0"/>
    <w:rsid w:val="005A6FB0"/>
    <w:rsid w:val="005C3777"/>
    <w:rsid w:val="005C5CDC"/>
    <w:rsid w:val="005D2AA6"/>
    <w:rsid w:val="005D476C"/>
    <w:rsid w:val="00607C9B"/>
    <w:rsid w:val="006200BF"/>
    <w:rsid w:val="006219F8"/>
    <w:rsid w:val="006302F7"/>
    <w:rsid w:val="00646B9F"/>
    <w:rsid w:val="00665D70"/>
    <w:rsid w:val="006900D9"/>
    <w:rsid w:val="006B6439"/>
    <w:rsid w:val="006D5339"/>
    <w:rsid w:val="00704298"/>
    <w:rsid w:val="00706C16"/>
    <w:rsid w:val="00712C61"/>
    <w:rsid w:val="007133A0"/>
    <w:rsid w:val="00716CC1"/>
    <w:rsid w:val="0072650A"/>
    <w:rsid w:val="0073024D"/>
    <w:rsid w:val="007340C3"/>
    <w:rsid w:val="00735214"/>
    <w:rsid w:val="0075235A"/>
    <w:rsid w:val="007530FD"/>
    <w:rsid w:val="00756841"/>
    <w:rsid w:val="00761B17"/>
    <w:rsid w:val="007649AB"/>
    <w:rsid w:val="00771D0C"/>
    <w:rsid w:val="0077657A"/>
    <w:rsid w:val="007833AC"/>
    <w:rsid w:val="007B268C"/>
    <w:rsid w:val="007B7171"/>
    <w:rsid w:val="007C0C0F"/>
    <w:rsid w:val="007C3DC2"/>
    <w:rsid w:val="007E5497"/>
    <w:rsid w:val="00806F5F"/>
    <w:rsid w:val="008107DA"/>
    <w:rsid w:val="00820278"/>
    <w:rsid w:val="008258C9"/>
    <w:rsid w:val="00834127"/>
    <w:rsid w:val="00844AE9"/>
    <w:rsid w:val="00867F95"/>
    <w:rsid w:val="008843B6"/>
    <w:rsid w:val="00891928"/>
    <w:rsid w:val="008A16D1"/>
    <w:rsid w:val="008A446D"/>
    <w:rsid w:val="008A498C"/>
    <w:rsid w:val="008B25F1"/>
    <w:rsid w:val="008C7417"/>
    <w:rsid w:val="008D180B"/>
    <w:rsid w:val="008F0EA7"/>
    <w:rsid w:val="00913E54"/>
    <w:rsid w:val="00923EEF"/>
    <w:rsid w:val="00924D2C"/>
    <w:rsid w:val="009252E0"/>
    <w:rsid w:val="009419F9"/>
    <w:rsid w:val="0095685E"/>
    <w:rsid w:val="00961B09"/>
    <w:rsid w:val="00965334"/>
    <w:rsid w:val="0097093E"/>
    <w:rsid w:val="00972A60"/>
    <w:rsid w:val="00980EF9"/>
    <w:rsid w:val="00992C14"/>
    <w:rsid w:val="009A0DFA"/>
    <w:rsid w:val="009A1C6F"/>
    <w:rsid w:val="009A6AAB"/>
    <w:rsid w:val="009B2D26"/>
    <w:rsid w:val="009C71FA"/>
    <w:rsid w:val="009C72E7"/>
    <w:rsid w:val="009C7F7E"/>
    <w:rsid w:val="009D15D3"/>
    <w:rsid w:val="009D3058"/>
    <w:rsid w:val="009F3A13"/>
    <w:rsid w:val="009F503D"/>
    <w:rsid w:val="00A122D3"/>
    <w:rsid w:val="00A14468"/>
    <w:rsid w:val="00A17F13"/>
    <w:rsid w:val="00A20739"/>
    <w:rsid w:val="00A23AF9"/>
    <w:rsid w:val="00A317BF"/>
    <w:rsid w:val="00A33C78"/>
    <w:rsid w:val="00A41534"/>
    <w:rsid w:val="00A80331"/>
    <w:rsid w:val="00AB0ADB"/>
    <w:rsid w:val="00AD4C43"/>
    <w:rsid w:val="00AE003E"/>
    <w:rsid w:val="00AE4868"/>
    <w:rsid w:val="00AF3CA2"/>
    <w:rsid w:val="00AF6F48"/>
    <w:rsid w:val="00B00C0E"/>
    <w:rsid w:val="00B01B1A"/>
    <w:rsid w:val="00B0381D"/>
    <w:rsid w:val="00B0395A"/>
    <w:rsid w:val="00B05B47"/>
    <w:rsid w:val="00B304DE"/>
    <w:rsid w:val="00B310F7"/>
    <w:rsid w:val="00B33DCD"/>
    <w:rsid w:val="00B44A47"/>
    <w:rsid w:val="00B5225C"/>
    <w:rsid w:val="00B65E61"/>
    <w:rsid w:val="00B72CD3"/>
    <w:rsid w:val="00B72FFF"/>
    <w:rsid w:val="00B80A9D"/>
    <w:rsid w:val="00BC3D36"/>
    <w:rsid w:val="00BC60E9"/>
    <w:rsid w:val="00BD54A6"/>
    <w:rsid w:val="00BD7F72"/>
    <w:rsid w:val="00BF7425"/>
    <w:rsid w:val="00C04749"/>
    <w:rsid w:val="00C04FB3"/>
    <w:rsid w:val="00C11D8B"/>
    <w:rsid w:val="00C15139"/>
    <w:rsid w:val="00C213C7"/>
    <w:rsid w:val="00C330EB"/>
    <w:rsid w:val="00C42B06"/>
    <w:rsid w:val="00C46C69"/>
    <w:rsid w:val="00C50D69"/>
    <w:rsid w:val="00C5365C"/>
    <w:rsid w:val="00C57C09"/>
    <w:rsid w:val="00C650D4"/>
    <w:rsid w:val="00C754BE"/>
    <w:rsid w:val="00C76B1C"/>
    <w:rsid w:val="00C83C1C"/>
    <w:rsid w:val="00C925AC"/>
    <w:rsid w:val="00CB1153"/>
    <w:rsid w:val="00CB6357"/>
    <w:rsid w:val="00CC0D9C"/>
    <w:rsid w:val="00CC1B26"/>
    <w:rsid w:val="00CE5994"/>
    <w:rsid w:val="00D01505"/>
    <w:rsid w:val="00D02EF2"/>
    <w:rsid w:val="00D361FD"/>
    <w:rsid w:val="00D423A2"/>
    <w:rsid w:val="00D44E26"/>
    <w:rsid w:val="00D520D8"/>
    <w:rsid w:val="00D56212"/>
    <w:rsid w:val="00D63AC2"/>
    <w:rsid w:val="00D7383B"/>
    <w:rsid w:val="00D7788A"/>
    <w:rsid w:val="00D92DBF"/>
    <w:rsid w:val="00DA231B"/>
    <w:rsid w:val="00DC39FC"/>
    <w:rsid w:val="00DC69DF"/>
    <w:rsid w:val="00DF5254"/>
    <w:rsid w:val="00DF55E6"/>
    <w:rsid w:val="00E02524"/>
    <w:rsid w:val="00E063D8"/>
    <w:rsid w:val="00E16408"/>
    <w:rsid w:val="00E16BC4"/>
    <w:rsid w:val="00E20894"/>
    <w:rsid w:val="00E245AB"/>
    <w:rsid w:val="00E2764C"/>
    <w:rsid w:val="00E27F2E"/>
    <w:rsid w:val="00E50AFE"/>
    <w:rsid w:val="00E75C92"/>
    <w:rsid w:val="00E771DC"/>
    <w:rsid w:val="00E8772A"/>
    <w:rsid w:val="00E90F6B"/>
    <w:rsid w:val="00E92C27"/>
    <w:rsid w:val="00EA0E3D"/>
    <w:rsid w:val="00EC38A7"/>
    <w:rsid w:val="00EC5350"/>
    <w:rsid w:val="00ED494F"/>
    <w:rsid w:val="00EE1AA8"/>
    <w:rsid w:val="00F23F78"/>
    <w:rsid w:val="00F23FEA"/>
    <w:rsid w:val="00F31EDC"/>
    <w:rsid w:val="00F423D2"/>
    <w:rsid w:val="00F462B3"/>
    <w:rsid w:val="00F5664F"/>
    <w:rsid w:val="00F666C4"/>
    <w:rsid w:val="00F76AFC"/>
    <w:rsid w:val="00F809B6"/>
    <w:rsid w:val="00FA47C0"/>
    <w:rsid w:val="00FA732D"/>
    <w:rsid w:val="00FB5DD1"/>
    <w:rsid w:val="00FB7FE0"/>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339"/>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3024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024D"/>
    <w:rPr>
      <w:rFonts w:ascii="Geomanist Light" w:hAnsi="Geomanist Light"/>
      <w:lang w:val="es-ES"/>
    </w:rPr>
  </w:style>
  <w:style w:type="character" w:customStyle="1" w:styleId="NormalWebCar">
    <w:name w:val="Normal (Web) Car"/>
    <w:link w:val="NormalWeb"/>
    <w:uiPriority w:val="99"/>
    <w:locked/>
    <w:rsid w:val="0073024D"/>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A80331"/>
    <w:pPr>
      <w:spacing w:after="0" w:line="240" w:lineRule="auto"/>
    </w:pPr>
    <w:rPr>
      <w:sz w:val="24"/>
      <w:lang w:val="es-MX"/>
    </w:rPr>
  </w:style>
  <w:style w:type="character" w:customStyle="1" w:styleId="s15">
    <w:name w:val="s15"/>
    <w:basedOn w:val="Fuentedeprrafopredeter"/>
    <w:rsid w:val="00D92DBF"/>
  </w:style>
  <w:style w:type="character" w:styleId="Refdecomentario">
    <w:name w:val="annotation reference"/>
    <w:basedOn w:val="Fuentedeprrafopredeter"/>
    <w:uiPriority w:val="99"/>
    <w:semiHidden/>
    <w:unhideWhenUsed/>
    <w:rsid w:val="00535BC7"/>
    <w:rPr>
      <w:sz w:val="16"/>
      <w:szCs w:val="16"/>
    </w:rPr>
  </w:style>
  <w:style w:type="paragraph" w:styleId="Textocomentario">
    <w:name w:val="annotation text"/>
    <w:basedOn w:val="Normal"/>
    <w:link w:val="TextocomentarioCar"/>
    <w:uiPriority w:val="99"/>
    <w:unhideWhenUsed/>
    <w:rsid w:val="00535BC7"/>
    <w:pPr>
      <w:spacing w:line="240" w:lineRule="auto"/>
    </w:pPr>
    <w:rPr>
      <w:sz w:val="20"/>
      <w:szCs w:val="20"/>
    </w:rPr>
  </w:style>
  <w:style w:type="character" w:customStyle="1" w:styleId="TextocomentarioCar">
    <w:name w:val="Texto comentario Car"/>
    <w:basedOn w:val="Fuentedeprrafopredeter"/>
    <w:link w:val="Textocomentario"/>
    <w:uiPriority w:val="99"/>
    <w:rsid w:val="00535BC7"/>
    <w:rPr>
      <w:sz w:val="20"/>
      <w:szCs w:val="20"/>
    </w:rPr>
  </w:style>
  <w:style w:type="paragraph" w:styleId="Asuntodelcomentario">
    <w:name w:val="annotation subject"/>
    <w:basedOn w:val="Textocomentario"/>
    <w:next w:val="Textocomentario"/>
    <w:link w:val="AsuntodelcomentarioCar"/>
    <w:uiPriority w:val="99"/>
    <w:semiHidden/>
    <w:unhideWhenUsed/>
    <w:rsid w:val="00535BC7"/>
    <w:rPr>
      <w:b/>
      <w:bCs/>
    </w:rPr>
  </w:style>
  <w:style w:type="character" w:customStyle="1" w:styleId="AsuntodelcomentarioCar">
    <w:name w:val="Asunto del comentario Car"/>
    <w:basedOn w:val="TextocomentarioCar"/>
    <w:link w:val="Asuntodelcomentario"/>
    <w:uiPriority w:val="99"/>
    <w:semiHidden/>
    <w:rsid w:val="00535BC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ntiago.cardenas@gobiernobogota.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9B84A4A-ED9B-4913-9DC2-F4EB9F1CE4AE}"/>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51</TotalTime>
  <Pages>20</Pages>
  <Words>6573</Words>
  <Characters>34184</Characters>
  <Application>Microsoft Office Word</Application>
  <DocSecurity>0</DocSecurity>
  <Lines>727</Lines>
  <Paragraphs>145</Paragraphs>
  <ScaleCrop>false</ScaleCrop>
  <Company/>
  <LinksUpToDate>false</LinksUpToDate>
  <CharactersWithSpaces>40612</CharactersWithSpaces>
  <SharedDoc>false</SharedDoc>
  <HLinks>
    <vt:vector size="24" baseType="variant">
      <vt:variant>
        <vt:i4>6029407</vt:i4>
      </vt:variant>
      <vt:variant>
        <vt:i4>9</vt:i4>
      </vt:variant>
      <vt:variant>
        <vt:i4>0</vt:i4>
      </vt:variant>
      <vt:variant>
        <vt:i4>5</vt:i4>
      </vt:variant>
      <vt:variant>
        <vt:lpwstr>http://www.colombiacompra.gov.co/</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3670028</vt:i4>
      </vt:variant>
      <vt:variant>
        <vt:i4>0</vt:i4>
      </vt:variant>
      <vt:variant>
        <vt:i4>0</vt:i4>
      </vt:variant>
      <vt:variant>
        <vt:i4>5</vt:i4>
      </vt:variant>
      <vt:variant>
        <vt:lpwstr>mailto:santiago.cardenas@gobiernobogota.gov.co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24</cp:revision>
  <cp:lastPrinted>2023-01-10T21:18:00Z</cp:lastPrinted>
  <dcterms:created xsi:type="dcterms:W3CDTF">2026-02-09T16:12:00Z</dcterms:created>
  <dcterms:modified xsi:type="dcterms:W3CDTF">2026-02-10T15:03:00Z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