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79ACD8" w14:textId="77777777" w:rsidR="00BB454E" w:rsidRPr="00647611" w:rsidRDefault="00BB454E" w:rsidP="00BB454E">
      <w:pPr>
        <w:spacing w:after="0" w:line="240" w:lineRule="auto"/>
        <w:jc w:val="both"/>
        <w:rPr>
          <w:rFonts w:ascii="Verdana" w:hAnsi="Verdana" w:cs="Arial"/>
          <w:b/>
          <w:lang w:val="es-MX" w:eastAsia="es-ES_tradnl"/>
        </w:rPr>
      </w:pPr>
      <w:bookmarkStart w:id="0" w:name="_Hlk143780582"/>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Finalidad </w:t>
      </w:r>
    </w:p>
    <w:p w14:paraId="74E8A385"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1BD62958" w14:textId="77777777" w:rsidR="00BB454E" w:rsidRPr="00647611" w:rsidRDefault="00BB454E" w:rsidP="00BB454E">
      <w:pPr>
        <w:spacing w:after="0" w:line="240" w:lineRule="auto"/>
        <w:jc w:val="both"/>
        <w:rPr>
          <w:rFonts w:ascii="Verdana" w:eastAsia="Times New Roman" w:hAnsi="Verdana" w:cs="Arial"/>
          <w:sz w:val="20"/>
          <w:szCs w:val="20"/>
          <w:lang w:val="es-MX" w:eastAsia="es-CO"/>
        </w:rPr>
      </w:pPr>
      <w:r w:rsidRPr="00647611">
        <w:rPr>
          <w:rFonts w:ascii="Verdana" w:eastAsia="Times New Roman" w:hAnsi="Verdana" w:cs="Arial"/>
          <w:sz w:val="20"/>
          <w:szCs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1FCCA66"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59ED4BB9" w14:textId="77777777" w:rsidR="00BB454E" w:rsidRPr="00647611" w:rsidRDefault="00BB454E" w:rsidP="00BB454E">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w:t>
      </w:r>
      <w:r w:rsidRPr="00647611">
        <w:rPr>
          <w:rFonts w:ascii="Verdana" w:hAnsi="Verdana" w:cs="Arial"/>
          <w:b/>
          <w:bCs/>
          <w:lang w:val="es-MX" w:eastAsia="es-ES_tradnl"/>
        </w:rPr>
        <w:t>‒</w:t>
      </w:r>
      <w:r w:rsidRPr="00647611">
        <w:rPr>
          <w:rFonts w:ascii="Verdana" w:hAnsi="Verdana" w:cs="Arial"/>
          <w:b/>
          <w:lang w:val="es-MX" w:eastAsia="es-ES_tradnl"/>
        </w:rPr>
        <w:t xml:space="preserve"> Tipos de restricciones </w:t>
      </w:r>
      <w:r w:rsidRPr="00647611">
        <w:rPr>
          <w:rFonts w:ascii="Verdana" w:hAnsi="Verdana" w:cs="Arial"/>
          <w:b/>
          <w:bCs/>
          <w:lang w:val="es-MX" w:eastAsia="es-ES_tradnl"/>
        </w:rPr>
        <w:t>‒</w:t>
      </w:r>
      <w:r w:rsidRPr="00647611">
        <w:rPr>
          <w:rFonts w:ascii="Verdana" w:hAnsi="Verdana" w:cs="Arial"/>
          <w:b/>
          <w:lang w:val="es-MX" w:eastAsia="es-ES_tradnl"/>
        </w:rPr>
        <w:t xml:space="preserve"> Ámbito temporal – </w:t>
      </w:r>
      <w:r>
        <w:rPr>
          <w:rFonts w:ascii="Verdana" w:hAnsi="Verdana" w:cs="Arial"/>
          <w:b/>
          <w:lang w:val="es-MX" w:eastAsia="es-ES_tradnl"/>
        </w:rPr>
        <w:t>C</w:t>
      </w:r>
      <w:r w:rsidRPr="00647611">
        <w:rPr>
          <w:rFonts w:ascii="Verdana" w:hAnsi="Verdana" w:cs="Arial"/>
          <w:b/>
          <w:lang w:val="es-MX" w:eastAsia="es-ES_tradnl"/>
        </w:rPr>
        <w:t>elebración</w:t>
      </w:r>
      <w:r>
        <w:rPr>
          <w:rFonts w:ascii="Verdana" w:hAnsi="Verdana" w:cs="Arial"/>
          <w:b/>
          <w:lang w:val="es-MX" w:eastAsia="es-ES_tradnl"/>
        </w:rPr>
        <w:t xml:space="preserve"> –</w:t>
      </w:r>
      <w:r w:rsidRPr="00647611">
        <w:rPr>
          <w:rFonts w:ascii="Verdana" w:hAnsi="Verdana" w:cs="Arial"/>
          <w:b/>
          <w:lang w:val="es-MX" w:eastAsia="es-ES_tradnl"/>
        </w:rPr>
        <w:t xml:space="preserve"> </w:t>
      </w:r>
      <w:r>
        <w:rPr>
          <w:rFonts w:ascii="Verdana" w:hAnsi="Verdana" w:cs="Arial"/>
          <w:b/>
          <w:lang w:val="es-MX" w:eastAsia="es-ES_tradnl"/>
        </w:rPr>
        <w:t>L</w:t>
      </w:r>
      <w:r w:rsidRPr="00647611">
        <w:rPr>
          <w:rFonts w:ascii="Verdana" w:hAnsi="Verdana" w:cs="Arial"/>
          <w:b/>
          <w:lang w:val="es-MX" w:eastAsia="es-ES_tradnl"/>
        </w:rPr>
        <w:t>ímite</w:t>
      </w:r>
    </w:p>
    <w:p w14:paraId="7F7ED98A"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406C721A" w14:textId="77777777" w:rsidR="00BB454E" w:rsidRPr="00647611" w:rsidRDefault="00BB454E" w:rsidP="00BB454E">
      <w:pPr>
        <w:spacing w:after="0" w:line="240" w:lineRule="auto"/>
        <w:jc w:val="both"/>
        <w:rPr>
          <w:rFonts w:ascii="Verdana" w:eastAsia="Calibri" w:hAnsi="Verdana" w:cs="Arial"/>
          <w:sz w:val="20"/>
          <w:szCs w:val="20"/>
        </w:rPr>
      </w:pPr>
      <w:r w:rsidRPr="00647611">
        <w:rPr>
          <w:rFonts w:ascii="Verdana" w:eastAsia="Calibri" w:hAnsi="Verdana" w:cs="Arial"/>
          <w:sz w:val="20"/>
          <w:szCs w:val="20"/>
        </w:rPr>
        <w:t xml:space="preserve">Por un lado, el </w:t>
      </w:r>
      <w:r w:rsidRPr="00647611">
        <w:rPr>
          <w:rFonts w:ascii="Verdana" w:eastAsia="Calibri" w:hAnsi="Verdana" w:cs="Arial"/>
          <w:i/>
          <w:iCs/>
          <w:sz w:val="20"/>
          <w:szCs w:val="20"/>
        </w:rPr>
        <w:t>artículo 33 de la Ley 996 de 2005</w:t>
      </w:r>
      <w:r w:rsidRPr="00647611">
        <w:rPr>
          <w:rFonts w:ascii="Verdana" w:eastAsia="Calibri" w:hAnsi="Verdana" w:cs="Arial"/>
          <w:sz w:val="20"/>
          <w:szCs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B6229BD" w14:textId="77777777" w:rsidR="00BB454E" w:rsidRPr="00647611" w:rsidRDefault="00BB454E" w:rsidP="00BB454E">
      <w:pPr>
        <w:spacing w:after="0" w:line="240" w:lineRule="auto"/>
        <w:jc w:val="both"/>
        <w:rPr>
          <w:rFonts w:ascii="Verdana" w:eastAsia="Calibri" w:hAnsi="Verdana" w:cs="Arial"/>
          <w:sz w:val="20"/>
          <w:szCs w:val="20"/>
        </w:rPr>
      </w:pPr>
    </w:p>
    <w:p w14:paraId="1FE7E66B" w14:textId="77777777" w:rsidR="00BB454E" w:rsidRPr="00647611" w:rsidRDefault="00BB454E" w:rsidP="00BB454E">
      <w:pPr>
        <w:widowControl w:val="0"/>
        <w:autoSpaceDE w:val="0"/>
        <w:autoSpaceDN w:val="0"/>
        <w:spacing w:after="0" w:line="240" w:lineRule="auto"/>
        <w:ind w:right="113"/>
        <w:jc w:val="both"/>
        <w:rPr>
          <w:rFonts w:ascii="Verdana" w:eastAsia="Arial" w:hAnsi="Verdana" w:cs="Arial"/>
          <w:sz w:val="20"/>
          <w:szCs w:val="20"/>
          <w:lang w:val="es-ES" w:eastAsia="es-ES" w:bidi="es-ES"/>
        </w:rPr>
      </w:pPr>
      <w:r w:rsidRPr="00647611">
        <w:rPr>
          <w:rFonts w:ascii="Verdana" w:eastAsia="Calibri" w:hAnsi="Verdana" w:cs="Arial"/>
          <w:sz w:val="20"/>
          <w:szCs w:val="20"/>
        </w:rPr>
        <w:t xml:space="preserve">Por otro lado, </w:t>
      </w:r>
      <w:r w:rsidRPr="00647611">
        <w:rPr>
          <w:rFonts w:ascii="Verdana" w:eastAsia="Calibri" w:hAnsi="Verdana" w:cs="Arial"/>
          <w:i/>
          <w:iCs/>
          <w:sz w:val="20"/>
          <w:szCs w:val="20"/>
        </w:rPr>
        <w:t>el parágrafo del artículo 38 de la Ley 996 de 2005</w:t>
      </w:r>
      <w:r w:rsidRPr="00647611">
        <w:rPr>
          <w:rFonts w:ascii="Verdana" w:eastAsia="Calibri" w:hAnsi="Verdana" w:cs="Arial"/>
          <w:sz w:val="20"/>
          <w:szCs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647611">
        <w:rPr>
          <w:rFonts w:ascii="Verdana" w:eastAsia="Calibri" w:hAnsi="Verdana" w:cs="Arial"/>
          <w:sz w:val="20"/>
          <w:szCs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47611">
        <w:rPr>
          <w:rFonts w:ascii="Verdana" w:eastAsia="Calibri" w:hAnsi="Verdana" w:cs="Arial"/>
          <w:sz w:val="20"/>
          <w:szCs w:val="20"/>
        </w:rPr>
        <w:t>”</w:t>
      </w:r>
      <w:r w:rsidRPr="00647611">
        <w:rPr>
          <w:rFonts w:ascii="Verdana" w:eastAsia="Calibri" w:hAnsi="Verdana" w:cs="Arial"/>
          <w:sz w:val="20"/>
          <w:szCs w:val="20"/>
          <w:lang w:val="es-MX"/>
        </w:rPr>
        <w:t>.</w:t>
      </w:r>
      <w:r w:rsidRPr="00647611">
        <w:rPr>
          <w:rFonts w:ascii="Verdana" w:eastAsia="Arial" w:hAnsi="Verdana" w:cs="Arial"/>
          <w:sz w:val="20"/>
          <w:szCs w:val="20"/>
          <w:lang w:val="es-ES" w:eastAsia="es-ES" w:bidi="es-ES"/>
        </w:rPr>
        <w:t xml:space="preserve"> </w:t>
      </w:r>
    </w:p>
    <w:p w14:paraId="1E7F5789" w14:textId="77777777" w:rsidR="00BB454E" w:rsidRPr="00647611" w:rsidRDefault="00BB454E" w:rsidP="00BB454E">
      <w:pPr>
        <w:widowControl w:val="0"/>
        <w:autoSpaceDE w:val="0"/>
        <w:autoSpaceDN w:val="0"/>
        <w:spacing w:after="0" w:line="240" w:lineRule="auto"/>
        <w:ind w:right="113"/>
        <w:jc w:val="both"/>
        <w:rPr>
          <w:rFonts w:ascii="Verdana" w:eastAsia="Arial" w:hAnsi="Verdana" w:cs="Arial"/>
          <w:sz w:val="20"/>
          <w:szCs w:val="20"/>
          <w:lang w:val="es-ES" w:eastAsia="es-ES" w:bidi="es-ES"/>
        </w:rPr>
      </w:pPr>
    </w:p>
    <w:p w14:paraId="164DF33F" w14:textId="77777777" w:rsidR="00BB454E" w:rsidRPr="00647611" w:rsidRDefault="00BB454E" w:rsidP="00BB454E">
      <w:pPr>
        <w:spacing w:after="0" w:line="240" w:lineRule="auto"/>
        <w:jc w:val="both"/>
        <w:rPr>
          <w:rFonts w:ascii="Verdana" w:eastAsia="Times New Roman" w:hAnsi="Verdana" w:cs="Arial"/>
          <w:bCs/>
          <w:sz w:val="20"/>
          <w:szCs w:val="20"/>
          <w:lang w:val="es-ES" w:eastAsia="es-CO"/>
        </w:rPr>
      </w:pPr>
      <w:r w:rsidRPr="00647611">
        <w:rPr>
          <w:rFonts w:ascii="Verdana" w:eastAsia="Times New Roman" w:hAnsi="Verdana" w:cs="Arial"/>
          <w:bCs/>
          <w:sz w:val="20"/>
          <w:szCs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647611">
        <w:rPr>
          <w:rFonts w:ascii="Verdana" w:eastAsia="Times New Roman" w:hAnsi="Verdana" w:cs="Arial"/>
          <w:bCs/>
          <w:sz w:val="20"/>
          <w:szCs w:val="20"/>
          <w:lang w:val="es-ES" w:eastAsia="es-CO"/>
        </w:rPr>
        <w:t xml:space="preserve">la existencia de los contratos estatales, es decir, la producción de efectos jurídicos en los términos del artículo 1501 </w:t>
      </w:r>
      <w:proofErr w:type="spellStart"/>
      <w:r w:rsidRPr="00647611">
        <w:rPr>
          <w:rFonts w:ascii="Verdana" w:eastAsia="Times New Roman" w:hAnsi="Verdana" w:cs="Arial"/>
          <w:bCs/>
          <w:i/>
          <w:sz w:val="20"/>
          <w:szCs w:val="20"/>
          <w:lang w:val="es-ES" w:eastAsia="es-CO"/>
        </w:rPr>
        <w:t>ibídem</w:t>
      </w:r>
      <w:proofErr w:type="spellEnd"/>
      <w:r w:rsidRPr="00647611">
        <w:rPr>
          <w:rFonts w:ascii="Verdana" w:eastAsia="Times New Roman" w:hAnsi="Verdana" w:cs="Arial"/>
          <w:bCs/>
          <w:sz w:val="20"/>
          <w:szCs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7796E82"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18915B07" w14:textId="77777777" w:rsidR="00BB454E" w:rsidRPr="00647611" w:rsidRDefault="00BB454E" w:rsidP="00BB454E">
      <w:pPr>
        <w:spacing w:after="0" w:line="240" w:lineRule="auto"/>
        <w:jc w:val="both"/>
        <w:rPr>
          <w:rFonts w:ascii="Verdana" w:hAnsi="Verdana" w:cs="Arial"/>
          <w:b/>
          <w:lang w:val="es-MX" w:eastAsia="es-ES_tradnl"/>
        </w:rPr>
      </w:pPr>
      <w:r w:rsidRPr="00647611">
        <w:rPr>
          <w:rFonts w:ascii="Verdana" w:hAnsi="Verdana" w:cs="Arial"/>
          <w:b/>
          <w:lang w:val="es-MX" w:eastAsia="es-ES_tradnl"/>
        </w:rPr>
        <w:lastRenderedPageBreak/>
        <w:t xml:space="preserve">LEY DE GARANTÍAS ELECTORALES – Prohibición artículo 33 – Contratación directa – Alcance </w:t>
      </w:r>
    </w:p>
    <w:p w14:paraId="1B5DE14E"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7B9924EE" w14:textId="77777777" w:rsidR="00BB454E" w:rsidRPr="00647611" w:rsidRDefault="00BB454E" w:rsidP="00BB454E">
      <w:pPr>
        <w:spacing w:after="0" w:line="240" w:lineRule="auto"/>
        <w:jc w:val="both"/>
        <w:rPr>
          <w:rFonts w:ascii="Verdana" w:eastAsia="Times New Roman" w:hAnsi="Verdana" w:cs="Arial"/>
          <w:bCs/>
          <w:sz w:val="20"/>
          <w:szCs w:val="20"/>
          <w:lang w:eastAsia="x-none"/>
        </w:rPr>
      </w:pPr>
      <w:r w:rsidRPr="00647611">
        <w:rPr>
          <w:rFonts w:ascii="Verdana" w:eastAsia="Times New Roman" w:hAnsi="Verdana" w:cs="Arial"/>
          <w:sz w:val="20"/>
          <w:szCs w:val="20"/>
          <w:lang w:eastAsia="x-none"/>
        </w:rPr>
        <w:t xml:space="preserve">De acuerdo con el citado concepto, la prohibición del artículo 33 de la Ley de Garantías Electorales se refiere a </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cualquier sistema que no implique convocatoria pública y posibilidad de pluralidad de oferentes</w:t>
      </w:r>
      <w:r w:rsidRPr="00647611">
        <w:rPr>
          <w:rFonts w:ascii="Verdana" w:eastAsia="Times New Roman" w:hAnsi="Verdana" w:cs="Arial"/>
          <w:sz w:val="20"/>
          <w:szCs w:val="20"/>
          <w:lang w:eastAsia="en-GB"/>
        </w:rPr>
        <w:t>”</w:t>
      </w:r>
      <w:r w:rsidRPr="00647611">
        <w:rPr>
          <w:rFonts w:ascii="Verdana" w:eastAsia="Times New Roman"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647611">
        <w:rPr>
          <w:rFonts w:ascii="Verdana" w:eastAsia="Times New Roman" w:hAnsi="Verdana" w:cs="Arial"/>
          <w:sz w:val="20"/>
          <w:szCs w:val="20"/>
          <w:lang w:val="es-ES_tradnl" w:eastAsia="x-none"/>
        </w:rPr>
        <w:t>y la mínima cuantía</w:t>
      </w:r>
      <w:r w:rsidRPr="00647611" w:rsidDel="00A85D9F">
        <w:rPr>
          <w:rFonts w:ascii="Verdana" w:eastAsia="Times New Roman" w:hAnsi="Verdana" w:cs="Arial"/>
          <w:sz w:val="20"/>
          <w:szCs w:val="20"/>
          <w:lang w:eastAsia="x-none"/>
        </w:rPr>
        <w:t xml:space="preserve"> </w:t>
      </w:r>
      <w:r w:rsidRPr="00647611">
        <w:rPr>
          <w:rFonts w:ascii="Verdana" w:eastAsia="Times New Roman" w:hAnsi="Verdana" w:cs="Arial"/>
          <w:sz w:val="20"/>
          <w:szCs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647611">
        <w:rPr>
          <w:rFonts w:ascii="Verdana" w:eastAsia="Calibri" w:hAnsi="Verdana" w:cs="Arial"/>
          <w:sz w:val="20"/>
          <w:szCs w:val="20"/>
          <w:lang w:eastAsia="x-none"/>
        </w:rPr>
        <w:t>además lo es con la posterior creación de la modalidad de mínima cuantía establecida actualmente en el numeral 5 del artículo 2 de la Ley 1150 de 2007, de acuerdo con las modificaciones realizadas por leyes posteriores.</w:t>
      </w:r>
    </w:p>
    <w:p w14:paraId="3D2AB61F" w14:textId="77777777" w:rsidR="00BB454E" w:rsidRPr="00647611" w:rsidRDefault="00BB454E" w:rsidP="00BB454E">
      <w:pPr>
        <w:spacing w:after="0" w:line="240" w:lineRule="auto"/>
        <w:jc w:val="both"/>
        <w:rPr>
          <w:rFonts w:ascii="Verdana" w:hAnsi="Verdana" w:cs="Arial"/>
          <w:b/>
          <w:sz w:val="20"/>
          <w:szCs w:val="20"/>
          <w:lang w:eastAsia="es-ES_tradnl"/>
        </w:rPr>
      </w:pPr>
    </w:p>
    <w:p w14:paraId="2A99A040" w14:textId="77777777" w:rsidR="00BB454E" w:rsidRPr="00647611" w:rsidRDefault="00BB454E" w:rsidP="00BB454E">
      <w:pPr>
        <w:spacing w:after="0" w:line="240" w:lineRule="auto"/>
        <w:jc w:val="both"/>
        <w:rPr>
          <w:rFonts w:ascii="Verdana" w:hAnsi="Verdana" w:cs="Arial"/>
          <w:b/>
          <w:lang w:val="es-MX" w:eastAsia="es-ES_tradnl"/>
        </w:rPr>
      </w:pPr>
      <w:r w:rsidRPr="00647611">
        <w:rPr>
          <w:rFonts w:ascii="Verdana" w:hAnsi="Verdana" w:cs="Arial"/>
          <w:b/>
          <w:lang w:val="es-MX" w:eastAsia="es-ES_tradnl"/>
        </w:rPr>
        <w:t>LEY DE GARANTÍAS ELECTORALES – Excepciones</w:t>
      </w:r>
    </w:p>
    <w:p w14:paraId="62A57AAF"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016077B3" w14:textId="77777777" w:rsidR="00BB454E" w:rsidRPr="00647611" w:rsidRDefault="00BB454E" w:rsidP="00BB454E">
      <w:pPr>
        <w:spacing w:after="0" w:line="240" w:lineRule="auto"/>
        <w:jc w:val="both"/>
        <w:rPr>
          <w:rFonts w:ascii="Verdana" w:eastAsia="Times New Roman" w:hAnsi="Verdana" w:cs="Arial"/>
          <w:bCs/>
          <w:sz w:val="20"/>
          <w:szCs w:val="20"/>
          <w:lang w:val="es-MX" w:eastAsia="es-CO"/>
        </w:rPr>
      </w:pPr>
      <w:r w:rsidRPr="00647611">
        <w:rPr>
          <w:rFonts w:ascii="Verdana" w:eastAsia="Times New Roman" w:hAnsi="Verdana" w:cs="Arial"/>
          <w:bCs/>
          <w:sz w:val="20"/>
          <w:szCs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47611">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CDCC59F" w14:textId="77777777" w:rsidR="00BB454E" w:rsidRPr="00647611" w:rsidRDefault="00BB454E" w:rsidP="00BB454E">
      <w:pPr>
        <w:spacing w:after="0" w:line="240" w:lineRule="auto"/>
        <w:jc w:val="both"/>
        <w:rPr>
          <w:rFonts w:ascii="Verdana" w:hAnsi="Verdana" w:cs="Arial"/>
          <w:b/>
          <w:sz w:val="20"/>
          <w:szCs w:val="20"/>
          <w:lang w:val="es-MX" w:eastAsia="es-ES_tradnl"/>
        </w:rPr>
      </w:pPr>
    </w:p>
    <w:p w14:paraId="6C965C6C" w14:textId="77777777" w:rsidR="00BB454E" w:rsidRPr="00647611" w:rsidRDefault="00BB454E" w:rsidP="00BB454E">
      <w:pPr>
        <w:spacing w:after="0" w:line="240" w:lineRule="auto"/>
        <w:jc w:val="both"/>
        <w:rPr>
          <w:rFonts w:ascii="Verdana" w:hAnsi="Verdana" w:cs="Arial"/>
          <w:b/>
          <w:lang w:val="es-MX" w:eastAsia="es-ES_tradnl"/>
        </w:rPr>
      </w:pPr>
      <w:r w:rsidRPr="00647611">
        <w:rPr>
          <w:rFonts w:ascii="Verdana" w:hAnsi="Verdana" w:cs="Arial"/>
          <w:b/>
          <w:lang w:val="es-MX" w:eastAsia="es-ES_tradnl"/>
        </w:rPr>
        <w:t xml:space="preserve">LEY DE GARANTÍAS ELECTORALES – Prohibición del artículo 33 – Destinatarios </w:t>
      </w:r>
    </w:p>
    <w:p w14:paraId="5F64839C" w14:textId="77777777" w:rsidR="00BB454E" w:rsidRPr="00647611" w:rsidRDefault="00BB454E" w:rsidP="00BB454E">
      <w:pPr>
        <w:spacing w:after="0" w:line="240" w:lineRule="auto"/>
        <w:rPr>
          <w:rFonts w:ascii="Verdana" w:hAnsi="Verdana" w:cs="Arial"/>
          <w:sz w:val="20"/>
          <w:szCs w:val="20"/>
          <w:lang w:val="es-MX" w:eastAsia="es-ES_tradnl"/>
        </w:rPr>
      </w:pPr>
    </w:p>
    <w:p w14:paraId="2E19D290" w14:textId="77777777" w:rsidR="00BB454E" w:rsidRPr="00647611" w:rsidRDefault="00BB454E" w:rsidP="00BB454E">
      <w:pPr>
        <w:spacing w:after="0" w:line="240" w:lineRule="auto"/>
        <w:jc w:val="both"/>
        <w:rPr>
          <w:rFonts w:ascii="Verdana" w:hAnsi="Verdana" w:cs="Arial"/>
          <w:sz w:val="20"/>
          <w:szCs w:val="20"/>
          <w:lang w:val="es-MX" w:eastAsia="es-ES_tradnl"/>
        </w:rPr>
      </w:pPr>
      <w:r w:rsidRPr="00647611">
        <w:rPr>
          <w:rFonts w:ascii="Verdana" w:eastAsia="Calibri" w:hAnsi="Verdana" w:cs="Arial"/>
          <w:sz w:val="20"/>
          <w:szCs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647611">
        <w:rPr>
          <w:rFonts w:ascii="Verdana" w:eastAsia="Times New Roman" w:hAnsi="Verdana" w:cs="Arial"/>
          <w:bCs/>
          <w:sz w:val="20"/>
          <w:szCs w:val="20"/>
          <w:lang w:val="es-MX" w:eastAsia="x-none"/>
        </w:rPr>
        <w:t>establecimientos de crédito, las sociedades de servicios financieros y las entidades aseguradoras</w:t>
      </w:r>
      <w:r w:rsidRPr="00647611">
        <w:rPr>
          <w:rFonts w:ascii="Verdana" w:eastAsia="Calibri" w:hAnsi="Verdana" w:cs="Arial"/>
          <w:sz w:val="20"/>
          <w:szCs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647611">
        <w:rPr>
          <w:rFonts w:ascii="Verdana" w:eastAsia="Calibri" w:hAnsi="Verdana" w:cs="Arial"/>
          <w:sz w:val="20"/>
          <w:szCs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p>
    <w:p w14:paraId="2FAF9E74" w14:textId="77777777" w:rsidR="00BB454E" w:rsidRPr="00647611" w:rsidRDefault="00BB454E" w:rsidP="00BB454E">
      <w:pPr>
        <w:spacing w:after="0" w:line="240" w:lineRule="auto"/>
        <w:rPr>
          <w:rFonts w:ascii="Verdana" w:hAnsi="Verdana"/>
          <w:sz w:val="20"/>
          <w:szCs w:val="20"/>
        </w:rPr>
      </w:pPr>
    </w:p>
    <w:p w14:paraId="7F5E8E32" w14:textId="77777777" w:rsidR="00BB454E" w:rsidRPr="00647611" w:rsidRDefault="00BB454E" w:rsidP="00BB454E">
      <w:pPr>
        <w:spacing w:after="0" w:line="240" w:lineRule="auto"/>
        <w:jc w:val="both"/>
        <w:rPr>
          <w:rFonts w:ascii="Verdana" w:hAnsi="Verdana"/>
          <w:b/>
        </w:rPr>
      </w:pPr>
      <w:r w:rsidRPr="00647611">
        <w:rPr>
          <w:rFonts w:ascii="Verdana" w:hAnsi="Verdana" w:cs="Arial"/>
          <w:b/>
          <w:lang w:val="es-MX" w:eastAsia="es-ES_tradnl"/>
        </w:rPr>
        <w:t>LEY DE GARANTÍAS ELECTORALES – Condiciones de igualdad – Contratación directa</w:t>
      </w:r>
    </w:p>
    <w:p w14:paraId="69820DFF" w14:textId="77777777" w:rsidR="00BB454E" w:rsidRPr="00647611" w:rsidRDefault="00BB454E" w:rsidP="00BB454E">
      <w:pPr>
        <w:spacing w:after="0" w:line="240" w:lineRule="auto"/>
        <w:rPr>
          <w:rFonts w:ascii="Verdana" w:hAnsi="Verdana"/>
          <w:sz w:val="20"/>
          <w:szCs w:val="20"/>
        </w:rPr>
      </w:pPr>
    </w:p>
    <w:p w14:paraId="3D5FD6D0" w14:textId="77777777" w:rsidR="00BB454E" w:rsidRDefault="00BB454E" w:rsidP="00BB454E">
      <w:pPr>
        <w:spacing w:after="0" w:line="240" w:lineRule="auto"/>
        <w:jc w:val="both"/>
        <w:rPr>
          <w:rFonts w:ascii="Verdana" w:eastAsia="Times New Roman" w:hAnsi="Verdana" w:cs="Arial"/>
          <w:bCs/>
          <w:sz w:val="20"/>
          <w:szCs w:val="20"/>
          <w:lang w:val="es-MX" w:eastAsia="x-none"/>
        </w:rPr>
      </w:pPr>
      <w:r w:rsidRPr="00647611">
        <w:rPr>
          <w:rFonts w:ascii="Verdana" w:eastAsia="Times New Roman" w:hAnsi="Verdana" w:cs="Arial"/>
          <w:bCs/>
          <w:sz w:val="20"/>
          <w:szCs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20C0C7F9" w14:textId="77777777" w:rsidR="00BB454E" w:rsidRPr="00647611" w:rsidRDefault="00BB454E" w:rsidP="00BB454E">
      <w:pPr>
        <w:spacing w:after="0" w:line="240" w:lineRule="auto"/>
        <w:jc w:val="both"/>
        <w:rPr>
          <w:rFonts w:ascii="Verdana" w:eastAsia="Times New Roman" w:hAnsi="Verdana" w:cs="Arial"/>
          <w:bCs/>
          <w:sz w:val="20"/>
          <w:szCs w:val="20"/>
          <w:lang w:eastAsia="x-none"/>
        </w:rPr>
      </w:pPr>
    </w:p>
    <w:p w14:paraId="1EC47034" w14:textId="77777777" w:rsidR="00BB454E" w:rsidRDefault="00BB454E" w:rsidP="00BB454E">
      <w:pPr>
        <w:spacing w:after="0" w:line="240" w:lineRule="auto"/>
        <w:jc w:val="both"/>
        <w:rPr>
          <w:rFonts w:ascii="Verdana" w:eastAsia="Geomanist Light" w:hAnsi="Verdana" w:cs="Arial"/>
          <w:color w:val="000000" w:themeColor="text1"/>
          <w:lang w:val="es-MX"/>
        </w:rPr>
      </w:pPr>
    </w:p>
    <w:p w14:paraId="71113F13" w14:textId="77777777" w:rsidR="00BB454E" w:rsidRDefault="00BB454E" w:rsidP="00BB454E">
      <w:pPr>
        <w:spacing w:after="0" w:line="240" w:lineRule="auto"/>
        <w:jc w:val="both"/>
        <w:rPr>
          <w:rFonts w:ascii="Verdana" w:eastAsia="Geomanist Light" w:hAnsi="Verdana" w:cs="Arial"/>
          <w:color w:val="000000" w:themeColor="text1"/>
          <w:lang w:val="es-MX"/>
        </w:rPr>
      </w:pPr>
    </w:p>
    <w:p w14:paraId="3DADA0FB"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905985F" w14:textId="77777777" w:rsidR="00BB454E" w:rsidRDefault="00BB454E" w:rsidP="00BB454E">
      <w:pPr>
        <w:spacing w:after="0" w:line="240" w:lineRule="auto"/>
        <w:jc w:val="both"/>
        <w:rPr>
          <w:rFonts w:ascii="Verdana" w:eastAsia="Geomanist Light" w:hAnsi="Verdana" w:cs="Arial"/>
          <w:color w:val="000000" w:themeColor="text1"/>
          <w:lang w:val="es-MX"/>
        </w:rPr>
      </w:pPr>
    </w:p>
    <w:p w14:paraId="76B35085" w14:textId="77777777" w:rsidR="00BB454E" w:rsidRDefault="00BB454E" w:rsidP="00BB454E">
      <w:pPr>
        <w:spacing w:after="0" w:line="240" w:lineRule="auto"/>
        <w:jc w:val="both"/>
        <w:rPr>
          <w:rFonts w:ascii="Verdana" w:eastAsia="Geomanist Light" w:hAnsi="Verdana" w:cs="Arial"/>
          <w:color w:val="000000" w:themeColor="text1"/>
          <w:lang w:val="es-MX"/>
        </w:rPr>
      </w:pPr>
    </w:p>
    <w:p w14:paraId="5825009E" w14:textId="77777777" w:rsidR="00BB454E" w:rsidRDefault="00BB454E" w:rsidP="00BB454E">
      <w:pPr>
        <w:spacing w:after="0" w:line="240" w:lineRule="auto"/>
        <w:jc w:val="both"/>
        <w:rPr>
          <w:rFonts w:ascii="Verdana" w:eastAsia="Geomanist Light" w:hAnsi="Verdana" w:cs="Arial"/>
          <w:color w:val="000000" w:themeColor="text1"/>
          <w:lang w:val="es-MX"/>
        </w:rPr>
      </w:pPr>
    </w:p>
    <w:p w14:paraId="1E958272" w14:textId="77777777" w:rsidR="00BB454E" w:rsidRDefault="00BB454E" w:rsidP="00BB454E">
      <w:pPr>
        <w:spacing w:after="0" w:line="240" w:lineRule="auto"/>
        <w:jc w:val="both"/>
        <w:rPr>
          <w:rFonts w:ascii="Verdana" w:eastAsia="Geomanist Light" w:hAnsi="Verdana" w:cs="Arial"/>
          <w:color w:val="000000" w:themeColor="text1"/>
          <w:lang w:val="es-MX"/>
        </w:rPr>
      </w:pPr>
    </w:p>
    <w:p w14:paraId="68BA091B"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3FC4BC4"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0F37AD1" w14:textId="77777777" w:rsidR="00BB454E" w:rsidRDefault="00BB454E" w:rsidP="00BB454E">
      <w:pPr>
        <w:spacing w:after="0" w:line="240" w:lineRule="auto"/>
        <w:jc w:val="both"/>
        <w:rPr>
          <w:rFonts w:ascii="Verdana" w:eastAsia="Geomanist Light" w:hAnsi="Verdana" w:cs="Arial"/>
          <w:color w:val="000000" w:themeColor="text1"/>
          <w:lang w:val="es-MX"/>
        </w:rPr>
      </w:pPr>
    </w:p>
    <w:p w14:paraId="57BB6AE2"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C003A77" w14:textId="77777777" w:rsidR="00BB454E" w:rsidRDefault="00BB454E" w:rsidP="00BB454E">
      <w:pPr>
        <w:spacing w:after="0" w:line="240" w:lineRule="auto"/>
        <w:jc w:val="both"/>
        <w:rPr>
          <w:rFonts w:ascii="Verdana" w:eastAsia="Geomanist Light" w:hAnsi="Verdana" w:cs="Arial"/>
          <w:color w:val="000000" w:themeColor="text1"/>
          <w:lang w:val="es-MX"/>
        </w:rPr>
      </w:pPr>
    </w:p>
    <w:p w14:paraId="3FCFC351" w14:textId="77777777" w:rsidR="00BB454E" w:rsidRDefault="00BB454E" w:rsidP="00BB454E">
      <w:pPr>
        <w:spacing w:after="0" w:line="240" w:lineRule="auto"/>
        <w:jc w:val="both"/>
        <w:rPr>
          <w:rFonts w:ascii="Verdana" w:eastAsia="Geomanist Light" w:hAnsi="Verdana" w:cs="Arial"/>
          <w:color w:val="000000" w:themeColor="text1"/>
          <w:lang w:val="es-MX"/>
        </w:rPr>
      </w:pPr>
    </w:p>
    <w:p w14:paraId="2084DD55" w14:textId="77777777" w:rsidR="00BB454E" w:rsidRDefault="00BB454E" w:rsidP="00BB454E">
      <w:pPr>
        <w:spacing w:after="0" w:line="240" w:lineRule="auto"/>
        <w:jc w:val="both"/>
        <w:rPr>
          <w:rFonts w:ascii="Verdana" w:eastAsia="Geomanist Light" w:hAnsi="Verdana" w:cs="Arial"/>
          <w:color w:val="000000" w:themeColor="text1"/>
          <w:lang w:val="es-MX"/>
        </w:rPr>
      </w:pPr>
    </w:p>
    <w:p w14:paraId="242BD6BB"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0D97709" w14:textId="77777777" w:rsidR="00BB454E" w:rsidRDefault="00BB454E" w:rsidP="00BB454E">
      <w:pPr>
        <w:spacing w:after="0" w:line="240" w:lineRule="auto"/>
        <w:jc w:val="both"/>
        <w:rPr>
          <w:rFonts w:ascii="Verdana" w:eastAsia="Geomanist Light" w:hAnsi="Verdana" w:cs="Arial"/>
          <w:color w:val="000000" w:themeColor="text1"/>
          <w:lang w:val="es-MX"/>
        </w:rPr>
      </w:pPr>
    </w:p>
    <w:p w14:paraId="71B86976"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AB2C1DD"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6C407A3" w14:textId="77777777" w:rsidR="00BB454E" w:rsidRDefault="00BB454E" w:rsidP="00BB454E">
      <w:pPr>
        <w:spacing w:after="0" w:line="240" w:lineRule="auto"/>
        <w:jc w:val="both"/>
        <w:rPr>
          <w:rFonts w:ascii="Verdana" w:eastAsia="Geomanist Light" w:hAnsi="Verdana" w:cs="Arial"/>
          <w:color w:val="000000" w:themeColor="text1"/>
          <w:lang w:val="es-MX"/>
        </w:rPr>
      </w:pPr>
    </w:p>
    <w:p w14:paraId="6965D593" w14:textId="77777777" w:rsidR="00BB454E" w:rsidRDefault="00BB454E" w:rsidP="00BB454E">
      <w:pPr>
        <w:spacing w:after="0" w:line="240" w:lineRule="auto"/>
        <w:jc w:val="both"/>
        <w:rPr>
          <w:rFonts w:ascii="Verdana" w:eastAsia="Geomanist Light" w:hAnsi="Verdana" w:cs="Arial"/>
          <w:color w:val="000000" w:themeColor="text1"/>
          <w:lang w:val="es-MX"/>
        </w:rPr>
      </w:pPr>
    </w:p>
    <w:p w14:paraId="02BF4EAF" w14:textId="77777777" w:rsidR="00BB454E" w:rsidRDefault="00BB454E" w:rsidP="00BB454E">
      <w:pPr>
        <w:spacing w:after="0" w:line="240" w:lineRule="auto"/>
        <w:jc w:val="both"/>
        <w:rPr>
          <w:rFonts w:ascii="Verdana" w:eastAsia="Geomanist Light" w:hAnsi="Verdana" w:cs="Arial"/>
          <w:color w:val="000000" w:themeColor="text1"/>
          <w:lang w:val="es-MX"/>
        </w:rPr>
      </w:pPr>
    </w:p>
    <w:p w14:paraId="003A40BB" w14:textId="77777777" w:rsidR="00BB454E" w:rsidRDefault="00BB454E" w:rsidP="00BB454E">
      <w:pPr>
        <w:spacing w:after="0" w:line="240" w:lineRule="auto"/>
        <w:jc w:val="both"/>
        <w:rPr>
          <w:rFonts w:ascii="Verdana" w:eastAsia="Geomanist Light" w:hAnsi="Verdana" w:cs="Arial"/>
          <w:color w:val="000000" w:themeColor="text1"/>
          <w:lang w:val="es-MX"/>
        </w:rPr>
      </w:pPr>
    </w:p>
    <w:p w14:paraId="55D1FF68" w14:textId="77777777" w:rsidR="00BB454E" w:rsidRDefault="00BB454E" w:rsidP="00BB454E">
      <w:pPr>
        <w:spacing w:after="0" w:line="240" w:lineRule="auto"/>
        <w:jc w:val="both"/>
        <w:rPr>
          <w:rFonts w:ascii="Verdana" w:eastAsia="Geomanist Light" w:hAnsi="Verdana" w:cs="Arial"/>
          <w:color w:val="000000" w:themeColor="text1"/>
          <w:lang w:val="es-MX"/>
        </w:rPr>
      </w:pPr>
    </w:p>
    <w:p w14:paraId="74400F77" w14:textId="77777777" w:rsidR="00BB454E" w:rsidRDefault="00BB454E" w:rsidP="00BB454E">
      <w:pPr>
        <w:spacing w:after="0" w:line="240" w:lineRule="auto"/>
        <w:jc w:val="both"/>
        <w:rPr>
          <w:rFonts w:ascii="Verdana" w:eastAsia="Geomanist Light" w:hAnsi="Verdana" w:cs="Arial"/>
          <w:color w:val="000000" w:themeColor="text1"/>
          <w:lang w:val="es-MX"/>
        </w:rPr>
      </w:pPr>
    </w:p>
    <w:p w14:paraId="589E3E3E" w14:textId="77777777" w:rsidR="00BB454E" w:rsidRDefault="00BB454E" w:rsidP="00BB454E">
      <w:pPr>
        <w:spacing w:after="0" w:line="240" w:lineRule="auto"/>
        <w:jc w:val="both"/>
        <w:rPr>
          <w:rFonts w:ascii="Verdana" w:eastAsia="Geomanist Light" w:hAnsi="Verdana" w:cs="Arial"/>
          <w:color w:val="000000" w:themeColor="text1"/>
          <w:lang w:val="es-MX"/>
        </w:rPr>
      </w:pPr>
    </w:p>
    <w:p w14:paraId="49C6ADA9" w14:textId="77777777" w:rsidR="00BB454E" w:rsidRDefault="00BB454E" w:rsidP="00BB454E">
      <w:pPr>
        <w:spacing w:after="0" w:line="240" w:lineRule="auto"/>
        <w:jc w:val="both"/>
        <w:rPr>
          <w:rFonts w:ascii="Verdana" w:eastAsia="Geomanist Light" w:hAnsi="Verdana" w:cs="Arial"/>
          <w:color w:val="000000" w:themeColor="text1"/>
          <w:lang w:val="es-MX"/>
        </w:rPr>
      </w:pPr>
    </w:p>
    <w:p w14:paraId="6600FDC4" w14:textId="77777777" w:rsidR="00BB454E" w:rsidRDefault="00BB454E" w:rsidP="00BB454E">
      <w:pPr>
        <w:spacing w:after="0" w:line="240" w:lineRule="auto"/>
        <w:jc w:val="both"/>
        <w:rPr>
          <w:rFonts w:ascii="Verdana" w:eastAsia="Geomanist Light" w:hAnsi="Verdana" w:cs="Arial"/>
          <w:color w:val="000000" w:themeColor="text1"/>
          <w:lang w:val="es-MX"/>
        </w:rPr>
      </w:pPr>
    </w:p>
    <w:p w14:paraId="0056E675" w14:textId="77777777" w:rsidR="00BB454E" w:rsidRDefault="00BB454E" w:rsidP="00B8458C">
      <w:pPr>
        <w:spacing w:after="0" w:line="240" w:lineRule="auto"/>
        <w:jc w:val="both"/>
        <w:rPr>
          <w:rFonts w:ascii="Verdana" w:eastAsia="Geomanist Light" w:hAnsi="Verdana" w:cs="Arial"/>
          <w:color w:val="000000" w:themeColor="text1"/>
          <w:lang w:val="es-MX"/>
        </w:rPr>
      </w:pPr>
    </w:p>
    <w:p w14:paraId="50A48B97" w14:textId="72F6C7AB" w:rsidR="00B8458C" w:rsidRPr="009C7241" w:rsidRDefault="00B8458C" w:rsidP="00B8458C">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A943A1" w:rsidRPr="00FC6B32">
        <w:rPr>
          <w:rFonts w:ascii="Verdana" w:eastAsia="Geomanist Light" w:hAnsi="Verdana" w:cs="Arial"/>
          <w:lang w:val="es-MX"/>
        </w:rPr>
        <w:t>16 de Febrero de 2026</w:t>
      </w:r>
    </w:p>
    <w:p w14:paraId="538C0A1A" w14:textId="77777777" w:rsidR="00B8458C" w:rsidRDefault="00B8458C" w:rsidP="00B8458C">
      <w:pPr>
        <w:spacing w:after="0" w:line="240" w:lineRule="auto"/>
        <w:jc w:val="both"/>
        <w:rPr>
          <w:rFonts w:ascii="Verdana" w:eastAsia="Calibri" w:hAnsi="Verdana" w:cs="Arial"/>
          <w:color w:val="000000"/>
          <w:lang w:val="es-ES"/>
        </w:rPr>
      </w:pPr>
    </w:p>
    <w:p w14:paraId="1AE4EA5D" w14:textId="69BF643A" w:rsidR="00D00B5B" w:rsidRDefault="00D00B5B" w:rsidP="00D00B5B">
      <w:pPr>
        <w:spacing w:after="0" w:line="240" w:lineRule="auto"/>
        <w:jc w:val="right"/>
        <w:rPr>
          <w:rFonts w:ascii="Verdana" w:eastAsia="Calibri" w:hAnsi="Verdana" w:cs="Arial"/>
          <w:color w:val="000000"/>
          <w:lang w:val="es-ES"/>
        </w:rPr>
      </w:pPr>
    </w:p>
    <w:p w14:paraId="3E6C7704" w14:textId="6E750259" w:rsidR="00B8458C" w:rsidRPr="00593A5F" w:rsidRDefault="00D229FD" w:rsidP="00B8458C">
      <w:pPr>
        <w:spacing w:after="0" w:line="240" w:lineRule="auto"/>
        <w:jc w:val="both"/>
        <w:rPr>
          <w:rFonts w:ascii="Verdana" w:eastAsia="Calibri" w:hAnsi="Verdana" w:cs="Arial"/>
          <w:color w:val="000000"/>
          <w:lang w:val="es-ES"/>
        </w:rPr>
      </w:pPr>
      <w:r w:rsidRPr="00D00B5B">
        <w:rPr>
          <w:rFonts w:ascii="Verdana" w:eastAsia="Calibri" w:hAnsi="Verdana" w:cs="Arial"/>
          <w:noProof/>
          <w:color w:val="000000"/>
          <w:lang w:val="es-ES"/>
        </w:rPr>
        <w:drawing>
          <wp:anchor distT="0" distB="0" distL="114300" distR="114300" simplePos="0" relativeHeight="251658240" behindDoc="0" locked="0" layoutInCell="1" allowOverlap="1" wp14:anchorId="0C97BB5F" wp14:editId="3E4381D5">
            <wp:simplePos x="0" y="0"/>
            <wp:positionH relativeFrom="margin">
              <wp:align>right</wp:align>
            </wp:positionH>
            <wp:positionV relativeFrom="paragraph">
              <wp:posOffset>8890</wp:posOffset>
            </wp:positionV>
            <wp:extent cx="2759710" cy="715010"/>
            <wp:effectExtent l="0" t="0" r="2540" b="8890"/>
            <wp:wrapSquare wrapText="bothSides"/>
            <wp:docPr id="10947509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750937" name=""/>
                    <pic:cNvPicPr/>
                  </pic:nvPicPr>
                  <pic:blipFill>
                    <a:blip r:embed="rId10">
                      <a:extLst>
                        <a:ext uri="{28A0092B-C50C-407E-A947-70E740481C1C}">
                          <a14:useLocalDpi xmlns:a14="http://schemas.microsoft.com/office/drawing/2010/main" val="0"/>
                        </a:ext>
                      </a:extLst>
                    </a:blip>
                    <a:stretch>
                      <a:fillRect/>
                    </a:stretch>
                  </pic:blipFill>
                  <pic:spPr>
                    <a:xfrm>
                      <a:off x="0" y="0"/>
                      <a:ext cx="2759710" cy="715010"/>
                    </a:xfrm>
                    <a:prstGeom prst="rect">
                      <a:avLst/>
                    </a:prstGeom>
                  </pic:spPr>
                </pic:pic>
              </a:graphicData>
            </a:graphic>
            <wp14:sizeRelH relativeFrom="margin">
              <wp14:pctWidth>0</wp14:pctWidth>
            </wp14:sizeRelH>
            <wp14:sizeRelV relativeFrom="margin">
              <wp14:pctHeight>0</wp14:pctHeight>
            </wp14:sizeRelV>
          </wp:anchor>
        </w:drawing>
      </w:r>
    </w:p>
    <w:p w14:paraId="621E99AF" w14:textId="77777777" w:rsidR="00B8458C" w:rsidRPr="00B96799" w:rsidRDefault="00B8458C" w:rsidP="00B8458C">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4AFAC87B" w14:textId="77777777" w:rsidR="00B8458C" w:rsidRPr="0085423D" w:rsidRDefault="00B8458C" w:rsidP="00B8458C">
      <w:pPr>
        <w:spacing w:after="0" w:line="240" w:lineRule="auto"/>
        <w:rPr>
          <w:rFonts w:ascii="Verdana" w:eastAsia="Calibri" w:hAnsi="Verdana" w:cs="Arial"/>
          <w:b/>
          <w:lang w:val="es-ES_tradnl" w:eastAsia="es-ES_tradnl"/>
        </w:rPr>
      </w:pPr>
      <w:bookmarkStart w:id="1" w:name="OLE_LINK1"/>
      <w:r w:rsidRPr="003200BA">
        <w:rPr>
          <w:rFonts w:ascii="Verdana" w:eastAsia="Calibri" w:hAnsi="Verdana" w:cs="Arial"/>
          <w:b/>
          <w:lang w:val="es-ES_tradnl" w:eastAsia="es-ES_tradnl"/>
        </w:rPr>
        <w:t>Lucero Castañeda Hernández</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11EA04D5" w14:textId="77777777" w:rsidR="00B8458C" w:rsidRDefault="00B8458C" w:rsidP="00B8458C">
      <w:pPr>
        <w:spacing w:after="0" w:line="240" w:lineRule="auto"/>
        <w:rPr>
          <w:rFonts w:ascii="Verdana" w:hAnsi="Verdana"/>
        </w:rPr>
      </w:pPr>
      <w:r>
        <w:rPr>
          <w:rFonts w:ascii="Verdana" w:hAnsi="Verdana"/>
        </w:rPr>
        <w:fldChar w:fldCharType="begin"/>
      </w:r>
      <w:r>
        <w:rPr>
          <w:rFonts w:ascii="Verdana" w:hAnsi="Verdana"/>
        </w:rPr>
        <w:instrText>HYPERLINK "mailto:</w:instrText>
      </w:r>
      <w:r w:rsidRPr="003200BA">
        <w:rPr>
          <w:rFonts w:ascii="Verdana" w:hAnsi="Verdana"/>
        </w:rPr>
        <w:instrText>vpcontratacion.titulacion@anm.gov.co</w:instrText>
      </w:r>
      <w:r>
        <w:rPr>
          <w:rFonts w:ascii="Verdana" w:hAnsi="Verdana"/>
        </w:rPr>
        <w:instrText>"</w:instrText>
      </w:r>
      <w:r>
        <w:rPr>
          <w:rFonts w:ascii="Verdana" w:hAnsi="Verdana"/>
        </w:rPr>
      </w:r>
      <w:r>
        <w:rPr>
          <w:rFonts w:ascii="Verdana" w:hAnsi="Verdana"/>
        </w:rPr>
        <w:fldChar w:fldCharType="separate"/>
      </w:r>
      <w:r w:rsidRPr="00A571C5">
        <w:rPr>
          <w:rStyle w:val="Hipervnculo"/>
          <w:rFonts w:ascii="Verdana" w:hAnsi="Verdana"/>
        </w:rPr>
        <w:t>vpcontratacion.titulacion@anm.gov.co</w:t>
      </w:r>
      <w:r>
        <w:rPr>
          <w:rFonts w:ascii="Verdana" w:hAnsi="Verdana"/>
        </w:rPr>
        <w:fldChar w:fldCharType="end"/>
      </w:r>
      <w:r>
        <w:rPr>
          <w:rFonts w:ascii="Verdana" w:hAnsi="Verdana"/>
        </w:rPr>
        <w:t xml:space="preserve"> </w:t>
      </w:r>
    </w:p>
    <w:p w14:paraId="59C8134E" w14:textId="77777777" w:rsidR="00B8458C" w:rsidRDefault="00B8458C" w:rsidP="00B8458C">
      <w:pPr>
        <w:spacing w:after="0" w:line="240" w:lineRule="auto"/>
        <w:rPr>
          <w:rFonts w:ascii="Verdana" w:eastAsia="Calibri" w:hAnsi="Verdana" w:cs="Arial"/>
          <w:lang w:val="es-ES" w:eastAsia="es-ES"/>
        </w:rPr>
      </w:pPr>
      <w:r w:rsidRPr="004A3093">
        <w:rPr>
          <w:rFonts w:ascii="Verdana" w:eastAsia="Calibri" w:hAnsi="Verdana" w:cs="Arial"/>
          <w:lang w:val="es-ES" w:eastAsia="es-ES"/>
        </w:rPr>
        <w:t>Bogotá D.C.</w:t>
      </w:r>
      <w:r>
        <w:rPr>
          <w:rFonts w:ascii="Verdana" w:eastAsia="Calibri" w:hAnsi="Verdana" w:cs="Arial"/>
          <w:lang w:val="es-ES" w:eastAsia="es-ES"/>
        </w:rPr>
        <w:t xml:space="preserve"> </w:t>
      </w:r>
    </w:p>
    <w:p w14:paraId="6B996C74" w14:textId="77777777" w:rsidR="00B8458C" w:rsidRPr="00593A5F" w:rsidRDefault="00B8458C" w:rsidP="00B8458C">
      <w:pPr>
        <w:spacing w:after="0" w:line="240" w:lineRule="auto"/>
        <w:rPr>
          <w:rFonts w:ascii="Verdana" w:eastAsia="Calibri" w:hAnsi="Verdana" w:cs="Arial"/>
          <w:b/>
          <w:bCs/>
          <w:color w:val="000000"/>
          <w:lang w:val="es-ES_tradnl" w:eastAsia="es-ES_tradnl"/>
        </w:rPr>
      </w:pPr>
    </w:p>
    <w:p w14:paraId="77E2852A" w14:textId="77777777" w:rsidR="00B8458C" w:rsidRPr="00593A5F" w:rsidRDefault="00B8458C" w:rsidP="00B8458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8458C" w:rsidRPr="00593A5F" w14:paraId="75F718F3" w14:textId="77777777" w:rsidTr="009D1252">
        <w:trPr>
          <w:trHeight w:val="884"/>
        </w:trPr>
        <w:tc>
          <w:tcPr>
            <w:tcW w:w="2689" w:type="dxa"/>
          </w:tcPr>
          <w:p w14:paraId="481B932B" w14:textId="77777777" w:rsidR="00B8458C" w:rsidRPr="00C00976" w:rsidRDefault="00B8458C" w:rsidP="009D1252">
            <w:pPr>
              <w:jc w:val="both"/>
              <w:rPr>
                <w:rFonts w:ascii="Verdana" w:eastAsia="Calibri" w:hAnsi="Verdana" w:cs="Arial"/>
                <w:b/>
                <w:bCs/>
                <w:color w:val="7030A0"/>
                <w:lang w:val="es-ES_tradnl" w:eastAsia="es-ES_tradnl"/>
              </w:rPr>
            </w:pPr>
          </w:p>
        </w:tc>
        <w:tc>
          <w:tcPr>
            <w:tcW w:w="6100" w:type="dxa"/>
          </w:tcPr>
          <w:p w14:paraId="64E9BCA6" w14:textId="22A52E41" w:rsidR="00B8458C" w:rsidRPr="00C00976" w:rsidRDefault="00B8458C" w:rsidP="009D1252">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C85966">
              <w:rPr>
                <w:rFonts w:ascii="Verdana" w:eastAsia="Calibri" w:hAnsi="Verdana" w:cs="Arial"/>
                <w:b/>
                <w:bCs/>
                <w:lang w:val="es-ES" w:eastAsia="es-ES"/>
              </w:rPr>
              <w:t>192</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B8458C" w:rsidRPr="00593A5F" w14:paraId="0F92C96B" w14:textId="77777777" w:rsidTr="009D1252">
        <w:trPr>
          <w:trHeight w:val="884"/>
        </w:trPr>
        <w:tc>
          <w:tcPr>
            <w:tcW w:w="2689" w:type="dxa"/>
          </w:tcPr>
          <w:p w14:paraId="23850AA8" w14:textId="77777777" w:rsidR="00B8458C" w:rsidRPr="00593A5F" w:rsidRDefault="00B8458C" w:rsidP="009D125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1F6838E" w14:textId="77777777" w:rsidR="00B8458C" w:rsidRPr="00A11406" w:rsidRDefault="00B8458C" w:rsidP="009D1252">
            <w:pPr>
              <w:spacing w:line="276" w:lineRule="auto"/>
              <w:jc w:val="both"/>
              <w:rPr>
                <w:rFonts w:ascii="Verdana" w:eastAsia="Calibri" w:hAnsi="Verdana" w:cs="Arial"/>
                <w:lang w:val="es-ES" w:eastAsia="es-ES"/>
              </w:rPr>
            </w:pPr>
            <w:r w:rsidRPr="00177E85">
              <w:rPr>
                <w:rFonts w:ascii="Verdana" w:eastAsia="Calibri" w:hAnsi="Verdana" w:cs="Arial"/>
                <w:lang w:val="es-ES" w:eastAsia="es-ES"/>
              </w:rPr>
              <w:t>LEY DE GARANTÍAS ELECTORALES ‒ Finalidad / LEY DE GARANTÍAS ELECTORALES ‒ Tipos de restricciones ‒ Ámbito temporal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w:t>
            </w:r>
            <w:r>
              <w:rPr>
                <w:rFonts w:ascii="Verdana" w:eastAsia="Calibri" w:hAnsi="Verdana" w:cs="Arial"/>
                <w:lang w:val="es-ES" w:eastAsia="es-ES"/>
              </w:rPr>
              <w:t xml:space="preserve"> </w:t>
            </w:r>
          </w:p>
          <w:p w14:paraId="2921C517" w14:textId="77777777" w:rsidR="00B8458C" w:rsidRPr="00593A5F" w:rsidRDefault="00B8458C" w:rsidP="009D1252">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8458C" w:rsidRPr="008E6AD9" w14:paraId="225DE80C" w14:textId="77777777" w:rsidTr="009D1252">
        <w:tc>
          <w:tcPr>
            <w:tcW w:w="2689" w:type="dxa"/>
          </w:tcPr>
          <w:p w14:paraId="0D45BAFB" w14:textId="77777777" w:rsidR="00B8458C" w:rsidRPr="008E6AD9" w:rsidRDefault="00B8458C" w:rsidP="009D1252">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722EFFF" w14:textId="77777777" w:rsidR="00B8458C" w:rsidRPr="00B92340" w:rsidRDefault="00B8458C" w:rsidP="009D1252">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3200BA">
              <w:rPr>
                <w:rFonts w:ascii="Verdana" w:eastAsia="Calibri" w:hAnsi="Verdana" w:cs="Arial"/>
                <w:lang w:val="es-ES_tradnl" w:eastAsia="es-ES_tradnl"/>
              </w:rPr>
              <w:t>1_2026_02_10_001700</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79BE91B" w14:textId="77777777" w:rsidR="00B8458C" w:rsidRPr="00593A5F" w:rsidRDefault="00B8458C" w:rsidP="00B8458C">
      <w:pPr>
        <w:spacing w:after="0" w:line="240" w:lineRule="auto"/>
        <w:jc w:val="both"/>
        <w:rPr>
          <w:rFonts w:ascii="Verdana" w:eastAsia="Calibri" w:hAnsi="Verdana" w:cs="Arial"/>
          <w:color w:val="000000"/>
          <w:lang w:val="es-ES_tradnl" w:eastAsia="es-ES_tradnl"/>
        </w:rPr>
      </w:pPr>
    </w:p>
    <w:p w14:paraId="034A74FF" w14:textId="77777777" w:rsidR="00B8458C" w:rsidRPr="00593A5F" w:rsidRDefault="00B8458C" w:rsidP="00B8458C">
      <w:pPr>
        <w:spacing w:after="0" w:line="240" w:lineRule="auto"/>
        <w:jc w:val="both"/>
        <w:rPr>
          <w:rFonts w:ascii="Verdana" w:eastAsia="Calibri" w:hAnsi="Verdana" w:cs="Arial"/>
          <w:color w:val="000000"/>
          <w:lang w:val="es-ES_tradnl" w:eastAsia="es-ES_tradnl"/>
        </w:rPr>
      </w:pPr>
    </w:p>
    <w:p w14:paraId="5A77195A" w14:textId="77777777" w:rsidR="00B8458C" w:rsidRPr="008E6AD9" w:rsidRDefault="00B8458C" w:rsidP="00B8458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A4233A">
        <w:rPr>
          <w:rFonts w:ascii="Verdana" w:eastAsia="Calibri" w:hAnsi="Verdana" w:cs="Arial"/>
          <w:lang w:val="es-ES" w:eastAsia="es-ES"/>
        </w:rPr>
        <w:t>Castañeda Hernández</w:t>
      </w:r>
      <w:r w:rsidRPr="008E6AD9">
        <w:rPr>
          <w:rFonts w:ascii="Verdana" w:eastAsia="Calibri" w:hAnsi="Verdana" w:cs="Arial"/>
          <w:lang w:val="es-ES" w:eastAsia="es-ES"/>
        </w:rPr>
        <w:t xml:space="preserve">: </w:t>
      </w:r>
    </w:p>
    <w:p w14:paraId="26146CD0" w14:textId="77777777" w:rsidR="00B8458C" w:rsidRDefault="00B8458C" w:rsidP="00B8458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89F2D3E" w14:textId="77777777" w:rsidR="00B8458C" w:rsidRPr="00593A5F" w:rsidRDefault="00B8458C" w:rsidP="00B8458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10 de febrero de 2026, en la cual </w:t>
      </w:r>
      <w:r w:rsidRPr="00A4233A">
        <w:rPr>
          <w:rFonts w:ascii="Verdana" w:eastAsia="Calibri" w:hAnsi="Verdana" w:cs="Arial"/>
          <w:lang w:val="es-ES" w:eastAsia="es-ES"/>
        </w:rPr>
        <w:t>realiza las siguientes preguntas</w:t>
      </w:r>
      <w:r>
        <w:rPr>
          <w:rFonts w:ascii="Verdana" w:eastAsia="Calibri" w:hAnsi="Verdana" w:cs="Arial"/>
          <w:lang w:val="es-ES" w:eastAsia="es-ES"/>
        </w:rPr>
        <w:t>:</w:t>
      </w:r>
      <w:r w:rsidRPr="008E6AD9">
        <w:rPr>
          <w:rFonts w:ascii="Verdana" w:eastAsia="Calibri" w:hAnsi="Verdana" w:cs="Arial"/>
          <w:lang w:val="es-ES" w:eastAsia="es-ES"/>
        </w:rPr>
        <w:t xml:space="preserve"> </w:t>
      </w:r>
    </w:p>
    <w:p w14:paraId="0D97A0E2" w14:textId="77777777" w:rsidR="00B8458C" w:rsidRPr="00272A7B" w:rsidRDefault="00B8458C" w:rsidP="00B8458C">
      <w:pPr>
        <w:pStyle w:val="Prrafodelista"/>
        <w:tabs>
          <w:tab w:val="left" w:pos="142"/>
          <w:tab w:val="left" w:pos="284"/>
        </w:tabs>
        <w:spacing w:after="0" w:line="276" w:lineRule="auto"/>
        <w:ind w:left="0"/>
        <w:jc w:val="both"/>
        <w:rPr>
          <w:rFonts w:ascii="Verdana" w:eastAsia="Century Gothic" w:hAnsi="Verdana" w:cs="Century Gothic"/>
          <w:b/>
          <w:bCs/>
        </w:rPr>
      </w:pPr>
    </w:p>
    <w:p w14:paraId="0D03AD3C" w14:textId="77777777" w:rsidR="00B8458C" w:rsidRPr="00A4233A" w:rsidRDefault="00B8458C" w:rsidP="00B8458C">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A4233A">
        <w:rPr>
          <w:rFonts w:ascii="Verdana" w:eastAsia="Century Gothic" w:hAnsi="Verdana" w:cs="Century Gothic"/>
          <w:sz w:val="20"/>
          <w:szCs w:val="20"/>
          <w:lang w:val="es-ES"/>
        </w:rPr>
        <w:t xml:space="preserve">1. ¿El criterio material de la prohibición de contratación directa expuesto por la jurisprudencia, cobija al Contrato de Concesión Minera por el hecho </w:t>
      </w:r>
      <w:r w:rsidRPr="00A4233A">
        <w:rPr>
          <w:rFonts w:ascii="Verdana" w:eastAsia="Century Gothic" w:hAnsi="Verdana" w:cs="Century Gothic"/>
          <w:sz w:val="20"/>
          <w:szCs w:val="20"/>
          <w:lang w:val="es-ES"/>
        </w:rPr>
        <w:lastRenderedPageBreak/>
        <w:t>de carecer de una convocatoria pública competitiva (pluralidad de oferentes), o debe prevalecer su naturaleza especial y reglada (donde no hay discrecionalidad de elección) para eximirlo de la aplicación del artículo 33 de la Ley 996 de 2005?</w:t>
      </w:r>
    </w:p>
    <w:p w14:paraId="611993F0" w14:textId="77777777" w:rsidR="00B8458C" w:rsidRPr="00A4233A" w:rsidRDefault="00B8458C" w:rsidP="00B8458C">
      <w:pPr>
        <w:spacing w:after="120" w:line="240" w:lineRule="auto"/>
        <w:ind w:left="709" w:right="709"/>
        <w:jc w:val="both"/>
        <w:rPr>
          <w:rFonts w:ascii="Verdana" w:eastAsia="Century Gothic" w:hAnsi="Verdana" w:cs="Century Gothic"/>
          <w:sz w:val="20"/>
          <w:szCs w:val="20"/>
          <w:lang w:val="es-ES"/>
        </w:rPr>
      </w:pPr>
      <w:r w:rsidRPr="00A4233A">
        <w:rPr>
          <w:rFonts w:ascii="Verdana" w:eastAsia="Century Gothic" w:hAnsi="Verdana" w:cs="Century Gothic"/>
          <w:sz w:val="20"/>
          <w:szCs w:val="20"/>
          <w:lang w:val="es-ES"/>
        </w:rPr>
        <w:t>2. Teniendo en cuenta que la finalidad de la Ley de Garantías es evitar el favorecimiento político y la ruptura del equilibrio electoral, ¿opera la prohibición frente a un contrato donde la administración carece de discrecionalidad para elegir al contratista (ya que este viene determinado por la radicación temporal de la propuesta)?</w:t>
      </w:r>
    </w:p>
    <w:p w14:paraId="2D4D406C" w14:textId="77777777" w:rsidR="00B8458C" w:rsidRPr="00A4233A" w:rsidRDefault="00B8458C" w:rsidP="00B8458C">
      <w:pPr>
        <w:spacing w:after="120" w:line="240" w:lineRule="auto"/>
        <w:ind w:left="709" w:right="709"/>
        <w:jc w:val="both"/>
        <w:rPr>
          <w:rFonts w:ascii="Verdana" w:eastAsia="Century Gothic" w:hAnsi="Verdana" w:cs="Century Gothic"/>
          <w:sz w:val="20"/>
          <w:szCs w:val="20"/>
          <w:lang w:val="es-ES"/>
        </w:rPr>
      </w:pPr>
      <w:r w:rsidRPr="00A4233A">
        <w:rPr>
          <w:rFonts w:ascii="Verdana" w:eastAsia="Century Gothic" w:hAnsi="Verdana" w:cs="Century Gothic"/>
          <w:sz w:val="20"/>
          <w:szCs w:val="20"/>
          <w:lang w:val="es-ES"/>
        </w:rPr>
        <w:t>3. En caso de que la respuesta anterior sea afirmativa (que sí aplica la prohibición), ¿se encuentran exceptuados aquellos contratos cuyas propuestas fueron radicadas y cuyo trámite de evaluación técnica, económica y jurídica inició antes del comienzo de la restricción electoral, quedando pendiente únicamente la firma del contrato?</w:t>
      </w:r>
    </w:p>
    <w:p w14:paraId="07AD27BC" w14:textId="77777777" w:rsidR="00B8458C" w:rsidRPr="004B35AC" w:rsidRDefault="00B8458C" w:rsidP="00B8458C">
      <w:pPr>
        <w:spacing w:after="0" w:line="240" w:lineRule="auto"/>
        <w:ind w:left="709" w:right="709"/>
        <w:jc w:val="both"/>
        <w:rPr>
          <w:rFonts w:ascii="Verdana" w:eastAsia="Century Gothic" w:hAnsi="Verdana" w:cs="Century Gothic"/>
          <w:sz w:val="20"/>
          <w:szCs w:val="20"/>
          <w:lang w:val="es-ES"/>
        </w:rPr>
      </w:pPr>
      <w:r w:rsidRPr="00A4233A">
        <w:rPr>
          <w:rFonts w:ascii="Verdana" w:eastAsia="Century Gothic" w:hAnsi="Verdana" w:cs="Century Gothic"/>
          <w:sz w:val="20"/>
          <w:szCs w:val="20"/>
          <w:lang w:val="es-ES"/>
        </w:rPr>
        <w:t>4. ¿Se considera que la suscripción de un contrato que genera ingresos para el Estado y no implica ejecución de presupuesto vulnera el bien jurídico tutelado por la Ley de Garantías?</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18DA0920" w14:textId="77777777" w:rsidR="00B8458C" w:rsidRPr="008E6AD9" w:rsidRDefault="00B8458C" w:rsidP="00B8458C">
      <w:pPr>
        <w:pStyle w:val="Prrafodelista"/>
        <w:tabs>
          <w:tab w:val="left" w:pos="142"/>
          <w:tab w:val="left" w:pos="284"/>
        </w:tabs>
        <w:spacing w:after="0" w:line="276" w:lineRule="auto"/>
        <w:ind w:left="0"/>
        <w:jc w:val="both"/>
        <w:rPr>
          <w:rFonts w:ascii="Verdana" w:eastAsia="Century Gothic" w:hAnsi="Verdana" w:cs="Century Gothic"/>
          <w:b/>
          <w:bCs/>
        </w:rPr>
      </w:pPr>
    </w:p>
    <w:p w14:paraId="7F9CE271" w14:textId="77777777" w:rsidR="00B8458C" w:rsidRPr="00A652FF" w:rsidRDefault="00B8458C" w:rsidP="00B8458C">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0A816BE" w14:textId="77777777" w:rsidR="00B8458C" w:rsidRPr="00423BE7" w:rsidRDefault="00B8458C" w:rsidP="00B8458C">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B7D3D16" w14:textId="77777777" w:rsidR="00B8458C" w:rsidRPr="00593A5F" w:rsidRDefault="00B8458C" w:rsidP="00B8458C">
      <w:pPr>
        <w:spacing w:after="0" w:line="276" w:lineRule="auto"/>
        <w:ind w:firstLine="709"/>
        <w:jc w:val="both"/>
        <w:rPr>
          <w:rFonts w:ascii="Verdana" w:eastAsia="Calibri" w:hAnsi="Verdana" w:cs="Arial"/>
          <w:color w:val="000000"/>
          <w:lang w:val="es-ES" w:eastAsia="es-ES"/>
        </w:rPr>
      </w:pPr>
    </w:p>
    <w:p w14:paraId="5E9D2219" w14:textId="77777777" w:rsidR="00B8458C" w:rsidRPr="00593A5F" w:rsidRDefault="00B8458C" w:rsidP="00B8458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D320042" w14:textId="77777777" w:rsidR="00B8458C" w:rsidRPr="00593A5F" w:rsidRDefault="00B8458C" w:rsidP="00B8458C">
      <w:pPr>
        <w:tabs>
          <w:tab w:val="left" w:pos="426"/>
        </w:tabs>
        <w:spacing w:after="0" w:line="276" w:lineRule="auto"/>
        <w:jc w:val="both"/>
        <w:rPr>
          <w:rFonts w:ascii="Verdana" w:eastAsia="Century Gothic" w:hAnsi="Verdana" w:cs="Century Gothic"/>
          <w:lang w:val="es-ES"/>
        </w:rPr>
      </w:pPr>
    </w:p>
    <w:p w14:paraId="1240C264" w14:textId="71ACE00F" w:rsidR="00B8458C" w:rsidRPr="00593A5F" w:rsidRDefault="00B8458C" w:rsidP="00B8458C">
      <w:pPr>
        <w:spacing w:after="0" w:line="276" w:lineRule="auto"/>
        <w:jc w:val="both"/>
        <w:rPr>
          <w:rFonts w:ascii="Verdana" w:eastAsia="Century Gothic" w:hAnsi="Verdana" w:cs="Century Gothic"/>
        </w:rPr>
      </w:pPr>
      <w:r w:rsidRPr="00EF1386">
        <w:rPr>
          <w:rFonts w:ascii="Verdana" w:eastAsia="Century Gothic" w:hAnsi="Verdana" w:cs="Century Gothic"/>
        </w:rPr>
        <w:lastRenderedPageBreak/>
        <w:t>De acuerdo con el contenido de su solicitud, esta Agencia resolverá el siguiente problema jurídico:</w:t>
      </w:r>
      <w:r>
        <w:rPr>
          <w:rFonts w:ascii="Verdana" w:eastAsia="Century Gothic" w:hAnsi="Verdana" w:cs="Century Gothic"/>
        </w:rPr>
        <w:t xml:space="preserve"> ¿cuál </w:t>
      </w:r>
      <w:r w:rsidRPr="576E913B">
        <w:rPr>
          <w:rFonts w:ascii="Verdana" w:eastAsia="Century Gothic" w:hAnsi="Verdana" w:cs="Century Gothic"/>
        </w:rPr>
        <w:t>e</w:t>
      </w:r>
      <w:r w:rsidR="5D146ED2" w:rsidRPr="576E913B">
        <w:rPr>
          <w:rFonts w:ascii="Verdana" w:eastAsia="Century Gothic" w:hAnsi="Verdana" w:cs="Century Gothic"/>
        </w:rPr>
        <w:t>s</w:t>
      </w:r>
      <w:r>
        <w:rPr>
          <w:rFonts w:ascii="Verdana" w:eastAsia="Century Gothic" w:hAnsi="Verdana" w:cs="Century Gothic"/>
        </w:rPr>
        <w:t xml:space="preserve"> el ámbito de aplicación y las excepciones de la prohibición del artículo 33 de la Ley de Garantías</w:t>
      </w:r>
      <w:r>
        <w:rPr>
          <w:rFonts w:ascii="Verdana" w:eastAsia="Times New Roman" w:hAnsi="Verdana" w:cs="Arial"/>
          <w:lang w:eastAsia="es-MX"/>
        </w:rPr>
        <w:t>?</w:t>
      </w:r>
    </w:p>
    <w:p w14:paraId="596E24B5" w14:textId="77777777" w:rsidR="00B8458C" w:rsidRPr="004B140F" w:rsidRDefault="00B8458C" w:rsidP="00B8458C">
      <w:pPr>
        <w:spacing w:after="0" w:line="276" w:lineRule="auto"/>
        <w:jc w:val="both"/>
        <w:rPr>
          <w:rFonts w:ascii="Verdana" w:eastAsia="Calibri" w:hAnsi="Verdana" w:cs="Arial"/>
          <w:color w:val="7030A0"/>
        </w:rPr>
      </w:pPr>
    </w:p>
    <w:p w14:paraId="71831E4D" w14:textId="77777777" w:rsidR="00B8458C" w:rsidRPr="00593A5F" w:rsidRDefault="00B8458C" w:rsidP="00B8458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E2E550D" w14:textId="77777777" w:rsidR="00B8458C" w:rsidRPr="00593A5F" w:rsidRDefault="00B8458C" w:rsidP="00B8458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8458C" w:rsidRPr="00593A5F" w14:paraId="123D02D6" w14:textId="77777777" w:rsidTr="009D1252">
        <w:trPr>
          <w:jc w:val="center"/>
        </w:trPr>
        <w:tc>
          <w:tcPr>
            <w:tcW w:w="8828" w:type="dxa"/>
          </w:tcPr>
          <w:p w14:paraId="6281AEE9" w14:textId="77777777" w:rsidR="00B8458C" w:rsidRDefault="00B8458C" w:rsidP="009D1252">
            <w:pPr>
              <w:spacing w:after="120" w:line="276" w:lineRule="auto"/>
              <w:jc w:val="both"/>
              <w:rPr>
                <w:rFonts w:ascii="Verdana" w:eastAsia="Times New Roman" w:hAnsi="Verdana" w:cs="Arial"/>
                <w:bCs/>
                <w:lang w:val="es-MX" w:eastAsia="x-none"/>
              </w:rPr>
            </w:pPr>
            <w:bookmarkStart w:id="2" w:name="_Hlk171694685"/>
            <w:r w:rsidRPr="00C53E3E">
              <w:rPr>
                <w:rFonts w:ascii="Verdana" w:eastAsia="Calibri" w:hAnsi="Verdana" w:cs="Arial"/>
                <w:lang w:val="es-MX"/>
              </w:rPr>
              <w:t>Conforme a la interpretación general de las normas del sistema de compras públicas, la restricción prevista en el artículo 33 de la Ley 996 de 2005 cobija a cualquier entidad pública independiente del régimen jurídico, que pueda mediante la contratación directa romper el equilibrio entre los candidatos en desarrollo de las elecciones presidenciales.</w:t>
            </w:r>
            <w:r>
              <w:rPr>
                <w:rFonts w:ascii="Verdana" w:eastAsia="Calibri" w:hAnsi="Verdana" w:cs="Arial"/>
                <w:lang w:val="es-MX"/>
              </w:rPr>
              <w:t xml:space="preserve"> </w:t>
            </w:r>
            <w:r>
              <w:rPr>
                <w:rFonts w:ascii="Verdana" w:eastAsia="Times New Roman" w:hAnsi="Verdana" w:cs="Arial"/>
                <w:bCs/>
                <w:lang w:val="es-MX" w:eastAsia="x-none"/>
              </w:rPr>
              <w:t xml:space="preserve">Dicha norma </w:t>
            </w:r>
            <w:r w:rsidRPr="0057193B">
              <w:rPr>
                <w:rFonts w:ascii="Verdana" w:eastAsia="Times New Roman" w:hAnsi="Verdana" w:cs="Arial"/>
                <w:bCs/>
                <w:lang w:val="es-MX" w:eastAsia="x-none"/>
              </w:rPr>
              <w:t xml:space="preserve">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w:t>
            </w:r>
          </w:p>
          <w:p w14:paraId="241FFCA9" w14:textId="0EE1E914" w:rsidR="00B8458C" w:rsidRDefault="00B8458C" w:rsidP="009D1252">
            <w:pPr>
              <w:spacing w:after="120" w:line="276" w:lineRule="auto"/>
              <w:ind w:firstLine="737"/>
              <w:jc w:val="both"/>
              <w:rPr>
                <w:rFonts w:ascii="Verdana" w:eastAsia="Times New Roman" w:hAnsi="Verdana" w:cs="Arial"/>
                <w:lang w:val="es-MX"/>
              </w:rPr>
            </w:pPr>
            <w:r w:rsidRPr="576E913B">
              <w:rPr>
                <w:rFonts w:ascii="Verdana" w:eastAsia="Times New Roman" w:hAnsi="Verdana" w:cs="Arial"/>
                <w:lang w:val="es-MX"/>
              </w:rPr>
              <w:t>Asimismo, e</w:t>
            </w:r>
            <w:r>
              <w:rPr>
                <w:rFonts w:ascii="Verdana" w:eastAsia="Times New Roman" w:hAnsi="Verdana" w:cs="Arial"/>
                <w:bCs/>
                <w:lang w:eastAsia="es-CO"/>
              </w:rPr>
              <w:t xml:space="preserve">l concepto de celebración en el marco de la contratación estatal se relaciona con el perfeccionamiento, es decir, con los requisitos para que exista un contrato estatal. </w:t>
            </w:r>
            <w:r>
              <w:rPr>
                <w:rFonts w:ascii="Verdana" w:eastAsia="Times New Roman" w:hAnsi="Verdana" w:cs="Arial"/>
                <w:bCs/>
                <w:lang w:val="es-ES" w:eastAsia="es-CO"/>
              </w:rPr>
              <w:t>Por tanto, no se refiere a los requisitos de ejecución, es decir, aquellas condiciones para iniciar un contrato, como es la aprobación de las garantías o el registro presupuestal, o en algunos casos, la firma del acta de inicio, si así se determinó.</w:t>
            </w:r>
          </w:p>
          <w:p w14:paraId="7A2C94F7" w14:textId="77777777" w:rsidR="00B8458C" w:rsidRDefault="00B8458C" w:rsidP="009D1252">
            <w:pPr>
              <w:spacing w:after="120" w:line="276" w:lineRule="auto"/>
              <w:ind w:firstLine="737"/>
              <w:jc w:val="both"/>
              <w:rPr>
                <w:rFonts w:ascii="Verdana" w:eastAsia="Times New Roman" w:hAnsi="Verdana" w:cs="Arial"/>
                <w:bCs/>
                <w:lang w:val="es-MX" w:eastAsia="x-none"/>
              </w:rPr>
            </w:pPr>
            <w:r>
              <w:rPr>
                <w:rFonts w:ascii="Verdana" w:eastAsia="Times New Roman" w:hAnsi="Verdana" w:cs="Arial"/>
                <w:bCs/>
                <w:lang w:val="es-MX" w:eastAsia="x-none"/>
              </w:rPr>
              <w:t xml:space="preserve">Lo anterior,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w:t>
            </w:r>
            <w:r w:rsidRPr="00C53E3E">
              <w:rPr>
                <w:rFonts w:ascii="Verdana" w:eastAsia="Calibri" w:hAnsi="Verdana" w:cs="Arial"/>
                <w:lang w:val="es-MX"/>
              </w:rPr>
              <w:t>de la Ley 996 de 2005</w:t>
            </w:r>
            <w:r>
              <w:rPr>
                <w:rFonts w:ascii="Verdana" w:eastAsia="Times New Roman" w:hAnsi="Verdana" w:cs="Arial"/>
                <w:bCs/>
                <w:lang w:val="es-MX" w:eastAsia="x-none"/>
              </w:rPr>
              <w:t xml:space="preserve">,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B5BC311" w14:textId="77777777" w:rsidR="00B8458C" w:rsidRDefault="00B8458C" w:rsidP="009D1252">
            <w:pPr>
              <w:spacing w:after="120" w:line="276" w:lineRule="auto"/>
              <w:ind w:firstLine="708"/>
              <w:jc w:val="both"/>
              <w:rPr>
                <w:rFonts w:ascii="Verdana" w:eastAsia="Times New Roman" w:hAnsi="Verdana" w:cs="Arial"/>
                <w:lang w:val="es-ES" w:eastAsia="es-MX"/>
              </w:rPr>
            </w:pPr>
            <w:r>
              <w:rPr>
                <w:rFonts w:ascii="Verdana" w:eastAsia="Times New Roman" w:hAnsi="Verdana" w:cs="Arial"/>
                <w:bCs/>
                <w:lang w:val="es-MX" w:eastAsia="x-none"/>
              </w:rPr>
              <w:lastRenderedPageBreak/>
              <w:t xml:space="preserve">Por otra parte, es necesario tener en cuenta que </w:t>
            </w:r>
            <w:r>
              <w:rPr>
                <w:rFonts w:ascii="Verdana" w:eastAsia="Times New Roman" w:hAnsi="Verdana" w:cs="Arial"/>
                <w:lang w:val="es-ES" w:eastAsia="es-MX"/>
              </w:rPr>
              <w:t>el artículo 16 del Código de Minas dispone lo siguiente: “</w:t>
            </w:r>
            <w:r>
              <w:rPr>
                <w:rFonts w:ascii="Verdana" w:hAnsi="Verdana"/>
                <w:color w:val="000000"/>
              </w:rPr>
              <w:t xml:space="preserve">La primera solicitud o propuesta de concesión, mientras se halle en trámite, no confiere, por sí sola, frente al Estado, derecho a la celebración del contrato de concesión. </w:t>
            </w:r>
            <w:r w:rsidRPr="00EA7238">
              <w:rPr>
                <w:rFonts w:ascii="Verdana" w:hAnsi="Verdana"/>
                <w:i/>
                <w:iCs/>
                <w:color w:val="000000"/>
              </w:rPr>
              <w:t>Frente a otras solicitudes o frente a terceros, sólo confiere al interesado, un derecho de prelación o preferencia para obtener dicha concesión si reúne para el efecto, los requisitos legales</w:t>
            </w:r>
            <w:r>
              <w:rPr>
                <w:rFonts w:ascii="Verdana" w:hAnsi="Verdana"/>
                <w:color w:val="000000"/>
              </w:rPr>
              <w:t>” (Énfasis fuera de texto).</w:t>
            </w:r>
            <w:r>
              <w:rPr>
                <w:rFonts w:ascii="Verdana" w:eastAsia="Times New Roman" w:hAnsi="Verdana" w:cs="Arial"/>
                <w:lang w:val="es-ES" w:eastAsia="es-MX"/>
              </w:rPr>
              <w:t xml:space="preserve"> Es decir, en concordancia con el artículo 15 de la Ley 962 de 2005, corresponde a</w:t>
            </w:r>
            <w:r w:rsidRPr="005870FA">
              <w:rPr>
                <w:rFonts w:ascii="Verdana" w:eastAsia="Times New Roman" w:hAnsi="Verdana" w:cs="Arial"/>
                <w:lang w:val="es-ES" w:eastAsia="es-MX"/>
              </w:rPr>
              <w:t xml:space="preserve"> la</w:t>
            </w:r>
            <w:r>
              <w:rPr>
                <w:rFonts w:ascii="Verdana" w:eastAsia="Times New Roman" w:hAnsi="Verdana" w:cs="Arial"/>
                <w:lang w:val="es-ES" w:eastAsia="es-MX"/>
              </w:rPr>
              <w:t xml:space="preserve"> </w:t>
            </w:r>
            <w:r w:rsidRPr="005870FA">
              <w:rPr>
                <w:rFonts w:ascii="Verdana" w:eastAsia="Times New Roman" w:hAnsi="Verdana" w:cs="Arial"/>
                <w:lang w:val="es-ES" w:eastAsia="es-MX"/>
              </w:rPr>
              <w:t xml:space="preserve">aplicación del </w:t>
            </w:r>
            <w:r>
              <w:rPr>
                <w:rFonts w:ascii="Verdana" w:eastAsia="Times New Roman" w:hAnsi="Verdana" w:cs="Arial"/>
                <w:lang w:val="es-ES" w:eastAsia="es-MX"/>
              </w:rPr>
              <w:t>principio general según el cual</w:t>
            </w:r>
            <w:r w:rsidRPr="005870FA">
              <w:rPr>
                <w:rFonts w:ascii="Verdana" w:eastAsia="Times New Roman" w:hAnsi="Verdana" w:cs="Arial"/>
                <w:lang w:val="es-ES" w:eastAsia="es-MX"/>
              </w:rPr>
              <w:t xml:space="preserve"> </w:t>
            </w:r>
            <w:r>
              <w:rPr>
                <w:rFonts w:ascii="Verdana" w:eastAsia="Times New Roman" w:hAnsi="Verdana" w:cs="Arial"/>
                <w:lang w:val="es-ES" w:eastAsia="es-MX"/>
              </w:rPr>
              <w:t>“</w:t>
            </w:r>
            <w:r>
              <w:rPr>
                <w:rFonts w:ascii="Verdana" w:eastAsia="Times New Roman" w:hAnsi="Verdana" w:cs="Arial"/>
                <w:i/>
                <w:iCs/>
                <w:lang w:val="es-ES" w:eastAsia="es-MX"/>
              </w:rPr>
              <w:t xml:space="preserve">el </w:t>
            </w:r>
            <w:r w:rsidRPr="005870FA">
              <w:rPr>
                <w:rFonts w:ascii="Verdana" w:eastAsia="Times New Roman" w:hAnsi="Verdana" w:cs="Arial"/>
                <w:i/>
                <w:iCs/>
                <w:lang w:val="es-ES" w:eastAsia="es-MX"/>
              </w:rPr>
              <w:t>primero en el tiempo,</w:t>
            </w:r>
            <w:r>
              <w:rPr>
                <w:rFonts w:ascii="Verdana" w:eastAsia="Times New Roman" w:hAnsi="Verdana" w:cs="Arial"/>
                <w:i/>
                <w:iCs/>
                <w:lang w:val="es-ES" w:eastAsia="es-MX"/>
              </w:rPr>
              <w:t xml:space="preserve"> es el</w:t>
            </w:r>
            <w:r w:rsidRPr="005870FA">
              <w:rPr>
                <w:rFonts w:ascii="Verdana" w:eastAsia="Times New Roman" w:hAnsi="Verdana" w:cs="Arial"/>
                <w:i/>
                <w:iCs/>
                <w:lang w:val="es-ES" w:eastAsia="es-MX"/>
              </w:rPr>
              <w:t xml:space="preserve"> primero en el derecho</w:t>
            </w:r>
            <w:r>
              <w:rPr>
                <w:rFonts w:ascii="Verdana" w:eastAsia="Times New Roman" w:hAnsi="Verdana" w:cs="Arial"/>
                <w:lang w:val="es-ES" w:eastAsia="es-MX"/>
              </w:rPr>
              <w:t xml:space="preserve">”. </w:t>
            </w:r>
          </w:p>
          <w:p w14:paraId="2A5715E7" w14:textId="77777777" w:rsidR="00B8458C" w:rsidRDefault="00B8458C" w:rsidP="009D1252">
            <w:pPr>
              <w:spacing w:after="12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Por tanto, la presentación de la propuesta no perfecciona el contrato de concesión de minera, sino que genera un privilegio en su evaluación frente a las demás allegadas con posterioridad. En los términos de la exposición de motivos, “[…] l</w:t>
            </w:r>
            <w:r w:rsidRPr="00905FD9">
              <w:rPr>
                <w:rFonts w:ascii="Verdana" w:eastAsia="Times New Roman" w:hAnsi="Verdana" w:cs="Arial"/>
                <w:lang w:val="es-ES" w:eastAsia="es-MX"/>
              </w:rPr>
              <w:t>a sola propuesta de contrato</w:t>
            </w:r>
            <w:r>
              <w:rPr>
                <w:rFonts w:ascii="Verdana" w:eastAsia="Times New Roman" w:hAnsi="Verdana" w:cs="Arial"/>
                <w:lang w:val="es-ES" w:eastAsia="es-MX"/>
              </w:rPr>
              <w:t xml:space="preserve"> </w:t>
            </w:r>
            <w:r w:rsidRPr="00905FD9">
              <w:rPr>
                <w:rFonts w:ascii="Verdana" w:eastAsia="Times New Roman" w:hAnsi="Verdana" w:cs="Arial"/>
                <w:lang w:val="es-ES" w:eastAsia="es-MX"/>
              </w:rPr>
              <w:t>sí engendra un verdadero derecho en cabeza del</w:t>
            </w:r>
            <w:r>
              <w:rPr>
                <w:rFonts w:ascii="Verdana" w:eastAsia="Times New Roman" w:hAnsi="Verdana" w:cs="Arial"/>
                <w:lang w:val="es-ES" w:eastAsia="es-MX"/>
              </w:rPr>
              <w:t xml:space="preserve"> </w:t>
            </w:r>
            <w:r w:rsidRPr="00905FD9">
              <w:rPr>
                <w:rFonts w:ascii="Verdana" w:eastAsia="Times New Roman" w:hAnsi="Verdana" w:cs="Arial"/>
                <w:lang w:val="es-ES" w:eastAsia="es-MX"/>
              </w:rPr>
              <w:t>proponente, oponible a terceros particulares,</w:t>
            </w:r>
            <w:r>
              <w:rPr>
                <w:rFonts w:ascii="Verdana" w:eastAsia="Times New Roman" w:hAnsi="Verdana" w:cs="Arial"/>
                <w:lang w:val="es-ES" w:eastAsia="es-MX"/>
              </w:rPr>
              <w:t xml:space="preserve"> </w:t>
            </w:r>
            <w:r w:rsidRPr="00905FD9">
              <w:rPr>
                <w:rFonts w:ascii="Verdana" w:eastAsia="Times New Roman" w:hAnsi="Verdana" w:cs="Arial"/>
                <w:lang w:val="es-ES" w:eastAsia="es-MX"/>
              </w:rPr>
              <w:t>pretendientes de la misma área o del mismo</w:t>
            </w:r>
            <w:r>
              <w:rPr>
                <w:rFonts w:ascii="Verdana" w:eastAsia="Times New Roman" w:hAnsi="Verdana" w:cs="Arial"/>
                <w:lang w:val="es-ES" w:eastAsia="es-MX"/>
              </w:rPr>
              <w:t xml:space="preserve"> </w:t>
            </w:r>
            <w:r w:rsidRPr="00905FD9">
              <w:rPr>
                <w:rFonts w:ascii="Verdana" w:eastAsia="Times New Roman" w:hAnsi="Verdana" w:cs="Arial"/>
                <w:lang w:val="es-ES" w:eastAsia="es-MX"/>
              </w:rPr>
              <w:t xml:space="preserve">mineral, cual es el derecho de prelación o preferencia frente otras propuestas. </w:t>
            </w:r>
            <w:r w:rsidRPr="00905FD9">
              <w:rPr>
                <w:rFonts w:ascii="Verdana" w:eastAsia="Times New Roman" w:hAnsi="Verdana" w:cs="Arial"/>
                <w:i/>
                <w:iCs/>
                <w:lang w:val="es-ES" w:eastAsia="es-MX"/>
              </w:rPr>
              <w:t>De allí que, como en la concurrencia de proponentes, la entidad administrativa no tiene un poder discrecional para escoger, sino una facultad reglada, la aludida propuesta del interesado, si llena ciertos requisitos básicos, crea una situación subjetiva para este, que debe ser respetada por los demás interesados mientras no sea desechada por la autoridad concedente</w:t>
            </w:r>
            <w:r>
              <w:rPr>
                <w:rFonts w:ascii="Verdana" w:eastAsia="Times New Roman" w:hAnsi="Verdana" w:cs="Arial"/>
                <w:lang w:val="es-ES" w:eastAsia="es-MX"/>
              </w:rPr>
              <w:t xml:space="preserve"> […]”</w:t>
            </w:r>
            <w:r>
              <w:t xml:space="preserve"> </w:t>
            </w:r>
            <w:r>
              <w:rPr>
                <w:rFonts w:ascii="Verdana" w:eastAsia="Times New Roman" w:hAnsi="Verdana" w:cs="Arial"/>
                <w:lang w:val="es-ES" w:eastAsia="es-MX"/>
              </w:rPr>
              <w:t xml:space="preserve">(Énfasis fuera de texto). </w:t>
            </w:r>
          </w:p>
          <w:p w14:paraId="69F017A1" w14:textId="77777777" w:rsidR="00B8458C" w:rsidRPr="00073096" w:rsidRDefault="00B8458C" w:rsidP="009D1252">
            <w:pPr>
              <w:spacing w:after="120" w:line="276" w:lineRule="auto"/>
              <w:ind w:firstLine="737"/>
              <w:jc w:val="both"/>
              <w:rPr>
                <w:rFonts w:ascii="Verdana" w:eastAsia="Calibri" w:hAnsi="Verdana" w:cs="Arial"/>
                <w:lang w:val="es-MX"/>
              </w:rPr>
            </w:pPr>
            <w:r>
              <w:rPr>
                <w:rFonts w:ascii="Verdana" w:eastAsia="Times New Roman" w:hAnsi="Verdana" w:cs="Arial"/>
                <w:lang w:val="es-ES" w:eastAsia="es-MX"/>
              </w:rPr>
              <w:t xml:space="preserve">En este contexto, el artículo 16 de la Ley 685 de 2001 no obstaculiza la pluralidad de oferentes, pues “[…] </w:t>
            </w:r>
            <w:r w:rsidRPr="00A04506">
              <w:rPr>
                <w:rFonts w:ascii="Verdana" w:eastAsia="Times New Roman" w:hAnsi="Verdana" w:cs="Arial"/>
                <w:lang w:val="es-ES" w:eastAsia="es-MX"/>
              </w:rPr>
              <w:t>si existiese</w:t>
            </w:r>
            <w:r>
              <w:rPr>
                <w:rFonts w:ascii="Verdana" w:eastAsia="Times New Roman" w:hAnsi="Verdana" w:cs="Arial"/>
                <w:lang w:val="es-ES" w:eastAsia="es-MX"/>
              </w:rPr>
              <w:t xml:space="preserve"> </w:t>
            </w:r>
            <w:r w:rsidRPr="00A04506">
              <w:rPr>
                <w:rFonts w:ascii="Verdana" w:eastAsia="Times New Roman" w:hAnsi="Verdana" w:cs="Arial"/>
                <w:lang w:val="es-ES" w:eastAsia="es-MX"/>
              </w:rPr>
              <w:t>una primera propuesta y otras posteriores sobre la misma área o parte del área, sólo confiere</w:t>
            </w:r>
            <w:r>
              <w:rPr>
                <w:rFonts w:ascii="Verdana" w:eastAsia="Times New Roman" w:hAnsi="Verdana" w:cs="Arial"/>
                <w:lang w:val="es-ES" w:eastAsia="es-MX"/>
              </w:rPr>
              <w:t xml:space="preserve"> </w:t>
            </w:r>
            <w:r w:rsidRPr="00A04506">
              <w:rPr>
                <w:rFonts w:ascii="Verdana" w:eastAsia="Times New Roman" w:hAnsi="Verdana" w:cs="Arial"/>
                <w:lang w:val="es-ES" w:eastAsia="es-MX"/>
              </w:rPr>
              <w:t>al interesado un derecho de prelación o preferencia para la obtención de la Concesión</w:t>
            </w:r>
            <w:r>
              <w:rPr>
                <w:rFonts w:ascii="Verdana" w:eastAsia="Times New Roman" w:hAnsi="Verdana" w:cs="Arial"/>
                <w:lang w:val="es-ES" w:eastAsia="es-MX"/>
              </w:rPr>
              <w:t xml:space="preserve">. </w:t>
            </w:r>
            <w:r w:rsidRPr="000615D7">
              <w:rPr>
                <w:rFonts w:ascii="Verdana" w:eastAsia="Times New Roman" w:hAnsi="Verdana" w:cs="Arial"/>
                <w:lang w:val="es-ES" w:eastAsia="es-MX"/>
              </w:rPr>
              <w:t>Esto</w:t>
            </w:r>
            <w:r>
              <w:rPr>
                <w:rFonts w:ascii="Verdana" w:eastAsia="Times New Roman" w:hAnsi="Verdana" w:cs="Arial"/>
                <w:lang w:val="es-ES" w:eastAsia="es-MX"/>
              </w:rPr>
              <w:t xml:space="preserve"> </w:t>
            </w:r>
            <w:r w:rsidRPr="000615D7">
              <w:rPr>
                <w:rFonts w:ascii="Verdana" w:eastAsia="Times New Roman" w:hAnsi="Verdana" w:cs="Arial"/>
                <w:lang w:val="es-ES" w:eastAsia="es-MX"/>
              </w:rPr>
              <w:t>significa que la primera solicitud presentada</w:t>
            </w:r>
            <w:r>
              <w:rPr>
                <w:rFonts w:ascii="Verdana" w:eastAsia="Times New Roman" w:hAnsi="Verdana" w:cs="Arial"/>
                <w:lang w:val="es-ES" w:eastAsia="es-MX"/>
              </w:rPr>
              <w:t xml:space="preserve"> </w:t>
            </w:r>
            <w:r w:rsidRPr="000615D7">
              <w:rPr>
                <w:rFonts w:ascii="Verdana" w:eastAsia="Times New Roman" w:hAnsi="Verdana" w:cs="Arial"/>
                <w:lang w:val="es-ES" w:eastAsia="es-MX"/>
              </w:rPr>
              <w:t>ante la autoridad minera tendrá prioridad,</w:t>
            </w:r>
            <w:r>
              <w:rPr>
                <w:rFonts w:ascii="Verdana" w:eastAsia="Times New Roman" w:hAnsi="Verdana" w:cs="Arial"/>
                <w:lang w:val="es-ES" w:eastAsia="es-MX"/>
              </w:rPr>
              <w:t xml:space="preserve"> </w:t>
            </w:r>
            <w:r w:rsidRPr="000615D7">
              <w:rPr>
                <w:rFonts w:ascii="Verdana" w:eastAsia="Times New Roman" w:hAnsi="Verdana" w:cs="Arial"/>
                <w:lang w:val="es-ES" w:eastAsia="es-MX"/>
              </w:rPr>
              <w:t>primacía y predilección para el otorgamiento</w:t>
            </w:r>
            <w:r>
              <w:rPr>
                <w:rFonts w:ascii="Verdana" w:eastAsia="Times New Roman" w:hAnsi="Verdana" w:cs="Arial"/>
                <w:lang w:val="es-ES" w:eastAsia="es-MX"/>
              </w:rPr>
              <w:t xml:space="preserve"> </w:t>
            </w:r>
            <w:r w:rsidRPr="000615D7">
              <w:rPr>
                <w:rFonts w:ascii="Verdana" w:eastAsia="Times New Roman" w:hAnsi="Verdana" w:cs="Arial"/>
                <w:lang w:val="es-ES" w:eastAsia="es-MX"/>
              </w:rPr>
              <w:t>del Contrato de Concesión, siempre y cuando</w:t>
            </w:r>
            <w:r>
              <w:rPr>
                <w:rFonts w:ascii="Verdana" w:eastAsia="Times New Roman" w:hAnsi="Verdana" w:cs="Arial"/>
                <w:lang w:val="es-ES" w:eastAsia="es-MX"/>
              </w:rPr>
              <w:t xml:space="preserve"> </w:t>
            </w:r>
            <w:r w:rsidRPr="000615D7">
              <w:rPr>
                <w:rFonts w:ascii="Verdana" w:eastAsia="Times New Roman" w:hAnsi="Verdana" w:cs="Arial"/>
                <w:lang w:val="es-ES" w:eastAsia="es-MX"/>
              </w:rPr>
              <w:t>cumpla con los requisitos legales exigidos</w:t>
            </w:r>
            <w:r>
              <w:rPr>
                <w:rFonts w:ascii="Verdana" w:eastAsia="Times New Roman" w:hAnsi="Verdana" w:cs="Arial"/>
                <w:lang w:val="es-ES" w:eastAsia="es-MX"/>
              </w:rPr>
              <w:t>”.</w:t>
            </w:r>
          </w:p>
          <w:p w14:paraId="3AC77E17" w14:textId="77777777" w:rsidR="00B8458C" w:rsidRPr="001941FD" w:rsidRDefault="00B8458C" w:rsidP="009D1252">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w:t>
            </w:r>
            <w:r w:rsidRPr="00D10E3B">
              <w:rPr>
                <w:rStyle w:val="s15"/>
                <w:rFonts w:ascii="Verdana" w:hAnsi="Verdana"/>
                <w:color w:val="000000"/>
              </w:rPr>
              <w:lastRenderedPageBreak/>
              <w:t>y disciplinarias. Así, cada entidad definirá la forma de adelantar su gestión contractual, sin que sea atribución de Colombia Compra Eficiente validar sus actuaciones.</w:t>
            </w:r>
          </w:p>
        </w:tc>
      </w:tr>
    </w:tbl>
    <w:p w14:paraId="49A29459" w14:textId="77777777" w:rsidR="00B8458C" w:rsidRPr="00593A5F" w:rsidRDefault="00B8458C" w:rsidP="00B8458C">
      <w:pPr>
        <w:tabs>
          <w:tab w:val="left" w:pos="142"/>
          <w:tab w:val="left" w:pos="284"/>
        </w:tabs>
        <w:spacing w:after="0" w:line="276" w:lineRule="auto"/>
        <w:jc w:val="both"/>
        <w:rPr>
          <w:rFonts w:ascii="Verdana" w:eastAsia="Century Gothic" w:hAnsi="Verdana" w:cs="Century Gothic"/>
          <w:b/>
          <w:bCs/>
          <w:lang w:val="es-ES"/>
        </w:rPr>
      </w:pPr>
    </w:p>
    <w:bookmarkEnd w:id="2"/>
    <w:p w14:paraId="7D21F48B" w14:textId="77777777" w:rsidR="00B8458C" w:rsidRPr="00593A5F" w:rsidRDefault="00B8458C" w:rsidP="00B8458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AAF6D03" w14:textId="77777777" w:rsidR="00B8458C" w:rsidRPr="00593A5F" w:rsidRDefault="00B8458C" w:rsidP="00B8458C">
      <w:pPr>
        <w:spacing w:after="0" w:line="276" w:lineRule="auto"/>
        <w:jc w:val="both"/>
        <w:rPr>
          <w:rFonts w:ascii="Verdana" w:eastAsia="Calibri" w:hAnsi="Verdana" w:cs="Arial"/>
          <w:color w:val="7030A0"/>
          <w:lang w:val="es-ES"/>
        </w:rPr>
      </w:pPr>
    </w:p>
    <w:p w14:paraId="56F5D0F3" w14:textId="77777777" w:rsidR="00B8458C" w:rsidRDefault="00B8458C" w:rsidP="00B8458C">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F5DD158" w14:textId="77777777" w:rsidR="00B8458C" w:rsidRDefault="00B8458C" w:rsidP="00B8458C">
      <w:pPr>
        <w:spacing w:after="0" w:line="276" w:lineRule="auto"/>
        <w:jc w:val="both"/>
        <w:rPr>
          <w:rFonts w:ascii="Verdana" w:eastAsia="Calibri" w:hAnsi="Verdana" w:cs="Arial"/>
          <w:lang w:val="es-ES"/>
        </w:rPr>
      </w:pPr>
    </w:p>
    <w:p w14:paraId="3D34F95B" w14:textId="77777777" w:rsidR="00B8458C" w:rsidRPr="002D6B43" w:rsidRDefault="00B8458C" w:rsidP="00B8458C">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1"/>
      </w:r>
      <w:r w:rsidRPr="002D6B43">
        <w:rPr>
          <w:rFonts w:ascii="Verdana" w:eastAsia="Calibri" w:hAnsi="Verdana" w:cs="Arial"/>
        </w:rPr>
        <w:t xml:space="preserve">. </w:t>
      </w:r>
    </w:p>
    <w:p w14:paraId="344EF07A" w14:textId="77777777" w:rsidR="00B8458C" w:rsidRPr="006B14B5" w:rsidRDefault="00B8458C" w:rsidP="00B8458C">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536C38AF" w14:textId="77777777" w:rsidR="00B8458C" w:rsidRPr="00E2397D" w:rsidRDefault="00B8458C" w:rsidP="00B8458C">
      <w:pPr>
        <w:spacing w:after="0" w:line="276" w:lineRule="auto"/>
        <w:ind w:right="709"/>
        <w:contextualSpacing/>
        <w:jc w:val="both"/>
        <w:rPr>
          <w:rFonts w:ascii="Verdana" w:eastAsia="Times New Roman" w:hAnsi="Verdana" w:cs="Arial"/>
          <w:lang w:val="es-ES" w:eastAsia="es-CO"/>
        </w:rPr>
      </w:pPr>
    </w:p>
    <w:p w14:paraId="79C76C89" w14:textId="77777777" w:rsidR="00B8458C" w:rsidRPr="00E2397D" w:rsidRDefault="00B8458C" w:rsidP="00B8458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29BB13D" w14:textId="77777777" w:rsidR="00B8458C" w:rsidRDefault="00B8458C" w:rsidP="00B8458C">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lastRenderedPageBreak/>
        <w:t xml:space="preserve">[…] </w:t>
      </w:r>
    </w:p>
    <w:p w14:paraId="59EB5989" w14:textId="77777777" w:rsidR="00B8458C" w:rsidRPr="000B35C5" w:rsidRDefault="00B8458C" w:rsidP="00B8458C">
      <w:pPr>
        <w:spacing w:after="0" w:line="240" w:lineRule="auto"/>
        <w:ind w:left="709" w:right="709"/>
        <w:contextualSpacing/>
        <w:jc w:val="both"/>
        <w:rPr>
          <w:rFonts w:ascii="Verdana" w:eastAsia="Times New Roman" w:hAnsi="Verdana" w:cs="Arial"/>
          <w:sz w:val="12"/>
          <w:szCs w:val="12"/>
          <w:lang w:val="es-MX" w:eastAsia="es-CO"/>
        </w:rPr>
      </w:pPr>
    </w:p>
    <w:p w14:paraId="34D6B7A9" w14:textId="77777777" w:rsidR="00B8458C" w:rsidRPr="00E2397D" w:rsidRDefault="00B8458C" w:rsidP="00B8458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2C508E89" w14:textId="77777777" w:rsidR="00B8458C" w:rsidRPr="00E2397D" w:rsidRDefault="00B8458C" w:rsidP="00B8458C">
      <w:pPr>
        <w:spacing w:after="0" w:line="276" w:lineRule="auto"/>
        <w:ind w:firstLine="709"/>
        <w:jc w:val="both"/>
        <w:rPr>
          <w:rFonts w:ascii="Verdana" w:eastAsia="Times New Roman" w:hAnsi="Verdana" w:cs="Arial"/>
          <w:lang w:val="es-MX" w:eastAsia="es-CO"/>
        </w:rPr>
      </w:pPr>
      <w:bookmarkStart w:id="4" w:name="_Hlk78818186"/>
    </w:p>
    <w:p w14:paraId="2978E3D4" w14:textId="77777777" w:rsidR="00B8458C" w:rsidRPr="00E2397D" w:rsidRDefault="00B8458C" w:rsidP="00B8458C">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1DC90F7D" w14:textId="77777777" w:rsidR="00B8458C" w:rsidRPr="00886C02" w:rsidRDefault="00B8458C" w:rsidP="00B8458C">
      <w:pPr>
        <w:spacing w:after="0" w:line="276" w:lineRule="auto"/>
        <w:ind w:firstLine="709"/>
        <w:jc w:val="both"/>
        <w:rPr>
          <w:rFonts w:ascii="Verdana" w:eastAsia="Times New Roman" w:hAnsi="Verdana" w:cs="Arial"/>
          <w:lang w:val="es-MX" w:eastAsia="es-CO"/>
        </w:rPr>
      </w:pPr>
    </w:p>
    <w:p w14:paraId="4563EF39" w14:textId="77777777" w:rsidR="00B8458C" w:rsidRPr="00E2397D" w:rsidRDefault="00B8458C" w:rsidP="00B8458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5DD3C1E" w14:textId="77777777" w:rsidR="00B8458C" w:rsidRPr="000B35C5" w:rsidRDefault="00B8458C" w:rsidP="00B8458C">
      <w:pPr>
        <w:spacing w:after="0" w:line="240" w:lineRule="auto"/>
        <w:ind w:right="709"/>
        <w:contextualSpacing/>
        <w:jc w:val="both"/>
        <w:rPr>
          <w:rFonts w:ascii="Verdana" w:eastAsia="Times New Roman" w:hAnsi="Verdana" w:cs="Arial"/>
          <w:sz w:val="12"/>
          <w:szCs w:val="12"/>
          <w:lang w:val="es-MX" w:eastAsia="es-CO"/>
        </w:rPr>
      </w:pPr>
    </w:p>
    <w:p w14:paraId="33581FA5" w14:textId="77777777" w:rsidR="00B8458C" w:rsidRPr="00E2397D" w:rsidRDefault="00B8458C" w:rsidP="00B8458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xml:space="preserve">, coinciden en que las normas que establecen prohibiciones deben estar de </w:t>
      </w:r>
      <w:r w:rsidRPr="00E2397D">
        <w:rPr>
          <w:rFonts w:ascii="Verdana" w:eastAsia="Times New Roman" w:hAnsi="Verdana" w:cs="Arial"/>
          <w:sz w:val="20"/>
          <w:szCs w:val="20"/>
          <w:lang w:val="es-MX" w:eastAsia="es-CO"/>
        </w:rPr>
        <w:lastRenderedPageBreak/>
        <w:t>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56C2C120" w14:textId="77777777" w:rsidR="00B8458C" w:rsidRPr="00E2397D" w:rsidRDefault="00B8458C" w:rsidP="00B8458C">
      <w:pPr>
        <w:spacing w:after="0" w:line="276" w:lineRule="auto"/>
        <w:jc w:val="both"/>
        <w:rPr>
          <w:rFonts w:ascii="Verdana" w:eastAsia="Calibri" w:hAnsi="Verdana" w:cs="Arial"/>
          <w:bCs/>
          <w:lang w:val="es-ES_tradnl"/>
        </w:rPr>
      </w:pPr>
    </w:p>
    <w:p w14:paraId="0877CDB5" w14:textId="77777777" w:rsidR="00B8458C" w:rsidRDefault="00B8458C" w:rsidP="00B8458C">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71B4D80" w14:textId="77777777" w:rsidR="00B8458C" w:rsidRPr="00E2397D" w:rsidRDefault="00B8458C" w:rsidP="00B8458C">
      <w:pPr>
        <w:spacing w:after="0" w:line="276" w:lineRule="auto"/>
        <w:ind w:firstLine="709"/>
        <w:jc w:val="both"/>
        <w:rPr>
          <w:rFonts w:ascii="Verdana" w:eastAsia="Arial" w:hAnsi="Verdana" w:cs="Arial"/>
          <w:lang w:val="es-ES" w:eastAsia="es-ES" w:bidi="es-ES"/>
        </w:rPr>
      </w:pPr>
    </w:p>
    <w:p w14:paraId="6D7922E8" w14:textId="77777777" w:rsidR="00B8458C" w:rsidRPr="00E2397D" w:rsidRDefault="00B8458C" w:rsidP="00B8458C">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5B3CFE6A" w14:textId="77777777" w:rsidR="00B8458C" w:rsidRPr="00E2397D" w:rsidRDefault="00B8458C" w:rsidP="00B8458C">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7"/>
      </w:r>
      <w:r w:rsidRPr="00E2397D">
        <w:rPr>
          <w:rFonts w:ascii="Verdana" w:eastAsia="Calibri" w:hAnsi="Verdana" w:cs="Arial"/>
        </w:rPr>
        <w:t>.</w:t>
      </w:r>
    </w:p>
    <w:p w14:paraId="4DF90425" w14:textId="77777777" w:rsidR="00B8458C" w:rsidRDefault="00B8458C" w:rsidP="00B8458C">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lastRenderedPageBreak/>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8"/>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520DEE6" w14:textId="77777777" w:rsidR="00B8458C" w:rsidRDefault="00B8458C" w:rsidP="00B8458C">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9140721" w14:textId="77777777" w:rsidR="00B8458C" w:rsidRDefault="00B8458C" w:rsidP="00B8458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w:t>
      </w:r>
      <w:r w:rsidRPr="00447D82">
        <w:rPr>
          <w:rFonts w:ascii="Verdana" w:eastAsia="Times New Roman" w:hAnsi="Verdana" w:cs="Arial"/>
          <w:bCs/>
          <w:lang w:val="es-ES" w:eastAsia="es-CO"/>
        </w:rPr>
        <w:lastRenderedPageBreak/>
        <w:t>perfeccionan cuando se logre acuerdo sobre el objeto y la contraprestación y éste se eleve a escrito”.</w:t>
      </w:r>
      <w:r>
        <w:rPr>
          <w:rFonts w:ascii="Verdana" w:eastAsia="Times New Roman" w:hAnsi="Verdana" w:cs="Arial"/>
          <w:bCs/>
          <w:lang w:val="es-ES" w:eastAsia="es-CO"/>
        </w:rPr>
        <w:t xml:space="preserve"> </w:t>
      </w:r>
    </w:p>
    <w:p w14:paraId="50625434" w14:textId="77777777" w:rsidR="00B8458C" w:rsidRDefault="00B8458C" w:rsidP="00B8458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7453936" w14:textId="77777777" w:rsidR="00B8458C" w:rsidRPr="00894384" w:rsidRDefault="00B8458C" w:rsidP="00B8458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9"/>
      </w:r>
      <w:r w:rsidRPr="00894384">
        <w:rPr>
          <w:rFonts w:ascii="Verdana" w:eastAsia="Times New Roman" w:hAnsi="Verdana" w:cs="Arial"/>
          <w:bCs/>
          <w:lang w:val="es-MX" w:eastAsia="es-CO"/>
        </w:rPr>
        <w:t xml:space="preserve">. </w:t>
      </w:r>
    </w:p>
    <w:p w14:paraId="65B0C327" w14:textId="77777777" w:rsidR="00B8458C" w:rsidRPr="00E2397D" w:rsidRDefault="00B8458C" w:rsidP="00B8458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93B96A5" w14:textId="77777777" w:rsidR="00B8458C" w:rsidRPr="00E2397D" w:rsidRDefault="00B8458C" w:rsidP="00B8458C">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E0F0BDD" w14:textId="77777777" w:rsidR="00B8458C" w:rsidRPr="00E2397D" w:rsidRDefault="00B8458C" w:rsidP="00B8458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0"/>
      </w:r>
    </w:p>
    <w:p w14:paraId="7246E18B" w14:textId="77777777" w:rsidR="00B8458C" w:rsidRPr="00E2397D" w:rsidRDefault="00B8458C" w:rsidP="00B8458C">
      <w:pPr>
        <w:widowControl w:val="0"/>
        <w:autoSpaceDE w:val="0"/>
        <w:autoSpaceDN w:val="0"/>
        <w:spacing w:after="0" w:line="276" w:lineRule="auto"/>
        <w:contextualSpacing/>
        <w:rPr>
          <w:rFonts w:ascii="Verdana" w:eastAsia="Arial" w:hAnsi="Verdana" w:cs="Arial"/>
          <w:lang w:val="es-ES" w:eastAsia="es-ES" w:bidi="es-ES"/>
        </w:rPr>
      </w:pPr>
    </w:p>
    <w:p w14:paraId="24477D8B" w14:textId="77777777" w:rsidR="00B8458C" w:rsidRPr="00E2397D" w:rsidRDefault="00B8458C" w:rsidP="00B8458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lastRenderedPageBreak/>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65A8147C" w14:textId="77777777" w:rsidR="00B8458C" w:rsidRPr="00E2397D" w:rsidRDefault="00B8458C" w:rsidP="00B8458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2"/>
    <w:p w14:paraId="7C26D4D3" w14:textId="77777777" w:rsidR="00B8458C" w:rsidRDefault="00B8458C" w:rsidP="00B8458C">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w:t>
      </w:r>
      <w:r w:rsidRPr="00E2397D">
        <w:rPr>
          <w:rFonts w:ascii="Verdana" w:eastAsia="Arial" w:hAnsi="Verdana" w:cs="Arial"/>
          <w:lang w:val="es-ES" w:eastAsia="es-ES" w:bidi="es-ES"/>
        </w:rPr>
        <w:lastRenderedPageBreak/>
        <w:t xml:space="preserve">en forma continua o discontinua, conforme al artículo 197 de la Constitución Política. </w:t>
      </w:r>
    </w:p>
    <w:p w14:paraId="78BFA58D" w14:textId="77777777" w:rsidR="00B8458C" w:rsidRPr="00E2397D" w:rsidRDefault="00B8458C" w:rsidP="00B8458C">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6B3EF8A6" w14:textId="77777777" w:rsidR="00B8458C" w:rsidRPr="0057193B" w:rsidRDefault="00B8458C" w:rsidP="00B8458C">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69D5DDD5" w14:textId="77777777" w:rsidR="00B8458C" w:rsidRPr="00D631B0" w:rsidRDefault="00B8458C" w:rsidP="00B8458C">
      <w:pPr>
        <w:spacing w:after="0" w:line="276" w:lineRule="auto"/>
        <w:ind w:left="708" w:right="709"/>
        <w:jc w:val="both"/>
        <w:rPr>
          <w:rFonts w:ascii="Verdana" w:eastAsia="Calibri" w:hAnsi="Verdana" w:cs="Arial"/>
          <w:lang w:val="es-MX"/>
        </w:rPr>
      </w:pPr>
    </w:p>
    <w:p w14:paraId="4CAC1303" w14:textId="77777777" w:rsidR="00B8458C" w:rsidRPr="00BB5022" w:rsidRDefault="00B8458C" w:rsidP="00B8458C">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1"/>
      </w:r>
      <w:r w:rsidRPr="00BB5022">
        <w:rPr>
          <w:rFonts w:ascii="Verdana" w:eastAsia="Calibri" w:hAnsi="Verdana" w:cs="Arial"/>
          <w:sz w:val="20"/>
          <w:szCs w:val="20"/>
          <w:lang w:val="es-MX"/>
        </w:rPr>
        <w:t>.</w:t>
      </w:r>
    </w:p>
    <w:p w14:paraId="006243BE" w14:textId="77777777" w:rsidR="00B8458C" w:rsidRPr="00BB5022" w:rsidRDefault="00B8458C" w:rsidP="00B8458C">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2"/>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3"/>
      </w:r>
      <w:r w:rsidRPr="00BB5022">
        <w:rPr>
          <w:rFonts w:ascii="Verdana" w:eastAsia="Calibri" w:hAnsi="Verdana" w:cs="Arial"/>
          <w:sz w:val="20"/>
          <w:szCs w:val="20"/>
          <w:lang w:val="es-MX"/>
        </w:rPr>
        <w:t>.</w:t>
      </w:r>
    </w:p>
    <w:p w14:paraId="54CD87D8" w14:textId="77777777" w:rsidR="00B8458C" w:rsidRPr="0057193B" w:rsidRDefault="00B8458C" w:rsidP="00B8458C">
      <w:pPr>
        <w:shd w:val="clear" w:color="auto" w:fill="FFFFFF"/>
        <w:spacing w:after="0" w:line="276" w:lineRule="auto"/>
        <w:ind w:firstLine="709"/>
        <w:jc w:val="both"/>
        <w:rPr>
          <w:rFonts w:ascii="Verdana" w:eastAsia="Times New Roman" w:hAnsi="Verdana" w:cs="Arial"/>
          <w:lang w:eastAsia="x-none"/>
        </w:rPr>
      </w:pPr>
    </w:p>
    <w:p w14:paraId="6BE14FAC" w14:textId="77777777" w:rsidR="00B8458C" w:rsidRPr="0057193B" w:rsidRDefault="00B8458C" w:rsidP="00B8458C">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 xml:space="preserve">u otros previstos en normas especiales. Esta posición es congruente con la expedición de la Ley 1150 de 2007 que, entre otras reformas, </w:t>
      </w:r>
      <w:r w:rsidRPr="0057193B">
        <w:rPr>
          <w:rFonts w:ascii="Verdana" w:eastAsia="Times New Roman" w:hAnsi="Verdana" w:cs="Arial"/>
          <w:lang w:eastAsia="x-none"/>
        </w:rPr>
        <w:lastRenderedPageBreak/>
        <w:t>introdujo la selección abreviada, rediseñó el concurso de méritos</w:t>
      </w:r>
      <w:r w:rsidRPr="0057193B">
        <w:rPr>
          <w:rFonts w:ascii="Verdana" w:eastAsia="Times New Roman" w:hAnsi="Verdana" w:cs="Arial"/>
          <w:vertAlign w:val="superscript"/>
          <w:lang w:val="en-GB" w:eastAsia="x-none"/>
        </w:rPr>
        <w:footnoteReference w:id="14"/>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DBA586B" w14:textId="77777777" w:rsidR="00B8458C" w:rsidRPr="0057193B" w:rsidRDefault="00B8458C" w:rsidP="00B8458C">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30DEE01B" w14:textId="77777777" w:rsidR="00B8458C" w:rsidRPr="0057193B" w:rsidRDefault="00B8458C" w:rsidP="00B8458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7"/>
      </w:r>
      <w:r w:rsidRPr="0057193B">
        <w:rPr>
          <w:rFonts w:ascii="Verdana" w:eastAsia="Times New Roman" w:hAnsi="Verdana" w:cs="Arial"/>
          <w:lang w:eastAsia="x-none"/>
        </w:rPr>
        <w:t xml:space="preserve">. </w:t>
      </w:r>
    </w:p>
    <w:p w14:paraId="7148407A" w14:textId="77777777" w:rsidR="00B8458C" w:rsidRPr="0057193B" w:rsidRDefault="00B8458C" w:rsidP="00B8458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w:t>
      </w:r>
      <w:r w:rsidRPr="0057193B">
        <w:rPr>
          <w:rFonts w:ascii="Verdana" w:eastAsia="Times New Roman" w:hAnsi="Verdana" w:cs="Arial"/>
          <w:bCs/>
          <w:lang w:val="es-MX" w:eastAsia="es-CO"/>
        </w:rPr>
        <w:lastRenderedPageBreak/>
        <w:t xml:space="preserve">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7BDE6BE6" w14:textId="77777777" w:rsidR="00B8458C" w:rsidRPr="0057193B" w:rsidRDefault="00B8458C" w:rsidP="00B8458C">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1EDE3FD5" w14:textId="77777777" w:rsidR="00B8458C" w:rsidRPr="0057193B" w:rsidRDefault="00B8458C" w:rsidP="00B8458C">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F4389CC" w14:textId="77777777" w:rsidR="00B8458C" w:rsidRPr="00447D82" w:rsidRDefault="00B8458C" w:rsidP="00B8458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19"/>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6D0A3285" w14:textId="77777777" w:rsidR="00B8458C" w:rsidRPr="0057193B" w:rsidRDefault="00B8458C" w:rsidP="00B8458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w:t>
      </w:r>
      <w:r w:rsidRPr="0057193B">
        <w:rPr>
          <w:rFonts w:ascii="Verdana" w:eastAsia="Times New Roman" w:hAnsi="Verdana" w:cs="Arial"/>
          <w:bCs/>
          <w:lang w:val="es-MX" w:eastAsia="x-none"/>
        </w:rPr>
        <w:lastRenderedPageBreak/>
        <w:t>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B41093C" w14:textId="77777777" w:rsidR="00B8458C" w:rsidRPr="0057193B" w:rsidRDefault="00B8458C" w:rsidP="00B8458C">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490C1272" w14:textId="77777777" w:rsidR="00B8458C" w:rsidRDefault="00B8458C" w:rsidP="00B8458C">
      <w:pPr>
        <w:spacing w:after="0" w:line="276" w:lineRule="auto"/>
        <w:jc w:val="both"/>
        <w:rPr>
          <w:rFonts w:ascii="Verdana" w:eastAsia="Times New Roman" w:hAnsi="Verdana" w:cs="Arial"/>
          <w:bCs/>
          <w:lang w:val="es-MX" w:eastAsia="x-none"/>
        </w:rPr>
      </w:pPr>
    </w:p>
    <w:p w14:paraId="6F2C7C79" w14:textId="77777777" w:rsidR="00B8458C" w:rsidRPr="0057193B" w:rsidRDefault="00B8458C" w:rsidP="00B8458C">
      <w:pPr>
        <w:spacing w:after="0" w:line="276" w:lineRule="auto"/>
        <w:jc w:val="both"/>
        <w:rPr>
          <w:rFonts w:ascii="Verdana" w:eastAsia="Times New Roman" w:hAnsi="Verdana" w:cs="Arial"/>
          <w:bCs/>
          <w:lang w:val="es-MX" w:eastAsia="x-none"/>
        </w:rPr>
      </w:pPr>
      <w:r>
        <w:rPr>
          <w:rFonts w:ascii="Verdana" w:eastAsia="Times New Roman" w:hAnsi="Verdana" w:cs="Arial"/>
          <w:bCs/>
          <w:lang w:val="es-MX" w:eastAsia="x-none"/>
        </w:rPr>
        <w:t xml:space="preserve">iv. </w:t>
      </w: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w:t>
      </w:r>
      <w:r w:rsidRPr="0057193B">
        <w:rPr>
          <w:rFonts w:ascii="Verdana" w:eastAsia="Times New Roman" w:hAnsi="Verdana" w:cs="Arial"/>
          <w:bCs/>
          <w:lang w:val="es-ES_tradnl" w:eastAsia="x-none"/>
        </w:rPr>
        <w:lastRenderedPageBreak/>
        <w:t xml:space="preserve">Consulta y Servicio Civil del Consejo de Estado, en Concepto 1727 de fecha 20 de febrero de 2006, consideró que: </w:t>
      </w:r>
    </w:p>
    <w:p w14:paraId="18B01EBA" w14:textId="77777777" w:rsidR="00B8458C" w:rsidRPr="0057193B" w:rsidRDefault="00B8458C" w:rsidP="00B8458C">
      <w:pPr>
        <w:spacing w:after="0" w:line="276" w:lineRule="auto"/>
        <w:jc w:val="both"/>
        <w:rPr>
          <w:rFonts w:ascii="Verdana" w:eastAsia="Times New Roman" w:hAnsi="Verdana" w:cs="Arial"/>
          <w:bCs/>
          <w:lang w:val="es-MX" w:eastAsia="x-none"/>
        </w:rPr>
      </w:pPr>
    </w:p>
    <w:p w14:paraId="37978749" w14:textId="77777777" w:rsidR="00B8458C" w:rsidRPr="00883B81" w:rsidRDefault="00B8458C" w:rsidP="00B8458C">
      <w:pPr>
        <w:spacing w:after="0" w:line="240" w:lineRule="auto"/>
        <w:ind w:left="708" w:right="709"/>
        <w:jc w:val="both"/>
        <w:rPr>
          <w:rFonts w:ascii="Verdana" w:eastAsia="Times New Roman" w:hAnsi="Verdana" w:cs="Arial"/>
          <w:bCs/>
          <w:sz w:val="20"/>
          <w:szCs w:val="20"/>
          <w:lang w:val="es-MX" w:eastAsia="es-CO"/>
        </w:rPr>
      </w:pPr>
      <w:r w:rsidRPr="00883B81">
        <w:rPr>
          <w:rFonts w:ascii="Verdana" w:eastAsia="Times New Roman" w:hAnsi="Verdana" w:cs="Arial"/>
          <w:bCs/>
          <w:sz w:val="20"/>
          <w:szCs w:val="20"/>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883B81">
        <w:rPr>
          <w:rFonts w:ascii="Verdana" w:eastAsia="Times New Roman" w:hAnsi="Verdana" w:cs="Arial"/>
          <w:bCs/>
          <w:sz w:val="20"/>
          <w:szCs w:val="20"/>
          <w:vertAlign w:val="superscript"/>
          <w:lang w:val="es-MX" w:eastAsia="x-none"/>
        </w:rPr>
        <w:footnoteReference w:id="21"/>
      </w:r>
      <w:r w:rsidRPr="00883B81">
        <w:rPr>
          <w:rFonts w:ascii="Verdana" w:eastAsia="Times New Roman" w:hAnsi="Verdana" w:cs="Arial"/>
          <w:bCs/>
          <w:sz w:val="20"/>
          <w:szCs w:val="20"/>
          <w:lang w:val="es-MX" w:eastAsia="x-none"/>
        </w:rPr>
        <w:t>.</w:t>
      </w:r>
      <w:r w:rsidRPr="00883B81">
        <w:rPr>
          <w:rFonts w:ascii="Verdana" w:eastAsia="Times New Roman" w:hAnsi="Verdana" w:cs="Arial"/>
          <w:bCs/>
          <w:sz w:val="20"/>
          <w:szCs w:val="20"/>
          <w:lang w:val="es-MX" w:eastAsia="es-CO"/>
        </w:rPr>
        <w:t xml:space="preserve"> </w:t>
      </w:r>
    </w:p>
    <w:p w14:paraId="4B2DBA75" w14:textId="77777777" w:rsidR="00B8458C" w:rsidRPr="0057193B" w:rsidRDefault="00B8458C" w:rsidP="00B8458C">
      <w:pPr>
        <w:spacing w:after="0" w:line="276" w:lineRule="auto"/>
        <w:ind w:firstLine="708"/>
        <w:jc w:val="both"/>
        <w:rPr>
          <w:rFonts w:ascii="Verdana" w:eastAsia="Times New Roman" w:hAnsi="Verdana" w:cs="Arial"/>
          <w:bCs/>
          <w:lang w:val="es-MX" w:eastAsia="es-CO"/>
        </w:rPr>
      </w:pPr>
    </w:p>
    <w:p w14:paraId="34570A86" w14:textId="77777777" w:rsidR="00B8458C" w:rsidRPr="0057193B" w:rsidRDefault="00B8458C" w:rsidP="00B8458C">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0A3B7F5D" w14:textId="77777777" w:rsidR="00B8458C" w:rsidRPr="0057193B" w:rsidRDefault="00B8458C" w:rsidP="00B8458C">
      <w:pPr>
        <w:spacing w:after="0" w:line="276" w:lineRule="auto"/>
        <w:jc w:val="both"/>
        <w:rPr>
          <w:rFonts w:ascii="Verdana" w:eastAsia="Calibri" w:hAnsi="Verdana" w:cs="Arial"/>
          <w:lang w:val="es-MX"/>
        </w:rPr>
      </w:pPr>
    </w:p>
    <w:p w14:paraId="2791CD9B" w14:textId="77777777" w:rsidR="00B8458C" w:rsidRPr="001924B7" w:rsidRDefault="00B8458C" w:rsidP="00B8458C">
      <w:pPr>
        <w:spacing w:after="0" w:line="240" w:lineRule="auto"/>
        <w:ind w:left="708" w:right="709"/>
        <w:jc w:val="both"/>
        <w:rPr>
          <w:rFonts w:ascii="Verdana" w:eastAsia="Calibri" w:hAnsi="Verdana" w:cs="Arial"/>
          <w:sz w:val="20"/>
          <w:szCs w:val="20"/>
          <w:lang w:val="es-MX"/>
        </w:rPr>
      </w:pPr>
      <w:r>
        <w:rPr>
          <w:rFonts w:ascii="Verdana" w:eastAsia="Calibri" w:hAnsi="Verdana" w:cs="Arial"/>
          <w:sz w:val="20"/>
          <w:szCs w:val="20"/>
          <w:lang w:val="es-MX"/>
        </w:rPr>
        <w:t>“</w:t>
      </w:r>
      <w:r w:rsidRPr="001924B7">
        <w:rPr>
          <w:rFonts w:ascii="Verdana" w:eastAsia="Calibri"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w:t>
      </w:r>
      <w:r w:rsidRPr="001924B7">
        <w:rPr>
          <w:rFonts w:ascii="Verdana" w:eastAsia="Calibri" w:hAnsi="Verdana" w:cs="Arial"/>
          <w:sz w:val="20"/>
          <w:szCs w:val="20"/>
          <w:lang w:val="es-MX"/>
        </w:rPr>
        <w:lastRenderedPageBreak/>
        <w:t>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F897D57" w14:textId="77777777" w:rsidR="00B8458C" w:rsidRPr="00883B81" w:rsidRDefault="00B8458C" w:rsidP="00B8458C">
      <w:pPr>
        <w:spacing w:after="0" w:line="240" w:lineRule="auto"/>
        <w:ind w:right="709"/>
        <w:jc w:val="both"/>
        <w:rPr>
          <w:rFonts w:ascii="Verdana" w:eastAsia="Calibri" w:hAnsi="Verdana" w:cs="Arial"/>
          <w:sz w:val="12"/>
          <w:szCs w:val="12"/>
          <w:lang w:val="es-MX"/>
        </w:rPr>
      </w:pPr>
      <w:r>
        <w:rPr>
          <w:rFonts w:ascii="Verdana" w:eastAsia="Calibri" w:hAnsi="Verdana" w:cs="Arial"/>
          <w:sz w:val="20"/>
          <w:szCs w:val="20"/>
          <w:lang w:val="es-MX"/>
        </w:rPr>
        <w:tab/>
      </w:r>
    </w:p>
    <w:p w14:paraId="789A37C3" w14:textId="77777777" w:rsidR="00B8458C" w:rsidRPr="001924B7" w:rsidRDefault="00B8458C" w:rsidP="00B8458C">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eastAsia="Times New Roman" w:hAnsi="Verdana" w:cs="Arial"/>
          <w:bCs/>
          <w:sz w:val="20"/>
          <w:szCs w:val="20"/>
          <w:lang w:val="es-MX" w:eastAsia="x-none"/>
        </w:rPr>
        <w:t>”</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4F5A26C7" w14:textId="77777777" w:rsidR="00B8458C" w:rsidRPr="0057193B" w:rsidRDefault="00B8458C" w:rsidP="00B8458C">
      <w:pPr>
        <w:spacing w:after="0" w:line="276" w:lineRule="auto"/>
        <w:jc w:val="both"/>
        <w:rPr>
          <w:rFonts w:ascii="Verdana" w:eastAsia="Calibri" w:hAnsi="Verdana" w:cs="Arial"/>
          <w:lang w:val="es-MX"/>
        </w:rPr>
      </w:pPr>
    </w:p>
    <w:p w14:paraId="508E928F" w14:textId="77777777" w:rsidR="00B8458C" w:rsidRPr="0057193B" w:rsidRDefault="00B8458C" w:rsidP="00B8458C">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89951DE" w14:textId="77777777" w:rsidR="00B8458C" w:rsidRDefault="00B8458C" w:rsidP="00B8458C">
      <w:pPr>
        <w:spacing w:after="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 xml:space="preserve">cobija a cualquier entidad pública independiente del régimen jurídico, que pueda mediante la contratación directa romper el equilibrio entre </w:t>
      </w:r>
      <w:r w:rsidRPr="0057193B">
        <w:rPr>
          <w:rFonts w:ascii="Verdana" w:eastAsia="Times New Roman" w:hAnsi="Verdana" w:cs="Arial"/>
          <w:bCs/>
          <w:lang w:val="es-MX" w:eastAsia="x-none"/>
        </w:rPr>
        <w:lastRenderedPageBreak/>
        <w:t>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7CE663EC" w14:textId="77777777" w:rsidR="00B8458C" w:rsidRPr="0086501B" w:rsidRDefault="00B8458C" w:rsidP="00B8458C">
      <w:pPr>
        <w:spacing w:after="0" w:line="276" w:lineRule="auto"/>
        <w:ind w:firstLine="709"/>
        <w:jc w:val="both"/>
        <w:rPr>
          <w:rFonts w:ascii="Verdana" w:eastAsia="Times New Roman" w:hAnsi="Verdana" w:cs="Arial"/>
          <w:bCs/>
          <w:lang w:val="es-MX" w:eastAsia="x-none"/>
        </w:rPr>
      </w:pPr>
    </w:p>
    <w:p w14:paraId="2D94505E" w14:textId="77777777" w:rsidR="00B8458C" w:rsidRDefault="00B8458C" w:rsidP="00B8458C">
      <w:pPr>
        <w:spacing w:after="120" w:line="276" w:lineRule="auto"/>
        <w:jc w:val="both"/>
        <w:rPr>
          <w:rFonts w:ascii="Verdana" w:eastAsia="Times New Roman" w:hAnsi="Verdana" w:cs="Arial"/>
          <w:lang w:val="es-ES" w:eastAsia="es-MX"/>
        </w:rPr>
      </w:pPr>
      <w:r w:rsidRPr="00F4158D">
        <w:rPr>
          <w:rFonts w:ascii="Verdana" w:eastAsia="Calibri" w:hAnsi="Verdana" w:cs="Arial"/>
          <w:lang w:val="es-ES"/>
        </w:rPr>
        <w:t>v.</w:t>
      </w:r>
      <w:bookmarkEnd w:id="13"/>
      <w:r>
        <w:rPr>
          <w:rFonts w:ascii="Verdana" w:eastAsia="Times New Roman" w:hAnsi="Verdana" w:cs="Arial"/>
          <w:lang w:val="es-ES" w:eastAsia="es-MX"/>
        </w:rPr>
        <w:t xml:space="preserve"> Ahora bien, </w:t>
      </w:r>
      <w:r w:rsidRPr="00515CA6">
        <w:rPr>
          <w:rFonts w:ascii="Verdana" w:eastAsia="Times New Roman" w:hAnsi="Verdana" w:cs="Arial"/>
          <w:lang w:val="es-ES" w:eastAsia="es-MX"/>
        </w:rPr>
        <w:t>la exploración y explotación de recursos naturales renovables y no renovables se rige por normas especiales –art. 76 del EGCAP–</w:t>
      </w:r>
      <w:r>
        <w:rPr>
          <w:rFonts w:ascii="Verdana" w:eastAsia="Times New Roman" w:hAnsi="Verdana" w:cs="Arial"/>
          <w:lang w:val="es-ES" w:eastAsia="es-MX"/>
        </w:rPr>
        <w:t>. Por ello, el inciso primero del artículo 45 de la Ley 685 de 2001 establece que “</w:t>
      </w:r>
      <w:r w:rsidRPr="00515CA6">
        <w:rPr>
          <w:rFonts w:ascii="Verdana" w:eastAsia="Times New Roman" w:hAnsi="Verdana" w:cs="Arial"/>
          <w:lang w:val="es-ES" w:eastAsia="es-MX"/>
        </w:rPr>
        <w:t xml:space="preserve">El contrato de concesión minera es el que se celebra entre el Estado y un particular para efectuar, por cuenta y riesgo de este, los estudios, trabajos y obras de exploración de minerales de propiedad estatal que puedan encontrarse dentro de una zona determinada y para explotarlos en los términos y condiciones establecidos en este Código. </w:t>
      </w:r>
      <w:r w:rsidRPr="00C24427">
        <w:rPr>
          <w:rFonts w:ascii="Verdana" w:eastAsia="Times New Roman" w:hAnsi="Verdana" w:cs="Arial"/>
          <w:lang w:val="es-ES" w:eastAsia="es-MX"/>
        </w:rPr>
        <w:t>Este contrato es distinto al de obra pública y al de concesión de servicio público</w:t>
      </w:r>
      <w:r>
        <w:rPr>
          <w:rFonts w:ascii="Verdana" w:eastAsia="Times New Roman" w:hAnsi="Verdana" w:cs="Arial"/>
          <w:lang w:val="es-ES" w:eastAsia="es-MX"/>
        </w:rPr>
        <w:t xml:space="preserve">” </w:t>
      </w:r>
    </w:p>
    <w:p w14:paraId="2DDBF4C0" w14:textId="77777777" w:rsidR="00B8458C" w:rsidRDefault="00B8458C" w:rsidP="00B8458C">
      <w:pPr>
        <w:spacing w:after="12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Respecto a la modalidad de selección, tampoco es aplicable el artículo 2 de la Ley 1150 de 2007. Para estos efectos, “</w:t>
      </w:r>
      <w:r w:rsidRPr="00EA7238">
        <w:rPr>
          <w:rFonts w:ascii="Verdana" w:eastAsia="Times New Roman" w:hAnsi="Verdana" w:cs="Arial"/>
          <w:lang w:val="es-ES" w:eastAsia="es-MX"/>
        </w:rPr>
        <w:t>Las disposiciones generales sobre contratos estatales y las relativas a procedimientos precontractuales, no serán aplicables a la formulación y trámite de las propuestas de concesión minera, ni a la suscripción, perfeccionamiento, validez, ejecución y terminación de ésta, salvo las referentes a la capacidad legal a que se refiere el artículo 17 del presente Código. En todas estas materias se estará a las disposiciones de este Código y a las de otros cuerpos de normas a las que el mismo haga remisión directa y expresa</w:t>
      </w:r>
      <w:r>
        <w:rPr>
          <w:rFonts w:ascii="Verdana" w:eastAsia="Times New Roman" w:hAnsi="Verdana" w:cs="Arial"/>
          <w:lang w:val="es-ES" w:eastAsia="es-MX"/>
        </w:rPr>
        <w:t>” –artículo 53 de la Ley 685 de 2001–</w:t>
      </w:r>
      <w:r w:rsidRPr="00EA7238">
        <w:rPr>
          <w:rFonts w:ascii="Verdana" w:eastAsia="Times New Roman" w:hAnsi="Verdana" w:cs="Arial"/>
          <w:lang w:val="es-ES" w:eastAsia="es-MX"/>
        </w:rPr>
        <w:t>.</w:t>
      </w:r>
    </w:p>
    <w:p w14:paraId="6A4931FB" w14:textId="77777777" w:rsidR="00B8458C" w:rsidRDefault="00B8458C" w:rsidP="00B8458C">
      <w:pPr>
        <w:spacing w:after="120" w:line="276" w:lineRule="auto"/>
        <w:ind w:firstLine="708"/>
        <w:jc w:val="both"/>
        <w:rPr>
          <w:rFonts w:ascii="Verdana" w:eastAsia="Times New Roman" w:hAnsi="Verdana" w:cs="Arial"/>
          <w:lang w:val="es-ES" w:eastAsia="es-MX"/>
        </w:rPr>
      </w:pPr>
      <w:r>
        <w:rPr>
          <w:rFonts w:ascii="Verdana" w:eastAsia="Times New Roman" w:hAnsi="Verdana" w:cs="Arial"/>
          <w:lang w:val="es-ES" w:eastAsia="es-MX"/>
        </w:rPr>
        <w:t xml:space="preserve">Así, el artículo 16 </w:t>
      </w:r>
      <w:r w:rsidRPr="00EA7238">
        <w:rPr>
          <w:rFonts w:ascii="Verdana" w:eastAsia="Times New Roman" w:hAnsi="Verdana" w:cs="Arial"/>
          <w:i/>
          <w:iCs/>
          <w:lang w:val="es-ES" w:eastAsia="es-MX"/>
        </w:rPr>
        <w:t>ibidem</w:t>
      </w:r>
      <w:r>
        <w:rPr>
          <w:rFonts w:ascii="Verdana" w:eastAsia="Times New Roman" w:hAnsi="Verdana" w:cs="Arial"/>
          <w:lang w:val="es-ES" w:eastAsia="es-MX"/>
        </w:rPr>
        <w:t xml:space="preserve"> dispone lo siguiente: “</w:t>
      </w:r>
      <w:r>
        <w:rPr>
          <w:rFonts w:ascii="Verdana" w:hAnsi="Verdana"/>
          <w:color w:val="000000"/>
        </w:rPr>
        <w:t xml:space="preserve">La primera solicitud o propuesta de concesión, mientras se halle en trámite, no confiere, por sí sola, frente al Estado, derecho a la celebración del contrato de concesión. </w:t>
      </w:r>
      <w:r w:rsidRPr="00EA7238">
        <w:rPr>
          <w:rFonts w:ascii="Verdana" w:hAnsi="Verdana"/>
          <w:i/>
          <w:iCs/>
          <w:color w:val="000000"/>
        </w:rPr>
        <w:t>Frente a otras solicitudes o frente a terceros, sólo confiere al interesado, un derecho de prelación o preferencia para obtener dicha concesión si reúne para el efecto, los requisitos legales</w:t>
      </w:r>
      <w:r>
        <w:rPr>
          <w:rFonts w:ascii="Verdana" w:hAnsi="Verdana"/>
          <w:color w:val="000000"/>
        </w:rPr>
        <w:t>” (Énfasis fuera de texto).</w:t>
      </w:r>
      <w:r>
        <w:rPr>
          <w:rFonts w:ascii="Verdana" w:eastAsia="Times New Roman" w:hAnsi="Verdana" w:cs="Arial"/>
          <w:lang w:val="es-ES" w:eastAsia="es-MX"/>
        </w:rPr>
        <w:t xml:space="preserve"> Es decir, en concordancia con el </w:t>
      </w:r>
      <w:r>
        <w:rPr>
          <w:rFonts w:ascii="Verdana" w:eastAsia="Times New Roman" w:hAnsi="Verdana" w:cs="Arial"/>
          <w:lang w:val="es-ES" w:eastAsia="es-MX"/>
        </w:rPr>
        <w:lastRenderedPageBreak/>
        <w:t>artículo 15 de la Ley 962 de 2005, corresponde a</w:t>
      </w:r>
      <w:r w:rsidRPr="005870FA">
        <w:rPr>
          <w:rFonts w:ascii="Verdana" w:eastAsia="Times New Roman" w:hAnsi="Verdana" w:cs="Arial"/>
          <w:lang w:val="es-ES" w:eastAsia="es-MX"/>
        </w:rPr>
        <w:t xml:space="preserve"> la</w:t>
      </w:r>
      <w:r>
        <w:rPr>
          <w:rFonts w:ascii="Verdana" w:eastAsia="Times New Roman" w:hAnsi="Verdana" w:cs="Arial"/>
          <w:lang w:val="es-ES" w:eastAsia="es-MX"/>
        </w:rPr>
        <w:t xml:space="preserve"> </w:t>
      </w:r>
      <w:r w:rsidRPr="005870FA">
        <w:rPr>
          <w:rFonts w:ascii="Verdana" w:eastAsia="Times New Roman" w:hAnsi="Verdana" w:cs="Arial"/>
          <w:lang w:val="es-ES" w:eastAsia="es-MX"/>
        </w:rPr>
        <w:t xml:space="preserve">aplicación del </w:t>
      </w:r>
      <w:r>
        <w:rPr>
          <w:rFonts w:ascii="Verdana" w:eastAsia="Times New Roman" w:hAnsi="Verdana" w:cs="Arial"/>
          <w:lang w:val="es-ES" w:eastAsia="es-MX"/>
        </w:rPr>
        <w:t>principio general según el cual</w:t>
      </w:r>
      <w:r w:rsidRPr="005870FA">
        <w:rPr>
          <w:rFonts w:ascii="Verdana" w:eastAsia="Times New Roman" w:hAnsi="Verdana" w:cs="Arial"/>
          <w:lang w:val="es-ES" w:eastAsia="es-MX"/>
        </w:rPr>
        <w:t xml:space="preserve"> </w:t>
      </w:r>
      <w:r>
        <w:rPr>
          <w:rFonts w:ascii="Verdana" w:eastAsia="Times New Roman" w:hAnsi="Verdana" w:cs="Arial"/>
          <w:lang w:val="es-ES" w:eastAsia="es-MX"/>
        </w:rPr>
        <w:t>“</w:t>
      </w:r>
      <w:r>
        <w:rPr>
          <w:rFonts w:ascii="Verdana" w:eastAsia="Times New Roman" w:hAnsi="Verdana" w:cs="Arial"/>
          <w:i/>
          <w:iCs/>
          <w:lang w:val="es-ES" w:eastAsia="es-MX"/>
        </w:rPr>
        <w:t xml:space="preserve">el </w:t>
      </w:r>
      <w:r w:rsidRPr="005870FA">
        <w:rPr>
          <w:rFonts w:ascii="Verdana" w:eastAsia="Times New Roman" w:hAnsi="Verdana" w:cs="Arial"/>
          <w:i/>
          <w:iCs/>
          <w:lang w:val="es-ES" w:eastAsia="es-MX"/>
        </w:rPr>
        <w:t>primero en el tiempo,</w:t>
      </w:r>
      <w:r>
        <w:rPr>
          <w:rFonts w:ascii="Verdana" w:eastAsia="Times New Roman" w:hAnsi="Verdana" w:cs="Arial"/>
          <w:i/>
          <w:iCs/>
          <w:lang w:val="es-ES" w:eastAsia="es-MX"/>
        </w:rPr>
        <w:t xml:space="preserve"> es el</w:t>
      </w:r>
      <w:r w:rsidRPr="005870FA">
        <w:rPr>
          <w:rFonts w:ascii="Verdana" w:eastAsia="Times New Roman" w:hAnsi="Verdana" w:cs="Arial"/>
          <w:i/>
          <w:iCs/>
          <w:lang w:val="es-ES" w:eastAsia="es-MX"/>
        </w:rPr>
        <w:t xml:space="preserve"> primero en el derecho</w:t>
      </w:r>
      <w:r>
        <w:rPr>
          <w:rFonts w:ascii="Verdana" w:eastAsia="Times New Roman" w:hAnsi="Verdana" w:cs="Arial"/>
          <w:lang w:val="es-ES" w:eastAsia="es-MX"/>
        </w:rPr>
        <w:t>”</w:t>
      </w:r>
      <w:r>
        <w:rPr>
          <w:rStyle w:val="Refdenotaalpie"/>
          <w:rFonts w:ascii="Verdana" w:eastAsia="Times New Roman" w:hAnsi="Verdana" w:cs="Arial"/>
          <w:lang w:val="es-ES" w:eastAsia="es-MX"/>
        </w:rPr>
        <w:footnoteReference w:id="25"/>
      </w:r>
      <w:r>
        <w:rPr>
          <w:rFonts w:ascii="Verdana" w:eastAsia="Times New Roman" w:hAnsi="Verdana" w:cs="Arial"/>
          <w:lang w:val="es-ES" w:eastAsia="es-MX"/>
        </w:rPr>
        <w:t xml:space="preserve">. </w:t>
      </w:r>
    </w:p>
    <w:p w14:paraId="150F47EC" w14:textId="77777777" w:rsidR="00B8458C" w:rsidRDefault="00B8458C" w:rsidP="00B8458C">
      <w:pPr>
        <w:spacing w:after="120" w:line="276" w:lineRule="auto"/>
        <w:ind w:firstLine="709"/>
        <w:jc w:val="both"/>
        <w:rPr>
          <w:rFonts w:ascii="Verdana" w:eastAsia="Times New Roman" w:hAnsi="Verdana" w:cs="Arial"/>
          <w:lang w:eastAsia="es-MX"/>
        </w:rPr>
      </w:pPr>
      <w:r w:rsidRPr="77F716A6">
        <w:rPr>
          <w:rFonts w:ascii="Verdana" w:eastAsia="Times New Roman" w:hAnsi="Verdana" w:cs="Arial"/>
          <w:lang w:eastAsia="es-MX"/>
        </w:rPr>
        <w:t xml:space="preserve">Por tanto, la presentación de la propuesta no perfecciona el contrato de concesión de minera, sino que genera un privilegio en su evaluación frente a las demás allegadas con posterioridad. En los términos de la exposición de motivos, “[…] la sola propuesta de contrato sí engendra un verdadero derecho en cabeza del proponente, oponible a terceros particulares, pretendientes de la misma área o del mismo mineral, cual es el derecho de prelación o preferencia frente otras propuestas. </w:t>
      </w:r>
      <w:r w:rsidRPr="77F716A6">
        <w:rPr>
          <w:rFonts w:ascii="Verdana" w:eastAsia="Times New Roman" w:hAnsi="Verdana" w:cs="Arial"/>
          <w:i/>
          <w:lang w:eastAsia="es-MX"/>
        </w:rPr>
        <w:t>De allí que, como en la concurrencia de proponentes, la entidad administrativa no tiene un poder discrecional para escoger, sino una facultad reglada, la aludida propuesta del interesado, si llena ciertos requisitos básicos, crea una situación subjetiva para este, que debe ser respetada por los demás interesados mientras no sea desechada por la autoridad concedente</w:t>
      </w:r>
      <w:r w:rsidRPr="77F716A6">
        <w:rPr>
          <w:rFonts w:ascii="Verdana" w:eastAsia="Times New Roman" w:hAnsi="Verdana" w:cs="Arial"/>
          <w:lang w:eastAsia="es-MX"/>
        </w:rPr>
        <w:t xml:space="preserve"> […]”</w:t>
      </w:r>
      <w:r w:rsidRPr="77F716A6">
        <w:rPr>
          <w:rStyle w:val="Refdenotaalpie"/>
          <w:rFonts w:ascii="Verdana" w:eastAsia="Times New Roman" w:hAnsi="Verdana" w:cs="Arial"/>
          <w:lang w:eastAsia="es-MX"/>
        </w:rPr>
        <w:footnoteReference w:id="26"/>
      </w:r>
      <w:r w:rsidRPr="77F716A6">
        <w:rPr>
          <w:rFonts w:ascii="Verdana" w:eastAsia="Times New Roman" w:hAnsi="Verdana" w:cs="Arial"/>
          <w:lang w:eastAsia="es-MX"/>
        </w:rPr>
        <w:t xml:space="preserve"> (Énfasis fuera de texto). </w:t>
      </w:r>
    </w:p>
    <w:p w14:paraId="0646E521" w14:textId="77777777" w:rsidR="00B8458C" w:rsidRDefault="00B8458C" w:rsidP="00B8458C">
      <w:pPr>
        <w:spacing w:after="0" w:line="276" w:lineRule="auto"/>
        <w:ind w:firstLine="709"/>
        <w:jc w:val="both"/>
        <w:rPr>
          <w:rFonts w:ascii="Verdana" w:eastAsia="Times New Roman" w:hAnsi="Verdana" w:cs="Arial"/>
          <w:lang w:val="es-ES" w:eastAsia="es-MX"/>
        </w:rPr>
      </w:pPr>
      <w:r>
        <w:rPr>
          <w:rFonts w:ascii="Verdana" w:eastAsia="Times New Roman" w:hAnsi="Verdana" w:cs="Arial"/>
          <w:lang w:val="es-ES" w:eastAsia="es-MX"/>
        </w:rPr>
        <w:t xml:space="preserve">En este contexto, el artículo 16 de la Ley 685 de 2001 no obstaculiza la pluralidad de oferentes, pues “[…] </w:t>
      </w:r>
      <w:r w:rsidRPr="00A04506">
        <w:rPr>
          <w:rFonts w:ascii="Verdana" w:eastAsia="Times New Roman" w:hAnsi="Verdana" w:cs="Arial"/>
          <w:lang w:val="es-ES" w:eastAsia="es-MX"/>
        </w:rPr>
        <w:t>si existiese</w:t>
      </w:r>
      <w:r>
        <w:rPr>
          <w:rFonts w:ascii="Verdana" w:eastAsia="Times New Roman" w:hAnsi="Verdana" w:cs="Arial"/>
          <w:lang w:val="es-ES" w:eastAsia="es-MX"/>
        </w:rPr>
        <w:t xml:space="preserve"> </w:t>
      </w:r>
      <w:r w:rsidRPr="00A04506">
        <w:rPr>
          <w:rFonts w:ascii="Verdana" w:eastAsia="Times New Roman" w:hAnsi="Verdana" w:cs="Arial"/>
          <w:lang w:val="es-ES" w:eastAsia="es-MX"/>
        </w:rPr>
        <w:t>una primera propuesta y otras posteriores sobre la misma área o parte del área, sólo confiere</w:t>
      </w:r>
      <w:r>
        <w:rPr>
          <w:rFonts w:ascii="Verdana" w:eastAsia="Times New Roman" w:hAnsi="Verdana" w:cs="Arial"/>
          <w:lang w:val="es-ES" w:eastAsia="es-MX"/>
        </w:rPr>
        <w:t xml:space="preserve"> </w:t>
      </w:r>
      <w:r w:rsidRPr="00A04506">
        <w:rPr>
          <w:rFonts w:ascii="Verdana" w:eastAsia="Times New Roman" w:hAnsi="Verdana" w:cs="Arial"/>
          <w:lang w:val="es-ES" w:eastAsia="es-MX"/>
        </w:rPr>
        <w:t>al interesado un derecho de prelación o preferencia para la obtención de la Concesión</w:t>
      </w:r>
      <w:r>
        <w:rPr>
          <w:rFonts w:ascii="Verdana" w:eastAsia="Times New Roman" w:hAnsi="Verdana" w:cs="Arial"/>
          <w:lang w:val="es-ES" w:eastAsia="es-MX"/>
        </w:rPr>
        <w:t xml:space="preserve">. </w:t>
      </w:r>
      <w:r w:rsidRPr="000615D7">
        <w:rPr>
          <w:rFonts w:ascii="Verdana" w:eastAsia="Times New Roman" w:hAnsi="Verdana" w:cs="Arial"/>
          <w:lang w:val="es-ES" w:eastAsia="es-MX"/>
        </w:rPr>
        <w:t>Esto</w:t>
      </w:r>
      <w:r>
        <w:rPr>
          <w:rFonts w:ascii="Verdana" w:eastAsia="Times New Roman" w:hAnsi="Verdana" w:cs="Arial"/>
          <w:lang w:val="es-ES" w:eastAsia="es-MX"/>
        </w:rPr>
        <w:t xml:space="preserve"> </w:t>
      </w:r>
      <w:r w:rsidRPr="000615D7">
        <w:rPr>
          <w:rFonts w:ascii="Verdana" w:eastAsia="Times New Roman" w:hAnsi="Verdana" w:cs="Arial"/>
          <w:lang w:val="es-ES" w:eastAsia="es-MX"/>
        </w:rPr>
        <w:t>significa que la primera solicitud presentada</w:t>
      </w:r>
      <w:r>
        <w:rPr>
          <w:rFonts w:ascii="Verdana" w:eastAsia="Times New Roman" w:hAnsi="Verdana" w:cs="Arial"/>
          <w:lang w:val="es-ES" w:eastAsia="es-MX"/>
        </w:rPr>
        <w:t xml:space="preserve"> </w:t>
      </w:r>
      <w:r w:rsidRPr="000615D7">
        <w:rPr>
          <w:rFonts w:ascii="Verdana" w:eastAsia="Times New Roman" w:hAnsi="Verdana" w:cs="Arial"/>
          <w:lang w:val="es-ES" w:eastAsia="es-MX"/>
        </w:rPr>
        <w:t>ante la autoridad minera tendrá prioridad,</w:t>
      </w:r>
      <w:r>
        <w:rPr>
          <w:rFonts w:ascii="Verdana" w:eastAsia="Times New Roman" w:hAnsi="Verdana" w:cs="Arial"/>
          <w:lang w:val="es-ES" w:eastAsia="es-MX"/>
        </w:rPr>
        <w:t xml:space="preserve"> </w:t>
      </w:r>
      <w:r w:rsidRPr="000615D7">
        <w:rPr>
          <w:rFonts w:ascii="Verdana" w:eastAsia="Times New Roman" w:hAnsi="Verdana" w:cs="Arial"/>
          <w:lang w:val="es-ES" w:eastAsia="es-MX"/>
        </w:rPr>
        <w:t>primacía y predilección para el otorgamiento</w:t>
      </w:r>
      <w:r>
        <w:rPr>
          <w:rFonts w:ascii="Verdana" w:eastAsia="Times New Roman" w:hAnsi="Verdana" w:cs="Arial"/>
          <w:lang w:val="es-ES" w:eastAsia="es-MX"/>
        </w:rPr>
        <w:t xml:space="preserve"> </w:t>
      </w:r>
      <w:r w:rsidRPr="000615D7">
        <w:rPr>
          <w:rFonts w:ascii="Verdana" w:eastAsia="Times New Roman" w:hAnsi="Verdana" w:cs="Arial"/>
          <w:lang w:val="es-ES" w:eastAsia="es-MX"/>
        </w:rPr>
        <w:t>del Contrato de Concesión, siempre y cuando</w:t>
      </w:r>
      <w:r>
        <w:rPr>
          <w:rFonts w:ascii="Verdana" w:eastAsia="Times New Roman" w:hAnsi="Verdana" w:cs="Arial"/>
          <w:lang w:val="es-ES" w:eastAsia="es-MX"/>
        </w:rPr>
        <w:t xml:space="preserve"> </w:t>
      </w:r>
      <w:r w:rsidRPr="000615D7">
        <w:rPr>
          <w:rFonts w:ascii="Verdana" w:eastAsia="Times New Roman" w:hAnsi="Verdana" w:cs="Arial"/>
          <w:lang w:val="es-ES" w:eastAsia="es-MX"/>
        </w:rPr>
        <w:t>cumpla con los requisitos legales exigidos</w:t>
      </w:r>
      <w:r>
        <w:rPr>
          <w:rFonts w:ascii="Verdana" w:eastAsia="Times New Roman" w:hAnsi="Verdana" w:cs="Arial"/>
          <w:lang w:val="es-ES" w:eastAsia="es-MX"/>
        </w:rPr>
        <w:t>”</w:t>
      </w:r>
      <w:r>
        <w:rPr>
          <w:rStyle w:val="Refdenotaalpie"/>
          <w:rFonts w:ascii="Verdana" w:eastAsia="Times New Roman" w:hAnsi="Verdana" w:cs="Arial"/>
          <w:lang w:val="es-ES" w:eastAsia="es-MX"/>
        </w:rPr>
        <w:footnoteReference w:id="27"/>
      </w:r>
      <w:r>
        <w:rPr>
          <w:rFonts w:ascii="Verdana" w:eastAsia="Times New Roman" w:hAnsi="Verdana" w:cs="Arial"/>
          <w:lang w:val="es-ES" w:eastAsia="es-MX"/>
        </w:rPr>
        <w:t>.</w:t>
      </w:r>
    </w:p>
    <w:p w14:paraId="68D0E5E6" w14:textId="77777777" w:rsidR="00B8458C" w:rsidRDefault="00B8458C" w:rsidP="00B8458C">
      <w:pPr>
        <w:spacing w:after="0" w:line="276" w:lineRule="auto"/>
        <w:jc w:val="both"/>
        <w:rPr>
          <w:rFonts w:ascii="Verdana" w:eastAsia="Times New Roman" w:hAnsi="Verdana" w:cs="Arial"/>
          <w:lang w:val="es-ES" w:eastAsia="es-MX"/>
        </w:rPr>
      </w:pPr>
    </w:p>
    <w:p w14:paraId="31108A43" w14:textId="77777777" w:rsidR="00B8458C" w:rsidRPr="00F4158D" w:rsidRDefault="00B8458C" w:rsidP="00B8458C">
      <w:pPr>
        <w:spacing w:after="120" w:line="276" w:lineRule="auto"/>
        <w:jc w:val="both"/>
        <w:rPr>
          <w:rFonts w:ascii="Verdana" w:eastAsia="Calibri" w:hAnsi="Verdana" w:cs="Arial"/>
          <w:bCs/>
          <w:color w:val="000000" w:themeColor="text1"/>
        </w:rPr>
      </w:pPr>
      <w:r>
        <w:rPr>
          <w:rFonts w:ascii="Verdana" w:eastAsia="Times New Roman" w:hAnsi="Verdana" w:cs="Arial"/>
          <w:lang w:val="es-ES" w:eastAsia="es-MX"/>
        </w:rPr>
        <w:t xml:space="preserve">vi. </w:t>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29500C8" w14:textId="77777777" w:rsidR="00B8458C" w:rsidRPr="00F4158D" w:rsidRDefault="00B8458C" w:rsidP="00B8458C">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94BEDB3" w14:textId="77777777" w:rsidR="00B8458C" w:rsidRPr="00F4158D" w:rsidRDefault="00B8458C" w:rsidP="00B8458C">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0EA94DD" w14:textId="77777777" w:rsidR="00B8458C" w:rsidRPr="00593A5F" w:rsidRDefault="00B8458C" w:rsidP="00B8458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025DBBE7" w14:textId="77777777" w:rsidR="00B8458C" w:rsidRPr="00593A5F" w:rsidRDefault="00B8458C" w:rsidP="00B8458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8458C" w:rsidRPr="002407CE" w14:paraId="52649F6F" w14:textId="77777777" w:rsidTr="009D1252">
        <w:trPr>
          <w:trHeight w:val="870"/>
          <w:jc w:val="center"/>
        </w:trPr>
        <w:tc>
          <w:tcPr>
            <w:tcW w:w="8647" w:type="dxa"/>
          </w:tcPr>
          <w:p w14:paraId="60FE49AF" w14:textId="77777777" w:rsidR="00B8458C" w:rsidRDefault="00B8458C" w:rsidP="009D12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165DA455" w14:textId="77777777" w:rsidR="00B8458C" w:rsidRDefault="00B8458C" w:rsidP="009D12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41 y 76.</w:t>
            </w:r>
          </w:p>
          <w:p w14:paraId="21760E9F" w14:textId="77777777" w:rsidR="00B8458C" w:rsidRDefault="00B8458C" w:rsidP="009D12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585 de 2001, artículos 16, 45 y 53.</w:t>
            </w:r>
          </w:p>
          <w:p w14:paraId="491BB703" w14:textId="77777777" w:rsidR="00B8458C" w:rsidRDefault="00B8458C" w:rsidP="009D12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962 de 2005, artículo 15. </w:t>
            </w:r>
          </w:p>
          <w:p w14:paraId="4748D258" w14:textId="77777777" w:rsidR="00B8458C" w:rsidRDefault="00B8458C" w:rsidP="009D12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4FBA5528" w14:textId="77777777" w:rsidR="00B8458C" w:rsidRPr="008B7701" w:rsidRDefault="00B8458C" w:rsidP="009D1252">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3A61BB8B" w14:textId="77777777" w:rsidR="00B8458C" w:rsidRPr="003630EB" w:rsidRDefault="00B8458C" w:rsidP="009D1252">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1501.</w:t>
            </w:r>
          </w:p>
        </w:tc>
      </w:tr>
    </w:tbl>
    <w:p w14:paraId="79453A4A" w14:textId="77777777" w:rsidR="00B8458C" w:rsidRPr="002407CE" w:rsidRDefault="00B8458C" w:rsidP="00B8458C">
      <w:pPr>
        <w:widowControl w:val="0"/>
        <w:autoSpaceDE w:val="0"/>
        <w:autoSpaceDN w:val="0"/>
        <w:spacing w:after="0" w:line="276" w:lineRule="auto"/>
        <w:jc w:val="both"/>
        <w:rPr>
          <w:rFonts w:ascii="Verdana" w:hAnsi="Verdana" w:cs="Arial"/>
        </w:rPr>
      </w:pPr>
    </w:p>
    <w:p w14:paraId="6FDA2855" w14:textId="77777777" w:rsidR="00B8458C" w:rsidRPr="00593A5F" w:rsidRDefault="00B8458C" w:rsidP="00B8458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F4A4409" w14:textId="77777777" w:rsidR="00B8458C" w:rsidRPr="00593A5F" w:rsidRDefault="00B8458C" w:rsidP="00B8458C">
      <w:pPr>
        <w:widowControl w:val="0"/>
        <w:autoSpaceDE w:val="0"/>
        <w:autoSpaceDN w:val="0"/>
        <w:spacing w:after="0" w:line="276" w:lineRule="auto"/>
        <w:jc w:val="both"/>
        <w:rPr>
          <w:rFonts w:ascii="Verdana" w:hAnsi="Verdana" w:cs="Arial"/>
        </w:rPr>
      </w:pPr>
    </w:p>
    <w:p w14:paraId="7F20CA2F" w14:textId="77777777" w:rsidR="00B8458C" w:rsidRPr="00ED0098" w:rsidRDefault="00B8458C" w:rsidP="00B8458C">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w:t>
      </w:r>
      <w:r w:rsidRPr="00177E85">
        <w:rPr>
          <w:rFonts w:ascii="Verdana" w:hAnsi="Verdana" w:cs="Arial"/>
          <w:shd w:val="clear" w:color="auto" w:fill="FFFFFF"/>
        </w:rPr>
        <w:lastRenderedPageBreak/>
        <w:t xml:space="preserve">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Fonts w:ascii="Verdana" w:hAnsi="Verdana"/>
        </w:rPr>
        <w:t xml:space="preserve">. Asimismo, </w:t>
      </w:r>
      <w:r w:rsidRPr="0094222D">
        <w:rPr>
          <w:rStyle w:val="normaltextrun"/>
          <w:rFonts w:ascii="Verdana" w:hAnsi="Verdana" w:cs="Arial"/>
          <w:shd w:val="clear" w:color="auto" w:fill="FFFFFF"/>
          <w:lang w:val="es-ES_tradnl"/>
        </w:rPr>
        <w:t>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C-159 del 20 de marzo de 2025, C-1648 del 14 de noviembre de 2025 y C-001 del 21 de enero de 2026.</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7F960C4" w14:textId="77777777" w:rsidR="00B8458C" w:rsidRPr="00096788" w:rsidRDefault="00B8458C" w:rsidP="00B8458C">
      <w:pPr>
        <w:widowControl w:val="0"/>
        <w:autoSpaceDE w:val="0"/>
        <w:autoSpaceDN w:val="0"/>
        <w:spacing w:after="0" w:line="276" w:lineRule="auto"/>
        <w:jc w:val="both"/>
        <w:rPr>
          <w:rFonts w:ascii="Verdana" w:hAnsi="Verdana" w:cs="Arial"/>
          <w:color w:val="000000" w:themeColor="text1"/>
          <w:shd w:val="clear" w:color="auto" w:fill="FFFFFF"/>
        </w:rPr>
      </w:pPr>
    </w:p>
    <w:p w14:paraId="25020410" w14:textId="77777777" w:rsidR="00B8458C" w:rsidRDefault="00B8458C" w:rsidP="00B8458C">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 xml:space="preserve">Guía de lineamientos de transparencia y selección </w:t>
        </w:r>
        <w:r w:rsidRPr="00032009">
          <w:rPr>
            <w:rStyle w:val="Hipervnculo"/>
            <w:rFonts w:ascii="Verdana" w:hAnsi="Verdana"/>
          </w:rPr>
          <w:lastRenderedPageBreak/>
          <w:t>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5962B0E1" w14:textId="77777777" w:rsidR="00B8458C" w:rsidRDefault="00B8458C" w:rsidP="00B8458C">
      <w:pPr>
        <w:shd w:val="clear" w:color="auto" w:fill="FFFFFF"/>
        <w:spacing w:after="0" w:line="276" w:lineRule="auto"/>
        <w:jc w:val="both"/>
        <w:rPr>
          <w:rFonts w:ascii="Verdana" w:hAnsi="Verdana"/>
          <w:color w:val="000000"/>
          <w:u w:val="single"/>
        </w:rPr>
      </w:pPr>
    </w:p>
    <w:p w14:paraId="3A288420" w14:textId="77777777" w:rsidR="00B8458C" w:rsidRPr="0038088D" w:rsidRDefault="00B8458C" w:rsidP="00B8458C">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3F61980A" w14:textId="77777777" w:rsidR="00B8458C" w:rsidRPr="0038088D" w:rsidRDefault="00B8458C" w:rsidP="00B8458C">
      <w:pPr>
        <w:spacing w:after="0"/>
        <w:jc w:val="both"/>
        <w:rPr>
          <w:rFonts w:ascii="Verdana" w:hAnsi="Verdana"/>
        </w:rPr>
      </w:pPr>
    </w:p>
    <w:p w14:paraId="1E129E5D" w14:textId="77777777" w:rsidR="00B8458C" w:rsidRPr="0038088D" w:rsidRDefault="00B8458C" w:rsidP="00B8458C">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4B520A62" w14:textId="77777777" w:rsidR="00B8458C" w:rsidRPr="0038088D" w:rsidRDefault="00B8458C" w:rsidP="00B8458C">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25653F13" w14:textId="77777777" w:rsidR="00B8458C" w:rsidRPr="0038088D" w:rsidRDefault="00B8458C" w:rsidP="00B8458C">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3">
        <w:r w:rsidRPr="0038088D">
          <w:rPr>
            <w:rStyle w:val="Hipervnculo"/>
            <w:rFonts w:ascii="Verdana" w:eastAsia="Verdana" w:hAnsi="Verdana" w:cs="Verdana"/>
          </w:rPr>
          <w:t>ventanilladeradicacion@colombiacompra.gov.co</w:t>
        </w:r>
      </w:hyperlink>
    </w:p>
    <w:p w14:paraId="38317DD7" w14:textId="77777777" w:rsidR="00B8458C" w:rsidRPr="0038088D" w:rsidRDefault="00B8458C" w:rsidP="00B8458C">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4">
        <w:r w:rsidRPr="0038088D">
          <w:rPr>
            <w:rStyle w:val="Hipervnculo"/>
            <w:rFonts w:ascii="Verdana" w:eastAsia="Verdana" w:hAnsi="Verdana" w:cs="Verdana"/>
          </w:rPr>
          <w:t>https://www.colombiacompra.gov.co/pqrsd/informacion-importante-antes-de-formular-una-pqrsd</w:t>
        </w:r>
      </w:hyperlink>
    </w:p>
    <w:p w14:paraId="5DB574F3" w14:textId="77777777" w:rsidR="00B8458C" w:rsidRPr="0038088D" w:rsidRDefault="00B8458C" w:rsidP="00B8458C">
      <w:pPr>
        <w:spacing w:after="0" w:line="240" w:lineRule="auto"/>
        <w:ind w:left="720"/>
        <w:jc w:val="both"/>
        <w:rPr>
          <w:rFonts w:ascii="Verdana" w:hAnsi="Verdana"/>
        </w:rPr>
      </w:pPr>
    </w:p>
    <w:p w14:paraId="155471EF" w14:textId="77777777" w:rsidR="00B8458C" w:rsidRPr="0038088D" w:rsidRDefault="00B8458C" w:rsidP="00B8458C">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5"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63A3A7A0" w14:textId="77777777" w:rsidR="00B8458C" w:rsidRPr="0038088D" w:rsidRDefault="00B8458C" w:rsidP="00B8458C">
      <w:pPr>
        <w:spacing w:after="0" w:line="240" w:lineRule="auto"/>
        <w:rPr>
          <w:rFonts w:ascii="Verdana" w:hAnsi="Verdana"/>
        </w:rPr>
      </w:pPr>
    </w:p>
    <w:p w14:paraId="1862A21C" w14:textId="77777777" w:rsidR="00B8458C" w:rsidRPr="0038088D" w:rsidRDefault="00B8458C" w:rsidP="00B8458C">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1AF1BEC0" w14:textId="77777777" w:rsidR="00B8458C" w:rsidRPr="00116940" w:rsidRDefault="00B8458C" w:rsidP="00B8458C">
      <w:pPr>
        <w:spacing w:after="0" w:line="240" w:lineRule="auto"/>
        <w:jc w:val="both"/>
        <w:rPr>
          <w:rFonts w:ascii="Verdana" w:hAnsi="Verdana"/>
        </w:rPr>
      </w:pPr>
    </w:p>
    <w:p w14:paraId="472F9687" w14:textId="77777777" w:rsidR="00B8458C" w:rsidRPr="00116940" w:rsidRDefault="00B8458C" w:rsidP="00B8458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07AE9D87" w14:textId="77777777" w:rsidR="00B8458C" w:rsidRPr="00116940" w:rsidRDefault="00B8458C" w:rsidP="00B8458C">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0DDE769" w14:textId="77777777" w:rsidR="00B8458C" w:rsidRPr="00E22E6E" w:rsidRDefault="00B8458C" w:rsidP="00B8458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C0376CA" w14:textId="77777777" w:rsidR="00B8458C" w:rsidRPr="009C4035" w:rsidRDefault="00B8458C" w:rsidP="00B8458C">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BF126CE" w14:textId="77777777" w:rsidR="00B8458C" w:rsidRPr="00593A5F" w:rsidRDefault="00B8458C" w:rsidP="00B8458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4D6A9D9A" w14:textId="77777777" w:rsidR="00B8458C" w:rsidRPr="00593A5F" w:rsidRDefault="00B8458C" w:rsidP="00B8458C">
      <w:pPr>
        <w:widowControl w:val="0"/>
        <w:autoSpaceDE w:val="0"/>
        <w:autoSpaceDN w:val="0"/>
        <w:spacing w:after="0" w:line="276" w:lineRule="auto"/>
        <w:jc w:val="both"/>
        <w:rPr>
          <w:rFonts w:ascii="Verdana" w:hAnsi="Verdana" w:cs="Arial"/>
        </w:rPr>
      </w:pPr>
    </w:p>
    <w:p w14:paraId="0E2D04F3" w14:textId="77777777" w:rsidR="00B8458C" w:rsidRPr="00593A5F" w:rsidRDefault="00B8458C" w:rsidP="00B8458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023963F" w14:textId="4D359D0A" w:rsidR="00B8458C" w:rsidRPr="00593A5F" w:rsidRDefault="00D3048E" w:rsidP="00B8458C">
      <w:pPr>
        <w:spacing w:line="276" w:lineRule="auto"/>
        <w:jc w:val="center"/>
        <w:rPr>
          <w:rFonts w:ascii="Verdana" w:hAnsi="Verdana" w:cs="Arial"/>
          <w:color w:val="000000"/>
          <w:lang w:val="es-ES_tradnl" w:eastAsia="es-CO"/>
        </w:rPr>
      </w:pPr>
      <w:r>
        <w:rPr>
          <w:noProof/>
        </w:rPr>
        <w:lastRenderedPageBreak/>
        <w:drawing>
          <wp:inline distT="0" distB="0" distL="0" distR="0" wp14:anchorId="1CD669AB" wp14:editId="68A0813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8458C" w:rsidRPr="00593A5F" w14:paraId="3B556E68" w14:textId="77777777" w:rsidTr="009D1252">
        <w:trPr>
          <w:trHeight w:val="315"/>
        </w:trPr>
        <w:tc>
          <w:tcPr>
            <w:tcW w:w="893" w:type="dxa"/>
            <w:vAlign w:val="center"/>
            <w:hideMark/>
          </w:tcPr>
          <w:p w14:paraId="2047E307" w14:textId="77777777" w:rsidR="00B8458C" w:rsidRPr="003751C7" w:rsidRDefault="00B8458C" w:rsidP="009D125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0DD4BDA" w14:textId="77777777" w:rsidR="00B8458C" w:rsidRPr="00254A7A" w:rsidRDefault="00B8458C" w:rsidP="009D1252">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4B3A889" w14:textId="77777777" w:rsidR="00B8458C" w:rsidRPr="00254A7A" w:rsidRDefault="00B8458C" w:rsidP="009D1252">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8458C" w:rsidRPr="00593A5F" w14:paraId="30DF11B3" w14:textId="77777777" w:rsidTr="009D1252">
        <w:trPr>
          <w:trHeight w:val="330"/>
        </w:trPr>
        <w:tc>
          <w:tcPr>
            <w:tcW w:w="893" w:type="dxa"/>
            <w:vAlign w:val="center"/>
            <w:hideMark/>
          </w:tcPr>
          <w:p w14:paraId="57795A88" w14:textId="77777777" w:rsidR="00B8458C" w:rsidRPr="003751C7" w:rsidRDefault="00B8458C" w:rsidP="009D125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592E992" w14:textId="77777777" w:rsidR="00B8458C" w:rsidRPr="001B6B73" w:rsidRDefault="00B8458C" w:rsidP="009D1252">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501781E5" w14:textId="77777777" w:rsidR="00B8458C" w:rsidRPr="00254A7A" w:rsidRDefault="00B8458C" w:rsidP="009D1252">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B8458C" w:rsidRPr="00593A5F" w14:paraId="5EB19BD4" w14:textId="77777777" w:rsidTr="009D1252">
        <w:trPr>
          <w:trHeight w:val="300"/>
        </w:trPr>
        <w:tc>
          <w:tcPr>
            <w:tcW w:w="893" w:type="dxa"/>
            <w:vAlign w:val="center"/>
          </w:tcPr>
          <w:p w14:paraId="78B6BBE4" w14:textId="77777777" w:rsidR="00B8458C" w:rsidRPr="003751C7" w:rsidRDefault="00B8458C" w:rsidP="009D125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531F0E" w14:textId="77777777" w:rsidR="00B8458C" w:rsidRPr="003751C7" w:rsidRDefault="00B8458C" w:rsidP="009D1252">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30DB0DEA" w14:textId="77777777" w:rsidR="00B8458C" w:rsidRPr="003751C7" w:rsidRDefault="00B8458C" w:rsidP="009D1252">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78AF6" w14:textId="77777777" w:rsidR="008875E7" w:rsidRDefault="008875E7" w:rsidP="004A1847">
      <w:pPr>
        <w:spacing w:after="0" w:line="240" w:lineRule="auto"/>
      </w:pPr>
      <w:r>
        <w:separator/>
      </w:r>
    </w:p>
  </w:endnote>
  <w:endnote w:type="continuationSeparator" w:id="0">
    <w:p w14:paraId="111B1126" w14:textId="77777777" w:rsidR="008875E7" w:rsidRDefault="008875E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9BA4D" w14:textId="77777777" w:rsidR="008875E7" w:rsidRDefault="008875E7" w:rsidP="004A1847">
      <w:pPr>
        <w:spacing w:after="0" w:line="240" w:lineRule="auto"/>
      </w:pPr>
      <w:r>
        <w:separator/>
      </w:r>
    </w:p>
  </w:footnote>
  <w:footnote w:type="continuationSeparator" w:id="0">
    <w:p w14:paraId="1F3445ED" w14:textId="77777777" w:rsidR="008875E7" w:rsidRDefault="008875E7" w:rsidP="004A1847">
      <w:pPr>
        <w:spacing w:after="0" w:line="240" w:lineRule="auto"/>
      </w:pPr>
      <w:r>
        <w:continuationSeparator/>
      </w:r>
    </w:p>
  </w:footnote>
  <w:footnote w:id="1">
    <w:p w14:paraId="2FE409E9" w14:textId="77777777" w:rsidR="00B8458C" w:rsidRPr="004B35AC" w:rsidRDefault="00B8458C" w:rsidP="00B8458C">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A5D07E9" w14:textId="77777777" w:rsidR="00B8458C" w:rsidRPr="004B35AC" w:rsidRDefault="00B8458C" w:rsidP="00B8458C">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3E054E6F" w14:textId="77777777" w:rsidR="00B8458C" w:rsidRPr="004B35AC" w:rsidRDefault="00B8458C" w:rsidP="00B8458C">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3">
    <w:p w14:paraId="6C9EDB87" w14:textId="77777777" w:rsidR="00B8458C" w:rsidRPr="004B35AC" w:rsidRDefault="00B8458C" w:rsidP="00B8458C">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Monroy Cabra.</w:t>
      </w:r>
    </w:p>
  </w:footnote>
  <w:footnote w:id="4">
    <w:p w14:paraId="2558B6C4" w14:textId="77777777" w:rsidR="00B8458C" w:rsidRPr="004B35AC" w:rsidRDefault="00B8458C" w:rsidP="00B8458C">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57684642" w14:textId="77777777" w:rsidR="00B8458C" w:rsidRPr="004B35AC" w:rsidRDefault="00B8458C" w:rsidP="00B8458C">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565C2FA3" w14:textId="77777777" w:rsidR="00B8458C" w:rsidRPr="004B35AC" w:rsidRDefault="00B8458C" w:rsidP="00B8458C">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7">
    <w:p w14:paraId="299C5C01" w14:textId="77777777" w:rsidR="00B8458C" w:rsidRPr="004B35AC" w:rsidRDefault="00B8458C" w:rsidP="00B8458C">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7"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7"/>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6E825965" w14:textId="77777777" w:rsidR="00B8458C" w:rsidRPr="004B35AC" w:rsidRDefault="00B8458C" w:rsidP="00B8458C">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8">
    <w:p w14:paraId="19AC5907" w14:textId="77777777" w:rsidR="00B8458C" w:rsidRPr="004B35AC" w:rsidRDefault="00B8458C" w:rsidP="00B8458C">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8"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8"/>
      <w:r w:rsidRPr="004B35AC">
        <w:rPr>
          <w:rFonts w:ascii="Verdana" w:hAnsi="Verdana" w:cs="Arial"/>
          <w:sz w:val="16"/>
          <w:szCs w:val="16"/>
          <w:lang w:val="es-MX"/>
        </w:rPr>
        <w:t xml:space="preserve"> […]</w:t>
      </w:r>
    </w:p>
    <w:p w14:paraId="03E01339" w14:textId="77777777" w:rsidR="00B8458C" w:rsidRPr="004B35AC" w:rsidRDefault="00B8458C" w:rsidP="00B8458C">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9">
    <w:p w14:paraId="464E3598" w14:textId="77777777" w:rsidR="00B8458C" w:rsidRPr="004B35AC" w:rsidRDefault="00B8458C" w:rsidP="00B8458C">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0">
    <w:p w14:paraId="416AD16D" w14:textId="77777777" w:rsidR="00B8458C" w:rsidRPr="004B35AC" w:rsidRDefault="00B8458C" w:rsidP="00B8458C">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39F107D5" w14:textId="77777777" w:rsidR="00B8458C" w:rsidRPr="004B35AC" w:rsidRDefault="00B8458C" w:rsidP="00B8458C">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2">
    <w:p w14:paraId="6EC649EC" w14:textId="77777777" w:rsidR="00B8458C" w:rsidRPr="004B35AC" w:rsidRDefault="00B8458C" w:rsidP="00B8458C">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3">
    <w:p w14:paraId="480ED0E1" w14:textId="77777777" w:rsidR="00B8458C" w:rsidRPr="004B35AC" w:rsidRDefault="00B8458C" w:rsidP="00B8458C">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4">
    <w:p w14:paraId="7B702206" w14:textId="77777777" w:rsidR="00B8458C" w:rsidRPr="004B35AC" w:rsidRDefault="00B8458C" w:rsidP="00B8458C">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5">
    <w:p w14:paraId="17D63BAA" w14:textId="77777777" w:rsidR="00B8458C" w:rsidRPr="004B35AC" w:rsidRDefault="00B8458C" w:rsidP="00B8458C">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6">
    <w:p w14:paraId="10BBA96D" w14:textId="77777777" w:rsidR="00B8458C" w:rsidRPr="004B35AC" w:rsidRDefault="00B8458C" w:rsidP="00B8458C">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7">
    <w:p w14:paraId="0A5F64B6" w14:textId="77777777" w:rsidR="00B8458C" w:rsidRPr="004B35AC" w:rsidRDefault="00B8458C" w:rsidP="00B8458C">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8">
    <w:p w14:paraId="08A750BE" w14:textId="77777777" w:rsidR="00B8458C" w:rsidRPr="004B35AC" w:rsidRDefault="00B8458C" w:rsidP="00B8458C">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 w:id="19">
    <w:p w14:paraId="15D14C76" w14:textId="77777777" w:rsidR="00B8458C" w:rsidRPr="004B35AC" w:rsidRDefault="00B8458C" w:rsidP="00B8458C">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0">
    <w:p w14:paraId="196F10A1" w14:textId="77777777" w:rsidR="00B8458C" w:rsidRPr="004B35AC" w:rsidRDefault="00B8458C" w:rsidP="00B8458C">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54DDA816" w14:textId="77777777" w:rsidR="00B8458C" w:rsidRPr="004B35AC" w:rsidRDefault="00B8458C" w:rsidP="00B8458C">
      <w:pPr>
        <w:spacing w:after="0" w:line="240" w:lineRule="auto"/>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5686254A" w14:textId="77777777" w:rsidR="00B8458C" w:rsidRPr="004B35AC" w:rsidRDefault="00B8458C" w:rsidP="00B8458C">
      <w:pPr>
        <w:pStyle w:val="Textonotapie"/>
        <w:ind w:right="51" w:firstLine="709"/>
        <w:jc w:val="both"/>
        <w:rPr>
          <w:rFonts w:ascii="Verdana" w:eastAsia="Times New Roman" w:hAnsi="Verdana" w:cs="Arial"/>
          <w:bCs/>
          <w:sz w:val="16"/>
          <w:szCs w:val="16"/>
          <w:lang w:eastAsia="x-none"/>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4B35AC">
        <w:rPr>
          <w:rFonts w:ascii="Verdana" w:eastAsia="Times New Roman" w:hAnsi="Verdana" w:cs="Arial"/>
          <w:bCs/>
          <w:sz w:val="16"/>
          <w:szCs w:val="16"/>
          <w:lang w:eastAsia="x-none"/>
        </w:rPr>
        <w:t xml:space="preserve"> “</w:t>
      </w:r>
      <w:r w:rsidRPr="004B35AC">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B35AC">
        <w:rPr>
          <w:rFonts w:ascii="Verdana" w:eastAsia="Times New Roman" w:hAnsi="Verdana" w:cs="Arial"/>
          <w:bCs/>
          <w:sz w:val="16"/>
          <w:szCs w:val="16"/>
          <w:lang w:eastAsia="x-none"/>
        </w:rPr>
        <w:t>”.</w:t>
      </w:r>
    </w:p>
  </w:footnote>
  <w:footnote w:id="23">
    <w:p w14:paraId="735164CB" w14:textId="77777777" w:rsidR="00B8458C" w:rsidRPr="004B35AC" w:rsidRDefault="00B8458C" w:rsidP="00B8458C">
      <w:pPr>
        <w:spacing w:after="0" w:line="240" w:lineRule="auto"/>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1494A294" w14:textId="77777777" w:rsidR="00B8458C" w:rsidRPr="004B35AC" w:rsidRDefault="00B8458C" w:rsidP="00B8458C">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ídem.</w:t>
      </w:r>
    </w:p>
  </w:footnote>
  <w:footnote w:id="25">
    <w:p w14:paraId="252DD1B9" w14:textId="77777777" w:rsidR="00B8458C" w:rsidRPr="00B930A2" w:rsidRDefault="00B8458C" w:rsidP="00B8458C">
      <w:pPr>
        <w:pStyle w:val="Textonotapie"/>
        <w:ind w:firstLine="708"/>
        <w:jc w:val="both"/>
        <w:rPr>
          <w:rFonts w:ascii="Verdana" w:hAnsi="Verdana"/>
          <w:sz w:val="16"/>
          <w:szCs w:val="16"/>
        </w:rPr>
      </w:pPr>
      <w:r w:rsidRPr="00905FD9">
        <w:rPr>
          <w:rStyle w:val="Refdenotaalpie"/>
          <w:rFonts w:ascii="Verdana" w:hAnsi="Verdana"/>
          <w:sz w:val="16"/>
          <w:szCs w:val="16"/>
        </w:rPr>
        <w:footnoteRef/>
      </w:r>
      <w:r w:rsidRPr="00905FD9">
        <w:rPr>
          <w:rFonts w:ascii="Verdana" w:hAnsi="Verdana"/>
          <w:sz w:val="16"/>
          <w:szCs w:val="16"/>
        </w:rPr>
        <w:t xml:space="preserve"> </w:t>
      </w:r>
      <w:r>
        <w:rPr>
          <w:rFonts w:ascii="Verdana" w:hAnsi="Verdana"/>
          <w:sz w:val="16"/>
          <w:szCs w:val="16"/>
        </w:rPr>
        <w:t xml:space="preserve">El </w:t>
      </w:r>
      <w:r w:rsidRPr="00497D70">
        <w:rPr>
          <w:rFonts w:ascii="Verdana" w:hAnsi="Verdana"/>
          <w:sz w:val="16"/>
          <w:szCs w:val="16"/>
        </w:rPr>
        <w:t>el artículo 15 de la Ley 962 de 2005</w:t>
      </w:r>
      <w:r>
        <w:rPr>
          <w:rFonts w:ascii="Verdana" w:hAnsi="Verdana"/>
          <w:sz w:val="16"/>
          <w:szCs w:val="16"/>
        </w:rPr>
        <w:t xml:space="preserve"> dispone que “</w:t>
      </w:r>
      <w:r w:rsidRPr="00B930A2">
        <w:rPr>
          <w:rFonts w:ascii="Verdana" w:hAnsi="Verdana"/>
          <w:sz w:val="16"/>
          <w:szCs w:val="16"/>
        </w:rPr>
        <w:t>Los organismos y entidades de la Administración Pública Nacional que conozcan de peticiones, quejas, o reclamos, deberán respetar estrictamente el orden de su presentación, dentro de los criterios señalados en el reglamento del derecho de petición de que trata el artículo 32 del Código Contencioso Administrativo, sin consideración de la naturaleza de la petición, queja o reclamo, salvo que tengan prelación legal. Los procedimientos especiales regulados por la ley se atenderán conforme a la misma. Si en la ley especial no se consagra el derecho de turno, se aplicará lo dispuesto en la presente ley.</w:t>
      </w:r>
    </w:p>
    <w:p w14:paraId="69D36465" w14:textId="77777777" w:rsidR="00B8458C" w:rsidRPr="00B930A2" w:rsidRDefault="00B8458C" w:rsidP="00B8458C">
      <w:pPr>
        <w:pStyle w:val="Textonotapie"/>
        <w:ind w:firstLine="708"/>
        <w:jc w:val="both"/>
        <w:rPr>
          <w:rFonts w:ascii="Verdana" w:hAnsi="Verdana"/>
          <w:sz w:val="16"/>
          <w:szCs w:val="16"/>
        </w:rPr>
      </w:pPr>
      <w:r w:rsidRPr="00B930A2">
        <w:rPr>
          <w:rFonts w:ascii="Verdana" w:hAnsi="Verdana"/>
          <w:sz w:val="16"/>
          <w:szCs w:val="16"/>
        </w:rPr>
        <w:t>En todas las entidades, dependencias y despachos públicos, debe llevarse un registro de presentación de documentos, en los cuales se dejará constancia de todos los escritos, peticiones y recursos que se presenten por los usuarios, de tal manera que estos puedan verificar el estricto respeto al derecho de turno, dentro de los criterios señalados en el reglamento mencionado en el inciso anterior, el cual será público, lo mismo que el registro de los asuntos radicados en la entidad u organismo. Tanto el reglamento como el registro se mantendrán a disposición de los usuarios en la oficina o mecanismo de atención al usuario.</w:t>
      </w:r>
    </w:p>
    <w:p w14:paraId="6DBF6DC0" w14:textId="77777777" w:rsidR="00B8458C" w:rsidRPr="00497D70" w:rsidRDefault="00B8458C" w:rsidP="00B8458C">
      <w:pPr>
        <w:pStyle w:val="Textonotapie"/>
        <w:ind w:firstLine="708"/>
        <w:jc w:val="both"/>
        <w:rPr>
          <w:rFonts w:ascii="Verdana" w:hAnsi="Verdana"/>
          <w:sz w:val="16"/>
          <w:szCs w:val="16"/>
          <w:lang w:val="es-CO"/>
        </w:rPr>
      </w:pPr>
      <w:r w:rsidRPr="00B930A2">
        <w:rPr>
          <w:rFonts w:ascii="Verdana" w:hAnsi="Verdana"/>
          <w:sz w:val="16"/>
          <w:szCs w:val="16"/>
        </w:rPr>
        <w:t>Cuando se trate de pagos que deba atender la Administración Pública, los mismos estarán sujetos a la normatividad presupuestal</w:t>
      </w:r>
      <w:r>
        <w:rPr>
          <w:rFonts w:ascii="Verdana" w:hAnsi="Verdana"/>
          <w:sz w:val="16"/>
          <w:szCs w:val="16"/>
        </w:rPr>
        <w:t>”</w:t>
      </w:r>
      <w:r w:rsidRPr="00B930A2">
        <w:rPr>
          <w:rFonts w:ascii="Verdana" w:hAnsi="Verdana"/>
          <w:sz w:val="16"/>
          <w:szCs w:val="16"/>
        </w:rPr>
        <w:t>.</w:t>
      </w:r>
    </w:p>
  </w:footnote>
  <w:footnote w:id="26">
    <w:p w14:paraId="63E250A4" w14:textId="77777777" w:rsidR="00B8458C" w:rsidRPr="005A66D0" w:rsidRDefault="00B8458C" w:rsidP="00B8458C">
      <w:pPr>
        <w:pStyle w:val="Textonotapie"/>
        <w:ind w:firstLine="708"/>
        <w:jc w:val="both"/>
        <w:rPr>
          <w:rFonts w:ascii="Verdana" w:hAnsi="Verdana"/>
          <w:sz w:val="16"/>
          <w:szCs w:val="16"/>
        </w:rPr>
      </w:pPr>
      <w:r w:rsidRPr="003627AD">
        <w:rPr>
          <w:rStyle w:val="Refdenotaalpie"/>
          <w:rFonts w:ascii="Verdana" w:hAnsi="Verdana"/>
          <w:sz w:val="16"/>
          <w:szCs w:val="16"/>
        </w:rPr>
        <w:footnoteRef/>
      </w:r>
      <w:r w:rsidRPr="003627AD">
        <w:rPr>
          <w:rFonts w:ascii="Verdana" w:hAnsi="Verdana"/>
          <w:sz w:val="16"/>
          <w:szCs w:val="16"/>
        </w:rPr>
        <w:t xml:space="preserve"> </w:t>
      </w:r>
      <w:r w:rsidRPr="005A66D0">
        <w:rPr>
          <w:rFonts w:ascii="Verdana" w:hAnsi="Verdana"/>
          <w:sz w:val="16"/>
          <w:szCs w:val="16"/>
        </w:rPr>
        <w:t>GACETA DEL CONGRESO, año ix,</w:t>
      </w:r>
      <w:r>
        <w:rPr>
          <w:rFonts w:ascii="Verdana" w:hAnsi="Verdana"/>
          <w:sz w:val="16"/>
          <w:szCs w:val="16"/>
        </w:rPr>
        <w:t xml:space="preserve"> </w:t>
      </w:r>
      <w:r w:rsidRPr="005A66D0">
        <w:rPr>
          <w:rFonts w:ascii="Verdana" w:hAnsi="Verdana"/>
          <w:sz w:val="16"/>
          <w:szCs w:val="16"/>
        </w:rPr>
        <w:t>n.º 113, Bogotá, 14 de abril de 2</w:t>
      </w:r>
      <w:r>
        <w:rPr>
          <w:rFonts w:ascii="Verdana" w:hAnsi="Verdana"/>
          <w:sz w:val="16"/>
          <w:szCs w:val="16"/>
        </w:rPr>
        <w:t>000</w:t>
      </w:r>
      <w:r w:rsidRPr="005A66D0">
        <w:rPr>
          <w:rFonts w:ascii="Verdana" w:hAnsi="Verdana"/>
          <w:sz w:val="16"/>
          <w:szCs w:val="16"/>
        </w:rPr>
        <w:t>.</w:t>
      </w:r>
      <w:r>
        <w:rPr>
          <w:rFonts w:ascii="Verdana" w:hAnsi="Verdana"/>
          <w:sz w:val="16"/>
          <w:szCs w:val="16"/>
        </w:rPr>
        <w:t xml:space="preserve"> p. 26. Asimismo, para la jurisprudencia, “[…] </w:t>
      </w:r>
      <w:r w:rsidRPr="00571DE9">
        <w:rPr>
          <w:rFonts w:ascii="Verdana" w:hAnsi="Verdana"/>
          <w:sz w:val="16"/>
          <w:szCs w:val="16"/>
        </w:rPr>
        <w:t>en el artículo 16 del Código de</w:t>
      </w:r>
      <w:r>
        <w:rPr>
          <w:rFonts w:ascii="Verdana" w:hAnsi="Verdana"/>
          <w:sz w:val="16"/>
          <w:szCs w:val="16"/>
        </w:rPr>
        <w:t xml:space="preserve"> </w:t>
      </w:r>
      <w:r w:rsidRPr="00571DE9">
        <w:rPr>
          <w:rFonts w:ascii="Verdana" w:hAnsi="Verdana"/>
          <w:sz w:val="16"/>
          <w:szCs w:val="16"/>
        </w:rPr>
        <w:t>Minas se establece que la primera solicitud o</w:t>
      </w:r>
      <w:r>
        <w:rPr>
          <w:rFonts w:ascii="Verdana" w:hAnsi="Verdana"/>
          <w:sz w:val="16"/>
          <w:szCs w:val="16"/>
        </w:rPr>
        <w:t xml:space="preserve"> </w:t>
      </w:r>
      <w:r w:rsidRPr="00571DE9">
        <w:rPr>
          <w:rFonts w:ascii="Verdana" w:hAnsi="Verdana"/>
          <w:sz w:val="16"/>
          <w:szCs w:val="16"/>
        </w:rPr>
        <w:t>propuesta de contrato de concesión presentada</w:t>
      </w:r>
      <w:r>
        <w:rPr>
          <w:rFonts w:ascii="Verdana" w:hAnsi="Verdana"/>
          <w:sz w:val="16"/>
          <w:szCs w:val="16"/>
        </w:rPr>
        <w:t xml:space="preserve"> </w:t>
      </w:r>
      <w:r w:rsidRPr="00571DE9">
        <w:rPr>
          <w:rFonts w:ascii="Verdana" w:hAnsi="Verdana"/>
          <w:sz w:val="16"/>
          <w:szCs w:val="16"/>
        </w:rPr>
        <w:t>otorga un derecho de prelación frente a otras</w:t>
      </w:r>
      <w:r>
        <w:rPr>
          <w:rFonts w:ascii="Verdana" w:hAnsi="Verdana"/>
          <w:sz w:val="16"/>
          <w:szCs w:val="16"/>
        </w:rPr>
        <w:t xml:space="preserve"> </w:t>
      </w:r>
      <w:r w:rsidRPr="00571DE9">
        <w:rPr>
          <w:rFonts w:ascii="Verdana" w:hAnsi="Verdana"/>
          <w:sz w:val="16"/>
          <w:szCs w:val="16"/>
        </w:rPr>
        <w:t>solicitudes, de tal forma que si bien es cierto</w:t>
      </w:r>
      <w:r>
        <w:rPr>
          <w:rFonts w:ascii="Verdana" w:hAnsi="Verdana"/>
          <w:sz w:val="16"/>
          <w:szCs w:val="16"/>
        </w:rPr>
        <w:t xml:space="preserve"> </w:t>
      </w:r>
      <w:r w:rsidRPr="00571DE9">
        <w:rPr>
          <w:rFonts w:ascii="Verdana" w:hAnsi="Verdana"/>
          <w:sz w:val="16"/>
          <w:szCs w:val="16"/>
        </w:rPr>
        <w:t>no confiere el derecho a la celebración del contrato, ésta debe darse si se reúnen los requisitos</w:t>
      </w:r>
      <w:r>
        <w:rPr>
          <w:rFonts w:ascii="Verdana" w:hAnsi="Verdana"/>
          <w:sz w:val="16"/>
          <w:szCs w:val="16"/>
        </w:rPr>
        <w:t xml:space="preserve"> </w:t>
      </w:r>
      <w:r w:rsidRPr="00571DE9">
        <w:rPr>
          <w:rFonts w:ascii="Verdana" w:hAnsi="Verdana"/>
          <w:sz w:val="16"/>
          <w:szCs w:val="16"/>
        </w:rPr>
        <w:t>exigidos en el artículo 271</w:t>
      </w:r>
      <w:r>
        <w:rPr>
          <w:rFonts w:ascii="Verdana" w:hAnsi="Verdana"/>
          <w:sz w:val="16"/>
          <w:szCs w:val="16"/>
        </w:rPr>
        <w:t xml:space="preserve"> […]” (</w:t>
      </w:r>
      <w:r w:rsidRPr="00571DE9">
        <w:rPr>
          <w:rFonts w:ascii="Verdana" w:hAnsi="Verdana"/>
          <w:sz w:val="16"/>
          <w:szCs w:val="16"/>
        </w:rPr>
        <w:t>Consejo de Estado, Sala de lo Contencioso</w:t>
      </w:r>
      <w:r>
        <w:rPr>
          <w:rFonts w:ascii="Verdana" w:hAnsi="Verdana"/>
          <w:sz w:val="16"/>
          <w:szCs w:val="16"/>
        </w:rPr>
        <w:t xml:space="preserve"> </w:t>
      </w:r>
      <w:r w:rsidRPr="00571DE9">
        <w:rPr>
          <w:rFonts w:ascii="Verdana" w:hAnsi="Verdana"/>
          <w:sz w:val="16"/>
          <w:szCs w:val="16"/>
        </w:rPr>
        <w:t>Administrativo, Sección Tercera. Sentencia del</w:t>
      </w:r>
      <w:r>
        <w:rPr>
          <w:rFonts w:ascii="Verdana" w:hAnsi="Verdana"/>
          <w:sz w:val="16"/>
          <w:szCs w:val="16"/>
        </w:rPr>
        <w:t xml:space="preserve"> </w:t>
      </w:r>
      <w:r w:rsidRPr="00571DE9">
        <w:rPr>
          <w:rFonts w:ascii="Verdana" w:hAnsi="Verdana"/>
          <w:sz w:val="16"/>
          <w:szCs w:val="16"/>
        </w:rPr>
        <w:t>3 de febrero de 2010, Exp. 33187, M</w:t>
      </w:r>
      <w:r>
        <w:rPr>
          <w:rFonts w:ascii="Verdana" w:hAnsi="Verdana"/>
          <w:sz w:val="16"/>
          <w:szCs w:val="16"/>
        </w:rPr>
        <w:t>.</w:t>
      </w:r>
      <w:r w:rsidRPr="00571DE9">
        <w:rPr>
          <w:rFonts w:ascii="Verdana" w:hAnsi="Verdana"/>
          <w:sz w:val="16"/>
          <w:szCs w:val="16"/>
        </w:rPr>
        <w:t>P: Enrique Gil Botero</w:t>
      </w:r>
      <w:r>
        <w:rPr>
          <w:rFonts w:ascii="Verdana" w:hAnsi="Verdana"/>
          <w:sz w:val="16"/>
          <w:szCs w:val="16"/>
        </w:rPr>
        <w:t>)</w:t>
      </w:r>
      <w:r w:rsidRPr="00571DE9">
        <w:rPr>
          <w:rFonts w:ascii="Verdana" w:hAnsi="Verdana"/>
          <w:sz w:val="16"/>
          <w:szCs w:val="16"/>
        </w:rPr>
        <w:t>.</w:t>
      </w:r>
    </w:p>
  </w:footnote>
  <w:footnote w:id="27">
    <w:p w14:paraId="7C3C8103" w14:textId="77777777" w:rsidR="00B8458C" w:rsidRPr="00971DFC" w:rsidRDefault="00B8458C" w:rsidP="00B8458C">
      <w:pPr>
        <w:pStyle w:val="Textonotapie"/>
        <w:ind w:firstLine="708"/>
        <w:jc w:val="both"/>
        <w:rPr>
          <w:rFonts w:ascii="Verdana" w:hAnsi="Verdana"/>
          <w:sz w:val="16"/>
          <w:szCs w:val="16"/>
        </w:rPr>
      </w:pPr>
      <w:r w:rsidRPr="00971DFC">
        <w:rPr>
          <w:rStyle w:val="Refdenotaalpie"/>
          <w:rFonts w:ascii="Verdana" w:hAnsi="Verdana"/>
          <w:sz w:val="16"/>
          <w:szCs w:val="16"/>
        </w:rPr>
        <w:footnoteRef/>
      </w:r>
      <w:r w:rsidRPr="00971DFC">
        <w:rPr>
          <w:rFonts w:ascii="Verdana" w:hAnsi="Verdana"/>
          <w:sz w:val="16"/>
          <w:szCs w:val="16"/>
        </w:rPr>
        <w:t xml:space="preserve"> Concepto 435 del 8 de octubre</w:t>
      </w:r>
      <w:r>
        <w:rPr>
          <w:rFonts w:ascii="Verdana" w:hAnsi="Verdana"/>
          <w:sz w:val="16"/>
          <w:szCs w:val="16"/>
        </w:rPr>
        <w:t xml:space="preserve"> </w:t>
      </w:r>
      <w:r w:rsidRPr="00971DFC">
        <w:rPr>
          <w:rFonts w:ascii="Verdana" w:hAnsi="Verdana"/>
          <w:sz w:val="16"/>
          <w:szCs w:val="16"/>
        </w:rPr>
        <w:t>de 2</w:t>
      </w:r>
      <w:r>
        <w:rPr>
          <w:rFonts w:ascii="Verdana" w:hAnsi="Verdana"/>
          <w:sz w:val="16"/>
          <w:szCs w:val="16"/>
        </w:rPr>
        <w:t>00</w:t>
      </w:r>
      <w:r w:rsidRPr="00971DFC">
        <w:rPr>
          <w:rFonts w:ascii="Verdana" w:hAnsi="Verdana"/>
          <w:sz w:val="16"/>
          <w:szCs w:val="16"/>
        </w:rPr>
        <w:t xml:space="preserve">9, </w:t>
      </w:r>
      <w:r>
        <w:rPr>
          <w:rFonts w:ascii="Verdana" w:hAnsi="Verdana"/>
          <w:sz w:val="16"/>
          <w:szCs w:val="16"/>
        </w:rPr>
        <w:t xml:space="preserve">expedido por la </w:t>
      </w:r>
      <w:r w:rsidRPr="00971DFC">
        <w:rPr>
          <w:rFonts w:ascii="Verdana" w:hAnsi="Verdana"/>
          <w:sz w:val="16"/>
          <w:szCs w:val="16"/>
        </w:rPr>
        <w:t>Oficina Asesora Jurídica</w:t>
      </w:r>
      <w:r>
        <w:rPr>
          <w:rFonts w:ascii="Verdana" w:hAnsi="Verdana"/>
          <w:sz w:val="16"/>
          <w:szCs w:val="16"/>
        </w:rPr>
        <w:t xml:space="preserve"> de</w:t>
      </w:r>
      <w:r w:rsidRPr="00971DFC">
        <w:rPr>
          <w:rFonts w:ascii="Verdana" w:hAnsi="Verdana"/>
          <w:sz w:val="16"/>
          <w:szCs w:val="16"/>
        </w:rPr>
        <w:t xml:space="preserve"> Ingeominas.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3AE"/>
    <w:rsid w:val="00014732"/>
    <w:rsid w:val="00016F78"/>
    <w:rsid w:val="00046945"/>
    <w:rsid w:val="00061B2A"/>
    <w:rsid w:val="00082362"/>
    <w:rsid w:val="00091C2F"/>
    <w:rsid w:val="000A683E"/>
    <w:rsid w:val="000B19B9"/>
    <w:rsid w:val="000D0334"/>
    <w:rsid w:val="000D5DA7"/>
    <w:rsid w:val="000E0850"/>
    <w:rsid w:val="000F6486"/>
    <w:rsid w:val="00116940"/>
    <w:rsid w:val="00125105"/>
    <w:rsid w:val="00127233"/>
    <w:rsid w:val="0015699B"/>
    <w:rsid w:val="001A33BF"/>
    <w:rsid w:val="001E4177"/>
    <w:rsid w:val="001F0B24"/>
    <w:rsid w:val="001F7DC6"/>
    <w:rsid w:val="00223C2F"/>
    <w:rsid w:val="0022400B"/>
    <w:rsid w:val="00236A6A"/>
    <w:rsid w:val="002421BB"/>
    <w:rsid w:val="0025796E"/>
    <w:rsid w:val="002707A2"/>
    <w:rsid w:val="002777F4"/>
    <w:rsid w:val="002951A0"/>
    <w:rsid w:val="002962BC"/>
    <w:rsid w:val="002A093D"/>
    <w:rsid w:val="002A0DD0"/>
    <w:rsid w:val="002A49AC"/>
    <w:rsid w:val="002A64FD"/>
    <w:rsid w:val="002C7A84"/>
    <w:rsid w:val="002E2BF8"/>
    <w:rsid w:val="002E4FD9"/>
    <w:rsid w:val="0030657A"/>
    <w:rsid w:val="00322A85"/>
    <w:rsid w:val="00324168"/>
    <w:rsid w:val="00330834"/>
    <w:rsid w:val="003373C7"/>
    <w:rsid w:val="003448F4"/>
    <w:rsid w:val="00374F5E"/>
    <w:rsid w:val="0037799F"/>
    <w:rsid w:val="00377E3E"/>
    <w:rsid w:val="003A4C94"/>
    <w:rsid w:val="003A779E"/>
    <w:rsid w:val="003D0F4D"/>
    <w:rsid w:val="003D5B0D"/>
    <w:rsid w:val="003E0499"/>
    <w:rsid w:val="003E39C7"/>
    <w:rsid w:val="003E4F80"/>
    <w:rsid w:val="003E6439"/>
    <w:rsid w:val="003F3941"/>
    <w:rsid w:val="003F3981"/>
    <w:rsid w:val="00406575"/>
    <w:rsid w:val="00414C74"/>
    <w:rsid w:val="0042722E"/>
    <w:rsid w:val="00442CBD"/>
    <w:rsid w:val="0044528D"/>
    <w:rsid w:val="00466E39"/>
    <w:rsid w:val="004A1847"/>
    <w:rsid w:val="004A305D"/>
    <w:rsid w:val="004B6618"/>
    <w:rsid w:val="004F21C4"/>
    <w:rsid w:val="004F685F"/>
    <w:rsid w:val="005566E8"/>
    <w:rsid w:val="00564F53"/>
    <w:rsid w:val="00574867"/>
    <w:rsid w:val="00591460"/>
    <w:rsid w:val="005A65E0"/>
    <w:rsid w:val="005C3777"/>
    <w:rsid w:val="005C5CDC"/>
    <w:rsid w:val="005D476C"/>
    <w:rsid w:val="00601DE2"/>
    <w:rsid w:val="006200BF"/>
    <w:rsid w:val="006219F8"/>
    <w:rsid w:val="006302F7"/>
    <w:rsid w:val="00646B9F"/>
    <w:rsid w:val="00665D70"/>
    <w:rsid w:val="006900D9"/>
    <w:rsid w:val="006C18EB"/>
    <w:rsid w:val="006C5720"/>
    <w:rsid w:val="00706C16"/>
    <w:rsid w:val="007340C3"/>
    <w:rsid w:val="0075235A"/>
    <w:rsid w:val="00756841"/>
    <w:rsid w:val="007649AB"/>
    <w:rsid w:val="00771D0C"/>
    <w:rsid w:val="007833AC"/>
    <w:rsid w:val="007B268C"/>
    <w:rsid w:val="007B7171"/>
    <w:rsid w:val="007C0C0F"/>
    <w:rsid w:val="007C3DC2"/>
    <w:rsid w:val="007E5497"/>
    <w:rsid w:val="007E7A0E"/>
    <w:rsid w:val="00806F5F"/>
    <w:rsid w:val="00820278"/>
    <w:rsid w:val="008239E5"/>
    <w:rsid w:val="008258C9"/>
    <w:rsid w:val="0082638D"/>
    <w:rsid w:val="00844AE9"/>
    <w:rsid w:val="00867F95"/>
    <w:rsid w:val="008843B6"/>
    <w:rsid w:val="008875E7"/>
    <w:rsid w:val="00891928"/>
    <w:rsid w:val="008A446D"/>
    <w:rsid w:val="008B25F1"/>
    <w:rsid w:val="008D180B"/>
    <w:rsid w:val="008F0EA7"/>
    <w:rsid w:val="00923EEF"/>
    <w:rsid w:val="009419F9"/>
    <w:rsid w:val="0095685E"/>
    <w:rsid w:val="00961B09"/>
    <w:rsid w:val="00965334"/>
    <w:rsid w:val="0097093E"/>
    <w:rsid w:val="009A0DFA"/>
    <w:rsid w:val="009A1C6F"/>
    <w:rsid w:val="009A6FDC"/>
    <w:rsid w:val="009B2D26"/>
    <w:rsid w:val="009C71FA"/>
    <w:rsid w:val="009C72E7"/>
    <w:rsid w:val="009C7F7E"/>
    <w:rsid w:val="009D3058"/>
    <w:rsid w:val="009F05DF"/>
    <w:rsid w:val="009F3A13"/>
    <w:rsid w:val="00A06636"/>
    <w:rsid w:val="00A122D3"/>
    <w:rsid w:val="00A14468"/>
    <w:rsid w:val="00A17F13"/>
    <w:rsid w:val="00A20739"/>
    <w:rsid w:val="00A23AF9"/>
    <w:rsid w:val="00A33C78"/>
    <w:rsid w:val="00A73D63"/>
    <w:rsid w:val="00A75383"/>
    <w:rsid w:val="00A8450A"/>
    <w:rsid w:val="00A943A1"/>
    <w:rsid w:val="00AB0184"/>
    <w:rsid w:val="00AB0ADB"/>
    <w:rsid w:val="00B00C0E"/>
    <w:rsid w:val="00B01B1A"/>
    <w:rsid w:val="00B02205"/>
    <w:rsid w:val="00B0381D"/>
    <w:rsid w:val="00B35C42"/>
    <w:rsid w:val="00B44A47"/>
    <w:rsid w:val="00B72CD3"/>
    <w:rsid w:val="00B72FFF"/>
    <w:rsid w:val="00B8458C"/>
    <w:rsid w:val="00BB454E"/>
    <w:rsid w:val="00BC3D36"/>
    <w:rsid w:val="00BD54A6"/>
    <w:rsid w:val="00BD7F72"/>
    <w:rsid w:val="00BF7425"/>
    <w:rsid w:val="00C04FB3"/>
    <w:rsid w:val="00C11D8B"/>
    <w:rsid w:val="00C15139"/>
    <w:rsid w:val="00C330EB"/>
    <w:rsid w:val="00C50D69"/>
    <w:rsid w:val="00C5365C"/>
    <w:rsid w:val="00C754BE"/>
    <w:rsid w:val="00C76B1C"/>
    <w:rsid w:val="00C85966"/>
    <w:rsid w:val="00C925AC"/>
    <w:rsid w:val="00CB6357"/>
    <w:rsid w:val="00CC1B26"/>
    <w:rsid w:val="00CF483E"/>
    <w:rsid w:val="00D00B5B"/>
    <w:rsid w:val="00D229FD"/>
    <w:rsid w:val="00D3048E"/>
    <w:rsid w:val="00D361FD"/>
    <w:rsid w:val="00D423A2"/>
    <w:rsid w:val="00D44E26"/>
    <w:rsid w:val="00D520D8"/>
    <w:rsid w:val="00D63AC2"/>
    <w:rsid w:val="00D66B8F"/>
    <w:rsid w:val="00D70ECD"/>
    <w:rsid w:val="00D730DD"/>
    <w:rsid w:val="00D7383B"/>
    <w:rsid w:val="00D7788A"/>
    <w:rsid w:val="00D86F96"/>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49B1"/>
    <w:rsid w:val="00EE1AA8"/>
    <w:rsid w:val="00EF7BC6"/>
    <w:rsid w:val="00F23FEA"/>
    <w:rsid w:val="00F31EDC"/>
    <w:rsid w:val="00F462B3"/>
    <w:rsid w:val="00F5664F"/>
    <w:rsid w:val="00F666C4"/>
    <w:rsid w:val="00F76AFC"/>
    <w:rsid w:val="00F92713"/>
    <w:rsid w:val="00FA47C0"/>
    <w:rsid w:val="00FB5DD1"/>
    <w:rsid w:val="00FC2B5D"/>
    <w:rsid w:val="00FF1449"/>
    <w:rsid w:val="00FF7963"/>
    <w:rsid w:val="071B8F93"/>
    <w:rsid w:val="07C73DD1"/>
    <w:rsid w:val="09908A09"/>
    <w:rsid w:val="0FF4CCA8"/>
    <w:rsid w:val="138E5DB7"/>
    <w:rsid w:val="13CFC91B"/>
    <w:rsid w:val="19A2EC2C"/>
    <w:rsid w:val="21779BE6"/>
    <w:rsid w:val="2859CA1B"/>
    <w:rsid w:val="2EE1E026"/>
    <w:rsid w:val="30821638"/>
    <w:rsid w:val="32A4F9CF"/>
    <w:rsid w:val="356CEDFD"/>
    <w:rsid w:val="3C591AFD"/>
    <w:rsid w:val="576E913B"/>
    <w:rsid w:val="5D146ED2"/>
    <w:rsid w:val="69614A15"/>
    <w:rsid w:val="74BA017B"/>
    <w:rsid w:val="77F716A6"/>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8458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8458C"/>
    <w:rPr>
      <w:rFonts w:ascii="Geomanist Light" w:hAnsi="Geomanist Light"/>
      <w:lang w:val="es-ES"/>
    </w:rPr>
  </w:style>
  <w:style w:type="character" w:customStyle="1" w:styleId="s15">
    <w:name w:val="s15"/>
    <w:basedOn w:val="Fuentedeprrafopredeter"/>
    <w:rsid w:val="00B8458C"/>
  </w:style>
  <w:style w:type="character" w:customStyle="1" w:styleId="NormalWebCar">
    <w:name w:val="Normal (Web) Car"/>
    <w:link w:val="NormalWeb"/>
    <w:uiPriority w:val="99"/>
    <w:locked/>
    <w:rsid w:val="00B8458C"/>
    <w:rPr>
      <w:rFonts w:ascii="Times New Roman" w:eastAsia="Times New Roman" w:hAnsi="Times New Roman" w:cs="Times New Roman"/>
      <w:sz w:val="24"/>
      <w:szCs w:val="24"/>
      <w:lang w:eastAsia="es-CO"/>
    </w:rPr>
  </w:style>
  <w:style w:type="character" w:customStyle="1" w:styleId="baj">
    <w:name w:val="b_aj"/>
    <w:basedOn w:val="Fuentedeprrafopredeter"/>
    <w:rsid w:val="00B845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8C1104E-D576-4948-824B-B6D5BB01AE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25</Pages>
  <Words>8345</Words>
  <Characters>45066</Characters>
  <Application>Microsoft Office Word</Application>
  <DocSecurity>0</DocSecurity>
  <Lines>866</Lines>
  <Paragraphs>149</Paragraphs>
  <ScaleCrop>false</ScaleCrop>
  <Company/>
  <LinksUpToDate>false</LinksUpToDate>
  <CharactersWithSpaces>53262</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3735559</vt:i4>
      </vt:variant>
      <vt:variant>
        <vt:i4>0</vt:i4>
      </vt:variant>
      <vt:variant>
        <vt:i4>0</vt:i4>
      </vt:variant>
      <vt:variant>
        <vt:i4>5</vt:i4>
      </vt:variant>
      <vt:variant>
        <vt:lpwstr>mailto:vpcontratacion.titulacion@anm.gov.co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2026-02-16T15:08:00Z</dcterms:created>
  <dcterms:modified xsi:type="dcterms:W3CDTF">2026-02-17T15:16:00Z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