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C40B1" w14:textId="77777777" w:rsidR="003D422D" w:rsidRDefault="003D422D" w:rsidP="003D422D">
      <w:pPr>
        <w:spacing w:after="0"/>
        <w:contextualSpacing/>
        <w:jc w:val="both"/>
        <w:rPr>
          <w:rFonts w:ascii="Verdana" w:eastAsia="Calibri" w:hAnsi="Verdana" w:cs="Arial"/>
          <w:b/>
          <w:bCs/>
          <w:lang w:val="es-ES" w:eastAsia="es-ES"/>
        </w:rPr>
      </w:pPr>
      <w:r w:rsidRPr="008C1C57">
        <w:rPr>
          <w:rFonts w:ascii="Verdana" w:eastAsia="Calibri" w:hAnsi="Verdana" w:cs="Arial"/>
          <w:b/>
          <w:bCs/>
          <w:lang w:val="es-ES" w:eastAsia="es-ES"/>
        </w:rPr>
        <w:t>LEY DE GARANTÍAS ELECTORALES – Finalidad</w:t>
      </w:r>
    </w:p>
    <w:p w14:paraId="6ADA9C78" w14:textId="77777777" w:rsidR="003D422D" w:rsidRPr="008C1C57" w:rsidRDefault="003D422D" w:rsidP="003D422D">
      <w:pPr>
        <w:spacing w:after="0"/>
        <w:contextualSpacing/>
        <w:jc w:val="both"/>
        <w:rPr>
          <w:rFonts w:ascii="Verdana" w:eastAsia="Calibri" w:hAnsi="Verdana" w:cs="Arial"/>
          <w:b/>
          <w:bCs/>
          <w:lang w:val="es-ES" w:eastAsia="es-ES"/>
        </w:rPr>
      </w:pPr>
    </w:p>
    <w:p w14:paraId="5FB1888D" w14:textId="77777777" w:rsidR="003D422D" w:rsidRPr="008C1C57" w:rsidRDefault="003D422D" w:rsidP="003D422D">
      <w:pPr>
        <w:spacing w:line="240" w:lineRule="auto"/>
        <w:contextualSpacing/>
        <w:jc w:val="both"/>
        <w:rPr>
          <w:rFonts w:ascii="Verdana" w:eastAsia="Times New Roman" w:hAnsi="Verdana" w:cs="Arial"/>
          <w:sz w:val="20"/>
          <w:szCs w:val="20"/>
          <w:lang w:val="es-ES" w:eastAsia="es-CO"/>
        </w:rPr>
      </w:pPr>
      <w:r w:rsidRPr="008C1C57">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38D064DC" w14:textId="77777777" w:rsidR="003D422D" w:rsidRPr="00B65461" w:rsidRDefault="003D422D" w:rsidP="003D422D">
      <w:pPr>
        <w:spacing w:after="0" w:line="240" w:lineRule="auto"/>
        <w:jc w:val="both"/>
        <w:rPr>
          <w:rFonts w:ascii="Calibri" w:eastAsia="Calibri" w:hAnsi="Calibri" w:cs="Times New Roman"/>
          <w:color w:val="156082" w:themeColor="accent1"/>
          <w:lang w:val="es-ES"/>
        </w:rPr>
      </w:pPr>
    </w:p>
    <w:p w14:paraId="2DBA2B62" w14:textId="77777777" w:rsidR="003D422D" w:rsidRPr="00A750C7" w:rsidRDefault="003D422D" w:rsidP="003D422D">
      <w:pPr>
        <w:contextualSpacing/>
        <w:jc w:val="both"/>
        <w:rPr>
          <w:rFonts w:ascii="Verdana" w:eastAsia="Calibri" w:hAnsi="Verdana" w:cs="Arial"/>
          <w:b/>
          <w:bCs/>
          <w:lang w:val="es-ES" w:eastAsia="es-ES"/>
        </w:rPr>
      </w:pPr>
      <w:r w:rsidRPr="00A750C7">
        <w:rPr>
          <w:rFonts w:ascii="Verdana" w:eastAsia="Calibri" w:hAnsi="Verdana" w:cs="Arial"/>
          <w:b/>
          <w:bCs/>
          <w:lang w:val="es-ES" w:eastAsia="es-ES"/>
        </w:rPr>
        <w:t>LEY DE GARANTÍAS ELECTORALES ‒ Restricciones ‒ Contratación ‒ Tipos de elección</w:t>
      </w:r>
    </w:p>
    <w:p w14:paraId="5A1F11D0" w14:textId="77777777" w:rsidR="003D422D" w:rsidRDefault="003D422D" w:rsidP="003D422D">
      <w:pPr>
        <w:spacing w:after="0" w:line="240" w:lineRule="auto"/>
        <w:jc w:val="both"/>
        <w:rPr>
          <w:rFonts w:ascii="Verdana" w:eastAsia="Calibri" w:hAnsi="Verdana" w:cs="Arial"/>
          <w:b/>
          <w:bCs/>
          <w:lang w:val="es-ES" w:eastAsia="es-ES"/>
        </w:rPr>
      </w:pPr>
    </w:p>
    <w:p w14:paraId="74FB2FC7" w14:textId="77777777" w:rsidR="003D422D" w:rsidRPr="00A750C7" w:rsidRDefault="003D422D" w:rsidP="003D422D">
      <w:pPr>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A750C7">
        <w:rPr>
          <w:rFonts w:ascii="Verdana" w:eastAsia="Arial" w:hAnsi="Verdana" w:cs="Arial"/>
          <w:sz w:val="20"/>
          <w:szCs w:val="20"/>
          <w:lang w:val="es-ES" w:eastAsia="es-ES" w:bidi="es-ES"/>
        </w:rPr>
        <w:t>…</w:t>
      </w:r>
      <w:r>
        <w:rPr>
          <w:rFonts w:ascii="Verdana" w:eastAsia="Arial" w:hAnsi="Verdana" w:cs="Arial"/>
          <w:sz w:val="20"/>
          <w:szCs w:val="20"/>
          <w:lang w:val="es-ES" w:eastAsia="es-ES" w:bidi="es-ES"/>
        </w:rPr>
        <w:t>)</w:t>
      </w:r>
      <w:r w:rsidRPr="00A750C7">
        <w:rPr>
          <w:rFonts w:ascii="Verdana" w:eastAsia="Arial" w:hAnsi="Verdana" w:cs="Arial"/>
          <w:sz w:val="20"/>
          <w:szCs w:val="20"/>
          <w:lang w:val="es-ES" w:eastAsia="es-ES" w:bidi="es-ES"/>
        </w:rPr>
        <w:t xml:space="preserve"> De conformidad con lo anterior, la Ley 996 de 2005 establece dos (2) tipos de restricciones en materia de contratación, las cuales coinciden parcialmente. </w:t>
      </w:r>
      <w:r w:rsidRPr="00A750C7">
        <w:rPr>
          <w:rFonts w:ascii="Verdana" w:eastAsia="Arial" w:hAnsi="Verdana" w:cs="Arial"/>
          <w:i/>
          <w:sz w:val="20"/>
          <w:szCs w:val="20"/>
          <w:lang w:val="es-ES" w:eastAsia="es-ES" w:bidi="es-ES"/>
        </w:rPr>
        <w:t>En primer lugar</w:t>
      </w:r>
      <w:r w:rsidRPr="00A750C7">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A750C7">
        <w:rPr>
          <w:rFonts w:ascii="Verdana" w:eastAsia="Arial" w:hAnsi="Verdana" w:cs="Arial"/>
          <w:i/>
          <w:sz w:val="20"/>
          <w:szCs w:val="20"/>
          <w:lang w:val="es-ES" w:eastAsia="es-ES" w:bidi="es-ES"/>
        </w:rPr>
        <w:t>En segundo lugar</w:t>
      </w:r>
      <w:r w:rsidRPr="00A750C7">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364CF9D" w14:textId="77777777" w:rsidR="003D422D" w:rsidRPr="00D31B17" w:rsidRDefault="003D422D" w:rsidP="003D422D">
      <w:pPr>
        <w:spacing w:after="0" w:line="240" w:lineRule="auto"/>
        <w:jc w:val="both"/>
        <w:rPr>
          <w:rFonts w:ascii="Verdana" w:eastAsia="Geomanist Light" w:hAnsi="Verdana" w:cs="Arial"/>
          <w:b/>
          <w:bCs/>
          <w:color w:val="156082" w:themeColor="accent1"/>
          <w:lang w:val="es-ES"/>
        </w:rPr>
      </w:pPr>
    </w:p>
    <w:p w14:paraId="2D7DB0A6" w14:textId="77777777" w:rsidR="003D422D" w:rsidRPr="005416E7" w:rsidRDefault="003D422D" w:rsidP="003D422D">
      <w:pPr>
        <w:spacing w:after="0" w:line="240" w:lineRule="auto"/>
        <w:jc w:val="both"/>
        <w:rPr>
          <w:rFonts w:ascii="Verdana" w:eastAsia="Calibri" w:hAnsi="Verdana" w:cs="Arial"/>
          <w:b/>
          <w:bCs/>
          <w:lang w:val="es-ES" w:eastAsia="es-ES"/>
        </w:rPr>
      </w:pPr>
      <w:r w:rsidRPr="005416E7">
        <w:rPr>
          <w:rFonts w:ascii="Verdana" w:eastAsia="Calibri" w:hAnsi="Verdana" w:cs="Arial"/>
          <w:b/>
          <w:bCs/>
          <w:lang w:val="es-ES" w:eastAsia="es-ES"/>
        </w:rPr>
        <w:t xml:space="preserve">LEY DE GARANTÍAS ELECTORALES ‒ Artículo 33 </w:t>
      </w:r>
    </w:p>
    <w:p w14:paraId="49EE9863" w14:textId="77777777" w:rsidR="003D422D" w:rsidRPr="005416E7" w:rsidRDefault="003D422D" w:rsidP="003D422D">
      <w:pPr>
        <w:spacing w:after="0" w:line="240" w:lineRule="auto"/>
        <w:jc w:val="both"/>
        <w:rPr>
          <w:rFonts w:ascii="Verdana" w:eastAsia="Calibri" w:hAnsi="Verdana" w:cs="Arial"/>
          <w:b/>
          <w:bCs/>
          <w:lang w:val="es-ES" w:eastAsia="es-ES"/>
        </w:rPr>
      </w:pPr>
    </w:p>
    <w:p w14:paraId="6158DDC3" w14:textId="77777777" w:rsidR="003D422D" w:rsidRDefault="003D422D" w:rsidP="003D422D">
      <w:pPr>
        <w:spacing w:after="0" w:line="240" w:lineRule="auto"/>
        <w:jc w:val="both"/>
        <w:rPr>
          <w:rFonts w:ascii="Verdana" w:eastAsia="Calibri" w:hAnsi="Verdana" w:cs="Arial"/>
          <w:color w:val="000000" w:themeColor="text1"/>
          <w:sz w:val="20"/>
          <w:szCs w:val="20"/>
          <w:lang w:val="es-ES"/>
        </w:rPr>
      </w:pPr>
      <w:r w:rsidRPr="005416E7">
        <w:rPr>
          <w:rFonts w:ascii="Verdana" w:eastAsia="Calibri" w:hAnsi="Verdana" w:cs="Arial"/>
          <w:color w:val="000000" w:themeColor="text1"/>
          <w:sz w:val="20"/>
          <w:szCs w:val="20"/>
          <w:lang w:val="es-ES"/>
        </w:rPr>
        <w:t>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9406CD7" w14:textId="77777777" w:rsidR="003D422D" w:rsidRDefault="003D422D" w:rsidP="003D422D">
      <w:pPr>
        <w:spacing w:after="0" w:line="240" w:lineRule="auto"/>
        <w:jc w:val="both"/>
        <w:rPr>
          <w:rFonts w:ascii="Verdana" w:eastAsia="Calibri" w:hAnsi="Verdana" w:cs="Arial"/>
          <w:color w:val="000000" w:themeColor="text1"/>
          <w:sz w:val="20"/>
          <w:szCs w:val="20"/>
          <w:lang w:val="es-ES"/>
        </w:rPr>
      </w:pPr>
    </w:p>
    <w:p w14:paraId="279C3645" w14:textId="77777777" w:rsidR="003D422D" w:rsidRPr="00B679CF" w:rsidRDefault="003D422D" w:rsidP="003D422D">
      <w:pPr>
        <w:contextualSpacing/>
        <w:jc w:val="both"/>
        <w:rPr>
          <w:rFonts w:ascii="Verdana" w:eastAsia="Calibri" w:hAnsi="Verdana" w:cs="Arial"/>
          <w:b/>
          <w:bCs/>
          <w:lang w:val="es-ES" w:eastAsia="es-ES"/>
        </w:rPr>
      </w:pPr>
      <w:r w:rsidRPr="00B679CF">
        <w:rPr>
          <w:rFonts w:ascii="Verdana" w:eastAsia="Calibri" w:hAnsi="Verdana" w:cs="Arial"/>
          <w:b/>
          <w:bCs/>
          <w:lang w:val="es-ES" w:eastAsia="es-ES"/>
        </w:rPr>
        <w:t>LEY DE GARANTÍAS ELECTORALES ‒ Artículo 38 ‒ Parágrafo</w:t>
      </w:r>
    </w:p>
    <w:p w14:paraId="2EDAB774" w14:textId="77777777" w:rsidR="003D422D" w:rsidRPr="00B679CF" w:rsidRDefault="003D422D" w:rsidP="003D422D">
      <w:pPr>
        <w:spacing w:line="240" w:lineRule="auto"/>
        <w:contextualSpacing/>
        <w:jc w:val="both"/>
        <w:rPr>
          <w:rFonts w:ascii="Verdana" w:eastAsia="Calibri" w:hAnsi="Verdana" w:cs="Arial"/>
          <w:b/>
          <w:bCs/>
          <w:sz w:val="20"/>
          <w:szCs w:val="20"/>
          <w:lang w:val="es-ES" w:eastAsia="es-ES"/>
        </w:rPr>
      </w:pPr>
    </w:p>
    <w:p w14:paraId="17BCB46F" w14:textId="77777777" w:rsidR="003D422D" w:rsidRPr="00B679CF" w:rsidRDefault="003D422D" w:rsidP="003D422D">
      <w:pPr>
        <w:spacing w:after="0" w:line="240" w:lineRule="auto"/>
        <w:contextualSpacing/>
        <w:jc w:val="both"/>
        <w:rPr>
          <w:rFonts w:ascii="Verdana" w:eastAsia="Calibri" w:hAnsi="Verdana" w:cs="Arial"/>
          <w:b/>
          <w:bCs/>
          <w:sz w:val="20"/>
          <w:szCs w:val="20"/>
          <w:lang w:val="es-ES" w:eastAsia="es-ES"/>
        </w:rPr>
      </w:pPr>
      <w:r w:rsidRPr="00B679CF">
        <w:rPr>
          <w:rFonts w:ascii="Verdana" w:eastAsia="Times New Roman" w:hAnsi="Verdana" w:cs="Arial"/>
          <w:sz w:val="20"/>
          <w:szCs w:val="20"/>
          <w:lang w:val="es-ES"/>
        </w:rPr>
        <w:lastRenderedPageBreak/>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Times New Roman" w:hAnsi="Verdana" w:cs="Arial"/>
          <w:sz w:val="20"/>
          <w:szCs w:val="20"/>
          <w:lang w:val="es-ES"/>
        </w:rPr>
        <w:t>(</w:t>
      </w:r>
      <w:r w:rsidRPr="00B679CF">
        <w:rPr>
          <w:rFonts w:ascii="Verdana" w:eastAsia="Times New Roman" w:hAnsi="Verdana" w:cs="Arial"/>
          <w:sz w:val="20"/>
          <w:szCs w:val="20"/>
          <w:lang w:val="es-ES"/>
        </w:rPr>
        <w:t>…</w:t>
      </w:r>
      <w:r>
        <w:rPr>
          <w:rFonts w:ascii="Verdana" w:eastAsia="Times New Roman" w:hAnsi="Verdana" w:cs="Arial"/>
          <w:sz w:val="20"/>
          <w:szCs w:val="20"/>
          <w:lang w:val="es-ES"/>
        </w:rPr>
        <w:t>)</w:t>
      </w:r>
      <w:r w:rsidRPr="00B679CF">
        <w:rPr>
          <w:rFonts w:ascii="Verdana" w:eastAsia="Times New Roman" w:hAnsi="Verdana" w:cs="Arial"/>
          <w:sz w:val="20"/>
          <w:szCs w:val="20"/>
          <w:lang w:val="es-ES"/>
        </w:rPr>
        <w:t xml:space="preserve">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3D62D141" w14:textId="77777777" w:rsidR="003D422D" w:rsidRPr="005416E7" w:rsidRDefault="003D422D" w:rsidP="003D422D">
      <w:pPr>
        <w:spacing w:after="0" w:line="240" w:lineRule="auto"/>
        <w:jc w:val="both"/>
        <w:rPr>
          <w:rFonts w:ascii="Verdana" w:eastAsia="Arial" w:hAnsi="Verdana" w:cs="Arial"/>
          <w:sz w:val="18"/>
          <w:szCs w:val="18"/>
          <w:lang w:val="es-ES" w:eastAsia="es-ES" w:bidi="es-ES"/>
        </w:rPr>
      </w:pPr>
    </w:p>
    <w:p w14:paraId="130276AB" w14:textId="77777777" w:rsidR="003D422D" w:rsidRPr="00207C58" w:rsidRDefault="003D422D" w:rsidP="003D422D">
      <w:pPr>
        <w:spacing w:after="0" w:line="240" w:lineRule="auto"/>
        <w:contextualSpacing/>
        <w:jc w:val="both"/>
        <w:rPr>
          <w:rFonts w:ascii="Verdana" w:eastAsia="Calibri" w:hAnsi="Verdana" w:cs="Arial"/>
          <w:b/>
          <w:bCs/>
          <w:sz w:val="20"/>
          <w:szCs w:val="20"/>
          <w:lang w:eastAsia="es-ES"/>
        </w:rPr>
      </w:pPr>
    </w:p>
    <w:p w14:paraId="608F3F9B" w14:textId="77777777" w:rsidR="003D422D" w:rsidRPr="00F02C5A" w:rsidRDefault="003D422D" w:rsidP="003D422D">
      <w:pPr>
        <w:tabs>
          <w:tab w:val="left" w:pos="426"/>
        </w:tabs>
        <w:spacing w:line="240" w:lineRule="auto"/>
        <w:contextualSpacing/>
        <w:jc w:val="both"/>
        <w:rPr>
          <w:rFonts w:ascii="Verdana" w:eastAsia="Calibri" w:hAnsi="Verdana" w:cs="Arial"/>
          <w:b/>
          <w:bCs/>
          <w:lang w:val="es-MX"/>
        </w:rPr>
      </w:pPr>
      <w:bookmarkStart w:id="0" w:name="_Hlk217986464"/>
      <w:r w:rsidRPr="00F02C5A">
        <w:rPr>
          <w:rFonts w:ascii="Verdana" w:eastAsia="Calibri" w:hAnsi="Verdana" w:cs="Arial"/>
          <w:b/>
          <w:bCs/>
          <w:lang w:val="es-MX"/>
        </w:rPr>
        <w:t xml:space="preserve">LEY DE GARANTÍAS ELECTORALES ─ Prohibición ‒ Contratación directa ‒ Alcance </w:t>
      </w:r>
    </w:p>
    <w:p w14:paraId="72881411" w14:textId="77777777" w:rsidR="003D422D" w:rsidRPr="00F02C5A" w:rsidRDefault="003D422D" w:rsidP="003D422D">
      <w:pPr>
        <w:tabs>
          <w:tab w:val="left" w:pos="426"/>
        </w:tabs>
        <w:spacing w:line="240" w:lineRule="auto"/>
        <w:contextualSpacing/>
        <w:jc w:val="both"/>
        <w:rPr>
          <w:rFonts w:ascii="Verdana" w:eastAsia="Calibri" w:hAnsi="Verdana" w:cs="Arial"/>
          <w:noProof/>
          <w:sz w:val="20"/>
          <w:szCs w:val="20"/>
          <w:lang w:val="es-MX"/>
        </w:rPr>
      </w:pPr>
    </w:p>
    <w:p w14:paraId="6976CC8E" w14:textId="77777777" w:rsidR="003D422D" w:rsidRPr="00F02C5A" w:rsidRDefault="003D422D" w:rsidP="003D422D">
      <w:pPr>
        <w:spacing w:line="240" w:lineRule="auto"/>
        <w:contextualSpacing/>
        <w:jc w:val="both"/>
        <w:rPr>
          <w:rFonts w:ascii="Verdana" w:eastAsia="Times New Roman" w:hAnsi="Verdana" w:cs="Arial"/>
          <w:bCs/>
          <w:sz w:val="20"/>
          <w:szCs w:val="20"/>
          <w:lang w:val="es-MX" w:eastAsia="x-none"/>
        </w:rPr>
      </w:pPr>
      <w:r>
        <w:rPr>
          <w:rFonts w:ascii="Verdana" w:eastAsia="Calibri" w:hAnsi="Verdana" w:cs="Arial"/>
          <w:noProof/>
          <w:sz w:val="20"/>
          <w:szCs w:val="20"/>
          <w:lang w:val="es-ES_tradnl"/>
        </w:rPr>
        <w:t>(</w:t>
      </w:r>
      <w:r w:rsidRPr="00F02C5A">
        <w:rPr>
          <w:rFonts w:ascii="Verdana" w:eastAsia="Calibri" w:hAnsi="Verdana" w:cs="Arial"/>
          <w:noProof/>
          <w:sz w:val="20"/>
          <w:szCs w:val="20"/>
          <w:lang w:val="es-ES_tradnl"/>
        </w:rPr>
        <w:t>…</w:t>
      </w:r>
      <w:r>
        <w:rPr>
          <w:rFonts w:ascii="Verdana" w:eastAsia="Calibri" w:hAnsi="Verdana" w:cs="Arial"/>
          <w:noProof/>
          <w:sz w:val="20"/>
          <w:szCs w:val="20"/>
          <w:lang w:val="es-ES_tradnl"/>
        </w:rPr>
        <w:t>)</w:t>
      </w:r>
      <w:r w:rsidRPr="00F02C5A">
        <w:rPr>
          <w:rFonts w:ascii="Verdana" w:eastAsia="Calibri" w:hAnsi="Verdana" w:cs="Arial"/>
          <w:noProof/>
          <w:sz w:val="20"/>
          <w:szCs w:val="20"/>
          <w:lang w:val="es-ES_tradnl"/>
        </w:rPr>
        <w:t xml:space="preserve"> </w:t>
      </w:r>
      <w:r w:rsidRPr="00F02C5A">
        <w:rPr>
          <w:rFonts w:ascii="Verdana" w:eastAsia="Times New Roman" w:hAnsi="Verdana" w:cs="Arial"/>
          <w:bCs/>
          <w:sz w:val="20"/>
          <w:szCs w:val="20"/>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sz w:val="20"/>
          <w:szCs w:val="20"/>
          <w:vertAlign w:val="superscript"/>
          <w:lang w:eastAsia="x-none"/>
        </w:rPr>
        <w:t xml:space="preserve"> </w:t>
      </w:r>
    </w:p>
    <w:p w14:paraId="0D925182" w14:textId="77777777" w:rsidR="003D422D" w:rsidRPr="00F02C5A" w:rsidRDefault="003D422D" w:rsidP="003D422D">
      <w:pPr>
        <w:spacing w:line="240" w:lineRule="auto"/>
        <w:contextualSpacing/>
        <w:jc w:val="both"/>
        <w:rPr>
          <w:rFonts w:ascii="Verdana" w:eastAsia="Times New Roman" w:hAnsi="Verdana" w:cs="Arial"/>
          <w:bCs/>
          <w:sz w:val="20"/>
          <w:szCs w:val="20"/>
          <w:lang w:val="es-MX" w:eastAsia="x-none"/>
        </w:rPr>
      </w:pPr>
    </w:p>
    <w:p w14:paraId="414DAD9C" w14:textId="77777777" w:rsidR="003D422D" w:rsidRPr="00F02C5A" w:rsidRDefault="003D422D" w:rsidP="003D422D">
      <w:pPr>
        <w:spacing w:line="240" w:lineRule="auto"/>
        <w:contextualSpacing/>
        <w:jc w:val="both"/>
        <w:rPr>
          <w:rFonts w:ascii="Verdana" w:eastAsia="Times New Roman" w:hAnsi="Verdana" w:cs="Arial"/>
          <w:sz w:val="20"/>
          <w:szCs w:val="20"/>
          <w:lang w:eastAsia="x-none"/>
        </w:rPr>
      </w:pPr>
      <w:r w:rsidRPr="00F02C5A">
        <w:rPr>
          <w:rFonts w:ascii="Verdana" w:eastAsia="Times New Roman" w:hAnsi="Verdana" w:cs="Arial"/>
          <w:bCs/>
          <w:sz w:val="20"/>
          <w:szCs w:val="20"/>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sz w:val="20"/>
          <w:szCs w:val="20"/>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las entidades públicas pueden seguir contratando bajo estos sistemas.</w:t>
      </w:r>
    </w:p>
    <w:bookmarkEnd w:id="0"/>
    <w:p w14:paraId="5C0A1B27" w14:textId="77777777" w:rsidR="003D422D" w:rsidRPr="00F47226" w:rsidRDefault="003D422D" w:rsidP="003D422D">
      <w:pPr>
        <w:spacing w:after="0" w:line="240" w:lineRule="auto"/>
        <w:contextualSpacing/>
        <w:jc w:val="both"/>
        <w:rPr>
          <w:rFonts w:ascii="Verdana" w:eastAsia="Calibri" w:hAnsi="Verdana" w:cs="Arial"/>
          <w:b/>
          <w:bCs/>
          <w:sz w:val="20"/>
          <w:szCs w:val="20"/>
          <w:lang w:eastAsia="es-ES"/>
        </w:rPr>
      </w:pPr>
    </w:p>
    <w:p w14:paraId="0AC08D13" w14:textId="77777777" w:rsidR="003D422D" w:rsidRDefault="003D422D" w:rsidP="003D422D">
      <w:pPr>
        <w:spacing w:after="0" w:line="240" w:lineRule="auto"/>
        <w:contextualSpacing/>
        <w:jc w:val="both"/>
        <w:rPr>
          <w:rFonts w:ascii="Verdana" w:eastAsia="Calibri" w:hAnsi="Verdana" w:cs="Arial"/>
          <w:b/>
          <w:bCs/>
          <w:sz w:val="20"/>
          <w:szCs w:val="20"/>
          <w:lang w:val="es-ES" w:eastAsia="es-ES"/>
        </w:rPr>
      </w:pPr>
    </w:p>
    <w:p w14:paraId="0D47A2E5" w14:textId="77777777" w:rsidR="003D422D" w:rsidRPr="003D422D" w:rsidRDefault="003D422D" w:rsidP="006459F8">
      <w:pPr>
        <w:spacing w:after="0" w:line="240" w:lineRule="auto"/>
        <w:jc w:val="both"/>
        <w:rPr>
          <w:rFonts w:ascii="Verdana" w:hAnsi="Verdana"/>
          <w:lang w:val="es-ES"/>
        </w:rPr>
      </w:pPr>
    </w:p>
    <w:p w14:paraId="25C1D6BC" w14:textId="77777777" w:rsidR="003D422D" w:rsidRDefault="003D422D" w:rsidP="006459F8">
      <w:pPr>
        <w:spacing w:after="0" w:line="240" w:lineRule="auto"/>
        <w:jc w:val="both"/>
        <w:rPr>
          <w:rFonts w:ascii="Verdana" w:hAnsi="Verdana"/>
        </w:rPr>
      </w:pPr>
    </w:p>
    <w:p w14:paraId="7672FDD5" w14:textId="77777777" w:rsidR="003D422D" w:rsidRDefault="003D422D" w:rsidP="006459F8">
      <w:pPr>
        <w:spacing w:after="0" w:line="240" w:lineRule="auto"/>
        <w:jc w:val="both"/>
        <w:rPr>
          <w:rFonts w:ascii="Verdana" w:hAnsi="Verdana"/>
        </w:rPr>
      </w:pPr>
    </w:p>
    <w:p w14:paraId="4CEDFF69" w14:textId="77777777" w:rsidR="003D422D" w:rsidRDefault="003D422D" w:rsidP="006459F8">
      <w:pPr>
        <w:spacing w:after="0" w:line="240" w:lineRule="auto"/>
        <w:jc w:val="both"/>
        <w:rPr>
          <w:rFonts w:ascii="Verdana" w:hAnsi="Verdana"/>
        </w:rPr>
      </w:pPr>
    </w:p>
    <w:p w14:paraId="0ED318BB" w14:textId="77777777" w:rsidR="003D422D" w:rsidRDefault="003D422D" w:rsidP="006459F8">
      <w:pPr>
        <w:spacing w:after="0" w:line="240" w:lineRule="auto"/>
        <w:jc w:val="both"/>
        <w:rPr>
          <w:rFonts w:ascii="Verdana" w:hAnsi="Verdana"/>
        </w:rPr>
      </w:pPr>
    </w:p>
    <w:p w14:paraId="6BFB5679" w14:textId="77777777" w:rsidR="003D422D" w:rsidRDefault="003D422D" w:rsidP="006459F8">
      <w:pPr>
        <w:spacing w:after="0" w:line="240" w:lineRule="auto"/>
        <w:jc w:val="both"/>
        <w:rPr>
          <w:rFonts w:ascii="Verdana" w:hAnsi="Verdana"/>
        </w:rPr>
      </w:pPr>
    </w:p>
    <w:p w14:paraId="142083C8" w14:textId="77777777" w:rsidR="003D422D" w:rsidRDefault="003D422D" w:rsidP="006459F8">
      <w:pPr>
        <w:spacing w:after="0" w:line="240" w:lineRule="auto"/>
        <w:jc w:val="both"/>
        <w:rPr>
          <w:rFonts w:ascii="Verdana" w:hAnsi="Verdana"/>
        </w:rPr>
      </w:pPr>
    </w:p>
    <w:p w14:paraId="5B8053B4" w14:textId="77777777" w:rsidR="003D422D" w:rsidRDefault="003D422D" w:rsidP="006459F8">
      <w:pPr>
        <w:spacing w:after="0" w:line="240" w:lineRule="auto"/>
        <w:jc w:val="both"/>
        <w:rPr>
          <w:rFonts w:ascii="Verdana" w:hAnsi="Verdana"/>
        </w:rPr>
      </w:pPr>
    </w:p>
    <w:p w14:paraId="63776026" w14:textId="77777777" w:rsidR="003D422D" w:rsidRDefault="003D422D" w:rsidP="006459F8">
      <w:pPr>
        <w:spacing w:after="0" w:line="240" w:lineRule="auto"/>
        <w:jc w:val="both"/>
        <w:rPr>
          <w:rFonts w:ascii="Verdana" w:hAnsi="Verdana"/>
        </w:rPr>
      </w:pPr>
    </w:p>
    <w:p w14:paraId="0D23FED9" w14:textId="77777777" w:rsidR="003D422D" w:rsidRDefault="003D422D" w:rsidP="006459F8">
      <w:pPr>
        <w:spacing w:after="0" w:line="240" w:lineRule="auto"/>
        <w:jc w:val="both"/>
        <w:rPr>
          <w:rFonts w:ascii="Verdana" w:hAnsi="Verdana"/>
        </w:rPr>
      </w:pPr>
    </w:p>
    <w:p w14:paraId="17DAA026" w14:textId="77777777" w:rsidR="003D422D" w:rsidRDefault="003D422D" w:rsidP="006459F8">
      <w:pPr>
        <w:spacing w:after="0" w:line="240" w:lineRule="auto"/>
        <w:jc w:val="both"/>
        <w:rPr>
          <w:rFonts w:ascii="Verdana" w:hAnsi="Verdana"/>
        </w:rPr>
      </w:pPr>
    </w:p>
    <w:p w14:paraId="2F88E173" w14:textId="77777777" w:rsidR="003D422D" w:rsidRDefault="003D422D" w:rsidP="006459F8">
      <w:pPr>
        <w:spacing w:after="0" w:line="240" w:lineRule="auto"/>
        <w:jc w:val="both"/>
        <w:rPr>
          <w:rFonts w:ascii="Verdana" w:hAnsi="Verdana"/>
        </w:rPr>
      </w:pPr>
    </w:p>
    <w:p w14:paraId="2919A7DA" w14:textId="77777777" w:rsidR="003D422D" w:rsidRDefault="003D422D" w:rsidP="006459F8">
      <w:pPr>
        <w:spacing w:after="0" w:line="240" w:lineRule="auto"/>
        <w:jc w:val="both"/>
        <w:rPr>
          <w:rFonts w:ascii="Verdana" w:hAnsi="Verdana"/>
        </w:rPr>
      </w:pPr>
    </w:p>
    <w:p w14:paraId="46037D65" w14:textId="77777777" w:rsidR="003D422D" w:rsidRDefault="003D422D" w:rsidP="006459F8">
      <w:pPr>
        <w:spacing w:after="0" w:line="240" w:lineRule="auto"/>
        <w:jc w:val="both"/>
        <w:rPr>
          <w:rFonts w:ascii="Verdana" w:hAnsi="Verdana"/>
        </w:rPr>
      </w:pPr>
    </w:p>
    <w:p w14:paraId="1060A50A" w14:textId="77777777" w:rsidR="00B07A38" w:rsidRDefault="00B07A38" w:rsidP="006459F8">
      <w:pPr>
        <w:spacing w:after="0" w:line="240" w:lineRule="auto"/>
        <w:jc w:val="both"/>
        <w:rPr>
          <w:rFonts w:ascii="Verdana" w:hAnsi="Verdana"/>
        </w:rPr>
      </w:pPr>
    </w:p>
    <w:p w14:paraId="5CE287CE" w14:textId="77777777" w:rsidR="00B07A38" w:rsidRDefault="00B07A38" w:rsidP="006459F8">
      <w:pPr>
        <w:spacing w:after="0" w:line="240" w:lineRule="auto"/>
        <w:jc w:val="both"/>
        <w:rPr>
          <w:rFonts w:ascii="Verdana" w:hAnsi="Verdana"/>
        </w:rPr>
      </w:pPr>
    </w:p>
    <w:p w14:paraId="03A14A21" w14:textId="66A82D66" w:rsidR="006459F8" w:rsidRPr="008E4F36" w:rsidRDefault="00532055" w:rsidP="006459F8">
      <w:pPr>
        <w:spacing w:after="0" w:line="240" w:lineRule="auto"/>
        <w:jc w:val="both"/>
        <w:rPr>
          <w:rFonts w:ascii="Verdana" w:hAnsi="Verdana"/>
        </w:rPr>
      </w:pPr>
      <w:r w:rsidRPr="00532055">
        <w:rPr>
          <w:rFonts w:ascii="Verdana" w:hAnsi="Verdana"/>
        </w:rPr>
        <w:t>Bogotá D.C., 2</w:t>
      </w:r>
      <w:r>
        <w:rPr>
          <w:rFonts w:ascii="Verdana" w:hAnsi="Verdana"/>
        </w:rPr>
        <w:t>5</w:t>
      </w:r>
      <w:r w:rsidRPr="00532055">
        <w:rPr>
          <w:rFonts w:ascii="Verdana" w:hAnsi="Verdana"/>
        </w:rPr>
        <w:t xml:space="preserve"> </w:t>
      </w:r>
      <w:r>
        <w:rPr>
          <w:rFonts w:ascii="Verdana" w:hAnsi="Verdana"/>
        </w:rPr>
        <w:t>f</w:t>
      </w:r>
      <w:r w:rsidRPr="00532055">
        <w:rPr>
          <w:rFonts w:ascii="Verdana" w:hAnsi="Verdana"/>
        </w:rPr>
        <w:t>ebrero 2026</w:t>
      </w:r>
      <w:r>
        <w:rPr>
          <w:rFonts w:ascii="Verdana" w:hAnsi="Verdana"/>
        </w:rPr>
        <w:t xml:space="preserve"> </w:t>
      </w:r>
    </w:p>
    <w:p w14:paraId="5DA59879" w14:textId="77777777" w:rsidR="006459F8" w:rsidRDefault="006459F8" w:rsidP="006459F8">
      <w:pPr>
        <w:spacing w:after="0" w:line="240" w:lineRule="auto"/>
        <w:jc w:val="both"/>
        <w:rPr>
          <w:rFonts w:ascii="Verdana" w:eastAsia="Calibri" w:hAnsi="Verdana" w:cs="Arial"/>
          <w:lang w:eastAsia="es-ES"/>
        </w:rPr>
      </w:pPr>
      <w:bookmarkStart w:id="1" w:name="_Hlk197462763"/>
      <w:bookmarkStart w:id="2" w:name="_Hlk197529996"/>
    </w:p>
    <w:p w14:paraId="5D3E997D" w14:textId="71A1D277" w:rsidR="00AC2439" w:rsidRDefault="00AC2439" w:rsidP="006459F8">
      <w:pPr>
        <w:spacing w:after="0" w:line="240" w:lineRule="auto"/>
        <w:jc w:val="both"/>
        <w:rPr>
          <w:rFonts w:ascii="Verdana" w:eastAsia="Calibri" w:hAnsi="Verdana" w:cs="Arial"/>
          <w:lang w:eastAsia="es-ES"/>
        </w:rPr>
      </w:pPr>
      <w:r w:rsidRPr="00AC2439">
        <w:rPr>
          <w:rFonts w:ascii="Verdana" w:eastAsia="Calibri" w:hAnsi="Verdana" w:cs="Arial"/>
          <w:lang w:eastAsia="es-ES"/>
        </w:rPr>
        <w:drawing>
          <wp:anchor distT="0" distB="0" distL="114300" distR="114300" simplePos="0" relativeHeight="251660288" behindDoc="1" locked="0" layoutInCell="1" allowOverlap="1" wp14:anchorId="4D5666CA" wp14:editId="0305BF20">
            <wp:simplePos x="0" y="0"/>
            <wp:positionH relativeFrom="column">
              <wp:posOffset>3182620</wp:posOffset>
            </wp:positionH>
            <wp:positionV relativeFrom="paragraph">
              <wp:posOffset>169545</wp:posOffset>
            </wp:positionV>
            <wp:extent cx="2524125" cy="723900"/>
            <wp:effectExtent l="0" t="0" r="9525" b="0"/>
            <wp:wrapTight wrapText="bothSides">
              <wp:wrapPolygon edited="0">
                <wp:start x="0" y="0"/>
                <wp:lineTo x="0" y="21032"/>
                <wp:lineTo x="21518" y="21032"/>
                <wp:lineTo x="21518" y="0"/>
                <wp:lineTo x="0" y="0"/>
              </wp:wrapPolygon>
            </wp:wrapTight>
            <wp:docPr id="133831469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314697" name="Imagen 1"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2524125" cy="723900"/>
                    </a:xfrm>
                    <a:prstGeom prst="rect">
                      <a:avLst/>
                    </a:prstGeom>
                  </pic:spPr>
                </pic:pic>
              </a:graphicData>
            </a:graphic>
          </wp:anchor>
        </w:drawing>
      </w:r>
    </w:p>
    <w:p w14:paraId="396CAF10" w14:textId="3C4657C4" w:rsidR="00AC2439" w:rsidRPr="008E4F36" w:rsidRDefault="00AC2439" w:rsidP="006459F8">
      <w:pPr>
        <w:spacing w:after="0" w:line="240" w:lineRule="auto"/>
        <w:jc w:val="both"/>
        <w:rPr>
          <w:rFonts w:ascii="Verdana" w:eastAsia="Calibri" w:hAnsi="Verdana" w:cs="Arial"/>
          <w:lang w:eastAsia="es-ES"/>
        </w:rPr>
      </w:pPr>
    </w:p>
    <w:p w14:paraId="34D7348C" w14:textId="7BC2E30B" w:rsidR="006459F8" w:rsidRDefault="006459F8" w:rsidP="006459F8">
      <w:pPr>
        <w:spacing w:after="0" w:line="240" w:lineRule="auto"/>
        <w:jc w:val="both"/>
        <w:rPr>
          <w:rFonts w:ascii="Verdana" w:eastAsia="Calibri" w:hAnsi="Verdana" w:cs="Arial"/>
          <w:lang w:eastAsia="es-ES"/>
        </w:rPr>
      </w:pPr>
    </w:p>
    <w:p w14:paraId="3F07A97D" w14:textId="77777777" w:rsidR="006459F8" w:rsidRPr="008E4F36" w:rsidRDefault="006459F8" w:rsidP="006459F8">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23FDF6F4" w14:textId="1F94B133" w:rsidR="006459F8" w:rsidRPr="000F2158" w:rsidRDefault="00A6061C" w:rsidP="006459F8">
      <w:pPr>
        <w:spacing w:after="0" w:line="240" w:lineRule="auto"/>
        <w:jc w:val="both"/>
        <w:rPr>
          <w:rFonts w:ascii="Verdana" w:eastAsia="Calibri" w:hAnsi="Verdana" w:cs="Arial"/>
          <w:b/>
          <w:highlight w:val="yellow"/>
          <w:lang w:eastAsia="es-ES_tradnl"/>
        </w:rPr>
      </w:pPr>
      <w:r w:rsidRPr="00A6061C">
        <w:rPr>
          <w:rFonts w:ascii="Verdana" w:eastAsia="Calibri" w:hAnsi="Verdana" w:cs="Arial"/>
          <w:b/>
          <w:lang w:eastAsia="es-ES_tradnl"/>
        </w:rPr>
        <w:t>Luis Félix</w:t>
      </w:r>
      <w:r>
        <w:rPr>
          <w:rFonts w:ascii="Verdana" w:eastAsia="Calibri" w:hAnsi="Verdana" w:cs="Arial"/>
          <w:b/>
          <w:lang w:eastAsia="es-ES_tradnl"/>
        </w:rPr>
        <w:t xml:space="preserve"> </w:t>
      </w:r>
      <w:r w:rsidRPr="00A6061C">
        <w:rPr>
          <w:rFonts w:ascii="Verdana" w:eastAsia="Calibri" w:hAnsi="Verdana" w:cs="Arial"/>
          <w:b/>
          <w:lang w:eastAsia="es-ES_tradnl"/>
        </w:rPr>
        <w:t>Gutiérrez Meriño</w:t>
      </w:r>
      <w:r>
        <w:rPr>
          <w:rFonts w:ascii="Verdana" w:eastAsia="Calibri" w:hAnsi="Verdana" w:cs="Arial"/>
          <w:b/>
          <w:lang w:eastAsia="es-ES_tradnl"/>
        </w:rPr>
        <w:t xml:space="preserve">  </w:t>
      </w:r>
    </w:p>
    <w:p w14:paraId="60F7C09C" w14:textId="1FC72D6A" w:rsidR="006459F8" w:rsidRPr="000F2158" w:rsidRDefault="00A6061C" w:rsidP="006459F8">
      <w:pPr>
        <w:spacing w:after="0" w:line="240" w:lineRule="auto"/>
        <w:jc w:val="both"/>
        <w:rPr>
          <w:rFonts w:ascii="Verdana" w:eastAsia="Calibri" w:hAnsi="Verdana" w:cs="Arial"/>
          <w:b/>
          <w:highlight w:val="yellow"/>
          <w:lang w:eastAsia="es-ES_tradnl"/>
        </w:rPr>
      </w:pPr>
      <w:hyperlink r:id="rId8" w:history="1">
        <w:r w:rsidRPr="004F4E61">
          <w:rPr>
            <w:rStyle w:val="Hipervnculo"/>
            <w:rFonts w:ascii="Verdana" w:eastAsia="Calibri" w:hAnsi="Verdana" w:cs="Arial"/>
            <w:b/>
            <w:lang w:eastAsia="es-ES_tradnl"/>
          </w:rPr>
          <w:t>lfgutierrezfe@sena.edu.co</w:t>
        </w:r>
      </w:hyperlink>
      <w:r>
        <w:rPr>
          <w:rFonts w:ascii="Verdana" w:eastAsia="Calibri" w:hAnsi="Verdana" w:cs="Arial"/>
          <w:b/>
          <w:lang w:eastAsia="es-ES_tradnl"/>
        </w:rPr>
        <w:t xml:space="preserve">  </w:t>
      </w:r>
    </w:p>
    <w:p w14:paraId="1BA515F0" w14:textId="77777777" w:rsidR="006459F8" w:rsidRPr="004E1BE4" w:rsidRDefault="006459F8" w:rsidP="006459F8">
      <w:pPr>
        <w:spacing w:after="0" w:line="240" w:lineRule="auto"/>
        <w:jc w:val="both"/>
        <w:rPr>
          <w:rFonts w:ascii="Verdana" w:eastAsia="Calibri" w:hAnsi="Verdana" w:cs="Arial"/>
          <w:bCs/>
          <w:lang w:eastAsia="es-ES_tradnl"/>
        </w:rPr>
      </w:pPr>
      <w:r>
        <w:rPr>
          <w:rFonts w:ascii="Verdana" w:eastAsia="Calibri" w:hAnsi="Verdana" w:cs="Arial"/>
          <w:bCs/>
          <w:lang w:eastAsia="es-ES_tradnl"/>
        </w:rPr>
        <w:t>Cuidad</w:t>
      </w:r>
    </w:p>
    <w:p w14:paraId="274755EE" w14:textId="77777777" w:rsidR="006459F8" w:rsidRPr="005B4C57" w:rsidRDefault="006459F8" w:rsidP="006459F8">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6459F8" w:rsidRPr="002842E0" w14:paraId="27537BC8" w14:textId="77777777" w:rsidTr="00742A06">
        <w:trPr>
          <w:trHeight w:val="162"/>
        </w:trPr>
        <w:tc>
          <w:tcPr>
            <w:tcW w:w="3119" w:type="dxa"/>
          </w:tcPr>
          <w:p w14:paraId="76B858B6" w14:textId="77777777" w:rsidR="006459F8" w:rsidRPr="005B4C57" w:rsidRDefault="006459F8" w:rsidP="00742A06">
            <w:pPr>
              <w:jc w:val="both"/>
              <w:rPr>
                <w:rFonts w:ascii="Verdana" w:eastAsia="Calibri" w:hAnsi="Verdana" w:cs="Arial"/>
                <w:b/>
                <w:bCs/>
                <w:color w:val="7030A0"/>
                <w:lang w:val="it-CH" w:eastAsia="es-ES_tradnl"/>
              </w:rPr>
            </w:pPr>
          </w:p>
        </w:tc>
        <w:tc>
          <w:tcPr>
            <w:tcW w:w="5670" w:type="dxa"/>
          </w:tcPr>
          <w:p w14:paraId="19302260" w14:textId="2D744687" w:rsidR="006459F8" w:rsidRPr="00801462" w:rsidRDefault="006459F8" w:rsidP="00742A06">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0</w:t>
            </w:r>
            <w:r w:rsidR="00D20E06">
              <w:rPr>
                <w:rFonts w:ascii="Verdana" w:eastAsia="Calibri" w:hAnsi="Verdana" w:cs="Arial"/>
                <w:b/>
                <w:bCs/>
                <w:lang w:eastAsia="es-ES"/>
              </w:rPr>
              <w:t>60</w:t>
            </w:r>
            <w:r>
              <w:rPr>
                <w:rFonts w:ascii="Verdana" w:eastAsia="Calibri" w:hAnsi="Verdana" w:cs="Arial"/>
                <w:b/>
                <w:bCs/>
                <w:lang w:eastAsia="es-ES"/>
              </w:rPr>
              <w:t xml:space="preserve"> de 2026</w:t>
            </w:r>
          </w:p>
          <w:p w14:paraId="66A371D9" w14:textId="77777777" w:rsidR="006459F8" w:rsidRPr="00801462" w:rsidRDefault="006459F8" w:rsidP="00742A06">
            <w:pPr>
              <w:jc w:val="both"/>
              <w:rPr>
                <w:rFonts w:ascii="Verdana" w:eastAsia="Calibri" w:hAnsi="Verdana" w:cs="Arial"/>
                <w:b/>
                <w:bCs/>
                <w:color w:val="7030A0"/>
                <w:lang w:eastAsia="es-ES"/>
              </w:rPr>
            </w:pPr>
          </w:p>
        </w:tc>
      </w:tr>
      <w:tr w:rsidR="00D279AA" w:rsidRPr="002842E0" w14:paraId="48564A74" w14:textId="77777777" w:rsidTr="00742A06">
        <w:trPr>
          <w:trHeight w:val="884"/>
        </w:trPr>
        <w:tc>
          <w:tcPr>
            <w:tcW w:w="3119" w:type="dxa"/>
          </w:tcPr>
          <w:p w14:paraId="48C07B5A" w14:textId="77777777" w:rsidR="00D279AA" w:rsidRPr="00801462" w:rsidRDefault="00D279AA" w:rsidP="00D279AA">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1C4D9C18" w14:textId="155F49E9" w:rsidR="00D279AA" w:rsidRPr="00365529" w:rsidRDefault="00D279AA" w:rsidP="00D279AA">
            <w:pPr>
              <w:jc w:val="both"/>
              <w:rPr>
                <w:rFonts w:ascii="Verdana" w:eastAsia="Calibri" w:hAnsi="Verdana" w:cs="Arial"/>
                <w:lang w:val="es-ES" w:eastAsia="es-ES"/>
              </w:rPr>
            </w:pPr>
            <w:r w:rsidRPr="00365529">
              <w:rPr>
                <w:rFonts w:ascii="Verdana" w:eastAsia="Calibri" w:hAnsi="Verdana" w:cs="Arial"/>
                <w:lang w:val="es-ES" w:eastAsia="es-ES"/>
              </w:rPr>
              <w:t xml:space="preserve">LEY DE GARANTÍAS– Requisitos de perfeccionamiento y ejecución / LEY DE GARANTÍAS ELECTORALES ‒ Restricciones ‒ Contratación ‒ Tipos de elección / LEY DE GARANTÍAS ELECTORALES ‒ Artículo 33 / </w:t>
            </w:r>
            <w:r w:rsidRPr="001E2124">
              <w:rPr>
                <w:rFonts w:ascii="Verdana" w:eastAsia="Calibri" w:hAnsi="Verdana" w:cs="Arial"/>
                <w:lang w:val="es-ES" w:eastAsia="es-ES"/>
              </w:rPr>
              <w:t>LEY DE GARANTÍAS ELECTORALES ‒ Artículo 38 ‒ Parágrafo</w:t>
            </w:r>
            <w:r>
              <w:rPr>
                <w:rFonts w:ascii="Verdana" w:eastAsia="Calibri" w:hAnsi="Verdana" w:cs="Arial"/>
                <w:lang w:val="es-ES" w:eastAsia="es-ES"/>
              </w:rPr>
              <w:t xml:space="preserve">/ </w:t>
            </w:r>
            <w:r w:rsidRPr="00365529">
              <w:rPr>
                <w:rFonts w:ascii="Verdana" w:eastAsia="Calibri" w:hAnsi="Verdana" w:cs="Arial"/>
                <w:lang w:val="es-MX"/>
              </w:rPr>
              <w:t xml:space="preserve">LEY DE GARANTÍAS ELECTORALES ─ Prohibición ‒ Contratación directa ‒ Alcance </w:t>
            </w:r>
          </w:p>
          <w:p w14:paraId="5AC8118E" w14:textId="77777777" w:rsidR="00D279AA" w:rsidRPr="00801462" w:rsidRDefault="00D279AA" w:rsidP="00D279AA">
            <w:pPr>
              <w:jc w:val="both"/>
              <w:rPr>
                <w:rFonts w:ascii="Verdana" w:eastAsia="Calibri" w:hAnsi="Verdana" w:cs="Arial"/>
                <w:lang w:val="es-ES_tradnl" w:eastAsia="es-ES"/>
              </w:rPr>
            </w:pPr>
          </w:p>
        </w:tc>
      </w:tr>
      <w:tr w:rsidR="00D279AA" w:rsidRPr="002842E0" w14:paraId="3E2C50FC" w14:textId="77777777" w:rsidTr="00742A06">
        <w:tc>
          <w:tcPr>
            <w:tcW w:w="3119" w:type="dxa"/>
          </w:tcPr>
          <w:p w14:paraId="31732420" w14:textId="77777777" w:rsidR="00D279AA" w:rsidRPr="00801462" w:rsidRDefault="00D279AA" w:rsidP="00D279AA">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293DAD41" w14:textId="003B0640" w:rsidR="00D279AA" w:rsidRPr="00801462" w:rsidRDefault="00D279AA" w:rsidP="00D279AA">
            <w:pPr>
              <w:jc w:val="both"/>
              <w:rPr>
                <w:rFonts w:ascii="Verdana" w:eastAsia="Calibri" w:hAnsi="Verdana" w:cs="Arial"/>
                <w:lang w:eastAsia="es-ES_tradnl"/>
              </w:rPr>
            </w:pPr>
            <w:r w:rsidRPr="00801462">
              <w:rPr>
                <w:rFonts w:ascii="Verdana" w:eastAsia="Calibri" w:hAnsi="Verdana" w:cs="Arial"/>
                <w:lang w:eastAsia="es-ES_tradnl"/>
              </w:rPr>
              <w:t xml:space="preserve">Respuesta a consulta con radicado </w:t>
            </w:r>
            <w:r w:rsidR="009855AD" w:rsidRPr="009855AD">
              <w:rPr>
                <w:rFonts w:ascii="Verdana" w:eastAsia="Calibri" w:hAnsi="Verdana" w:cs="Arial"/>
                <w:lang w:eastAsia="es-ES_tradnl"/>
              </w:rPr>
              <w:t>1_2026_01_16_000447</w:t>
            </w:r>
            <w:r w:rsidR="009855AD">
              <w:rPr>
                <w:rFonts w:ascii="Verdana" w:eastAsia="Calibri" w:hAnsi="Verdana" w:cs="Arial"/>
                <w:lang w:eastAsia="es-ES_tradnl"/>
              </w:rPr>
              <w:t xml:space="preserve"> </w:t>
            </w:r>
          </w:p>
        </w:tc>
      </w:tr>
    </w:tbl>
    <w:p w14:paraId="452B9A21" w14:textId="77777777" w:rsidR="006459F8" w:rsidRDefault="006459F8" w:rsidP="006459F8">
      <w:pPr>
        <w:spacing w:after="0" w:line="276" w:lineRule="auto"/>
        <w:jc w:val="both"/>
        <w:rPr>
          <w:rFonts w:ascii="Verdana" w:eastAsia="Calibri" w:hAnsi="Verdana" w:cs="Arial"/>
          <w:lang w:eastAsia="es-ES_tradnl"/>
        </w:rPr>
      </w:pPr>
    </w:p>
    <w:p w14:paraId="34C4C1E0" w14:textId="77777777" w:rsidR="006459F8" w:rsidRDefault="006459F8" w:rsidP="006459F8">
      <w:pPr>
        <w:spacing w:after="0" w:line="276" w:lineRule="auto"/>
        <w:jc w:val="both"/>
        <w:rPr>
          <w:rFonts w:ascii="Verdana" w:eastAsia="Calibri" w:hAnsi="Verdana" w:cs="Arial"/>
          <w:lang w:eastAsia="es-ES_tradnl"/>
        </w:rPr>
      </w:pPr>
    </w:p>
    <w:p w14:paraId="7B4E78B3" w14:textId="77777777" w:rsidR="006459F8" w:rsidRPr="008E4F36" w:rsidRDefault="006459F8" w:rsidP="006459F8">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w:t>
      </w:r>
      <w:r w:rsidRPr="00094FD0">
        <w:rPr>
          <w:rFonts w:ascii="Verdana" w:eastAsia="Calibri" w:hAnsi="Verdana" w:cs="Arial"/>
          <w:bCs/>
          <w:lang w:eastAsia="es-ES_tradnl"/>
        </w:rPr>
        <w:t>Gutiérrez</w:t>
      </w:r>
      <w:r w:rsidRPr="00083AB6">
        <w:rPr>
          <w:rFonts w:ascii="Verdana" w:eastAsia="Calibri" w:hAnsi="Verdana" w:cs="Arial"/>
          <w:lang w:eastAsia="es-ES"/>
        </w:rPr>
        <w:t>:</w:t>
      </w:r>
      <w:r w:rsidRPr="008E4F36">
        <w:rPr>
          <w:rFonts w:ascii="Verdana" w:eastAsia="Calibri" w:hAnsi="Verdana" w:cs="Arial"/>
          <w:lang w:eastAsia="es-ES"/>
        </w:rPr>
        <w:t xml:space="preserve"> </w:t>
      </w:r>
    </w:p>
    <w:p w14:paraId="0C79726D" w14:textId="77777777" w:rsidR="006459F8" w:rsidRDefault="006459F8" w:rsidP="006459F8">
      <w:pPr>
        <w:tabs>
          <w:tab w:val="left" w:pos="3768"/>
        </w:tabs>
        <w:spacing w:after="0" w:line="240" w:lineRule="auto"/>
        <w:jc w:val="both"/>
        <w:rPr>
          <w:rFonts w:ascii="Verdana" w:eastAsia="Calibri" w:hAnsi="Verdana" w:cs="Arial"/>
          <w:lang w:eastAsia="es-ES"/>
        </w:rPr>
      </w:pPr>
    </w:p>
    <w:p w14:paraId="2A277BC4" w14:textId="05714E31" w:rsidR="006459F8" w:rsidRPr="008E4F36" w:rsidRDefault="006459F8" w:rsidP="006459F8">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sidR="00A6061C">
        <w:rPr>
          <w:rFonts w:ascii="Verdana" w:eastAsia="Calibri" w:hAnsi="Verdana" w:cs="Arial"/>
          <w:lang w:eastAsia="es-ES"/>
        </w:rPr>
        <w:t>16</w:t>
      </w:r>
      <w:r w:rsidRPr="00AF6D58">
        <w:rPr>
          <w:rFonts w:ascii="Verdana" w:eastAsia="Calibri" w:hAnsi="Verdana" w:cs="Arial"/>
          <w:lang w:eastAsia="es-ES"/>
        </w:rPr>
        <w:t xml:space="preserve"> de </w:t>
      </w:r>
      <w:r>
        <w:rPr>
          <w:rFonts w:ascii="Verdana" w:eastAsia="Calibri" w:hAnsi="Verdana" w:cs="Arial"/>
          <w:lang w:eastAsia="es-ES"/>
        </w:rPr>
        <w:t>enero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47C3E292" w14:textId="77777777" w:rsidR="006459F8" w:rsidRPr="00060C1D" w:rsidRDefault="006459F8" w:rsidP="00060C1D">
      <w:pPr>
        <w:spacing w:before="120" w:after="120"/>
        <w:ind w:left="709" w:right="709"/>
        <w:contextualSpacing/>
        <w:jc w:val="both"/>
        <w:rPr>
          <w:rFonts w:ascii="Verdana" w:eastAsia="Century Gothic" w:hAnsi="Verdana" w:cs="Century Gothic"/>
          <w:i/>
          <w:iCs/>
          <w:sz w:val="20"/>
          <w:szCs w:val="20"/>
          <w:lang w:val="es-ES"/>
        </w:rPr>
      </w:pPr>
    </w:p>
    <w:p w14:paraId="40D7E91C" w14:textId="77777777" w:rsidR="006459F8" w:rsidRPr="00060C1D" w:rsidRDefault="006459F8" w:rsidP="00060C1D">
      <w:pPr>
        <w:spacing w:before="120" w:after="120"/>
        <w:ind w:left="709" w:right="709"/>
        <w:contextualSpacing/>
        <w:jc w:val="both"/>
        <w:rPr>
          <w:rFonts w:ascii="Verdana" w:eastAsia="Century Gothic" w:hAnsi="Verdana" w:cs="Century Gothic"/>
          <w:i/>
          <w:iCs/>
          <w:sz w:val="20"/>
          <w:szCs w:val="20"/>
          <w:lang w:val="es-ES"/>
        </w:rPr>
      </w:pPr>
      <w:bookmarkStart w:id="3" w:name="_Hlk192699624"/>
      <w:bookmarkStart w:id="4" w:name="_Hlk199394899"/>
      <w:r w:rsidRPr="00060C1D">
        <w:rPr>
          <w:rFonts w:ascii="Verdana" w:eastAsia="Century Gothic" w:hAnsi="Verdana" w:cs="Century Gothic"/>
          <w:i/>
          <w:iCs/>
          <w:sz w:val="20"/>
          <w:szCs w:val="20"/>
          <w:lang w:val="es-ES"/>
        </w:rPr>
        <w:t>“</w:t>
      </w:r>
      <w:bookmarkEnd w:id="3"/>
      <w:bookmarkEnd w:id="4"/>
      <w:r w:rsidRPr="00060C1D">
        <w:rPr>
          <w:rFonts w:ascii="Verdana" w:eastAsia="Century Gothic" w:hAnsi="Verdana" w:cs="Century Gothic"/>
          <w:i/>
          <w:iCs/>
          <w:sz w:val="20"/>
          <w:szCs w:val="20"/>
          <w:lang w:val="es-ES"/>
        </w:rPr>
        <w:t>Si la aprobación de las pólizas constituye un acto accesorio o independiente de la firma del convenio, y por tanto se encuentra también cobijada por la restricción de la Ley de Garantías.</w:t>
      </w:r>
    </w:p>
    <w:p w14:paraId="3616AA7E" w14:textId="77777777" w:rsidR="006459F8" w:rsidRPr="00060C1D" w:rsidRDefault="006459F8" w:rsidP="00060C1D">
      <w:pPr>
        <w:spacing w:before="120" w:after="120"/>
        <w:ind w:left="709" w:right="709"/>
        <w:contextualSpacing/>
        <w:jc w:val="both"/>
        <w:rPr>
          <w:rFonts w:ascii="Verdana" w:eastAsia="Century Gothic" w:hAnsi="Verdana" w:cs="Century Gothic"/>
          <w:i/>
          <w:iCs/>
          <w:sz w:val="20"/>
          <w:szCs w:val="20"/>
          <w:lang w:val="es-ES"/>
        </w:rPr>
      </w:pPr>
    </w:p>
    <w:p w14:paraId="1E977D04" w14:textId="77777777" w:rsidR="006459F8" w:rsidRPr="00060C1D" w:rsidRDefault="006459F8" w:rsidP="00060C1D">
      <w:pPr>
        <w:spacing w:before="120" w:after="120"/>
        <w:ind w:left="709" w:right="709"/>
        <w:contextualSpacing/>
        <w:jc w:val="both"/>
        <w:rPr>
          <w:rFonts w:ascii="Verdana" w:eastAsia="Century Gothic" w:hAnsi="Verdana" w:cs="Century Gothic"/>
          <w:i/>
          <w:iCs/>
          <w:sz w:val="20"/>
          <w:szCs w:val="20"/>
          <w:lang w:val="es-ES"/>
        </w:rPr>
      </w:pPr>
      <w:r w:rsidRPr="00060C1D">
        <w:rPr>
          <w:rFonts w:ascii="Verdana" w:eastAsia="Century Gothic" w:hAnsi="Verdana" w:cs="Century Gothic"/>
          <w:i/>
          <w:iCs/>
          <w:sz w:val="20"/>
          <w:szCs w:val="20"/>
          <w:lang w:val="es-ES"/>
        </w:rPr>
        <w:lastRenderedPageBreak/>
        <w:t>Si la exigencia de que las pólizas estén aprobadas antes del 31 de enero es jurídicamente obligatoria, o si basta con que el convenio haya sido suscrito en ese plazo, quedando la aprobación de las pólizas como un trámite posterior no afectado por la restricción.</w:t>
      </w:r>
    </w:p>
    <w:p w14:paraId="79CD2E3A" w14:textId="77777777" w:rsidR="009855AD" w:rsidRDefault="009855AD" w:rsidP="00060C1D">
      <w:pPr>
        <w:spacing w:before="120" w:after="120"/>
        <w:ind w:left="709" w:right="709"/>
        <w:contextualSpacing/>
        <w:jc w:val="both"/>
        <w:rPr>
          <w:rFonts w:ascii="Verdana" w:eastAsia="Century Gothic" w:hAnsi="Verdana" w:cs="Century Gothic"/>
          <w:i/>
          <w:iCs/>
          <w:sz w:val="20"/>
          <w:szCs w:val="20"/>
          <w:lang w:val="es-ES"/>
        </w:rPr>
      </w:pPr>
    </w:p>
    <w:p w14:paraId="34A3C2BE" w14:textId="736B634B" w:rsidR="006459F8" w:rsidRPr="00060C1D" w:rsidRDefault="006459F8" w:rsidP="00060C1D">
      <w:pPr>
        <w:spacing w:before="120" w:after="120"/>
        <w:ind w:left="709" w:right="709"/>
        <w:contextualSpacing/>
        <w:jc w:val="both"/>
        <w:rPr>
          <w:rFonts w:ascii="Verdana" w:eastAsia="Century Gothic" w:hAnsi="Verdana" w:cs="Century Gothic"/>
          <w:i/>
          <w:iCs/>
          <w:sz w:val="20"/>
          <w:szCs w:val="20"/>
          <w:lang w:val="es-ES"/>
        </w:rPr>
      </w:pPr>
      <w:r w:rsidRPr="00060C1D">
        <w:rPr>
          <w:rFonts w:ascii="Verdana" w:eastAsia="Century Gothic" w:hAnsi="Verdana" w:cs="Century Gothic"/>
          <w:i/>
          <w:iCs/>
          <w:sz w:val="20"/>
          <w:szCs w:val="20"/>
          <w:lang w:val="es-ES"/>
        </w:rPr>
        <w:t>Qué riesgos jurídicos o de nulidad podrían derivarse en caso de que las pólizas se aprueben con posterioridad al 31 de enero, aun cuando el convenio haya sido firmado dentro del plazo permitido.”</w:t>
      </w:r>
    </w:p>
    <w:p w14:paraId="0972C706" w14:textId="77777777" w:rsidR="006459F8" w:rsidRPr="008E4F36" w:rsidRDefault="006459F8" w:rsidP="006459F8">
      <w:pPr>
        <w:spacing w:after="0" w:line="240" w:lineRule="auto"/>
        <w:ind w:left="709" w:right="709"/>
        <w:jc w:val="both"/>
        <w:rPr>
          <w:rFonts w:ascii="Verdana" w:hAnsi="Verdana"/>
          <w:sz w:val="20"/>
          <w:szCs w:val="20"/>
        </w:rPr>
      </w:pPr>
    </w:p>
    <w:p w14:paraId="1349D60C" w14:textId="77777777" w:rsidR="006459F8" w:rsidRDefault="006459F8" w:rsidP="006459F8">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2A54BED" w14:textId="77777777" w:rsidR="006459F8" w:rsidRPr="00054383" w:rsidRDefault="006459F8" w:rsidP="006459F8">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6A5E7419" w14:textId="77777777" w:rsidR="006459F8" w:rsidRPr="008E4F36" w:rsidRDefault="006459F8" w:rsidP="006459F8">
      <w:pPr>
        <w:spacing w:after="0"/>
        <w:ind w:firstLine="709"/>
        <w:jc w:val="both"/>
        <w:rPr>
          <w:rFonts w:ascii="Verdana" w:eastAsia="Calibri" w:hAnsi="Verdana" w:cs="Arial"/>
          <w:color w:val="000000"/>
          <w:lang w:eastAsia="es-ES"/>
        </w:rPr>
      </w:pPr>
    </w:p>
    <w:p w14:paraId="4498DB58" w14:textId="77777777" w:rsidR="006459F8" w:rsidRDefault="006459F8" w:rsidP="006459F8">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372386E7" w14:textId="77777777" w:rsidR="006459F8" w:rsidRDefault="006459F8" w:rsidP="006459F8">
      <w:pPr>
        <w:spacing w:after="0" w:line="276" w:lineRule="auto"/>
        <w:jc w:val="both"/>
        <w:rPr>
          <w:rFonts w:ascii="Verdana" w:eastAsia="Calibri" w:hAnsi="Verdana" w:cs="Arial"/>
          <w:color w:val="000000"/>
          <w:highlight w:val="yellow"/>
          <w:lang w:eastAsia="es-ES"/>
        </w:rPr>
      </w:pPr>
    </w:p>
    <w:p w14:paraId="5A6355A0" w14:textId="769CA51D" w:rsidR="00B91D30" w:rsidRPr="00B91D30" w:rsidRDefault="006459F8" w:rsidP="00B91D30">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sidR="00B91D30">
        <w:rPr>
          <w:rFonts w:ascii="Verdana" w:eastAsia="Calibri" w:hAnsi="Verdana" w:cs="Arial"/>
          <w:color w:val="000000"/>
          <w:lang w:eastAsia="es-ES"/>
        </w:rPr>
        <w:t>¡)</w:t>
      </w:r>
      <w:r w:rsidR="00B91D30" w:rsidRPr="00B91D30">
        <w:rPr>
          <w:rFonts w:ascii="Verdana" w:eastAsia="Calibri" w:hAnsi="Verdana" w:cs="Arial"/>
          <w:color w:val="000000"/>
          <w:lang w:eastAsia="es-ES"/>
        </w:rPr>
        <w:t xml:space="preserve"> </w:t>
      </w:r>
      <w:r w:rsidR="00F7192D" w:rsidRPr="00F7192D">
        <w:rPr>
          <w:rFonts w:ascii="Verdana" w:eastAsia="Calibri" w:hAnsi="Verdana" w:cs="Arial"/>
          <w:color w:val="000000"/>
          <w:lang w:eastAsia="es-ES"/>
        </w:rPr>
        <w:t xml:space="preserve">¿Es jurídicamente viable que, tratándose de un convenio estatal celebrado antes del inicio del período de restricciones previsto en la Ley 996 de 2005, la aprobación de las garantías o pólizas se efectúe con posterioridad al comienzo de dicha restricción, sin que ello implique la </w:t>
      </w:r>
      <w:r w:rsidR="00F7192D" w:rsidRPr="00F7192D">
        <w:rPr>
          <w:rFonts w:ascii="Verdana" w:eastAsia="Calibri" w:hAnsi="Verdana" w:cs="Arial"/>
          <w:color w:val="000000"/>
          <w:lang w:eastAsia="es-ES"/>
        </w:rPr>
        <w:lastRenderedPageBreak/>
        <w:t>celebración de un nuevo contrato ni la vulneración de la prohibición de contratación directa durante la vigencia de la Ley de Garantías?</w:t>
      </w:r>
      <w:r w:rsidR="00F7192D">
        <w:rPr>
          <w:rFonts w:ascii="Verdana" w:eastAsia="Calibri" w:hAnsi="Verdana" w:cs="Arial"/>
          <w:color w:val="000000"/>
          <w:lang w:eastAsia="es-ES"/>
        </w:rPr>
        <w:t xml:space="preserve"> </w:t>
      </w:r>
    </w:p>
    <w:p w14:paraId="68FB0DC7" w14:textId="2FD8B770" w:rsidR="006459F8" w:rsidRPr="005A3B40" w:rsidRDefault="006459F8" w:rsidP="006459F8">
      <w:pPr>
        <w:spacing w:after="0" w:line="276" w:lineRule="auto"/>
        <w:jc w:val="both"/>
        <w:rPr>
          <w:rFonts w:ascii="Verdana" w:eastAsia="Calibri" w:hAnsi="Verdana" w:cs="Arial"/>
          <w:color w:val="000000"/>
          <w:lang w:eastAsia="es-ES"/>
        </w:rPr>
      </w:pPr>
    </w:p>
    <w:p w14:paraId="024C7E89" w14:textId="77777777" w:rsidR="006459F8" w:rsidRPr="00BF422F" w:rsidRDefault="006459F8" w:rsidP="006459F8">
      <w:pPr>
        <w:spacing w:after="0" w:line="276" w:lineRule="auto"/>
        <w:jc w:val="both"/>
        <w:rPr>
          <w:rFonts w:ascii="Verdana" w:eastAsia="Calibri" w:hAnsi="Verdana" w:cs="Times New Roman"/>
          <w:i/>
          <w:iCs/>
          <w:lang w:val="es-ES"/>
        </w:rPr>
      </w:pPr>
    </w:p>
    <w:p w14:paraId="4B9F0F2E" w14:textId="77777777" w:rsidR="006459F8" w:rsidRPr="008E4F36" w:rsidRDefault="006459F8" w:rsidP="006459F8">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30164782" w14:textId="77777777" w:rsidR="006459F8" w:rsidRPr="008E4F36" w:rsidRDefault="006459F8" w:rsidP="006459F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6459F8" w:rsidRPr="008E4F36" w14:paraId="15522333" w14:textId="77777777" w:rsidTr="00742A06">
        <w:tc>
          <w:tcPr>
            <w:tcW w:w="8828" w:type="dxa"/>
          </w:tcPr>
          <w:p w14:paraId="5341ABDD" w14:textId="77777777" w:rsidR="00E869C6" w:rsidRPr="00365529" w:rsidRDefault="00E869C6" w:rsidP="00E869C6">
            <w:pPr>
              <w:spacing w:before="120" w:after="120" w:line="276" w:lineRule="auto"/>
              <w:jc w:val="both"/>
              <w:rPr>
                <w:rFonts w:ascii="Verdana" w:eastAsia="Calibri" w:hAnsi="Verdana" w:cs="Arial"/>
              </w:rPr>
            </w:pPr>
            <w:r w:rsidRPr="00365529">
              <w:rPr>
                <w:rFonts w:ascii="Verdana" w:eastAsia="Calibri" w:hAnsi="Verdana" w:cs="Arial"/>
              </w:rPr>
              <w:t>En el marco del análisis del régimen general de compras y contratación pública, y sin desconocer que corresponde a cada entidad evaluar la viabilidad técnica, jurídica y financiera de los contratos que se pretendan celebrar, es posible sostener que la Ley 996 de 2005 establece restricciones a la contratación estatal.</w:t>
            </w:r>
          </w:p>
          <w:p w14:paraId="196B22AA" w14:textId="77777777" w:rsidR="00E869C6" w:rsidRDefault="00E869C6" w:rsidP="00E869C6">
            <w:pPr>
              <w:spacing w:before="120" w:after="120" w:line="276" w:lineRule="auto"/>
              <w:ind w:firstLine="709"/>
              <w:jc w:val="both"/>
              <w:rPr>
                <w:rFonts w:ascii="Verdana" w:eastAsia="Calibri" w:hAnsi="Verdana" w:cs="Arial"/>
              </w:rPr>
            </w:pPr>
            <w:r w:rsidRPr="000303F4">
              <w:rPr>
                <w:rFonts w:ascii="Verdana" w:eastAsia="Calibri" w:hAnsi="Verdana" w:cs="Arial"/>
                <w:lang w:val="es-ES"/>
              </w:rPr>
              <w:t xml:space="preserve">En tal sentido, </w:t>
            </w:r>
            <w:r w:rsidRPr="000303F4">
              <w:rPr>
                <w:rFonts w:ascii="Verdana" w:eastAsia="Calibri" w:hAnsi="Verdana" w:cs="Arial"/>
              </w:rPr>
              <w:t>el artículo 33 de la Ley 996 de 2005 prohíbe la contratación directa por parte de todos los entes del Estado durante los cuatro (4) meses anteriores a la elección presidencial, salvo lo referente con la defensa y seguridad del Estado, los contratos de crédito público, aquellos necesarios para atender emergencias educativas, sanitarias o desastres, así como, los destinados a la reconstrucción de vías, puentes, carreteras e infraestructura energética y de comunicaciones cuando estas hayan sido afectadas por atentados, acciones terroristas, desastres naturales o eventos de fuerza mayor, y los que deban celebrar las entidades sanitarias y hospitalarias.</w:t>
            </w:r>
          </w:p>
          <w:p w14:paraId="3E1DA462" w14:textId="77777777" w:rsidR="00E869C6" w:rsidRPr="000303F4" w:rsidRDefault="00E869C6" w:rsidP="00E869C6">
            <w:pPr>
              <w:spacing w:before="120" w:after="120" w:line="276" w:lineRule="auto"/>
              <w:ind w:firstLine="709"/>
              <w:jc w:val="both"/>
              <w:rPr>
                <w:rFonts w:ascii="Verdana" w:eastAsia="Calibri" w:hAnsi="Verdana" w:cs="Arial"/>
              </w:rPr>
            </w:pPr>
            <w:r>
              <w:rPr>
                <w:rFonts w:ascii="Verdana" w:eastAsia="Calibri" w:hAnsi="Verdana" w:cs="Arial"/>
              </w:rPr>
              <w:t xml:space="preserve">Aunado a lo anterior, la </w:t>
            </w:r>
            <w:r w:rsidRPr="000B7079">
              <w:rPr>
                <w:rFonts w:ascii="Verdana" w:eastAsia="Calibri" w:hAnsi="Verdana" w:cs="Arial"/>
              </w:rPr>
              <w:t xml:space="preserve">prohibición </w:t>
            </w:r>
            <w:r>
              <w:rPr>
                <w:rFonts w:ascii="Verdana" w:eastAsia="Calibri" w:hAnsi="Verdana" w:cs="Arial"/>
              </w:rPr>
              <w:t xml:space="preserve">establecida en el </w:t>
            </w:r>
            <w:r w:rsidRPr="000B7079">
              <w:rPr>
                <w:rFonts w:ascii="Verdana" w:eastAsia="Calibri" w:hAnsi="Verdana" w:cs="Arial"/>
              </w:rPr>
              <w:t xml:space="preserve">artículo 33 de </w:t>
            </w:r>
            <w:r>
              <w:rPr>
                <w:rFonts w:ascii="Verdana" w:eastAsia="Calibri" w:hAnsi="Verdana" w:cs="Arial"/>
              </w:rPr>
              <w:t>Ley 996 de 2025</w:t>
            </w:r>
            <w:r w:rsidRPr="000B7079">
              <w:rPr>
                <w:rFonts w:ascii="Verdana" w:eastAsia="Calibri" w:hAnsi="Verdana" w:cs="Arial"/>
              </w:rPr>
              <w:t xml:space="preserve">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w:t>
            </w:r>
          </w:p>
          <w:p w14:paraId="199B7805" w14:textId="151F7AEA" w:rsidR="004E016C" w:rsidRDefault="00E869C6" w:rsidP="00E869C6">
            <w:pPr>
              <w:spacing w:before="120" w:after="120" w:line="276" w:lineRule="auto"/>
              <w:ind w:firstLine="709"/>
              <w:jc w:val="both"/>
              <w:rPr>
                <w:rFonts w:ascii="Verdana" w:eastAsia="Calibri" w:hAnsi="Verdana" w:cs="Arial"/>
              </w:rPr>
            </w:pPr>
            <w:r w:rsidRPr="00DD4917">
              <w:rPr>
                <w:rFonts w:ascii="Verdana" w:eastAsia="Calibri" w:hAnsi="Verdana" w:cs="Arial"/>
              </w:rPr>
              <w:t xml:space="preserve">Por su parte, las fechas de aplicación de la Ley de Garantías Electorales, debe tenerse en cuenta que el Consejo Nacional Electoral, mediante la Resolución No. 2581 del 5 de marzo de 2025, fijó el calendario electoral para las elecciones al Congreso de la República, las cuales se celebrarán el 8 de marzo de 2026. En consecuencia, de conformidad con lo dispuesto en el artículo 38 de la Ley 996 de 2005, las restricciones allí previstas iniciarán el 8 </w:t>
            </w:r>
            <w:r w:rsidRPr="00DD4917">
              <w:rPr>
                <w:rFonts w:ascii="Verdana" w:eastAsia="Calibri" w:hAnsi="Verdana" w:cs="Arial"/>
              </w:rPr>
              <w:lastRenderedPageBreak/>
              <w:t>de noviembre de 2025, es decir, cuatro (4) meses antes de la fecha de las elecciones.</w:t>
            </w:r>
          </w:p>
          <w:p w14:paraId="08E23E15" w14:textId="0E0F5FF8" w:rsidR="0031064E" w:rsidRPr="00E869C6" w:rsidRDefault="0031064E" w:rsidP="0031064E">
            <w:pPr>
              <w:spacing w:before="120" w:after="120" w:line="276" w:lineRule="auto"/>
              <w:ind w:firstLine="709"/>
              <w:jc w:val="both"/>
              <w:rPr>
                <w:rFonts w:ascii="Verdana" w:eastAsia="Calibri" w:hAnsi="Verdana" w:cs="Arial"/>
              </w:rPr>
            </w:pPr>
            <w:r>
              <w:rPr>
                <w:rFonts w:ascii="Verdana" w:eastAsia="Calibri" w:hAnsi="Verdana" w:cs="Arial"/>
              </w:rPr>
              <w:t>De este modo</w:t>
            </w:r>
            <w:r w:rsidRPr="00DD4917">
              <w:rPr>
                <w:rFonts w:ascii="Verdana" w:eastAsia="Calibri" w:hAnsi="Verdana" w:cs="Arial"/>
              </w:rPr>
              <w:t>, dichas restricciones se aplican a los gobernadores, alcaldes municipales o distritales, así como a los secretarios, gerentes y directores de entidades descentralizadas del orden municipal, departamental o distrital, quienes tienen prohibido celebrar convenios interadministrativos que impliquen la ejecución de recursos públicos. Asimismo, se les prohíbe participar, promover o destinar recursos públicos de las entidades a su cargo o de aquellas en las que participen como miembros de sus juntas directivas en o para reuniones de carácter proselitista.</w:t>
            </w:r>
          </w:p>
          <w:p w14:paraId="7C580A9D" w14:textId="6B97EEC6" w:rsidR="004E016C" w:rsidRPr="004E016C" w:rsidRDefault="004E016C" w:rsidP="004E016C">
            <w:pPr>
              <w:spacing w:after="120" w:line="276" w:lineRule="auto"/>
              <w:ind w:firstLine="709"/>
              <w:jc w:val="both"/>
              <w:rPr>
                <w:rFonts w:ascii="Verdana" w:hAnsi="Verdana" w:cs="Arial"/>
                <w:color w:val="000000" w:themeColor="text1"/>
              </w:rPr>
            </w:pPr>
            <w:r w:rsidRPr="004E016C">
              <w:rPr>
                <w:rFonts w:ascii="Verdana" w:hAnsi="Verdana" w:cs="Arial"/>
                <w:color w:val="000000" w:themeColor="text1"/>
              </w:rPr>
              <w:t>Ahora bien,</w:t>
            </w:r>
            <w:r w:rsidR="00E869C6">
              <w:rPr>
                <w:rFonts w:ascii="Verdana" w:hAnsi="Verdana" w:cs="Arial"/>
                <w:color w:val="000000" w:themeColor="text1"/>
              </w:rPr>
              <w:t xml:space="preserve"> </w:t>
            </w:r>
            <w:r w:rsidR="008C11FB">
              <w:rPr>
                <w:rFonts w:ascii="Verdana" w:hAnsi="Verdana" w:cs="Arial"/>
                <w:color w:val="000000" w:themeColor="text1"/>
              </w:rPr>
              <w:t xml:space="preserve">en </w:t>
            </w:r>
            <w:proofErr w:type="gramStart"/>
            <w:r w:rsidR="00E869C6">
              <w:rPr>
                <w:rFonts w:ascii="Verdana" w:hAnsi="Verdana" w:cs="Arial"/>
                <w:color w:val="000000" w:themeColor="text1"/>
              </w:rPr>
              <w:t xml:space="preserve">relación </w:t>
            </w:r>
            <w:r w:rsidR="006F15A9">
              <w:rPr>
                <w:rFonts w:ascii="Verdana" w:hAnsi="Verdana" w:cs="Arial"/>
                <w:color w:val="000000" w:themeColor="text1"/>
              </w:rPr>
              <w:t xml:space="preserve"> a</w:t>
            </w:r>
            <w:proofErr w:type="gramEnd"/>
            <w:r w:rsidR="006F15A9">
              <w:rPr>
                <w:rFonts w:ascii="Verdana" w:hAnsi="Verdana" w:cs="Arial"/>
                <w:color w:val="000000" w:themeColor="text1"/>
              </w:rPr>
              <w:t xml:space="preserve"> </w:t>
            </w:r>
            <w:r w:rsidR="00E869C6">
              <w:rPr>
                <w:rFonts w:ascii="Verdana" w:hAnsi="Verdana" w:cs="Arial"/>
                <w:color w:val="000000" w:themeColor="text1"/>
              </w:rPr>
              <w:t xml:space="preserve">su </w:t>
            </w:r>
            <w:r w:rsidR="0031064E">
              <w:rPr>
                <w:rFonts w:ascii="Verdana" w:hAnsi="Verdana" w:cs="Arial"/>
                <w:color w:val="000000" w:themeColor="text1"/>
              </w:rPr>
              <w:t xml:space="preserve">consulta, </w:t>
            </w:r>
            <w:r w:rsidR="0031064E" w:rsidRPr="004E016C">
              <w:rPr>
                <w:rFonts w:ascii="Verdana" w:hAnsi="Verdana" w:cs="Arial"/>
                <w:color w:val="000000" w:themeColor="text1"/>
              </w:rPr>
              <w:t>conforme</w:t>
            </w:r>
            <w:r w:rsidRPr="004E016C">
              <w:rPr>
                <w:rFonts w:ascii="Verdana" w:hAnsi="Verdana" w:cs="Arial"/>
                <w:color w:val="000000" w:themeColor="text1"/>
              </w:rPr>
              <w:t xml:space="preserve"> al artículo 41 de la Ley 80 de 1993, los contratos estatales se perfeccionan cuando existe acuerdo sobre el objeto y la contraprestación y dicho acuerdo se eleva a escrito. En consecuencia, la existencia jurídica del contrato surge con su suscripción válida, mientras que la aprobación de las garantías, el registro presupuestal y la acreditación de aportes al Sistema de Seguridad Social constituyen requisitos de ejecución, no de perfeccionamiento.</w:t>
            </w:r>
          </w:p>
          <w:p w14:paraId="589C2F15" w14:textId="77777777" w:rsidR="004E016C" w:rsidRPr="004E016C" w:rsidRDefault="004E016C" w:rsidP="004E016C">
            <w:pPr>
              <w:spacing w:after="120" w:line="276" w:lineRule="auto"/>
              <w:ind w:firstLine="709"/>
              <w:jc w:val="both"/>
              <w:rPr>
                <w:rFonts w:ascii="Verdana" w:hAnsi="Verdana" w:cs="Arial"/>
                <w:color w:val="000000" w:themeColor="text1"/>
              </w:rPr>
            </w:pPr>
            <w:r w:rsidRPr="004E016C">
              <w:rPr>
                <w:rFonts w:ascii="Verdana" w:hAnsi="Verdana" w:cs="Arial"/>
                <w:color w:val="000000" w:themeColor="text1"/>
              </w:rPr>
              <w:t xml:space="preserve">En esa misma línea, la Circular Externa Única de la Agencia Nacional de Contratación Pública – Colombia Compra Eficiente ha precisado que tanto el registro presupuestal como la aprobación de la garantía pueden realizarse con posterioridad a la </w:t>
            </w:r>
            <w:proofErr w:type="gramStart"/>
            <w:r w:rsidRPr="004E016C">
              <w:rPr>
                <w:rFonts w:ascii="Verdana" w:hAnsi="Verdana" w:cs="Arial"/>
                <w:color w:val="000000" w:themeColor="text1"/>
              </w:rPr>
              <w:t>entrada en vigencia</w:t>
            </w:r>
            <w:proofErr w:type="gramEnd"/>
            <w:r w:rsidRPr="004E016C">
              <w:rPr>
                <w:rFonts w:ascii="Verdana" w:hAnsi="Verdana" w:cs="Arial"/>
                <w:color w:val="000000" w:themeColor="text1"/>
              </w:rPr>
              <w:t xml:space="preserve"> de la Ley de Garantías, por tratarse de actuaciones necesarias para la ejecución del contrato y no para su celebración.</w:t>
            </w:r>
          </w:p>
          <w:p w14:paraId="62AB947F" w14:textId="77777777" w:rsidR="006459F8" w:rsidRDefault="004E016C" w:rsidP="00895E79">
            <w:pPr>
              <w:spacing w:after="120" w:line="276" w:lineRule="auto"/>
              <w:ind w:firstLine="709"/>
              <w:jc w:val="both"/>
              <w:rPr>
                <w:rFonts w:ascii="Verdana" w:hAnsi="Verdana" w:cs="Arial"/>
                <w:color w:val="000000" w:themeColor="text1"/>
              </w:rPr>
            </w:pPr>
            <w:r w:rsidRPr="004E016C">
              <w:rPr>
                <w:rFonts w:ascii="Verdana" w:hAnsi="Verdana" w:cs="Arial"/>
                <w:color w:val="000000" w:themeColor="text1"/>
              </w:rPr>
              <w:t>En consecuencia, si el convenio</w:t>
            </w:r>
            <w:r w:rsidR="003563DF">
              <w:rPr>
                <w:rFonts w:ascii="Verdana" w:hAnsi="Verdana" w:cs="Arial"/>
                <w:color w:val="000000" w:themeColor="text1"/>
              </w:rPr>
              <w:t xml:space="preserve"> o </w:t>
            </w:r>
            <w:r w:rsidR="00CE679E">
              <w:rPr>
                <w:rFonts w:ascii="Verdana" w:hAnsi="Verdana" w:cs="Arial"/>
                <w:color w:val="000000" w:themeColor="text1"/>
              </w:rPr>
              <w:t>contrato</w:t>
            </w:r>
            <w:r w:rsidR="003563DF">
              <w:rPr>
                <w:rFonts w:ascii="Verdana" w:hAnsi="Verdana" w:cs="Arial"/>
                <w:color w:val="000000" w:themeColor="text1"/>
              </w:rPr>
              <w:t xml:space="preserve"> </w:t>
            </w:r>
            <w:r w:rsidR="00CE679E">
              <w:rPr>
                <w:rFonts w:ascii="Verdana" w:hAnsi="Verdana" w:cs="Arial"/>
                <w:color w:val="000000" w:themeColor="text1"/>
              </w:rPr>
              <w:t>interad</w:t>
            </w:r>
            <w:r w:rsidR="00BB5333">
              <w:rPr>
                <w:rFonts w:ascii="Verdana" w:hAnsi="Verdana" w:cs="Arial"/>
                <w:color w:val="000000" w:themeColor="text1"/>
              </w:rPr>
              <w:t xml:space="preserve">ministrativo </w:t>
            </w:r>
            <w:r w:rsidRPr="004E016C">
              <w:rPr>
                <w:rFonts w:ascii="Verdana" w:hAnsi="Verdana" w:cs="Arial"/>
                <w:color w:val="000000" w:themeColor="text1"/>
              </w:rPr>
              <w:t>fue suscrito válidamente antes del inicio del periodo de restricción previsto en la Ley 996 de 2005, la aprobación de las pólizas con posterioridad al vencimiento del plazo de prohibición no configura por sí misma un vicio que afecte la validez del contrato ni genera nulidad automática. No obstante, podrían derivarse riesgos de responsabilidad disciplinaria, fiscal o contractual si se demuestra que el contrato no estaba realmente perfeccionado antes de la restricción, que hubo simulación en la fecha de suscripción, que se inició la ejecución sin la aprobación previa de las garantías o que se vulneraron los principios de planeación, legalidad y transparencia que rigen la contratación estatal.</w:t>
            </w:r>
          </w:p>
          <w:p w14:paraId="6D1337D7" w14:textId="77AB0B14" w:rsidR="00EE54C6" w:rsidRPr="00B70775" w:rsidRDefault="00EE54C6" w:rsidP="00895E79">
            <w:pPr>
              <w:spacing w:after="120" w:line="276" w:lineRule="auto"/>
              <w:ind w:firstLine="709"/>
              <w:jc w:val="both"/>
              <w:rPr>
                <w:rFonts w:ascii="Verdana" w:hAnsi="Verdana" w:cs="Arial"/>
                <w:color w:val="000000" w:themeColor="text1"/>
              </w:rPr>
            </w:pPr>
            <w:r>
              <w:rPr>
                <w:rFonts w:ascii="Verdana" w:hAnsi="Verdana" w:cs="Arial"/>
                <w:color w:val="000000" w:themeColor="text1"/>
              </w:rPr>
              <w:lastRenderedPageBreak/>
              <w:t xml:space="preserve">Finalmente, </w:t>
            </w:r>
            <w:r w:rsidRPr="00DB4737">
              <w:rPr>
                <w:rFonts w:ascii="Verdana" w:eastAsia="Calibri" w:hAnsi="Verdana" w:cs="Times New Roman"/>
                <w:lang w:val="es-ES"/>
              </w:rPr>
              <w:t xml:space="preserve">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Pr>
                <w:rFonts w:ascii="Verdana" w:eastAsia="Calibri" w:hAnsi="Verdana" w:cs="Times New Roman"/>
                <w:lang w:val="es-ES"/>
              </w:rPr>
              <w:t xml:space="preserve">y contratista </w:t>
            </w:r>
            <w:r w:rsidRPr="00DB4737">
              <w:rPr>
                <w:rFonts w:ascii="Verdana" w:eastAsia="Calibri" w:hAnsi="Verdana" w:cs="Times New Roman"/>
                <w:lang w:val="es-ES"/>
              </w:rPr>
              <w:t>definirá la forma de adelantar su gestión contractual</w:t>
            </w:r>
            <w:r>
              <w:rPr>
                <w:rFonts w:ascii="Verdana" w:eastAsia="Calibri" w:hAnsi="Verdana" w:cs="Times New Roman"/>
                <w:lang w:val="es-ES"/>
              </w:rPr>
              <w:t xml:space="preserve"> y las acciones judiciales que correspondan</w:t>
            </w:r>
            <w:r w:rsidRPr="00DB4737">
              <w:rPr>
                <w:rFonts w:ascii="Verdana" w:eastAsia="Calibri" w:hAnsi="Verdana" w:cs="Times New Roman"/>
                <w:lang w:val="es-ES"/>
              </w:rPr>
              <w:t>, sin que sea atribución de la Agencia Nacional de Contratación Pública – Colombia Compra Eficiente, validar sus actuaciones</w:t>
            </w:r>
            <w:r>
              <w:rPr>
                <w:rFonts w:ascii="Verdana" w:eastAsia="Calibri" w:hAnsi="Verdana" w:cs="Times New Roman"/>
                <w:lang w:val="es-ES"/>
              </w:rPr>
              <w:t>.</w:t>
            </w:r>
          </w:p>
        </w:tc>
      </w:tr>
    </w:tbl>
    <w:p w14:paraId="0B1D2B2E" w14:textId="77777777" w:rsidR="006459F8" w:rsidRDefault="006459F8" w:rsidP="006459F8">
      <w:pPr>
        <w:tabs>
          <w:tab w:val="left" w:pos="142"/>
          <w:tab w:val="left" w:pos="284"/>
        </w:tabs>
        <w:spacing w:after="0" w:line="276" w:lineRule="auto"/>
        <w:jc w:val="both"/>
        <w:rPr>
          <w:rFonts w:ascii="Verdana" w:eastAsia="Century Gothic" w:hAnsi="Verdana" w:cs="Century Gothic"/>
          <w:b/>
          <w:bCs/>
        </w:rPr>
      </w:pPr>
    </w:p>
    <w:p w14:paraId="790E3A68" w14:textId="77777777" w:rsidR="006459F8" w:rsidRPr="008E4F36" w:rsidRDefault="006459F8" w:rsidP="006459F8">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31E3988D" w14:textId="77777777" w:rsidR="006459F8" w:rsidRDefault="006459F8" w:rsidP="006459F8">
      <w:pPr>
        <w:pStyle w:val="Prrafodelista"/>
        <w:tabs>
          <w:tab w:val="left" w:pos="142"/>
          <w:tab w:val="left" w:pos="284"/>
        </w:tabs>
        <w:spacing w:after="0" w:line="276" w:lineRule="auto"/>
        <w:ind w:left="0"/>
        <w:contextualSpacing w:val="0"/>
        <w:jc w:val="both"/>
        <w:rPr>
          <w:rFonts w:ascii="Verdana" w:eastAsia="Calibri" w:hAnsi="Verdana" w:cs="Arial"/>
        </w:rPr>
      </w:pPr>
    </w:p>
    <w:p w14:paraId="03601AF0" w14:textId="77777777" w:rsidR="006459F8" w:rsidRDefault="006459F8" w:rsidP="006459F8">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18F62821" w14:textId="77777777" w:rsidR="006459F8" w:rsidRDefault="006459F8" w:rsidP="006459F8">
      <w:pPr>
        <w:spacing w:after="120" w:line="276" w:lineRule="auto"/>
        <w:jc w:val="both"/>
        <w:rPr>
          <w:rFonts w:ascii="Verdana" w:eastAsia="Calibri" w:hAnsi="Verdana" w:cs="Arial"/>
          <w:color w:val="000000"/>
          <w:shd w:val="clear" w:color="auto" w:fill="FFFFFF"/>
          <w:lang w:val="es-ES"/>
        </w:rPr>
      </w:pPr>
    </w:p>
    <w:p w14:paraId="011167E8" w14:textId="77777777" w:rsidR="00B91631" w:rsidRPr="00860425" w:rsidRDefault="006459F8" w:rsidP="00B91631">
      <w:pPr>
        <w:tabs>
          <w:tab w:val="left" w:pos="426"/>
        </w:tabs>
        <w:spacing w:after="120" w:line="276" w:lineRule="auto"/>
        <w:jc w:val="both"/>
        <w:rPr>
          <w:rFonts w:ascii="Verdana" w:eastAsia="Times New Roman" w:hAnsi="Verdana" w:cs="Arial"/>
          <w:lang w:val="es-ES" w:eastAsia="es-CO"/>
        </w:rPr>
      </w:pPr>
      <w:r w:rsidRPr="2864E210">
        <w:rPr>
          <w:rFonts w:ascii="Verdana" w:eastAsia="Times New Roman" w:hAnsi="Verdana" w:cs="Arial"/>
          <w:color w:val="000000" w:themeColor="text1"/>
          <w:lang w:val="es-ES" w:eastAsia="es-ES"/>
        </w:rPr>
        <w:t xml:space="preserve"> </w:t>
      </w:r>
      <w:bookmarkStart w:id="5" w:name="_Hlk102983874"/>
      <w:bookmarkStart w:id="6" w:name="_Hlk102388095"/>
      <w:bookmarkStart w:id="7" w:name="_Hlk204856061"/>
      <w:bookmarkStart w:id="8" w:name="_Hlk78820161"/>
      <w:bookmarkStart w:id="9" w:name="_Hlk204854194"/>
      <w:r w:rsidR="00B91631" w:rsidRPr="00860425">
        <w:rPr>
          <w:rFonts w:ascii="Verdana" w:eastAsia="Calibri" w:hAnsi="Verdana" w:cs="Arial"/>
          <w:lang w:val="es-ES"/>
        </w:rPr>
        <w:t>i)</w:t>
      </w:r>
      <w:r w:rsidR="00B91631" w:rsidRPr="00860425">
        <w:rPr>
          <w:rFonts w:ascii="Verdana" w:eastAsia="Verdana" w:hAnsi="Verdana" w:cs="Verdana"/>
          <w:lang w:val="es-ES"/>
        </w:rPr>
        <w:t xml:space="preserve"> </w:t>
      </w:r>
      <w:r w:rsidR="00B91631" w:rsidRPr="00860425">
        <w:rPr>
          <w:rFonts w:ascii="Verdana" w:eastAsia="Calibri" w:hAnsi="Verdana" w:cs="Arial"/>
          <w:lang w:val="es-ES"/>
        </w:rPr>
        <w:t>El ordenamiento jurídico colombiano contempla medidas para evitar la obtención de beneficios personales en asuntos propios de la administración pública</w:t>
      </w:r>
      <w:r w:rsidR="00B91631" w:rsidRPr="00860425">
        <w:rPr>
          <w:rFonts w:ascii="Verdana" w:eastAsia="Calibri" w:hAnsi="Verdana" w:cs="Arial"/>
          <w:i/>
          <w:lang w:val="es-ES"/>
        </w:rPr>
        <w:t xml:space="preserve">. </w:t>
      </w:r>
      <w:r w:rsidR="00B91631" w:rsidRPr="00860425">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00B91631" w:rsidRPr="00860425">
        <w:rPr>
          <w:rFonts w:ascii="Verdana" w:hAnsi="Verdana"/>
          <w:vertAlign w:val="superscript"/>
          <w:lang w:val="es-ES"/>
        </w:rPr>
        <w:footnoteReference w:id="1"/>
      </w:r>
      <w:r w:rsidR="00B91631" w:rsidRPr="00860425">
        <w:rPr>
          <w:rFonts w:ascii="Verdana" w:eastAsia="Calibri" w:hAnsi="Verdana" w:cs="Arial"/>
          <w:lang w:val="es-ES"/>
        </w:rPr>
        <w:t xml:space="preserve">. </w:t>
      </w:r>
    </w:p>
    <w:p w14:paraId="13CBE9E1" w14:textId="77777777" w:rsidR="00B91631" w:rsidRPr="00503019" w:rsidRDefault="00B91631" w:rsidP="00B91631">
      <w:pPr>
        <w:tabs>
          <w:tab w:val="left" w:pos="426"/>
        </w:tabs>
        <w:spacing w:after="120" w:line="276" w:lineRule="auto"/>
        <w:ind w:firstLine="709"/>
        <w:jc w:val="both"/>
        <w:rPr>
          <w:rFonts w:ascii="Verdana" w:eastAsia="Calibri" w:hAnsi="Verdana" w:cs="Arial"/>
          <w:lang w:val="es-ES"/>
        </w:rPr>
      </w:pPr>
      <w:r w:rsidRPr="00503019">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03019">
        <w:rPr>
          <w:rFonts w:ascii="Verdana" w:eastAsia="Times New Roman" w:hAnsi="Verdana" w:cs="Arial"/>
          <w:vertAlign w:val="superscript"/>
          <w:lang w:val="es-ES" w:eastAsia="es-CO"/>
        </w:rPr>
        <w:footnoteReference w:id="2"/>
      </w:r>
      <w:r w:rsidRPr="00503019">
        <w:rPr>
          <w:rFonts w:ascii="Verdana" w:eastAsia="Times New Roman" w:hAnsi="Verdana" w:cs="Arial"/>
          <w:lang w:val="es-ES" w:eastAsia="es-CO"/>
        </w:rPr>
        <w:t xml:space="preserve">. En esta medida, introduce </w:t>
      </w:r>
      <w:r w:rsidRPr="00503019">
        <w:rPr>
          <w:rFonts w:ascii="Verdana" w:eastAsia="Times New Roman" w:hAnsi="Verdana" w:cs="Arial"/>
          <w:lang w:val="es-ES" w:eastAsia="es-CO"/>
        </w:rPr>
        <w:lastRenderedPageBreak/>
        <w:t>limitaciones para realizar nombramientos, postulaciones, contrataciones o cualquier otro tipo de actividad que implique destinación de recursos públicos bajo el devenir propio de las Entidades Estatales.</w:t>
      </w:r>
      <w:r w:rsidRPr="00503019">
        <w:rPr>
          <w:rFonts w:ascii="Verdana" w:eastAsia="Calibri" w:hAnsi="Verdana" w:cs="Arial"/>
          <w:lang w:val="es-ES"/>
        </w:rPr>
        <w:t xml:space="preserve"> </w:t>
      </w:r>
    </w:p>
    <w:p w14:paraId="10D811DE" w14:textId="77777777" w:rsidR="00B91631" w:rsidRPr="006E5E26" w:rsidRDefault="00B91631" w:rsidP="00B91631">
      <w:pPr>
        <w:tabs>
          <w:tab w:val="left" w:pos="426"/>
        </w:tabs>
        <w:spacing w:after="0" w:line="276" w:lineRule="auto"/>
        <w:ind w:firstLine="709"/>
        <w:jc w:val="both"/>
        <w:rPr>
          <w:rFonts w:ascii="Verdana" w:eastAsia="Calibri" w:hAnsi="Verdana" w:cs="Arial"/>
          <w:lang w:val="es-ES"/>
        </w:rPr>
      </w:pPr>
      <w:r w:rsidRPr="006E5E26">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4C32284F" w14:textId="77777777" w:rsidR="00B91631" w:rsidRPr="006E5E26" w:rsidRDefault="00B91631" w:rsidP="00B91631">
      <w:pPr>
        <w:spacing w:after="0" w:line="276" w:lineRule="auto"/>
        <w:ind w:right="709"/>
        <w:jc w:val="both"/>
        <w:rPr>
          <w:rFonts w:ascii="Verdana" w:eastAsia="Times New Roman" w:hAnsi="Verdana" w:cs="Arial"/>
          <w:lang w:val="es-ES" w:eastAsia="es-CO"/>
        </w:rPr>
      </w:pPr>
    </w:p>
    <w:p w14:paraId="3B4138CD" w14:textId="77777777" w:rsidR="00B91631" w:rsidRDefault="00B91631" w:rsidP="00B91631">
      <w:pPr>
        <w:spacing w:after="0" w:line="240" w:lineRule="auto"/>
        <w:ind w:left="709" w:right="709"/>
        <w:contextualSpacing/>
        <w:jc w:val="both"/>
        <w:rPr>
          <w:rFonts w:ascii="Verdana" w:eastAsia="Times New Roman" w:hAnsi="Verdana" w:cs="Arial"/>
          <w:sz w:val="20"/>
          <w:szCs w:val="20"/>
          <w:lang w:val="es-ES" w:eastAsia="es-CO"/>
        </w:rPr>
      </w:pPr>
      <w:r w:rsidRPr="006E5E26">
        <w:rPr>
          <w:rFonts w:ascii="Verdana" w:eastAsia="Times New Roman" w:hAnsi="Verdana" w:cs="Arial"/>
          <w:sz w:val="20"/>
          <w:szCs w:val="20"/>
          <w:lang w:val="es-ES" w:eastAsia="es-CO"/>
        </w:rPr>
        <w:t>“</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 xml:space="preserve"> la definición de reglas claras que permitan acceder a los canales de expresión democrática de manera efectiva e igualitaria. El objetivo de una ley de garantías es definir esas reglas </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w:t>
      </w:r>
      <w:r>
        <w:rPr>
          <w:rFonts w:ascii="Verdana" w:eastAsia="Times New Roman" w:hAnsi="Verdana" w:cs="Arial"/>
          <w:sz w:val="20"/>
          <w:szCs w:val="20"/>
          <w:lang w:val="es-ES" w:eastAsia="es-CO"/>
        </w:rPr>
        <w:t>)</w:t>
      </w:r>
      <w:r w:rsidRPr="006E5E26">
        <w:rPr>
          <w:rFonts w:ascii="Verdana" w:eastAsia="Times New Roman" w:hAnsi="Verdana" w:cs="Arial"/>
          <w:sz w:val="20"/>
          <w:szCs w:val="20"/>
          <w:lang w:val="es-ES" w:eastAsia="es-CO"/>
        </w:rPr>
        <w:t xml:space="preserve"> </w:t>
      </w:r>
    </w:p>
    <w:p w14:paraId="502CE764" w14:textId="77777777" w:rsidR="00B91631" w:rsidRPr="006E5E26" w:rsidRDefault="00B91631" w:rsidP="00B91631">
      <w:pPr>
        <w:spacing w:after="0" w:line="240" w:lineRule="auto"/>
        <w:ind w:left="709" w:right="709"/>
        <w:contextualSpacing/>
        <w:jc w:val="both"/>
        <w:rPr>
          <w:rFonts w:ascii="Verdana" w:eastAsia="Times New Roman" w:hAnsi="Verdana" w:cs="Arial"/>
          <w:sz w:val="20"/>
          <w:szCs w:val="20"/>
          <w:lang w:val="es-ES" w:eastAsia="es-CO"/>
        </w:rPr>
      </w:pPr>
    </w:p>
    <w:p w14:paraId="65B5B5C7" w14:textId="77777777" w:rsidR="00B91631" w:rsidRPr="006E5E26" w:rsidRDefault="00B91631" w:rsidP="00B91631">
      <w:pPr>
        <w:spacing w:after="0" w:line="240" w:lineRule="auto"/>
        <w:ind w:left="709" w:right="709"/>
        <w:contextualSpacing/>
        <w:jc w:val="both"/>
        <w:rPr>
          <w:rFonts w:ascii="Verdana" w:eastAsia="Times New Roman" w:hAnsi="Verdana" w:cs="Arial"/>
          <w:sz w:val="20"/>
          <w:szCs w:val="20"/>
          <w:lang w:val="es-ES" w:eastAsia="es-CO"/>
        </w:rPr>
      </w:pPr>
      <w:r w:rsidRPr="006E5E26">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6E5E26">
        <w:rPr>
          <w:rFonts w:ascii="Verdana" w:eastAsia="Calibri" w:hAnsi="Verdana" w:cs="Arial"/>
          <w:sz w:val="20"/>
          <w:szCs w:val="20"/>
          <w:vertAlign w:val="superscript"/>
          <w:lang w:val="es-ES"/>
        </w:rPr>
        <w:footnoteReference w:id="3"/>
      </w:r>
    </w:p>
    <w:p w14:paraId="070B73F4" w14:textId="77777777" w:rsidR="00B91631" w:rsidRPr="00B67A94" w:rsidRDefault="00B91631" w:rsidP="00B91631">
      <w:pPr>
        <w:spacing w:after="0" w:line="276" w:lineRule="auto"/>
        <w:ind w:firstLine="709"/>
        <w:jc w:val="both"/>
        <w:rPr>
          <w:rFonts w:ascii="Verdana" w:eastAsia="Times New Roman" w:hAnsi="Verdana" w:cs="Arial"/>
          <w:color w:val="156082" w:themeColor="accent1"/>
          <w:lang w:val="es-ES" w:eastAsia="es-CO"/>
        </w:rPr>
      </w:pPr>
    </w:p>
    <w:p w14:paraId="5D6C1741" w14:textId="77777777" w:rsidR="00B91631" w:rsidRPr="006E1064" w:rsidRDefault="00B91631" w:rsidP="00B91631">
      <w:pPr>
        <w:spacing w:after="0" w:line="276" w:lineRule="auto"/>
        <w:ind w:firstLine="709"/>
        <w:jc w:val="both"/>
        <w:rPr>
          <w:rFonts w:ascii="Verdana" w:eastAsia="Times New Roman" w:hAnsi="Verdana" w:cs="Arial"/>
          <w:lang w:val="es-ES" w:eastAsia="es-CO"/>
        </w:rPr>
      </w:pPr>
      <w:r w:rsidRPr="006E106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16C4FA9F" w14:textId="77777777" w:rsidR="00B91631" w:rsidRPr="00B67A94" w:rsidRDefault="00B91631" w:rsidP="00B91631">
      <w:pPr>
        <w:spacing w:after="0" w:line="276" w:lineRule="auto"/>
        <w:ind w:firstLine="709"/>
        <w:jc w:val="both"/>
        <w:rPr>
          <w:rFonts w:ascii="Verdana" w:eastAsia="Times New Roman" w:hAnsi="Verdana" w:cs="Arial"/>
          <w:color w:val="156082" w:themeColor="accent1"/>
          <w:lang w:val="es-ES" w:eastAsia="es-CO"/>
        </w:rPr>
      </w:pPr>
    </w:p>
    <w:p w14:paraId="1DCF6FB8" w14:textId="77777777" w:rsidR="00B91631" w:rsidRPr="00E232D8" w:rsidRDefault="00B91631" w:rsidP="00B91631">
      <w:pPr>
        <w:spacing w:after="0" w:line="240" w:lineRule="auto"/>
        <w:ind w:left="709" w:right="709"/>
        <w:jc w:val="both"/>
        <w:rPr>
          <w:rFonts w:ascii="Verdana" w:eastAsia="Times New Roman" w:hAnsi="Verdana" w:cs="Arial"/>
          <w:sz w:val="20"/>
          <w:szCs w:val="20"/>
          <w:lang w:val="es-ES" w:eastAsia="es-CO"/>
        </w:rPr>
      </w:pPr>
      <w:r w:rsidRPr="00B67A94">
        <w:rPr>
          <w:rFonts w:ascii="Verdana" w:eastAsia="Times New Roman" w:hAnsi="Verdana" w:cs="Arial"/>
          <w:color w:val="156082" w:themeColor="accent1"/>
          <w:sz w:val="20"/>
          <w:szCs w:val="20"/>
          <w:lang w:val="es-ES" w:eastAsia="es-CO"/>
        </w:rPr>
        <w:t>“</w:t>
      </w:r>
      <w:r w:rsidRPr="00E232D8">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2D8">
        <w:rPr>
          <w:rFonts w:ascii="Verdana" w:eastAsia="Times New Roman" w:hAnsi="Verdana" w:cs="Arial"/>
          <w:sz w:val="20"/>
          <w:szCs w:val="20"/>
          <w:lang w:val="es-ES" w:eastAsia="es-CO"/>
        </w:rPr>
        <w:t>legis</w:t>
      </w:r>
      <w:proofErr w:type="spellEnd"/>
      <w:r w:rsidRPr="00E232D8">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w:t>
      </w:r>
      <w:r w:rsidRPr="00E232D8">
        <w:rPr>
          <w:rFonts w:ascii="Verdana" w:eastAsia="Times New Roman" w:hAnsi="Verdana" w:cs="Arial"/>
          <w:sz w:val="20"/>
          <w:szCs w:val="20"/>
          <w:lang w:val="es-ES" w:eastAsia="es-CO"/>
        </w:rPr>
        <w:lastRenderedPageBreak/>
        <w:t>régimen jurídico imperativo y de orden público, razón por la cual no son disponibles ni pueden ser derogadas, modificadas, ampliadas o adicionadas por acuerdo o convenio o acto unilateral.</w:t>
      </w:r>
    </w:p>
    <w:p w14:paraId="39FDA409" w14:textId="77777777" w:rsidR="00B91631" w:rsidRPr="00B67A94" w:rsidRDefault="00B91631" w:rsidP="00B91631">
      <w:pPr>
        <w:spacing w:after="0" w:line="240" w:lineRule="auto"/>
        <w:ind w:right="709"/>
        <w:jc w:val="both"/>
        <w:rPr>
          <w:rFonts w:ascii="Verdana" w:eastAsia="Times New Roman" w:hAnsi="Verdana" w:cs="Arial"/>
          <w:color w:val="156082" w:themeColor="accent1"/>
          <w:lang w:val="es-ES" w:eastAsia="es-CO"/>
        </w:rPr>
      </w:pPr>
    </w:p>
    <w:p w14:paraId="528ABDF7" w14:textId="77777777" w:rsidR="00B91631" w:rsidRPr="00E232D8" w:rsidRDefault="00B91631" w:rsidP="00B91631">
      <w:pPr>
        <w:spacing w:after="0" w:line="240" w:lineRule="auto"/>
        <w:ind w:left="709" w:right="709"/>
        <w:jc w:val="both"/>
        <w:rPr>
          <w:rFonts w:ascii="Verdana" w:eastAsia="Times New Roman" w:hAnsi="Verdana" w:cs="Arial"/>
          <w:sz w:val="20"/>
          <w:szCs w:val="20"/>
          <w:lang w:val="es-ES" w:eastAsia="es-CO"/>
        </w:rPr>
      </w:pPr>
      <w:r w:rsidRPr="00E232D8">
        <w:rPr>
          <w:rFonts w:ascii="Verdana" w:eastAsia="Times New Roman" w:hAnsi="Verdana" w:cs="Arial"/>
          <w:sz w:val="20"/>
          <w:szCs w:val="20"/>
          <w:lang w:val="es-ES" w:eastAsia="es-CO"/>
        </w:rPr>
        <w:t>La jurisprudencia de la Corte Constitucional</w:t>
      </w:r>
      <w:r w:rsidRPr="00E232D8">
        <w:rPr>
          <w:rFonts w:ascii="Verdana" w:eastAsia="Times New Roman" w:hAnsi="Verdana" w:cs="Arial"/>
          <w:sz w:val="20"/>
          <w:szCs w:val="20"/>
          <w:vertAlign w:val="superscript"/>
          <w:lang w:val="es-ES" w:eastAsia="es-CO"/>
        </w:rPr>
        <w:footnoteReference w:id="4"/>
      </w:r>
      <w:r w:rsidRPr="00E232D8">
        <w:rPr>
          <w:rFonts w:ascii="Verdana" w:eastAsia="Times New Roman" w:hAnsi="Verdana" w:cs="Arial"/>
          <w:sz w:val="20"/>
          <w:szCs w:val="20"/>
          <w:lang w:val="es-ES" w:eastAsia="es-CO"/>
        </w:rPr>
        <w:t> y del Consejo de Estado</w:t>
      </w:r>
      <w:r w:rsidRPr="00E232D8">
        <w:rPr>
          <w:rFonts w:ascii="Verdana" w:eastAsia="Times New Roman" w:hAnsi="Verdana" w:cs="Arial"/>
          <w:sz w:val="20"/>
          <w:szCs w:val="20"/>
          <w:vertAlign w:val="superscript"/>
          <w:lang w:val="es-ES" w:eastAsia="es-CO"/>
        </w:rPr>
        <w:footnoteReference w:id="5"/>
      </w:r>
      <w:r w:rsidRPr="00E232D8">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2D8">
        <w:rPr>
          <w:rFonts w:ascii="Verdana" w:eastAsia="Times New Roman" w:hAnsi="Verdana" w:cs="Arial"/>
          <w:sz w:val="20"/>
          <w:szCs w:val="20"/>
          <w:vertAlign w:val="superscript"/>
          <w:lang w:val="es-ES" w:eastAsia="es-CO"/>
        </w:rPr>
        <w:footnoteReference w:id="6"/>
      </w:r>
      <w:r w:rsidRPr="00E232D8">
        <w:rPr>
          <w:rFonts w:ascii="Verdana" w:eastAsia="Times New Roman" w:hAnsi="Verdana" w:cs="Arial"/>
          <w:sz w:val="20"/>
          <w:szCs w:val="20"/>
          <w:lang w:val="es-ES" w:eastAsia="es-CO"/>
        </w:rPr>
        <w:t>.</w:t>
      </w:r>
    </w:p>
    <w:p w14:paraId="2FA69E9F" w14:textId="77777777" w:rsidR="00B91631" w:rsidRPr="00C3478C" w:rsidRDefault="00B91631" w:rsidP="00B91631">
      <w:pPr>
        <w:spacing w:after="0" w:line="276" w:lineRule="auto"/>
        <w:jc w:val="both"/>
        <w:rPr>
          <w:rFonts w:ascii="Verdana" w:eastAsia="Calibri" w:hAnsi="Verdana" w:cs="Arial"/>
          <w:bCs/>
          <w:lang w:val="es-ES"/>
        </w:rPr>
      </w:pPr>
    </w:p>
    <w:p w14:paraId="26201733" w14:textId="77777777" w:rsidR="00B91631" w:rsidRDefault="00B91631" w:rsidP="00B91631">
      <w:pPr>
        <w:spacing w:after="0" w:line="276" w:lineRule="auto"/>
        <w:ind w:firstLine="709"/>
        <w:jc w:val="both"/>
        <w:rPr>
          <w:rFonts w:ascii="Verdana" w:eastAsia="Arial" w:hAnsi="Verdana" w:cs="Arial"/>
          <w:lang w:val="es-ES" w:eastAsia="es-ES" w:bidi="es-ES"/>
        </w:rPr>
      </w:pPr>
      <w:r w:rsidRPr="00C3478C">
        <w:rPr>
          <w:rFonts w:ascii="Verdana" w:eastAsia="Times New Roman" w:hAnsi="Verdana" w:cs="Arial"/>
          <w:lang w:val="es-ES" w:eastAsia="es-CO"/>
        </w:rPr>
        <w:t>De</w:t>
      </w:r>
      <w:r w:rsidRPr="00C3478C">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3826C669" w14:textId="77777777" w:rsidR="00B91631" w:rsidRDefault="00B91631" w:rsidP="00B91631">
      <w:pPr>
        <w:spacing w:after="0" w:line="276" w:lineRule="auto"/>
        <w:ind w:firstLine="709"/>
        <w:jc w:val="both"/>
        <w:rPr>
          <w:rFonts w:ascii="Verdana" w:eastAsia="Arial" w:hAnsi="Verdana" w:cs="Arial"/>
          <w:lang w:val="es-ES" w:eastAsia="es-ES" w:bidi="es-ES"/>
        </w:rPr>
      </w:pPr>
    </w:p>
    <w:p w14:paraId="42967D8A" w14:textId="77777777" w:rsidR="00B91631" w:rsidRPr="00B75FB5" w:rsidRDefault="00B91631" w:rsidP="00B91631">
      <w:pPr>
        <w:spacing w:after="120" w:line="276" w:lineRule="auto"/>
        <w:jc w:val="both"/>
        <w:rPr>
          <w:rFonts w:ascii="Verdana" w:eastAsia="Arial" w:hAnsi="Verdana" w:cs="Arial"/>
          <w:lang w:val="es-ES" w:eastAsia="es-ES" w:bidi="es-ES"/>
        </w:rPr>
      </w:pPr>
      <w:proofErr w:type="spellStart"/>
      <w:r w:rsidRPr="00B75FB5">
        <w:rPr>
          <w:rFonts w:ascii="Verdana" w:eastAsia="Arial" w:hAnsi="Verdana" w:cs="Arial"/>
          <w:lang w:val="es-ES" w:eastAsia="es-ES" w:bidi="es-ES"/>
        </w:rPr>
        <w:t>ii</w:t>
      </w:r>
      <w:proofErr w:type="spellEnd"/>
      <w:r w:rsidRPr="00B75FB5">
        <w:rPr>
          <w:rFonts w:ascii="Verdana" w:eastAsia="Arial" w:hAnsi="Verdana" w:cs="Arial"/>
          <w:lang w:val="es-ES" w:eastAsia="es-ES" w:bidi="es-ES"/>
        </w:rPr>
        <w:t>)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225AF758" w14:textId="77777777" w:rsidR="00B91631" w:rsidRPr="00B75FB5" w:rsidRDefault="00B91631" w:rsidP="00B91631">
      <w:pPr>
        <w:spacing w:after="120" w:line="276" w:lineRule="auto"/>
        <w:ind w:firstLine="708"/>
        <w:jc w:val="both"/>
        <w:rPr>
          <w:rFonts w:ascii="Verdana" w:eastAsia="Calibri" w:hAnsi="Verdana" w:cs="Arial"/>
          <w:lang w:val="es-ES"/>
        </w:rPr>
      </w:pPr>
      <w:r w:rsidRPr="00B75FB5">
        <w:rPr>
          <w:rFonts w:ascii="Verdana" w:eastAsia="Calibri" w:hAnsi="Verdana" w:cs="Arial"/>
          <w:lang w:val="es-ES"/>
        </w:rPr>
        <w:t xml:space="preserve">Por un lado, el </w:t>
      </w:r>
      <w:r w:rsidRPr="00B75FB5">
        <w:rPr>
          <w:rFonts w:ascii="Verdana" w:eastAsia="Calibri" w:hAnsi="Verdana" w:cs="Arial"/>
          <w:i/>
          <w:iCs/>
          <w:lang w:val="es-ES"/>
        </w:rPr>
        <w:t xml:space="preserve">artículo 33 </w:t>
      </w:r>
      <w:r w:rsidRPr="00B75FB5">
        <w:rPr>
          <w:rFonts w:ascii="Verdana" w:eastAsia="Calibri" w:hAnsi="Verdana" w:cs="Arial"/>
          <w:lang w:val="es-ES"/>
        </w:rPr>
        <w:t>de la Ley 996 de 2005 prohíbe “</w:t>
      </w:r>
      <w:r>
        <w:rPr>
          <w:rFonts w:ascii="Verdana" w:eastAsia="Calibri" w:hAnsi="Verdana" w:cs="Arial"/>
          <w:lang w:val="es-ES"/>
        </w:rPr>
        <w:t>(</w:t>
      </w:r>
      <w:r w:rsidRPr="00B75FB5">
        <w:rPr>
          <w:rFonts w:ascii="Verdana" w:eastAsia="Calibri" w:hAnsi="Verdana" w:cs="Arial"/>
          <w:lang w:val="es-ES"/>
        </w:rPr>
        <w:t>…</w:t>
      </w:r>
      <w:r>
        <w:rPr>
          <w:rFonts w:ascii="Verdana" w:eastAsia="Calibri" w:hAnsi="Verdana" w:cs="Arial"/>
          <w:lang w:val="es-ES"/>
        </w:rPr>
        <w:t>)</w:t>
      </w:r>
      <w:r w:rsidRPr="00B75FB5">
        <w:rPr>
          <w:rFonts w:ascii="Verdana" w:eastAsia="Calibri" w:hAnsi="Verdana" w:cs="Arial"/>
          <w:lang w:val="es-ES"/>
        </w:rPr>
        <w:t xml:space="preserve"> la contratación directa por parte de </w:t>
      </w:r>
      <w:r w:rsidRPr="00B75FB5">
        <w:rPr>
          <w:rFonts w:ascii="Verdana" w:eastAsia="Calibri" w:hAnsi="Verdana" w:cs="Arial"/>
          <w:i/>
          <w:iCs/>
          <w:lang w:val="es-ES"/>
        </w:rPr>
        <w:t>todos los entes del Estado</w:t>
      </w:r>
      <w:r w:rsidRPr="00B75FB5">
        <w:rPr>
          <w:rFonts w:ascii="Verdana" w:eastAsia="Calibri" w:hAnsi="Verdana" w:cs="Arial"/>
          <w:lang w:val="es-ES"/>
        </w:rPr>
        <w:t xml:space="preserve">” durante los cuatro (4) meses anteriores a las </w:t>
      </w:r>
      <w:r w:rsidRPr="00B75FB5">
        <w:rPr>
          <w:rFonts w:ascii="Verdana" w:eastAsia="Calibri" w:hAnsi="Verdana" w:cs="Arial"/>
          <w:i/>
          <w:iCs/>
          <w:lang w:val="es-ES"/>
        </w:rPr>
        <w:t>elecciones presidenciales</w:t>
      </w:r>
      <w:r w:rsidRPr="00B75FB5">
        <w:rPr>
          <w:rFonts w:ascii="Verdana" w:eastAsia="Calibri" w:hAnsi="Verdana" w:cs="Arial"/>
          <w:lang w:val="es-ES"/>
        </w:rPr>
        <w:t>, salvo “</w:t>
      </w:r>
      <w:r>
        <w:rPr>
          <w:rFonts w:ascii="Verdana" w:eastAsia="Calibri" w:hAnsi="Verdana" w:cs="Arial"/>
          <w:lang w:val="es-ES"/>
        </w:rPr>
        <w:t>(</w:t>
      </w:r>
      <w:r w:rsidRPr="00B75FB5">
        <w:rPr>
          <w:rFonts w:ascii="Verdana" w:eastAsia="Calibri" w:hAnsi="Verdana" w:cs="Arial"/>
          <w:lang w:val="es-ES"/>
        </w:rPr>
        <w:t>…</w:t>
      </w:r>
      <w:r>
        <w:rPr>
          <w:rFonts w:ascii="Verdana" w:eastAsia="Calibri" w:hAnsi="Verdana" w:cs="Arial"/>
          <w:lang w:val="es-ES"/>
        </w:rPr>
        <w:t>)</w:t>
      </w:r>
      <w:r w:rsidRPr="00B75FB5">
        <w:rPr>
          <w:rFonts w:ascii="Verdana" w:eastAsia="Calibri" w:hAnsi="Verdana" w:cs="Arial"/>
          <w:lang w:val="es-ES"/>
        </w:rPr>
        <w:t xml:space="preserve"> lo referente a la defensa y seguridad del Estado, los contratos de crédito público, los requeridos </w:t>
      </w:r>
      <w:r w:rsidRPr="00B75FB5">
        <w:rPr>
          <w:rFonts w:ascii="Verdana" w:eastAsia="Calibri" w:hAnsi="Verdana" w:cs="Arial"/>
          <w:lang w:val="es-ES"/>
        </w:rPr>
        <w:lastRenderedPageBreak/>
        <w:t>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75FB5">
        <w:rPr>
          <w:rFonts w:ascii="Verdana" w:eastAsia="Calibri" w:hAnsi="Verdana" w:cs="Arial"/>
          <w:vertAlign w:val="superscript"/>
          <w:lang w:val="es-ES"/>
        </w:rPr>
        <w:footnoteReference w:id="7"/>
      </w:r>
      <w:r w:rsidRPr="00B75FB5">
        <w:rPr>
          <w:rFonts w:ascii="Verdana" w:eastAsia="Calibri" w:hAnsi="Verdana" w:cs="Arial"/>
          <w:lang w:val="es-ES"/>
        </w:rPr>
        <w:t>.</w:t>
      </w:r>
    </w:p>
    <w:p w14:paraId="16CFA724" w14:textId="77777777" w:rsidR="00B91631" w:rsidRPr="00FD7FEB" w:rsidRDefault="00B91631" w:rsidP="00B91631">
      <w:pPr>
        <w:widowControl w:val="0"/>
        <w:autoSpaceDE w:val="0"/>
        <w:autoSpaceDN w:val="0"/>
        <w:spacing w:after="120" w:line="276" w:lineRule="auto"/>
        <w:ind w:right="113" w:firstLine="709"/>
        <w:jc w:val="both"/>
        <w:rPr>
          <w:rFonts w:ascii="Verdana" w:eastAsia="Arial" w:hAnsi="Verdana" w:cs="Arial"/>
          <w:lang w:val="es-ES" w:eastAsia="es-ES" w:bidi="es-ES"/>
        </w:rPr>
      </w:pPr>
      <w:r w:rsidRPr="00B75FB5">
        <w:rPr>
          <w:rFonts w:ascii="Verdana" w:eastAsia="Calibri" w:hAnsi="Verdana" w:cs="Arial"/>
          <w:lang w:val="es-ES"/>
        </w:rPr>
        <w:t xml:space="preserve">Por otro lado, </w:t>
      </w:r>
      <w:r w:rsidRPr="00B75FB5">
        <w:rPr>
          <w:rFonts w:ascii="Verdana" w:eastAsia="Calibri" w:hAnsi="Verdana" w:cs="Arial"/>
          <w:i/>
          <w:iCs/>
          <w:lang w:val="es-ES"/>
        </w:rPr>
        <w:t xml:space="preserve">el parágrafo del artículo 38 </w:t>
      </w:r>
      <w:r w:rsidRPr="00B75FB5">
        <w:rPr>
          <w:rFonts w:ascii="Verdana" w:eastAsia="Calibri" w:hAnsi="Verdana" w:cs="Arial"/>
          <w:lang w:val="es-ES"/>
        </w:rPr>
        <w:t xml:space="preserve">de la Ley 996 de 2005 prevé una restricción, aplicable respecto de </w:t>
      </w:r>
      <w:r w:rsidRPr="00B75FB5">
        <w:rPr>
          <w:rFonts w:ascii="Verdana" w:eastAsia="Calibri" w:hAnsi="Verdana" w:cs="Arial"/>
          <w:i/>
          <w:iCs/>
          <w:lang w:val="es-ES"/>
        </w:rPr>
        <w:t>cualquier tipo de contienda electoral</w:t>
      </w:r>
      <w:r w:rsidRPr="00B75FB5">
        <w:rPr>
          <w:rFonts w:ascii="Verdana" w:eastAsia="Calibri" w:hAnsi="Verdana" w:cs="Arial"/>
          <w:lang w:val="es-ES"/>
        </w:rPr>
        <w:t>, que prohíbe a los gobernadores, alcaldes municipales o distritales, secretarios, gerentes y directores de entidades descentralizadas del orden municipal, departamental o distrital “</w:t>
      </w:r>
      <w:r>
        <w:rPr>
          <w:rFonts w:ascii="Verdana" w:eastAsia="Calibri" w:hAnsi="Verdana" w:cs="Arial"/>
          <w:lang w:val="es-ES"/>
        </w:rPr>
        <w:t>(</w:t>
      </w:r>
      <w:r w:rsidRPr="00B75FB5">
        <w:rPr>
          <w:rFonts w:ascii="Verdana" w:eastAsia="Calibri" w:hAnsi="Verdana" w:cs="Arial"/>
          <w:lang w:val="es-ES"/>
        </w:rPr>
        <w:t>…</w:t>
      </w:r>
      <w:r>
        <w:rPr>
          <w:rFonts w:ascii="Verdana" w:eastAsia="Calibri" w:hAnsi="Verdana" w:cs="Arial"/>
          <w:lang w:val="es-ES"/>
        </w:rPr>
        <w:t>)</w:t>
      </w:r>
      <w:r w:rsidRPr="00B75FB5">
        <w:rPr>
          <w:rFonts w:ascii="Verdana" w:eastAsia="Calibri" w:hAnsi="Verdana" w:cs="Arial"/>
          <w:lang w:val="es-ES"/>
        </w:rPr>
        <w:t xml:space="preserve"> celebrar convenios interadministrativos para la</w:t>
      </w:r>
      <w:r w:rsidRPr="00FD7FEB">
        <w:rPr>
          <w:rFonts w:ascii="Verdana" w:eastAsia="Calibri" w:hAnsi="Verdana" w:cs="Arial"/>
          <w:lang w:val="es-ES"/>
        </w:rPr>
        <w:t xml:space="preserve"> ejecución de recursos públicos, ni participar, promover y destinar recursos públicos de las entidades a su cargo, como tampoco de las que participen como miembros de sus juntas directivas, en o para reuniones de carácter proselitista”</w:t>
      </w:r>
      <w:r w:rsidRPr="00FD7FEB">
        <w:rPr>
          <w:rFonts w:ascii="Verdana" w:eastAsia="Calibri" w:hAnsi="Verdana" w:cs="Arial"/>
          <w:vertAlign w:val="superscript"/>
          <w:lang w:val="es-ES"/>
        </w:rPr>
        <w:footnoteReference w:id="8"/>
      </w:r>
      <w:r w:rsidRPr="00FD7FEB">
        <w:rPr>
          <w:rFonts w:ascii="Verdana" w:eastAsia="Calibri" w:hAnsi="Verdana" w:cs="Arial"/>
          <w:lang w:val="es-ES"/>
        </w:rPr>
        <w:t>.</w:t>
      </w:r>
      <w:r w:rsidRPr="00FD7FEB">
        <w:rPr>
          <w:rFonts w:ascii="Verdana" w:eastAsia="Arial" w:hAnsi="Verdana" w:cs="Arial"/>
          <w:lang w:val="es-ES" w:eastAsia="es-ES" w:bidi="es-ES"/>
        </w:rPr>
        <w:t xml:space="preserve"> </w:t>
      </w:r>
    </w:p>
    <w:p w14:paraId="374BBE16" w14:textId="77777777" w:rsidR="00B91631" w:rsidRPr="00D758B3" w:rsidRDefault="00B91631" w:rsidP="00B91631">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D758B3">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6FC819B2" w14:textId="77777777" w:rsidR="00B91631" w:rsidRPr="00E77A27" w:rsidRDefault="00B91631" w:rsidP="00B91631">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A8EBB58" w14:textId="77777777" w:rsidR="00B91631" w:rsidRPr="00E77A27" w:rsidRDefault="00B91631" w:rsidP="00B91631">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E77A27">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w:t>
      </w:r>
      <w:r w:rsidRPr="00E77A27">
        <w:rPr>
          <w:rFonts w:ascii="Verdana" w:eastAsia="Arial" w:hAnsi="Verdana" w:cs="Arial"/>
          <w:sz w:val="20"/>
          <w:szCs w:val="20"/>
          <w:lang w:val="es-ES" w:eastAsia="es-ES" w:bidi="es-ES"/>
        </w:rPr>
        <w:lastRenderedPageBreak/>
        <w:t xml:space="preserve">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77A27">
        <w:rPr>
          <w:rFonts w:ascii="Verdana" w:eastAsia="Arial" w:hAnsi="Verdana" w:cs="Arial"/>
          <w:sz w:val="20"/>
          <w:szCs w:val="20"/>
          <w:lang w:val="es-ES" w:eastAsia="es-ES" w:bidi="es-ES"/>
        </w:rPr>
        <w:t>Presidente</w:t>
      </w:r>
      <w:proofErr w:type="gramEnd"/>
      <w:r w:rsidRPr="00E77A27">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E77A27">
        <w:rPr>
          <w:rFonts w:ascii="Verdana" w:eastAsia="Arial" w:hAnsi="Verdana" w:cs="Arial"/>
          <w:sz w:val="20"/>
          <w:szCs w:val="20"/>
          <w:vertAlign w:val="superscript"/>
          <w:lang w:val="es-ES" w:eastAsia="es-ES" w:bidi="es-ES"/>
        </w:rPr>
        <w:footnoteReference w:id="9"/>
      </w:r>
    </w:p>
    <w:p w14:paraId="00B61E93" w14:textId="77777777" w:rsidR="00B91631" w:rsidRPr="00B67A94" w:rsidRDefault="00B91631" w:rsidP="00B91631">
      <w:pPr>
        <w:widowControl w:val="0"/>
        <w:autoSpaceDE w:val="0"/>
        <w:autoSpaceDN w:val="0"/>
        <w:spacing w:after="0" w:line="276" w:lineRule="auto"/>
        <w:contextualSpacing/>
        <w:rPr>
          <w:rFonts w:ascii="Verdana" w:eastAsia="Arial" w:hAnsi="Verdana" w:cs="Arial"/>
          <w:color w:val="156082" w:themeColor="accent1"/>
          <w:lang w:val="es-ES" w:eastAsia="es-ES" w:bidi="es-ES"/>
        </w:rPr>
      </w:pPr>
    </w:p>
    <w:p w14:paraId="65BFADB0" w14:textId="77777777" w:rsidR="00B91631" w:rsidRDefault="00B91631" w:rsidP="00B91631">
      <w:pPr>
        <w:spacing w:after="0" w:line="276" w:lineRule="auto"/>
        <w:ind w:firstLine="709"/>
        <w:jc w:val="both"/>
        <w:rPr>
          <w:rFonts w:ascii="Verdana" w:eastAsia="Arial" w:hAnsi="Verdana" w:cs="Arial"/>
          <w:lang w:val="es-ES" w:eastAsia="es-ES" w:bidi="es-ES"/>
        </w:rPr>
      </w:pPr>
      <w:r w:rsidRPr="00632F5B">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632F5B">
        <w:rPr>
          <w:rFonts w:ascii="Verdana" w:eastAsia="Arial" w:hAnsi="Verdana" w:cs="Arial"/>
          <w:lang w:val="es-ES" w:eastAsia="es-ES" w:bidi="es-ES"/>
        </w:rPr>
        <w:t>Presidente</w:t>
      </w:r>
      <w:proofErr w:type="gramEnd"/>
      <w:r w:rsidRPr="00632F5B">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632F5B">
        <w:rPr>
          <w:rFonts w:ascii="Verdana" w:eastAsia="Arial" w:hAnsi="Verdana" w:cs="Arial"/>
          <w:lang w:val="es-ES" w:eastAsia="es-ES" w:bidi="es-ES"/>
        </w:rPr>
        <w:t>Presidente</w:t>
      </w:r>
      <w:proofErr w:type="gramEnd"/>
      <w:r w:rsidRPr="00632F5B">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0577334D" w14:textId="77777777" w:rsidR="00B91631" w:rsidRPr="00C3478C" w:rsidRDefault="00B91631" w:rsidP="00B91631">
      <w:pPr>
        <w:spacing w:after="0" w:line="276" w:lineRule="auto"/>
        <w:jc w:val="both"/>
        <w:rPr>
          <w:rFonts w:ascii="Verdana" w:eastAsia="Arial" w:hAnsi="Verdana" w:cs="Arial"/>
          <w:lang w:val="es-ES" w:eastAsia="es-ES" w:bidi="es-ES"/>
        </w:rPr>
      </w:pPr>
    </w:p>
    <w:p w14:paraId="48F7C14D" w14:textId="77777777" w:rsidR="00B91631" w:rsidRPr="00F02C5A" w:rsidRDefault="00B91631" w:rsidP="00B91631">
      <w:pPr>
        <w:spacing w:after="0" w:line="276" w:lineRule="auto"/>
        <w:contextualSpacing/>
        <w:jc w:val="both"/>
        <w:rPr>
          <w:rFonts w:ascii="Verdana" w:eastAsia="Times New Roman" w:hAnsi="Verdana" w:cs="Arial"/>
          <w:lang w:val="es-MX" w:eastAsia="es-CO"/>
        </w:rPr>
      </w:pPr>
      <w:proofErr w:type="spellStart"/>
      <w:r w:rsidRPr="00C4236D">
        <w:rPr>
          <w:rFonts w:ascii="Verdana" w:eastAsia="Calibri" w:hAnsi="Verdana" w:cs="Arial"/>
          <w:lang w:val="es-ES"/>
        </w:rPr>
        <w:t>iii</w:t>
      </w:r>
      <w:proofErr w:type="spellEnd"/>
      <w:r w:rsidRPr="00C4236D">
        <w:rPr>
          <w:rFonts w:ascii="Verdana" w:eastAsia="Calibri" w:hAnsi="Verdana" w:cs="Arial"/>
          <w:lang w:val="es-ES"/>
        </w:rPr>
        <w:t xml:space="preserve">) </w:t>
      </w:r>
      <w:r w:rsidRPr="00C4236D">
        <w:rPr>
          <w:rFonts w:ascii="Verdana" w:eastAsia="Arial" w:hAnsi="Verdana" w:cs="Arial"/>
          <w:lang w:val="es-ES" w:eastAsia="es-ES" w:bidi="es-ES"/>
        </w:rPr>
        <w:t xml:space="preserve">Ahora bien, </w:t>
      </w:r>
      <w:r w:rsidRPr="00C4236D">
        <w:rPr>
          <w:rFonts w:ascii="Verdana" w:eastAsia="Calibri" w:hAnsi="Verdana" w:cs="Arial"/>
          <w:lang w:val="es-ES" w:eastAsia="es-ES" w:bidi="es-ES"/>
        </w:rPr>
        <w:t xml:space="preserve">para responder al problema jurídico planteado, se precisa que </w:t>
      </w:r>
      <w:r>
        <w:rPr>
          <w:rFonts w:ascii="Verdana" w:eastAsia="Times New Roman" w:hAnsi="Verdana" w:cs="Arial"/>
          <w:lang w:val="es-ES" w:eastAsia="x-none"/>
        </w:rPr>
        <w:t>el</w:t>
      </w:r>
      <w:r w:rsidRPr="00F02C5A">
        <w:rPr>
          <w:rFonts w:ascii="Verdana" w:eastAsia="Times New Roman" w:hAnsi="Verdana" w:cs="Arial"/>
          <w:lang w:val="es-MX" w:eastAsia="x-none"/>
        </w:rPr>
        <w:t xml:space="preserve"> ámbito material de la prohibición contenida </w:t>
      </w:r>
      <w:bookmarkStart w:id="10" w:name="_Hlk75628761"/>
      <w:r w:rsidRPr="00F02C5A">
        <w:rPr>
          <w:rFonts w:ascii="Verdana" w:eastAsia="Times New Roman" w:hAnsi="Verdana" w:cs="Arial"/>
          <w:lang w:val="es-MX" w:eastAsia="x-none"/>
        </w:rPr>
        <w:t xml:space="preserve">en el artículo 33 de la Ley 996 de 2005 </w:t>
      </w:r>
      <w:bookmarkEnd w:id="10"/>
      <w:r w:rsidRPr="00F02C5A">
        <w:rPr>
          <w:rFonts w:ascii="Verdana" w:eastAsia="Times New Roman" w:hAnsi="Verdana" w:cs="Arial"/>
          <w:lang w:val="es-MX" w:eastAsia="x-none"/>
        </w:rPr>
        <w:t xml:space="preserve">está delimitado por la expresión </w:t>
      </w:r>
      <w:r w:rsidRPr="00F02C5A">
        <w:rPr>
          <w:rFonts w:ascii="Verdana" w:eastAsia="Calibri" w:hAnsi="Verdana" w:cs="Arial"/>
          <w:sz w:val="20"/>
          <w:szCs w:val="20"/>
          <w:lang w:val="es-MX"/>
        </w:rPr>
        <w:t>“</w:t>
      </w:r>
      <w:r w:rsidRPr="00F02C5A">
        <w:rPr>
          <w:rFonts w:ascii="Verdana" w:eastAsia="Times New Roman" w:hAnsi="Verdana" w:cs="Arial"/>
          <w:lang w:val="es-MX" w:eastAsia="x-none"/>
        </w:rPr>
        <w:t>queda prohibida la contratación directa</w:t>
      </w:r>
      <w:r w:rsidRPr="00F02C5A">
        <w:rPr>
          <w:rFonts w:ascii="Verdana" w:eastAsia="Calibri" w:hAnsi="Verdana" w:cs="Arial"/>
          <w:sz w:val="20"/>
          <w:szCs w:val="20"/>
          <w:lang w:val="es-MX"/>
        </w:rPr>
        <w:t>”</w:t>
      </w:r>
      <w:r w:rsidRPr="00F02C5A">
        <w:rPr>
          <w:rFonts w:ascii="Verdana" w:eastAsia="Times New Roman" w:hAnsi="Verdana" w:cs="Arial"/>
          <w:lang w:val="es-MX" w:eastAsia="x-none"/>
        </w:rPr>
        <w:t>.</w:t>
      </w:r>
      <w:r w:rsidRPr="00F02C5A">
        <w:rPr>
          <w:rFonts w:ascii="Verdana" w:eastAsia="Times New Roman" w:hAnsi="Verdana" w:cs="Arial"/>
          <w:lang w:val="es-MX" w:eastAsia="es-CO"/>
        </w:rPr>
        <w:t xml:space="preserve"> 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63BF86E1" w14:textId="77777777" w:rsidR="00B91631" w:rsidRPr="00F02C5A" w:rsidRDefault="00B91631" w:rsidP="00B91631">
      <w:pPr>
        <w:spacing w:after="0" w:line="276" w:lineRule="auto"/>
        <w:ind w:left="708" w:right="709"/>
        <w:contextualSpacing/>
        <w:jc w:val="both"/>
        <w:rPr>
          <w:rFonts w:ascii="Verdana" w:eastAsia="Calibri" w:hAnsi="Verdana" w:cs="Arial"/>
          <w:sz w:val="21"/>
          <w:szCs w:val="21"/>
          <w:lang w:val="es-MX"/>
        </w:rPr>
      </w:pPr>
    </w:p>
    <w:p w14:paraId="45A652C2" w14:textId="77777777" w:rsidR="00B91631" w:rsidRPr="00F02C5A" w:rsidRDefault="00B91631" w:rsidP="00B91631">
      <w:pPr>
        <w:spacing w:after="0" w:line="240" w:lineRule="auto"/>
        <w:ind w:left="709"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02C5A">
        <w:rPr>
          <w:rFonts w:ascii="Verdana" w:eastAsia="Times New Roman" w:hAnsi="Verdana" w:cs="Arial"/>
          <w:vertAlign w:val="superscript"/>
          <w:lang w:eastAsia="es-CO"/>
        </w:rPr>
        <w:footnoteReference w:id="10"/>
      </w:r>
      <w:r w:rsidRPr="00F02C5A">
        <w:rPr>
          <w:rFonts w:ascii="Verdana" w:eastAsia="Calibri" w:hAnsi="Verdana" w:cs="Arial"/>
          <w:sz w:val="21"/>
          <w:szCs w:val="21"/>
          <w:lang w:val="es-MX"/>
        </w:rPr>
        <w:t>.</w:t>
      </w:r>
    </w:p>
    <w:p w14:paraId="18C1C155" w14:textId="77777777" w:rsidR="00B91631" w:rsidRPr="00F02C5A" w:rsidRDefault="00B91631" w:rsidP="00B91631">
      <w:pPr>
        <w:spacing w:after="0" w:line="240" w:lineRule="auto"/>
        <w:ind w:left="709" w:right="709"/>
        <w:contextualSpacing/>
        <w:jc w:val="both"/>
        <w:rPr>
          <w:rFonts w:ascii="Verdana" w:eastAsia="Calibri" w:hAnsi="Verdana" w:cs="Arial"/>
          <w:sz w:val="12"/>
          <w:szCs w:val="12"/>
          <w:lang w:val="es-MX"/>
        </w:rPr>
      </w:pPr>
    </w:p>
    <w:p w14:paraId="5C22A016" w14:textId="77777777" w:rsidR="00B91631" w:rsidRPr="00F02C5A" w:rsidRDefault="00B91631" w:rsidP="00B91631">
      <w:pPr>
        <w:spacing w:after="0" w:line="240" w:lineRule="auto"/>
        <w:ind w:left="708"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 xml:space="preserve">Esta Sala ha entendido que, para los efectos de la ley de garantías, y dada su finalidad, el enunciado ´contratación directa´ es sinónimo </w:t>
      </w:r>
      <w:bookmarkStart w:id="11" w:name="_Hlk75741738"/>
      <w:r w:rsidRPr="00F02C5A">
        <w:rPr>
          <w:rFonts w:ascii="Verdana" w:eastAsia="Calibri" w:hAnsi="Verdana" w:cs="Arial"/>
          <w:sz w:val="21"/>
          <w:szCs w:val="21"/>
          <w:lang w:val="es-MX"/>
        </w:rPr>
        <w:t xml:space="preserve">de cualquier sistema que no implique convocatoria pública y posibilidad </w:t>
      </w:r>
      <w:r w:rsidRPr="00F02C5A">
        <w:rPr>
          <w:rFonts w:ascii="Verdana" w:eastAsia="Calibri" w:hAnsi="Verdana" w:cs="Arial"/>
          <w:sz w:val="21"/>
          <w:szCs w:val="21"/>
          <w:lang w:val="es-MX"/>
        </w:rPr>
        <w:lastRenderedPageBreak/>
        <w:t xml:space="preserve">de pluralidad de oferentes, </w:t>
      </w:r>
      <w:bookmarkEnd w:id="11"/>
      <w:r w:rsidRPr="00F02C5A">
        <w:rPr>
          <w:rFonts w:ascii="Verdana" w:eastAsia="Calibri" w:hAnsi="Verdana" w:cs="Arial"/>
          <w:sz w:val="21"/>
          <w:szCs w:val="21"/>
          <w:lang w:val="es-MX"/>
        </w:rPr>
        <w:t>y que, además, no necesariamente hace referencia al procedimiento especial regulado por la ley de contratación estatal, sino a cualquier otro que prescinda de un proceso de licitación pública o concurso</w:t>
      </w:r>
      <w:r w:rsidRPr="00F02C5A">
        <w:rPr>
          <w:rFonts w:ascii="Verdana" w:eastAsia="Times New Roman" w:hAnsi="Verdana" w:cs="Arial"/>
          <w:sz w:val="21"/>
          <w:szCs w:val="21"/>
          <w:vertAlign w:val="superscript"/>
          <w:lang w:val="es-MX"/>
        </w:rPr>
        <w:footnoteReference w:id="11"/>
      </w:r>
      <w:r w:rsidRPr="00F02C5A">
        <w:rPr>
          <w:rFonts w:ascii="Verdana" w:eastAsia="Times New Roman" w:hAnsi="Verdana" w:cs="Arial"/>
          <w:sz w:val="21"/>
          <w:szCs w:val="21"/>
          <w:vertAlign w:val="superscript"/>
          <w:lang w:val="es-MX"/>
        </w:rPr>
        <w:t>.</w:t>
      </w:r>
      <w:r w:rsidRPr="00F02C5A">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1"/>
          <w:szCs w:val="21"/>
          <w:lang w:val="es-MX"/>
        </w:rPr>
        <w:t>(</w:t>
      </w:r>
      <w:r w:rsidRPr="00F02C5A">
        <w:rPr>
          <w:rFonts w:ascii="Verdana" w:eastAsia="Calibri" w:hAnsi="Verdana" w:cs="Arial"/>
          <w:sz w:val="21"/>
          <w:szCs w:val="21"/>
          <w:lang w:val="es-MX"/>
        </w:rPr>
        <w:t>...</w:t>
      </w:r>
      <w:r>
        <w:rPr>
          <w:rFonts w:ascii="Verdana" w:eastAsia="Calibri" w:hAnsi="Verdana" w:cs="Arial"/>
          <w:sz w:val="21"/>
          <w:szCs w:val="21"/>
          <w:lang w:val="es-MX"/>
        </w:rPr>
        <w:t>)</w:t>
      </w:r>
      <w:r w:rsidRPr="00F02C5A">
        <w:rPr>
          <w:rFonts w:ascii="Verdana" w:eastAsia="Calibri" w:hAnsi="Verdana" w:cs="Arial"/>
          <w:sz w:val="21"/>
          <w:szCs w:val="21"/>
          <w:lang w:val="es-MX"/>
        </w:rPr>
        <w:t>”</w:t>
      </w:r>
      <w:r w:rsidRPr="00F02C5A">
        <w:rPr>
          <w:rFonts w:ascii="Verdana" w:eastAsia="Times New Roman" w:hAnsi="Verdana" w:cs="Arial"/>
          <w:vertAlign w:val="superscript"/>
          <w:lang w:eastAsia="es-CO"/>
        </w:rPr>
        <w:footnoteReference w:id="12"/>
      </w:r>
      <w:r w:rsidRPr="00F02C5A">
        <w:rPr>
          <w:rFonts w:ascii="Verdana" w:eastAsia="Calibri" w:hAnsi="Verdana" w:cs="Arial"/>
          <w:sz w:val="21"/>
          <w:szCs w:val="21"/>
          <w:lang w:val="es-MX"/>
        </w:rPr>
        <w:t xml:space="preserve"> .</w:t>
      </w:r>
    </w:p>
    <w:p w14:paraId="37644D66" w14:textId="77777777" w:rsidR="00B91631" w:rsidRPr="00F02C5A" w:rsidRDefault="00B91631" w:rsidP="00B91631">
      <w:pPr>
        <w:shd w:val="clear" w:color="auto" w:fill="FFFFFF"/>
        <w:spacing w:after="0" w:line="276" w:lineRule="auto"/>
        <w:ind w:firstLine="709"/>
        <w:contextualSpacing/>
        <w:jc w:val="both"/>
        <w:rPr>
          <w:rFonts w:ascii="Verdana" w:eastAsia="Times New Roman" w:hAnsi="Verdana" w:cs="Arial"/>
          <w:lang w:eastAsia="x-none"/>
        </w:rPr>
      </w:pPr>
    </w:p>
    <w:p w14:paraId="1DFA20FE" w14:textId="77777777" w:rsidR="00B91631" w:rsidRPr="00F02C5A" w:rsidRDefault="00B91631" w:rsidP="00B91631">
      <w:pPr>
        <w:spacing w:after="120" w:line="276" w:lineRule="auto"/>
        <w:ind w:firstLine="709"/>
        <w:jc w:val="both"/>
        <w:rPr>
          <w:rFonts w:ascii="Verdana" w:eastAsia="Times New Roman" w:hAnsi="Verdana" w:cs="Arial"/>
          <w:lang w:eastAsia="x-none"/>
        </w:rPr>
      </w:pPr>
      <w:bookmarkStart w:id="13"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13"/>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13"/>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14"/>
      </w:r>
      <w:r w:rsidRPr="00F02C5A">
        <w:rPr>
          <w:rFonts w:ascii="Verdana" w:eastAsia="Times New Roman" w:hAnsi="Verdana" w:cs="Arial"/>
          <w:lang w:eastAsia="x-none"/>
        </w:rPr>
        <w:t xml:space="preserve">. </w:t>
      </w:r>
    </w:p>
    <w:p w14:paraId="1FD06912" w14:textId="77777777" w:rsidR="00B91631" w:rsidRPr="00F02C5A" w:rsidRDefault="00B91631" w:rsidP="00B91631">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15"/>
      </w:r>
      <w:r w:rsidRPr="00F02C5A">
        <w:rPr>
          <w:rFonts w:ascii="Verdana" w:eastAsia="Times New Roman" w:hAnsi="Verdana" w:cs="Arial"/>
          <w:lang w:eastAsia="x-none"/>
        </w:rPr>
        <w:t xml:space="preserve">, han establecido sistemas de </w:t>
      </w:r>
      <w:r w:rsidRPr="00F02C5A">
        <w:rPr>
          <w:rFonts w:ascii="Verdana" w:eastAsia="Times New Roman" w:hAnsi="Verdana" w:cs="Arial"/>
          <w:lang w:eastAsia="x-none"/>
        </w:rPr>
        <w:lastRenderedPageBreak/>
        <w:t>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195BA53E" w14:textId="77777777" w:rsidR="00B91631" w:rsidRPr="00F02C5A" w:rsidRDefault="00B91631" w:rsidP="00B91631">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14" w:name="_Hlk75636073"/>
      <w:r w:rsidRPr="00F02C5A">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14"/>
      <w:r w:rsidRPr="00F02C5A">
        <w:rPr>
          <w:rFonts w:ascii="Verdana" w:eastAsia="Times New Roman" w:hAnsi="Verdana" w:cs="Arial"/>
          <w:vertAlign w:val="superscript"/>
          <w:lang w:eastAsia="x-none"/>
        </w:rPr>
        <w:footnoteReference w:id="16"/>
      </w:r>
      <w:r w:rsidRPr="00F02C5A">
        <w:rPr>
          <w:rFonts w:ascii="Verdana" w:eastAsia="Times New Roman" w:hAnsi="Verdana" w:cs="Arial"/>
          <w:lang w:eastAsia="x-none"/>
        </w:rPr>
        <w:t xml:space="preserve">. </w:t>
      </w:r>
    </w:p>
    <w:p w14:paraId="6BDEFCDC" w14:textId="77777777" w:rsidR="00B91631" w:rsidRPr="00F02C5A" w:rsidRDefault="00B91631" w:rsidP="00B91631">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64976CBF" w14:textId="77777777" w:rsidR="00B91631" w:rsidRPr="00F02C5A" w:rsidRDefault="00B91631" w:rsidP="00B91631">
      <w:pPr>
        <w:spacing w:after="120" w:line="276" w:lineRule="auto"/>
        <w:ind w:firstLine="709"/>
        <w:jc w:val="both"/>
        <w:rPr>
          <w:rFonts w:ascii="Verdana" w:eastAsia="Times New Roman" w:hAnsi="Verdana" w:cs="Arial"/>
          <w:lang w:val="es-MX" w:eastAsia="x-none"/>
        </w:rPr>
      </w:pPr>
      <w:bookmarkStart w:id="15" w:name="_Hlk78818796"/>
      <w:r w:rsidRPr="00F02C5A">
        <w:rPr>
          <w:rFonts w:ascii="Verdana" w:eastAsia="Times New Roman" w:hAnsi="Verdana" w:cs="Arial"/>
          <w:lang w:val="es-MX" w:eastAsia="x-none"/>
        </w:rPr>
        <w:t xml:space="preserve"> Así las cosas, </w:t>
      </w:r>
      <w:bookmarkStart w:id="16"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17"/>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15"/>
    <w:p w14:paraId="2033B9B9" w14:textId="77777777" w:rsidR="00B91631" w:rsidRPr="00F02C5A" w:rsidRDefault="00B91631" w:rsidP="00B91631">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w:t>
      </w:r>
      <w:r w:rsidRPr="00F02C5A">
        <w:rPr>
          <w:rFonts w:ascii="Verdana" w:eastAsia="Times New Roman" w:hAnsi="Verdana" w:cs="Arial"/>
          <w:lang w:eastAsia="x-none"/>
        </w:rPr>
        <w:lastRenderedPageBreak/>
        <w:t>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bookmarkEnd w:id="16"/>
    <w:p w14:paraId="7B68BBFB" w14:textId="2A956457" w:rsidR="00B91631" w:rsidRPr="00597652" w:rsidRDefault="00B91631" w:rsidP="00B91631">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w:t>
      </w:r>
      <w:bookmarkStart w:id="17" w:name="_Hlk99577887"/>
      <w:bookmarkStart w:id="18" w:name="_Hlk100679762"/>
      <w:r w:rsidRPr="00F02C5A">
        <w:rPr>
          <w:rFonts w:ascii="Verdana" w:eastAsia="Times New Roman" w:hAnsi="Verdana" w:cs="Arial"/>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02C5A">
        <w:rPr>
          <w:rFonts w:ascii="Verdana" w:eastAsia="Times New Roman" w:hAnsi="Verdana" w:cs="Arial"/>
          <w:lang w:val="es-MX" w:eastAsia="x-none"/>
        </w:rPr>
        <w:t>ii</w:t>
      </w:r>
      <w:proofErr w:type="spellEnd"/>
      <w:r w:rsidRPr="00F02C5A">
        <w:rPr>
          <w:rFonts w:ascii="Verdana" w:eastAsia="Times New Roman" w:hAnsi="Verdana" w:cs="Arial"/>
          <w:lang w:val="es-MX" w:eastAsia="x-none"/>
        </w:rPr>
        <w:t xml:space="preserve">) los contratos de crédito público; </w:t>
      </w:r>
      <w:proofErr w:type="spellStart"/>
      <w:r w:rsidRPr="00F02C5A">
        <w:rPr>
          <w:rFonts w:ascii="Verdana" w:eastAsia="Times New Roman" w:hAnsi="Verdana" w:cs="Arial"/>
          <w:lang w:val="es-MX" w:eastAsia="x-none"/>
        </w:rPr>
        <w:t>iii</w:t>
      </w:r>
      <w:proofErr w:type="spellEnd"/>
      <w:r w:rsidRPr="00F02C5A">
        <w:rPr>
          <w:rFonts w:ascii="Verdana" w:eastAsia="Times New Roman" w:hAnsi="Verdana" w:cs="Arial"/>
          <w:lang w:val="es-MX" w:eastAsia="x-none"/>
        </w:rPr>
        <w:t xml:space="preserve">) los requeridos para cubrir las emergencias educativas, sanitarias y desastres; </w:t>
      </w:r>
      <w:proofErr w:type="spellStart"/>
      <w:r w:rsidRPr="00F02C5A">
        <w:rPr>
          <w:rFonts w:ascii="Verdana" w:eastAsia="Times New Roman" w:hAnsi="Verdana" w:cs="Arial"/>
          <w:lang w:val="es-MX" w:eastAsia="x-none"/>
        </w:rPr>
        <w:t>iv</w:t>
      </w:r>
      <w:proofErr w:type="spellEnd"/>
      <w:r w:rsidRPr="00F02C5A">
        <w:rPr>
          <w:rFonts w:ascii="Verdana" w:eastAsia="Times New Roman" w:hAnsi="Verdana" w:cs="Arial"/>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17"/>
      <w:bookmarkEnd w:id="18"/>
    </w:p>
    <w:p w14:paraId="7C007AD9" w14:textId="77777777" w:rsidR="00B91631" w:rsidRPr="009E0C49" w:rsidRDefault="00B91631" w:rsidP="00B91631">
      <w:pPr>
        <w:spacing w:after="120" w:line="276" w:lineRule="auto"/>
        <w:ind w:firstLine="708"/>
        <w:jc w:val="both"/>
        <w:rPr>
          <w:rFonts w:ascii="Verdana" w:eastAsia="Calibri" w:hAnsi="Verdana" w:cs="Arial"/>
        </w:rPr>
      </w:pPr>
      <w:r w:rsidRPr="009E0C49">
        <w:rPr>
          <w:rFonts w:ascii="Verdana" w:eastAsia="Calibri" w:hAnsi="Verdana" w:cs="Arial"/>
        </w:rPr>
        <w:t xml:space="preserve">Finalmente, debe advertirse que el análisis requerido para resolver problemas específicos en torno a la designación de los supervisores de los contratos que suscriban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7B5B8885" w14:textId="17F3DC02" w:rsidR="006459F8" w:rsidRPr="00B91631" w:rsidRDefault="00B91631" w:rsidP="00B91631">
      <w:pPr>
        <w:spacing w:after="120" w:line="276" w:lineRule="auto"/>
        <w:ind w:firstLine="709"/>
        <w:jc w:val="both"/>
        <w:rPr>
          <w:rFonts w:ascii="Verdana" w:eastAsia="Calibri" w:hAnsi="Verdana" w:cs="Arial"/>
        </w:rPr>
      </w:pPr>
      <w:r w:rsidRPr="009E0C49">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w:t>
      </w:r>
      <w:r w:rsidRPr="009E0C49">
        <w:rPr>
          <w:rFonts w:ascii="Verdana" w:eastAsia="Calibri" w:hAnsi="Verdana" w:cs="Arial"/>
        </w:rPr>
        <w:lastRenderedPageBreak/>
        <w:t xml:space="preserve">con el principio de juridicidad. Así, cada Entidad definirá la forma de adelantar su gestión contractual, sin que sea atribución de la Agencia Nacional de Contratación Pública - Colombia Compra Eficiente validar sus actuaciones.  </w:t>
      </w:r>
      <w:bookmarkEnd w:id="5"/>
      <w:bookmarkEnd w:id="6"/>
    </w:p>
    <w:p w14:paraId="01913DA6" w14:textId="77777777" w:rsidR="006459F8" w:rsidRPr="00C54887" w:rsidRDefault="006459F8" w:rsidP="006459F8">
      <w:pPr>
        <w:widowControl w:val="0"/>
        <w:autoSpaceDE w:val="0"/>
        <w:autoSpaceDN w:val="0"/>
        <w:spacing w:after="0" w:line="276" w:lineRule="auto"/>
        <w:ind w:firstLine="708"/>
        <w:jc w:val="both"/>
        <w:rPr>
          <w:rFonts w:ascii="Verdana" w:hAnsi="Verdana" w:cs="Arial"/>
          <w:lang w:eastAsia="es-ES"/>
        </w:rPr>
      </w:pPr>
    </w:p>
    <w:bookmarkEnd w:id="7"/>
    <w:bookmarkEnd w:id="8"/>
    <w:p w14:paraId="3BF6A900" w14:textId="77777777" w:rsidR="006459F8" w:rsidRPr="001F283D" w:rsidRDefault="006459F8" w:rsidP="006459F8">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9"/>
    <w:p w14:paraId="00BE387A" w14:textId="77777777" w:rsidR="006459F8" w:rsidRPr="00593A5F" w:rsidRDefault="006459F8" w:rsidP="006459F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459F8" w:rsidRPr="002407CE" w14:paraId="3581ED0E" w14:textId="77777777" w:rsidTr="00742A06">
        <w:trPr>
          <w:trHeight w:val="870"/>
          <w:jc w:val="center"/>
        </w:trPr>
        <w:tc>
          <w:tcPr>
            <w:tcW w:w="8647" w:type="dxa"/>
          </w:tcPr>
          <w:p w14:paraId="3D393F94" w14:textId="77777777" w:rsidR="00215CEA" w:rsidRPr="00433A07" w:rsidRDefault="00215CEA" w:rsidP="00215CEA">
            <w:pPr>
              <w:widowControl w:val="0"/>
              <w:numPr>
                <w:ilvl w:val="0"/>
                <w:numId w:val="2"/>
              </w:numPr>
              <w:autoSpaceDE w:val="0"/>
              <w:autoSpaceDN w:val="0"/>
              <w:spacing w:line="276" w:lineRule="auto"/>
              <w:contextualSpacing/>
              <w:jc w:val="both"/>
              <w:rPr>
                <w:rFonts w:ascii="Verdana" w:eastAsia="Arial MT" w:hAnsi="Verdana" w:cs="Arial"/>
                <w:lang w:val="es-ES" w:eastAsia="es-ES" w:bidi="es-ES"/>
              </w:rPr>
            </w:pPr>
            <w:r w:rsidRPr="00433A07">
              <w:rPr>
                <w:rFonts w:ascii="Verdana" w:eastAsia="Arial MT" w:hAnsi="Verdana" w:cs="Arial"/>
                <w:lang w:val="es-ES" w:eastAsia="es-ES" w:bidi="es-ES"/>
              </w:rPr>
              <w:t>Constitución Política de Colombia. Artículo 127.</w:t>
            </w:r>
          </w:p>
          <w:p w14:paraId="5848EA01" w14:textId="77777777" w:rsidR="00215CEA" w:rsidRPr="00433A07" w:rsidRDefault="00215CEA" w:rsidP="00215CEA">
            <w:pPr>
              <w:widowControl w:val="0"/>
              <w:numPr>
                <w:ilvl w:val="0"/>
                <w:numId w:val="2"/>
              </w:numPr>
              <w:autoSpaceDE w:val="0"/>
              <w:autoSpaceDN w:val="0"/>
              <w:spacing w:line="276" w:lineRule="auto"/>
              <w:contextualSpacing/>
              <w:jc w:val="both"/>
              <w:rPr>
                <w:rFonts w:ascii="Verdana" w:eastAsia="Arial MT" w:hAnsi="Verdana" w:cs="Arial"/>
                <w:lang w:val="es-ES" w:eastAsia="es-ES" w:bidi="es-ES"/>
              </w:rPr>
            </w:pPr>
            <w:r w:rsidRPr="00433A07">
              <w:rPr>
                <w:rFonts w:ascii="Verdana" w:eastAsia="Arial MT" w:hAnsi="Verdana" w:cs="Arial"/>
                <w:bCs/>
                <w:lang w:val="es-ES" w:eastAsia="es-ES" w:bidi="es-ES"/>
              </w:rPr>
              <w:t>Ley 996 de 2005. Artículos 33 y 38.</w:t>
            </w:r>
          </w:p>
          <w:p w14:paraId="00460F05" w14:textId="77777777" w:rsidR="00215CEA" w:rsidRPr="00433A07" w:rsidRDefault="00215CEA" w:rsidP="00215CEA">
            <w:pPr>
              <w:widowControl w:val="0"/>
              <w:numPr>
                <w:ilvl w:val="0"/>
                <w:numId w:val="2"/>
              </w:numPr>
              <w:autoSpaceDE w:val="0"/>
              <w:autoSpaceDN w:val="0"/>
              <w:spacing w:line="276" w:lineRule="auto"/>
              <w:contextualSpacing/>
              <w:jc w:val="both"/>
              <w:rPr>
                <w:rFonts w:ascii="Verdana" w:eastAsia="Arial MT" w:hAnsi="Verdana" w:cs="Arial"/>
                <w:lang w:val="es-ES" w:eastAsia="es-ES" w:bidi="es-ES"/>
              </w:rPr>
            </w:pPr>
            <w:r w:rsidRPr="00433A07">
              <w:rPr>
                <w:rFonts w:ascii="Verdana" w:eastAsia="Times New Roman" w:hAnsi="Verdana" w:cs="Times New Roman"/>
                <w:lang w:val="es-ES" w:eastAsia="es-MX"/>
              </w:rPr>
              <w:t xml:space="preserve">Ley 1150 de 2007. </w:t>
            </w:r>
            <w:r w:rsidRPr="00433A07">
              <w:rPr>
                <w:rFonts w:ascii="Verdana" w:eastAsia="Arial MT" w:hAnsi="Verdana" w:cs="Arial"/>
                <w:lang w:val="es-ES" w:eastAsia="es-ES" w:bidi="es-ES"/>
              </w:rPr>
              <w:t>Artículo 2.</w:t>
            </w:r>
          </w:p>
          <w:p w14:paraId="1ABAE073" w14:textId="77777777" w:rsidR="00215CEA" w:rsidRPr="00D63A83" w:rsidRDefault="00215CEA" w:rsidP="00215CEA">
            <w:pPr>
              <w:widowControl w:val="0"/>
              <w:numPr>
                <w:ilvl w:val="0"/>
                <w:numId w:val="2"/>
              </w:numPr>
              <w:autoSpaceDE w:val="0"/>
              <w:autoSpaceDN w:val="0"/>
              <w:spacing w:line="276" w:lineRule="auto"/>
              <w:contextualSpacing/>
              <w:jc w:val="both"/>
              <w:rPr>
                <w:rFonts w:ascii="Verdana" w:eastAsia="Arial MT" w:hAnsi="Verdana" w:cs="Arial"/>
                <w:lang w:val="es-ES" w:eastAsia="es-ES" w:bidi="es-ES"/>
              </w:rPr>
            </w:pPr>
            <w:r w:rsidRPr="00433A07">
              <w:rPr>
                <w:rFonts w:ascii="Verdana" w:hAnsi="Verdana" w:cs="Arial"/>
                <w:lang w:val="pt-BR"/>
              </w:rPr>
              <w:t xml:space="preserve">Corte Constitucional, Sentencia C- 1153 de 2005, M.P. Marco Gerardo </w:t>
            </w:r>
            <w:proofErr w:type="spellStart"/>
            <w:r w:rsidRPr="00D63A83">
              <w:rPr>
                <w:rFonts w:ascii="Verdana" w:hAnsi="Verdana" w:cs="Arial"/>
                <w:lang w:val="pt-BR"/>
              </w:rPr>
              <w:t>Monroy</w:t>
            </w:r>
            <w:proofErr w:type="spellEnd"/>
            <w:r w:rsidRPr="00D63A83">
              <w:rPr>
                <w:rFonts w:ascii="Verdana" w:hAnsi="Verdana" w:cs="Arial"/>
                <w:lang w:val="pt-BR"/>
              </w:rPr>
              <w:t xml:space="preserve"> Cabra.</w:t>
            </w:r>
          </w:p>
          <w:p w14:paraId="0E416703" w14:textId="77777777" w:rsidR="00215CEA" w:rsidRPr="00D63A83" w:rsidRDefault="00215CEA" w:rsidP="00215CEA">
            <w:pPr>
              <w:widowControl w:val="0"/>
              <w:numPr>
                <w:ilvl w:val="0"/>
                <w:numId w:val="2"/>
              </w:numPr>
              <w:autoSpaceDE w:val="0"/>
              <w:autoSpaceDN w:val="0"/>
              <w:spacing w:line="276" w:lineRule="auto"/>
              <w:contextualSpacing/>
              <w:jc w:val="both"/>
              <w:rPr>
                <w:rFonts w:ascii="Verdana" w:eastAsia="Times New Roman" w:hAnsi="Verdana" w:cs="Times New Roman"/>
                <w:lang w:val="es-ES" w:eastAsia="es-MX"/>
              </w:rPr>
            </w:pPr>
            <w:r w:rsidRPr="00D63A83">
              <w:rPr>
                <w:rFonts w:ascii="Verdana" w:eastAsia="Times New Roman" w:hAnsi="Verdana" w:cs="Times New Roman"/>
                <w:lang w:val="es-ES" w:eastAsia="es-MX"/>
              </w:rPr>
              <w:t xml:space="preserve">Consejo De Estado. Sala De Consulta Y Servicio Civil. Concepto Del 08 De </w:t>
            </w:r>
            <w:proofErr w:type="gramStart"/>
            <w:r w:rsidRPr="00D63A83">
              <w:rPr>
                <w:rFonts w:ascii="Verdana" w:eastAsia="Times New Roman" w:hAnsi="Verdana" w:cs="Times New Roman"/>
                <w:lang w:val="es-ES" w:eastAsia="es-MX"/>
              </w:rPr>
              <w:t>Mayo</w:t>
            </w:r>
            <w:proofErr w:type="gramEnd"/>
            <w:r w:rsidRPr="00D63A83">
              <w:rPr>
                <w:rFonts w:ascii="Verdana" w:eastAsia="Times New Roman" w:hAnsi="Verdana" w:cs="Times New Roman"/>
                <w:lang w:val="es-ES" w:eastAsia="es-MX"/>
              </w:rPr>
              <w:t xml:space="preserve"> De 2018. </w:t>
            </w:r>
            <w:proofErr w:type="spellStart"/>
            <w:r w:rsidRPr="00D63A83">
              <w:rPr>
                <w:rFonts w:ascii="Verdana" w:eastAsia="Times New Roman" w:hAnsi="Verdana" w:cs="Times New Roman"/>
                <w:lang w:val="es-ES" w:eastAsia="es-MX"/>
              </w:rPr>
              <w:t>Exp</w:t>
            </w:r>
            <w:proofErr w:type="spellEnd"/>
            <w:r w:rsidRPr="00D63A83">
              <w:rPr>
                <w:rFonts w:ascii="Verdana" w:eastAsia="Times New Roman" w:hAnsi="Verdana" w:cs="Times New Roman"/>
                <w:lang w:val="es-ES" w:eastAsia="es-MX"/>
              </w:rPr>
              <w:t>. 2.382. C.P. Álvaro Namén Vargas.</w:t>
            </w:r>
          </w:p>
          <w:p w14:paraId="7E1987AC" w14:textId="77777777" w:rsidR="00215CEA" w:rsidRPr="00D63A83" w:rsidRDefault="00215CEA" w:rsidP="00215CEA">
            <w:pPr>
              <w:widowControl w:val="0"/>
              <w:numPr>
                <w:ilvl w:val="0"/>
                <w:numId w:val="2"/>
              </w:numPr>
              <w:autoSpaceDE w:val="0"/>
              <w:autoSpaceDN w:val="0"/>
              <w:spacing w:line="276" w:lineRule="auto"/>
              <w:contextualSpacing/>
              <w:jc w:val="both"/>
              <w:rPr>
                <w:rFonts w:ascii="Verdana" w:eastAsia="Times New Roman" w:hAnsi="Verdana" w:cs="Times New Roman"/>
                <w:lang w:val="es-ES" w:eastAsia="es-MX"/>
              </w:rPr>
            </w:pPr>
            <w:r w:rsidRPr="00D63A83">
              <w:rPr>
                <w:rFonts w:ascii="Verdana" w:hAnsi="Verdana" w:cs="Arial"/>
              </w:rPr>
              <w:t>Consejo de Estado. Sala de Consulta y Servicio Civil. Concepto del 2 de septiembre de 2013. Radicación número: 11001-03-06-000-2013-00412-00 (2168). Consejero Ponente: Álvaro Namén Vargas.</w:t>
            </w:r>
          </w:p>
          <w:p w14:paraId="283F3114" w14:textId="77777777" w:rsidR="006459F8" w:rsidRPr="008D645A" w:rsidRDefault="00215CEA" w:rsidP="00215CEA">
            <w:pPr>
              <w:pStyle w:val="NormalWeb"/>
              <w:numPr>
                <w:ilvl w:val="0"/>
                <w:numId w:val="2"/>
              </w:numPr>
              <w:spacing w:before="120" w:beforeAutospacing="0" w:after="0" w:afterAutospacing="0" w:line="276" w:lineRule="auto"/>
              <w:jc w:val="both"/>
              <w:rPr>
                <w:rFonts w:ascii="Verdana" w:hAnsi="Verdana" w:cs="Arial"/>
                <w:color w:val="000000" w:themeColor="text1"/>
                <w:sz w:val="22"/>
                <w:szCs w:val="22"/>
              </w:rPr>
            </w:pPr>
            <w:r w:rsidRPr="00D63A83">
              <w:rPr>
                <w:rFonts w:ascii="Verdana" w:hAnsi="Verdana" w:cs="Arial"/>
                <w:lang w:val="es-ES"/>
              </w:rPr>
              <w:t>Consejo de Estado. Sala de Consulta y Servicio Civil, Concepto de 8 de mayo de 2018. Radicación Número: 11001-03-06-000-2018-00095-00(2382). Consejero Ponente: Álvaro Namén Vargas.</w:t>
            </w:r>
          </w:p>
          <w:p w14:paraId="1C2794BE" w14:textId="10A4DBBC" w:rsidR="008D645A" w:rsidRPr="00A57FA0" w:rsidRDefault="008D645A" w:rsidP="00215CEA">
            <w:pPr>
              <w:pStyle w:val="NormalWeb"/>
              <w:numPr>
                <w:ilvl w:val="0"/>
                <w:numId w:val="2"/>
              </w:numPr>
              <w:spacing w:before="120" w:beforeAutospacing="0" w:after="0" w:afterAutospacing="0" w:line="276" w:lineRule="auto"/>
              <w:jc w:val="both"/>
              <w:rPr>
                <w:rFonts w:ascii="Verdana" w:hAnsi="Verdana" w:cs="Arial"/>
                <w:color w:val="000000" w:themeColor="text1"/>
                <w:sz w:val="22"/>
                <w:szCs w:val="22"/>
              </w:rPr>
            </w:pPr>
            <w:r w:rsidRPr="008D645A">
              <w:rPr>
                <w:rFonts w:ascii="Verdana" w:hAnsi="Verdana" w:cs="Arial"/>
                <w:color w:val="000000" w:themeColor="text1"/>
                <w:sz w:val="22"/>
                <w:szCs w:val="22"/>
              </w:rPr>
              <w:t xml:space="preserve">Colombia Compra Eficiente. (2025). </w:t>
            </w:r>
            <w:r w:rsidRPr="008D645A">
              <w:rPr>
                <w:rFonts w:ascii="Verdana" w:hAnsi="Verdana" w:cs="Arial"/>
                <w:i/>
                <w:iCs/>
                <w:color w:val="000000" w:themeColor="text1"/>
                <w:sz w:val="22"/>
                <w:szCs w:val="22"/>
              </w:rPr>
              <w:t>Circular Externa No. 006 de 2025</w:t>
            </w:r>
            <w:r w:rsidRPr="008D645A">
              <w:rPr>
                <w:rFonts w:ascii="Verdana" w:hAnsi="Verdana" w:cs="Arial"/>
                <w:color w:val="000000" w:themeColor="text1"/>
                <w:sz w:val="22"/>
                <w:szCs w:val="22"/>
              </w:rPr>
              <w:t>. Agencia Nacional de Contratación Pública – Colombia Compra Eficiente</w:t>
            </w:r>
            <w:r w:rsidR="001F0030">
              <w:rPr>
                <w:rFonts w:ascii="Verdana" w:hAnsi="Verdana" w:cs="Arial"/>
                <w:color w:val="000000" w:themeColor="text1"/>
                <w:sz w:val="22"/>
                <w:szCs w:val="22"/>
              </w:rPr>
              <w:t>:</w:t>
            </w:r>
            <w:hyperlink r:id="rId9" w:history="1">
              <w:r w:rsidR="001F0030" w:rsidRPr="00CF2D36">
                <w:rPr>
                  <w:rStyle w:val="Hipervnculo"/>
                  <w:rFonts w:ascii="Verdana" w:hAnsi="Verdana" w:cs="Arial"/>
                  <w:sz w:val="22"/>
                  <w:szCs w:val="22"/>
                </w:rPr>
                <w:t>https://www.colombiacompra.gov.co/wpcontent/uploads/2024/08/circular_externa_unica_version_3_vf49.pdf</w:t>
              </w:r>
            </w:hyperlink>
            <w:r w:rsidR="001F0030">
              <w:rPr>
                <w:rFonts w:ascii="Verdana" w:hAnsi="Verdana" w:cs="Arial"/>
                <w:color w:val="000000" w:themeColor="text1"/>
                <w:sz w:val="22"/>
                <w:szCs w:val="22"/>
              </w:rPr>
              <w:t xml:space="preserve">   </w:t>
            </w:r>
          </w:p>
        </w:tc>
      </w:tr>
    </w:tbl>
    <w:p w14:paraId="546FF61F" w14:textId="77777777" w:rsidR="006459F8" w:rsidRPr="00277E26" w:rsidRDefault="006459F8" w:rsidP="006459F8">
      <w:pPr>
        <w:widowControl w:val="0"/>
        <w:autoSpaceDE w:val="0"/>
        <w:autoSpaceDN w:val="0"/>
        <w:spacing w:after="0" w:line="276" w:lineRule="auto"/>
        <w:jc w:val="both"/>
        <w:rPr>
          <w:rFonts w:ascii="Verdana" w:hAnsi="Verdana" w:cs="Arial"/>
        </w:rPr>
      </w:pPr>
    </w:p>
    <w:p w14:paraId="6641DA67" w14:textId="77777777" w:rsidR="006459F8" w:rsidRPr="001F283D" w:rsidRDefault="006459F8" w:rsidP="006459F8">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076484C7" w14:textId="77777777" w:rsidR="006459F8" w:rsidRDefault="006459F8" w:rsidP="006459F8">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47E595CF" w14:textId="3E3C1AD4" w:rsidR="006459F8" w:rsidRDefault="00421C91" w:rsidP="001F0030">
      <w:pPr>
        <w:spacing w:after="0" w:line="276" w:lineRule="auto"/>
        <w:jc w:val="both"/>
        <w:rPr>
          <w:rFonts w:ascii="Verdana" w:hAnsi="Verdana" w:cs="Arial"/>
          <w:color w:val="156082" w:themeColor="accent1"/>
          <w:shd w:val="clear" w:color="auto" w:fill="FFFFFF"/>
          <w:lang w:val="es-ES"/>
        </w:rPr>
      </w:pPr>
      <w:r w:rsidRPr="00CF4676">
        <w:rPr>
          <w:rFonts w:ascii="Verdana" w:eastAsia="Calibri" w:hAnsi="Verdana" w:cs="Arial"/>
          <w:color w:val="000000" w:themeColor="text1"/>
          <w:lang w:val="es-ES"/>
        </w:rPr>
        <w:t xml:space="preserve">La Agencia Nacional de Contratación Pública – Colombia Compra Eficiente se ha referido </w:t>
      </w:r>
      <w:r w:rsidRPr="00CF4676">
        <w:rPr>
          <w:rFonts w:ascii="Verdana" w:hAnsi="Verdana" w:cs="Arial"/>
          <w:color w:val="000000" w:themeColor="text1"/>
          <w:shd w:val="clear" w:color="auto" w:fill="FFFFFF"/>
          <w:lang w:val="es-ES"/>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w:t>
      </w:r>
      <w:r w:rsidRPr="00CF4676">
        <w:rPr>
          <w:rFonts w:ascii="Verdana" w:hAnsi="Verdana" w:cs="Arial"/>
          <w:color w:val="000000" w:themeColor="text1"/>
          <w:shd w:val="clear" w:color="auto" w:fill="FFFFFF"/>
          <w:lang w:val="es-ES"/>
        </w:rPr>
        <w:lastRenderedPageBreak/>
        <w:t>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 entre otros. Sobre la aplicación de esta ley y la contratación del PIC se refirió en los conceptos C ‒ 044 del 04 de marzo de 2022, C ‒ 158 del 04 de abril de 2022, C ‒ 364 del 20 de mayo de 2022, C-979 del 25 de agosto de 2025, C- 1296 del 17 de octubre de 2025</w:t>
      </w:r>
      <w:r>
        <w:rPr>
          <w:rFonts w:ascii="Verdana" w:hAnsi="Verdana" w:cs="Arial"/>
          <w:color w:val="000000" w:themeColor="text1"/>
          <w:shd w:val="clear" w:color="auto" w:fill="FFFFFF"/>
          <w:lang w:val="es-ES"/>
        </w:rPr>
        <w:t xml:space="preserve">, </w:t>
      </w:r>
      <w:r w:rsidRPr="00CF4676">
        <w:rPr>
          <w:rFonts w:ascii="Verdana" w:hAnsi="Verdana" w:cs="Arial"/>
          <w:color w:val="000000" w:themeColor="text1"/>
          <w:shd w:val="clear" w:color="auto" w:fill="FFFFFF"/>
          <w:lang w:val="es-ES"/>
        </w:rPr>
        <w:t>C-1507 del 26 de noviembre de 202</w:t>
      </w:r>
      <w:r>
        <w:rPr>
          <w:rFonts w:ascii="Verdana" w:hAnsi="Verdana" w:cs="Arial"/>
          <w:color w:val="000000" w:themeColor="text1"/>
          <w:shd w:val="clear" w:color="auto" w:fill="FFFFFF"/>
          <w:lang w:val="es-ES"/>
        </w:rPr>
        <w:t>5 y C-1675 del 23 de diciembre de 2025.</w:t>
      </w:r>
    </w:p>
    <w:p w14:paraId="3B679CAC" w14:textId="77777777" w:rsidR="001F0030" w:rsidRPr="001F0030" w:rsidRDefault="001F0030" w:rsidP="001F0030">
      <w:pPr>
        <w:spacing w:after="0" w:line="276" w:lineRule="auto"/>
        <w:jc w:val="both"/>
        <w:rPr>
          <w:rFonts w:ascii="Verdana" w:hAnsi="Verdana" w:cs="Arial"/>
          <w:color w:val="156082" w:themeColor="accent1"/>
          <w:shd w:val="clear" w:color="auto" w:fill="FFFFFF"/>
          <w:lang w:val="es-ES"/>
        </w:rPr>
      </w:pPr>
    </w:p>
    <w:p w14:paraId="5671CF4E" w14:textId="43225C90" w:rsidR="00C264FD" w:rsidRPr="009A385A" w:rsidRDefault="00C264FD" w:rsidP="00C264FD">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0" w:history="1">
        <w:r w:rsidR="001F0030" w:rsidRPr="00CF2D36">
          <w:rPr>
            <w:rStyle w:val="Hipervnculo"/>
            <w:rFonts w:ascii="Verdana" w:hAnsi="Verdana"/>
          </w:rPr>
          <w:t>https://formacionvirtual.colombiacompra.gov.co/mod/page/view.php?id=3718</w:t>
        </w:r>
      </w:hyperlink>
    </w:p>
    <w:p w14:paraId="672AD1E4" w14:textId="77777777" w:rsidR="00C264FD" w:rsidRDefault="00C264FD" w:rsidP="00C264FD">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1" w:tgtFrame="_new" w:history="1">
        <w:r w:rsidRPr="00635F16">
          <w:rPr>
            <w:rStyle w:val="Hipervnculo"/>
            <w:rFonts w:ascii="Verdana" w:hAnsi="Verdana"/>
          </w:rPr>
          <w:t>https://www.colombiacompra.gov.co/normativa-y-relatoria/documentos-tipo</w:t>
        </w:r>
      </w:hyperlink>
    </w:p>
    <w:p w14:paraId="70C30539" w14:textId="77777777" w:rsidR="00C264FD" w:rsidRPr="009A385A" w:rsidRDefault="00C264FD" w:rsidP="00C264FD">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 xml:space="preserve">se incorporaron orientaciones prácticas dirigidas a entidades públicas, proveedores, organismos de control y demás interesados, con el </w:t>
      </w:r>
      <w:r w:rsidRPr="00797327">
        <w:rPr>
          <w:rFonts w:ascii="Verdana" w:hAnsi="Verdana"/>
        </w:rPr>
        <w:lastRenderedPageBreak/>
        <w:t>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2"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01FFE76" w14:textId="77777777" w:rsidR="00C264FD" w:rsidRPr="00900D7D" w:rsidRDefault="00C264FD" w:rsidP="006459F8">
      <w:pPr>
        <w:widowControl w:val="0"/>
        <w:autoSpaceDE w:val="0"/>
        <w:autoSpaceDN w:val="0"/>
        <w:spacing w:after="120" w:line="276" w:lineRule="auto"/>
        <w:jc w:val="both"/>
        <w:rPr>
          <w:rFonts w:ascii="Verdana" w:eastAsia="Calibri" w:hAnsi="Verdana" w:cs="Arial"/>
          <w:color w:val="000000" w:themeColor="text1"/>
          <w:lang w:eastAsia="es-ES_tradnl"/>
        </w:rPr>
      </w:pPr>
    </w:p>
    <w:p w14:paraId="4DB0FDA4" w14:textId="77777777" w:rsidR="006459F8" w:rsidRPr="00237766" w:rsidRDefault="006459F8" w:rsidP="006459F8">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9FF5572" w14:textId="77777777" w:rsidR="006459F8" w:rsidRPr="008E4F36" w:rsidRDefault="006459F8" w:rsidP="006459F8">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737DBA39" w14:textId="77777777" w:rsidR="006459F8" w:rsidRPr="008E4F36" w:rsidRDefault="006459F8" w:rsidP="006459F8">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395E054F" w14:textId="77777777" w:rsidR="006459F8" w:rsidRPr="008E4F36" w:rsidRDefault="006459F8" w:rsidP="006459F8">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66FE710D" w14:textId="77777777" w:rsidR="006459F8" w:rsidRPr="008E4F36" w:rsidRDefault="006459F8" w:rsidP="006459F8">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3" w:history="1">
        <w:r w:rsidRPr="008E4F36">
          <w:rPr>
            <w:rStyle w:val="Hipervnculo"/>
            <w:rFonts w:ascii="Verdana" w:hAnsi="Verdana"/>
          </w:rPr>
          <w:t>www.colombiacompra.gov.co</w:t>
        </w:r>
      </w:hyperlink>
    </w:p>
    <w:p w14:paraId="4A43F942" w14:textId="77777777" w:rsidR="006459F8" w:rsidRPr="008E4F36" w:rsidRDefault="006459F8" w:rsidP="006459F8">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2CBE2448" w14:textId="77777777" w:rsidR="006459F8" w:rsidRPr="008E4F36" w:rsidRDefault="006459F8" w:rsidP="006459F8">
      <w:pPr>
        <w:spacing w:after="0" w:line="276" w:lineRule="auto"/>
        <w:jc w:val="both"/>
        <w:rPr>
          <w:rFonts w:ascii="Verdana" w:hAnsi="Verdana"/>
        </w:rPr>
      </w:pPr>
    </w:p>
    <w:p w14:paraId="1582A6B1" w14:textId="77777777" w:rsidR="006459F8" w:rsidRPr="008E4F36" w:rsidRDefault="006459F8" w:rsidP="006459F8">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5041812F" w14:textId="77777777" w:rsidR="006459F8" w:rsidRPr="008E4F36" w:rsidRDefault="006459F8" w:rsidP="006459F8">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7C05BA58" w14:textId="77777777" w:rsidR="006459F8" w:rsidRPr="008E4F36" w:rsidRDefault="006459F8" w:rsidP="006459F8">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02CAACBF" w14:textId="77777777" w:rsidR="006459F8" w:rsidRDefault="006459F8" w:rsidP="006459F8">
      <w:pPr>
        <w:spacing w:before="120" w:after="0" w:line="276" w:lineRule="auto"/>
        <w:jc w:val="both"/>
        <w:rPr>
          <w:rFonts w:ascii="Verdana" w:hAnsi="Verdana"/>
        </w:rPr>
      </w:pPr>
    </w:p>
    <w:p w14:paraId="3451C8B8" w14:textId="77777777" w:rsidR="006459F8" w:rsidRPr="00FB6C33" w:rsidRDefault="006459F8" w:rsidP="006459F8">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08E1090" w14:textId="77777777" w:rsidR="006459F8" w:rsidRPr="008E4F36" w:rsidRDefault="006459F8" w:rsidP="006459F8">
      <w:pPr>
        <w:spacing w:after="0" w:line="276" w:lineRule="auto"/>
        <w:jc w:val="both"/>
        <w:rPr>
          <w:rFonts w:ascii="Verdana" w:eastAsia="Calibri" w:hAnsi="Verdana" w:cs="Times New Roman"/>
        </w:rPr>
      </w:pPr>
    </w:p>
    <w:p w14:paraId="5BFB8386" w14:textId="661E4760" w:rsidR="006459F8" w:rsidRPr="00B07A38" w:rsidRDefault="006459F8" w:rsidP="00B07A38">
      <w:pPr>
        <w:spacing w:after="0" w:line="276" w:lineRule="auto"/>
        <w:jc w:val="both"/>
        <w:rPr>
          <w:rFonts w:ascii="Verdana" w:eastAsia="Calibri" w:hAnsi="Verdana" w:cs="Times New Roman"/>
        </w:rPr>
      </w:pPr>
      <w:r w:rsidRPr="008E4F36">
        <w:rPr>
          <w:rFonts w:ascii="Verdana" w:eastAsia="Calibri" w:hAnsi="Verdana" w:cs="Times New Roman"/>
        </w:rPr>
        <w:t>Atentamente,</w:t>
      </w:r>
      <w:bookmarkEnd w:id="1"/>
      <w:bookmarkEnd w:id="2"/>
    </w:p>
    <w:p w14:paraId="2A01FA3B" w14:textId="4C44A024" w:rsidR="006459F8" w:rsidRDefault="00B07A38" w:rsidP="00B07A38">
      <w:pPr>
        <w:spacing w:after="0"/>
        <w:jc w:val="center"/>
        <w:rPr>
          <w:rFonts w:ascii="Verdana" w:hAnsi="Verdana"/>
        </w:rPr>
      </w:pPr>
      <w:r w:rsidRPr="00986A65">
        <w:rPr>
          <w:rFonts w:ascii="Verdana" w:hAnsi="Verdana" w:cs="Arial"/>
          <w:noProof/>
          <w:color w:val="156082" w:themeColor="accent1"/>
          <w:lang w:val="es-ES" w:eastAsia="es-CO"/>
        </w:rPr>
        <w:lastRenderedPageBreak/>
        <w:drawing>
          <wp:inline distT="0" distB="0" distL="0" distR="0" wp14:anchorId="48A95A10" wp14:editId="6DE26EB9">
            <wp:extent cx="3456638" cy="1343025"/>
            <wp:effectExtent l="0" t="0" r="0" b="0"/>
            <wp:docPr id="208030580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305803" name="Imagen 1" descr="Texto&#10;&#10;El contenido generado por IA puede ser incorrecto."/>
                    <pic:cNvPicPr/>
                  </pic:nvPicPr>
                  <pic:blipFill>
                    <a:blip r:embed="rId14"/>
                    <a:stretch>
                      <a:fillRect/>
                    </a:stretch>
                  </pic:blipFill>
                  <pic:spPr>
                    <a:xfrm>
                      <a:off x="0" y="0"/>
                      <a:ext cx="3458700" cy="1343826"/>
                    </a:xfrm>
                    <a:prstGeom prst="rect">
                      <a:avLst/>
                    </a:prstGeom>
                  </pic:spPr>
                </pic:pic>
              </a:graphicData>
            </a:graphic>
          </wp:inline>
        </w:drawing>
      </w:r>
    </w:p>
    <w:p w14:paraId="28E96228" w14:textId="77777777" w:rsidR="006459F8" w:rsidRDefault="006459F8" w:rsidP="006459F8">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459F8" w:rsidRPr="002423D6" w14:paraId="24D5CBC1" w14:textId="77777777" w:rsidTr="00742A06">
        <w:trPr>
          <w:trHeight w:val="315"/>
        </w:trPr>
        <w:tc>
          <w:tcPr>
            <w:tcW w:w="893" w:type="dxa"/>
            <w:vAlign w:val="center"/>
            <w:hideMark/>
          </w:tcPr>
          <w:p w14:paraId="1C675F44" w14:textId="77777777" w:rsidR="006459F8" w:rsidRPr="002423D6" w:rsidRDefault="006459F8" w:rsidP="00742A0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4BE7929" w14:textId="21446BC5" w:rsidR="006459F8" w:rsidRPr="002423D6" w:rsidRDefault="006459F8" w:rsidP="00742A06">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w:t>
            </w:r>
            <w:r>
              <w:rPr>
                <w:rFonts w:ascii="Verdana" w:eastAsia="Arial" w:hAnsi="Verdana" w:cs="Arial"/>
                <w:color w:val="000000" w:themeColor="text1"/>
                <w:sz w:val="16"/>
                <w:szCs w:val="16"/>
              </w:rPr>
              <w:t>ndreina Cerpa Muñoz</w:t>
            </w:r>
          </w:p>
          <w:p w14:paraId="5A3B0258" w14:textId="77777777" w:rsidR="006459F8" w:rsidRPr="002423D6" w:rsidRDefault="006459F8" w:rsidP="00742A06">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6459F8" w:rsidRPr="002423D6" w14:paraId="3C9AA0CF" w14:textId="77777777" w:rsidTr="00742A06">
        <w:trPr>
          <w:trHeight w:val="330"/>
        </w:trPr>
        <w:tc>
          <w:tcPr>
            <w:tcW w:w="893" w:type="dxa"/>
            <w:vAlign w:val="center"/>
            <w:hideMark/>
          </w:tcPr>
          <w:p w14:paraId="38F6602A" w14:textId="77777777" w:rsidR="006459F8" w:rsidRPr="002423D6" w:rsidRDefault="006459F8" w:rsidP="00742A0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ED3F5CF" w14:textId="77777777" w:rsidR="006459F8" w:rsidRPr="002423D6" w:rsidRDefault="006459F8" w:rsidP="00742A06">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p>
          <w:p w14:paraId="0489FC24" w14:textId="77777777" w:rsidR="006459F8" w:rsidRPr="002423D6" w:rsidRDefault="006459F8" w:rsidP="00742A06">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6459F8" w:rsidRPr="002423D6" w14:paraId="301FB82E" w14:textId="77777777" w:rsidTr="00742A06">
        <w:trPr>
          <w:trHeight w:val="300"/>
        </w:trPr>
        <w:tc>
          <w:tcPr>
            <w:tcW w:w="893" w:type="dxa"/>
            <w:vAlign w:val="center"/>
          </w:tcPr>
          <w:p w14:paraId="1317F3BA" w14:textId="77777777" w:rsidR="006459F8" w:rsidRPr="002423D6" w:rsidRDefault="006459F8" w:rsidP="00742A06">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8EDE7D6" w14:textId="77777777" w:rsidR="006459F8" w:rsidRPr="002423D6" w:rsidRDefault="006459F8" w:rsidP="00742A0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79E3B83B" w14:textId="77777777" w:rsidR="006459F8" w:rsidRPr="002423D6" w:rsidRDefault="006459F8" w:rsidP="00742A06">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167A4130" w14:textId="77777777" w:rsidR="00C43E61" w:rsidRDefault="00C43E61" w:rsidP="006459F8"/>
    <w:p w14:paraId="4BE98338" w14:textId="69BCEF75" w:rsidR="006459F8" w:rsidRDefault="006459F8" w:rsidP="006459F8"/>
    <w:p w14:paraId="585BD242" w14:textId="77777777" w:rsidR="006459F8" w:rsidRPr="00823C60" w:rsidRDefault="006459F8" w:rsidP="006459F8"/>
    <w:p w14:paraId="648CAC60" w14:textId="77777777" w:rsidR="000F5A42" w:rsidRDefault="000F5A42"/>
    <w:sectPr w:rsidR="000F5A42" w:rsidSect="006459F8">
      <w:headerReference w:type="default" r:id="rId15"/>
      <w:footerReference w:type="default" r:id="rId1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5985E" w14:textId="77777777" w:rsidR="00353302" w:rsidRDefault="00353302" w:rsidP="006459F8">
      <w:pPr>
        <w:spacing w:after="0" w:line="240" w:lineRule="auto"/>
      </w:pPr>
      <w:r>
        <w:separator/>
      </w:r>
    </w:p>
  </w:endnote>
  <w:endnote w:type="continuationSeparator" w:id="0">
    <w:p w14:paraId="18AD3A8F" w14:textId="77777777" w:rsidR="00353302" w:rsidRDefault="00353302" w:rsidP="006459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238B2" w14:textId="77777777" w:rsidR="006459F8" w:rsidRDefault="006459F8" w:rsidP="000849D5">
    <w:pPr>
      <w:spacing w:after="0"/>
      <w:rPr>
        <w:rFonts w:ascii="Verdana" w:hAnsi="Verdana"/>
        <w:b/>
        <w:bCs/>
        <w:sz w:val="20"/>
        <w:szCs w:val="20"/>
      </w:rPr>
    </w:pPr>
  </w:p>
  <w:p w14:paraId="2EF5E459" w14:textId="77777777" w:rsidR="006459F8" w:rsidRPr="00174B77" w:rsidRDefault="006459F8"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A460286" w14:textId="77777777" w:rsidR="006459F8" w:rsidRDefault="006459F8"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ADBA080" w14:textId="77777777" w:rsidR="006459F8" w:rsidRPr="00E41027" w:rsidRDefault="006459F8" w:rsidP="000849D5">
    <w:pPr>
      <w:spacing w:after="0"/>
      <w:jc w:val="both"/>
      <w:rPr>
        <w:rFonts w:ascii="Verdana" w:hAnsi="Verdana"/>
        <w:sz w:val="18"/>
        <w:szCs w:val="18"/>
      </w:rPr>
    </w:pPr>
    <w:r w:rsidRPr="00E41027">
      <w:rPr>
        <w:rFonts w:ascii="Verdana" w:hAnsi="Verdana"/>
        <w:sz w:val="18"/>
        <w:szCs w:val="18"/>
      </w:rPr>
      <w:t>Mesa de servicio: (+57) 601 7456788</w:t>
    </w:r>
  </w:p>
  <w:p w14:paraId="36A935D4" w14:textId="77777777" w:rsidR="006459F8" w:rsidRDefault="006459F8"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1482CC00" w14:textId="77777777" w:rsidR="006459F8" w:rsidRPr="007D04B2" w:rsidRDefault="006459F8" w:rsidP="000849D5">
    <w:pPr>
      <w:pStyle w:val="Piedepgina"/>
    </w:pPr>
  </w:p>
  <w:p w14:paraId="78D8E880" w14:textId="77777777" w:rsidR="006459F8" w:rsidRPr="000849D5" w:rsidRDefault="006459F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B210E1" w14:textId="77777777" w:rsidR="00353302" w:rsidRDefault="00353302" w:rsidP="006459F8">
      <w:pPr>
        <w:spacing w:after="0" w:line="240" w:lineRule="auto"/>
      </w:pPr>
      <w:r>
        <w:separator/>
      </w:r>
    </w:p>
  </w:footnote>
  <w:footnote w:type="continuationSeparator" w:id="0">
    <w:p w14:paraId="4693A118" w14:textId="77777777" w:rsidR="00353302" w:rsidRDefault="00353302" w:rsidP="006459F8">
      <w:pPr>
        <w:spacing w:after="0" w:line="240" w:lineRule="auto"/>
      </w:pPr>
      <w:r>
        <w:continuationSeparator/>
      </w:r>
    </w:p>
  </w:footnote>
  <w:footnote w:id="1">
    <w:p w14:paraId="73FE4BD8" w14:textId="77777777" w:rsidR="00B91631" w:rsidRPr="0016660C" w:rsidRDefault="00B91631" w:rsidP="00B91631">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DB09E44" w14:textId="77777777" w:rsidR="00B91631" w:rsidRPr="0016660C" w:rsidRDefault="00B91631" w:rsidP="00B91631">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7BB4A031" w14:textId="77777777" w:rsidR="00B91631" w:rsidRPr="0016660C" w:rsidRDefault="00B91631" w:rsidP="00B91631">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3">
    <w:p w14:paraId="5B7283FE" w14:textId="77777777" w:rsidR="00B91631" w:rsidRPr="00274625" w:rsidRDefault="00B91631" w:rsidP="00B91631">
      <w:pPr>
        <w:pStyle w:val="Textonotapie"/>
        <w:ind w:firstLine="709"/>
        <w:contextualSpacing/>
        <w:jc w:val="both"/>
        <w:rPr>
          <w:rFonts w:ascii="Verdana" w:hAnsi="Verdana" w:cs="Arial"/>
          <w:sz w:val="16"/>
          <w:szCs w:val="16"/>
          <w:lang w:val="pt-BR"/>
        </w:rPr>
      </w:pPr>
      <w:r w:rsidRPr="00274625">
        <w:rPr>
          <w:rStyle w:val="Refdenotaalpie"/>
          <w:rFonts w:ascii="Verdana" w:hAnsi="Verdana" w:cs="Arial"/>
          <w:sz w:val="16"/>
          <w:szCs w:val="16"/>
        </w:rPr>
        <w:footnoteRef/>
      </w:r>
      <w:r w:rsidRPr="00274625">
        <w:rPr>
          <w:rFonts w:ascii="Verdana" w:hAnsi="Verdana" w:cs="Arial"/>
          <w:sz w:val="16"/>
          <w:szCs w:val="16"/>
          <w:lang w:val="pt-BR"/>
        </w:rPr>
        <w:t xml:space="preserve"> Corte Constitucional, Sentencia C- 1153 de 2005, M.P. Marco Gerardo </w:t>
      </w:r>
      <w:proofErr w:type="spellStart"/>
      <w:r w:rsidRPr="00274625">
        <w:rPr>
          <w:rFonts w:ascii="Verdana" w:hAnsi="Verdana" w:cs="Arial"/>
          <w:sz w:val="16"/>
          <w:szCs w:val="16"/>
          <w:lang w:val="pt-BR"/>
        </w:rPr>
        <w:t>Monroy</w:t>
      </w:r>
      <w:proofErr w:type="spellEnd"/>
      <w:r w:rsidRPr="00274625">
        <w:rPr>
          <w:rFonts w:ascii="Verdana" w:hAnsi="Verdana" w:cs="Arial"/>
          <w:sz w:val="16"/>
          <w:szCs w:val="16"/>
          <w:lang w:val="pt-BR"/>
        </w:rPr>
        <w:t xml:space="preserve"> Cabra.</w:t>
      </w:r>
    </w:p>
  </w:footnote>
  <w:footnote w:id="4">
    <w:p w14:paraId="533E7B6B" w14:textId="77777777" w:rsidR="00B91631" w:rsidRPr="00092450" w:rsidRDefault="00B91631" w:rsidP="00B91631">
      <w:pPr>
        <w:pStyle w:val="Textonotapie"/>
        <w:ind w:firstLine="709"/>
        <w:contextualSpacing/>
        <w:jc w:val="both"/>
        <w:rPr>
          <w:rFonts w:ascii="Verdana" w:hAnsi="Verdana" w:cs="Arial"/>
          <w:sz w:val="14"/>
          <w:szCs w:val="14"/>
          <w:lang w:val="pt-BR"/>
        </w:rPr>
      </w:pPr>
      <w:r w:rsidRPr="00092450">
        <w:rPr>
          <w:rStyle w:val="Refdenotaalpie"/>
          <w:rFonts w:ascii="Verdana" w:hAnsi="Verdana" w:cs="Arial"/>
          <w:sz w:val="14"/>
          <w:szCs w:val="14"/>
        </w:rPr>
        <w:footnoteRef/>
      </w:r>
      <w:r w:rsidRPr="00092450">
        <w:rPr>
          <w:rFonts w:ascii="Verdana" w:hAnsi="Verdana" w:cs="Arial"/>
          <w:sz w:val="14"/>
          <w:szCs w:val="14"/>
          <w:lang w:val="pt-BR"/>
        </w:rPr>
        <w:t xml:space="preserve"> Corte Constitucional. Sentencias: C-233 de 4 de abril de 2002, expediente: D-3704; C-551 de 9 de </w:t>
      </w:r>
      <w:proofErr w:type="spellStart"/>
      <w:r w:rsidRPr="00092450">
        <w:rPr>
          <w:rFonts w:ascii="Verdana" w:hAnsi="Verdana" w:cs="Arial"/>
          <w:sz w:val="14"/>
          <w:szCs w:val="14"/>
          <w:lang w:val="pt-BR"/>
        </w:rPr>
        <w:t>julio</w:t>
      </w:r>
      <w:proofErr w:type="spellEnd"/>
      <w:r w:rsidRPr="00092450">
        <w:rPr>
          <w:rFonts w:ascii="Verdana" w:hAnsi="Verdana" w:cs="Arial"/>
          <w:sz w:val="14"/>
          <w:szCs w:val="14"/>
          <w:lang w:val="pt-BR"/>
        </w:rPr>
        <w:t xml:space="preserve"> de 2003, expediente: CRF-001 de 9 de </w:t>
      </w:r>
      <w:proofErr w:type="spellStart"/>
      <w:r w:rsidRPr="00092450">
        <w:rPr>
          <w:rFonts w:ascii="Verdana" w:hAnsi="Verdana" w:cs="Arial"/>
          <w:sz w:val="14"/>
          <w:szCs w:val="14"/>
          <w:lang w:val="pt-BR"/>
        </w:rPr>
        <w:t>julio</w:t>
      </w:r>
      <w:proofErr w:type="spellEnd"/>
      <w:r w:rsidRPr="00092450">
        <w:rPr>
          <w:rFonts w:ascii="Verdana" w:hAnsi="Verdana" w:cs="Arial"/>
          <w:sz w:val="14"/>
          <w:szCs w:val="14"/>
          <w:lang w:val="pt-BR"/>
        </w:rPr>
        <w:t xml:space="preserve"> de 2003; C-652 de 5 de agosto de 2003, expediente: D-4330; C-353 de 20 de </w:t>
      </w:r>
      <w:proofErr w:type="spellStart"/>
      <w:r w:rsidRPr="00092450">
        <w:rPr>
          <w:rFonts w:ascii="Verdana" w:hAnsi="Verdana" w:cs="Arial"/>
          <w:sz w:val="14"/>
          <w:szCs w:val="14"/>
          <w:lang w:val="pt-BR"/>
        </w:rPr>
        <w:t>mayo</w:t>
      </w:r>
      <w:proofErr w:type="spellEnd"/>
      <w:r w:rsidRPr="00092450">
        <w:rPr>
          <w:rFonts w:ascii="Verdana" w:hAnsi="Verdana" w:cs="Arial"/>
          <w:sz w:val="14"/>
          <w:szCs w:val="14"/>
          <w:lang w:val="pt-BR"/>
        </w:rPr>
        <w:t xml:space="preserve"> de 2009, expediente: D-7518, C-541 de 30 de </w:t>
      </w:r>
      <w:proofErr w:type="spellStart"/>
      <w:r w:rsidRPr="00092450">
        <w:rPr>
          <w:rFonts w:ascii="Verdana" w:hAnsi="Verdana" w:cs="Arial"/>
          <w:sz w:val="14"/>
          <w:szCs w:val="14"/>
          <w:lang w:val="pt-BR"/>
        </w:rPr>
        <w:t>junio</w:t>
      </w:r>
      <w:proofErr w:type="spellEnd"/>
      <w:r w:rsidRPr="00092450">
        <w:rPr>
          <w:rFonts w:ascii="Verdana" w:hAnsi="Verdana" w:cs="Arial"/>
          <w:sz w:val="14"/>
          <w:szCs w:val="14"/>
          <w:lang w:val="pt-BR"/>
        </w:rPr>
        <w:t xml:space="preserve"> de 2010, expediente: DD7966; entre </w:t>
      </w:r>
      <w:proofErr w:type="spellStart"/>
      <w:r w:rsidRPr="00092450">
        <w:rPr>
          <w:rFonts w:ascii="Verdana" w:hAnsi="Verdana" w:cs="Arial"/>
          <w:sz w:val="14"/>
          <w:szCs w:val="14"/>
          <w:lang w:val="pt-BR"/>
        </w:rPr>
        <w:t>otras</w:t>
      </w:r>
      <w:proofErr w:type="spellEnd"/>
      <w:r w:rsidRPr="00092450">
        <w:rPr>
          <w:rFonts w:ascii="Verdana" w:hAnsi="Verdana" w:cs="Arial"/>
          <w:sz w:val="14"/>
          <w:szCs w:val="14"/>
          <w:lang w:val="pt-BR"/>
        </w:rPr>
        <w:t>.</w:t>
      </w:r>
    </w:p>
  </w:footnote>
  <w:footnote w:id="5">
    <w:p w14:paraId="1F11910A" w14:textId="77777777" w:rsidR="00B91631" w:rsidRPr="00092450" w:rsidRDefault="00B91631" w:rsidP="00B91631">
      <w:pPr>
        <w:pStyle w:val="Textonotapie"/>
        <w:ind w:firstLine="709"/>
        <w:contextualSpacing/>
        <w:jc w:val="both"/>
        <w:rPr>
          <w:rFonts w:ascii="Verdana" w:hAnsi="Verdana" w:cs="Arial"/>
          <w:sz w:val="14"/>
          <w:szCs w:val="14"/>
          <w:lang w:val="es-CO"/>
        </w:rPr>
      </w:pPr>
      <w:r w:rsidRPr="00092450">
        <w:rPr>
          <w:rStyle w:val="Refdenotaalpie"/>
          <w:rFonts w:ascii="Verdana" w:hAnsi="Verdana" w:cs="Arial"/>
          <w:sz w:val="14"/>
          <w:szCs w:val="14"/>
        </w:rPr>
        <w:footnoteRef/>
      </w:r>
      <w:r w:rsidRPr="00092450">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7FF5E5F3" w14:textId="77777777" w:rsidR="00B91631" w:rsidRPr="0016660C" w:rsidRDefault="00B91631" w:rsidP="00B91631">
      <w:pPr>
        <w:pStyle w:val="Textonotapie"/>
        <w:ind w:firstLine="708"/>
        <w:contextualSpacing/>
        <w:jc w:val="both"/>
        <w:rPr>
          <w:rFonts w:ascii="Verdana" w:hAnsi="Verdana" w:cs="Arial"/>
          <w:sz w:val="16"/>
          <w:szCs w:val="16"/>
        </w:rPr>
      </w:pPr>
      <w:r w:rsidRPr="00092450">
        <w:rPr>
          <w:rStyle w:val="Refdenotaalpie"/>
          <w:rFonts w:ascii="Verdana" w:hAnsi="Verdana" w:cs="Arial"/>
          <w:sz w:val="14"/>
          <w:szCs w:val="14"/>
        </w:rPr>
        <w:footnoteRef/>
      </w:r>
      <w:r w:rsidRPr="00092450">
        <w:rPr>
          <w:rFonts w:ascii="Verdana" w:hAnsi="Verdana" w:cs="Arial"/>
          <w:sz w:val="14"/>
          <w:szCs w:val="14"/>
        </w:rPr>
        <w:t xml:space="preserve"> Consejo de Estado, Sala de Consulta y Servicio Civil de fecha 24 de julio de 2013, Rad. 2166, C. P. Álvaro Namén Vargas.</w:t>
      </w:r>
      <w:r w:rsidRPr="0016660C">
        <w:rPr>
          <w:rFonts w:ascii="Verdana" w:hAnsi="Verdana" w:cs="Arial"/>
          <w:sz w:val="16"/>
          <w:szCs w:val="16"/>
        </w:rPr>
        <w:t xml:space="preserve">  </w:t>
      </w:r>
    </w:p>
  </w:footnote>
  <w:footnote w:id="7">
    <w:p w14:paraId="178399C2" w14:textId="77777777" w:rsidR="00B91631" w:rsidRPr="0016660C" w:rsidRDefault="00B91631" w:rsidP="00B91631">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2EAE7255" w14:textId="77777777" w:rsidR="00B91631" w:rsidRPr="0016660C" w:rsidRDefault="00B91631" w:rsidP="00B91631">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8">
    <w:p w14:paraId="7564EBF6" w14:textId="77777777" w:rsidR="00B91631" w:rsidRPr="0016660C" w:rsidRDefault="00B91631" w:rsidP="00B91631">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eastAsiaTheme="majorEastAsi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 xml:space="preserve">Artículo 38. Prohibiciones para los servidores públicos. A los empleados del Estado les está prohibido: </w:t>
      </w:r>
      <w:r>
        <w:rPr>
          <w:rFonts w:ascii="Verdana" w:hAnsi="Verdana" w:cs="Arial"/>
          <w:sz w:val="16"/>
          <w:szCs w:val="16"/>
          <w:lang w:val="es-MX"/>
        </w:rPr>
        <w:t>(</w:t>
      </w:r>
      <w:r w:rsidRPr="0016660C">
        <w:rPr>
          <w:rFonts w:ascii="Verdana" w:hAnsi="Verdana" w:cs="Arial"/>
          <w:sz w:val="16"/>
          <w:szCs w:val="16"/>
          <w:lang w:val="es-MX"/>
        </w:rPr>
        <w:t>…</w:t>
      </w:r>
      <w:r>
        <w:rPr>
          <w:rFonts w:ascii="Verdana" w:hAnsi="Verdana" w:cs="Arial"/>
          <w:sz w:val="16"/>
          <w:szCs w:val="16"/>
          <w:lang w:val="es-MX"/>
        </w:rPr>
        <w:t>)</w:t>
      </w:r>
    </w:p>
    <w:p w14:paraId="3BBD2857" w14:textId="77777777" w:rsidR="00B91631" w:rsidRDefault="00B91631" w:rsidP="00B91631">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p w14:paraId="62C161B4" w14:textId="77777777" w:rsidR="00B91631" w:rsidRPr="0016660C" w:rsidRDefault="00B91631" w:rsidP="00B91631">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2FCE16E6" w14:textId="77777777" w:rsidR="00B91631" w:rsidRPr="0016660C" w:rsidRDefault="00B91631" w:rsidP="00B91631">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10514D99" w14:textId="77777777" w:rsidR="00B91631" w:rsidRPr="00B93D47" w:rsidRDefault="00B91631" w:rsidP="00B91631">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Pr>
          <w:rFonts w:ascii="Verdana" w:hAnsi="Verdana" w:cs="Arial"/>
          <w:sz w:val="16"/>
          <w:szCs w:val="16"/>
          <w:lang w:val="es-ES"/>
        </w:rPr>
        <w:t>(</w:t>
      </w:r>
      <w:r w:rsidRPr="00B93D47">
        <w:rPr>
          <w:rFonts w:ascii="Verdana" w:hAnsi="Verdana" w:cs="Arial"/>
          <w:sz w:val="16"/>
          <w:szCs w:val="16"/>
          <w:lang w:val="es-ES"/>
        </w:rPr>
        <w:t>25</w:t>
      </w:r>
      <w:r>
        <w:rPr>
          <w:rFonts w:ascii="Verdana" w:hAnsi="Verdana" w:cs="Arial"/>
          <w:sz w:val="16"/>
          <w:szCs w:val="16"/>
          <w:lang w:val="es-ES"/>
        </w:rPr>
        <w:t>)</w:t>
      </w:r>
      <w:r w:rsidRPr="00B93D47">
        <w:rPr>
          <w:rFonts w:ascii="Verdana" w:hAnsi="Verdana" w:cs="Arial"/>
          <w:sz w:val="16"/>
          <w:szCs w:val="16"/>
          <w:lang w:val="es-ES"/>
        </w:rPr>
        <w:t xml:space="preserve"> </w:t>
      </w:r>
      <w:r w:rsidRPr="00B93D47">
        <w:rPr>
          <w:rFonts w:ascii="Verdana" w:hAnsi="Verdana" w:cs="Arial"/>
          <w:sz w:val="16"/>
          <w:szCs w:val="16"/>
        </w:rPr>
        <w:t>Cfr. Consejo de Estado. Sección Tercera. Sentencia de 3 de diciembre de 2007. Radicados: 24.715, 25.206, 25.409, 24.524, 27.834, 25.410, 26.105, 28.244, 31.447 -acumulados-”.</w:t>
      </w:r>
    </w:p>
  </w:footnote>
  <w:footnote w:id="11">
    <w:p w14:paraId="1A1AAA78" w14:textId="77777777" w:rsidR="00B91631" w:rsidRPr="00B93D47" w:rsidRDefault="00B91631" w:rsidP="00B91631">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bookmarkStart w:id="12" w:name="_Hlk74294506"/>
      <w:r w:rsidRPr="00B93D47">
        <w:rPr>
          <w:rFonts w:ascii="Verdana" w:hAnsi="Verdana" w:cs="Arial"/>
          <w:sz w:val="16"/>
          <w:szCs w:val="16"/>
        </w:rPr>
        <w:t>“</w:t>
      </w:r>
      <w:r>
        <w:rPr>
          <w:rFonts w:ascii="Verdana" w:hAnsi="Verdana" w:cs="Arial"/>
          <w:sz w:val="16"/>
          <w:szCs w:val="16"/>
          <w:lang w:val="es-ES"/>
        </w:rPr>
        <w:t>(</w:t>
      </w:r>
      <w:r w:rsidRPr="00B93D47">
        <w:rPr>
          <w:rFonts w:ascii="Verdana" w:hAnsi="Verdana" w:cs="Arial"/>
          <w:sz w:val="16"/>
          <w:szCs w:val="16"/>
          <w:lang w:val="es-ES"/>
        </w:rPr>
        <w:t>26</w:t>
      </w:r>
      <w:r>
        <w:rPr>
          <w:rFonts w:ascii="Verdana" w:hAnsi="Verdana" w:cs="Arial"/>
          <w:sz w:val="16"/>
          <w:szCs w:val="16"/>
          <w:lang w:val="es-ES"/>
        </w:rPr>
        <w:t>)</w:t>
      </w:r>
      <w:r w:rsidRPr="00B93D47">
        <w:rPr>
          <w:rFonts w:ascii="Verdana" w:hAnsi="Verdana" w:cs="Arial"/>
          <w:sz w:val="16"/>
          <w:szCs w:val="16"/>
          <w:lang w:val="es-ES"/>
        </w:rPr>
        <w:t xml:space="preserve"> </w:t>
      </w:r>
      <w:bookmarkEnd w:id="12"/>
      <w:r w:rsidRPr="00B93D47">
        <w:rPr>
          <w:rFonts w:ascii="Verdana" w:hAnsi="Verdana" w:cs="Arial"/>
          <w:sz w:val="16"/>
          <w:szCs w:val="16"/>
        </w:rPr>
        <w:t>Al respecto ver el concepto 1712 de 2 de febrero de 2006. Consejo de Estado Sala de Consulta y Servicio Civil”.</w:t>
      </w:r>
    </w:p>
    <w:p w14:paraId="0C0A86CD" w14:textId="77777777" w:rsidR="00B91631" w:rsidRPr="00B93D47" w:rsidRDefault="00B91631" w:rsidP="00B91631">
      <w:pPr>
        <w:pStyle w:val="Textonotapie"/>
        <w:ind w:right="51" w:firstLine="709"/>
        <w:contextualSpacing/>
        <w:jc w:val="both"/>
        <w:rPr>
          <w:rFonts w:ascii="Verdana" w:hAnsi="Verdana" w:cs="Arial"/>
          <w:sz w:val="16"/>
          <w:szCs w:val="16"/>
        </w:rPr>
      </w:pPr>
    </w:p>
  </w:footnote>
  <w:footnote w:id="12">
    <w:p w14:paraId="0AE22BB6" w14:textId="77777777" w:rsidR="00B91631" w:rsidRPr="00B93D47" w:rsidRDefault="00B91631" w:rsidP="00B91631">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21B3924D" w14:textId="77777777" w:rsidR="00B91631" w:rsidRPr="00B93D47" w:rsidRDefault="00B91631" w:rsidP="00B91631">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Artículo 2. </w:t>
      </w:r>
    </w:p>
  </w:footnote>
  <w:footnote w:id="14">
    <w:p w14:paraId="01005BC2" w14:textId="77777777" w:rsidR="00B91631" w:rsidRPr="00B93D47" w:rsidRDefault="00B91631" w:rsidP="00B91631">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i/>
          <w:sz w:val="16"/>
          <w:szCs w:val="16"/>
          <w:lang w:val="es-ES"/>
        </w:rPr>
        <w:t>Ídem</w:t>
      </w:r>
      <w:r w:rsidRPr="00B93D47">
        <w:rPr>
          <w:rFonts w:ascii="Verdana" w:hAnsi="Verdana" w:cs="Arial"/>
          <w:sz w:val="16"/>
          <w:szCs w:val="16"/>
          <w:lang w:val="es-ES"/>
        </w:rPr>
        <w:t>.</w:t>
      </w:r>
    </w:p>
  </w:footnote>
  <w:footnote w:id="15">
    <w:p w14:paraId="05CCD568" w14:textId="77777777" w:rsidR="00B91631" w:rsidRDefault="00B91631" w:rsidP="00B91631">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w:t>
      </w:r>
      <w:r>
        <w:rPr>
          <w:rFonts w:ascii="Verdana" w:hAnsi="Verdana" w:cs="Arial"/>
          <w:sz w:val="16"/>
          <w:szCs w:val="16"/>
          <w:lang w:val="es-ES"/>
        </w:rPr>
        <w:t>(</w:t>
      </w:r>
      <w:r w:rsidRPr="00B93D47">
        <w:rPr>
          <w:rFonts w:ascii="Verdana" w:hAnsi="Verdana" w:cs="Arial"/>
          <w:sz w:val="16"/>
          <w:szCs w:val="16"/>
          <w:lang w:val="es-ES"/>
        </w:rPr>
        <w:t>…</w:t>
      </w:r>
      <w:r>
        <w:rPr>
          <w:rFonts w:ascii="Verdana" w:hAnsi="Verdana" w:cs="Arial"/>
          <w:sz w:val="16"/>
          <w:szCs w:val="16"/>
          <w:lang w:val="es-ES"/>
        </w:rPr>
        <w:t>)</w:t>
      </w:r>
      <w:r w:rsidRPr="00B93D47">
        <w:rPr>
          <w:rFonts w:ascii="Verdana" w:hAnsi="Verdana" w:cs="Arial"/>
          <w:sz w:val="16"/>
          <w:szCs w:val="16"/>
          <w:lang w:val="es-ES"/>
        </w:rPr>
        <w:t xml:space="preserve"> A este respecto, cabe recordar que el artículo 860 del Código de Comercio regula la licitación en el derecho privado”. </w:t>
      </w:r>
    </w:p>
    <w:p w14:paraId="1E23A58A" w14:textId="77777777" w:rsidR="00B91631" w:rsidRPr="00B93D47" w:rsidRDefault="00B91631" w:rsidP="00B91631">
      <w:pPr>
        <w:pStyle w:val="Textonotapie"/>
        <w:ind w:firstLine="709"/>
        <w:contextualSpacing/>
        <w:jc w:val="both"/>
        <w:rPr>
          <w:rFonts w:ascii="Verdana" w:hAnsi="Verdana" w:cs="Arial"/>
          <w:sz w:val="16"/>
          <w:szCs w:val="16"/>
          <w:lang w:val="es-ES"/>
        </w:rPr>
      </w:pPr>
    </w:p>
  </w:footnote>
  <w:footnote w:id="16">
    <w:p w14:paraId="58926B4B" w14:textId="77777777" w:rsidR="00B91631" w:rsidRPr="00B93D47" w:rsidRDefault="00B91631" w:rsidP="00B91631">
      <w:pPr>
        <w:shd w:val="clear" w:color="auto" w:fill="FFFFFF"/>
        <w:spacing w:after="0" w:line="240" w:lineRule="auto"/>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7">
    <w:p w14:paraId="042AF3BB" w14:textId="77777777" w:rsidR="00B91631" w:rsidRDefault="00B91631" w:rsidP="00B91631">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08 de mayo de 2018. </w:t>
      </w:r>
      <w:proofErr w:type="spellStart"/>
      <w:r w:rsidRPr="00B93D47">
        <w:rPr>
          <w:rFonts w:ascii="Verdana" w:hAnsi="Verdana" w:cs="Arial"/>
          <w:sz w:val="16"/>
          <w:szCs w:val="16"/>
        </w:rPr>
        <w:t>Exp</w:t>
      </w:r>
      <w:proofErr w:type="spellEnd"/>
      <w:r w:rsidRPr="00B93D47">
        <w:rPr>
          <w:rFonts w:ascii="Verdana" w:hAnsi="Verdana" w:cs="Arial"/>
          <w:sz w:val="16"/>
          <w:szCs w:val="16"/>
        </w:rPr>
        <w:t>. 2.382. C.P. Álvaro Namén Vargas.</w:t>
      </w:r>
    </w:p>
    <w:p w14:paraId="7ED4EFB2" w14:textId="77777777" w:rsidR="00B91631" w:rsidRPr="00B93D47" w:rsidRDefault="00B91631" w:rsidP="00B91631">
      <w:pPr>
        <w:pStyle w:val="Textonotapie"/>
        <w:ind w:firstLine="709"/>
        <w:contextualSpacing/>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86F1A" w14:textId="77777777" w:rsidR="006459F8" w:rsidRDefault="006459F8"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FC5AD04" wp14:editId="7D8B3775">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0DB8EDE" wp14:editId="6204D52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B1AF8E2" w14:textId="77777777" w:rsidR="006459F8" w:rsidRDefault="006459F8" w:rsidP="00515FB5">
    <w:pPr>
      <w:pStyle w:val="Encabezado"/>
    </w:pPr>
  </w:p>
  <w:p w14:paraId="14CAD809" w14:textId="77777777" w:rsidR="006459F8" w:rsidRDefault="006459F8" w:rsidP="00515FB5">
    <w:pPr>
      <w:pStyle w:val="Encabezado"/>
    </w:pPr>
  </w:p>
  <w:p w14:paraId="44CE9441" w14:textId="77777777" w:rsidR="006459F8" w:rsidRDefault="006459F8" w:rsidP="00515FB5">
    <w:pPr>
      <w:pStyle w:val="Encabezado"/>
    </w:pPr>
  </w:p>
  <w:p w14:paraId="446C6935" w14:textId="77777777" w:rsidR="006459F8" w:rsidRPr="00515FB5" w:rsidRDefault="006459F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pt;height:11.3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2"/>
  </w:num>
  <w:num w:numId="3" w16cid:durableId="390349800">
    <w:abstractNumId w:val="4"/>
  </w:num>
  <w:num w:numId="4" w16cid:durableId="1452555118">
    <w:abstractNumId w:val="1"/>
  </w:num>
  <w:num w:numId="5" w16cid:durableId="19790637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9F8"/>
    <w:rsid w:val="00060C1D"/>
    <w:rsid w:val="00092450"/>
    <w:rsid w:val="000F5A42"/>
    <w:rsid w:val="001A1D85"/>
    <w:rsid w:val="001F0030"/>
    <w:rsid w:val="00215CEA"/>
    <w:rsid w:val="00223411"/>
    <w:rsid w:val="002615C5"/>
    <w:rsid w:val="0031064E"/>
    <w:rsid w:val="00353302"/>
    <w:rsid w:val="003563DF"/>
    <w:rsid w:val="003D422D"/>
    <w:rsid w:val="00421C91"/>
    <w:rsid w:val="004E016C"/>
    <w:rsid w:val="00510386"/>
    <w:rsid w:val="00532055"/>
    <w:rsid w:val="006459F8"/>
    <w:rsid w:val="006F15A9"/>
    <w:rsid w:val="006F6AD3"/>
    <w:rsid w:val="00895E79"/>
    <w:rsid w:val="008C11FB"/>
    <w:rsid w:val="008D645A"/>
    <w:rsid w:val="008E0C36"/>
    <w:rsid w:val="009855AD"/>
    <w:rsid w:val="00A07260"/>
    <w:rsid w:val="00A12218"/>
    <w:rsid w:val="00A21796"/>
    <w:rsid w:val="00A6061C"/>
    <w:rsid w:val="00A90678"/>
    <w:rsid w:val="00AC2439"/>
    <w:rsid w:val="00B07A38"/>
    <w:rsid w:val="00B91631"/>
    <w:rsid w:val="00B91D30"/>
    <w:rsid w:val="00BB5333"/>
    <w:rsid w:val="00C264FD"/>
    <w:rsid w:val="00C43E61"/>
    <w:rsid w:val="00CE679E"/>
    <w:rsid w:val="00D20E06"/>
    <w:rsid w:val="00D279AA"/>
    <w:rsid w:val="00DA6EBD"/>
    <w:rsid w:val="00E869C6"/>
    <w:rsid w:val="00EE54C6"/>
    <w:rsid w:val="00F7192D"/>
    <w:rsid w:val="00FE031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99C3E"/>
  <w15:chartTrackingRefBased/>
  <w15:docId w15:val="{C8F2247C-8ABF-4120-9A7F-B7099E29A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59F8"/>
    <w:rPr>
      <w:kern w:val="0"/>
      <w14:ligatures w14:val="none"/>
    </w:rPr>
  </w:style>
  <w:style w:type="paragraph" w:styleId="Ttulo1">
    <w:name w:val="heading 1"/>
    <w:basedOn w:val="Normal"/>
    <w:next w:val="Normal"/>
    <w:link w:val="Ttulo1Car"/>
    <w:uiPriority w:val="9"/>
    <w:qFormat/>
    <w:rsid w:val="006459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459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459F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459F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459F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459F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459F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459F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459F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459F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459F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459F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459F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459F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459F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459F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459F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459F8"/>
    <w:rPr>
      <w:rFonts w:eastAsiaTheme="majorEastAsia" w:cstheme="majorBidi"/>
      <w:color w:val="272727" w:themeColor="text1" w:themeTint="D8"/>
    </w:rPr>
  </w:style>
  <w:style w:type="paragraph" w:styleId="Ttulo">
    <w:name w:val="Title"/>
    <w:basedOn w:val="Normal"/>
    <w:next w:val="Normal"/>
    <w:link w:val="TtuloCar"/>
    <w:uiPriority w:val="10"/>
    <w:qFormat/>
    <w:rsid w:val="006459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459F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459F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459F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459F8"/>
    <w:pPr>
      <w:spacing w:before="160"/>
      <w:jc w:val="center"/>
    </w:pPr>
    <w:rPr>
      <w:i/>
      <w:iCs/>
      <w:color w:val="404040" w:themeColor="text1" w:themeTint="BF"/>
    </w:rPr>
  </w:style>
  <w:style w:type="character" w:customStyle="1" w:styleId="CitaCar">
    <w:name w:val="Cita Car"/>
    <w:basedOn w:val="Fuentedeprrafopredeter"/>
    <w:link w:val="Cita"/>
    <w:uiPriority w:val="29"/>
    <w:rsid w:val="006459F8"/>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6459F8"/>
    <w:pPr>
      <w:ind w:left="720"/>
      <w:contextualSpacing/>
    </w:pPr>
  </w:style>
  <w:style w:type="character" w:styleId="nfasisintenso">
    <w:name w:val="Intense Emphasis"/>
    <w:basedOn w:val="Fuentedeprrafopredeter"/>
    <w:uiPriority w:val="21"/>
    <w:qFormat/>
    <w:rsid w:val="006459F8"/>
    <w:rPr>
      <w:i/>
      <w:iCs/>
      <w:color w:val="0F4761" w:themeColor="accent1" w:themeShade="BF"/>
    </w:rPr>
  </w:style>
  <w:style w:type="paragraph" w:styleId="Citadestacada">
    <w:name w:val="Intense Quote"/>
    <w:basedOn w:val="Normal"/>
    <w:next w:val="Normal"/>
    <w:link w:val="CitadestacadaCar"/>
    <w:uiPriority w:val="30"/>
    <w:qFormat/>
    <w:rsid w:val="006459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459F8"/>
    <w:rPr>
      <w:i/>
      <w:iCs/>
      <w:color w:val="0F4761" w:themeColor="accent1" w:themeShade="BF"/>
    </w:rPr>
  </w:style>
  <w:style w:type="character" w:styleId="Referenciaintensa">
    <w:name w:val="Intense Reference"/>
    <w:basedOn w:val="Fuentedeprrafopredeter"/>
    <w:uiPriority w:val="32"/>
    <w:qFormat/>
    <w:rsid w:val="006459F8"/>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45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459F8"/>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6459F8"/>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459F8"/>
    <w:rPr>
      <w:vertAlign w:val="superscript"/>
    </w:rPr>
  </w:style>
  <w:style w:type="paragraph" w:customStyle="1" w:styleId="Appelnotedebasde">
    <w:name w:val="Appel note de bas de..."/>
    <w:basedOn w:val="Normal"/>
    <w:link w:val="Refdenotaalpie"/>
    <w:uiPriority w:val="99"/>
    <w:rsid w:val="006459F8"/>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6459F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459F8"/>
    <w:rPr>
      <w:kern w:val="0"/>
      <w14:ligatures w14:val="none"/>
    </w:rPr>
  </w:style>
  <w:style w:type="paragraph" w:styleId="Piedepgina">
    <w:name w:val="footer"/>
    <w:basedOn w:val="Normal"/>
    <w:link w:val="PiedepginaCar"/>
    <w:uiPriority w:val="99"/>
    <w:unhideWhenUsed/>
    <w:rsid w:val="006459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459F8"/>
    <w:rPr>
      <w:kern w:val="0"/>
      <w14:ligatures w14:val="none"/>
    </w:rPr>
  </w:style>
  <w:style w:type="table" w:styleId="Tablaconcuadrcula">
    <w:name w:val="Table Grid"/>
    <w:basedOn w:val="Tablanormal"/>
    <w:uiPriority w:val="39"/>
    <w:qFormat/>
    <w:rsid w:val="006459F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459F8"/>
    <w:rPr>
      <w:color w:val="467886" w:themeColor="hyperlink"/>
      <w:u w:val="single"/>
    </w:rPr>
  </w:style>
  <w:style w:type="character" w:customStyle="1" w:styleId="normaltextrun">
    <w:name w:val="normaltextrun"/>
    <w:basedOn w:val="Fuentedeprrafopredeter"/>
    <w:rsid w:val="006459F8"/>
  </w:style>
  <w:style w:type="character" w:customStyle="1" w:styleId="eop">
    <w:name w:val="eop"/>
    <w:basedOn w:val="Fuentedeprrafopredeter"/>
    <w:rsid w:val="006459F8"/>
  </w:style>
  <w:style w:type="paragraph" w:customStyle="1" w:styleId="paragraph">
    <w:name w:val="paragraph"/>
    <w:basedOn w:val="Normal"/>
    <w:rsid w:val="006459F8"/>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459F8"/>
  </w:style>
  <w:style w:type="paragraph" w:styleId="NormalWeb">
    <w:name w:val="Normal (Web)"/>
    <w:basedOn w:val="Normal"/>
    <w:link w:val="NormalWebCar"/>
    <w:uiPriority w:val="99"/>
    <w:unhideWhenUsed/>
    <w:rsid w:val="006459F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6459F8"/>
    <w:rPr>
      <w:rFonts w:ascii="Times New Roman" w:eastAsia="Times New Roman" w:hAnsi="Times New Roman" w:cs="Times New Roman"/>
      <w:kern w:val="0"/>
      <w:sz w:val="24"/>
      <w:szCs w:val="24"/>
      <w:lang w:eastAsia="es-CO"/>
      <w14:ligatures w14:val="none"/>
    </w:rPr>
  </w:style>
  <w:style w:type="paragraph" w:styleId="Sinespaciado">
    <w:name w:val="No Spacing"/>
    <w:aliases w:val="No Indent"/>
    <w:uiPriority w:val="3"/>
    <w:qFormat/>
    <w:rsid w:val="006459F8"/>
    <w:pPr>
      <w:spacing w:after="0" w:line="240" w:lineRule="auto"/>
    </w:pPr>
    <w:rPr>
      <w:kern w:val="0"/>
      <w:sz w:val="24"/>
      <w:lang w:val="es-MX"/>
      <w14:ligatures w14:val="none"/>
    </w:rPr>
  </w:style>
  <w:style w:type="character" w:customStyle="1" w:styleId="baj">
    <w:name w:val="b_aj"/>
    <w:basedOn w:val="Fuentedeprrafopredeter"/>
    <w:rsid w:val="00B91631"/>
  </w:style>
  <w:style w:type="character" w:styleId="Mencinsinresolver">
    <w:name w:val="Unresolved Mention"/>
    <w:basedOn w:val="Fuentedeprrafopredeter"/>
    <w:uiPriority w:val="99"/>
    <w:semiHidden/>
    <w:unhideWhenUsed/>
    <w:rsid w:val="00A606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fgutierrezfe@sena.edu.co" TargetMode="Externa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2.png"/><Relationship Id="rId12"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normativa-y-relatoria/documentos-tipo"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formacionvirtual.colombiacompra.gov.co/mod/page/view.php?id=3718"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https://www.colombiacompra.gov.co/wpcontent/uploads/2024/08/circular_externa_unica_version_3_vf49.pdf" TargetMode="Externa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16D854F-A6DA-4B35-AB12-3F09620E5AE7}"/>
</file>

<file path=customXml/itemProps2.xml><?xml version="1.0" encoding="utf-8"?>
<ds:datastoreItem xmlns:ds="http://schemas.openxmlformats.org/officeDocument/2006/customXml" ds:itemID="{C7E5329E-B51D-439A-98D1-A5F4FA25F0B8}"/>
</file>

<file path=customXml/itemProps3.xml><?xml version="1.0" encoding="utf-8"?>
<ds:datastoreItem xmlns:ds="http://schemas.openxmlformats.org/officeDocument/2006/customXml" ds:itemID="{4CEABE58-5ECD-4F26-9418-E842CB9CA471}"/>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367</TotalTime>
  <Pages>18</Pages>
  <Words>5463</Words>
  <Characters>29670</Characters>
  <Application>Microsoft Office Word</Application>
  <DocSecurity>0</DocSecurity>
  <Lines>605</Lines>
  <Paragraphs>121</Paragraphs>
  <ScaleCrop>false</ScaleCrop>
  <Company/>
  <LinksUpToDate>false</LinksUpToDate>
  <CharactersWithSpaces>35012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35</cp:revision>
  <dcterms:created xsi:type="dcterms:W3CDTF">2026-02-24T15:26:00Z</dcterms:created>
  <dcterms:modified xsi:type="dcterms:W3CDTF">2026-03-03T21:34:00Z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