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E93FC9" w14:textId="77777777" w:rsidR="004B3306" w:rsidRPr="00EB4645" w:rsidRDefault="004B3306" w:rsidP="004B3306">
      <w:pPr>
        <w:spacing w:after="0" w:line="240" w:lineRule="auto"/>
        <w:jc w:val="both"/>
        <w:rPr>
          <w:rFonts w:ascii="Verdana" w:hAnsi="Verdana"/>
          <w:b/>
        </w:rPr>
      </w:pPr>
      <w:r w:rsidRPr="00EB4645">
        <w:rPr>
          <w:rFonts w:ascii="Verdana" w:eastAsia="Arial" w:hAnsi="Verdana" w:cs="Arial"/>
          <w:b/>
          <w:lang w:val="es-ES"/>
        </w:rPr>
        <w:t>PRINCIPIO DE PUBLICIDAD – Concepto – Fundamento axiológico – Fundamento constitucional</w:t>
      </w:r>
    </w:p>
    <w:p w14:paraId="7340DA52" w14:textId="77777777" w:rsidR="004B3306" w:rsidRPr="00EB4645" w:rsidRDefault="004B3306" w:rsidP="004B3306">
      <w:pPr>
        <w:spacing w:after="0" w:line="240" w:lineRule="auto"/>
        <w:jc w:val="both"/>
        <w:rPr>
          <w:rFonts w:ascii="Verdana" w:hAnsi="Verdana"/>
          <w:sz w:val="20"/>
          <w:szCs w:val="20"/>
        </w:rPr>
      </w:pPr>
    </w:p>
    <w:p w14:paraId="1A046B3F" w14:textId="77777777" w:rsidR="004B3306" w:rsidRDefault="004B3306" w:rsidP="004B3306">
      <w:pPr>
        <w:spacing w:after="0" w:line="240" w:lineRule="auto"/>
        <w:jc w:val="both"/>
        <w:rPr>
          <w:rFonts w:ascii="Verdana" w:eastAsia="Times New Roman" w:hAnsi="Verdana" w:cs="Arial"/>
          <w:sz w:val="20"/>
          <w:szCs w:val="20"/>
          <w:lang w:val="es-ES" w:eastAsia="es-ES"/>
          <w14:ligatures w14:val="standardContextual"/>
        </w:rPr>
      </w:pPr>
      <w:r w:rsidRPr="00EB4645">
        <w:rPr>
          <w:rFonts w:ascii="Verdana" w:eastAsia="Times New Roman" w:hAnsi="Verdana" w:cs="Arial"/>
          <w:sz w:val="20"/>
          <w:szCs w:val="20"/>
          <w:lang w:val="es-ES" w:eastAsia="es-ES"/>
          <w14:ligatures w14:val="standardContextual"/>
        </w:rPr>
        <w:t xml:space="preserve">Uno de los postulados más importantes de un Estado Social y Democrático de Derecho es el principio de </w:t>
      </w:r>
      <w:r w:rsidRPr="00EB4645">
        <w:rPr>
          <w:rFonts w:ascii="Verdana" w:eastAsia="Times New Roman" w:hAnsi="Verdana" w:cs="Arial"/>
          <w:i/>
          <w:iCs/>
          <w:sz w:val="20"/>
          <w:szCs w:val="20"/>
          <w:lang w:val="es-ES" w:eastAsia="es-ES"/>
          <w14:ligatures w14:val="standardContextual"/>
        </w:rPr>
        <w:t>publicidad</w:t>
      </w:r>
      <w:r w:rsidRPr="00EB4645">
        <w:rPr>
          <w:rFonts w:ascii="Verdana" w:eastAsia="Times New Roman" w:hAnsi="Verdana" w:cs="Arial"/>
          <w:sz w:val="20"/>
          <w:szCs w:val="20"/>
          <w:lang w:val="es-ES" w:eastAsia="es-ES"/>
          <w14:ligatures w14:val="standardContextual"/>
        </w:rPr>
        <w:t xml:space="preserve">, pues este permite que las actuaciones de las autoridades gocen de visibilidad. En tal sentido, la filosofía política ha indicado que la democracia “[…] es idealmente el gobierno de un poder visible, es decir, el gobierno cuyos actos se realizan ante el público y bajo la supervisión de la opinión pública”. El secreto generalizado en el ejercicio del poder político constituye, por el contrario, una negación de la democracia, porque dificulta la supervisión de las autoridades por parte de la sociedad civil y establece una barrera para la participación ciudadana. Inspirada en esta concepción axiológica, en los Estados de derecho se pregona la publicidad de las actuaciones de los poderes públicos. </w:t>
      </w:r>
    </w:p>
    <w:p w14:paraId="36931DE3" w14:textId="77777777" w:rsidR="004B3306" w:rsidRPr="00EB4645" w:rsidRDefault="004B3306" w:rsidP="004B3306">
      <w:pPr>
        <w:spacing w:after="0" w:line="240" w:lineRule="auto"/>
        <w:jc w:val="both"/>
        <w:rPr>
          <w:rFonts w:ascii="Verdana" w:eastAsia="Times New Roman" w:hAnsi="Verdana" w:cs="Arial"/>
          <w:sz w:val="20"/>
          <w:szCs w:val="20"/>
          <w:lang w:val="es-ES" w:eastAsia="es-ES"/>
          <w14:ligatures w14:val="standardContextual"/>
        </w:rPr>
      </w:pPr>
    </w:p>
    <w:p w14:paraId="44EE6AAD" w14:textId="77777777" w:rsidR="004B3306" w:rsidRDefault="004B3306" w:rsidP="004B3306">
      <w:pPr>
        <w:spacing w:after="0" w:line="240" w:lineRule="auto"/>
        <w:jc w:val="both"/>
        <w:rPr>
          <w:rFonts w:ascii="Verdana" w:eastAsia="Times New Roman" w:hAnsi="Verdana" w:cs="Arial"/>
          <w:sz w:val="20"/>
          <w:szCs w:val="20"/>
          <w:lang w:val="es-ES" w:eastAsia="es-ES"/>
          <w14:ligatures w14:val="standardContextual"/>
        </w:rPr>
      </w:pPr>
      <w:r w:rsidRPr="00EB4645">
        <w:rPr>
          <w:rFonts w:ascii="Verdana" w:eastAsia="Times New Roman" w:hAnsi="Verdana" w:cs="Arial"/>
          <w:sz w:val="20"/>
          <w:szCs w:val="20"/>
          <w:lang w:val="es-ES" w:eastAsia="es-ES"/>
          <w14:ligatures w14:val="standardContextual"/>
        </w:rPr>
        <w:t>Como evidencia de ello,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74, que consagra la garantía de acceso a los documentos públicos que no gocen de reserva –y esta, además, es excepcional, pues solo procede si existe causal constitucional o legal expresa–.</w:t>
      </w:r>
    </w:p>
    <w:p w14:paraId="097F4731" w14:textId="77777777" w:rsidR="004B3306" w:rsidRPr="00EB4645" w:rsidRDefault="004B3306" w:rsidP="004B3306">
      <w:pPr>
        <w:spacing w:after="0" w:line="240" w:lineRule="auto"/>
        <w:jc w:val="both"/>
        <w:rPr>
          <w:rFonts w:ascii="Verdana" w:hAnsi="Verdana"/>
          <w:sz w:val="20"/>
          <w:szCs w:val="20"/>
        </w:rPr>
      </w:pPr>
    </w:p>
    <w:p w14:paraId="72DADC31" w14:textId="77777777" w:rsidR="004B3306" w:rsidRDefault="004B3306" w:rsidP="004B3306">
      <w:pPr>
        <w:spacing w:after="0" w:line="240" w:lineRule="auto"/>
        <w:jc w:val="both"/>
        <w:rPr>
          <w:rFonts w:ascii="Verdana" w:hAnsi="Verdana"/>
          <w:b/>
          <w:bCs/>
          <w:lang w:val="es-ES_tradnl"/>
        </w:rPr>
      </w:pPr>
      <w:r w:rsidRPr="00EB4645">
        <w:rPr>
          <w:rFonts w:ascii="Verdana" w:hAnsi="Verdana"/>
          <w:b/>
          <w:bCs/>
          <w:lang w:val="es-ES_tradnl"/>
        </w:rPr>
        <w:t>PRINCIPIO DE PUBLICIDAD – SECOP – Documentos del proceso – Deber de publicación</w:t>
      </w:r>
    </w:p>
    <w:p w14:paraId="513E493F" w14:textId="77777777" w:rsidR="004B3306" w:rsidRDefault="004B3306" w:rsidP="004B3306">
      <w:pPr>
        <w:spacing w:after="0" w:line="240" w:lineRule="auto"/>
        <w:rPr>
          <w:rFonts w:ascii="Verdana" w:hAnsi="Verdana"/>
          <w:b/>
          <w:bCs/>
          <w:lang w:val="es-ES_tradnl"/>
        </w:rPr>
      </w:pPr>
    </w:p>
    <w:p w14:paraId="5D8CE30E" w14:textId="77777777" w:rsidR="004B3306" w:rsidRPr="0042686B" w:rsidRDefault="004B3306" w:rsidP="004B3306">
      <w:pPr>
        <w:spacing w:after="0" w:line="240" w:lineRule="auto"/>
        <w:jc w:val="both"/>
        <w:rPr>
          <w:rFonts w:ascii="Verdana" w:eastAsia="Times New Roman" w:hAnsi="Verdana" w:cs="Arial"/>
          <w:sz w:val="20"/>
          <w:szCs w:val="20"/>
          <w:lang w:val="es-ES_tradnl" w:eastAsia="es-ES_tradnl"/>
          <w14:ligatures w14:val="standardContextual"/>
        </w:rPr>
      </w:pPr>
      <w:r w:rsidRPr="0042686B">
        <w:rPr>
          <w:rFonts w:ascii="Verdana" w:eastAsia="Times New Roman" w:hAnsi="Verdana" w:cs="Arial"/>
          <w:sz w:val="20"/>
          <w:szCs w:val="20"/>
          <w:lang w:val="es-ES_tradnl" w:eastAsia="es-ES_tradnl"/>
          <w14:ligatures w14:val="standardContextual"/>
        </w:rPr>
        <w:t xml:space="preserve">El derecho de acceso a la información pública o de interés público permite a toda persona, sin necesidad de acreditar calidad, interés o condición particular, conocer la existencia de información pública, acceder a la misma y difundirla o publicarla, según su interés. En ese contexto, las Entidades Estatales, conforme al artículo 2.2.1.1.1.7.1 del Decreto 1082 de 2015, tienen la obligación de publicar en el SECOP “[…] los Documentos del Proceso y los actos administrativos del Proceso de Contratación, </w:t>
      </w:r>
      <w:r w:rsidRPr="0042686B">
        <w:rPr>
          <w:rFonts w:ascii="Verdana" w:eastAsia="Times New Roman" w:hAnsi="Verdana" w:cs="Arial"/>
          <w:i/>
          <w:iCs/>
          <w:sz w:val="20"/>
          <w:szCs w:val="20"/>
          <w:lang w:val="es-ES_tradnl" w:eastAsia="es-ES_tradnl"/>
          <w14:ligatures w14:val="standardContextual"/>
        </w:rPr>
        <w:t>dentro de los tres (3) días siguientes a su expedición</w:t>
      </w:r>
      <w:r w:rsidRPr="0042686B">
        <w:rPr>
          <w:rFonts w:ascii="Verdana" w:eastAsia="Times New Roman" w:hAnsi="Verdana" w:cs="Arial"/>
          <w:sz w:val="20"/>
          <w:szCs w:val="20"/>
          <w:lang w:val="es-ES_tradnl" w:eastAsia="es-ES_tradnl"/>
          <w14:ligatures w14:val="standardContextual"/>
        </w:rPr>
        <w:t xml:space="preserve"> […]” (Énfasis fuera del texto original).</w:t>
      </w:r>
    </w:p>
    <w:p w14:paraId="00EF82E1" w14:textId="77777777" w:rsidR="004B3306" w:rsidRDefault="004B3306" w:rsidP="004B3306">
      <w:pPr>
        <w:tabs>
          <w:tab w:val="left" w:pos="709"/>
        </w:tabs>
        <w:spacing w:after="0" w:line="240" w:lineRule="auto"/>
        <w:jc w:val="both"/>
        <w:rPr>
          <w:rFonts w:ascii="Verdana" w:hAnsi="Verdana" w:cs="Arial"/>
          <w:sz w:val="20"/>
          <w:szCs w:val="20"/>
          <w:shd w:val="clear" w:color="auto" w:fill="FFFFFF"/>
        </w:rPr>
      </w:pPr>
    </w:p>
    <w:p w14:paraId="7F7CAFB3" w14:textId="77777777" w:rsidR="004B3306" w:rsidRPr="0042686B" w:rsidRDefault="004B3306" w:rsidP="004B3306">
      <w:pPr>
        <w:tabs>
          <w:tab w:val="left" w:pos="709"/>
        </w:tabs>
        <w:spacing w:after="0" w:line="240" w:lineRule="auto"/>
        <w:jc w:val="both"/>
        <w:rPr>
          <w:rFonts w:ascii="Verdana" w:hAnsi="Verdana" w:cs="Arial"/>
          <w:sz w:val="20"/>
          <w:szCs w:val="20"/>
          <w:shd w:val="clear" w:color="auto" w:fill="FFFFFF"/>
        </w:rPr>
      </w:pPr>
      <w:r w:rsidRPr="0042686B">
        <w:rPr>
          <w:rFonts w:ascii="Verdana" w:hAnsi="Verdana" w:cs="Arial"/>
          <w:sz w:val="20"/>
          <w:szCs w:val="20"/>
          <w:shd w:val="clear" w:color="auto" w:fill="FFFFFF"/>
        </w:rPr>
        <w:t xml:space="preserve">La expresión </w:t>
      </w:r>
      <w:r w:rsidRPr="0042686B">
        <w:rPr>
          <w:rFonts w:ascii="Verdana" w:hAnsi="Verdana" w:cs="Arial"/>
          <w:i/>
          <w:iCs/>
          <w:sz w:val="20"/>
          <w:szCs w:val="20"/>
          <w:shd w:val="clear" w:color="auto" w:fill="FFFFFF"/>
        </w:rPr>
        <w:t xml:space="preserve">Documentos del Proceso </w:t>
      </w:r>
      <w:r w:rsidRPr="0042686B">
        <w:rPr>
          <w:rFonts w:ascii="Verdana" w:hAnsi="Verdana" w:cs="Arial"/>
          <w:sz w:val="20"/>
          <w:szCs w:val="20"/>
          <w:shd w:val="clear" w:color="auto" w:fill="FFFFFF"/>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42686B">
        <w:rPr>
          <w:rFonts w:ascii="Verdana" w:hAnsi="Verdana" w:cs="Arial"/>
          <w:i/>
          <w:iCs/>
          <w:sz w:val="20"/>
          <w:szCs w:val="20"/>
          <w:shd w:val="clear" w:color="auto" w:fill="FFFFFF"/>
        </w:rPr>
        <w:t>y cualquier otro documento expedido por la Entidad Estatal durante el Proceso de Contratación</w:t>
      </w:r>
      <w:r w:rsidRPr="0042686B">
        <w:rPr>
          <w:rFonts w:ascii="Verdana" w:hAnsi="Verdana" w:cs="Arial"/>
          <w:sz w:val="20"/>
          <w:szCs w:val="20"/>
          <w:shd w:val="clear" w:color="auto" w:fill="FFFFFF"/>
        </w:rPr>
        <w:t xml:space="preserve">”. (Énfasis fuera de texto).Sin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r w:rsidRPr="0042686B">
        <w:rPr>
          <w:rFonts w:ascii="Verdana" w:hAnsi="Verdana" w:cs="Arial"/>
          <w:i/>
          <w:iCs/>
          <w:sz w:val="20"/>
          <w:szCs w:val="20"/>
          <w:shd w:val="clear" w:color="auto" w:fill="FFFFFF"/>
        </w:rPr>
        <w:t>Ibidem</w:t>
      </w:r>
      <w:r w:rsidRPr="0042686B">
        <w:rPr>
          <w:rFonts w:ascii="Verdana" w:hAnsi="Verdana" w:cs="Arial"/>
          <w:sz w:val="20"/>
          <w:szCs w:val="20"/>
          <w:shd w:val="clear" w:color="auto" w:fill="FFFFFF"/>
        </w:rPr>
        <w:t xml:space="preserve"> recoge en la </w:t>
      </w:r>
      <w:r w:rsidRPr="0042686B">
        <w:rPr>
          <w:rFonts w:ascii="Verdana" w:hAnsi="Verdana" w:cs="Arial"/>
          <w:sz w:val="20"/>
          <w:szCs w:val="20"/>
          <w:shd w:val="clear" w:color="auto" w:fill="FFFFFF"/>
        </w:rPr>
        <w:lastRenderedPageBreak/>
        <w:t xml:space="preserve">noción de Documentos del Proceso “cualquier otro documento expedido por la Entidad Estatal durante el Proceso de Contratación”. </w:t>
      </w:r>
    </w:p>
    <w:p w14:paraId="6D6D6E8C" w14:textId="77777777" w:rsidR="004B3306" w:rsidRDefault="004B3306" w:rsidP="004B3306">
      <w:pPr>
        <w:tabs>
          <w:tab w:val="left" w:pos="709"/>
        </w:tabs>
        <w:spacing w:after="0" w:line="240" w:lineRule="auto"/>
        <w:jc w:val="both"/>
        <w:rPr>
          <w:rFonts w:ascii="Verdana" w:hAnsi="Verdana" w:cs="Arial"/>
          <w:sz w:val="20"/>
          <w:szCs w:val="20"/>
          <w:shd w:val="clear" w:color="auto" w:fill="FFFFFF"/>
        </w:rPr>
      </w:pPr>
    </w:p>
    <w:p w14:paraId="1A36D44B" w14:textId="77777777" w:rsidR="004B3306" w:rsidRPr="0042686B" w:rsidRDefault="004B3306" w:rsidP="004B3306">
      <w:pPr>
        <w:tabs>
          <w:tab w:val="left" w:pos="709"/>
        </w:tabs>
        <w:spacing w:after="0" w:line="240" w:lineRule="auto"/>
        <w:jc w:val="both"/>
        <w:rPr>
          <w:rFonts w:ascii="Verdana" w:hAnsi="Verdana" w:cs="Arial"/>
          <w:sz w:val="20"/>
          <w:szCs w:val="20"/>
          <w:shd w:val="clear" w:color="auto" w:fill="FFFFFF"/>
        </w:rPr>
      </w:pPr>
      <w:r w:rsidRPr="0042686B">
        <w:rPr>
          <w:rFonts w:ascii="Verdana" w:hAnsi="Verdana" w:cs="Arial"/>
          <w:sz w:val="20"/>
          <w:szCs w:val="20"/>
          <w:shd w:val="clear" w:color="auto" w:fill="FFFFFF"/>
        </w:rPr>
        <w:t>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se refiere a los documentos “expedidos por la entidad estatal” durante el Proceso de Contratación, excluyendo de la noción de Documentos del Proceso los expedidos por un sujeto distinto a la entidad, salvo la oferta, la cual se incluye expresamente en el referido artículo 2.2.1.1.1.3.</w:t>
      </w:r>
      <w:r>
        <w:rPr>
          <w:rFonts w:ascii="Verdana" w:hAnsi="Verdana" w:cs="Arial"/>
          <w:sz w:val="20"/>
          <w:szCs w:val="20"/>
          <w:shd w:val="clear" w:color="auto" w:fill="FFFFFF"/>
        </w:rPr>
        <w:t xml:space="preserve"> </w:t>
      </w:r>
      <w:r w:rsidRPr="0042686B">
        <w:rPr>
          <w:rFonts w:ascii="Verdana" w:hAnsi="Verdana" w:cs="Arial"/>
          <w:sz w:val="20"/>
          <w:szCs w:val="20"/>
          <w:shd w:val="clear" w:color="auto" w:fill="FFFFFF"/>
        </w:rPr>
        <w:t xml:space="preserve">En ese sentido, la interpretación sistemática de los preceptos del Decreto 1082 de 2015, de acuerdo con el principio de publicidad, inicialmente, indica que las Entidades Estatales tienen la obligación de publicar todos los documentos que expidan con ocasión del Proceso de Contratación, es decir, que todos los documentos expedidos por la entidad durante las etapas precontractual, de ejecución y </w:t>
      </w:r>
      <w:proofErr w:type="spellStart"/>
      <w:r w:rsidRPr="0042686B">
        <w:rPr>
          <w:rFonts w:ascii="Verdana" w:hAnsi="Verdana" w:cs="Arial"/>
          <w:sz w:val="20"/>
          <w:szCs w:val="20"/>
          <w:shd w:val="clear" w:color="auto" w:fill="FFFFFF"/>
        </w:rPr>
        <w:t>postcontractual</w:t>
      </w:r>
      <w:proofErr w:type="spellEnd"/>
      <w:r w:rsidRPr="0042686B">
        <w:rPr>
          <w:rFonts w:ascii="Verdana" w:hAnsi="Verdana" w:cs="Arial"/>
          <w:sz w:val="20"/>
          <w:szCs w:val="20"/>
          <w:shd w:val="clear" w:color="auto" w:fill="FFFFFF"/>
        </w:rPr>
        <w:t xml:space="preserve"> deberán publicarse en SECOP dentro de los tres (3) días siguientes a su expedición, para cumplir el deber de publicidad regulado por el artículo 2.2.1.1.1.7.1. del Decreto 1082 de 2015.</w:t>
      </w:r>
    </w:p>
    <w:p w14:paraId="447AF638" w14:textId="77777777" w:rsidR="004B3306" w:rsidRDefault="004B3306" w:rsidP="004B3306">
      <w:pPr>
        <w:spacing w:after="0" w:line="240" w:lineRule="auto"/>
        <w:rPr>
          <w:rFonts w:ascii="Verdana" w:hAnsi="Verdana"/>
          <w:b/>
          <w:bCs/>
          <w:lang w:val="es-ES_tradnl"/>
        </w:rPr>
      </w:pPr>
    </w:p>
    <w:p w14:paraId="3C44AC4B" w14:textId="77777777" w:rsidR="004B3306" w:rsidRDefault="004B3306" w:rsidP="004B3306">
      <w:pPr>
        <w:spacing w:after="0" w:line="240" w:lineRule="auto"/>
        <w:rPr>
          <w:rFonts w:ascii="Verdana" w:hAnsi="Verdana"/>
          <w:b/>
          <w:bCs/>
          <w:lang w:val="es-ES_tradnl"/>
        </w:rPr>
      </w:pPr>
      <w:r w:rsidRPr="00EB4645">
        <w:rPr>
          <w:rFonts w:ascii="Verdana" w:hAnsi="Verdana" w:cs="Arial"/>
          <w:b/>
          <w:bCs/>
          <w:lang w:val="es-ES_tradnl" w:eastAsia="es-ES" w:bidi="es-ES"/>
        </w:rPr>
        <w:t>PRINCIPIO DE PUBLICIDAD – Ámbito de aplicación – Decreto 1081 de 2015 – Decreto 1600 de 2024</w:t>
      </w:r>
    </w:p>
    <w:p w14:paraId="31928CF1" w14:textId="77777777" w:rsidR="004B3306" w:rsidRDefault="004B3306" w:rsidP="004B3306">
      <w:pPr>
        <w:spacing w:after="0" w:line="240" w:lineRule="auto"/>
        <w:rPr>
          <w:rFonts w:ascii="Verdana" w:hAnsi="Verdana"/>
          <w:b/>
          <w:bCs/>
          <w:lang w:val="es-ES_tradnl"/>
        </w:rPr>
      </w:pPr>
    </w:p>
    <w:p w14:paraId="5E35CF44" w14:textId="77777777" w:rsidR="004B3306" w:rsidRPr="0042686B" w:rsidRDefault="004B3306" w:rsidP="004B3306">
      <w:pPr>
        <w:spacing w:after="0" w:line="240" w:lineRule="auto"/>
        <w:jc w:val="both"/>
        <w:rPr>
          <w:rFonts w:ascii="Verdana" w:hAnsi="Verdana"/>
          <w:b/>
          <w:bCs/>
          <w:lang w:val="es-ES_tradnl"/>
        </w:rPr>
      </w:pPr>
      <w:r w:rsidRPr="0042686B">
        <w:rPr>
          <w:rFonts w:ascii="Verdana" w:eastAsia="Calibri" w:hAnsi="Verdana" w:cs="Arial"/>
          <w:bCs/>
          <w:sz w:val="20"/>
          <w:szCs w:val="20"/>
          <w:lang w:eastAsia="es-ES_tradnl"/>
        </w:rPr>
        <w:t xml:space="preserve">En la búsqueda de fortalecer una estrategia de lucha contra la corrupción se expidió el Decreto 1600 de 2024, “Por el cual se modifica el Capítulo 1 y 3 del Título 4 de la Parte 1 del Libro 2 del Decreto número 1081 de 2015, Decreto Reglamentario Único del Sector Presidencia de la República, en lo relacionado con las Subcomisiones Técnicas de la Comisión Nacional de Moralización y la Estrategia Nacional de Lucha Contra la Corrupción”. </w:t>
      </w:r>
    </w:p>
    <w:p w14:paraId="515D5C1D" w14:textId="77777777" w:rsidR="004B3306" w:rsidRDefault="004B3306" w:rsidP="004B3306">
      <w:pPr>
        <w:spacing w:after="0" w:line="240" w:lineRule="auto"/>
        <w:jc w:val="both"/>
        <w:rPr>
          <w:rFonts w:ascii="Verdana" w:eastAsia="Calibri" w:hAnsi="Verdana" w:cs="Arial"/>
          <w:bCs/>
          <w:sz w:val="20"/>
          <w:szCs w:val="20"/>
          <w:lang w:eastAsia="es-ES_tradnl"/>
        </w:rPr>
      </w:pPr>
    </w:p>
    <w:p w14:paraId="05A39A68" w14:textId="77777777" w:rsidR="004B3306" w:rsidRPr="0042686B" w:rsidRDefault="004B3306" w:rsidP="004B3306">
      <w:pPr>
        <w:spacing w:after="0" w:line="240" w:lineRule="auto"/>
        <w:jc w:val="both"/>
        <w:rPr>
          <w:rFonts w:ascii="Verdana" w:eastAsia="Calibri" w:hAnsi="Verdana" w:cs="Arial"/>
          <w:bCs/>
          <w:iCs/>
          <w:sz w:val="20"/>
          <w:szCs w:val="20"/>
          <w:lang w:eastAsia="es-ES_tradnl"/>
        </w:rPr>
      </w:pPr>
      <w:r w:rsidRPr="0042686B">
        <w:rPr>
          <w:rFonts w:ascii="Verdana" w:eastAsia="Calibri" w:hAnsi="Verdana" w:cs="Arial"/>
          <w:bCs/>
          <w:sz w:val="20"/>
          <w:szCs w:val="20"/>
          <w:lang w:eastAsia="es-ES_tradnl"/>
        </w:rPr>
        <w:t xml:space="preserve">El Capítulo 3°, Sección 1°, Título 4°, Parte 1°, Libro 2° del Decreto 1081 de 2015, que fue modificado por el Decreto 1600 de 2024, tiene como objeto: “[…] </w:t>
      </w:r>
      <w:r w:rsidRPr="0042686B">
        <w:rPr>
          <w:rFonts w:ascii="Verdana" w:eastAsia="Calibri" w:hAnsi="Verdana" w:cs="Arial"/>
          <w:bCs/>
          <w:iCs/>
          <w:sz w:val="20"/>
          <w:szCs w:val="20"/>
          <w:lang w:eastAsia="es-ES_tradnl"/>
        </w:rPr>
        <w:t xml:space="preserve">establecer los lineamientos, mecanismos y directrices necesarios para la implementación de la Estrategia Nacional de Lucha contra la Corrupción, con el fin de fortalecer las instituciones democráticas, la confianza ciudadana y el Estado social de derecho, garantizar la protección de los derechos humanos relativos a la protección de los recursos públicos, generar condiciones adecuadas para el desarrollo socioeconómico y protección del medio ambiente. Asimismo, procura fomentar una cultura de revalorización y cuidado de lo público, a través de herramientas de transparencia, fortalecimiento de la veeduría ciudadana, acceso efectivo a la información, participación ciudadana y debida diligencia en la prevención, detección y sanción de hechos de corrupción” -artículo 2.1.4.3.1.1-. </w:t>
      </w:r>
    </w:p>
    <w:p w14:paraId="70674166" w14:textId="77777777" w:rsidR="004B3306" w:rsidRDefault="004B3306" w:rsidP="004B3306">
      <w:pPr>
        <w:spacing w:after="0" w:line="240" w:lineRule="auto"/>
        <w:jc w:val="both"/>
        <w:rPr>
          <w:rFonts w:ascii="Verdana" w:eastAsia="Calibri" w:hAnsi="Verdana" w:cs="Arial"/>
          <w:bCs/>
          <w:iCs/>
          <w:sz w:val="20"/>
          <w:szCs w:val="20"/>
          <w:lang w:eastAsia="es-ES_tradnl"/>
        </w:rPr>
      </w:pPr>
    </w:p>
    <w:p w14:paraId="4444DA0B" w14:textId="77777777" w:rsidR="004B3306" w:rsidRPr="0042686B" w:rsidRDefault="004B3306" w:rsidP="004B3306">
      <w:pPr>
        <w:spacing w:after="0" w:line="240" w:lineRule="auto"/>
        <w:jc w:val="both"/>
        <w:rPr>
          <w:rFonts w:ascii="Verdana" w:eastAsia="Calibri" w:hAnsi="Verdana" w:cs="Arial"/>
          <w:bCs/>
          <w:iCs/>
          <w:sz w:val="20"/>
          <w:szCs w:val="20"/>
          <w:lang w:eastAsia="es-ES_tradnl"/>
        </w:rPr>
      </w:pPr>
      <w:r w:rsidRPr="0042686B">
        <w:rPr>
          <w:rFonts w:ascii="Verdana" w:eastAsia="Calibri" w:hAnsi="Verdana" w:cs="Arial"/>
          <w:bCs/>
          <w:iCs/>
          <w:sz w:val="20"/>
          <w:szCs w:val="20"/>
          <w:lang w:eastAsia="es-ES_tradnl"/>
        </w:rPr>
        <w:t xml:space="preserve">Ahora bien, el ámbito o campo de aplicación de este capítulo está regulado en el artículo 2.1.4.3.1.2. que señala que sus reglas son para las entidades y empresas del Estado del orden nacional y pertenecientes a la Rama Ejecutiva del Poder Público. Así mismo, dispone que las empresas industriales y comerciales del Estado, las sociedades de economía mixta y todas las demás instituciones sometidas a regímenes especiales de contratación deben cumplir las obligaciones del presente Capítulo en aquellos aspectos en los que deban aplicar el régimen general de contratación pública. </w:t>
      </w:r>
    </w:p>
    <w:p w14:paraId="206DB8BB" w14:textId="77777777" w:rsidR="004B3306" w:rsidRDefault="004B3306" w:rsidP="004B3306">
      <w:pPr>
        <w:spacing w:after="0" w:line="240" w:lineRule="auto"/>
        <w:jc w:val="both"/>
        <w:rPr>
          <w:rFonts w:ascii="Verdana" w:eastAsia="Calibri" w:hAnsi="Verdana" w:cs="Arial"/>
          <w:bCs/>
          <w:iCs/>
          <w:sz w:val="20"/>
          <w:szCs w:val="20"/>
          <w:lang w:eastAsia="es-ES_tradnl"/>
        </w:rPr>
      </w:pPr>
    </w:p>
    <w:p w14:paraId="2C54A484" w14:textId="77777777" w:rsidR="004B3306" w:rsidRPr="0042686B" w:rsidRDefault="004B3306" w:rsidP="004B3306">
      <w:pPr>
        <w:spacing w:after="0" w:line="240" w:lineRule="auto"/>
        <w:jc w:val="both"/>
        <w:rPr>
          <w:rFonts w:ascii="Verdana" w:eastAsia="Calibri" w:hAnsi="Verdana" w:cs="Arial"/>
          <w:bCs/>
          <w:iCs/>
          <w:sz w:val="20"/>
          <w:szCs w:val="20"/>
          <w:lang w:eastAsia="es-ES_tradnl"/>
        </w:rPr>
      </w:pPr>
      <w:r w:rsidRPr="0042686B">
        <w:rPr>
          <w:rFonts w:ascii="Verdana" w:eastAsia="Calibri" w:hAnsi="Verdana" w:cs="Arial"/>
          <w:bCs/>
          <w:iCs/>
          <w:sz w:val="20"/>
          <w:szCs w:val="20"/>
          <w:lang w:eastAsia="es-ES_tradnl"/>
        </w:rPr>
        <w:t>En los temas no regulados por dicho régimen, no se aplica lo dispuesto en el artículo 2.1.4.3.2.1, por lo que las demás disposiciones deberán aplicarse, de acuerdo con su estructura orgánica y la normativa aplicable a su funcionamiento.</w:t>
      </w:r>
      <w:r w:rsidRPr="0042686B">
        <w:rPr>
          <w:rFonts w:ascii="Verdana" w:eastAsia="Calibri" w:hAnsi="Verdana" w:cs="Arial"/>
          <w:bCs/>
          <w:sz w:val="20"/>
          <w:szCs w:val="20"/>
          <w:lang w:eastAsia="es-ES_tradnl"/>
        </w:rPr>
        <w:t xml:space="preserve"> </w:t>
      </w:r>
      <w:r w:rsidRPr="0042686B">
        <w:rPr>
          <w:rFonts w:ascii="Verdana" w:eastAsia="Calibri" w:hAnsi="Verdana" w:cs="Arial"/>
          <w:bCs/>
          <w:iCs/>
          <w:sz w:val="20"/>
          <w:szCs w:val="20"/>
          <w:lang w:eastAsia="es-ES_tradnl"/>
        </w:rPr>
        <w:t xml:space="preserve">Con respecto a las entidades territoriales y sus entidades descentralizadas establece que en el marco de su autonomía y en cumplimiento de lo previsto en el artículo 32 de la Ley 152 de 1994, por la cual se establece la Ley Orgánica de Plan de Desarrollo, deben aplicar sus planes y políticas, las líneas de acción contenidas en el presente Capítulo, conforme a lo regulado en el artículo 200 de la Ley 2294 de 2023. </w:t>
      </w:r>
    </w:p>
    <w:p w14:paraId="463839D7" w14:textId="77777777" w:rsidR="004B3306" w:rsidRPr="00EB4645" w:rsidRDefault="004B3306" w:rsidP="004B3306">
      <w:pPr>
        <w:spacing w:after="0" w:line="240" w:lineRule="auto"/>
        <w:rPr>
          <w:rFonts w:ascii="Verdana" w:hAnsi="Verdana"/>
          <w:b/>
        </w:rPr>
      </w:pPr>
    </w:p>
    <w:p w14:paraId="760FB76E" w14:textId="77777777" w:rsidR="004B3306" w:rsidRPr="00EB4645" w:rsidRDefault="004B3306" w:rsidP="004B3306">
      <w:pPr>
        <w:spacing w:after="0" w:line="240" w:lineRule="auto"/>
        <w:jc w:val="both"/>
        <w:rPr>
          <w:rFonts w:ascii="Verdana" w:hAnsi="Verdana" w:cs="Arial"/>
          <w:b/>
          <w:bCs/>
          <w:lang w:val="es-MX" w:eastAsia="es-ES" w:bidi="es-ES"/>
        </w:rPr>
      </w:pPr>
      <w:r w:rsidRPr="00EB4645">
        <w:rPr>
          <w:rFonts w:ascii="Verdana" w:hAnsi="Verdana" w:cs="Arial"/>
          <w:b/>
          <w:bCs/>
          <w:lang w:val="es-ES_tradnl" w:eastAsia="es-ES" w:bidi="es-ES"/>
        </w:rPr>
        <w:t xml:space="preserve">PRINCIPIO DE PUBLICIDAD – término de publicación – interpretación armónica - documentos de ejecución  </w:t>
      </w:r>
    </w:p>
    <w:p w14:paraId="53FCFE5B" w14:textId="77777777" w:rsidR="004B3306" w:rsidRDefault="004B3306" w:rsidP="004B3306">
      <w:pPr>
        <w:spacing w:after="0" w:line="240" w:lineRule="auto"/>
        <w:rPr>
          <w:rFonts w:ascii="Verdana" w:hAnsi="Verdana"/>
          <w:b/>
          <w:lang w:val="es-MX"/>
        </w:rPr>
      </w:pPr>
    </w:p>
    <w:p w14:paraId="2BB6CB97" w14:textId="77777777" w:rsidR="004B3306" w:rsidRPr="00B859E6" w:rsidRDefault="004B3306" w:rsidP="004B3306">
      <w:pPr>
        <w:spacing w:after="0" w:line="240" w:lineRule="auto"/>
        <w:jc w:val="both"/>
        <w:rPr>
          <w:rFonts w:ascii="Verdana" w:eastAsia="Calibri" w:hAnsi="Verdana" w:cs="Arial"/>
          <w:bCs/>
          <w:iCs/>
          <w:sz w:val="20"/>
          <w:szCs w:val="20"/>
          <w:lang w:eastAsia="es-ES_tradnl"/>
        </w:rPr>
      </w:pPr>
      <w:r w:rsidRPr="00B859E6">
        <w:rPr>
          <w:rFonts w:ascii="Verdana" w:eastAsia="Calibri" w:hAnsi="Verdana" w:cs="Arial"/>
          <w:bCs/>
          <w:sz w:val="20"/>
          <w:szCs w:val="20"/>
          <w:lang w:eastAsia="es-ES_tradnl"/>
        </w:rPr>
        <w:t xml:space="preserve">A partir del artículo precitado se resalta que su primer inciso alude al deber de publicación en la página web de los sujetos obligados por dicho Decreto, el cual contiene dos literales: en el literal a) se establece el deber de publicar por parte de las entidades de </w:t>
      </w:r>
      <w:r w:rsidRPr="00B859E6">
        <w:rPr>
          <w:rFonts w:ascii="Verdana" w:eastAsia="Calibri" w:hAnsi="Verdana" w:cs="Arial"/>
          <w:bCs/>
          <w:iCs/>
          <w:sz w:val="20"/>
          <w:szCs w:val="20"/>
          <w:lang w:eastAsia="es-ES_tradnl"/>
        </w:rPr>
        <w:t>todas las auditorías que le realicen, en la que se incluyan los resultados, hallazgos y seguimiento a las acciones de mejora; en el literal b se establece dos subreglas. La primera está contenida en un primer aparte que dispone: “</w:t>
      </w:r>
      <w:r w:rsidRPr="00B859E6">
        <w:rPr>
          <w:rFonts w:ascii="Verdana" w:eastAsia="Calibri" w:hAnsi="Verdana" w:cs="Arial"/>
          <w:bCs/>
          <w:i/>
          <w:iCs/>
          <w:sz w:val="20"/>
          <w:szCs w:val="20"/>
          <w:lang w:eastAsia="es-ES_tradnl"/>
        </w:rPr>
        <w:t>Información detallada de los contratos que suscriban, incluyendo, como mínimo: valor del contrato, objeto contractual, identidad del contratista seleccionado; así como el enlace directo al proceso en el Sistema Electrónico de Contratación Pública (SECOP)”, lo cual implica el</w:t>
      </w:r>
      <w:r w:rsidRPr="00B859E6">
        <w:rPr>
          <w:rFonts w:ascii="Verdana" w:eastAsia="Calibri" w:hAnsi="Verdana" w:cs="Arial"/>
          <w:bCs/>
          <w:iCs/>
          <w:sz w:val="20"/>
          <w:szCs w:val="20"/>
          <w:lang w:eastAsia="es-ES_tradnl"/>
        </w:rPr>
        <w:t xml:space="preserve"> mandato de publicar en página web por parte de los sujetos obligados de la información detallada de los contratos celebrados, incluyendo su valor, objeto, identidad del contratista seleccionado, así como el enlace en el SECOP. </w:t>
      </w:r>
    </w:p>
    <w:p w14:paraId="1EAD343A" w14:textId="77777777" w:rsidR="004B3306" w:rsidRDefault="004B3306" w:rsidP="004B3306">
      <w:pPr>
        <w:spacing w:after="0" w:line="240" w:lineRule="auto"/>
        <w:jc w:val="both"/>
        <w:rPr>
          <w:rFonts w:ascii="Verdana" w:eastAsia="Calibri" w:hAnsi="Verdana" w:cs="Arial"/>
          <w:bCs/>
          <w:iCs/>
          <w:sz w:val="20"/>
          <w:szCs w:val="20"/>
          <w:lang w:eastAsia="es-ES_tradnl"/>
        </w:rPr>
      </w:pPr>
    </w:p>
    <w:p w14:paraId="75B95CC6" w14:textId="77777777" w:rsidR="004B3306" w:rsidRPr="00B859E6" w:rsidRDefault="004B3306" w:rsidP="004B3306">
      <w:pPr>
        <w:spacing w:after="0" w:line="240" w:lineRule="auto"/>
        <w:jc w:val="both"/>
        <w:rPr>
          <w:rFonts w:ascii="Verdana" w:eastAsia="Calibri" w:hAnsi="Verdana" w:cs="Arial"/>
          <w:bCs/>
          <w:sz w:val="20"/>
          <w:szCs w:val="20"/>
          <w:lang w:eastAsia="es-ES_tradnl"/>
        </w:rPr>
      </w:pPr>
      <w:r w:rsidRPr="00B859E6">
        <w:rPr>
          <w:rFonts w:ascii="Verdana" w:eastAsia="Calibri" w:hAnsi="Verdana" w:cs="Arial"/>
          <w:bCs/>
          <w:iCs/>
          <w:sz w:val="20"/>
          <w:szCs w:val="20"/>
          <w:lang w:eastAsia="es-ES_tradnl"/>
        </w:rPr>
        <w:t>Una segunda subregla que prescribe</w:t>
      </w:r>
      <w:r w:rsidRPr="00B859E6">
        <w:rPr>
          <w:rFonts w:ascii="Verdana" w:eastAsia="Calibri" w:hAnsi="Verdana" w:cs="Arial"/>
          <w:bCs/>
          <w:sz w:val="20"/>
          <w:szCs w:val="20"/>
          <w:lang w:eastAsia="es-ES_tradnl"/>
        </w:rPr>
        <w:t xml:space="preserve">: </w:t>
      </w:r>
      <w:r w:rsidRPr="00B859E6">
        <w:rPr>
          <w:rFonts w:ascii="Verdana" w:eastAsia="Calibri" w:hAnsi="Verdana" w:cs="Arial"/>
          <w:bCs/>
          <w:i/>
          <w:sz w:val="20"/>
          <w:szCs w:val="20"/>
          <w:lang w:eastAsia="es-ES_tradnl"/>
        </w:rPr>
        <w:t>“</w:t>
      </w:r>
      <w:r w:rsidRPr="00B859E6">
        <w:rPr>
          <w:rFonts w:ascii="Verdana" w:eastAsia="Calibri" w:hAnsi="Verdana" w:cs="Arial"/>
          <w:bCs/>
          <w:i/>
          <w:iCs/>
          <w:sz w:val="20"/>
          <w:szCs w:val="20"/>
          <w:lang w:eastAsia="es-ES_tradnl"/>
        </w:rPr>
        <w:t>En SECOP, además, debe estar publicada la información de ejecución del contrato, esto es, informes de supervisión e interventoría, actas de liquidación, requerimientos, etc. Esta información debe ser publicada dentro de los diez (10) días siguientes a la suscripción del contrato u ocurrencia del hecho. En ningún caso la información contractual podrá tener un rezago mayor a diez (10) días”.</w:t>
      </w:r>
      <w:r w:rsidRPr="00B859E6">
        <w:rPr>
          <w:rFonts w:ascii="Verdana" w:eastAsia="Calibri" w:hAnsi="Verdana" w:cs="Arial"/>
          <w:bCs/>
          <w:sz w:val="20"/>
          <w:szCs w:val="20"/>
          <w:lang w:eastAsia="es-ES_tradnl"/>
        </w:rPr>
        <w:t xml:space="preserve"> Esta subregla </w:t>
      </w:r>
      <w:r w:rsidRPr="00B859E6">
        <w:rPr>
          <w:rFonts w:ascii="Verdana" w:eastAsia="Calibri" w:hAnsi="Verdana" w:cs="Arial"/>
          <w:bCs/>
          <w:iCs/>
          <w:sz w:val="20"/>
          <w:szCs w:val="20"/>
          <w:lang w:eastAsia="es-ES_tradnl"/>
        </w:rPr>
        <w:t xml:space="preserve">prescribe el deber de publicar la información de ejecución del contrato, es decir, los informes de supervisión e interventoría, actas de liquidación, requerimientos, entre otros. Ahora bien, dicho literal también establece que esta información debe </w:t>
      </w:r>
      <w:r w:rsidRPr="00B859E6">
        <w:rPr>
          <w:rFonts w:ascii="Verdana" w:eastAsia="Calibri" w:hAnsi="Verdana" w:cs="Arial"/>
          <w:bCs/>
          <w:iCs/>
          <w:sz w:val="20"/>
          <w:szCs w:val="20"/>
          <w:lang w:eastAsia="es-ES_tradnl"/>
        </w:rPr>
        <w:lastRenderedPageBreak/>
        <w:t xml:space="preserve">publicarse dentro de los diez (10) días siguientes a la ocurrencia del hecho, y en ningún caso puede haber retraso para el cumplimiento de este término, esto es, establece un límite máximo de publicación para los documentos de ejecución del contrato. </w:t>
      </w:r>
    </w:p>
    <w:p w14:paraId="6329119D" w14:textId="77777777" w:rsidR="004B3306" w:rsidRDefault="004B3306" w:rsidP="004B3306">
      <w:pPr>
        <w:spacing w:after="0" w:line="240" w:lineRule="auto"/>
        <w:jc w:val="both"/>
        <w:rPr>
          <w:rFonts w:ascii="Verdana" w:eastAsia="Calibri" w:hAnsi="Verdana" w:cs="Arial"/>
          <w:bCs/>
          <w:iCs/>
          <w:sz w:val="20"/>
          <w:szCs w:val="20"/>
          <w:lang w:eastAsia="es-ES_tradnl"/>
        </w:rPr>
      </w:pPr>
    </w:p>
    <w:p w14:paraId="39958D47" w14:textId="77777777" w:rsidR="004B3306" w:rsidRDefault="004B3306" w:rsidP="004B3306">
      <w:pPr>
        <w:spacing w:after="0" w:line="240" w:lineRule="auto"/>
        <w:jc w:val="both"/>
        <w:rPr>
          <w:rFonts w:ascii="Verdana" w:eastAsia="Calibri" w:hAnsi="Verdana" w:cs="Arial"/>
          <w:bCs/>
          <w:iCs/>
          <w:sz w:val="20"/>
          <w:szCs w:val="20"/>
          <w:lang w:val="es-ES_tradnl" w:eastAsia="es-ES_tradnl"/>
        </w:rPr>
      </w:pPr>
      <w:r w:rsidRPr="00B859E6">
        <w:rPr>
          <w:rFonts w:ascii="Verdana" w:eastAsia="Calibri" w:hAnsi="Verdana" w:cs="Arial"/>
          <w:bCs/>
          <w:iCs/>
          <w:sz w:val="20"/>
          <w:szCs w:val="20"/>
          <w:lang w:eastAsia="es-ES_tradnl"/>
        </w:rPr>
        <w:t xml:space="preserve">No obstante, este artículo parece contradecirse, en un principio, con lo dispuesto en el artículo 2.2.1.1.1.7.1. del Decreto 1082 de 2015 que establece que la Entidad Estatal está obligada a publicar en el SECOP los Documentos del Proceso y los actos administrativos del Proceso de Contratación, dentro de los tres (3) días siguientes a su expedición, además, dispone que la oferta que debe publicarse es la del adjudicatario del Proceso de Contratación, y que los documentos de las operaciones que se realicen en bolsa de productos no tienen que publicarse en el SECOP. En este escenario, parece en un principio, un </w:t>
      </w:r>
      <w:r w:rsidRPr="00B859E6">
        <w:rPr>
          <w:rFonts w:ascii="Verdana" w:eastAsia="Calibri" w:hAnsi="Verdana" w:cs="Arial"/>
          <w:bCs/>
          <w:iCs/>
          <w:sz w:val="20"/>
          <w:szCs w:val="20"/>
          <w:lang w:val="es-ES_tradnl" w:eastAsia="es-ES_tradnl"/>
        </w:rPr>
        <w:t xml:space="preserve">conflicto entre la </w:t>
      </w:r>
      <w:r w:rsidRPr="00B859E6">
        <w:rPr>
          <w:rFonts w:ascii="Verdana" w:eastAsia="Calibri" w:hAnsi="Verdana" w:cs="Arial"/>
          <w:bCs/>
          <w:i/>
          <w:iCs/>
          <w:sz w:val="20"/>
          <w:szCs w:val="20"/>
          <w:lang w:val="es-ES_tradnl" w:eastAsia="es-ES_tradnl"/>
        </w:rPr>
        <w:t>regla general dispuesta en el Decreto 1082 de 2015</w:t>
      </w:r>
      <w:r w:rsidRPr="00B859E6">
        <w:rPr>
          <w:rFonts w:ascii="Verdana" w:eastAsia="Calibri" w:hAnsi="Verdana" w:cs="Arial"/>
          <w:bCs/>
          <w:iCs/>
          <w:sz w:val="20"/>
          <w:szCs w:val="20"/>
          <w:lang w:val="es-ES_tradnl" w:eastAsia="es-ES_tradnl"/>
        </w:rPr>
        <w:t xml:space="preserve"> y la </w:t>
      </w:r>
      <w:r w:rsidRPr="00B859E6">
        <w:rPr>
          <w:rFonts w:ascii="Verdana" w:eastAsia="Calibri" w:hAnsi="Verdana" w:cs="Arial"/>
          <w:bCs/>
          <w:i/>
          <w:iCs/>
          <w:sz w:val="20"/>
          <w:szCs w:val="20"/>
          <w:lang w:val="es-ES_tradnl" w:eastAsia="es-ES_tradnl"/>
        </w:rPr>
        <w:t>regla especial que dispone un término máximo para publicar la información para entidades del orden nacional</w:t>
      </w:r>
      <w:r w:rsidRPr="00B859E6">
        <w:rPr>
          <w:rFonts w:ascii="Verdana" w:eastAsia="Calibri" w:hAnsi="Verdana" w:cs="Arial"/>
          <w:bCs/>
          <w:iCs/>
          <w:sz w:val="20"/>
          <w:szCs w:val="20"/>
          <w:lang w:val="es-ES_tradnl" w:eastAsia="es-ES_tradnl"/>
        </w:rPr>
        <w:t xml:space="preserve">, siendo necesario acudir al problema con fundamento en el artículo 5.1 de la Ley 57 de 1887. Según esta norma, “[…] Si en los Códigos que se adoptan se hallaren algunas disposiciones incompatibles entre sí […] </w:t>
      </w:r>
      <w:r w:rsidRPr="00B859E6">
        <w:rPr>
          <w:rFonts w:ascii="Verdana" w:eastAsia="Calibri" w:hAnsi="Verdana" w:cs="Arial"/>
          <w:bCs/>
          <w:i/>
          <w:iCs/>
          <w:sz w:val="20"/>
          <w:szCs w:val="20"/>
          <w:lang w:val="es-ES_tradnl" w:eastAsia="es-ES_tradnl"/>
        </w:rPr>
        <w:t>La disposición relativa a un asunto especial prefiere a la que tenga carácter general</w:t>
      </w:r>
      <w:r w:rsidRPr="00B859E6">
        <w:rPr>
          <w:rFonts w:ascii="Verdana" w:eastAsia="Calibri" w:hAnsi="Verdana" w:cs="Arial"/>
          <w:bCs/>
          <w:iCs/>
          <w:sz w:val="20"/>
          <w:szCs w:val="20"/>
          <w:lang w:val="es-ES_tradnl" w:eastAsia="es-ES_tradnl"/>
        </w:rPr>
        <w:t xml:space="preserve"> […]” (Énfasis fuera de texto). </w:t>
      </w:r>
    </w:p>
    <w:p w14:paraId="39599D15" w14:textId="77777777" w:rsidR="004B3306" w:rsidRDefault="004B3306" w:rsidP="004B3306">
      <w:pPr>
        <w:spacing w:after="0" w:line="240" w:lineRule="auto"/>
        <w:jc w:val="both"/>
        <w:rPr>
          <w:rFonts w:ascii="Verdana" w:eastAsia="Calibri" w:hAnsi="Verdana" w:cs="Arial"/>
          <w:bCs/>
          <w:iCs/>
          <w:sz w:val="20"/>
          <w:szCs w:val="20"/>
          <w:lang w:val="es-ES_tradnl" w:eastAsia="es-ES_tradnl"/>
        </w:rPr>
      </w:pPr>
    </w:p>
    <w:p w14:paraId="3DEC02A0" w14:textId="77777777" w:rsidR="004B3306" w:rsidRPr="00B859E6" w:rsidRDefault="004B3306" w:rsidP="004B3306">
      <w:pPr>
        <w:spacing w:after="0" w:line="240" w:lineRule="auto"/>
        <w:jc w:val="both"/>
        <w:rPr>
          <w:rFonts w:ascii="Verdana" w:eastAsia="Calibri" w:hAnsi="Verdana" w:cs="Arial"/>
          <w:bCs/>
          <w:iCs/>
          <w:sz w:val="20"/>
          <w:szCs w:val="20"/>
          <w:lang w:val="es-ES_tradnl" w:eastAsia="es-ES_tradnl"/>
        </w:rPr>
      </w:pPr>
      <w:r w:rsidRPr="00B859E6">
        <w:rPr>
          <w:rFonts w:ascii="Verdana" w:eastAsia="Calibri" w:hAnsi="Verdana" w:cs="Arial"/>
          <w:bCs/>
          <w:iCs/>
          <w:sz w:val="20"/>
          <w:szCs w:val="20"/>
          <w:lang w:val="es-ES_tradnl" w:eastAsia="es-ES_tradnl"/>
        </w:rPr>
        <w:t xml:space="preserve">Por tanto, la regla dispuesta en el </w:t>
      </w:r>
      <w:r w:rsidRPr="00B859E6">
        <w:rPr>
          <w:rFonts w:ascii="Verdana" w:eastAsia="Calibri" w:hAnsi="Verdana" w:cs="Arial"/>
          <w:bCs/>
          <w:iCs/>
          <w:sz w:val="20"/>
          <w:szCs w:val="20"/>
          <w:lang w:eastAsia="es-ES_tradnl"/>
        </w:rPr>
        <w:t xml:space="preserve">artículo 2.1.4.3.2.2 del Decreto 1081 de 2015 </w:t>
      </w:r>
      <w:r w:rsidRPr="00B859E6">
        <w:rPr>
          <w:rFonts w:ascii="Verdana" w:eastAsia="Calibri" w:hAnsi="Verdana" w:cs="Arial"/>
          <w:bCs/>
          <w:iCs/>
          <w:sz w:val="20"/>
          <w:szCs w:val="20"/>
          <w:lang w:val="es-ES_tradnl" w:eastAsia="es-ES_tradnl"/>
        </w:rPr>
        <w:t>–</w:t>
      </w:r>
      <w:r w:rsidRPr="00B859E6">
        <w:rPr>
          <w:rFonts w:ascii="Verdana" w:eastAsia="Calibri" w:hAnsi="Verdana" w:cs="Arial"/>
          <w:bCs/>
          <w:i/>
          <w:iCs/>
          <w:sz w:val="20"/>
          <w:szCs w:val="20"/>
          <w:lang w:val="es-ES_tradnl" w:eastAsia="es-ES_tradnl"/>
        </w:rPr>
        <w:t>regla especial</w:t>
      </w:r>
      <w:r w:rsidRPr="00B859E6">
        <w:rPr>
          <w:rFonts w:ascii="Verdana" w:eastAsia="Calibri" w:hAnsi="Verdana" w:cs="Arial"/>
          <w:bCs/>
          <w:iCs/>
          <w:sz w:val="20"/>
          <w:szCs w:val="20"/>
          <w:lang w:val="es-ES_tradnl" w:eastAsia="es-ES_tradnl"/>
        </w:rPr>
        <w:t xml:space="preserve">– debe tenerse en cuenta sobre el entendimiento y aplicación del artículo </w:t>
      </w:r>
      <w:r w:rsidRPr="00B859E6">
        <w:rPr>
          <w:rFonts w:ascii="Verdana" w:eastAsia="Calibri" w:hAnsi="Verdana" w:cs="Arial"/>
          <w:bCs/>
          <w:iCs/>
          <w:sz w:val="20"/>
          <w:szCs w:val="20"/>
          <w:lang w:eastAsia="es-ES_tradnl"/>
        </w:rPr>
        <w:t>2.2.1.1.1.7.1. del Decreto 1082 de 2015</w:t>
      </w:r>
      <w:r w:rsidRPr="00B859E6">
        <w:rPr>
          <w:rFonts w:ascii="Verdana" w:eastAsia="Calibri" w:hAnsi="Verdana" w:cs="Arial"/>
          <w:bCs/>
          <w:iCs/>
          <w:sz w:val="20"/>
          <w:szCs w:val="20"/>
          <w:lang w:val="es-ES_tradnl" w:eastAsia="es-ES_tradnl"/>
        </w:rPr>
        <w:t xml:space="preserve"> –</w:t>
      </w:r>
      <w:r w:rsidRPr="00B859E6">
        <w:rPr>
          <w:rFonts w:ascii="Verdana" w:eastAsia="Calibri" w:hAnsi="Verdana" w:cs="Arial"/>
          <w:bCs/>
          <w:i/>
          <w:iCs/>
          <w:sz w:val="20"/>
          <w:szCs w:val="20"/>
          <w:lang w:val="es-ES_tradnl" w:eastAsia="es-ES_tradnl"/>
        </w:rPr>
        <w:t>regla general</w:t>
      </w:r>
      <w:r w:rsidRPr="00B859E6">
        <w:rPr>
          <w:rFonts w:ascii="Verdana" w:eastAsia="Calibri" w:hAnsi="Verdana" w:cs="Arial"/>
          <w:bCs/>
          <w:iCs/>
          <w:sz w:val="20"/>
          <w:szCs w:val="20"/>
          <w:lang w:val="es-ES_tradnl" w:eastAsia="es-ES_tradnl"/>
        </w:rPr>
        <w:t xml:space="preserve">–, esto es, deben interpretarse armónicamente. Esto no significa que la </w:t>
      </w:r>
      <w:r w:rsidRPr="00B859E6">
        <w:rPr>
          <w:rFonts w:ascii="Verdana" w:eastAsia="Calibri" w:hAnsi="Verdana" w:cs="Arial"/>
          <w:bCs/>
          <w:i/>
          <w:iCs/>
          <w:sz w:val="20"/>
          <w:szCs w:val="20"/>
          <w:lang w:val="es-ES_tradnl" w:eastAsia="es-ES_tradnl"/>
        </w:rPr>
        <w:t>regla general</w:t>
      </w:r>
      <w:r w:rsidRPr="00B859E6">
        <w:rPr>
          <w:rFonts w:ascii="Verdana" w:eastAsia="Calibri" w:hAnsi="Verdana" w:cs="Arial"/>
          <w:bCs/>
          <w:iCs/>
          <w:sz w:val="20"/>
          <w:szCs w:val="20"/>
          <w:lang w:val="es-ES_tradnl" w:eastAsia="es-ES_tradnl"/>
        </w:rPr>
        <w:t xml:space="preserve"> desaparezca del ordenamiento jurídico; todo lo contrario, esta aplica en todos los supuestos que regula, y se interpreta de forma integral con los supuestos previstos en la </w:t>
      </w:r>
      <w:r w:rsidRPr="00B859E6">
        <w:rPr>
          <w:rFonts w:ascii="Verdana" w:eastAsia="Calibri" w:hAnsi="Verdana" w:cs="Arial"/>
          <w:bCs/>
          <w:i/>
          <w:iCs/>
          <w:sz w:val="20"/>
          <w:szCs w:val="20"/>
          <w:lang w:val="es-ES_tradnl" w:eastAsia="es-ES_tradnl"/>
        </w:rPr>
        <w:t>regla especial</w:t>
      </w:r>
      <w:r w:rsidRPr="00B859E6">
        <w:rPr>
          <w:rFonts w:ascii="Verdana" w:eastAsia="Calibri" w:hAnsi="Verdana" w:cs="Arial"/>
          <w:bCs/>
          <w:iCs/>
          <w:sz w:val="20"/>
          <w:szCs w:val="20"/>
          <w:lang w:val="es-ES_tradnl" w:eastAsia="es-ES_tradnl"/>
        </w:rPr>
        <w:t xml:space="preserve">. De esta manera, el término de diez (10) días es un plazo máximo para las entidades y </w:t>
      </w:r>
      <w:r w:rsidRPr="00B859E6">
        <w:rPr>
          <w:rFonts w:ascii="Verdana" w:eastAsia="Calibri" w:hAnsi="Verdana" w:cs="Arial"/>
          <w:bCs/>
          <w:i/>
          <w:iCs/>
          <w:sz w:val="20"/>
          <w:szCs w:val="20"/>
          <w:lang w:eastAsia="es-ES_tradnl"/>
        </w:rPr>
        <w:t xml:space="preserve">empresas del Estado </w:t>
      </w:r>
      <w:r w:rsidRPr="00B859E6">
        <w:rPr>
          <w:rFonts w:ascii="Verdana" w:eastAsia="Calibri" w:hAnsi="Verdana" w:cs="Arial"/>
          <w:bCs/>
          <w:iCs/>
          <w:sz w:val="20"/>
          <w:szCs w:val="20"/>
          <w:lang w:eastAsia="es-ES_tradnl"/>
        </w:rPr>
        <w:t xml:space="preserve">del orden nacional y pertenecientes a la Rama Ejecutiva del Poder Público para publicar en SECOP, en todo caso, precisando la regla general sigue vigente, y que, en un principio, el término para publicar es de tres (3) días siguientes a la expedición, de conformidad a lo prescrito en el Decreto 1082 de 2015. </w:t>
      </w:r>
    </w:p>
    <w:p w14:paraId="222D7F5B" w14:textId="77777777" w:rsidR="004B3306" w:rsidRDefault="004B3306" w:rsidP="004B3306">
      <w:pPr>
        <w:spacing w:after="0" w:line="240" w:lineRule="auto"/>
        <w:rPr>
          <w:rFonts w:ascii="Verdana" w:hAnsi="Verdana"/>
          <w:b/>
        </w:rPr>
      </w:pPr>
    </w:p>
    <w:p w14:paraId="467B879F" w14:textId="77777777" w:rsidR="004B3306" w:rsidRPr="00031550" w:rsidRDefault="004B3306" w:rsidP="004B3306">
      <w:pPr>
        <w:spacing w:after="0" w:line="240" w:lineRule="auto"/>
        <w:jc w:val="both"/>
        <w:rPr>
          <w:rFonts w:ascii="Verdana" w:eastAsia="Calibri" w:hAnsi="Verdana" w:cs="Arial"/>
          <w:bCs/>
          <w:iCs/>
          <w:sz w:val="20"/>
          <w:szCs w:val="20"/>
          <w:lang w:val="es-ES" w:eastAsia="es-ES_tradnl"/>
        </w:rPr>
      </w:pPr>
      <w:r w:rsidRPr="00031550">
        <w:rPr>
          <w:rFonts w:ascii="Verdana" w:eastAsia="Calibri" w:hAnsi="Verdana" w:cs="Arial"/>
          <w:bCs/>
          <w:iCs/>
          <w:sz w:val="20"/>
          <w:szCs w:val="20"/>
          <w:lang w:val="es-ES" w:eastAsia="es-ES_tradnl"/>
        </w:rPr>
        <w:t xml:space="preserve">Así las cosas, el término de diez (10) días es un límite máximo para publicar por parte de las entidades del orden nacional sometidas a lo dispuesto en el Decreto 1600 de 2024 que modifica el Decreto 1081 de 2015 en cuanto a los documentos de ejecución del contrato, como son las actas de supervisión o interventoría, requerimientos, entre otros. Esto, sin perjuicio del deber general de publicar, en principio, dentro de los tres (3) días siguientes a la expedición de los documentos del proceso que no son transaccionales y que no tienen la calidad de ser documentos de ejecución.  </w:t>
      </w:r>
    </w:p>
    <w:p w14:paraId="0C0EB622" w14:textId="77777777" w:rsidR="004B3306" w:rsidRDefault="004B3306" w:rsidP="004B3306">
      <w:pPr>
        <w:spacing w:after="0" w:line="240" w:lineRule="auto"/>
        <w:rPr>
          <w:rFonts w:ascii="Verdana" w:hAnsi="Verdana"/>
          <w:b/>
          <w:lang w:val="es-ES"/>
        </w:rPr>
      </w:pPr>
    </w:p>
    <w:p w14:paraId="2B6DE1E3" w14:textId="77777777" w:rsidR="004B3306" w:rsidRDefault="004B3306" w:rsidP="004B3306">
      <w:pPr>
        <w:spacing w:after="0" w:line="240" w:lineRule="auto"/>
        <w:rPr>
          <w:rFonts w:ascii="Verdana" w:hAnsi="Verdana"/>
          <w:b/>
          <w:lang w:val="es-ES"/>
        </w:rPr>
      </w:pPr>
    </w:p>
    <w:p w14:paraId="674D614F" w14:textId="77777777" w:rsidR="004D1D1F" w:rsidRPr="004B3306" w:rsidRDefault="004D1D1F" w:rsidP="003467C6">
      <w:pPr>
        <w:spacing w:after="0" w:line="240" w:lineRule="auto"/>
        <w:jc w:val="both"/>
        <w:rPr>
          <w:rFonts w:ascii="Verdana" w:hAnsi="Verdana"/>
          <w:lang w:val="es-ES"/>
        </w:rPr>
      </w:pPr>
    </w:p>
    <w:p w14:paraId="7446E30C" w14:textId="77777777" w:rsidR="004B3306" w:rsidRDefault="004B3306" w:rsidP="003467C6">
      <w:pPr>
        <w:spacing w:after="0" w:line="240" w:lineRule="auto"/>
        <w:jc w:val="both"/>
        <w:rPr>
          <w:rFonts w:ascii="Verdana" w:hAnsi="Verdana"/>
        </w:rPr>
      </w:pPr>
    </w:p>
    <w:p w14:paraId="541A9262" w14:textId="55B3F83B" w:rsidR="003467C6" w:rsidRPr="008E4F36" w:rsidRDefault="003467C6" w:rsidP="003467C6">
      <w:pPr>
        <w:spacing w:after="0" w:line="240" w:lineRule="auto"/>
        <w:jc w:val="both"/>
        <w:rPr>
          <w:rFonts w:ascii="Verdana" w:hAnsi="Verdana"/>
        </w:rPr>
      </w:pPr>
      <w:r w:rsidRPr="002406C6">
        <w:rPr>
          <w:rFonts w:ascii="Verdana" w:hAnsi="Verdana"/>
        </w:rPr>
        <w:lastRenderedPageBreak/>
        <w:t xml:space="preserve">Bogotá D.C., </w:t>
      </w:r>
      <w:r w:rsidR="003B6207">
        <w:rPr>
          <w:rFonts w:ascii="Verdana" w:hAnsi="Verdana"/>
        </w:rPr>
        <w:t>26 de febrero de 2026</w:t>
      </w:r>
      <w:r>
        <w:rPr>
          <w:rFonts w:ascii="Verdana" w:hAnsi="Verdana"/>
        </w:rPr>
        <w:t xml:space="preserve"> </w:t>
      </w:r>
    </w:p>
    <w:p w14:paraId="1A6EAB1F" w14:textId="77777777" w:rsidR="003467C6" w:rsidRDefault="003467C6" w:rsidP="003467C6">
      <w:pPr>
        <w:spacing w:after="0" w:line="240" w:lineRule="auto"/>
        <w:jc w:val="both"/>
        <w:rPr>
          <w:rFonts w:ascii="Verdana" w:eastAsia="Calibri" w:hAnsi="Verdana" w:cs="Arial"/>
          <w:lang w:eastAsia="es-ES"/>
        </w:rPr>
      </w:pPr>
      <w:bookmarkStart w:id="0" w:name="_Hlk197462763"/>
      <w:bookmarkStart w:id="1" w:name="_Hlk197529996"/>
    </w:p>
    <w:p w14:paraId="357DFA1D" w14:textId="5220D40E" w:rsidR="00CA005F" w:rsidRDefault="00CA005F" w:rsidP="003467C6">
      <w:pPr>
        <w:spacing w:after="0" w:line="240" w:lineRule="auto"/>
        <w:jc w:val="both"/>
        <w:rPr>
          <w:rFonts w:ascii="Verdana" w:eastAsia="Calibri" w:hAnsi="Verdana" w:cs="Arial"/>
          <w:lang w:eastAsia="es-ES"/>
        </w:rPr>
      </w:pPr>
      <w:r w:rsidRPr="00CA005F">
        <w:rPr>
          <w:rFonts w:ascii="Verdana" w:eastAsia="Calibri" w:hAnsi="Verdana" w:cs="Arial"/>
          <w:lang w:eastAsia="es-ES"/>
        </w:rPr>
        <w:drawing>
          <wp:anchor distT="0" distB="0" distL="114300" distR="114300" simplePos="0" relativeHeight="251660288" behindDoc="1" locked="0" layoutInCell="1" allowOverlap="1" wp14:anchorId="6445B660" wp14:editId="29263D66">
            <wp:simplePos x="0" y="0"/>
            <wp:positionH relativeFrom="column">
              <wp:posOffset>3084088</wp:posOffset>
            </wp:positionH>
            <wp:positionV relativeFrom="paragraph">
              <wp:posOffset>81410</wp:posOffset>
            </wp:positionV>
            <wp:extent cx="2571750" cy="771525"/>
            <wp:effectExtent l="0" t="0" r="0" b="9525"/>
            <wp:wrapTight wrapText="bothSides">
              <wp:wrapPolygon edited="0">
                <wp:start x="0" y="0"/>
                <wp:lineTo x="0" y="21333"/>
                <wp:lineTo x="21440" y="21333"/>
                <wp:lineTo x="21440" y="0"/>
                <wp:lineTo x="0" y="0"/>
              </wp:wrapPolygon>
            </wp:wrapTight>
            <wp:docPr id="1405673781"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673781" name="Imagen 1" descr="Texto&#10;&#10;El contenido generado por IA puede ser incorrecto."/>
                    <pic:cNvPicPr/>
                  </pic:nvPicPr>
                  <pic:blipFill>
                    <a:blip r:embed="rId7">
                      <a:extLst>
                        <a:ext uri="{28A0092B-C50C-407E-A947-70E740481C1C}">
                          <a14:useLocalDpi xmlns:a14="http://schemas.microsoft.com/office/drawing/2010/main" val="0"/>
                        </a:ext>
                      </a:extLst>
                    </a:blip>
                    <a:stretch>
                      <a:fillRect/>
                    </a:stretch>
                  </pic:blipFill>
                  <pic:spPr>
                    <a:xfrm>
                      <a:off x="0" y="0"/>
                      <a:ext cx="2571750" cy="771525"/>
                    </a:xfrm>
                    <a:prstGeom prst="rect">
                      <a:avLst/>
                    </a:prstGeom>
                  </pic:spPr>
                </pic:pic>
              </a:graphicData>
            </a:graphic>
          </wp:anchor>
        </w:drawing>
      </w:r>
    </w:p>
    <w:p w14:paraId="01705486" w14:textId="2A567705" w:rsidR="00CA005F" w:rsidRPr="008E4F36" w:rsidRDefault="00CA005F" w:rsidP="003467C6">
      <w:pPr>
        <w:spacing w:after="0" w:line="240" w:lineRule="auto"/>
        <w:jc w:val="both"/>
        <w:rPr>
          <w:rFonts w:ascii="Verdana" w:eastAsia="Calibri" w:hAnsi="Verdana" w:cs="Arial"/>
          <w:lang w:eastAsia="es-ES"/>
        </w:rPr>
      </w:pPr>
    </w:p>
    <w:p w14:paraId="22A77EDC" w14:textId="7A894C3A" w:rsidR="003467C6" w:rsidRDefault="003467C6" w:rsidP="003467C6">
      <w:pPr>
        <w:spacing w:after="0" w:line="240" w:lineRule="auto"/>
        <w:jc w:val="both"/>
        <w:rPr>
          <w:rFonts w:ascii="Verdana" w:eastAsia="Calibri" w:hAnsi="Verdana" w:cs="Arial"/>
          <w:lang w:eastAsia="es-ES"/>
        </w:rPr>
      </w:pPr>
    </w:p>
    <w:p w14:paraId="0EBA730D" w14:textId="11179494" w:rsidR="003467C6" w:rsidRPr="008E4F36" w:rsidRDefault="003467C6" w:rsidP="003467C6">
      <w:pPr>
        <w:spacing w:after="0" w:line="240" w:lineRule="auto"/>
        <w:jc w:val="both"/>
        <w:rPr>
          <w:rFonts w:ascii="Verdana" w:eastAsia="Calibri" w:hAnsi="Verdana" w:cs="Arial"/>
          <w:lang w:eastAsia="es-ES"/>
        </w:rPr>
      </w:pPr>
      <w:r w:rsidRPr="008E4F36">
        <w:rPr>
          <w:rFonts w:ascii="Verdana" w:eastAsia="Calibri" w:hAnsi="Verdana" w:cs="Arial"/>
          <w:lang w:eastAsia="es-ES"/>
        </w:rPr>
        <w:t>Señor</w:t>
      </w:r>
    </w:p>
    <w:p w14:paraId="21DC64E2" w14:textId="78ACC36F" w:rsidR="003467C6" w:rsidRPr="000F2158" w:rsidRDefault="003467C6" w:rsidP="003467C6">
      <w:pPr>
        <w:spacing w:after="0" w:line="240" w:lineRule="auto"/>
        <w:jc w:val="both"/>
        <w:rPr>
          <w:rFonts w:ascii="Verdana" w:eastAsia="Calibri" w:hAnsi="Verdana" w:cs="Arial"/>
          <w:b/>
          <w:highlight w:val="yellow"/>
          <w:lang w:eastAsia="es-ES_tradnl"/>
        </w:rPr>
      </w:pPr>
      <w:r w:rsidRPr="003467C6">
        <w:rPr>
          <w:rFonts w:ascii="Verdana" w:eastAsia="Calibri" w:hAnsi="Verdana" w:cs="Arial"/>
          <w:b/>
          <w:lang w:eastAsia="es-ES_tradnl"/>
        </w:rPr>
        <w:t>Juan Pablo</w:t>
      </w:r>
      <w:r>
        <w:rPr>
          <w:rFonts w:ascii="Verdana" w:eastAsia="Calibri" w:hAnsi="Verdana" w:cs="Arial"/>
          <w:b/>
          <w:lang w:eastAsia="es-ES_tradnl"/>
        </w:rPr>
        <w:t xml:space="preserve"> </w:t>
      </w:r>
      <w:r w:rsidRPr="003467C6">
        <w:rPr>
          <w:rFonts w:ascii="Verdana" w:eastAsia="Calibri" w:hAnsi="Verdana" w:cs="Arial"/>
          <w:b/>
          <w:lang w:eastAsia="es-ES_tradnl"/>
        </w:rPr>
        <w:t>Bernal Moncada</w:t>
      </w:r>
      <w:r>
        <w:rPr>
          <w:rFonts w:ascii="Verdana" w:eastAsia="Calibri" w:hAnsi="Verdana" w:cs="Arial"/>
          <w:b/>
          <w:lang w:eastAsia="es-ES_tradnl"/>
        </w:rPr>
        <w:t xml:space="preserve"> </w:t>
      </w:r>
    </w:p>
    <w:p w14:paraId="1F16FD8F" w14:textId="60AD1635" w:rsidR="003467C6" w:rsidRPr="000F2158" w:rsidRDefault="003467C6" w:rsidP="003467C6">
      <w:pPr>
        <w:spacing w:after="0" w:line="240" w:lineRule="auto"/>
        <w:jc w:val="both"/>
        <w:rPr>
          <w:rFonts w:ascii="Verdana" w:eastAsia="Calibri" w:hAnsi="Verdana" w:cs="Arial"/>
          <w:b/>
          <w:highlight w:val="yellow"/>
          <w:lang w:eastAsia="es-ES_tradnl"/>
        </w:rPr>
      </w:pPr>
      <w:hyperlink r:id="rId8" w:history="1">
        <w:r w:rsidRPr="004F4E61">
          <w:rPr>
            <w:rStyle w:val="Hipervnculo"/>
            <w:rFonts w:ascii="Verdana" w:eastAsia="Calibri" w:hAnsi="Verdana" w:cs="Arial"/>
            <w:b/>
            <w:lang w:eastAsia="es-ES_tradnl"/>
          </w:rPr>
          <w:t>objetor4@gmail.com</w:t>
        </w:r>
      </w:hyperlink>
      <w:r>
        <w:rPr>
          <w:rFonts w:ascii="Verdana" w:eastAsia="Calibri" w:hAnsi="Verdana" w:cs="Arial"/>
          <w:b/>
          <w:lang w:eastAsia="es-ES_tradnl"/>
        </w:rPr>
        <w:t xml:space="preserve"> </w:t>
      </w:r>
    </w:p>
    <w:p w14:paraId="500A070D" w14:textId="0ABD1001" w:rsidR="003467C6" w:rsidRPr="004E1BE4" w:rsidRDefault="003467C6" w:rsidP="003467C6">
      <w:pPr>
        <w:spacing w:after="0" w:line="240" w:lineRule="auto"/>
        <w:jc w:val="both"/>
        <w:rPr>
          <w:rFonts w:ascii="Verdana" w:eastAsia="Calibri" w:hAnsi="Verdana" w:cs="Arial"/>
          <w:bCs/>
          <w:lang w:eastAsia="es-ES_tradnl"/>
        </w:rPr>
      </w:pPr>
      <w:r>
        <w:rPr>
          <w:rFonts w:ascii="Verdana" w:eastAsia="Calibri" w:hAnsi="Verdana" w:cs="Arial"/>
          <w:bCs/>
          <w:lang w:eastAsia="es-ES_tradnl"/>
        </w:rPr>
        <w:t xml:space="preserve">Fuente de Oro, Meta </w:t>
      </w:r>
    </w:p>
    <w:p w14:paraId="2BBD6F17" w14:textId="77777777" w:rsidR="003467C6" w:rsidRPr="005B4C57" w:rsidRDefault="003467C6" w:rsidP="003467C6">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3467C6" w:rsidRPr="002842E0" w14:paraId="5F6BE520" w14:textId="77777777" w:rsidTr="00742A06">
        <w:trPr>
          <w:trHeight w:val="162"/>
        </w:trPr>
        <w:tc>
          <w:tcPr>
            <w:tcW w:w="3119" w:type="dxa"/>
          </w:tcPr>
          <w:p w14:paraId="1D5B9861" w14:textId="77777777" w:rsidR="003467C6" w:rsidRPr="005B4C57" w:rsidRDefault="003467C6" w:rsidP="00742A06">
            <w:pPr>
              <w:jc w:val="both"/>
              <w:rPr>
                <w:rFonts w:ascii="Verdana" w:eastAsia="Calibri" w:hAnsi="Verdana" w:cs="Arial"/>
                <w:b/>
                <w:bCs/>
                <w:color w:val="7030A0"/>
                <w:lang w:val="it-CH" w:eastAsia="es-ES_tradnl"/>
              </w:rPr>
            </w:pPr>
          </w:p>
        </w:tc>
        <w:tc>
          <w:tcPr>
            <w:tcW w:w="5670" w:type="dxa"/>
          </w:tcPr>
          <w:p w14:paraId="5DF17E9A" w14:textId="55E0AC27" w:rsidR="003467C6" w:rsidRPr="00801462" w:rsidRDefault="003467C6" w:rsidP="00742A06">
            <w:pPr>
              <w:jc w:val="both"/>
              <w:rPr>
                <w:rFonts w:ascii="Verdana" w:eastAsia="Calibri" w:hAnsi="Verdana" w:cs="Arial"/>
                <w:b/>
                <w:bCs/>
                <w:lang w:eastAsia="es-ES"/>
              </w:rPr>
            </w:pPr>
            <w:r w:rsidRPr="00083AB6">
              <w:rPr>
                <w:rFonts w:ascii="Verdana" w:eastAsia="Calibri" w:hAnsi="Verdana" w:cs="Arial"/>
                <w:b/>
                <w:bCs/>
                <w:lang w:eastAsia="es-ES"/>
              </w:rPr>
              <w:t xml:space="preserve">Concepto C- </w:t>
            </w:r>
            <w:r>
              <w:rPr>
                <w:rFonts w:ascii="Verdana" w:eastAsia="Calibri" w:hAnsi="Verdana" w:cs="Arial"/>
                <w:b/>
                <w:bCs/>
                <w:lang w:eastAsia="es-ES"/>
              </w:rPr>
              <w:t>070 de 2026</w:t>
            </w:r>
          </w:p>
          <w:p w14:paraId="1492D116" w14:textId="77777777" w:rsidR="003467C6" w:rsidRPr="00801462" w:rsidRDefault="003467C6" w:rsidP="00742A06">
            <w:pPr>
              <w:jc w:val="both"/>
              <w:rPr>
                <w:rFonts w:ascii="Verdana" w:eastAsia="Calibri" w:hAnsi="Verdana" w:cs="Arial"/>
                <w:b/>
                <w:bCs/>
                <w:color w:val="7030A0"/>
                <w:lang w:eastAsia="es-ES"/>
              </w:rPr>
            </w:pPr>
          </w:p>
        </w:tc>
      </w:tr>
      <w:tr w:rsidR="003467C6" w:rsidRPr="002842E0" w14:paraId="750232A7" w14:textId="77777777" w:rsidTr="00742A06">
        <w:trPr>
          <w:trHeight w:val="884"/>
        </w:trPr>
        <w:tc>
          <w:tcPr>
            <w:tcW w:w="3119" w:type="dxa"/>
          </w:tcPr>
          <w:p w14:paraId="4941D5F0" w14:textId="77777777" w:rsidR="003467C6" w:rsidRPr="00801462" w:rsidRDefault="003467C6" w:rsidP="00742A06">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65D24C53" w14:textId="77777777" w:rsidR="003467C6" w:rsidRPr="003F20E6" w:rsidRDefault="003467C6" w:rsidP="003467C6">
            <w:pPr>
              <w:jc w:val="both"/>
              <w:rPr>
                <w:rFonts w:ascii="Verdana" w:hAnsi="Verdana" w:cs="Arial"/>
                <w:bCs/>
                <w:lang w:val="es-MX" w:eastAsia="es-ES" w:bidi="es-ES"/>
              </w:rPr>
            </w:pPr>
            <w:r w:rsidRPr="003F20E6">
              <w:rPr>
                <w:rFonts w:ascii="Verdana" w:eastAsia="Arial" w:hAnsi="Verdana" w:cs="Arial"/>
                <w:lang w:val="es-ES"/>
              </w:rPr>
              <w:t>PRINCIPIO DE PUBLICIDAD – Concepto – Fundamento axiológico – Fundamento constitucional</w:t>
            </w:r>
            <w:r w:rsidRPr="003F20E6">
              <w:rPr>
                <w:rFonts w:ascii="Verdana" w:hAnsi="Verdana" w:cs="Arial"/>
                <w:bCs/>
                <w:lang w:val="es-ES_tradnl" w:eastAsia="es-ES" w:bidi="es-ES"/>
              </w:rPr>
              <w:t xml:space="preserve"> / PRINCIPIO DE PUBLICIDAD – SECOP – Documentos del proceso – Deber de publicación / PRINCIPIO DE PUBLICIDAD – Ámbito de aplicación – Decreto 1081 de 2015 – Decreto 1600 de 2024 / PRINCIPIO DE PUBLICIDAD – término de publicación – interpretación armónica - documentos de ejecución  </w:t>
            </w:r>
          </w:p>
          <w:p w14:paraId="47B7E613" w14:textId="77777777" w:rsidR="003467C6" w:rsidRPr="003467C6" w:rsidRDefault="003467C6" w:rsidP="003467C6">
            <w:pPr>
              <w:jc w:val="both"/>
              <w:rPr>
                <w:rFonts w:ascii="Verdana" w:eastAsia="Calibri" w:hAnsi="Verdana" w:cs="Arial"/>
                <w:lang w:val="es-MX" w:eastAsia="es-ES"/>
              </w:rPr>
            </w:pPr>
          </w:p>
        </w:tc>
      </w:tr>
      <w:tr w:rsidR="003467C6" w:rsidRPr="002842E0" w14:paraId="3A61C902" w14:textId="77777777" w:rsidTr="00742A06">
        <w:tc>
          <w:tcPr>
            <w:tcW w:w="3119" w:type="dxa"/>
          </w:tcPr>
          <w:p w14:paraId="705E2302" w14:textId="77777777" w:rsidR="003467C6" w:rsidRPr="00801462" w:rsidRDefault="003467C6" w:rsidP="00742A06">
            <w:pPr>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6671E4C2" w14:textId="70DAB037" w:rsidR="003467C6" w:rsidRPr="00801462" w:rsidRDefault="003467C6" w:rsidP="00742A06">
            <w:pPr>
              <w:jc w:val="both"/>
              <w:rPr>
                <w:rFonts w:ascii="Verdana" w:eastAsia="Calibri" w:hAnsi="Verdana" w:cs="Arial"/>
                <w:lang w:eastAsia="es-ES_tradnl"/>
              </w:rPr>
            </w:pPr>
            <w:r w:rsidRPr="00801462">
              <w:rPr>
                <w:rFonts w:ascii="Verdana" w:eastAsia="Calibri" w:hAnsi="Verdana" w:cs="Arial"/>
                <w:lang w:eastAsia="es-ES_tradnl"/>
              </w:rPr>
              <w:t xml:space="preserve">Respuesta a consulta con radicado </w:t>
            </w:r>
            <w:r w:rsidRPr="003467C6">
              <w:rPr>
                <w:rFonts w:ascii="Verdana" w:eastAsia="Calibri" w:hAnsi="Verdana" w:cs="Arial"/>
                <w:lang w:eastAsia="es-ES_tradnl"/>
              </w:rPr>
              <w:t>1_2026_01_20_000574</w:t>
            </w:r>
            <w:r>
              <w:rPr>
                <w:rFonts w:ascii="Verdana" w:eastAsia="Calibri" w:hAnsi="Verdana" w:cs="Arial"/>
                <w:lang w:eastAsia="es-ES_tradnl"/>
              </w:rPr>
              <w:t xml:space="preserve"> </w:t>
            </w:r>
          </w:p>
        </w:tc>
      </w:tr>
    </w:tbl>
    <w:p w14:paraId="54692618" w14:textId="77777777" w:rsidR="003467C6" w:rsidRDefault="003467C6" w:rsidP="003467C6">
      <w:pPr>
        <w:spacing w:after="0" w:line="276" w:lineRule="auto"/>
        <w:jc w:val="both"/>
        <w:rPr>
          <w:rFonts w:ascii="Verdana" w:eastAsia="Calibri" w:hAnsi="Verdana" w:cs="Arial"/>
          <w:lang w:eastAsia="es-ES_tradnl"/>
        </w:rPr>
      </w:pPr>
    </w:p>
    <w:p w14:paraId="60E754C9" w14:textId="77777777" w:rsidR="003467C6" w:rsidRDefault="003467C6" w:rsidP="003467C6">
      <w:pPr>
        <w:spacing w:after="0" w:line="276" w:lineRule="auto"/>
        <w:jc w:val="both"/>
        <w:rPr>
          <w:rFonts w:ascii="Verdana" w:eastAsia="Calibri" w:hAnsi="Verdana" w:cs="Arial"/>
          <w:lang w:eastAsia="es-ES_tradnl"/>
        </w:rPr>
      </w:pPr>
    </w:p>
    <w:p w14:paraId="25AC9CB4" w14:textId="76702C2A" w:rsidR="003467C6" w:rsidRPr="008E4F36" w:rsidRDefault="003467C6" w:rsidP="003467C6">
      <w:pPr>
        <w:spacing w:after="0" w:line="276" w:lineRule="auto"/>
        <w:jc w:val="both"/>
        <w:rPr>
          <w:rFonts w:ascii="Verdana" w:eastAsia="Calibri" w:hAnsi="Verdana" w:cs="Arial"/>
          <w:lang w:eastAsia="es-ES"/>
        </w:rPr>
      </w:pPr>
      <w:r w:rsidRPr="00083AB6">
        <w:rPr>
          <w:rFonts w:ascii="Verdana" w:eastAsia="Calibri" w:hAnsi="Verdana" w:cs="Arial"/>
          <w:lang w:eastAsia="es-ES"/>
        </w:rPr>
        <w:t>Estimado señor</w:t>
      </w:r>
      <w:r>
        <w:rPr>
          <w:rFonts w:ascii="Verdana" w:eastAsia="Calibri" w:hAnsi="Verdana" w:cs="Arial"/>
          <w:lang w:eastAsia="es-ES"/>
        </w:rPr>
        <w:t xml:space="preserve"> Bernal:</w:t>
      </w:r>
      <w:r w:rsidRPr="008E4F36">
        <w:rPr>
          <w:rFonts w:ascii="Verdana" w:eastAsia="Calibri" w:hAnsi="Verdana" w:cs="Arial"/>
          <w:lang w:eastAsia="es-ES"/>
        </w:rPr>
        <w:t xml:space="preserve"> </w:t>
      </w:r>
    </w:p>
    <w:p w14:paraId="6A047EA1" w14:textId="77777777" w:rsidR="003467C6" w:rsidRDefault="003467C6" w:rsidP="003467C6">
      <w:pPr>
        <w:tabs>
          <w:tab w:val="left" w:pos="3768"/>
        </w:tabs>
        <w:spacing w:after="0" w:line="240" w:lineRule="auto"/>
        <w:jc w:val="both"/>
        <w:rPr>
          <w:rFonts w:ascii="Verdana" w:eastAsia="Calibri" w:hAnsi="Verdana" w:cs="Arial"/>
          <w:lang w:eastAsia="es-ES"/>
        </w:rPr>
      </w:pPr>
    </w:p>
    <w:p w14:paraId="497ACD24" w14:textId="45646A04" w:rsidR="003467C6" w:rsidRPr="008E4F36" w:rsidRDefault="003467C6" w:rsidP="003467C6">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Pr>
          <w:rFonts w:ascii="Verdana" w:eastAsia="Calibri" w:hAnsi="Verdana" w:cs="Arial"/>
          <w:lang w:eastAsia="es-ES"/>
        </w:rPr>
        <w:t>20</w:t>
      </w:r>
      <w:r w:rsidRPr="00AF6D58">
        <w:rPr>
          <w:rFonts w:ascii="Verdana" w:eastAsia="Calibri" w:hAnsi="Verdana" w:cs="Arial"/>
          <w:lang w:eastAsia="es-ES"/>
        </w:rPr>
        <w:t xml:space="preserve"> de </w:t>
      </w:r>
      <w:r>
        <w:rPr>
          <w:rFonts w:ascii="Verdana" w:eastAsia="Calibri" w:hAnsi="Verdana" w:cs="Arial"/>
          <w:lang w:eastAsia="es-ES"/>
        </w:rPr>
        <w:t>enero</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en la cual manifiesta lo siguiente:</w:t>
      </w:r>
    </w:p>
    <w:p w14:paraId="071CB214" w14:textId="77777777" w:rsidR="003467C6" w:rsidRPr="008E4F36" w:rsidRDefault="003467C6" w:rsidP="003467C6">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6E3F6E44" w14:textId="29B688FC" w:rsidR="003467C6" w:rsidRPr="009D3894" w:rsidRDefault="003467C6" w:rsidP="003467C6">
      <w:pPr>
        <w:spacing w:after="0" w:line="240" w:lineRule="auto"/>
        <w:ind w:left="720"/>
        <w:jc w:val="both"/>
        <w:rPr>
          <w:i/>
          <w:iCs/>
        </w:rPr>
      </w:pPr>
      <w:bookmarkStart w:id="2" w:name="_Hlk192699624"/>
      <w:bookmarkStart w:id="3" w:name="_Hlk199394899"/>
      <w:r>
        <w:rPr>
          <w:rFonts w:ascii="Verdana" w:eastAsia="Century Gothic" w:hAnsi="Verdana" w:cs="Century Gothic"/>
          <w:sz w:val="20"/>
          <w:szCs w:val="20"/>
        </w:rPr>
        <w:t>“</w:t>
      </w:r>
      <w:bookmarkEnd w:id="2"/>
      <w:bookmarkEnd w:id="3"/>
      <w:r w:rsidRPr="009D3894">
        <w:rPr>
          <w:i/>
          <w:iCs/>
          <w:lang w:val="es-MX"/>
        </w:rPr>
        <w:t xml:space="preserve">Por éste medio, solicito se conceptúe sobre el siguiente tema, el cual, no se trata de un asunto particular en concreto, sino, de una circunstancia genérica y abstracta que sucede en asuntos propios del </w:t>
      </w:r>
      <w:proofErr w:type="spellStart"/>
      <w:r w:rsidRPr="009D3894">
        <w:rPr>
          <w:i/>
          <w:iCs/>
          <w:lang w:val="es-MX"/>
        </w:rPr>
        <w:t>Estuto</w:t>
      </w:r>
      <w:proofErr w:type="spellEnd"/>
      <w:r w:rsidRPr="009D3894">
        <w:rPr>
          <w:i/>
          <w:iCs/>
          <w:lang w:val="es-MX"/>
        </w:rPr>
        <w:t xml:space="preserve"> General de la Contratación Pública:</w:t>
      </w:r>
    </w:p>
    <w:p w14:paraId="12762230" w14:textId="77777777" w:rsidR="003467C6" w:rsidRPr="003467C6" w:rsidRDefault="003467C6" w:rsidP="003467C6">
      <w:pPr>
        <w:spacing w:after="0" w:line="240" w:lineRule="auto"/>
        <w:ind w:left="720"/>
        <w:jc w:val="both"/>
        <w:rPr>
          <w:i/>
          <w:iCs/>
        </w:rPr>
      </w:pPr>
      <w:r w:rsidRPr="003467C6">
        <w:rPr>
          <w:i/>
          <w:iCs/>
          <w:lang w:val="es-MX"/>
        </w:rPr>
        <w:lastRenderedPageBreak/>
        <w:br/>
      </w:r>
    </w:p>
    <w:p w14:paraId="590A4C19" w14:textId="75FE7B98" w:rsidR="003467C6" w:rsidRPr="003467C6" w:rsidRDefault="003467C6" w:rsidP="003467C6">
      <w:pPr>
        <w:spacing w:after="0" w:line="240" w:lineRule="auto"/>
        <w:ind w:left="720"/>
        <w:jc w:val="both"/>
        <w:rPr>
          <w:i/>
          <w:iCs/>
        </w:rPr>
      </w:pPr>
      <w:r w:rsidRPr="003467C6">
        <w:rPr>
          <w:b/>
          <w:bCs/>
          <w:i/>
          <w:iCs/>
        </w:rPr>
        <w:t>En virtud del literal b) del artículo 2.1.4.3.2.2. del Decreto 1600 de 2024 ¿el plazo para publicación de documentos y actos administrativos del proceso de contratación es de 10 días o de 3 días conforme lo indica el artículo 2.2.1.1.1.7.1. del Decreto 1082 de 2015?</w:t>
      </w:r>
      <w:r w:rsidRPr="009D3894">
        <w:rPr>
          <w:b/>
          <w:bCs/>
          <w:i/>
          <w:iCs/>
        </w:rPr>
        <w:t>.” (SIC)</w:t>
      </w:r>
    </w:p>
    <w:p w14:paraId="15DAD4C2" w14:textId="77777777" w:rsidR="003467C6" w:rsidRPr="008E4F36" w:rsidRDefault="003467C6" w:rsidP="003467C6">
      <w:pPr>
        <w:spacing w:after="0" w:line="240" w:lineRule="auto"/>
        <w:ind w:right="709"/>
        <w:jc w:val="both"/>
        <w:rPr>
          <w:rFonts w:ascii="Verdana" w:hAnsi="Verdana"/>
          <w:sz w:val="20"/>
          <w:szCs w:val="20"/>
        </w:rPr>
      </w:pPr>
    </w:p>
    <w:p w14:paraId="0720C95B" w14:textId="77777777" w:rsidR="003467C6" w:rsidRDefault="003467C6" w:rsidP="003467C6">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0FD9685A" w14:textId="77777777" w:rsidR="003467C6" w:rsidRPr="00054383" w:rsidRDefault="003467C6" w:rsidP="003467C6">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2284F254" w14:textId="77777777" w:rsidR="003467C6" w:rsidRPr="008E4F36" w:rsidRDefault="003467C6" w:rsidP="003467C6">
      <w:pPr>
        <w:spacing w:after="0"/>
        <w:ind w:firstLine="709"/>
        <w:jc w:val="both"/>
        <w:rPr>
          <w:rFonts w:ascii="Verdana" w:eastAsia="Calibri" w:hAnsi="Verdana" w:cs="Arial"/>
          <w:color w:val="000000"/>
          <w:lang w:eastAsia="es-ES"/>
        </w:rPr>
      </w:pPr>
    </w:p>
    <w:p w14:paraId="61514BBE" w14:textId="77777777" w:rsidR="003467C6" w:rsidRDefault="003467C6" w:rsidP="003467C6">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06D39FF4" w14:textId="77777777" w:rsidR="003467C6" w:rsidRDefault="003467C6" w:rsidP="003467C6">
      <w:pPr>
        <w:spacing w:after="0" w:line="276" w:lineRule="auto"/>
        <w:jc w:val="both"/>
        <w:rPr>
          <w:rFonts w:ascii="Verdana" w:eastAsia="Calibri" w:hAnsi="Verdana" w:cs="Arial"/>
          <w:color w:val="000000"/>
          <w:highlight w:val="yellow"/>
          <w:lang w:eastAsia="es-ES"/>
        </w:rPr>
      </w:pPr>
    </w:p>
    <w:p w14:paraId="7FAC04A4" w14:textId="6E9EF439" w:rsidR="003467C6" w:rsidRPr="005A3B40" w:rsidRDefault="003467C6" w:rsidP="003467C6">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 </w:t>
      </w:r>
      <w:r>
        <w:rPr>
          <w:rFonts w:ascii="Verdana" w:eastAsia="Calibri" w:hAnsi="Verdana" w:cs="Arial"/>
          <w:color w:val="000000"/>
          <w:lang w:eastAsia="es-ES"/>
        </w:rPr>
        <w:t>¡)</w:t>
      </w:r>
      <w:r w:rsidRPr="003467C6">
        <w:rPr>
          <w:rFonts w:ascii="Verdana" w:eastAsia="Calibri" w:hAnsi="Verdana" w:cs="Times New Roman"/>
        </w:rPr>
        <w:t xml:space="preserve"> </w:t>
      </w:r>
      <w:r w:rsidRPr="007D1A48">
        <w:rPr>
          <w:rFonts w:ascii="Verdana" w:eastAsia="Calibri" w:hAnsi="Verdana" w:cs="Times New Roman"/>
        </w:rPr>
        <w:t xml:space="preserve">Cuál es el ámbito de aplicación y el término para publicar los contratos y los documentos del proceso </w:t>
      </w:r>
      <w:r w:rsidRPr="007D1A48">
        <w:rPr>
          <w:rFonts w:ascii="Verdana" w:eastAsia="Calibri" w:hAnsi="Verdana" w:cs="Times New Roman"/>
          <w:bCs/>
        </w:rPr>
        <w:t xml:space="preserve">en SECOP, teniendo en cuenta lo dispuesto en el Decreto 1081, modificado por el artículo </w:t>
      </w:r>
      <w:r w:rsidRPr="00E47CAB">
        <w:rPr>
          <w:rFonts w:ascii="Verdana" w:hAnsi="Verdana" w:cs="Arial"/>
          <w:bCs/>
          <w:lang w:eastAsia="es-ES" w:bidi="es-ES"/>
        </w:rPr>
        <w:t xml:space="preserve">2.1.4.3.2.2. </w:t>
      </w:r>
      <w:r>
        <w:rPr>
          <w:rFonts w:ascii="Verdana" w:hAnsi="Verdana" w:cs="Arial"/>
          <w:bCs/>
          <w:lang w:eastAsia="es-ES" w:bidi="es-ES"/>
        </w:rPr>
        <w:t>del</w:t>
      </w:r>
      <w:r w:rsidRPr="00E47CAB">
        <w:rPr>
          <w:rFonts w:ascii="Verdana" w:hAnsi="Verdana" w:cs="Arial"/>
          <w:bCs/>
          <w:lang w:eastAsia="es-ES" w:bidi="es-ES"/>
        </w:rPr>
        <w:t xml:space="preserve"> </w:t>
      </w:r>
      <w:r w:rsidRPr="007D1A48">
        <w:rPr>
          <w:rFonts w:ascii="Verdana" w:eastAsia="Calibri" w:hAnsi="Verdana" w:cs="Times New Roman"/>
          <w:bCs/>
        </w:rPr>
        <w:t>Decreto 1600 de 2024?</w:t>
      </w:r>
      <w:r>
        <w:rPr>
          <w:rFonts w:ascii="Verdana" w:eastAsia="Calibri" w:hAnsi="Verdana" w:cs="Times New Roman"/>
          <w:bCs/>
        </w:rPr>
        <w:t xml:space="preserve"> </w:t>
      </w:r>
    </w:p>
    <w:p w14:paraId="053AFFD8" w14:textId="77777777" w:rsidR="003467C6" w:rsidRPr="00BF422F" w:rsidRDefault="003467C6" w:rsidP="003467C6">
      <w:pPr>
        <w:spacing w:after="0" w:line="276" w:lineRule="auto"/>
        <w:jc w:val="both"/>
        <w:rPr>
          <w:rFonts w:ascii="Verdana" w:eastAsia="Calibri" w:hAnsi="Verdana" w:cs="Times New Roman"/>
          <w:i/>
          <w:iCs/>
          <w:lang w:val="es-ES"/>
        </w:rPr>
      </w:pPr>
    </w:p>
    <w:p w14:paraId="4375A31D" w14:textId="77777777" w:rsidR="003467C6" w:rsidRPr="008E4F36" w:rsidRDefault="003467C6" w:rsidP="003467C6">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12FF585E" w14:textId="77777777" w:rsidR="003467C6" w:rsidRPr="008E4F36" w:rsidRDefault="003467C6" w:rsidP="003467C6">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3467C6" w:rsidRPr="008E4F36" w14:paraId="2CF22C73" w14:textId="77777777" w:rsidTr="00742A06">
        <w:tc>
          <w:tcPr>
            <w:tcW w:w="8828" w:type="dxa"/>
          </w:tcPr>
          <w:p w14:paraId="2D39AE94" w14:textId="77777777" w:rsidR="003467C6" w:rsidRPr="000A2438" w:rsidRDefault="003467C6" w:rsidP="003467C6">
            <w:pPr>
              <w:spacing w:after="120" w:line="276" w:lineRule="auto"/>
              <w:jc w:val="both"/>
              <w:rPr>
                <w:rFonts w:ascii="Verdana" w:eastAsia="Calibri" w:hAnsi="Verdana" w:cs="Arial"/>
                <w:bCs/>
                <w:iCs/>
                <w:lang w:eastAsia="es-ES_tradnl"/>
              </w:rPr>
            </w:pPr>
            <w:r w:rsidRPr="000A2438">
              <w:rPr>
                <w:rFonts w:ascii="Verdana" w:eastAsia="Calibri" w:hAnsi="Verdana" w:cs="Arial"/>
                <w:lang w:val="es-ES" w:eastAsia="es-ES_tradnl"/>
              </w:rPr>
              <w:t>Respecto al problema jurídico planteado en su consulta,</w:t>
            </w:r>
            <w:r w:rsidRPr="000A2438">
              <w:rPr>
                <w:rFonts w:ascii="Verdana" w:eastAsia="Calibri" w:hAnsi="Verdana" w:cs="Arial"/>
                <w:lang w:val="es-ES_tradnl" w:eastAsia="es-ES_tradnl"/>
              </w:rPr>
              <w:t xml:space="preserve"> </w:t>
            </w:r>
            <w:r w:rsidRPr="000A2438">
              <w:rPr>
                <w:rFonts w:ascii="Verdana" w:eastAsia="Calibri" w:hAnsi="Verdana" w:cs="Arial"/>
                <w:bCs/>
                <w:lang w:eastAsia="es-ES_tradnl"/>
              </w:rPr>
              <w:t>se señala que el literal b)</w:t>
            </w:r>
            <w:r w:rsidRPr="00E47CAB">
              <w:rPr>
                <w:rFonts w:ascii="Verdana" w:eastAsia="Calibri" w:hAnsi="Verdana" w:cs="Arial"/>
                <w:bCs/>
                <w:iCs/>
                <w:lang w:eastAsia="es-ES_tradnl"/>
              </w:rPr>
              <w:t xml:space="preserve"> del artículo 2.1.4.3.2.2 del Decreto 1081 de 2015 modificado por el Decreto 1600 de 2024</w:t>
            </w:r>
            <w:r w:rsidRPr="000A2438">
              <w:rPr>
                <w:rFonts w:ascii="Verdana" w:eastAsia="Calibri" w:hAnsi="Verdana" w:cs="Arial"/>
                <w:bCs/>
                <w:lang w:eastAsia="es-ES_tradnl"/>
              </w:rPr>
              <w:t xml:space="preserve"> </w:t>
            </w:r>
            <w:r w:rsidRPr="000A2438">
              <w:rPr>
                <w:rFonts w:ascii="Verdana" w:eastAsia="Calibri" w:hAnsi="Verdana" w:cs="Arial"/>
                <w:bCs/>
                <w:iCs/>
                <w:lang w:eastAsia="es-ES_tradnl"/>
              </w:rPr>
              <w:t xml:space="preserve">establece dos subreglas. La </w:t>
            </w:r>
            <w:r w:rsidRPr="00E47CAB">
              <w:rPr>
                <w:rFonts w:ascii="Verdana" w:eastAsia="Calibri" w:hAnsi="Verdana" w:cs="Arial"/>
                <w:bCs/>
                <w:i/>
                <w:lang w:eastAsia="es-ES_tradnl"/>
              </w:rPr>
              <w:t>primera</w:t>
            </w:r>
            <w:r w:rsidRPr="000A2438">
              <w:rPr>
                <w:rFonts w:ascii="Verdana" w:eastAsia="Calibri" w:hAnsi="Verdana" w:cs="Arial"/>
                <w:bCs/>
                <w:iCs/>
                <w:lang w:eastAsia="es-ES_tradnl"/>
              </w:rPr>
              <w:t xml:space="preserve"> está contenida en un primer aparte que dispone: “</w:t>
            </w:r>
            <w:r w:rsidRPr="00E47CAB">
              <w:rPr>
                <w:rFonts w:ascii="Verdana" w:eastAsia="Calibri" w:hAnsi="Verdana" w:cs="Arial"/>
                <w:bCs/>
                <w:i/>
                <w:iCs/>
                <w:lang w:eastAsia="es-ES_tradnl"/>
              </w:rPr>
              <w:t>Información detallada de los contratos que suscriban, incluyendo, como mínimo: valor del contrato, objeto contractual, identidad del contratista seleccionado; así como el enlace directo al proceso en el Sistema Electrónico de Contratación Pública (SECOP)”</w:t>
            </w:r>
            <w:r>
              <w:rPr>
                <w:rFonts w:ascii="Verdana" w:eastAsia="Calibri" w:hAnsi="Verdana" w:cs="Arial"/>
                <w:bCs/>
                <w:i/>
                <w:iCs/>
                <w:lang w:eastAsia="es-ES_tradnl"/>
              </w:rPr>
              <w:t xml:space="preserve">. </w:t>
            </w:r>
            <w:r>
              <w:rPr>
                <w:rFonts w:ascii="Verdana" w:eastAsia="Calibri" w:hAnsi="Verdana" w:cs="Arial"/>
                <w:bCs/>
                <w:lang w:eastAsia="es-ES_tradnl"/>
              </w:rPr>
              <w:t>Este apartado</w:t>
            </w:r>
            <w:r w:rsidRPr="00E47CAB">
              <w:rPr>
                <w:rFonts w:ascii="Verdana" w:eastAsia="Calibri" w:hAnsi="Verdana" w:cs="Arial"/>
                <w:bCs/>
                <w:i/>
                <w:iCs/>
                <w:lang w:eastAsia="es-ES_tradnl"/>
              </w:rPr>
              <w:t xml:space="preserve"> </w:t>
            </w:r>
            <w:r w:rsidRPr="00E47CAB">
              <w:rPr>
                <w:rFonts w:ascii="Verdana" w:eastAsia="Calibri" w:hAnsi="Verdana" w:cs="Arial"/>
                <w:bCs/>
                <w:lang w:eastAsia="es-ES_tradnl"/>
              </w:rPr>
              <w:t>implica el</w:t>
            </w:r>
            <w:r w:rsidRPr="000A2438">
              <w:rPr>
                <w:rFonts w:ascii="Verdana" w:eastAsia="Calibri" w:hAnsi="Verdana" w:cs="Arial"/>
                <w:bCs/>
                <w:iCs/>
                <w:lang w:eastAsia="es-ES_tradnl"/>
              </w:rPr>
              <w:t xml:space="preserve"> mandato </w:t>
            </w:r>
            <w:r>
              <w:rPr>
                <w:rFonts w:ascii="Verdana" w:eastAsia="Calibri" w:hAnsi="Verdana" w:cs="Arial"/>
                <w:bCs/>
                <w:iCs/>
                <w:lang w:eastAsia="es-ES_tradnl"/>
              </w:rPr>
              <w:t xml:space="preserve">dirigido a los sujetos obligados </w:t>
            </w:r>
            <w:r w:rsidRPr="000A2438">
              <w:rPr>
                <w:rFonts w:ascii="Verdana" w:eastAsia="Calibri" w:hAnsi="Verdana" w:cs="Arial"/>
                <w:bCs/>
                <w:iCs/>
                <w:lang w:eastAsia="es-ES_tradnl"/>
              </w:rPr>
              <w:t>de publicar en página web la información detallada de los contratos celebrados, incluyendo su valor, objeto, identidad del contratista seleccionado, así como el enlace en el SECOP.</w:t>
            </w:r>
          </w:p>
          <w:p w14:paraId="18EB378A" w14:textId="77777777" w:rsidR="003467C6" w:rsidRPr="000A2438" w:rsidRDefault="003467C6" w:rsidP="003467C6">
            <w:pPr>
              <w:spacing w:after="120" w:line="276" w:lineRule="auto"/>
              <w:ind w:firstLine="709"/>
              <w:jc w:val="both"/>
              <w:rPr>
                <w:rFonts w:ascii="Verdana" w:eastAsia="Calibri" w:hAnsi="Verdana" w:cs="Arial"/>
                <w:bCs/>
                <w:lang w:eastAsia="es-ES_tradnl"/>
              </w:rPr>
            </w:pPr>
            <w:r w:rsidRPr="000A2438">
              <w:rPr>
                <w:rFonts w:ascii="Verdana" w:eastAsia="Calibri" w:hAnsi="Verdana" w:cs="Arial"/>
                <w:bCs/>
                <w:iCs/>
                <w:lang w:eastAsia="es-ES_tradnl"/>
              </w:rPr>
              <w:t xml:space="preserve">Una </w:t>
            </w:r>
            <w:r w:rsidRPr="00E47CAB">
              <w:rPr>
                <w:rFonts w:ascii="Verdana" w:eastAsia="Calibri" w:hAnsi="Verdana" w:cs="Arial"/>
                <w:bCs/>
                <w:i/>
                <w:lang w:eastAsia="es-ES_tradnl"/>
              </w:rPr>
              <w:t>segunda</w:t>
            </w:r>
            <w:r w:rsidRPr="000A2438">
              <w:rPr>
                <w:rFonts w:ascii="Verdana" w:eastAsia="Calibri" w:hAnsi="Verdana" w:cs="Arial"/>
                <w:bCs/>
                <w:iCs/>
                <w:lang w:eastAsia="es-ES_tradnl"/>
              </w:rPr>
              <w:t xml:space="preserve"> subregla que prescribe</w:t>
            </w:r>
            <w:r w:rsidRPr="000A2438">
              <w:rPr>
                <w:rFonts w:ascii="Verdana" w:eastAsia="Calibri" w:hAnsi="Verdana" w:cs="Arial"/>
                <w:bCs/>
                <w:lang w:eastAsia="es-ES_tradnl"/>
              </w:rPr>
              <w:t xml:space="preserve">: </w:t>
            </w:r>
            <w:r w:rsidRPr="000A2438">
              <w:rPr>
                <w:rFonts w:ascii="Verdana" w:eastAsia="Calibri" w:hAnsi="Verdana" w:cs="Arial"/>
                <w:bCs/>
                <w:i/>
                <w:lang w:eastAsia="es-ES_tradnl"/>
              </w:rPr>
              <w:t>“</w:t>
            </w:r>
            <w:r w:rsidRPr="000A2438">
              <w:rPr>
                <w:rFonts w:ascii="Verdana" w:eastAsia="Calibri" w:hAnsi="Verdana" w:cs="Arial"/>
                <w:bCs/>
                <w:i/>
                <w:iCs/>
                <w:lang w:eastAsia="es-ES_tradnl"/>
              </w:rPr>
              <w:t>En SECOP, además, debe estar publicada la información de ejecución del contrato, esto es, informes de supervisión e interventoría, actas de liquidación, requerimientos, etc. Esta información debe ser publicada dentro de los diez (10) días siguientes a la suscripción del contrato u ocurrencia del hecho. En ningún caso la información contractual podrá tener un rezago mayor a diez (10) días”.</w:t>
            </w:r>
            <w:r w:rsidRPr="000A2438">
              <w:rPr>
                <w:rFonts w:ascii="Verdana" w:eastAsia="Calibri" w:hAnsi="Verdana" w:cs="Arial"/>
                <w:bCs/>
                <w:lang w:eastAsia="es-ES_tradnl"/>
              </w:rPr>
              <w:t xml:space="preserve"> Esta subregla </w:t>
            </w:r>
            <w:r w:rsidRPr="00E47CAB">
              <w:rPr>
                <w:rFonts w:ascii="Verdana" w:eastAsia="Calibri" w:hAnsi="Verdana" w:cs="Arial"/>
                <w:bCs/>
                <w:iCs/>
                <w:lang w:eastAsia="es-ES_tradnl"/>
              </w:rPr>
              <w:t>prescribe el deber de publicar la información de ejecución del contrato, es decir, los informes de supervisión e interventoría, actas de liquidación, requerimientos, entre otros. Ahora bien, dicho literal también establece que esta información debe publicarse dentro de los diez (10) días siguientes a la</w:t>
            </w:r>
            <w:r>
              <w:rPr>
                <w:rFonts w:ascii="Verdana" w:eastAsia="Calibri" w:hAnsi="Verdana" w:cs="Arial"/>
                <w:bCs/>
                <w:iCs/>
                <w:lang w:eastAsia="es-ES_tradnl"/>
              </w:rPr>
              <w:t xml:space="preserve"> suscripción del contrato u</w:t>
            </w:r>
            <w:r w:rsidRPr="00E47CAB">
              <w:rPr>
                <w:rFonts w:ascii="Verdana" w:eastAsia="Calibri" w:hAnsi="Verdana" w:cs="Arial"/>
                <w:bCs/>
                <w:iCs/>
                <w:lang w:eastAsia="es-ES_tradnl"/>
              </w:rPr>
              <w:t xml:space="preserve"> ocurrencia del hecho, y en ningún caso puede haber retraso para el cumplimiento de este término, esto es, establece un límite máximo de publicación para los documentos de ejecución del contrato.</w:t>
            </w:r>
          </w:p>
          <w:p w14:paraId="12BE5F75" w14:textId="77777777" w:rsidR="003467C6" w:rsidRDefault="003467C6" w:rsidP="003467C6">
            <w:pPr>
              <w:spacing w:after="120" w:line="276" w:lineRule="auto"/>
              <w:ind w:firstLine="708"/>
              <w:jc w:val="both"/>
              <w:rPr>
                <w:rFonts w:ascii="Verdana" w:eastAsia="Calibri" w:hAnsi="Verdana" w:cs="Arial"/>
                <w:bCs/>
                <w:iCs/>
                <w:lang w:eastAsia="es-ES_tradnl"/>
              </w:rPr>
            </w:pPr>
            <w:r w:rsidRPr="00E47CAB">
              <w:rPr>
                <w:rFonts w:ascii="Verdana" w:eastAsia="Calibri" w:hAnsi="Verdana" w:cs="Arial"/>
                <w:bCs/>
                <w:iCs/>
                <w:lang w:eastAsia="es-ES_tradnl"/>
              </w:rPr>
              <w:t>No obstante, este artículo parece contradecirse, en un principio, con lo dispuesto en el artículo 2.2.1.1.1.7.1. del Decreto 1082 de 2015 que establece que la Entidad Estatal está obligada a publicar en el SECOP los Documentos del Proceso y los actos administrativos del Proceso de Contratación, dentro de los tres (3) días siguientes a su expedición</w:t>
            </w:r>
            <w:r>
              <w:rPr>
                <w:rFonts w:ascii="Verdana" w:eastAsia="Calibri" w:hAnsi="Verdana" w:cs="Arial"/>
                <w:bCs/>
                <w:iCs/>
                <w:lang w:eastAsia="es-ES_tradnl"/>
              </w:rPr>
              <w:t>. A</w:t>
            </w:r>
            <w:r w:rsidRPr="00E47CAB">
              <w:rPr>
                <w:rFonts w:ascii="Verdana" w:eastAsia="Calibri" w:hAnsi="Verdana" w:cs="Arial"/>
                <w:bCs/>
                <w:iCs/>
                <w:lang w:eastAsia="es-ES_tradnl"/>
              </w:rPr>
              <w:t xml:space="preserve">demás, dispone que la oferta que debe publicarse es la del adjudicatario del Proceso de Contratación, y que los documentos de las operaciones que se realicen en bolsa de productos no tienen que publicarse en el SECOP. </w:t>
            </w:r>
          </w:p>
          <w:p w14:paraId="2C60D96E" w14:textId="77777777" w:rsidR="003467C6" w:rsidRPr="00E47CAB" w:rsidRDefault="003467C6" w:rsidP="003467C6">
            <w:pPr>
              <w:spacing w:after="120" w:line="276" w:lineRule="auto"/>
              <w:ind w:firstLine="708"/>
              <w:jc w:val="both"/>
              <w:rPr>
                <w:rFonts w:ascii="Verdana" w:eastAsia="Calibri" w:hAnsi="Verdana" w:cs="Arial"/>
                <w:bCs/>
                <w:iCs/>
                <w:lang w:val="es-ES_tradnl" w:eastAsia="es-ES_tradnl"/>
              </w:rPr>
            </w:pPr>
            <w:r w:rsidRPr="00E47CAB">
              <w:rPr>
                <w:rFonts w:ascii="Verdana" w:eastAsia="Calibri" w:hAnsi="Verdana" w:cs="Arial"/>
                <w:bCs/>
                <w:iCs/>
                <w:lang w:eastAsia="es-ES_tradnl"/>
              </w:rPr>
              <w:lastRenderedPageBreak/>
              <w:t xml:space="preserve">En este escenario, en un principio, </w:t>
            </w:r>
            <w:r w:rsidRPr="00AF6A7D">
              <w:rPr>
                <w:rFonts w:ascii="Verdana" w:eastAsia="Calibri" w:hAnsi="Verdana" w:cs="Arial"/>
                <w:bCs/>
                <w:iCs/>
                <w:lang w:eastAsia="es-ES_tradnl"/>
              </w:rPr>
              <w:t>parece</w:t>
            </w:r>
            <w:r>
              <w:rPr>
                <w:rFonts w:ascii="Verdana" w:eastAsia="Calibri" w:hAnsi="Verdana" w:cs="Arial"/>
                <w:bCs/>
                <w:iCs/>
                <w:lang w:eastAsia="es-ES_tradnl"/>
              </w:rPr>
              <w:t xml:space="preserve"> que existe </w:t>
            </w:r>
            <w:r w:rsidRPr="00E47CAB">
              <w:rPr>
                <w:rFonts w:ascii="Verdana" w:eastAsia="Calibri" w:hAnsi="Verdana" w:cs="Arial"/>
                <w:bCs/>
                <w:iCs/>
                <w:lang w:eastAsia="es-ES_tradnl"/>
              </w:rPr>
              <w:t xml:space="preserve">un </w:t>
            </w:r>
            <w:r w:rsidRPr="00E47CAB">
              <w:rPr>
                <w:rFonts w:ascii="Verdana" w:eastAsia="Calibri" w:hAnsi="Verdana" w:cs="Arial"/>
                <w:bCs/>
                <w:iCs/>
                <w:lang w:val="es-ES_tradnl" w:eastAsia="es-ES_tradnl"/>
              </w:rPr>
              <w:t xml:space="preserve">conflicto entre la </w:t>
            </w:r>
            <w:r w:rsidRPr="00E47CAB">
              <w:rPr>
                <w:rFonts w:ascii="Verdana" w:eastAsia="Calibri" w:hAnsi="Verdana" w:cs="Arial"/>
                <w:bCs/>
                <w:i/>
                <w:iCs/>
                <w:lang w:val="es-ES_tradnl" w:eastAsia="es-ES_tradnl"/>
              </w:rPr>
              <w:t>regla general dispuesta en el Decreto 1082 de 2015</w:t>
            </w:r>
            <w:r w:rsidRPr="00E47CAB">
              <w:rPr>
                <w:rFonts w:ascii="Verdana" w:eastAsia="Calibri" w:hAnsi="Verdana" w:cs="Arial"/>
                <w:bCs/>
                <w:iCs/>
                <w:lang w:val="es-ES_tradnl" w:eastAsia="es-ES_tradnl"/>
              </w:rPr>
              <w:t xml:space="preserve"> y la </w:t>
            </w:r>
            <w:r w:rsidRPr="00E47CAB">
              <w:rPr>
                <w:rFonts w:ascii="Verdana" w:eastAsia="Calibri" w:hAnsi="Verdana" w:cs="Arial"/>
                <w:bCs/>
                <w:i/>
                <w:iCs/>
                <w:lang w:val="es-ES_tradnl" w:eastAsia="es-ES_tradnl"/>
              </w:rPr>
              <w:t>regla especial que dispone un término máximo para publicar la información para entidades del orden nacional</w:t>
            </w:r>
            <w:r w:rsidRPr="00E47CAB">
              <w:rPr>
                <w:rFonts w:ascii="Verdana" w:eastAsia="Calibri" w:hAnsi="Verdana" w:cs="Arial"/>
                <w:bCs/>
                <w:iCs/>
                <w:lang w:val="es-ES_tradnl" w:eastAsia="es-ES_tradnl"/>
              </w:rPr>
              <w:t>, siendo necesario acudir a</w:t>
            </w:r>
            <w:r>
              <w:rPr>
                <w:rFonts w:ascii="Verdana" w:eastAsia="Calibri" w:hAnsi="Verdana" w:cs="Arial"/>
                <w:bCs/>
                <w:iCs/>
                <w:lang w:val="es-ES_tradnl" w:eastAsia="es-ES_tradnl"/>
              </w:rPr>
              <w:t xml:space="preserve"> una regla de interpretación jurídica</w:t>
            </w:r>
            <w:r w:rsidRPr="00E47CAB">
              <w:rPr>
                <w:rFonts w:ascii="Verdana" w:eastAsia="Calibri" w:hAnsi="Verdana" w:cs="Arial"/>
                <w:bCs/>
                <w:iCs/>
                <w:lang w:val="es-ES_tradnl" w:eastAsia="es-ES_tradnl"/>
              </w:rPr>
              <w:t xml:space="preserve"> con fundamento en el artículo 5.1 de la Ley 57 de 1887. Según esta norma, “[…] Si en los Códigos que se adoptan se hallaren algunas disposiciones incompatibles entre sí […] </w:t>
            </w:r>
            <w:r w:rsidRPr="00E47CAB">
              <w:rPr>
                <w:rFonts w:ascii="Verdana" w:eastAsia="Calibri" w:hAnsi="Verdana" w:cs="Arial"/>
                <w:bCs/>
                <w:i/>
                <w:iCs/>
                <w:lang w:val="es-ES_tradnl" w:eastAsia="es-ES_tradnl"/>
              </w:rPr>
              <w:t>La disposición relativa a un asunto especial prefiere a la que tenga carácter general</w:t>
            </w:r>
            <w:r w:rsidRPr="00E47CAB">
              <w:rPr>
                <w:rFonts w:ascii="Verdana" w:eastAsia="Calibri" w:hAnsi="Verdana" w:cs="Arial"/>
                <w:bCs/>
                <w:iCs/>
                <w:lang w:val="es-ES_tradnl" w:eastAsia="es-ES_tradnl"/>
              </w:rPr>
              <w:t xml:space="preserve"> […]” (Énfasis fuera de texto). </w:t>
            </w:r>
          </w:p>
          <w:p w14:paraId="1A822735" w14:textId="77777777" w:rsidR="003467C6" w:rsidRDefault="003467C6" w:rsidP="003467C6">
            <w:pPr>
              <w:spacing w:after="120" w:line="276" w:lineRule="auto"/>
              <w:ind w:firstLine="708"/>
              <w:jc w:val="both"/>
              <w:rPr>
                <w:rFonts w:ascii="Verdana" w:eastAsia="Calibri" w:hAnsi="Verdana" w:cs="Arial"/>
                <w:bCs/>
                <w:iCs/>
                <w:lang w:val="es-ES_tradnl" w:eastAsia="es-ES_tradnl"/>
              </w:rPr>
            </w:pPr>
            <w:r w:rsidRPr="00E47CAB">
              <w:rPr>
                <w:rFonts w:ascii="Verdana" w:eastAsia="Calibri" w:hAnsi="Verdana" w:cs="Arial"/>
                <w:bCs/>
                <w:iCs/>
                <w:lang w:val="es-ES_tradnl" w:eastAsia="es-ES_tradnl"/>
              </w:rPr>
              <w:t xml:space="preserve">Por tanto, la regla dispuesta en el </w:t>
            </w:r>
            <w:r w:rsidRPr="00E47CAB">
              <w:rPr>
                <w:rFonts w:ascii="Verdana" w:eastAsia="Calibri" w:hAnsi="Verdana" w:cs="Arial"/>
                <w:bCs/>
                <w:iCs/>
                <w:lang w:eastAsia="es-ES_tradnl"/>
              </w:rPr>
              <w:t xml:space="preserve">artículo 2.1.4.3.2.2 del Decreto 1081 de 2015 </w:t>
            </w:r>
            <w:r w:rsidRPr="00E47CAB">
              <w:rPr>
                <w:rFonts w:ascii="Verdana" w:eastAsia="Calibri" w:hAnsi="Verdana" w:cs="Arial"/>
                <w:bCs/>
                <w:iCs/>
                <w:lang w:val="es-ES_tradnl" w:eastAsia="es-ES_tradnl"/>
              </w:rPr>
              <w:t>–</w:t>
            </w:r>
            <w:r w:rsidRPr="00E47CAB">
              <w:rPr>
                <w:rFonts w:ascii="Verdana" w:eastAsia="Calibri" w:hAnsi="Verdana" w:cs="Arial"/>
                <w:bCs/>
                <w:i/>
                <w:iCs/>
                <w:lang w:val="es-ES_tradnl" w:eastAsia="es-ES_tradnl"/>
              </w:rPr>
              <w:t>regla especial</w:t>
            </w:r>
            <w:r w:rsidRPr="00E47CAB">
              <w:rPr>
                <w:rFonts w:ascii="Verdana" w:eastAsia="Calibri" w:hAnsi="Verdana" w:cs="Arial"/>
                <w:bCs/>
                <w:iCs/>
                <w:lang w:val="es-ES_tradnl" w:eastAsia="es-ES_tradnl"/>
              </w:rPr>
              <w:t xml:space="preserve">– debe tenerse en cuenta sobre el entendimiento y aplicación del artículo </w:t>
            </w:r>
            <w:r w:rsidRPr="00E47CAB">
              <w:rPr>
                <w:rFonts w:ascii="Verdana" w:eastAsia="Calibri" w:hAnsi="Verdana" w:cs="Arial"/>
                <w:bCs/>
                <w:iCs/>
                <w:lang w:eastAsia="es-ES_tradnl"/>
              </w:rPr>
              <w:t>2.2.1.1.1.7.1. del Decreto 1082 de 2015</w:t>
            </w:r>
            <w:r w:rsidRPr="00E47CAB">
              <w:rPr>
                <w:rFonts w:ascii="Verdana" w:eastAsia="Calibri" w:hAnsi="Verdana" w:cs="Arial"/>
                <w:bCs/>
                <w:iCs/>
                <w:lang w:val="es-ES_tradnl" w:eastAsia="es-ES_tradnl"/>
              </w:rPr>
              <w:t xml:space="preserve"> –</w:t>
            </w:r>
            <w:r w:rsidRPr="00E47CAB">
              <w:rPr>
                <w:rFonts w:ascii="Verdana" w:eastAsia="Calibri" w:hAnsi="Verdana" w:cs="Arial"/>
                <w:bCs/>
                <w:i/>
                <w:iCs/>
                <w:lang w:val="es-ES_tradnl" w:eastAsia="es-ES_tradnl"/>
              </w:rPr>
              <w:t>regla general</w:t>
            </w:r>
            <w:r w:rsidRPr="00E47CAB">
              <w:rPr>
                <w:rFonts w:ascii="Verdana" w:eastAsia="Calibri" w:hAnsi="Verdana" w:cs="Arial"/>
                <w:bCs/>
                <w:iCs/>
                <w:lang w:val="es-ES_tradnl" w:eastAsia="es-ES_tradnl"/>
              </w:rPr>
              <w:t xml:space="preserve">–, esto es, deben interpretarse armónicamente. Esto no significa que la </w:t>
            </w:r>
            <w:r w:rsidRPr="00E47CAB">
              <w:rPr>
                <w:rFonts w:ascii="Verdana" w:eastAsia="Calibri" w:hAnsi="Verdana" w:cs="Arial"/>
                <w:bCs/>
                <w:i/>
                <w:iCs/>
                <w:lang w:val="es-ES_tradnl" w:eastAsia="es-ES_tradnl"/>
              </w:rPr>
              <w:t>regla general</w:t>
            </w:r>
            <w:r w:rsidRPr="00E47CAB">
              <w:rPr>
                <w:rFonts w:ascii="Verdana" w:eastAsia="Calibri" w:hAnsi="Verdana" w:cs="Arial"/>
                <w:bCs/>
                <w:iCs/>
                <w:lang w:val="es-ES_tradnl" w:eastAsia="es-ES_tradnl"/>
              </w:rPr>
              <w:t xml:space="preserve"> desaparezca del ordenamiento jurídico</w:t>
            </w:r>
            <w:r>
              <w:rPr>
                <w:rFonts w:ascii="Verdana" w:eastAsia="Calibri" w:hAnsi="Verdana" w:cs="Arial"/>
                <w:bCs/>
                <w:iCs/>
                <w:lang w:val="es-ES_tradnl" w:eastAsia="es-ES_tradnl"/>
              </w:rPr>
              <w:t>,</w:t>
            </w:r>
            <w:r w:rsidRPr="00E47CAB">
              <w:rPr>
                <w:rFonts w:ascii="Verdana" w:eastAsia="Calibri" w:hAnsi="Verdana" w:cs="Arial"/>
                <w:bCs/>
                <w:iCs/>
                <w:lang w:val="es-ES_tradnl" w:eastAsia="es-ES_tradnl"/>
              </w:rPr>
              <w:t xml:space="preserve"> </w:t>
            </w:r>
            <w:r>
              <w:rPr>
                <w:rFonts w:ascii="Verdana" w:eastAsia="Calibri" w:hAnsi="Verdana" w:cs="Arial"/>
                <w:bCs/>
                <w:iCs/>
                <w:lang w:val="es-ES_tradnl" w:eastAsia="es-ES_tradnl"/>
              </w:rPr>
              <w:t>por el</w:t>
            </w:r>
            <w:r w:rsidRPr="00310103">
              <w:rPr>
                <w:rFonts w:ascii="Verdana" w:eastAsia="Calibri" w:hAnsi="Verdana" w:cs="Arial"/>
                <w:lang w:val="es-ES_tradnl" w:eastAsia="es-ES_tradnl"/>
              </w:rPr>
              <w:t xml:space="preserve"> </w:t>
            </w:r>
            <w:r w:rsidRPr="00E47CAB">
              <w:rPr>
                <w:rFonts w:ascii="Verdana" w:eastAsia="Calibri" w:hAnsi="Verdana" w:cs="Arial"/>
                <w:bCs/>
                <w:iCs/>
                <w:lang w:val="es-ES_tradnl" w:eastAsia="es-ES_tradnl"/>
              </w:rPr>
              <w:t xml:space="preserve">contrario, esta aplica en todos los supuestos que regula, y se interpreta de forma integral con los supuestos previstos en la </w:t>
            </w:r>
            <w:r w:rsidRPr="00E47CAB">
              <w:rPr>
                <w:rFonts w:ascii="Verdana" w:eastAsia="Calibri" w:hAnsi="Verdana" w:cs="Arial"/>
                <w:bCs/>
                <w:i/>
                <w:iCs/>
                <w:lang w:val="es-ES_tradnl" w:eastAsia="es-ES_tradnl"/>
              </w:rPr>
              <w:t>regla especial</w:t>
            </w:r>
            <w:r w:rsidRPr="00E47CAB">
              <w:rPr>
                <w:rFonts w:ascii="Verdana" w:eastAsia="Calibri" w:hAnsi="Verdana" w:cs="Arial"/>
                <w:bCs/>
                <w:iCs/>
                <w:lang w:val="es-ES_tradnl" w:eastAsia="es-ES_tradnl"/>
              </w:rPr>
              <w:t xml:space="preserve">. </w:t>
            </w:r>
          </w:p>
          <w:p w14:paraId="0E26D25B" w14:textId="77777777" w:rsidR="003467C6" w:rsidRPr="00E47CAB" w:rsidRDefault="003467C6" w:rsidP="003467C6">
            <w:pPr>
              <w:spacing w:after="120" w:line="276" w:lineRule="auto"/>
              <w:ind w:firstLine="708"/>
              <w:jc w:val="both"/>
              <w:rPr>
                <w:rFonts w:ascii="Verdana" w:eastAsia="Calibri" w:hAnsi="Verdana" w:cs="Arial"/>
                <w:bCs/>
                <w:iCs/>
                <w:lang w:eastAsia="es-ES_tradnl"/>
              </w:rPr>
            </w:pPr>
            <w:r w:rsidRPr="00E47CAB">
              <w:rPr>
                <w:rFonts w:ascii="Verdana" w:eastAsia="Calibri" w:hAnsi="Verdana" w:cs="Arial"/>
                <w:bCs/>
                <w:iCs/>
                <w:lang w:val="es-ES_tradnl" w:eastAsia="es-ES_tradnl"/>
              </w:rPr>
              <w:t xml:space="preserve">De esta manera, el término de diez (10) días es un plazo máximo para las entidades y </w:t>
            </w:r>
            <w:r w:rsidRPr="00E47CAB">
              <w:rPr>
                <w:rFonts w:ascii="Verdana" w:eastAsia="Calibri" w:hAnsi="Verdana" w:cs="Arial"/>
                <w:bCs/>
                <w:i/>
                <w:iCs/>
                <w:lang w:eastAsia="es-ES_tradnl"/>
              </w:rPr>
              <w:t xml:space="preserve">empresas del Estado </w:t>
            </w:r>
            <w:r w:rsidRPr="00E47CAB">
              <w:rPr>
                <w:rFonts w:ascii="Verdana" w:eastAsia="Calibri" w:hAnsi="Verdana" w:cs="Arial"/>
                <w:bCs/>
                <w:iCs/>
                <w:lang w:eastAsia="es-ES_tradnl"/>
              </w:rPr>
              <w:t>del orden nacional y pertenecientes a la Rama Ejecutiva del Poder Público para publicar en SECOP</w:t>
            </w:r>
            <w:r>
              <w:rPr>
                <w:rFonts w:ascii="Verdana" w:eastAsia="Calibri" w:hAnsi="Verdana" w:cs="Arial"/>
                <w:bCs/>
                <w:iCs/>
                <w:lang w:eastAsia="es-ES_tradnl"/>
              </w:rPr>
              <w:t xml:space="preserve"> respecto a los documentos enunciados en la disposición, </w:t>
            </w:r>
            <w:r w:rsidRPr="000A2438">
              <w:rPr>
                <w:rFonts w:ascii="Verdana" w:eastAsia="Calibri" w:hAnsi="Verdana" w:cs="Arial"/>
                <w:bCs/>
                <w:i/>
                <w:iCs/>
                <w:lang w:eastAsia="es-ES_tradnl"/>
              </w:rPr>
              <w:t xml:space="preserve">esto </w:t>
            </w:r>
            <w:r w:rsidRPr="00E47CAB">
              <w:rPr>
                <w:rFonts w:ascii="Verdana" w:eastAsia="Calibri" w:hAnsi="Verdana" w:cs="Arial"/>
                <w:bCs/>
                <w:lang w:eastAsia="es-ES_tradnl"/>
              </w:rPr>
              <w:t>es, informes de supervisión e interventoría, actas de liquidación, requerimientos</w:t>
            </w:r>
            <w:r>
              <w:rPr>
                <w:rFonts w:ascii="Verdana" w:eastAsia="Calibri" w:hAnsi="Verdana" w:cs="Arial"/>
                <w:bCs/>
                <w:lang w:eastAsia="es-ES_tradnl"/>
              </w:rPr>
              <w:t>, entre otros</w:t>
            </w:r>
            <w:r>
              <w:rPr>
                <w:rFonts w:ascii="Verdana" w:eastAsia="Calibri" w:hAnsi="Verdana" w:cs="Arial"/>
                <w:bCs/>
                <w:iCs/>
                <w:lang w:eastAsia="es-ES_tradnl"/>
              </w:rPr>
              <w:t>.</w:t>
            </w:r>
            <w:r w:rsidRPr="00E47CAB">
              <w:rPr>
                <w:rFonts w:ascii="Verdana" w:eastAsia="Calibri" w:hAnsi="Verdana" w:cs="Arial"/>
                <w:bCs/>
                <w:iCs/>
                <w:lang w:eastAsia="es-ES_tradnl"/>
              </w:rPr>
              <w:t xml:space="preserve"> </w:t>
            </w:r>
            <w:r>
              <w:rPr>
                <w:rFonts w:ascii="Verdana" w:eastAsia="Calibri" w:hAnsi="Verdana" w:cs="Arial"/>
                <w:bCs/>
                <w:iCs/>
                <w:lang w:eastAsia="es-ES_tradnl"/>
              </w:rPr>
              <w:t>E</w:t>
            </w:r>
            <w:r w:rsidRPr="00E47CAB">
              <w:rPr>
                <w:rFonts w:ascii="Verdana" w:eastAsia="Calibri" w:hAnsi="Verdana" w:cs="Arial"/>
                <w:bCs/>
                <w:iCs/>
                <w:lang w:eastAsia="es-ES_tradnl"/>
              </w:rPr>
              <w:t>n todo caso, precisando la regla general sigue vigente, y que, en un principio, el término para publicar es de tres (3) días siguientes a la expedición</w:t>
            </w:r>
            <w:r>
              <w:rPr>
                <w:rFonts w:ascii="Verdana" w:eastAsia="Calibri" w:hAnsi="Verdana" w:cs="Arial"/>
                <w:lang w:eastAsia="es-ES_tradnl"/>
              </w:rPr>
              <w:t xml:space="preserve">, </w:t>
            </w:r>
            <w:r>
              <w:rPr>
                <w:rFonts w:ascii="Verdana" w:eastAsia="Calibri" w:hAnsi="Verdana" w:cs="Arial"/>
                <w:bCs/>
                <w:iCs/>
                <w:lang w:eastAsia="es-ES_tradnl"/>
              </w:rPr>
              <w:t>generación de documento y ocurrencia del hecho</w:t>
            </w:r>
            <w:r w:rsidRPr="00E47CAB">
              <w:rPr>
                <w:rFonts w:ascii="Verdana" w:eastAsia="Calibri" w:hAnsi="Verdana" w:cs="Arial"/>
                <w:bCs/>
                <w:iCs/>
                <w:lang w:eastAsia="es-ES_tradnl"/>
              </w:rPr>
              <w:t xml:space="preserve">, de conformidad a lo prescrito en el Decreto 1082 de 2015. </w:t>
            </w:r>
          </w:p>
          <w:p w14:paraId="0260A615" w14:textId="77777777" w:rsidR="003467C6" w:rsidRPr="00E47CAB" w:rsidRDefault="003467C6" w:rsidP="003467C6">
            <w:pPr>
              <w:spacing w:after="120" w:line="276" w:lineRule="auto"/>
              <w:ind w:firstLine="708"/>
              <w:jc w:val="both"/>
              <w:rPr>
                <w:rFonts w:ascii="Verdana" w:eastAsia="Calibri" w:hAnsi="Verdana" w:cs="Arial"/>
                <w:bCs/>
                <w:iCs/>
                <w:lang w:eastAsia="es-ES_tradnl"/>
              </w:rPr>
            </w:pPr>
            <w:r w:rsidRPr="00E47CAB">
              <w:rPr>
                <w:rFonts w:ascii="Verdana" w:eastAsia="Calibri" w:hAnsi="Verdana" w:cs="Arial"/>
                <w:bCs/>
                <w:iCs/>
                <w:lang w:eastAsia="es-ES_tradnl"/>
              </w:rPr>
              <w:t xml:space="preserve">Ahora bien, las demás entidades que no están sujetas al Decreto 1600 de 2024 que modifica el Decreto 1081 de 2021 tienen el deber de aplicar el término de publicación de los tres (3) días siguientes a su expedición como regla general y no le es aplicable el término máximo de diez (10) días. En tal sentido, las entidades del orden territorial, así como sus descentralizadas deben seguir aplicando el término general de tres (3) días, y no podrán hacer una interpretación extensiva ni analógica, puesto que se rigen bajo el principio </w:t>
            </w:r>
            <w:r w:rsidRPr="00E47CAB">
              <w:rPr>
                <w:rFonts w:ascii="Verdana" w:eastAsia="Calibri" w:hAnsi="Verdana" w:cs="Arial"/>
                <w:bCs/>
                <w:iCs/>
                <w:lang w:eastAsia="es-ES_tradnl"/>
              </w:rPr>
              <w:lastRenderedPageBreak/>
              <w:t>de legalidad, que implica una interpretación literal y estricta de las disposiciones normativas.</w:t>
            </w:r>
          </w:p>
          <w:p w14:paraId="50D02FDF" w14:textId="77777777" w:rsidR="003467C6" w:rsidRDefault="003467C6" w:rsidP="003467C6">
            <w:pPr>
              <w:spacing w:after="120" w:line="276" w:lineRule="auto"/>
              <w:ind w:firstLine="708"/>
              <w:jc w:val="both"/>
              <w:rPr>
                <w:rFonts w:ascii="Verdana" w:eastAsia="Calibri" w:hAnsi="Verdana" w:cs="Arial"/>
                <w:bCs/>
                <w:iCs/>
                <w:lang w:val="es-ES" w:eastAsia="es-ES_tradnl"/>
              </w:rPr>
            </w:pPr>
            <w:r w:rsidRPr="00E47CAB">
              <w:rPr>
                <w:rFonts w:ascii="Verdana" w:eastAsia="Calibri" w:hAnsi="Verdana" w:cs="Arial"/>
                <w:bCs/>
                <w:iCs/>
                <w:lang w:eastAsia="es-ES_tradnl"/>
              </w:rPr>
              <w:t xml:space="preserve">Sin embargo, es </w:t>
            </w:r>
            <w:r w:rsidRPr="00E47CAB">
              <w:rPr>
                <w:rFonts w:ascii="Verdana" w:eastAsia="Calibri" w:hAnsi="Verdana" w:cs="Arial"/>
                <w:bCs/>
                <w:iCs/>
                <w:lang w:val="es-ES" w:eastAsia="es-ES_tradnl"/>
              </w:rPr>
              <w:t>importante precisar, la naturaleza transaccional del SECOP II, l</w:t>
            </w:r>
            <w:r>
              <w:rPr>
                <w:rFonts w:ascii="Verdana" w:eastAsia="Calibri" w:hAnsi="Verdana" w:cs="Arial"/>
                <w:bCs/>
                <w:iCs/>
                <w:lang w:val="es-ES" w:eastAsia="es-ES_tradnl"/>
              </w:rPr>
              <w:t>a</w:t>
            </w:r>
            <w:r w:rsidRPr="00E47CAB">
              <w:rPr>
                <w:rFonts w:ascii="Verdana" w:eastAsia="Calibri" w:hAnsi="Verdana" w:cs="Arial"/>
                <w:bCs/>
                <w:iCs/>
                <w:lang w:val="es-ES" w:eastAsia="es-ES_tradnl"/>
              </w:rPr>
              <w:t xml:space="preserve"> cual implica que los procesos contractuales no sólo deban publicarse mediante esta plataforma, sino también gestionados a través de ella, al consistir la mayoría de los hitos contractuales en documentos y actuaciones electrónicas generadas en tiempo real, de tal manera que el proceso contractual avanza en la medida en la que se generen y aprueben estos documentos y actuaciones electrónicas en la plataforma. </w:t>
            </w:r>
          </w:p>
          <w:p w14:paraId="5DC9595A" w14:textId="77777777" w:rsidR="003467C6" w:rsidRPr="00E47CAB" w:rsidRDefault="003467C6" w:rsidP="003467C6">
            <w:pPr>
              <w:spacing w:after="120" w:line="276" w:lineRule="auto"/>
              <w:ind w:firstLine="708"/>
              <w:jc w:val="both"/>
              <w:rPr>
                <w:rFonts w:ascii="Verdana" w:eastAsia="Calibri" w:hAnsi="Verdana" w:cs="Arial"/>
                <w:bCs/>
                <w:iCs/>
                <w:lang w:val="es-ES" w:eastAsia="es-ES_tradnl"/>
              </w:rPr>
            </w:pPr>
            <w:r w:rsidRPr="00E47CAB">
              <w:rPr>
                <w:rFonts w:ascii="Verdana" w:eastAsia="Calibri" w:hAnsi="Verdana" w:cs="Arial"/>
                <w:bCs/>
                <w:iCs/>
                <w:lang w:val="es-ES" w:eastAsia="es-ES_tradnl"/>
              </w:rPr>
              <w:t xml:space="preserve">Es decir, en SECOP II, en principio, no aplica el término general de los tres (3) o el plazo máximo de los (10) días para las entidades del orden nacional, pues la mayoría de los documentos y actuaciones electrónicas se generan en el instante con la aprobación de las partes que intervienen en el proceso de contratación estatal respectivo. Esto, a diferencia de los procesos publicados en el SECOP I, en los que primero se generan los documentos escritos y luego se publican en dicha plataforma, en los términos ya expuestos, dependiendo de la naturaleza de la entidad y de las reglas prescritas en los Decretos 1081 y 1082 de 2015. </w:t>
            </w:r>
          </w:p>
          <w:p w14:paraId="18DF1BE4" w14:textId="77777777" w:rsidR="003467C6" w:rsidRDefault="003467C6" w:rsidP="003467C6">
            <w:pPr>
              <w:spacing w:line="276" w:lineRule="auto"/>
              <w:ind w:firstLine="709"/>
              <w:jc w:val="both"/>
              <w:rPr>
                <w:rFonts w:ascii="Verdana" w:eastAsia="Calibri" w:hAnsi="Verdana" w:cs="Arial"/>
                <w:bCs/>
                <w:iCs/>
                <w:lang w:val="es-ES" w:eastAsia="es-ES_tradnl"/>
              </w:rPr>
            </w:pPr>
            <w:r w:rsidRPr="00E47CAB">
              <w:rPr>
                <w:rFonts w:ascii="Verdana" w:eastAsia="Calibri" w:hAnsi="Verdana" w:cs="Arial"/>
                <w:bCs/>
                <w:iCs/>
                <w:lang w:val="es-ES" w:eastAsia="es-ES_tradnl"/>
              </w:rPr>
              <w:t>Así las cosas, el término de diez (10) días es un límite máximo para publicar por parte de las entidades del orden nacional sometidas a lo dispuesto en el Decreto 1600 de 2024 que modifica el Decreto 1081 de 2015 en cuanto a los documentos de ejecución del contrato, como son las actas de supervisión o interventoría, requerimientos, entre otros. Esto, sin perjuicio del deber general de publicar, en principio, dentro de los tres (3) días siguientes a la expedición de los documentos del proceso que no son transaccionales y que no tienen la calidad de ser documentos de ejecución.</w:t>
            </w:r>
          </w:p>
          <w:p w14:paraId="075A4412" w14:textId="73DBBB5A" w:rsidR="003467C6" w:rsidRPr="003467C6" w:rsidRDefault="003467C6" w:rsidP="003467C6">
            <w:pPr>
              <w:spacing w:line="276" w:lineRule="auto"/>
              <w:ind w:firstLine="709"/>
              <w:jc w:val="both"/>
              <w:rPr>
                <w:rFonts w:ascii="Verdana" w:eastAsia="Calibri" w:hAnsi="Verdana" w:cs="Arial"/>
                <w:bCs/>
                <w:iCs/>
                <w:sz w:val="21"/>
                <w:szCs w:val="21"/>
                <w:lang w:val="es-ES" w:eastAsia="es-ES_tradnl"/>
              </w:rPr>
            </w:pPr>
          </w:p>
        </w:tc>
      </w:tr>
    </w:tbl>
    <w:p w14:paraId="619FFD4F" w14:textId="77777777" w:rsidR="003467C6" w:rsidRDefault="003467C6" w:rsidP="003467C6">
      <w:pPr>
        <w:tabs>
          <w:tab w:val="left" w:pos="142"/>
          <w:tab w:val="left" w:pos="284"/>
        </w:tabs>
        <w:spacing w:after="0" w:line="276" w:lineRule="auto"/>
        <w:jc w:val="both"/>
        <w:rPr>
          <w:rFonts w:ascii="Verdana" w:eastAsia="Century Gothic" w:hAnsi="Verdana" w:cs="Century Gothic"/>
          <w:b/>
          <w:bCs/>
        </w:rPr>
      </w:pPr>
    </w:p>
    <w:p w14:paraId="51C5AF1E" w14:textId="77777777" w:rsidR="003467C6" w:rsidRPr="008E4F36" w:rsidRDefault="003467C6" w:rsidP="003467C6">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27DBEF90" w14:textId="77777777" w:rsidR="003467C6" w:rsidRDefault="003467C6" w:rsidP="003467C6">
      <w:pPr>
        <w:pStyle w:val="Prrafodelista"/>
        <w:tabs>
          <w:tab w:val="left" w:pos="142"/>
          <w:tab w:val="left" w:pos="284"/>
        </w:tabs>
        <w:spacing w:after="0" w:line="276" w:lineRule="auto"/>
        <w:ind w:left="0"/>
        <w:contextualSpacing w:val="0"/>
        <w:jc w:val="both"/>
        <w:rPr>
          <w:rFonts w:ascii="Verdana" w:eastAsia="Calibri" w:hAnsi="Verdana" w:cs="Arial"/>
        </w:rPr>
      </w:pPr>
    </w:p>
    <w:p w14:paraId="3B821CBD" w14:textId="77777777" w:rsidR="003467C6" w:rsidRDefault="003467C6" w:rsidP="003467C6">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099545B2" w14:textId="77777777" w:rsidR="003467C6" w:rsidRDefault="003467C6" w:rsidP="003467C6">
      <w:pPr>
        <w:spacing w:after="120" w:line="276" w:lineRule="auto"/>
        <w:jc w:val="both"/>
        <w:rPr>
          <w:rFonts w:ascii="Verdana" w:eastAsia="Calibri" w:hAnsi="Verdana" w:cs="Arial"/>
          <w:color w:val="000000"/>
          <w:shd w:val="clear" w:color="auto" w:fill="FFFFFF"/>
          <w:lang w:val="es-ES"/>
        </w:rPr>
      </w:pPr>
    </w:p>
    <w:p w14:paraId="12F4A82C" w14:textId="77777777" w:rsidR="003467C6" w:rsidRPr="003F20E6" w:rsidRDefault="003467C6" w:rsidP="003467C6">
      <w:pPr>
        <w:spacing w:after="120" w:line="276" w:lineRule="auto"/>
        <w:jc w:val="both"/>
        <w:rPr>
          <w:rFonts w:ascii="Verdana" w:eastAsia="Times New Roman" w:hAnsi="Verdana" w:cs="Arial"/>
          <w:lang w:val="es-ES" w:eastAsia="es-ES"/>
          <w14:ligatures w14:val="standardContextual"/>
        </w:rPr>
      </w:pPr>
      <w:bookmarkStart w:id="4" w:name="_Hlk204856061"/>
      <w:bookmarkStart w:id="5" w:name="_Hlk78820161"/>
      <w:bookmarkStart w:id="6" w:name="_Hlk204854194"/>
      <w:r w:rsidRPr="003F20E6">
        <w:rPr>
          <w:rFonts w:ascii="Verdana" w:eastAsia="Times New Roman" w:hAnsi="Verdana" w:cs="Arial"/>
          <w:lang w:val="es-ES" w:eastAsia="es-ES"/>
          <w14:ligatures w14:val="standardContextual"/>
        </w:rPr>
        <w:lastRenderedPageBreak/>
        <w:t xml:space="preserve">i. Uno de los postulados más importantes de un Estado Social y Democrático de Derecho es el principio de </w:t>
      </w:r>
      <w:r w:rsidRPr="003F20E6">
        <w:rPr>
          <w:rFonts w:ascii="Verdana" w:eastAsia="Times New Roman" w:hAnsi="Verdana" w:cs="Arial"/>
          <w:i/>
          <w:iCs/>
          <w:lang w:val="es-ES" w:eastAsia="es-ES"/>
          <w14:ligatures w14:val="standardContextual"/>
        </w:rPr>
        <w:t>publicidad</w:t>
      </w:r>
      <w:r w:rsidRPr="003F20E6">
        <w:rPr>
          <w:rFonts w:ascii="Verdana" w:eastAsia="Times New Roman" w:hAnsi="Verdana" w:cs="Arial"/>
          <w:lang w:val="es-ES" w:eastAsia="es-ES"/>
          <w14:ligatures w14:val="standardContextual"/>
        </w:rPr>
        <w:t>, pues este permite que las actuaciones de las autoridades gocen de visibilidad. En tal sentido, la filosofía política ha indicado que la democracia “[…] es idealmente el gobierno de un poder visible, es decir, el gobierno cuyos actos se realizan ante el público y bajo la supervisión de la opinión pública”</w:t>
      </w:r>
      <w:r w:rsidRPr="003F20E6">
        <w:rPr>
          <w:rFonts w:ascii="Verdana" w:eastAsia="Times New Roman" w:hAnsi="Verdana" w:cs="Arial"/>
          <w:vertAlign w:val="superscript"/>
          <w:lang w:val="es-ES" w:eastAsia="es-ES"/>
          <w14:ligatures w14:val="standardContextual"/>
        </w:rPr>
        <w:footnoteReference w:id="1"/>
      </w:r>
      <w:r w:rsidRPr="003F20E6">
        <w:rPr>
          <w:rFonts w:ascii="Verdana" w:eastAsia="Times New Roman" w:hAnsi="Verdana" w:cs="Arial"/>
          <w:lang w:val="es-ES" w:eastAsia="es-ES"/>
          <w14:ligatures w14:val="standardContextual"/>
        </w:rPr>
        <w:t xml:space="preserve">. El secreto generalizado en el ejercicio del poder político constituye, por el contrario, una negación de la democracia, porque dificulta la supervisión de las autoridades por parte de la sociedad civil y establece una barrera para la participación ciudadana. Inspirada en esta concepción axiológica, en los Estados de derecho se pregona la publicidad de las actuaciones de los poderes públicos. </w:t>
      </w:r>
    </w:p>
    <w:p w14:paraId="4EE46D89" w14:textId="77777777" w:rsidR="003467C6" w:rsidRPr="003F20E6" w:rsidRDefault="003467C6" w:rsidP="003467C6">
      <w:pPr>
        <w:spacing w:before="120" w:after="120" w:line="276" w:lineRule="auto"/>
        <w:ind w:firstLine="708"/>
        <w:jc w:val="both"/>
        <w:rPr>
          <w:rFonts w:ascii="Verdana" w:eastAsia="Times New Roman" w:hAnsi="Verdana" w:cs="Arial"/>
          <w:lang w:val="es-ES" w:eastAsia="es-ES"/>
          <w14:ligatures w14:val="standardContextual"/>
        </w:rPr>
      </w:pPr>
      <w:r w:rsidRPr="003F20E6">
        <w:rPr>
          <w:rFonts w:ascii="Verdana" w:eastAsia="Times New Roman" w:hAnsi="Verdana" w:cs="Arial"/>
          <w:lang w:val="es-ES" w:eastAsia="es-ES"/>
          <w14:ligatures w14:val="standardContextual"/>
        </w:rPr>
        <w:t xml:space="preserve">Como evidencia de ello,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74, que consagra la garantía de acceso a los documentos públicos que no gocen de reserva –y esta, además, es excepcional, pues solo procede si existe causal constitucional o legal expresa–. </w:t>
      </w:r>
    </w:p>
    <w:p w14:paraId="2C4AFA89" w14:textId="77777777" w:rsidR="003467C6" w:rsidRPr="003F20E6" w:rsidRDefault="003467C6" w:rsidP="003467C6">
      <w:pPr>
        <w:spacing w:before="120" w:after="120" w:line="276" w:lineRule="auto"/>
        <w:ind w:firstLine="709"/>
        <w:jc w:val="both"/>
        <w:rPr>
          <w:rFonts w:ascii="Verdana" w:eastAsia="Times New Roman" w:hAnsi="Verdana" w:cs="Arial"/>
          <w:lang w:val="es-ES_tradnl" w:eastAsia="es-ES_tradnl"/>
          <w14:ligatures w14:val="standardContextual"/>
        </w:rPr>
      </w:pPr>
      <w:r w:rsidRPr="003F20E6">
        <w:rPr>
          <w:rFonts w:ascii="Verdana" w:eastAsia="Times New Roman" w:hAnsi="Verdana" w:cs="Arial"/>
          <w:lang w:val="es-ES_tradnl" w:eastAsia="es-ES_tradnl"/>
          <w14:ligatures w14:val="standardContextual"/>
        </w:rPr>
        <w:t>El principio de publicidad impone a las autoridades administrativas el deber de dar a conocer sus actos, contratos y decisiones</w:t>
      </w:r>
      <w:r>
        <w:rPr>
          <w:rFonts w:ascii="Verdana" w:eastAsia="Times New Roman" w:hAnsi="Verdana" w:cs="Arial"/>
          <w:lang w:val="es-ES_tradnl" w:eastAsia="es-ES_tradnl"/>
          <w14:ligatures w14:val="standardContextual"/>
        </w:rPr>
        <w:t>,</w:t>
      </w:r>
      <w:r w:rsidRPr="003F20E6">
        <w:rPr>
          <w:rFonts w:ascii="Verdana" w:eastAsia="Times New Roman" w:hAnsi="Verdana" w:cs="Arial"/>
          <w:lang w:val="es-ES_tradnl" w:eastAsia="es-ES_tradnl"/>
          <w14:ligatures w14:val="standardContextual"/>
        </w:rPr>
        <w:t xml:space="preserve"> para que se divulguen y eventualmente se controlen. </w:t>
      </w:r>
      <w:r>
        <w:rPr>
          <w:rFonts w:ascii="Verdana" w:eastAsia="Times New Roman" w:hAnsi="Verdana" w:cs="Arial"/>
          <w:lang w:val="es-ES_tradnl" w:eastAsia="es-ES_tradnl"/>
          <w14:ligatures w14:val="standardContextual"/>
        </w:rPr>
        <w:t>En sintonía con este postulado</w:t>
      </w:r>
      <w:r w:rsidRPr="003F20E6">
        <w:rPr>
          <w:rFonts w:ascii="Verdana" w:eastAsia="Times New Roman" w:hAnsi="Verdana" w:cs="Arial"/>
          <w:lang w:val="es-ES_tradnl" w:eastAsia="es-ES_tradnl"/>
          <w14:ligatures w14:val="standardContextual"/>
        </w:rPr>
        <w:t>,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r w:rsidRPr="003F20E6">
        <w:rPr>
          <w:rFonts w:ascii="Verdana" w:eastAsia="Times New Roman" w:hAnsi="Verdana" w:cs="Arial"/>
          <w:vertAlign w:val="superscript"/>
          <w:lang w:val="es-ES_tradnl" w:eastAsia="es-ES_tradnl"/>
          <w14:ligatures w14:val="standardContextual"/>
        </w:rPr>
        <w:footnoteReference w:id="2"/>
      </w:r>
      <w:r w:rsidRPr="003F20E6">
        <w:rPr>
          <w:rFonts w:ascii="Verdana" w:eastAsia="Times New Roman" w:hAnsi="Verdana" w:cs="Arial"/>
          <w:lang w:val="es-ES_tradnl" w:eastAsia="es-ES_tradnl"/>
          <w14:ligatures w14:val="standardContextual"/>
        </w:rPr>
        <w:t>.</w:t>
      </w:r>
    </w:p>
    <w:p w14:paraId="537A2479" w14:textId="77777777" w:rsidR="003467C6" w:rsidRPr="003F20E6" w:rsidRDefault="003467C6" w:rsidP="003467C6">
      <w:pPr>
        <w:spacing w:before="120" w:after="120" w:line="276" w:lineRule="auto"/>
        <w:ind w:firstLine="709"/>
        <w:jc w:val="both"/>
        <w:rPr>
          <w:rFonts w:ascii="Verdana" w:eastAsia="Times New Roman" w:hAnsi="Verdana" w:cs="Arial"/>
          <w:lang w:val="es-ES_tradnl" w:eastAsia="es-ES_tradnl"/>
          <w14:ligatures w14:val="standardContextual"/>
        </w:rPr>
      </w:pPr>
      <w:r w:rsidRPr="003F20E6">
        <w:rPr>
          <w:rFonts w:ascii="Verdana" w:eastAsia="Times New Roman" w:hAnsi="Verdana" w:cs="Arial"/>
          <w:lang w:val="es-ES_tradnl" w:eastAsia="es-ES_tradnl"/>
          <w14:ligatures w14:val="standardContextual"/>
        </w:rPr>
        <w:lastRenderedPageBreak/>
        <w:t>De otra parte, la Ley 1712 de 2014 –Ley estatutaria que regula la transparencia y el derecho de acceso a la información y a los documentos públicos–, identifica como principios que orientan el derecho de acceso a la información pública, el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003F20E6">
        <w:rPr>
          <w:rFonts w:ascii="Verdana" w:eastAsia="Times New Roman" w:hAnsi="Verdana" w:cs="Arial"/>
          <w:vertAlign w:val="superscript"/>
          <w:lang w:val="es-ES_tradnl" w:eastAsia="es-ES_tradnl"/>
          <w14:ligatures w14:val="standardContextual"/>
        </w:rPr>
        <w:footnoteReference w:id="3"/>
      </w:r>
      <w:r w:rsidRPr="003F20E6">
        <w:rPr>
          <w:rFonts w:ascii="Verdana" w:eastAsia="Times New Roman" w:hAnsi="Verdana" w:cs="Arial"/>
          <w:lang w:val="es-ES_tradnl" w:eastAsia="es-ES_tradnl"/>
          <w14:ligatures w14:val="standardContextual"/>
        </w:rPr>
        <w:t>. El principio de transparencia en la información alude al deber de los sujetos de proporcionar y facilitar el acceso a la misma en los términos más amplios posibles, y a través de los medios y procedimientos legales.</w:t>
      </w:r>
    </w:p>
    <w:p w14:paraId="0FD61379" w14:textId="77777777" w:rsidR="003467C6" w:rsidRPr="003F20E6" w:rsidRDefault="003467C6" w:rsidP="003467C6">
      <w:pPr>
        <w:spacing w:before="120" w:after="120" w:line="276" w:lineRule="auto"/>
        <w:ind w:firstLine="709"/>
        <w:jc w:val="both"/>
        <w:rPr>
          <w:rFonts w:ascii="Verdana" w:eastAsia="Times New Roman" w:hAnsi="Verdana" w:cs="Arial"/>
          <w:lang w:val="es-ES_tradnl" w:eastAsia="es-ES_tradnl"/>
          <w14:ligatures w14:val="standardContextual"/>
        </w:rPr>
      </w:pPr>
      <w:r w:rsidRPr="003F20E6">
        <w:rPr>
          <w:rFonts w:ascii="Verdana" w:eastAsia="Times New Roman" w:hAnsi="Verdana" w:cs="Arial"/>
          <w:lang w:val="es-ES_tradnl" w:eastAsia="es-ES_tradnl"/>
          <w14:ligatures w14:val="standardContextual"/>
        </w:rPr>
        <w:t xml:space="preserve"> La Ley Estatutaria citada establece, en el literal e) del artículo 9, que los sujetos obligados, que son todas las entidades públicas</w:t>
      </w:r>
      <w:r w:rsidRPr="003F20E6">
        <w:rPr>
          <w:rFonts w:ascii="Verdana" w:eastAsia="Times New Roman" w:hAnsi="Verdana" w:cs="Arial"/>
          <w:vertAlign w:val="superscript"/>
          <w:lang w:val="es-ES_tradnl" w:eastAsia="es-ES_tradnl"/>
          <w14:ligatures w14:val="standardContextual"/>
        </w:rPr>
        <w:footnoteReference w:id="4"/>
      </w:r>
      <w:r w:rsidRPr="003F20E6">
        <w:rPr>
          <w:rFonts w:ascii="Verdana" w:eastAsia="Times New Roman" w:hAnsi="Verdana" w:cs="Arial"/>
          <w:lang w:val="es-ES_tradnl" w:eastAsia="es-ES_tradnl"/>
          <w14:ligatures w14:val="standardContextual"/>
        </w:rPr>
        <w:t>, deben publicar la información relativa a su contratación. Esta obligación fue desarrollada por el Decreto Único Reglamentario 1081 de 2015</w:t>
      </w:r>
      <w:r w:rsidRPr="003F20E6">
        <w:rPr>
          <w:rFonts w:ascii="Verdana" w:eastAsia="Times New Roman" w:hAnsi="Verdana" w:cs="Arial"/>
          <w:vertAlign w:val="superscript"/>
          <w:lang w:val="es-ES_tradnl" w:eastAsia="es-ES_tradnl"/>
          <w14:ligatures w14:val="standardContextual"/>
        </w:rPr>
        <w:footnoteReference w:id="5"/>
      </w:r>
      <w:r w:rsidRPr="003F20E6">
        <w:rPr>
          <w:rFonts w:ascii="Verdana" w:eastAsia="Times New Roman" w:hAnsi="Verdana" w:cs="Arial"/>
          <w:lang w:val="es-ES_tradnl" w:eastAsia="es-ES_tradnl"/>
          <w14:ligatures w14:val="standardContextual"/>
        </w:rPr>
        <w:t>, el cual dispuso que la publicación de la información contractual de los sujetos obligados, que contratan con cargo a recursos públicos, debe hacerse en el SECOP.</w:t>
      </w:r>
    </w:p>
    <w:p w14:paraId="22B5B072" w14:textId="77777777" w:rsidR="003467C6" w:rsidRPr="003F20E6" w:rsidRDefault="003467C6" w:rsidP="003467C6">
      <w:pPr>
        <w:spacing w:before="120" w:after="120" w:line="276" w:lineRule="auto"/>
        <w:ind w:firstLine="709"/>
        <w:jc w:val="both"/>
        <w:rPr>
          <w:rFonts w:ascii="Verdana" w:eastAsia="Times New Roman" w:hAnsi="Verdana" w:cs="Arial"/>
          <w:lang w:val="es-ES_tradnl" w:eastAsia="es-ES_tradnl"/>
          <w14:ligatures w14:val="standardContextual"/>
        </w:rPr>
      </w:pPr>
      <w:r w:rsidRPr="003F20E6">
        <w:rPr>
          <w:rFonts w:ascii="Verdana" w:eastAsia="Times New Roman" w:hAnsi="Verdana" w:cs="Arial"/>
          <w:lang w:val="es-ES_tradnl" w:eastAsia="es-ES_tradnl"/>
          <w14:ligatures w14:val="standardContextual"/>
        </w:rPr>
        <w:t xml:space="preserve">Asimismo, de acuerdo con el literal g) del artículo 11 de la Ley 1712 de 2014, todos los destinatarios de la Ley Estatutaria de Transparencia y Acceso a la Información Pública deben garantizar la publicidad de “sus procedimientos, </w:t>
      </w:r>
      <w:r w:rsidRPr="003F20E6">
        <w:rPr>
          <w:rFonts w:ascii="Verdana" w:eastAsia="Times New Roman" w:hAnsi="Verdana" w:cs="Arial"/>
          <w:lang w:val="es-ES_tradnl" w:eastAsia="es-ES_tradnl"/>
          <w14:ligatures w14:val="standardContextual"/>
        </w:rPr>
        <w:lastRenderedPageBreak/>
        <w:t xml:space="preserve">lineamientos, políticas en materia de adquisiciones y compras, así como todos los datos de adjudicación y ejecución de contratos, incluidos concursos y licitaciones”, y esta información también debe estar en el SECOP. </w:t>
      </w:r>
    </w:p>
    <w:p w14:paraId="2F3ED4B1" w14:textId="77777777" w:rsidR="003467C6" w:rsidRPr="003F20E6" w:rsidRDefault="003467C6" w:rsidP="003467C6">
      <w:pPr>
        <w:spacing w:before="120" w:after="120" w:line="276" w:lineRule="auto"/>
        <w:ind w:firstLine="709"/>
        <w:jc w:val="both"/>
        <w:rPr>
          <w:rFonts w:ascii="Verdana" w:eastAsia="Times New Roman" w:hAnsi="Verdana" w:cs="Arial"/>
          <w:lang w:val="es-ES_tradnl" w:eastAsia="es-ES_tradnl"/>
          <w14:ligatures w14:val="standardContextual"/>
        </w:rPr>
      </w:pPr>
      <w:r w:rsidRPr="003F20E6">
        <w:rPr>
          <w:rFonts w:ascii="Verdana" w:eastAsia="Times New Roman" w:hAnsi="Verdana" w:cs="Arial"/>
          <w:lang w:val="es-ES_tradnl" w:eastAsia="es-ES_tradnl"/>
          <w14:ligatures w14:val="standardContextual"/>
        </w:rPr>
        <w:t>El derecho de acceso a la información pública o de interés público permite a toda persona, sin necesidad de acreditar calidad, interés o condición particular, conocer la existencia de información pública, acceder a la misma y difundirla o publicarla, según su interés</w:t>
      </w:r>
      <w:r w:rsidRPr="003F20E6">
        <w:rPr>
          <w:rFonts w:ascii="Verdana" w:eastAsia="Times New Roman" w:hAnsi="Verdana" w:cs="Arial"/>
          <w:vertAlign w:val="superscript"/>
          <w:lang w:val="es-ES_tradnl" w:eastAsia="es-ES_tradnl"/>
          <w14:ligatures w14:val="standardContextual"/>
        </w:rPr>
        <w:footnoteReference w:id="6"/>
      </w:r>
      <w:r w:rsidRPr="003F20E6">
        <w:rPr>
          <w:rFonts w:ascii="Verdana" w:eastAsia="Times New Roman" w:hAnsi="Verdana" w:cs="Arial"/>
          <w:lang w:val="es-ES_tradnl" w:eastAsia="es-ES_tradnl"/>
          <w14:ligatures w14:val="standardContextual"/>
        </w:rPr>
        <w:t xml:space="preserve">. En ese contexto, las Entidades Estatales, conforme al artículo 2.2.1.1.1.7.1 del Decreto 1082 de 2015, tienen la obligación de publicar en el SECOP “[…] los Documentos del Proceso y los actos administrativos del Proceso de Contratación, </w:t>
      </w:r>
      <w:r w:rsidRPr="00E47CAB">
        <w:rPr>
          <w:rFonts w:ascii="Verdana" w:eastAsia="Times New Roman" w:hAnsi="Verdana" w:cs="Arial"/>
          <w:i/>
          <w:iCs/>
          <w:lang w:val="es-ES_tradnl" w:eastAsia="es-ES_tradnl"/>
          <w14:ligatures w14:val="standardContextual"/>
        </w:rPr>
        <w:t>dentro de los tres (3) días siguientes a su expedición</w:t>
      </w:r>
      <w:r w:rsidRPr="003F20E6">
        <w:rPr>
          <w:rFonts w:ascii="Verdana" w:eastAsia="Times New Roman" w:hAnsi="Verdana" w:cs="Arial"/>
          <w:lang w:val="es-ES_tradnl" w:eastAsia="es-ES_tradnl"/>
          <w14:ligatures w14:val="standardContextual"/>
        </w:rPr>
        <w:t xml:space="preserve"> […]”</w:t>
      </w:r>
      <w:r>
        <w:rPr>
          <w:rFonts w:ascii="Verdana" w:eastAsia="Times New Roman" w:hAnsi="Verdana" w:cs="Arial"/>
          <w:lang w:val="es-ES_tradnl" w:eastAsia="es-ES_tradnl"/>
          <w14:ligatures w14:val="standardContextual"/>
        </w:rPr>
        <w:t xml:space="preserve"> (Énfasis fuera del texto original)</w:t>
      </w:r>
      <w:r w:rsidRPr="003F20E6">
        <w:rPr>
          <w:rFonts w:ascii="Verdana" w:eastAsia="Times New Roman" w:hAnsi="Verdana" w:cs="Arial"/>
          <w:lang w:val="es-ES_tradnl" w:eastAsia="es-ES_tradnl"/>
          <w14:ligatures w14:val="standardContextual"/>
        </w:rPr>
        <w:t>.</w:t>
      </w:r>
    </w:p>
    <w:p w14:paraId="18724486" w14:textId="77777777" w:rsidR="003467C6" w:rsidRPr="003F20E6" w:rsidRDefault="003467C6" w:rsidP="003467C6">
      <w:pPr>
        <w:tabs>
          <w:tab w:val="left" w:pos="709"/>
        </w:tabs>
        <w:spacing w:before="120" w:after="0" w:line="276" w:lineRule="auto"/>
        <w:ind w:firstLine="709"/>
        <w:jc w:val="both"/>
        <w:rPr>
          <w:rFonts w:ascii="Verdana" w:hAnsi="Verdana" w:cs="Arial"/>
          <w:shd w:val="clear" w:color="auto" w:fill="FFFFFF"/>
        </w:rPr>
      </w:pPr>
      <w:r w:rsidRPr="003F20E6">
        <w:rPr>
          <w:rFonts w:ascii="Verdana" w:hAnsi="Verdana" w:cs="Arial"/>
          <w:shd w:val="clear" w:color="auto" w:fill="FFFFFF"/>
        </w:rPr>
        <w:t xml:space="preserve">La expresión </w:t>
      </w:r>
      <w:r w:rsidRPr="003F20E6">
        <w:rPr>
          <w:rFonts w:ascii="Verdana" w:hAnsi="Verdana" w:cs="Arial"/>
          <w:i/>
          <w:iCs/>
          <w:shd w:val="clear" w:color="auto" w:fill="FFFFFF"/>
        </w:rPr>
        <w:t xml:space="preserve">Documentos del Proceso </w:t>
      </w:r>
      <w:r w:rsidRPr="003F20E6">
        <w:rPr>
          <w:rFonts w:ascii="Verdana" w:hAnsi="Verdana" w:cs="Arial"/>
          <w:shd w:val="clear" w:color="auto" w:fill="FFFFFF"/>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3F20E6">
        <w:rPr>
          <w:rFonts w:ascii="Verdana" w:hAnsi="Verdana" w:cs="Arial"/>
          <w:i/>
          <w:iCs/>
          <w:shd w:val="clear" w:color="auto" w:fill="FFFFFF"/>
        </w:rPr>
        <w:t>y cualquier otro documento expedido por la Entidad Estatal durante el Proceso de Contratación</w:t>
      </w:r>
      <w:r w:rsidRPr="003F20E6">
        <w:rPr>
          <w:rFonts w:ascii="Verdana" w:hAnsi="Verdana" w:cs="Arial"/>
          <w:shd w:val="clear" w:color="auto" w:fill="FFFFFF"/>
        </w:rPr>
        <w:t xml:space="preserve">”. </w:t>
      </w:r>
      <w:r>
        <w:rPr>
          <w:rFonts w:ascii="Verdana" w:hAnsi="Verdana" w:cs="Arial"/>
          <w:shd w:val="clear" w:color="auto" w:fill="FFFFFF"/>
        </w:rPr>
        <w:t>(</w:t>
      </w:r>
      <w:r w:rsidRPr="003F20E6">
        <w:rPr>
          <w:rFonts w:ascii="Verdana" w:hAnsi="Verdana" w:cs="Arial"/>
          <w:shd w:val="clear" w:color="auto" w:fill="FFFFFF"/>
        </w:rPr>
        <w:t>Énfasis fuera de texto</w:t>
      </w:r>
      <w:r>
        <w:rPr>
          <w:rFonts w:ascii="Verdana" w:hAnsi="Verdana" w:cs="Arial"/>
          <w:shd w:val="clear" w:color="auto" w:fill="FFFFFF"/>
        </w:rPr>
        <w:t>).</w:t>
      </w:r>
    </w:p>
    <w:p w14:paraId="72BB8153" w14:textId="77777777" w:rsidR="003467C6" w:rsidRPr="003F20E6" w:rsidRDefault="003467C6" w:rsidP="003467C6">
      <w:pPr>
        <w:tabs>
          <w:tab w:val="left" w:pos="709"/>
        </w:tabs>
        <w:spacing w:before="120" w:after="0" w:line="276" w:lineRule="auto"/>
        <w:ind w:firstLine="709"/>
        <w:jc w:val="both"/>
        <w:rPr>
          <w:rFonts w:ascii="Verdana" w:hAnsi="Verdana" w:cs="Arial"/>
          <w:shd w:val="clear" w:color="auto" w:fill="FFFFFF"/>
        </w:rPr>
      </w:pPr>
      <w:r w:rsidRPr="003F20E6">
        <w:rPr>
          <w:rFonts w:ascii="Verdana" w:hAnsi="Verdana" w:cs="Arial"/>
          <w:shd w:val="clear" w:color="auto" w:fill="FFFFFF"/>
        </w:rPr>
        <w:t xml:space="preserve">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r w:rsidRPr="003F20E6">
        <w:rPr>
          <w:rFonts w:ascii="Verdana" w:hAnsi="Verdana" w:cs="Arial"/>
          <w:i/>
          <w:iCs/>
          <w:shd w:val="clear" w:color="auto" w:fill="FFFFFF"/>
        </w:rPr>
        <w:t>Ibidem</w:t>
      </w:r>
      <w:r w:rsidRPr="003F20E6">
        <w:rPr>
          <w:rFonts w:ascii="Verdana" w:hAnsi="Verdana" w:cs="Arial"/>
          <w:shd w:val="clear" w:color="auto" w:fill="FFFFFF"/>
        </w:rPr>
        <w:t xml:space="preserve"> recoge en la noción de Documentos del Proceso “cualquier otro documento expedido por la Entidad Estatal durante el Proceso de Contratación”. </w:t>
      </w:r>
    </w:p>
    <w:p w14:paraId="1E5D3348" w14:textId="77777777" w:rsidR="003467C6" w:rsidRPr="003F20E6" w:rsidRDefault="003467C6" w:rsidP="003467C6">
      <w:pPr>
        <w:tabs>
          <w:tab w:val="left" w:pos="709"/>
        </w:tabs>
        <w:spacing w:before="120" w:after="0" w:line="276" w:lineRule="auto"/>
        <w:ind w:firstLine="709"/>
        <w:jc w:val="both"/>
        <w:rPr>
          <w:rFonts w:ascii="Verdana" w:hAnsi="Verdana" w:cs="Arial"/>
          <w:shd w:val="clear" w:color="auto" w:fill="FFFFFF"/>
        </w:rPr>
      </w:pPr>
      <w:r w:rsidRPr="003F20E6">
        <w:rPr>
          <w:rFonts w:ascii="Verdana" w:hAnsi="Verdana" w:cs="Arial"/>
          <w:shd w:val="clear" w:color="auto" w:fill="FFFFFF"/>
        </w:rPr>
        <w:t xml:space="preserve">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se refiere a los documentos “expedidos </w:t>
      </w:r>
      <w:r w:rsidRPr="003F20E6">
        <w:rPr>
          <w:rFonts w:ascii="Verdana" w:hAnsi="Verdana" w:cs="Arial"/>
          <w:shd w:val="clear" w:color="auto" w:fill="FFFFFF"/>
        </w:rPr>
        <w:lastRenderedPageBreak/>
        <w:t>por la entidad estatal” durante el Proceso de Contratación, excluyendo de la noción de Documentos del Proceso los expedidos por un sujeto distinto a la entidad, salvo la oferta, la cual se incluye expresamente en el referido artículo 2.2.1.1.1.3.</w:t>
      </w:r>
    </w:p>
    <w:p w14:paraId="78851ACF" w14:textId="77777777" w:rsidR="003467C6" w:rsidRPr="003F20E6" w:rsidRDefault="003467C6" w:rsidP="003467C6">
      <w:pPr>
        <w:tabs>
          <w:tab w:val="left" w:pos="709"/>
        </w:tabs>
        <w:spacing w:before="120" w:after="120" w:line="276" w:lineRule="auto"/>
        <w:ind w:firstLine="709"/>
        <w:jc w:val="both"/>
        <w:rPr>
          <w:rFonts w:ascii="Verdana" w:hAnsi="Verdana" w:cs="Arial"/>
          <w:shd w:val="clear" w:color="auto" w:fill="FFFFFF"/>
        </w:rPr>
      </w:pPr>
      <w:r w:rsidRPr="003F20E6">
        <w:rPr>
          <w:rFonts w:ascii="Verdana" w:hAnsi="Verdana" w:cs="Arial"/>
          <w:shd w:val="clear" w:color="auto" w:fill="FFFFFF"/>
        </w:rPr>
        <w:t>En ese sentido, la interpretación sistemática de los preceptos del Decreto 1082 de 2015, de acuerdo con el principio de publicidad, inicialmente, indica que las Entidades Estatales tienen la obligación de publicar todos los documentos que expidan con ocasión del Proceso de Contratación, es decir</w:t>
      </w:r>
      <w:r>
        <w:rPr>
          <w:rFonts w:ascii="Verdana" w:hAnsi="Verdana" w:cs="Arial"/>
          <w:shd w:val="clear" w:color="auto" w:fill="FFFFFF"/>
        </w:rPr>
        <w:t>,</w:t>
      </w:r>
      <w:r w:rsidRPr="003F20E6">
        <w:rPr>
          <w:rFonts w:ascii="Verdana" w:hAnsi="Verdana" w:cs="Arial"/>
          <w:shd w:val="clear" w:color="auto" w:fill="FFFFFF"/>
        </w:rPr>
        <w:t xml:space="preserve"> que todos los documentos expedidos por la entidad durante las etapas precontractual, de ejecución y </w:t>
      </w:r>
      <w:proofErr w:type="spellStart"/>
      <w:r w:rsidRPr="003F20E6">
        <w:rPr>
          <w:rFonts w:ascii="Verdana" w:hAnsi="Verdana" w:cs="Arial"/>
          <w:shd w:val="clear" w:color="auto" w:fill="FFFFFF"/>
        </w:rPr>
        <w:t>postcontractual</w:t>
      </w:r>
      <w:proofErr w:type="spellEnd"/>
      <w:r w:rsidRPr="003F20E6">
        <w:rPr>
          <w:rFonts w:ascii="Verdana" w:hAnsi="Verdana" w:cs="Arial"/>
          <w:shd w:val="clear" w:color="auto" w:fill="FFFFFF"/>
        </w:rPr>
        <w:t xml:space="preserve"> deberán publicarse en SECOP dentro de los tres (3) días siguientes a su expedición, para cumplir el deber de publicidad regulado por el artículo 2.2.1.1.1.7.1. del Decreto 1082 de 2015.</w:t>
      </w:r>
    </w:p>
    <w:p w14:paraId="2562663F" w14:textId="77777777" w:rsidR="003467C6" w:rsidRPr="003F20E6" w:rsidRDefault="003467C6" w:rsidP="003467C6">
      <w:pPr>
        <w:tabs>
          <w:tab w:val="left" w:pos="709"/>
        </w:tabs>
        <w:spacing w:before="120" w:after="120" w:line="276" w:lineRule="auto"/>
        <w:ind w:firstLine="709"/>
        <w:jc w:val="both"/>
        <w:rPr>
          <w:rFonts w:ascii="Verdana" w:hAnsi="Verdana" w:cs="Arial"/>
          <w:shd w:val="clear" w:color="auto" w:fill="FFFFFF"/>
        </w:rPr>
      </w:pPr>
      <w:r w:rsidRPr="003F20E6">
        <w:rPr>
          <w:rFonts w:ascii="Verdana" w:hAnsi="Verdana" w:cs="Arial"/>
          <w:shd w:val="clear" w:color="auto" w:fill="FFFFFF"/>
        </w:rPr>
        <w:t>Con el propósito de garantizar el cumplimiento del mencionado deber de publicidad, se le asignó a la Agencia Nacional de Contratación Pública - Colombia Compra Eficiente, la función de administrar el SECOP</w:t>
      </w:r>
      <w:r w:rsidRPr="003F20E6">
        <w:rPr>
          <w:rFonts w:ascii="Verdana" w:hAnsi="Verdana" w:cs="Arial"/>
          <w:shd w:val="clear" w:color="auto" w:fill="FFFFFF"/>
          <w:vertAlign w:val="superscript"/>
        </w:rPr>
        <w:footnoteReference w:id="7"/>
      </w:r>
      <w:r w:rsidRPr="003F20E6">
        <w:rPr>
          <w:rFonts w:ascii="Verdana" w:hAnsi="Verdana" w:cs="Arial"/>
          <w:shd w:val="clear" w:color="auto" w:fill="FFFFFF"/>
        </w:rPr>
        <w:t>. Dicha plataforma ha tenido dos versiones, esto es, el SECOP I y el SECOP II. La primera versión de la plataforma –SECOP I–, sólo funciona como medio de publicidad, es decir, no es transaccional, lo que significa que el procedimiento contractual ocurre fuera de la plataforma y a través de un expediente físico en la entidad, pero las actuaciones y los documentos se convierten en electrónicos para ser cargados a la plataforma, por quien tenga la función dentro de la entidad, de acuerdo con su organización interna.</w:t>
      </w:r>
    </w:p>
    <w:p w14:paraId="4AF939DB" w14:textId="77777777" w:rsidR="003467C6" w:rsidRPr="003F20E6" w:rsidRDefault="003467C6" w:rsidP="003467C6">
      <w:pPr>
        <w:tabs>
          <w:tab w:val="left" w:pos="709"/>
        </w:tabs>
        <w:spacing w:before="120" w:after="120" w:line="276" w:lineRule="auto"/>
        <w:ind w:firstLine="709"/>
        <w:jc w:val="both"/>
        <w:rPr>
          <w:rFonts w:ascii="Verdana" w:hAnsi="Verdana" w:cs="Arial"/>
          <w:shd w:val="clear" w:color="auto" w:fill="FFFFFF"/>
        </w:rPr>
      </w:pPr>
      <w:r w:rsidRPr="003F20E6">
        <w:rPr>
          <w:rFonts w:ascii="Verdana" w:hAnsi="Verdana" w:cs="Arial"/>
          <w:shd w:val="clear" w:color="auto" w:fill="FFFFFF"/>
        </w:rPr>
        <w:t xml:space="preserve">En cambio, el SECOP II, es una plataforma transaccional que permite gestionar en línea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Los proveedores </w:t>
      </w:r>
      <w:r w:rsidRPr="003F20E6">
        <w:rPr>
          <w:rFonts w:ascii="Verdana" w:hAnsi="Verdana" w:cs="Arial"/>
          <w:shd w:val="clear" w:color="auto" w:fill="FFFFFF"/>
        </w:rPr>
        <w:lastRenderedPageBreak/>
        <w:t>pueden hacer comentarios a los documentos del procedimiento, presentar ofertas y seguir el procedimiento de selección en línea.</w:t>
      </w:r>
    </w:p>
    <w:p w14:paraId="562D5E86" w14:textId="77777777" w:rsidR="003467C6" w:rsidRPr="003F20E6" w:rsidRDefault="003467C6" w:rsidP="003467C6">
      <w:pPr>
        <w:spacing w:after="120" w:line="276" w:lineRule="auto"/>
        <w:ind w:firstLine="709"/>
        <w:jc w:val="both"/>
        <w:rPr>
          <w:rFonts w:ascii="Verdana" w:eastAsia="Calibri" w:hAnsi="Verdana" w:cs="Arial"/>
          <w:lang w:val="es-ES"/>
        </w:rPr>
      </w:pPr>
      <w:r w:rsidRPr="003F20E6">
        <w:rPr>
          <w:rFonts w:ascii="Verdana" w:eastAsia="Calibri" w:hAnsi="Verdana" w:cs="Arial"/>
          <w:lang w:val="es-ES"/>
        </w:rPr>
        <w:t>Sin embargo, pese a que los documentos que deben publicarse en el SECOP II corresponden a los mismos que deben publicarse en el SECOP I, esto es, todos los expedidos con ocasión el Proceso de Contratación</w:t>
      </w:r>
      <w:r>
        <w:rPr>
          <w:rFonts w:ascii="Verdana" w:eastAsia="Calibri" w:hAnsi="Verdana" w:cs="Arial"/>
          <w:lang w:val="es-ES"/>
        </w:rPr>
        <w:t>,</w:t>
      </w:r>
      <w:r w:rsidRPr="003F20E6">
        <w:rPr>
          <w:rFonts w:ascii="Verdana" w:eastAsia="Calibri" w:hAnsi="Verdana" w:cs="Arial"/>
          <w:lang w:val="es-ES"/>
        </w:rPr>
        <w:t xml:space="preserve"> con excepción de los expresamente excluidos, la naturaleza transaccional del SECOP II implica que los procesos contractuales no sólo deban ser publicados mediante esta plataforma, sino también gestionados a través de ella, al consistir la mayoría de los hitos contractuales en documentos y actuaciones electrónicas generadas en tiempo real, de tal manera que el proceso contractual avanza en la medida en la que se generen y aprueben estos documentos y actuaciones electrónicas en la plataforma. Esto a diferencia de los procesos publicados en el SECOP I, en los que primero se generan los documentos escritos y luego se publican en la plataforma dentro del plazo de tres (3) días previsto en el artículo 2.2.1.1.1.7.1 del Decreto 1082 de 2015. </w:t>
      </w:r>
    </w:p>
    <w:p w14:paraId="25901DF6" w14:textId="77777777" w:rsidR="003467C6" w:rsidRPr="003F20E6" w:rsidRDefault="003467C6" w:rsidP="003467C6">
      <w:pPr>
        <w:tabs>
          <w:tab w:val="left" w:pos="709"/>
        </w:tabs>
        <w:spacing w:before="120" w:after="0" w:line="276" w:lineRule="auto"/>
        <w:ind w:firstLine="709"/>
        <w:jc w:val="both"/>
        <w:rPr>
          <w:rFonts w:ascii="Verdana" w:hAnsi="Verdana" w:cs="Arial"/>
          <w:shd w:val="clear" w:color="auto" w:fill="FFFFFF"/>
        </w:rPr>
      </w:pPr>
      <w:r w:rsidRPr="003F20E6">
        <w:rPr>
          <w:rFonts w:ascii="Verdana" w:hAnsi="Verdana" w:cs="Arial"/>
          <w:shd w:val="clear" w:color="auto" w:fill="FFFFFF"/>
        </w:rPr>
        <w:t xml:space="preserve">Conforme a lo anterior, es clara la obligatoriedad de publicar la información de la actividad contractual que se realiza con cargo a recursos públicos en el SECOP, incluidas aquellas con regímenes contractuales especiales. Esta obligación incluye todos los documentos generados durante las fases precontractual, contractual y </w:t>
      </w:r>
      <w:proofErr w:type="spellStart"/>
      <w:r w:rsidRPr="003F20E6">
        <w:rPr>
          <w:rFonts w:ascii="Verdana" w:hAnsi="Verdana" w:cs="Arial"/>
          <w:shd w:val="clear" w:color="auto" w:fill="FFFFFF"/>
        </w:rPr>
        <w:t>postcontractual</w:t>
      </w:r>
      <w:proofErr w:type="spellEnd"/>
      <w:r w:rsidRPr="003F20E6">
        <w:rPr>
          <w:rFonts w:ascii="Verdana" w:hAnsi="Verdana" w:cs="Arial"/>
          <w:shd w:val="clear" w:color="auto" w:fill="FFFFFF"/>
        </w:rPr>
        <w:t xml:space="preserve">, como contratos, actos administrativos e información generada con ocasión al proceso de contratación. Esto tiene como objetivo garantizar la transparencia, el acceso público a la información y el control social sobre la contratación pública, permitiendo que la ciudadanía tenga acceso a los documentos en un sistema unificado y oficial. Por último, se precisa, que corresponderá a la Entidad Estatal, previo concepto de sus órganos asesores, cumplir con la publicación de los documentos que expiden dentro de un Proceso de Contratación en el SECOP, ya sea en SECOP I o en SECOP II en cumplimiento de las disposiciones legales y reglamentarias. </w:t>
      </w:r>
    </w:p>
    <w:p w14:paraId="24DA33B2" w14:textId="77777777" w:rsidR="003467C6" w:rsidRPr="003F20E6" w:rsidRDefault="003467C6" w:rsidP="003467C6">
      <w:pPr>
        <w:tabs>
          <w:tab w:val="left" w:pos="709"/>
        </w:tabs>
        <w:spacing w:after="0" w:line="276" w:lineRule="auto"/>
        <w:jc w:val="both"/>
        <w:rPr>
          <w:rFonts w:ascii="Verdana" w:hAnsi="Verdana" w:cs="Arial"/>
          <w:shd w:val="clear" w:color="auto" w:fill="FFFFFF"/>
        </w:rPr>
      </w:pPr>
    </w:p>
    <w:p w14:paraId="61FDF885" w14:textId="77777777" w:rsidR="003467C6" w:rsidRPr="003F20E6" w:rsidRDefault="003467C6" w:rsidP="003467C6">
      <w:pPr>
        <w:spacing w:after="120" w:line="276" w:lineRule="auto"/>
        <w:jc w:val="both"/>
        <w:rPr>
          <w:rFonts w:ascii="Verdana" w:eastAsia="Calibri" w:hAnsi="Verdana" w:cs="Arial"/>
          <w:lang w:eastAsia="es-ES_tradnl"/>
        </w:rPr>
      </w:pPr>
      <w:proofErr w:type="spellStart"/>
      <w:r w:rsidRPr="003F20E6">
        <w:rPr>
          <w:rFonts w:ascii="Verdana" w:hAnsi="Verdana" w:cs="Arial"/>
          <w:lang w:val="es-ES"/>
        </w:rPr>
        <w:t>ii</w:t>
      </w:r>
      <w:proofErr w:type="spellEnd"/>
      <w:r w:rsidRPr="003F20E6">
        <w:rPr>
          <w:rFonts w:ascii="Verdana" w:hAnsi="Verdana" w:cs="Arial"/>
          <w:lang w:val="es-ES"/>
        </w:rPr>
        <w:t xml:space="preserve">. En el marco del principio de publicidad de las actuaciones del Estado, se han establecido estrategias mediante leyes y reglamentos que buscan fortalecer la transparencia y la lucha contra la corrupción. En esta línea, la </w:t>
      </w:r>
      <w:r w:rsidRPr="003F20E6">
        <w:rPr>
          <w:rFonts w:ascii="Verdana" w:eastAsia="Calibri" w:hAnsi="Verdana" w:cs="Arial"/>
          <w:lang w:eastAsia="es-ES_tradnl"/>
        </w:rPr>
        <w:t>Ley 1474 de 2011, “Por</w:t>
      </w:r>
      <w:r w:rsidRPr="003F20E6">
        <w:rPr>
          <w:rFonts w:ascii="Verdana" w:eastAsia="Calibri" w:hAnsi="Verdana" w:cs="Arial"/>
          <w:i/>
          <w:iCs/>
          <w:lang w:eastAsia="es-ES_tradnl"/>
        </w:rPr>
        <w:t xml:space="preserve"> la cual se dictan normas orientadas a fortalecer los mecanismos de </w:t>
      </w:r>
      <w:r w:rsidRPr="003F20E6">
        <w:rPr>
          <w:rFonts w:ascii="Verdana" w:eastAsia="Calibri" w:hAnsi="Verdana" w:cs="Arial"/>
          <w:i/>
          <w:iCs/>
          <w:lang w:eastAsia="es-ES_tradnl"/>
        </w:rPr>
        <w:lastRenderedPageBreak/>
        <w:t>prevención, investigación y sanción de actos de corrupción y la efectividad del control de la gestión pública”</w:t>
      </w:r>
      <w:r w:rsidRPr="003F20E6">
        <w:rPr>
          <w:rFonts w:ascii="Verdana" w:eastAsia="Calibri" w:hAnsi="Verdana" w:cs="Arial"/>
          <w:lang w:eastAsia="es-ES_tradnl"/>
        </w:rPr>
        <w:t xml:space="preserve">, y otras normativas afines, tales como la Ley 1712 de 2014 y la Ley 2195 de 2022, </w:t>
      </w:r>
      <w:r>
        <w:rPr>
          <w:rFonts w:ascii="Verdana" w:eastAsia="Calibri" w:hAnsi="Verdana" w:cs="Arial"/>
          <w:lang w:eastAsia="es-ES_tradnl"/>
        </w:rPr>
        <w:t>tienen como fin</w:t>
      </w:r>
      <w:r w:rsidRPr="003F20E6">
        <w:rPr>
          <w:rFonts w:ascii="Verdana" w:eastAsia="Calibri" w:hAnsi="Verdana" w:cs="Arial"/>
          <w:lang w:eastAsia="es-ES_tradnl"/>
        </w:rPr>
        <w:t xml:space="preserve"> institu</w:t>
      </w:r>
      <w:r>
        <w:rPr>
          <w:rFonts w:ascii="Verdana" w:eastAsia="Calibri" w:hAnsi="Verdana" w:cs="Arial"/>
          <w:lang w:eastAsia="es-ES_tradnl"/>
        </w:rPr>
        <w:t>ir</w:t>
      </w:r>
      <w:r w:rsidRPr="003F20E6">
        <w:rPr>
          <w:rFonts w:ascii="Verdana" w:eastAsia="Calibri" w:hAnsi="Verdana" w:cs="Arial"/>
          <w:lang w:eastAsia="es-ES_tradnl"/>
        </w:rPr>
        <w:t xml:space="preserve"> principios y reglas destinadas a asegurar la transparencia y facilitar el acceso a la información pública. </w:t>
      </w:r>
    </w:p>
    <w:p w14:paraId="673403BF" w14:textId="77777777" w:rsidR="003467C6" w:rsidRDefault="003467C6" w:rsidP="003467C6">
      <w:pPr>
        <w:spacing w:after="120" w:line="276" w:lineRule="auto"/>
        <w:ind w:firstLine="708"/>
        <w:jc w:val="both"/>
        <w:rPr>
          <w:rFonts w:ascii="Verdana" w:eastAsia="Calibri" w:hAnsi="Verdana" w:cs="Arial"/>
          <w:lang w:eastAsia="es-ES_tradnl"/>
        </w:rPr>
      </w:pPr>
      <w:r w:rsidRPr="003F20E6">
        <w:rPr>
          <w:rFonts w:ascii="Verdana" w:eastAsia="Calibri" w:hAnsi="Verdana" w:cs="Arial"/>
          <w:lang w:eastAsia="es-ES_tradnl"/>
        </w:rPr>
        <w:t>En esa misma perspectiva, el Gobierno Nacional fundamentado en el artículo 200 de la Ley 2294 de 2023</w:t>
      </w:r>
      <w:r>
        <w:rPr>
          <w:rStyle w:val="Refdenotaalpie"/>
          <w:rFonts w:ascii="Verdana" w:eastAsia="Calibri" w:hAnsi="Verdana" w:cs="Arial"/>
          <w:lang w:eastAsia="es-ES_tradnl"/>
        </w:rPr>
        <w:footnoteReference w:id="8"/>
      </w:r>
      <w:r w:rsidRPr="003F20E6">
        <w:rPr>
          <w:rFonts w:ascii="Verdana" w:eastAsia="Calibri" w:hAnsi="Verdana" w:cs="Arial"/>
          <w:lang w:eastAsia="es-ES_tradnl"/>
        </w:rPr>
        <w:t>, ”</w:t>
      </w:r>
      <w:r w:rsidRPr="003F20E6">
        <w:rPr>
          <w:rFonts w:ascii="Verdana" w:eastAsia="Calibri" w:hAnsi="Verdana" w:cs="Arial"/>
          <w:i/>
          <w:iCs/>
          <w:lang w:eastAsia="es-ES_tradnl"/>
        </w:rPr>
        <w:t>Por la cual se expidió el Plan Nacional de Desarrollo ‘Colombia Potencia Mundial de la Vida’”</w:t>
      </w:r>
      <w:r w:rsidRPr="003F20E6">
        <w:rPr>
          <w:rFonts w:ascii="Verdana" w:eastAsia="Calibri" w:hAnsi="Verdana" w:cs="Arial"/>
          <w:lang w:eastAsia="es-ES_tradnl"/>
        </w:rPr>
        <w:t>, estableció el deber de formular una Estrategia Nacional de Lucha contra la Corrupción</w:t>
      </w:r>
      <w:r w:rsidRPr="003F20E6">
        <w:rPr>
          <w:rFonts w:ascii="Verdana" w:eastAsia="Calibri" w:hAnsi="Verdana" w:cs="Arial"/>
          <w:iCs/>
          <w:lang w:eastAsia="es-ES_tradnl"/>
        </w:rPr>
        <w:t>, con el fin de fortalecer las instituciones democráticas y el Estado Social de Derecho, la protección de los derechos humanos, los recursos públicos, así como generar condiciones adecuadas para el desarrollo socioeconómico y el cuidado del medio ambiente</w:t>
      </w:r>
      <w:r w:rsidRPr="003F20E6">
        <w:rPr>
          <w:rFonts w:ascii="Verdana" w:eastAsia="Calibri" w:hAnsi="Verdana" w:cs="Arial"/>
          <w:lang w:eastAsia="es-ES_tradnl"/>
        </w:rPr>
        <w:t xml:space="preserve">. </w:t>
      </w:r>
    </w:p>
    <w:p w14:paraId="518092C6" w14:textId="77777777" w:rsidR="003467C6" w:rsidRPr="003F20E6" w:rsidRDefault="003467C6" w:rsidP="003467C6">
      <w:pPr>
        <w:spacing w:after="120" w:line="276" w:lineRule="auto"/>
        <w:ind w:firstLine="708"/>
        <w:jc w:val="both"/>
        <w:rPr>
          <w:rFonts w:ascii="Verdana" w:eastAsia="Calibri" w:hAnsi="Verdana" w:cs="Arial"/>
          <w:lang w:eastAsia="es-ES_tradnl"/>
        </w:rPr>
      </w:pPr>
      <w:r w:rsidRPr="003F20E6">
        <w:rPr>
          <w:rFonts w:ascii="Verdana" w:eastAsia="Calibri" w:hAnsi="Verdana" w:cs="Arial"/>
          <w:lang w:eastAsia="es-ES_tradnl"/>
        </w:rPr>
        <w:t xml:space="preserve">De este modo, la estrategia de la lucha contra la corrupción incluye las dimensiones de la garantía de los derechos humanos, la protección al denunciante, </w:t>
      </w:r>
      <w:r w:rsidRPr="00E47CAB">
        <w:rPr>
          <w:rFonts w:ascii="Verdana" w:eastAsia="Calibri" w:hAnsi="Verdana" w:cs="Arial"/>
          <w:i/>
          <w:iCs/>
          <w:lang w:eastAsia="es-ES_tradnl"/>
        </w:rPr>
        <w:t>el derecho de acceso a la información pública</w:t>
      </w:r>
      <w:r w:rsidRPr="003F20E6">
        <w:rPr>
          <w:rFonts w:ascii="Verdana" w:eastAsia="Calibri" w:hAnsi="Verdana" w:cs="Arial"/>
          <w:lang w:eastAsia="es-ES_tradnl"/>
        </w:rPr>
        <w:t xml:space="preserve">, el fortalecimiento de </w:t>
      </w:r>
      <w:r w:rsidRPr="003F20E6">
        <w:rPr>
          <w:rFonts w:ascii="Verdana" w:eastAsia="Calibri" w:hAnsi="Verdana" w:cs="Arial"/>
          <w:lang w:eastAsia="es-ES_tradnl"/>
        </w:rPr>
        <w:lastRenderedPageBreak/>
        <w:t xml:space="preserve">la veeduría ciudadana, la </w:t>
      </w:r>
      <w:r w:rsidRPr="00E47CAB">
        <w:rPr>
          <w:rFonts w:ascii="Verdana" w:eastAsia="Calibri" w:hAnsi="Verdana" w:cs="Arial"/>
          <w:i/>
          <w:iCs/>
          <w:lang w:eastAsia="es-ES_tradnl"/>
        </w:rPr>
        <w:t>transparencia en la contratación y gestión pública</w:t>
      </w:r>
      <w:r w:rsidRPr="003F20E6">
        <w:rPr>
          <w:rFonts w:ascii="Verdana" w:eastAsia="Calibri" w:hAnsi="Verdana" w:cs="Arial"/>
          <w:lang w:eastAsia="es-ES_tradnl"/>
        </w:rPr>
        <w:t>, la innovación pública y la prevención, detección, gestión y sanción de riesgos y hechos de corrupción. </w:t>
      </w:r>
    </w:p>
    <w:p w14:paraId="4C8B8E58" w14:textId="77777777" w:rsidR="003467C6" w:rsidRPr="003F20E6" w:rsidRDefault="003467C6" w:rsidP="003467C6">
      <w:pPr>
        <w:spacing w:after="120" w:line="276" w:lineRule="auto"/>
        <w:ind w:firstLine="708"/>
        <w:jc w:val="both"/>
        <w:rPr>
          <w:rFonts w:ascii="Verdana" w:eastAsia="Calibri" w:hAnsi="Verdana" w:cs="Arial"/>
          <w:bCs/>
          <w:lang w:eastAsia="es-ES_tradnl"/>
        </w:rPr>
      </w:pPr>
      <w:r w:rsidRPr="003F20E6">
        <w:rPr>
          <w:rFonts w:ascii="Verdana" w:eastAsia="Calibri" w:hAnsi="Verdana" w:cs="Arial"/>
          <w:bCs/>
          <w:lang w:eastAsia="es-ES_tradnl"/>
        </w:rPr>
        <w:t xml:space="preserve">En la búsqueda de fortalecer una estrategia de lucha contra la corrupción se expidió el Decreto 1600 de 2024, “Por el cual se modifica el Capítulo 1 y 3 del Título 4 de la Parte 1 del Libro 2 del Decreto número 1081 de 2015, Decreto Reglamentario Único del Sector Presidencia de la República, en lo relacionado con las Subcomisiones Técnicas de la Comisión Nacional de Moralización y la Estrategia Nacional de Lucha Contra la Corrupción”. </w:t>
      </w:r>
    </w:p>
    <w:p w14:paraId="20E0ACB3" w14:textId="77777777" w:rsidR="003467C6" w:rsidRPr="003F20E6" w:rsidRDefault="003467C6" w:rsidP="003467C6">
      <w:pPr>
        <w:spacing w:after="120" w:line="276" w:lineRule="auto"/>
        <w:ind w:firstLine="708"/>
        <w:jc w:val="both"/>
        <w:rPr>
          <w:rFonts w:ascii="Verdana" w:eastAsia="Calibri" w:hAnsi="Verdana" w:cs="Arial"/>
          <w:bCs/>
          <w:iCs/>
          <w:lang w:eastAsia="es-ES_tradnl"/>
        </w:rPr>
      </w:pPr>
      <w:r w:rsidRPr="003F20E6">
        <w:rPr>
          <w:rFonts w:ascii="Verdana" w:eastAsia="Calibri" w:hAnsi="Verdana" w:cs="Arial"/>
          <w:bCs/>
          <w:lang w:eastAsia="es-ES_tradnl"/>
        </w:rPr>
        <w:t>El Capítulo 3°, Sección 1°, Título 4°, Parte 1°, Libro 2° del Decreto 1081 de 2015</w:t>
      </w:r>
      <w:r>
        <w:rPr>
          <w:rFonts w:ascii="Verdana" w:eastAsia="Calibri" w:hAnsi="Verdana" w:cs="Arial"/>
          <w:bCs/>
          <w:lang w:eastAsia="es-ES_tradnl"/>
        </w:rPr>
        <w:t>,</w:t>
      </w:r>
      <w:r w:rsidRPr="003F20E6">
        <w:rPr>
          <w:rFonts w:ascii="Verdana" w:eastAsia="Calibri" w:hAnsi="Verdana" w:cs="Arial"/>
          <w:bCs/>
          <w:lang w:eastAsia="es-ES_tradnl"/>
        </w:rPr>
        <w:t xml:space="preserve"> que fue modificado por el Decreto 1600 de 2024</w:t>
      </w:r>
      <w:r>
        <w:rPr>
          <w:rFonts w:ascii="Verdana" w:eastAsia="Calibri" w:hAnsi="Verdana" w:cs="Arial"/>
          <w:bCs/>
          <w:lang w:eastAsia="es-ES_tradnl"/>
        </w:rPr>
        <w:t>,</w:t>
      </w:r>
      <w:r w:rsidRPr="003F20E6">
        <w:rPr>
          <w:rFonts w:ascii="Verdana" w:eastAsia="Calibri" w:hAnsi="Verdana" w:cs="Arial"/>
          <w:bCs/>
          <w:lang w:eastAsia="es-ES_tradnl"/>
        </w:rPr>
        <w:t xml:space="preserve"> tiene como objeto: “[…] </w:t>
      </w:r>
      <w:r w:rsidRPr="003F20E6">
        <w:rPr>
          <w:rFonts w:ascii="Verdana" w:eastAsia="Calibri" w:hAnsi="Verdana" w:cs="Arial"/>
          <w:bCs/>
          <w:iCs/>
          <w:lang w:eastAsia="es-ES_tradnl"/>
        </w:rPr>
        <w:t xml:space="preserve">establecer los lineamientos, mecanismos y directrices necesarios para la implementación de la Estrategia Nacional de Lucha contra la Corrupción, con el fin de fortalecer las instituciones democráticas, la confianza ciudadana y el Estado social de derecho, garantizar la protección de los derechos humanos relativos a la protección de los recursos públicos, generar condiciones adecuadas para el desarrollo socioeconómico y protección del medio ambiente. Asimismo, procura fomentar una cultura de revalorización y cuidado de lo público, a través de herramientas de transparencia, fortalecimiento de la veeduría ciudadana, acceso efectivo a la información, participación ciudadana y debida diligencia en la prevención, detección y sanción de hechos de corrupción” -artículo 2.1.4.3.1.1-. </w:t>
      </w:r>
    </w:p>
    <w:p w14:paraId="664E03A0" w14:textId="77777777" w:rsidR="003467C6" w:rsidRDefault="003467C6" w:rsidP="003467C6">
      <w:pPr>
        <w:spacing w:after="120" w:line="276" w:lineRule="auto"/>
        <w:ind w:firstLine="708"/>
        <w:jc w:val="both"/>
        <w:rPr>
          <w:rFonts w:ascii="Verdana" w:eastAsia="Calibri" w:hAnsi="Verdana" w:cs="Arial"/>
          <w:bCs/>
          <w:iCs/>
          <w:lang w:eastAsia="es-ES_tradnl"/>
        </w:rPr>
      </w:pPr>
      <w:r>
        <w:rPr>
          <w:rFonts w:ascii="Verdana" w:eastAsia="Calibri" w:hAnsi="Verdana" w:cs="Arial"/>
          <w:bCs/>
          <w:iCs/>
          <w:lang w:eastAsia="es-ES_tradnl"/>
        </w:rPr>
        <w:t>Ahora bien, e</w:t>
      </w:r>
      <w:r w:rsidRPr="003F20E6">
        <w:rPr>
          <w:rFonts w:ascii="Verdana" w:eastAsia="Calibri" w:hAnsi="Verdana" w:cs="Arial"/>
          <w:bCs/>
          <w:iCs/>
          <w:lang w:eastAsia="es-ES_tradnl"/>
        </w:rPr>
        <w:t>l ámbito o campo de aplicación de este capítulo está regulado en el artículo 2.1.4.3.1.2.</w:t>
      </w:r>
      <w:r w:rsidRPr="003F20E6">
        <w:rPr>
          <w:rFonts w:ascii="Verdana" w:eastAsia="Calibri" w:hAnsi="Verdana" w:cs="Arial"/>
          <w:bCs/>
          <w:iCs/>
          <w:vertAlign w:val="superscript"/>
          <w:lang w:eastAsia="es-ES_tradnl"/>
        </w:rPr>
        <w:footnoteReference w:id="9"/>
      </w:r>
      <w:r w:rsidRPr="003F20E6">
        <w:rPr>
          <w:rFonts w:ascii="Verdana" w:eastAsia="Calibri" w:hAnsi="Verdana" w:cs="Arial"/>
          <w:bCs/>
          <w:iCs/>
          <w:lang w:eastAsia="es-ES_tradnl"/>
        </w:rPr>
        <w:t xml:space="preserve"> que señala que sus reglas son para las entidades y empresas del Estado del orden nacional y pertenecientes a la Rama Ejecutiva </w:t>
      </w:r>
      <w:r w:rsidRPr="003F20E6">
        <w:rPr>
          <w:rFonts w:ascii="Verdana" w:eastAsia="Calibri" w:hAnsi="Verdana" w:cs="Arial"/>
          <w:bCs/>
          <w:iCs/>
          <w:lang w:eastAsia="es-ES_tradnl"/>
        </w:rPr>
        <w:lastRenderedPageBreak/>
        <w:t xml:space="preserve">del Poder Público. Así mismo, dispone que las empresas industriales y comerciales del Estado, las sociedades de economía mixta y todas las demás instituciones sometidas a regímenes especiales de contratación deben cumplir las obligaciones del presente Capítulo en aquellos aspectos en los que deban aplicar el régimen general de contratación pública. </w:t>
      </w:r>
    </w:p>
    <w:p w14:paraId="59EDFE98" w14:textId="77777777" w:rsidR="003467C6" w:rsidRPr="003F20E6" w:rsidRDefault="003467C6" w:rsidP="003467C6">
      <w:pPr>
        <w:spacing w:after="120" w:line="276" w:lineRule="auto"/>
        <w:ind w:firstLine="708"/>
        <w:jc w:val="both"/>
        <w:rPr>
          <w:rFonts w:ascii="Verdana" w:eastAsia="Calibri" w:hAnsi="Verdana" w:cs="Arial"/>
          <w:bCs/>
          <w:iCs/>
          <w:lang w:eastAsia="es-ES_tradnl"/>
        </w:rPr>
      </w:pPr>
      <w:r w:rsidRPr="003F20E6">
        <w:rPr>
          <w:rFonts w:ascii="Verdana" w:eastAsia="Calibri" w:hAnsi="Verdana" w:cs="Arial"/>
          <w:bCs/>
          <w:iCs/>
          <w:lang w:eastAsia="es-ES_tradnl"/>
        </w:rPr>
        <w:t>En los temas no regulados por dicho régimen, no se aplica lo dispuesto en el artículo 2.1.4.3.2.1</w:t>
      </w:r>
      <w:r w:rsidRPr="003F20E6">
        <w:rPr>
          <w:rFonts w:ascii="Verdana" w:eastAsia="Calibri" w:hAnsi="Verdana" w:cs="Arial"/>
          <w:bCs/>
          <w:iCs/>
          <w:vertAlign w:val="superscript"/>
          <w:lang w:eastAsia="es-ES_tradnl"/>
        </w:rPr>
        <w:footnoteReference w:id="10"/>
      </w:r>
      <w:r w:rsidRPr="003F20E6">
        <w:rPr>
          <w:rFonts w:ascii="Verdana" w:eastAsia="Calibri" w:hAnsi="Verdana" w:cs="Arial"/>
          <w:bCs/>
          <w:iCs/>
          <w:lang w:eastAsia="es-ES_tradnl"/>
        </w:rPr>
        <w:t>, por lo que las demás disposiciones deberán aplicarse, de acuerdo con su estructura orgánica y la normativa aplicable a su funcionamiento.</w:t>
      </w:r>
      <w:r w:rsidRPr="003F20E6">
        <w:rPr>
          <w:rFonts w:ascii="Verdana" w:eastAsia="Calibri" w:hAnsi="Verdana" w:cs="Arial"/>
          <w:bCs/>
          <w:lang w:eastAsia="es-ES_tradnl"/>
        </w:rPr>
        <w:t xml:space="preserve"> </w:t>
      </w:r>
      <w:r w:rsidRPr="003F20E6">
        <w:rPr>
          <w:rFonts w:ascii="Verdana" w:eastAsia="Calibri" w:hAnsi="Verdana" w:cs="Arial"/>
          <w:bCs/>
          <w:iCs/>
          <w:lang w:eastAsia="es-ES_tradnl"/>
        </w:rPr>
        <w:t xml:space="preserve">Con respecto a las entidades territoriales y sus entidades descentralizadas establece que en el marco de su autonomía y en cumplimiento </w:t>
      </w:r>
      <w:r w:rsidRPr="003F20E6">
        <w:rPr>
          <w:rFonts w:ascii="Verdana" w:eastAsia="Calibri" w:hAnsi="Verdana" w:cs="Arial"/>
          <w:bCs/>
          <w:iCs/>
          <w:lang w:eastAsia="es-ES_tradnl"/>
        </w:rPr>
        <w:lastRenderedPageBreak/>
        <w:t xml:space="preserve">de lo previsto en el artículo 32 de la Ley 152 de 1994, por la cual se establece la Ley Orgánica de Plan de Desarrollo, deben aplicar sus planes y políticas, las líneas de acción contenidas en el presente Capítulo, conforme a lo regulado en el artículo 200 de la Ley 2294 de 2023. </w:t>
      </w:r>
    </w:p>
    <w:p w14:paraId="1A4CF586" w14:textId="77777777" w:rsidR="003467C6" w:rsidRPr="003F20E6" w:rsidRDefault="003467C6" w:rsidP="003467C6">
      <w:pPr>
        <w:spacing w:after="0" w:line="276" w:lineRule="auto"/>
        <w:ind w:firstLine="709"/>
        <w:jc w:val="both"/>
        <w:rPr>
          <w:rFonts w:ascii="Verdana" w:eastAsia="Calibri" w:hAnsi="Verdana" w:cs="Arial"/>
          <w:bCs/>
          <w:iCs/>
          <w:lang w:eastAsia="es-ES_tradnl"/>
        </w:rPr>
      </w:pPr>
      <w:r w:rsidRPr="003F20E6">
        <w:rPr>
          <w:rFonts w:ascii="Verdana" w:eastAsia="Calibri" w:hAnsi="Verdana" w:cs="Arial"/>
          <w:bCs/>
          <w:iCs/>
          <w:lang w:eastAsia="es-ES_tradnl"/>
        </w:rPr>
        <w:t>En este capítulo contiene el deber de garantizar el derecho de acceso a la información en las entidades públicas como presupuesto para el ejercicio de los derechos fundamentales, regulado en el artículo 2.1.4.3.2.2. del Decreto 1081 de 2015, cuyo tenor literal prescribe:</w:t>
      </w:r>
    </w:p>
    <w:p w14:paraId="1573C32A" w14:textId="77777777" w:rsidR="003467C6" w:rsidRPr="003F20E6" w:rsidRDefault="003467C6" w:rsidP="003467C6">
      <w:pPr>
        <w:spacing w:after="0" w:line="276" w:lineRule="auto"/>
        <w:ind w:firstLine="709"/>
        <w:jc w:val="both"/>
        <w:rPr>
          <w:rFonts w:ascii="Verdana" w:eastAsia="Calibri" w:hAnsi="Verdana" w:cs="Arial"/>
          <w:bCs/>
          <w:iCs/>
          <w:lang w:eastAsia="es-ES_tradnl"/>
        </w:rPr>
      </w:pPr>
      <w:r w:rsidRPr="003F20E6">
        <w:rPr>
          <w:rFonts w:ascii="Verdana" w:eastAsia="Calibri" w:hAnsi="Verdana" w:cs="Arial"/>
          <w:bCs/>
          <w:iCs/>
          <w:lang w:eastAsia="es-ES_tradnl"/>
        </w:rPr>
        <w:t xml:space="preserve"> </w:t>
      </w:r>
    </w:p>
    <w:p w14:paraId="1512DF8D" w14:textId="77777777" w:rsidR="003467C6" w:rsidRDefault="003467C6" w:rsidP="003467C6">
      <w:pPr>
        <w:spacing w:after="0" w:line="240" w:lineRule="auto"/>
        <w:ind w:left="709" w:right="709"/>
        <w:jc w:val="both"/>
        <w:rPr>
          <w:rFonts w:ascii="Verdana" w:eastAsia="Calibri" w:hAnsi="Verdana" w:cs="Arial"/>
          <w:bCs/>
          <w:sz w:val="20"/>
          <w:szCs w:val="20"/>
          <w:lang w:eastAsia="es-ES_tradnl"/>
        </w:rPr>
      </w:pPr>
      <w:r>
        <w:rPr>
          <w:rFonts w:ascii="Verdana" w:eastAsia="Calibri" w:hAnsi="Verdana" w:cs="Arial"/>
          <w:bCs/>
          <w:iCs/>
          <w:sz w:val="20"/>
          <w:szCs w:val="20"/>
          <w:lang w:eastAsia="es-ES_tradnl"/>
        </w:rPr>
        <w:t>“</w:t>
      </w:r>
      <w:r w:rsidRPr="00E47CAB">
        <w:rPr>
          <w:rFonts w:ascii="Verdana" w:eastAsia="Calibri" w:hAnsi="Verdana" w:cs="Arial"/>
          <w:bCs/>
          <w:iCs/>
          <w:sz w:val="20"/>
          <w:szCs w:val="20"/>
          <w:lang w:eastAsia="es-ES_tradnl"/>
        </w:rPr>
        <w:t>Artículo 2.1.4.3.2.2. Garantía de acceso a la información en las entidades públicas, como presupuesto para el ejercicio de derechos fundamentales. Sin perjuicio de sus obligaciones en materia de garantías de acceso a la información pública, los sujetos obligados deberán publicar en la sede electrónica o página web: </w:t>
      </w:r>
      <w:r w:rsidRPr="00E47CAB">
        <w:rPr>
          <w:rFonts w:ascii="Verdana" w:eastAsia="Calibri" w:hAnsi="Verdana" w:cs="Arial"/>
          <w:bCs/>
          <w:sz w:val="20"/>
          <w:szCs w:val="20"/>
          <w:lang w:eastAsia="es-ES_tradnl"/>
        </w:rPr>
        <w:t> </w:t>
      </w:r>
    </w:p>
    <w:p w14:paraId="1016EE08" w14:textId="77777777" w:rsidR="003467C6" w:rsidRPr="00E47CAB" w:rsidRDefault="003467C6" w:rsidP="003467C6">
      <w:pPr>
        <w:spacing w:after="0" w:line="240" w:lineRule="auto"/>
        <w:ind w:left="709" w:right="709"/>
        <w:jc w:val="both"/>
        <w:rPr>
          <w:rFonts w:ascii="Verdana" w:eastAsia="Calibri" w:hAnsi="Verdana" w:cs="Arial"/>
          <w:bCs/>
          <w:sz w:val="20"/>
          <w:szCs w:val="20"/>
          <w:lang w:eastAsia="es-ES_tradnl"/>
        </w:rPr>
      </w:pPr>
    </w:p>
    <w:p w14:paraId="5AB65929" w14:textId="77777777" w:rsidR="003467C6" w:rsidRPr="00E47CAB" w:rsidRDefault="003467C6" w:rsidP="003467C6">
      <w:pPr>
        <w:spacing w:after="0" w:line="240" w:lineRule="auto"/>
        <w:ind w:left="709" w:right="709"/>
        <w:jc w:val="both"/>
        <w:rPr>
          <w:rFonts w:ascii="Verdana" w:eastAsia="Calibri" w:hAnsi="Verdana" w:cs="Arial"/>
          <w:bCs/>
          <w:sz w:val="20"/>
          <w:szCs w:val="20"/>
          <w:lang w:eastAsia="es-ES_tradnl"/>
        </w:rPr>
      </w:pPr>
      <w:r w:rsidRPr="00E47CAB">
        <w:rPr>
          <w:rFonts w:ascii="Verdana" w:eastAsia="Calibri" w:hAnsi="Verdana" w:cs="Arial"/>
          <w:bCs/>
          <w:iCs/>
          <w:sz w:val="20"/>
          <w:szCs w:val="20"/>
          <w:lang w:eastAsia="es-ES_tradnl"/>
        </w:rPr>
        <w:t>a) Información detallada de todas las auditorías que realicen, incluyendo los resultados, hallazgos y seguimiento a las acciones de mejora; </w:t>
      </w:r>
      <w:r w:rsidRPr="00E47CAB">
        <w:rPr>
          <w:rFonts w:ascii="Verdana" w:eastAsia="Calibri" w:hAnsi="Verdana" w:cs="Arial"/>
          <w:bCs/>
          <w:sz w:val="20"/>
          <w:szCs w:val="20"/>
          <w:lang w:eastAsia="es-ES_tradnl"/>
        </w:rPr>
        <w:t> </w:t>
      </w:r>
    </w:p>
    <w:p w14:paraId="208752D6" w14:textId="77777777" w:rsidR="003467C6" w:rsidRDefault="003467C6" w:rsidP="003467C6">
      <w:pPr>
        <w:spacing w:after="0" w:line="240" w:lineRule="auto"/>
        <w:ind w:left="709" w:right="709"/>
        <w:jc w:val="both"/>
        <w:rPr>
          <w:rFonts w:ascii="Verdana" w:eastAsia="Calibri" w:hAnsi="Verdana" w:cs="Arial"/>
          <w:bCs/>
          <w:i/>
          <w:iCs/>
          <w:sz w:val="20"/>
          <w:szCs w:val="20"/>
          <w:lang w:eastAsia="es-ES_tradnl"/>
        </w:rPr>
      </w:pPr>
    </w:p>
    <w:p w14:paraId="0281A686" w14:textId="77777777" w:rsidR="003467C6" w:rsidRPr="00E47CAB" w:rsidRDefault="003467C6" w:rsidP="003467C6">
      <w:pPr>
        <w:spacing w:after="0" w:line="240" w:lineRule="auto"/>
        <w:ind w:left="709" w:right="709"/>
        <w:jc w:val="both"/>
        <w:rPr>
          <w:rFonts w:ascii="Verdana" w:eastAsia="Calibri" w:hAnsi="Verdana" w:cs="Arial"/>
          <w:bCs/>
          <w:i/>
          <w:sz w:val="20"/>
          <w:szCs w:val="20"/>
          <w:lang w:eastAsia="es-ES_tradnl"/>
        </w:rPr>
      </w:pPr>
      <w:r w:rsidRPr="00E47CAB">
        <w:rPr>
          <w:rFonts w:ascii="Verdana" w:eastAsia="Calibri" w:hAnsi="Verdana" w:cs="Arial"/>
          <w:bCs/>
          <w:i/>
          <w:iCs/>
          <w:sz w:val="20"/>
          <w:szCs w:val="20"/>
          <w:lang w:eastAsia="es-ES_tradnl"/>
        </w:rPr>
        <w:t>b) Información detallada de los contratos que suscriban, incluyendo, como mínimo: valor del contrato, objeto contractual, identidad del contratista seleccionado; así como el enlace directo al proceso en el Sistema Electrónico de Contratación Pública (SECOP). En SECOP, además, debe estar publicada la información de ejecución del contrato, esto es, informes de supervisión e interventoría, actas de liquidación, requerimientos, etc. Esta información debe ser publicada dentro de los diez (10) días siguientes a la suscripción del contrato u ocurrencia del hecho. En ningún caso la información contractual podrá tener un rezago mayor a diez (10) días.</w:t>
      </w:r>
    </w:p>
    <w:p w14:paraId="42DE20CC" w14:textId="77777777" w:rsidR="003467C6" w:rsidRDefault="003467C6" w:rsidP="003467C6">
      <w:pPr>
        <w:spacing w:after="0" w:line="240" w:lineRule="auto"/>
        <w:ind w:left="709" w:right="709"/>
        <w:jc w:val="both"/>
        <w:rPr>
          <w:rFonts w:ascii="Verdana" w:eastAsia="Calibri" w:hAnsi="Verdana" w:cs="Arial"/>
          <w:bCs/>
          <w:iCs/>
          <w:sz w:val="20"/>
          <w:szCs w:val="20"/>
          <w:lang w:eastAsia="es-ES_tradnl"/>
        </w:rPr>
      </w:pPr>
    </w:p>
    <w:p w14:paraId="5E9CFBD7" w14:textId="77777777" w:rsidR="003467C6" w:rsidRPr="00E47CAB" w:rsidRDefault="003467C6" w:rsidP="003467C6">
      <w:pPr>
        <w:spacing w:after="0" w:line="240" w:lineRule="auto"/>
        <w:ind w:left="709" w:right="709"/>
        <w:jc w:val="both"/>
        <w:rPr>
          <w:rFonts w:ascii="Verdana" w:eastAsia="Calibri" w:hAnsi="Verdana" w:cs="Arial"/>
          <w:bCs/>
          <w:sz w:val="20"/>
          <w:szCs w:val="20"/>
          <w:lang w:eastAsia="es-ES_tradnl"/>
        </w:rPr>
      </w:pPr>
      <w:r w:rsidRPr="00E47CAB">
        <w:rPr>
          <w:rFonts w:ascii="Verdana" w:eastAsia="Calibri" w:hAnsi="Verdana" w:cs="Arial"/>
          <w:bCs/>
          <w:iCs/>
          <w:sz w:val="20"/>
          <w:szCs w:val="20"/>
          <w:lang w:eastAsia="es-ES_tradnl"/>
        </w:rPr>
        <w:t>La Secretaría de Transparencia de la Presidencia de la República realizará un seguimiento anual, con actualizaciones periódicas y un escalafón de entidades, para medir la garantía de acceso a la información, verificando: la existencia de la información; la publicación gratuita, y oportuna, teniendo en cuenta tiempos de rezago; que la información sea objetiva, veraz, que esté completa y sea reutilizable, procesable y accesible. </w:t>
      </w:r>
      <w:r w:rsidRPr="00E47CAB">
        <w:rPr>
          <w:rFonts w:ascii="Verdana" w:eastAsia="Calibri" w:hAnsi="Verdana" w:cs="Arial"/>
          <w:bCs/>
          <w:sz w:val="20"/>
          <w:szCs w:val="20"/>
          <w:lang w:eastAsia="es-ES_tradnl"/>
        </w:rPr>
        <w:t> </w:t>
      </w:r>
    </w:p>
    <w:p w14:paraId="47764DC2" w14:textId="77777777" w:rsidR="003467C6" w:rsidRDefault="003467C6" w:rsidP="003467C6">
      <w:pPr>
        <w:spacing w:after="0" w:line="240" w:lineRule="auto"/>
        <w:ind w:left="709" w:right="709"/>
        <w:jc w:val="both"/>
        <w:rPr>
          <w:rFonts w:ascii="Verdana" w:eastAsia="Calibri" w:hAnsi="Verdana" w:cs="Arial"/>
          <w:bCs/>
          <w:iCs/>
          <w:sz w:val="20"/>
          <w:szCs w:val="20"/>
          <w:lang w:eastAsia="es-ES_tradnl"/>
        </w:rPr>
      </w:pPr>
    </w:p>
    <w:p w14:paraId="2091DF79" w14:textId="77777777" w:rsidR="003467C6" w:rsidRPr="00E47CAB" w:rsidRDefault="003467C6" w:rsidP="003467C6">
      <w:pPr>
        <w:spacing w:after="0" w:line="240" w:lineRule="auto"/>
        <w:ind w:left="709" w:right="709"/>
        <w:jc w:val="both"/>
        <w:rPr>
          <w:rFonts w:ascii="Verdana" w:eastAsia="Calibri" w:hAnsi="Verdana" w:cs="Arial"/>
          <w:bCs/>
          <w:sz w:val="20"/>
          <w:szCs w:val="20"/>
          <w:lang w:eastAsia="es-ES_tradnl"/>
        </w:rPr>
      </w:pPr>
      <w:r w:rsidRPr="00E47CAB">
        <w:rPr>
          <w:rFonts w:ascii="Verdana" w:eastAsia="Calibri" w:hAnsi="Verdana" w:cs="Arial"/>
          <w:bCs/>
          <w:iCs/>
          <w:sz w:val="20"/>
          <w:szCs w:val="20"/>
          <w:lang w:eastAsia="es-ES_tradnl"/>
        </w:rPr>
        <w:t>Parágrafo. Los sujetos obligados deberán incluir en el Índice de Información Reservada y Clasificada todos aquellos actos o contratos a los que asignen tales categorías, incluyendo su individualización, su denominación y el motivo por el cual consideran que se puede negar el acceso</w:t>
      </w:r>
      <w:r>
        <w:rPr>
          <w:rFonts w:ascii="Verdana" w:eastAsia="Calibri" w:hAnsi="Verdana" w:cs="Arial"/>
          <w:bCs/>
          <w:iCs/>
          <w:sz w:val="20"/>
          <w:szCs w:val="20"/>
          <w:lang w:eastAsia="es-ES_tradnl"/>
        </w:rPr>
        <w:t>”</w:t>
      </w:r>
      <w:r w:rsidRPr="00E47CAB">
        <w:rPr>
          <w:rFonts w:ascii="Verdana" w:eastAsia="Calibri" w:hAnsi="Verdana" w:cs="Arial"/>
          <w:bCs/>
          <w:iCs/>
          <w:sz w:val="20"/>
          <w:szCs w:val="20"/>
          <w:lang w:eastAsia="es-ES_tradnl"/>
        </w:rPr>
        <w:t xml:space="preserve"> (</w:t>
      </w:r>
      <w:r w:rsidRPr="00B345BC">
        <w:rPr>
          <w:rFonts w:ascii="Verdana" w:eastAsia="Calibri" w:hAnsi="Verdana" w:cs="Arial"/>
          <w:bCs/>
          <w:iCs/>
          <w:sz w:val="20"/>
          <w:szCs w:val="20"/>
          <w:lang w:eastAsia="es-ES_tradnl"/>
        </w:rPr>
        <w:t xml:space="preserve">Énfasis </w:t>
      </w:r>
      <w:r w:rsidRPr="00E47CAB">
        <w:rPr>
          <w:rFonts w:ascii="Verdana" w:eastAsia="Calibri" w:hAnsi="Verdana" w:cs="Arial"/>
          <w:bCs/>
          <w:iCs/>
          <w:sz w:val="20"/>
          <w:szCs w:val="20"/>
          <w:lang w:eastAsia="es-ES_tradnl"/>
        </w:rPr>
        <w:t>fuera de texto)</w:t>
      </w:r>
      <w:r>
        <w:rPr>
          <w:rFonts w:ascii="Verdana" w:eastAsia="Calibri" w:hAnsi="Verdana" w:cs="Arial"/>
          <w:bCs/>
          <w:iCs/>
          <w:sz w:val="20"/>
          <w:szCs w:val="20"/>
          <w:lang w:eastAsia="es-ES_tradnl"/>
        </w:rPr>
        <w:t xml:space="preserve">. </w:t>
      </w:r>
    </w:p>
    <w:p w14:paraId="1736F030" w14:textId="77777777" w:rsidR="003467C6" w:rsidRPr="003F20E6" w:rsidRDefault="003467C6" w:rsidP="003467C6">
      <w:pPr>
        <w:spacing w:after="0" w:line="276" w:lineRule="auto"/>
        <w:jc w:val="both"/>
        <w:rPr>
          <w:rFonts w:ascii="Verdana" w:eastAsia="Calibri" w:hAnsi="Verdana" w:cs="Arial"/>
          <w:bCs/>
          <w:lang w:eastAsia="es-ES_tradnl"/>
        </w:rPr>
      </w:pPr>
    </w:p>
    <w:p w14:paraId="31A92300" w14:textId="77777777" w:rsidR="003467C6" w:rsidRDefault="003467C6" w:rsidP="003467C6">
      <w:pPr>
        <w:spacing w:after="120" w:line="276" w:lineRule="auto"/>
        <w:ind w:firstLine="709"/>
        <w:jc w:val="both"/>
        <w:rPr>
          <w:rFonts w:ascii="Verdana" w:eastAsia="Calibri" w:hAnsi="Verdana" w:cs="Arial"/>
          <w:bCs/>
          <w:iCs/>
          <w:lang w:eastAsia="es-ES_tradnl"/>
        </w:rPr>
      </w:pPr>
      <w:r w:rsidRPr="003F20E6">
        <w:rPr>
          <w:rFonts w:ascii="Verdana" w:eastAsia="Calibri" w:hAnsi="Verdana" w:cs="Arial"/>
          <w:bCs/>
          <w:lang w:eastAsia="es-ES_tradnl"/>
        </w:rPr>
        <w:t xml:space="preserve">A partir del artículo precitado se resalta que su primer inciso alude al deber de publicación en la página web de los sujetos obligados por dicho Decreto, el cual contiene dos literales: en el literal a) se establece el deber de publicar por parte de las entidades de </w:t>
      </w:r>
      <w:r w:rsidRPr="003F20E6">
        <w:rPr>
          <w:rFonts w:ascii="Verdana" w:eastAsia="Calibri" w:hAnsi="Verdana" w:cs="Arial"/>
          <w:bCs/>
          <w:iCs/>
          <w:lang w:eastAsia="es-ES_tradnl"/>
        </w:rPr>
        <w:t>todas las auditorías que le realicen, en la que se incluyan los resultados, hallazgos y seguimiento a las acciones de mejora; en el literal b se establece dos subreglas</w:t>
      </w:r>
      <w:r>
        <w:rPr>
          <w:rFonts w:ascii="Verdana" w:eastAsia="Calibri" w:hAnsi="Verdana" w:cs="Arial"/>
          <w:bCs/>
          <w:iCs/>
          <w:lang w:eastAsia="es-ES_tradnl"/>
        </w:rPr>
        <w:t>. L</w:t>
      </w:r>
      <w:r w:rsidRPr="003F20E6">
        <w:rPr>
          <w:rFonts w:ascii="Verdana" w:eastAsia="Calibri" w:hAnsi="Verdana" w:cs="Arial"/>
          <w:bCs/>
          <w:iCs/>
          <w:lang w:eastAsia="es-ES_tradnl"/>
        </w:rPr>
        <w:t>a primera está contenida en un primer aparte que dispone: “</w:t>
      </w:r>
      <w:r w:rsidRPr="003F20E6">
        <w:rPr>
          <w:rFonts w:ascii="Verdana" w:eastAsia="Calibri" w:hAnsi="Verdana" w:cs="Arial"/>
          <w:bCs/>
          <w:i/>
          <w:iCs/>
          <w:sz w:val="21"/>
          <w:szCs w:val="21"/>
          <w:lang w:eastAsia="es-ES_tradnl"/>
        </w:rPr>
        <w:t>Información detallada de los contratos que suscriban, incluyendo, como mínimo: valor del contrato, objeto contractual, identidad del contratista seleccionado; así como el enlace directo al proceso en el Sistema Electrónico de Contratación Pública (SECOP)”, lo cual implica el</w:t>
      </w:r>
      <w:r w:rsidRPr="003F20E6">
        <w:rPr>
          <w:rFonts w:ascii="Verdana" w:eastAsia="Calibri" w:hAnsi="Verdana" w:cs="Arial"/>
          <w:bCs/>
          <w:iCs/>
          <w:lang w:eastAsia="es-ES_tradnl"/>
        </w:rPr>
        <w:t xml:space="preserve"> mandato de publicar en página web por parte de los sujetos obligados de la información detallada de los contratos celebrados, incluyendo su valor, objeto, identidad del contratista seleccionado, así como el enlace en el SECOP</w:t>
      </w:r>
      <w:r>
        <w:rPr>
          <w:rFonts w:ascii="Verdana" w:eastAsia="Calibri" w:hAnsi="Verdana" w:cs="Arial"/>
          <w:bCs/>
          <w:iCs/>
          <w:lang w:eastAsia="es-ES_tradnl"/>
        </w:rPr>
        <w:t xml:space="preserve">. </w:t>
      </w:r>
    </w:p>
    <w:p w14:paraId="40B08E5E" w14:textId="77777777" w:rsidR="003467C6" w:rsidRPr="003F20E6" w:rsidRDefault="003467C6" w:rsidP="003467C6">
      <w:pPr>
        <w:spacing w:after="120" w:line="276" w:lineRule="auto"/>
        <w:ind w:firstLine="709"/>
        <w:jc w:val="both"/>
        <w:rPr>
          <w:rFonts w:ascii="Verdana" w:eastAsia="Calibri" w:hAnsi="Verdana" w:cs="Arial"/>
          <w:bCs/>
          <w:lang w:eastAsia="es-ES_tradnl"/>
        </w:rPr>
      </w:pPr>
      <w:r>
        <w:rPr>
          <w:rFonts w:ascii="Verdana" w:eastAsia="Calibri" w:hAnsi="Verdana" w:cs="Arial"/>
          <w:bCs/>
          <w:iCs/>
          <w:lang w:eastAsia="es-ES_tradnl"/>
        </w:rPr>
        <w:t>U</w:t>
      </w:r>
      <w:r w:rsidRPr="003F20E6">
        <w:rPr>
          <w:rFonts w:ascii="Verdana" w:eastAsia="Calibri" w:hAnsi="Verdana" w:cs="Arial"/>
          <w:bCs/>
          <w:iCs/>
          <w:lang w:eastAsia="es-ES_tradnl"/>
        </w:rPr>
        <w:t>na segunda subregla que prescribe</w:t>
      </w:r>
      <w:r w:rsidRPr="003F20E6">
        <w:rPr>
          <w:rFonts w:ascii="Verdana" w:eastAsia="Calibri" w:hAnsi="Verdana" w:cs="Arial"/>
          <w:bCs/>
          <w:lang w:eastAsia="es-ES_tradnl"/>
        </w:rPr>
        <w:t xml:space="preserve">: </w:t>
      </w:r>
      <w:r w:rsidRPr="003F20E6">
        <w:rPr>
          <w:rFonts w:ascii="Verdana" w:eastAsia="Calibri" w:hAnsi="Verdana" w:cs="Arial"/>
          <w:bCs/>
          <w:i/>
          <w:lang w:eastAsia="es-ES_tradnl"/>
        </w:rPr>
        <w:t>“</w:t>
      </w:r>
      <w:r w:rsidRPr="003F20E6">
        <w:rPr>
          <w:rFonts w:ascii="Verdana" w:eastAsia="Calibri" w:hAnsi="Verdana" w:cs="Arial"/>
          <w:bCs/>
          <w:i/>
          <w:iCs/>
          <w:lang w:eastAsia="es-ES_tradnl"/>
        </w:rPr>
        <w:t>En SECOP, además, debe estar publicada la información de ejecución del contrato, esto es, informes de supervisión e interventoría, actas de liquidación, requerimientos, etc. Esta información debe ser publicada dentro de los diez (10) días siguientes a la suscripción del contrato u ocurrencia del hecho. En ningún caso la información contractual podrá tener un rezago mayor a diez (10) días”.</w:t>
      </w:r>
      <w:r w:rsidRPr="003F20E6">
        <w:rPr>
          <w:rFonts w:ascii="Verdana" w:eastAsia="Calibri" w:hAnsi="Verdana" w:cs="Arial"/>
          <w:bCs/>
          <w:lang w:eastAsia="es-ES_tradnl"/>
        </w:rPr>
        <w:t xml:space="preserve"> Esta subregla </w:t>
      </w:r>
      <w:r w:rsidRPr="003F20E6">
        <w:rPr>
          <w:rFonts w:ascii="Verdana" w:eastAsia="Calibri" w:hAnsi="Verdana" w:cs="Arial"/>
          <w:bCs/>
          <w:iCs/>
          <w:sz w:val="21"/>
          <w:szCs w:val="21"/>
          <w:lang w:eastAsia="es-ES_tradnl"/>
        </w:rPr>
        <w:t xml:space="preserve">prescribe el deber de publicar la información de ejecución del contrato, es decir, los informes de supervisión e interventoría, actas de liquidación, requerimientos, entre otros. Ahora bien, dicho literal también establece que esta información debe publicarse dentro de los diez (10) días siguientes a la ocurrencia del hecho, y en ningún caso puede haber retraso para el cumplimiento de este término, esto es, establece un límite máximo de publicación para los documentos de ejecución del contrato. </w:t>
      </w:r>
    </w:p>
    <w:p w14:paraId="50527E0B" w14:textId="77777777" w:rsidR="003467C6" w:rsidRPr="003F20E6" w:rsidRDefault="003467C6" w:rsidP="003467C6">
      <w:pPr>
        <w:spacing w:after="120" w:line="276" w:lineRule="auto"/>
        <w:ind w:firstLine="708"/>
        <w:jc w:val="both"/>
        <w:rPr>
          <w:rFonts w:ascii="Verdana" w:eastAsia="Calibri" w:hAnsi="Verdana" w:cs="Arial"/>
          <w:bCs/>
          <w:iCs/>
          <w:sz w:val="21"/>
          <w:szCs w:val="21"/>
          <w:lang w:val="es-ES_tradnl" w:eastAsia="es-ES_tradnl"/>
        </w:rPr>
      </w:pPr>
      <w:r w:rsidRPr="003F20E6">
        <w:rPr>
          <w:rFonts w:ascii="Verdana" w:eastAsia="Calibri" w:hAnsi="Verdana" w:cs="Arial"/>
          <w:bCs/>
          <w:iCs/>
          <w:sz w:val="21"/>
          <w:szCs w:val="21"/>
          <w:lang w:eastAsia="es-ES_tradnl"/>
        </w:rPr>
        <w:t xml:space="preserve">No obstante, este artículo parece contradecirse, en un principio, con lo dispuesto en el artículo 2.2.1.1.1.7.1. del Decreto 1082 de 2015 que establece que la Entidad Estatal está obligada a publicar en el SECOP los Documentos del Proceso y los actos administrativos del Proceso de Contratación, dentro de los tres (3) días siguientes a su expedición, además, dispone que la oferta que debe publicarse es la del adjudicatario del Proceso de Contratación, y que los documentos de las operaciones que se realicen en bolsa de productos no tienen que publicarse en el </w:t>
      </w:r>
      <w:r w:rsidRPr="003F20E6">
        <w:rPr>
          <w:rFonts w:ascii="Verdana" w:eastAsia="Calibri" w:hAnsi="Verdana" w:cs="Arial"/>
          <w:bCs/>
          <w:iCs/>
          <w:sz w:val="21"/>
          <w:szCs w:val="21"/>
          <w:lang w:eastAsia="es-ES_tradnl"/>
        </w:rPr>
        <w:lastRenderedPageBreak/>
        <w:t xml:space="preserve">SECOP. En este escenario, parece en un principio, un </w:t>
      </w:r>
      <w:r w:rsidRPr="003F20E6">
        <w:rPr>
          <w:rFonts w:ascii="Verdana" w:eastAsia="Calibri" w:hAnsi="Verdana" w:cs="Arial"/>
          <w:bCs/>
          <w:iCs/>
          <w:sz w:val="21"/>
          <w:szCs w:val="21"/>
          <w:lang w:val="es-ES_tradnl" w:eastAsia="es-ES_tradnl"/>
        </w:rPr>
        <w:t xml:space="preserve">conflicto entre la </w:t>
      </w:r>
      <w:r w:rsidRPr="003F20E6">
        <w:rPr>
          <w:rFonts w:ascii="Verdana" w:eastAsia="Calibri" w:hAnsi="Verdana" w:cs="Arial"/>
          <w:bCs/>
          <w:i/>
          <w:iCs/>
          <w:sz w:val="21"/>
          <w:szCs w:val="21"/>
          <w:lang w:val="es-ES_tradnl" w:eastAsia="es-ES_tradnl"/>
        </w:rPr>
        <w:t>regla general dispuesta en el Decreto 1082 de 2015</w:t>
      </w:r>
      <w:r w:rsidRPr="003F20E6">
        <w:rPr>
          <w:rFonts w:ascii="Verdana" w:eastAsia="Calibri" w:hAnsi="Verdana" w:cs="Arial"/>
          <w:bCs/>
          <w:iCs/>
          <w:sz w:val="21"/>
          <w:szCs w:val="21"/>
          <w:lang w:val="es-ES_tradnl" w:eastAsia="es-ES_tradnl"/>
        </w:rPr>
        <w:t xml:space="preserve"> y la </w:t>
      </w:r>
      <w:r w:rsidRPr="003F20E6">
        <w:rPr>
          <w:rFonts w:ascii="Verdana" w:eastAsia="Calibri" w:hAnsi="Verdana" w:cs="Arial"/>
          <w:bCs/>
          <w:i/>
          <w:iCs/>
          <w:sz w:val="21"/>
          <w:szCs w:val="21"/>
          <w:lang w:val="es-ES_tradnl" w:eastAsia="es-ES_tradnl"/>
        </w:rPr>
        <w:t>regla especial que dispone un término máximo para publicar la información para entidades del orden nacional</w:t>
      </w:r>
      <w:r w:rsidRPr="003F20E6">
        <w:rPr>
          <w:rFonts w:ascii="Verdana" w:eastAsia="Calibri" w:hAnsi="Verdana" w:cs="Arial"/>
          <w:bCs/>
          <w:iCs/>
          <w:sz w:val="21"/>
          <w:szCs w:val="21"/>
          <w:lang w:val="es-ES_tradnl" w:eastAsia="es-ES_tradnl"/>
        </w:rPr>
        <w:t xml:space="preserve">, siendo necesario acudir al problema con fundamento en el artículo 5.1 de la Ley 57 de 1887. Según esta norma, “[…] Si en los Códigos que se adoptan se hallaren algunas disposiciones incompatibles entre sí […] </w:t>
      </w:r>
      <w:r w:rsidRPr="003F20E6">
        <w:rPr>
          <w:rFonts w:ascii="Verdana" w:eastAsia="Calibri" w:hAnsi="Verdana" w:cs="Arial"/>
          <w:bCs/>
          <w:i/>
          <w:iCs/>
          <w:sz w:val="21"/>
          <w:szCs w:val="21"/>
          <w:lang w:val="es-ES_tradnl" w:eastAsia="es-ES_tradnl"/>
        </w:rPr>
        <w:t>La disposición relativa a un asunto especial prefiere a la que tenga carácter general</w:t>
      </w:r>
      <w:r w:rsidRPr="003F20E6">
        <w:rPr>
          <w:rFonts w:ascii="Verdana" w:eastAsia="Calibri" w:hAnsi="Verdana" w:cs="Arial"/>
          <w:bCs/>
          <w:iCs/>
          <w:sz w:val="21"/>
          <w:szCs w:val="21"/>
          <w:lang w:val="es-ES_tradnl" w:eastAsia="es-ES_tradnl"/>
        </w:rPr>
        <w:t xml:space="preserve"> […]” (Énfasis fuera de texto). </w:t>
      </w:r>
    </w:p>
    <w:p w14:paraId="07BA5A4B" w14:textId="77777777" w:rsidR="003467C6" w:rsidRPr="003F20E6" w:rsidRDefault="003467C6" w:rsidP="003467C6">
      <w:pPr>
        <w:spacing w:after="120" w:line="276" w:lineRule="auto"/>
        <w:ind w:firstLine="708"/>
        <w:jc w:val="both"/>
        <w:rPr>
          <w:rFonts w:ascii="Verdana" w:eastAsia="Calibri" w:hAnsi="Verdana" w:cs="Arial"/>
          <w:bCs/>
          <w:iCs/>
          <w:sz w:val="21"/>
          <w:szCs w:val="21"/>
          <w:lang w:eastAsia="es-ES_tradnl"/>
        </w:rPr>
      </w:pPr>
      <w:r w:rsidRPr="003F20E6">
        <w:rPr>
          <w:rFonts w:ascii="Verdana" w:eastAsia="Calibri" w:hAnsi="Verdana" w:cs="Arial"/>
          <w:bCs/>
          <w:iCs/>
          <w:sz w:val="21"/>
          <w:szCs w:val="21"/>
          <w:lang w:val="es-ES_tradnl" w:eastAsia="es-ES_tradnl"/>
        </w:rPr>
        <w:t xml:space="preserve">Por tanto, la regla dispuesta en el </w:t>
      </w:r>
      <w:r w:rsidRPr="003F20E6">
        <w:rPr>
          <w:rFonts w:ascii="Verdana" w:eastAsia="Calibri" w:hAnsi="Verdana" w:cs="Arial"/>
          <w:bCs/>
          <w:iCs/>
          <w:sz w:val="21"/>
          <w:szCs w:val="21"/>
          <w:lang w:eastAsia="es-ES_tradnl"/>
        </w:rPr>
        <w:t xml:space="preserve">artículo 2.1.4.3.2.2 del Decreto 1081 de 2015 </w:t>
      </w:r>
      <w:r w:rsidRPr="003F20E6">
        <w:rPr>
          <w:rFonts w:ascii="Verdana" w:eastAsia="Calibri" w:hAnsi="Verdana" w:cs="Arial"/>
          <w:bCs/>
          <w:iCs/>
          <w:sz w:val="21"/>
          <w:szCs w:val="21"/>
          <w:lang w:val="es-ES_tradnl" w:eastAsia="es-ES_tradnl"/>
        </w:rPr>
        <w:t>–</w:t>
      </w:r>
      <w:r w:rsidRPr="003F20E6">
        <w:rPr>
          <w:rFonts w:ascii="Verdana" w:eastAsia="Calibri" w:hAnsi="Verdana" w:cs="Arial"/>
          <w:bCs/>
          <w:i/>
          <w:iCs/>
          <w:sz w:val="21"/>
          <w:szCs w:val="21"/>
          <w:lang w:val="es-ES_tradnl" w:eastAsia="es-ES_tradnl"/>
        </w:rPr>
        <w:t>regla especial</w:t>
      </w:r>
      <w:r w:rsidRPr="003F20E6">
        <w:rPr>
          <w:rFonts w:ascii="Verdana" w:eastAsia="Calibri" w:hAnsi="Verdana" w:cs="Arial"/>
          <w:bCs/>
          <w:iCs/>
          <w:sz w:val="21"/>
          <w:szCs w:val="21"/>
          <w:lang w:val="es-ES_tradnl" w:eastAsia="es-ES_tradnl"/>
        </w:rPr>
        <w:t xml:space="preserve">– debe tenerse en cuenta sobre el entendimiento y aplicación del artículo </w:t>
      </w:r>
      <w:r w:rsidRPr="003F20E6">
        <w:rPr>
          <w:rFonts w:ascii="Verdana" w:eastAsia="Calibri" w:hAnsi="Verdana" w:cs="Arial"/>
          <w:bCs/>
          <w:iCs/>
          <w:sz w:val="21"/>
          <w:szCs w:val="21"/>
          <w:lang w:eastAsia="es-ES_tradnl"/>
        </w:rPr>
        <w:t>2.2.1.1.1.7.1. del Decreto 1082 de 2015</w:t>
      </w:r>
      <w:r w:rsidRPr="003F20E6">
        <w:rPr>
          <w:rFonts w:ascii="Verdana" w:eastAsia="Calibri" w:hAnsi="Verdana" w:cs="Arial"/>
          <w:bCs/>
          <w:iCs/>
          <w:sz w:val="21"/>
          <w:szCs w:val="21"/>
          <w:lang w:val="es-ES_tradnl" w:eastAsia="es-ES_tradnl"/>
        </w:rPr>
        <w:t xml:space="preserve"> –</w:t>
      </w:r>
      <w:r w:rsidRPr="003F20E6">
        <w:rPr>
          <w:rFonts w:ascii="Verdana" w:eastAsia="Calibri" w:hAnsi="Verdana" w:cs="Arial"/>
          <w:bCs/>
          <w:i/>
          <w:iCs/>
          <w:sz w:val="21"/>
          <w:szCs w:val="21"/>
          <w:lang w:val="es-ES_tradnl" w:eastAsia="es-ES_tradnl"/>
        </w:rPr>
        <w:t>regla general</w:t>
      </w:r>
      <w:r w:rsidRPr="003F20E6">
        <w:rPr>
          <w:rFonts w:ascii="Verdana" w:eastAsia="Calibri" w:hAnsi="Verdana" w:cs="Arial"/>
          <w:bCs/>
          <w:iCs/>
          <w:sz w:val="21"/>
          <w:szCs w:val="21"/>
          <w:lang w:val="es-ES_tradnl" w:eastAsia="es-ES_tradnl"/>
        </w:rPr>
        <w:t xml:space="preserve">–, esto es, deben interpretarse armónicamente. Esto no significa que la </w:t>
      </w:r>
      <w:r w:rsidRPr="003F20E6">
        <w:rPr>
          <w:rFonts w:ascii="Verdana" w:eastAsia="Calibri" w:hAnsi="Verdana" w:cs="Arial"/>
          <w:bCs/>
          <w:i/>
          <w:iCs/>
          <w:sz w:val="21"/>
          <w:szCs w:val="21"/>
          <w:lang w:val="es-ES_tradnl" w:eastAsia="es-ES_tradnl"/>
        </w:rPr>
        <w:t>regla general</w:t>
      </w:r>
      <w:r w:rsidRPr="003F20E6">
        <w:rPr>
          <w:rFonts w:ascii="Verdana" w:eastAsia="Calibri" w:hAnsi="Verdana" w:cs="Arial"/>
          <w:bCs/>
          <w:iCs/>
          <w:sz w:val="21"/>
          <w:szCs w:val="21"/>
          <w:lang w:val="es-ES_tradnl" w:eastAsia="es-ES_tradnl"/>
        </w:rPr>
        <w:t xml:space="preserve"> desaparezca del ordenamiento jurídico; todo lo contrario, esta aplica en todos los supuestos que regula, y se interpreta de forma integral con los supuestos previstos en la </w:t>
      </w:r>
      <w:r w:rsidRPr="003F20E6">
        <w:rPr>
          <w:rFonts w:ascii="Verdana" w:eastAsia="Calibri" w:hAnsi="Verdana" w:cs="Arial"/>
          <w:bCs/>
          <w:i/>
          <w:iCs/>
          <w:sz w:val="21"/>
          <w:szCs w:val="21"/>
          <w:lang w:val="es-ES_tradnl" w:eastAsia="es-ES_tradnl"/>
        </w:rPr>
        <w:t>regla especial</w:t>
      </w:r>
      <w:r w:rsidRPr="003F20E6">
        <w:rPr>
          <w:rFonts w:ascii="Verdana" w:eastAsia="Calibri" w:hAnsi="Verdana" w:cs="Arial"/>
          <w:bCs/>
          <w:iCs/>
          <w:sz w:val="21"/>
          <w:szCs w:val="21"/>
          <w:lang w:val="es-ES_tradnl" w:eastAsia="es-ES_tradnl"/>
        </w:rPr>
        <w:t xml:space="preserve">. De esta manera, el término de diez (10) días es un plazo máximo para las entidades y </w:t>
      </w:r>
      <w:r w:rsidRPr="003F20E6">
        <w:rPr>
          <w:rFonts w:ascii="Verdana" w:eastAsia="Calibri" w:hAnsi="Verdana" w:cs="Arial"/>
          <w:bCs/>
          <w:i/>
          <w:iCs/>
          <w:sz w:val="21"/>
          <w:szCs w:val="21"/>
          <w:lang w:eastAsia="es-ES_tradnl"/>
        </w:rPr>
        <w:t xml:space="preserve">empresas del Estado </w:t>
      </w:r>
      <w:r w:rsidRPr="003F20E6">
        <w:rPr>
          <w:rFonts w:ascii="Verdana" w:eastAsia="Calibri" w:hAnsi="Verdana" w:cs="Arial"/>
          <w:bCs/>
          <w:iCs/>
          <w:sz w:val="21"/>
          <w:szCs w:val="21"/>
          <w:lang w:eastAsia="es-ES_tradnl"/>
        </w:rPr>
        <w:t xml:space="preserve">del orden nacional y pertenecientes a la Rama Ejecutiva del Poder Público para publicar en SECOP, en todo caso, precisando la regla general sigue vigente, y que, en un principio, el término para publicar es de tres (3) días siguientes a la expedición, de conformidad a lo prescrito en el Decreto 1082 de 2015. </w:t>
      </w:r>
    </w:p>
    <w:p w14:paraId="1326B11C" w14:textId="77777777" w:rsidR="003467C6" w:rsidRPr="003F20E6" w:rsidRDefault="003467C6" w:rsidP="003467C6">
      <w:pPr>
        <w:spacing w:after="120" w:line="276" w:lineRule="auto"/>
        <w:ind w:firstLine="708"/>
        <w:jc w:val="both"/>
        <w:rPr>
          <w:rFonts w:ascii="Verdana" w:eastAsia="Calibri" w:hAnsi="Verdana" w:cs="Arial"/>
          <w:bCs/>
          <w:iCs/>
          <w:sz w:val="21"/>
          <w:szCs w:val="21"/>
          <w:lang w:eastAsia="es-ES_tradnl"/>
        </w:rPr>
      </w:pPr>
      <w:r w:rsidRPr="003F20E6">
        <w:rPr>
          <w:rFonts w:ascii="Verdana" w:eastAsia="Calibri" w:hAnsi="Verdana" w:cs="Arial"/>
          <w:bCs/>
          <w:iCs/>
          <w:sz w:val="21"/>
          <w:szCs w:val="21"/>
          <w:lang w:eastAsia="es-ES_tradnl"/>
        </w:rPr>
        <w:t>Ahora bien, las demás entidades que no están sujetas al Decreto 1600 de 2024 que modifica el Decreto 1081 de 2021 tienen el deber de aplicar el término de publicación de los tres (3) días siguientes a su expedición como regla general y no le es aplicable el término máximo de diez (10) días. En tal sentido, las entidades del orden territorial, así como sus descentralizadas deben seguir aplicando el término general de tres (3) días, y no podrán hacer una interpretación extensiva ni analógica, puesto que se rigen bajo el principio de legalidad</w:t>
      </w:r>
      <w:r w:rsidRPr="003F20E6">
        <w:rPr>
          <w:rFonts w:ascii="Verdana" w:eastAsia="Calibri" w:hAnsi="Verdana" w:cs="Arial"/>
          <w:bCs/>
          <w:iCs/>
          <w:sz w:val="21"/>
          <w:szCs w:val="21"/>
          <w:vertAlign w:val="superscript"/>
          <w:lang w:eastAsia="es-ES_tradnl"/>
        </w:rPr>
        <w:footnoteReference w:id="11"/>
      </w:r>
      <w:r w:rsidRPr="003F20E6">
        <w:rPr>
          <w:rFonts w:ascii="Verdana" w:eastAsia="Calibri" w:hAnsi="Verdana" w:cs="Arial"/>
          <w:bCs/>
          <w:iCs/>
          <w:sz w:val="21"/>
          <w:szCs w:val="21"/>
          <w:lang w:eastAsia="es-ES_tradnl"/>
        </w:rPr>
        <w:t xml:space="preserve"> que implica una interpretación literal y estricta de las disposiciones normativas.  </w:t>
      </w:r>
    </w:p>
    <w:p w14:paraId="4E654C0C" w14:textId="77777777" w:rsidR="003467C6" w:rsidRDefault="003467C6" w:rsidP="003467C6">
      <w:pPr>
        <w:spacing w:after="120" w:line="276" w:lineRule="auto"/>
        <w:ind w:firstLine="708"/>
        <w:jc w:val="both"/>
        <w:rPr>
          <w:rFonts w:ascii="Verdana" w:eastAsia="Calibri" w:hAnsi="Verdana" w:cs="Arial"/>
          <w:bCs/>
          <w:iCs/>
          <w:sz w:val="21"/>
          <w:szCs w:val="21"/>
          <w:lang w:val="es-ES" w:eastAsia="es-ES_tradnl"/>
        </w:rPr>
      </w:pPr>
      <w:r w:rsidRPr="003F20E6">
        <w:rPr>
          <w:rFonts w:ascii="Verdana" w:eastAsia="Calibri" w:hAnsi="Verdana" w:cs="Arial"/>
          <w:bCs/>
          <w:iCs/>
          <w:sz w:val="21"/>
          <w:szCs w:val="21"/>
          <w:lang w:eastAsia="es-ES_tradnl"/>
        </w:rPr>
        <w:t>Sin embargo</w:t>
      </w:r>
      <w:r w:rsidRPr="003F20E6">
        <w:rPr>
          <w:rFonts w:ascii="Verdana" w:eastAsia="Calibri" w:hAnsi="Verdana" w:cs="Arial"/>
          <w:bCs/>
          <w:iCs/>
          <w:sz w:val="21"/>
          <w:szCs w:val="21"/>
          <w:lang w:val="es-ES" w:eastAsia="es-ES_tradnl"/>
        </w:rPr>
        <w:t xml:space="preserve">, es importante precisar, la naturaleza transaccional del SECOP II, lo cual implica que los procesos contractuales no sólo deban publicarse mediante esta plataforma, sino también gestionados a través de ella, al consistir la mayoría de los hitos contractuales en documentos y actuaciones electrónicas generadas en tiempo real, de tal manera que el proceso contractual avanza en la medida en la que </w:t>
      </w:r>
      <w:r w:rsidRPr="003F20E6">
        <w:rPr>
          <w:rFonts w:ascii="Verdana" w:eastAsia="Calibri" w:hAnsi="Verdana" w:cs="Arial"/>
          <w:bCs/>
          <w:iCs/>
          <w:sz w:val="21"/>
          <w:szCs w:val="21"/>
          <w:lang w:val="es-ES" w:eastAsia="es-ES_tradnl"/>
        </w:rPr>
        <w:lastRenderedPageBreak/>
        <w:t xml:space="preserve">se generen y aprueben estos documentos y actuaciones electrónicas en la plataforma. </w:t>
      </w:r>
    </w:p>
    <w:p w14:paraId="1F235023" w14:textId="77777777" w:rsidR="003467C6" w:rsidRPr="003F20E6" w:rsidRDefault="003467C6" w:rsidP="003467C6">
      <w:pPr>
        <w:spacing w:after="120" w:line="276" w:lineRule="auto"/>
        <w:ind w:firstLine="708"/>
        <w:jc w:val="both"/>
        <w:rPr>
          <w:rFonts w:ascii="Verdana" w:eastAsia="Calibri" w:hAnsi="Verdana" w:cs="Arial"/>
          <w:bCs/>
          <w:iCs/>
          <w:sz w:val="21"/>
          <w:szCs w:val="21"/>
          <w:lang w:val="es-ES" w:eastAsia="es-ES_tradnl"/>
        </w:rPr>
      </w:pPr>
      <w:r w:rsidRPr="003F20E6">
        <w:rPr>
          <w:rFonts w:ascii="Verdana" w:eastAsia="Calibri" w:hAnsi="Verdana" w:cs="Arial"/>
          <w:bCs/>
          <w:iCs/>
          <w:sz w:val="21"/>
          <w:szCs w:val="21"/>
          <w:lang w:val="es-ES" w:eastAsia="es-ES_tradnl"/>
        </w:rPr>
        <w:t xml:space="preserve">Es decir, en SECOP II, en principio, no aplica el término general de los tres (3) o el plazo máximo de los (10) días para las entidades del orden nacional, pues la mayoría de los documentos y actuaciones electrónicas se generan en el instante con la aprobación de las partes que intervienen en el proceso de contratación estatal respectivo. Esto, a diferencia de los procesos publicados en el SECOP I, en los que primero se generan los documentos escritos y luego se publican en dicha plataforma, en los términos ya expuestos, dependiendo de la naturaleza de la entidad y de las reglas prescritas en los Decretos 1081 y 1082 de 2015. </w:t>
      </w:r>
    </w:p>
    <w:p w14:paraId="28C61825" w14:textId="77777777" w:rsidR="003467C6" w:rsidRPr="003F20E6" w:rsidRDefault="003467C6" w:rsidP="003467C6">
      <w:pPr>
        <w:spacing w:after="0" w:line="276" w:lineRule="auto"/>
        <w:ind w:firstLine="708"/>
        <w:jc w:val="both"/>
        <w:rPr>
          <w:rFonts w:ascii="Verdana" w:eastAsia="Calibri" w:hAnsi="Verdana" w:cs="Arial"/>
          <w:bCs/>
          <w:iCs/>
          <w:sz w:val="21"/>
          <w:szCs w:val="21"/>
          <w:lang w:val="es-ES" w:eastAsia="es-ES_tradnl"/>
        </w:rPr>
      </w:pPr>
      <w:r w:rsidRPr="003F20E6">
        <w:rPr>
          <w:rFonts w:ascii="Verdana" w:eastAsia="Calibri" w:hAnsi="Verdana" w:cs="Arial"/>
          <w:bCs/>
          <w:iCs/>
          <w:sz w:val="21"/>
          <w:szCs w:val="21"/>
          <w:lang w:val="es-ES" w:eastAsia="es-ES_tradnl"/>
        </w:rPr>
        <w:t xml:space="preserve">Así las cosas, el término de diez (10) días es un límite máximo para publicar por parte de las entidades del orden nacional sometidas a lo dispuesto en el Decreto 1600 de 2024 que modifica el Decreto 1081 de 2015 en cuanto a los documentos de ejecución del contrato, como son las actas de supervisión o interventoría, requerimientos, entre otros. Esto, sin perjuicio del deber general de publicar, en principio, dentro de los tres (3) días siguientes a la expedición de los documentos del proceso que no son transaccionales y que no tienen la calidad de ser documentos de ejecución.  </w:t>
      </w:r>
    </w:p>
    <w:p w14:paraId="788020AD" w14:textId="77777777" w:rsidR="003467C6" w:rsidRPr="003467C6" w:rsidRDefault="003467C6" w:rsidP="003467C6">
      <w:pPr>
        <w:widowControl w:val="0"/>
        <w:autoSpaceDE w:val="0"/>
        <w:autoSpaceDN w:val="0"/>
        <w:spacing w:after="0" w:line="276" w:lineRule="auto"/>
        <w:jc w:val="both"/>
        <w:rPr>
          <w:rFonts w:ascii="Verdana" w:hAnsi="Verdana" w:cs="Arial"/>
          <w:lang w:val="es-ES" w:eastAsia="es-ES"/>
        </w:rPr>
      </w:pPr>
    </w:p>
    <w:bookmarkEnd w:id="4"/>
    <w:bookmarkEnd w:id="5"/>
    <w:p w14:paraId="66729152" w14:textId="77777777" w:rsidR="003467C6" w:rsidRPr="001F283D" w:rsidRDefault="003467C6" w:rsidP="003467C6">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6"/>
    <w:p w14:paraId="543DD606" w14:textId="77777777" w:rsidR="003467C6" w:rsidRPr="00593A5F" w:rsidRDefault="003467C6" w:rsidP="003467C6">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467C6" w:rsidRPr="002407CE" w14:paraId="6CDA4316" w14:textId="77777777" w:rsidTr="00742A06">
        <w:trPr>
          <w:trHeight w:val="870"/>
          <w:jc w:val="center"/>
        </w:trPr>
        <w:tc>
          <w:tcPr>
            <w:tcW w:w="8647" w:type="dxa"/>
          </w:tcPr>
          <w:p w14:paraId="298B4CA7" w14:textId="77777777" w:rsidR="003467C6" w:rsidRPr="00E47CAB" w:rsidRDefault="003467C6" w:rsidP="003467C6">
            <w:pPr>
              <w:pStyle w:val="Prrafodelista"/>
              <w:widowControl w:val="0"/>
              <w:numPr>
                <w:ilvl w:val="0"/>
                <w:numId w:val="4"/>
              </w:numPr>
              <w:autoSpaceDE w:val="0"/>
              <w:autoSpaceDN w:val="0"/>
              <w:spacing w:line="360" w:lineRule="auto"/>
              <w:jc w:val="both"/>
              <w:rPr>
                <w:rFonts w:ascii="Verdana" w:hAnsi="Verdana" w:cs="Arial"/>
                <w:lang w:val="es-ES_tradnl"/>
              </w:rPr>
            </w:pPr>
            <w:r w:rsidRPr="00E47CAB">
              <w:rPr>
                <w:rFonts w:ascii="Verdana" w:hAnsi="Verdana" w:cs="Arial"/>
                <w:lang w:val="es-ES_tradnl"/>
              </w:rPr>
              <w:t>Constitución Política, artículos 74 y 209.</w:t>
            </w:r>
          </w:p>
          <w:p w14:paraId="6008626E" w14:textId="77777777" w:rsidR="003467C6" w:rsidRPr="0081781F" w:rsidRDefault="003467C6" w:rsidP="003467C6">
            <w:pPr>
              <w:widowControl w:val="0"/>
              <w:numPr>
                <w:ilvl w:val="0"/>
                <w:numId w:val="2"/>
              </w:numPr>
              <w:autoSpaceDE w:val="0"/>
              <w:autoSpaceDN w:val="0"/>
              <w:spacing w:line="360" w:lineRule="auto"/>
              <w:jc w:val="both"/>
              <w:rPr>
                <w:rFonts w:ascii="Verdana" w:hAnsi="Verdana" w:cs="Arial"/>
                <w:lang w:val="es-ES_tradnl"/>
              </w:rPr>
            </w:pPr>
            <w:r w:rsidRPr="0081781F">
              <w:rPr>
                <w:rFonts w:ascii="Verdana" w:hAnsi="Verdana" w:cs="Arial"/>
                <w:lang w:val="es-ES_tradnl"/>
              </w:rPr>
              <w:t>Ley 1150 de 2007, artículo 3.</w:t>
            </w:r>
          </w:p>
          <w:p w14:paraId="3CB505E8" w14:textId="77777777" w:rsidR="003467C6" w:rsidRPr="0081781F" w:rsidRDefault="003467C6" w:rsidP="003467C6">
            <w:pPr>
              <w:widowControl w:val="0"/>
              <w:numPr>
                <w:ilvl w:val="0"/>
                <w:numId w:val="2"/>
              </w:numPr>
              <w:autoSpaceDE w:val="0"/>
              <w:autoSpaceDN w:val="0"/>
              <w:spacing w:line="360" w:lineRule="auto"/>
              <w:jc w:val="both"/>
              <w:rPr>
                <w:rFonts w:ascii="Verdana" w:hAnsi="Verdana" w:cs="Arial"/>
                <w:lang w:val="es-ES_tradnl"/>
              </w:rPr>
            </w:pPr>
            <w:r w:rsidRPr="0081781F">
              <w:rPr>
                <w:rFonts w:ascii="Verdana" w:hAnsi="Verdana" w:cs="Arial"/>
              </w:rPr>
              <w:t xml:space="preserve">Decreto Ley 4170 de 2011, artículo 3° numerales 2, 5 y 8. </w:t>
            </w:r>
            <w:r w:rsidRPr="0081781F">
              <w:rPr>
                <w:rFonts w:ascii="Verdana" w:hAnsi="Verdana" w:cs="Arial"/>
                <w:lang w:val="es-ES_tradnl"/>
              </w:rPr>
              <w:t xml:space="preserve"> </w:t>
            </w:r>
          </w:p>
          <w:p w14:paraId="07B056FF" w14:textId="77777777" w:rsidR="003467C6" w:rsidRPr="0081781F" w:rsidRDefault="003467C6" w:rsidP="003467C6">
            <w:pPr>
              <w:widowControl w:val="0"/>
              <w:numPr>
                <w:ilvl w:val="0"/>
                <w:numId w:val="2"/>
              </w:numPr>
              <w:autoSpaceDE w:val="0"/>
              <w:autoSpaceDN w:val="0"/>
              <w:spacing w:line="360" w:lineRule="auto"/>
              <w:jc w:val="both"/>
              <w:rPr>
                <w:rFonts w:ascii="Verdana" w:hAnsi="Verdana" w:cs="Arial"/>
                <w:lang w:val="es-ES_tradnl"/>
              </w:rPr>
            </w:pPr>
            <w:r w:rsidRPr="0081781F">
              <w:rPr>
                <w:rFonts w:ascii="Verdana" w:hAnsi="Verdana" w:cs="Arial"/>
                <w:lang w:val="es-ES_tradnl"/>
              </w:rPr>
              <w:t>Ley 1712 de 2014.</w:t>
            </w:r>
          </w:p>
          <w:p w14:paraId="13063394" w14:textId="77777777" w:rsidR="003467C6" w:rsidRPr="0081781F" w:rsidRDefault="003467C6" w:rsidP="003467C6">
            <w:pPr>
              <w:widowControl w:val="0"/>
              <w:numPr>
                <w:ilvl w:val="0"/>
                <w:numId w:val="2"/>
              </w:numPr>
              <w:autoSpaceDE w:val="0"/>
              <w:autoSpaceDN w:val="0"/>
              <w:spacing w:line="360" w:lineRule="auto"/>
              <w:jc w:val="both"/>
              <w:rPr>
                <w:rFonts w:ascii="Verdana" w:hAnsi="Verdana" w:cs="Arial"/>
                <w:lang w:val="es-ES_tradnl"/>
              </w:rPr>
            </w:pPr>
            <w:r w:rsidRPr="0081781F">
              <w:rPr>
                <w:rFonts w:ascii="Verdana" w:hAnsi="Verdana" w:cs="Arial"/>
                <w:lang w:val="es-ES_tradnl"/>
              </w:rPr>
              <w:t xml:space="preserve">Ley 2294 de 2023, artículo 200. </w:t>
            </w:r>
          </w:p>
          <w:p w14:paraId="6FF57E6B" w14:textId="77777777" w:rsidR="003467C6" w:rsidRPr="0081781F" w:rsidRDefault="003467C6" w:rsidP="003467C6">
            <w:pPr>
              <w:widowControl w:val="0"/>
              <w:numPr>
                <w:ilvl w:val="0"/>
                <w:numId w:val="2"/>
              </w:numPr>
              <w:autoSpaceDE w:val="0"/>
              <w:autoSpaceDN w:val="0"/>
              <w:spacing w:line="360" w:lineRule="auto"/>
              <w:jc w:val="both"/>
              <w:rPr>
                <w:rFonts w:ascii="Verdana" w:hAnsi="Verdana" w:cs="Arial"/>
                <w:lang w:val="es-ES_tradnl"/>
              </w:rPr>
            </w:pPr>
            <w:r w:rsidRPr="0081781F">
              <w:rPr>
                <w:rFonts w:ascii="Verdana" w:hAnsi="Verdana" w:cs="Arial"/>
                <w:lang w:val="es-ES_tradnl"/>
              </w:rPr>
              <w:t>Decreto 1081 de 2015, artículos 2.1.1.2.1.7.,</w:t>
            </w:r>
            <w:r w:rsidRPr="0081781F">
              <w:rPr>
                <w:rFonts w:ascii="Verdana" w:eastAsia="Calibri" w:hAnsi="Verdana" w:cs="Arial"/>
                <w:bCs/>
                <w:iCs/>
                <w:lang w:eastAsia="es-ES_tradnl"/>
              </w:rPr>
              <w:t xml:space="preserve"> </w:t>
            </w:r>
            <w:r w:rsidRPr="0081781F">
              <w:rPr>
                <w:rFonts w:ascii="Verdana" w:hAnsi="Verdana" w:cs="Arial"/>
                <w:bCs/>
                <w:iCs/>
              </w:rPr>
              <w:t>2.1.4.3.1.1.,</w:t>
            </w:r>
            <w:r w:rsidRPr="0081781F">
              <w:rPr>
                <w:rFonts w:ascii="Verdana" w:hAnsi="Verdana" w:cs="Arial"/>
                <w:lang w:val="es-ES_tradnl"/>
              </w:rPr>
              <w:t xml:space="preserve"> </w:t>
            </w:r>
            <w:r w:rsidRPr="0081781F">
              <w:rPr>
                <w:rFonts w:ascii="Verdana" w:hAnsi="Verdana" w:cs="Arial"/>
                <w:bCs/>
                <w:iCs/>
              </w:rPr>
              <w:t xml:space="preserve">2.1.4.3.1.2., 2.1.4.3.2.1, </w:t>
            </w:r>
            <w:r w:rsidRPr="00E47CAB">
              <w:rPr>
                <w:rFonts w:ascii="Verdana" w:eastAsia="Calibri" w:hAnsi="Verdana" w:cs="Arial"/>
                <w:bCs/>
                <w:iCs/>
                <w:lang w:eastAsia="es-ES_tradnl"/>
              </w:rPr>
              <w:t>2.1.4.3.2.2.</w:t>
            </w:r>
          </w:p>
          <w:p w14:paraId="4AFD2752" w14:textId="37FFBDEA" w:rsidR="003467C6" w:rsidRPr="003467C6" w:rsidRDefault="003467C6" w:rsidP="003467C6">
            <w:pPr>
              <w:pStyle w:val="Prrafodelista"/>
              <w:widowControl w:val="0"/>
              <w:numPr>
                <w:ilvl w:val="0"/>
                <w:numId w:val="2"/>
              </w:numPr>
              <w:autoSpaceDE w:val="0"/>
              <w:autoSpaceDN w:val="0"/>
              <w:spacing w:after="120" w:line="276" w:lineRule="auto"/>
              <w:ind w:left="714" w:hanging="357"/>
              <w:contextualSpacing w:val="0"/>
              <w:jc w:val="both"/>
              <w:rPr>
                <w:rFonts w:ascii="Verdana" w:hAnsi="Verdana" w:cs="Arial"/>
                <w:color w:val="000000" w:themeColor="text1"/>
              </w:rPr>
            </w:pPr>
            <w:r w:rsidRPr="0081781F">
              <w:rPr>
                <w:rFonts w:ascii="Verdana" w:hAnsi="Verdana" w:cs="Arial"/>
                <w:lang w:val="es-ES_tradnl"/>
              </w:rPr>
              <w:t>Decreto 1082 de 2015, artículos 2.2.1.1.1.7.1, 2.2.1.1.1.3.1., 2.2.2.1.8.3., 2.2.2.1.5.11., 2.2.2.1.12.7.</w:t>
            </w:r>
          </w:p>
        </w:tc>
      </w:tr>
    </w:tbl>
    <w:p w14:paraId="0C4C9C14" w14:textId="77777777" w:rsidR="003467C6" w:rsidRPr="00277E26" w:rsidRDefault="003467C6" w:rsidP="003467C6">
      <w:pPr>
        <w:widowControl w:val="0"/>
        <w:autoSpaceDE w:val="0"/>
        <w:autoSpaceDN w:val="0"/>
        <w:spacing w:after="0" w:line="276" w:lineRule="auto"/>
        <w:jc w:val="both"/>
        <w:rPr>
          <w:rFonts w:ascii="Verdana" w:hAnsi="Verdana" w:cs="Arial"/>
        </w:rPr>
      </w:pPr>
    </w:p>
    <w:p w14:paraId="720C731E" w14:textId="77777777" w:rsidR="003467C6" w:rsidRPr="001F283D" w:rsidRDefault="003467C6" w:rsidP="003467C6">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lastRenderedPageBreak/>
        <w:t xml:space="preserve">5. </w:t>
      </w:r>
      <w:r w:rsidRPr="001F283D">
        <w:rPr>
          <w:rFonts w:ascii="Verdana" w:eastAsia="Century Gothic" w:hAnsi="Verdana" w:cs="Century Gothic"/>
          <w:b/>
          <w:bCs/>
        </w:rPr>
        <w:t>Doctrina de la Agencia Nacional de Contratación Pública:</w:t>
      </w:r>
    </w:p>
    <w:p w14:paraId="62A94D84" w14:textId="77777777" w:rsidR="003467C6" w:rsidRDefault="003467C6" w:rsidP="003467C6">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1499B807" w14:textId="77777777" w:rsidR="003467C6" w:rsidRPr="00392E13" w:rsidRDefault="003467C6" w:rsidP="003467C6">
      <w:pPr>
        <w:widowControl w:val="0"/>
        <w:autoSpaceDE w:val="0"/>
        <w:autoSpaceDN w:val="0"/>
        <w:spacing w:after="0" w:line="276" w:lineRule="auto"/>
        <w:jc w:val="both"/>
        <w:rPr>
          <w:rFonts w:ascii="Verdana" w:eastAsia="Calibri" w:hAnsi="Verdana" w:cs="Times New Roman"/>
        </w:rPr>
      </w:pPr>
      <w:r w:rsidRPr="00392E13">
        <w:rPr>
          <w:rFonts w:ascii="Verdana" w:hAnsi="Verdana" w:cs="Arial"/>
          <w:bCs/>
          <w:shd w:val="clear" w:color="auto" w:fill="FFFFFF"/>
        </w:rPr>
        <w:t xml:space="preserve">La Agencia Nacional de Contratación Pública – Colombia Compra Eficiente, en los conceptos </w:t>
      </w:r>
      <w:r w:rsidRPr="00392E13">
        <w:rPr>
          <w:rFonts w:ascii="Verdana" w:hAnsi="Verdana" w:cs="Arial"/>
          <w:bCs/>
          <w:shd w:val="clear" w:color="auto" w:fill="FFFFFF"/>
          <w:lang w:val="es-ES_tradnl"/>
        </w:rPr>
        <w:t>CU-367 del 23 de julio de 2020, reiterado en los conceptos: C−433 de 24 de julio de 2020, C−468 del 24 de julio de 2020, C−474 de 24 de julio de 2020, C−488 del 28 de julio de 2020, C−544 del 21 de agosto de 2020, C−575 del 27 de agosto de 2020, C−643 del 26 de octubre de 2020, C−661 del 17 de noviembre de 2020, C-094 del 13 de abril de 2021, C−068 del 22 de abril de 2021, C-185 del 29 de abril de 2021, C-472 del 6 de septiembre de 2021 y C-804 de 2024</w:t>
      </w:r>
      <w:r w:rsidRPr="00392E13">
        <w:rPr>
          <w:rFonts w:ascii="Verdana" w:hAnsi="Verdana" w:cs="Arial"/>
          <w:bCs/>
          <w:shd w:val="clear" w:color="auto" w:fill="FFFFFF"/>
        </w:rPr>
        <w:t xml:space="preserve">, C-185 del 24 de marzo de 2025, entre otros, así como nuevas precisiones dispuestas en este concepto sobre el alcance del deber de publicidad del Decreto 1081 de 2015 modificado por el Decreto 1600 de 2024. </w:t>
      </w:r>
      <w:r w:rsidRPr="00392E13">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8359B2A" w14:textId="77777777" w:rsidR="003467C6" w:rsidRPr="00392E13" w:rsidRDefault="003467C6" w:rsidP="003467C6">
      <w:pPr>
        <w:spacing w:after="0" w:line="256" w:lineRule="auto"/>
        <w:jc w:val="both"/>
        <w:rPr>
          <w:rFonts w:ascii="Verdana" w:eastAsia="Calibri" w:hAnsi="Verdana" w:cs="Times New Roman"/>
        </w:rPr>
      </w:pPr>
      <w:hyperlink r:id="rId9" w:history="1">
        <w:r w:rsidRPr="00E47CAB">
          <w:rPr>
            <w:rStyle w:val="Hipervnculo"/>
            <w:rFonts w:ascii="Verdana" w:hAnsi="Verdana"/>
          </w:rPr>
          <w:t>https://www.colombiacompra.gov.co/normativa-y-relatoria/conoce-la-relatoria</w:t>
        </w:r>
      </w:hyperlink>
      <w:r w:rsidRPr="00E47CAB">
        <w:rPr>
          <w:rFonts w:ascii="Verdana" w:hAnsi="Verdana"/>
        </w:rPr>
        <w:t xml:space="preserve"> </w:t>
      </w:r>
    </w:p>
    <w:p w14:paraId="3A247C35" w14:textId="77777777" w:rsidR="003467C6" w:rsidRPr="00900D7D" w:rsidRDefault="003467C6" w:rsidP="003467C6">
      <w:pPr>
        <w:widowControl w:val="0"/>
        <w:autoSpaceDE w:val="0"/>
        <w:autoSpaceDN w:val="0"/>
        <w:spacing w:after="120" w:line="276" w:lineRule="auto"/>
        <w:jc w:val="both"/>
        <w:rPr>
          <w:rFonts w:ascii="Verdana" w:eastAsia="Calibri" w:hAnsi="Verdana" w:cs="Arial"/>
          <w:color w:val="000000" w:themeColor="text1"/>
          <w:lang w:eastAsia="es-ES_tradnl"/>
        </w:rPr>
      </w:pPr>
    </w:p>
    <w:p w14:paraId="6903D4F9" w14:textId="77777777" w:rsidR="003467C6" w:rsidRPr="009A385A" w:rsidRDefault="003467C6" w:rsidP="003467C6">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0" w:tgtFrame="_new" w:history="1">
        <w:r w:rsidRPr="009A385A">
          <w:rPr>
            <w:rStyle w:val="Hipervnculo"/>
            <w:rFonts w:ascii="Verdana" w:hAnsi="Verdana"/>
          </w:rPr>
          <w:t>https://formacionvirtual.colombiacompra.gov.co/mod/page/view.php?id=3718</w:t>
        </w:r>
      </w:hyperlink>
    </w:p>
    <w:p w14:paraId="530E4CF1" w14:textId="77777777" w:rsidR="003467C6" w:rsidRDefault="003467C6" w:rsidP="003467C6">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w:t>
      </w:r>
      <w:r w:rsidRPr="00635F16">
        <w:rPr>
          <w:rFonts w:ascii="Verdana" w:hAnsi="Verdana"/>
        </w:rPr>
        <w:lastRenderedPageBreak/>
        <w:t>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1" w:tgtFrame="_new" w:history="1">
        <w:r w:rsidRPr="00635F16">
          <w:rPr>
            <w:rStyle w:val="Hipervnculo"/>
            <w:rFonts w:ascii="Verdana" w:hAnsi="Verdana"/>
          </w:rPr>
          <w:t>https://www.colombiacompra.gov.co/normativa-y-relatoria/documentos-tipo</w:t>
        </w:r>
      </w:hyperlink>
    </w:p>
    <w:p w14:paraId="5D89D513" w14:textId="77777777" w:rsidR="003467C6" w:rsidRDefault="003467C6" w:rsidP="003467C6">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2"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4BDC1F7" w14:textId="605FFD6B" w:rsidR="003467C6" w:rsidRPr="003467C6" w:rsidRDefault="003467C6" w:rsidP="003467C6">
      <w:pPr>
        <w:jc w:val="both"/>
        <w:rPr>
          <w:rFonts w:ascii="Verdana" w:hAnsi="Verdana"/>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EC6E9DD" w14:textId="77777777" w:rsidR="003467C6" w:rsidRPr="008E4F36" w:rsidRDefault="003467C6" w:rsidP="003467C6">
      <w:pPr>
        <w:pStyle w:val="Prrafodelista"/>
        <w:numPr>
          <w:ilvl w:val="0"/>
          <w:numId w:val="3"/>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5006818D" w14:textId="77777777" w:rsidR="003467C6" w:rsidRPr="008E4F36" w:rsidRDefault="003467C6" w:rsidP="003467C6">
      <w:pPr>
        <w:pStyle w:val="Prrafodelista"/>
        <w:numPr>
          <w:ilvl w:val="0"/>
          <w:numId w:val="3"/>
        </w:numPr>
        <w:spacing w:after="0" w:line="276" w:lineRule="auto"/>
        <w:contextualSpacing w:val="0"/>
        <w:jc w:val="both"/>
        <w:rPr>
          <w:rFonts w:ascii="Verdana" w:hAnsi="Verdana"/>
        </w:rPr>
      </w:pPr>
      <w:r w:rsidRPr="008E4F36">
        <w:rPr>
          <w:rFonts w:ascii="Verdana" w:hAnsi="Verdana"/>
        </w:rPr>
        <w:t>Línea en Bogotá (Mesa de servicio): +57 601 7456788</w:t>
      </w:r>
    </w:p>
    <w:p w14:paraId="24A4D5E4" w14:textId="77777777" w:rsidR="003467C6" w:rsidRPr="008E4F36" w:rsidRDefault="003467C6" w:rsidP="003467C6">
      <w:pPr>
        <w:pStyle w:val="Prrafodelista"/>
        <w:numPr>
          <w:ilvl w:val="0"/>
          <w:numId w:val="3"/>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62AE533C" w14:textId="77777777" w:rsidR="003467C6" w:rsidRPr="008E4F36" w:rsidRDefault="003467C6" w:rsidP="003467C6">
      <w:pPr>
        <w:pStyle w:val="Prrafodelista"/>
        <w:numPr>
          <w:ilvl w:val="0"/>
          <w:numId w:val="3"/>
        </w:numPr>
        <w:spacing w:after="0" w:line="276" w:lineRule="auto"/>
        <w:contextualSpacing w:val="0"/>
        <w:jc w:val="both"/>
        <w:rPr>
          <w:rFonts w:ascii="Verdana" w:hAnsi="Verdana"/>
        </w:rPr>
      </w:pPr>
      <w:r w:rsidRPr="008E4F36">
        <w:rPr>
          <w:rFonts w:ascii="Verdana" w:hAnsi="Verdana"/>
        </w:rPr>
        <w:t xml:space="preserve">Página web: </w:t>
      </w:r>
      <w:hyperlink r:id="rId13" w:history="1">
        <w:r w:rsidRPr="008E4F36">
          <w:rPr>
            <w:rStyle w:val="Hipervnculo"/>
            <w:rFonts w:ascii="Verdana" w:hAnsi="Verdana"/>
          </w:rPr>
          <w:t>www.colombiacompra.gov.co</w:t>
        </w:r>
      </w:hyperlink>
    </w:p>
    <w:p w14:paraId="54BC029B" w14:textId="77777777" w:rsidR="003467C6" w:rsidRPr="008E4F36" w:rsidRDefault="003467C6" w:rsidP="003467C6">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4BBCDE08" w14:textId="77777777" w:rsidR="003467C6" w:rsidRPr="008E4F36" w:rsidRDefault="003467C6" w:rsidP="003467C6">
      <w:pPr>
        <w:spacing w:after="0" w:line="276" w:lineRule="auto"/>
        <w:jc w:val="both"/>
        <w:rPr>
          <w:rFonts w:ascii="Verdana" w:hAnsi="Verdana"/>
        </w:rPr>
      </w:pPr>
    </w:p>
    <w:p w14:paraId="279EBE10" w14:textId="77777777" w:rsidR="003467C6" w:rsidRPr="008E4F36" w:rsidRDefault="003467C6" w:rsidP="003467C6">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0FEE2789" w14:textId="77777777" w:rsidR="003467C6" w:rsidRPr="008E4F36" w:rsidRDefault="003467C6" w:rsidP="003467C6">
      <w:pPr>
        <w:spacing w:after="0" w:line="276" w:lineRule="auto"/>
        <w:jc w:val="both"/>
        <w:rPr>
          <w:rFonts w:ascii="Verdana" w:hAnsi="Verdana"/>
        </w:rPr>
      </w:pPr>
      <w:r w:rsidRPr="008E4F36">
        <w:rPr>
          <w:rFonts w:ascii="Verdana" w:hAnsi="Verdana"/>
        </w:rPr>
        <w:t xml:space="preserve">Facebook: </w:t>
      </w:r>
      <w:proofErr w:type="spellStart"/>
      <w:r w:rsidRPr="008E4F36">
        <w:rPr>
          <w:rStyle w:val="Hipervnculo"/>
          <w:rFonts w:ascii="Verdana" w:hAnsi="Verdana"/>
        </w:rPr>
        <w:t>ColombiaCompraEficiente</w:t>
      </w:r>
      <w:proofErr w:type="spellEnd"/>
    </w:p>
    <w:p w14:paraId="3E6F5D54" w14:textId="77777777" w:rsidR="003467C6" w:rsidRPr="008E4F36" w:rsidRDefault="003467C6" w:rsidP="003467C6">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515C3FF3" w14:textId="77777777" w:rsidR="003467C6" w:rsidRDefault="003467C6" w:rsidP="003467C6">
      <w:pPr>
        <w:spacing w:before="120" w:after="0" w:line="276" w:lineRule="auto"/>
        <w:jc w:val="both"/>
        <w:rPr>
          <w:rFonts w:ascii="Verdana" w:hAnsi="Verdana"/>
        </w:rPr>
      </w:pPr>
    </w:p>
    <w:p w14:paraId="5B0E1E59" w14:textId="77777777" w:rsidR="003467C6" w:rsidRPr="00FB6C33" w:rsidRDefault="003467C6" w:rsidP="003467C6">
      <w:pPr>
        <w:spacing w:before="120" w:after="0" w:line="276" w:lineRule="auto"/>
        <w:jc w:val="both"/>
        <w:rPr>
          <w:rFonts w:ascii="Verdana" w:hAnsi="Verdana"/>
        </w:rPr>
      </w:pPr>
      <w:r w:rsidRPr="00FB6C33">
        <w:rPr>
          <w:rFonts w:ascii="Verdana" w:hAnsi="Verdana"/>
        </w:rPr>
        <w:lastRenderedPageBreak/>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7AF2AB4" w14:textId="77777777" w:rsidR="003467C6" w:rsidRPr="008E4F36" w:rsidRDefault="003467C6" w:rsidP="003467C6">
      <w:pPr>
        <w:spacing w:after="0" w:line="276" w:lineRule="auto"/>
        <w:jc w:val="both"/>
        <w:rPr>
          <w:rFonts w:ascii="Verdana" w:eastAsia="Calibri" w:hAnsi="Verdana" w:cs="Times New Roman"/>
        </w:rPr>
      </w:pPr>
    </w:p>
    <w:p w14:paraId="26060439" w14:textId="77777777" w:rsidR="003467C6" w:rsidRDefault="003467C6" w:rsidP="003467C6">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4FDCC776" w14:textId="77777777" w:rsidR="003467C6" w:rsidRDefault="003467C6" w:rsidP="003467C6">
      <w:pPr>
        <w:spacing w:after="0" w:line="256" w:lineRule="auto"/>
        <w:jc w:val="both"/>
        <w:rPr>
          <w:rFonts w:ascii="Verdana" w:eastAsia="Calibri" w:hAnsi="Verdana" w:cs="Times New Roman"/>
        </w:rPr>
      </w:pPr>
    </w:p>
    <w:p w14:paraId="08946A92" w14:textId="61576FFB" w:rsidR="003467C6" w:rsidRPr="006646EE" w:rsidRDefault="006646EE" w:rsidP="006646EE">
      <w:pPr>
        <w:spacing w:after="0" w:line="256" w:lineRule="auto"/>
        <w:jc w:val="center"/>
        <w:rPr>
          <w:noProof/>
        </w:rPr>
      </w:pPr>
      <w:r w:rsidRPr="00A12CB6">
        <w:rPr>
          <w:rFonts w:ascii="Century Gothic" w:hAnsi="Century Gothic"/>
          <w:noProof/>
          <w:lang w:val="en-US"/>
        </w:rPr>
        <w:drawing>
          <wp:inline distT="0" distB="0" distL="0" distR="0" wp14:anchorId="7D4E1F4C" wp14:editId="3913A696">
            <wp:extent cx="3772426" cy="1400370"/>
            <wp:effectExtent l="0" t="0" r="0" b="9525"/>
            <wp:docPr id="3" name="Imagen 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772426" cy="1400370"/>
                    </a:xfrm>
                    <a:prstGeom prst="rect">
                      <a:avLst/>
                    </a:prstGeom>
                  </pic:spPr>
                </pic:pic>
              </a:graphicData>
            </a:graphic>
          </wp:inline>
        </w:drawing>
      </w:r>
      <w:bookmarkEnd w:id="0"/>
      <w:bookmarkEnd w:id="1"/>
    </w:p>
    <w:p w14:paraId="40C914A4" w14:textId="77777777" w:rsidR="003467C6" w:rsidRDefault="003467C6" w:rsidP="003467C6">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467C6" w:rsidRPr="002423D6" w14:paraId="3959C43D" w14:textId="77777777" w:rsidTr="00742A06">
        <w:trPr>
          <w:trHeight w:val="315"/>
        </w:trPr>
        <w:tc>
          <w:tcPr>
            <w:tcW w:w="893" w:type="dxa"/>
            <w:vAlign w:val="center"/>
            <w:hideMark/>
          </w:tcPr>
          <w:p w14:paraId="7D29BADB" w14:textId="77777777" w:rsidR="003467C6" w:rsidRPr="002423D6" w:rsidRDefault="003467C6" w:rsidP="00742A06">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4F2573F" w14:textId="05EDB697" w:rsidR="003467C6" w:rsidRPr="002423D6" w:rsidRDefault="003467C6" w:rsidP="00742A06">
            <w:pPr>
              <w:contextualSpacing/>
              <w:rPr>
                <w:rFonts w:ascii="Verdana" w:eastAsia="Arial" w:hAnsi="Verdana" w:cs="Arial"/>
                <w:color w:val="000000" w:themeColor="text1"/>
                <w:sz w:val="16"/>
                <w:szCs w:val="16"/>
              </w:rPr>
            </w:pPr>
            <w:r w:rsidRPr="002423D6">
              <w:rPr>
                <w:rFonts w:ascii="Verdana" w:eastAsia="Arial" w:hAnsi="Verdana" w:cs="Arial"/>
                <w:color w:val="000000" w:themeColor="text1"/>
                <w:sz w:val="16"/>
                <w:szCs w:val="16"/>
              </w:rPr>
              <w:t>An</w:t>
            </w:r>
            <w:r>
              <w:rPr>
                <w:rFonts w:ascii="Verdana" w:eastAsia="Arial" w:hAnsi="Verdana" w:cs="Arial"/>
                <w:color w:val="000000" w:themeColor="text1"/>
                <w:sz w:val="16"/>
                <w:szCs w:val="16"/>
              </w:rPr>
              <w:t xml:space="preserve">dreina Cerpa Muñoz </w:t>
            </w:r>
          </w:p>
          <w:p w14:paraId="2009F71D" w14:textId="77777777" w:rsidR="003467C6" w:rsidRPr="002423D6" w:rsidRDefault="003467C6" w:rsidP="00742A06">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3467C6" w:rsidRPr="002423D6" w14:paraId="4652DC7E" w14:textId="77777777" w:rsidTr="00742A06">
        <w:trPr>
          <w:trHeight w:val="330"/>
        </w:trPr>
        <w:tc>
          <w:tcPr>
            <w:tcW w:w="893" w:type="dxa"/>
            <w:vAlign w:val="center"/>
            <w:hideMark/>
          </w:tcPr>
          <w:p w14:paraId="43CA348C" w14:textId="77777777" w:rsidR="003467C6" w:rsidRPr="002423D6" w:rsidRDefault="003467C6" w:rsidP="00742A06">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F4EB746" w14:textId="26747809" w:rsidR="003467C6" w:rsidRPr="002423D6" w:rsidRDefault="003467C6" w:rsidP="00742A06">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Diana Lucía Saavedra</w:t>
            </w:r>
          </w:p>
          <w:p w14:paraId="49D9DF28" w14:textId="77777777" w:rsidR="003467C6" w:rsidRPr="002423D6" w:rsidRDefault="003467C6" w:rsidP="00742A06">
            <w:pPr>
              <w:pStyle w:val="paragraph"/>
              <w:spacing w:before="0" w:beforeAutospacing="0" w:after="0" w:afterAutospacing="0"/>
              <w:contextualSpacing/>
              <w:textAlignment w:val="baseline"/>
              <w:rPr>
                <w:rFonts w:ascii="Verdana" w:hAnsi="Verdana" w:cs="Segoe UI"/>
                <w:color w:val="000000" w:themeColor="text1"/>
                <w:sz w:val="16"/>
                <w:szCs w:val="16"/>
              </w:rPr>
            </w:pPr>
            <w:r w:rsidRPr="002423D6">
              <w:rPr>
                <w:rStyle w:val="normaltextrun"/>
                <w:rFonts w:ascii="Verdana" w:hAnsi="Verdana" w:cs="Arial"/>
                <w:color w:val="000000" w:themeColor="text1"/>
                <w:sz w:val="16"/>
                <w:szCs w:val="16"/>
                <w:lang w:val="es-ES"/>
              </w:rPr>
              <w:t>Contratista de la Subdirección de Gestión Contractual</w:t>
            </w:r>
            <w:r w:rsidRPr="002423D6">
              <w:rPr>
                <w:rStyle w:val="eop"/>
                <w:rFonts w:ascii="Verdana" w:hAnsi="Verdana" w:cs="Arial"/>
                <w:color w:val="000000" w:themeColor="text1"/>
                <w:sz w:val="16"/>
                <w:szCs w:val="16"/>
              </w:rPr>
              <w:t> </w:t>
            </w:r>
          </w:p>
        </w:tc>
      </w:tr>
      <w:tr w:rsidR="003467C6" w:rsidRPr="002423D6" w14:paraId="47093ECB" w14:textId="77777777" w:rsidTr="00742A06">
        <w:trPr>
          <w:trHeight w:val="300"/>
        </w:trPr>
        <w:tc>
          <w:tcPr>
            <w:tcW w:w="893" w:type="dxa"/>
            <w:vAlign w:val="center"/>
          </w:tcPr>
          <w:p w14:paraId="73E1BB3E" w14:textId="77777777" w:rsidR="003467C6" w:rsidRPr="002423D6" w:rsidRDefault="003467C6" w:rsidP="00742A06">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5D921D3" w14:textId="77777777" w:rsidR="003467C6" w:rsidRPr="002423D6" w:rsidRDefault="003467C6" w:rsidP="00742A06">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65F36F7F" w14:textId="77777777" w:rsidR="003467C6" w:rsidRPr="002423D6" w:rsidRDefault="003467C6" w:rsidP="00742A06">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48BABB8D" w14:textId="77777777" w:rsidR="003467C6" w:rsidRDefault="003467C6" w:rsidP="003467C6"/>
    <w:p w14:paraId="3EB9E6D7" w14:textId="69E5B2ED" w:rsidR="003467C6" w:rsidRPr="00823C60" w:rsidRDefault="003467C6" w:rsidP="003467C6"/>
    <w:p w14:paraId="56927011" w14:textId="77777777" w:rsidR="000F5A42" w:rsidRDefault="000F5A42"/>
    <w:sectPr w:rsidR="000F5A42" w:rsidSect="003467C6">
      <w:headerReference w:type="default" r:id="rId15"/>
      <w:footerReference w:type="default" r:id="rId16"/>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F1A4D0" w14:textId="77777777" w:rsidR="002354F6" w:rsidRDefault="002354F6" w:rsidP="003467C6">
      <w:pPr>
        <w:spacing w:after="0" w:line="240" w:lineRule="auto"/>
      </w:pPr>
      <w:r>
        <w:separator/>
      </w:r>
    </w:p>
  </w:endnote>
  <w:endnote w:type="continuationSeparator" w:id="0">
    <w:p w14:paraId="1BA5D618" w14:textId="77777777" w:rsidR="002354F6" w:rsidRDefault="002354F6" w:rsidP="00346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AF96A3" w14:textId="77777777" w:rsidR="003467C6" w:rsidRDefault="003467C6" w:rsidP="000849D5">
    <w:pPr>
      <w:spacing w:after="0"/>
      <w:rPr>
        <w:rFonts w:ascii="Verdana" w:hAnsi="Verdana"/>
        <w:b/>
        <w:bCs/>
        <w:sz w:val="20"/>
        <w:szCs w:val="20"/>
      </w:rPr>
    </w:pPr>
  </w:p>
  <w:p w14:paraId="0132AA62" w14:textId="77777777" w:rsidR="003467C6" w:rsidRPr="00174B77" w:rsidRDefault="003467C6"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FBF29CD" w14:textId="77777777" w:rsidR="003467C6" w:rsidRDefault="003467C6"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33B359CB" w14:textId="77777777" w:rsidR="003467C6" w:rsidRPr="00E41027" w:rsidRDefault="003467C6" w:rsidP="000849D5">
    <w:pPr>
      <w:spacing w:after="0"/>
      <w:jc w:val="both"/>
      <w:rPr>
        <w:rFonts w:ascii="Verdana" w:hAnsi="Verdana"/>
        <w:sz w:val="18"/>
        <w:szCs w:val="18"/>
      </w:rPr>
    </w:pPr>
    <w:r w:rsidRPr="00E41027">
      <w:rPr>
        <w:rFonts w:ascii="Verdana" w:hAnsi="Verdana"/>
        <w:sz w:val="18"/>
        <w:szCs w:val="18"/>
      </w:rPr>
      <w:t>Mesa de servicio: (+57) 601 7456788</w:t>
    </w:r>
  </w:p>
  <w:p w14:paraId="02888832" w14:textId="77777777" w:rsidR="003467C6" w:rsidRDefault="003467C6"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4ADD8DEA" w14:textId="77777777" w:rsidR="003467C6" w:rsidRPr="007D04B2" w:rsidRDefault="003467C6" w:rsidP="000849D5">
    <w:pPr>
      <w:pStyle w:val="Piedepgina"/>
    </w:pPr>
  </w:p>
  <w:p w14:paraId="309A1E7E" w14:textId="77777777" w:rsidR="003467C6" w:rsidRPr="000849D5" w:rsidRDefault="003467C6"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2DCDED" w14:textId="77777777" w:rsidR="002354F6" w:rsidRDefault="002354F6" w:rsidP="003467C6">
      <w:pPr>
        <w:spacing w:after="0" w:line="240" w:lineRule="auto"/>
      </w:pPr>
      <w:r>
        <w:separator/>
      </w:r>
    </w:p>
  </w:footnote>
  <w:footnote w:type="continuationSeparator" w:id="0">
    <w:p w14:paraId="3E783707" w14:textId="77777777" w:rsidR="002354F6" w:rsidRDefault="002354F6" w:rsidP="003467C6">
      <w:pPr>
        <w:spacing w:after="0" w:line="240" w:lineRule="auto"/>
      </w:pPr>
      <w:r>
        <w:continuationSeparator/>
      </w:r>
    </w:p>
  </w:footnote>
  <w:footnote w:id="1">
    <w:p w14:paraId="52991D94" w14:textId="77777777" w:rsidR="003467C6" w:rsidRPr="00EB4645" w:rsidRDefault="003467C6" w:rsidP="003467C6">
      <w:pPr>
        <w:pStyle w:val="Textonotapie"/>
        <w:ind w:firstLine="709"/>
        <w:jc w:val="both"/>
        <w:rPr>
          <w:rFonts w:ascii="Verdana" w:hAnsi="Verdana" w:cs="Arial"/>
          <w:sz w:val="16"/>
          <w:szCs w:val="16"/>
          <w:lang w:val="es-ES"/>
        </w:rPr>
      </w:pPr>
      <w:r w:rsidRPr="00EB4645">
        <w:rPr>
          <w:rStyle w:val="Refdenotaalpie"/>
          <w:rFonts w:ascii="Verdana" w:hAnsi="Verdana" w:cs="Arial"/>
          <w:sz w:val="16"/>
          <w:szCs w:val="16"/>
        </w:rPr>
        <w:footnoteRef/>
      </w:r>
      <w:r w:rsidRPr="00EB4645">
        <w:rPr>
          <w:rFonts w:ascii="Verdana" w:hAnsi="Verdana" w:cs="Arial"/>
          <w:sz w:val="16"/>
          <w:szCs w:val="16"/>
        </w:rPr>
        <w:t xml:space="preserve"> </w:t>
      </w:r>
      <w:r w:rsidRPr="00EB4645">
        <w:rPr>
          <w:rFonts w:ascii="Verdana" w:hAnsi="Verdana" w:cs="Arial"/>
          <w:sz w:val="16"/>
          <w:szCs w:val="16"/>
          <w:lang w:val="es-ES"/>
        </w:rPr>
        <w:t>BOBBIO, Norberto. Democracia y secreto. México: Fondo de Cultura Económica, 2013. p. 27.</w:t>
      </w:r>
    </w:p>
  </w:footnote>
  <w:footnote w:id="2">
    <w:p w14:paraId="5710A44F" w14:textId="77777777" w:rsidR="003467C6" w:rsidRPr="00EB4645" w:rsidRDefault="003467C6" w:rsidP="003467C6">
      <w:pPr>
        <w:pStyle w:val="Textonotapie"/>
        <w:ind w:firstLine="709"/>
        <w:jc w:val="both"/>
        <w:rPr>
          <w:rFonts w:ascii="Verdana" w:hAnsi="Verdana" w:cs="Arial"/>
          <w:color w:val="000000" w:themeColor="text1"/>
          <w:sz w:val="16"/>
          <w:szCs w:val="16"/>
        </w:rPr>
      </w:pPr>
      <w:r w:rsidRPr="00EB4645">
        <w:rPr>
          <w:rStyle w:val="Refdenotaalpie"/>
          <w:rFonts w:ascii="Verdana" w:hAnsi="Verdana" w:cs="Arial"/>
          <w:color w:val="000000" w:themeColor="text1"/>
          <w:sz w:val="16"/>
          <w:szCs w:val="16"/>
        </w:rPr>
        <w:footnoteRef/>
      </w:r>
      <w:r w:rsidRPr="00EB4645">
        <w:rPr>
          <w:rFonts w:ascii="Verdana" w:hAnsi="Verdana" w:cs="Arial"/>
          <w:color w:val="000000" w:themeColor="text1"/>
          <w:sz w:val="16"/>
          <w:szCs w:val="16"/>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347C59F8" w14:textId="77777777" w:rsidR="003467C6" w:rsidRPr="00EB4645" w:rsidRDefault="003467C6" w:rsidP="003467C6">
      <w:pPr>
        <w:pStyle w:val="Textonotapie"/>
        <w:ind w:firstLine="709"/>
        <w:jc w:val="both"/>
        <w:rPr>
          <w:rFonts w:ascii="Verdana" w:hAnsi="Verdana" w:cs="Arial"/>
          <w:color w:val="000000" w:themeColor="text1"/>
          <w:sz w:val="16"/>
          <w:szCs w:val="16"/>
        </w:rPr>
      </w:pPr>
      <w:r w:rsidRPr="00EB4645">
        <w:rPr>
          <w:rFonts w:ascii="Verdana" w:hAnsi="Verdana" w:cs="Arial"/>
          <w:color w:val="000000" w:themeColor="text1"/>
          <w:sz w:val="16"/>
          <w:szCs w:val="16"/>
        </w:rPr>
        <w:t>Lo anterior, sin perjuicio de las publicaciones previstas en el numeral 3 del artículo 30 de la Ley 80 de 1993.</w:t>
      </w:r>
    </w:p>
    <w:p w14:paraId="21944ED2" w14:textId="77777777" w:rsidR="003467C6" w:rsidRPr="00EB4645" w:rsidRDefault="003467C6" w:rsidP="003467C6">
      <w:pPr>
        <w:pStyle w:val="Textonotapie"/>
        <w:ind w:firstLine="709"/>
        <w:jc w:val="both"/>
        <w:rPr>
          <w:rFonts w:ascii="Verdana" w:hAnsi="Verdana" w:cs="Arial"/>
          <w:color w:val="000000" w:themeColor="text1"/>
          <w:sz w:val="16"/>
          <w:szCs w:val="16"/>
        </w:rPr>
      </w:pPr>
      <w:r w:rsidRPr="00EB4645">
        <w:rPr>
          <w:rFonts w:ascii="Verdana" w:hAnsi="Verdana" w:cs="Arial"/>
          <w:color w:val="000000" w:themeColor="text1"/>
          <w:sz w:val="16"/>
          <w:szCs w:val="16"/>
        </w:rPr>
        <w:t xml:space="preserve">Con el fin de materializar los objetivos a que se refiere el inciso anterior, el Gobierno Nacional desarrollará el Sistema Electrónico para la Contratación Pública, </w:t>
      </w:r>
      <w:proofErr w:type="spellStart"/>
      <w:r w:rsidRPr="00EB4645">
        <w:rPr>
          <w:rFonts w:ascii="Verdana" w:hAnsi="Verdana" w:cs="Arial"/>
          <w:color w:val="000000" w:themeColor="text1"/>
          <w:sz w:val="16"/>
          <w:szCs w:val="16"/>
        </w:rPr>
        <w:t>Secop</w:t>
      </w:r>
      <w:proofErr w:type="spellEnd"/>
      <w:r w:rsidRPr="00EB4645">
        <w:rPr>
          <w:rFonts w:ascii="Verdana" w:hAnsi="Verdana" w:cs="Arial"/>
          <w:color w:val="000000" w:themeColor="text1"/>
          <w:sz w:val="16"/>
          <w:szCs w:val="16"/>
        </w:rPr>
        <w:t xml:space="preserve">, el cual: </w:t>
      </w:r>
    </w:p>
    <w:p w14:paraId="51A08BF4" w14:textId="77777777" w:rsidR="003467C6" w:rsidRPr="00EB4645" w:rsidRDefault="003467C6" w:rsidP="003467C6">
      <w:pPr>
        <w:pStyle w:val="Textonotapie"/>
        <w:ind w:firstLine="709"/>
        <w:jc w:val="both"/>
        <w:rPr>
          <w:rFonts w:ascii="Verdana" w:hAnsi="Verdana" w:cs="Arial"/>
          <w:color w:val="000000" w:themeColor="text1"/>
          <w:sz w:val="16"/>
          <w:szCs w:val="16"/>
        </w:rPr>
      </w:pPr>
      <w:r w:rsidRPr="00EB4645">
        <w:rPr>
          <w:rFonts w:ascii="Verdana" w:hAnsi="Verdana" w:cs="Arial"/>
          <w:color w:val="000000" w:themeColor="text1"/>
          <w:sz w:val="16"/>
          <w:szCs w:val="16"/>
        </w:rPr>
        <w:t>[…]</w:t>
      </w:r>
    </w:p>
    <w:p w14:paraId="1725FC4A" w14:textId="77777777" w:rsidR="003467C6" w:rsidRPr="00EB4645" w:rsidRDefault="003467C6" w:rsidP="003467C6">
      <w:pPr>
        <w:pStyle w:val="Textonotapie"/>
        <w:ind w:firstLine="709"/>
        <w:jc w:val="both"/>
        <w:rPr>
          <w:rFonts w:ascii="Verdana" w:hAnsi="Verdana" w:cs="Arial"/>
          <w:color w:val="000000" w:themeColor="text1"/>
          <w:sz w:val="16"/>
          <w:szCs w:val="16"/>
        </w:rPr>
      </w:pPr>
      <w:r w:rsidRPr="00EB4645">
        <w:rPr>
          <w:rFonts w:ascii="Verdana" w:hAnsi="Verdana" w:cs="Arial"/>
          <w:color w:val="000000" w:themeColor="text1"/>
          <w:sz w:val="16"/>
          <w:szCs w:val="16"/>
        </w:rPr>
        <w:t xml:space="preserve">c) Contará con la información oficial de la contratación realizada con dineros públicos, para lo cual establecerá los patrones a que haya lugar y se encargará de su difusión a través de canales electrónico”. </w:t>
      </w:r>
    </w:p>
    <w:p w14:paraId="274C64E5" w14:textId="77777777" w:rsidR="003467C6" w:rsidRPr="009D3894" w:rsidRDefault="003467C6" w:rsidP="003467C6">
      <w:pPr>
        <w:pStyle w:val="Textonotapie"/>
        <w:ind w:firstLine="709"/>
        <w:jc w:val="both"/>
        <w:rPr>
          <w:rFonts w:ascii="Verdana" w:hAnsi="Verdana" w:cs="Arial"/>
          <w:color w:val="000000" w:themeColor="text1"/>
          <w:sz w:val="14"/>
          <w:szCs w:val="14"/>
          <w:lang w:val="es-CO"/>
        </w:rPr>
      </w:pPr>
    </w:p>
  </w:footnote>
  <w:footnote w:id="3">
    <w:p w14:paraId="38C78001" w14:textId="542B26DA" w:rsidR="003467C6" w:rsidRPr="009D3894" w:rsidRDefault="003467C6" w:rsidP="003467C6">
      <w:pPr>
        <w:pStyle w:val="Textonotapie"/>
        <w:ind w:firstLine="709"/>
        <w:jc w:val="both"/>
        <w:rPr>
          <w:rFonts w:ascii="Verdana" w:hAnsi="Verdana" w:cs="Arial"/>
          <w:color w:val="000000" w:themeColor="text1"/>
          <w:sz w:val="14"/>
          <w:szCs w:val="14"/>
        </w:rPr>
      </w:pPr>
      <w:r w:rsidRPr="009D3894">
        <w:rPr>
          <w:rStyle w:val="Refdenotaalpie"/>
          <w:rFonts w:ascii="Verdana" w:hAnsi="Verdana" w:cs="Arial"/>
          <w:color w:val="000000" w:themeColor="text1"/>
          <w:sz w:val="14"/>
          <w:szCs w:val="14"/>
        </w:rPr>
        <w:footnoteRef/>
      </w:r>
      <w:r w:rsidRPr="009D3894">
        <w:rPr>
          <w:rFonts w:ascii="Verdana" w:hAnsi="Verdana" w:cs="Arial"/>
          <w:color w:val="000000" w:themeColor="text1"/>
          <w:sz w:val="14"/>
          <w:szCs w:val="14"/>
        </w:rPr>
        <w:t xml:space="preserve"> Ley 1712 de 2014: «Artículo 2. Toda información en posesión, bajo control o custodia de un sujeto obligado es pública y no podrá ser reservada o limitada sino por disposición constitucional o legal, de conformidad con la presente ley</w:t>
      </w:r>
      <w:r w:rsidR="009D3894">
        <w:rPr>
          <w:rFonts w:ascii="Verdana" w:hAnsi="Verdana" w:cs="Arial"/>
          <w:color w:val="000000" w:themeColor="text1"/>
          <w:sz w:val="14"/>
          <w:szCs w:val="14"/>
        </w:rPr>
        <w:t>”</w:t>
      </w:r>
      <w:r w:rsidRPr="009D3894">
        <w:rPr>
          <w:rFonts w:ascii="Verdana" w:hAnsi="Verdana" w:cs="Arial"/>
          <w:color w:val="000000" w:themeColor="text1"/>
          <w:sz w:val="14"/>
          <w:szCs w:val="14"/>
        </w:rPr>
        <w:t>.</w:t>
      </w:r>
    </w:p>
    <w:p w14:paraId="588685E5" w14:textId="77777777" w:rsidR="003467C6" w:rsidRPr="009D3894" w:rsidRDefault="003467C6" w:rsidP="003467C6">
      <w:pPr>
        <w:pStyle w:val="Textonotapie"/>
        <w:ind w:firstLine="709"/>
        <w:jc w:val="both"/>
        <w:rPr>
          <w:rFonts w:ascii="Verdana" w:hAnsi="Verdana" w:cs="Arial"/>
          <w:color w:val="000000" w:themeColor="text1"/>
          <w:sz w:val="14"/>
          <w:szCs w:val="14"/>
          <w:lang w:val="es-CO"/>
        </w:rPr>
      </w:pPr>
    </w:p>
  </w:footnote>
  <w:footnote w:id="4">
    <w:p w14:paraId="3BCB92BC" w14:textId="77777777" w:rsidR="003467C6" w:rsidRPr="009D3894" w:rsidRDefault="003467C6" w:rsidP="003467C6">
      <w:pPr>
        <w:pStyle w:val="Textonotapie"/>
        <w:ind w:firstLine="709"/>
        <w:jc w:val="both"/>
        <w:rPr>
          <w:rFonts w:ascii="Verdana" w:hAnsi="Verdana" w:cs="Arial"/>
          <w:color w:val="000000" w:themeColor="text1"/>
          <w:sz w:val="14"/>
          <w:szCs w:val="14"/>
        </w:rPr>
      </w:pPr>
      <w:r w:rsidRPr="009D3894">
        <w:rPr>
          <w:rStyle w:val="Refdenotaalpie"/>
          <w:rFonts w:ascii="Verdana" w:hAnsi="Verdana" w:cs="Arial"/>
          <w:color w:val="000000" w:themeColor="text1"/>
          <w:sz w:val="14"/>
          <w:szCs w:val="14"/>
        </w:rPr>
        <w:footnoteRef/>
      </w:r>
      <w:r w:rsidRPr="009D3894">
        <w:rPr>
          <w:rFonts w:ascii="Verdana" w:hAnsi="Verdana" w:cs="Arial"/>
          <w:color w:val="000000" w:themeColor="text1"/>
          <w:sz w:val="14"/>
          <w:szCs w:val="14"/>
        </w:rPr>
        <w:t xml:space="preserve"> Ley 1712 de 2014: «Artículo 5. Ámbito de aplicación. Las disposiciones de esta ley serán aplicables a las siguientes personas en calidad de sujetos obligados: </w:t>
      </w:r>
    </w:p>
    <w:p w14:paraId="0BC90965" w14:textId="3D45D630" w:rsidR="003467C6" w:rsidRPr="009D3894" w:rsidRDefault="009D3894" w:rsidP="003467C6">
      <w:pPr>
        <w:pStyle w:val="Textonotapie"/>
        <w:ind w:firstLine="709"/>
        <w:jc w:val="both"/>
        <w:rPr>
          <w:rFonts w:ascii="Verdana" w:hAnsi="Verdana" w:cs="Arial"/>
          <w:color w:val="000000" w:themeColor="text1"/>
          <w:sz w:val="14"/>
          <w:szCs w:val="14"/>
        </w:rPr>
      </w:pPr>
      <w:r>
        <w:rPr>
          <w:rFonts w:ascii="Verdana" w:hAnsi="Verdana" w:cs="Arial"/>
          <w:color w:val="000000" w:themeColor="text1"/>
          <w:sz w:val="14"/>
          <w:szCs w:val="14"/>
        </w:rPr>
        <w:t>“</w:t>
      </w:r>
      <w:r w:rsidR="003467C6" w:rsidRPr="009D3894">
        <w:rPr>
          <w:rFonts w:ascii="Verdana" w:hAnsi="Verdana" w:cs="Arial"/>
          <w:color w:val="000000" w:themeColor="text1"/>
          <w:sz w:val="14"/>
          <w:szCs w:val="14"/>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3A7A2C07" w14:textId="77777777" w:rsidR="003467C6" w:rsidRPr="009D3894" w:rsidRDefault="003467C6" w:rsidP="003467C6">
      <w:pPr>
        <w:pStyle w:val="Textonotapie"/>
        <w:ind w:firstLine="709"/>
        <w:jc w:val="both"/>
        <w:rPr>
          <w:rFonts w:ascii="Verdana" w:hAnsi="Verdana" w:cs="Arial"/>
          <w:color w:val="000000" w:themeColor="text1"/>
          <w:sz w:val="14"/>
          <w:szCs w:val="14"/>
          <w:lang w:val="es-CO"/>
        </w:rPr>
      </w:pPr>
    </w:p>
  </w:footnote>
  <w:footnote w:id="5">
    <w:p w14:paraId="7BF7D531" w14:textId="1E7A5692" w:rsidR="003467C6" w:rsidRPr="009D3894" w:rsidRDefault="003467C6" w:rsidP="003467C6">
      <w:pPr>
        <w:pStyle w:val="Textonotapie"/>
        <w:ind w:firstLine="709"/>
        <w:jc w:val="both"/>
        <w:rPr>
          <w:rFonts w:ascii="Verdana" w:hAnsi="Verdana" w:cs="Arial"/>
          <w:color w:val="000000" w:themeColor="text1"/>
          <w:sz w:val="14"/>
          <w:szCs w:val="14"/>
        </w:rPr>
      </w:pPr>
      <w:r w:rsidRPr="009D3894">
        <w:rPr>
          <w:rFonts w:ascii="Verdana" w:eastAsia="Times New Roman" w:hAnsi="Verdana" w:cs="Arial"/>
          <w:color w:val="000000" w:themeColor="text1"/>
          <w:sz w:val="14"/>
          <w:szCs w:val="14"/>
          <w:vertAlign w:val="superscript"/>
          <w:lang w:val="es-ES" w:eastAsia="es-ES"/>
        </w:rPr>
        <w:footnoteRef/>
      </w:r>
      <w:r w:rsidRPr="009D3894">
        <w:rPr>
          <w:rFonts w:ascii="Verdana" w:eastAsia="Times New Roman" w:hAnsi="Verdana" w:cs="Arial"/>
          <w:color w:val="000000" w:themeColor="text1"/>
          <w:sz w:val="14"/>
          <w:szCs w:val="14"/>
          <w:vertAlign w:val="superscript"/>
          <w:lang w:val="es-ES" w:eastAsia="es-ES"/>
        </w:rPr>
        <w:t xml:space="preserve"> </w:t>
      </w:r>
      <w:r w:rsidR="009D3894">
        <w:rPr>
          <w:rFonts w:ascii="Verdana" w:eastAsia="Times New Roman" w:hAnsi="Verdana" w:cs="Arial"/>
          <w:color w:val="000000" w:themeColor="text1"/>
          <w:sz w:val="14"/>
          <w:szCs w:val="14"/>
          <w:lang w:val="es-ES" w:eastAsia="es-ES"/>
        </w:rPr>
        <w:t>“</w:t>
      </w:r>
      <w:r w:rsidRPr="009D3894">
        <w:rPr>
          <w:rFonts w:ascii="Verdana" w:hAnsi="Verdana" w:cs="Arial"/>
          <w:color w:val="000000" w:themeColor="text1"/>
          <w:sz w:val="14"/>
          <w:szCs w:val="14"/>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6DBAB208" w14:textId="77777777" w:rsidR="003467C6" w:rsidRPr="009D3894" w:rsidRDefault="003467C6" w:rsidP="003467C6">
      <w:pPr>
        <w:pStyle w:val="Textonotapie"/>
        <w:ind w:firstLine="709"/>
        <w:jc w:val="both"/>
        <w:rPr>
          <w:rFonts w:ascii="Verdana" w:eastAsia="Times New Roman" w:hAnsi="Verdana" w:cs="Arial"/>
          <w:color w:val="000000" w:themeColor="text1"/>
          <w:sz w:val="14"/>
          <w:szCs w:val="14"/>
          <w:lang w:val="es-ES" w:eastAsia="es-ES"/>
        </w:rPr>
      </w:pPr>
      <w:r w:rsidRPr="009D3894">
        <w:rPr>
          <w:rFonts w:ascii="Verdana" w:hAnsi="Verdana" w:cs="Arial"/>
          <w:color w:val="000000" w:themeColor="text1"/>
          <w:sz w:val="14"/>
          <w:szCs w:val="14"/>
        </w:rPr>
        <w:t>[…].</w:t>
      </w:r>
    </w:p>
    <w:p w14:paraId="2E4CD937" w14:textId="468767CC" w:rsidR="003467C6" w:rsidRPr="009D3894" w:rsidRDefault="003467C6" w:rsidP="003467C6">
      <w:pPr>
        <w:pStyle w:val="Textonotapie"/>
        <w:ind w:firstLine="709"/>
        <w:jc w:val="both"/>
        <w:rPr>
          <w:rFonts w:ascii="Verdana" w:eastAsia="Times New Roman" w:hAnsi="Verdana" w:cs="Arial"/>
          <w:color w:val="000000" w:themeColor="text1"/>
          <w:sz w:val="14"/>
          <w:szCs w:val="14"/>
          <w:lang w:val="es-ES" w:eastAsia="es-ES"/>
        </w:rPr>
      </w:pPr>
      <w:r w:rsidRPr="009D3894">
        <w:rPr>
          <w:rFonts w:ascii="Verdana" w:eastAsia="Times New Roman" w:hAnsi="Verdana" w:cs="Arial"/>
          <w:color w:val="000000" w:themeColor="text1"/>
          <w:sz w:val="14"/>
          <w:szCs w:val="14"/>
          <w:lang w:val="es-ES" w:eastAsia="es-ES"/>
        </w:rPr>
        <w:t>«Los sujetos obligados que contratan con recursos públicos y recursos privados, deben publicar la información de su gestión contractual con cargo a recursos públicos en el Sistema Electrónico para la Contratación Pública [SECOP]</w:t>
      </w:r>
      <w:r w:rsidR="009D3894">
        <w:rPr>
          <w:rFonts w:ascii="Verdana" w:eastAsia="Times New Roman" w:hAnsi="Verdana" w:cs="Arial"/>
          <w:color w:val="000000" w:themeColor="text1"/>
          <w:sz w:val="14"/>
          <w:szCs w:val="14"/>
          <w:lang w:val="es-ES" w:eastAsia="es-ES"/>
        </w:rPr>
        <w:t>”</w:t>
      </w:r>
      <w:r w:rsidRPr="009D3894">
        <w:rPr>
          <w:rFonts w:ascii="Verdana" w:eastAsia="Times New Roman" w:hAnsi="Verdana" w:cs="Arial"/>
          <w:color w:val="000000" w:themeColor="text1"/>
          <w:sz w:val="14"/>
          <w:szCs w:val="14"/>
          <w:lang w:val="es-ES" w:eastAsia="es-ES"/>
        </w:rPr>
        <w:t>.</w:t>
      </w:r>
    </w:p>
    <w:p w14:paraId="5535D3A5" w14:textId="77777777" w:rsidR="003467C6" w:rsidRPr="00EB4645" w:rsidRDefault="003467C6" w:rsidP="003467C6">
      <w:pPr>
        <w:pStyle w:val="Textonotapie"/>
        <w:ind w:firstLine="709"/>
        <w:jc w:val="both"/>
        <w:rPr>
          <w:rFonts w:ascii="Verdana" w:eastAsia="Times New Roman" w:hAnsi="Verdana" w:cs="Arial"/>
          <w:color w:val="000000" w:themeColor="text1"/>
          <w:sz w:val="16"/>
          <w:szCs w:val="16"/>
          <w:lang w:val="es-ES" w:eastAsia="es-ES"/>
        </w:rPr>
      </w:pPr>
    </w:p>
  </w:footnote>
  <w:footnote w:id="6">
    <w:p w14:paraId="0D05316B" w14:textId="77777777" w:rsidR="003467C6" w:rsidRPr="00EB4645" w:rsidRDefault="003467C6" w:rsidP="003467C6">
      <w:pPr>
        <w:pStyle w:val="Textonotapie"/>
        <w:ind w:firstLine="709"/>
        <w:jc w:val="both"/>
        <w:rPr>
          <w:rFonts w:ascii="Verdana" w:hAnsi="Verdana" w:cs="Arial"/>
          <w:color w:val="000000"/>
          <w:sz w:val="16"/>
          <w:szCs w:val="16"/>
        </w:rPr>
      </w:pPr>
      <w:r w:rsidRPr="009D3894">
        <w:rPr>
          <w:rStyle w:val="Refdenotaalpie"/>
          <w:rFonts w:ascii="Verdana" w:hAnsi="Verdana" w:cs="Arial"/>
          <w:color w:val="000000"/>
          <w:sz w:val="14"/>
          <w:szCs w:val="14"/>
        </w:rPr>
        <w:footnoteRef/>
      </w:r>
      <w:r w:rsidRPr="009D3894">
        <w:rPr>
          <w:rFonts w:ascii="Verdana" w:hAnsi="Verdana" w:cs="Arial"/>
          <w:color w:val="000000"/>
          <w:sz w:val="14"/>
          <w:szCs w:val="14"/>
        </w:rPr>
        <w:t xml:space="preserve"> C</w:t>
      </w:r>
      <w:proofErr w:type="spellStart"/>
      <w:r w:rsidRPr="009D3894">
        <w:rPr>
          <w:rFonts w:ascii="Verdana" w:eastAsia="Times New Roman" w:hAnsi="Verdana" w:cs="Arial"/>
          <w:color w:val="000000"/>
          <w:sz w:val="14"/>
          <w:szCs w:val="14"/>
          <w:lang w:val="es-ES" w:eastAsia="es-ES"/>
        </w:rPr>
        <w:t>orte</w:t>
      </w:r>
      <w:proofErr w:type="spellEnd"/>
      <w:r w:rsidRPr="009D3894">
        <w:rPr>
          <w:rFonts w:ascii="Verdana" w:eastAsia="Times New Roman" w:hAnsi="Verdana" w:cs="Arial"/>
          <w:color w:val="000000"/>
          <w:sz w:val="14"/>
          <w:szCs w:val="14"/>
          <w:lang w:val="es-ES" w:eastAsia="es-ES"/>
        </w:rPr>
        <w:t xml:space="preserve"> Constitucional. Sentencia C‒274 de 9 de mayo de 2013. M.P. Mar</w:t>
      </w:r>
      <w:r w:rsidRPr="009D3894">
        <w:rPr>
          <w:rFonts w:ascii="Verdana" w:eastAsia="Times New Roman" w:hAnsi="Verdana" w:cs="Century Gothic"/>
          <w:color w:val="000000"/>
          <w:sz w:val="14"/>
          <w:szCs w:val="14"/>
          <w:lang w:val="es-ES" w:eastAsia="es-ES"/>
        </w:rPr>
        <w:t>í</w:t>
      </w:r>
      <w:r w:rsidRPr="009D3894">
        <w:rPr>
          <w:rFonts w:ascii="Verdana" w:eastAsia="Times New Roman" w:hAnsi="Verdana" w:cs="Arial"/>
          <w:color w:val="000000"/>
          <w:sz w:val="14"/>
          <w:szCs w:val="14"/>
          <w:lang w:val="es-ES" w:eastAsia="es-ES"/>
        </w:rPr>
        <w:t>a Victoria Calle Correa</w:t>
      </w:r>
      <w:r w:rsidRPr="00EB4645">
        <w:rPr>
          <w:rFonts w:ascii="Verdana" w:eastAsia="Times New Roman" w:hAnsi="Verdana" w:cs="Arial"/>
          <w:color w:val="000000"/>
          <w:sz w:val="16"/>
          <w:szCs w:val="16"/>
          <w:lang w:val="es-ES" w:eastAsia="es-ES"/>
        </w:rPr>
        <w:t xml:space="preserve">. </w:t>
      </w:r>
    </w:p>
    <w:p w14:paraId="1B458C7F" w14:textId="77777777" w:rsidR="003467C6" w:rsidRPr="00EB4645" w:rsidRDefault="003467C6" w:rsidP="003467C6">
      <w:pPr>
        <w:pStyle w:val="Textonotapie"/>
        <w:ind w:firstLine="709"/>
        <w:jc w:val="both"/>
        <w:rPr>
          <w:rFonts w:ascii="Verdana" w:hAnsi="Verdana" w:cs="Arial"/>
          <w:color w:val="000000"/>
          <w:sz w:val="16"/>
          <w:szCs w:val="16"/>
          <w:lang w:val="es-CO"/>
        </w:rPr>
      </w:pPr>
    </w:p>
  </w:footnote>
  <w:footnote w:id="7">
    <w:p w14:paraId="562BA792" w14:textId="77777777" w:rsidR="003467C6" w:rsidRPr="009D3894" w:rsidRDefault="003467C6" w:rsidP="003467C6">
      <w:pPr>
        <w:pStyle w:val="Textonotapie"/>
        <w:ind w:firstLine="708"/>
        <w:jc w:val="both"/>
        <w:rPr>
          <w:rFonts w:ascii="Verdana" w:hAnsi="Verdana" w:cs="Arial"/>
          <w:color w:val="000000"/>
          <w:sz w:val="14"/>
          <w:szCs w:val="14"/>
        </w:rPr>
      </w:pPr>
      <w:r w:rsidRPr="009D3894">
        <w:rPr>
          <w:rStyle w:val="Refdenotaalpie"/>
          <w:rFonts w:ascii="Verdana" w:hAnsi="Verdana" w:cs="Arial"/>
          <w:color w:val="000000"/>
          <w:sz w:val="14"/>
          <w:szCs w:val="14"/>
        </w:rPr>
        <w:footnoteRef/>
      </w:r>
      <w:r w:rsidRPr="009D3894">
        <w:rPr>
          <w:rFonts w:ascii="Verdana" w:hAnsi="Verdana" w:cs="Arial"/>
          <w:color w:val="000000"/>
          <w:sz w:val="14"/>
          <w:szCs w:val="14"/>
        </w:rPr>
        <w:t xml:space="preserve"> Decreto 4170 de 2011: “Artículo 3. Funciones: La Agencia Nacional de Contratación Pública –Colombia Compra Eficiente– ejercerá las siguientes funciones: [...]</w:t>
      </w:r>
    </w:p>
    <w:p w14:paraId="63C87829" w14:textId="77777777" w:rsidR="003467C6" w:rsidRPr="00EB4645" w:rsidRDefault="003467C6" w:rsidP="003467C6">
      <w:pPr>
        <w:pStyle w:val="Textonotapie"/>
        <w:ind w:firstLine="708"/>
        <w:jc w:val="both"/>
        <w:rPr>
          <w:rFonts w:ascii="Verdana" w:hAnsi="Verdana" w:cs="Arial"/>
          <w:color w:val="000000"/>
          <w:sz w:val="16"/>
          <w:szCs w:val="16"/>
        </w:rPr>
      </w:pPr>
      <w:r w:rsidRPr="009D3894">
        <w:rPr>
          <w:rFonts w:ascii="Verdana" w:hAnsi="Verdana" w:cs="Arial"/>
          <w:color w:val="000000"/>
          <w:sz w:val="14"/>
          <w:szCs w:val="14"/>
        </w:rPr>
        <w:t>8. Desarrollar y administrar el Sistema Electrónico para la Contratación Pública (SECOP) o el que haga sus veces, y gestionar nuevos desarrollos tecnológicos en los asuntos de su competencia, teniendo en cuenta los parámetros fijados por el Consejo Directivo [...]”.</w:t>
      </w:r>
    </w:p>
  </w:footnote>
  <w:footnote w:id="8">
    <w:p w14:paraId="1CB69ADB" w14:textId="77777777" w:rsidR="003467C6" w:rsidRPr="009D3894" w:rsidRDefault="003467C6" w:rsidP="003467C6">
      <w:pPr>
        <w:pStyle w:val="NormalWeb"/>
        <w:spacing w:before="0" w:beforeAutospacing="0" w:after="0" w:afterAutospacing="0"/>
        <w:ind w:firstLine="708"/>
        <w:jc w:val="both"/>
        <w:rPr>
          <w:rFonts w:ascii="Verdana" w:hAnsi="Verdana" w:cs="Arial"/>
          <w:color w:val="000000"/>
          <w:sz w:val="14"/>
          <w:szCs w:val="14"/>
        </w:rPr>
      </w:pPr>
      <w:r w:rsidRPr="009D3894">
        <w:rPr>
          <w:rStyle w:val="Refdenotaalpie"/>
          <w:rFonts w:ascii="Verdana" w:eastAsiaTheme="majorEastAsia" w:hAnsi="Verdana"/>
          <w:sz w:val="14"/>
          <w:szCs w:val="14"/>
        </w:rPr>
        <w:footnoteRef/>
      </w:r>
      <w:r w:rsidRPr="009D3894">
        <w:rPr>
          <w:rFonts w:ascii="Verdana" w:hAnsi="Verdana"/>
          <w:sz w:val="14"/>
          <w:szCs w:val="14"/>
        </w:rPr>
        <w:t xml:space="preserve"> </w:t>
      </w:r>
      <w:r w:rsidRPr="009D3894">
        <w:rPr>
          <w:rStyle w:val="Fuerte"/>
          <w:rFonts w:ascii="Verdana" w:hAnsi="Verdana" w:cs="Arial"/>
          <w:color w:val="000000"/>
          <w:sz w:val="14"/>
          <w:szCs w:val="14"/>
        </w:rPr>
        <w:t xml:space="preserve">Artículo 200. </w:t>
      </w:r>
      <w:r w:rsidRPr="009D3894">
        <w:rPr>
          <w:rStyle w:val="nfasis"/>
          <w:rFonts w:ascii="Verdana" w:hAnsi="Verdana" w:cs="Arial"/>
          <w:color w:val="000000"/>
          <w:sz w:val="14"/>
          <w:szCs w:val="14"/>
        </w:rPr>
        <w:t>Estrategia nacional de lucha contra la corrupción</w:t>
      </w:r>
      <w:r w:rsidRPr="009D3894">
        <w:rPr>
          <w:rFonts w:ascii="Verdana" w:hAnsi="Verdana" w:cs="Arial"/>
          <w:color w:val="000000"/>
          <w:sz w:val="14"/>
          <w:szCs w:val="14"/>
        </w:rPr>
        <w:t>. Con el propósito de fortalecer las Instituciones democráticas y el Estado Social de Derecho, garantizar la protección de los derechos humanos, proteger los recursos públicos, generar condiciones adecuadas para el desarrollo socioeconómico y proteger el Medio Ambiente, el Gobierno nacional formulará una Estrategia Nacional de Lucha Contra la Corrupción. </w:t>
      </w:r>
    </w:p>
    <w:p w14:paraId="245F94DC" w14:textId="77777777" w:rsidR="003467C6" w:rsidRPr="009D3894" w:rsidRDefault="003467C6" w:rsidP="003467C6">
      <w:pPr>
        <w:pStyle w:val="NormalWeb"/>
        <w:spacing w:before="0" w:beforeAutospacing="0" w:after="0" w:afterAutospacing="0"/>
        <w:ind w:firstLine="708"/>
        <w:jc w:val="both"/>
        <w:rPr>
          <w:rFonts w:ascii="Verdana" w:hAnsi="Verdana" w:cs="Arial"/>
          <w:color w:val="000000"/>
          <w:sz w:val="14"/>
          <w:szCs w:val="14"/>
        </w:rPr>
      </w:pPr>
      <w:r w:rsidRPr="009D3894">
        <w:rPr>
          <w:rFonts w:ascii="Verdana" w:hAnsi="Verdana" w:cs="Arial"/>
          <w:color w:val="000000"/>
          <w:sz w:val="14"/>
          <w:szCs w:val="14"/>
        </w:rPr>
        <w:t>La Estrategia tendrá como dimensiones la garantía de los derechos humanos, la protección al denunciante, el derecho al acceso a la información pública, el fortalecimiento de la veeduría ciudadana, la transparencia en la contratación y la gestión pública, la innovación pública y la implementación de mecanismos dirigidos a prevenir, detectar, gestionar y sancionar riesgos y hechos de corrupción bajo un enfoque sectorial. </w:t>
      </w:r>
    </w:p>
    <w:p w14:paraId="01DE7279" w14:textId="77777777" w:rsidR="003467C6" w:rsidRPr="009D3894" w:rsidRDefault="003467C6" w:rsidP="003467C6">
      <w:pPr>
        <w:pStyle w:val="NormalWeb"/>
        <w:spacing w:before="0" w:beforeAutospacing="0" w:after="0" w:afterAutospacing="0"/>
        <w:ind w:firstLine="708"/>
        <w:jc w:val="both"/>
        <w:rPr>
          <w:rFonts w:ascii="Verdana" w:hAnsi="Verdana" w:cs="Arial"/>
          <w:color w:val="000000"/>
          <w:sz w:val="14"/>
          <w:szCs w:val="14"/>
        </w:rPr>
      </w:pPr>
      <w:r w:rsidRPr="009D3894">
        <w:rPr>
          <w:rFonts w:ascii="Verdana" w:hAnsi="Verdana" w:cs="Arial"/>
          <w:color w:val="000000"/>
          <w:sz w:val="14"/>
          <w:szCs w:val="14"/>
        </w:rPr>
        <w:t>El Gobierno nacional en cabeza de la Secretaría de Transparencia y las Subcomisiones Técnicas de la Comisión Nacional de Moralización, serán responsables de la coordinación, elaboración y evaluación de la Estrategia Nacional de Lucha contra la corrupción. La Red Nacional de Observatorios Anticorrupción y el Departamento Nacional de Planeación prestarán apoyo técnico para su formulación, monitoreo y seguimiento. </w:t>
      </w:r>
    </w:p>
    <w:p w14:paraId="4DDA486C" w14:textId="77777777" w:rsidR="003467C6" w:rsidRPr="009D3894" w:rsidRDefault="003467C6" w:rsidP="003467C6">
      <w:pPr>
        <w:pStyle w:val="NormalWeb"/>
        <w:spacing w:before="0" w:beforeAutospacing="0" w:after="0" w:afterAutospacing="0"/>
        <w:ind w:firstLine="708"/>
        <w:jc w:val="both"/>
        <w:rPr>
          <w:rFonts w:ascii="Verdana" w:hAnsi="Verdana" w:cs="Arial"/>
          <w:color w:val="000000"/>
          <w:sz w:val="14"/>
          <w:szCs w:val="14"/>
        </w:rPr>
      </w:pPr>
      <w:r w:rsidRPr="009D3894">
        <w:rPr>
          <w:rFonts w:ascii="Verdana" w:hAnsi="Verdana" w:cs="Arial"/>
          <w:color w:val="000000"/>
          <w:sz w:val="14"/>
          <w:szCs w:val="14"/>
        </w:rPr>
        <w:t>En el proceso de formulación de la Estrategia se realizará una evaluación de la capacidad institucional y misional de las entidades públicas, del funcionamiento de las instancias e instrumentos de planeación existentes para la lucha contra la corrupción, y de las debilidades de articulación y coordinación interinstitucional. Así mismo, en el desarrollo de esta estrategia se promoverá la implementación de las disposiciones previstas en la Ley 1712 de 2014 frente al diseño, promoción e implementación de la política pública de acceso a la información pública y la Ley 2195 de 2022 en materia de daño y reparación de los afectados por actos de corrupción, el control y monitoreo constante del riesgo de corrupción, así como la pedagogía para la promoción de la participación ciudadana para la transparencia y lucha contra la corrupción. </w:t>
      </w:r>
    </w:p>
    <w:p w14:paraId="4A19477B" w14:textId="77777777" w:rsidR="003467C6" w:rsidRPr="009D3894" w:rsidRDefault="003467C6" w:rsidP="003467C6">
      <w:pPr>
        <w:pStyle w:val="NormalWeb"/>
        <w:spacing w:before="0" w:beforeAutospacing="0" w:after="0" w:afterAutospacing="0"/>
        <w:ind w:firstLine="708"/>
        <w:jc w:val="both"/>
        <w:rPr>
          <w:rFonts w:ascii="Verdana" w:hAnsi="Verdana" w:cs="Arial"/>
          <w:color w:val="000000"/>
          <w:sz w:val="14"/>
          <w:szCs w:val="14"/>
        </w:rPr>
      </w:pPr>
      <w:r w:rsidRPr="009D3894">
        <w:rPr>
          <w:rStyle w:val="Fuerte"/>
          <w:rFonts w:ascii="Verdana" w:hAnsi="Verdana" w:cs="Arial"/>
          <w:color w:val="000000"/>
          <w:sz w:val="14"/>
          <w:szCs w:val="14"/>
        </w:rPr>
        <w:t>Parágrafo 1°.</w:t>
      </w:r>
      <w:r w:rsidRPr="009D3894">
        <w:rPr>
          <w:rFonts w:ascii="Verdana" w:hAnsi="Verdana" w:cs="Arial"/>
          <w:color w:val="000000"/>
          <w:sz w:val="14"/>
          <w:szCs w:val="14"/>
        </w:rPr>
        <w:t> En la estrategia se contemplarán los mecanismos para el seguimiento y control de los recursos públicos administrados mediante fondos o patrimonios autónomos. </w:t>
      </w:r>
    </w:p>
    <w:p w14:paraId="46D807E9" w14:textId="77777777" w:rsidR="003467C6" w:rsidRPr="009D3894" w:rsidRDefault="003467C6" w:rsidP="003467C6">
      <w:pPr>
        <w:pStyle w:val="NormalWeb"/>
        <w:spacing w:before="0" w:beforeAutospacing="0" w:after="0" w:afterAutospacing="0"/>
        <w:ind w:firstLine="708"/>
        <w:jc w:val="both"/>
        <w:rPr>
          <w:rFonts w:ascii="Verdana" w:hAnsi="Verdana" w:cs="Arial"/>
          <w:color w:val="000000"/>
          <w:sz w:val="14"/>
          <w:szCs w:val="14"/>
        </w:rPr>
      </w:pPr>
      <w:r w:rsidRPr="009D3894">
        <w:rPr>
          <w:rStyle w:val="Fuerte"/>
          <w:rFonts w:ascii="Verdana" w:hAnsi="Verdana" w:cs="Arial"/>
          <w:color w:val="000000"/>
          <w:sz w:val="14"/>
          <w:szCs w:val="14"/>
        </w:rPr>
        <w:t>Parágrafo 2°.</w:t>
      </w:r>
      <w:r w:rsidRPr="009D3894">
        <w:rPr>
          <w:rFonts w:ascii="Verdana" w:hAnsi="Verdana" w:cs="Arial"/>
          <w:color w:val="000000"/>
          <w:sz w:val="14"/>
          <w:szCs w:val="14"/>
        </w:rPr>
        <w:t> La Comisión Nacional Ciudadana de Lucha Contra la Corrupción, la Comisión Nacional de Moralización, las Comisiones Regionales de Moralización y las organizaciones de la sociedad civil podrán presentar recomendaciones durante la formulación y evaluación de la Estrategia. </w:t>
      </w:r>
    </w:p>
    <w:p w14:paraId="68B44165" w14:textId="77777777" w:rsidR="003467C6" w:rsidRPr="009D3894" w:rsidRDefault="003467C6" w:rsidP="003467C6">
      <w:pPr>
        <w:pStyle w:val="NormalWeb"/>
        <w:spacing w:before="0" w:beforeAutospacing="0" w:after="0" w:afterAutospacing="0"/>
        <w:ind w:firstLine="708"/>
        <w:jc w:val="both"/>
        <w:rPr>
          <w:rFonts w:ascii="Verdana" w:hAnsi="Verdana" w:cs="Arial"/>
          <w:color w:val="000000"/>
          <w:sz w:val="14"/>
          <w:szCs w:val="14"/>
        </w:rPr>
      </w:pPr>
      <w:r w:rsidRPr="009D3894">
        <w:rPr>
          <w:rStyle w:val="Fuerte"/>
          <w:rFonts w:ascii="Verdana" w:hAnsi="Verdana" w:cs="Arial"/>
          <w:color w:val="000000"/>
          <w:sz w:val="14"/>
          <w:szCs w:val="14"/>
        </w:rPr>
        <w:t>Parágrafo 3°.</w:t>
      </w:r>
      <w:r w:rsidRPr="009D3894">
        <w:rPr>
          <w:rFonts w:ascii="Verdana" w:hAnsi="Verdana" w:cs="Arial"/>
          <w:color w:val="000000"/>
          <w:sz w:val="14"/>
          <w:szCs w:val="14"/>
        </w:rPr>
        <w:t> Dentro del año siguiente a la entrada en vigor de la presente ley, el Gobierno nacional formulará y adoptará la Estrategia Nacional de Lucha Contra la Corrupción.</w:t>
      </w:r>
    </w:p>
    <w:p w14:paraId="663DB208" w14:textId="77777777" w:rsidR="003467C6" w:rsidRPr="00EB4645" w:rsidRDefault="003467C6" w:rsidP="003467C6">
      <w:pPr>
        <w:pStyle w:val="Textonotapie"/>
        <w:rPr>
          <w:sz w:val="16"/>
          <w:szCs w:val="16"/>
          <w:lang w:val="es-CO"/>
        </w:rPr>
      </w:pPr>
    </w:p>
    <w:p w14:paraId="67E3BDC9" w14:textId="77777777" w:rsidR="003467C6" w:rsidRPr="0042686B" w:rsidRDefault="003467C6" w:rsidP="003467C6">
      <w:pPr>
        <w:pStyle w:val="Textonotapie"/>
        <w:ind w:firstLine="708"/>
        <w:rPr>
          <w:lang w:val="es-CO"/>
        </w:rPr>
      </w:pPr>
    </w:p>
  </w:footnote>
  <w:footnote w:id="9">
    <w:p w14:paraId="26F4C2E7" w14:textId="77777777" w:rsidR="003467C6" w:rsidRPr="009D3894" w:rsidRDefault="003467C6" w:rsidP="003467C6">
      <w:pPr>
        <w:spacing w:after="0" w:line="240" w:lineRule="auto"/>
        <w:ind w:firstLine="709"/>
        <w:jc w:val="both"/>
        <w:rPr>
          <w:rFonts w:ascii="Verdana" w:eastAsia="Calibri" w:hAnsi="Verdana" w:cs="Arial"/>
          <w:bCs/>
          <w:sz w:val="14"/>
          <w:szCs w:val="14"/>
          <w:lang w:eastAsia="es-ES_tradnl"/>
        </w:rPr>
      </w:pPr>
      <w:r w:rsidRPr="009D3894">
        <w:rPr>
          <w:rStyle w:val="Refdenotaalpie"/>
          <w:rFonts w:ascii="Verdana" w:hAnsi="Verdana"/>
          <w:sz w:val="14"/>
          <w:szCs w:val="14"/>
        </w:rPr>
        <w:footnoteRef/>
      </w:r>
      <w:r w:rsidRPr="009D3894">
        <w:rPr>
          <w:rFonts w:ascii="Verdana" w:hAnsi="Verdana"/>
          <w:sz w:val="14"/>
          <w:szCs w:val="14"/>
        </w:rPr>
        <w:t xml:space="preserve"> </w:t>
      </w:r>
      <w:r w:rsidRPr="009D3894">
        <w:rPr>
          <w:rFonts w:ascii="Verdana" w:eastAsia="Calibri" w:hAnsi="Verdana" w:cs="Arial"/>
          <w:bCs/>
          <w:iCs/>
          <w:sz w:val="14"/>
          <w:szCs w:val="14"/>
          <w:lang w:eastAsia="es-ES_tradnl"/>
        </w:rPr>
        <w:t>Artículo 2.1.4.3.1.2. Ámbito de aplicación.</w:t>
      </w:r>
      <w:r w:rsidRPr="009D3894">
        <w:rPr>
          <w:rFonts w:ascii="Verdana" w:eastAsia="Calibri" w:hAnsi="Verdana" w:cs="Arial"/>
          <w:b/>
          <w:bCs/>
          <w:iCs/>
          <w:sz w:val="14"/>
          <w:szCs w:val="14"/>
          <w:lang w:eastAsia="es-ES_tradnl"/>
        </w:rPr>
        <w:t> </w:t>
      </w:r>
      <w:r w:rsidRPr="009D3894">
        <w:rPr>
          <w:rFonts w:ascii="Verdana" w:eastAsia="Calibri" w:hAnsi="Verdana" w:cs="Arial"/>
          <w:bCs/>
          <w:iCs/>
          <w:sz w:val="14"/>
          <w:szCs w:val="14"/>
          <w:lang w:eastAsia="es-ES_tradnl"/>
        </w:rPr>
        <w:t>Las disposiciones de este Capítulo rigen en todo el territorio nacional y se aplicarán en todos los organismos, entidades y empresas del Estado del orden nacional y pertenecientes a la Rama Ejecutiva del Poder Público. </w:t>
      </w:r>
      <w:r w:rsidRPr="009D3894">
        <w:rPr>
          <w:rFonts w:ascii="Verdana" w:eastAsia="Calibri" w:hAnsi="Verdana" w:cs="Arial"/>
          <w:bCs/>
          <w:sz w:val="14"/>
          <w:szCs w:val="14"/>
          <w:lang w:eastAsia="es-ES_tradnl"/>
        </w:rPr>
        <w:t> </w:t>
      </w:r>
    </w:p>
    <w:p w14:paraId="16E5ED90" w14:textId="77777777" w:rsidR="003467C6" w:rsidRPr="009D3894" w:rsidRDefault="003467C6" w:rsidP="003467C6">
      <w:pPr>
        <w:spacing w:after="0" w:line="240" w:lineRule="auto"/>
        <w:ind w:firstLine="709"/>
        <w:jc w:val="both"/>
        <w:rPr>
          <w:rFonts w:ascii="Verdana" w:eastAsia="Calibri" w:hAnsi="Verdana" w:cs="Arial"/>
          <w:bCs/>
          <w:sz w:val="14"/>
          <w:szCs w:val="14"/>
          <w:lang w:eastAsia="es-ES_tradnl"/>
        </w:rPr>
      </w:pPr>
      <w:r w:rsidRPr="009D3894">
        <w:rPr>
          <w:rFonts w:ascii="Verdana" w:eastAsia="Calibri" w:hAnsi="Verdana" w:cs="Arial"/>
          <w:bCs/>
          <w:iCs/>
          <w:sz w:val="14"/>
          <w:szCs w:val="14"/>
          <w:lang w:eastAsia="es-ES_tradnl"/>
        </w:rPr>
        <w:t>Las empresas industriales y comerciales del Estado, las sociedades de economía mixta y todas las demás instituciones sometidas a regímenes especiales de contratación, darán pleno cumplimiento a las obligaciones consagradas en el presente Capítulo en aquellos aspectos en los que deban aplicar el régimen general de contratación pública. En los aspectos no regulados por dicho régimen, no se aplicará a ellas lo</w:t>
      </w:r>
      <w:r w:rsidRPr="00EB4645">
        <w:rPr>
          <w:rFonts w:ascii="Verdana" w:eastAsia="Calibri" w:hAnsi="Verdana" w:cs="Arial"/>
          <w:bCs/>
          <w:iCs/>
          <w:sz w:val="16"/>
          <w:szCs w:val="16"/>
          <w:lang w:eastAsia="es-ES_tradnl"/>
        </w:rPr>
        <w:t xml:space="preserve"> </w:t>
      </w:r>
      <w:r w:rsidRPr="009D3894">
        <w:rPr>
          <w:rFonts w:ascii="Verdana" w:eastAsia="Calibri" w:hAnsi="Verdana" w:cs="Arial"/>
          <w:bCs/>
          <w:iCs/>
          <w:sz w:val="14"/>
          <w:szCs w:val="14"/>
          <w:lang w:eastAsia="es-ES_tradnl"/>
        </w:rPr>
        <w:t>dispuesto en el artículo 2.1.4.3.2.1, las demás disposiciones deberán aplicarse de conformidad con su estructura orgánica y la normativa aplicable a su funcionamiento.</w:t>
      </w:r>
    </w:p>
    <w:p w14:paraId="0DD77865" w14:textId="77777777" w:rsidR="003467C6" w:rsidRPr="009D3894" w:rsidRDefault="003467C6" w:rsidP="003467C6">
      <w:pPr>
        <w:spacing w:after="0" w:line="240" w:lineRule="auto"/>
        <w:ind w:firstLine="709"/>
        <w:jc w:val="both"/>
        <w:rPr>
          <w:rFonts w:ascii="Verdana" w:eastAsia="Calibri" w:hAnsi="Verdana" w:cs="Arial"/>
          <w:bCs/>
          <w:sz w:val="14"/>
          <w:szCs w:val="14"/>
          <w:lang w:eastAsia="es-ES_tradnl"/>
        </w:rPr>
      </w:pPr>
      <w:r w:rsidRPr="009D3894">
        <w:rPr>
          <w:rFonts w:ascii="Verdana" w:eastAsia="Calibri" w:hAnsi="Verdana" w:cs="Arial"/>
          <w:bCs/>
          <w:iCs/>
          <w:sz w:val="14"/>
          <w:szCs w:val="14"/>
          <w:lang w:eastAsia="es-ES_tradnl"/>
        </w:rPr>
        <w:t>Las entidades territoriales y sus entidades descentralizadas, en el marco de su autonomía y en cumplimiento de lo previsto en el artículo 32 de la Ley 152 de 1994, por la cual se establece la Ley orgánica de Plan de Desarrollo, aplicarán en sus planes y políticas, las líneas de acción contenidas en el presente Capítulo, en virtud de lo señalado por el artículo 200 de la Ley 2294 de 2023. </w:t>
      </w:r>
    </w:p>
    <w:p w14:paraId="1E326E52" w14:textId="77777777" w:rsidR="003467C6" w:rsidRPr="009D3894" w:rsidRDefault="003467C6" w:rsidP="003467C6">
      <w:pPr>
        <w:pStyle w:val="Textonotapie"/>
        <w:rPr>
          <w:sz w:val="14"/>
          <w:szCs w:val="14"/>
          <w:lang w:val="es-CO"/>
        </w:rPr>
      </w:pPr>
    </w:p>
  </w:footnote>
  <w:footnote w:id="10">
    <w:p w14:paraId="0FBEF90A" w14:textId="77777777" w:rsidR="003467C6" w:rsidRPr="009D3894" w:rsidRDefault="003467C6" w:rsidP="003467C6">
      <w:pPr>
        <w:pStyle w:val="Textonotapie"/>
        <w:ind w:firstLine="708"/>
        <w:jc w:val="both"/>
        <w:rPr>
          <w:rFonts w:ascii="Verdana" w:hAnsi="Verdana"/>
          <w:sz w:val="14"/>
          <w:szCs w:val="14"/>
          <w:lang w:val="es-CO"/>
        </w:rPr>
      </w:pPr>
      <w:r w:rsidRPr="009D3894">
        <w:rPr>
          <w:rStyle w:val="Refdenotaalpie"/>
          <w:rFonts w:ascii="Verdana" w:hAnsi="Verdana"/>
          <w:sz w:val="14"/>
          <w:szCs w:val="14"/>
        </w:rPr>
        <w:footnoteRef/>
      </w:r>
      <w:r w:rsidRPr="009D3894">
        <w:rPr>
          <w:rFonts w:ascii="Verdana" w:hAnsi="Verdana"/>
          <w:sz w:val="14"/>
          <w:szCs w:val="14"/>
        </w:rPr>
        <w:t xml:space="preserve"> </w:t>
      </w:r>
      <w:r w:rsidRPr="009D3894">
        <w:rPr>
          <w:rFonts w:ascii="Verdana" w:hAnsi="Verdana"/>
          <w:bCs/>
          <w:sz w:val="14"/>
          <w:szCs w:val="14"/>
          <w:lang w:val="es-CO"/>
        </w:rPr>
        <w:t>Artículo 2.1.4.3.2.1. </w:t>
      </w:r>
      <w:r w:rsidRPr="009D3894">
        <w:rPr>
          <w:rFonts w:ascii="Verdana" w:hAnsi="Verdana"/>
          <w:bCs/>
          <w:i/>
          <w:iCs/>
          <w:sz w:val="14"/>
          <w:szCs w:val="14"/>
          <w:lang w:val="es-CO"/>
        </w:rPr>
        <w:t xml:space="preserve">Prevención de corrupción en la contratación </w:t>
      </w:r>
      <w:proofErr w:type="spellStart"/>
      <w:r w:rsidRPr="009D3894">
        <w:rPr>
          <w:rFonts w:ascii="Verdana" w:hAnsi="Verdana"/>
          <w:bCs/>
          <w:i/>
          <w:iCs/>
          <w:sz w:val="14"/>
          <w:szCs w:val="14"/>
          <w:lang w:val="es-CO"/>
        </w:rPr>
        <w:t>pública.</w:t>
      </w:r>
      <w:r w:rsidRPr="009D3894">
        <w:rPr>
          <w:rFonts w:ascii="Verdana" w:hAnsi="Verdana"/>
          <w:sz w:val="14"/>
          <w:szCs w:val="14"/>
          <w:lang w:val="es-CO"/>
        </w:rPr>
        <w:t>Las</w:t>
      </w:r>
      <w:proofErr w:type="spellEnd"/>
      <w:r w:rsidRPr="009D3894">
        <w:rPr>
          <w:rFonts w:ascii="Verdana" w:hAnsi="Verdana"/>
          <w:sz w:val="14"/>
          <w:szCs w:val="14"/>
          <w:lang w:val="es-CO"/>
        </w:rPr>
        <w:t xml:space="preserve"> entidades mencionadas en el artículo 2.1.4.3.1.2 del presente decreto, sin perjuicio de las demás obligaciones legales y reglamentarias, deberán garantizar las siguientes acciones en el desarrollo y la gestión contractual a su cargo: </w:t>
      </w:r>
    </w:p>
    <w:p w14:paraId="2C649F6B" w14:textId="77777777" w:rsidR="003467C6" w:rsidRPr="009D3894" w:rsidRDefault="003467C6" w:rsidP="003467C6">
      <w:pPr>
        <w:pStyle w:val="Textonotapie"/>
        <w:ind w:firstLine="708"/>
        <w:jc w:val="both"/>
        <w:rPr>
          <w:rFonts w:ascii="Verdana" w:hAnsi="Verdana"/>
          <w:sz w:val="14"/>
          <w:szCs w:val="14"/>
          <w:lang w:val="es-CO"/>
        </w:rPr>
      </w:pPr>
      <w:r w:rsidRPr="009D3894">
        <w:rPr>
          <w:rFonts w:ascii="Verdana" w:hAnsi="Verdana"/>
          <w:sz w:val="14"/>
          <w:szCs w:val="14"/>
          <w:lang w:val="es-CO"/>
        </w:rPr>
        <w:t>a) </w:t>
      </w:r>
      <w:r w:rsidRPr="009D3894">
        <w:rPr>
          <w:rFonts w:ascii="Verdana" w:hAnsi="Verdana"/>
          <w:bCs/>
          <w:sz w:val="14"/>
          <w:szCs w:val="14"/>
          <w:lang w:val="es-CO"/>
        </w:rPr>
        <w:t>Verificar la existencia de situaciones de control. </w:t>
      </w:r>
      <w:r w:rsidRPr="009D3894">
        <w:rPr>
          <w:rFonts w:ascii="Verdana" w:hAnsi="Verdana"/>
          <w:sz w:val="14"/>
          <w:szCs w:val="14"/>
          <w:lang w:val="es-CO"/>
        </w:rPr>
        <w:t>En los términos de los artículos 260 y 261 del Código de Comercio, de las personas jurídicas oferentes y/o de los proponentes plurales. Quienes se presenten como proponentes en procesos de selección adelantados por las entidades destinatarias del presente Capítulo, en el término máximo de tres (3) días después del momento en que se cierre definitivamente la presentación de ofertas, deberán poner de presente la existencia o no de situaciones de control de las que participen y, en particular, si son contratantes, controladas o comparten alguna de estas condiciones con otras personas que se encuentren participando en el mismo procedimiento de contratación. Para el caso de los proponentes plurales, deberán indicar si las personas que los conforman se encuentran en alguna de las situaciones descritas anteriormente. Para el caso de los proponentes plurales, deberán indicar si las personas que los conforman se encuentran en alguna de las situaciones descritas anteriormente.  </w:t>
      </w:r>
    </w:p>
    <w:p w14:paraId="2B449AD9" w14:textId="77777777" w:rsidR="003467C6" w:rsidRPr="009D3894" w:rsidRDefault="003467C6" w:rsidP="003467C6">
      <w:pPr>
        <w:pStyle w:val="Textonotapie"/>
        <w:ind w:firstLine="708"/>
        <w:jc w:val="both"/>
        <w:rPr>
          <w:rFonts w:ascii="Verdana" w:hAnsi="Verdana"/>
          <w:sz w:val="14"/>
          <w:szCs w:val="14"/>
          <w:lang w:val="es-CO"/>
        </w:rPr>
      </w:pPr>
      <w:r w:rsidRPr="009D3894">
        <w:rPr>
          <w:rFonts w:ascii="Verdana" w:hAnsi="Verdana"/>
          <w:sz w:val="14"/>
          <w:szCs w:val="14"/>
          <w:lang w:val="es-CO"/>
        </w:rPr>
        <w:t>Las entidades contratantes examinarán la existencia de las circunstancias antes descritas, con base en la información proporcionada por los oferentes y en la que reposa en los expedientes públicos registrados ante las Cámaras de Comercio, con el fin de prever la configuración de las causales de inhabilidad e incompatibilidad previstas en el artículo 8° de la Ley 80 de 1993.   </w:t>
      </w:r>
    </w:p>
    <w:p w14:paraId="01F53B8C" w14:textId="77777777" w:rsidR="003467C6" w:rsidRPr="009D3894" w:rsidRDefault="003467C6" w:rsidP="003467C6">
      <w:pPr>
        <w:pStyle w:val="Textonotapie"/>
        <w:ind w:firstLine="708"/>
        <w:jc w:val="both"/>
        <w:rPr>
          <w:rFonts w:ascii="Verdana" w:hAnsi="Verdana"/>
          <w:sz w:val="14"/>
          <w:szCs w:val="14"/>
          <w:lang w:val="es-CO"/>
        </w:rPr>
      </w:pPr>
      <w:r w:rsidRPr="009D3894">
        <w:rPr>
          <w:rFonts w:ascii="Verdana" w:hAnsi="Verdana"/>
          <w:sz w:val="14"/>
          <w:szCs w:val="14"/>
          <w:lang w:val="es-CO"/>
        </w:rPr>
        <w:t>Cuando, en desarrollo del análisis mencionado se adviertan circunstancias que pudieran implicar afectaciones a la libertad de concurrencia o competencia, o a la pluralidad real de oferentes dentro del proceso de selección correspondiente, la entidad contratante deberá evaluar la necesidad de poner tales situaciones en conocimiento de los entes de control competentes y, de ser necesario, solicitar su acompañamiento preventivo. La Presidencia de la República, a través de la Secretaría de Transparencia, se articulará con las entidades competentes con el fin de generar los mecanismos necesarios para mitigar los riesgos de corrupción que puedan advertirse como consecuencia del análisis dispuesto en este literal.  </w:t>
      </w:r>
    </w:p>
    <w:p w14:paraId="37FA0CA0" w14:textId="77777777" w:rsidR="003467C6" w:rsidRPr="009D3894" w:rsidRDefault="003467C6" w:rsidP="003467C6">
      <w:pPr>
        <w:pStyle w:val="Textonotapie"/>
        <w:ind w:firstLine="708"/>
        <w:jc w:val="both"/>
        <w:rPr>
          <w:rFonts w:ascii="Verdana" w:hAnsi="Verdana"/>
          <w:sz w:val="14"/>
          <w:szCs w:val="14"/>
          <w:lang w:val="es-CO"/>
        </w:rPr>
      </w:pPr>
      <w:r w:rsidRPr="009D3894">
        <w:rPr>
          <w:rFonts w:ascii="Verdana" w:hAnsi="Verdana"/>
          <w:sz w:val="14"/>
          <w:szCs w:val="14"/>
          <w:lang w:val="es-CO"/>
        </w:rPr>
        <w:t>b) </w:t>
      </w:r>
      <w:r w:rsidRPr="009D3894">
        <w:rPr>
          <w:rFonts w:ascii="Verdana" w:hAnsi="Verdana"/>
          <w:bCs/>
          <w:sz w:val="14"/>
          <w:szCs w:val="14"/>
          <w:lang w:val="es-CO"/>
        </w:rPr>
        <w:t>Aplicar buenas prácticas para la contratación transparente. </w:t>
      </w:r>
      <w:r w:rsidRPr="009D3894">
        <w:rPr>
          <w:rFonts w:ascii="Verdana" w:hAnsi="Verdana"/>
          <w:sz w:val="14"/>
          <w:szCs w:val="14"/>
          <w:lang w:val="es-CO"/>
        </w:rPr>
        <w:t>Las entidades deberán garantizar que las guías y manuales definidos por la Agencia Nacional de Contratación Pública - Colombia Compra Eficiente, para la definición de criterios que permitan garantizar la pluralidad de oferentes, se apliquen en la organización. En consecuencia, en los documentos del proceso deberá dejarse constancia que en la estructuración se tuvieron en cuenta las prácticas recomendadas por Colombia Compra Eficiente.  </w:t>
      </w:r>
    </w:p>
    <w:p w14:paraId="0EC33AC2" w14:textId="77777777" w:rsidR="003467C6" w:rsidRPr="009D3894" w:rsidRDefault="003467C6" w:rsidP="003467C6">
      <w:pPr>
        <w:pStyle w:val="Textonotapie"/>
        <w:ind w:firstLine="708"/>
        <w:jc w:val="both"/>
        <w:rPr>
          <w:rFonts w:ascii="Verdana" w:hAnsi="Verdana"/>
          <w:sz w:val="14"/>
          <w:szCs w:val="14"/>
          <w:lang w:val="es-CO"/>
        </w:rPr>
      </w:pPr>
      <w:r w:rsidRPr="009D3894">
        <w:rPr>
          <w:rFonts w:ascii="Verdana" w:hAnsi="Verdana"/>
          <w:sz w:val="14"/>
          <w:szCs w:val="14"/>
          <w:lang w:val="es-CO"/>
        </w:rPr>
        <w:t>c) </w:t>
      </w:r>
      <w:r w:rsidRPr="009D3894">
        <w:rPr>
          <w:rFonts w:ascii="Verdana" w:hAnsi="Verdana"/>
          <w:bCs/>
          <w:sz w:val="14"/>
          <w:szCs w:val="14"/>
          <w:lang w:val="es-CO"/>
        </w:rPr>
        <w:t>Fortalecer los análisis de mercado para la fijación objetiva de precios. </w:t>
      </w:r>
      <w:r w:rsidRPr="009D3894">
        <w:rPr>
          <w:rFonts w:ascii="Verdana" w:hAnsi="Verdana"/>
          <w:sz w:val="14"/>
          <w:szCs w:val="14"/>
          <w:lang w:val="es-CO"/>
        </w:rPr>
        <w:t>En la elaboración del análisis de mercado para fijar los precios, deberán realizarse estudios públicos y abiertos, que permitan un análisis comparativo de los precios de referencia para alcanzar valores de mercado favorables y mayor eficiencia en el</w:t>
      </w:r>
      <w:r w:rsidRPr="00EB4645">
        <w:rPr>
          <w:rFonts w:ascii="Verdana" w:hAnsi="Verdana"/>
          <w:sz w:val="16"/>
          <w:szCs w:val="16"/>
          <w:lang w:val="es-CO"/>
        </w:rPr>
        <w:t xml:space="preserve"> </w:t>
      </w:r>
      <w:r w:rsidRPr="009D3894">
        <w:rPr>
          <w:rFonts w:ascii="Verdana" w:hAnsi="Verdana"/>
          <w:sz w:val="14"/>
          <w:szCs w:val="14"/>
          <w:lang w:val="es-CO"/>
        </w:rPr>
        <w:t>gasto. En esa medida, y con el fin de mitigar sobrecostos, en la definición de presupuestos a partir de cotizaciones no se podrán realizar consultas cerradas ni direccionadas a grupos reducidos de empresas y se verificará la ausencia de inhabilidades e incompatibilidades de las empresas que coticen. En todo caso, en los documentos del proceso debe quedar constancia del proceso que permitió la determinación del precio, el mecanismo seleccionado para fijarlo y la justificación de esa elección.  </w:t>
      </w:r>
    </w:p>
    <w:p w14:paraId="72B1ECC8" w14:textId="77777777" w:rsidR="003467C6" w:rsidRPr="009D3894" w:rsidRDefault="003467C6" w:rsidP="003467C6">
      <w:pPr>
        <w:pStyle w:val="Textonotapie"/>
        <w:ind w:firstLine="708"/>
        <w:jc w:val="both"/>
        <w:rPr>
          <w:rFonts w:ascii="Verdana" w:hAnsi="Verdana"/>
          <w:sz w:val="14"/>
          <w:szCs w:val="14"/>
          <w:lang w:val="es-CO"/>
        </w:rPr>
      </w:pPr>
      <w:r w:rsidRPr="009D3894">
        <w:rPr>
          <w:rFonts w:ascii="Verdana" w:hAnsi="Verdana"/>
          <w:bCs/>
          <w:sz w:val="14"/>
          <w:szCs w:val="14"/>
          <w:lang w:val="es-CO"/>
        </w:rPr>
        <w:t>Parágrafo 1°. </w:t>
      </w:r>
      <w:r w:rsidRPr="009D3894">
        <w:rPr>
          <w:rFonts w:ascii="Verdana" w:hAnsi="Verdana"/>
          <w:sz w:val="14"/>
          <w:szCs w:val="14"/>
          <w:lang w:val="es-CO"/>
        </w:rPr>
        <w:t>Las anteriores directrices serán incorporadas por las entidades destinatarias a sus manuales de contratación, dentro de los seis (6) meses siguientes a la expedición del presente Capítulo.  </w:t>
      </w:r>
    </w:p>
    <w:p w14:paraId="2ED5995C" w14:textId="77777777" w:rsidR="003467C6" w:rsidRPr="009D3894" w:rsidRDefault="003467C6" w:rsidP="003467C6">
      <w:pPr>
        <w:pStyle w:val="Textonotapie"/>
        <w:ind w:firstLine="708"/>
        <w:jc w:val="both"/>
        <w:rPr>
          <w:rFonts w:ascii="Verdana" w:hAnsi="Verdana"/>
          <w:sz w:val="14"/>
          <w:szCs w:val="14"/>
          <w:lang w:val="es-CO"/>
        </w:rPr>
      </w:pPr>
      <w:r w:rsidRPr="009D3894">
        <w:rPr>
          <w:rFonts w:ascii="Verdana" w:hAnsi="Verdana"/>
          <w:bCs/>
          <w:sz w:val="14"/>
          <w:szCs w:val="14"/>
          <w:lang w:val="es-CO"/>
        </w:rPr>
        <w:t>Parágrafo 2°. </w:t>
      </w:r>
      <w:r w:rsidRPr="009D3894">
        <w:rPr>
          <w:rFonts w:ascii="Verdana" w:hAnsi="Verdana"/>
          <w:sz w:val="14"/>
          <w:szCs w:val="14"/>
          <w:lang w:val="es-CO"/>
        </w:rPr>
        <w:t>Las entidades territoriales y sus descentralizadas, en el marco de su autonomía, incorporarán las directrices contenidas en el presente artículo, de conformidad con lo señalado en el inciso tercero del artículo 2.1.4.3.1.2 del presente decreto.  </w:t>
      </w:r>
    </w:p>
    <w:p w14:paraId="53693D0E" w14:textId="77777777" w:rsidR="003467C6" w:rsidRPr="00EB4645" w:rsidRDefault="003467C6" w:rsidP="003467C6">
      <w:pPr>
        <w:pStyle w:val="Textonotapie"/>
        <w:ind w:firstLine="708"/>
        <w:jc w:val="both"/>
        <w:rPr>
          <w:rFonts w:ascii="Verdana" w:hAnsi="Verdana"/>
          <w:sz w:val="16"/>
          <w:szCs w:val="16"/>
          <w:lang w:val="es-CO"/>
        </w:rPr>
      </w:pPr>
    </w:p>
  </w:footnote>
  <w:footnote w:id="11">
    <w:p w14:paraId="07582BBD" w14:textId="77777777" w:rsidR="003467C6" w:rsidRPr="009D3894" w:rsidRDefault="003467C6" w:rsidP="003467C6">
      <w:pPr>
        <w:pStyle w:val="Textonotapie"/>
        <w:ind w:firstLine="708"/>
        <w:jc w:val="both"/>
        <w:rPr>
          <w:rFonts w:ascii="Verdana" w:hAnsi="Verdana"/>
          <w:sz w:val="14"/>
          <w:szCs w:val="14"/>
          <w:lang w:val="es-ES"/>
        </w:rPr>
      </w:pPr>
      <w:r w:rsidRPr="009D3894">
        <w:rPr>
          <w:rStyle w:val="Refdenotaalpie"/>
          <w:rFonts w:ascii="Verdana" w:hAnsi="Verdana"/>
          <w:sz w:val="14"/>
          <w:szCs w:val="14"/>
        </w:rPr>
        <w:footnoteRef/>
      </w:r>
      <w:r w:rsidRPr="009D3894">
        <w:rPr>
          <w:rFonts w:ascii="Verdana" w:hAnsi="Verdana"/>
          <w:sz w:val="14"/>
          <w:szCs w:val="14"/>
        </w:rPr>
        <w:t xml:space="preserve"> El artículo 6° de la Constitución Política prescribe: “</w:t>
      </w:r>
      <w:r w:rsidRPr="009D3894">
        <w:rPr>
          <w:rFonts w:ascii="Verdana" w:hAnsi="Verdana"/>
          <w:sz w:val="14"/>
          <w:szCs w:val="14"/>
          <w:lang w:val="es-CO"/>
        </w:rPr>
        <w:t xml:space="preserve">Los particulares sólo son responsables ante las autoridades por infringir la Constitución y las leyes. Los servidores públicos lo son por la misma causa y por omisión o extralimitación en el ejercicio de sus funciones”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62AC6D" w14:textId="77777777" w:rsidR="003467C6" w:rsidRDefault="003467C6" w:rsidP="00515FB5">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4F351952" wp14:editId="431935A2">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392B4F55" wp14:editId="4D8F54A8">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07DB688" w14:textId="77777777" w:rsidR="003467C6" w:rsidRDefault="003467C6" w:rsidP="00515FB5">
    <w:pPr>
      <w:pStyle w:val="Encabezado"/>
    </w:pPr>
  </w:p>
  <w:p w14:paraId="61D03D38" w14:textId="77777777" w:rsidR="003467C6" w:rsidRDefault="003467C6" w:rsidP="00515FB5">
    <w:pPr>
      <w:pStyle w:val="Encabezado"/>
    </w:pPr>
  </w:p>
  <w:p w14:paraId="0CC987EE" w14:textId="77777777" w:rsidR="003467C6" w:rsidRDefault="003467C6" w:rsidP="00515FB5">
    <w:pPr>
      <w:pStyle w:val="Encabezado"/>
    </w:pPr>
  </w:p>
  <w:p w14:paraId="2A706F3B" w14:textId="77777777" w:rsidR="003467C6" w:rsidRPr="00AB7B56" w:rsidRDefault="003467C6" w:rsidP="00515FB5">
    <w:pPr>
      <w:pStyle w:val="Encabezado"/>
    </w:pPr>
  </w:p>
  <w:p w14:paraId="366805FF" w14:textId="77777777" w:rsidR="003467C6" w:rsidRPr="00515FB5" w:rsidRDefault="003467C6"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3pt;height:11.3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495A4E35"/>
    <w:multiLevelType w:val="hybridMultilevel"/>
    <w:tmpl w:val="2F461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41274352">
    <w:abstractNumId w:val="0"/>
  </w:num>
  <w:num w:numId="2" w16cid:durableId="679089576">
    <w:abstractNumId w:val="1"/>
  </w:num>
  <w:num w:numId="3" w16cid:durableId="390349800">
    <w:abstractNumId w:val="3"/>
  </w:num>
  <w:num w:numId="4" w16cid:durableId="8997472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7C6"/>
    <w:rsid w:val="000F5A42"/>
    <w:rsid w:val="002354F6"/>
    <w:rsid w:val="003467C6"/>
    <w:rsid w:val="003B6207"/>
    <w:rsid w:val="004B3306"/>
    <w:rsid w:val="004D1D1F"/>
    <w:rsid w:val="005C0C21"/>
    <w:rsid w:val="006646EE"/>
    <w:rsid w:val="006F6AD3"/>
    <w:rsid w:val="0090609A"/>
    <w:rsid w:val="009D3894"/>
    <w:rsid w:val="00A07260"/>
    <w:rsid w:val="00A12218"/>
    <w:rsid w:val="00A90678"/>
    <w:rsid w:val="00C162D0"/>
    <w:rsid w:val="00CA005F"/>
    <w:rsid w:val="00F9009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7E2946"/>
  <w15:chartTrackingRefBased/>
  <w15:docId w15:val="{07C718E4-52EC-4457-AA7A-62892F9D0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7C6"/>
    <w:rPr>
      <w:kern w:val="0"/>
      <w14:ligatures w14:val="none"/>
    </w:rPr>
  </w:style>
  <w:style w:type="paragraph" w:styleId="Ttulo1">
    <w:name w:val="heading 1"/>
    <w:basedOn w:val="Normal"/>
    <w:next w:val="Normal"/>
    <w:link w:val="Ttulo1Car"/>
    <w:uiPriority w:val="9"/>
    <w:qFormat/>
    <w:rsid w:val="003467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3467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3467C6"/>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3467C6"/>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3467C6"/>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3467C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467C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467C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467C6"/>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467C6"/>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3467C6"/>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3467C6"/>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3467C6"/>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3467C6"/>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3467C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467C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467C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467C6"/>
    <w:rPr>
      <w:rFonts w:eastAsiaTheme="majorEastAsia" w:cstheme="majorBidi"/>
      <w:color w:val="272727" w:themeColor="text1" w:themeTint="D8"/>
    </w:rPr>
  </w:style>
  <w:style w:type="paragraph" w:styleId="Ttulo">
    <w:name w:val="Title"/>
    <w:basedOn w:val="Normal"/>
    <w:next w:val="Normal"/>
    <w:link w:val="TtuloCar"/>
    <w:uiPriority w:val="10"/>
    <w:qFormat/>
    <w:rsid w:val="003467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467C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467C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467C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467C6"/>
    <w:pPr>
      <w:spacing w:before="160"/>
      <w:jc w:val="center"/>
    </w:pPr>
    <w:rPr>
      <w:i/>
      <w:iCs/>
      <w:color w:val="404040" w:themeColor="text1" w:themeTint="BF"/>
    </w:rPr>
  </w:style>
  <w:style w:type="character" w:customStyle="1" w:styleId="CitaCar">
    <w:name w:val="Cita Car"/>
    <w:basedOn w:val="Fuentedeprrafopredeter"/>
    <w:link w:val="Cita"/>
    <w:uiPriority w:val="29"/>
    <w:rsid w:val="003467C6"/>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3467C6"/>
    <w:pPr>
      <w:ind w:left="720"/>
      <w:contextualSpacing/>
    </w:pPr>
  </w:style>
  <w:style w:type="character" w:styleId="nfasisintenso">
    <w:name w:val="Intense Emphasis"/>
    <w:basedOn w:val="Fuentedeprrafopredeter"/>
    <w:uiPriority w:val="21"/>
    <w:qFormat/>
    <w:rsid w:val="003467C6"/>
    <w:rPr>
      <w:i/>
      <w:iCs/>
      <w:color w:val="0F4761" w:themeColor="accent1" w:themeShade="BF"/>
    </w:rPr>
  </w:style>
  <w:style w:type="paragraph" w:styleId="Citadestacada">
    <w:name w:val="Intense Quote"/>
    <w:basedOn w:val="Normal"/>
    <w:next w:val="Normal"/>
    <w:link w:val="CitadestacadaCar"/>
    <w:uiPriority w:val="30"/>
    <w:qFormat/>
    <w:rsid w:val="003467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3467C6"/>
    <w:rPr>
      <w:i/>
      <w:iCs/>
      <w:color w:val="0F4761" w:themeColor="accent1" w:themeShade="BF"/>
    </w:rPr>
  </w:style>
  <w:style w:type="character" w:styleId="Referenciaintensa">
    <w:name w:val="Intense Reference"/>
    <w:basedOn w:val="Fuentedeprrafopredeter"/>
    <w:uiPriority w:val="32"/>
    <w:qFormat/>
    <w:rsid w:val="003467C6"/>
    <w:rPr>
      <w:b/>
      <w:bCs/>
      <w:smallCaps/>
      <w:color w:val="0F4761" w:themeColor="accent1" w:themeShade="BF"/>
      <w:spacing w:val="5"/>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3467C6"/>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3467C6"/>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3467C6"/>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3467C6"/>
    <w:rPr>
      <w:vertAlign w:val="superscript"/>
    </w:rPr>
  </w:style>
  <w:style w:type="paragraph" w:customStyle="1" w:styleId="Appelnotedebasde">
    <w:name w:val="Appel note de bas de..."/>
    <w:basedOn w:val="Normal"/>
    <w:link w:val="Refdenotaalpie"/>
    <w:uiPriority w:val="99"/>
    <w:rsid w:val="003467C6"/>
    <w:pPr>
      <w:spacing w:line="240" w:lineRule="exact"/>
    </w:pPr>
    <w:rPr>
      <w:kern w:val="2"/>
      <w:vertAlign w:val="superscript"/>
      <w14:ligatures w14:val="standardContextual"/>
    </w:rPr>
  </w:style>
  <w:style w:type="paragraph" w:styleId="Encabezado">
    <w:name w:val="header"/>
    <w:basedOn w:val="Normal"/>
    <w:link w:val="EncabezadoCar"/>
    <w:uiPriority w:val="99"/>
    <w:unhideWhenUsed/>
    <w:rsid w:val="003467C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467C6"/>
    <w:rPr>
      <w:kern w:val="0"/>
      <w14:ligatures w14:val="none"/>
    </w:rPr>
  </w:style>
  <w:style w:type="paragraph" w:styleId="Piedepgina">
    <w:name w:val="footer"/>
    <w:basedOn w:val="Normal"/>
    <w:link w:val="PiedepginaCar"/>
    <w:uiPriority w:val="99"/>
    <w:unhideWhenUsed/>
    <w:rsid w:val="003467C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467C6"/>
    <w:rPr>
      <w:kern w:val="0"/>
      <w14:ligatures w14:val="none"/>
    </w:rPr>
  </w:style>
  <w:style w:type="table" w:styleId="Tablaconcuadrcula">
    <w:name w:val="Table Grid"/>
    <w:basedOn w:val="Tablanormal"/>
    <w:uiPriority w:val="39"/>
    <w:qFormat/>
    <w:rsid w:val="003467C6"/>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3467C6"/>
    <w:rPr>
      <w:color w:val="467886" w:themeColor="hyperlink"/>
      <w:u w:val="single"/>
    </w:rPr>
  </w:style>
  <w:style w:type="character" w:customStyle="1" w:styleId="normaltextrun">
    <w:name w:val="normaltextrun"/>
    <w:basedOn w:val="Fuentedeprrafopredeter"/>
    <w:rsid w:val="003467C6"/>
  </w:style>
  <w:style w:type="character" w:customStyle="1" w:styleId="eop">
    <w:name w:val="eop"/>
    <w:basedOn w:val="Fuentedeprrafopredeter"/>
    <w:rsid w:val="003467C6"/>
  </w:style>
  <w:style w:type="paragraph" w:customStyle="1" w:styleId="paragraph">
    <w:name w:val="paragraph"/>
    <w:basedOn w:val="Normal"/>
    <w:rsid w:val="003467C6"/>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467C6"/>
  </w:style>
  <w:style w:type="paragraph" w:styleId="NormalWeb">
    <w:name w:val="Normal (Web)"/>
    <w:basedOn w:val="Normal"/>
    <w:link w:val="NormalWebCar"/>
    <w:uiPriority w:val="99"/>
    <w:unhideWhenUsed/>
    <w:rsid w:val="003467C6"/>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3467C6"/>
    <w:rPr>
      <w:rFonts w:ascii="Times New Roman" w:eastAsia="Times New Roman" w:hAnsi="Times New Roman" w:cs="Times New Roman"/>
      <w:kern w:val="0"/>
      <w:sz w:val="24"/>
      <w:szCs w:val="24"/>
      <w:lang w:eastAsia="es-CO"/>
      <w14:ligatures w14:val="none"/>
    </w:rPr>
  </w:style>
  <w:style w:type="paragraph" w:styleId="Sinespaciado">
    <w:name w:val="No Spacing"/>
    <w:aliases w:val="No Indent"/>
    <w:uiPriority w:val="3"/>
    <w:qFormat/>
    <w:rsid w:val="003467C6"/>
    <w:pPr>
      <w:spacing w:after="0" w:line="240" w:lineRule="auto"/>
    </w:pPr>
    <w:rPr>
      <w:kern w:val="0"/>
      <w:sz w:val="24"/>
      <w:lang w:val="es-MX"/>
      <w14:ligatures w14:val="none"/>
    </w:rPr>
  </w:style>
  <w:style w:type="character" w:styleId="Mencinsinresolver">
    <w:name w:val="Unresolved Mention"/>
    <w:basedOn w:val="Fuentedeprrafopredeter"/>
    <w:uiPriority w:val="99"/>
    <w:semiHidden/>
    <w:unhideWhenUsed/>
    <w:rsid w:val="003467C6"/>
    <w:rPr>
      <w:color w:val="605E5C"/>
      <w:shd w:val="clear" w:color="auto" w:fill="E1DFDD"/>
    </w:rPr>
  </w:style>
  <w:style w:type="character" w:styleId="Fuerte">
    <w:name w:val="Strong"/>
    <w:basedOn w:val="Fuentedeprrafopredeter"/>
    <w:uiPriority w:val="22"/>
    <w:qFormat/>
    <w:rsid w:val="003467C6"/>
    <w:rPr>
      <w:b/>
      <w:bCs/>
    </w:rPr>
  </w:style>
  <w:style w:type="character" w:styleId="nfasis">
    <w:name w:val="Emphasis"/>
    <w:basedOn w:val="Fuentedeprrafopredeter"/>
    <w:uiPriority w:val="20"/>
    <w:qFormat/>
    <w:rsid w:val="003467C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bjetor4@gmail.com" TargetMode="External"/><Relationship Id="rId13" Type="http://schemas.openxmlformats.org/officeDocument/2006/relationships/hyperlink" Target="http://www.colombiacompra.gov.co" TargetMode="External"/><Relationship Id="rId18"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ustomXml" Target="../customXml/item3.xml"/><Relationship Id="rId7" Type="http://schemas.openxmlformats.org/officeDocument/2006/relationships/image" Target="media/image2.png"/><Relationship Id="rId12"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olombiacompra.gov.co/normativa-y-relatoria/documentos-tipo"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formacionvirtual.colombiacompra.gov.co/mod/page/view.php?id=3718" TargetMode="External"/><Relationship Id="rId19"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hyperlink" Target="https://www.colombiacompra.gov.co/normativa-y-relatoria/conoce-la-relatoria" TargetMode="Externa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1ACB4B0-3746-4579-AF2B-8158C09AE433}"/>
</file>

<file path=customXml/itemProps2.xml><?xml version="1.0" encoding="utf-8"?>
<ds:datastoreItem xmlns:ds="http://schemas.openxmlformats.org/officeDocument/2006/customXml" ds:itemID="{E8FEDC1E-F903-4E76-AA7C-5AAD43369C79}"/>
</file>

<file path=customXml/itemProps3.xml><?xml version="1.0" encoding="utf-8"?>
<ds:datastoreItem xmlns:ds="http://schemas.openxmlformats.org/officeDocument/2006/customXml" ds:itemID="{24D871D3-E2B9-42CD-8EAE-F535252360BE}"/>
</file>

<file path=docProps/app.xml><?xml version="1.0" encoding="utf-8"?>
<Properties xmlns="http://schemas.openxmlformats.org/officeDocument/2006/extended-properties" xmlns:vt="http://schemas.openxmlformats.org/officeDocument/2006/docPropsVTypes">
  <Template>Normal</Template>
  <TotalTime>39</TotalTime>
  <Pages>24</Pages>
  <Words>7748</Words>
  <Characters>41766</Characters>
  <Application>Microsoft Office Word</Application>
  <DocSecurity>0</DocSecurity>
  <Lines>788</Lines>
  <Paragraphs>140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8</cp:revision>
  <dcterms:created xsi:type="dcterms:W3CDTF">2026-02-26T19:33:00Z</dcterms:created>
  <dcterms:modified xsi:type="dcterms:W3CDTF">2026-03-03T21:49:00Z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