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74FAD" w14:textId="77777777" w:rsidR="00CB7F8A" w:rsidRDefault="00CB7F8A" w:rsidP="00697E7D">
      <w:pPr>
        <w:pStyle w:val="Textoindependiente"/>
        <w:spacing w:after="240"/>
        <w:ind w:right="102" w:firstLine="0"/>
        <w:jc w:val="both"/>
        <w:rPr>
          <w:rFonts w:eastAsia="Calibri" w:cs="Arial"/>
          <w:b/>
          <w:bCs/>
        </w:rPr>
      </w:pPr>
      <w:bookmarkStart w:id="0" w:name="_Hlk143780582"/>
      <w:r w:rsidRPr="00CB7F8A">
        <w:rPr>
          <w:rFonts w:eastAsia="Calibri" w:cs="Arial"/>
          <w:b/>
          <w:bCs/>
        </w:rPr>
        <w:t xml:space="preserve">CONTRATO ESTATAL – Criterio orgánico </w:t>
      </w:r>
    </w:p>
    <w:p w14:paraId="717F5F4A" w14:textId="7871691E" w:rsidR="00697E7D" w:rsidRPr="00697E7D" w:rsidRDefault="00697E7D" w:rsidP="00697E7D">
      <w:pPr>
        <w:pStyle w:val="Textoindependiente"/>
        <w:ind w:right="102" w:firstLine="0"/>
        <w:jc w:val="both"/>
        <w:rPr>
          <w:rFonts w:eastAsia="Calibri" w:cs="Arial"/>
          <w:b/>
          <w:bCs/>
          <w:sz w:val="20"/>
          <w:szCs w:val="20"/>
        </w:rPr>
      </w:pPr>
      <w:r w:rsidRPr="00697E7D">
        <w:rPr>
          <w:rFonts w:cs="Arial"/>
          <w:sz w:val="20"/>
          <w:szCs w:val="20"/>
        </w:rPr>
        <w:t>El contrato estatal se identifica por el criterio orgánico o subjetivo, de manera que –como explica el Consejo de Estado– el “[…] elemento esencial para calificar de estatal un contrato, es que haya sido celebrado por una entidad estatal, es decir, una entidad pública con capacidad legal para celebrarlo […]”. Por tanto, es</w:t>
      </w:r>
      <w:r w:rsidRPr="00697E7D">
        <w:rPr>
          <w:rFonts w:eastAsia="Arial" w:cs="Arial"/>
          <w:color w:val="000000"/>
          <w:sz w:val="20"/>
          <w:szCs w:val="20"/>
        </w:rPr>
        <w:t xml:space="preserve"> el acto jurídico creador de obligaciones a cuya celebración concurra una de entidades estatal, independientemente de que se trate de contratos previstos o tipificados en el derecho privado, en disposiciones especiales o que resulten del ejercicio de la autonomía de la voluntad, como sucede con los que se clasifican como atípicos e innominados. Conforme con lo anterior, el contrato estatal es un acuerdo de voluntades efectuado por las entidades públicas que genera, extingue o modifica obligaciones para quienes lo suscriben, cuya celebración no se encuentra limitada, de forma exclusiva, a las entidades referidas en la Ley 80 de 1993, sino que, puede ser suscrito por entidades públicas con regímenes especiales de contratación, caso en el cual se tratará de un contrato estatal de régimen exceptuado</w:t>
      </w:r>
      <w:r w:rsidRPr="00697E7D">
        <w:rPr>
          <w:rFonts w:eastAsia="Arial" w:cs="Arial"/>
          <w:color w:val="000000"/>
          <w:sz w:val="20"/>
          <w:szCs w:val="20"/>
        </w:rPr>
        <w:t>.</w:t>
      </w:r>
    </w:p>
    <w:p w14:paraId="15C1438F" w14:textId="77777777" w:rsidR="00CB7F8A" w:rsidRPr="00CB7F8A" w:rsidRDefault="00CB7F8A" w:rsidP="00CB7F8A">
      <w:pPr>
        <w:pStyle w:val="Textoindependiente"/>
        <w:ind w:right="102" w:firstLine="0"/>
        <w:jc w:val="both"/>
        <w:rPr>
          <w:rFonts w:cs="Arial"/>
          <w:b/>
          <w:bCs/>
          <w:color w:val="000000" w:themeColor="text1"/>
          <w:lang w:val="es-ES_tradnl"/>
        </w:rPr>
      </w:pPr>
    </w:p>
    <w:p w14:paraId="291A6A51" w14:textId="2ED75414" w:rsidR="00CB7F8A" w:rsidRDefault="00CB7F8A" w:rsidP="00AD5FB3">
      <w:pPr>
        <w:pStyle w:val="Textoindependiente"/>
        <w:spacing w:after="240"/>
        <w:ind w:right="102" w:firstLine="0"/>
        <w:jc w:val="both"/>
        <w:rPr>
          <w:rFonts w:cs="Arial"/>
          <w:b/>
          <w:bCs/>
          <w:color w:val="000000" w:themeColor="text1"/>
          <w:lang w:val="es-ES_tradnl"/>
        </w:rPr>
      </w:pPr>
      <w:r w:rsidRPr="00CB7F8A">
        <w:rPr>
          <w:rFonts w:cs="Arial"/>
          <w:b/>
          <w:bCs/>
          <w:color w:val="000000" w:themeColor="text1"/>
          <w:lang w:val="es-ES_tradnl"/>
        </w:rPr>
        <w:t>CONTRATO DE ARRENDAMIENTO – Definición – Características</w:t>
      </w:r>
    </w:p>
    <w:p w14:paraId="4B2D4FD6" w14:textId="77777777" w:rsidR="00AD5FB3" w:rsidRPr="00AD5FB3" w:rsidRDefault="00AD5FB3" w:rsidP="00AD5FB3">
      <w:pPr>
        <w:spacing w:after="120" w:line="240" w:lineRule="auto"/>
        <w:jc w:val="both"/>
        <w:rPr>
          <w:rFonts w:ascii="Verdana" w:eastAsia="Calibri" w:hAnsi="Verdana" w:cs="Arial"/>
          <w:color w:val="000000" w:themeColor="text1"/>
          <w:sz w:val="20"/>
          <w:szCs w:val="20"/>
        </w:rPr>
      </w:pPr>
      <w:r w:rsidRPr="00AD5FB3">
        <w:rPr>
          <w:rFonts w:ascii="Verdana" w:eastAsia="Calibri" w:hAnsi="Verdana" w:cs="Arial"/>
          <w:color w:val="000000" w:themeColor="text1"/>
          <w:sz w:val="20"/>
          <w:szCs w:val="20"/>
        </w:rPr>
        <w:t>Bajo este marco de integración normativa, resulta procedente acudir a las definiciones contenidas en el derecho civil para la caracterización de aquellas figuras contractuales que, aun no estando expresamente tipificadas en el Estatuto General de Contratación de la Administración Pública, pueden ser utilizadas por las entidades estatales. Así, 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 un acuerdo de voluntades en virtud del cual una de las partes llamada -</w:t>
      </w:r>
      <w:r w:rsidRPr="00AD5FB3">
        <w:rPr>
          <w:rFonts w:ascii="Verdana" w:hAnsi="Verdana" w:cs="Arial"/>
          <w:color w:val="000000" w:themeColor="text1"/>
          <w:sz w:val="20"/>
          <w:szCs w:val="20"/>
          <w:lang w:val="es-ES_tradnl"/>
        </w:rPr>
        <w:t xml:space="preserve">arrendador o arrendadora– se obliga a concederle a otra -llamada arrendatario o arrendataria– el uso y goce de un bien, a cambio de una renta o canon, diferenciándose del contrato de compraventa en que no opera una transferencia </w:t>
      </w:r>
      <w:r w:rsidRPr="00AD5FB3">
        <w:rPr>
          <w:rFonts w:ascii="Verdana" w:eastAsia="Calibri" w:hAnsi="Verdana" w:cs="Arial"/>
          <w:color w:val="000000" w:themeColor="text1"/>
          <w:sz w:val="20"/>
          <w:szCs w:val="20"/>
        </w:rPr>
        <w:t>del dominio del bien cuyo uso y goce se entrega.</w:t>
      </w:r>
    </w:p>
    <w:p w14:paraId="245C9A50" w14:textId="77777777" w:rsidR="00AD5FB3" w:rsidRPr="00AD5FB3" w:rsidRDefault="00AD5FB3" w:rsidP="00AD5FB3">
      <w:pPr>
        <w:spacing w:after="120" w:line="240" w:lineRule="auto"/>
        <w:jc w:val="both"/>
        <w:rPr>
          <w:rFonts w:ascii="Verdana" w:eastAsia="Calibri" w:hAnsi="Verdana" w:cs="Arial"/>
          <w:color w:val="000000" w:themeColor="text1"/>
          <w:sz w:val="20"/>
          <w:szCs w:val="20"/>
        </w:rPr>
      </w:pPr>
      <w:r w:rsidRPr="00AD5FB3">
        <w:rPr>
          <w:rFonts w:ascii="Verdana" w:eastAsia="Calibri" w:hAnsi="Verdana" w:cs="Arial"/>
          <w:color w:val="000000" w:themeColor="text1"/>
          <w:sz w:val="20"/>
          <w:szCs w:val="20"/>
        </w:rPr>
        <w:t>En cuanto a sus características</w:t>
      </w:r>
      <w:r w:rsidRPr="00AD5FB3">
        <w:rPr>
          <w:rFonts w:ascii="Verdana" w:hAnsi="Verdana" w:cs="Arial"/>
          <w:color w:val="000000" w:themeColor="text1"/>
          <w:sz w:val="20"/>
          <w:szCs w:val="20"/>
          <w:lang w:val="es-ES_tradnl"/>
        </w:rPr>
        <w:t>, la doctrina ha indicado que el arrendamiento es un contrato</w:t>
      </w:r>
      <w:r w:rsidRPr="00AD5FB3">
        <w:rPr>
          <w:rFonts w:ascii="Verdana" w:eastAsia="Calibri" w:hAnsi="Verdana"/>
          <w:color w:val="000000" w:themeColor="text1"/>
          <w:sz w:val="20"/>
          <w:szCs w:val="20"/>
        </w:rPr>
        <w:t xml:space="preserve">: i) bilateral, pues ambas partes se obligan recíprocamente; </w:t>
      </w:r>
      <w:proofErr w:type="spellStart"/>
      <w:r w:rsidRPr="00AD5FB3">
        <w:rPr>
          <w:rFonts w:ascii="Verdana" w:eastAsia="Calibri" w:hAnsi="Verdana"/>
          <w:color w:val="000000" w:themeColor="text1"/>
          <w:sz w:val="20"/>
          <w:szCs w:val="20"/>
        </w:rPr>
        <w:t>ii</w:t>
      </w:r>
      <w:proofErr w:type="spellEnd"/>
      <w:r w:rsidRPr="00AD5FB3">
        <w:rPr>
          <w:rFonts w:ascii="Verdana" w:eastAsia="Calibri" w:hAnsi="Verdana"/>
          <w:color w:val="000000" w:themeColor="text1"/>
          <w:sz w:val="20"/>
          <w:szCs w:val="20"/>
        </w:rPr>
        <w:t xml:space="preserve">) consensual, dado que se perfecciona con el consentimiento ; </w:t>
      </w:r>
      <w:proofErr w:type="spellStart"/>
      <w:r w:rsidRPr="00AD5FB3">
        <w:rPr>
          <w:rFonts w:ascii="Verdana" w:eastAsia="Calibri" w:hAnsi="Verdana"/>
          <w:color w:val="000000" w:themeColor="text1"/>
          <w:sz w:val="20"/>
          <w:szCs w:val="20"/>
        </w:rPr>
        <w:t>iii</w:t>
      </w:r>
      <w:proofErr w:type="spellEnd"/>
      <w:r w:rsidRPr="00AD5FB3">
        <w:rPr>
          <w:rFonts w:ascii="Verdana" w:eastAsia="Calibri" w:hAnsi="Verdana"/>
          <w:color w:val="000000" w:themeColor="text1"/>
          <w:sz w:val="20"/>
          <w:szCs w:val="20"/>
        </w:rPr>
        <w:t xml:space="preserve">) oneroso, ya que ambas partes obtienen utilidades –el arrendatario, el uso y goce del bien, y el arrendador la renta o canon; </w:t>
      </w:r>
      <w:proofErr w:type="spellStart"/>
      <w:r w:rsidRPr="00AD5FB3">
        <w:rPr>
          <w:rFonts w:ascii="Verdana" w:eastAsia="Calibri" w:hAnsi="Verdana"/>
          <w:color w:val="000000" w:themeColor="text1"/>
          <w:sz w:val="20"/>
          <w:szCs w:val="20"/>
        </w:rPr>
        <w:t>iv</w:t>
      </w:r>
      <w:proofErr w:type="spellEnd"/>
      <w:r w:rsidRPr="00AD5FB3">
        <w:rPr>
          <w:rFonts w:ascii="Verdana" w:eastAsia="Calibri" w:hAnsi="Verdana"/>
          <w:color w:val="000000" w:themeColor="text1"/>
          <w:sz w:val="20"/>
          <w:szCs w:val="20"/>
        </w:rPr>
        <w:t xml:space="preserve">) de ejecución sucesiva, en la </w:t>
      </w:r>
      <w:r w:rsidRPr="00AD5FB3">
        <w:rPr>
          <w:rFonts w:ascii="Verdana" w:eastAsia="Calibri" w:hAnsi="Verdana" w:cs="Arial"/>
          <w:color w:val="000000" w:themeColor="text1"/>
          <w:sz w:val="20"/>
          <w:szCs w:val="20"/>
        </w:rPr>
        <w:t>medida en que se ejecuta en forma periódica; v) principal, porque existe en forma autónoma; y v) nominado, porque está tipificado y desarrollado en la ley.</w:t>
      </w:r>
    </w:p>
    <w:p w14:paraId="1B920097" w14:textId="77777777" w:rsidR="00AD5FB3" w:rsidRPr="00CB7F8A" w:rsidRDefault="00AD5FB3" w:rsidP="00CB7F8A">
      <w:pPr>
        <w:pStyle w:val="Textoindependiente"/>
        <w:ind w:right="102" w:firstLine="0"/>
        <w:jc w:val="both"/>
        <w:rPr>
          <w:rFonts w:cs="Arial"/>
          <w:b/>
          <w:bCs/>
          <w:color w:val="000000" w:themeColor="text1"/>
          <w:lang w:val="es-ES_tradnl"/>
        </w:rPr>
      </w:pPr>
    </w:p>
    <w:p w14:paraId="39D3D4E9" w14:textId="77777777" w:rsidR="00CB7F8A" w:rsidRDefault="00CB7F8A">
      <w:pPr>
        <w:rPr>
          <w:rFonts w:ascii="Verdana" w:eastAsia="Verdana" w:hAnsi="Verdana" w:cs="Verdana"/>
        </w:rPr>
      </w:pPr>
      <w:r>
        <w:rPr>
          <w:rFonts w:ascii="Verdana" w:eastAsia="Verdana" w:hAnsi="Verdana" w:cs="Verdana"/>
        </w:rPr>
        <w:br w:type="page"/>
      </w:r>
    </w:p>
    <w:p w14:paraId="1468C46D" w14:textId="010F0F8A" w:rsidR="00C15139" w:rsidRPr="00B6436E" w:rsidRDefault="00332261" w:rsidP="00321609">
      <w:pPr>
        <w:spacing w:after="0" w:line="240" w:lineRule="auto"/>
        <w:rPr>
          <w:rFonts w:ascii="Verdana" w:eastAsia="Verdana" w:hAnsi="Verdana" w:cs="Verdana"/>
        </w:rPr>
      </w:pPr>
      <w:r w:rsidRPr="00332261">
        <w:rPr>
          <w:rFonts w:ascii="Verdana" w:hAnsi="Verdana"/>
          <w:noProof/>
        </w:rPr>
        <w:lastRenderedPageBreak/>
        <w:drawing>
          <wp:anchor distT="0" distB="0" distL="114300" distR="114300" simplePos="0" relativeHeight="251659264" behindDoc="1" locked="0" layoutInCell="1" allowOverlap="1" wp14:anchorId="342750E2" wp14:editId="34F2CD19">
            <wp:simplePos x="0" y="0"/>
            <wp:positionH relativeFrom="margin">
              <wp:posOffset>3174090</wp:posOffset>
            </wp:positionH>
            <wp:positionV relativeFrom="paragraph">
              <wp:posOffset>34027</wp:posOffset>
            </wp:positionV>
            <wp:extent cx="2342623" cy="647402"/>
            <wp:effectExtent l="0" t="0" r="635" b="635"/>
            <wp:wrapNone/>
            <wp:docPr id="8449266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42623" cy="64740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00B6436E">
        <w:rPr>
          <w:rFonts w:ascii="Verdana" w:eastAsia="Verdana" w:hAnsi="Verdana" w:cs="Verdana"/>
        </w:rPr>
        <w:t>Bogotá D.C.</w:t>
      </w:r>
      <w:r w:rsidR="00321609" w:rsidRPr="00B6436E">
        <w:rPr>
          <w:rFonts w:ascii="Verdana" w:eastAsia="Verdana" w:hAnsi="Verdana" w:cs="Verdana"/>
        </w:rPr>
        <w:t xml:space="preserve">, </w:t>
      </w:r>
      <w:r w:rsidR="00321609" w:rsidRPr="00321609">
        <w:rPr>
          <w:rFonts w:ascii="Verdana" w:eastAsia="Verdana" w:hAnsi="Verdana" w:cs="Verdana"/>
        </w:rPr>
        <w:t xml:space="preserve">27 </w:t>
      </w:r>
      <w:proofErr w:type="gramStart"/>
      <w:r w:rsidR="00321609" w:rsidRPr="00321609">
        <w:rPr>
          <w:rFonts w:ascii="Verdana" w:eastAsia="Verdana" w:hAnsi="Verdana" w:cs="Verdana"/>
        </w:rPr>
        <w:t>Febrero</w:t>
      </w:r>
      <w:proofErr w:type="gramEnd"/>
      <w:r w:rsidR="00321609" w:rsidRPr="00321609">
        <w:rPr>
          <w:rFonts w:ascii="Verdana" w:eastAsia="Verdana" w:hAnsi="Verdana" w:cs="Verdana"/>
        </w:rPr>
        <w:t xml:space="preserve"> 2026</w:t>
      </w:r>
      <w:r w:rsidR="00C15139" w:rsidRPr="00B6436E">
        <w:rPr>
          <w:rFonts w:ascii="Verdana" w:hAnsi="Verdana"/>
        </w:rPr>
        <w:tab/>
      </w:r>
      <w:r w:rsidR="00C15139" w:rsidRPr="00B6436E">
        <w:rPr>
          <w:rFonts w:ascii="Verdana" w:hAnsi="Verdana"/>
        </w:rPr>
        <w:br/>
      </w:r>
      <w:r w:rsidR="00C15139" w:rsidRPr="00B6436E">
        <w:rPr>
          <w:rFonts w:ascii="Verdana" w:hAnsi="Verdana"/>
        </w:rPr>
        <w:tab/>
      </w:r>
    </w:p>
    <w:p w14:paraId="3C6742A2" w14:textId="77777777" w:rsidR="00964309" w:rsidRPr="00B6436E" w:rsidRDefault="00964309" w:rsidP="00B6436E">
      <w:pPr>
        <w:spacing w:after="0" w:line="240" w:lineRule="auto"/>
        <w:jc w:val="both"/>
        <w:rPr>
          <w:rFonts w:ascii="Verdana" w:eastAsia="Calibri" w:hAnsi="Verdana" w:cs="Arial"/>
          <w:lang w:eastAsia="es-ES"/>
        </w:rPr>
      </w:pPr>
      <w:r w:rsidRPr="00B6436E">
        <w:rPr>
          <w:rFonts w:ascii="Verdana" w:eastAsia="Calibri" w:hAnsi="Verdana" w:cs="Arial"/>
          <w:lang w:eastAsia="es-ES"/>
        </w:rPr>
        <w:t>Señora</w:t>
      </w:r>
    </w:p>
    <w:p w14:paraId="6074191E" w14:textId="77777777" w:rsidR="00964309" w:rsidRPr="00B6436E" w:rsidRDefault="00964309" w:rsidP="00B6436E">
      <w:pPr>
        <w:spacing w:after="0" w:line="240" w:lineRule="auto"/>
        <w:rPr>
          <w:rFonts w:ascii="Verdana" w:eastAsia="Calibri" w:hAnsi="Verdana" w:cs="Arial"/>
          <w:b/>
          <w:bCs/>
          <w:lang w:eastAsia="es-ES"/>
        </w:rPr>
      </w:pPr>
      <w:r w:rsidRPr="00B6436E">
        <w:rPr>
          <w:rFonts w:ascii="Verdana" w:eastAsia="Calibri" w:hAnsi="Verdana" w:cs="Times New Roman"/>
          <w:b/>
          <w:bCs/>
        </w:rPr>
        <w:t>Sonia Lorena Moreno Gil</w:t>
      </w:r>
      <w:r w:rsidRPr="00B6436E">
        <w:rPr>
          <w:rFonts w:ascii="Verdana" w:eastAsia="Calibri" w:hAnsi="Verdana" w:cs="Times New Roman"/>
          <w:b/>
          <w:bCs/>
        </w:rPr>
        <w:tab/>
      </w:r>
    </w:p>
    <w:p w14:paraId="60F46CB0" w14:textId="77777777" w:rsidR="00964309" w:rsidRPr="00B6436E" w:rsidRDefault="00964309" w:rsidP="00B6436E">
      <w:pPr>
        <w:spacing w:after="0" w:line="240" w:lineRule="auto"/>
        <w:rPr>
          <w:rFonts w:ascii="Verdana" w:hAnsi="Verdana"/>
        </w:rPr>
      </w:pPr>
      <w:hyperlink r:id="rId12" w:history="1">
        <w:r w:rsidRPr="00B6436E">
          <w:rPr>
            <w:rStyle w:val="Hipervnculo"/>
            <w:rFonts w:ascii="Verdana" w:hAnsi="Verdana"/>
          </w:rPr>
          <w:t>sonia.lorena.moreno2018@gmail.com</w:t>
        </w:r>
      </w:hyperlink>
    </w:p>
    <w:p w14:paraId="1BFA7F25" w14:textId="77777777" w:rsidR="00964309" w:rsidRPr="00B6436E" w:rsidRDefault="00964309" w:rsidP="00B6436E">
      <w:pPr>
        <w:spacing w:after="0" w:line="240" w:lineRule="auto"/>
        <w:rPr>
          <w:rFonts w:ascii="Verdana" w:eastAsia="Calibri" w:hAnsi="Verdana" w:cs="Times New Roman"/>
        </w:rPr>
      </w:pPr>
      <w:r w:rsidRPr="00B6436E">
        <w:rPr>
          <w:rFonts w:ascii="Verdana" w:eastAsia="Calibri" w:hAnsi="Verdana" w:cs="Times New Roman"/>
        </w:rPr>
        <w:t>Ciudad</w:t>
      </w:r>
    </w:p>
    <w:p w14:paraId="5149A574" w14:textId="77777777" w:rsidR="00964309" w:rsidRPr="00B6436E" w:rsidRDefault="00964309" w:rsidP="00B6436E">
      <w:pPr>
        <w:spacing w:after="0" w:line="240" w:lineRule="auto"/>
        <w:rPr>
          <w:rFonts w:ascii="Verdana" w:eastAsia="Calibri" w:hAnsi="Verdana" w:cs="Arial"/>
          <w:b/>
          <w:bCs/>
          <w:color w:val="000000"/>
          <w:lang w:eastAsia="es-ES_tradnl"/>
        </w:rPr>
      </w:pPr>
    </w:p>
    <w:p w14:paraId="115D29FC" w14:textId="77777777" w:rsidR="00964309" w:rsidRPr="00B6436E" w:rsidRDefault="00964309" w:rsidP="00B6436E">
      <w:pPr>
        <w:spacing w:after="0" w:line="240" w:lineRule="auto"/>
        <w:rPr>
          <w:rFonts w:ascii="Verdana" w:eastAsia="Calibri" w:hAnsi="Verdana" w:cs="Arial"/>
          <w:b/>
          <w:bCs/>
          <w:lang w:eastAsia="es-ES"/>
        </w:rPr>
      </w:pPr>
      <w:r w:rsidRPr="00B6436E">
        <w:rPr>
          <w:rFonts w:ascii="Verdana" w:eastAsia="Calibri" w:hAnsi="Verdana" w:cs="Arial"/>
          <w:b/>
          <w:bCs/>
          <w:lang w:eastAsia="es-ES"/>
        </w:rPr>
        <w:t xml:space="preserve">                                    Concepto C – 073 de 2026</w:t>
      </w:r>
    </w:p>
    <w:p w14:paraId="3E207007" w14:textId="77777777" w:rsidR="00964309" w:rsidRPr="00B6436E" w:rsidRDefault="00964309" w:rsidP="00B6436E">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64309" w:rsidRPr="00B6436E" w14:paraId="39A15694" w14:textId="77777777" w:rsidTr="00ED1B57">
        <w:trPr>
          <w:trHeight w:val="884"/>
        </w:trPr>
        <w:tc>
          <w:tcPr>
            <w:tcW w:w="2689" w:type="dxa"/>
          </w:tcPr>
          <w:p w14:paraId="7D76A151" w14:textId="77777777" w:rsidR="00964309" w:rsidRPr="00B6436E" w:rsidRDefault="00964309" w:rsidP="00B6436E">
            <w:pPr>
              <w:jc w:val="both"/>
              <w:rPr>
                <w:rFonts w:ascii="Verdana" w:eastAsia="Calibri" w:hAnsi="Verdana" w:cs="Arial"/>
                <w:color w:val="000000"/>
                <w:lang w:eastAsia="es-ES_tradnl"/>
              </w:rPr>
            </w:pPr>
            <w:r w:rsidRPr="00B6436E">
              <w:rPr>
                <w:rFonts w:ascii="Verdana" w:eastAsia="Calibri" w:hAnsi="Verdana" w:cs="Arial"/>
                <w:b/>
                <w:color w:val="000000"/>
                <w:lang w:eastAsia="es-ES_tradnl"/>
              </w:rPr>
              <w:t>Temas:</w:t>
            </w:r>
            <w:r w:rsidRPr="00B6436E">
              <w:rPr>
                <w:rFonts w:ascii="Verdana" w:eastAsia="Calibri" w:hAnsi="Verdana" w:cs="Arial"/>
                <w:color w:val="000000"/>
                <w:lang w:eastAsia="es-ES_tradnl"/>
              </w:rPr>
              <w:t xml:space="preserve">                   </w:t>
            </w:r>
          </w:p>
        </w:tc>
        <w:tc>
          <w:tcPr>
            <w:tcW w:w="6100" w:type="dxa"/>
          </w:tcPr>
          <w:p w14:paraId="4B17AC64" w14:textId="77777777" w:rsidR="00964309" w:rsidRPr="00B6436E" w:rsidRDefault="00964309" w:rsidP="00B6436E">
            <w:pPr>
              <w:pStyle w:val="Textoindependiente"/>
              <w:ind w:right="102" w:firstLine="0"/>
              <w:jc w:val="both"/>
              <w:rPr>
                <w:rFonts w:cs="Arial"/>
                <w:b/>
                <w:color w:val="000000" w:themeColor="text1"/>
                <w:lang w:val="es-ES_tradnl"/>
              </w:rPr>
            </w:pPr>
            <w:r w:rsidRPr="00B6436E">
              <w:rPr>
                <w:rFonts w:eastAsia="Calibri" w:cs="Arial"/>
              </w:rPr>
              <w:t xml:space="preserve">CONTRATO ESTATAL – Criterio orgánico / </w:t>
            </w:r>
            <w:r w:rsidRPr="00B6436E">
              <w:rPr>
                <w:rFonts w:cs="Arial"/>
                <w:bCs/>
                <w:color w:val="000000" w:themeColor="text1"/>
                <w:lang w:val="es-ES_tradnl"/>
              </w:rPr>
              <w:t>CONTRATO DE ARRENDAMIENTO – Definición – Características</w:t>
            </w:r>
          </w:p>
          <w:p w14:paraId="5B46791E" w14:textId="77777777" w:rsidR="00964309" w:rsidRPr="00B6436E" w:rsidRDefault="00964309" w:rsidP="00B6436E">
            <w:pPr>
              <w:jc w:val="both"/>
              <w:rPr>
                <w:rFonts w:ascii="Verdana" w:eastAsia="Calibri" w:hAnsi="Verdana" w:cs="Arial"/>
                <w:lang w:eastAsia="es-ES"/>
              </w:rPr>
            </w:pPr>
          </w:p>
        </w:tc>
      </w:tr>
      <w:tr w:rsidR="00964309" w:rsidRPr="00B6436E" w14:paraId="6F03604A" w14:textId="77777777" w:rsidTr="00ED1B57">
        <w:tc>
          <w:tcPr>
            <w:tcW w:w="2689" w:type="dxa"/>
          </w:tcPr>
          <w:p w14:paraId="7D834E11" w14:textId="77777777" w:rsidR="00964309" w:rsidRPr="00B6436E" w:rsidRDefault="00964309" w:rsidP="00B6436E">
            <w:pPr>
              <w:jc w:val="both"/>
              <w:rPr>
                <w:rFonts w:ascii="Verdana" w:eastAsia="Calibri" w:hAnsi="Verdana" w:cs="Arial"/>
                <w:b/>
                <w:lang w:eastAsia="es-ES_tradnl"/>
              </w:rPr>
            </w:pPr>
            <w:r w:rsidRPr="00B6436E">
              <w:rPr>
                <w:rFonts w:ascii="Verdana" w:eastAsia="Calibri" w:hAnsi="Verdana" w:cs="Arial"/>
                <w:b/>
                <w:lang w:eastAsia="es-ES_tradnl"/>
              </w:rPr>
              <w:t xml:space="preserve"> Radicación:</w:t>
            </w:r>
            <w:r w:rsidRPr="00B6436E">
              <w:rPr>
                <w:rFonts w:ascii="Verdana" w:eastAsia="Calibri" w:hAnsi="Verdana" w:cs="Arial"/>
                <w:lang w:eastAsia="es-ES_tradnl"/>
              </w:rPr>
              <w:t xml:space="preserve">               </w:t>
            </w:r>
          </w:p>
        </w:tc>
        <w:tc>
          <w:tcPr>
            <w:tcW w:w="6100" w:type="dxa"/>
          </w:tcPr>
          <w:p w14:paraId="3156EE5E" w14:textId="77777777" w:rsidR="00964309" w:rsidRPr="00B6436E" w:rsidRDefault="00964309" w:rsidP="00B6436E">
            <w:pPr>
              <w:jc w:val="both"/>
              <w:rPr>
                <w:rFonts w:ascii="Verdana" w:eastAsia="Calibri" w:hAnsi="Verdana" w:cs="Arial"/>
                <w:lang w:eastAsia="es-ES_tradnl"/>
              </w:rPr>
            </w:pPr>
            <w:r w:rsidRPr="00B6436E">
              <w:rPr>
                <w:rFonts w:ascii="Verdana" w:eastAsia="Calibri" w:hAnsi="Verdana" w:cs="Arial"/>
                <w:lang w:eastAsia="es-ES_tradnl"/>
              </w:rPr>
              <w:t>Respuesta a consultas con radicado No. 1_2026_01_21_000606</w:t>
            </w:r>
          </w:p>
        </w:tc>
      </w:tr>
    </w:tbl>
    <w:p w14:paraId="6F91F668" w14:textId="77777777" w:rsidR="00964309" w:rsidRPr="00B6436E" w:rsidRDefault="00964309" w:rsidP="00B6436E">
      <w:pPr>
        <w:spacing w:after="0" w:line="240" w:lineRule="auto"/>
        <w:jc w:val="both"/>
        <w:rPr>
          <w:rFonts w:ascii="Verdana" w:eastAsia="Calibri" w:hAnsi="Verdana" w:cs="Arial"/>
          <w:color w:val="000000"/>
          <w:lang w:eastAsia="es-ES_tradnl"/>
        </w:rPr>
      </w:pPr>
    </w:p>
    <w:p w14:paraId="4DA6F9FA" w14:textId="77777777" w:rsidR="00964309" w:rsidRPr="00B6436E" w:rsidRDefault="00964309" w:rsidP="00B6436E">
      <w:pPr>
        <w:spacing w:after="0" w:line="276" w:lineRule="auto"/>
        <w:jc w:val="both"/>
        <w:rPr>
          <w:rFonts w:ascii="Verdana" w:eastAsia="Calibri" w:hAnsi="Verdana" w:cs="Arial"/>
          <w:color w:val="000000"/>
          <w:lang w:eastAsia="es-ES_tradnl"/>
        </w:rPr>
      </w:pPr>
    </w:p>
    <w:p w14:paraId="19D0D1F3" w14:textId="77777777" w:rsidR="00964309" w:rsidRPr="00D22F9B" w:rsidRDefault="00964309" w:rsidP="00B6436E">
      <w:pPr>
        <w:spacing w:after="0" w:line="276" w:lineRule="auto"/>
        <w:jc w:val="both"/>
        <w:rPr>
          <w:rFonts w:ascii="Verdana" w:eastAsia="Calibri" w:hAnsi="Verdana" w:cs="Arial"/>
          <w:lang w:eastAsia="es-ES"/>
        </w:rPr>
      </w:pPr>
      <w:r w:rsidRPr="00D22F9B">
        <w:rPr>
          <w:rFonts w:ascii="Verdana" w:eastAsia="Calibri" w:hAnsi="Verdana" w:cs="Arial"/>
          <w:lang w:eastAsia="es-ES"/>
        </w:rPr>
        <w:t>Estimad</w:t>
      </w:r>
      <w:r>
        <w:rPr>
          <w:rFonts w:ascii="Verdana" w:eastAsia="Calibri" w:hAnsi="Verdana" w:cs="Arial"/>
          <w:lang w:eastAsia="es-ES"/>
        </w:rPr>
        <w:t>a señora Moreno, cordial saludo</w:t>
      </w:r>
    </w:p>
    <w:p w14:paraId="7B1320DB" w14:textId="77777777" w:rsidR="00964309" w:rsidRPr="00D22F9B" w:rsidRDefault="00964309" w:rsidP="00B6436E">
      <w:pPr>
        <w:tabs>
          <w:tab w:val="left" w:pos="3768"/>
        </w:tabs>
        <w:spacing w:after="0" w:line="276" w:lineRule="auto"/>
        <w:jc w:val="both"/>
        <w:rPr>
          <w:rFonts w:ascii="Verdana" w:eastAsia="Calibri" w:hAnsi="Verdana" w:cs="Arial"/>
          <w:color w:val="000000"/>
          <w:lang w:eastAsia="es-ES"/>
        </w:rPr>
      </w:pPr>
      <w:r w:rsidRPr="00D22F9B">
        <w:rPr>
          <w:rFonts w:ascii="Verdana" w:eastAsia="Calibri" w:hAnsi="Verdana" w:cs="Arial"/>
          <w:color w:val="000000"/>
          <w:lang w:eastAsia="es-ES"/>
        </w:rPr>
        <w:tab/>
      </w:r>
    </w:p>
    <w:p w14:paraId="27E059A3" w14:textId="76CFC465" w:rsidR="00964309" w:rsidRDefault="00964309" w:rsidP="00B6436E">
      <w:pPr>
        <w:spacing w:after="0" w:line="276" w:lineRule="auto"/>
        <w:jc w:val="both"/>
        <w:rPr>
          <w:rFonts w:ascii="Verdana" w:eastAsia="Calibri" w:hAnsi="Verdana" w:cs="Arial"/>
          <w:i/>
          <w:iCs/>
          <w:lang w:eastAsia="es-ES"/>
        </w:rPr>
      </w:pPr>
      <w:r w:rsidRPr="00D22F9B">
        <w:rPr>
          <w:rFonts w:ascii="Verdana" w:eastAsia="Calibri" w:hAnsi="Verdana" w:cs="Arial"/>
          <w:color w:val="000000"/>
          <w:lang w:eastAsia="es-ES"/>
        </w:rPr>
        <w:t>En ejercicio de la competencia otorgada por los artículos 3, numeral 5º, y 11, numeral 8º, del Decreto Ley 4170 de 2011,</w:t>
      </w:r>
      <w:r w:rsidRPr="00D22F9B">
        <w:rPr>
          <w:rFonts w:ascii="Verdana" w:eastAsia="Arial MT" w:hAnsi="Verdana" w:cs="Arial MT"/>
          <w:lang w:eastAsia="es-ES"/>
        </w:rPr>
        <w:t xml:space="preserve"> </w:t>
      </w:r>
      <w:r w:rsidRPr="00D22F9B">
        <w:rPr>
          <w:rFonts w:ascii="Verdana" w:eastAsia="Calibri" w:hAnsi="Verdana" w:cs="Arial"/>
        </w:rPr>
        <w:t xml:space="preserve">así como lo establecido en el artículo 4 de la Resolución 1707 de 2018 expedida por esta Entidad, </w:t>
      </w:r>
      <w:r w:rsidRPr="00D22F9B">
        <w:rPr>
          <w:rFonts w:ascii="Verdana" w:eastAsia="Calibri" w:hAnsi="Verdana" w:cs="Arial"/>
          <w:color w:val="000000"/>
          <w:lang w:eastAsia="es-ES"/>
        </w:rPr>
        <w:t>la Agencia Nacional de Contratación Pública – Colombia Compra Eficiente responde su solicitud de concepto del 2</w:t>
      </w:r>
      <w:r>
        <w:rPr>
          <w:rFonts w:ascii="Verdana" w:eastAsia="Calibri" w:hAnsi="Verdana" w:cs="Arial"/>
          <w:color w:val="000000"/>
          <w:lang w:eastAsia="es-ES"/>
        </w:rPr>
        <w:t>1</w:t>
      </w:r>
      <w:r w:rsidRPr="00D22F9B">
        <w:rPr>
          <w:rFonts w:ascii="Verdana" w:eastAsia="Calibri" w:hAnsi="Verdana" w:cs="Arial"/>
          <w:color w:val="000000"/>
          <w:lang w:eastAsia="es-ES"/>
        </w:rPr>
        <w:t xml:space="preserve"> de </w:t>
      </w:r>
      <w:r>
        <w:rPr>
          <w:rFonts w:ascii="Verdana" w:eastAsia="Calibri" w:hAnsi="Verdana" w:cs="Arial"/>
          <w:color w:val="000000"/>
          <w:lang w:eastAsia="es-ES"/>
        </w:rPr>
        <w:t>enero</w:t>
      </w:r>
      <w:r w:rsidRPr="00D22F9B">
        <w:rPr>
          <w:rFonts w:ascii="Verdana" w:eastAsia="Calibri" w:hAnsi="Verdana" w:cs="Arial"/>
          <w:color w:val="000000"/>
          <w:lang w:eastAsia="es-ES"/>
        </w:rPr>
        <w:t xml:space="preserve"> de 202</w:t>
      </w:r>
      <w:r>
        <w:rPr>
          <w:rFonts w:ascii="Verdana" w:eastAsia="Calibri" w:hAnsi="Verdana" w:cs="Arial"/>
          <w:color w:val="000000"/>
          <w:lang w:eastAsia="es-ES"/>
        </w:rPr>
        <w:t>6</w:t>
      </w:r>
      <w:r w:rsidRPr="00D22F9B">
        <w:rPr>
          <w:rFonts w:ascii="Verdana" w:eastAsia="Calibri" w:hAnsi="Verdana" w:cs="Arial"/>
          <w:color w:val="000000"/>
          <w:lang w:eastAsia="es-ES"/>
        </w:rPr>
        <w:t>,</w:t>
      </w:r>
      <w:r w:rsidRPr="00D22F9B">
        <w:rPr>
          <w:rFonts w:ascii="Verdana" w:eastAsia="Calibri" w:hAnsi="Verdana" w:cs="Arial"/>
          <w:lang w:eastAsia="es-ES"/>
        </w:rPr>
        <w:t xml:space="preserve"> en la que manifiesta lo siguiente:</w:t>
      </w:r>
      <w:r w:rsidRPr="00D22F9B">
        <w:rPr>
          <w:rFonts w:ascii="Verdana" w:eastAsia="Calibri" w:hAnsi="Verdana" w:cs="Arial"/>
          <w:i/>
          <w:iCs/>
          <w:lang w:eastAsia="es-ES"/>
        </w:rPr>
        <w:t xml:space="preserve"> </w:t>
      </w:r>
      <w:bookmarkStart w:id="1" w:name="_Hlk95313578"/>
    </w:p>
    <w:p w14:paraId="1BAE480F" w14:textId="77777777" w:rsidR="00B6436E" w:rsidRPr="00D22F9B" w:rsidRDefault="00B6436E" w:rsidP="00B6436E">
      <w:pPr>
        <w:spacing w:after="0" w:line="276" w:lineRule="auto"/>
        <w:jc w:val="both"/>
        <w:rPr>
          <w:rFonts w:ascii="Verdana" w:eastAsia="Calibri" w:hAnsi="Verdana" w:cs="Arial"/>
          <w:i/>
          <w:iCs/>
          <w:lang w:eastAsia="es-ES"/>
        </w:rPr>
      </w:pPr>
    </w:p>
    <w:p w14:paraId="673B2A06" w14:textId="3BBAF3D7" w:rsidR="00964309" w:rsidRPr="00B6436E" w:rsidRDefault="00964309" w:rsidP="00B6436E">
      <w:pPr>
        <w:spacing w:after="0" w:line="276" w:lineRule="auto"/>
        <w:ind w:left="709" w:right="709"/>
        <w:jc w:val="both"/>
        <w:rPr>
          <w:rFonts w:ascii="Verdana" w:eastAsia="Arial" w:hAnsi="Verdana" w:cs="Arial"/>
          <w:i/>
          <w:color w:val="000000"/>
          <w:sz w:val="20"/>
          <w:szCs w:val="20"/>
        </w:rPr>
      </w:pPr>
      <w:r w:rsidRPr="003F28DE">
        <w:rPr>
          <w:rFonts w:ascii="Verdana" w:eastAsia="Arial" w:hAnsi="Verdana" w:cs="Arial"/>
          <w:i/>
          <w:color w:val="000000"/>
          <w:sz w:val="20"/>
          <w:szCs w:val="20"/>
        </w:rPr>
        <w:t>“</w:t>
      </w:r>
      <w:bookmarkEnd w:id="1"/>
      <w:r w:rsidRPr="003F28DE">
        <w:rPr>
          <w:rFonts w:ascii="Verdana" w:eastAsia="Arial" w:hAnsi="Verdana" w:cs="Arial"/>
          <w:i/>
          <w:color w:val="000000"/>
          <w:sz w:val="20"/>
          <w:szCs w:val="20"/>
        </w:rPr>
        <w:t>Quisiera saber cuando se presentan conflictos con ocasión a los contratos de arrendamiento en los municipios</w:t>
      </w:r>
      <w:r w:rsidR="00B6436E">
        <w:rPr>
          <w:rFonts w:ascii="Verdana" w:eastAsia="Arial" w:hAnsi="Verdana" w:cs="Arial"/>
          <w:i/>
          <w:color w:val="000000"/>
          <w:sz w:val="20"/>
          <w:szCs w:val="20"/>
        </w:rPr>
        <w:t xml:space="preserve"> </w:t>
      </w:r>
      <w:r w:rsidRPr="003F28DE">
        <w:rPr>
          <w:rFonts w:ascii="Verdana" w:eastAsia="Arial" w:hAnsi="Verdana" w:cs="Arial"/>
          <w:i/>
          <w:color w:val="000000"/>
          <w:sz w:val="20"/>
          <w:szCs w:val="20"/>
        </w:rPr>
        <w:t>Quien es el competente para atender dichos conflictos en el orden municipal. Es competencia de las</w:t>
      </w:r>
      <w:r w:rsidR="00B6436E">
        <w:rPr>
          <w:rFonts w:ascii="Verdana" w:eastAsia="Arial" w:hAnsi="Verdana" w:cs="Arial"/>
          <w:i/>
          <w:color w:val="000000"/>
          <w:sz w:val="20"/>
          <w:szCs w:val="20"/>
        </w:rPr>
        <w:t xml:space="preserve"> </w:t>
      </w:r>
      <w:r w:rsidRPr="003F28DE">
        <w:rPr>
          <w:rFonts w:ascii="Verdana" w:eastAsia="Arial" w:hAnsi="Verdana" w:cs="Arial"/>
          <w:i/>
          <w:color w:val="000000"/>
          <w:sz w:val="20"/>
          <w:szCs w:val="20"/>
        </w:rPr>
        <w:t xml:space="preserve">Inspecciones de Policía o de la </w:t>
      </w:r>
      <w:proofErr w:type="spellStart"/>
      <w:r w:rsidRPr="003F28DE">
        <w:rPr>
          <w:rFonts w:ascii="Verdana" w:eastAsia="Arial" w:hAnsi="Verdana" w:cs="Arial"/>
          <w:i/>
          <w:color w:val="000000"/>
          <w:sz w:val="20"/>
          <w:szCs w:val="20"/>
        </w:rPr>
        <w:t>Personeria</w:t>
      </w:r>
      <w:proofErr w:type="spellEnd"/>
      <w:r w:rsidRPr="003F28DE">
        <w:rPr>
          <w:rFonts w:ascii="Verdana" w:eastAsia="Arial" w:hAnsi="Verdana" w:cs="Arial"/>
          <w:i/>
          <w:color w:val="000000"/>
          <w:sz w:val="20"/>
          <w:szCs w:val="20"/>
        </w:rPr>
        <w:t xml:space="preserve"> Municipal o que entidad teniendo en cuenta que en algunas ocasiones se ven afectados adultos mayores O niños. Lo anterior teniendo en cuenta que las personerías no tienen competencia para conciliar.”</w:t>
      </w:r>
    </w:p>
    <w:p w14:paraId="63C82575" w14:textId="77777777" w:rsidR="00964309" w:rsidRPr="00D22F9B" w:rsidRDefault="00964309" w:rsidP="00964309">
      <w:pPr>
        <w:spacing w:after="0" w:line="276" w:lineRule="auto"/>
        <w:ind w:right="709"/>
        <w:jc w:val="both"/>
        <w:rPr>
          <w:rFonts w:ascii="Verdana" w:eastAsia="Aptos" w:hAnsi="Verdana" w:cs="Times New Roman"/>
          <w:kern w:val="2"/>
          <w14:ligatures w14:val="standardContextual"/>
        </w:rPr>
      </w:pPr>
    </w:p>
    <w:p w14:paraId="1051EE52" w14:textId="77777777" w:rsidR="00964309" w:rsidRPr="00D22F9B" w:rsidRDefault="00964309" w:rsidP="00964309">
      <w:pPr>
        <w:spacing w:after="120" w:line="276" w:lineRule="auto"/>
        <w:jc w:val="both"/>
        <w:rPr>
          <w:rFonts w:ascii="Verdana" w:eastAsia="Calibri" w:hAnsi="Verdana" w:cs="Arial"/>
          <w:color w:val="000000"/>
          <w:lang w:eastAsia="es-ES"/>
        </w:rPr>
      </w:pPr>
      <w:r w:rsidRPr="00D22F9B">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D22F9B">
        <w:rPr>
          <w:rFonts w:ascii="Verdana" w:eastAsia="Calibri" w:hAnsi="Verdana" w:cs="Arial"/>
          <w:color w:val="000000"/>
          <w:lang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r w:rsidRPr="00D22F9B">
        <w:rPr>
          <w:rFonts w:ascii="Verdana" w:eastAsia="Calibri" w:hAnsi="Verdana" w:cs="Arial"/>
          <w:color w:val="000000"/>
          <w:lang w:eastAsia="es-ES_tradnl"/>
        </w:rPr>
        <w:tab/>
      </w:r>
    </w:p>
    <w:p w14:paraId="32307A16" w14:textId="40B5E94C" w:rsidR="00964309" w:rsidRDefault="00964309" w:rsidP="004B62F6">
      <w:pPr>
        <w:spacing w:after="0" w:line="276" w:lineRule="auto"/>
        <w:jc w:val="both"/>
        <w:rPr>
          <w:rFonts w:ascii="Verdana" w:eastAsia="Calibri" w:hAnsi="Verdana" w:cs="Arial"/>
          <w:b/>
          <w:bCs/>
          <w:color w:val="000000"/>
          <w:lang w:eastAsia="es-ES"/>
        </w:rPr>
      </w:pPr>
      <w:r w:rsidRPr="00D22F9B">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D22F9B">
        <w:rPr>
          <w:rFonts w:ascii="Verdana" w:eastAsia="Calibri" w:hAnsi="Verdana" w:cs="Arial"/>
          <w:color w:val="7030A0"/>
          <w:lang w:eastAsia="es-ES"/>
        </w:rPr>
        <w:t xml:space="preserve"> </w:t>
      </w:r>
      <w:r w:rsidRPr="00D22F9B">
        <w:rPr>
          <w:rFonts w:ascii="Verdana" w:eastAsia="Calibri" w:hAnsi="Verdana" w:cs="Arial"/>
          <w:color w:val="000000"/>
          <w:lang w:eastAsia="es-ES"/>
        </w:rPr>
        <w:t>problemas</w:t>
      </w:r>
      <w:r w:rsidRPr="00D22F9B">
        <w:rPr>
          <w:rFonts w:ascii="Verdana" w:eastAsia="Calibri" w:hAnsi="Verdana" w:cs="Arial"/>
          <w:color w:val="7030A0"/>
          <w:lang w:eastAsia="es-ES"/>
        </w:rPr>
        <w:t xml:space="preserve"> </w:t>
      </w:r>
      <w:r w:rsidRPr="00D22F9B">
        <w:rPr>
          <w:rFonts w:ascii="Verdana" w:eastAsia="Calibri" w:hAnsi="Verdana" w:cs="Arial"/>
          <w:color w:val="000000"/>
          <w:lang w:eastAsia="es-ES"/>
        </w:rPr>
        <w:t>jurídicos</w:t>
      </w:r>
      <w:r w:rsidRPr="00D22F9B">
        <w:rPr>
          <w:rFonts w:ascii="Verdana" w:eastAsia="Calibri" w:hAnsi="Verdana" w:cs="Arial"/>
          <w:color w:val="7030A0"/>
          <w:lang w:eastAsia="es-ES"/>
        </w:rPr>
        <w:t xml:space="preserve"> </w:t>
      </w:r>
      <w:r w:rsidRPr="00D22F9B">
        <w:rPr>
          <w:rFonts w:ascii="Verdana" w:eastAsia="Calibri" w:hAnsi="Verdana" w:cs="Arial"/>
          <w:color w:val="000000"/>
          <w:lang w:eastAsia="es-ES"/>
        </w:rPr>
        <w:t>de su consulta.</w:t>
      </w:r>
      <w:r w:rsidRPr="002A396D">
        <w:rPr>
          <w:rFonts w:ascii="Verdana" w:eastAsia="Calibri" w:hAnsi="Verdana" w:cs="Arial"/>
          <w:b/>
          <w:bCs/>
          <w:color w:val="000000"/>
          <w:lang w:eastAsia="es-ES"/>
        </w:rPr>
        <w:t xml:space="preserve"> </w:t>
      </w:r>
    </w:p>
    <w:p w14:paraId="1DC3DEDB" w14:textId="77777777" w:rsidR="004B62F6" w:rsidRPr="002A396D" w:rsidRDefault="004B62F6" w:rsidP="001620C5">
      <w:pPr>
        <w:spacing w:after="0" w:line="276" w:lineRule="auto"/>
        <w:jc w:val="both"/>
        <w:rPr>
          <w:rFonts w:ascii="Verdana" w:eastAsia="Calibri" w:hAnsi="Verdana" w:cs="Arial"/>
          <w:b/>
          <w:bCs/>
          <w:color w:val="000000"/>
          <w:lang w:eastAsia="es-ES"/>
        </w:rPr>
      </w:pPr>
    </w:p>
    <w:p w14:paraId="08C85D9C" w14:textId="4F16F1BE" w:rsidR="00964309" w:rsidRPr="001620C5" w:rsidRDefault="00964309" w:rsidP="001620C5">
      <w:pPr>
        <w:pStyle w:val="Prrafodelista"/>
        <w:numPr>
          <w:ilvl w:val="0"/>
          <w:numId w:val="18"/>
        </w:numPr>
        <w:tabs>
          <w:tab w:val="left" w:pos="142"/>
          <w:tab w:val="left" w:pos="284"/>
        </w:tabs>
        <w:spacing w:after="0" w:line="276" w:lineRule="auto"/>
        <w:ind w:left="360"/>
        <w:contextualSpacing w:val="0"/>
        <w:jc w:val="both"/>
        <w:rPr>
          <w:rFonts w:ascii="Verdana" w:eastAsia="Century Gothic" w:hAnsi="Verdana" w:cs="Century Gothic"/>
          <w:b/>
          <w:bCs/>
        </w:rPr>
      </w:pPr>
      <w:r w:rsidRPr="001620C5">
        <w:rPr>
          <w:rFonts w:ascii="Verdana" w:eastAsia="Century Gothic" w:hAnsi="Verdana" w:cs="Century Gothic"/>
          <w:b/>
          <w:bCs/>
        </w:rPr>
        <w:t>Problema planteado:</w:t>
      </w:r>
    </w:p>
    <w:p w14:paraId="09BBE552" w14:textId="77777777" w:rsidR="00964309" w:rsidRPr="002A396D" w:rsidRDefault="00964309" w:rsidP="001620C5">
      <w:pPr>
        <w:tabs>
          <w:tab w:val="left" w:pos="142"/>
          <w:tab w:val="left" w:pos="284"/>
        </w:tabs>
        <w:spacing w:after="0" w:line="276" w:lineRule="auto"/>
        <w:ind w:left="360"/>
        <w:jc w:val="both"/>
        <w:rPr>
          <w:rFonts w:ascii="Verdana" w:eastAsia="Century Gothic" w:hAnsi="Verdana" w:cs="Century Gothic"/>
        </w:rPr>
      </w:pPr>
    </w:p>
    <w:p w14:paraId="08591E62" w14:textId="35206010" w:rsidR="00964309" w:rsidRDefault="00964309" w:rsidP="004B62F6">
      <w:pPr>
        <w:spacing w:after="0" w:line="276" w:lineRule="auto"/>
        <w:jc w:val="both"/>
        <w:rPr>
          <w:rFonts w:ascii="Verdana" w:eastAsia="Century Gothic" w:hAnsi="Verdana" w:cs="Century Gothic"/>
        </w:rPr>
      </w:pPr>
      <w:r w:rsidRPr="00D22F9B">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D22F9B">
        <w:rPr>
          <w:rFonts w:ascii="Verdana" w:eastAsia="Century Gothic" w:hAnsi="Verdana" w:cs="Century Gothic"/>
        </w:rPr>
        <w:t xml:space="preserve"> siguiente problema jurídico</w:t>
      </w:r>
      <w:r>
        <w:rPr>
          <w:rFonts w:ascii="Verdana" w:eastAsia="Century Gothic" w:hAnsi="Verdana" w:cs="Century Gothic"/>
        </w:rPr>
        <w:t>: ¿</w:t>
      </w:r>
      <w:r w:rsidRPr="00144B44">
        <w:rPr>
          <w:rFonts w:ascii="Verdana" w:eastAsia="Century Gothic" w:hAnsi="Verdana" w:cs="Century Gothic"/>
        </w:rPr>
        <w:t>Bajo qué criteri</w:t>
      </w:r>
      <w:r>
        <w:rPr>
          <w:rFonts w:ascii="Verdana" w:eastAsia="Century Gothic" w:hAnsi="Verdana" w:cs="Century Gothic"/>
        </w:rPr>
        <w:t xml:space="preserve">o </w:t>
      </w:r>
      <w:r w:rsidRPr="00144B44">
        <w:rPr>
          <w:rFonts w:ascii="Verdana" w:eastAsia="Century Gothic" w:hAnsi="Verdana" w:cs="Century Gothic"/>
        </w:rPr>
        <w:t xml:space="preserve">se determina la naturaleza estatal del contrato de arrendamiento celebrado por una entidad pública y, en consecuencia, la jurisdicción competente para conocer de las controversias que se deriven de </w:t>
      </w:r>
      <w:r>
        <w:rPr>
          <w:rFonts w:ascii="Verdana" w:eastAsia="Century Gothic" w:hAnsi="Verdana" w:cs="Century Gothic"/>
        </w:rPr>
        <w:t>este?</w:t>
      </w:r>
    </w:p>
    <w:p w14:paraId="36121743" w14:textId="77777777" w:rsidR="004B62F6" w:rsidRPr="00D22F9B" w:rsidRDefault="004B62F6" w:rsidP="001620C5">
      <w:pPr>
        <w:spacing w:after="0" w:line="276" w:lineRule="auto"/>
        <w:jc w:val="both"/>
        <w:rPr>
          <w:rFonts w:ascii="Verdana" w:eastAsia="Calibri" w:hAnsi="Verdana" w:cs="Arial"/>
          <w:color w:val="7030A0"/>
        </w:rPr>
      </w:pPr>
    </w:p>
    <w:p w14:paraId="5DEF53CA" w14:textId="77777777" w:rsidR="00964309" w:rsidRPr="00D22F9B" w:rsidRDefault="00964309" w:rsidP="001620C5">
      <w:pPr>
        <w:numPr>
          <w:ilvl w:val="0"/>
          <w:numId w:val="16"/>
        </w:numPr>
        <w:tabs>
          <w:tab w:val="left" w:pos="142"/>
          <w:tab w:val="left" w:pos="284"/>
        </w:tabs>
        <w:spacing w:after="0" w:line="276" w:lineRule="auto"/>
        <w:jc w:val="both"/>
        <w:rPr>
          <w:rFonts w:ascii="Verdana" w:eastAsia="Century Gothic" w:hAnsi="Verdana" w:cs="Century Gothic"/>
          <w:b/>
          <w:bCs/>
        </w:rPr>
      </w:pPr>
      <w:r w:rsidRPr="00D22F9B">
        <w:rPr>
          <w:rFonts w:ascii="Verdana" w:eastAsia="Century Gothic" w:hAnsi="Verdana" w:cs="Century Gothic"/>
          <w:b/>
          <w:bCs/>
        </w:rPr>
        <w:t>Respuestas:</w:t>
      </w:r>
    </w:p>
    <w:p w14:paraId="416E6372" w14:textId="77777777" w:rsidR="00964309" w:rsidRPr="00D22F9B" w:rsidRDefault="00964309" w:rsidP="004B62F6">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64309" w:rsidRPr="00D22F9B" w14:paraId="5708F72A" w14:textId="77777777" w:rsidTr="00ED1B57">
        <w:trPr>
          <w:jc w:val="center"/>
        </w:trPr>
        <w:tc>
          <w:tcPr>
            <w:tcW w:w="8828" w:type="dxa"/>
          </w:tcPr>
          <w:p w14:paraId="42E9D7F1" w14:textId="77777777" w:rsidR="00964309" w:rsidRDefault="00964309" w:rsidP="004B62F6">
            <w:pPr>
              <w:spacing w:after="160" w:line="276" w:lineRule="auto"/>
              <w:jc w:val="both"/>
              <w:rPr>
                <w:rFonts w:ascii="Verdana" w:eastAsia="Aptos" w:hAnsi="Verdana" w:cs="Times New Roman"/>
              </w:rPr>
            </w:pPr>
            <w:bookmarkStart w:id="2" w:name="_Hlk171694685"/>
            <w:r>
              <w:rPr>
                <w:rFonts w:ascii="Verdana" w:eastAsia="Aptos" w:hAnsi="Verdana" w:cs="Times New Roman"/>
              </w:rPr>
              <w:t>Dando alcance a su consulta, es menester manifestar que d</w:t>
            </w:r>
            <w:r w:rsidRPr="00C74123">
              <w:rPr>
                <w:rFonts w:ascii="Verdana" w:eastAsia="Aptos" w:hAnsi="Verdana" w:cs="Times New Roman"/>
              </w:rPr>
              <w:t>e conformidad con el inciso final del artículo 150 de la Constitución Política, corresponde al Congreso de la República expedir el Estatuto General de Contratación de la Administración Pública, competencia ejercida mediante la Ley 80 de 1993. Dicho estatuto es aplicable a las entidades estatales definidas en el artículo 2 de la citada ley, las cuales comprenden tanto aquellas que cuentan con personería jurídica como aquellas autoridades que, aun careciendo de ella, han sido dotadas por el ordenamiento jurídico de capacidad para celebrar contratos. En este contexto, la naturaleza estatal del contrato se determina con fundamento en un criterio orgánico o subjetivo, esto es, por la participación de una entidad estatal en su celebración, con independencia del régimen jurídico que gobierne el contenido obligacional del negocio.</w:t>
            </w:r>
          </w:p>
          <w:p w14:paraId="200E15FD" w14:textId="77777777" w:rsidR="00964309" w:rsidRDefault="00964309" w:rsidP="001620C5">
            <w:pPr>
              <w:spacing w:after="160" w:line="276" w:lineRule="auto"/>
              <w:ind w:firstLine="709"/>
              <w:jc w:val="both"/>
              <w:rPr>
                <w:rFonts w:ascii="Verdana" w:eastAsia="Aptos" w:hAnsi="Verdana" w:cs="Times New Roman"/>
              </w:rPr>
            </w:pPr>
            <w:r w:rsidRPr="00C74123">
              <w:rPr>
                <w:rFonts w:ascii="Verdana" w:eastAsia="Aptos" w:hAnsi="Verdana" w:cs="Times New Roman"/>
              </w:rPr>
              <w:t xml:space="preserve">En cuanto a las modalidades de selección, las entidades sometidas al Estatuto General de Contratación de la Administración Pública deben observar, como regla general, la licitación pública, conforme a lo dispuesto en el artículo 2 de la Ley 1150 de 2007, salvo que una disposición especial autorice la aplicación de otra modalidad. Dentro de las excepciones previstas por el </w:t>
            </w:r>
            <w:r w:rsidRPr="00C74123">
              <w:rPr>
                <w:rFonts w:ascii="Verdana" w:eastAsia="Aptos" w:hAnsi="Verdana" w:cs="Times New Roman"/>
              </w:rPr>
              <w:lastRenderedPageBreak/>
              <w:t>legislador se encuentra la contratación directa para el arrendamiento o adquisición de inmuebles, consagrada en el artículo 2, numeral 4, literal i) de la Ley 1150 de 2007, siempre que la entidad se rija por el EGCAP, sin perjuicio del cumplimiento de los principios que orientan la función administrativa y la gestión contractual.</w:t>
            </w:r>
          </w:p>
          <w:p w14:paraId="576E51CB" w14:textId="77777777" w:rsidR="00964309" w:rsidRDefault="00964309" w:rsidP="001620C5">
            <w:pPr>
              <w:spacing w:after="160" w:line="276" w:lineRule="auto"/>
              <w:ind w:firstLine="709"/>
              <w:jc w:val="both"/>
              <w:rPr>
                <w:rFonts w:ascii="Verdana" w:eastAsia="Aptos" w:hAnsi="Verdana" w:cs="Times New Roman"/>
              </w:rPr>
            </w:pPr>
            <w:r w:rsidRPr="00C74123">
              <w:rPr>
                <w:rFonts w:ascii="Verdana" w:eastAsia="Aptos" w:hAnsi="Verdana" w:cs="Times New Roman"/>
              </w:rPr>
              <w:t>Ahora bien, si bien el contrato de arrendamiento no se encuentra expresamente tipificado en el artículo 32 de la Ley 80 de 1993, ello no impide su utilización por las entidades estatales, en virtud del principio de integración normativa previsto en el artículo 13 del mismo estatuto. En consecuencia, a esta figura contractual le resultan aplicables las normas civiles y comerciales que la regulan, particularmente las contenidas en el Código Civil, el Código de Comercio y las disposiciones especiales vigentes. Desde esta perspectiva, el arrendamiento se configura como un acuerdo de voluntades mediante el cual una de las partes concede el uso y goce de un bien a otra, a cambio de un canon, sin que exista transferencia del dominio.</w:t>
            </w:r>
          </w:p>
          <w:p w14:paraId="3E44AC24" w14:textId="77777777" w:rsidR="00964309" w:rsidRDefault="00964309" w:rsidP="001620C5">
            <w:pPr>
              <w:spacing w:after="160" w:line="276" w:lineRule="auto"/>
              <w:ind w:firstLine="709"/>
              <w:jc w:val="both"/>
              <w:rPr>
                <w:rFonts w:ascii="Verdana" w:eastAsia="Aptos" w:hAnsi="Verdana" w:cs="Times New Roman"/>
              </w:rPr>
            </w:pPr>
            <w:r w:rsidRPr="00C74123">
              <w:rPr>
                <w:rFonts w:ascii="Verdana" w:eastAsia="Aptos" w:hAnsi="Verdana" w:cs="Times New Roman"/>
              </w:rPr>
              <w:t xml:space="preserve">Finalmente, cuando una entidad estatal celebra un contrato de arrendamiento, dicho negocio jurídico tiene la naturaleza de contrato estatal, en atención al criterio subjetivo adoptado por el legislador. En consecuencia, las controversias que se deriven de su celebración, ejecución, interpretación o terminación corresponden, en principio, a la jurisdicción de lo contencioso-administrativo, de conformidad con lo dispuesto en los artículos 75 de la Ley 80 de 1993 y 104 del Código de Procedimiento Administrativo y de lo Contencioso Administrativo. </w:t>
            </w:r>
          </w:p>
          <w:p w14:paraId="11DFF00E" w14:textId="44184C9E" w:rsidR="00964309" w:rsidRPr="00D22F9B" w:rsidRDefault="00964309" w:rsidP="001620C5">
            <w:pPr>
              <w:spacing w:line="276" w:lineRule="auto"/>
              <w:ind w:firstLine="709"/>
              <w:jc w:val="both"/>
              <w:rPr>
                <w:rFonts w:ascii="Verdana" w:eastAsia="Aptos" w:hAnsi="Verdana" w:cs="Times New Roman"/>
              </w:rPr>
            </w:pPr>
            <w:r w:rsidRPr="00C74123">
              <w:rPr>
                <w:rFonts w:ascii="Verdana" w:eastAsia="Aptos" w:hAnsi="Verdana" w:cs="Times New Roman"/>
              </w:rPr>
              <w:t>Lo anterior se expone a título de orientación general, en tanto la determinación de la modalidad de selección y de las condiciones específicas del negocio jurídico debe efectuarse por cada entidad en el marco de su procedimiento contractual concreto, sin que por vía consultiva esta Agencia defina criterios de carácter universal o vinculante.</w:t>
            </w:r>
          </w:p>
        </w:tc>
      </w:tr>
    </w:tbl>
    <w:p w14:paraId="0DFEFB4D" w14:textId="77777777" w:rsidR="00964309" w:rsidRPr="00D22F9B" w:rsidRDefault="00964309" w:rsidP="00964309">
      <w:pPr>
        <w:tabs>
          <w:tab w:val="left" w:pos="142"/>
          <w:tab w:val="left" w:pos="284"/>
        </w:tabs>
        <w:spacing w:after="0" w:line="276" w:lineRule="auto"/>
        <w:jc w:val="both"/>
        <w:rPr>
          <w:rFonts w:ascii="Verdana" w:eastAsia="Century Gothic" w:hAnsi="Verdana" w:cs="Century Gothic"/>
          <w:b/>
          <w:bCs/>
        </w:rPr>
      </w:pPr>
    </w:p>
    <w:bookmarkEnd w:id="2"/>
    <w:p w14:paraId="09FB61D0" w14:textId="77777777" w:rsidR="00964309" w:rsidRDefault="00964309" w:rsidP="00964309">
      <w:pPr>
        <w:numPr>
          <w:ilvl w:val="0"/>
          <w:numId w:val="16"/>
        </w:numPr>
        <w:tabs>
          <w:tab w:val="left" w:pos="142"/>
          <w:tab w:val="left" w:pos="284"/>
        </w:tabs>
        <w:spacing w:after="0" w:line="276" w:lineRule="auto"/>
        <w:jc w:val="both"/>
        <w:rPr>
          <w:rFonts w:ascii="Verdana" w:eastAsia="Century Gothic" w:hAnsi="Verdana" w:cs="Century Gothic"/>
          <w:b/>
          <w:bCs/>
        </w:rPr>
      </w:pPr>
      <w:r w:rsidRPr="00D22F9B">
        <w:rPr>
          <w:rFonts w:ascii="Verdana" w:eastAsia="Century Gothic" w:hAnsi="Verdana" w:cs="Century Gothic"/>
          <w:b/>
          <w:bCs/>
        </w:rPr>
        <w:t>Razones de las respuestas:</w:t>
      </w:r>
    </w:p>
    <w:p w14:paraId="0BE41BD1" w14:textId="77777777" w:rsidR="00964309" w:rsidRDefault="00964309" w:rsidP="00964309">
      <w:pPr>
        <w:tabs>
          <w:tab w:val="left" w:pos="142"/>
          <w:tab w:val="left" w:pos="284"/>
        </w:tabs>
        <w:spacing w:after="0" w:line="276" w:lineRule="auto"/>
        <w:ind w:left="360"/>
        <w:jc w:val="both"/>
        <w:rPr>
          <w:rFonts w:ascii="Verdana" w:eastAsia="Century Gothic" w:hAnsi="Verdana" w:cs="Century Gothic"/>
          <w:b/>
          <w:bCs/>
        </w:rPr>
      </w:pPr>
    </w:p>
    <w:p w14:paraId="490BDDB1" w14:textId="77777777" w:rsidR="00964309" w:rsidRPr="00666B6A" w:rsidRDefault="00964309" w:rsidP="001620C5">
      <w:pPr>
        <w:spacing w:after="120" w:line="276" w:lineRule="auto"/>
        <w:jc w:val="both"/>
        <w:rPr>
          <w:rFonts w:ascii="Verdana" w:hAnsi="Verdana" w:cs="Arial"/>
          <w:lang w:val="es-ES"/>
        </w:rPr>
      </w:pPr>
      <w:r w:rsidRPr="00666B6A">
        <w:rPr>
          <w:rFonts w:ascii="Verdana" w:hAnsi="Verdana" w:cs="Arial"/>
          <w:lang w:val="es-ES"/>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666B6A">
        <w:rPr>
          <w:rFonts w:ascii="Verdana" w:hAnsi="Verdana" w:cs="Arial"/>
          <w:i/>
          <w:iCs/>
          <w:lang w:val="es-ES"/>
        </w:rPr>
        <w:t>entidades estatales</w:t>
      </w:r>
      <w:r w:rsidRPr="00666B6A">
        <w:rPr>
          <w:rFonts w:ascii="Verdana" w:hAnsi="Verdana" w:cs="Arial"/>
          <w:lang w:val="es-ES"/>
        </w:rPr>
        <w:t xml:space="preserve">, esto es, aquellas previstas en los literales a) y b) del numeral 1 del </w:t>
      </w:r>
      <w:r w:rsidRPr="00666B6A">
        <w:rPr>
          <w:rFonts w:ascii="Verdana" w:hAnsi="Verdana" w:cs="Arial"/>
          <w:lang w:val="es-ES"/>
        </w:rPr>
        <w:lastRenderedPageBreak/>
        <w:t xml:space="preserve">artículo 2 </w:t>
      </w:r>
      <w:r w:rsidRPr="00666B6A">
        <w:rPr>
          <w:rFonts w:ascii="Verdana" w:hAnsi="Verdana" w:cs="Arial"/>
          <w:i/>
          <w:iCs/>
          <w:lang w:val="es-ES"/>
        </w:rPr>
        <w:t>ibidem</w:t>
      </w:r>
      <w:r w:rsidRPr="00666B6A">
        <w:rPr>
          <w:rFonts w:ascii="Verdana" w:hAnsi="Verdana" w:cs="Arial"/>
          <w:lang w:val="es-ES"/>
        </w:rPr>
        <w:t xml:space="preserve">. La norma citada define la competencia contractual en los siguientes términos: </w:t>
      </w:r>
    </w:p>
    <w:p w14:paraId="6744B50D" w14:textId="77777777" w:rsidR="00964309" w:rsidRPr="00666B6A" w:rsidRDefault="00964309" w:rsidP="00964309">
      <w:pPr>
        <w:spacing w:after="120" w:line="276" w:lineRule="auto"/>
        <w:ind w:firstLine="708"/>
        <w:jc w:val="both"/>
        <w:rPr>
          <w:rFonts w:ascii="Verdana" w:hAnsi="Verdana" w:cs="Arial"/>
          <w:lang w:val="es-ES"/>
        </w:rPr>
      </w:pPr>
      <w:r w:rsidRPr="00666B6A">
        <w:rPr>
          <w:rFonts w:ascii="Verdana" w:hAnsi="Verdana" w:cs="Arial"/>
          <w:lang w:val="es-ES"/>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51E2A730" w14:textId="77777777" w:rsidR="00964309" w:rsidRPr="00666B6A" w:rsidRDefault="00964309" w:rsidP="00964309">
      <w:pPr>
        <w:spacing w:after="120" w:line="276" w:lineRule="auto"/>
        <w:ind w:firstLine="708"/>
        <w:jc w:val="both"/>
        <w:rPr>
          <w:rFonts w:ascii="Verdana" w:hAnsi="Verdana" w:cs="Arial"/>
          <w:lang w:val="es-ES"/>
        </w:rPr>
      </w:pPr>
      <w:r w:rsidRPr="00666B6A">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w:t>
      </w:r>
      <w:r>
        <w:rPr>
          <w:rFonts w:ascii="Verdana" w:hAnsi="Verdana" w:cs="Arial"/>
          <w:lang w:val="es-ES"/>
        </w:rPr>
        <w:t xml:space="preserve"> Ley</w:t>
      </w:r>
      <w:r w:rsidRPr="00666B6A">
        <w:rPr>
          <w:rFonts w:ascii="Verdana" w:hAnsi="Verdana" w:cs="Arial"/>
          <w:lang w:val="es-ES"/>
        </w:rPr>
        <w:t xml:space="preserve"> 111 de 1996, modificado por el artículo 124 de la Ley 1957 de 2019</w:t>
      </w:r>
      <w:r w:rsidRPr="00666B6A">
        <w:rPr>
          <w:rStyle w:val="Refdenotaalpie"/>
          <w:rFonts w:ascii="Verdana" w:hAnsi="Verdana" w:cs="Arial"/>
          <w:lang w:val="es-ES"/>
        </w:rPr>
        <w:footnoteReference w:id="1"/>
      </w:r>
      <w:r w:rsidRPr="00666B6A">
        <w:rPr>
          <w:rFonts w:ascii="Verdana" w:hAnsi="Verdana" w:cs="Arial"/>
          <w:lang w:val="es-ES"/>
        </w:rPr>
        <w:t xml:space="preserve">. </w:t>
      </w:r>
    </w:p>
    <w:p w14:paraId="7F34B2C0" w14:textId="77777777" w:rsidR="00964309" w:rsidRPr="00D60700" w:rsidRDefault="00964309" w:rsidP="00964309">
      <w:pPr>
        <w:spacing w:after="120" w:line="276" w:lineRule="auto"/>
        <w:ind w:firstLine="708"/>
        <w:jc w:val="both"/>
        <w:rPr>
          <w:rFonts w:ascii="Verdana" w:hAnsi="Verdana" w:cs="Arial"/>
          <w:lang w:val="es-ES"/>
        </w:rPr>
      </w:pPr>
      <w:r w:rsidRPr="00666B6A">
        <w:rPr>
          <w:rFonts w:ascii="Verdana" w:hAnsi="Verdana" w:cs="Arial"/>
          <w:lang w:val="es-ES"/>
        </w:rPr>
        <w:t xml:space="preserve">Para las entidades de los párrafos anteriores, sin perjuicio de las excepciones puntales a la aplicación del EGCAP, los procesos de selección se rigen por el artículo 2 de la Ley 1150 de 2007. El </w:t>
      </w:r>
      <w:r w:rsidRPr="00666B6A">
        <w:rPr>
          <w:rFonts w:ascii="Verdana" w:hAnsi="Verdana" w:cs="Arial"/>
          <w:bCs/>
          <w:lang w:val="es-MX"/>
        </w:rPr>
        <w:t xml:space="preserve">numeral uno, inciso primero, 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que se señalan en los numerales </w:t>
      </w:r>
      <w:r w:rsidRPr="00666B6A">
        <w:rPr>
          <w:rFonts w:ascii="Verdana" w:hAnsi="Verdana" w:cs="Arial"/>
          <w:bCs/>
          <w:lang w:val="es-MX"/>
        </w:rPr>
        <w:lastRenderedPageBreak/>
        <w:t>2, 3 y 4 del presente artículo” (Énfasis fuera de texto), norma que sustituye el derogado numeral 1 del artículo 24 de la Ley 80 de 1993 sobre el principio de transparencia</w:t>
      </w:r>
      <w:r w:rsidRPr="00666B6A">
        <w:rPr>
          <w:rFonts w:ascii="Verdana" w:hAnsi="Verdana" w:cs="Arial"/>
          <w:bCs/>
          <w:vertAlign w:val="superscript"/>
          <w:lang w:val="es-MX"/>
        </w:rPr>
        <w:footnoteReference w:id="2"/>
      </w:r>
      <w:r w:rsidRPr="00666B6A">
        <w:rPr>
          <w:rFonts w:ascii="Verdana" w:hAnsi="Verdana" w:cs="Arial"/>
          <w:bCs/>
          <w:lang w:val="es-MX"/>
        </w:rPr>
        <w:t xml:space="preserve">. En este contexto, salvo norma especial que ordene la celebración </w:t>
      </w:r>
      <w:r w:rsidRPr="00D60700">
        <w:rPr>
          <w:rFonts w:ascii="Verdana" w:hAnsi="Verdana" w:cs="Arial"/>
          <w:lang w:val="es-ES"/>
        </w:rPr>
        <w:t>del negocio jurídico por selección abreviada, concurso de méritos, mínima cuantía o contratación directa, debe aplicarse la regla general de licitación pública</w:t>
      </w:r>
      <w:r>
        <w:rPr>
          <w:rStyle w:val="Refdenotaalpie"/>
          <w:rFonts w:ascii="Verdana" w:hAnsi="Verdana" w:cs="Arial"/>
          <w:lang w:val="es-ES"/>
        </w:rPr>
        <w:footnoteReference w:id="3"/>
      </w:r>
      <w:r w:rsidRPr="00D60700">
        <w:rPr>
          <w:rFonts w:ascii="Verdana" w:hAnsi="Verdana" w:cs="Arial"/>
          <w:lang w:val="es-ES"/>
        </w:rPr>
        <w:t>.</w:t>
      </w:r>
    </w:p>
    <w:p w14:paraId="23BA798C" w14:textId="77777777" w:rsidR="00964309" w:rsidRDefault="00964309" w:rsidP="00964309">
      <w:pPr>
        <w:spacing w:after="120" w:line="276" w:lineRule="auto"/>
        <w:ind w:firstLine="708"/>
        <w:jc w:val="both"/>
        <w:rPr>
          <w:rFonts w:ascii="Verdana" w:eastAsia="Arial" w:hAnsi="Verdana" w:cs="Arial"/>
          <w:color w:val="000000"/>
          <w:lang w:val="es-ES"/>
        </w:rPr>
      </w:pPr>
      <w:r w:rsidRPr="00D60700">
        <w:rPr>
          <w:rFonts w:ascii="Verdana" w:hAnsi="Verdana" w:cs="Arial"/>
          <w:lang w:val="es-ES"/>
        </w:rPr>
        <w:t>El contrato estatal se identifica por el criterio orgánico o subjetivo, de manera que –como explica el Consejo de Estado– el “[…] elemento esencial para calificar de estatal un contrato, es que haya sido celebrado por una entidad estatal, es decir, una entidad pública con capacidad legal para celebrarlo […]”</w:t>
      </w:r>
      <w:r>
        <w:rPr>
          <w:rStyle w:val="Refdenotaalpie"/>
          <w:rFonts w:ascii="Verdana" w:hAnsi="Verdana" w:cs="Arial"/>
          <w:lang w:val="es-ES"/>
        </w:rPr>
        <w:footnoteReference w:id="4"/>
      </w:r>
      <w:r w:rsidRPr="00D60700">
        <w:rPr>
          <w:rFonts w:ascii="Verdana" w:hAnsi="Verdana" w:cs="Arial"/>
          <w:lang w:val="es-ES"/>
        </w:rPr>
        <w:t>. Por tanto, es</w:t>
      </w:r>
      <w:r w:rsidRPr="00666B6A">
        <w:rPr>
          <w:rFonts w:ascii="Verdana" w:eastAsia="Arial" w:hAnsi="Verdana" w:cs="Arial"/>
          <w:color w:val="000000"/>
          <w:lang w:val="es-ES"/>
        </w:rPr>
        <w:t xml:space="preserve"> el acto jurídico creador de obligaciones a cuya celebración concurra una de entidades estatal, independientemente de que se trate de contratos previstos o tipificados en el derecho privado, en disposiciones especiales o que resulten del ejercicio de la autonomía de la voluntad, como sucede con los que se clasifican como atípicos e innominados</w:t>
      </w:r>
      <w:r w:rsidRPr="00666B6A">
        <w:rPr>
          <w:rFonts w:ascii="Verdana" w:eastAsia="Arial" w:hAnsi="Verdana" w:cs="Arial"/>
          <w:color w:val="000000"/>
          <w:vertAlign w:val="superscript"/>
          <w:lang w:val="es-ES"/>
        </w:rPr>
        <w:footnoteReference w:id="5"/>
      </w:r>
      <w:r w:rsidRPr="00666B6A">
        <w:rPr>
          <w:rFonts w:ascii="Verdana" w:eastAsia="Arial" w:hAnsi="Verdana" w:cs="Arial"/>
          <w:color w:val="000000"/>
          <w:lang w:val="es-ES"/>
        </w:rPr>
        <w:t xml:space="preserve">. Conforme con lo anterior, el contrato </w:t>
      </w:r>
      <w:r w:rsidRPr="00666B6A">
        <w:rPr>
          <w:rFonts w:ascii="Verdana" w:eastAsia="Arial" w:hAnsi="Verdana" w:cs="Arial"/>
          <w:color w:val="000000"/>
          <w:lang w:val="es-ES"/>
        </w:rPr>
        <w:lastRenderedPageBreak/>
        <w:t>estatal es un acuerdo de voluntades efectuado por las entidades públicas que genera, extingue o modifica obligaciones para quienes lo suscriben, cuya celebración no se encuentra limitada, de forma exclusiva, a las entidades referidas en la Ley 80 de 1993, sino que, puede ser suscrito por entidades públicas con regímenes especiales de contratación, caso en el cual se tratará de un contrato estatal de régimen exceptuado</w:t>
      </w:r>
      <w:r w:rsidRPr="00666B6A">
        <w:rPr>
          <w:rStyle w:val="Refdenotaalpie"/>
          <w:rFonts w:ascii="Verdana" w:eastAsia="Arial" w:hAnsi="Verdana" w:cs="Arial"/>
          <w:color w:val="000000"/>
          <w:lang w:val="es-ES"/>
        </w:rPr>
        <w:footnoteReference w:id="6"/>
      </w:r>
      <w:r w:rsidRPr="00666B6A">
        <w:rPr>
          <w:rFonts w:ascii="Verdana" w:eastAsia="Arial" w:hAnsi="Verdana" w:cs="Arial"/>
          <w:color w:val="000000"/>
          <w:lang w:val="es-ES"/>
        </w:rPr>
        <w:t xml:space="preserve">. </w:t>
      </w:r>
    </w:p>
    <w:p w14:paraId="43D5A4D5" w14:textId="77777777" w:rsidR="00964309" w:rsidRPr="00666B6A" w:rsidRDefault="00964309" w:rsidP="00964309">
      <w:pPr>
        <w:spacing w:after="120" w:line="276" w:lineRule="auto"/>
        <w:ind w:firstLine="708"/>
        <w:jc w:val="both"/>
        <w:rPr>
          <w:rFonts w:ascii="Verdana" w:eastAsia="Arial" w:hAnsi="Verdana" w:cs="Arial"/>
          <w:color w:val="000000"/>
          <w:lang w:val="es-ES"/>
        </w:rPr>
      </w:pPr>
      <w:r>
        <w:rPr>
          <w:rFonts w:ascii="Verdana" w:eastAsia="Arial" w:hAnsi="Verdana" w:cs="Arial"/>
          <w:color w:val="000000"/>
        </w:rPr>
        <w:t>Ahora bien, la</w:t>
      </w:r>
      <w:r w:rsidRPr="000A32F7">
        <w:rPr>
          <w:rFonts w:ascii="Verdana" w:eastAsia="Arial" w:hAnsi="Verdana" w:cs="Arial"/>
          <w:color w:val="000000"/>
        </w:rPr>
        <w:t xml:space="preserve"> Ley 80 de 1993, establece y define determinadas modalidades contractuales, tales como los contratos de obra, consultoría, prestación de servicios, concesión, encargos fiduciarios y fiducia pública. No obstante, dicho catálogo no tiene carácter taxativo, en la medida en que el régimen contractual estatal se articula y complementa con las figuras contractuales propias del derecho privado. En este sentido, el artículo 13, en su inciso primero, prevé expresamente que los contratos celebrados por las entidades señaladas en el artículo 2° del estatuto se regirán por las normas civiles y comerciales aplicables, excepto en aquellos aspectos que cuenten con regulación especial dentro de la Ley 80 de 1993.</w:t>
      </w:r>
    </w:p>
    <w:p w14:paraId="76216953" w14:textId="77777777" w:rsidR="00964309" w:rsidRPr="00B8056D" w:rsidRDefault="00964309" w:rsidP="00964309">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B</w:t>
      </w:r>
      <w:r w:rsidRPr="00865930">
        <w:rPr>
          <w:rFonts w:ascii="Verdana" w:eastAsia="Calibri" w:hAnsi="Verdana" w:cs="Arial"/>
          <w:color w:val="000000" w:themeColor="text1"/>
        </w:rPr>
        <w:t xml:space="preserve">ajo este marco de integración normativa, resulta procedente acudir a las definiciones contenidas en el derecho civil para la caracterización de aquellas figuras contractuales que, aun no estando expresamente tipificadas en </w:t>
      </w:r>
      <w:r>
        <w:rPr>
          <w:rFonts w:ascii="Verdana" w:eastAsia="Calibri" w:hAnsi="Verdana" w:cs="Arial"/>
          <w:color w:val="000000" w:themeColor="text1"/>
        </w:rPr>
        <w:t xml:space="preserve">el </w:t>
      </w:r>
      <w:r w:rsidRPr="003B4FED">
        <w:rPr>
          <w:rFonts w:ascii="Verdana" w:eastAsia="Calibri" w:hAnsi="Verdana" w:cs="Arial"/>
          <w:color w:val="000000" w:themeColor="text1"/>
        </w:rPr>
        <w:t>Estatuto General de Contratación de la Administración Pública</w:t>
      </w:r>
      <w:r w:rsidRPr="00865930">
        <w:rPr>
          <w:rFonts w:ascii="Verdana" w:eastAsia="Calibri" w:hAnsi="Verdana" w:cs="Arial"/>
          <w:color w:val="000000" w:themeColor="text1"/>
        </w:rPr>
        <w:t xml:space="preserve">, pueden ser utilizadas por las entidades estatales. </w:t>
      </w:r>
      <w:r>
        <w:rPr>
          <w:rFonts w:ascii="Verdana" w:eastAsia="Calibri" w:hAnsi="Verdana" w:cs="Arial"/>
          <w:color w:val="000000" w:themeColor="text1"/>
        </w:rPr>
        <w:t>Así, e</w:t>
      </w:r>
      <w:r w:rsidRPr="00B8056D">
        <w:rPr>
          <w:rFonts w:ascii="Verdana" w:eastAsia="Calibri" w:hAnsi="Verdana" w:cs="Arial"/>
          <w:color w:val="000000" w:themeColor="text1"/>
        </w:rPr>
        <w:t>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w:t>
      </w:r>
      <w:r>
        <w:rPr>
          <w:rFonts w:ascii="Verdana" w:eastAsia="Calibri" w:hAnsi="Verdana" w:cs="Arial"/>
          <w:color w:val="000000" w:themeColor="text1"/>
        </w:rPr>
        <w:t xml:space="preserve"> un</w:t>
      </w:r>
      <w:r w:rsidRPr="00B8056D">
        <w:rPr>
          <w:rFonts w:ascii="Verdana" w:eastAsia="Calibri" w:hAnsi="Verdana" w:cs="Arial"/>
          <w:color w:val="000000" w:themeColor="text1"/>
        </w:rPr>
        <w:t xml:space="preserve"> acuerdo de voluntades en virtud del cual una de las partes llamada </w:t>
      </w:r>
      <w:r>
        <w:rPr>
          <w:rFonts w:ascii="Verdana" w:eastAsia="Calibri" w:hAnsi="Verdana" w:cs="Arial"/>
          <w:color w:val="000000" w:themeColor="text1"/>
        </w:rPr>
        <w:t>-</w:t>
      </w:r>
      <w:r w:rsidRPr="00B8056D">
        <w:rPr>
          <w:rFonts w:ascii="Verdana" w:hAnsi="Verdana" w:cs="Arial"/>
          <w:color w:val="000000" w:themeColor="text1"/>
          <w:lang w:val="es-ES_tradnl"/>
        </w:rPr>
        <w:t xml:space="preserve">arrendador o arrendadora– se obliga a concederle a otra </w:t>
      </w:r>
      <w:r>
        <w:rPr>
          <w:rFonts w:ascii="Verdana" w:hAnsi="Verdana" w:cs="Arial"/>
          <w:color w:val="000000" w:themeColor="text1"/>
          <w:lang w:val="es-ES_tradnl"/>
        </w:rPr>
        <w:t>-</w:t>
      </w:r>
      <w:r w:rsidRPr="00B8056D">
        <w:rPr>
          <w:rFonts w:ascii="Verdana" w:hAnsi="Verdana" w:cs="Arial"/>
          <w:color w:val="000000" w:themeColor="text1"/>
          <w:lang w:val="es-ES_tradnl"/>
        </w:rPr>
        <w:t xml:space="preserve">llamada arrendatario o arrendataria– el uso y goce de un bien, a cambio de una renta o canon, diferenciándose del contrato de compraventa en que no opera una transferencia </w:t>
      </w:r>
      <w:r w:rsidRPr="00B8056D">
        <w:rPr>
          <w:rFonts w:ascii="Verdana" w:eastAsia="Calibri" w:hAnsi="Verdana" w:cs="Arial"/>
          <w:color w:val="000000" w:themeColor="text1"/>
        </w:rPr>
        <w:t>del dominio del bien cuyo uso y goce se entrega.</w:t>
      </w:r>
    </w:p>
    <w:p w14:paraId="7AD28F35" w14:textId="77777777" w:rsidR="00964309" w:rsidRPr="00B8056D" w:rsidRDefault="00964309" w:rsidP="00964309">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lastRenderedPageBreak/>
        <w:t>En cuanto a sus características</w:t>
      </w:r>
      <w:r w:rsidRPr="00B8056D">
        <w:rPr>
          <w:rFonts w:ascii="Verdana" w:hAnsi="Verdana" w:cs="Arial"/>
          <w:color w:val="000000" w:themeColor="text1"/>
          <w:lang w:val="es-ES_tradnl"/>
        </w:rPr>
        <w:t>, la doctrina ha indicado que el arrendamiento es un contrato</w:t>
      </w:r>
      <w:r w:rsidRPr="00B8056D">
        <w:rPr>
          <w:rFonts w:ascii="Verdana" w:eastAsia="Calibri" w:hAnsi="Verdana"/>
          <w:color w:val="000000" w:themeColor="text1"/>
        </w:rPr>
        <w:t xml:space="preserve">: i) bilateral, pues ambas partes se obligan recíprocamente; ii) consensual, dado que se perfecciona con el consentimiento ; iii) oneroso, ya que ambas partes obtienen utilidades –el arrendatario, el uso y goce del bien, y el arrendador la renta o canon; iv) de ejecución sucesiva, en la </w:t>
      </w:r>
      <w:r w:rsidRPr="00B8056D">
        <w:rPr>
          <w:rFonts w:ascii="Verdana" w:eastAsia="Calibri" w:hAnsi="Verdana" w:cs="Arial"/>
          <w:color w:val="000000" w:themeColor="text1"/>
        </w:rPr>
        <w:t>medida en que se ejecuta en forma periódica; v) principal, porque existe en forma autónoma; y v) nominado, porque está tipificado y desarrollado en la ley.</w:t>
      </w:r>
    </w:p>
    <w:p w14:paraId="7ACCE068" w14:textId="77777777" w:rsidR="00964309" w:rsidRPr="00B8056D" w:rsidRDefault="00964309" w:rsidP="00964309">
      <w:pPr>
        <w:spacing w:after="120" w:line="276" w:lineRule="auto"/>
        <w:ind w:firstLine="709"/>
        <w:jc w:val="both"/>
        <w:rPr>
          <w:rFonts w:ascii="Verdana" w:eastAsia="Calibri" w:hAnsi="Verdana" w:cs="Arial"/>
          <w:color w:val="000000" w:themeColor="text1"/>
        </w:rPr>
      </w:pPr>
      <w:r w:rsidRPr="00AA7F83">
        <w:rPr>
          <w:rFonts w:ascii="Verdana" w:eastAsia="Calibri" w:hAnsi="Verdana" w:cs="Arial"/>
          <w:color w:val="000000" w:themeColor="text1"/>
        </w:rPr>
        <w:t>Frente a su regulación, resulta necesario remitirnos a las normas civiles y comerciales, toda vez que el contrato de arrendamiento no se encuentra incluido dentro del listado enunciativo previsto en el artículo 32 de la Ley 80 de 1993. En consecuencia, le son aplicables las disposiciones contenidas en los artículos 1973 a 2078 del Código Civil, así como las normas especiales sobre arrendamiento previstas en los artículos 518 a 523 del Código de Comercio —relativas al arrendamiento de inmuebles destinados a establecimientos de comercio— y en los artículos 1678 a 1687 y 1890 a 1899 de la misma codificación —referidas al arrendamiento de naves—, además de lo dispuesto en la Ley 820 de 2003, por la cual se expide el régimen de arrendamiento de vivienda urbana</w:t>
      </w:r>
      <w:r w:rsidRPr="00B05F99">
        <w:rPr>
          <w:rFonts w:ascii="Verdana" w:eastAsia="Times New Roman" w:hAnsi="Verdana" w:cs="Arial"/>
          <w:color w:val="000000"/>
        </w:rPr>
        <w:t>.</w:t>
      </w:r>
      <w:r>
        <w:rPr>
          <w:rFonts w:ascii="Verdana" w:eastAsia="Times New Roman" w:hAnsi="Verdana" w:cs="Arial"/>
          <w:color w:val="000000"/>
        </w:rPr>
        <w:t xml:space="preserve"> </w:t>
      </w:r>
    </w:p>
    <w:p w14:paraId="20C9F53D" w14:textId="77777777" w:rsidR="00964309" w:rsidRDefault="00964309" w:rsidP="00964309">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En contra</w:t>
      </w:r>
      <w:r>
        <w:rPr>
          <w:rFonts w:ascii="Verdana" w:eastAsia="Calibri" w:hAnsi="Verdana" w:cs="Arial"/>
          <w:color w:val="000000" w:themeColor="text1"/>
        </w:rPr>
        <w:t>s</w:t>
      </w:r>
      <w:r w:rsidRPr="00B8056D">
        <w:rPr>
          <w:rFonts w:ascii="Verdana" w:eastAsia="Calibri" w:hAnsi="Verdana" w:cs="Arial"/>
          <w:color w:val="000000" w:themeColor="text1"/>
        </w:rPr>
        <w:t xml:space="preserve">te, si la entidad estatal se rige por el Estatuto General de Contratación de la Administración Pública, bien sea que obre en calidad de arrendadora o arrendataria, debe acudir a la modalidad de selección de contratación directa si arrendara un inmueble, pues el artículo 2º, numeral 4° literal i) de la Ley 1150 de 2007 establece que una de las causales de este procedimiento es “i) El arrendamiento o adquisición de inmuebles”. </w:t>
      </w:r>
    </w:p>
    <w:p w14:paraId="7ED1D795" w14:textId="77777777" w:rsidR="00964309" w:rsidRDefault="00964309" w:rsidP="00964309">
      <w:pPr>
        <w:spacing w:after="120" w:line="276" w:lineRule="auto"/>
        <w:ind w:right="51" w:firstLine="709"/>
        <w:jc w:val="both"/>
        <w:rPr>
          <w:rFonts w:ascii="Verdana" w:eastAsia="Calibri" w:hAnsi="Verdana" w:cs="Arial"/>
          <w:color w:val="000000" w:themeColor="text1"/>
        </w:rPr>
      </w:pPr>
      <w:r>
        <w:rPr>
          <w:rFonts w:ascii="Verdana" w:eastAsia="Calibri" w:hAnsi="Verdana" w:cs="Arial"/>
          <w:color w:val="000000" w:themeColor="text1"/>
        </w:rPr>
        <w:t>S</w:t>
      </w:r>
      <w:r w:rsidRPr="00E56CC7">
        <w:rPr>
          <w:rFonts w:ascii="Verdana" w:eastAsia="Calibri" w:hAnsi="Verdana" w:cs="Arial"/>
          <w:color w:val="000000" w:themeColor="text1"/>
        </w:rPr>
        <w:t xml:space="preserve">e tiene entonces que en el marco del ordenamiento </w:t>
      </w:r>
      <w:r>
        <w:rPr>
          <w:rFonts w:ascii="Verdana" w:eastAsia="Calibri" w:hAnsi="Verdana" w:cs="Arial"/>
          <w:color w:val="000000" w:themeColor="text1"/>
        </w:rPr>
        <w:t xml:space="preserve">jurídico </w:t>
      </w:r>
      <w:r w:rsidRPr="00E56CC7">
        <w:rPr>
          <w:rFonts w:ascii="Verdana" w:eastAsia="Calibri" w:hAnsi="Verdana" w:cs="Arial"/>
          <w:color w:val="000000" w:themeColor="text1"/>
        </w:rPr>
        <w:t xml:space="preserve">vigente la </w:t>
      </w:r>
      <w:r>
        <w:rPr>
          <w:rFonts w:ascii="Verdana" w:eastAsia="Calibri" w:hAnsi="Verdana" w:cs="Arial"/>
          <w:color w:val="000000" w:themeColor="text1"/>
        </w:rPr>
        <w:t>identificación</w:t>
      </w:r>
      <w:r w:rsidRPr="00E56CC7">
        <w:rPr>
          <w:rFonts w:ascii="Verdana" w:eastAsia="Calibri" w:hAnsi="Verdana" w:cs="Arial"/>
          <w:color w:val="000000" w:themeColor="text1"/>
        </w:rPr>
        <w:t xml:space="preserve"> de la naturaleza jurídica de</w:t>
      </w:r>
      <w:r>
        <w:rPr>
          <w:rFonts w:ascii="Verdana" w:eastAsia="Calibri" w:hAnsi="Verdana" w:cs="Arial"/>
          <w:color w:val="000000" w:themeColor="text1"/>
        </w:rPr>
        <w:t xml:space="preserve"> un</w:t>
      </w:r>
      <w:r w:rsidRPr="00E56CC7">
        <w:rPr>
          <w:rFonts w:ascii="Verdana" w:eastAsia="Calibri" w:hAnsi="Verdana" w:cs="Arial"/>
          <w:color w:val="000000" w:themeColor="text1"/>
        </w:rPr>
        <w:t xml:space="preserve"> contrato</w:t>
      </w:r>
      <w:r>
        <w:rPr>
          <w:rFonts w:ascii="Verdana" w:eastAsia="Calibri" w:hAnsi="Verdana" w:cs="Arial"/>
          <w:color w:val="000000" w:themeColor="text1"/>
        </w:rPr>
        <w:t xml:space="preserve"> se fundamenta</w:t>
      </w:r>
      <w:r w:rsidRPr="00E56CC7">
        <w:rPr>
          <w:rFonts w:ascii="Verdana" w:eastAsia="Calibri" w:hAnsi="Verdana" w:cs="Arial"/>
          <w:color w:val="000000" w:themeColor="text1"/>
        </w:rPr>
        <w:t xml:space="preserve"> en el análisis particular respecto del tipo de entidad que lo celebra, </w:t>
      </w:r>
      <w:r>
        <w:rPr>
          <w:rFonts w:ascii="Verdana" w:eastAsia="Calibri" w:hAnsi="Verdana" w:cs="Arial"/>
          <w:color w:val="000000" w:themeColor="text1"/>
        </w:rPr>
        <w:t>con independencia</w:t>
      </w:r>
      <w:r w:rsidRPr="00E56CC7">
        <w:rPr>
          <w:rFonts w:ascii="Verdana" w:eastAsia="Calibri" w:hAnsi="Verdana" w:cs="Arial"/>
          <w:color w:val="000000" w:themeColor="text1"/>
        </w:rPr>
        <w:t xml:space="preserve"> </w:t>
      </w:r>
      <w:r>
        <w:rPr>
          <w:rFonts w:ascii="Verdana" w:eastAsia="Calibri" w:hAnsi="Verdana" w:cs="Arial"/>
          <w:color w:val="000000" w:themeColor="text1"/>
        </w:rPr>
        <w:t>d</w:t>
      </w:r>
      <w:r w:rsidRPr="00E56CC7">
        <w:rPr>
          <w:rFonts w:ascii="Verdana" w:eastAsia="Calibri" w:hAnsi="Verdana" w:cs="Arial"/>
          <w:color w:val="000000" w:themeColor="text1"/>
        </w:rPr>
        <w:t xml:space="preserve">el régimen legal que les </w:t>
      </w:r>
      <w:r>
        <w:rPr>
          <w:rFonts w:ascii="Verdana" w:eastAsia="Calibri" w:hAnsi="Verdana" w:cs="Arial"/>
          <w:color w:val="000000" w:themeColor="text1"/>
        </w:rPr>
        <w:t>resulte</w:t>
      </w:r>
      <w:r w:rsidRPr="00E56CC7">
        <w:rPr>
          <w:rFonts w:ascii="Verdana" w:eastAsia="Calibri" w:hAnsi="Verdana" w:cs="Arial"/>
          <w:color w:val="000000" w:themeColor="text1"/>
        </w:rPr>
        <w:t xml:space="preserve"> aplicable; dicho aserto encuentra soporte legal en lo </w:t>
      </w:r>
      <w:r>
        <w:rPr>
          <w:rFonts w:ascii="Verdana" w:eastAsia="Calibri" w:hAnsi="Verdana" w:cs="Arial"/>
          <w:color w:val="000000" w:themeColor="text1"/>
        </w:rPr>
        <w:t>dispuesto</w:t>
      </w:r>
      <w:r w:rsidRPr="00E56CC7">
        <w:rPr>
          <w:rFonts w:ascii="Verdana" w:eastAsia="Calibri" w:hAnsi="Verdana" w:cs="Arial"/>
          <w:color w:val="000000" w:themeColor="text1"/>
        </w:rPr>
        <w:t xml:space="preserve"> por el artículo 32 de la Ley 80 de 1993, </w:t>
      </w:r>
      <w:r>
        <w:rPr>
          <w:rFonts w:ascii="Verdana" w:eastAsia="Calibri" w:hAnsi="Verdana" w:cs="Arial"/>
          <w:color w:val="000000" w:themeColor="text1"/>
        </w:rPr>
        <w:t>norma</w:t>
      </w:r>
      <w:r w:rsidRPr="00E56CC7">
        <w:rPr>
          <w:rFonts w:ascii="Verdana" w:eastAsia="Calibri" w:hAnsi="Verdana" w:cs="Arial"/>
          <w:color w:val="000000" w:themeColor="text1"/>
        </w:rPr>
        <w:t xml:space="preserve"> que</w:t>
      </w:r>
      <w:r>
        <w:rPr>
          <w:rFonts w:ascii="Verdana" w:eastAsia="Calibri" w:hAnsi="Verdana" w:cs="Arial"/>
          <w:color w:val="000000" w:themeColor="text1"/>
        </w:rPr>
        <w:t>,</w:t>
      </w:r>
      <w:r w:rsidRPr="00E56CC7">
        <w:rPr>
          <w:rFonts w:ascii="Verdana" w:eastAsia="Calibri" w:hAnsi="Verdana" w:cs="Arial"/>
          <w:color w:val="000000" w:themeColor="text1"/>
        </w:rPr>
        <w:t xml:space="preserve"> al tratar de definir los contratos estatales adoptó un criterio eminentemente subjetivo u </w:t>
      </w:r>
      <w:r w:rsidRPr="00E56CC7">
        <w:rPr>
          <w:rFonts w:ascii="Verdana" w:eastAsia="Calibri" w:hAnsi="Verdana" w:cs="Arial"/>
          <w:color w:val="000000" w:themeColor="text1"/>
        </w:rPr>
        <w:lastRenderedPageBreak/>
        <w:t>orgánico, apartándose así de cualquier juicio funcional o referido al régimen jurídico aplicable a la parte sustantiva del contrato</w:t>
      </w:r>
      <w:r>
        <w:rPr>
          <w:rFonts w:ascii="Verdana" w:eastAsia="Calibri" w:hAnsi="Verdana" w:cs="Arial"/>
          <w:color w:val="000000" w:themeColor="text1"/>
        </w:rPr>
        <w:t>.</w:t>
      </w:r>
    </w:p>
    <w:p w14:paraId="534878B2" w14:textId="77777777" w:rsidR="00964309" w:rsidRPr="00EC4A1D" w:rsidRDefault="00964309" w:rsidP="00964309">
      <w:pPr>
        <w:spacing w:after="120" w:line="276" w:lineRule="auto"/>
        <w:ind w:right="51" w:firstLine="709"/>
        <w:jc w:val="both"/>
        <w:rPr>
          <w:rFonts w:ascii="Verdana" w:eastAsia="Calibri" w:hAnsi="Verdana" w:cs="Arial"/>
          <w:color w:val="000000" w:themeColor="text1"/>
        </w:rPr>
      </w:pPr>
      <w:r w:rsidRPr="00E56CC7">
        <w:rPr>
          <w:rFonts w:ascii="Verdana" w:eastAsia="Calibri" w:hAnsi="Verdana" w:cs="Arial"/>
          <w:color w:val="000000" w:themeColor="text1"/>
        </w:rPr>
        <w:t xml:space="preserve">De conformidad con lo anterior, </w:t>
      </w:r>
      <w:r>
        <w:rPr>
          <w:rFonts w:ascii="Verdana" w:eastAsia="Calibri" w:hAnsi="Verdana" w:cs="Arial"/>
          <w:color w:val="000000" w:themeColor="text1"/>
        </w:rPr>
        <w:t>c</w:t>
      </w:r>
      <w:r w:rsidRPr="00830965">
        <w:rPr>
          <w:rFonts w:ascii="Verdana" w:eastAsia="Calibri" w:hAnsi="Verdana" w:cs="Arial"/>
          <w:color w:val="000000" w:themeColor="text1"/>
        </w:rPr>
        <w:t>uando una entidad pública celebra un contrato de arrendamiento —aunque esta figura no esté taxativamente listada en el artículo 32 de la Ley 80 de 1993— dicho negocio jurídico se considera un contrato estatal por su vinculación con la función administrativa y, por consiguiente, las controversias que se originen en él corresponden a la jurisdicción de lo contencioso-administrativo. Esto se basa en el artículo 75 de la Ley 80 de 1993 en concordancia con el artículo 104, numeral 2º, del Código de Procedimiento Administrativo y de lo Contencioso Administrativo, que asigna a los jueces administrativos la competencia para conocer de los procesos relativos a los contratos en los que sea parte una entidad pública. El Consejo de Estado ha aplicado este criterio en su jurisprudencia, señalando que las disputas sobre contratos estatales de arrendamiento deben ser conocidas por la justicia contencioso-administrativa debido a la participación de una entidad estatal en la relación contractual.</w:t>
      </w:r>
    </w:p>
    <w:p w14:paraId="1E4B3163" w14:textId="77777777" w:rsidR="00964309" w:rsidRPr="005C3723" w:rsidRDefault="00964309" w:rsidP="00964309">
      <w:pPr>
        <w:spacing w:before="120" w:after="120" w:line="276" w:lineRule="auto"/>
        <w:ind w:firstLine="709"/>
        <w:jc w:val="both"/>
        <w:rPr>
          <w:rFonts w:ascii="Verdana" w:eastAsia="Times New Roman" w:hAnsi="Verdana" w:cs="Arial"/>
          <w:color w:val="000000"/>
          <w:lang w:val="es-ES_tradnl" w:eastAsia="es-ES_tradnl"/>
        </w:rPr>
      </w:pPr>
      <w:r w:rsidRPr="00C35463">
        <w:rPr>
          <w:rFonts w:ascii="Verdana" w:eastAsia="Calibri" w:hAnsi="Verdana" w:cs="Arial"/>
          <w:bCs/>
          <w:color w:val="000000" w:themeColor="text1"/>
        </w:rPr>
        <w:t>Al margen</w:t>
      </w:r>
      <w:r w:rsidRPr="00E853DE">
        <w:rPr>
          <w:rFonts w:ascii="Verdana" w:eastAsia="Calibri" w:hAnsi="Verdana" w:cs="Arial"/>
          <w:bCs/>
          <w:color w:val="000000" w:themeColor="text1"/>
        </w:rPr>
        <w:t xml:space="preserve">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aclara</w:t>
      </w:r>
      <w:r>
        <w:rPr>
          <w:rStyle w:val="s15"/>
          <w:rFonts w:ascii="Verdana" w:hAnsi="Verdana"/>
          <w:color w:val="000000"/>
        </w:rPr>
        <w:t>do de manera</w:t>
      </w:r>
      <w:r w:rsidRPr="001941FD">
        <w:rPr>
          <w:rStyle w:val="s15"/>
          <w:rFonts w:ascii="Verdana" w:hAnsi="Verdana"/>
          <w:color w:val="000000"/>
        </w:rPr>
        <w:t xml:space="preserve"> preliminar </w:t>
      </w:r>
      <w:r>
        <w:rPr>
          <w:rStyle w:val="s15"/>
          <w:rFonts w:ascii="Verdana" w:hAnsi="Verdana"/>
          <w:color w:val="000000"/>
        </w:rPr>
        <w:t>en el</w:t>
      </w:r>
      <w:r w:rsidRPr="001941FD">
        <w:rPr>
          <w:rStyle w:val="s15"/>
          <w:rFonts w:ascii="Verdana" w:hAnsi="Verdana"/>
          <w:color w:val="000000"/>
        </w:rPr>
        <w:t xml:space="preserve"> presente oficio</w:t>
      </w:r>
      <w:r w:rsidRPr="00E853DE">
        <w:rPr>
          <w:rFonts w:ascii="Verdana" w:eastAsia="Calibri" w:hAnsi="Verdana" w:cs="Arial"/>
          <w:bCs/>
          <w:color w:val="000000" w:themeColor="text1"/>
        </w:rPr>
        <w:t xml:space="preserve">.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w:t>
      </w:r>
      <w:r w:rsidRPr="005C3723">
        <w:rPr>
          <w:rFonts w:ascii="Verdana" w:eastAsia="Times New Roman" w:hAnsi="Verdana" w:cs="Arial"/>
          <w:color w:val="000000"/>
          <w:lang w:val="es-ES_tradnl" w:eastAsia="es-ES_tradnl"/>
        </w:rPr>
        <w:t>disciplinarias.</w:t>
      </w:r>
    </w:p>
    <w:p w14:paraId="45B26BF2" w14:textId="77777777" w:rsidR="00964309" w:rsidRPr="00096FE7" w:rsidRDefault="00964309" w:rsidP="00964309">
      <w:pPr>
        <w:spacing w:before="120" w:line="276" w:lineRule="auto"/>
        <w:ind w:firstLine="709"/>
        <w:jc w:val="both"/>
        <w:rPr>
          <w:rFonts w:ascii="Verdana" w:eastAsia="Calibri" w:hAnsi="Verdana" w:cs="Arial"/>
          <w:bCs/>
          <w:color w:val="000000" w:themeColor="text1"/>
        </w:rPr>
      </w:pPr>
      <w:r w:rsidRPr="005C3723">
        <w:rPr>
          <w:rFonts w:ascii="Verdana" w:eastAsia="Times New Roman" w:hAnsi="Verdana" w:cs="Arial"/>
          <w:color w:val="000000"/>
          <w:lang w:val="es-ES_tradnl" w:eastAsia="es-ES_tradnl"/>
        </w:rPr>
        <w:t>Dentro de este marco</w:t>
      </w:r>
      <w:r>
        <w:rPr>
          <w:rFonts w:ascii="Verdana" w:eastAsia="Times New Roman" w:hAnsi="Verdana" w:cs="Arial"/>
          <w:color w:val="000000"/>
          <w:lang w:val="es-ES_tradnl" w:eastAsia="es-ES_tradnl"/>
        </w:rPr>
        <w:t xml:space="preserve"> y, a</w:t>
      </w:r>
      <w:r w:rsidRPr="005C3723">
        <w:rPr>
          <w:rFonts w:ascii="Verdana" w:eastAsia="Times New Roman" w:hAnsi="Verdana" w:cs="Arial"/>
          <w:color w:val="000000"/>
          <w:lang w:val="es-ES_tradnl" w:eastAsia="es-ES_tradnl"/>
        </w:rPr>
        <w:t>l tratarse de un análisis que debe realizarse en el procedimiento contractual específico, la Agencia no puede definir un criterio universal y absoluto por vía consultiva, sino que brinda elementos de carácter general para</w:t>
      </w:r>
      <w:r w:rsidRPr="00E853DE">
        <w:rPr>
          <w:rFonts w:ascii="Verdana" w:eastAsia="Calibri" w:hAnsi="Verdana" w:cs="Arial"/>
          <w:bCs/>
          <w:color w:val="000000" w:themeColor="text1"/>
        </w:rPr>
        <w:t xml:space="preserve">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r>
        <w:rPr>
          <w:rStyle w:val="s15"/>
          <w:rFonts w:ascii="Verdana" w:hAnsi="Verdana"/>
          <w:color w:val="000000"/>
        </w:rPr>
        <w:t>Esto significa que</w:t>
      </w:r>
      <w:r w:rsidRPr="00925D18">
        <w:rPr>
          <w:rStyle w:val="s15"/>
          <w:rFonts w:ascii="Verdana" w:hAnsi="Verdana"/>
          <w:color w:val="000000"/>
        </w:rPr>
        <w:t>,</w:t>
      </w:r>
      <w:r>
        <w:rPr>
          <w:rFonts w:ascii="Verdana" w:eastAsia="Calibri" w:hAnsi="Verdana" w:cs="Arial"/>
          <w:bCs/>
          <w:color w:val="000000" w:themeColor="text1"/>
        </w:rPr>
        <w:t xml:space="preserve"> fuera de la orientación del presente oficio, la </w:t>
      </w:r>
      <w:r>
        <w:rPr>
          <w:rFonts w:ascii="Verdana" w:eastAsia="Calibri" w:hAnsi="Verdana" w:cs="Arial"/>
          <w:bCs/>
          <w:color w:val="000000" w:themeColor="text1"/>
        </w:rPr>
        <w:lastRenderedPageBreak/>
        <w:t>ANCP – CCE carece de atribuciones normativas para desarrollar las actuaciones contractuales objeto de la solicitud</w:t>
      </w:r>
      <w:r>
        <w:rPr>
          <w:rStyle w:val="Refdenotaalpie"/>
          <w:rFonts w:ascii="Verdana" w:eastAsia="Calibri" w:hAnsi="Verdana" w:cs="Arial"/>
          <w:bCs/>
          <w:color w:val="000000" w:themeColor="text1"/>
        </w:rPr>
        <w:footnoteReference w:id="7"/>
      </w:r>
      <w:r>
        <w:rPr>
          <w:rFonts w:ascii="Verdana" w:eastAsia="Calibri" w:hAnsi="Verdana" w:cs="Arial"/>
          <w:bCs/>
          <w:color w:val="000000" w:themeColor="text1"/>
        </w:rPr>
        <w:t>.</w:t>
      </w:r>
    </w:p>
    <w:p w14:paraId="68E3F99B" w14:textId="77777777" w:rsidR="00964309" w:rsidRPr="00D22F9B" w:rsidRDefault="00964309" w:rsidP="00964309">
      <w:pPr>
        <w:numPr>
          <w:ilvl w:val="0"/>
          <w:numId w:val="16"/>
        </w:numPr>
        <w:tabs>
          <w:tab w:val="left" w:pos="142"/>
          <w:tab w:val="left" w:pos="284"/>
        </w:tabs>
        <w:spacing w:after="0" w:line="276" w:lineRule="auto"/>
        <w:jc w:val="both"/>
        <w:rPr>
          <w:rFonts w:ascii="Verdana" w:eastAsia="Century Gothic" w:hAnsi="Verdana" w:cs="Century Gothic"/>
          <w:b/>
          <w:bCs/>
        </w:rPr>
      </w:pPr>
      <w:r w:rsidRPr="00D22F9B">
        <w:rPr>
          <w:rFonts w:ascii="Verdana" w:eastAsia="Century Gothic" w:hAnsi="Verdana" w:cs="Century Gothic"/>
          <w:b/>
          <w:bCs/>
        </w:rPr>
        <w:t>Referencias normativas y jurisprudenciales:</w:t>
      </w:r>
    </w:p>
    <w:p w14:paraId="0CEB8F38" w14:textId="77777777" w:rsidR="00964309" w:rsidRPr="00D22F9B" w:rsidRDefault="00964309" w:rsidP="00964309">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64309" w:rsidRPr="00D22F9B" w14:paraId="48911978" w14:textId="77777777" w:rsidTr="00ED1B57">
        <w:trPr>
          <w:trHeight w:val="410"/>
          <w:jc w:val="center"/>
        </w:trPr>
        <w:tc>
          <w:tcPr>
            <w:tcW w:w="8647" w:type="dxa"/>
          </w:tcPr>
          <w:p w14:paraId="43E21E00" w14:textId="77777777" w:rsidR="00964309" w:rsidRDefault="00964309" w:rsidP="00ED1B57">
            <w:pPr>
              <w:pStyle w:val="Prrafodelista"/>
              <w:numPr>
                <w:ilvl w:val="0"/>
                <w:numId w:val="17"/>
              </w:numPr>
              <w:spacing w:line="276" w:lineRule="auto"/>
              <w:rPr>
                <w:rFonts w:ascii="Verdana" w:hAnsi="Verdana" w:cs="Arial"/>
              </w:rPr>
            </w:pPr>
            <w:r w:rsidRPr="007753E0">
              <w:rPr>
                <w:rFonts w:ascii="Verdana" w:hAnsi="Verdana" w:cs="Arial"/>
              </w:rPr>
              <w:t>Constitución Política de Colombia, Artículo 150</w:t>
            </w:r>
            <w:r>
              <w:rPr>
                <w:rFonts w:ascii="Verdana" w:hAnsi="Verdana" w:cs="Arial"/>
              </w:rPr>
              <w:t xml:space="preserve"> y 352</w:t>
            </w:r>
          </w:p>
          <w:p w14:paraId="54A5CADA" w14:textId="77777777" w:rsidR="00964309" w:rsidRPr="007753E0" w:rsidRDefault="00964309" w:rsidP="00ED1B57">
            <w:pPr>
              <w:pStyle w:val="Prrafodelista"/>
              <w:numPr>
                <w:ilvl w:val="0"/>
                <w:numId w:val="17"/>
              </w:numPr>
              <w:spacing w:line="276" w:lineRule="auto"/>
              <w:rPr>
                <w:rFonts w:ascii="Verdana" w:hAnsi="Verdana" w:cs="Arial"/>
              </w:rPr>
            </w:pPr>
            <w:r w:rsidRPr="00B8056D">
              <w:rPr>
                <w:rFonts w:ascii="Verdana" w:eastAsia="Calibri" w:hAnsi="Verdana" w:cs="Arial"/>
                <w:color w:val="000000" w:themeColor="text1"/>
              </w:rPr>
              <w:t>Código Civil</w:t>
            </w:r>
            <w:r>
              <w:rPr>
                <w:rFonts w:ascii="Verdana" w:eastAsia="Calibri" w:hAnsi="Verdana" w:cs="Arial"/>
                <w:color w:val="000000" w:themeColor="text1"/>
              </w:rPr>
              <w:t xml:space="preserve">, </w:t>
            </w:r>
            <w:r w:rsidRPr="00B8056D">
              <w:rPr>
                <w:rFonts w:ascii="Verdana" w:eastAsia="Calibri" w:hAnsi="Verdana" w:cs="Arial"/>
                <w:color w:val="000000" w:themeColor="text1"/>
              </w:rPr>
              <w:t>artículo 1973</w:t>
            </w:r>
          </w:p>
          <w:p w14:paraId="7763F9C3" w14:textId="77777777" w:rsidR="00964309" w:rsidRDefault="00964309" w:rsidP="00ED1B57">
            <w:pPr>
              <w:pStyle w:val="Prrafodelista"/>
              <w:numPr>
                <w:ilvl w:val="0"/>
                <w:numId w:val="17"/>
              </w:numPr>
              <w:spacing w:line="276" w:lineRule="auto"/>
              <w:rPr>
                <w:rFonts w:ascii="Verdana" w:hAnsi="Verdana" w:cs="Arial"/>
              </w:rPr>
            </w:pPr>
            <w:r w:rsidRPr="007753E0">
              <w:rPr>
                <w:rFonts w:ascii="Verdana" w:hAnsi="Verdana" w:cs="Arial"/>
              </w:rPr>
              <w:t>Ley 80 de 1993, artículo 2, numeral 1, literales a) y b)</w:t>
            </w:r>
            <w:r>
              <w:rPr>
                <w:rFonts w:ascii="Verdana" w:hAnsi="Verdana" w:cs="Arial"/>
              </w:rPr>
              <w:t>, artículo 75</w:t>
            </w:r>
          </w:p>
          <w:p w14:paraId="5171B59C" w14:textId="77777777" w:rsidR="00964309" w:rsidRPr="00A07072" w:rsidRDefault="00964309" w:rsidP="00ED1B57">
            <w:pPr>
              <w:pStyle w:val="Prrafodelista"/>
              <w:numPr>
                <w:ilvl w:val="0"/>
                <w:numId w:val="17"/>
              </w:numPr>
              <w:spacing w:line="276" w:lineRule="auto"/>
              <w:rPr>
                <w:rFonts w:ascii="Verdana" w:hAnsi="Verdana" w:cs="Arial"/>
              </w:rPr>
            </w:pPr>
            <w:r w:rsidRPr="00666B6A">
              <w:rPr>
                <w:rFonts w:ascii="Verdana" w:hAnsi="Verdana" w:cs="Arial"/>
              </w:rPr>
              <w:t>Ley 1150 de 2007</w:t>
            </w:r>
            <w:r>
              <w:rPr>
                <w:rFonts w:ascii="Verdana" w:hAnsi="Verdana" w:cs="Arial"/>
              </w:rPr>
              <w:t xml:space="preserve">, artículo 2 </w:t>
            </w:r>
            <w:r w:rsidRPr="00666B6A">
              <w:rPr>
                <w:rFonts w:ascii="Verdana" w:hAnsi="Verdana" w:cs="Arial"/>
                <w:bCs/>
                <w:lang w:val="es-MX"/>
              </w:rPr>
              <w:t>numerales 2, 3 y 4</w:t>
            </w:r>
          </w:p>
          <w:p w14:paraId="1251009C" w14:textId="77777777" w:rsidR="00964309" w:rsidRPr="00D22F9B" w:rsidRDefault="00964309" w:rsidP="00ED1B57">
            <w:pPr>
              <w:pStyle w:val="Prrafodelista"/>
              <w:numPr>
                <w:ilvl w:val="0"/>
                <w:numId w:val="17"/>
              </w:numPr>
              <w:spacing w:line="276" w:lineRule="auto"/>
              <w:jc w:val="both"/>
              <w:rPr>
                <w:rFonts w:ascii="Verdana" w:hAnsi="Verdana" w:cs="Arial"/>
              </w:rPr>
            </w:pPr>
            <w:r w:rsidRPr="00830965">
              <w:rPr>
                <w:rFonts w:ascii="Verdana" w:eastAsia="Calibri" w:hAnsi="Verdana" w:cs="Arial"/>
                <w:color w:val="000000" w:themeColor="text1"/>
              </w:rPr>
              <w:t>Código de Procedimiento Administrativo y de lo Contencioso Administrativo</w:t>
            </w:r>
            <w:r>
              <w:rPr>
                <w:rFonts w:ascii="Verdana" w:eastAsia="Calibri" w:hAnsi="Verdana" w:cs="Arial"/>
                <w:color w:val="000000" w:themeColor="text1"/>
              </w:rPr>
              <w:t xml:space="preserve">, </w:t>
            </w:r>
            <w:r w:rsidRPr="00830965">
              <w:rPr>
                <w:rFonts w:ascii="Verdana" w:eastAsia="Calibri" w:hAnsi="Verdana" w:cs="Arial"/>
                <w:color w:val="000000" w:themeColor="text1"/>
              </w:rPr>
              <w:t>artículo 104, numeral 2</w:t>
            </w:r>
            <w:r w:rsidRPr="00D22F9B">
              <w:rPr>
                <w:rFonts w:ascii="Verdana" w:hAnsi="Verdana" w:cs="Arial"/>
              </w:rPr>
              <w:t xml:space="preserve"> </w:t>
            </w:r>
          </w:p>
        </w:tc>
      </w:tr>
    </w:tbl>
    <w:p w14:paraId="018ADE4C" w14:textId="77777777" w:rsidR="00964309" w:rsidRPr="009A2D70" w:rsidRDefault="00964309" w:rsidP="009A2D70">
      <w:pPr>
        <w:widowControl w:val="0"/>
        <w:autoSpaceDE w:val="0"/>
        <w:autoSpaceDN w:val="0"/>
        <w:spacing w:after="0" w:line="276" w:lineRule="auto"/>
        <w:jc w:val="both"/>
        <w:rPr>
          <w:rFonts w:ascii="Verdana" w:eastAsia="Calibri" w:hAnsi="Verdana" w:cs="Arial"/>
        </w:rPr>
      </w:pPr>
    </w:p>
    <w:p w14:paraId="477ECAF2" w14:textId="77777777" w:rsidR="00964309" w:rsidRPr="009A2D70" w:rsidRDefault="00964309">
      <w:pPr>
        <w:numPr>
          <w:ilvl w:val="0"/>
          <w:numId w:val="16"/>
        </w:numPr>
        <w:tabs>
          <w:tab w:val="left" w:pos="142"/>
          <w:tab w:val="left" w:pos="284"/>
        </w:tabs>
        <w:spacing w:after="0" w:line="276" w:lineRule="auto"/>
        <w:jc w:val="both"/>
        <w:rPr>
          <w:rFonts w:ascii="Verdana" w:eastAsia="Century Gothic" w:hAnsi="Verdana" w:cs="Century Gothic"/>
          <w:b/>
          <w:bCs/>
        </w:rPr>
      </w:pPr>
      <w:r w:rsidRPr="009A2D70">
        <w:rPr>
          <w:rFonts w:ascii="Verdana" w:eastAsia="Century Gothic" w:hAnsi="Verdana" w:cs="Century Gothic"/>
          <w:b/>
          <w:bCs/>
        </w:rPr>
        <w:t>Doctrina de la Agencia Nacional de Contratación Pública:</w:t>
      </w:r>
    </w:p>
    <w:p w14:paraId="663C8EBD" w14:textId="77777777" w:rsidR="00964309" w:rsidRPr="009A2D70" w:rsidRDefault="00964309">
      <w:pPr>
        <w:widowControl w:val="0"/>
        <w:autoSpaceDE w:val="0"/>
        <w:autoSpaceDN w:val="0"/>
        <w:spacing w:after="0" w:line="276" w:lineRule="auto"/>
        <w:jc w:val="both"/>
        <w:rPr>
          <w:rFonts w:ascii="Verdana" w:eastAsia="Calibri" w:hAnsi="Verdana" w:cs="Arial"/>
          <w:color w:val="000000"/>
          <w:kern w:val="2"/>
          <w:shd w:val="clear" w:color="auto" w:fill="FFFFFF"/>
          <w14:ligatures w14:val="standardContextual"/>
        </w:rPr>
      </w:pPr>
    </w:p>
    <w:p w14:paraId="3C3CD262" w14:textId="77777777" w:rsidR="00964309" w:rsidRPr="009A2D70" w:rsidRDefault="00964309" w:rsidP="001620C5">
      <w:pPr>
        <w:widowControl w:val="0"/>
        <w:autoSpaceDE w:val="0"/>
        <w:autoSpaceDN w:val="0"/>
        <w:spacing w:after="0" w:line="276" w:lineRule="auto"/>
        <w:jc w:val="both"/>
        <w:rPr>
          <w:rStyle w:val="normaltextrun"/>
          <w:rFonts w:ascii="Verdana" w:hAnsi="Verdana" w:cs="Arial"/>
          <w:shd w:val="clear" w:color="auto" w:fill="FFFFFF"/>
        </w:rPr>
      </w:pPr>
      <w:r w:rsidRPr="009A2D70">
        <w:rPr>
          <w:rStyle w:val="normaltextrun"/>
          <w:rFonts w:ascii="Verdana" w:hAnsi="Verdana" w:cs="Arial"/>
          <w:shd w:val="clear" w:color="auto" w:fill="FFFFFF"/>
          <w:lang w:val="es-ES_tradnl"/>
        </w:rPr>
        <w:t>Esta Subdirección se ha pronunciado sobre el régimen jurídico de los contratos de arrendamiento en los Conceptos C-646 del 22 de noviembre de 2021, C-214 del 22 de abril de 2022, C-830 del 16 de diciembre de 2024, C-159 del 20 de marzo de 2025 y Concepto C-1648 de noviembre de 2025. Es</w:t>
      </w:r>
      <w:r w:rsidRPr="009A2D70">
        <w:rPr>
          <w:rFonts w:ascii="Verdana" w:hAnsi="Verdana"/>
          <w:lang w:val="es-ES_tradnl"/>
        </w:rPr>
        <w:t>tos y otros se encuentran disponibles para consulta en el Sistema de relatoría de la Agencia, al cual puede accederse a través del siguiente enlace:</w:t>
      </w:r>
      <w:r w:rsidRPr="009A2D70">
        <w:rPr>
          <w:rStyle w:val="normaltextrun"/>
          <w:rFonts w:ascii="Verdana" w:hAnsi="Verdana" w:cs="Arial"/>
          <w:shd w:val="clear" w:color="auto" w:fill="FFFFFF"/>
        </w:rPr>
        <w:t xml:space="preserve"> </w:t>
      </w:r>
      <w:hyperlink r:id="rId13" w:history="1">
        <w:r w:rsidRPr="009A2D70">
          <w:rPr>
            <w:rStyle w:val="Hipervnculo"/>
            <w:rFonts w:ascii="Verdana" w:hAnsi="Verdana" w:cs="Arial"/>
            <w:shd w:val="clear" w:color="auto" w:fill="FFFFFF"/>
          </w:rPr>
          <w:t>https://relatoria.colombiacompra.gov.co/busqueda/conceptos</w:t>
        </w:r>
      </w:hyperlink>
      <w:r w:rsidRPr="009A2D70">
        <w:rPr>
          <w:rStyle w:val="normaltextrun"/>
          <w:rFonts w:ascii="Verdana" w:hAnsi="Verdana" w:cs="Arial"/>
          <w:shd w:val="clear" w:color="auto" w:fill="FFFFFF"/>
        </w:rPr>
        <w:t>.</w:t>
      </w:r>
    </w:p>
    <w:p w14:paraId="05C2AAA7" w14:textId="74C40ED6" w:rsidR="004B62F6" w:rsidRPr="009A2D70" w:rsidRDefault="004B62F6" w:rsidP="009A2D70">
      <w:pPr>
        <w:spacing w:after="0" w:line="276" w:lineRule="auto"/>
        <w:jc w:val="both"/>
        <w:rPr>
          <w:rFonts w:ascii="Verdana" w:hAnsi="Verdana"/>
        </w:rPr>
      </w:pPr>
    </w:p>
    <w:p w14:paraId="364FA752" w14:textId="77777777" w:rsidR="009A2D70" w:rsidRPr="009A2D70" w:rsidRDefault="009A2D70" w:rsidP="001620C5">
      <w:pPr>
        <w:spacing w:after="0" w:line="276" w:lineRule="auto"/>
        <w:jc w:val="both"/>
        <w:rPr>
          <w:rFonts w:ascii="Verdana" w:hAnsi="Verdana"/>
        </w:rPr>
      </w:pPr>
      <w:r w:rsidRPr="009A2D70">
        <w:rPr>
          <w:rFonts w:ascii="Verdana" w:hAnsi="Verdana"/>
        </w:rPr>
        <w:t xml:space="preserve">La sostenibilidad no es una opción, es una obligación. Por ello, la Agencia Nacional de Contratación Pública –Colombia Compra Eficiente– te invita a realizar el </w:t>
      </w:r>
      <w:r w:rsidRPr="009A2D70">
        <w:rPr>
          <w:rFonts w:ascii="Verdana" w:hAnsi="Verdana"/>
          <w:b/>
          <w:bCs/>
        </w:rPr>
        <w:t>Curso de Contratación Pública Sostenible y Socialmente Responsable</w:t>
      </w:r>
      <w:r w:rsidRPr="009A2D70">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9A2D70">
        <w:rPr>
          <w:rFonts w:ascii="Verdana" w:hAnsi="Verdana"/>
        </w:rPr>
        <w:br/>
      </w:r>
      <w:hyperlink r:id="rId14" w:tgtFrame="_new" w:history="1">
        <w:r w:rsidRPr="009A2D70">
          <w:rPr>
            <w:rStyle w:val="Hipervnculo"/>
            <w:rFonts w:ascii="Verdana" w:hAnsi="Verdana"/>
          </w:rPr>
          <w:t>https://formacionvirtual.colombiacompra.gov.co/mod/page/view.php?id=3718</w:t>
        </w:r>
      </w:hyperlink>
    </w:p>
    <w:p w14:paraId="28D2BD9F" w14:textId="77777777" w:rsidR="009A2D70" w:rsidRPr="009A2D70" w:rsidRDefault="009A2D70" w:rsidP="001620C5">
      <w:pPr>
        <w:spacing w:after="0" w:line="276" w:lineRule="auto"/>
        <w:jc w:val="both"/>
        <w:rPr>
          <w:rFonts w:ascii="Verdana" w:hAnsi="Verdana"/>
        </w:rPr>
      </w:pPr>
      <w:r w:rsidRPr="009A2D70">
        <w:rPr>
          <w:rFonts w:ascii="Verdana" w:hAnsi="Verdana"/>
        </w:rPr>
        <w:lastRenderedPageBreak/>
        <w:t xml:space="preserve">De otro lado, te contamos que esta Agencia ha da un paso decisivo en la estandarización y modernización del </w:t>
      </w:r>
      <w:r w:rsidRPr="009A2D70">
        <w:rPr>
          <w:rFonts w:ascii="Verdana" w:hAnsi="Verdana"/>
          <w:b/>
          <w:bCs/>
        </w:rPr>
        <w:t>sector  social</w:t>
      </w:r>
      <w:r w:rsidRPr="009A2D70">
        <w:rPr>
          <w:rFonts w:ascii="Verdana" w:hAnsi="Verdana"/>
        </w:rPr>
        <w:t xml:space="preserve"> con la expedición de las </w:t>
      </w:r>
      <w:r w:rsidRPr="009A2D70">
        <w:rPr>
          <w:rFonts w:ascii="Verdana" w:hAnsi="Verdana"/>
          <w:b/>
          <w:bCs/>
        </w:rPr>
        <w:t>Resoluciones 539, 540, 541, 952 y 953 de 2025</w:t>
      </w:r>
      <w:r w:rsidRPr="009A2D70">
        <w:rPr>
          <w:rFonts w:ascii="Verdana" w:hAnsi="Verdana"/>
        </w:rPr>
        <w:t xml:space="preserve">, </w:t>
      </w:r>
      <w:r w:rsidRPr="009A2D70">
        <w:rPr>
          <w:rFonts w:ascii="Verdana" w:hAnsi="Verdana"/>
          <w:b/>
          <w:bCs/>
        </w:rPr>
        <w:t>mediante las cuales adoptó Documentos Tipo</w:t>
      </w:r>
      <w:r w:rsidRPr="009A2D70">
        <w:rPr>
          <w:rFonts w:ascii="Verdana" w:hAnsi="Verdana"/>
        </w:rPr>
        <w:t xml:space="preserve"> para las modalidades de selección de</w:t>
      </w:r>
      <w:r w:rsidRPr="009A2D70">
        <w:rPr>
          <w:rFonts w:ascii="Verdana" w:hAnsi="Verdana"/>
          <w:b/>
          <w:bCs/>
        </w:rPr>
        <w:t xml:space="preserve"> licitación pública (versión 2), selección abreviada de menor cuantía, mínima cuantía, consultoría e interventoría</w:t>
      </w:r>
      <w:r w:rsidRPr="009A2D70">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9A2D70">
          <w:rPr>
            <w:rStyle w:val="Hipervnculo"/>
            <w:rFonts w:ascii="Verdana" w:hAnsi="Verdana"/>
          </w:rPr>
          <w:t>https://www.colombiacompra.gov.co/normativa-y-relatoria/documentos-tipo</w:t>
        </w:r>
      </w:hyperlink>
    </w:p>
    <w:p w14:paraId="5253DFE4" w14:textId="77777777" w:rsidR="009A2D70" w:rsidRDefault="009A2D70" w:rsidP="009A2D70">
      <w:pPr>
        <w:spacing w:after="0" w:line="276" w:lineRule="auto"/>
        <w:jc w:val="both"/>
        <w:rPr>
          <w:rFonts w:ascii="Verdana" w:hAnsi="Verdana"/>
        </w:rPr>
      </w:pPr>
    </w:p>
    <w:p w14:paraId="207A1FDB" w14:textId="2EA02FBB" w:rsidR="009A2D70" w:rsidRPr="009A2D70" w:rsidRDefault="009A2D70" w:rsidP="009A2D70">
      <w:pPr>
        <w:spacing w:after="0" w:line="276" w:lineRule="auto"/>
        <w:jc w:val="both"/>
        <w:rPr>
          <w:rFonts w:ascii="Verdana" w:hAnsi="Verdana"/>
        </w:rPr>
      </w:pPr>
      <w:r w:rsidRPr="009A2D70">
        <w:rPr>
          <w:rFonts w:ascii="Verdana" w:hAnsi="Verdana"/>
        </w:rPr>
        <w:t xml:space="preserve">Si quieres conocer más sobre la aplicación de Documentos Tipo puedes consultar la última versión de la </w:t>
      </w:r>
      <w:r w:rsidRPr="009A2D70">
        <w:rPr>
          <w:rFonts w:ascii="Verdana" w:hAnsi="Verdana"/>
          <w:b/>
          <w:bCs/>
        </w:rPr>
        <w:t>Guía para la comprensión e implementación de los Documentos Tipo de obra pública de infraestructura de transporte</w:t>
      </w:r>
      <w:r w:rsidRPr="009A2D70">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9A2D70">
        <w:rPr>
          <w:rFonts w:ascii="Verdana" w:hAnsi="Verdana"/>
        </w:rPr>
        <w:br/>
      </w:r>
      <w:hyperlink r:id="rId16" w:tgtFrame="_new" w:history="1">
        <w:r w:rsidRPr="009A2D70">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717C791" w14:textId="77777777" w:rsidR="009A2D70" w:rsidRPr="009A2D70" w:rsidRDefault="009A2D70" w:rsidP="009A2D70">
      <w:pPr>
        <w:spacing w:after="0" w:line="276" w:lineRule="auto"/>
        <w:jc w:val="both"/>
        <w:rPr>
          <w:rFonts w:ascii="Verdana" w:hAnsi="Verdana"/>
        </w:rPr>
      </w:pPr>
    </w:p>
    <w:p w14:paraId="045FDEC2" w14:textId="181971F5" w:rsidR="00964309" w:rsidRPr="009A2D70" w:rsidRDefault="00964309">
      <w:pPr>
        <w:spacing w:after="0" w:line="276" w:lineRule="auto"/>
        <w:jc w:val="both"/>
        <w:rPr>
          <w:rFonts w:ascii="Verdana" w:hAnsi="Verdana"/>
        </w:rPr>
      </w:pPr>
      <w:r w:rsidRPr="009A2D7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33591B2" w14:textId="77777777" w:rsidR="004B62F6" w:rsidRPr="009A2D70" w:rsidRDefault="004B62F6" w:rsidP="001620C5">
      <w:pPr>
        <w:spacing w:after="0" w:line="276" w:lineRule="auto"/>
        <w:jc w:val="both"/>
        <w:rPr>
          <w:rFonts w:ascii="Verdana" w:hAnsi="Verdana"/>
        </w:rPr>
      </w:pPr>
    </w:p>
    <w:p w14:paraId="6CF17431" w14:textId="77777777" w:rsidR="00964309" w:rsidRPr="009A2D70" w:rsidRDefault="00964309" w:rsidP="001620C5">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CO"/>
        </w:rPr>
      </w:pPr>
      <w:r w:rsidRPr="009A2D70">
        <w:rPr>
          <w:rFonts w:ascii="Verdana" w:eastAsia="Verdana" w:hAnsi="Verdana" w:cs="Verdana"/>
          <w:lang w:val="es-CO"/>
        </w:rPr>
        <w:t xml:space="preserve">Línea nacional gratuita o servicio a la ciudadanía (Mesa de servicio): </w:t>
      </w:r>
      <w:r w:rsidRPr="009A2D70">
        <w:rPr>
          <w:rStyle w:val="Hipervnculo"/>
          <w:rFonts w:ascii="Verdana" w:hAnsi="Verdana"/>
          <w:lang w:val="es-CO"/>
        </w:rPr>
        <w:t>01800 0520808</w:t>
      </w:r>
    </w:p>
    <w:p w14:paraId="06037317" w14:textId="77777777" w:rsidR="00964309" w:rsidRPr="009A2D70" w:rsidRDefault="00964309" w:rsidP="001620C5">
      <w:pPr>
        <w:pStyle w:val="Prrafodelista"/>
        <w:numPr>
          <w:ilvl w:val="0"/>
          <w:numId w:val="15"/>
        </w:numPr>
        <w:spacing w:after="0" w:line="276" w:lineRule="auto"/>
        <w:contextualSpacing w:val="0"/>
        <w:rPr>
          <w:rFonts w:ascii="Verdana" w:eastAsia="Verdana" w:hAnsi="Verdana" w:cs="Verdana"/>
          <w:color w:val="4472C4" w:themeColor="accent1"/>
          <w:u w:val="single"/>
          <w:lang w:val="es-CO"/>
        </w:rPr>
      </w:pPr>
      <w:r w:rsidRPr="009A2D70">
        <w:rPr>
          <w:rFonts w:ascii="Verdana" w:eastAsia="Verdana" w:hAnsi="Verdana" w:cs="Verdana"/>
          <w:lang w:val="es-CO"/>
        </w:rPr>
        <w:t>Línea en Bogotá (Mesa de servicio):</w:t>
      </w:r>
      <w:r w:rsidRPr="009A2D70">
        <w:rPr>
          <w:rStyle w:val="Hipervnculo"/>
          <w:rFonts w:ascii="Verdana" w:hAnsi="Verdana"/>
          <w:lang w:val="es-CO"/>
        </w:rPr>
        <w:t>+57 601 7456788</w:t>
      </w:r>
    </w:p>
    <w:p w14:paraId="4D62F36D" w14:textId="77777777" w:rsidR="00964309" w:rsidRPr="009A2D70" w:rsidRDefault="00964309" w:rsidP="001620C5">
      <w:pPr>
        <w:pStyle w:val="Prrafodelista"/>
        <w:numPr>
          <w:ilvl w:val="0"/>
          <w:numId w:val="15"/>
        </w:numPr>
        <w:spacing w:after="0" w:line="276" w:lineRule="auto"/>
        <w:contextualSpacing w:val="0"/>
        <w:rPr>
          <w:rFonts w:ascii="Verdana" w:eastAsia="Verdana" w:hAnsi="Verdana" w:cs="Verdana"/>
          <w:color w:val="0000FF"/>
          <w:u w:val="single"/>
          <w:lang w:val="es-CO"/>
        </w:rPr>
      </w:pPr>
      <w:r w:rsidRPr="009A2D70">
        <w:rPr>
          <w:rFonts w:ascii="Verdana" w:eastAsia="Verdana" w:hAnsi="Verdana" w:cs="Verdana"/>
          <w:lang w:val="es-CO"/>
        </w:rPr>
        <w:t xml:space="preserve">Correo de radicación de correspondencia: </w:t>
      </w:r>
      <w:hyperlink r:id="rId17" w:history="1">
        <w:r w:rsidRPr="009A2D70">
          <w:rPr>
            <w:rStyle w:val="Hipervnculo"/>
            <w:rFonts w:ascii="Verdana" w:eastAsia="Verdana" w:hAnsi="Verdana" w:cs="Verdana"/>
            <w:lang w:val="es-CO"/>
          </w:rPr>
          <w:t>ventanilladeradicacion@colombiacompra.gov.co</w:t>
        </w:r>
      </w:hyperlink>
    </w:p>
    <w:p w14:paraId="68216DAB" w14:textId="77777777" w:rsidR="00964309" w:rsidRPr="009A2D70" w:rsidRDefault="00964309" w:rsidP="001620C5">
      <w:pPr>
        <w:pStyle w:val="Prrafodelista"/>
        <w:numPr>
          <w:ilvl w:val="0"/>
          <w:numId w:val="15"/>
        </w:numPr>
        <w:spacing w:after="0" w:line="276" w:lineRule="auto"/>
        <w:ind w:left="720"/>
        <w:contextualSpacing w:val="0"/>
        <w:jc w:val="both"/>
        <w:rPr>
          <w:rFonts w:ascii="Verdana" w:hAnsi="Verdana"/>
        </w:rPr>
      </w:pPr>
      <w:r w:rsidRPr="009A2D70">
        <w:rPr>
          <w:rFonts w:ascii="Verdana" w:eastAsia="Verdana" w:hAnsi="Verdana" w:cs="Verdana"/>
          <w:lang w:val="es-CO"/>
        </w:rPr>
        <w:lastRenderedPageBreak/>
        <w:t xml:space="preserve">Formulario web para PQRSD: </w:t>
      </w:r>
      <w:hyperlink r:id="rId18" w:history="1">
        <w:r w:rsidRPr="009A2D70">
          <w:rPr>
            <w:rStyle w:val="Hipervnculo"/>
            <w:rFonts w:ascii="Verdana" w:eastAsia="Verdana" w:hAnsi="Verdana" w:cs="Verdana"/>
            <w:lang w:val="es-CO"/>
          </w:rPr>
          <w:t>https://www.colombiacompra.gov.co/pqrsd/informacion-importante-antes-de-formular-una-pqrsd</w:t>
        </w:r>
      </w:hyperlink>
    </w:p>
    <w:p w14:paraId="6579277D" w14:textId="77777777" w:rsidR="00964309" w:rsidRPr="009A2D70" w:rsidRDefault="00964309" w:rsidP="001620C5">
      <w:pPr>
        <w:pStyle w:val="Prrafodelista"/>
        <w:spacing w:after="0" w:line="276" w:lineRule="auto"/>
        <w:contextualSpacing w:val="0"/>
        <w:jc w:val="both"/>
        <w:rPr>
          <w:rFonts w:ascii="Verdana" w:hAnsi="Verdana"/>
        </w:rPr>
      </w:pPr>
    </w:p>
    <w:p w14:paraId="73ECD59A" w14:textId="77777777" w:rsidR="00964309" w:rsidRPr="009A2D70" w:rsidRDefault="00964309" w:rsidP="001620C5">
      <w:pPr>
        <w:spacing w:after="0" w:line="276" w:lineRule="auto"/>
        <w:rPr>
          <w:rFonts w:ascii="Verdana" w:hAnsi="Verdana"/>
        </w:rPr>
      </w:pPr>
      <w:r w:rsidRPr="009A2D70">
        <w:rPr>
          <w:rFonts w:ascii="Verdana" w:hAnsi="Verdana"/>
        </w:rPr>
        <w:t xml:space="preserve">Evalúa el servicio que ofrece la Agencia por el canal de atención de PQRSD en el siguiente enlace: </w:t>
      </w:r>
      <w:hyperlink r:id="rId19" w:history="1">
        <w:r w:rsidRPr="009A2D70">
          <w:rPr>
            <w:rStyle w:val="Hipervnculo"/>
            <w:rFonts w:ascii="Verdana" w:hAnsi="Verdana"/>
          </w:rPr>
          <w:t>https://forms.office.com/r/pPHyWVs2SZ</w:t>
        </w:r>
      </w:hyperlink>
      <w:r w:rsidRPr="009A2D70">
        <w:rPr>
          <w:rFonts w:ascii="Verdana" w:hAnsi="Verdana"/>
        </w:rPr>
        <w:t>. ¡Ayúdanos a mejorar porque el compromiso es de todos!</w:t>
      </w:r>
    </w:p>
    <w:p w14:paraId="1667C970" w14:textId="77777777" w:rsidR="004B62F6" w:rsidRPr="009A2D70" w:rsidRDefault="004B62F6" w:rsidP="009A2D70">
      <w:pPr>
        <w:spacing w:after="0" w:line="276" w:lineRule="auto"/>
        <w:rPr>
          <w:rFonts w:ascii="Verdana" w:hAnsi="Verdana"/>
        </w:rPr>
      </w:pPr>
    </w:p>
    <w:p w14:paraId="5FCB6410" w14:textId="49A69325" w:rsidR="00964309" w:rsidRPr="009A2D70" w:rsidRDefault="00964309" w:rsidP="001620C5">
      <w:pPr>
        <w:spacing w:after="0" w:line="276" w:lineRule="auto"/>
        <w:rPr>
          <w:rFonts w:ascii="Verdana" w:hAnsi="Verdana"/>
        </w:rPr>
      </w:pPr>
      <w:r w:rsidRPr="009A2D70">
        <w:rPr>
          <w:rFonts w:ascii="Verdana" w:hAnsi="Verdana"/>
        </w:rPr>
        <w:t xml:space="preserve">Por último, lo invitamos a seguirnos en las redes sociales en las cuales se difunde información institucional: </w:t>
      </w:r>
    </w:p>
    <w:p w14:paraId="18CAA20A" w14:textId="77777777" w:rsidR="00964309" w:rsidRPr="009A2D70" w:rsidRDefault="00964309" w:rsidP="009A2D70">
      <w:pPr>
        <w:spacing w:after="0" w:line="276" w:lineRule="auto"/>
        <w:jc w:val="both"/>
        <w:rPr>
          <w:rFonts w:ascii="Verdana" w:hAnsi="Verdana"/>
        </w:rPr>
      </w:pPr>
      <w:r w:rsidRPr="009A2D70">
        <w:rPr>
          <w:rFonts w:ascii="Verdana" w:hAnsi="Verdana"/>
        </w:rPr>
        <w:t xml:space="preserve">Twitter: </w:t>
      </w:r>
      <w:r w:rsidRPr="009A2D70">
        <w:rPr>
          <w:rStyle w:val="Hipervnculo"/>
          <w:rFonts w:ascii="Verdana" w:hAnsi="Verdana"/>
        </w:rPr>
        <w:t>@colombiacompra</w:t>
      </w:r>
      <w:r w:rsidRPr="009A2D70">
        <w:rPr>
          <w:rFonts w:ascii="Verdana" w:hAnsi="Verdana"/>
        </w:rPr>
        <w:t xml:space="preserve"> </w:t>
      </w:r>
    </w:p>
    <w:p w14:paraId="30B72683" w14:textId="77777777" w:rsidR="00964309" w:rsidRPr="009A2D70" w:rsidRDefault="00964309">
      <w:pPr>
        <w:spacing w:after="0" w:line="276" w:lineRule="auto"/>
        <w:jc w:val="both"/>
        <w:rPr>
          <w:rFonts w:ascii="Verdana" w:hAnsi="Verdana"/>
        </w:rPr>
      </w:pPr>
      <w:r w:rsidRPr="009A2D70">
        <w:rPr>
          <w:rFonts w:ascii="Verdana" w:hAnsi="Verdana"/>
        </w:rPr>
        <w:t xml:space="preserve">Facebook: </w:t>
      </w:r>
      <w:proofErr w:type="spellStart"/>
      <w:r w:rsidRPr="009A2D70">
        <w:rPr>
          <w:rStyle w:val="Hipervnculo"/>
          <w:rFonts w:ascii="Verdana" w:hAnsi="Verdana"/>
        </w:rPr>
        <w:t>ColombiaCompraEficiente</w:t>
      </w:r>
      <w:proofErr w:type="spellEnd"/>
    </w:p>
    <w:p w14:paraId="7D4D3100" w14:textId="33412749" w:rsidR="00964309" w:rsidRPr="009A2D70" w:rsidRDefault="00964309">
      <w:pPr>
        <w:spacing w:after="0" w:line="276" w:lineRule="auto"/>
        <w:jc w:val="both"/>
        <w:rPr>
          <w:rStyle w:val="Hipervnculo"/>
          <w:rFonts w:ascii="Verdana" w:hAnsi="Verdana"/>
        </w:rPr>
      </w:pPr>
      <w:r w:rsidRPr="001620C5">
        <w:rPr>
          <w:rFonts w:ascii="Verdana" w:hAnsi="Verdana"/>
        </w:rPr>
        <w:t xml:space="preserve">LinkedIn: </w:t>
      </w:r>
      <w:r w:rsidRPr="009A2D70">
        <w:rPr>
          <w:rStyle w:val="Hipervnculo"/>
          <w:rFonts w:ascii="Verdana" w:hAnsi="Verdana"/>
        </w:rPr>
        <w:t>Agencia Nacional de Contratación Pública - Colombia Compra Eficiente</w:t>
      </w:r>
      <w:r w:rsidRPr="009A2D70">
        <w:rPr>
          <w:rFonts w:ascii="Verdana" w:hAnsi="Verdana"/>
        </w:rPr>
        <w:t xml:space="preserve"> Instagram: </w:t>
      </w:r>
      <w:r w:rsidRPr="009A2D70">
        <w:rPr>
          <w:rStyle w:val="Hipervnculo"/>
          <w:rFonts w:ascii="Verdana" w:hAnsi="Verdana"/>
        </w:rPr>
        <w:t>@colombiacompraeficiente_cce</w:t>
      </w:r>
    </w:p>
    <w:p w14:paraId="658CE0D4" w14:textId="77777777" w:rsidR="009A2D70" w:rsidRPr="009A2D70" w:rsidRDefault="009A2D70" w:rsidP="001620C5">
      <w:pPr>
        <w:spacing w:after="0" w:line="276" w:lineRule="auto"/>
        <w:jc w:val="both"/>
        <w:rPr>
          <w:rFonts w:ascii="Verdana" w:hAnsi="Verdana"/>
        </w:rPr>
      </w:pPr>
    </w:p>
    <w:p w14:paraId="155DBCCC" w14:textId="77777777" w:rsidR="00964309" w:rsidRPr="009A2D70" w:rsidRDefault="00964309" w:rsidP="009A2D70">
      <w:pPr>
        <w:spacing w:after="0" w:line="276" w:lineRule="auto"/>
        <w:jc w:val="both"/>
        <w:rPr>
          <w:rFonts w:ascii="Verdana" w:eastAsia="Calibri" w:hAnsi="Verdana" w:cs="Times New Roman"/>
          <w:bCs/>
        </w:rPr>
      </w:pPr>
      <w:r w:rsidRPr="009A2D70">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48978A6" w14:textId="77777777" w:rsidR="00964309" w:rsidRPr="009A2D70" w:rsidRDefault="00964309" w:rsidP="009A2D70">
      <w:pPr>
        <w:spacing w:after="0" w:line="276" w:lineRule="auto"/>
        <w:rPr>
          <w:rFonts w:ascii="Verdana" w:eastAsia="Times New Roman" w:hAnsi="Verdana" w:cs="Arial"/>
          <w:lang w:eastAsia="es-CO"/>
        </w:rPr>
      </w:pPr>
      <w:bookmarkStart w:id="3" w:name="_Hlk117695077"/>
    </w:p>
    <w:p w14:paraId="2DACD420" w14:textId="65693742" w:rsidR="00781D07" w:rsidRPr="00781D07" w:rsidRDefault="00781D07" w:rsidP="00781D07">
      <w:pPr>
        <w:spacing w:after="0" w:line="276" w:lineRule="auto"/>
        <w:rPr>
          <w:rFonts w:ascii="Verdana" w:eastAsia="Times New Roman" w:hAnsi="Verdana" w:cs="Arial"/>
          <w:noProof/>
          <w:lang w:eastAsia="es-CO"/>
        </w:rPr>
      </w:pPr>
    </w:p>
    <w:p w14:paraId="48E64136" w14:textId="058A2E93" w:rsidR="00964309" w:rsidRPr="009A2D70" w:rsidRDefault="00964309">
      <w:pPr>
        <w:spacing w:line="276" w:lineRule="auto"/>
        <w:rPr>
          <w:rFonts w:ascii="Verdana" w:eastAsia="Times New Roman" w:hAnsi="Verdana" w:cs="Arial"/>
          <w:lang w:eastAsia="es-CO"/>
        </w:rPr>
      </w:pPr>
      <w:r w:rsidRPr="009A2D70">
        <w:rPr>
          <w:rFonts w:ascii="Verdana" w:eastAsia="Times New Roman" w:hAnsi="Verdana" w:cs="Arial"/>
          <w:lang w:eastAsia="es-CO"/>
        </w:rPr>
        <w:t xml:space="preserve">Atentamente, </w:t>
      </w:r>
    </w:p>
    <w:p w14:paraId="44608457" w14:textId="1079C6C1" w:rsidR="00964309" w:rsidRDefault="00781D07" w:rsidP="00964309">
      <w:pPr>
        <w:spacing w:line="276" w:lineRule="auto"/>
        <w:rPr>
          <w:rFonts w:ascii="Verdana" w:eastAsia="Times New Roman" w:hAnsi="Verdana" w:cs="Arial"/>
          <w:lang w:eastAsia="es-CO"/>
        </w:rPr>
      </w:pPr>
      <w:r w:rsidRPr="00781D07">
        <w:rPr>
          <w:rFonts w:ascii="Verdana" w:eastAsia="Times New Roman" w:hAnsi="Verdana" w:cs="Arial"/>
          <w:noProof/>
          <w:lang w:eastAsia="es-CO"/>
        </w:rPr>
        <w:drawing>
          <wp:anchor distT="0" distB="0" distL="114300" distR="114300" simplePos="0" relativeHeight="251660288" behindDoc="1" locked="0" layoutInCell="1" allowOverlap="1" wp14:anchorId="01121499" wp14:editId="3A7B4479">
            <wp:simplePos x="0" y="0"/>
            <wp:positionH relativeFrom="margin">
              <wp:align>center</wp:align>
            </wp:positionH>
            <wp:positionV relativeFrom="paragraph">
              <wp:posOffset>10040</wp:posOffset>
            </wp:positionV>
            <wp:extent cx="3771900" cy="1400175"/>
            <wp:effectExtent l="0" t="0" r="0" b="9525"/>
            <wp:wrapNone/>
            <wp:docPr id="1453443565" name="Imagen 3"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443565" name="Imagen 3" descr="Texto&#10;&#10;El contenido generado por IA puede ser incorrect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anchor>
        </w:drawing>
      </w:r>
    </w:p>
    <w:p w14:paraId="45C1E1A2" w14:textId="77777777" w:rsidR="00964309" w:rsidRDefault="00964309" w:rsidP="00964309">
      <w:pPr>
        <w:spacing w:line="276" w:lineRule="auto"/>
        <w:rPr>
          <w:rFonts w:ascii="Verdana" w:eastAsia="Times New Roman" w:hAnsi="Verdana" w:cs="Arial"/>
          <w:lang w:eastAsia="es-CO"/>
        </w:rPr>
      </w:pPr>
    </w:p>
    <w:p w14:paraId="39F9F080" w14:textId="77777777" w:rsidR="00964309" w:rsidRPr="00D456A7" w:rsidRDefault="00964309" w:rsidP="00964309">
      <w:pPr>
        <w:spacing w:line="276" w:lineRule="auto"/>
        <w:rPr>
          <w:rFonts w:ascii="Verdana" w:eastAsia="Times New Roman" w:hAnsi="Verdana" w:cs="Arial"/>
          <w:lang w:eastAsia="es-CO"/>
        </w:rPr>
      </w:pPr>
    </w:p>
    <w:p w14:paraId="46A66566" w14:textId="77777777" w:rsidR="00781D07" w:rsidRDefault="00781D07" w:rsidP="00964309">
      <w:pPr>
        <w:spacing w:after="0" w:line="276" w:lineRule="auto"/>
        <w:jc w:val="center"/>
        <w:rPr>
          <w:rFonts w:ascii="Verdana" w:eastAsia="Times New Roman" w:hAnsi="Verdana" w:cs="Arial"/>
          <w:lang w:eastAsia="es-CO"/>
        </w:rPr>
      </w:pPr>
    </w:p>
    <w:p w14:paraId="448C2083" w14:textId="3AF0E5A3" w:rsidR="00964309" w:rsidRPr="00D22F9B" w:rsidRDefault="00964309" w:rsidP="00964309">
      <w:pPr>
        <w:spacing w:after="0" w:line="276" w:lineRule="auto"/>
        <w:jc w:val="center"/>
        <w:rPr>
          <w:rFonts w:ascii="Verdana" w:eastAsia="Times New Roman" w:hAnsi="Verdana" w:cs="Arial"/>
          <w:lang w:eastAsia="es-CO"/>
        </w:rPr>
      </w:pPr>
      <w:r w:rsidRPr="00D22F9B">
        <w:rPr>
          <w:rFonts w:ascii="Verdana" w:eastAsia="Times New Roman" w:hAnsi="Verdana" w:cs="Arial"/>
          <w:lang w:eastAsia="es-CO"/>
        </w:rPr>
        <w:t xml:space="preserve"> </w:t>
      </w:r>
    </w:p>
    <w:bookmarkEnd w:id="3"/>
    <w:p w14:paraId="4EC81C67" w14:textId="77777777" w:rsidR="00964309" w:rsidRPr="00D22F9B" w:rsidRDefault="00964309" w:rsidP="00964309">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64309" w:rsidRPr="00432BAE" w14:paraId="3FACA50B" w14:textId="77777777" w:rsidTr="00ED1B57">
        <w:trPr>
          <w:trHeight w:val="315"/>
        </w:trPr>
        <w:tc>
          <w:tcPr>
            <w:tcW w:w="893" w:type="dxa"/>
            <w:vAlign w:val="center"/>
            <w:hideMark/>
          </w:tcPr>
          <w:p w14:paraId="6DF67AF3" w14:textId="77777777" w:rsidR="00964309" w:rsidRPr="004F246A" w:rsidRDefault="00964309" w:rsidP="00ED1B57">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23D7ACD2" w14:textId="77777777" w:rsidR="00964309" w:rsidRPr="004F246A" w:rsidRDefault="00964309" w:rsidP="00ED1B57">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Ángela María Olmos Andrade</w:t>
            </w:r>
          </w:p>
          <w:p w14:paraId="240DC789" w14:textId="77777777" w:rsidR="00964309" w:rsidRPr="004F246A" w:rsidRDefault="00964309" w:rsidP="00ED1B57">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Analista T2 - 02 de la Subdirección de Gestión Contractual</w:t>
            </w:r>
          </w:p>
        </w:tc>
      </w:tr>
      <w:tr w:rsidR="00964309" w:rsidRPr="00432BAE" w14:paraId="79CB05C9" w14:textId="77777777" w:rsidTr="00ED1B57">
        <w:trPr>
          <w:trHeight w:val="330"/>
        </w:trPr>
        <w:tc>
          <w:tcPr>
            <w:tcW w:w="893" w:type="dxa"/>
            <w:vAlign w:val="center"/>
            <w:hideMark/>
          </w:tcPr>
          <w:p w14:paraId="5D445B67" w14:textId="77777777" w:rsidR="00964309" w:rsidRPr="004F246A" w:rsidRDefault="00964309" w:rsidP="00ED1B57">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22737867" w14:textId="77777777" w:rsidR="00964309" w:rsidRPr="004F246A" w:rsidRDefault="00964309" w:rsidP="00ED1B57">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Diana Lucia Saavedra</w:t>
            </w:r>
          </w:p>
          <w:p w14:paraId="42DED62B" w14:textId="77777777" w:rsidR="00964309" w:rsidRPr="004F246A" w:rsidRDefault="00964309" w:rsidP="00ED1B57">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4F246A">
              <w:rPr>
                <w:rFonts w:ascii="Verdana" w:eastAsia="Times New Roman" w:hAnsi="Verdana" w:cs="Arial"/>
                <w:color w:val="000000"/>
                <w:sz w:val="16"/>
                <w:szCs w:val="16"/>
              </w:rPr>
              <w:t xml:space="preserve"> de la Subdirección de Gestión Contractual</w:t>
            </w:r>
          </w:p>
        </w:tc>
      </w:tr>
      <w:tr w:rsidR="00964309" w:rsidRPr="00432BAE" w14:paraId="632592B6" w14:textId="77777777" w:rsidTr="00ED1B57">
        <w:trPr>
          <w:trHeight w:val="300"/>
        </w:trPr>
        <w:tc>
          <w:tcPr>
            <w:tcW w:w="893" w:type="dxa"/>
            <w:vAlign w:val="center"/>
            <w:hideMark/>
          </w:tcPr>
          <w:p w14:paraId="7CA9EBDF" w14:textId="77777777" w:rsidR="00964309" w:rsidRPr="004F246A" w:rsidRDefault="00964309" w:rsidP="00ED1B57">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1DCAD3F5" w14:textId="77777777" w:rsidR="00964309" w:rsidRPr="004F246A" w:rsidRDefault="00964309" w:rsidP="00ED1B57">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Carolina Quintero Gacharná</w:t>
            </w:r>
          </w:p>
          <w:p w14:paraId="093220EB" w14:textId="77777777" w:rsidR="00964309" w:rsidRPr="004F246A" w:rsidRDefault="00964309" w:rsidP="00ED1B57">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Subdirectora de Gestión Contractual ANCP – CCE</w:t>
            </w:r>
          </w:p>
        </w:tc>
      </w:tr>
    </w:tbl>
    <w:p w14:paraId="337A4AED" w14:textId="77777777" w:rsidR="00964309" w:rsidRPr="00D22F9B" w:rsidRDefault="00964309" w:rsidP="00964309">
      <w:pPr>
        <w:spacing w:after="0" w:line="276" w:lineRule="auto"/>
        <w:jc w:val="both"/>
        <w:textAlignment w:val="baseline"/>
        <w:rPr>
          <w:rFonts w:ascii="Verdana" w:eastAsia="Times New Roman" w:hAnsi="Verdana" w:cs="Segoe UI"/>
          <w:lang w:eastAsia="es-CO"/>
        </w:rPr>
      </w:pPr>
    </w:p>
    <w:bookmarkEnd w:id="0"/>
    <w:p w14:paraId="12443EE0" w14:textId="77777777" w:rsidR="00C15139" w:rsidRPr="0024624F" w:rsidRDefault="00C15139" w:rsidP="30821638">
      <w:pPr>
        <w:spacing w:after="0"/>
        <w:rPr>
          <w:rFonts w:ascii="Verdana" w:eastAsia="Verdana" w:hAnsi="Verdana" w:cs="Verdana"/>
        </w:rPr>
      </w:pPr>
    </w:p>
    <w:sectPr w:rsidR="00C15139" w:rsidRPr="0024624F" w:rsidSect="00916707">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50359" w14:textId="77777777" w:rsidR="00D7758B" w:rsidRDefault="00D7758B" w:rsidP="004A1847">
      <w:pPr>
        <w:spacing w:after="0" w:line="240" w:lineRule="auto"/>
      </w:pPr>
      <w:r>
        <w:separator/>
      </w:r>
    </w:p>
  </w:endnote>
  <w:endnote w:type="continuationSeparator" w:id="0">
    <w:p w14:paraId="4698319C" w14:textId="77777777" w:rsidR="00D7758B" w:rsidRDefault="00D7758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ED247" w14:textId="77777777" w:rsidR="00D7758B" w:rsidRDefault="00D7758B" w:rsidP="004A1847">
      <w:pPr>
        <w:spacing w:after="0" w:line="240" w:lineRule="auto"/>
      </w:pPr>
      <w:r>
        <w:separator/>
      </w:r>
    </w:p>
  </w:footnote>
  <w:footnote w:type="continuationSeparator" w:id="0">
    <w:p w14:paraId="71990102" w14:textId="77777777" w:rsidR="00D7758B" w:rsidRDefault="00D7758B" w:rsidP="004A1847">
      <w:pPr>
        <w:spacing w:after="0" w:line="240" w:lineRule="auto"/>
      </w:pPr>
      <w:r>
        <w:continuationSeparator/>
      </w:r>
    </w:p>
  </w:footnote>
  <w:footnote w:id="1">
    <w:p w14:paraId="04704EAE" w14:textId="77777777" w:rsidR="00964309" w:rsidRPr="00916707" w:rsidRDefault="00964309" w:rsidP="00964309">
      <w:pPr>
        <w:pStyle w:val="Textonotapie"/>
        <w:ind w:firstLine="708"/>
        <w:jc w:val="both"/>
        <w:rPr>
          <w:rFonts w:ascii="Verdana" w:hAnsi="Verdana"/>
          <w:sz w:val="16"/>
          <w:szCs w:val="16"/>
        </w:rPr>
      </w:pPr>
      <w:r w:rsidRPr="0031671B">
        <w:rPr>
          <w:rStyle w:val="Refdenotaalpie"/>
          <w:rFonts w:ascii="Verdana" w:hAnsi="Verdana"/>
          <w:sz w:val="16"/>
          <w:szCs w:val="16"/>
        </w:rPr>
        <w:footnoteRef/>
      </w:r>
      <w:r w:rsidRPr="0031671B">
        <w:rPr>
          <w:rFonts w:ascii="Verdana" w:hAnsi="Verdana"/>
          <w:sz w:val="16"/>
          <w:szCs w:val="16"/>
        </w:rPr>
        <w:t xml:space="preserve"> </w:t>
      </w:r>
      <w:r w:rsidRPr="00916707">
        <w:rPr>
          <w:rFonts w:ascii="Verdana" w:hAnsi="Verdana"/>
          <w:sz w:val="16"/>
          <w:szCs w:val="16"/>
        </w:rPr>
        <w:t>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63872CF2" w14:textId="77777777" w:rsidR="00964309" w:rsidRPr="00916707" w:rsidRDefault="00964309" w:rsidP="00964309">
      <w:pPr>
        <w:pStyle w:val="Textonotapie"/>
        <w:ind w:firstLine="708"/>
        <w:jc w:val="both"/>
        <w:rPr>
          <w:rFonts w:ascii="Verdana" w:hAnsi="Verdana"/>
          <w:sz w:val="16"/>
          <w:szCs w:val="16"/>
        </w:rPr>
      </w:pPr>
      <w:r w:rsidRPr="00916707">
        <w:rPr>
          <w:rFonts w:ascii="Verdana" w:hAnsi="Verdana"/>
          <w:sz w:val="16"/>
          <w:szCs w:val="16"/>
        </w:rPr>
        <w:t>[…]</w:t>
      </w:r>
    </w:p>
    <w:p w14:paraId="53D4218B" w14:textId="77777777" w:rsidR="00964309" w:rsidRPr="00916707" w:rsidRDefault="00964309" w:rsidP="00964309">
      <w:pPr>
        <w:pStyle w:val="Textonotapie"/>
        <w:ind w:firstLine="708"/>
        <w:jc w:val="both"/>
        <w:rPr>
          <w:rFonts w:ascii="Verdana" w:hAnsi="Verdana"/>
          <w:sz w:val="16"/>
          <w:szCs w:val="16"/>
        </w:rPr>
      </w:pPr>
      <w:r w:rsidRPr="00916707">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0C17C557" w14:textId="77777777" w:rsidR="00964309" w:rsidRPr="00916707" w:rsidRDefault="00964309" w:rsidP="00964309">
      <w:pPr>
        <w:pStyle w:val="Textonotapie"/>
        <w:ind w:firstLine="708"/>
        <w:jc w:val="both"/>
        <w:rPr>
          <w:rFonts w:ascii="Verdana" w:hAnsi="Verdana"/>
          <w:sz w:val="16"/>
          <w:szCs w:val="16"/>
        </w:rPr>
      </w:pPr>
      <w:r w:rsidRPr="00916707">
        <w:rPr>
          <w:rFonts w:ascii="Verdana" w:hAnsi="Verdana"/>
          <w:sz w:val="16"/>
          <w:szCs w:val="16"/>
        </w:rPr>
        <w:t>En todo caso, el Presidente de la República podrá celebrar contratos a nombre de la Nación”.</w:t>
      </w:r>
    </w:p>
  </w:footnote>
  <w:footnote w:id="2">
    <w:p w14:paraId="06FA470B" w14:textId="77777777" w:rsidR="00964309" w:rsidRPr="00916707" w:rsidRDefault="00964309" w:rsidP="00964309">
      <w:pPr>
        <w:pStyle w:val="Textonotapie"/>
        <w:ind w:firstLine="708"/>
        <w:jc w:val="both"/>
        <w:rPr>
          <w:rFonts w:ascii="Verdana" w:hAnsi="Verdana" w:cs="Arial"/>
          <w:sz w:val="16"/>
          <w:szCs w:val="16"/>
        </w:rPr>
      </w:pPr>
      <w:r w:rsidRPr="006D4D8E">
        <w:rPr>
          <w:rStyle w:val="Refdenotaalpie"/>
          <w:rFonts w:ascii="Verdana" w:hAnsi="Verdana" w:cs="Arial"/>
          <w:sz w:val="14"/>
          <w:szCs w:val="14"/>
        </w:rPr>
        <w:footnoteRef/>
      </w:r>
      <w:r w:rsidRPr="006D4D8E">
        <w:rPr>
          <w:rFonts w:ascii="Verdana" w:hAnsi="Verdana" w:cs="Arial"/>
          <w:sz w:val="14"/>
          <w:szCs w:val="14"/>
        </w:rPr>
        <w:t xml:space="preserve"> </w:t>
      </w:r>
      <w:r w:rsidRPr="00916707">
        <w:rPr>
          <w:rFonts w:ascii="Verdana" w:hAnsi="Verdana" w:cs="Arial"/>
          <w:sz w:val="16"/>
          <w:szCs w:val="16"/>
        </w:rPr>
        <w:t>El inciso primero de norma disponía que, conforme al principio de transparencia, “</w:t>
      </w:r>
      <w:r w:rsidRPr="00916707">
        <w:rPr>
          <w:rFonts w:ascii="Verdana" w:hAnsi="Verdana" w:cs="Arial"/>
          <w:i/>
          <w:iCs/>
          <w:sz w:val="16"/>
          <w:szCs w:val="16"/>
        </w:rPr>
        <w:t>La escogencia del contratista se efectuará siempre a través de licitación o concurso públicos</w:t>
      </w:r>
      <w:r w:rsidRPr="00916707">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4A841975" w14:textId="77777777" w:rsidR="00964309" w:rsidRPr="00916707" w:rsidRDefault="00964309" w:rsidP="00964309">
      <w:pPr>
        <w:pStyle w:val="Textonotapie"/>
        <w:jc w:val="both"/>
        <w:rPr>
          <w:sz w:val="16"/>
          <w:szCs w:val="16"/>
        </w:rPr>
      </w:pPr>
      <w:r w:rsidRPr="00916707">
        <w:rPr>
          <w:rStyle w:val="Refdenotaalpie"/>
          <w:sz w:val="16"/>
          <w:szCs w:val="16"/>
        </w:rPr>
        <w:footnoteRef/>
      </w:r>
      <w:r w:rsidRPr="00916707">
        <w:rPr>
          <w:sz w:val="16"/>
          <w:szCs w:val="16"/>
        </w:rPr>
        <w:t xml:space="preserve"> </w:t>
      </w:r>
      <w:r w:rsidRPr="00916707">
        <w:rPr>
          <w:rFonts w:ascii="Verdana" w:hAnsi="Verdana" w:cs="Arial"/>
          <w:sz w:val="16"/>
          <w:szCs w:val="16"/>
        </w:rPr>
        <w:t>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916707">
        <w:rPr>
          <w:rFonts w:ascii="Verdana" w:hAnsi="Verdana" w:cs="Arial"/>
          <w:i/>
          <w:iCs/>
          <w:sz w:val="16"/>
          <w:szCs w:val="16"/>
        </w:rPr>
        <w:t>Presentación de la oferta de manera dinámica</w:t>
      </w:r>
      <w:r w:rsidRPr="00916707">
        <w:rPr>
          <w:rFonts w:ascii="Verdana" w:hAnsi="Verdana" w:cs="Arial"/>
          <w:sz w:val="16"/>
          <w:szCs w:val="16"/>
        </w:rPr>
        <w:t>).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w:t>
      </w:r>
    </w:p>
  </w:footnote>
  <w:footnote w:id="4">
    <w:p w14:paraId="48D17AA4" w14:textId="77777777" w:rsidR="00964309" w:rsidRPr="00916707" w:rsidRDefault="00964309" w:rsidP="00964309">
      <w:pPr>
        <w:pStyle w:val="Textonotapie"/>
        <w:jc w:val="both"/>
        <w:rPr>
          <w:sz w:val="16"/>
          <w:szCs w:val="16"/>
        </w:rPr>
      </w:pPr>
      <w:r w:rsidRPr="00916707">
        <w:rPr>
          <w:rStyle w:val="Refdenotaalpie"/>
          <w:sz w:val="16"/>
          <w:szCs w:val="16"/>
        </w:rPr>
        <w:footnoteRef/>
      </w:r>
      <w:r w:rsidRPr="00916707">
        <w:rPr>
          <w:sz w:val="16"/>
          <w:szCs w:val="16"/>
        </w:rPr>
        <w:t xml:space="preserve"> </w:t>
      </w:r>
      <w:r w:rsidRPr="00916707">
        <w:rPr>
          <w:rFonts w:ascii="Verdana" w:hAnsi="Verdana" w:cs="Arial"/>
          <w:sz w:val="16"/>
          <w:szCs w:val="16"/>
        </w:rPr>
        <w:t>CONSEJO DE ESTADO. Sección Tercera. Sentencia del 4 de abril de 2002, C.P. Alier E. Hernández Enríquez, Rad. 1999-0290-01 (17.244).</w:t>
      </w:r>
    </w:p>
  </w:footnote>
  <w:footnote w:id="5">
    <w:p w14:paraId="275AB6F4" w14:textId="77777777" w:rsidR="00964309" w:rsidRPr="00916707" w:rsidRDefault="00964309" w:rsidP="00964309">
      <w:pPr>
        <w:spacing w:after="0" w:line="242" w:lineRule="auto"/>
        <w:ind w:right="108" w:firstLine="709"/>
        <w:jc w:val="both"/>
        <w:rPr>
          <w:rFonts w:ascii="Verdana" w:hAnsi="Verdana" w:cs="Arial"/>
          <w:sz w:val="16"/>
          <w:szCs w:val="16"/>
        </w:rPr>
      </w:pPr>
      <w:r w:rsidRPr="00916707">
        <w:rPr>
          <w:rStyle w:val="Refdenotaalpie"/>
          <w:rFonts w:ascii="Verdana" w:hAnsi="Verdana" w:cs="Arial"/>
          <w:sz w:val="16"/>
          <w:szCs w:val="16"/>
        </w:rPr>
        <w:footnoteRef/>
      </w:r>
      <w:r w:rsidRPr="00916707">
        <w:rPr>
          <w:rFonts w:ascii="Verdana" w:hAnsi="Verdana" w:cs="Arial"/>
          <w:sz w:val="16"/>
          <w:szCs w:val="16"/>
        </w:rPr>
        <w:t xml:space="preserve"> CONSEJO DE ESTADO. Sección Tercera. Auto del 30 de enero de 2008. Rad. 32.867. M.P. Mauricio Fajardo Gómez: “A partir de la vigencia de la Ley 80, expedida en el año de 1993, el ordenamiento positivo adoptó la categoría del contrato estatal, el cual -al margen de los reparos que amerita la definición contenida en la parte inicial de su artículo 32-, se encuentra legalmente definido como aquel acto jurídico creador de obligaciones a cuya celebración concurra una de las entidades estatales que menciona el artículo 2º ibídem, independientemente de que se trate de contratos previstos o tipificados en el derecho privado, en disposiciones especiales o que sencillamente resulten del ejercicio de la autonomía de la voluntad como suele suceder con los que se clasifican como atípicos e innominados (artículo 32, Ley 80). Así pues, la Ley 80 adoptó un criterio eminentemente subjetivo u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w:t>
      </w:r>
      <w:r w:rsidRPr="00916707">
        <w:rPr>
          <w:rFonts w:ascii="Verdana" w:hAnsi="Verdana" w:cs="Arial"/>
          <w:spacing w:val="-2"/>
          <w:sz w:val="16"/>
          <w:szCs w:val="16"/>
        </w:rPr>
        <w:t xml:space="preserve"> </w:t>
      </w:r>
      <w:r w:rsidRPr="00916707">
        <w:rPr>
          <w:rFonts w:ascii="Verdana" w:hAnsi="Verdana" w:cs="Arial"/>
          <w:sz w:val="16"/>
          <w:szCs w:val="16"/>
        </w:rPr>
        <w:t xml:space="preserve">estatal”. </w:t>
      </w:r>
    </w:p>
  </w:footnote>
  <w:footnote w:id="6">
    <w:p w14:paraId="5E296C28" w14:textId="77777777" w:rsidR="00964309" w:rsidRPr="00916707" w:rsidRDefault="00964309" w:rsidP="00964309">
      <w:pPr>
        <w:pStyle w:val="Textonotapie"/>
        <w:ind w:firstLine="708"/>
        <w:jc w:val="both"/>
        <w:rPr>
          <w:rFonts w:ascii="Verdana" w:hAnsi="Verdana"/>
          <w:sz w:val="16"/>
          <w:szCs w:val="16"/>
          <w:lang w:val="es-CO"/>
        </w:rPr>
      </w:pPr>
      <w:r w:rsidRPr="006D4D8E">
        <w:rPr>
          <w:rStyle w:val="Refdenotaalpie"/>
          <w:rFonts w:ascii="Verdana" w:hAnsi="Verdana"/>
          <w:sz w:val="14"/>
          <w:szCs w:val="14"/>
        </w:rPr>
        <w:footnoteRef/>
      </w:r>
      <w:r w:rsidRPr="006D4D8E">
        <w:rPr>
          <w:rFonts w:ascii="Verdana" w:hAnsi="Verdana"/>
          <w:sz w:val="14"/>
          <w:szCs w:val="14"/>
        </w:rPr>
        <w:t xml:space="preserve"> </w:t>
      </w:r>
      <w:r w:rsidRPr="00916707">
        <w:rPr>
          <w:rFonts w:ascii="Verdana" w:hAnsi="Verdana" w:cs="Arial"/>
          <w:sz w:val="16"/>
          <w:szCs w:val="16"/>
          <w:lang w:val="es-ES"/>
        </w:rPr>
        <w:t xml:space="preserve">Por ello, “[…] </w:t>
      </w:r>
      <w:r w:rsidRPr="00916707">
        <w:rPr>
          <w:rFonts w:ascii="Verdana" w:hAnsi="Verdana" w:cs="Arial"/>
          <w:sz w:val="16"/>
          <w:szCs w:val="16"/>
        </w:rPr>
        <w:t xml:space="preserve">la clasificación de estatal, respecto de un determinado contrato, no determina, </w:t>
      </w:r>
      <w:r w:rsidRPr="00916707">
        <w:rPr>
          <w:rFonts w:ascii="Verdana" w:hAnsi="Verdana" w:cs="Arial"/>
          <w:i/>
          <w:iCs/>
          <w:sz w:val="16"/>
          <w:szCs w:val="16"/>
        </w:rPr>
        <w:t>per se</w:t>
      </w:r>
      <w:r w:rsidRPr="00916707">
        <w:rPr>
          <w:rFonts w:ascii="Verdana" w:hAnsi="Verdana" w:cs="Arial"/>
          <w:sz w:val="16"/>
          <w:szCs w:val="16"/>
        </w:rPr>
        <w:t>, el régimen legal que deba aplicársele al mismo, puesto que resulta perfectamente posible, incluso en relación con contratos estatales propiamente dichos, que las normas sustanciales a la cuales deba someterse la relación contractual sean aquellas que formen parte del denominado derecho privado, sin que por ello pierda su condición de estatal, así como también puede resultar -como ocurre con la generalidad de los casos-, que el régimen jurídico correspondiente sea mixto, esto es integrado tanto por normas de derecho público como de derecho privado” (</w:t>
      </w:r>
      <w:r w:rsidRPr="00916707">
        <w:rPr>
          <w:rFonts w:ascii="Verdana" w:hAnsi="Verdana" w:cs="Arial"/>
          <w:i/>
          <w:iCs/>
          <w:sz w:val="16"/>
          <w:szCs w:val="16"/>
        </w:rPr>
        <w:t>Ibidem</w:t>
      </w:r>
      <w:r w:rsidRPr="00916707">
        <w:rPr>
          <w:rFonts w:ascii="Verdana" w:hAnsi="Verdana" w:cs="Arial"/>
          <w:sz w:val="16"/>
          <w:szCs w:val="16"/>
        </w:rPr>
        <w:t>).</w:t>
      </w:r>
    </w:p>
  </w:footnote>
  <w:footnote w:id="7">
    <w:p w14:paraId="7627193D" w14:textId="77777777" w:rsidR="00964309" w:rsidRPr="00916707" w:rsidRDefault="00964309" w:rsidP="00964309">
      <w:pPr>
        <w:pStyle w:val="Textonotapie"/>
        <w:ind w:firstLine="708"/>
        <w:jc w:val="both"/>
        <w:rPr>
          <w:rFonts w:ascii="Verdana" w:hAnsi="Verdana"/>
          <w:sz w:val="16"/>
          <w:szCs w:val="16"/>
        </w:rPr>
      </w:pPr>
      <w:r w:rsidRPr="00F26E5F">
        <w:rPr>
          <w:rStyle w:val="Refdenotaalpie"/>
          <w:rFonts w:ascii="Verdana" w:hAnsi="Verdana"/>
          <w:sz w:val="16"/>
          <w:szCs w:val="16"/>
        </w:rPr>
        <w:footnoteRef/>
      </w:r>
      <w:r w:rsidRPr="00F26E5F">
        <w:rPr>
          <w:rFonts w:ascii="Verdana" w:hAnsi="Verdana"/>
          <w:sz w:val="16"/>
          <w:szCs w:val="16"/>
        </w:rPr>
        <w:t xml:space="preserve"> </w:t>
      </w:r>
      <w:r w:rsidRPr="00916707">
        <w:rPr>
          <w:rFonts w:ascii="Verdana" w:hAnsi="Verdana"/>
          <w:sz w:val="16"/>
          <w:szCs w:val="16"/>
        </w:rPr>
        <w:t>Para la doctrina, “[…] ni el objeto (art. 2.º) ni las funciones (art. 3.º) que la ley de creación confió a la Agencia (Dcto. -Ley 4170/11) comprenden competencias normativas sobre la contratación. Aunque el numeral 2.º del artículo 3.º le confiere las funciones de ‘desarrollar, implementar […] normas […] que faciliten las compras y contratación pública del Estado y promuevan las mejores prácticas’, ello no puede concebirse como una competencia específicamente normativa. Su misión de carácter técnico es promover las mejores condiciones de contratación, lo que comprende la realización de estudios y diagnósticos (num. 4.º), la difusión de normas, reglas y procedimientos (num. 10), el brindar apoyo a entidades territoriales (num. 11) y la promoción de políticas y normas ante el Gobierno Nacional (num. 1.º). Estas labores de apoyo, tanto a las entidades contratantes como al Gobierno Nacional, no comportan una función normativa propia […]” (Cfr. BENAVIDES, José Luis. Contratos públicos. Estudios. Bogotá: Universidad Externado de Colombia, 2014. p. 166).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1.5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012C15"/>
    <w:multiLevelType w:val="hybridMultilevel"/>
    <w:tmpl w:val="98D80D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E447517"/>
    <w:multiLevelType w:val="hybridMultilevel"/>
    <w:tmpl w:val="E69215D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91191094">
    <w:abstractNumId w:val="6"/>
  </w:num>
  <w:num w:numId="2" w16cid:durableId="1063678426">
    <w:abstractNumId w:val="1"/>
  </w:num>
  <w:num w:numId="3" w16cid:durableId="973482450">
    <w:abstractNumId w:val="4"/>
  </w:num>
  <w:num w:numId="4" w16cid:durableId="14239132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6526285">
    <w:abstractNumId w:val="1"/>
  </w:num>
  <w:num w:numId="6" w16cid:durableId="1212811138">
    <w:abstractNumId w:val="14"/>
  </w:num>
  <w:num w:numId="7" w16cid:durableId="2098862254">
    <w:abstractNumId w:val="5"/>
  </w:num>
  <w:num w:numId="8" w16cid:durableId="2048137819">
    <w:abstractNumId w:val="13"/>
  </w:num>
  <w:num w:numId="9" w16cid:durableId="1415273351">
    <w:abstractNumId w:val="7"/>
  </w:num>
  <w:num w:numId="10" w16cid:durableId="2043896596">
    <w:abstractNumId w:val="12"/>
  </w:num>
  <w:num w:numId="11" w16cid:durableId="243101910">
    <w:abstractNumId w:val="8"/>
  </w:num>
  <w:num w:numId="12" w16cid:durableId="611788794">
    <w:abstractNumId w:val="0"/>
  </w:num>
  <w:num w:numId="13" w16cid:durableId="1206912992">
    <w:abstractNumId w:val="2"/>
  </w:num>
  <w:num w:numId="14" w16cid:durableId="695469047">
    <w:abstractNumId w:val="15"/>
  </w:num>
  <w:num w:numId="15" w16cid:durableId="1754355683">
    <w:abstractNumId w:val="11"/>
  </w:num>
  <w:num w:numId="16" w16cid:durableId="2058047192">
    <w:abstractNumId w:val="10"/>
  </w:num>
  <w:num w:numId="17" w16cid:durableId="716928807">
    <w:abstractNumId w:val="3"/>
  </w:num>
  <w:num w:numId="18" w16cid:durableId="5484917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135"/>
    <w:rsid w:val="00016F78"/>
    <w:rsid w:val="00046945"/>
    <w:rsid w:val="00061B2A"/>
    <w:rsid w:val="00082362"/>
    <w:rsid w:val="00092259"/>
    <w:rsid w:val="000A683E"/>
    <w:rsid w:val="000B19B9"/>
    <w:rsid w:val="000D0334"/>
    <w:rsid w:val="000D5DA7"/>
    <w:rsid w:val="000F41C4"/>
    <w:rsid w:val="000F6486"/>
    <w:rsid w:val="00116940"/>
    <w:rsid w:val="00125105"/>
    <w:rsid w:val="00127233"/>
    <w:rsid w:val="0015699B"/>
    <w:rsid w:val="001620C5"/>
    <w:rsid w:val="00175EC5"/>
    <w:rsid w:val="001A33BF"/>
    <w:rsid w:val="001E4177"/>
    <w:rsid w:val="001F0B24"/>
    <w:rsid w:val="001F7DC6"/>
    <w:rsid w:val="0022400B"/>
    <w:rsid w:val="00237CCB"/>
    <w:rsid w:val="002421BB"/>
    <w:rsid w:val="0025796E"/>
    <w:rsid w:val="002707A2"/>
    <w:rsid w:val="002951A0"/>
    <w:rsid w:val="002962BC"/>
    <w:rsid w:val="002A093D"/>
    <w:rsid w:val="002A0DD0"/>
    <w:rsid w:val="002A28A5"/>
    <w:rsid w:val="002A49AC"/>
    <w:rsid w:val="002A64FD"/>
    <w:rsid w:val="002C7A84"/>
    <w:rsid w:val="002E2BF8"/>
    <w:rsid w:val="002E4FD9"/>
    <w:rsid w:val="0030657A"/>
    <w:rsid w:val="00321609"/>
    <w:rsid w:val="00322A85"/>
    <w:rsid w:val="00324168"/>
    <w:rsid w:val="00330834"/>
    <w:rsid w:val="00332261"/>
    <w:rsid w:val="00341DB6"/>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0BF5"/>
    <w:rsid w:val="00466E39"/>
    <w:rsid w:val="004A1847"/>
    <w:rsid w:val="004A305D"/>
    <w:rsid w:val="004B62F6"/>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97E7D"/>
    <w:rsid w:val="006A6CB1"/>
    <w:rsid w:val="006A7625"/>
    <w:rsid w:val="006D4D8E"/>
    <w:rsid w:val="00706C16"/>
    <w:rsid w:val="007340C3"/>
    <w:rsid w:val="00736529"/>
    <w:rsid w:val="0075235A"/>
    <w:rsid w:val="00756841"/>
    <w:rsid w:val="007649AB"/>
    <w:rsid w:val="00771D0C"/>
    <w:rsid w:val="00781D07"/>
    <w:rsid w:val="007833AC"/>
    <w:rsid w:val="007B268C"/>
    <w:rsid w:val="007B7171"/>
    <w:rsid w:val="007C0C0F"/>
    <w:rsid w:val="007C3DC2"/>
    <w:rsid w:val="007E5497"/>
    <w:rsid w:val="008059BB"/>
    <w:rsid w:val="00806F5F"/>
    <w:rsid w:val="00820278"/>
    <w:rsid w:val="008258C9"/>
    <w:rsid w:val="00844AE9"/>
    <w:rsid w:val="00867F95"/>
    <w:rsid w:val="008843B6"/>
    <w:rsid w:val="00891928"/>
    <w:rsid w:val="008A446D"/>
    <w:rsid w:val="008B25F1"/>
    <w:rsid w:val="008D180B"/>
    <w:rsid w:val="008F0EA7"/>
    <w:rsid w:val="00916707"/>
    <w:rsid w:val="00923EEF"/>
    <w:rsid w:val="009419F9"/>
    <w:rsid w:val="0095685E"/>
    <w:rsid w:val="00961B09"/>
    <w:rsid w:val="00964309"/>
    <w:rsid w:val="00965334"/>
    <w:rsid w:val="0097093E"/>
    <w:rsid w:val="009A0DFA"/>
    <w:rsid w:val="009A1C6F"/>
    <w:rsid w:val="009A2D70"/>
    <w:rsid w:val="009A5340"/>
    <w:rsid w:val="009B2D26"/>
    <w:rsid w:val="009C71FA"/>
    <w:rsid w:val="009C72E7"/>
    <w:rsid w:val="009C7F7E"/>
    <w:rsid w:val="009D3058"/>
    <w:rsid w:val="009F3A13"/>
    <w:rsid w:val="00A122D3"/>
    <w:rsid w:val="00A14468"/>
    <w:rsid w:val="00A17F13"/>
    <w:rsid w:val="00A20739"/>
    <w:rsid w:val="00A23AF9"/>
    <w:rsid w:val="00A33C78"/>
    <w:rsid w:val="00AB0ADB"/>
    <w:rsid w:val="00AD5FB3"/>
    <w:rsid w:val="00B00C0E"/>
    <w:rsid w:val="00B01B1A"/>
    <w:rsid w:val="00B0381D"/>
    <w:rsid w:val="00B44A47"/>
    <w:rsid w:val="00B6436E"/>
    <w:rsid w:val="00B72CD3"/>
    <w:rsid w:val="00B72FFF"/>
    <w:rsid w:val="00BC3D36"/>
    <w:rsid w:val="00BD0987"/>
    <w:rsid w:val="00BD54A6"/>
    <w:rsid w:val="00BD7F72"/>
    <w:rsid w:val="00BF7425"/>
    <w:rsid w:val="00C04FB3"/>
    <w:rsid w:val="00C11D8B"/>
    <w:rsid w:val="00C15139"/>
    <w:rsid w:val="00C330EB"/>
    <w:rsid w:val="00C50D69"/>
    <w:rsid w:val="00C5365C"/>
    <w:rsid w:val="00C754BE"/>
    <w:rsid w:val="00C76B1C"/>
    <w:rsid w:val="00C8101F"/>
    <w:rsid w:val="00C925AC"/>
    <w:rsid w:val="00CB6357"/>
    <w:rsid w:val="00CB7F8A"/>
    <w:rsid w:val="00CC1B26"/>
    <w:rsid w:val="00D114A8"/>
    <w:rsid w:val="00D35734"/>
    <w:rsid w:val="00D361FD"/>
    <w:rsid w:val="00D423A2"/>
    <w:rsid w:val="00D44E26"/>
    <w:rsid w:val="00D520D8"/>
    <w:rsid w:val="00D63AC2"/>
    <w:rsid w:val="00D7383B"/>
    <w:rsid w:val="00D7758B"/>
    <w:rsid w:val="00D7788A"/>
    <w:rsid w:val="00DA231B"/>
    <w:rsid w:val="00DC39FC"/>
    <w:rsid w:val="00DF5254"/>
    <w:rsid w:val="00E02524"/>
    <w:rsid w:val="00E16408"/>
    <w:rsid w:val="00E20894"/>
    <w:rsid w:val="00E245AB"/>
    <w:rsid w:val="00E2764C"/>
    <w:rsid w:val="00E27F2E"/>
    <w:rsid w:val="00E50AFE"/>
    <w:rsid w:val="00E56BED"/>
    <w:rsid w:val="00E75C92"/>
    <w:rsid w:val="00E771DC"/>
    <w:rsid w:val="00E8772A"/>
    <w:rsid w:val="00E90F6B"/>
    <w:rsid w:val="00E92C27"/>
    <w:rsid w:val="00EA0E3D"/>
    <w:rsid w:val="00EC38A7"/>
    <w:rsid w:val="00EE1AA8"/>
    <w:rsid w:val="00F23FEA"/>
    <w:rsid w:val="00F30D57"/>
    <w:rsid w:val="00F31EDC"/>
    <w:rsid w:val="00F462B3"/>
    <w:rsid w:val="00F5664F"/>
    <w:rsid w:val="00F666C4"/>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6430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64309"/>
    <w:rPr>
      <w:rFonts w:ascii="Geomanist Light" w:hAnsi="Geomanist Light"/>
      <w:lang w:val="es-ES"/>
    </w:rPr>
  </w:style>
  <w:style w:type="paragraph" w:styleId="Textoindependiente">
    <w:name w:val="Body Text"/>
    <w:basedOn w:val="Normal"/>
    <w:link w:val="TextoindependienteCar"/>
    <w:uiPriority w:val="1"/>
    <w:qFormat/>
    <w:rsid w:val="00964309"/>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964309"/>
    <w:rPr>
      <w:rFonts w:ascii="Verdana" w:eastAsia="Verdana" w:hAnsi="Verdana" w:cs="Verdana"/>
      <w:lang w:val="es-ES"/>
    </w:rPr>
  </w:style>
  <w:style w:type="character" w:customStyle="1" w:styleId="s15">
    <w:name w:val="s15"/>
    <w:basedOn w:val="Fuentedeprrafopredeter"/>
    <w:rsid w:val="009643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sonia.lorena.moreno2018@g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E95A17-5639-46A6-8B0F-35088E519763}">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AA06637-55C5-4B1B-B191-9FF287367257}"/>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12</Pages>
  <Words>3863</Words>
  <Characters>21905</Characters>
  <Application>Microsoft Office Word</Application>
  <DocSecurity>0</DocSecurity>
  <Lines>429</Lines>
  <Paragraphs>95</Paragraphs>
  <ScaleCrop>false</ScaleCrop>
  <Company/>
  <LinksUpToDate>false</LinksUpToDate>
  <CharactersWithSpaces>25673</CharactersWithSpaces>
  <SharedDoc>false</SharedDoc>
  <HLinks>
    <vt:vector size="48"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4784254</vt:i4>
      </vt:variant>
      <vt:variant>
        <vt:i4>0</vt:i4>
      </vt:variant>
      <vt:variant>
        <vt:i4>0</vt:i4>
      </vt:variant>
      <vt:variant>
        <vt:i4>5</vt:i4>
      </vt:variant>
      <vt:variant>
        <vt:lpwstr>mailto:sonia.lorena.moreno2018@gmail.com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11</cp:revision>
  <cp:lastPrinted>2023-01-10T21:18:00Z</cp:lastPrinted>
  <dcterms:created xsi:type="dcterms:W3CDTF">2026-02-27T20:51:00Z</dcterms:created>
  <dcterms:modified xsi:type="dcterms:W3CDTF">2026-03-02T15:59:00Z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