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9D95ED" w14:textId="3C70E1E8" w:rsidR="000C0184" w:rsidRPr="00076FB5" w:rsidRDefault="00076FB5" w:rsidP="002D36DA">
      <w:pPr>
        <w:spacing w:after="0" w:line="240" w:lineRule="auto"/>
        <w:jc w:val="both"/>
        <w:rPr>
          <w:rFonts w:ascii="Verdana" w:hAnsi="Verdana"/>
          <w:b/>
          <w:bCs/>
        </w:rPr>
      </w:pPr>
      <w:r w:rsidRPr="00076FB5">
        <w:rPr>
          <w:rFonts w:ascii="Verdana" w:eastAsia="Calibri" w:hAnsi="Verdana" w:cs="Arial"/>
          <w:b/>
          <w:bCs/>
          <w:lang w:val="es-ES" w:eastAsia="es-ES"/>
        </w:rPr>
        <w:t xml:space="preserve">GARANTÍAS – Convenios Interadministrativos </w:t>
      </w:r>
      <w:r w:rsidRPr="00076FB5">
        <w:rPr>
          <w:rFonts w:ascii="Verdana" w:eastAsia="Calibri" w:hAnsi="Verdana" w:cs="Arial"/>
          <w:b/>
          <w:bCs/>
          <w:lang w:val="es-ES" w:eastAsia="es-ES"/>
        </w:rPr>
        <w:t>–</w:t>
      </w:r>
      <w:r w:rsidRPr="00076FB5">
        <w:rPr>
          <w:rFonts w:ascii="Verdana" w:eastAsia="Calibri" w:hAnsi="Verdana" w:cs="Arial"/>
          <w:b/>
          <w:bCs/>
          <w:lang w:val="es-ES" w:eastAsia="es-ES"/>
        </w:rPr>
        <w:t xml:space="preserve"> Exigencia</w:t>
      </w:r>
      <w:r w:rsidRPr="00076FB5">
        <w:rPr>
          <w:rFonts w:ascii="Verdana" w:eastAsia="Calibri" w:hAnsi="Verdana" w:cs="Arial"/>
          <w:b/>
          <w:bCs/>
          <w:lang w:val="es-ES" w:eastAsia="es-ES"/>
        </w:rPr>
        <w:t xml:space="preserve"> </w:t>
      </w:r>
    </w:p>
    <w:p w14:paraId="0D5BC27A" w14:textId="77777777" w:rsidR="000C0184" w:rsidRDefault="000C0184" w:rsidP="002D36DA">
      <w:pPr>
        <w:spacing w:after="0" w:line="240" w:lineRule="auto"/>
        <w:jc w:val="both"/>
        <w:rPr>
          <w:rFonts w:ascii="Verdana" w:hAnsi="Verdana"/>
        </w:rPr>
      </w:pPr>
    </w:p>
    <w:p w14:paraId="4B56748E" w14:textId="17FB9CD2" w:rsidR="008B6464" w:rsidRPr="008B6464" w:rsidRDefault="008B6464" w:rsidP="008B6464">
      <w:pPr>
        <w:spacing w:after="120" w:line="276" w:lineRule="auto"/>
        <w:jc w:val="both"/>
        <w:rPr>
          <w:rFonts w:ascii="Verdana" w:eastAsia="Calibri" w:hAnsi="Verdana" w:cs="Arial"/>
          <w:sz w:val="20"/>
          <w:szCs w:val="20"/>
        </w:rPr>
      </w:pPr>
      <w:r w:rsidRPr="008B6464">
        <w:rPr>
          <w:rFonts w:ascii="Verdana" w:eastAsia="Calibri" w:hAnsi="Verdana" w:cs="Arial"/>
          <w:sz w:val="20"/>
          <w:szCs w:val="20"/>
        </w:rPr>
        <w:t>[…]el artículo 7 de la Ley 1150 de 2007 establece que en los contratos interadministrativos las garantías no serán obligatorias. En el mismo sentido, el Decreto 1082 de 2015 prevé que en los convenios interadministrativos la exigencia de garantías no es obligatoria, y la justificación para exigirlas o no debe estar en los estudios previos</w:t>
      </w:r>
      <w:r w:rsidRPr="008B6464">
        <w:rPr>
          <w:rFonts w:ascii="Verdana" w:eastAsia="Calibri" w:hAnsi="Verdana" w:cs="Arial"/>
          <w:sz w:val="20"/>
          <w:szCs w:val="20"/>
        </w:rPr>
        <w:t>.</w:t>
      </w:r>
    </w:p>
    <w:p w14:paraId="0296C8D4" w14:textId="2265E08B" w:rsidR="00773E59" w:rsidRPr="00671D5F" w:rsidRDefault="008B6464" w:rsidP="008B6464">
      <w:pPr>
        <w:spacing w:after="120" w:line="276" w:lineRule="auto"/>
        <w:jc w:val="both"/>
        <w:rPr>
          <w:rFonts w:ascii="Verdana" w:eastAsia="Calibri" w:hAnsi="Verdana" w:cs="Arial"/>
          <w:sz w:val="20"/>
          <w:szCs w:val="20"/>
        </w:rPr>
      </w:pPr>
      <w:r w:rsidRPr="008B6464">
        <w:rPr>
          <w:rFonts w:ascii="Verdana" w:eastAsia="Calibri" w:hAnsi="Verdana" w:cs="Arial"/>
          <w:sz w:val="20"/>
          <w:szCs w:val="20"/>
        </w:rPr>
        <w:t xml:space="preserve">Conforme a lo anterior, la exigencia o no de garantía en un convenio interadministrativo es un asunto sujeto a la autonomía de las Entidades Estatales, en ese sentido, la obligación de constituirlas y sus </w:t>
      </w:r>
      <w:r w:rsidRPr="008B6464">
        <w:rPr>
          <w:rFonts w:ascii="Verdana" w:eastAsia="Calibri" w:hAnsi="Verdana" w:cs="Arial"/>
          <w:sz w:val="20"/>
          <w:szCs w:val="20"/>
        </w:rPr>
        <w:t>condiciones dependerá</w:t>
      </w:r>
      <w:r w:rsidRPr="008B6464">
        <w:rPr>
          <w:rFonts w:ascii="Verdana" w:eastAsia="Calibri" w:hAnsi="Verdana" w:cs="Arial"/>
          <w:sz w:val="20"/>
          <w:szCs w:val="20"/>
        </w:rPr>
        <w:t xml:space="preserve"> de que tal exigencia haya quedado estipulada en la minuta del convenio o en los Documentos del Proceso. Para tales efectos, las Entidades deberán hacer un análisis de conveniencia, así como de los riesgos propios del negocio jurídico, con el fin de determinar la necesidad de exigir las garantías, así como su monto y tiempo de vigencia. </w:t>
      </w:r>
    </w:p>
    <w:p w14:paraId="237ED1D7" w14:textId="4F840F73" w:rsidR="00773E59" w:rsidRPr="00351906" w:rsidRDefault="00351906" w:rsidP="002D36DA">
      <w:pPr>
        <w:spacing w:after="0" w:line="240" w:lineRule="auto"/>
        <w:jc w:val="both"/>
        <w:rPr>
          <w:rFonts w:ascii="Verdana" w:eastAsia="Calibri" w:hAnsi="Verdana" w:cs="Arial"/>
          <w:b/>
          <w:bCs/>
          <w:lang w:val="es-ES" w:eastAsia="es-ES"/>
        </w:rPr>
      </w:pPr>
      <w:r w:rsidRPr="00351906">
        <w:rPr>
          <w:rFonts w:ascii="Verdana" w:eastAsia="Calibri" w:hAnsi="Verdana" w:cs="Arial"/>
          <w:b/>
          <w:bCs/>
          <w:lang w:val="es-ES" w:eastAsia="es-ES"/>
        </w:rPr>
        <w:t xml:space="preserve">GARANTÍAS – Convenios Interadministrativos – </w:t>
      </w:r>
      <w:r w:rsidRPr="00351906">
        <w:rPr>
          <w:rFonts w:ascii="Verdana" w:eastAsia="Calibri" w:hAnsi="Verdana" w:cs="Arial"/>
          <w:b/>
          <w:bCs/>
          <w:lang w:val="es-ES" w:eastAsia="es-ES"/>
        </w:rPr>
        <w:t>Autonomía</w:t>
      </w:r>
      <w:r w:rsidRPr="00351906">
        <w:rPr>
          <w:rFonts w:ascii="Verdana" w:eastAsia="Calibri" w:hAnsi="Verdana" w:cs="Arial"/>
          <w:b/>
          <w:bCs/>
          <w:lang w:val="es-ES" w:eastAsia="es-ES"/>
        </w:rPr>
        <w:t xml:space="preserve"> de la voluntad </w:t>
      </w:r>
    </w:p>
    <w:p w14:paraId="6263D8B8" w14:textId="77777777" w:rsidR="00351906" w:rsidRDefault="00351906" w:rsidP="002D36DA">
      <w:pPr>
        <w:spacing w:after="0" w:line="240" w:lineRule="auto"/>
        <w:jc w:val="both"/>
        <w:rPr>
          <w:rFonts w:ascii="Verdana" w:eastAsia="Calibri" w:hAnsi="Verdana" w:cs="Arial"/>
        </w:rPr>
      </w:pPr>
    </w:p>
    <w:p w14:paraId="07390D31" w14:textId="78EEBE80" w:rsidR="000C0184" w:rsidRPr="00343EDB" w:rsidRDefault="00637AD1" w:rsidP="002D36DA">
      <w:pPr>
        <w:spacing w:after="0" w:line="240" w:lineRule="auto"/>
        <w:jc w:val="both"/>
        <w:rPr>
          <w:rFonts w:ascii="Verdana" w:eastAsia="Calibri" w:hAnsi="Verdana" w:cs="Arial"/>
          <w:sz w:val="20"/>
          <w:szCs w:val="20"/>
        </w:rPr>
      </w:pPr>
      <w:r w:rsidRPr="00343EDB">
        <w:rPr>
          <w:rFonts w:ascii="Verdana" w:eastAsia="Calibri" w:hAnsi="Verdana" w:cs="Arial"/>
          <w:sz w:val="20"/>
          <w:szCs w:val="20"/>
        </w:rPr>
        <w:t xml:space="preserve">[…] la exigencia o no de garantía en un convenio interadministrativo es un asunto sujeto a la autonomía de las Entidades Estatales, en ese sentido, la obligación de constituirlas y sus </w:t>
      </w:r>
      <w:r w:rsidR="00773E59" w:rsidRPr="00343EDB">
        <w:rPr>
          <w:rFonts w:ascii="Verdana" w:eastAsia="Calibri" w:hAnsi="Verdana" w:cs="Arial"/>
          <w:sz w:val="20"/>
          <w:szCs w:val="20"/>
        </w:rPr>
        <w:t>condiciones dependerá</w:t>
      </w:r>
      <w:r w:rsidRPr="00343EDB">
        <w:rPr>
          <w:rFonts w:ascii="Verdana" w:eastAsia="Calibri" w:hAnsi="Verdana" w:cs="Arial"/>
          <w:sz w:val="20"/>
          <w:szCs w:val="20"/>
        </w:rPr>
        <w:t xml:space="preserve"> de que tal exigencia haya quedado estipulada en la minuta del convenio o en los Documentos del Proceso. Para tales efectos, las Entidades deberán hacer un análisis de conveniencia, así como de los riesgos propios del negocio jurídico, con el fin de determinar la necesidad de exigir las garantías, así como su monto y tiempo de vigencia.</w:t>
      </w:r>
      <w:r w:rsidRPr="00343EDB">
        <w:rPr>
          <w:rFonts w:ascii="Verdana" w:eastAsia="Calibri" w:hAnsi="Verdana" w:cs="Arial"/>
          <w:sz w:val="20"/>
          <w:szCs w:val="20"/>
        </w:rPr>
        <w:t xml:space="preserve"> </w:t>
      </w:r>
    </w:p>
    <w:p w14:paraId="3A6D0825" w14:textId="77777777" w:rsidR="00351906" w:rsidRPr="00343EDB" w:rsidRDefault="00351906" w:rsidP="002D36DA">
      <w:pPr>
        <w:spacing w:after="0" w:line="240" w:lineRule="auto"/>
        <w:jc w:val="both"/>
        <w:rPr>
          <w:rFonts w:ascii="Verdana" w:eastAsia="Calibri" w:hAnsi="Verdana" w:cs="Arial"/>
          <w:sz w:val="20"/>
          <w:szCs w:val="20"/>
        </w:rPr>
      </w:pPr>
    </w:p>
    <w:p w14:paraId="1D304D7F" w14:textId="7369F1FD" w:rsidR="00351906" w:rsidRDefault="00351906" w:rsidP="00351906">
      <w:pPr>
        <w:spacing w:after="0" w:line="276" w:lineRule="auto"/>
        <w:jc w:val="both"/>
        <w:rPr>
          <w:rFonts w:ascii="Verdana" w:eastAsia="Calibri" w:hAnsi="Verdana" w:cs="Arial"/>
          <w:sz w:val="20"/>
          <w:szCs w:val="20"/>
        </w:rPr>
      </w:pPr>
      <w:r w:rsidRPr="00343EDB">
        <w:rPr>
          <w:rFonts w:ascii="Verdana" w:eastAsia="Calibri" w:hAnsi="Verdana" w:cs="Arial"/>
          <w:sz w:val="20"/>
          <w:szCs w:val="20"/>
        </w:rPr>
        <w:t xml:space="preserve">Ahora bien, en el caso de que se haya establecido en un convenio interadministrativo la obligación de constituir la garantía única de cumplimiento, esta deberá mantenerse vigente por el término fijado en la minuta del convenio o en los Documentos del Proceso. Así las cosas, para determinar si en un convenio interadministrativo debe mantenerse vigente o no la garantía única de cumplimiento hasta la fecha de la liquidación, deberá revisarse las estipulaciones contenidas en los Documentos del Proceso o en la minuta y se deberán mantener vigentes hasta la fecha establecida, independientemente de las condiciones en las que se haya dado la ejecución del convenio. </w:t>
      </w:r>
    </w:p>
    <w:p w14:paraId="2F53461D" w14:textId="77777777" w:rsidR="0003656D" w:rsidRPr="00343EDB" w:rsidRDefault="0003656D" w:rsidP="00351906">
      <w:pPr>
        <w:spacing w:after="0" w:line="276" w:lineRule="auto"/>
        <w:jc w:val="both"/>
        <w:rPr>
          <w:rFonts w:ascii="Verdana" w:eastAsia="Calibri" w:hAnsi="Verdana" w:cs="Arial"/>
          <w:sz w:val="20"/>
          <w:szCs w:val="20"/>
        </w:rPr>
      </w:pPr>
    </w:p>
    <w:p w14:paraId="308BFB35" w14:textId="77777777" w:rsidR="00C833B2" w:rsidRPr="00C833B2" w:rsidRDefault="00C833B2" w:rsidP="00C833B2">
      <w:pPr>
        <w:spacing w:after="0" w:line="240" w:lineRule="auto"/>
        <w:jc w:val="both"/>
        <w:rPr>
          <w:rFonts w:ascii="Verdana" w:eastAsia="Calibri" w:hAnsi="Verdana" w:cs="Arial"/>
          <w:b/>
          <w:bCs/>
          <w:lang w:val="es-ES" w:eastAsia="es-ES"/>
        </w:rPr>
      </w:pPr>
      <w:r w:rsidRPr="00C833B2">
        <w:rPr>
          <w:rFonts w:ascii="Verdana" w:eastAsia="Calibri" w:hAnsi="Verdana" w:cs="Arial"/>
          <w:b/>
          <w:bCs/>
          <w:lang w:val="es-ES" w:eastAsia="es-ES"/>
        </w:rPr>
        <w:t xml:space="preserve">GARANTÍAS – Reglamentación – Suficiencia – Ampliación – Aprobación </w:t>
      </w:r>
    </w:p>
    <w:p w14:paraId="00BAE6AE" w14:textId="77777777" w:rsidR="00351906" w:rsidRPr="00076FB5" w:rsidRDefault="00351906" w:rsidP="002D36DA">
      <w:pPr>
        <w:spacing w:after="0" w:line="240" w:lineRule="auto"/>
        <w:jc w:val="both"/>
        <w:rPr>
          <w:rFonts w:ascii="Verdana" w:hAnsi="Verdana"/>
          <w:sz w:val="20"/>
          <w:szCs w:val="20"/>
        </w:rPr>
      </w:pPr>
    </w:p>
    <w:p w14:paraId="22F82231" w14:textId="38684EC9" w:rsidR="000D37A9" w:rsidRPr="000D37A9" w:rsidRDefault="000D37A9" w:rsidP="000D37A9">
      <w:pPr>
        <w:spacing w:after="0" w:line="276" w:lineRule="auto"/>
        <w:jc w:val="both"/>
        <w:rPr>
          <w:rFonts w:ascii="Verdana" w:eastAsia="Calibri" w:hAnsi="Verdana" w:cs="Arial"/>
          <w:sz w:val="20"/>
          <w:szCs w:val="20"/>
        </w:rPr>
      </w:pPr>
      <w:r w:rsidRPr="000D37A9">
        <w:rPr>
          <w:rFonts w:ascii="Verdana" w:eastAsia="Calibri" w:hAnsi="Verdana" w:cs="Arial"/>
          <w:sz w:val="20"/>
          <w:szCs w:val="20"/>
        </w:rPr>
        <w:t xml:space="preserve">[…] </w:t>
      </w:r>
      <w:r w:rsidRPr="000D37A9">
        <w:rPr>
          <w:rFonts w:ascii="Verdana" w:eastAsia="Calibri" w:hAnsi="Verdana" w:cs="Arial"/>
          <w:sz w:val="20"/>
          <w:szCs w:val="20"/>
        </w:rPr>
        <w:t xml:space="preserve"> e</w:t>
      </w:r>
      <w:r w:rsidRPr="000D37A9">
        <w:rPr>
          <w:rFonts w:ascii="Verdana" w:eastAsia="Calibri" w:hAnsi="Verdana" w:cs="Arial"/>
          <w:sz w:val="20"/>
          <w:szCs w:val="20"/>
        </w:rPr>
        <w:t xml:space="preserve">n el caso de que se haya establecido en un convenio interadministrativo la obligación de constituir la garantía única de cumplimiento, esta deberá mantenerse vigente por el término fijado en la minuta del convenio o en los Documentos del Proceso. Así las cosas, para determinar si en un convenio interadministrativo debe mantenerse vigente o no la garantía única de cumplimiento hasta la fecha de la liquidación, deberá </w:t>
      </w:r>
      <w:r w:rsidRPr="000D37A9">
        <w:rPr>
          <w:rFonts w:ascii="Verdana" w:eastAsia="Calibri" w:hAnsi="Verdana" w:cs="Arial"/>
          <w:sz w:val="20"/>
          <w:szCs w:val="20"/>
        </w:rPr>
        <w:lastRenderedPageBreak/>
        <w:t xml:space="preserve">revisarse las estipulaciones contenidas en los Documentos del Proceso o en la minuta y se deberán mantener vigentes hasta la fecha establecida, independientemente de las condiciones en las que se haya dado la ejecución del convenio. Es decir, que si se pactó que las garantías tendrían una vigencia hasta la vigencia del contrato o hasta la liquidación, hasta dicha fecha deberá mantenerse vigente independientemente de que se estime que no hay obligaciones pendientes. </w:t>
      </w:r>
    </w:p>
    <w:p w14:paraId="244489D8" w14:textId="77777777" w:rsidR="000D37A9" w:rsidRPr="008F05E3" w:rsidRDefault="000D37A9" w:rsidP="000D37A9">
      <w:pPr>
        <w:spacing w:after="0" w:line="276" w:lineRule="auto"/>
        <w:jc w:val="both"/>
        <w:rPr>
          <w:rFonts w:ascii="Verdana" w:eastAsia="Calibri" w:hAnsi="Verdana" w:cs="Arial"/>
        </w:rPr>
      </w:pPr>
    </w:p>
    <w:p w14:paraId="683A8B67" w14:textId="23A8EF7C" w:rsidR="000C0184" w:rsidRDefault="000C0184" w:rsidP="002D36DA">
      <w:pPr>
        <w:spacing w:after="0" w:line="240" w:lineRule="auto"/>
        <w:jc w:val="both"/>
        <w:rPr>
          <w:rFonts w:ascii="Verdana" w:hAnsi="Verdana"/>
        </w:rPr>
      </w:pPr>
    </w:p>
    <w:p w14:paraId="6E3BD5F1" w14:textId="77777777" w:rsidR="000C0184" w:rsidRDefault="000C0184" w:rsidP="002D36DA">
      <w:pPr>
        <w:spacing w:after="0" w:line="240" w:lineRule="auto"/>
        <w:jc w:val="both"/>
        <w:rPr>
          <w:rFonts w:ascii="Verdana" w:hAnsi="Verdana"/>
        </w:rPr>
      </w:pPr>
    </w:p>
    <w:p w14:paraId="6A98E323" w14:textId="77777777" w:rsidR="000C0184" w:rsidRDefault="000C0184" w:rsidP="002D36DA">
      <w:pPr>
        <w:spacing w:after="0" w:line="240" w:lineRule="auto"/>
        <w:jc w:val="both"/>
        <w:rPr>
          <w:rFonts w:ascii="Verdana" w:hAnsi="Verdana"/>
        </w:rPr>
      </w:pPr>
    </w:p>
    <w:p w14:paraId="117E0E63" w14:textId="77777777" w:rsidR="000C0184" w:rsidRDefault="000C0184" w:rsidP="002D36DA">
      <w:pPr>
        <w:spacing w:after="0" w:line="240" w:lineRule="auto"/>
        <w:jc w:val="both"/>
        <w:rPr>
          <w:rFonts w:ascii="Verdana" w:hAnsi="Verdana"/>
        </w:rPr>
      </w:pPr>
    </w:p>
    <w:p w14:paraId="49C35836" w14:textId="77777777" w:rsidR="000C0184" w:rsidRDefault="000C0184" w:rsidP="002D36DA">
      <w:pPr>
        <w:spacing w:after="0" w:line="240" w:lineRule="auto"/>
        <w:jc w:val="both"/>
        <w:rPr>
          <w:rFonts w:ascii="Verdana" w:hAnsi="Verdana"/>
        </w:rPr>
      </w:pPr>
    </w:p>
    <w:p w14:paraId="5A4D82DA" w14:textId="77777777" w:rsidR="000C0184" w:rsidRDefault="000C0184" w:rsidP="002D36DA">
      <w:pPr>
        <w:spacing w:after="0" w:line="240" w:lineRule="auto"/>
        <w:jc w:val="both"/>
        <w:rPr>
          <w:rFonts w:ascii="Verdana" w:hAnsi="Verdana"/>
        </w:rPr>
      </w:pPr>
    </w:p>
    <w:p w14:paraId="5CD3CF4A" w14:textId="77777777" w:rsidR="000C0184" w:rsidRDefault="000C0184" w:rsidP="002D36DA">
      <w:pPr>
        <w:spacing w:after="0" w:line="240" w:lineRule="auto"/>
        <w:jc w:val="both"/>
        <w:rPr>
          <w:rFonts w:ascii="Verdana" w:hAnsi="Verdana"/>
        </w:rPr>
      </w:pPr>
    </w:p>
    <w:p w14:paraId="36A63ED5" w14:textId="77777777" w:rsidR="000C0184" w:rsidRDefault="000C0184" w:rsidP="002D36DA">
      <w:pPr>
        <w:spacing w:after="0" w:line="240" w:lineRule="auto"/>
        <w:jc w:val="both"/>
        <w:rPr>
          <w:rFonts w:ascii="Verdana" w:hAnsi="Verdana"/>
        </w:rPr>
      </w:pPr>
    </w:p>
    <w:p w14:paraId="052E5D2B" w14:textId="77777777" w:rsidR="000C0184" w:rsidRDefault="000C0184" w:rsidP="002D36DA">
      <w:pPr>
        <w:spacing w:after="0" w:line="240" w:lineRule="auto"/>
        <w:jc w:val="both"/>
        <w:rPr>
          <w:rFonts w:ascii="Verdana" w:hAnsi="Verdana"/>
        </w:rPr>
      </w:pPr>
    </w:p>
    <w:p w14:paraId="762BB6EB" w14:textId="77777777" w:rsidR="000C0184" w:rsidRDefault="000C0184" w:rsidP="002D36DA">
      <w:pPr>
        <w:spacing w:after="0" w:line="240" w:lineRule="auto"/>
        <w:jc w:val="both"/>
        <w:rPr>
          <w:rFonts w:ascii="Verdana" w:hAnsi="Verdana"/>
        </w:rPr>
      </w:pPr>
    </w:p>
    <w:p w14:paraId="782540BD" w14:textId="77777777" w:rsidR="000C0184" w:rsidRDefault="000C0184" w:rsidP="002D36DA">
      <w:pPr>
        <w:spacing w:after="0" w:line="240" w:lineRule="auto"/>
        <w:jc w:val="both"/>
        <w:rPr>
          <w:rFonts w:ascii="Verdana" w:hAnsi="Verdana"/>
        </w:rPr>
      </w:pPr>
    </w:p>
    <w:p w14:paraId="317A12FF" w14:textId="77777777" w:rsidR="000C0184" w:rsidRDefault="000C0184" w:rsidP="002D36DA">
      <w:pPr>
        <w:spacing w:after="0" w:line="240" w:lineRule="auto"/>
        <w:jc w:val="both"/>
        <w:rPr>
          <w:rFonts w:ascii="Verdana" w:hAnsi="Verdana"/>
        </w:rPr>
      </w:pPr>
    </w:p>
    <w:p w14:paraId="73FAD0D9" w14:textId="77777777" w:rsidR="000C0184" w:rsidRDefault="000C0184" w:rsidP="002D36DA">
      <w:pPr>
        <w:spacing w:after="0" w:line="240" w:lineRule="auto"/>
        <w:jc w:val="both"/>
        <w:rPr>
          <w:rFonts w:ascii="Verdana" w:hAnsi="Verdana"/>
        </w:rPr>
      </w:pPr>
    </w:p>
    <w:p w14:paraId="258B4632" w14:textId="77777777" w:rsidR="000C0184" w:rsidRDefault="000C0184" w:rsidP="002D36DA">
      <w:pPr>
        <w:spacing w:after="0" w:line="240" w:lineRule="auto"/>
        <w:jc w:val="both"/>
        <w:rPr>
          <w:rFonts w:ascii="Verdana" w:hAnsi="Verdana"/>
        </w:rPr>
      </w:pPr>
    </w:p>
    <w:p w14:paraId="7C5DF37B" w14:textId="77777777" w:rsidR="000C0184" w:rsidRDefault="000C0184" w:rsidP="002D36DA">
      <w:pPr>
        <w:spacing w:after="0" w:line="240" w:lineRule="auto"/>
        <w:jc w:val="both"/>
        <w:rPr>
          <w:rFonts w:ascii="Verdana" w:hAnsi="Verdana"/>
        </w:rPr>
      </w:pPr>
    </w:p>
    <w:p w14:paraId="700A0C58" w14:textId="77777777" w:rsidR="000C0184" w:rsidRDefault="000C0184" w:rsidP="002D36DA">
      <w:pPr>
        <w:spacing w:after="0" w:line="240" w:lineRule="auto"/>
        <w:jc w:val="both"/>
        <w:rPr>
          <w:rFonts w:ascii="Verdana" w:hAnsi="Verdana"/>
        </w:rPr>
      </w:pPr>
    </w:p>
    <w:p w14:paraId="2E4DDC1C" w14:textId="77777777" w:rsidR="000C0184" w:rsidRDefault="000C0184" w:rsidP="002D36DA">
      <w:pPr>
        <w:spacing w:after="0" w:line="240" w:lineRule="auto"/>
        <w:jc w:val="both"/>
        <w:rPr>
          <w:rFonts w:ascii="Verdana" w:hAnsi="Verdana"/>
        </w:rPr>
      </w:pPr>
    </w:p>
    <w:p w14:paraId="6E86AB72" w14:textId="77777777" w:rsidR="000C0184" w:rsidRDefault="000C0184" w:rsidP="002D36DA">
      <w:pPr>
        <w:spacing w:after="0" w:line="240" w:lineRule="auto"/>
        <w:jc w:val="both"/>
        <w:rPr>
          <w:rFonts w:ascii="Verdana" w:hAnsi="Verdana"/>
        </w:rPr>
      </w:pPr>
    </w:p>
    <w:p w14:paraId="33D83268" w14:textId="77777777" w:rsidR="000C0184" w:rsidRDefault="000C0184" w:rsidP="002D36DA">
      <w:pPr>
        <w:spacing w:after="0" w:line="240" w:lineRule="auto"/>
        <w:jc w:val="both"/>
        <w:rPr>
          <w:rFonts w:ascii="Verdana" w:hAnsi="Verdana"/>
        </w:rPr>
      </w:pPr>
    </w:p>
    <w:p w14:paraId="4BB924A6" w14:textId="77777777" w:rsidR="000C0184" w:rsidRDefault="000C0184" w:rsidP="002D36DA">
      <w:pPr>
        <w:spacing w:after="0" w:line="240" w:lineRule="auto"/>
        <w:jc w:val="both"/>
        <w:rPr>
          <w:rFonts w:ascii="Verdana" w:hAnsi="Verdana"/>
        </w:rPr>
      </w:pPr>
    </w:p>
    <w:p w14:paraId="140EB3B1" w14:textId="77777777" w:rsidR="000C0184" w:rsidRDefault="000C0184" w:rsidP="002D36DA">
      <w:pPr>
        <w:spacing w:after="0" w:line="240" w:lineRule="auto"/>
        <w:jc w:val="both"/>
        <w:rPr>
          <w:rFonts w:ascii="Verdana" w:hAnsi="Verdana"/>
        </w:rPr>
      </w:pPr>
    </w:p>
    <w:p w14:paraId="70E84B98" w14:textId="77777777" w:rsidR="000C0184" w:rsidRDefault="000C0184" w:rsidP="002D36DA">
      <w:pPr>
        <w:spacing w:after="0" w:line="240" w:lineRule="auto"/>
        <w:jc w:val="both"/>
        <w:rPr>
          <w:rFonts w:ascii="Verdana" w:hAnsi="Verdana"/>
        </w:rPr>
      </w:pPr>
    </w:p>
    <w:p w14:paraId="5D887BAC" w14:textId="77777777" w:rsidR="000C0184" w:rsidRDefault="000C0184" w:rsidP="002D36DA">
      <w:pPr>
        <w:spacing w:after="0" w:line="240" w:lineRule="auto"/>
        <w:jc w:val="both"/>
        <w:rPr>
          <w:rFonts w:ascii="Verdana" w:hAnsi="Verdana"/>
        </w:rPr>
      </w:pPr>
    </w:p>
    <w:p w14:paraId="2E37798A" w14:textId="77777777" w:rsidR="000C0184" w:rsidRDefault="000C0184" w:rsidP="002D36DA">
      <w:pPr>
        <w:spacing w:after="0" w:line="240" w:lineRule="auto"/>
        <w:jc w:val="both"/>
        <w:rPr>
          <w:rFonts w:ascii="Verdana" w:hAnsi="Verdana"/>
        </w:rPr>
      </w:pPr>
    </w:p>
    <w:p w14:paraId="7167BB01" w14:textId="77777777" w:rsidR="000C0184" w:rsidRDefault="000C0184" w:rsidP="002D36DA">
      <w:pPr>
        <w:spacing w:after="0" w:line="240" w:lineRule="auto"/>
        <w:jc w:val="both"/>
        <w:rPr>
          <w:rFonts w:ascii="Verdana" w:hAnsi="Verdana"/>
        </w:rPr>
      </w:pPr>
    </w:p>
    <w:p w14:paraId="02D27E42" w14:textId="77777777" w:rsidR="000C0184" w:rsidRDefault="000C0184" w:rsidP="002D36DA">
      <w:pPr>
        <w:spacing w:after="0" w:line="240" w:lineRule="auto"/>
        <w:jc w:val="both"/>
        <w:rPr>
          <w:rFonts w:ascii="Verdana" w:hAnsi="Verdana"/>
        </w:rPr>
      </w:pPr>
    </w:p>
    <w:p w14:paraId="6C2AA6C5" w14:textId="77777777" w:rsidR="000C0184" w:rsidRDefault="000C0184" w:rsidP="002D36DA">
      <w:pPr>
        <w:spacing w:after="0" w:line="240" w:lineRule="auto"/>
        <w:jc w:val="both"/>
        <w:rPr>
          <w:rFonts w:ascii="Verdana" w:hAnsi="Verdana"/>
        </w:rPr>
      </w:pPr>
    </w:p>
    <w:p w14:paraId="0C9607A1" w14:textId="77777777" w:rsidR="000C0184" w:rsidRDefault="000C0184" w:rsidP="002D36DA">
      <w:pPr>
        <w:spacing w:after="0" w:line="240" w:lineRule="auto"/>
        <w:jc w:val="both"/>
        <w:rPr>
          <w:rFonts w:ascii="Verdana" w:hAnsi="Verdana"/>
        </w:rPr>
      </w:pPr>
    </w:p>
    <w:p w14:paraId="4C4E21BD" w14:textId="77777777" w:rsidR="000C0184" w:rsidRDefault="000C0184" w:rsidP="002D36DA">
      <w:pPr>
        <w:spacing w:after="0" w:line="240" w:lineRule="auto"/>
        <w:jc w:val="both"/>
        <w:rPr>
          <w:rFonts w:ascii="Verdana" w:hAnsi="Verdana"/>
        </w:rPr>
      </w:pPr>
    </w:p>
    <w:p w14:paraId="4DC7945C" w14:textId="77777777" w:rsidR="000C0184" w:rsidRDefault="000C0184" w:rsidP="002D36DA">
      <w:pPr>
        <w:spacing w:after="0" w:line="240" w:lineRule="auto"/>
        <w:jc w:val="both"/>
        <w:rPr>
          <w:rFonts w:ascii="Verdana" w:hAnsi="Verdana"/>
        </w:rPr>
      </w:pPr>
    </w:p>
    <w:p w14:paraId="3E0FC576" w14:textId="77777777" w:rsidR="000C0184" w:rsidRDefault="000C0184" w:rsidP="002D36DA">
      <w:pPr>
        <w:spacing w:after="0" w:line="240" w:lineRule="auto"/>
        <w:jc w:val="both"/>
        <w:rPr>
          <w:rFonts w:ascii="Verdana" w:hAnsi="Verdana"/>
        </w:rPr>
      </w:pPr>
    </w:p>
    <w:p w14:paraId="558D1A15" w14:textId="77777777" w:rsidR="000C0184" w:rsidRDefault="000C0184" w:rsidP="002D36DA">
      <w:pPr>
        <w:spacing w:after="0" w:line="240" w:lineRule="auto"/>
        <w:jc w:val="both"/>
        <w:rPr>
          <w:rFonts w:ascii="Verdana" w:hAnsi="Verdana"/>
        </w:rPr>
      </w:pPr>
    </w:p>
    <w:p w14:paraId="0F9B450F" w14:textId="77777777" w:rsidR="000C0184" w:rsidRDefault="000C0184" w:rsidP="002D36DA">
      <w:pPr>
        <w:spacing w:after="0" w:line="240" w:lineRule="auto"/>
        <w:jc w:val="both"/>
        <w:rPr>
          <w:rFonts w:ascii="Verdana" w:hAnsi="Verdana"/>
        </w:rPr>
      </w:pPr>
    </w:p>
    <w:p w14:paraId="67E7569D" w14:textId="77777777" w:rsidR="000D37A9" w:rsidRDefault="000D37A9" w:rsidP="002D36DA">
      <w:pPr>
        <w:spacing w:after="0" w:line="240" w:lineRule="auto"/>
        <w:jc w:val="both"/>
        <w:rPr>
          <w:rFonts w:ascii="Verdana" w:hAnsi="Verdana"/>
        </w:rPr>
      </w:pPr>
    </w:p>
    <w:p w14:paraId="2A8C469D" w14:textId="55639210" w:rsidR="002D36DA" w:rsidRPr="008E4F36" w:rsidRDefault="009D3363" w:rsidP="002D36DA">
      <w:pPr>
        <w:spacing w:after="0" w:line="240" w:lineRule="auto"/>
        <w:jc w:val="both"/>
        <w:rPr>
          <w:rFonts w:ascii="Verdana" w:hAnsi="Verdana"/>
        </w:rPr>
      </w:pPr>
      <w:r w:rsidRPr="009D3363">
        <w:rPr>
          <w:rFonts w:ascii="Verdana" w:hAnsi="Verdana"/>
        </w:rPr>
        <w:lastRenderedPageBreak/>
        <w:t xml:space="preserve">Bogotá D.C., 02 </w:t>
      </w:r>
      <w:r>
        <w:rPr>
          <w:rFonts w:ascii="Verdana" w:hAnsi="Verdana"/>
        </w:rPr>
        <w:t>m</w:t>
      </w:r>
      <w:r w:rsidRPr="009D3363">
        <w:rPr>
          <w:rFonts w:ascii="Verdana" w:hAnsi="Verdana"/>
        </w:rPr>
        <w:t xml:space="preserve">arzo 2026 </w:t>
      </w:r>
      <w:r>
        <w:rPr>
          <w:rFonts w:ascii="Verdana" w:hAnsi="Verdana"/>
        </w:rPr>
        <w:t xml:space="preserve"> </w:t>
      </w:r>
      <w:r w:rsidR="002D36DA">
        <w:rPr>
          <w:rFonts w:ascii="Verdana" w:hAnsi="Verdana"/>
        </w:rPr>
        <w:t xml:space="preserve"> </w:t>
      </w:r>
    </w:p>
    <w:p w14:paraId="627DCB93" w14:textId="7587AD9D" w:rsidR="002D36DA" w:rsidRPr="008E4F36" w:rsidRDefault="009D3363" w:rsidP="002D36DA">
      <w:pPr>
        <w:spacing w:after="0" w:line="240" w:lineRule="auto"/>
        <w:jc w:val="both"/>
        <w:rPr>
          <w:rFonts w:ascii="Verdana" w:eastAsia="Calibri" w:hAnsi="Verdana" w:cs="Arial"/>
          <w:lang w:eastAsia="es-ES"/>
        </w:rPr>
      </w:pPr>
      <w:bookmarkStart w:id="0" w:name="_Hlk197462763"/>
      <w:bookmarkStart w:id="1" w:name="_Hlk197529996"/>
      <w:r w:rsidRPr="009D3363">
        <w:rPr>
          <w:rFonts w:ascii="Verdana" w:eastAsia="Calibri" w:hAnsi="Verdana" w:cs="Arial"/>
          <w:lang w:eastAsia="es-ES"/>
        </w:rPr>
        <w:drawing>
          <wp:anchor distT="0" distB="0" distL="114300" distR="114300" simplePos="0" relativeHeight="251660288" behindDoc="1" locked="0" layoutInCell="1" allowOverlap="1" wp14:anchorId="7C7C0CD6" wp14:editId="506714C2">
            <wp:simplePos x="0" y="0"/>
            <wp:positionH relativeFrom="column">
              <wp:posOffset>3084195</wp:posOffset>
            </wp:positionH>
            <wp:positionV relativeFrom="paragraph">
              <wp:posOffset>168275</wp:posOffset>
            </wp:positionV>
            <wp:extent cx="3075305" cy="771525"/>
            <wp:effectExtent l="0" t="0" r="0" b="9525"/>
            <wp:wrapTight wrapText="bothSides">
              <wp:wrapPolygon edited="0">
                <wp:start x="0" y="0"/>
                <wp:lineTo x="0" y="21333"/>
                <wp:lineTo x="21408" y="21333"/>
                <wp:lineTo x="21408" y="0"/>
                <wp:lineTo x="0" y="0"/>
              </wp:wrapPolygon>
            </wp:wrapTight>
            <wp:docPr id="3921093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109320" name=""/>
                    <pic:cNvPicPr/>
                  </pic:nvPicPr>
                  <pic:blipFill>
                    <a:blip r:embed="rId7">
                      <a:extLst>
                        <a:ext uri="{28A0092B-C50C-407E-A947-70E740481C1C}">
                          <a14:useLocalDpi xmlns:a14="http://schemas.microsoft.com/office/drawing/2010/main" val="0"/>
                        </a:ext>
                      </a:extLst>
                    </a:blip>
                    <a:stretch>
                      <a:fillRect/>
                    </a:stretch>
                  </pic:blipFill>
                  <pic:spPr>
                    <a:xfrm>
                      <a:off x="0" y="0"/>
                      <a:ext cx="3075305" cy="771525"/>
                    </a:xfrm>
                    <a:prstGeom prst="rect">
                      <a:avLst/>
                    </a:prstGeom>
                  </pic:spPr>
                </pic:pic>
              </a:graphicData>
            </a:graphic>
            <wp14:sizeRelH relativeFrom="margin">
              <wp14:pctWidth>0</wp14:pctWidth>
            </wp14:sizeRelH>
          </wp:anchor>
        </w:drawing>
      </w:r>
    </w:p>
    <w:p w14:paraId="0EF7BEBE" w14:textId="363049B0" w:rsidR="002D36DA" w:rsidRDefault="002D36DA" w:rsidP="002D36DA">
      <w:pPr>
        <w:spacing w:after="0" w:line="240" w:lineRule="auto"/>
        <w:jc w:val="both"/>
        <w:rPr>
          <w:rFonts w:ascii="Verdana" w:eastAsia="Calibri" w:hAnsi="Verdana" w:cs="Arial"/>
          <w:lang w:eastAsia="es-ES"/>
        </w:rPr>
      </w:pPr>
    </w:p>
    <w:p w14:paraId="3AF7A12A" w14:textId="77777777" w:rsidR="009D3363" w:rsidRDefault="009D3363" w:rsidP="002D36DA">
      <w:pPr>
        <w:spacing w:after="0" w:line="240" w:lineRule="auto"/>
        <w:jc w:val="both"/>
        <w:rPr>
          <w:rFonts w:ascii="Verdana" w:eastAsia="Calibri" w:hAnsi="Verdana" w:cs="Arial"/>
          <w:lang w:eastAsia="es-ES"/>
        </w:rPr>
      </w:pPr>
    </w:p>
    <w:p w14:paraId="026F118E" w14:textId="77777777" w:rsidR="009D3363" w:rsidRDefault="009D3363" w:rsidP="002D36DA">
      <w:pPr>
        <w:spacing w:after="0" w:line="240" w:lineRule="auto"/>
        <w:jc w:val="both"/>
        <w:rPr>
          <w:rFonts w:ascii="Verdana" w:eastAsia="Calibri" w:hAnsi="Verdana" w:cs="Arial"/>
          <w:lang w:eastAsia="es-ES"/>
        </w:rPr>
      </w:pPr>
    </w:p>
    <w:p w14:paraId="1AA6F143" w14:textId="77777777" w:rsidR="009D3363" w:rsidRDefault="009D3363" w:rsidP="002D36DA">
      <w:pPr>
        <w:spacing w:after="0" w:line="240" w:lineRule="auto"/>
        <w:jc w:val="both"/>
        <w:rPr>
          <w:rFonts w:ascii="Verdana" w:eastAsia="Calibri" w:hAnsi="Verdana" w:cs="Arial"/>
          <w:lang w:eastAsia="es-ES"/>
        </w:rPr>
      </w:pPr>
    </w:p>
    <w:p w14:paraId="515D278F" w14:textId="77777777" w:rsidR="002D36DA" w:rsidRPr="008E4F36" w:rsidRDefault="002D36DA" w:rsidP="002D36DA">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r>
        <w:rPr>
          <w:rFonts w:ascii="Verdana" w:eastAsia="Calibri" w:hAnsi="Verdana" w:cs="Arial"/>
          <w:lang w:eastAsia="es-ES"/>
        </w:rPr>
        <w:t xml:space="preserve"> (a)</w:t>
      </w:r>
    </w:p>
    <w:p w14:paraId="7DC37D0D" w14:textId="77777777" w:rsidR="002D36DA" w:rsidRPr="000F2158" w:rsidRDefault="002D36DA" w:rsidP="002D36DA">
      <w:pPr>
        <w:spacing w:after="0" w:line="240" w:lineRule="auto"/>
        <w:jc w:val="both"/>
        <w:rPr>
          <w:rFonts w:ascii="Verdana" w:eastAsia="Calibri" w:hAnsi="Verdana" w:cs="Arial"/>
          <w:b/>
          <w:highlight w:val="yellow"/>
          <w:lang w:eastAsia="es-ES_tradnl"/>
        </w:rPr>
      </w:pPr>
      <w:r>
        <w:rPr>
          <w:rFonts w:ascii="Verdana" w:eastAsia="Calibri" w:hAnsi="Verdana" w:cs="Arial"/>
          <w:b/>
          <w:lang w:eastAsia="es-ES_tradnl"/>
        </w:rPr>
        <w:t>Anónimo (a)</w:t>
      </w:r>
    </w:p>
    <w:p w14:paraId="4FA14F56" w14:textId="77777777" w:rsidR="002D36DA" w:rsidRPr="004E1BE4" w:rsidRDefault="002D36DA" w:rsidP="002D36DA">
      <w:pPr>
        <w:spacing w:after="0" w:line="240" w:lineRule="auto"/>
        <w:jc w:val="both"/>
        <w:rPr>
          <w:rFonts w:ascii="Verdana" w:eastAsia="Calibri" w:hAnsi="Verdana" w:cs="Arial"/>
          <w:bCs/>
          <w:lang w:eastAsia="es-ES_tradnl"/>
        </w:rPr>
      </w:pPr>
      <w:r>
        <w:rPr>
          <w:rFonts w:ascii="Verdana" w:eastAsia="Calibri" w:hAnsi="Verdana" w:cs="Arial"/>
          <w:bCs/>
          <w:lang w:eastAsia="es-ES_tradnl"/>
        </w:rPr>
        <w:t>Cuidad</w:t>
      </w:r>
    </w:p>
    <w:p w14:paraId="7A6D7A91" w14:textId="77777777" w:rsidR="002D36DA" w:rsidRPr="005B4C57" w:rsidRDefault="002D36DA" w:rsidP="002D36DA">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D36DA" w:rsidRPr="002842E0" w14:paraId="1D67DE49" w14:textId="77777777" w:rsidTr="005E0527">
        <w:trPr>
          <w:trHeight w:val="162"/>
        </w:trPr>
        <w:tc>
          <w:tcPr>
            <w:tcW w:w="3119" w:type="dxa"/>
          </w:tcPr>
          <w:p w14:paraId="55041532" w14:textId="77777777" w:rsidR="002D36DA" w:rsidRPr="005B4C57" w:rsidRDefault="002D36DA" w:rsidP="005E0527">
            <w:pPr>
              <w:jc w:val="both"/>
              <w:rPr>
                <w:rFonts w:ascii="Verdana" w:eastAsia="Calibri" w:hAnsi="Verdana" w:cs="Arial"/>
                <w:b/>
                <w:bCs/>
                <w:color w:val="7030A0"/>
                <w:lang w:val="it-CH" w:eastAsia="es-ES_tradnl"/>
              </w:rPr>
            </w:pPr>
          </w:p>
        </w:tc>
        <w:tc>
          <w:tcPr>
            <w:tcW w:w="5670" w:type="dxa"/>
          </w:tcPr>
          <w:p w14:paraId="18ADF735" w14:textId="77777777" w:rsidR="002D36DA" w:rsidRPr="00801462" w:rsidRDefault="002D36DA" w:rsidP="005E0527">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074 de 2026</w:t>
            </w:r>
          </w:p>
          <w:p w14:paraId="64F17023" w14:textId="77777777" w:rsidR="002D36DA" w:rsidRPr="00801462" w:rsidRDefault="002D36DA" w:rsidP="005E0527">
            <w:pPr>
              <w:jc w:val="both"/>
              <w:rPr>
                <w:rFonts w:ascii="Verdana" w:eastAsia="Calibri" w:hAnsi="Verdana" w:cs="Arial"/>
                <w:b/>
                <w:bCs/>
                <w:color w:val="7030A0"/>
                <w:lang w:eastAsia="es-ES"/>
              </w:rPr>
            </w:pPr>
          </w:p>
        </w:tc>
      </w:tr>
      <w:tr w:rsidR="002D36DA" w:rsidRPr="002842E0" w14:paraId="0EB425A4" w14:textId="77777777" w:rsidTr="005E0527">
        <w:trPr>
          <w:trHeight w:val="884"/>
        </w:trPr>
        <w:tc>
          <w:tcPr>
            <w:tcW w:w="3119" w:type="dxa"/>
          </w:tcPr>
          <w:p w14:paraId="34C75BC1" w14:textId="77777777" w:rsidR="002D36DA" w:rsidRPr="00801462" w:rsidRDefault="002D36DA" w:rsidP="005E0527">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5F17CEA8" w14:textId="77777777" w:rsidR="002D36DA" w:rsidRDefault="002D36DA" w:rsidP="005E0527">
            <w:pPr>
              <w:jc w:val="both"/>
              <w:rPr>
                <w:rFonts w:ascii="Verdana" w:eastAsia="Calibri" w:hAnsi="Verdana" w:cs="Arial"/>
                <w:lang w:val="es-ES"/>
              </w:rPr>
            </w:pPr>
            <w:r w:rsidRPr="00FC4A16">
              <w:rPr>
                <w:rFonts w:ascii="Verdana" w:eastAsia="Calibri" w:hAnsi="Verdana" w:cs="Arial"/>
                <w:lang w:val="es-ES" w:eastAsia="es-ES"/>
              </w:rPr>
              <w:t xml:space="preserve">GARANTÍAS – </w:t>
            </w:r>
            <w:r>
              <w:rPr>
                <w:rFonts w:ascii="Verdana" w:eastAsia="Calibri" w:hAnsi="Verdana" w:cs="Arial"/>
                <w:lang w:val="es-ES" w:eastAsia="es-ES"/>
              </w:rPr>
              <w:t>Convenios Interadministrativos - Exigencia</w:t>
            </w:r>
            <w:r w:rsidRPr="00FC4A16">
              <w:rPr>
                <w:rFonts w:ascii="Verdana" w:eastAsia="Calibri" w:hAnsi="Verdana" w:cs="Arial"/>
                <w:lang w:val="es-ES" w:eastAsia="es-ES"/>
              </w:rPr>
              <w:t xml:space="preserve"> /</w:t>
            </w:r>
            <w:r>
              <w:rPr>
                <w:rFonts w:ascii="Verdana" w:eastAsia="Calibri" w:hAnsi="Verdana" w:cs="Arial"/>
                <w:lang w:val="es-ES" w:eastAsia="es-ES"/>
              </w:rPr>
              <w:t xml:space="preserve"> </w:t>
            </w:r>
            <w:r w:rsidRPr="00FC4A16">
              <w:rPr>
                <w:rFonts w:ascii="Verdana" w:eastAsia="Calibri" w:hAnsi="Verdana" w:cs="Arial"/>
                <w:lang w:val="es-ES" w:eastAsia="es-ES"/>
              </w:rPr>
              <w:t xml:space="preserve">GARANTÍAS – </w:t>
            </w:r>
            <w:r>
              <w:rPr>
                <w:rFonts w:ascii="Verdana" w:eastAsia="Calibri" w:hAnsi="Verdana" w:cs="Arial"/>
                <w:lang w:val="es-ES" w:eastAsia="es-ES"/>
              </w:rPr>
              <w:t>Convenios Interadministrativos – Autonomia de la voluntad /</w:t>
            </w:r>
            <w:r w:rsidRPr="00FC4A16">
              <w:rPr>
                <w:rFonts w:ascii="Verdana" w:eastAsia="Calibri" w:hAnsi="Verdana" w:cs="Arial"/>
                <w:lang w:val="es-ES" w:eastAsia="es-ES"/>
              </w:rPr>
              <w:t xml:space="preserve"> GARANTÍAS – Reglamentación – Suficiencia – Ampliación – Aprobación / </w:t>
            </w:r>
          </w:p>
          <w:p w14:paraId="2F5FF12D" w14:textId="77777777" w:rsidR="002D36DA" w:rsidRPr="00995A48" w:rsidRDefault="002D36DA" w:rsidP="005E0527">
            <w:pPr>
              <w:jc w:val="both"/>
              <w:rPr>
                <w:rFonts w:ascii="Verdana" w:eastAsia="Calibri" w:hAnsi="Verdana" w:cs="Arial"/>
                <w:lang w:val="es-ES" w:eastAsia="es-ES"/>
              </w:rPr>
            </w:pPr>
            <w:r>
              <w:rPr>
                <w:rFonts w:ascii="Verdana" w:eastAsia="Calibri" w:hAnsi="Verdana" w:cs="Arial"/>
                <w:lang w:val="es-ES" w:eastAsia="es-ES"/>
              </w:rPr>
              <w:t xml:space="preserve"> </w:t>
            </w:r>
          </w:p>
        </w:tc>
      </w:tr>
      <w:tr w:rsidR="002D36DA" w:rsidRPr="002842E0" w14:paraId="571956C1" w14:textId="77777777" w:rsidTr="005E0527">
        <w:tc>
          <w:tcPr>
            <w:tcW w:w="3119" w:type="dxa"/>
          </w:tcPr>
          <w:p w14:paraId="3014B356" w14:textId="77777777" w:rsidR="002D36DA" w:rsidRPr="00995A48" w:rsidRDefault="002D36DA" w:rsidP="005E0527">
            <w:pPr>
              <w:jc w:val="both"/>
              <w:rPr>
                <w:rFonts w:ascii="Verdana" w:eastAsia="Calibri" w:hAnsi="Verdana" w:cs="Arial"/>
                <w:b/>
                <w:lang w:eastAsia="es-ES_tradnl"/>
              </w:rPr>
            </w:pPr>
            <w:r w:rsidRPr="00995A48">
              <w:rPr>
                <w:rFonts w:ascii="Verdana" w:eastAsia="Calibri" w:hAnsi="Verdana" w:cs="Arial"/>
                <w:b/>
                <w:lang w:eastAsia="es-ES_tradnl"/>
              </w:rPr>
              <w:t>Radicación:</w:t>
            </w:r>
            <w:r w:rsidRPr="00995A48">
              <w:rPr>
                <w:rFonts w:ascii="Verdana" w:eastAsia="Calibri" w:hAnsi="Verdana" w:cs="Arial"/>
                <w:lang w:eastAsia="es-ES_tradnl"/>
              </w:rPr>
              <w:t xml:space="preserve">               </w:t>
            </w:r>
          </w:p>
        </w:tc>
        <w:tc>
          <w:tcPr>
            <w:tcW w:w="5670" w:type="dxa"/>
          </w:tcPr>
          <w:p w14:paraId="2530AAE8" w14:textId="77777777" w:rsidR="002D36DA" w:rsidRPr="00995A48" w:rsidRDefault="002D36DA" w:rsidP="005E0527">
            <w:pPr>
              <w:jc w:val="both"/>
              <w:rPr>
                <w:rFonts w:ascii="Verdana" w:eastAsia="Calibri" w:hAnsi="Verdana" w:cs="Arial"/>
                <w:lang w:eastAsia="es-ES_tradnl"/>
              </w:rPr>
            </w:pPr>
            <w:r w:rsidRPr="00995A48">
              <w:rPr>
                <w:rFonts w:ascii="Verdana" w:eastAsia="Calibri" w:hAnsi="Verdana" w:cs="Arial"/>
                <w:lang w:eastAsia="es-ES_tradnl"/>
              </w:rPr>
              <w:t xml:space="preserve">Respuesta a consulta con radicado </w:t>
            </w:r>
            <w:r w:rsidRPr="00EA5B5A">
              <w:rPr>
                <w:rFonts w:ascii="Verdana" w:hAnsi="Verdana"/>
                <w:color w:val="000000" w:themeColor="text1"/>
              </w:rPr>
              <w:t>1_2026_01_21_000607</w:t>
            </w:r>
            <w:r w:rsidRPr="00EA5B5A">
              <w:rPr>
                <w:rFonts w:ascii="Verdana" w:eastAsia="Calibri" w:hAnsi="Verdana" w:cs="Arial"/>
                <w:color w:val="000000" w:themeColor="text1"/>
                <w:lang w:eastAsia="es-ES_tradnl"/>
              </w:rPr>
              <w:t xml:space="preserve"> </w:t>
            </w:r>
          </w:p>
        </w:tc>
      </w:tr>
    </w:tbl>
    <w:p w14:paraId="0222071A" w14:textId="77777777" w:rsidR="002D36DA" w:rsidRDefault="002D36DA" w:rsidP="002D36DA">
      <w:pPr>
        <w:spacing w:after="0" w:line="276" w:lineRule="auto"/>
        <w:jc w:val="both"/>
        <w:rPr>
          <w:rFonts w:ascii="Verdana" w:eastAsia="Calibri" w:hAnsi="Verdana" w:cs="Arial"/>
          <w:lang w:eastAsia="es-ES_tradnl"/>
        </w:rPr>
      </w:pPr>
    </w:p>
    <w:p w14:paraId="6E7733E1" w14:textId="77777777" w:rsidR="002D36DA" w:rsidRDefault="002D36DA" w:rsidP="002D36DA">
      <w:pPr>
        <w:spacing w:after="0" w:line="276" w:lineRule="auto"/>
        <w:jc w:val="both"/>
        <w:rPr>
          <w:rFonts w:ascii="Verdana" w:eastAsia="Calibri" w:hAnsi="Verdana" w:cs="Arial"/>
          <w:lang w:eastAsia="es-ES_tradnl"/>
        </w:rPr>
      </w:pPr>
    </w:p>
    <w:p w14:paraId="6E0E2ADC" w14:textId="77777777" w:rsidR="002D36DA" w:rsidRPr="008E4F36" w:rsidRDefault="002D36DA" w:rsidP="002D36DA">
      <w:pPr>
        <w:spacing w:after="0" w:line="276" w:lineRule="auto"/>
        <w:jc w:val="both"/>
        <w:rPr>
          <w:rFonts w:ascii="Verdana" w:eastAsia="Calibri" w:hAnsi="Verdana" w:cs="Arial"/>
          <w:lang w:eastAsia="es-ES"/>
        </w:rPr>
      </w:pPr>
      <w:r w:rsidRPr="00083AB6">
        <w:rPr>
          <w:rFonts w:ascii="Verdana" w:eastAsia="Calibri" w:hAnsi="Verdana" w:cs="Arial"/>
          <w:lang w:eastAsia="es-ES"/>
        </w:rPr>
        <w:t xml:space="preserve">Estimado </w:t>
      </w:r>
      <w:r>
        <w:rPr>
          <w:rFonts w:ascii="Verdana" w:eastAsia="Calibri" w:hAnsi="Verdana" w:cs="Arial"/>
          <w:lang w:eastAsia="es-ES"/>
        </w:rPr>
        <w:t>ciudadano Anónimo</w:t>
      </w:r>
      <w:r w:rsidRPr="00083AB6">
        <w:rPr>
          <w:rFonts w:ascii="Verdana" w:eastAsia="Calibri" w:hAnsi="Verdana" w:cs="Arial"/>
          <w:lang w:eastAsia="es-ES"/>
        </w:rPr>
        <w:t>:</w:t>
      </w:r>
      <w:r w:rsidRPr="008E4F36">
        <w:rPr>
          <w:rFonts w:ascii="Verdana" w:eastAsia="Calibri" w:hAnsi="Verdana" w:cs="Arial"/>
          <w:lang w:eastAsia="es-ES"/>
        </w:rPr>
        <w:t xml:space="preserve"> </w:t>
      </w:r>
    </w:p>
    <w:p w14:paraId="308F2EE3" w14:textId="77777777" w:rsidR="002D36DA" w:rsidRDefault="002D36DA" w:rsidP="002D36DA">
      <w:pPr>
        <w:tabs>
          <w:tab w:val="left" w:pos="3768"/>
        </w:tabs>
        <w:spacing w:after="0" w:line="276" w:lineRule="auto"/>
        <w:jc w:val="both"/>
        <w:rPr>
          <w:rFonts w:ascii="Verdana" w:eastAsia="Calibri" w:hAnsi="Verdana" w:cs="Arial"/>
          <w:lang w:eastAsia="es-ES"/>
        </w:rPr>
      </w:pPr>
    </w:p>
    <w:p w14:paraId="000682C6" w14:textId="77777777" w:rsidR="002D36DA" w:rsidRPr="008E4F36" w:rsidRDefault="002D36DA" w:rsidP="002D36DA">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21</w:t>
      </w:r>
      <w:r w:rsidRPr="00AF6D58">
        <w:rPr>
          <w:rFonts w:ascii="Verdana" w:eastAsia="Calibri" w:hAnsi="Verdana" w:cs="Arial"/>
          <w:lang w:eastAsia="es-ES"/>
        </w:rPr>
        <w:t xml:space="preserve"> de </w:t>
      </w:r>
      <w:r>
        <w:rPr>
          <w:rFonts w:ascii="Verdana" w:eastAsia="Calibri" w:hAnsi="Verdana" w:cs="Arial"/>
          <w:lang w:eastAsia="es-ES"/>
        </w:rPr>
        <w:t>enero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14D3A446" w14:textId="77777777" w:rsidR="002D36DA" w:rsidRPr="008E4F36" w:rsidRDefault="002D36DA" w:rsidP="002D36DA">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1651C9B5" w14:textId="77777777" w:rsidR="002D36DA" w:rsidRPr="00995A48" w:rsidRDefault="002D36DA" w:rsidP="002D36DA">
      <w:pPr>
        <w:tabs>
          <w:tab w:val="left" w:pos="142"/>
          <w:tab w:val="left" w:pos="567"/>
        </w:tabs>
        <w:spacing w:after="0" w:line="240" w:lineRule="auto"/>
        <w:ind w:left="851" w:right="902"/>
        <w:jc w:val="both"/>
        <w:rPr>
          <w:rFonts w:ascii="Verdana" w:eastAsia="Century Gothic" w:hAnsi="Verdana" w:cs="Century Gothic"/>
          <w:i/>
          <w:iCs/>
          <w:sz w:val="20"/>
          <w:szCs w:val="20"/>
        </w:rPr>
      </w:pPr>
      <w:bookmarkStart w:id="2" w:name="_Hlk192699624"/>
      <w:bookmarkStart w:id="3" w:name="_Hlk199394899"/>
      <w:r w:rsidRPr="00995A48">
        <w:rPr>
          <w:rFonts w:ascii="Verdana" w:eastAsia="Century Gothic" w:hAnsi="Verdana" w:cs="Century Gothic"/>
          <w:i/>
          <w:iCs/>
          <w:sz w:val="20"/>
          <w:szCs w:val="20"/>
        </w:rPr>
        <w:t>“</w:t>
      </w:r>
      <w:bookmarkEnd w:id="2"/>
      <w:bookmarkEnd w:id="3"/>
      <w:r w:rsidRPr="00995A48">
        <w:rPr>
          <w:rFonts w:ascii="Verdana" w:eastAsia="Century Gothic" w:hAnsi="Verdana" w:cs="Century Gothic"/>
          <w:i/>
          <w:iCs/>
          <w:sz w:val="20"/>
          <w:szCs w:val="20"/>
        </w:rPr>
        <w:t>Respetuosamente me permito elevar consulta a Agencia. En el marco de un convenio interadministrativo suscrito por una entidad estatal, se exigieron las siguientes garantías: (i) cumplimiento, (ii) responsabilidad civil extracontractual y (iii) prestaciones sociales.</w:t>
      </w:r>
    </w:p>
    <w:p w14:paraId="5AB3CF55" w14:textId="77777777" w:rsidR="002D36DA" w:rsidRPr="00995A48" w:rsidRDefault="002D36DA" w:rsidP="002D36DA">
      <w:pPr>
        <w:tabs>
          <w:tab w:val="left" w:pos="142"/>
          <w:tab w:val="left" w:pos="567"/>
        </w:tabs>
        <w:spacing w:after="0" w:line="240" w:lineRule="auto"/>
        <w:ind w:left="851" w:right="902"/>
        <w:jc w:val="both"/>
        <w:rPr>
          <w:rFonts w:ascii="Verdana" w:eastAsia="Century Gothic" w:hAnsi="Verdana" w:cs="Century Gothic"/>
          <w:i/>
          <w:iCs/>
          <w:sz w:val="20"/>
          <w:szCs w:val="20"/>
        </w:rPr>
      </w:pPr>
      <w:r w:rsidRPr="00995A48">
        <w:rPr>
          <w:rFonts w:ascii="Verdana" w:eastAsia="Century Gothic" w:hAnsi="Verdana" w:cs="Century Gothic"/>
          <w:i/>
          <w:iCs/>
          <w:sz w:val="20"/>
          <w:szCs w:val="20"/>
        </w:rPr>
        <w:t>El convenio se ejecutó materialmente y el objeto contractual fue cumplido dentro del plazo pactado. No obstante, la póliza de cumplimiento perdió vigencia con anterioridad a la suscripción del acta de liquidación, mientras que las demás garantías se encuentran vigentes conforme a lo previsto contractualmente.</w:t>
      </w:r>
    </w:p>
    <w:p w14:paraId="3F25C877" w14:textId="77777777" w:rsidR="002D36DA" w:rsidRPr="00995A48" w:rsidRDefault="002D36DA" w:rsidP="002D36DA">
      <w:pPr>
        <w:tabs>
          <w:tab w:val="left" w:pos="142"/>
          <w:tab w:val="left" w:pos="567"/>
        </w:tabs>
        <w:spacing w:after="0" w:line="240" w:lineRule="auto"/>
        <w:ind w:left="851" w:right="902"/>
        <w:jc w:val="both"/>
        <w:rPr>
          <w:rFonts w:ascii="Verdana" w:eastAsia="Century Gothic" w:hAnsi="Verdana" w:cs="Century Gothic"/>
          <w:i/>
          <w:iCs/>
          <w:sz w:val="20"/>
          <w:szCs w:val="20"/>
        </w:rPr>
      </w:pPr>
      <w:r w:rsidRPr="00995A48">
        <w:rPr>
          <w:rFonts w:ascii="Verdana" w:eastAsia="Century Gothic" w:hAnsi="Verdana" w:cs="Century Gothic"/>
          <w:i/>
          <w:iCs/>
          <w:sz w:val="20"/>
          <w:szCs w:val="20"/>
        </w:rPr>
        <w:t>Con fundamento en lo anterior, se solicita conceptuar:</w:t>
      </w:r>
    </w:p>
    <w:p w14:paraId="278843AA" w14:textId="77777777" w:rsidR="002D36DA" w:rsidRPr="00995A48" w:rsidRDefault="002D36DA" w:rsidP="002D36DA">
      <w:pPr>
        <w:tabs>
          <w:tab w:val="left" w:pos="142"/>
          <w:tab w:val="left" w:pos="567"/>
        </w:tabs>
        <w:spacing w:after="0" w:line="240" w:lineRule="auto"/>
        <w:ind w:left="851" w:right="902"/>
        <w:jc w:val="both"/>
        <w:rPr>
          <w:rFonts w:ascii="Verdana" w:eastAsia="Century Gothic" w:hAnsi="Verdana" w:cs="Century Gothic"/>
          <w:i/>
          <w:iCs/>
          <w:sz w:val="20"/>
          <w:szCs w:val="20"/>
        </w:rPr>
      </w:pPr>
      <w:r w:rsidRPr="00995A48">
        <w:rPr>
          <w:rFonts w:ascii="Verdana" w:eastAsia="Century Gothic" w:hAnsi="Verdana" w:cs="Century Gothic"/>
          <w:i/>
          <w:iCs/>
          <w:sz w:val="20"/>
          <w:szCs w:val="20"/>
        </w:rPr>
        <w:lastRenderedPageBreak/>
        <w:t>1. Si, para efectos de la liquidación del convenio, resulta jurídicamente necesario exigir la ampliación de la póliza de cumplimiento, aun cuando el objeto contractual ya se encuentre ejecutado y no se evidencien obligaciones pendientes.</w:t>
      </w:r>
    </w:p>
    <w:p w14:paraId="3198A0B5" w14:textId="77777777" w:rsidR="002D36DA" w:rsidRPr="00995A48" w:rsidRDefault="002D36DA" w:rsidP="002D36DA">
      <w:pPr>
        <w:tabs>
          <w:tab w:val="left" w:pos="142"/>
          <w:tab w:val="left" w:pos="567"/>
        </w:tabs>
        <w:spacing w:after="0" w:line="240" w:lineRule="auto"/>
        <w:ind w:left="851" w:right="902"/>
        <w:jc w:val="both"/>
        <w:rPr>
          <w:rFonts w:ascii="Verdana" w:eastAsia="Century Gothic" w:hAnsi="Verdana" w:cs="Century Gothic"/>
          <w:i/>
          <w:iCs/>
          <w:sz w:val="20"/>
          <w:szCs w:val="20"/>
        </w:rPr>
      </w:pPr>
      <w:r w:rsidRPr="00995A48">
        <w:rPr>
          <w:rFonts w:ascii="Verdana" w:eastAsia="Century Gothic" w:hAnsi="Verdana" w:cs="Century Gothic"/>
          <w:i/>
          <w:iCs/>
          <w:sz w:val="20"/>
          <w:szCs w:val="20"/>
        </w:rPr>
        <w:t>2. La liquidación puede adelantarse válidamente con la póliza de cumplimiento vencida, bajo qué condiciones.”</w:t>
      </w:r>
    </w:p>
    <w:p w14:paraId="475A1253" w14:textId="77777777" w:rsidR="002D36DA" w:rsidRPr="008E4F36" w:rsidRDefault="002D36DA" w:rsidP="002D36DA">
      <w:pPr>
        <w:spacing w:after="0" w:line="240" w:lineRule="auto"/>
        <w:ind w:left="709" w:right="709"/>
        <w:jc w:val="both"/>
        <w:rPr>
          <w:rFonts w:ascii="Verdana" w:hAnsi="Verdana"/>
          <w:sz w:val="20"/>
          <w:szCs w:val="20"/>
        </w:rPr>
      </w:pPr>
    </w:p>
    <w:p w14:paraId="657DDA6F" w14:textId="77777777" w:rsidR="002D36DA" w:rsidRDefault="002D36DA" w:rsidP="002D36DA">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831BDD3" w14:textId="77777777" w:rsidR="002D36DA" w:rsidRPr="00054383" w:rsidRDefault="002D36DA" w:rsidP="002D36DA">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174C17E7" w14:textId="77777777" w:rsidR="002D36DA" w:rsidRPr="008E4F36" w:rsidRDefault="002D36DA" w:rsidP="002D36DA">
      <w:pPr>
        <w:spacing w:after="0" w:line="276" w:lineRule="auto"/>
        <w:ind w:firstLine="709"/>
        <w:jc w:val="both"/>
        <w:rPr>
          <w:rFonts w:ascii="Verdana" w:eastAsia="Calibri" w:hAnsi="Verdana" w:cs="Arial"/>
          <w:color w:val="000000"/>
          <w:lang w:eastAsia="es-ES"/>
        </w:rPr>
      </w:pPr>
    </w:p>
    <w:p w14:paraId="5D3DC0FF" w14:textId="77777777" w:rsidR="002D36DA" w:rsidRDefault="002D36DA" w:rsidP="002D36D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2521ECCD" w14:textId="77777777" w:rsidR="002D36DA" w:rsidRDefault="002D36DA" w:rsidP="002D36DA">
      <w:pPr>
        <w:spacing w:after="0" w:line="276" w:lineRule="auto"/>
        <w:jc w:val="both"/>
        <w:rPr>
          <w:rFonts w:ascii="Verdana" w:eastAsia="Calibri" w:hAnsi="Verdana" w:cs="Arial"/>
          <w:color w:val="000000"/>
          <w:highlight w:val="yellow"/>
          <w:lang w:eastAsia="es-ES"/>
        </w:rPr>
      </w:pPr>
    </w:p>
    <w:p w14:paraId="2186391C" w14:textId="77777777" w:rsidR="002D36DA" w:rsidRPr="005A3B40" w:rsidRDefault="002D36DA" w:rsidP="002D36DA">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entury Gothic" w:hAnsi="Verdana" w:cs="Century Gothic"/>
        </w:rPr>
        <w:t xml:space="preserve">i) </w:t>
      </w:r>
      <w:r w:rsidRPr="0040395C">
        <w:rPr>
          <w:rFonts w:ascii="Verdana" w:eastAsia="Century Gothic" w:hAnsi="Verdana" w:cs="Century Gothic"/>
        </w:rPr>
        <w:t xml:space="preserve">¿Es obligatorio para la entidad estatal exigir garantías contractuales al celebrar un </w:t>
      </w:r>
      <w:r>
        <w:rPr>
          <w:rFonts w:ascii="Verdana" w:eastAsia="Century Gothic" w:hAnsi="Verdana" w:cs="Century Gothic"/>
        </w:rPr>
        <w:t>convenio interadministrativo</w:t>
      </w:r>
      <w:r w:rsidRPr="0040395C">
        <w:rPr>
          <w:rFonts w:ascii="Verdana" w:eastAsia="Century Gothic" w:hAnsi="Verdana" w:cs="Century Gothic"/>
        </w:rPr>
        <w:t>?</w:t>
      </w:r>
      <w:r>
        <w:rPr>
          <w:rFonts w:ascii="Verdana" w:eastAsia="Century Gothic" w:hAnsi="Verdana" w:cs="Century Gothic"/>
        </w:rPr>
        <w:t xml:space="preserve"> ii) </w:t>
      </w:r>
      <w:r w:rsidRPr="00E03546">
        <w:rPr>
          <w:rFonts w:ascii="Verdana" w:eastAsia="Verdana" w:hAnsi="Verdana" w:cs="Verdana"/>
          <w:lang w:val="es-ES"/>
        </w:rPr>
        <w:t>¿</w:t>
      </w:r>
      <w:r w:rsidRPr="00E03546">
        <w:rPr>
          <w:rFonts w:ascii="Verdana" w:eastAsia="Calibri" w:hAnsi="Verdana" w:cs="Arial"/>
        </w:rPr>
        <w:t>De acuerdo con el</w:t>
      </w:r>
      <w:r w:rsidRPr="00E03546">
        <w:rPr>
          <w:rFonts w:ascii="Verdana" w:eastAsia="Calibri" w:hAnsi="Verdana" w:cs="Arial"/>
          <w:spacing w:val="-5"/>
        </w:rPr>
        <w:t xml:space="preserve"> </w:t>
      </w:r>
      <w:r w:rsidRPr="00E03546">
        <w:rPr>
          <w:rFonts w:ascii="Verdana" w:eastAsia="Calibri" w:hAnsi="Verdana" w:cs="Arial"/>
        </w:rPr>
        <w:t>artículo</w:t>
      </w:r>
      <w:r w:rsidRPr="00E03546">
        <w:rPr>
          <w:rFonts w:ascii="Verdana" w:eastAsia="Calibri" w:hAnsi="Verdana" w:cs="Arial"/>
          <w:spacing w:val="-3"/>
        </w:rPr>
        <w:t xml:space="preserve"> </w:t>
      </w:r>
      <w:r w:rsidRPr="00E03546">
        <w:rPr>
          <w:rFonts w:ascii="Verdana" w:eastAsia="Calibri" w:hAnsi="Verdana" w:cs="Arial"/>
        </w:rPr>
        <w:t>2.2.1.2.3.1.12 del</w:t>
      </w:r>
      <w:r w:rsidRPr="00E03546">
        <w:rPr>
          <w:rFonts w:ascii="Verdana" w:eastAsia="Calibri" w:hAnsi="Verdana" w:cs="Arial"/>
          <w:spacing w:val="-5"/>
        </w:rPr>
        <w:t xml:space="preserve"> </w:t>
      </w:r>
      <w:r w:rsidRPr="00E03546">
        <w:rPr>
          <w:rFonts w:ascii="Verdana" w:eastAsia="Calibri" w:hAnsi="Verdana" w:cs="Arial"/>
        </w:rPr>
        <w:t>Decreto</w:t>
      </w:r>
      <w:r w:rsidRPr="00E03546">
        <w:rPr>
          <w:rFonts w:ascii="Verdana" w:eastAsia="Calibri" w:hAnsi="Verdana" w:cs="Arial"/>
          <w:spacing w:val="-3"/>
        </w:rPr>
        <w:t xml:space="preserve"> </w:t>
      </w:r>
      <w:r w:rsidRPr="00E03546">
        <w:rPr>
          <w:rFonts w:ascii="Verdana" w:eastAsia="Calibri" w:hAnsi="Verdana" w:cs="Arial"/>
        </w:rPr>
        <w:t>1082</w:t>
      </w:r>
      <w:r w:rsidRPr="00E03546">
        <w:rPr>
          <w:rFonts w:ascii="Verdana" w:eastAsia="Calibri" w:hAnsi="Verdana" w:cs="Arial"/>
          <w:spacing w:val="-4"/>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2015</w:t>
      </w:r>
      <w:r w:rsidRPr="00E03546">
        <w:rPr>
          <w:rFonts w:ascii="Verdana" w:eastAsia="Calibri" w:hAnsi="Verdana" w:cs="Arial"/>
          <w:spacing w:val="-4"/>
        </w:rPr>
        <w:t xml:space="preserve"> </w:t>
      </w:r>
      <w:r w:rsidRPr="00E03546">
        <w:rPr>
          <w:rFonts w:ascii="Verdana" w:eastAsia="Calibri" w:hAnsi="Verdana" w:cs="Arial"/>
        </w:rPr>
        <w:t>cual debe ser la vigencia mínima de la garantía de cumplimiento?</w:t>
      </w:r>
    </w:p>
    <w:p w14:paraId="3549A956" w14:textId="77777777" w:rsidR="002D36DA" w:rsidRPr="00BF422F" w:rsidRDefault="002D36DA" w:rsidP="002D36DA">
      <w:pPr>
        <w:spacing w:after="0" w:line="276" w:lineRule="auto"/>
        <w:jc w:val="both"/>
        <w:rPr>
          <w:rFonts w:ascii="Verdana" w:eastAsia="Calibri" w:hAnsi="Verdana" w:cs="Times New Roman"/>
          <w:i/>
          <w:iCs/>
          <w:lang w:val="es-ES"/>
        </w:rPr>
      </w:pPr>
    </w:p>
    <w:p w14:paraId="65F20AA0" w14:textId="77777777" w:rsidR="002D36DA" w:rsidRPr="008E4F36" w:rsidRDefault="002D36DA" w:rsidP="002D36DA">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118E99C8" w14:textId="77777777" w:rsidR="002D36DA" w:rsidRPr="008E4F36" w:rsidRDefault="002D36DA" w:rsidP="002D36DA">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D36DA" w:rsidRPr="008E4F36" w14:paraId="5FF995FC" w14:textId="77777777" w:rsidTr="005E0527">
        <w:tc>
          <w:tcPr>
            <w:tcW w:w="8828" w:type="dxa"/>
          </w:tcPr>
          <w:p w14:paraId="26AE5896" w14:textId="77777777" w:rsidR="002D36DA" w:rsidRPr="005D7601" w:rsidRDefault="002D36DA" w:rsidP="005E0527">
            <w:pPr>
              <w:spacing w:after="120" w:line="276" w:lineRule="auto"/>
              <w:jc w:val="both"/>
              <w:rPr>
                <w:rFonts w:ascii="Verdana" w:eastAsia="Calibri" w:hAnsi="Verdana" w:cs="Arial"/>
              </w:rPr>
            </w:pPr>
            <w:r>
              <w:rPr>
                <w:rFonts w:ascii="Verdana" w:eastAsia="Calibri" w:hAnsi="Verdana" w:cs="Arial"/>
              </w:rPr>
              <w:lastRenderedPageBreak/>
              <w:t>i) No, e</w:t>
            </w:r>
            <w:r w:rsidRPr="005D7601">
              <w:rPr>
                <w:rFonts w:ascii="Verdana" w:eastAsia="Calibri" w:hAnsi="Verdana" w:cs="Arial"/>
              </w:rPr>
              <w:t xml:space="preserve">l artículo 7 de la Ley 1150 de 2007 dispone expresamente que </w:t>
            </w:r>
            <w:r w:rsidRPr="005D7601">
              <w:rPr>
                <w:rFonts w:ascii="Verdana" w:eastAsia="Calibri" w:hAnsi="Verdana" w:cs="Arial"/>
                <w:i/>
                <w:iCs/>
              </w:rPr>
              <w:t>“las garantías no serán obligatorias en los contratos de empréstito, en los interadministrativos, en los de seguro y en los contratos cuyo valor sea inferior al 10 % de la menor cuantía…”</w:t>
            </w:r>
            <w:r>
              <w:rPr>
                <w:rFonts w:ascii="Verdana" w:eastAsia="Calibri" w:hAnsi="Verdana" w:cs="Arial"/>
                <w:i/>
                <w:iCs/>
              </w:rPr>
              <w:t>.</w:t>
            </w:r>
            <w:r w:rsidRPr="005D7601">
              <w:rPr>
                <w:rFonts w:ascii="Verdana" w:eastAsia="Calibri" w:hAnsi="Verdana" w:cs="Arial"/>
              </w:rPr>
              <w:t xml:space="preserve"> En ese sentido, el legislador reconoce una excepción a la regla general de exigir garantías para los contratos estatales, justamente cuando se trata de </w:t>
            </w:r>
            <w:r>
              <w:rPr>
                <w:rFonts w:ascii="Verdana" w:eastAsia="Calibri" w:hAnsi="Verdana" w:cs="Arial"/>
              </w:rPr>
              <w:t xml:space="preserve">convenios o </w:t>
            </w:r>
            <w:r w:rsidRPr="005D7601">
              <w:rPr>
                <w:rFonts w:ascii="Verdana" w:eastAsia="Calibri" w:hAnsi="Verdana" w:cs="Arial"/>
              </w:rPr>
              <w:t>contratos interadministrativos.</w:t>
            </w:r>
          </w:p>
          <w:p w14:paraId="09893E8C" w14:textId="77777777" w:rsidR="002D36DA" w:rsidRDefault="002D36DA" w:rsidP="005E0527">
            <w:pPr>
              <w:spacing w:after="120" w:line="276" w:lineRule="auto"/>
              <w:ind w:firstLine="709"/>
              <w:jc w:val="both"/>
              <w:rPr>
                <w:rFonts w:ascii="Verdana" w:eastAsia="Calibri" w:hAnsi="Verdana" w:cs="Arial"/>
              </w:rPr>
            </w:pPr>
            <w:r w:rsidRPr="005D7601">
              <w:rPr>
                <w:rFonts w:ascii="Verdana" w:eastAsia="Calibri" w:hAnsi="Verdana" w:cs="Arial"/>
              </w:rPr>
              <w:t>Por su parte, el Decreto 1082 de 2015, en su artículo 2.2.1.2.1.4.5 (y normas conexas), reitera ese principio en el contexto de la contratación directa</w:t>
            </w:r>
            <w:r>
              <w:rPr>
                <w:rFonts w:ascii="Verdana" w:eastAsia="Calibri" w:hAnsi="Verdana" w:cs="Arial"/>
              </w:rPr>
              <w:t>, al señalar que</w:t>
            </w:r>
            <w:r w:rsidRPr="005D7601">
              <w:rPr>
                <w:rFonts w:ascii="Verdana" w:eastAsia="Calibri" w:hAnsi="Verdana" w:cs="Arial"/>
              </w:rPr>
              <w:t>: “la exigencia de garantías (…) no es obligatoria y la justificación para exigirlas o no debe estar en los estudios y documentos previos</w:t>
            </w:r>
            <w:r>
              <w:rPr>
                <w:rFonts w:ascii="Verdana" w:eastAsia="Calibri" w:hAnsi="Verdana" w:cs="Arial"/>
              </w:rPr>
              <w:t>.</w:t>
            </w:r>
          </w:p>
          <w:p w14:paraId="71314258" w14:textId="77777777" w:rsidR="002D36DA" w:rsidRDefault="002D36DA" w:rsidP="005E0527">
            <w:pPr>
              <w:spacing w:after="120" w:line="276" w:lineRule="auto"/>
              <w:ind w:firstLine="709"/>
              <w:jc w:val="both"/>
              <w:rPr>
                <w:rFonts w:ascii="Verdana" w:eastAsia="Calibri" w:hAnsi="Verdana" w:cs="Arial"/>
              </w:rPr>
            </w:pPr>
            <w:r>
              <w:rPr>
                <w:rFonts w:ascii="Verdana" w:eastAsia="Calibri" w:hAnsi="Verdana" w:cs="Arial"/>
              </w:rPr>
              <w:t xml:space="preserve">Conforme a lo anterior, la exigencia o no de garantía en un convenio interadministrativo es un asunto sujeto a la autonomía de las Entidades Estatales, en ese sentido, la obligación de constituirlas y sus condiciones dependerá de que tal exigencia haya quedado estipulada en la minuta del convenio o en los Documentos del Proceso. Para tales efectos, las Entidades deberán hacer un análisis de conveniencia, así como de los riesgos propios del negocio jurídico, con el fin de determinar la necesidad de exigir las garantías, así como su monto y tiempo de vigencia. </w:t>
            </w:r>
          </w:p>
          <w:p w14:paraId="09CB20BC" w14:textId="77777777" w:rsidR="002D36DA" w:rsidRDefault="002D36DA" w:rsidP="005E0527">
            <w:pPr>
              <w:spacing w:line="276" w:lineRule="auto"/>
              <w:ind w:firstLine="709"/>
              <w:jc w:val="both"/>
              <w:rPr>
                <w:rFonts w:ascii="Verdana" w:eastAsia="Calibri" w:hAnsi="Verdana" w:cs="Arial"/>
              </w:rPr>
            </w:pPr>
            <w:r>
              <w:rPr>
                <w:rFonts w:ascii="Verdana" w:eastAsia="Calibri" w:hAnsi="Verdana" w:cs="Arial"/>
              </w:rPr>
              <w:t xml:space="preserve">Ahora bien, en el caso de que se haya establecido en un convenio interadministrativo la obligación de constituir la garantía única de cumplimiento, esta deberá mantenerse vigente por el término fijado en la minuta del convenio o en los Documentos del Proceso. Así las cosas, para determinar si en un convenio interadministrativo debe mantenerse vigente o no la garantía única de cumplimiento hasta la fecha de la liquidación, deberá revisarse las estipulaciones contenidas en los Documentos del Proceso o en la minuta y se deberán mantener vigentes hasta la fecha establecida, independientemente de las condiciones en las que se haya dado la ejecución del convenio. Es decir, que si se pactó que las garantías tendrían una vigencia hasta la vigencia del contrato o hasta la liquidación, hasta dicha fecha deberá mantenerse vigente independientemente de que se estime que no hay obligaciones pendientes. </w:t>
            </w:r>
          </w:p>
          <w:p w14:paraId="50B37C07" w14:textId="77777777" w:rsidR="002D36DA" w:rsidRDefault="002D36DA" w:rsidP="005E0527">
            <w:pPr>
              <w:spacing w:line="276" w:lineRule="auto"/>
              <w:ind w:firstLine="709"/>
              <w:jc w:val="both"/>
              <w:rPr>
                <w:rFonts w:ascii="Verdana" w:eastAsia="Calibri" w:hAnsi="Verdana" w:cs="Arial"/>
              </w:rPr>
            </w:pPr>
          </w:p>
          <w:p w14:paraId="10A9E712" w14:textId="77777777" w:rsidR="002D36DA" w:rsidRPr="00E03546" w:rsidRDefault="002D36DA" w:rsidP="005E0527">
            <w:pPr>
              <w:spacing w:after="120" w:line="276" w:lineRule="auto"/>
              <w:jc w:val="both"/>
              <w:rPr>
                <w:rFonts w:ascii="Verdana" w:eastAsia="Calibri" w:hAnsi="Verdana" w:cs="Arial"/>
              </w:rPr>
            </w:pPr>
            <w:r>
              <w:rPr>
                <w:rFonts w:ascii="Verdana" w:eastAsia="Calibri" w:hAnsi="Verdana" w:cs="Arial"/>
              </w:rPr>
              <w:lastRenderedPageBreak/>
              <w:t>ii) En los casos en los que apliquen las disposiciones contenidas en el Estatuto General de Contratación de la Administración Pública, es importante tener en cuenta lo contemplado en el</w:t>
            </w:r>
            <w:r w:rsidRPr="00E03546">
              <w:rPr>
                <w:rFonts w:ascii="Verdana" w:eastAsia="Calibri" w:hAnsi="Verdana" w:cs="Arial"/>
                <w:spacing w:val="-5"/>
              </w:rPr>
              <w:t xml:space="preserve"> </w:t>
            </w:r>
            <w:r w:rsidRPr="00E03546">
              <w:rPr>
                <w:rFonts w:ascii="Verdana" w:eastAsia="Calibri" w:hAnsi="Verdana" w:cs="Arial"/>
              </w:rPr>
              <w:t>artículo</w:t>
            </w:r>
            <w:r w:rsidRPr="00E03546">
              <w:rPr>
                <w:rFonts w:ascii="Verdana" w:eastAsia="Calibri" w:hAnsi="Verdana" w:cs="Arial"/>
                <w:spacing w:val="-3"/>
              </w:rPr>
              <w:t xml:space="preserve"> </w:t>
            </w:r>
            <w:r w:rsidRPr="00E03546">
              <w:rPr>
                <w:rFonts w:ascii="Verdana" w:eastAsia="Calibri" w:hAnsi="Verdana" w:cs="Arial"/>
              </w:rPr>
              <w:t>2.2.1.2.3.1.12 del</w:t>
            </w:r>
            <w:r w:rsidRPr="00E03546">
              <w:rPr>
                <w:rFonts w:ascii="Verdana" w:eastAsia="Calibri" w:hAnsi="Verdana" w:cs="Arial"/>
                <w:spacing w:val="-5"/>
              </w:rPr>
              <w:t xml:space="preserve"> </w:t>
            </w:r>
            <w:r w:rsidRPr="00E03546">
              <w:rPr>
                <w:rFonts w:ascii="Verdana" w:eastAsia="Calibri" w:hAnsi="Verdana" w:cs="Arial"/>
              </w:rPr>
              <w:t>Decreto</w:t>
            </w:r>
            <w:r w:rsidRPr="00E03546">
              <w:rPr>
                <w:rFonts w:ascii="Verdana" w:eastAsia="Calibri" w:hAnsi="Verdana" w:cs="Arial"/>
                <w:spacing w:val="-3"/>
              </w:rPr>
              <w:t xml:space="preserve"> </w:t>
            </w:r>
            <w:r w:rsidRPr="00E03546">
              <w:rPr>
                <w:rFonts w:ascii="Verdana" w:eastAsia="Calibri" w:hAnsi="Verdana" w:cs="Arial"/>
              </w:rPr>
              <w:t>1082</w:t>
            </w:r>
            <w:r w:rsidRPr="00E03546">
              <w:rPr>
                <w:rFonts w:ascii="Verdana" w:eastAsia="Calibri" w:hAnsi="Verdana" w:cs="Arial"/>
                <w:spacing w:val="-4"/>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2015</w:t>
            </w:r>
            <w:r>
              <w:rPr>
                <w:rFonts w:ascii="Verdana" w:eastAsia="Calibri" w:hAnsi="Verdana" w:cs="Arial"/>
              </w:rPr>
              <w:t>, el cual</w:t>
            </w:r>
            <w:r w:rsidRPr="00E03546">
              <w:rPr>
                <w:rFonts w:ascii="Verdana" w:eastAsia="Calibri" w:hAnsi="Verdana" w:cs="Arial"/>
                <w:spacing w:val="-4"/>
              </w:rPr>
              <w:t xml:space="preserve"> </w:t>
            </w:r>
            <w:r w:rsidRPr="00E03546">
              <w:rPr>
                <w:rFonts w:ascii="Verdana" w:eastAsia="Calibri" w:hAnsi="Verdana" w:cs="Arial"/>
              </w:rPr>
              <w:t>regula</w:t>
            </w:r>
            <w:r w:rsidRPr="00E03546">
              <w:rPr>
                <w:rFonts w:ascii="Verdana" w:eastAsia="Calibri" w:hAnsi="Verdana" w:cs="Arial"/>
                <w:spacing w:val="-4"/>
              </w:rPr>
              <w:t xml:space="preserve"> </w:t>
            </w:r>
            <w:r w:rsidRPr="00E03546">
              <w:rPr>
                <w:rFonts w:ascii="Verdana" w:eastAsia="Calibri" w:hAnsi="Verdana" w:cs="Arial"/>
              </w:rPr>
              <w:t>la</w:t>
            </w:r>
            <w:r w:rsidRPr="00E03546">
              <w:rPr>
                <w:rFonts w:ascii="Verdana" w:eastAsia="Calibri" w:hAnsi="Verdana" w:cs="Arial"/>
                <w:spacing w:val="-5"/>
              </w:rPr>
              <w:t xml:space="preserve"> </w:t>
            </w:r>
            <w:r w:rsidRPr="00E03546">
              <w:rPr>
                <w:rFonts w:ascii="Verdana" w:eastAsia="Calibri" w:hAnsi="Verdana" w:cs="Arial"/>
              </w:rPr>
              <w:t>suficiencia</w:t>
            </w:r>
            <w:r w:rsidRPr="00E03546">
              <w:rPr>
                <w:rFonts w:ascii="Verdana" w:eastAsia="Calibri" w:hAnsi="Verdana" w:cs="Arial"/>
                <w:spacing w:val="-2"/>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 xml:space="preserve">la garantía de cumplimiento. Esta debe tener una vigencia mínima hasta la liquidación y, por regla general un valor de por lo menos el diez por ciento (10%) del total del contrato, siempre que este sea inferior a un millón (1.000.000) de </w:t>
            </w:r>
            <w:r>
              <w:rPr>
                <w:rFonts w:ascii="Verdana" w:eastAsia="Calibri" w:hAnsi="Verdana" w:cs="Arial"/>
              </w:rPr>
              <w:t>SMLMV</w:t>
            </w:r>
            <w:r w:rsidRPr="00E03546">
              <w:rPr>
                <w:rFonts w:ascii="Verdana" w:eastAsia="Calibri" w:hAnsi="Verdana" w:cs="Arial"/>
              </w:rPr>
              <w:t xml:space="preserve">. Conforme la norma citada, el amparo cubre tanto el </w:t>
            </w:r>
            <w:r w:rsidRPr="00E03546">
              <w:rPr>
                <w:rFonts w:ascii="Verdana" w:eastAsia="Calibri" w:hAnsi="Verdana" w:cs="Arial"/>
                <w:i/>
              </w:rPr>
              <w:t xml:space="preserve">plazo de ejecución </w:t>
            </w:r>
            <w:r w:rsidRPr="00E03546">
              <w:rPr>
                <w:rFonts w:ascii="Verdana" w:eastAsia="Calibri" w:hAnsi="Verdana" w:cs="Arial"/>
              </w:rPr>
              <w:t xml:space="preserve">como el </w:t>
            </w:r>
            <w:r w:rsidRPr="00E03546">
              <w:rPr>
                <w:rFonts w:ascii="Verdana" w:eastAsia="Calibri" w:hAnsi="Verdana" w:cs="Arial"/>
                <w:i/>
              </w:rPr>
              <w:t xml:space="preserve">plazo de vigencia </w:t>
            </w:r>
            <w:r w:rsidRPr="00E03546">
              <w:rPr>
                <w:rFonts w:ascii="Verdana" w:eastAsia="Calibri" w:hAnsi="Verdana" w:cs="Arial"/>
              </w:rPr>
              <w:t>del contrato.</w:t>
            </w:r>
          </w:p>
          <w:p w14:paraId="61125ECD" w14:textId="77777777" w:rsidR="002D36DA" w:rsidRPr="00E03546" w:rsidRDefault="002D36DA" w:rsidP="005E0527">
            <w:pPr>
              <w:spacing w:after="120" w:line="276" w:lineRule="auto"/>
              <w:ind w:firstLine="709"/>
              <w:jc w:val="both"/>
              <w:rPr>
                <w:rFonts w:ascii="Verdana" w:eastAsia="Calibri" w:hAnsi="Verdana" w:cs="Arial"/>
              </w:rPr>
            </w:pPr>
            <w:r w:rsidRPr="00E03546">
              <w:rPr>
                <w:rFonts w:ascii="Verdana" w:eastAsia="Calibri" w:hAnsi="Verdana" w:cs="Arial"/>
              </w:rPr>
              <w:t>Así,</w:t>
            </w:r>
            <w:r w:rsidRPr="00E03546">
              <w:rPr>
                <w:rFonts w:ascii="Verdana" w:eastAsia="Calibri" w:hAnsi="Verdana" w:cs="Arial"/>
                <w:spacing w:val="-5"/>
              </w:rPr>
              <w:t xml:space="preserve"> </w:t>
            </w:r>
            <w:r w:rsidRPr="00E03546">
              <w:rPr>
                <w:rFonts w:ascii="Verdana" w:eastAsia="Calibri" w:hAnsi="Verdana" w:cs="Arial"/>
              </w:rPr>
              <w:t>la</w:t>
            </w:r>
            <w:r w:rsidRPr="00E03546">
              <w:rPr>
                <w:rFonts w:ascii="Verdana" w:eastAsia="Calibri" w:hAnsi="Verdana" w:cs="Arial"/>
                <w:spacing w:val="-6"/>
              </w:rPr>
              <w:t xml:space="preserve"> </w:t>
            </w:r>
            <w:r w:rsidRPr="00E03546">
              <w:rPr>
                <w:rFonts w:ascii="Verdana" w:eastAsia="Calibri" w:hAnsi="Verdana" w:cs="Arial"/>
              </w:rPr>
              <w:t>cobertura</w:t>
            </w:r>
            <w:r w:rsidRPr="00E03546">
              <w:rPr>
                <w:rFonts w:ascii="Verdana" w:eastAsia="Calibri" w:hAnsi="Verdana" w:cs="Arial"/>
                <w:spacing w:val="-4"/>
              </w:rPr>
              <w:t xml:space="preserve"> </w:t>
            </w:r>
            <w:r w:rsidRPr="00E03546">
              <w:rPr>
                <w:rFonts w:ascii="Verdana" w:eastAsia="Calibri" w:hAnsi="Verdana" w:cs="Arial"/>
              </w:rPr>
              <w:t>mínima</w:t>
            </w:r>
            <w:r w:rsidRPr="00E03546">
              <w:rPr>
                <w:rFonts w:ascii="Verdana" w:eastAsia="Calibri" w:hAnsi="Verdana" w:cs="Arial"/>
                <w:spacing w:val="-5"/>
              </w:rPr>
              <w:t xml:space="preserve"> </w:t>
            </w:r>
            <w:r w:rsidRPr="00E03546">
              <w:rPr>
                <w:rFonts w:ascii="Verdana" w:eastAsia="Calibri" w:hAnsi="Verdana" w:cs="Arial"/>
              </w:rPr>
              <w:t>del</w:t>
            </w:r>
            <w:r w:rsidRPr="00E03546">
              <w:rPr>
                <w:rFonts w:ascii="Verdana" w:eastAsia="Calibri" w:hAnsi="Verdana" w:cs="Arial"/>
                <w:spacing w:val="-6"/>
              </w:rPr>
              <w:t xml:space="preserve"> </w:t>
            </w:r>
            <w:r w:rsidRPr="00E03546">
              <w:rPr>
                <w:rFonts w:ascii="Verdana" w:eastAsia="Calibri" w:hAnsi="Verdana" w:cs="Arial"/>
              </w:rPr>
              <w:t>amparo</w:t>
            </w:r>
            <w:r w:rsidRPr="00E03546">
              <w:rPr>
                <w:rFonts w:ascii="Verdana" w:eastAsia="Calibri" w:hAnsi="Verdana" w:cs="Arial"/>
                <w:spacing w:val="-5"/>
              </w:rPr>
              <w:t xml:space="preserve"> </w:t>
            </w:r>
            <w:r w:rsidRPr="00E03546">
              <w:rPr>
                <w:rFonts w:ascii="Verdana" w:eastAsia="Calibri" w:hAnsi="Verdana" w:cs="Arial"/>
              </w:rPr>
              <w:t>de</w:t>
            </w:r>
            <w:r w:rsidRPr="00E03546">
              <w:rPr>
                <w:rFonts w:ascii="Verdana" w:eastAsia="Calibri" w:hAnsi="Verdana" w:cs="Arial"/>
                <w:spacing w:val="-6"/>
              </w:rPr>
              <w:t xml:space="preserve"> </w:t>
            </w:r>
            <w:r w:rsidRPr="00E03546">
              <w:rPr>
                <w:rFonts w:ascii="Verdana" w:eastAsia="Calibri" w:hAnsi="Verdana" w:cs="Arial"/>
              </w:rPr>
              <w:t>cumplimiento</w:t>
            </w:r>
            <w:r w:rsidRPr="00E03546">
              <w:rPr>
                <w:rFonts w:ascii="Verdana" w:eastAsia="Calibri" w:hAnsi="Verdana" w:cs="Arial"/>
                <w:spacing w:val="-2"/>
              </w:rPr>
              <w:t xml:space="preserve"> </w:t>
            </w:r>
            <w:r w:rsidRPr="00E03546">
              <w:rPr>
                <w:rFonts w:ascii="Verdana" w:eastAsia="Calibri" w:hAnsi="Verdana" w:cs="Arial"/>
              </w:rPr>
              <w:t>cubre</w:t>
            </w:r>
            <w:r w:rsidRPr="00E03546">
              <w:rPr>
                <w:rFonts w:ascii="Verdana" w:eastAsia="Calibri" w:hAnsi="Verdana" w:cs="Arial"/>
                <w:spacing w:val="-5"/>
              </w:rPr>
              <w:t xml:space="preserve"> </w:t>
            </w:r>
            <w:r w:rsidRPr="00E03546">
              <w:rPr>
                <w:rFonts w:ascii="Verdana" w:eastAsia="Calibri" w:hAnsi="Verdana" w:cs="Arial"/>
              </w:rPr>
              <w:t>el</w:t>
            </w:r>
            <w:r w:rsidRPr="00E03546">
              <w:rPr>
                <w:rFonts w:ascii="Verdana" w:eastAsia="Calibri" w:hAnsi="Verdana" w:cs="Arial"/>
                <w:spacing w:val="-6"/>
              </w:rPr>
              <w:t xml:space="preserve"> </w:t>
            </w:r>
            <w:r w:rsidRPr="00E03546">
              <w:rPr>
                <w:rFonts w:ascii="Verdana" w:eastAsia="Calibri" w:hAnsi="Verdana" w:cs="Arial"/>
                <w:i/>
              </w:rPr>
              <w:t>plazo</w:t>
            </w:r>
            <w:r w:rsidRPr="00E03546">
              <w:rPr>
                <w:rFonts w:ascii="Verdana" w:eastAsia="Calibri" w:hAnsi="Verdana" w:cs="Arial"/>
                <w:i/>
                <w:spacing w:val="-5"/>
              </w:rPr>
              <w:t xml:space="preserve"> </w:t>
            </w:r>
            <w:r w:rsidRPr="00E03546">
              <w:rPr>
                <w:rFonts w:ascii="Verdana" w:eastAsia="Calibri" w:hAnsi="Verdana" w:cs="Arial"/>
                <w:i/>
              </w:rPr>
              <w:t>de ejecución</w:t>
            </w:r>
            <w:r w:rsidRPr="00E03546">
              <w:rPr>
                <w:rFonts w:ascii="Verdana" w:eastAsia="Calibri" w:hAnsi="Verdana" w:cs="Arial"/>
                <w:i/>
                <w:spacing w:val="-5"/>
              </w:rPr>
              <w:t xml:space="preserve"> </w:t>
            </w:r>
            <w:r w:rsidRPr="00E03546">
              <w:rPr>
                <w:rFonts w:ascii="Verdana" w:eastAsia="Calibri" w:hAnsi="Verdana" w:cs="Arial"/>
              </w:rPr>
              <w:t>y</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i/>
              </w:rPr>
              <w:t>plazo</w:t>
            </w:r>
            <w:r w:rsidRPr="00E03546">
              <w:rPr>
                <w:rFonts w:ascii="Verdana" w:eastAsia="Calibri" w:hAnsi="Verdana" w:cs="Arial"/>
                <w:i/>
                <w:spacing w:val="-7"/>
              </w:rPr>
              <w:t xml:space="preserve"> </w:t>
            </w:r>
            <w:r w:rsidRPr="00E03546">
              <w:rPr>
                <w:rFonts w:ascii="Verdana" w:eastAsia="Calibri" w:hAnsi="Verdana" w:cs="Arial"/>
                <w:i/>
              </w:rPr>
              <w:t>de</w:t>
            </w:r>
            <w:r w:rsidRPr="00E03546">
              <w:rPr>
                <w:rFonts w:ascii="Verdana" w:eastAsia="Calibri" w:hAnsi="Verdana" w:cs="Arial"/>
                <w:i/>
                <w:spacing w:val="-8"/>
              </w:rPr>
              <w:t xml:space="preserve"> </w:t>
            </w:r>
            <w:r w:rsidRPr="00E03546">
              <w:rPr>
                <w:rFonts w:ascii="Verdana" w:eastAsia="Calibri" w:hAnsi="Verdana" w:cs="Arial"/>
                <w:i/>
              </w:rPr>
              <w:t>vigencia</w:t>
            </w:r>
            <w:r w:rsidRPr="00E03546">
              <w:rPr>
                <w:rFonts w:ascii="Verdana" w:eastAsia="Calibri" w:hAnsi="Verdana" w:cs="Arial"/>
              </w:rPr>
              <w:t>,</w:t>
            </w:r>
            <w:r w:rsidRPr="00E03546">
              <w:rPr>
                <w:rFonts w:ascii="Verdana" w:eastAsia="Calibri" w:hAnsi="Verdana" w:cs="Arial"/>
                <w:spacing w:val="-8"/>
              </w:rPr>
              <w:t xml:space="preserve"> </w:t>
            </w:r>
            <w:r w:rsidRPr="00E03546">
              <w:rPr>
                <w:rFonts w:ascii="Verdana" w:eastAsia="Calibri" w:hAnsi="Verdana" w:cs="Arial"/>
              </w:rPr>
              <w:t>el</w:t>
            </w:r>
            <w:r w:rsidRPr="00E03546">
              <w:rPr>
                <w:rFonts w:ascii="Verdana" w:eastAsia="Calibri" w:hAnsi="Verdana" w:cs="Arial"/>
                <w:spacing w:val="-8"/>
              </w:rPr>
              <w:t xml:space="preserve"> </w:t>
            </w:r>
            <w:r w:rsidRPr="00E03546">
              <w:rPr>
                <w:rFonts w:ascii="Verdana" w:eastAsia="Calibri" w:hAnsi="Verdana" w:cs="Arial"/>
              </w:rPr>
              <w:t>cual</w:t>
            </w:r>
            <w:r w:rsidRPr="00E03546">
              <w:rPr>
                <w:rFonts w:ascii="Verdana" w:eastAsia="Calibri" w:hAnsi="Verdana" w:cs="Arial"/>
                <w:spacing w:val="-7"/>
              </w:rPr>
              <w:t xml:space="preserve"> </w:t>
            </w:r>
            <w:r w:rsidRPr="00E03546">
              <w:rPr>
                <w:rFonts w:ascii="Verdana" w:eastAsia="Calibri" w:hAnsi="Verdana" w:cs="Arial"/>
              </w:rPr>
              <w:t>finaliza</w:t>
            </w:r>
            <w:r w:rsidRPr="00E03546">
              <w:rPr>
                <w:rFonts w:ascii="Verdana" w:eastAsia="Calibri" w:hAnsi="Verdana" w:cs="Arial"/>
                <w:spacing w:val="-6"/>
              </w:rPr>
              <w:t xml:space="preserve"> </w:t>
            </w:r>
            <w:r w:rsidRPr="00E03546">
              <w:rPr>
                <w:rFonts w:ascii="Verdana" w:eastAsia="Calibri" w:hAnsi="Verdana" w:cs="Arial"/>
              </w:rPr>
              <w:t>con</w:t>
            </w:r>
            <w:r w:rsidRPr="00E03546">
              <w:rPr>
                <w:rFonts w:ascii="Verdana" w:eastAsia="Calibri" w:hAnsi="Verdana" w:cs="Arial"/>
                <w:spacing w:val="-8"/>
              </w:rPr>
              <w:t xml:space="preserve"> </w:t>
            </w:r>
            <w:r w:rsidRPr="00E03546">
              <w:rPr>
                <w:rFonts w:ascii="Verdana" w:eastAsia="Calibri" w:hAnsi="Verdana" w:cs="Arial"/>
              </w:rPr>
              <w:t>la</w:t>
            </w:r>
            <w:r w:rsidRPr="00E03546">
              <w:rPr>
                <w:rFonts w:ascii="Verdana" w:eastAsia="Calibri" w:hAnsi="Verdana" w:cs="Arial"/>
                <w:spacing w:val="-8"/>
              </w:rPr>
              <w:t xml:space="preserve"> </w:t>
            </w:r>
            <w:r w:rsidRPr="00E03546">
              <w:rPr>
                <w:rFonts w:ascii="Verdana" w:eastAsia="Calibri" w:hAnsi="Verdana" w:cs="Arial"/>
              </w:rPr>
              <w:t>liquidación.</w:t>
            </w:r>
            <w:r w:rsidRPr="00E03546">
              <w:rPr>
                <w:rFonts w:ascii="Verdana" w:eastAsia="Calibri" w:hAnsi="Verdana" w:cs="Arial"/>
                <w:spacing w:val="-5"/>
              </w:rPr>
              <w:t xml:space="preserve"> </w:t>
            </w:r>
            <w:r w:rsidRPr="00E03546">
              <w:rPr>
                <w:rFonts w:ascii="Verdana" w:eastAsia="Calibri" w:hAnsi="Verdana" w:cs="Arial"/>
              </w:rPr>
              <w:t>En</w:t>
            </w:r>
            <w:r w:rsidRPr="00E03546">
              <w:rPr>
                <w:rFonts w:ascii="Verdana" w:eastAsia="Calibri" w:hAnsi="Verdana" w:cs="Arial"/>
                <w:spacing w:val="-8"/>
              </w:rPr>
              <w:t xml:space="preserve"> </w:t>
            </w:r>
            <w:r w:rsidRPr="00E03546">
              <w:rPr>
                <w:rFonts w:ascii="Verdana" w:eastAsia="Calibri" w:hAnsi="Verdana" w:cs="Arial"/>
              </w:rPr>
              <w:t>palabras de la doctrina, “[…] el contratista deberá otorgarla con una vigencia igual al plazo</w:t>
            </w:r>
            <w:r w:rsidRPr="00E03546">
              <w:rPr>
                <w:rFonts w:ascii="Verdana" w:eastAsia="Calibri" w:hAnsi="Verdana" w:cs="Arial"/>
                <w:spacing w:val="63"/>
              </w:rPr>
              <w:t xml:space="preserve"> </w:t>
            </w:r>
            <w:r w:rsidRPr="00E03546">
              <w:rPr>
                <w:rFonts w:ascii="Verdana" w:eastAsia="Calibri" w:hAnsi="Verdana" w:cs="Arial"/>
              </w:rPr>
              <w:t>del</w:t>
            </w:r>
            <w:r w:rsidRPr="00E03546">
              <w:rPr>
                <w:rFonts w:ascii="Verdana" w:eastAsia="Calibri" w:hAnsi="Verdana" w:cs="Arial"/>
                <w:spacing w:val="62"/>
              </w:rPr>
              <w:t xml:space="preserve"> </w:t>
            </w:r>
            <w:r w:rsidRPr="00E03546">
              <w:rPr>
                <w:rFonts w:ascii="Verdana" w:eastAsia="Calibri" w:hAnsi="Verdana" w:cs="Arial"/>
              </w:rPr>
              <w:t>contrato</w:t>
            </w:r>
            <w:r w:rsidRPr="00E03546">
              <w:rPr>
                <w:rFonts w:ascii="Verdana" w:eastAsia="Calibri" w:hAnsi="Verdana" w:cs="Arial"/>
                <w:spacing w:val="64"/>
              </w:rPr>
              <w:t xml:space="preserve"> </w:t>
            </w:r>
            <w:r w:rsidRPr="00E03546">
              <w:rPr>
                <w:rFonts w:ascii="Verdana" w:eastAsia="Calibri" w:hAnsi="Verdana" w:cs="Arial"/>
              </w:rPr>
              <w:t>garantizado</w:t>
            </w:r>
            <w:r w:rsidRPr="00E03546">
              <w:rPr>
                <w:rFonts w:ascii="Verdana" w:eastAsia="Calibri" w:hAnsi="Verdana" w:cs="Arial"/>
                <w:spacing w:val="65"/>
              </w:rPr>
              <w:t xml:space="preserve"> </w:t>
            </w:r>
            <w:r w:rsidRPr="00E03546">
              <w:rPr>
                <w:rFonts w:ascii="Verdana" w:eastAsia="Calibri" w:hAnsi="Verdana" w:cs="Arial"/>
              </w:rPr>
              <w:t>más</w:t>
            </w:r>
            <w:r w:rsidRPr="00E03546">
              <w:rPr>
                <w:rFonts w:ascii="Verdana" w:eastAsia="Calibri" w:hAnsi="Verdana" w:cs="Arial"/>
                <w:spacing w:val="62"/>
              </w:rPr>
              <w:t xml:space="preserve"> </w:t>
            </w:r>
            <w:r w:rsidRPr="00E03546">
              <w:rPr>
                <w:rFonts w:ascii="Verdana" w:eastAsia="Calibri" w:hAnsi="Verdana" w:cs="Arial"/>
              </w:rPr>
              <w:t>el</w:t>
            </w:r>
            <w:r w:rsidRPr="00E03546">
              <w:rPr>
                <w:rFonts w:ascii="Verdana" w:eastAsia="Calibri" w:hAnsi="Verdana" w:cs="Arial"/>
                <w:spacing w:val="62"/>
              </w:rPr>
              <w:t xml:space="preserve"> </w:t>
            </w:r>
            <w:r w:rsidRPr="00E03546">
              <w:rPr>
                <w:rFonts w:ascii="Verdana" w:eastAsia="Calibri" w:hAnsi="Verdana" w:cs="Arial"/>
              </w:rPr>
              <w:t>plazo</w:t>
            </w:r>
            <w:r w:rsidRPr="00E03546">
              <w:rPr>
                <w:rFonts w:ascii="Verdana" w:eastAsia="Calibri" w:hAnsi="Verdana" w:cs="Arial"/>
                <w:spacing w:val="63"/>
              </w:rPr>
              <w:t xml:space="preserve"> </w:t>
            </w:r>
            <w:r w:rsidRPr="00E03546">
              <w:rPr>
                <w:rFonts w:ascii="Verdana" w:eastAsia="Calibri" w:hAnsi="Verdana" w:cs="Arial"/>
              </w:rPr>
              <w:t>contractual</w:t>
            </w:r>
            <w:r w:rsidRPr="00E03546">
              <w:rPr>
                <w:rFonts w:ascii="Verdana" w:eastAsia="Calibri" w:hAnsi="Verdana" w:cs="Arial"/>
                <w:spacing w:val="65"/>
              </w:rPr>
              <w:t xml:space="preserve"> </w:t>
            </w:r>
            <w:r w:rsidRPr="00E03546">
              <w:rPr>
                <w:rFonts w:ascii="Verdana" w:eastAsia="Calibri" w:hAnsi="Verdana" w:cs="Arial"/>
              </w:rPr>
              <w:t>previsto</w:t>
            </w:r>
            <w:r w:rsidRPr="00E03546">
              <w:rPr>
                <w:rFonts w:ascii="Verdana" w:eastAsia="Calibri" w:hAnsi="Verdana" w:cs="Arial"/>
                <w:spacing w:val="64"/>
              </w:rPr>
              <w:t xml:space="preserve"> </w:t>
            </w:r>
            <w:r w:rsidRPr="00E03546">
              <w:rPr>
                <w:rFonts w:ascii="Verdana" w:eastAsia="Calibri" w:hAnsi="Verdana" w:cs="Arial"/>
              </w:rPr>
              <w:t>para</w:t>
            </w:r>
            <w:r w:rsidRPr="00E03546">
              <w:rPr>
                <w:rFonts w:ascii="Verdana" w:eastAsia="Calibri" w:hAnsi="Verdana" w:cs="Arial"/>
                <w:spacing w:val="63"/>
              </w:rPr>
              <w:t xml:space="preserve"> </w:t>
            </w:r>
            <w:r w:rsidRPr="00E03546">
              <w:rPr>
                <w:rFonts w:ascii="Verdana" w:eastAsia="Calibri" w:hAnsi="Verdana" w:cs="Arial"/>
              </w:rPr>
              <w:t>la liquidación de aquel. En caso de no haberse convenido por las partes un término para la liquidación del contrato, la garantía deberá mantenerse vigente por el término legal previsto para este efecto […]”.</w:t>
            </w:r>
          </w:p>
          <w:p w14:paraId="18CBC055" w14:textId="77777777" w:rsidR="002D36DA" w:rsidRPr="00A550FA" w:rsidRDefault="002D36DA" w:rsidP="005E0527">
            <w:pPr>
              <w:spacing w:after="120" w:line="276" w:lineRule="auto"/>
              <w:ind w:firstLine="709"/>
              <w:jc w:val="both"/>
              <w:rPr>
                <w:rFonts w:ascii="Verdana" w:eastAsia="Calibri" w:hAnsi="Verdana" w:cs="Arial"/>
                <w:bCs/>
              </w:rPr>
            </w:pPr>
            <w:r w:rsidRPr="00A550FA">
              <w:rPr>
                <w:rFonts w:ascii="Verdana" w:eastAsia="Calibri" w:hAnsi="Verdana" w:cs="Arial"/>
                <w:bCs/>
              </w:rPr>
              <w:t xml:space="preserve">En este contexto, corresponde a cada entidad contratante, con base en su autonomía y en el análisis técnico y jurídico que realicen sus asesores, definir en cada caso concreto la forma en que desarrollará su gestión contractual respecto al </w:t>
            </w:r>
            <w:r>
              <w:rPr>
                <w:rFonts w:ascii="Verdana" w:eastAsia="Calibri" w:hAnsi="Verdana" w:cs="Arial"/>
                <w:bCs/>
              </w:rPr>
              <w:t>a la liquidación de sus contratos estatales</w:t>
            </w:r>
            <w:r w:rsidRPr="00A550FA">
              <w:rPr>
                <w:rFonts w:ascii="Verdana" w:eastAsia="Calibri" w:hAnsi="Verdana" w:cs="Arial"/>
                <w:bCs/>
              </w:rPr>
              <w:t xml:space="preserve">, lo cual debe reflejarse expresamente en </w:t>
            </w:r>
            <w:r>
              <w:rPr>
                <w:rFonts w:ascii="Verdana" w:eastAsia="Calibri" w:hAnsi="Verdana" w:cs="Arial"/>
                <w:bCs/>
              </w:rPr>
              <w:t>clausulado del mismo</w:t>
            </w:r>
            <w:r w:rsidRPr="00A550FA">
              <w:rPr>
                <w:rFonts w:ascii="Verdana" w:eastAsia="Calibri" w:hAnsi="Verdana" w:cs="Arial"/>
                <w:bCs/>
              </w:rPr>
              <w:t>. Esta determinación debe adoptarse con observancia del principio de juridicidad y atendiendo la normativa vigente al momento de su aplicación.</w:t>
            </w:r>
          </w:p>
          <w:p w14:paraId="5B9E38E5" w14:textId="77777777" w:rsidR="002D36DA" w:rsidRPr="00B70775" w:rsidRDefault="002D36DA" w:rsidP="005E0527">
            <w:pPr>
              <w:tabs>
                <w:tab w:val="left" w:pos="426"/>
              </w:tabs>
              <w:spacing w:after="120" w:line="276" w:lineRule="auto"/>
              <w:ind w:firstLine="709"/>
              <w:jc w:val="both"/>
              <w:rPr>
                <w:rFonts w:ascii="Verdana" w:hAnsi="Verdana" w:cs="Arial"/>
                <w:color w:val="000000" w:themeColor="text1"/>
              </w:rPr>
            </w:pPr>
            <w:r w:rsidRPr="00A550FA">
              <w:rPr>
                <w:rFonts w:ascii="Verdana" w:eastAsia="Calibri" w:hAnsi="Verdana" w:cs="Arial"/>
                <w:bCs/>
              </w:rPr>
              <w:t>Finalmente, se reitera que no corresponde a esta entidad validar actuaciones particulares de otras entidades públicas, ni emitir juicios de valor sobre casos específicos, en tanto ello es competencia de los órganos de control, jurisdiccionales o disciplinarios, según el caso</w:t>
            </w:r>
            <w:r>
              <w:rPr>
                <w:rFonts w:ascii="Verdana" w:eastAsia="Calibri" w:hAnsi="Verdana" w:cs="Arial"/>
                <w:bCs/>
              </w:rPr>
              <w:t>.</w:t>
            </w:r>
          </w:p>
        </w:tc>
      </w:tr>
    </w:tbl>
    <w:p w14:paraId="04FBDADD" w14:textId="77777777" w:rsidR="002D36DA" w:rsidRDefault="002D36DA" w:rsidP="002D36DA">
      <w:pPr>
        <w:tabs>
          <w:tab w:val="left" w:pos="142"/>
          <w:tab w:val="left" w:pos="284"/>
        </w:tabs>
        <w:spacing w:after="0" w:line="276" w:lineRule="auto"/>
        <w:jc w:val="both"/>
        <w:rPr>
          <w:rFonts w:ascii="Verdana" w:eastAsia="Century Gothic" w:hAnsi="Verdana" w:cs="Century Gothic"/>
          <w:b/>
          <w:bCs/>
        </w:rPr>
      </w:pPr>
    </w:p>
    <w:p w14:paraId="4D07FC7E" w14:textId="77777777" w:rsidR="002D36DA" w:rsidRPr="008E4F36" w:rsidRDefault="002D36DA" w:rsidP="002D36DA">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466E4E0E" w14:textId="77777777" w:rsidR="002D36DA" w:rsidRDefault="002D36DA" w:rsidP="002D36DA">
      <w:pPr>
        <w:pStyle w:val="Prrafodelista"/>
        <w:tabs>
          <w:tab w:val="left" w:pos="142"/>
          <w:tab w:val="left" w:pos="284"/>
        </w:tabs>
        <w:spacing w:after="0" w:line="276" w:lineRule="auto"/>
        <w:ind w:left="0"/>
        <w:contextualSpacing w:val="0"/>
        <w:jc w:val="both"/>
        <w:rPr>
          <w:rFonts w:ascii="Verdana" w:eastAsia="Calibri" w:hAnsi="Verdana" w:cs="Arial"/>
        </w:rPr>
      </w:pPr>
    </w:p>
    <w:p w14:paraId="10B55897" w14:textId="77777777" w:rsidR="002D36DA" w:rsidRDefault="002D36DA" w:rsidP="002D36DA">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181442BE" w14:textId="77777777" w:rsidR="002D36DA" w:rsidRDefault="002D36DA" w:rsidP="002D36DA">
      <w:pPr>
        <w:spacing w:after="0" w:line="276" w:lineRule="auto"/>
        <w:jc w:val="both"/>
        <w:rPr>
          <w:rFonts w:ascii="Verdana" w:eastAsia="Calibri" w:hAnsi="Verdana" w:cs="Arial"/>
          <w:color w:val="000000"/>
          <w:shd w:val="clear" w:color="auto" w:fill="FFFFFF"/>
          <w:lang w:val="es-ES"/>
        </w:rPr>
      </w:pPr>
    </w:p>
    <w:p w14:paraId="5C513B1A" w14:textId="77777777" w:rsidR="002D36DA" w:rsidRPr="008F05E3" w:rsidRDefault="002D36DA" w:rsidP="002D36DA">
      <w:pPr>
        <w:spacing w:after="120" w:line="276" w:lineRule="auto"/>
        <w:jc w:val="both"/>
        <w:rPr>
          <w:rFonts w:ascii="Verdana" w:eastAsia="Calibri" w:hAnsi="Verdana" w:cs="Arial"/>
        </w:rPr>
      </w:pPr>
      <w:bookmarkStart w:id="4" w:name="_Hlk204856061"/>
      <w:bookmarkStart w:id="5" w:name="_Hlk78820161"/>
      <w:bookmarkStart w:id="6" w:name="_Hlk204854194"/>
      <w:r>
        <w:rPr>
          <w:rFonts w:ascii="Verdana" w:eastAsia="Calibri" w:hAnsi="Verdana" w:cs="Arial"/>
        </w:rPr>
        <w:t>i) E</w:t>
      </w:r>
      <w:r w:rsidRPr="008F05E3">
        <w:rPr>
          <w:rFonts w:ascii="Verdana" w:eastAsia="Calibri" w:hAnsi="Verdana" w:cs="Arial"/>
        </w:rPr>
        <w:t xml:space="preserve">l artículo 2, numeral 4, literal c) de la Ley 1150 de 2007, señala que, de manera excepcional, las entidades estatales pueden contratar directamente, </w:t>
      </w:r>
      <w:r w:rsidRPr="008F05E3">
        <w:rPr>
          <w:rFonts w:ascii="Verdana" w:eastAsia="Calibri" w:hAnsi="Verdana" w:cs="Arial"/>
        </w:rPr>
        <w:lastRenderedPageBreak/>
        <w:t xml:space="preserve">entre otras, los </w:t>
      </w:r>
      <w:r>
        <w:rPr>
          <w:rFonts w:ascii="Verdana" w:eastAsia="Calibri" w:hAnsi="Verdana" w:cs="Arial"/>
        </w:rPr>
        <w:t>“</w:t>
      </w:r>
      <w:r w:rsidRPr="008F05E3">
        <w:rPr>
          <w:rFonts w:ascii="Verdana" w:eastAsia="Calibri" w:hAnsi="Verdana" w:cs="Arial"/>
        </w:rPr>
        <w:t>Contratos interadministrativos, siempre que las obligaciones derivadas del mismo tengan relación directa con el objeto de la entidad ejecutora señalado en la ley o en sus reglamentos</w:t>
      </w:r>
      <w:r>
        <w:rPr>
          <w:rFonts w:ascii="Verdana" w:eastAsia="Calibri" w:hAnsi="Verdana" w:cs="Arial"/>
        </w:rPr>
        <w:t>”</w:t>
      </w:r>
      <w:r w:rsidRPr="008F05E3">
        <w:rPr>
          <w:rFonts w:ascii="Verdana" w:eastAsia="Calibri" w:hAnsi="Verdana" w:cs="Arial"/>
        </w:rPr>
        <w:t>. No obstante, esta disposición exceptuó celebrar de manera directa contratos o convenios interadministrativos cuando se trate de un contrato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Estas entidades pueden ejecutar aquellos contratos siempre que resulten adjudicatarias en un proceso abierto y con la participación de una pluralidad de oferentes, pues en dichos casos la entidad estatal que así lo requiera deberá adelantar una licitación pública, concurso de méritos o selección abreviada</w:t>
      </w:r>
      <w:r w:rsidRPr="008F05E3">
        <w:rPr>
          <w:rStyle w:val="Refdenotaalpie"/>
          <w:rFonts w:ascii="Verdana" w:eastAsia="Calibri" w:hAnsi="Verdana" w:cs="Arial"/>
        </w:rPr>
        <w:footnoteReference w:id="1"/>
      </w:r>
      <w:r w:rsidRPr="008F05E3">
        <w:rPr>
          <w:rFonts w:ascii="Verdana" w:eastAsia="Calibri" w:hAnsi="Verdana" w:cs="Arial"/>
        </w:rPr>
        <w:t>.</w:t>
      </w:r>
    </w:p>
    <w:p w14:paraId="33554A9C" w14:textId="77777777" w:rsidR="002D36DA" w:rsidRPr="008F05E3" w:rsidRDefault="002D36DA" w:rsidP="002D36DA">
      <w:pPr>
        <w:spacing w:after="120" w:line="276" w:lineRule="auto"/>
        <w:ind w:firstLine="708"/>
        <w:jc w:val="both"/>
        <w:rPr>
          <w:rFonts w:ascii="Verdana" w:eastAsia="Calibri" w:hAnsi="Verdana" w:cs="Arial"/>
        </w:rPr>
      </w:pPr>
      <w:r w:rsidRPr="008F05E3">
        <w:rPr>
          <w:rFonts w:ascii="Verdana" w:eastAsia="Calibri" w:hAnsi="Verdana" w:cs="Arial"/>
        </w:rPr>
        <w:t xml:space="preserve">Si bien la Ley 1150 de 2007 establece que las entidades estatales pueden celebrar contratos o convenios interadministrativos de manera directa, siempre que las obligaciones derivadas del mismo tengan relación directa con el objeto de la entidad ejecutora, la misma establece excepciones a esta regla, la cual está condicionada a que ciertas tipologías contractuales sean ejecutadas por las entidades estatales allí previstas. Nótese que, pese a tratarse de entidades del Estado, la Ley no restringió su denominación de contrato interadministrativo, sino que exceptuó el procedimiento de selección del contratista. Asimismo, hay otras excepciones a la celebración de contratos interadministrativos, como la contemplada en el último párrafo del literal c, numeral 4, artículo 2 ibidem: </w:t>
      </w:r>
      <w:r>
        <w:rPr>
          <w:rFonts w:ascii="Verdana" w:eastAsia="Calibri" w:hAnsi="Verdana" w:cs="Arial"/>
        </w:rPr>
        <w:t>“</w:t>
      </w:r>
      <w:r w:rsidRPr="008F05E3">
        <w:rPr>
          <w:rFonts w:ascii="Verdana" w:eastAsia="Calibri" w:hAnsi="Verdana" w:cs="Arial"/>
        </w:rPr>
        <w:t>Estarán exceptuados de la figura del contrato interadministrativo, los contratos de seguro de las entidades estatales</w:t>
      </w:r>
      <w:r>
        <w:rPr>
          <w:rFonts w:ascii="Verdana" w:eastAsia="Calibri" w:hAnsi="Verdana" w:cs="Arial"/>
        </w:rPr>
        <w:t>”</w:t>
      </w:r>
      <w:r w:rsidRPr="008F05E3">
        <w:rPr>
          <w:rFonts w:ascii="Verdana" w:eastAsia="Calibri" w:hAnsi="Verdana" w:cs="Arial"/>
        </w:rPr>
        <w:t>.</w:t>
      </w:r>
    </w:p>
    <w:p w14:paraId="6A1C074E" w14:textId="77777777" w:rsidR="002D36DA" w:rsidRPr="008F05E3" w:rsidRDefault="002D36DA" w:rsidP="002D36DA">
      <w:pPr>
        <w:spacing w:after="120" w:line="276" w:lineRule="auto"/>
        <w:ind w:firstLine="708"/>
        <w:jc w:val="both"/>
        <w:rPr>
          <w:rFonts w:ascii="Verdana" w:eastAsia="Calibri" w:hAnsi="Verdana" w:cs="Arial"/>
        </w:rPr>
      </w:pPr>
      <w:r w:rsidRPr="008F05E3">
        <w:rPr>
          <w:rFonts w:ascii="Verdana" w:eastAsia="Calibri" w:hAnsi="Verdana" w:cs="Arial"/>
        </w:rPr>
        <w:lastRenderedPageBreak/>
        <w:t>Así las cosas, la Ley no limitó la celebración de contratos interadministrativos a la modalidad de selección de contratación directa, solo estableció, excepcionalmente, su celebración de manera directa cuando dos o más entidades del Estado, con el fin de materializar funciones administrativas de interés común para ambas partes, celebran un negocio jurídico. No obstante, es posible que se celebren contratos interadministrativos en el marco de un proceso en el que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entre otras cosas, de la calidad de las partes que lo suscriben, es decir, debe tratarse de entidades estatales.</w:t>
      </w:r>
    </w:p>
    <w:p w14:paraId="505123DC" w14:textId="77777777" w:rsidR="002D36DA" w:rsidRDefault="002D36DA" w:rsidP="002D36DA">
      <w:pPr>
        <w:spacing w:after="120" w:line="276" w:lineRule="auto"/>
        <w:ind w:firstLine="708"/>
        <w:jc w:val="both"/>
        <w:rPr>
          <w:rFonts w:ascii="Verdana" w:eastAsia="Calibri" w:hAnsi="Verdana" w:cs="Arial"/>
        </w:rPr>
      </w:pPr>
      <w:r w:rsidRPr="008F05E3">
        <w:rPr>
          <w:rFonts w:ascii="Verdana" w:eastAsia="Calibri" w:hAnsi="Verdana" w:cs="Arial"/>
        </w:rPr>
        <w:t>Finalmente, el artículo 7 de la Ley 1150 de 2007 establece que en los contratos interadministrativos las garantías no serán obligatorias</w:t>
      </w:r>
      <w:r w:rsidRPr="008F05E3">
        <w:rPr>
          <w:rStyle w:val="Refdenotaalpie"/>
          <w:rFonts w:ascii="Verdana" w:eastAsia="Calibri" w:hAnsi="Verdana" w:cs="Arial"/>
        </w:rPr>
        <w:footnoteReference w:id="2"/>
      </w:r>
      <w:r w:rsidRPr="008F05E3">
        <w:rPr>
          <w:rFonts w:ascii="Verdana" w:eastAsia="Calibri" w:hAnsi="Verdana" w:cs="Arial"/>
        </w:rPr>
        <w:t>. En el mismo sentido, el Decreto 1082 de 2015 prevé que en los convenios interadministrativos la exigencia de garantías no es obligatoria, y la justificación para exigirlas o no debe estar en los estudios previos</w:t>
      </w:r>
      <w:r w:rsidRPr="008F05E3">
        <w:rPr>
          <w:rStyle w:val="Refdenotaalpie"/>
          <w:rFonts w:ascii="Verdana" w:eastAsia="Calibri" w:hAnsi="Verdana" w:cs="Arial"/>
        </w:rPr>
        <w:footnoteReference w:id="3"/>
      </w:r>
      <w:r w:rsidRPr="008F05E3">
        <w:rPr>
          <w:rFonts w:ascii="Verdana" w:eastAsia="Calibri" w:hAnsi="Verdana" w:cs="Arial"/>
        </w:rPr>
        <w:t>.</w:t>
      </w:r>
    </w:p>
    <w:p w14:paraId="53D997AC" w14:textId="77777777" w:rsidR="002D36DA" w:rsidRDefault="002D36DA" w:rsidP="002D36DA">
      <w:pPr>
        <w:spacing w:after="120" w:line="276" w:lineRule="auto"/>
        <w:ind w:firstLine="709"/>
        <w:jc w:val="both"/>
        <w:rPr>
          <w:rFonts w:ascii="Verdana" w:eastAsia="Calibri" w:hAnsi="Verdana" w:cs="Arial"/>
        </w:rPr>
      </w:pPr>
      <w:r>
        <w:rPr>
          <w:rFonts w:ascii="Verdana" w:eastAsia="Calibri" w:hAnsi="Verdana" w:cs="Arial"/>
        </w:rPr>
        <w:t xml:space="preserve">Conforme a lo anterior, la exigencia o no de garantía en un convenio interadministrativo es un asunto sujeto a la autonomía de las Entidades Estatales, en ese sentido, la obligación de constituirlas y sus condiciones  dependerá de que tal exigencia haya quedado estipulada en la minuta del convenio o en los Documentos del Proceso. Para tales efectos, las Entidades deberán hacer un análisis de conveniencia, así como de los riesgos propios del negocio jurídico, con el fin de determinar la necesidad de exigir las garantías, así como su monto y tiempo de vigencia. </w:t>
      </w:r>
    </w:p>
    <w:p w14:paraId="5D9C78C6" w14:textId="77777777" w:rsidR="002D36DA" w:rsidRDefault="002D36DA" w:rsidP="002D36DA">
      <w:pPr>
        <w:spacing w:after="0" w:line="276" w:lineRule="auto"/>
        <w:ind w:firstLine="709"/>
        <w:jc w:val="both"/>
        <w:rPr>
          <w:rFonts w:ascii="Verdana" w:eastAsia="Calibri" w:hAnsi="Verdana" w:cs="Arial"/>
        </w:rPr>
      </w:pPr>
      <w:r>
        <w:rPr>
          <w:rFonts w:ascii="Verdana" w:eastAsia="Calibri" w:hAnsi="Verdana" w:cs="Arial"/>
        </w:rPr>
        <w:t xml:space="preserve">Ahora bien, en el caso de que se haya establecido en un convenio interadministrativo la obligación de constituir la garantía única de cumplimiento, </w:t>
      </w:r>
      <w:r>
        <w:rPr>
          <w:rFonts w:ascii="Verdana" w:eastAsia="Calibri" w:hAnsi="Verdana" w:cs="Arial"/>
        </w:rPr>
        <w:lastRenderedPageBreak/>
        <w:t xml:space="preserve">esta deberá mantenerse vigente por el término fijado en la minuta del convenio o en los Documentos del Proceso. Así las cosas, para determinar si en un convenio interadministrativo debe mantenerse vigente o no la garantía única de cumplimiento hasta la fecha de la liquidación, deberá revisarse las estipulaciones contenidas en los Documentos del Proceso o en la minuta y se deberán mantener vigentes hasta la fecha establecida, independientemente de las condiciones en las que se haya dado la ejecución del convenio. Es decir, que si se pactó que las garantías tendrían una vigencia hasta la vigencia del contrato o hasta la liquidación, hasta dicha fecha deberá mantenerse vigente independientemente de que se estime que no hay obligaciones pendientes. </w:t>
      </w:r>
    </w:p>
    <w:p w14:paraId="56D23538" w14:textId="77777777" w:rsidR="002D36DA" w:rsidRPr="008F05E3" w:rsidRDefault="002D36DA" w:rsidP="002D36DA">
      <w:pPr>
        <w:spacing w:after="0" w:line="276" w:lineRule="auto"/>
        <w:jc w:val="both"/>
        <w:rPr>
          <w:rFonts w:ascii="Verdana" w:eastAsia="Calibri" w:hAnsi="Verdana" w:cs="Arial"/>
        </w:rPr>
      </w:pPr>
    </w:p>
    <w:p w14:paraId="595097C2" w14:textId="77777777" w:rsidR="002D36DA" w:rsidRPr="00E03546" w:rsidRDefault="002D36DA" w:rsidP="002D36DA">
      <w:pPr>
        <w:spacing w:after="0" w:line="276" w:lineRule="auto"/>
        <w:jc w:val="both"/>
        <w:rPr>
          <w:rFonts w:ascii="Verdana" w:eastAsia="Calibri" w:hAnsi="Verdana" w:cs="Arial"/>
        </w:rPr>
      </w:pPr>
      <w:r>
        <w:rPr>
          <w:rFonts w:ascii="Verdana" w:eastAsia="Times New Roman" w:hAnsi="Verdana" w:cs="Arial"/>
          <w:color w:val="000000"/>
          <w:lang w:eastAsia="es-CO"/>
        </w:rPr>
        <w:t xml:space="preserve">ii) </w:t>
      </w:r>
      <w:r>
        <w:rPr>
          <w:rFonts w:ascii="Verdana" w:eastAsia="Calibri" w:hAnsi="Verdana" w:cs="Arial"/>
        </w:rPr>
        <w:t>En los casos en los que apliquen las disposiciones contenidas en el Estatuto General de Contratación de la Administración Pública, es importante tener en cuenta lo contemplado en el</w:t>
      </w:r>
      <w:r w:rsidRPr="00E03546">
        <w:rPr>
          <w:rFonts w:ascii="Verdana" w:eastAsia="Calibri" w:hAnsi="Verdana" w:cs="Arial"/>
          <w:spacing w:val="-5"/>
        </w:rPr>
        <w:t xml:space="preserve"> </w:t>
      </w:r>
      <w:r w:rsidRPr="00E03546">
        <w:rPr>
          <w:rFonts w:ascii="Verdana" w:eastAsia="Calibri" w:hAnsi="Verdana" w:cs="Arial"/>
        </w:rPr>
        <w:t>artículo</w:t>
      </w:r>
      <w:r w:rsidRPr="00E03546">
        <w:rPr>
          <w:rFonts w:ascii="Verdana" w:eastAsia="Calibri" w:hAnsi="Verdana" w:cs="Arial"/>
          <w:spacing w:val="-3"/>
        </w:rPr>
        <w:t xml:space="preserve"> </w:t>
      </w:r>
      <w:r w:rsidRPr="00E03546">
        <w:rPr>
          <w:rFonts w:ascii="Verdana" w:eastAsia="Calibri" w:hAnsi="Verdana" w:cs="Arial"/>
        </w:rPr>
        <w:t>2.2.1.2.3.1.12 del</w:t>
      </w:r>
      <w:r w:rsidRPr="00E03546">
        <w:rPr>
          <w:rFonts w:ascii="Verdana" w:eastAsia="Calibri" w:hAnsi="Verdana" w:cs="Arial"/>
          <w:spacing w:val="-5"/>
        </w:rPr>
        <w:t xml:space="preserve"> </w:t>
      </w:r>
      <w:r w:rsidRPr="00E03546">
        <w:rPr>
          <w:rFonts w:ascii="Verdana" w:eastAsia="Calibri" w:hAnsi="Verdana" w:cs="Arial"/>
        </w:rPr>
        <w:t>Decreto</w:t>
      </w:r>
      <w:r w:rsidRPr="00E03546">
        <w:rPr>
          <w:rFonts w:ascii="Verdana" w:eastAsia="Calibri" w:hAnsi="Verdana" w:cs="Arial"/>
          <w:spacing w:val="-3"/>
        </w:rPr>
        <w:t xml:space="preserve"> </w:t>
      </w:r>
      <w:r w:rsidRPr="00E03546">
        <w:rPr>
          <w:rFonts w:ascii="Verdana" w:eastAsia="Calibri" w:hAnsi="Verdana" w:cs="Arial"/>
        </w:rPr>
        <w:t>1082</w:t>
      </w:r>
      <w:r w:rsidRPr="00E03546">
        <w:rPr>
          <w:rFonts w:ascii="Verdana" w:eastAsia="Calibri" w:hAnsi="Verdana" w:cs="Arial"/>
          <w:spacing w:val="-4"/>
        </w:rPr>
        <w:t xml:space="preserve"> </w:t>
      </w:r>
      <w:r w:rsidRPr="00E03546">
        <w:rPr>
          <w:rFonts w:ascii="Verdana" w:eastAsia="Calibri" w:hAnsi="Verdana" w:cs="Arial"/>
        </w:rPr>
        <w:t>de</w:t>
      </w:r>
      <w:r w:rsidRPr="00E03546">
        <w:rPr>
          <w:rFonts w:ascii="Verdana" w:eastAsia="Calibri" w:hAnsi="Verdana" w:cs="Arial"/>
          <w:spacing w:val="-5"/>
        </w:rPr>
        <w:t xml:space="preserve"> </w:t>
      </w:r>
      <w:r w:rsidRPr="00E03546">
        <w:rPr>
          <w:rFonts w:ascii="Verdana" w:eastAsia="Calibri" w:hAnsi="Verdana" w:cs="Arial"/>
        </w:rPr>
        <w:t>2015</w:t>
      </w:r>
      <w:r>
        <w:rPr>
          <w:rFonts w:ascii="Verdana" w:eastAsia="Calibri" w:hAnsi="Verdana" w:cs="Arial"/>
        </w:rPr>
        <w:t xml:space="preserve">, el cual </w:t>
      </w:r>
      <w:r w:rsidRPr="00E03546">
        <w:rPr>
          <w:rFonts w:ascii="Verdana" w:eastAsia="Times New Roman" w:hAnsi="Verdana" w:cs="Arial"/>
          <w:color w:val="000000"/>
          <w:lang w:eastAsia="es-CO"/>
        </w:rPr>
        <w:t xml:space="preserve">regula la suficiencia de la garantía de cumplimiento. Esta debe tener una vigencia mínima hasta la liquidación y, por regla general un valor de por lo menos el diez por ciento (10%) del total del contrato, siempre que este sea inferior a un millón (1.000.000) de smmlv. Conforme la norma citada, el amparo cubre tanto el </w:t>
      </w:r>
      <w:r w:rsidRPr="00E03546">
        <w:rPr>
          <w:rFonts w:ascii="Verdana" w:eastAsia="Times New Roman" w:hAnsi="Verdana" w:cs="Arial"/>
          <w:i/>
          <w:iCs/>
          <w:color w:val="000000"/>
          <w:lang w:eastAsia="es-CO"/>
        </w:rPr>
        <w:t>plazo de ejecución</w:t>
      </w:r>
      <w:r w:rsidRPr="00E03546">
        <w:rPr>
          <w:rFonts w:ascii="Verdana" w:eastAsia="Times New Roman" w:hAnsi="Verdana" w:cs="Arial"/>
          <w:color w:val="000000"/>
          <w:lang w:eastAsia="es-CO"/>
        </w:rPr>
        <w:t xml:space="preserve"> como el </w:t>
      </w:r>
      <w:r w:rsidRPr="00E03546">
        <w:rPr>
          <w:rFonts w:ascii="Verdana" w:eastAsia="Times New Roman" w:hAnsi="Verdana" w:cs="Arial"/>
          <w:i/>
          <w:iCs/>
          <w:color w:val="000000"/>
          <w:lang w:eastAsia="es-CO"/>
        </w:rPr>
        <w:t>plazo de vigencia</w:t>
      </w:r>
      <w:r w:rsidRPr="00E03546">
        <w:rPr>
          <w:rFonts w:ascii="Verdana" w:eastAsia="Times New Roman" w:hAnsi="Verdana" w:cs="Arial"/>
          <w:color w:val="000000"/>
          <w:lang w:eastAsia="es-CO"/>
        </w:rPr>
        <w:t xml:space="preserve"> del contrato. </w:t>
      </w:r>
      <w:r w:rsidRPr="00E03546">
        <w:rPr>
          <w:rFonts w:ascii="Verdana" w:eastAsia="Calibri" w:hAnsi="Verdana" w:cs="Arial"/>
        </w:rPr>
        <w:t xml:space="preserve">Al respecto, la jurisprudencia define el </w:t>
      </w:r>
      <w:r w:rsidRPr="00E03546">
        <w:rPr>
          <w:rFonts w:ascii="Verdana" w:eastAsia="Calibri" w:hAnsi="Verdana" w:cs="Arial"/>
          <w:i/>
          <w:iCs/>
        </w:rPr>
        <w:t>plazo de ejecución</w:t>
      </w:r>
      <w:r w:rsidRPr="00E03546">
        <w:rPr>
          <w:rFonts w:ascii="Verdana" w:eastAsia="Calibri" w:hAnsi="Verdana" w:cs="Arial"/>
        </w:rPr>
        <w:t xml:space="preserve"> como el establecido para la realización de las prestaciones contractuales y, de igual forma, considera que el </w:t>
      </w:r>
      <w:r w:rsidRPr="00E03546">
        <w:rPr>
          <w:rFonts w:ascii="Verdana" w:eastAsia="Calibri" w:hAnsi="Verdana" w:cs="Arial"/>
          <w:i/>
          <w:iCs/>
        </w:rPr>
        <w:t>plazo de vigencia</w:t>
      </w:r>
      <w:r w:rsidRPr="00E03546">
        <w:rPr>
          <w:rFonts w:ascii="Verdana" w:eastAsia="Calibri" w:hAnsi="Verdana" w:cs="Arial"/>
        </w:rPr>
        <w:t xml:space="preserve"> de este no ha finalizado mientras subsista la obligación para las partes de liquidar el contrato</w:t>
      </w:r>
      <w:r w:rsidRPr="00E03546">
        <w:rPr>
          <w:rFonts w:ascii="Verdana" w:eastAsia="Calibri" w:hAnsi="Verdana" w:cs="Arial"/>
          <w:vertAlign w:val="superscript"/>
        </w:rPr>
        <w:footnoteReference w:id="4"/>
      </w:r>
      <w:r w:rsidRPr="00E03546">
        <w:rPr>
          <w:rFonts w:ascii="Verdana" w:eastAsia="Calibri" w:hAnsi="Verdana" w:cs="Arial"/>
        </w:rPr>
        <w:t>. Por ello, explica lo siguiente:</w:t>
      </w:r>
    </w:p>
    <w:p w14:paraId="03DAD555" w14:textId="77777777" w:rsidR="002D36DA" w:rsidRPr="00E03546" w:rsidRDefault="002D36DA" w:rsidP="002D36DA">
      <w:pPr>
        <w:spacing w:after="0" w:line="276" w:lineRule="auto"/>
        <w:ind w:firstLine="708"/>
        <w:jc w:val="both"/>
        <w:rPr>
          <w:rFonts w:ascii="Verdana" w:eastAsia="Calibri" w:hAnsi="Verdana" w:cs="Arial"/>
        </w:rPr>
      </w:pPr>
    </w:p>
    <w:p w14:paraId="7D36C7E9" w14:textId="77777777" w:rsidR="002D36DA" w:rsidRPr="00E03546" w:rsidRDefault="002D36DA" w:rsidP="002D36DA">
      <w:pPr>
        <w:spacing w:after="0" w:line="240" w:lineRule="auto"/>
        <w:ind w:left="709" w:right="709"/>
        <w:jc w:val="both"/>
        <w:rPr>
          <w:rFonts w:ascii="Verdana" w:eastAsia="Times New Roman" w:hAnsi="Verdana" w:cs="Arial"/>
          <w:color w:val="000000"/>
          <w:sz w:val="20"/>
          <w:szCs w:val="20"/>
          <w:lang w:eastAsia="es-CO"/>
        </w:rPr>
      </w:pPr>
      <w:r w:rsidRPr="00E03546">
        <w:rPr>
          <w:rFonts w:ascii="Verdana" w:eastAsia="Times New Roman" w:hAnsi="Verdana" w:cs="Arial"/>
          <w:color w:val="000000"/>
          <w:sz w:val="20"/>
          <w:szCs w:val="20"/>
          <w:lang w:eastAsia="es-CO"/>
        </w:rPr>
        <w:t xml:space="preserve">“[…] si bien es cierto en la mayoría de los casos el plazo del contrato coincide con el de ejecución de la obra, con la entrega del suministro, con la prestación del servicio, también lo es, que este plazo no constituye propiamente hablando el periodo de ejecución del contrato porque al finalizar el plazo que se ha destinado para el cumplimiento de la obligación principal por parte del contratista las partes no quedan liberadas de pleno derecho mientras no se extingan todas las obligaciones adquiridas, lo cual se cumple necesariamente en la etapa de liquidación del contrato en la cual es donde la administración puede valorar el cumplimiento total de las </w:t>
      </w:r>
      <w:r w:rsidRPr="00E03546">
        <w:rPr>
          <w:rFonts w:ascii="Verdana" w:eastAsia="Times New Roman" w:hAnsi="Verdana" w:cs="Arial"/>
          <w:color w:val="000000"/>
          <w:sz w:val="20"/>
          <w:szCs w:val="20"/>
          <w:lang w:eastAsia="es-CO"/>
        </w:rPr>
        <w:lastRenderedPageBreak/>
        <w:t>obligaciones a cargo del contratista y es la que le pone término a la vinculación de las partes”</w:t>
      </w:r>
      <w:r w:rsidRPr="00E03546">
        <w:rPr>
          <w:rFonts w:ascii="Verdana" w:eastAsia="Times New Roman" w:hAnsi="Verdana" w:cs="Arial"/>
          <w:color w:val="000000"/>
          <w:sz w:val="20"/>
          <w:szCs w:val="20"/>
          <w:vertAlign w:val="superscript"/>
          <w:lang w:eastAsia="es-CO"/>
        </w:rPr>
        <w:footnoteReference w:id="5"/>
      </w:r>
      <w:r w:rsidRPr="00E03546">
        <w:rPr>
          <w:rFonts w:ascii="Verdana" w:eastAsia="Times New Roman" w:hAnsi="Verdana" w:cs="Arial"/>
          <w:color w:val="000000"/>
          <w:sz w:val="20"/>
          <w:szCs w:val="20"/>
          <w:lang w:eastAsia="es-CO"/>
        </w:rPr>
        <w:t>.</w:t>
      </w:r>
    </w:p>
    <w:p w14:paraId="39A03207" w14:textId="77777777" w:rsidR="002D36DA" w:rsidRPr="00E03546" w:rsidRDefault="002D36DA" w:rsidP="002D36DA">
      <w:pPr>
        <w:spacing w:after="0" w:line="276" w:lineRule="auto"/>
        <w:jc w:val="both"/>
        <w:rPr>
          <w:rFonts w:ascii="Verdana" w:eastAsia="Times New Roman" w:hAnsi="Verdana" w:cs="Arial"/>
          <w:color w:val="000000"/>
          <w:lang w:eastAsia="es-CO"/>
        </w:rPr>
      </w:pPr>
    </w:p>
    <w:p w14:paraId="51ABFE19" w14:textId="77777777" w:rsidR="002D36DA" w:rsidRPr="00353478" w:rsidRDefault="002D36DA" w:rsidP="002D36DA">
      <w:pPr>
        <w:spacing w:after="120" w:line="276" w:lineRule="auto"/>
        <w:ind w:firstLine="709"/>
        <w:jc w:val="both"/>
        <w:rPr>
          <w:rFonts w:ascii="Verdana" w:eastAsia="Times New Roman" w:hAnsi="Verdana" w:cs="Arial"/>
          <w:color w:val="000000"/>
          <w:lang w:eastAsia="es-CO"/>
        </w:rPr>
      </w:pPr>
      <w:r w:rsidRPr="00353478">
        <w:rPr>
          <w:rFonts w:ascii="Verdana" w:eastAsia="Times New Roman" w:hAnsi="Verdana" w:cs="Arial"/>
          <w:color w:val="000000"/>
          <w:lang w:eastAsia="es-CO"/>
        </w:rPr>
        <w:t xml:space="preserve">Así, la cobertura mínima del amparo de cumplimiento cubre el </w:t>
      </w:r>
      <w:r w:rsidRPr="00353478">
        <w:rPr>
          <w:rFonts w:ascii="Verdana" w:eastAsia="Times New Roman" w:hAnsi="Verdana" w:cs="Arial"/>
          <w:i/>
          <w:iCs/>
          <w:color w:val="000000"/>
          <w:lang w:eastAsia="es-CO"/>
        </w:rPr>
        <w:t>plazo de ejecución</w:t>
      </w:r>
      <w:r w:rsidRPr="00353478">
        <w:rPr>
          <w:rFonts w:ascii="Verdana" w:eastAsia="Times New Roman" w:hAnsi="Verdana" w:cs="Arial"/>
          <w:color w:val="000000"/>
          <w:lang w:eastAsia="es-CO"/>
        </w:rPr>
        <w:t xml:space="preserve"> y el </w:t>
      </w:r>
      <w:r w:rsidRPr="001B549A">
        <w:rPr>
          <w:rFonts w:ascii="Verdana" w:eastAsia="Times New Roman" w:hAnsi="Verdana" w:cs="Arial"/>
          <w:i/>
          <w:iCs/>
          <w:color w:val="000000"/>
          <w:lang w:eastAsia="es-CO"/>
        </w:rPr>
        <w:t>plazo de vigencia</w:t>
      </w:r>
      <w:r w:rsidRPr="00353478">
        <w:rPr>
          <w:rFonts w:ascii="Verdana" w:eastAsia="Times New Roman" w:hAnsi="Verdana" w:cs="Arial"/>
          <w:color w:val="000000"/>
          <w:lang w:eastAsia="es-CO"/>
        </w:rPr>
        <w:t>, el cual finaliza con la liquidación. En palabras de la doctrina, “[…] el contratista deberá otorgarla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 […]”</w:t>
      </w:r>
      <w:r w:rsidRPr="00353478">
        <w:rPr>
          <w:rFonts w:ascii="Verdana" w:eastAsia="Times New Roman" w:hAnsi="Verdana" w:cs="Arial"/>
          <w:color w:val="000000"/>
          <w:vertAlign w:val="superscript"/>
          <w:lang w:eastAsia="es-CO"/>
        </w:rPr>
        <w:footnoteReference w:id="6"/>
      </w:r>
      <w:r w:rsidRPr="00353478">
        <w:rPr>
          <w:rFonts w:ascii="Verdana" w:eastAsia="Times New Roman" w:hAnsi="Verdana" w:cs="Arial"/>
          <w:color w:val="000000"/>
          <w:lang w:eastAsia="es-CO"/>
        </w:rPr>
        <w:t>. Teniendo en cuenta lo anterior, corresponde analizar los plazos para liquidar los contratos estatales, aspecto que se abordará en el siguiente apartado.</w:t>
      </w:r>
    </w:p>
    <w:p w14:paraId="4E3FF0D4" w14:textId="77777777" w:rsidR="002D36DA" w:rsidRPr="00353478" w:rsidRDefault="002D36DA" w:rsidP="002D36DA">
      <w:pPr>
        <w:snapToGrid w:val="0"/>
        <w:spacing w:after="120" w:line="276" w:lineRule="auto"/>
        <w:ind w:firstLine="708"/>
        <w:jc w:val="both"/>
        <w:rPr>
          <w:rFonts w:ascii="Verdana" w:eastAsia="Calibri" w:hAnsi="Verdana" w:cs="Times New Roman"/>
          <w:lang w:val="es-ES"/>
        </w:rPr>
      </w:pPr>
      <w:r w:rsidRPr="00353478">
        <w:rPr>
          <w:rFonts w:ascii="Verdana" w:eastAsia="Calibri" w:hAnsi="Verdana" w:cs="Arial"/>
          <w:bCs/>
          <w:color w:val="000000" w:themeColor="text1"/>
        </w:rPr>
        <w:t>Finalmente</w:t>
      </w:r>
      <w:r w:rsidRPr="00353478">
        <w:rPr>
          <w:rFonts w:ascii="Verdana" w:eastAsia="Calibri" w:hAnsi="Verdana" w:cs="Times New Roman"/>
          <w:lang w:val="es-ES"/>
        </w:rPr>
        <w:t>, debe advertirse que el análisis para resolver problemas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0606D680" w14:textId="77777777" w:rsidR="002D36DA" w:rsidRPr="00995A48" w:rsidRDefault="002D36DA" w:rsidP="002D36DA">
      <w:pPr>
        <w:spacing w:after="0" w:line="276" w:lineRule="auto"/>
        <w:ind w:firstLine="708"/>
        <w:jc w:val="both"/>
        <w:rPr>
          <w:rFonts w:ascii="Verdana" w:eastAsia="Calibri" w:hAnsi="Verdana" w:cs="Arial"/>
          <w:lang w:eastAsia="es-ES_tradnl"/>
          <w14:ligatures w14:val="standardContextual"/>
        </w:rPr>
      </w:pPr>
      <w:r w:rsidRPr="00AE7E03">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F5FAC0A" w14:textId="77777777" w:rsidR="002D36DA" w:rsidRPr="00353478" w:rsidRDefault="002D36DA" w:rsidP="002D36DA">
      <w:pPr>
        <w:widowControl w:val="0"/>
        <w:autoSpaceDE w:val="0"/>
        <w:autoSpaceDN w:val="0"/>
        <w:spacing w:after="0" w:line="276" w:lineRule="auto"/>
        <w:ind w:firstLine="708"/>
        <w:jc w:val="both"/>
        <w:rPr>
          <w:rFonts w:ascii="Verdana" w:hAnsi="Verdana" w:cs="Arial"/>
          <w:lang w:eastAsia="es-ES"/>
        </w:rPr>
      </w:pPr>
    </w:p>
    <w:bookmarkEnd w:id="4"/>
    <w:bookmarkEnd w:id="5"/>
    <w:p w14:paraId="2457D6AC" w14:textId="77777777" w:rsidR="002D36DA" w:rsidRPr="001B549A" w:rsidRDefault="002D36DA" w:rsidP="002D36DA">
      <w:pPr>
        <w:tabs>
          <w:tab w:val="left" w:pos="142"/>
          <w:tab w:val="left" w:pos="284"/>
        </w:tabs>
        <w:spacing w:after="0" w:line="276" w:lineRule="auto"/>
        <w:rPr>
          <w:rFonts w:ascii="Verdana" w:eastAsia="Century Gothic" w:hAnsi="Verdana" w:cs="Century Gothic"/>
          <w:b/>
          <w:bCs/>
        </w:rPr>
      </w:pPr>
      <w:r w:rsidRPr="00353478">
        <w:rPr>
          <w:rFonts w:ascii="Verdana" w:eastAsia="Century Gothic" w:hAnsi="Verdana" w:cs="Century Gothic"/>
          <w:b/>
          <w:bCs/>
        </w:rPr>
        <w:t>4. Referencias normativas:</w:t>
      </w:r>
    </w:p>
    <w:bookmarkEnd w:id="6"/>
    <w:p w14:paraId="58D3528F" w14:textId="77777777" w:rsidR="002D36DA" w:rsidRPr="001B549A" w:rsidRDefault="002D36DA" w:rsidP="002D36D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D36DA" w:rsidRPr="00353478" w14:paraId="34BCEE12" w14:textId="77777777" w:rsidTr="005E0527">
        <w:trPr>
          <w:trHeight w:val="870"/>
          <w:jc w:val="center"/>
        </w:trPr>
        <w:tc>
          <w:tcPr>
            <w:tcW w:w="8647" w:type="dxa"/>
          </w:tcPr>
          <w:p w14:paraId="3E131C21" w14:textId="77777777" w:rsidR="002D36DA" w:rsidRPr="00A23027" w:rsidRDefault="002D36DA" w:rsidP="002D36DA">
            <w:pPr>
              <w:pStyle w:val="Prrafodelista"/>
              <w:widowControl w:val="0"/>
              <w:numPr>
                <w:ilvl w:val="0"/>
                <w:numId w:val="2"/>
              </w:numPr>
              <w:autoSpaceDE w:val="0"/>
              <w:autoSpaceDN w:val="0"/>
              <w:spacing w:line="276" w:lineRule="auto"/>
              <w:contextualSpacing w:val="0"/>
              <w:jc w:val="both"/>
              <w:rPr>
                <w:rFonts w:ascii="Verdana" w:hAnsi="Verdana" w:cs="Arial"/>
              </w:rPr>
            </w:pPr>
            <w:r w:rsidRPr="00A23027">
              <w:rPr>
                <w:rFonts w:ascii="Verdana" w:hAnsi="Verdana"/>
              </w:rPr>
              <w:lastRenderedPageBreak/>
              <w:t>Código de Comercio, artículo 1048</w:t>
            </w:r>
            <w:r>
              <w:rPr>
                <w:rFonts w:ascii="Verdana" w:hAnsi="Verdana"/>
              </w:rPr>
              <w:t>.</w:t>
            </w:r>
          </w:p>
          <w:p w14:paraId="7E2AF234" w14:textId="77777777" w:rsidR="002D36DA" w:rsidRPr="001B549A" w:rsidRDefault="002D36DA" w:rsidP="002D36DA">
            <w:pPr>
              <w:pStyle w:val="Prrafodelista"/>
              <w:widowControl w:val="0"/>
              <w:numPr>
                <w:ilvl w:val="0"/>
                <w:numId w:val="2"/>
              </w:numPr>
              <w:autoSpaceDE w:val="0"/>
              <w:autoSpaceDN w:val="0"/>
              <w:spacing w:line="276" w:lineRule="auto"/>
              <w:contextualSpacing w:val="0"/>
              <w:jc w:val="both"/>
              <w:rPr>
                <w:rFonts w:ascii="Verdana" w:hAnsi="Verdana" w:cs="Arial"/>
              </w:rPr>
            </w:pPr>
            <w:r w:rsidRPr="001B549A">
              <w:rPr>
                <w:rFonts w:ascii="Verdana" w:hAnsi="Verdana" w:cs="Arial"/>
              </w:rPr>
              <w:t>Ley 80 de 1993, artículo 41.</w:t>
            </w:r>
          </w:p>
          <w:p w14:paraId="509ABB63" w14:textId="77777777" w:rsidR="002D36DA" w:rsidRPr="00353478" w:rsidRDefault="002D36DA" w:rsidP="002D36DA">
            <w:pPr>
              <w:pStyle w:val="Prrafodelista"/>
              <w:widowControl w:val="0"/>
              <w:numPr>
                <w:ilvl w:val="0"/>
                <w:numId w:val="2"/>
              </w:numPr>
              <w:autoSpaceDE w:val="0"/>
              <w:autoSpaceDN w:val="0"/>
              <w:spacing w:line="276" w:lineRule="auto"/>
              <w:contextualSpacing w:val="0"/>
              <w:jc w:val="both"/>
              <w:rPr>
                <w:rFonts w:ascii="Verdana" w:hAnsi="Verdana" w:cs="Arial"/>
              </w:rPr>
            </w:pPr>
            <w:r w:rsidRPr="00353478">
              <w:rPr>
                <w:rFonts w:ascii="Verdana" w:hAnsi="Verdana" w:cs="Arial"/>
              </w:rPr>
              <w:t xml:space="preserve">Ley 1150 de 2007, artículo 7. </w:t>
            </w:r>
          </w:p>
          <w:p w14:paraId="5B13A09A" w14:textId="77777777" w:rsidR="002D36DA" w:rsidRPr="00353478" w:rsidRDefault="002D36DA" w:rsidP="002D36DA">
            <w:pPr>
              <w:pStyle w:val="Prrafodelista"/>
              <w:widowControl w:val="0"/>
              <w:numPr>
                <w:ilvl w:val="0"/>
                <w:numId w:val="2"/>
              </w:numPr>
              <w:autoSpaceDE w:val="0"/>
              <w:autoSpaceDN w:val="0"/>
              <w:spacing w:line="276" w:lineRule="auto"/>
              <w:contextualSpacing w:val="0"/>
              <w:jc w:val="both"/>
              <w:rPr>
                <w:rFonts w:ascii="Verdana" w:hAnsi="Verdana" w:cs="Arial"/>
              </w:rPr>
            </w:pPr>
            <w:r w:rsidRPr="00353478">
              <w:rPr>
                <w:rFonts w:ascii="Verdana" w:hAnsi="Verdana" w:cs="Arial"/>
              </w:rPr>
              <w:t xml:space="preserve">Decreto 1082 de 2015, artículo 2.2.1.2.3.1.18. </w:t>
            </w:r>
          </w:p>
          <w:p w14:paraId="1B051368" w14:textId="77777777" w:rsidR="002D36DA" w:rsidRPr="00353478" w:rsidRDefault="002D36DA" w:rsidP="002D36DA">
            <w:pPr>
              <w:pStyle w:val="Prrafodelista"/>
              <w:widowControl w:val="0"/>
              <w:numPr>
                <w:ilvl w:val="0"/>
                <w:numId w:val="2"/>
              </w:numPr>
              <w:tabs>
                <w:tab w:val="left" w:pos="8419"/>
              </w:tabs>
              <w:autoSpaceDE w:val="0"/>
              <w:autoSpaceDN w:val="0"/>
              <w:spacing w:line="276" w:lineRule="auto"/>
              <w:contextualSpacing w:val="0"/>
              <w:jc w:val="both"/>
              <w:rPr>
                <w:rFonts w:ascii="Verdana" w:eastAsia="Calibri" w:hAnsi="Verdana" w:cs="Arial"/>
                <w:bCs/>
                <w:lang w:val="es-ES_tradnl" w:eastAsia="es-ES_tradnl" w:bidi="es-ES"/>
              </w:rPr>
            </w:pPr>
            <w:r>
              <w:rPr>
                <w:rFonts w:ascii="Verdana" w:hAnsi="Verdana"/>
              </w:rPr>
              <w:t>CONSEJO DE ESTADO.</w:t>
            </w:r>
            <w:r w:rsidRPr="001B549A">
              <w:rPr>
                <w:rFonts w:ascii="Verdana" w:hAnsi="Verdana" w:cs="Arial"/>
              </w:rPr>
              <w:t xml:space="preserve"> Sección Tercera, Subsección B, Sentencia de 31 de agosto de 2011, Exp. </w:t>
            </w:r>
            <w:r w:rsidRPr="00353478">
              <w:rPr>
                <w:rFonts w:ascii="Verdana" w:hAnsi="Verdana" w:cs="Arial"/>
              </w:rPr>
              <w:t xml:space="preserve">18080, C.P. Ruth Stella Correa Palacio. </w:t>
            </w:r>
          </w:p>
          <w:p w14:paraId="2CC63FFE" w14:textId="77777777" w:rsidR="002D36DA" w:rsidRPr="00353478" w:rsidRDefault="002D36DA" w:rsidP="002D36DA">
            <w:pPr>
              <w:pStyle w:val="Prrafodelista"/>
              <w:widowControl w:val="0"/>
              <w:numPr>
                <w:ilvl w:val="0"/>
                <w:numId w:val="2"/>
              </w:numPr>
              <w:tabs>
                <w:tab w:val="left" w:pos="8419"/>
              </w:tabs>
              <w:autoSpaceDE w:val="0"/>
              <w:autoSpaceDN w:val="0"/>
              <w:spacing w:line="276" w:lineRule="auto"/>
              <w:contextualSpacing w:val="0"/>
              <w:jc w:val="both"/>
              <w:rPr>
                <w:rFonts w:ascii="Verdana" w:eastAsia="Calibri" w:hAnsi="Verdana" w:cs="Arial"/>
                <w:lang w:eastAsia="es-ES" w:bidi="es-ES"/>
              </w:rPr>
            </w:pPr>
            <w:r w:rsidRPr="00353478">
              <w:rPr>
                <w:rFonts w:ascii="Verdana" w:eastAsia="Calibri" w:hAnsi="Verdana" w:cs="Arial"/>
                <w:lang w:eastAsia="es-ES" w:bidi="es-ES"/>
              </w:rPr>
              <w:t>CONSEJO DE ESTADO. Sección Tercera. Sala Plena. Auto de 1 de agosto de 2019. Exp. 62009. C.P. Jaime Enrique Rodríguez Navas.</w:t>
            </w:r>
          </w:p>
          <w:p w14:paraId="4C91CA7D" w14:textId="77777777" w:rsidR="002D36DA" w:rsidRPr="00353478" w:rsidRDefault="002D36DA" w:rsidP="002D36DA">
            <w:pPr>
              <w:pStyle w:val="Prrafodelista"/>
              <w:widowControl w:val="0"/>
              <w:numPr>
                <w:ilvl w:val="0"/>
                <w:numId w:val="2"/>
              </w:numPr>
              <w:tabs>
                <w:tab w:val="left" w:pos="8419"/>
              </w:tabs>
              <w:autoSpaceDE w:val="0"/>
              <w:autoSpaceDN w:val="0"/>
              <w:spacing w:line="276" w:lineRule="auto"/>
              <w:contextualSpacing w:val="0"/>
              <w:jc w:val="both"/>
              <w:rPr>
                <w:rFonts w:ascii="Verdana" w:eastAsia="Calibri" w:hAnsi="Verdana" w:cs="Arial"/>
                <w:lang w:eastAsia="es-ES" w:bidi="es-ES"/>
              </w:rPr>
            </w:pPr>
            <w:r w:rsidRPr="00353478">
              <w:rPr>
                <w:rFonts w:ascii="Verdana" w:eastAsia="Calibri" w:hAnsi="Verdana" w:cs="Arial"/>
                <w:lang w:eastAsia="es-ES" w:bidi="es-ES"/>
              </w:rPr>
              <w:t>CONSEJO DE ESTADO. Sala de Consulta y Servicio Civil. Concepto de 28 de junio de 2016. Radicación: 2253. C.P. Álvaro Namén Vargas.</w:t>
            </w:r>
          </w:p>
          <w:p w14:paraId="101207BD" w14:textId="77777777" w:rsidR="002D36DA" w:rsidRPr="00353478" w:rsidRDefault="002D36DA" w:rsidP="002D36DA">
            <w:pPr>
              <w:pStyle w:val="Prrafodelista"/>
              <w:widowControl w:val="0"/>
              <w:numPr>
                <w:ilvl w:val="0"/>
                <w:numId w:val="2"/>
              </w:numPr>
              <w:tabs>
                <w:tab w:val="left" w:pos="8419"/>
              </w:tabs>
              <w:autoSpaceDE w:val="0"/>
              <w:autoSpaceDN w:val="0"/>
              <w:spacing w:line="276" w:lineRule="auto"/>
              <w:contextualSpacing w:val="0"/>
              <w:jc w:val="both"/>
              <w:rPr>
                <w:rFonts w:ascii="Verdana" w:eastAsia="Calibri" w:hAnsi="Verdana" w:cs="Arial"/>
                <w:bCs/>
                <w:lang w:val="es-ES_tradnl" w:eastAsia="es-ES_tradnl" w:bidi="es-ES"/>
              </w:rPr>
            </w:pPr>
            <w:r w:rsidRPr="00353478">
              <w:rPr>
                <w:rFonts w:ascii="Verdana" w:eastAsia="Calibri" w:hAnsi="Verdana" w:cs="Arial"/>
                <w:bCs/>
                <w:lang w:val="es-ES_tradnl" w:eastAsia="es-ES_tradnl" w:bidi="es-ES"/>
              </w:rPr>
              <w:t>Guía de Garantías en Procesos de Contratación de Colombia Compra Eficiente.</w:t>
            </w:r>
            <w:r w:rsidRPr="00907C64">
              <w:rPr>
                <w:rFonts w:ascii="Verdana" w:hAnsi="Verdana"/>
              </w:rPr>
              <w:t xml:space="preserve"> </w:t>
            </w:r>
            <w:r w:rsidRPr="00353478">
              <w:rPr>
                <w:rFonts w:ascii="Verdana" w:eastAsia="Calibri" w:hAnsi="Verdana" w:cs="Arial"/>
                <w:bCs/>
                <w:lang w:val="es-ES_tradnl" w:eastAsia="es-ES_tradnl" w:bidi="es-ES"/>
              </w:rPr>
              <w:t>https://operaciones.colombiacompra.gov.co/sites/cce_ public/files/cce_documents/cce_guia_garantias.pdf</w:t>
            </w:r>
          </w:p>
          <w:p w14:paraId="1EBF8779" w14:textId="77777777" w:rsidR="002D36DA" w:rsidRPr="00353478" w:rsidRDefault="002D36DA" w:rsidP="002D36DA">
            <w:pPr>
              <w:pStyle w:val="NormalWeb"/>
              <w:numPr>
                <w:ilvl w:val="0"/>
                <w:numId w:val="2"/>
              </w:numPr>
              <w:spacing w:before="0" w:beforeAutospacing="0" w:after="0" w:afterAutospacing="0" w:line="276" w:lineRule="auto"/>
              <w:jc w:val="both"/>
              <w:rPr>
                <w:rFonts w:ascii="Verdana" w:hAnsi="Verdana" w:cs="Arial"/>
                <w:color w:val="000000" w:themeColor="text1"/>
                <w:sz w:val="22"/>
                <w:szCs w:val="22"/>
              </w:rPr>
            </w:pPr>
            <w:r w:rsidRPr="00907C64">
              <w:rPr>
                <w:rFonts w:ascii="Verdana" w:eastAsia="Calibri" w:hAnsi="Verdana" w:cs="Arial"/>
                <w:sz w:val="22"/>
                <w:szCs w:val="22"/>
                <w:lang w:eastAsia="es-ES" w:bidi="es-ES"/>
              </w:rPr>
              <w:t>Guía  para  la  Liquidación  de  los  Procesos  de  Contratación.                  disponible  en: https://www.colombiacompra.gov.co/sites/cce _public/files/cce_documents /cce_guia_liquidacion_procesos.pdf</w:t>
            </w:r>
          </w:p>
        </w:tc>
      </w:tr>
    </w:tbl>
    <w:p w14:paraId="4F05FC75" w14:textId="77777777" w:rsidR="002D36DA" w:rsidRPr="00353478" w:rsidRDefault="002D36DA" w:rsidP="002D36DA">
      <w:pPr>
        <w:widowControl w:val="0"/>
        <w:autoSpaceDE w:val="0"/>
        <w:autoSpaceDN w:val="0"/>
        <w:spacing w:after="0" w:line="276" w:lineRule="auto"/>
        <w:jc w:val="both"/>
        <w:rPr>
          <w:rFonts w:ascii="Verdana" w:hAnsi="Verdana" w:cs="Arial"/>
        </w:rPr>
      </w:pPr>
    </w:p>
    <w:p w14:paraId="33B2FF21" w14:textId="77777777" w:rsidR="002D36DA" w:rsidRPr="00353478" w:rsidRDefault="002D36DA" w:rsidP="002D36DA">
      <w:pPr>
        <w:tabs>
          <w:tab w:val="left" w:pos="142"/>
          <w:tab w:val="left" w:pos="284"/>
        </w:tabs>
        <w:spacing w:after="0" w:line="276" w:lineRule="auto"/>
        <w:jc w:val="both"/>
        <w:rPr>
          <w:rFonts w:ascii="Verdana" w:eastAsia="Century Gothic" w:hAnsi="Verdana" w:cs="Century Gothic"/>
          <w:b/>
          <w:bCs/>
        </w:rPr>
      </w:pPr>
      <w:r w:rsidRPr="00353478">
        <w:rPr>
          <w:rFonts w:ascii="Verdana" w:eastAsia="Century Gothic" w:hAnsi="Verdana" w:cs="Century Gothic"/>
          <w:b/>
          <w:bCs/>
        </w:rPr>
        <w:t>5. Doctrina de la Agencia Nacional de Contratación Pública:</w:t>
      </w:r>
    </w:p>
    <w:p w14:paraId="74F25AAB" w14:textId="77777777" w:rsidR="002D36DA" w:rsidRPr="00353478" w:rsidRDefault="002D36DA" w:rsidP="002D36DA">
      <w:pPr>
        <w:widowControl w:val="0"/>
        <w:autoSpaceDE w:val="0"/>
        <w:autoSpaceDN w:val="0"/>
        <w:spacing w:after="0" w:line="276" w:lineRule="auto"/>
        <w:jc w:val="both"/>
        <w:rPr>
          <w:rStyle w:val="normaltextrun"/>
          <w:rFonts w:ascii="Verdana" w:hAnsi="Verdana" w:cs="Arial"/>
          <w:sz w:val="24"/>
          <w:szCs w:val="24"/>
          <w:highlight w:val="yellow"/>
          <w:shd w:val="clear" w:color="auto" w:fill="FFFFFF"/>
          <w:lang w:val="es-ES" w:eastAsia="es-CO"/>
        </w:rPr>
      </w:pPr>
    </w:p>
    <w:p w14:paraId="108D4F7B" w14:textId="77777777" w:rsidR="002D36DA" w:rsidRPr="00353478" w:rsidRDefault="002D36DA" w:rsidP="002D36DA">
      <w:pPr>
        <w:widowControl w:val="0"/>
        <w:autoSpaceDE w:val="0"/>
        <w:autoSpaceDN w:val="0"/>
        <w:spacing w:after="0" w:line="276" w:lineRule="auto"/>
        <w:jc w:val="both"/>
        <w:rPr>
          <w:rStyle w:val="normaltextrun"/>
          <w:rFonts w:ascii="Verdana" w:hAnsi="Verdana" w:cs="Arial"/>
          <w:shd w:val="clear" w:color="auto" w:fill="FFFFFF"/>
          <w:lang w:val="es-ES"/>
        </w:rPr>
      </w:pPr>
      <w:r w:rsidRPr="00353478">
        <w:rPr>
          <w:rStyle w:val="normaltextrun"/>
          <w:rFonts w:ascii="Verdana" w:hAnsi="Verdana" w:cs="Arial"/>
          <w:shd w:val="clear" w:color="auto" w:fill="FFFFFF"/>
          <w:lang w:val="es-ES"/>
        </w:rPr>
        <w:t>Sobre las garantías en los contratos estatales, y su papel en las adiciones o prorrogas, se pronunció esta Subdirección en los conceptos 2201913000008327 del 8 de noviembre de 2019, C-584 del 26 de septiembre de 2022, C-845 del 7 de diciembre de 2022, C-930 del 30 de diciembre de 2022, C-019 del 3 de marzo de 2023, C-036 del 31 de marzo de 2023 y C-060 del 18 de abril de 2023. En particular, en los conceptos C-036 del 31 de marzo de 2023, C-060 del 18 de abril de 2023 y C-209 del 05 de agosto de 2024, se estudió la definición general de garantías y su papel como requisito para la ejecución del contrato estatal. Es</w:t>
      </w:r>
      <w:r w:rsidRPr="00353478">
        <w:rPr>
          <w:rFonts w:ascii="Verdana" w:hAnsi="Verdana"/>
        </w:rPr>
        <w:t>tos y otros conceptos se encuentran disponibles para consulta en el Sistema de relatoría de la Agencia, al cual se puede acceder a través del siguiente enlace:</w:t>
      </w:r>
      <w:r w:rsidRPr="00353478">
        <w:rPr>
          <w:rStyle w:val="normaltextrun"/>
          <w:rFonts w:ascii="Verdana" w:hAnsi="Verdana" w:cs="Arial"/>
          <w:shd w:val="clear" w:color="auto" w:fill="FFFFFF"/>
          <w:lang w:val="es-ES"/>
        </w:rPr>
        <w:t xml:space="preserve"> </w:t>
      </w:r>
      <w:hyperlink r:id="rId8" w:history="1">
        <w:r w:rsidRPr="00353478">
          <w:rPr>
            <w:rStyle w:val="Hipervnculo"/>
            <w:rFonts w:ascii="Verdana" w:hAnsi="Verdana" w:cs="Arial"/>
            <w:color w:val="156082" w:themeColor="accent1"/>
            <w:shd w:val="clear" w:color="auto" w:fill="FFFFFF"/>
            <w:lang w:val="es-ES"/>
          </w:rPr>
          <w:t>https://relatoria.colombiacompra.gov.co/busqueda/conceptos</w:t>
        </w:r>
      </w:hyperlink>
      <w:r w:rsidRPr="00353478">
        <w:rPr>
          <w:rStyle w:val="normaltextrun"/>
          <w:rFonts w:ascii="Verdana" w:hAnsi="Verdana" w:cs="Arial"/>
          <w:color w:val="156082" w:themeColor="accent1"/>
          <w:shd w:val="clear" w:color="auto" w:fill="FFFFFF"/>
          <w:lang w:val="es-ES"/>
        </w:rPr>
        <w:t xml:space="preserve">. </w:t>
      </w:r>
    </w:p>
    <w:p w14:paraId="182ED0D1" w14:textId="77777777" w:rsidR="002D36DA" w:rsidRDefault="002D36DA" w:rsidP="002D36DA">
      <w:pPr>
        <w:widowControl w:val="0"/>
        <w:autoSpaceDE w:val="0"/>
        <w:autoSpaceDN w:val="0"/>
        <w:spacing w:after="0" w:line="276" w:lineRule="auto"/>
        <w:jc w:val="both"/>
        <w:rPr>
          <w:rFonts w:ascii="Verdana" w:eastAsia="Calibri" w:hAnsi="Verdana" w:cs="Arial"/>
          <w:color w:val="000000" w:themeColor="text1"/>
          <w:lang w:eastAsia="es-ES_tradnl"/>
        </w:rPr>
      </w:pPr>
    </w:p>
    <w:p w14:paraId="570D9F11" w14:textId="77777777" w:rsidR="002D36DA" w:rsidRPr="009A385A" w:rsidRDefault="002D36DA" w:rsidP="002D36DA">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 xml:space="preserve">generar </w:t>
      </w:r>
      <w:r w:rsidRPr="009A385A">
        <w:rPr>
          <w:rFonts w:ascii="Verdana" w:hAnsi="Verdana"/>
        </w:rPr>
        <w:lastRenderedPageBreak/>
        <w:t>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9" w:tgtFrame="_new" w:history="1">
        <w:r w:rsidRPr="009A385A">
          <w:rPr>
            <w:rStyle w:val="Hipervnculo"/>
            <w:rFonts w:ascii="Verdana" w:hAnsi="Verdana"/>
          </w:rPr>
          <w:t>https://formacionvirtual.colombiacompra.gov.co/mod/page/view.php?id=3718</w:t>
        </w:r>
      </w:hyperlink>
    </w:p>
    <w:p w14:paraId="409C3168" w14:textId="77777777" w:rsidR="002D36DA" w:rsidRDefault="002D36DA" w:rsidP="002D36DA">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0" w:tgtFrame="_new" w:history="1">
        <w:r w:rsidRPr="00635F16">
          <w:rPr>
            <w:rStyle w:val="Hipervnculo"/>
            <w:rFonts w:ascii="Verdana" w:hAnsi="Verdana"/>
          </w:rPr>
          <w:t>https://www.colombiacompra.gov.co/normativa-y-relatoria/documentos-tipo</w:t>
        </w:r>
      </w:hyperlink>
    </w:p>
    <w:p w14:paraId="432041A4" w14:textId="77777777" w:rsidR="002D36DA" w:rsidRDefault="002D36DA" w:rsidP="002D36DA">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1"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78308C5" w14:textId="77777777" w:rsidR="002D36DA" w:rsidRPr="00353478" w:rsidRDefault="002D36DA" w:rsidP="002D36DA">
      <w:pPr>
        <w:spacing w:after="0" w:line="276" w:lineRule="auto"/>
        <w:jc w:val="both"/>
        <w:rPr>
          <w:rFonts w:ascii="Verdana" w:eastAsia="Calibri" w:hAnsi="Verdana" w:cs="Times New Roman"/>
        </w:rPr>
      </w:pPr>
      <w:r w:rsidRPr="00353478">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8F43F64" w14:textId="77777777" w:rsidR="002D36DA" w:rsidRPr="00353478" w:rsidRDefault="002D36DA" w:rsidP="002D36DA">
      <w:pPr>
        <w:pStyle w:val="Prrafodelista"/>
        <w:numPr>
          <w:ilvl w:val="0"/>
          <w:numId w:val="3"/>
        </w:numPr>
        <w:spacing w:after="0" w:line="276" w:lineRule="auto"/>
        <w:contextualSpacing w:val="0"/>
        <w:jc w:val="both"/>
        <w:rPr>
          <w:rFonts w:ascii="Verdana" w:hAnsi="Verdana"/>
        </w:rPr>
      </w:pPr>
      <w:r w:rsidRPr="00353478">
        <w:rPr>
          <w:rFonts w:ascii="Verdana" w:hAnsi="Verdana"/>
        </w:rPr>
        <w:t>Línea nacional gratuita o servicio a la ciudadanía: 01800 0520808</w:t>
      </w:r>
    </w:p>
    <w:p w14:paraId="1D30A04B" w14:textId="77777777" w:rsidR="002D36DA" w:rsidRPr="00353478" w:rsidRDefault="002D36DA" w:rsidP="002D36DA">
      <w:pPr>
        <w:pStyle w:val="Prrafodelista"/>
        <w:numPr>
          <w:ilvl w:val="0"/>
          <w:numId w:val="3"/>
        </w:numPr>
        <w:spacing w:after="0" w:line="276" w:lineRule="auto"/>
        <w:contextualSpacing w:val="0"/>
        <w:jc w:val="both"/>
        <w:rPr>
          <w:rFonts w:ascii="Verdana" w:hAnsi="Verdana"/>
        </w:rPr>
      </w:pPr>
      <w:r w:rsidRPr="00353478">
        <w:rPr>
          <w:rFonts w:ascii="Verdana" w:hAnsi="Verdana"/>
        </w:rPr>
        <w:t>Línea en Bogotá (Mesa de servicio): +57 601 7456788</w:t>
      </w:r>
    </w:p>
    <w:p w14:paraId="6D82233A" w14:textId="77777777" w:rsidR="002D36DA" w:rsidRPr="00353478" w:rsidRDefault="002D36DA" w:rsidP="002D36DA">
      <w:pPr>
        <w:pStyle w:val="Prrafodelista"/>
        <w:numPr>
          <w:ilvl w:val="0"/>
          <w:numId w:val="3"/>
        </w:numPr>
        <w:spacing w:after="0" w:line="276" w:lineRule="auto"/>
        <w:contextualSpacing w:val="0"/>
        <w:jc w:val="both"/>
        <w:rPr>
          <w:rFonts w:ascii="Verdana" w:hAnsi="Verdana"/>
        </w:rPr>
      </w:pPr>
      <w:r w:rsidRPr="00353478">
        <w:rPr>
          <w:rFonts w:ascii="Verdana" w:hAnsi="Verdana"/>
        </w:rPr>
        <w:t>Línea de servicio y atención al ciudadano: +57 601 7956600</w:t>
      </w:r>
    </w:p>
    <w:p w14:paraId="348E5AF0" w14:textId="77777777" w:rsidR="002D36DA" w:rsidRPr="00353478" w:rsidRDefault="002D36DA" w:rsidP="002D36DA">
      <w:pPr>
        <w:pStyle w:val="Prrafodelista"/>
        <w:numPr>
          <w:ilvl w:val="0"/>
          <w:numId w:val="3"/>
        </w:numPr>
        <w:spacing w:after="0" w:line="276" w:lineRule="auto"/>
        <w:contextualSpacing w:val="0"/>
        <w:jc w:val="both"/>
        <w:rPr>
          <w:rFonts w:ascii="Verdana" w:hAnsi="Verdana"/>
        </w:rPr>
      </w:pPr>
      <w:r w:rsidRPr="00353478">
        <w:rPr>
          <w:rFonts w:ascii="Verdana" w:hAnsi="Verdana"/>
        </w:rPr>
        <w:t xml:space="preserve">Página web: </w:t>
      </w:r>
      <w:hyperlink r:id="rId12" w:history="1">
        <w:r w:rsidRPr="00353478">
          <w:rPr>
            <w:rStyle w:val="Hipervnculo"/>
            <w:rFonts w:ascii="Verdana" w:hAnsi="Verdana"/>
          </w:rPr>
          <w:t>www.colombiacompra.gov.co</w:t>
        </w:r>
      </w:hyperlink>
    </w:p>
    <w:p w14:paraId="54436E32" w14:textId="77777777" w:rsidR="002D36DA" w:rsidRDefault="002D36DA" w:rsidP="002D36DA">
      <w:pPr>
        <w:spacing w:after="0" w:line="276" w:lineRule="auto"/>
        <w:jc w:val="both"/>
        <w:rPr>
          <w:rFonts w:ascii="Verdana" w:hAnsi="Verdana"/>
        </w:rPr>
      </w:pPr>
    </w:p>
    <w:p w14:paraId="39E7592B" w14:textId="77777777" w:rsidR="002D36DA" w:rsidRPr="001B549A" w:rsidRDefault="002D36DA" w:rsidP="002D36DA">
      <w:pPr>
        <w:spacing w:after="0" w:line="276" w:lineRule="auto"/>
        <w:jc w:val="both"/>
        <w:rPr>
          <w:rFonts w:ascii="Verdana" w:hAnsi="Verdana"/>
        </w:rPr>
      </w:pPr>
      <w:r w:rsidRPr="00353478">
        <w:rPr>
          <w:rFonts w:ascii="Verdana" w:hAnsi="Verdana"/>
        </w:rPr>
        <w:lastRenderedPageBreak/>
        <w:t xml:space="preserve">Por último, lo invitamos a seguirnos en las redes sociales en las cuales se difunde información institucional: </w:t>
      </w:r>
    </w:p>
    <w:p w14:paraId="7B549AC3" w14:textId="77777777" w:rsidR="002D36DA" w:rsidRPr="00353478" w:rsidRDefault="002D36DA" w:rsidP="002D36DA">
      <w:pPr>
        <w:spacing w:after="0" w:line="276" w:lineRule="auto"/>
        <w:jc w:val="both"/>
        <w:rPr>
          <w:rFonts w:ascii="Verdana" w:hAnsi="Verdana"/>
        </w:rPr>
      </w:pPr>
    </w:p>
    <w:p w14:paraId="77C22A5D" w14:textId="77777777" w:rsidR="002D36DA" w:rsidRPr="00353478" w:rsidRDefault="002D36DA" w:rsidP="002D36DA">
      <w:pPr>
        <w:spacing w:after="0" w:line="276" w:lineRule="auto"/>
        <w:jc w:val="both"/>
        <w:rPr>
          <w:rFonts w:ascii="Verdana" w:hAnsi="Verdana"/>
        </w:rPr>
      </w:pPr>
      <w:r w:rsidRPr="00353478">
        <w:rPr>
          <w:rFonts w:ascii="Verdana" w:hAnsi="Verdana"/>
        </w:rPr>
        <w:t xml:space="preserve">Twitter: </w:t>
      </w:r>
      <w:r w:rsidRPr="00353478">
        <w:rPr>
          <w:rStyle w:val="Hipervnculo"/>
          <w:rFonts w:ascii="Verdana" w:hAnsi="Verdana"/>
        </w:rPr>
        <w:t>@colombiacompra</w:t>
      </w:r>
      <w:r w:rsidRPr="00353478">
        <w:rPr>
          <w:rFonts w:ascii="Verdana" w:hAnsi="Verdana"/>
        </w:rPr>
        <w:t xml:space="preserve"> </w:t>
      </w:r>
    </w:p>
    <w:p w14:paraId="6EE037FB" w14:textId="77777777" w:rsidR="002D36DA" w:rsidRPr="00353478" w:rsidRDefault="002D36DA" w:rsidP="002D36DA">
      <w:pPr>
        <w:spacing w:after="0" w:line="276" w:lineRule="auto"/>
        <w:jc w:val="both"/>
        <w:rPr>
          <w:rFonts w:ascii="Verdana" w:hAnsi="Verdana"/>
        </w:rPr>
      </w:pPr>
      <w:r w:rsidRPr="00353478">
        <w:rPr>
          <w:rFonts w:ascii="Verdana" w:hAnsi="Verdana"/>
        </w:rPr>
        <w:t xml:space="preserve">Facebook: </w:t>
      </w:r>
      <w:r w:rsidRPr="00353478">
        <w:rPr>
          <w:rStyle w:val="Hipervnculo"/>
          <w:rFonts w:ascii="Verdana" w:hAnsi="Verdana"/>
        </w:rPr>
        <w:t>ColombiaCompraEficiente</w:t>
      </w:r>
    </w:p>
    <w:p w14:paraId="2AD07E50" w14:textId="77777777" w:rsidR="002D36DA" w:rsidRPr="00353478" w:rsidRDefault="002D36DA" w:rsidP="002D36DA">
      <w:pPr>
        <w:spacing w:after="0" w:line="276" w:lineRule="auto"/>
        <w:jc w:val="both"/>
        <w:rPr>
          <w:rFonts w:ascii="Verdana" w:hAnsi="Verdana"/>
        </w:rPr>
      </w:pPr>
      <w:r w:rsidRPr="00353478">
        <w:rPr>
          <w:rFonts w:ascii="Verdana" w:hAnsi="Verdana"/>
        </w:rPr>
        <w:t xml:space="preserve">LinkedIn: </w:t>
      </w:r>
      <w:r w:rsidRPr="00353478">
        <w:rPr>
          <w:rStyle w:val="Hipervnculo"/>
          <w:rFonts w:ascii="Verdana" w:hAnsi="Verdana"/>
        </w:rPr>
        <w:t>Agencia Nacional de Contratación Pública - Colombia Compra Eficiente</w:t>
      </w:r>
      <w:r w:rsidRPr="00353478">
        <w:rPr>
          <w:rFonts w:ascii="Verdana" w:hAnsi="Verdana"/>
        </w:rPr>
        <w:t xml:space="preserve"> Instagram: </w:t>
      </w:r>
      <w:r w:rsidRPr="00353478">
        <w:rPr>
          <w:rStyle w:val="Hipervnculo"/>
          <w:rFonts w:ascii="Verdana" w:hAnsi="Verdana"/>
        </w:rPr>
        <w:t>@colombiacompraeficiente_cce</w:t>
      </w:r>
    </w:p>
    <w:p w14:paraId="1B8A8CB8" w14:textId="77777777" w:rsidR="002D36DA" w:rsidRPr="00353478" w:rsidRDefault="002D36DA" w:rsidP="002D36DA">
      <w:pPr>
        <w:spacing w:after="0" w:line="276" w:lineRule="auto"/>
        <w:jc w:val="both"/>
        <w:rPr>
          <w:rFonts w:ascii="Verdana" w:hAnsi="Verdana"/>
        </w:rPr>
      </w:pPr>
    </w:p>
    <w:p w14:paraId="2D453787" w14:textId="77777777" w:rsidR="002D36DA" w:rsidRPr="00353478" w:rsidRDefault="002D36DA" w:rsidP="002D36DA">
      <w:pPr>
        <w:spacing w:after="0" w:line="276" w:lineRule="auto"/>
        <w:jc w:val="both"/>
        <w:rPr>
          <w:rFonts w:ascii="Verdana" w:hAnsi="Verdana"/>
        </w:rPr>
      </w:pPr>
      <w:r w:rsidRPr="00353478">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36FF0DC" w14:textId="77777777" w:rsidR="002D36DA" w:rsidRPr="00353478" w:rsidRDefault="002D36DA" w:rsidP="002D36DA">
      <w:pPr>
        <w:spacing w:after="0" w:line="276" w:lineRule="auto"/>
        <w:jc w:val="both"/>
        <w:rPr>
          <w:rFonts w:ascii="Verdana" w:eastAsia="Calibri" w:hAnsi="Verdana" w:cs="Times New Roman"/>
        </w:rPr>
      </w:pPr>
    </w:p>
    <w:p w14:paraId="08781851" w14:textId="0B57D75D" w:rsidR="002D36DA" w:rsidRPr="001D36FE" w:rsidRDefault="002D36DA" w:rsidP="002D36DA">
      <w:pPr>
        <w:spacing w:after="0" w:line="276" w:lineRule="auto"/>
        <w:jc w:val="both"/>
        <w:rPr>
          <w:noProof/>
        </w:rPr>
      </w:pPr>
      <w:r w:rsidRPr="00353478">
        <w:rPr>
          <w:rFonts w:ascii="Verdana" w:eastAsia="Calibri" w:hAnsi="Verdana" w:cs="Times New Roman"/>
        </w:rPr>
        <w:t>Atentamente,</w:t>
      </w:r>
    </w:p>
    <w:bookmarkEnd w:id="0"/>
    <w:bookmarkEnd w:id="1"/>
    <w:p w14:paraId="3A58E972" w14:textId="77777777" w:rsidR="002D36DA" w:rsidRDefault="002D36DA" w:rsidP="002D36DA">
      <w:pPr>
        <w:spacing w:after="0"/>
        <w:rPr>
          <w:rFonts w:ascii="Verdana" w:hAnsi="Verdana"/>
        </w:rPr>
      </w:pPr>
    </w:p>
    <w:p w14:paraId="000084F9" w14:textId="134FA651" w:rsidR="002D36DA" w:rsidRDefault="000F02C8" w:rsidP="000F02C8">
      <w:pPr>
        <w:spacing w:after="0"/>
        <w:jc w:val="center"/>
        <w:rPr>
          <w:rFonts w:ascii="Verdana" w:hAnsi="Verdana"/>
        </w:rPr>
      </w:pPr>
      <w:r>
        <w:rPr>
          <w:rFonts w:ascii="Verdana" w:eastAsia="Calibri" w:hAnsi="Verdana" w:cs="Times New Roman"/>
          <w:noProof/>
          <w:color w:val="000000" w:themeColor="text1"/>
        </w:rPr>
        <w:drawing>
          <wp:inline distT="0" distB="0" distL="0" distR="0" wp14:anchorId="71AC3E00" wp14:editId="77D37843">
            <wp:extent cx="3493311" cy="1298561"/>
            <wp:effectExtent l="0" t="0" r="0" b="0"/>
            <wp:docPr id="2451816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18164" name="Imagen 1" descr="Text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451F8F37" w14:textId="77777777" w:rsidR="002D36DA" w:rsidRDefault="002D36DA" w:rsidP="002D36DA">
      <w:pPr>
        <w:spacing w:after="0"/>
        <w:rPr>
          <w:rFonts w:ascii="Verdana" w:hAnsi="Verdana"/>
        </w:rPr>
      </w:pPr>
    </w:p>
    <w:p w14:paraId="66C60D4A" w14:textId="77777777" w:rsidR="002D36DA" w:rsidRDefault="002D36DA" w:rsidP="002D36DA">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D36DA" w:rsidRPr="002423D6" w14:paraId="04596553" w14:textId="77777777" w:rsidTr="005E0527">
        <w:trPr>
          <w:trHeight w:val="315"/>
        </w:trPr>
        <w:tc>
          <w:tcPr>
            <w:tcW w:w="893" w:type="dxa"/>
            <w:vAlign w:val="center"/>
            <w:hideMark/>
          </w:tcPr>
          <w:p w14:paraId="56F8C7B1" w14:textId="77777777" w:rsidR="002D36DA" w:rsidRPr="002423D6" w:rsidRDefault="002D36DA" w:rsidP="005E0527">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111BC27" w14:textId="77777777" w:rsidR="002D36DA" w:rsidRPr="002423D6" w:rsidRDefault="002D36DA" w:rsidP="005E0527">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406BD865" w14:textId="77777777" w:rsidR="002D36DA" w:rsidRPr="002423D6" w:rsidRDefault="002D36DA" w:rsidP="005E0527">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2D36DA" w:rsidRPr="002423D6" w14:paraId="7EBA21A3" w14:textId="77777777" w:rsidTr="005E0527">
        <w:trPr>
          <w:trHeight w:val="330"/>
        </w:trPr>
        <w:tc>
          <w:tcPr>
            <w:tcW w:w="893" w:type="dxa"/>
            <w:vAlign w:val="center"/>
            <w:hideMark/>
          </w:tcPr>
          <w:p w14:paraId="7490D154" w14:textId="77777777" w:rsidR="002D36DA" w:rsidRPr="002423D6" w:rsidRDefault="002D36DA" w:rsidP="005E0527">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2BB7BD9" w14:textId="77777777" w:rsidR="002D36DA" w:rsidRPr="002423D6" w:rsidRDefault="002D36DA" w:rsidP="005E0527">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Lucía Saavedra</w:t>
            </w:r>
          </w:p>
          <w:p w14:paraId="1D8B293F" w14:textId="77777777" w:rsidR="002D36DA" w:rsidRPr="002423D6" w:rsidRDefault="002D36DA" w:rsidP="005E0527">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2D36DA" w:rsidRPr="002423D6" w14:paraId="4237C5F6" w14:textId="77777777" w:rsidTr="005E0527">
        <w:trPr>
          <w:trHeight w:val="300"/>
        </w:trPr>
        <w:tc>
          <w:tcPr>
            <w:tcW w:w="893" w:type="dxa"/>
            <w:vAlign w:val="center"/>
          </w:tcPr>
          <w:p w14:paraId="45A95C8E" w14:textId="77777777" w:rsidR="002D36DA" w:rsidRPr="002423D6" w:rsidRDefault="002D36DA" w:rsidP="005E0527">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D50949F" w14:textId="77777777" w:rsidR="002D36DA" w:rsidRPr="002423D6" w:rsidRDefault="002D36DA" w:rsidP="005E0527">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676253DA" w14:textId="77777777" w:rsidR="002D36DA" w:rsidRPr="002423D6" w:rsidRDefault="002D36DA" w:rsidP="005E0527">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70B23A31" w14:textId="77777777" w:rsidR="002D36DA" w:rsidRPr="00823C60" w:rsidRDefault="002D36DA" w:rsidP="002D36DA"/>
    <w:p w14:paraId="006F631D" w14:textId="4458523D" w:rsidR="002D36DA" w:rsidRDefault="002D36DA" w:rsidP="002D36DA"/>
    <w:p w14:paraId="4C3A0602" w14:textId="77777777" w:rsidR="002D36DA" w:rsidRPr="00174D1D" w:rsidRDefault="002D36DA" w:rsidP="002D36DA"/>
    <w:p w14:paraId="70285A9A" w14:textId="14C33B41" w:rsidR="000F5A42" w:rsidRPr="002D36DA" w:rsidRDefault="000F5A42" w:rsidP="002D36DA"/>
    <w:sectPr w:rsidR="000F5A42" w:rsidRPr="002D36DA" w:rsidSect="00995A48">
      <w:headerReference w:type="default" r:id="rId14"/>
      <w:footerReference w:type="default" r:id="rId15"/>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E8F01" w14:textId="77777777" w:rsidR="00665701" w:rsidRDefault="00665701" w:rsidP="00995A48">
      <w:pPr>
        <w:spacing w:after="0" w:line="240" w:lineRule="auto"/>
      </w:pPr>
      <w:r>
        <w:separator/>
      </w:r>
    </w:p>
  </w:endnote>
  <w:endnote w:type="continuationSeparator" w:id="0">
    <w:p w14:paraId="656D6E6D" w14:textId="77777777" w:rsidR="00665701" w:rsidRDefault="00665701" w:rsidP="00995A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A2C53" w14:textId="77777777" w:rsidR="00995A48" w:rsidRDefault="00995A48" w:rsidP="000849D5">
    <w:pPr>
      <w:spacing w:after="0"/>
      <w:rPr>
        <w:rFonts w:ascii="Verdana" w:hAnsi="Verdana"/>
        <w:b/>
        <w:bCs/>
        <w:sz w:val="20"/>
        <w:szCs w:val="20"/>
      </w:rPr>
    </w:pPr>
  </w:p>
  <w:p w14:paraId="1553100C" w14:textId="77777777" w:rsidR="00995A48" w:rsidRPr="00174B77" w:rsidRDefault="00995A48"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E9B5010" w14:textId="77777777" w:rsidR="00995A48" w:rsidRDefault="00995A48"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175B3607" w14:textId="77777777" w:rsidR="00995A48" w:rsidRPr="00E41027" w:rsidRDefault="00995A48" w:rsidP="000849D5">
    <w:pPr>
      <w:spacing w:after="0"/>
      <w:jc w:val="both"/>
      <w:rPr>
        <w:rFonts w:ascii="Verdana" w:hAnsi="Verdana"/>
        <w:sz w:val="18"/>
        <w:szCs w:val="18"/>
      </w:rPr>
    </w:pPr>
    <w:r w:rsidRPr="00E41027">
      <w:rPr>
        <w:rFonts w:ascii="Verdana" w:hAnsi="Verdana"/>
        <w:sz w:val="18"/>
        <w:szCs w:val="18"/>
      </w:rPr>
      <w:t>Mesa de servicio: (+57) 601 7456788</w:t>
    </w:r>
  </w:p>
  <w:p w14:paraId="21347792" w14:textId="77777777" w:rsidR="00995A48" w:rsidRDefault="00995A48"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74DBEB63" w14:textId="77777777" w:rsidR="00995A48" w:rsidRPr="007D04B2" w:rsidRDefault="00995A48" w:rsidP="000849D5">
    <w:pPr>
      <w:pStyle w:val="Piedepgina"/>
    </w:pPr>
  </w:p>
  <w:p w14:paraId="33E21C84" w14:textId="77777777" w:rsidR="00995A48" w:rsidRPr="000849D5" w:rsidRDefault="00995A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C2473" w14:textId="77777777" w:rsidR="00665701" w:rsidRDefault="00665701" w:rsidP="00995A48">
      <w:pPr>
        <w:spacing w:after="0" w:line="240" w:lineRule="auto"/>
      </w:pPr>
      <w:r>
        <w:separator/>
      </w:r>
    </w:p>
  </w:footnote>
  <w:footnote w:type="continuationSeparator" w:id="0">
    <w:p w14:paraId="39E7A964" w14:textId="77777777" w:rsidR="00665701" w:rsidRDefault="00665701" w:rsidP="00995A48">
      <w:pPr>
        <w:spacing w:after="0" w:line="240" w:lineRule="auto"/>
      </w:pPr>
      <w:r>
        <w:continuationSeparator/>
      </w:r>
    </w:p>
  </w:footnote>
  <w:footnote w:id="1">
    <w:p w14:paraId="20E75611" w14:textId="77777777" w:rsidR="002D36DA" w:rsidRPr="001B549A" w:rsidRDefault="002D36DA" w:rsidP="002D36DA">
      <w:pPr>
        <w:pStyle w:val="Textonotapie"/>
        <w:ind w:firstLine="708"/>
        <w:jc w:val="both"/>
        <w:rPr>
          <w:rFonts w:ascii="Verdana" w:hAnsi="Verdana" w:cs="Arial"/>
          <w:sz w:val="16"/>
          <w:szCs w:val="16"/>
        </w:rPr>
      </w:pPr>
      <w:r w:rsidRPr="001B549A">
        <w:rPr>
          <w:rStyle w:val="Refdenotaalpie"/>
          <w:rFonts w:ascii="Verdana" w:hAnsi="Verdana" w:cs="Arial"/>
          <w:sz w:val="16"/>
          <w:szCs w:val="16"/>
        </w:rPr>
        <w:footnoteRef/>
      </w:r>
      <w:r w:rsidRPr="001B549A">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 [...].</w:t>
      </w:r>
    </w:p>
    <w:p w14:paraId="65DD812C" w14:textId="77777777" w:rsidR="002D36DA" w:rsidRPr="00907C64" w:rsidRDefault="002D36DA" w:rsidP="002D36DA">
      <w:pPr>
        <w:pStyle w:val="Textonotapie"/>
        <w:jc w:val="both"/>
        <w:rPr>
          <w:rFonts w:ascii="Verdana" w:hAnsi="Verdana" w:cs="Arial"/>
          <w:sz w:val="16"/>
          <w:szCs w:val="16"/>
        </w:rPr>
      </w:pPr>
    </w:p>
  </w:footnote>
  <w:footnote w:id="2">
    <w:p w14:paraId="7DB15B42" w14:textId="77777777" w:rsidR="002D36DA" w:rsidRPr="001B549A" w:rsidRDefault="002D36DA" w:rsidP="002D36DA">
      <w:pPr>
        <w:pStyle w:val="Textonotapie"/>
        <w:ind w:firstLine="708"/>
        <w:jc w:val="both"/>
        <w:rPr>
          <w:rFonts w:ascii="Verdana" w:hAnsi="Verdana" w:cs="Arial"/>
          <w:sz w:val="16"/>
          <w:szCs w:val="16"/>
        </w:rPr>
      </w:pPr>
      <w:r w:rsidRPr="001B549A">
        <w:rPr>
          <w:rStyle w:val="Refdenotaalpie"/>
          <w:rFonts w:ascii="Verdana" w:hAnsi="Verdana" w:cs="Arial"/>
          <w:sz w:val="16"/>
          <w:szCs w:val="16"/>
        </w:rPr>
        <w:footnoteRef/>
      </w:r>
      <w:r w:rsidRPr="001B549A">
        <w:rPr>
          <w:rFonts w:ascii="Verdana" w:hAnsi="Verdana" w:cs="Arial"/>
          <w:sz w:val="16"/>
          <w:szCs w:val="16"/>
        </w:rPr>
        <w:t xml:space="preserve"> Ley 150 de 2007: “Artículo 7. De las garantías en la contratación. </w:t>
      </w:r>
    </w:p>
    <w:p w14:paraId="1806F0DC" w14:textId="77777777" w:rsidR="002D36DA" w:rsidRPr="001B549A" w:rsidRDefault="002D36DA" w:rsidP="002D36DA">
      <w:pPr>
        <w:pStyle w:val="Textonotapie"/>
        <w:ind w:firstLine="708"/>
        <w:jc w:val="both"/>
        <w:rPr>
          <w:rFonts w:ascii="Verdana" w:hAnsi="Verdana" w:cs="Arial"/>
          <w:sz w:val="16"/>
          <w:szCs w:val="16"/>
        </w:rPr>
      </w:pPr>
      <w:r w:rsidRPr="001B549A">
        <w:rPr>
          <w:rFonts w:ascii="Verdana" w:hAnsi="Verdana" w:cs="Arial"/>
          <w:sz w:val="16"/>
          <w:szCs w:val="16"/>
        </w:rPr>
        <w:t>[…] “Las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5D52E164" w14:textId="77777777" w:rsidR="002D36DA" w:rsidRPr="001B549A" w:rsidRDefault="002D36DA" w:rsidP="002D36DA">
      <w:pPr>
        <w:pStyle w:val="Textonotapie"/>
        <w:jc w:val="both"/>
        <w:rPr>
          <w:rFonts w:ascii="Verdana" w:hAnsi="Verdana" w:cs="Arial"/>
          <w:sz w:val="16"/>
          <w:szCs w:val="16"/>
        </w:rPr>
      </w:pPr>
      <w:r w:rsidRPr="001B549A">
        <w:rPr>
          <w:rFonts w:ascii="Verdana" w:hAnsi="Verdana" w:cs="Arial"/>
          <w:sz w:val="16"/>
          <w:szCs w:val="16"/>
        </w:rPr>
        <w:t>[…]”.</w:t>
      </w:r>
    </w:p>
  </w:footnote>
  <w:footnote w:id="3">
    <w:p w14:paraId="4F9D9F61" w14:textId="77777777" w:rsidR="002D36DA" w:rsidRPr="001B549A" w:rsidRDefault="002D36DA" w:rsidP="002D36DA">
      <w:pPr>
        <w:pStyle w:val="Textonotapie"/>
        <w:jc w:val="both"/>
        <w:rPr>
          <w:rFonts w:ascii="Verdana" w:hAnsi="Verdana" w:cs="Arial"/>
          <w:sz w:val="16"/>
          <w:szCs w:val="16"/>
        </w:rPr>
      </w:pPr>
    </w:p>
    <w:p w14:paraId="6CF83536" w14:textId="77777777" w:rsidR="002D36DA" w:rsidRPr="00907C64" w:rsidRDefault="002D36DA" w:rsidP="002D36DA">
      <w:pPr>
        <w:pStyle w:val="Textonotapie"/>
        <w:ind w:firstLine="708"/>
        <w:jc w:val="both"/>
        <w:rPr>
          <w:rFonts w:ascii="Verdana" w:hAnsi="Verdana" w:cs="Arial"/>
          <w:sz w:val="16"/>
          <w:szCs w:val="16"/>
          <w:lang w:val="es-ES"/>
        </w:rPr>
      </w:pPr>
      <w:r w:rsidRPr="001B549A">
        <w:rPr>
          <w:rStyle w:val="Refdenotaalpie"/>
          <w:rFonts w:ascii="Verdana" w:hAnsi="Verdana" w:cs="Arial"/>
          <w:sz w:val="16"/>
          <w:szCs w:val="16"/>
        </w:rPr>
        <w:footnoteRef/>
      </w:r>
      <w:r w:rsidRPr="001B549A">
        <w:rPr>
          <w:rFonts w:ascii="Verdana" w:hAnsi="Verdana" w:cs="Arial"/>
          <w:sz w:val="16"/>
          <w:szCs w:val="16"/>
        </w:rPr>
        <w:t xml:space="preserve">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4">
    <w:p w14:paraId="091E44D1" w14:textId="77777777" w:rsidR="002D36DA" w:rsidRPr="001B549A" w:rsidRDefault="002D36DA" w:rsidP="002D36DA">
      <w:pPr>
        <w:pStyle w:val="Textonotapie"/>
        <w:ind w:firstLine="709"/>
        <w:jc w:val="both"/>
        <w:rPr>
          <w:rFonts w:ascii="Verdana" w:hAnsi="Verdana" w:cs="Arial"/>
          <w:sz w:val="16"/>
          <w:szCs w:val="16"/>
          <w:lang w:val="pt-PT"/>
        </w:rPr>
      </w:pPr>
      <w:r w:rsidRPr="001B549A">
        <w:rPr>
          <w:rStyle w:val="Refdenotaalpie"/>
          <w:rFonts w:ascii="Verdana" w:hAnsi="Verdana" w:cs="Arial"/>
          <w:sz w:val="16"/>
          <w:szCs w:val="16"/>
        </w:rPr>
        <w:footnoteRef/>
      </w:r>
      <w:r w:rsidRPr="001B549A">
        <w:rPr>
          <w:rFonts w:ascii="Verdana" w:hAnsi="Verdana" w:cs="Arial"/>
          <w:sz w:val="16"/>
          <w:szCs w:val="16"/>
        </w:rPr>
        <w:t xml:space="preserve"> CONSEJO DE ESTADO. Sección Tercera. Sentencia del 29 de julio de 2015. </w:t>
      </w:r>
      <w:r w:rsidRPr="001B549A">
        <w:rPr>
          <w:rFonts w:ascii="Verdana" w:hAnsi="Verdana" w:cs="Arial"/>
          <w:sz w:val="16"/>
          <w:szCs w:val="16"/>
          <w:lang w:val="pt-PT"/>
        </w:rPr>
        <w:t>Exp. 42.494. C.P. Jaime Orlando Santofimio Gamboa.</w:t>
      </w:r>
    </w:p>
  </w:footnote>
  <w:footnote w:id="5">
    <w:p w14:paraId="6942C47D" w14:textId="77777777" w:rsidR="002D36DA" w:rsidRPr="001B549A" w:rsidRDefault="002D36DA" w:rsidP="002D36DA">
      <w:pPr>
        <w:pStyle w:val="Textonotapie"/>
        <w:ind w:firstLine="708"/>
        <w:jc w:val="both"/>
        <w:rPr>
          <w:rFonts w:ascii="Verdana" w:hAnsi="Verdana" w:cs="Arial"/>
          <w:sz w:val="16"/>
          <w:szCs w:val="16"/>
        </w:rPr>
      </w:pPr>
      <w:r w:rsidRPr="001B549A">
        <w:rPr>
          <w:rStyle w:val="Refdenotaalpie"/>
          <w:rFonts w:ascii="Verdana" w:hAnsi="Verdana" w:cs="Arial"/>
          <w:sz w:val="16"/>
          <w:szCs w:val="16"/>
        </w:rPr>
        <w:footnoteRef/>
      </w:r>
      <w:r w:rsidRPr="001B549A">
        <w:rPr>
          <w:rFonts w:ascii="Verdana" w:hAnsi="Verdana" w:cs="Arial"/>
          <w:sz w:val="16"/>
          <w:szCs w:val="16"/>
          <w:lang w:val="pt-PT"/>
        </w:rPr>
        <w:t xml:space="preserve"> CONSEJO DE ESTADO. </w:t>
      </w:r>
      <w:r w:rsidRPr="001B549A">
        <w:rPr>
          <w:rFonts w:ascii="Verdana" w:hAnsi="Verdana" w:cs="Arial"/>
          <w:sz w:val="16"/>
          <w:szCs w:val="16"/>
        </w:rPr>
        <w:t>Sección Tercera. Sentencia del 13 de septiembre de 1999. Exp. 10.264. C.P. Ricardo Hoyos Duque.</w:t>
      </w:r>
    </w:p>
  </w:footnote>
  <w:footnote w:id="6">
    <w:p w14:paraId="4178E2F3" w14:textId="77777777" w:rsidR="002D36DA" w:rsidRPr="00907C64" w:rsidRDefault="002D36DA" w:rsidP="002D36DA">
      <w:pPr>
        <w:pStyle w:val="Textonotapie"/>
        <w:ind w:firstLine="708"/>
        <w:jc w:val="both"/>
        <w:rPr>
          <w:rFonts w:ascii="Verdana" w:hAnsi="Verdana" w:cs="Arial"/>
          <w:sz w:val="16"/>
          <w:szCs w:val="16"/>
          <w:lang w:val="es-ES"/>
        </w:rPr>
      </w:pPr>
      <w:r w:rsidRPr="001B549A">
        <w:rPr>
          <w:rStyle w:val="Refdenotaalpie"/>
          <w:rFonts w:ascii="Verdana" w:hAnsi="Verdana" w:cs="Arial"/>
          <w:sz w:val="16"/>
          <w:szCs w:val="16"/>
        </w:rPr>
        <w:footnoteRef/>
      </w:r>
      <w:r w:rsidRPr="001B549A">
        <w:rPr>
          <w:rFonts w:ascii="Verdana" w:hAnsi="Verdana" w:cs="Arial"/>
          <w:sz w:val="16"/>
          <w:szCs w:val="16"/>
        </w:rPr>
        <w:t xml:space="preserve"> PALACIO HINCAPIÉ, Juan Ángel. La contratación de las entidades estatales. Octava edición. Medellín: Librería Jurídica Sánchez R. SAS, 2020. p. 659.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54BC6" w14:textId="77777777" w:rsidR="00995A48" w:rsidRDefault="00995A48"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940144A" wp14:editId="4A5711A8">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94D2B68" wp14:editId="7086F24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F08D148" w14:textId="77777777" w:rsidR="00995A48" w:rsidRDefault="00995A48" w:rsidP="00515FB5">
    <w:pPr>
      <w:pStyle w:val="Encabezado"/>
    </w:pPr>
  </w:p>
  <w:p w14:paraId="005195A5" w14:textId="77777777" w:rsidR="00995A48" w:rsidRDefault="00995A48" w:rsidP="00515FB5">
    <w:pPr>
      <w:pStyle w:val="Encabezado"/>
    </w:pPr>
  </w:p>
  <w:p w14:paraId="53B4C38A" w14:textId="77777777" w:rsidR="00995A48" w:rsidRPr="00515FB5" w:rsidRDefault="00995A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A48"/>
    <w:rsid w:val="00021B69"/>
    <w:rsid w:val="0003656D"/>
    <w:rsid w:val="00076FB5"/>
    <w:rsid w:val="000979CA"/>
    <w:rsid w:val="000C0184"/>
    <w:rsid w:val="000D37A9"/>
    <w:rsid w:val="000F02C8"/>
    <w:rsid w:val="000F5A42"/>
    <w:rsid w:val="001343C9"/>
    <w:rsid w:val="002D36DA"/>
    <w:rsid w:val="00310975"/>
    <w:rsid w:val="00311C42"/>
    <w:rsid w:val="00343EDB"/>
    <w:rsid w:val="00351906"/>
    <w:rsid w:val="004F4C5C"/>
    <w:rsid w:val="00612B85"/>
    <w:rsid w:val="00637AD1"/>
    <w:rsid w:val="00665701"/>
    <w:rsid w:val="00671D5F"/>
    <w:rsid w:val="006F6AD3"/>
    <w:rsid w:val="00773E59"/>
    <w:rsid w:val="008B6464"/>
    <w:rsid w:val="00995A48"/>
    <w:rsid w:val="009C588D"/>
    <w:rsid w:val="009D3363"/>
    <w:rsid w:val="00A12218"/>
    <w:rsid w:val="00A90678"/>
    <w:rsid w:val="00AA3141"/>
    <w:rsid w:val="00B015A2"/>
    <w:rsid w:val="00B3595F"/>
    <w:rsid w:val="00C833B2"/>
    <w:rsid w:val="00CA11B4"/>
    <w:rsid w:val="00D91E59"/>
    <w:rsid w:val="00DE21CA"/>
    <w:rsid w:val="00EB35A1"/>
    <w:rsid w:val="00FB157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1A739"/>
  <w15:chartTrackingRefBased/>
  <w15:docId w15:val="{036D9B95-15DD-4F90-A1B2-AFA849234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7A9"/>
    <w:rPr>
      <w:kern w:val="0"/>
      <w14:ligatures w14:val="none"/>
    </w:rPr>
  </w:style>
  <w:style w:type="paragraph" w:styleId="Ttulo1">
    <w:name w:val="heading 1"/>
    <w:basedOn w:val="Normal"/>
    <w:next w:val="Normal"/>
    <w:link w:val="Ttulo1Car"/>
    <w:uiPriority w:val="9"/>
    <w:qFormat/>
    <w:rsid w:val="00995A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95A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95A4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95A4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95A4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95A4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95A4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95A4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95A4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95A4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95A4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95A4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95A4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95A4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95A4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95A4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95A4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95A48"/>
    <w:rPr>
      <w:rFonts w:eastAsiaTheme="majorEastAsia" w:cstheme="majorBidi"/>
      <w:color w:val="272727" w:themeColor="text1" w:themeTint="D8"/>
    </w:rPr>
  </w:style>
  <w:style w:type="paragraph" w:styleId="Ttulo">
    <w:name w:val="Title"/>
    <w:basedOn w:val="Normal"/>
    <w:next w:val="Normal"/>
    <w:link w:val="TtuloCar"/>
    <w:uiPriority w:val="10"/>
    <w:qFormat/>
    <w:rsid w:val="00995A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95A4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95A4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95A4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95A48"/>
    <w:pPr>
      <w:spacing w:before="160"/>
      <w:jc w:val="center"/>
    </w:pPr>
    <w:rPr>
      <w:i/>
      <w:iCs/>
      <w:color w:val="404040" w:themeColor="text1" w:themeTint="BF"/>
    </w:rPr>
  </w:style>
  <w:style w:type="character" w:customStyle="1" w:styleId="CitaCar">
    <w:name w:val="Cita Car"/>
    <w:basedOn w:val="Fuentedeprrafopredeter"/>
    <w:link w:val="Cita"/>
    <w:uiPriority w:val="29"/>
    <w:rsid w:val="00995A48"/>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995A48"/>
    <w:pPr>
      <w:ind w:left="720"/>
      <w:contextualSpacing/>
    </w:pPr>
  </w:style>
  <w:style w:type="character" w:styleId="nfasisintenso">
    <w:name w:val="Intense Emphasis"/>
    <w:basedOn w:val="Fuentedeprrafopredeter"/>
    <w:uiPriority w:val="21"/>
    <w:qFormat/>
    <w:rsid w:val="00995A48"/>
    <w:rPr>
      <w:i/>
      <w:iCs/>
      <w:color w:val="0F4761" w:themeColor="accent1" w:themeShade="BF"/>
    </w:rPr>
  </w:style>
  <w:style w:type="paragraph" w:styleId="Citadestacada">
    <w:name w:val="Intense Quote"/>
    <w:basedOn w:val="Normal"/>
    <w:next w:val="Normal"/>
    <w:link w:val="CitadestacadaCar"/>
    <w:uiPriority w:val="30"/>
    <w:qFormat/>
    <w:rsid w:val="00995A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95A48"/>
    <w:rPr>
      <w:i/>
      <w:iCs/>
      <w:color w:val="0F4761" w:themeColor="accent1" w:themeShade="BF"/>
    </w:rPr>
  </w:style>
  <w:style w:type="character" w:styleId="Referenciaintensa">
    <w:name w:val="Intense Reference"/>
    <w:basedOn w:val="Fuentedeprrafopredeter"/>
    <w:uiPriority w:val="32"/>
    <w:qFormat/>
    <w:rsid w:val="00995A48"/>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95A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95A48"/>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95A48"/>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95A48"/>
    <w:rPr>
      <w:vertAlign w:val="superscript"/>
    </w:rPr>
  </w:style>
  <w:style w:type="paragraph" w:customStyle="1" w:styleId="Appelnotedebasde">
    <w:name w:val="Appel note de bas de..."/>
    <w:basedOn w:val="Normal"/>
    <w:link w:val="Refdenotaalpie"/>
    <w:uiPriority w:val="99"/>
    <w:rsid w:val="00995A48"/>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995A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95A48"/>
    <w:rPr>
      <w:kern w:val="0"/>
      <w14:ligatures w14:val="none"/>
    </w:rPr>
  </w:style>
  <w:style w:type="paragraph" w:styleId="Piedepgina">
    <w:name w:val="footer"/>
    <w:basedOn w:val="Normal"/>
    <w:link w:val="PiedepginaCar"/>
    <w:uiPriority w:val="99"/>
    <w:unhideWhenUsed/>
    <w:rsid w:val="00995A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95A48"/>
    <w:rPr>
      <w:kern w:val="0"/>
      <w14:ligatures w14:val="none"/>
    </w:rPr>
  </w:style>
  <w:style w:type="table" w:styleId="Tablaconcuadrcula">
    <w:name w:val="Table Grid"/>
    <w:basedOn w:val="Tablanormal"/>
    <w:uiPriority w:val="39"/>
    <w:qFormat/>
    <w:rsid w:val="00995A4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95A48"/>
    <w:rPr>
      <w:color w:val="467886" w:themeColor="hyperlink"/>
      <w:u w:val="single"/>
    </w:rPr>
  </w:style>
  <w:style w:type="character" w:customStyle="1" w:styleId="normaltextrun">
    <w:name w:val="normaltextrun"/>
    <w:basedOn w:val="Fuentedeprrafopredeter"/>
    <w:rsid w:val="00995A48"/>
  </w:style>
  <w:style w:type="character" w:customStyle="1" w:styleId="eop">
    <w:name w:val="eop"/>
    <w:basedOn w:val="Fuentedeprrafopredeter"/>
    <w:rsid w:val="00995A48"/>
  </w:style>
  <w:style w:type="paragraph" w:customStyle="1" w:styleId="paragraph">
    <w:name w:val="paragraph"/>
    <w:basedOn w:val="Normal"/>
    <w:rsid w:val="00995A48"/>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95A48"/>
  </w:style>
  <w:style w:type="paragraph" w:styleId="NormalWeb">
    <w:name w:val="Normal (Web)"/>
    <w:basedOn w:val="Normal"/>
    <w:link w:val="NormalWebCar"/>
    <w:uiPriority w:val="99"/>
    <w:unhideWhenUsed/>
    <w:rsid w:val="00995A4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995A48"/>
    <w:rPr>
      <w:rFonts w:ascii="Times New Roman" w:eastAsia="Times New Roman" w:hAnsi="Times New Roman" w:cs="Times New Roman"/>
      <w:kern w:val="0"/>
      <w:sz w:val="24"/>
      <w:szCs w:val="24"/>
      <w:lang w:eastAsia="es-CO"/>
      <w14:ligatures w14:val="none"/>
    </w:rPr>
  </w:style>
  <w:style w:type="paragraph" w:styleId="Sinespaciado">
    <w:name w:val="No Spacing"/>
    <w:aliases w:val="No Indent"/>
    <w:uiPriority w:val="3"/>
    <w:qFormat/>
    <w:rsid w:val="00995A48"/>
    <w:pPr>
      <w:spacing w:after="0" w:line="240" w:lineRule="auto"/>
    </w:pPr>
    <w:rPr>
      <w:kern w:val="0"/>
      <w:sz w:val="24"/>
      <w:lang w:val="es-MX"/>
      <w14:ligatures w14:val="none"/>
    </w:rPr>
  </w:style>
  <w:style w:type="paragraph" w:styleId="Textoindependiente">
    <w:name w:val="Body Text"/>
    <w:basedOn w:val="Normal"/>
    <w:link w:val="TextoindependienteCar"/>
    <w:uiPriority w:val="1"/>
    <w:qFormat/>
    <w:rsid w:val="00995A48"/>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995A48"/>
    <w:rPr>
      <w:rFonts w:ascii="Verdana" w:eastAsia="Verdana" w:hAnsi="Verdana" w:cs="Verdana"/>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latoria.colombiacompra.gov.co/busqueda/conceptos" TargetMode="External"/><Relationship Id="rId13" Type="http://schemas.openxmlformats.org/officeDocument/2006/relationships/image" Target="media/image3.png"/><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www.colombiacompra.gov.co"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colombiacompra.gov.co/normativa-y-relatoria/documentos-tipo"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formacionvirtual.colombiacompra.gov.co/mod/page/view.php?id=3718"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24F6BE7-98D9-4040-A385-B92CB79908F2}"/>
</file>

<file path=customXml/itemProps2.xml><?xml version="1.0" encoding="utf-8"?>
<ds:datastoreItem xmlns:ds="http://schemas.openxmlformats.org/officeDocument/2006/customXml" ds:itemID="{F096B31F-0130-469A-86BD-145CC18FAEDF}"/>
</file>

<file path=customXml/itemProps3.xml><?xml version="1.0" encoding="utf-8"?>
<ds:datastoreItem xmlns:ds="http://schemas.openxmlformats.org/officeDocument/2006/customXml" ds:itemID="{BAB0B4D2-F494-400F-97E2-C0E56E5CEA11}"/>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345</TotalTime>
  <Pages>13</Pages>
  <Words>3787</Words>
  <Characters>21554</Characters>
  <Application>Microsoft Office Word</Application>
  <DocSecurity>0</DocSecurity>
  <Lines>439</Lines>
  <Paragraphs>106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24</cp:revision>
  <dcterms:created xsi:type="dcterms:W3CDTF">2026-02-27T15:17:00Z</dcterms:created>
  <dcterms:modified xsi:type="dcterms:W3CDTF">2026-03-06T21:48:00Z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