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7641E" w14:textId="77777777" w:rsidR="009E262B" w:rsidRPr="00A47E64" w:rsidRDefault="009E262B" w:rsidP="009E262B">
      <w:pPr>
        <w:spacing w:before="100" w:beforeAutospacing="1" w:after="100" w:afterAutospacing="1" w:line="240" w:lineRule="auto"/>
        <w:jc w:val="both"/>
        <w:rPr>
          <w:rFonts w:ascii="Verdana" w:eastAsia="Times New Roman" w:hAnsi="Verdana" w:cs="Times New Roman"/>
          <w:b/>
          <w:bCs/>
          <w:lang w:eastAsia="es-MX"/>
        </w:rPr>
      </w:pPr>
      <w:r w:rsidRPr="00A47E64">
        <w:rPr>
          <w:rFonts w:ascii="Verdana" w:eastAsia="Times New Roman" w:hAnsi="Verdana" w:cs="Times New Roman"/>
          <w:b/>
          <w:bCs/>
          <w:lang w:eastAsia="es-MX"/>
        </w:rPr>
        <w:t>LEY DE GARANTÍAS ELECTORALES – Restricciones contractuales – Comicios aplicables - Destinatarios</w:t>
      </w:r>
    </w:p>
    <w:p w14:paraId="3388B85A" w14:textId="77777777" w:rsidR="009E262B" w:rsidRPr="00846D6A" w:rsidRDefault="009E262B" w:rsidP="009E262B">
      <w:pPr>
        <w:spacing w:before="100" w:beforeAutospacing="1" w:after="100" w:afterAutospacing="1" w:line="240" w:lineRule="auto"/>
        <w:jc w:val="both"/>
        <w:rPr>
          <w:rFonts w:ascii="Verdana" w:eastAsia="Times New Roman" w:hAnsi="Verdana" w:cs="Times New Roman"/>
          <w:sz w:val="20"/>
          <w:szCs w:val="20"/>
          <w:lang w:eastAsia="es-MX"/>
        </w:rPr>
      </w:pPr>
      <w:r w:rsidRPr="00846D6A">
        <w:rPr>
          <w:rFonts w:ascii="Verdana" w:eastAsia="Times New Roman" w:hAnsi="Verdana" w:cs="Times New Roman"/>
          <w:sz w:val="20"/>
          <w:szCs w:val="20"/>
          <w:lang w:eastAsia="es-MX"/>
        </w:rPr>
        <w:t>[…] el artículo 33 de la Ley 996 de 2005 prohíbe “[…] la contratación directa por parte de todos los entes del Estado” durante los cuatro (4) meses anteriores a las elecciones presidenciales ,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F152C4A" w14:textId="77777777" w:rsidR="009E262B" w:rsidRPr="00846D6A" w:rsidRDefault="009E262B" w:rsidP="009E262B">
      <w:pPr>
        <w:spacing w:before="100" w:beforeAutospacing="1" w:after="100" w:afterAutospacing="1" w:line="240" w:lineRule="auto"/>
        <w:jc w:val="both"/>
        <w:rPr>
          <w:rFonts w:ascii="Verdana" w:eastAsia="Times New Roman" w:hAnsi="Verdana" w:cs="Times New Roman"/>
          <w:sz w:val="20"/>
          <w:szCs w:val="20"/>
          <w:lang w:eastAsia="es-MX"/>
        </w:rPr>
      </w:pPr>
      <w:r w:rsidRPr="00846D6A">
        <w:rPr>
          <w:rFonts w:ascii="Verdana" w:eastAsia="Times New Roman" w:hAnsi="Verdana" w:cs="Times New Roman"/>
          <w:sz w:val="20"/>
          <w:szCs w:val="20"/>
          <w:lang w:eastAsia="es-MX"/>
        </w:rPr>
        <w:t>[…],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A50D353" w14:textId="77777777" w:rsidR="009E262B" w:rsidRPr="00A47E64" w:rsidRDefault="009E262B" w:rsidP="009E262B">
      <w:pPr>
        <w:spacing w:before="100" w:beforeAutospacing="1" w:after="100" w:afterAutospacing="1" w:line="240" w:lineRule="auto"/>
        <w:jc w:val="both"/>
        <w:rPr>
          <w:rFonts w:ascii="Verdana" w:eastAsia="Times New Roman" w:hAnsi="Verdana" w:cs="Times New Roman"/>
          <w:b/>
          <w:bCs/>
          <w:lang w:eastAsia="es-MX"/>
        </w:rPr>
      </w:pPr>
      <w:r w:rsidRPr="00A47E64">
        <w:rPr>
          <w:rFonts w:ascii="Verdana" w:eastAsia="Times New Roman" w:hAnsi="Verdana" w:cs="Times New Roman"/>
          <w:b/>
          <w:bCs/>
          <w:lang w:eastAsia="es-MX"/>
        </w:rPr>
        <w:t>LEY DE GARANTÍAS ELECTORALES – PERSONERÍAS MUNICIPALES – ÓRGANOS DE CONTROL – APLICABILIDAD DE RESTRICCIONES</w:t>
      </w:r>
    </w:p>
    <w:p w14:paraId="59C7D2B8" w14:textId="77777777" w:rsidR="009E262B" w:rsidRPr="00846D6A" w:rsidRDefault="009E262B" w:rsidP="009E262B">
      <w:pPr>
        <w:spacing w:before="100" w:beforeAutospacing="1" w:after="100" w:afterAutospacing="1" w:line="240" w:lineRule="auto"/>
        <w:jc w:val="both"/>
        <w:rPr>
          <w:rFonts w:ascii="Verdana" w:eastAsia="Times New Roman" w:hAnsi="Verdana" w:cs="Times New Roman"/>
          <w:sz w:val="20"/>
          <w:szCs w:val="20"/>
          <w:lang w:eastAsia="es-MX"/>
        </w:rPr>
      </w:pPr>
      <w:r w:rsidRPr="00846D6A">
        <w:rPr>
          <w:rFonts w:ascii="Verdana" w:eastAsia="Times New Roman" w:hAnsi="Verdana" w:cs="Times New Roman"/>
          <w:sz w:val="20"/>
          <w:szCs w:val="20"/>
          <w:lang w:eastAsia="es-MX"/>
        </w:rPr>
        <w:t xml:space="preserve">[…] "Las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diseñada para garantizar la transparencia y la igualdad en la contienda electoral, evitando que cualquier entidad que maneje recursos públicos pueda usarlos para inclinar la balanza política." "En este sentido, la Ley 996 de 2005, establece dos prohibiciones i) de un lado, la prohibición del artículo 33, donde se prohíbe la contratación directa (salvo sus excepciones), durante los cuatro meses previos a la elección </w:t>
      </w:r>
      <w:proofErr w:type="gramStart"/>
      <w:r w:rsidRPr="00846D6A">
        <w:rPr>
          <w:rFonts w:ascii="Verdana" w:eastAsia="Times New Roman" w:hAnsi="Verdana" w:cs="Times New Roman"/>
          <w:sz w:val="20"/>
          <w:szCs w:val="20"/>
          <w:lang w:eastAsia="es-MX"/>
        </w:rPr>
        <w:t>presidencial .</w:t>
      </w:r>
      <w:proofErr w:type="gramEnd"/>
      <w:r w:rsidRPr="00846D6A">
        <w:rPr>
          <w:rFonts w:ascii="Verdana" w:eastAsia="Times New Roman" w:hAnsi="Verdana" w:cs="Times New Roman"/>
          <w:sz w:val="20"/>
          <w:szCs w:val="20"/>
          <w:lang w:eastAsia="es-MX"/>
        </w:rPr>
        <w:t xml:space="preserve"> Esta restricción aplica a ""todas las entidades del Estado"". La Personería Municipal, al ser una entidad estatal y un órgano autónomo de control, está sujeta a esta restricción. </w:t>
      </w:r>
      <w:proofErr w:type="spellStart"/>
      <w:r w:rsidRPr="00846D6A">
        <w:rPr>
          <w:rFonts w:ascii="Verdana" w:eastAsia="Times New Roman" w:hAnsi="Verdana" w:cs="Times New Roman"/>
          <w:sz w:val="20"/>
          <w:szCs w:val="20"/>
          <w:lang w:eastAsia="es-MX"/>
        </w:rPr>
        <w:t>ii</w:t>
      </w:r>
      <w:proofErr w:type="spellEnd"/>
      <w:r w:rsidRPr="00846D6A">
        <w:rPr>
          <w:rFonts w:ascii="Verdana" w:eastAsia="Times New Roman" w:hAnsi="Verdana" w:cs="Times New Roman"/>
          <w:sz w:val="20"/>
          <w:szCs w:val="20"/>
          <w:lang w:eastAsia="es-MX"/>
        </w:rPr>
        <w:t xml:space="preserve">) y de otro lado, se encuentra la prohibición del Parágrafo del Artículo 38, allí se prohíbe la celebración de convenios interadministrativos que ejecuten recursos públicos durante los cuatro meses previos a cualquier tipo de elección nacional o territorial." "Esta prohibición se dirige explícitamente a ""Gobernadores, </w:t>
      </w:r>
      <w:proofErr w:type="gramStart"/>
      <w:r w:rsidRPr="00846D6A">
        <w:rPr>
          <w:rFonts w:ascii="Verdana" w:eastAsia="Times New Roman" w:hAnsi="Verdana" w:cs="Times New Roman"/>
          <w:sz w:val="20"/>
          <w:szCs w:val="20"/>
          <w:lang w:eastAsia="es-MX"/>
        </w:rPr>
        <w:t>Alcaldes</w:t>
      </w:r>
      <w:proofErr w:type="gramEnd"/>
      <w:r w:rsidRPr="00846D6A">
        <w:rPr>
          <w:rFonts w:ascii="Verdana" w:eastAsia="Times New Roman" w:hAnsi="Verdana" w:cs="Times New Roman"/>
          <w:sz w:val="20"/>
          <w:szCs w:val="20"/>
          <w:lang w:eastAsia="es-MX"/>
        </w:rPr>
        <w:t xml:space="preserve"> Municipales y/o Distritales, </w:t>
      </w:r>
      <w:proofErr w:type="gramStart"/>
      <w:r w:rsidRPr="00846D6A">
        <w:rPr>
          <w:rFonts w:ascii="Verdana" w:eastAsia="Times New Roman" w:hAnsi="Verdana" w:cs="Times New Roman"/>
          <w:sz w:val="20"/>
          <w:szCs w:val="20"/>
          <w:lang w:eastAsia="es-MX"/>
        </w:rPr>
        <w:t>Secretarios</w:t>
      </w:r>
      <w:proofErr w:type="gramEnd"/>
      <w:r w:rsidRPr="00846D6A">
        <w:rPr>
          <w:rFonts w:ascii="Verdana" w:eastAsia="Times New Roman" w:hAnsi="Verdana" w:cs="Times New Roman"/>
          <w:sz w:val="20"/>
          <w:szCs w:val="20"/>
          <w:lang w:eastAsia="es-MX"/>
        </w:rPr>
        <w:t xml:space="preserve">, Gerentes y directores de Entidades Descentralizadas"". Aunque el Personero no está en esa lista taxativa, la prohibición recae en dicho cargo al ser el </w:t>
      </w:r>
      <w:proofErr w:type="gramStart"/>
      <w:r w:rsidRPr="00846D6A">
        <w:rPr>
          <w:rFonts w:ascii="Verdana" w:eastAsia="Times New Roman" w:hAnsi="Verdana" w:cs="Times New Roman"/>
          <w:sz w:val="20"/>
          <w:szCs w:val="20"/>
          <w:lang w:eastAsia="es-MX"/>
        </w:rPr>
        <w:t>director ,</w:t>
      </w:r>
      <w:proofErr w:type="gramEnd"/>
      <w:r w:rsidRPr="00846D6A">
        <w:rPr>
          <w:rFonts w:ascii="Verdana" w:eastAsia="Times New Roman" w:hAnsi="Verdana" w:cs="Times New Roman"/>
          <w:sz w:val="20"/>
          <w:szCs w:val="20"/>
          <w:lang w:eastAsia="es-MX"/>
        </w:rPr>
        <w:t xml:space="preserve"> haciendo jurídicamente inviable que la Personería suscriba dichos convenios con ellas durante el periodo restrictivo." "En conclusión, la autonomía de la Personería Municipal frente a la Alcaldía no la exime del cumplimiento de la Ley de Garantías Electorales. Como entidad estatal que maneja recursos públicos y posee la naturaleza de ""órgano autónomo"", la </w:t>
      </w:r>
      <w:r w:rsidRPr="00846D6A">
        <w:rPr>
          <w:rFonts w:ascii="Verdana" w:eastAsia="Times New Roman" w:hAnsi="Verdana" w:cs="Times New Roman"/>
          <w:sz w:val="20"/>
          <w:szCs w:val="20"/>
          <w:lang w:eastAsia="es-MX"/>
        </w:rPr>
        <w:lastRenderedPageBreak/>
        <w:t xml:space="preserve">Personería está plenamente cobijada por las prohibiciones de los artículos 33 (en lo referente a contratación directa en elecciones presidenciales, y la restricción del artículo 38, en lo referente a convenios interadministrativos en toda elección, de la Ley 996 de 2005." </w:t>
      </w:r>
    </w:p>
    <w:p w14:paraId="4DC1FF59" w14:textId="77777777" w:rsidR="009E262B" w:rsidRDefault="009E262B" w:rsidP="00863264">
      <w:pPr>
        <w:spacing w:after="0" w:line="240" w:lineRule="auto"/>
        <w:jc w:val="both"/>
        <w:rPr>
          <w:rFonts w:ascii="Verdana" w:hAnsi="Verdana"/>
        </w:rPr>
      </w:pPr>
    </w:p>
    <w:p w14:paraId="5D81D9B5" w14:textId="77777777" w:rsidR="009E262B" w:rsidRDefault="009E262B" w:rsidP="00863264">
      <w:pPr>
        <w:spacing w:after="0" w:line="240" w:lineRule="auto"/>
        <w:jc w:val="both"/>
        <w:rPr>
          <w:rFonts w:ascii="Verdana" w:hAnsi="Verdana"/>
        </w:rPr>
      </w:pPr>
    </w:p>
    <w:p w14:paraId="19B2CD45" w14:textId="77777777" w:rsidR="009E262B" w:rsidRDefault="009E262B" w:rsidP="00863264">
      <w:pPr>
        <w:spacing w:after="0" w:line="240" w:lineRule="auto"/>
        <w:jc w:val="both"/>
        <w:rPr>
          <w:rFonts w:ascii="Verdana" w:hAnsi="Verdana"/>
        </w:rPr>
      </w:pPr>
    </w:p>
    <w:p w14:paraId="000E794B" w14:textId="77777777" w:rsidR="009E262B" w:rsidRDefault="009E262B" w:rsidP="00863264">
      <w:pPr>
        <w:spacing w:after="0" w:line="240" w:lineRule="auto"/>
        <w:jc w:val="both"/>
        <w:rPr>
          <w:rFonts w:ascii="Verdana" w:hAnsi="Verdana"/>
        </w:rPr>
      </w:pPr>
    </w:p>
    <w:p w14:paraId="00D3CB67" w14:textId="77777777" w:rsidR="009E262B" w:rsidRDefault="009E262B" w:rsidP="00863264">
      <w:pPr>
        <w:spacing w:after="0" w:line="240" w:lineRule="auto"/>
        <w:jc w:val="both"/>
        <w:rPr>
          <w:rFonts w:ascii="Verdana" w:hAnsi="Verdana"/>
        </w:rPr>
      </w:pPr>
    </w:p>
    <w:p w14:paraId="1AF5D059" w14:textId="77777777" w:rsidR="009E262B" w:rsidRDefault="009E262B" w:rsidP="00863264">
      <w:pPr>
        <w:spacing w:after="0" w:line="240" w:lineRule="auto"/>
        <w:jc w:val="both"/>
        <w:rPr>
          <w:rFonts w:ascii="Verdana" w:hAnsi="Verdana"/>
        </w:rPr>
      </w:pPr>
    </w:p>
    <w:p w14:paraId="28CEF19F" w14:textId="77777777" w:rsidR="009E262B" w:rsidRDefault="009E262B" w:rsidP="00863264">
      <w:pPr>
        <w:spacing w:after="0" w:line="240" w:lineRule="auto"/>
        <w:jc w:val="both"/>
        <w:rPr>
          <w:rFonts w:ascii="Verdana" w:hAnsi="Verdana"/>
        </w:rPr>
      </w:pPr>
    </w:p>
    <w:p w14:paraId="05D88DCF" w14:textId="77777777" w:rsidR="009E262B" w:rsidRDefault="009E262B" w:rsidP="00863264">
      <w:pPr>
        <w:spacing w:after="0" w:line="240" w:lineRule="auto"/>
        <w:jc w:val="both"/>
        <w:rPr>
          <w:rFonts w:ascii="Verdana" w:hAnsi="Verdana"/>
        </w:rPr>
      </w:pPr>
    </w:p>
    <w:p w14:paraId="21756BA7" w14:textId="77777777" w:rsidR="009E262B" w:rsidRDefault="009E262B" w:rsidP="00863264">
      <w:pPr>
        <w:spacing w:after="0" w:line="240" w:lineRule="auto"/>
        <w:jc w:val="both"/>
        <w:rPr>
          <w:rFonts w:ascii="Verdana" w:hAnsi="Verdana"/>
        </w:rPr>
      </w:pPr>
    </w:p>
    <w:p w14:paraId="5C1FCBC6" w14:textId="77777777" w:rsidR="009E262B" w:rsidRDefault="009E262B" w:rsidP="00863264">
      <w:pPr>
        <w:spacing w:after="0" w:line="240" w:lineRule="auto"/>
        <w:jc w:val="both"/>
        <w:rPr>
          <w:rFonts w:ascii="Verdana" w:hAnsi="Verdana"/>
        </w:rPr>
      </w:pPr>
    </w:p>
    <w:p w14:paraId="105A7B43" w14:textId="77777777" w:rsidR="009E262B" w:rsidRDefault="009E262B" w:rsidP="00863264">
      <w:pPr>
        <w:spacing w:after="0" w:line="240" w:lineRule="auto"/>
        <w:jc w:val="both"/>
        <w:rPr>
          <w:rFonts w:ascii="Verdana" w:hAnsi="Verdana"/>
        </w:rPr>
      </w:pPr>
    </w:p>
    <w:p w14:paraId="3C1CB6AD" w14:textId="77777777" w:rsidR="009E262B" w:rsidRDefault="009E262B" w:rsidP="00863264">
      <w:pPr>
        <w:spacing w:after="0" w:line="240" w:lineRule="auto"/>
        <w:jc w:val="both"/>
        <w:rPr>
          <w:rFonts w:ascii="Verdana" w:hAnsi="Verdana"/>
        </w:rPr>
      </w:pPr>
    </w:p>
    <w:p w14:paraId="661D218B" w14:textId="77777777" w:rsidR="009E262B" w:rsidRDefault="009E262B" w:rsidP="00863264">
      <w:pPr>
        <w:spacing w:after="0" w:line="240" w:lineRule="auto"/>
        <w:jc w:val="both"/>
        <w:rPr>
          <w:rFonts w:ascii="Verdana" w:hAnsi="Verdana"/>
        </w:rPr>
      </w:pPr>
    </w:p>
    <w:p w14:paraId="447F873D" w14:textId="77777777" w:rsidR="009E262B" w:rsidRDefault="009E262B" w:rsidP="00863264">
      <w:pPr>
        <w:spacing w:after="0" w:line="240" w:lineRule="auto"/>
        <w:jc w:val="both"/>
        <w:rPr>
          <w:rFonts w:ascii="Verdana" w:hAnsi="Verdana"/>
        </w:rPr>
      </w:pPr>
    </w:p>
    <w:p w14:paraId="60307826" w14:textId="77777777" w:rsidR="009E262B" w:rsidRDefault="009E262B" w:rsidP="00863264">
      <w:pPr>
        <w:spacing w:after="0" w:line="240" w:lineRule="auto"/>
        <w:jc w:val="both"/>
        <w:rPr>
          <w:rFonts w:ascii="Verdana" w:hAnsi="Verdana"/>
        </w:rPr>
      </w:pPr>
    </w:p>
    <w:p w14:paraId="0BD35875" w14:textId="77777777" w:rsidR="009E262B" w:rsidRDefault="009E262B" w:rsidP="00863264">
      <w:pPr>
        <w:spacing w:after="0" w:line="240" w:lineRule="auto"/>
        <w:jc w:val="both"/>
        <w:rPr>
          <w:rFonts w:ascii="Verdana" w:hAnsi="Verdana"/>
        </w:rPr>
      </w:pPr>
    </w:p>
    <w:p w14:paraId="6AA9F7EC" w14:textId="77777777" w:rsidR="009E262B" w:rsidRDefault="009E262B" w:rsidP="00863264">
      <w:pPr>
        <w:spacing w:after="0" w:line="240" w:lineRule="auto"/>
        <w:jc w:val="both"/>
        <w:rPr>
          <w:rFonts w:ascii="Verdana" w:hAnsi="Verdana"/>
        </w:rPr>
      </w:pPr>
    </w:p>
    <w:p w14:paraId="2BAF5443" w14:textId="77777777" w:rsidR="009E262B" w:rsidRDefault="009E262B" w:rsidP="00863264">
      <w:pPr>
        <w:spacing w:after="0" w:line="240" w:lineRule="auto"/>
        <w:jc w:val="both"/>
        <w:rPr>
          <w:rFonts w:ascii="Verdana" w:hAnsi="Verdana"/>
        </w:rPr>
      </w:pPr>
    </w:p>
    <w:p w14:paraId="3CBF39E0" w14:textId="77777777" w:rsidR="009E262B" w:rsidRDefault="009E262B" w:rsidP="00863264">
      <w:pPr>
        <w:spacing w:after="0" w:line="240" w:lineRule="auto"/>
        <w:jc w:val="both"/>
        <w:rPr>
          <w:rFonts w:ascii="Verdana" w:hAnsi="Verdana"/>
        </w:rPr>
      </w:pPr>
    </w:p>
    <w:p w14:paraId="419D259D" w14:textId="77777777" w:rsidR="009E262B" w:rsidRDefault="009E262B" w:rsidP="00863264">
      <w:pPr>
        <w:spacing w:after="0" w:line="240" w:lineRule="auto"/>
        <w:jc w:val="both"/>
        <w:rPr>
          <w:rFonts w:ascii="Verdana" w:hAnsi="Verdana"/>
        </w:rPr>
      </w:pPr>
    </w:p>
    <w:p w14:paraId="7FD161A2" w14:textId="77777777" w:rsidR="009E262B" w:rsidRDefault="009E262B" w:rsidP="00863264">
      <w:pPr>
        <w:spacing w:after="0" w:line="240" w:lineRule="auto"/>
        <w:jc w:val="both"/>
        <w:rPr>
          <w:rFonts w:ascii="Verdana" w:hAnsi="Verdana"/>
        </w:rPr>
      </w:pPr>
    </w:p>
    <w:p w14:paraId="4CD5B979" w14:textId="77777777" w:rsidR="009E262B" w:rsidRDefault="009E262B" w:rsidP="00863264">
      <w:pPr>
        <w:spacing w:after="0" w:line="240" w:lineRule="auto"/>
        <w:jc w:val="both"/>
        <w:rPr>
          <w:rFonts w:ascii="Verdana" w:hAnsi="Verdana"/>
        </w:rPr>
      </w:pPr>
    </w:p>
    <w:p w14:paraId="34C99FFF" w14:textId="77777777" w:rsidR="009E262B" w:rsidRDefault="009E262B" w:rsidP="00863264">
      <w:pPr>
        <w:spacing w:after="0" w:line="240" w:lineRule="auto"/>
        <w:jc w:val="both"/>
        <w:rPr>
          <w:rFonts w:ascii="Verdana" w:hAnsi="Verdana"/>
        </w:rPr>
      </w:pPr>
    </w:p>
    <w:p w14:paraId="7C2A7E9B" w14:textId="77777777" w:rsidR="009E262B" w:rsidRDefault="009E262B" w:rsidP="00863264">
      <w:pPr>
        <w:spacing w:after="0" w:line="240" w:lineRule="auto"/>
        <w:jc w:val="both"/>
        <w:rPr>
          <w:rFonts w:ascii="Verdana" w:hAnsi="Verdana"/>
        </w:rPr>
      </w:pPr>
    </w:p>
    <w:p w14:paraId="33E9EE8D" w14:textId="77777777" w:rsidR="009E262B" w:rsidRDefault="009E262B" w:rsidP="00863264">
      <w:pPr>
        <w:spacing w:after="0" w:line="240" w:lineRule="auto"/>
        <w:jc w:val="both"/>
        <w:rPr>
          <w:rFonts w:ascii="Verdana" w:hAnsi="Verdana"/>
        </w:rPr>
      </w:pPr>
    </w:p>
    <w:p w14:paraId="090E7B61" w14:textId="77777777" w:rsidR="009E262B" w:rsidRDefault="009E262B" w:rsidP="00863264">
      <w:pPr>
        <w:spacing w:after="0" w:line="240" w:lineRule="auto"/>
        <w:jc w:val="both"/>
        <w:rPr>
          <w:rFonts w:ascii="Verdana" w:hAnsi="Verdana"/>
        </w:rPr>
      </w:pPr>
    </w:p>
    <w:p w14:paraId="11257D07" w14:textId="77777777" w:rsidR="009E262B" w:rsidRDefault="009E262B" w:rsidP="00863264">
      <w:pPr>
        <w:spacing w:after="0" w:line="240" w:lineRule="auto"/>
        <w:jc w:val="both"/>
        <w:rPr>
          <w:rFonts w:ascii="Verdana" w:hAnsi="Verdana"/>
        </w:rPr>
      </w:pPr>
    </w:p>
    <w:p w14:paraId="5F951E60" w14:textId="77777777" w:rsidR="009E262B" w:rsidRDefault="009E262B" w:rsidP="00863264">
      <w:pPr>
        <w:spacing w:after="0" w:line="240" w:lineRule="auto"/>
        <w:jc w:val="both"/>
        <w:rPr>
          <w:rFonts w:ascii="Verdana" w:hAnsi="Verdana"/>
        </w:rPr>
      </w:pPr>
    </w:p>
    <w:p w14:paraId="074BD455" w14:textId="77777777" w:rsidR="009E262B" w:rsidRDefault="009E262B" w:rsidP="00863264">
      <w:pPr>
        <w:spacing w:after="0" w:line="240" w:lineRule="auto"/>
        <w:jc w:val="both"/>
        <w:rPr>
          <w:rFonts w:ascii="Verdana" w:hAnsi="Verdana"/>
        </w:rPr>
      </w:pPr>
    </w:p>
    <w:p w14:paraId="1D5E8937" w14:textId="77777777" w:rsidR="009E262B" w:rsidRDefault="009E262B" w:rsidP="00863264">
      <w:pPr>
        <w:spacing w:after="0" w:line="240" w:lineRule="auto"/>
        <w:jc w:val="both"/>
        <w:rPr>
          <w:rFonts w:ascii="Verdana" w:hAnsi="Verdana"/>
        </w:rPr>
      </w:pPr>
    </w:p>
    <w:p w14:paraId="5D49DA70" w14:textId="77777777" w:rsidR="00846D6A" w:rsidRDefault="00846D6A" w:rsidP="00863264">
      <w:pPr>
        <w:spacing w:after="0" w:line="240" w:lineRule="auto"/>
        <w:jc w:val="both"/>
        <w:rPr>
          <w:rFonts w:ascii="Verdana" w:hAnsi="Verdana"/>
        </w:rPr>
      </w:pPr>
    </w:p>
    <w:p w14:paraId="46A847A9" w14:textId="77777777" w:rsidR="00846D6A" w:rsidRDefault="00846D6A" w:rsidP="00863264">
      <w:pPr>
        <w:spacing w:after="0" w:line="240" w:lineRule="auto"/>
        <w:jc w:val="both"/>
        <w:rPr>
          <w:rFonts w:ascii="Verdana" w:hAnsi="Verdana"/>
        </w:rPr>
      </w:pPr>
    </w:p>
    <w:p w14:paraId="54DEC86E" w14:textId="77777777" w:rsidR="00846D6A" w:rsidRDefault="00846D6A" w:rsidP="00863264">
      <w:pPr>
        <w:spacing w:after="0" w:line="240" w:lineRule="auto"/>
        <w:jc w:val="both"/>
        <w:rPr>
          <w:rFonts w:ascii="Verdana" w:hAnsi="Verdana"/>
        </w:rPr>
      </w:pPr>
    </w:p>
    <w:p w14:paraId="25352570" w14:textId="77777777" w:rsidR="00846D6A" w:rsidRDefault="00846D6A" w:rsidP="00863264">
      <w:pPr>
        <w:spacing w:after="0" w:line="240" w:lineRule="auto"/>
        <w:jc w:val="both"/>
        <w:rPr>
          <w:rFonts w:ascii="Verdana" w:hAnsi="Verdana"/>
        </w:rPr>
      </w:pPr>
    </w:p>
    <w:p w14:paraId="66B1A519" w14:textId="77777777" w:rsidR="00846D6A" w:rsidRDefault="00846D6A" w:rsidP="00863264">
      <w:pPr>
        <w:spacing w:after="0" w:line="240" w:lineRule="auto"/>
        <w:jc w:val="both"/>
        <w:rPr>
          <w:rFonts w:ascii="Verdana" w:hAnsi="Verdana"/>
        </w:rPr>
      </w:pPr>
    </w:p>
    <w:p w14:paraId="4DE73F4F" w14:textId="77777777" w:rsidR="00846D6A" w:rsidRDefault="00846D6A" w:rsidP="00863264">
      <w:pPr>
        <w:spacing w:after="0" w:line="240" w:lineRule="auto"/>
        <w:jc w:val="both"/>
        <w:rPr>
          <w:rFonts w:ascii="Verdana" w:hAnsi="Verdana"/>
        </w:rPr>
      </w:pPr>
    </w:p>
    <w:p w14:paraId="02FF1ECA" w14:textId="77777777" w:rsidR="00846D6A" w:rsidRDefault="00846D6A" w:rsidP="00863264">
      <w:pPr>
        <w:spacing w:after="0" w:line="240" w:lineRule="auto"/>
        <w:jc w:val="both"/>
        <w:rPr>
          <w:rFonts w:ascii="Verdana" w:hAnsi="Verdana"/>
        </w:rPr>
      </w:pPr>
    </w:p>
    <w:p w14:paraId="7B79B4F8" w14:textId="71F159DE" w:rsidR="009E262B" w:rsidRPr="009E262B" w:rsidRDefault="009E262B" w:rsidP="00863264">
      <w:pPr>
        <w:spacing w:after="0" w:line="240" w:lineRule="auto"/>
        <w:jc w:val="both"/>
        <w:rPr>
          <w:rFonts w:ascii="Verdana" w:eastAsia="Calibri" w:hAnsi="Verdana" w:cs="Arial"/>
          <w:lang w:val="es-ES" w:eastAsia="es-ES"/>
        </w:rPr>
      </w:pPr>
      <w:r>
        <w:rPr>
          <w:noProof/>
        </w:rPr>
        <w:lastRenderedPageBreak/>
        <w:drawing>
          <wp:anchor distT="0" distB="0" distL="0" distR="0" simplePos="0" relativeHeight="251659264" behindDoc="0" locked="0" layoutInCell="1" allowOverlap="1" wp14:anchorId="4CA5890F" wp14:editId="4D1E4615">
            <wp:simplePos x="0" y="0"/>
            <wp:positionH relativeFrom="page">
              <wp:posOffset>4311650</wp:posOffset>
            </wp:positionH>
            <wp:positionV relativeFrom="paragraph">
              <wp:posOffset>130810</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rsidRPr="009E262B">
        <w:rPr>
          <w:rFonts w:ascii="Verdana" w:hAnsi="Verdana"/>
        </w:rPr>
        <w:t>Bogotá</w:t>
      </w:r>
      <w:r w:rsidRPr="009E262B">
        <w:rPr>
          <w:rFonts w:ascii="Verdana" w:hAnsi="Verdana"/>
          <w:spacing w:val="-6"/>
        </w:rPr>
        <w:t xml:space="preserve"> </w:t>
      </w:r>
      <w:r w:rsidRPr="009E262B">
        <w:rPr>
          <w:rFonts w:ascii="Verdana" w:hAnsi="Verdana"/>
        </w:rPr>
        <w:t>D.C.,</w:t>
      </w:r>
      <w:r w:rsidRPr="009E262B">
        <w:rPr>
          <w:rFonts w:ascii="Verdana" w:hAnsi="Verdana"/>
          <w:spacing w:val="2"/>
        </w:rPr>
        <w:t xml:space="preserve"> </w:t>
      </w:r>
      <w:r w:rsidRPr="009E262B">
        <w:rPr>
          <w:rFonts w:ascii="Verdana" w:hAnsi="Verdana"/>
        </w:rPr>
        <w:t>02</w:t>
      </w:r>
      <w:r w:rsidRPr="009E262B">
        <w:rPr>
          <w:rFonts w:ascii="Verdana" w:hAnsi="Verdana"/>
          <w:spacing w:val="-2"/>
        </w:rPr>
        <w:t xml:space="preserve"> </w:t>
      </w:r>
      <w:r w:rsidR="00846D6A" w:rsidRPr="009E262B">
        <w:rPr>
          <w:rFonts w:ascii="Verdana" w:hAnsi="Verdana"/>
        </w:rPr>
        <w:t>marzo</w:t>
      </w:r>
      <w:r w:rsidRPr="009E262B">
        <w:rPr>
          <w:rFonts w:ascii="Verdana" w:hAnsi="Verdana"/>
          <w:spacing w:val="-6"/>
        </w:rPr>
        <w:t xml:space="preserve"> </w:t>
      </w:r>
      <w:r w:rsidRPr="009E262B">
        <w:rPr>
          <w:rFonts w:ascii="Verdana" w:hAnsi="Verdana"/>
          <w:spacing w:val="-4"/>
        </w:rPr>
        <w:t>2026</w:t>
      </w:r>
    </w:p>
    <w:p w14:paraId="05F75742" w14:textId="77777777" w:rsidR="009E262B" w:rsidRDefault="009E262B" w:rsidP="00863264">
      <w:pPr>
        <w:spacing w:after="0" w:line="240" w:lineRule="auto"/>
        <w:jc w:val="both"/>
        <w:rPr>
          <w:rFonts w:ascii="Verdana" w:eastAsia="Calibri" w:hAnsi="Verdana" w:cs="Arial"/>
          <w:lang w:val="es-ES" w:eastAsia="es-ES"/>
        </w:rPr>
      </w:pPr>
    </w:p>
    <w:p w14:paraId="0078FA53" w14:textId="59A42F62" w:rsidR="009E262B" w:rsidRDefault="009E262B" w:rsidP="00863264">
      <w:pPr>
        <w:spacing w:after="0" w:line="240" w:lineRule="auto"/>
        <w:jc w:val="both"/>
        <w:rPr>
          <w:rFonts w:ascii="Verdana" w:eastAsia="Calibri" w:hAnsi="Verdana" w:cs="Arial"/>
          <w:lang w:val="es-ES" w:eastAsia="es-ES"/>
        </w:rPr>
      </w:pPr>
    </w:p>
    <w:p w14:paraId="5713731D" w14:textId="715392C3" w:rsidR="00863264" w:rsidRPr="00B96799" w:rsidRDefault="00863264" w:rsidP="00863264">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2033F9C0" w14:textId="6FCF04F1" w:rsidR="00863264" w:rsidRPr="00B96799" w:rsidRDefault="00863264" w:rsidP="00863264">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Stefany Vanessa Cubillos Guzmán </w:t>
      </w:r>
    </w:p>
    <w:p w14:paraId="050108E7" w14:textId="77777777" w:rsidR="00863264" w:rsidRPr="00B96799" w:rsidRDefault="00863264" w:rsidP="00863264">
      <w:pPr>
        <w:spacing w:after="0" w:line="240" w:lineRule="auto"/>
        <w:rPr>
          <w:rFonts w:ascii="Verdana" w:eastAsia="Calibri" w:hAnsi="Verdana" w:cs="Arial"/>
          <w:u w:val="single"/>
          <w:lang w:val="es-ES" w:eastAsia="es-ES"/>
        </w:rPr>
      </w:pPr>
      <w:r w:rsidRPr="00E91102">
        <w:rPr>
          <w:rFonts w:ascii="Verdana" w:eastAsia="Calibri" w:hAnsi="Verdana" w:cs="Arial"/>
          <w:u w:val="single"/>
          <w:lang w:val="es-ES" w:eastAsia="es-ES"/>
        </w:rPr>
        <w:t>cubillos979@gmail.com</w:t>
      </w:r>
    </w:p>
    <w:p w14:paraId="13BF4AB5" w14:textId="77777777" w:rsidR="00863264" w:rsidRPr="00E91102" w:rsidRDefault="00863264" w:rsidP="00863264">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Baraya, huila </w:t>
      </w:r>
    </w:p>
    <w:p w14:paraId="2CA1AB7E" w14:textId="77777777" w:rsidR="00863264" w:rsidRPr="00593A5F" w:rsidRDefault="00863264" w:rsidP="0086326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63264" w:rsidRPr="00593A5F" w14:paraId="01CC2366" w14:textId="77777777" w:rsidTr="00D05D41">
        <w:trPr>
          <w:trHeight w:val="884"/>
        </w:trPr>
        <w:tc>
          <w:tcPr>
            <w:tcW w:w="2689" w:type="dxa"/>
          </w:tcPr>
          <w:p w14:paraId="513CBAEB" w14:textId="77777777" w:rsidR="00863264" w:rsidRPr="00C00976" w:rsidRDefault="00863264" w:rsidP="00CF4917">
            <w:pPr>
              <w:jc w:val="both"/>
              <w:rPr>
                <w:rFonts w:ascii="Verdana" w:eastAsia="Calibri" w:hAnsi="Verdana" w:cs="Arial"/>
                <w:b/>
                <w:bCs/>
                <w:color w:val="7030A0"/>
                <w:lang w:val="es-ES_tradnl" w:eastAsia="es-ES_tradnl"/>
              </w:rPr>
            </w:pPr>
          </w:p>
        </w:tc>
        <w:tc>
          <w:tcPr>
            <w:tcW w:w="6100" w:type="dxa"/>
          </w:tcPr>
          <w:p w14:paraId="21DBA16A" w14:textId="77777777" w:rsidR="00863264" w:rsidRPr="00C00976" w:rsidRDefault="00863264" w:rsidP="00CF491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xml:space="preserve"> 075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2026</w:t>
            </w:r>
          </w:p>
        </w:tc>
      </w:tr>
      <w:tr w:rsidR="00863264" w:rsidRPr="00E91102" w14:paraId="601DE88A" w14:textId="77777777" w:rsidTr="00D05D41">
        <w:trPr>
          <w:trHeight w:val="884"/>
        </w:trPr>
        <w:tc>
          <w:tcPr>
            <w:tcW w:w="2689" w:type="dxa"/>
          </w:tcPr>
          <w:p w14:paraId="0F76A2E6" w14:textId="77777777" w:rsidR="00863264" w:rsidRPr="00E91102" w:rsidRDefault="00863264" w:rsidP="00CF4917">
            <w:pPr>
              <w:jc w:val="both"/>
              <w:rPr>
                <w:rFonts w:ascii="Verdana" w:eastAsia="Calibri" w:hAnsi="Verdana" w:cs="Arial"/>
                <w:color w:val="000000" w:themeColor="text1"/>
                <w:lang w:val="es-ES_tradnl" w:eastAsia="es-ES_tradnl"/>
              </w:rPr>
            </w:pPr>
            <w:r w:rsidRPr="00E91102">
              <w:rPr>
                <w:rFonts w:ascii="Verdana" w:eastAsia="Calibri" w:hAnsi="Verdana" w:cs="Arial"/>
                <w:b/>
                <w:color w:val="000000" w:themeColor="text1"/>
                <w:lang w:val="es-ES_tradnl" w:eastAsia="es-ES_tradnl"/>
              </w:rPr>
              <w:t>Temas:</w:t>
            </w:r>
            <w:r w:rsidRPr="00E91102">
              <w:rPr>
                <w:rFonts w:ascii="Verdana" w:eastAsia="Calibri" w:hAnsi="Verdana" w:cs="Arial"/>
                <w:color w:val="000000" w:themeColor="text1"/>
                <w:lang w:val="es-ES_tradnl" w:eastAsia="es-ES_tradnl"/>
              </w:rPr>
              <w:t xml:space="preserve">                   </w:t>
            </w:r>
          </w:p>
        </w:tc>
        <w:tc>
          <w:tcPr>
            <w:tcW w:w="6100" w:type="dxa"/>
          </w:tcPr>
          <w:p w14:paraId="555416CA" w14:textId="77777777" w:rsidR="00863264" w:rsidRPr="00E91102" w:rsidRDefault="00863264" w:rsidP="00CF4917">
            <w:pPr>
              <w:spacing w:line="276" w:lineRule="auto"/>
              <w:jc w:val="both"/>
              <w:rPr>
                <w:rFonts w:ascii="Verdana" w:eastAsia="Calibri" w:hAnsi="Verdana" w:cs="Arial"/>
                <w:color w:val="000000" w:themeColor="text1"/>
                <w:lang w:val="es-ES" w:eastAsia="es-ES"/>
              </w:rPr>
            </w:pPr>
            <w:bookmarkStart w:id="0" w:name="OLE_LINK2"/>
            <w:r w:rsidRPr="00E91102">
              <w:rPr>
                <w:rFonts w:ascii="Verdana" w:eastAsia="Calibri" w:hAnsi="Verdana" w:cs="Arial"/>
                <w:color w:val="000000" w:themeColor="text1"/>
                <w:lang w:val="es-ES" w:eastAsia="es-ES"/>
              </w:rPr>
              <w:t xml:space="preserve">LEY DE GARANTÍAS ELECTORALES ‒ Tipos de restricciones ‒ Ámbito temporal / LEY DE GARANTÍAS ELECTORALES ─ Prohibición ‒ Contratación directa ‒ Alcance – </w:t>
            </w:r>
            <w:bookmarkEnd w:id="0"/>
            <w:r w:rsidRPr="00E91102">
              <w:rPr>
                <w:rFonts w:ascii="Verdana" w:hAnsi="Verdana"/>
                <w:color w:val="000000" w:themeColor="text1"/>
              </w:rPr>
              <w:t>PERSONERÍAS MUNICIPALES</w:t>
            </w:r>
          </w:p>
          <w:p w14:paraId="15FB2DEF" w14:textId="77777777" w:rsidR="00863264" w:rsidRPr="00E91102" w:rsidRDefault="00863264" w:rsidP="00CF4917">
            <w:pPr>
              <w:spacing w:line="276" w:lineRule="auto"/>
              <w:jc w:val="both"/>
              <w:rPr>
                <w:rFonts w:ascii="Verdana" w:eastAsia="Calibri" w:hAnsi="Verdana" w:cs="Arial"/>
                <w:color w:val="000000" w:themeColor="text1"/>
                <w:lang w:val="es-ES" w:eastAsia="es-ES"/>
              </w:rPr>
            </w:pPr>
          </w:p>
        </w:tc>
      </w:tr>
      <w:tr w:rsidR="00863264" w:rsidRPr="00E91102" w14:paraId="7CD4B497" w14:textId="77777777" w:rsidTr="00D05D41">
        <w:tc>
          <w:tcPr>
            <w:tcW w:w="2689" w:type="dxa"/>
          </w:tcPr>
          <w:p w14:paraId="766ED13E" w14:textId="77777777" w:rsidR="00863264" w:rsidRPr="00E91102" w:rsidRDefault="00863264" w:rsidP="00CF4917">
            <w:pPr>
              <w:jc w:val="both"/>
              <w:rPr>
                <w:rFonts w:ascii="Verdana" w:eastAsia="Calibri" w:hAnsi="Verdana" w:cs="Arial"/>
                <w:b/>
                <w:color w:val="000000" w:themeColor="text1"/>
                <w:lang w:val="es-ES_tradnl" w:eastAsia="es-ES_tradnl"/>
              </w:rPr>
            </w:pPr>
            <w:r w:rsidRPr="00E91102">
              <w:rPr>
                <w:rFonts w:ascii="Verdana" w:eastAsia="Calibri" w:hAnsi="Verdana" w:cs="Arial"/>
                <w:b/>
                <w:color w:val="000000" w:themeColor="text1"/>
                <w:lang w:val="es-ES_tradnl" w:eastAsia="es-ES_tradnl"/>
              </w:rPr>
              <w:t>Radicación:</w:t>
            </w:r>
            <w:r w:rsidRPr="00E91102">
              <w:rPr>
                <w:rFonts w:ascii="Verdana" w:eastAsia="Calibri" w:hAnsi="Verdana" w:cs="Arial"/>
                <w:color w:val="000000" w:themeColor="text1"/>
                <w:lang w:val="es-ES_tradnl" w:eastAsia="es-ES_tradnl"/>
              </w:rPr>
              <w:t xml:space="preserve">               </w:t>
            </w:r>
          </w:p>
        </w:tc>
        <w:tc>
          <w:tcPr>
            <w:tcW w:w="6100" w:type="dxa"/>
          </w:tcPr>
          <w:p w14:paraId="145E32EF" w14:textId="77777777" w:rsidR="00863264" w:rsidRPr="00E91102" w:rsidRDefault="00863264" w:rsidP="00CF4917">
            <w:pPr>
              <w:jc w:val="both"/>
              <w:rPr>
                <w:rFonts w:ascii="Verdana" w:eastAsia="Calibri" w:hAnsi="Verdana" w:cs="Arial"/>
                <w:color w:val="000000" w:themeColor="text1"/>
                <w:lang w:val="es-ES_tradnl" w:eastAsia="es-ES_tradnl"/>
              </w:rPr>
            </w:pPr>
            <w:r w:rsidRPr="00E91102">
              <w:rPr>
                <w:rFonts w:ascii="Verdana" w:eastAsia="Calibri" w:hAnsi="Verdana" w:cs="Arial"/>
                <w:color w:val="000000" w:themeColor="text1"/>
                <w:lang w:val="es-ES_tradnl" w:eastAsia="es-ES_tradnl"/>
              </w:rPr>
              <w:t xml:space="preserve">Respuesta a consulta con radicado No. </w:t>
            </w:r>
            <w:r w:rsidRPr="00E91102">
              <w:rPr>
                <w:rFonts w:ascii="Verdana" w:hAnsi="Verdana" w:cs="Segoe UI"/>
                <w:color w:val="000000" w:themeColor="text1"/>
                <w:shd w:val="clear" w:color="auto" w:fill="FFFFFF"/>
              </w:rPr>
              <w:t>1_2026_01_21_000608</w:t>
            </w:r>
          </w:p>
        </w:tc>
      </w:tr>
    </w:tbl>
    <w:p w14:paraId="072106C9" w14:textId="77777777" w:rsidR="00863264" w:rsidRPr="00593A5F" w:rsidRDefault="00863264" w:rsidP="00863264">
      <w:pPr>
        <w:spacing w:after="0" w:line="240" w:lineRule="auto"/>
        <w:jc w:val="both"/>
        <w:rPr>
          <w:rFonts w:ascii="Verdana" w:eastAsia="Calibri" w:hAnsi="Verdana" w:cs="Arial"/>
          <w:color w:val="000000"/>
          <w:lang w:val="es-ES_tradnl" w:eastAsia="es-ES_tradnl"/>
        </w:rPr>
      </w:pPr>
    </w:p>
    <w:p w14:paraId="190DFF26" w14:textId="77777777" w:rsidR="00863264" w:rsidRPr="00593A5F" w:rsidRDefault="00863264" w:rsidP="00863264">
      <w:pPr>
        <w:spacing w:after="0" w:line="240" w:lineRule="auto"/>
        <w:jc w:val="both"/>
        <w:rPr>
          <w:rFonts w:ascii="Verdana" w:eastAsia="Calibri" w:hAnsi="Verdana" w:cs="Arial"/>
          <w:color w:val="000000"/>
          <w:lang w:val="es-ES_tradnl" w:eastAsia="es-ES_tradnl"/>
        </w:rPr>
      </w:pPr>
    </w:p>
    <w:p w14:paraId="49021C23" w14:textId="77777777" w:rsidR="00863264" w:rsidRPr="00E91102" w:rsidRDefault="00863264" w:rsidP="00863264">
      <w:pPr>
        <w:spacing w:after="0" w:line="276" w:lineRule="auto"/>
        <w:jc w:val="both"/>
        <w:rPr>
          <w:rFonts w:ascii="Verdana" w:eastAsia="Calibri" w:hAnsi="Verdana" w:cs="Arial"/>
          <w:color w:val="000000" w:themeColor="text1"/>
          <w:lang w:val="es-ES" w:eastAsia="es-ES"/>
        </w:rPr>
      </w:pPr>
      <w:r w:rsidRPr="00E91102">
        <w:rPr>
          <w:rFonts w:ascii="Verdana" w:eastAsia="Calibri" w:hAnsi="Verdana" w:cs="Arial"/>
          <w:color w:val="000000" w:themeColor="text1"/>
          <w:lang w:val="es-ES" w:eastAsia="es-ES"/>
        </w:rPr>
        <w:t>Estimada señora Cubillos:</w:t>
      </w:r>
    </w:p>
    <w:p w14:paraId="70FE418E" w14:textId="77777777" w:rsidR="00863264" w:rsidRDefault="00863264" w:rsidP="0086326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25D26E" w14:textId="18D46A8A" w:rsidR="00863264" w:rsidRPr="00593A5F" w:rsidRDefault="00863264" w:rsidP="00863264">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la Resolución</w:t>
      </w:r>
      <w:r w:rsidR="00CF5024">
        <w:rPr>
          <w:rFonts w:ascii="Verdana" w:hAnsi="Verdana" w:cs="Arial"/>
        </w:rPr>
        <w:t xml:space="preserve"> 469</w:t>
      </w:r>
      <w:r w:rsidRPr="00593A5F">
        <w:rPr>
          <w:rFonts w:ascii="Verdana" w:hAnsi="Verdana" w:cs="Arial"/>
        </w:rPr>
        <w:t xml:space="preserve"> de 20</w:t>
      </w:r>
      <w:r w:rsidR="00CF5024">
        <w:rPr>
          <w:rFonts w:ascii="Verdana" w:hAnsi="Verdana" w:cs="Arial"/>
        </w:rPr>
        <w:t>25</w:t>
      </w:r>
      <w:r w:rsidRPr="00593A5F">
        <w:rPr>
          <w:rFonts w:ascii="Verdana" w:hAnsi="Verdana" w:cs="Arial"/>
        </w:rPr>
        <w:t xml:space="preserve">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E91102">
        <w:rPr>
          <w:rFonts w:ascii="Verdana" w:eastAsia="Calibri" w:hAnsi="Verdana" w:cs="Arial"/>
          <w:color w:val="000000" w:themeColor="text1"/>
          <w:lang w:val="es-ES" w:eastAsia="es-ES"/>
        </w:rPr>
        <w:t xml:space="preserve">consulta de fecha 21 de enero de 2026, en la cual manifiesta lo siguiente: </w:t>
      </w:r>
    </w:p>
    <w:p w14:paraId="7706AABD" w14:textId="77777777" w:rsidR="00863264" w:rsidRPr="00272A7B" w:rsidRDefault="00863264" w:rsidP="00863264">
      <w:pPr>
        <w:pStyle w:val="Prrafodelista"/>
        <w:tabs>
          <w:tab w:val="left" w:pos="142"/>
          <w:tab w:val="left" w:pos="284"/>
        </w:tabs>
        <w:spacing w:line="276" w:lineRule="auto"/>
        <w:ind w:left="0"/>
        <w:jc w:val="both"/>
        <w:rPr>
          <w:rFonts w:ascii="Verdana" w:eastAsia="Century Gothic" w:hAnsi="Verdana" w:cs="Century Gothic"/>
          <w:b/>
          <w:bCs/>
        </w:rPr>
      </w:pPr>
    </w:p>
    <w:p w14:paraId="55D0FA43" w14:textId="77777777" w:rsidR="00863264" w:rsidRPr="00E91102" w:rsidRDefault="00863264" w:rsidP="00863264">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E91102">
        <w:rPr>
          <w:rFonts w:ascii="Verdana" w:eastAsia="Century Gothic" w:hAnsi="Verdana" w:cs="Century Gothic"/>
          <w:color w:val="000000" w:themeColor="text1"/>
          <w:sz w:val="20"/>
          <w:szCs w:val="20"/>
          <w:lang w:val="es-ES"/>
        </w:rPr>
        <w:t>“</w:t>
      </w:r>
      <w:bookmarkEnd w:id="1"/>
      <w:r w:rsidRPr="00E91102">
        <w:rPr>
          <w:rFonts w:ascii="Verdana" w:eastAsia="Century Gothic" w:hAnsi="Verdana" w:cs="Century Gothic"/>
          <w:color w:val="000000" w:themeColor="text1"/>
          <w:sz w:val="20"/>
          <w:szCs w:val="20"/>
          <w:lang w:val="es-ES"/>
        </w:rPr>
        <w:t>La entidad que realiza la consulta es la Personería Municipal de Baraya, la cual es una entidad de pequeña estructura administrativa y que, de manera ordinaria, celebra aproximadamente cinco (5) contratos al año, necesarios para el cumplimiento de sus funciones misionales.</w:t>
      </w:r>
    </w:p>
    <w:p w14:paraId="4D1DC1DE" w14:textId="77777777" w:rsidR="00863264" w:rsidRPr="00E91102" w:rsidRDefault="00863264" w:rsidP="00863264">
      <w:pPr>
        <w:spacing w:after="0" w:line="240" w:lineRule="auto"/>
        <w:ind w:left="709" w:right="709"/>
        <w:jc w:val="both"/>
        <w:rPr>
          <w:rFonts w:ascii="Verdana" w:eastAsia="Century Gothic" w:hAnsi="Verdana" w:cs="Century Gothic"/>
          <w:color w:val="000000" w:themeColor="text1"/>
          <w:sz w:val="20"/>
          <w:szCs w:val="20"/>
          <w:lang w:val="es-ES"/>
        </w:rPr>
      </w:pPr>
    </w:p>
    <w:p w14:paraId="09A34036" w14:textId="77777777" w:rsidR="00863264" w:rsidRPr="00E91102" w:rsidRDefault="00863264" w:rsidP="00863264">
      <w:pPr>
        <w:spacing w:after="0" w:line="240" w:lineRule="auto"/>
        <w:ind w:left="709" w:right="709"/>
        <w:jc w:val="both"/>
        <w:rPr>
          <w:rFonts w:ascii="Verdana" w:eastAsia="Century Gothic" w:hAnsi="Verdana" w:cs="Century Gothic"/>
          <w:color w:val="000000" w:themeColor="text1"/>
          <w:sz w:val="20"/>
          <w:szCs w:val="20"/>
          <w:lang w:val="es-ES"/>
        </w:rPr>
      </w:pPr>
      <w:r w:rsidRPr="00E91102">
        <w:rPr>
          <w:rFonts w:ascii="Verdana" w:eastAsia="Century Gothic" w:hAnsi="Verdana" w:cs="Century Gothic"/>
          <w:color w:val="000000" w:themeColor="text1"/>
          <w:sz w:val="20"/>
          <w:szCs w:val="20"/>
          <w:lang w:val="es-ES"/>
        </w:rPr>
        <w:t>En este sentido, solicitamos orientación sobre si, en calidad de personería municipal, nos encontramos obligados a abstenernos de celebrar nuevos contratos durante el mes de febrero y los meses siguientes, o si la restricción aplica de manera general independientemente del tamaño de la entidad y del número de contratos que se suscriban anualmente.</w:t>
      </w:r>
    </w:p>
    <w:p w14:paraId="56E313EF" w14:textId="77777777" w:rsidR="00863264" w:rsidRPr="00E91102" w:rsidRDefault="00863264" w:rsidP="00863264">
      <w:pPr>
        <w:spacing w:after="0" w:line="240" w:lineRule="auto"/>
        <w:ind w:left="709" w:right="709"/>
        <w:jc w:val="both"/>
        <w:rPr>
          <w:rFonts w:ascii="Verdana" w:eastAsia="Century Gothic" w:hAnsi="Verdana" w:cs="Century Gothic"/>
          <w:color w:val="000000" w:themeColor="text1"/>
          <w:sz w:val="20"/>
          <w:szCs w:val="20"/>
          <w:lang w:val="es-ES"/>
        </w:rPr>
      </w:pPr>
    </w:p>
    <w:p w14:paraId="60809A21" w14:textId="77777777" w:rsidR="00863264" w:rsidRPr="00E91102" w:rsidRDefault="00863264" w:rsidP="00863264">
      <w:pPr>
        <w:spacing w:after="0" w:line="240" w:lineRule="auto"/>
        <w:ind w:left="709" w:right="709"/>
        <w:jc w:val="both"/>
        <w:rPr>
          <w:rFonts w:ascii="Verdana" w:eastAsia="Century Gothic" w:hAnsi="Verdana" w:cs="Century Gothic"/>
          <w:color w:val="000000" w:themeColor="text1"/>
          <w:sz w:val="20"/>
          <w:szCs w:val="20"/>
          <w:lang w:val="es-ES"/>
        </w:rPr>
      </w:pPr>
      <w:r w:rsidRPr="00E91102">
        <w:rPr>
          <w:rFonts w:ascii="Verdana" w:eastAsia="Century Gothic" w:hAnsi="Verdana" w:cs="Century Gothic"/>
          <w:color w:val="000000" w:themeColor="text1"/>
          <w:sz w:val="20"/>
          <w:szCs w:val="20"/>
          <w:lang w:val="es-ES"/>
        </w:rPr>
        <w:lastRenderedPageBreak/>
        <w:t>Así mismo, agradeceríamos se nos indique si existe alguna excepción que permita la celebración de contratos indispensables para el normal funcionamiento de la entidad, conforme a lo establecido en la normatividad vigente”.</w:t>
      </w:r>
    </w:p>
    <w:p w14:paraId="40A5C9D1" w14:textId="77777777" w:rsidR="00863264" w:rsidRPr="00593A5F" w:rsidRDefault="00863264" w:rsidP="00863264">
      <w:pPr>
        <w:pStyle w:val="Prrafodelista"/>
        <w:tabs>
          <w:tab w:val="left" w:pos="142"/>
          <w:tab w:val="left" w:pos="284"/>
        </w:tabs>
        <w:spacing w:line="276" w:lineRule="auto"/>
        <w:ind w:left="0"/>
        <w:jc w:val="both"/>
        <w:rPr>
          <w:rFonts w:ascii="Verdana" w:eastAsia="Century Gothic" w:hAnsi="Verdana" w:cs="Century Gothic"/>
          <w:b/>
          <w:bCs/>
        </w:rPr>
      </w:pPr>
    </w:p>
    <w:p w14:paraId="333C2AFF" w14:textId="77777777" w:rsidR="00863264" w:rsidRDefault="00863264" w:rsidP="00863264">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64A4AD6" w14:textId="77777777" w:rsidR="00863264" w:rsidRDefault="00863264" w:rsidP="0086326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w:t>
      </w:r>
    </w:p>
    <w:p w14:paraId="0B25B130" w14:textId="77777777" w:rsidR="00863264" w:rsidRPr="00593A5F" w:rsidRDefault="00863264" w:rsidP="00863264">
      <w:pPr>
        <w:spacing w:after="0" w:line="276" w:lineRule="auto"/>
        <w:ind w:firstLine="709"/>
        <w:jc w:val="both"/>
        <w:rPr>
          <w:rFonts w:ascii="Verdana" w:eastAsia="Calibri" w:hAnsi="Verdana" w:cs="Arial"/>
          <w:color w:val="000000"/>
          <w:lang w:val="es-ES" w:eastAsia="es-ES"/>
        </w:rPr>
      </w:pPr>
    </w:p>
    <w:p w14:paraId="400B2FD1" w14:textId="77777777" w:rsidR="00863264" w:rsidRPr="00593A5F" w:rsidRDefault="00863264" w:rsidP="0086326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836334E" w14:textId="77777777" w:rsidR="00863264" w:rsidRPr="00593A5F" w:rsidRDefault="00863264" w:rsidP="00863264">
      <w:pPr>
        <w:tabs>
          <w:tab w:val="left" w:pos="426"/>
        </w:tabs>
        <w:spacing w:after="0" w:line="276" w:lineRule="auto"/>
        <w:jc w:val="both"/>
        <w:rPr>
          <w:rFonts w:ascii="Verdana" w:eastAsia="Century Gothic" w:hAnsi="Verdana" w:cs="Century Gothic"/>
          <w:lang w:val="es-ES"/>
        </w:rPr>
      </w:pPr>
    </w:p>
    <w:p w14:paraId="225AEAAA" w14:textId="77777777" w:rsidR="00863264" w:rsidRPr="009E35F8" w:rsidRDefault="00863264" w:rsidP="00863264">
      <w:pPr>
        <w:spacing w:after="0" w:line="276" w:lineRule="auto"/>
        <w:jc w:val="both"/>
        <w:rPr>
          <w:rFonts w:ascii="Verdana" w:eastAsia="Century Gothic" w:hAnsi="Verdana" w:cs="Century Gothic"/>
          <w:color w:val="000000" w:themeColor="text1"/>
        </w:rPr>
      </w:pPr>
      <w:r w:rsidRPr="1F9252E4">
        <w:rPr>
          <w:rFonts w:ascii="Verdana" w:eastAsia="Century Gothic" w:hAnsi="Verdana" w:cs="Century Gothic"/>
        </w:rPr>
        <w:t xml:space="preserve">De acuerdo con el contenido de su solicitud, esta Agencia resolverá el siguiente problema jurídico: </w:t>
      </w:r>
      <w:r w:rsidRPr="009E35F8">
        <w:rPr>
          <w:rFonts w:ascii="Verdana" w:eastAsia="Century Gothic" w:hAnsi="Verdana" w:cs="Century Gothic"/>
          <w:color w:val="000000" w:themeColor="text1"/>
        </w:rPr>
        <w:t>¿</w:t>
      </w:r>
      <w:r w:rsidRPr="009E35F8">
        <w:rPr>
          <w:rFonts w:ascii="Verdana" w:hAnsi="Verdana"/>
          <w:color w:val="000000" w:themeColor="text1"/>
        </w:rPr>
        <w:t>Deben las Personerías Municipales, en su calidad de órganos de control, acogerse a las prohibiciones de contratación directa y celebración de convenios interadministrativos contenidas en la Ley de Garantías Electorales?</w:t>
      </w:r>
    </w:p>
    <w:p w14:paraId="14E93F7F" w14:textId="77777777" w:rsidR="00863264" w:rsidRPr="00593A5F" w:rsidRDefault="00863264" w:rsidP="00863264">
      <w:pPr>
        <w:spacing w:after="0" w:line="276" w:lineRule="auto"/>
        <w:jc w:val="both"/>
        <w:rPr>
          <w:rFonts w:ascii="Verdana" w:eastAsia="Century Gothic" w:hAnsi="Verdana" w:cs="Century Gothic"/>
        </w:rPr>
      </w:pPr>
    </w:p>
    <w:p w14:paraId="5335A667" w14:textId="77777777" w:rsidR="00863264" w:rsidRPr="00916F23" w:rsidRDefault="00863264" w:rsidP="00863264">
      <w:pPr>
        <w:spacing w:after="0" w:line="276" w:lineRule="auto"/>
        <w:jc w:val="both"/>
        <w:rPr>
          <w:rFonts w:ascii="Verdana" w:eastAsia="Calibri" w:hAnsi="Verdana" w:cs="Arial"/>
          <w:color w:val="7030A0"/>
        </w:rPr>
      </w:pPr>
    </w:p>
    <w:p w14:paraId="4C3DB142" w14:textId="77777777" w:rsidR="00863264" w:rsidRPr="00593A5F" w:rsidRDefault="00863264" w:rsidP="0086326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5C603C5" w14:textId="77777777" w:rsidR="00863264" w:rsidRPr="00593A5F" w:rsidRDefault="00863264" w:rsidP="0086326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63264" w:rsidRPr="00593A5F" w14:paraId="0DEA5824" w14:textId="77777777" w:rsidTr="00CF4917">
        <w:tc>
          <w:tcPr>
            <w:tcW w:w="8828" w:type="dxa"/>
          </w:tcPr>
          <w:p w14:paraId="488B91C1" w14:textId="77777777" w:rsidR="00863264" w:rsidRDefault="00863264" w:rsidP="00CF4917">
            <w:pPr>
              <w:spacing w:before="120" w:after="120" w:line="276" w:lineRule="auto"/>
              <w:jc w:val="both"/>
              <w:rPr>
                <w:rFonts w:ascii="Verdana" w:eastAsia="Times New Roman" w:hAnsi="Verdana" w:cs="Arial"/>
                <w:lang w:eastAsia="x-none"/>
              </w:rPr>
            </w:pPr>
            <w:r>
              <w:rPr>
                <w:rFonts w:ascii="Verdana" w:eastAsia="Times New Roman" w:hAnsi="Verdana" w:cs="Times New Roman"/>
                <w:lang w:val="es-ES" w:eastAsia="es-MX"/>
              </w:rPr>
              <w:t>L</w:t>
            </w:r>
            <w:r w:rsidRPr="00805B33">
              <w:rPr>
                <w:rFonts w:ascii="Verdana" w:eastAsia="Times New Roman" w:hAnsi="Verdana" w:cs="Times New Roman"/>
                <w:lang w:eastAsia="es-MX"/>
              </w:rPr>
              <w:t xml:space="preserve">as Personerías son órganos de control como lo enuncia el artículo 118 de la Constitución Política, que integran el Ministerio Público. Si bien gozan de autonomía administrativa y presupuestal, según la Ley 136 de 1994, artículo </w:t>
            </w:r>
            <w:r w:rsidRPr="00805B33">
              <w:rPr>
                <w:rFonts w:ascii="Verdana" w:eastAsia="Times New Roman" w:hAnsi="Verdana" w:cs="Times New Roman"/>
                <w:lang w:eastAsia="es-MX"/>
              </w:rPr>
              <w:lastRenderedPageBreak/>
              <w:t xml:space="preserve">168, y no son dependencias de la Alcaldía Municipal, la Ley de Garantías fue diseñada para garantizar la transparencia y la igualdad en la contienda electoral, evitando que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entidad que maneje recursos públicos pueda usarlos para inclinar la balanza política.</w:t>
            </w:r>
          </w:p>
          <w:p w14:paraId="2D637640" w14:textId="77777777" w:rsidR="00863264" w:rsidRDefault="00863264" w:rsidP="00CF4917">
            <w:pPr>
              <w:spacing w:before="120" w:after="120" w:line="276" w:lineRule="auto"/>
              <w:ind w:firstLine="708"/>
              <w:jc w:val="both"/>
              <w:rPr>
                <w:rFonts w:ascii="Verdana" w:eastAsia="Times New Roman" w:hAnsi="Verdana" w:cs="Arial"/>
                <w:lang w:eastAsia="x-none"/>
              </w:rPr>
            </w:pPr>
            <w:r>
              <w:rPr>
                <w:rFonts w:ascii="Verdana" w:eastAsia="Times New Roman" w:hAnsi="Verdana" w:cs="Times New Roman"/>
                <w:lang w:eastAsia="es-MX"/>
              </w:rPr>
              <w:t>En este sentido</w:t>
            </w:r>
            <w:r w:rsidRPr="00805B33">
              <w:rPr>
                <w:rFonts w:ascii="Verdana" w:eastAsia="Times New Roman" w:hAnsi="Verdana" w:cs="Times New Roman"/>
                <w:lang w:eastAsia="es-MX"/>
              </w:rPr>
              <w:t>, la Ley 996 de 2005</w:t>
            </w:r>
            <w:r>
              <w:rPr>
                <w:rFonts w:ascii="Verdana" w:eastAsia="Times New Roman" w:hAnsi="Verdana" w:cs="Times New Roman"/>
                <w:lang w:eastAsia="es-MX"/>
              </w:rPr>
              <w:t xml:space="preserve">, establece dos prohibiciones </w:t>
            </w:r>
            <w:r w:rsidRPr="009816B6">
              <w:rPr>
                <w:rFonts w:ascii="Verdana" w:eastAsia="Times New Roman" w:hAnsi="Verdana" w:cs="Times New Roman"/>
                <w:i/>
                <w:iCs/>
                <w:lang w:eastAsia="es-MX"/>
              </w:rPr>
              <w:t>i)</w:t>
            </w:r>
            <w:r>
              <w:rPr>
                <w:rFonts w:ascii="Verdana" w:eastAsia="Times New Roman" w:hAnsi="Verdana" w:cs="Times New Roman"/>
                <w:lang w:eastAsia="es-MX"/>
              </w:rPr>
              <w:t xml:space="preserve"> de un lado, la p</w:t>
            </w:r>
            <w:r w:rsidRPr="00805B33">
              <w:rPr>
                <w:rFonts w:ascii="Verdana" w:eastAsia="Times New Roman" w:hAnsi="Verdana" w:cs="Times New Roman"/>
                <w:lang w:eastAsia="es-MX"/>
              </w:rPr>
              <w:t xml:space="preserve">rohibición del </w:t>
            </w:r>
            <w:r>
              <w:rPr>
                <w:rFonts w:ascii="Verdana" w:eastAsia="Times New Roman" w:hAnsi="Verdana" w:cs="Times New Roman"/>
                <w:lang w:eastAsia="es-MX"/>
              </w:rPr>
              <w:t>a</w:t>
            </w:r>
            <w:r w:rsidRPr="00805B33">
              <w:rPr>
                <w:rFonts w:ascii="Verdana" w:eastAsia="Times New Roman" w:hAnsi="Verdana" w:cs="Times New Roman"/>
                <w:lang w:eastAsia="es-MX"/>
              </w:rPr>
              <w:t>rtículo 33</w:t>
            </w:r>
            <w:r>
              <w:rPr>
                <w:rFonts w:ascii="Verdana" w:eastAsia="Times New Roman" w:hAnsi="Verdana" w:cs="Times New Roman"/>
                <w:lang w:eastAsia="es-MX"/>
              </w:rPr>
              <w:t xml:space="preserve">, donde se </w:t>
            </w:r>
            <w:r w:rsidRPr="00805B33">
              <w:rPr>
                <w:rFonts w:ascii="Verdana" w:eastAsia="Times New Roman" w:hAnsi="Verdana" w:cs="Times New Roman"/>
                <w:lang w:eastAsia="es-MX"/>
              </w:rPr>
              <w:t>prohíbe la contratación directa (salvo sus excepciones)</w:t>
            </w:r>
            <w:r>
              <w:rPr>
                <w:rFonts w:ascii="Verdana" w:eastAsia="Times New Roman" w:hAnsi="Verdana" w:cs="Times New Roman"/>
                <w:lang w:eastAsia="es-MX"/>
              </w:rPr>
              <w:t>,</w:t>
            </w:r>
            <w:r w:rsidRPr="00805B33">
              <w:rPr>
                <w:rFonts w:ascii="Verdana" w:eastAsia="Times New Roman" w:hAnsi="Verdana" w:cs="Times New Roman"/>
                <w:lang w:eastAsia="es-MX"/>
              </w:rPr>
              <w:t xml:space="preserve"> durante los cuatro meses previos a la elección </w:t>
            </w:r>
            <w:r w:rsidRPr="00805B33">
              <w:rPr>
                <w:rFonts w:ascii="Verdana" w:eastAsia="Times New Roman" w:hAnsi="Verdana" w:cs="Times New Roman"/>
                <w:i/>
                <w:iCs/>
                <w:lang w:eastAsia="es-MX"/>
              </w:rPr>
              <w:t>presidencial</w:t>
            </w:r>
            <w:r w:rsidRPr="00805B33">
              <w:rPr>
                <w:rFonts w:ascii="Verdana" w:eastAsia="Times New Roman" w:hAnsi="Verdana" w:cs="Times New Roman"/>
                <w:lang w:eastAsia="es-MX"/>
              </w:rPr>
              <w:t>. Esta restricción aplica a "todas las entidades del Estado". La Personería Municipal, al ser una entidad estatal y un órgano autónomo de control, está sujeta a esta restricción.</w:t>
            </w:r>
            <w:r>
              <w:rPr>
                <w:rFonts w:ascii="Verdana" w:eastAsia="Times New Roman" w:hAnsi="Verdana" w:cs="Times New Roman"/>
                <w:lang w:eastAsia="es-MX"/>
              </w:rPr>
              <w:t xml:space="preserve"> </w:t>
            </w:r>
            <w:proofErr w:type="spellStart"/>
            <w:r w:rsidRPr="009816B6">
              <w:rPr>
                <w:rFonts w:ascii="Verdana" w:eastAsia="Times New Roman" w:hAnsi="Verdana" w:cs="Times New Roman"/>
                <w:i/>
                <w:iCs/>
                <w:lang w:eastAsia="es-MX"/>
              </w:rPr>
              <w:t>ii</w:t>
            </w:r>
            <w:proofErr w:type="spellEnd"/>
            <w:r w:rsidRPr="009816B6">
              <w:rPr>
                <w:rFonts w:ascii="Verdana" w:eastAsia="Times New Roman" w:hAnsi="Verdana" w:cs="Times New Roman"/>
                <w:i/>
                <w:iCs/>
                <w:lang w:eastAsia="es-MX"/>
              </w:rPr>
              <w:t>)</w:t>
            </w:r>
            <w:r>
              <w:rPr>
                <w:rFonts w:ascii="Verdana" w:eastAsia="Times New Roman" w:hAnsi="Verdana" w:cs="Times New Roman"/>
                <w:lang w:eastAsia="es-MX"/>
              </w:rPr>
              <w:t xml:space="preserve"> y de otro lado, se encuentra la p</w:t>
            </w:r>
            <w:r w:rsidRPr="00805B33">
              <w:rPr>
                <w:rFonts w:ascii="Verdana" w:eastAsia="Times New Roman" w:hAnsi="Verdana" w:cs="Times New Roman"/>
                <w:lang w:eastAsia="es-MX"/>
              </w:rPr>
              <w:t>rohibición del Parágrafo del Artículo 38</w:t>
            </w:r>
            <w:r>
              <w:rPr>
                <w:rFonts w:ascii="Verdana" w:eastAsia="Times New Roman" w:hAnsi="Verdana" w:cs="Times New Roman"/>
                <w:lang w:eastAsia="es-MX"/>
              </w:rPr>
              <w:t xml:space="preserve">, allí se </w:t>
            </w:r>
            <w:r w:rsidRPr="00805B33">
              <w:rPr>
                <w:rFonts w:ascii="Verdana" w:eastAsia="Times New Roman" w:hAnsi="Verdana" w:cs="Times New Roman"/>
                <w:lang w:eastAsia="es-MX"/>
              </w:rPr>
              <w:t xml:space="preserve">prohíbe la celebración de convenios interadministrativos que ejecuten recursos públicos durante los cuatro meses previos a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tipo de elección nacional o territorial. </w:t>
            </w:r>
          </w:p>
          <w:p w14:paraId="5BBC469F" w14:textId="77777777" w:rsidR="00863264" w:rsidRDefault="00863264" w:rsidP="00CF4917">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 xml:space="preserve">Esta prohibición se dirige explícitamente a "Gobernadores, Alcaldes Municipales y/o Distritales, Secretarios, Gerentes y directores de Entidades Descentralizadas". Aunque el Personero no está en esa lista taxativa, la prohibición recae </w:t>
            </w:r>
            <w:r>
              <w:rPr>
                <w:rFonts w:ascii="Verdana" w:eastAsia="Times New Roman" w:hAnsi="Verdana" w:cs="Times New Roman"/>
                <w:lang w:eastAsia="es-MX"/>
              </w:rPr>
              <w:t xml:space="preserve">en dicho cargo al ser el director </w:t>
            </w:r>
            <w:r w:rsidRPr="00805B33">
              <w:rPr>
                <w:rFonts w:ascii="Verdana" w:eastAsia="Times New Roman" w:hAnsi="Verdana" w:cs="Times New Roman"/>
                <w:lang w:eastAsia="es-MX"/>
              </w:rPr>
              <w:t>, haciendo jurídicamente inviable que la Personería suscriba dichos convenios con ellas durante el periodo restrictivo.</w:t>
            </w:r>
          </w:p>
          <w:p w14:paraId="60EE25A4" w14:textId="77777777" w:rsidR="00863264" w:rsidRDefault="00863264" w:rsidP="00CF4917">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 xml:space="preserve">En conclusión, la autonomía de la Personería Municipal frente a la Alcaldía no la exime del cumplimiento de la Ley de Garantías Electorales. Como entidad estatal que maneja recursos públicos y posee la naturaleza de "órgano autónomo", la Personería está plenamente cobijada por las prohibiciones de los artículos 33 (en lo referente a contratación directa en </w:t>
            </w:r>
            <w:r>
              <w:rPr>
                <w:rFonts w:ascii="Verdana" w:eastAsia="Times New Roman" w:hAnsi="Verdana" w:cs="Times New Roman"/>
                <w:lang w:eastAsia="es-MX"/>
              </w:rPr>
              <w:t xml:space="preserve">elecciones </w:t>
            </w:r>
            <w:r w:rsidRPr="00805B33">
              <w:rPr>
                <w:rFonts w:ascii="Verdana" w:eastAsia="Times New Roman" w:hAnsi="Verdana" w:cs="Times New Roman"/>
                <w:lang w:eastAsia="es-MX"/>
              </w:rPr>
              <w:t>presidenciales</w:t>
            </w:r>
            <w:r>
              <w:rPr>
                <w:rFonts w:ascii="Verdana" w:eastAsia="Times New Roman" w:hAnsi="Verdana" w:cs="Times New Roman"/>
                <w:lang w:eastAsia="es-MX"/>
              </w:rPr>
              <w:t>, y la restricción del artículo</w:t>
            </w:r>
            <w:r w:rsidRPr="00805B33">
              <w:rPr>
                <w:rFonts w:ascii="Verdana" w:eastAsia="Times New Roman" w:hAnsi="Verdana" w:cs="Times New Roman"/>
                <w:lang w:eastAsia="es-MX"/>
              </w:rPr>
              <w:t xml:space="preserve"> 38</w:t>
            </w:r>
            <w:r>
              <w:rPr>
                <w:rFonts w:ascii="Verdana" w:eastAsia="Times New Roman" w:hAnsi="Verdana" w:cs="Times New Roman"/>
                <w:lang w:eastAsia="es-MX"/>
              </w:rPr>
              <w:t xml:space="preserve">, </w:t>
            </w:r>
            <w:r w:rsidRPr="00805B33">
              <w:rPr>
                <w:rFonts w:ascii="Verdana" w:eastAsia="Times New Roman" w:hAnsi="Verdana" w:cs="Times New Roman"/>
                <w:lang w:eastAsia="es-MX"/>
              </w:rPr>
              <w:t>en lo referente a convenios interadministrativos en toda elección</w:t>
            </w:r>
            <w:r>
              <w:rPr>
                <w:rFonts w:ascii="Verdana" w:eastAsia="Times New Roman" w:hAnsi="Verdana" w:cs="Times New Roman"/>
                <w:lang w:eastAsia="es-MX"/>
              </w:rPr>
              <w:t>,</w:t>
            </w:r>
            <w:r w:rsidRPr="00805B33">
              <w:rPr>
                <w:rFonts w:ascii="Verdana" w:eastAsia="Times New Roman" w:hAnsi="Verdana" w:cs="Times New Roman"/>
                <w:lang w:eastAsia="es-MX"/>
              </w:rPr>
              <w:t xml:space="preserve"> de la Ley 996 de 2005.</w:t>
            </w:r>
          </w:p>
          <w:p w14:paraId="2B26E34A" w14:textId="77777777" w:rsidR="00863264" w:rsidRPr="00593A5F" w:rsidRDefault="00863264" w:rsidP="00CF4917">
            <w:pPr>
              <w:spacing w:line="276" w:lineRule="auto"/>
              <w:jc w:val="both"/>
              <w:rPr>
                <w:rFonts w:ascii="Verdana" w:eastAsia="Calibri" w:hAnsi="Verdana" w:cs="Arial"/>
                <w:color w:val="7030A0"/>
                <w:lang w:val="es-ES"/>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tc>
      </w:tr>
    </w:tbl>
    <w:p w14:paraId="724410C7" w14:textId="77777777" w:rsidR="00863264" w:rsidRPr="00593A5F" w:rsidRDefault="00863264" w:rsidP="00863264">
      <w:pPr>
        <w:tabs>
          <w:tab w:val="left" w:pos="142"/>
          <w:tab w:val="left" w:pos="284"/>
        </w:tabs>
        <w:spacing w:after="0" w:line="276" w:lineRule="auto"/>
        <w:jc w:val="both"/>
        <w:rPr>
          <w:rFonts w:ascii="Verdana" w:eastAsia="Century Gothic" w:hAnsi="Verdana" w:cs="Century Gothic"/>
          <w:b/>
          <w:bCs/>
          <w:lang w:val="es-ES"/>
        </w:rPr>
      </w:pPr>
    </w:p>
    <w:p w14:paraId="384488DF" w14:textId="77777777" w:rsidR="00863264" w:rsidRPr="00593A5F" w:rsidRDefault="00863264" w:rsidP="0086326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3843A01D" w14:textId="77777777" w:rsidR="00863264" w:rsidRPr="00593A5F" w:rsidRDefault="00863264" w:rsidP="00863264">
      <w:pPr>
        <w:spacing w:after="0" w:line="276" w:lineRule="auto"/>
        <w:jc w:val="both"/>
        <w:rPr>
          <w:rFonts w:ascii="Verdana" w:eastAsia="Calibri" w:hAnsi="Verdana" w:cs="Arial"/>
          <w:color w:val="7030A0"/>
          <w:lang w:val="es-ES"/>
        </w:rPr>
      </w:pPr>
    </w:p>
    <w:p w14:paraId="15624EDB" w14:textId="77777777" w:rsidR="00863264" w:rsidRPr="00B96799" w:rsidRDefault="00863264" w:rsidP="00863264">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777E49F" w14:textId="77777777" w:rsidR="00863264" w:rsidRDefault="00863264" w:rsidP="00863264">
      <w:pPr>
        <w:spacing w:after="0" w:line="276" w:lineRule="auto"/>
        <w:jc w:val="both"/>
        <w:rPr>
          <w:rFonts w:ascii="Verdana" w:eastAsia="Calibri" w:hAnsi="Verdana" w:cs="Arial"/>
          <w:color w:val="7030A0"/>
          <w:lang w:val="es-ES"/>
        </w:rPr>
      </w:pPr>
    </w:p>
    <w:p w14:paraId="4D8AA963" w14:textId="77777777" w:rsidR="00863264" w:rsidRPr="00F10E52" w:rsidRDefault="00863264" w:rsidP="00863264">
      <w:pPr>
        <w:tabs>
          <w:tab w:val="left" w:pos="426"/>
        </w:tabs>
        <w:spacing w:after="120" w:line="276" w:lineRule="auto"/>
        <w:jc w:val="both"/>
        <w:rPr>
          <w:rFonts w:ascii="Verdana" w:eastAsia="Times New Roman" w:hAnsi="Verdana" w:cs="Arial"/>
          <w:bCs/>
          <w:lang w:eastAsia="es-CO"/>
        </w:rPr>
      </w:pPr>
      <w:r>
        <w:rPr>
          <w:rFonts w:ascii="Verdana" w:eastAsia="Calibri" w:hAnsi="Verdana" w:cs="Arial"/>
          <w:bCs/>
        </w:rPr>
        <w:t>En primer lugar, e</w:t>
      </w:r>
      <w:r w:rsidRPr="00F10E52">
        <w:rPr>
          <w:rFonts w:ascii="Verdana" w:eastAsia="Calibri" w:hAnsi="Verdana" w:cs="Arial"/>
          <w:bCs/>
        </w:rPr>
        <w:t>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5B911DF2" w14:textId="77777777" w:rsidR="00863264" w:rsidRPr="00F10E52" w:rsidRDefault="00863264" w:rsidP="00863264">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6936A4BA" w14:textId="77777777" w:rsidR="00863264" w:rsidRPr="00F10E52" w:rsidRDefault="00863264" w:rsidP="00863264">
      <w:pPr>
        <w:tabs>
          <w:tab w:val="left" w:pos="426"/>
        </w:tabs>
        <w:spacing w:after="0" w:line="276" w:lineRule="auto"/>
        <w:ind w:firstLine="709"/>
        <w:jc w:val="both"/>
        <w:rPr>
          <w:rFonts w:ascii="Verdana" w:eastAsia="Times New Roman" w:hAnsi="Verdana" w:cs="Arial"/>
          <w:bCs/>
          <w:lang w:eastAsia="es-CO"/>
        </w:rPr>
      </w:pPr>
    </w:p>
    <w:p w14:paraId="705A6F46" w14:textId="77777777" w:rsidR="00863264" w:rsidRPr="00363352" w:rsidRDefault="00863264" w:rsidP="00863264">
      <w:pPr>
        <w:spacing w:after="0" w:line="240" w:lineRule="auto"/>
        <w:ind w:left="709" w:right="709"/>
        <w:jc w:val="both"/>
        <w:rPr>
          <w:rFonts w:ascii="Verdana" w:eastAsia="Times New Roman" w:hAnsi="Verdana" w:cs="Arial"/>
          <w:sz w:val="20"/>
          <w:szCs w:val="20"/>
          <w:lang w:val="es-ES" w:eastAsia="es-CO"/>
        </w:rPr>
      </w:pPr>
      <w:r w:rsidRPr="00363352">
        <w:rPr>
          <w:rFonts w:ascii="Verdana" w:eastAsia="Times New Roman" w:hAnsi="Verdana" w:cs="Arial"/>
          <w:sz w:val="20"/>
          <w:szCs w:val="20"/>
          <w:lang w:val="es-ES" w:eastAsia="es-CO"/>
        </w:rPr>
        <w:t xml:space="preserve">[…] </w:t>
      </w:r>
    </w:p>
    <w:p w14:paraId="586BCC5C" w14:textId="77777777" w:rsidR="00863264" w:rsidRPr="009B20C5" w:rsidRDefault="00863264" w:rsidP="00863264">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3A8BCFE5" w14:textId="77777777" w:rsidR="00863264" w:rsidRPr="006507E4" w:rsidRDefault="00863264" w:rsidP="00863264">
      <w:pPr>
        <w:spacing w:after="0" w:line="240" w:lineRule="auto"/>
        <w:ind w:left="709" w:right="709"/>
        <w:jc w:val="both"/>
        <w:rPr>
          <w:rFonts w:ascii="Verdana" w:eastAsia="Times New Roman" w:hAnsi="Verdana" w:cs="Arial"/>
          <w:bCs/>
          <w:sz w:val="20"/>
          <w:szCs w:val="20"/>
          <w:lang w:eastAsia="es-CO"/>
        </w:rPr>
      </w:pPr>
    </w:p>
    <w:p w14:paraId="20B3624E" w14:textId="77777777" w:rsidR="00863264" w:rsidRDefault="00863264" w:rsidP="00863264">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w:t>
      </w:r>
      <w:r w:rsidRPr="009B20C5">
        <w:rPr>
          <w:rFonts w:ascii="Verdana" w:eastAsia="Times New Roman" w:hAnsi="Verdana" w:cs="Arial"/>
          <w:bCs/>
          <w:sz w:val="20"/>
          <w:szCs w:val="20"/>
          <w:lang w:eastAsia="es-CO"/>
        </w:rPr>
        <w:lastRenderedPageBreak/>
        <w:t>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3"/>
      </w:r>
      <w:r>
        <w:rPr>
          <w:rFonts w:ascii="Verdana" w:eastAsia="Times New Roman" w:hAnsi="Verdana" w:cs="Arial"/>
          <w:bCs/>
          <w:sz w:val="20"/>
          <w:szCs w:val="20"/>
          <w:lang w:eastAsia="es-CO"/>
        </w:rPr>
        <w:t xml:space="preserve"> </w:t>
      </w:r>
      <w:r w:rsidRPr="00363352">
        <w:rPr>
          <w:rFonts w:ascii="Verdana" w:eastAsia="Times New Roman" w:hAnsi="Verdana" w:cs="Arial"/>
          <w:sz w:val="20"/>
          <w:szCs w:val="20"/>
          <w:lang w:eastAsia="es-CO"/>
        </w:rPr>
        <w:t xml:space="preserve">[…] </w:t>
      </w:r>
    </w:p>
    <w:p w14:paraId="1CCF0336" w14:textId="77777777" w:rsidR="00863264" w:rsidRPr="006507E4" w:rsidRDefault="00863264" w:rsidP="00863264">
      <w:pPr>
        <w:spacing w:after="0" w:line="276" w:lineRule="auto"/>
        <w:ind w:left="709" w:right="709"/>
        <w:jc w:val="both"/>
        <w:rPr>
          <w:rFonts w:ascii="Verdana" w:eastAsia="Times New Roman" w:hAnsi="Verdana" w:cs="Arial"/>
          <w:bCs/>
          <w:lang w:eastAsia="es-CO"/>
        </w:rPr>
      </w:pPr>
    </w:p>
    <w:p w14:paraId="4CBADCEC" w14:textId="77777777" w:rsidR="00863264" w:rsidRPr="00F10E52" w:rsidRDefault="00863264" w:rsidP="00863264">
      <w:pPr>
        <w:spacing w:after="0" w:line="276" w:lineRule="auto"/>
        <w:ind w:firstLine="709"/>
        <w:jc w:val="both"/>
        <w:rPr>
          <w:rFonts w:ascii="Verdana" w:eastAsia="Times New Roman" w:hAnsi="Verdana" w:cs="Arial"/>
          <w:bCs/>
          <w:lang w:eastAsia="es-CO"/>
        </w:rPr>
      </w:pPr>
      <w:bookmarkStart w:id="2"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37BA2D51" w14:textId="77777777" w:rsidR="00863264" w:rsidRPr="00F10E52" w:rsidRDefault="00863264" w:rsidP="00863264">
      <w:pPr>
        <w:spacing w:after="0" w:line="276" w:lineRule="auto"/>
        <w:ind w:firstLine="709"/>
        <w:jc w:val="both"/>
        <w:rPr>
          <w:rFonts w:ascii="Verdana" w:eastAsia="Times New Roman" w:hAnsi="Verdana" w:cs="Arial"/>
          <w:bCs/>
          <w:lang w:eastAsia="es-CO"/>
        </w:rPr>
      </w:pPr>
    </w:p>
    <w:p w14:paraId="7C693F42" w14:textId="77777777" w:rsidR="00863264" w:rsidRPr="009B20C5" w:rsidRDefault="00863264" w:rsidP="00863264">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CACC813" w14:textId="77777777" w:rsidR="00863264" w:rsidRPr="009B20C5" w:rsidRDefault="00863264" w:rsidP="00863264">
      <w:pPr>
        <w:spacing w:after="0" w:line="240" w:lineRule="auto"/>
        <w:ind w:left="709" w:right="709"/>
        <w:jc w:val="both"/>
        <w:rPr>
          <w:rFonts w:ascii="Verdana" w:eastAsia="Times New Roman" w:hAnsi="Verdana" w:cs="Arial"/>
          <w:bCs/>
          <w:sz w:val="20"/>
          <w:szCs w:val="20"/>
          <w:lang w:eastAsia="es-CO"/>
        </w:rPr>
      </w:pPr>
    </w:p>
    <w:p w14:paraId="3B847FE8" w14:textId="77777777" w:rsidR="00863264" w:rsidRPr="009B20C5" w:rsidRDefault="00863264" w:rsidP="00863264">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w:t>
      </w:r>
      <w:r w:rsidRPr="009B20C5">
        <w:rPr>
          <w:rFonts w:ascii="Verdana" w:eastAsia="Times New Roman" w:hAnsi="Verdana" w:cs="Arial"/>
          <w:bCs/>
          <w:sz w:val="20"/>
          <w:szCs w:val="20"/>
          <w:lang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652BBC9F" w14:textId="77777777" w:rsidR="00863264" w:rsidRPr="00363352" w:rsidRDefault="00863264" w:rsidP="00863264">
      <w:pPr>
        <w:spacing w:after="0" w:line="276" w:lineRule="auto"/>
        <w:ind w:left="709" w:right="709"/>
        <w:jc w:val="both"/>
        <w:rPr>
          <w:rFonts w:ascii="Verdana" w:eastAsia="Times New Roman" w:hAnsi="Verdana" w:cs="Arial"/>
          <w:bCs/>
          <w:lang w:eastAsia="es-CO"/>
        </w:rPr>
      </w:pPr>
    </w:p>
    <w:p w14:paraId="59F01BB1" w14:textId="77777777" w:rsidR="00863264" w:rsidRPr="00F10E52" w:rsidRDefault="00863264" w:rsidP="00863264">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6B633FC6" w14:textId="77777777" w:rsidR="00863264" w:rsidRPr="00F10E52" w:rsidRDefault="00863264" w:rsidP="00863264">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59926D0A" w14:textId="77777777" w:rsidR="00863264" w:rsidRPr="00F10E52" w:rsidRDefault="00863264" w:rsidP="00863264">
      <w:pPr>
        <w:widowControl w:val="0"/>
        <w:autoSpaceDE w:val="0"/>
        <w:autoSpaceDN w:val="0"/>
        <w:spacing w:before="120" w:after="0" w:line="276" w:lineRule="auto"/>
        <w:ind w:right="113"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w:t>
      </w:r>
      <w:r w:rsidRPr="00F10E52">
        <w:rPr>
          <w:rFonts w:ascii="Verdana" w:eastAsia="Calibri" w:hAnsi="Verdana" w:cs="Arial"/>
        </w:rPr>
        <w:lastRenderedPageBreak/>
        <w:t xml:space="preserve">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616DF7DD" w14:textId="77777777" w:rsidR="00863264" w:rsidRPr="00F10E52" w:rsidRDefault="00863264" w:rsidP="00863264">
      <w:pPr>
        <w:widowControl w:val="0"/>
        <w:autoSpaceDE w:val="0"/>
        <w:autoSpaceDN w:val="0"/>
        <w:spacing w:after="0" w:line="276" w:lineRule="auto"/>
        <w:ind w:right="113" w:firstLine="708"/>
        <w:jc w:val="both"/>
        <w:rPr>
          <w:rFonts w:ascii="Verdana" w:eastAsia="Arial" w:hAnsi="Verdana" w:cs="Arial"/>
          <w:lang w:val="es-ES" w:eastAsia="es-ES" w:bidi="es-ES"/>
        </w:rPr>
      </w:pPr>
    </w:p>
    <w:p w14:paraId="52CAD451" w14:textId="77777777" w:rsidR="00863264" w:rsidRPr="009B20C5" w:rsidRDefault="00863264" w:rsidP="0086326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w:t>
      </w:r>
      <w:r w:rsidRPr="009B20C5">
        <w:rPr>
          <w:rFonts w:ascii="Verdana" w:eastAsia="Arial" w:hAnsi="Verdana" w:cs="Arial"/>
          <w:bCs/>
          <w:sz w:val="20"/>
          <w:szCs w:val="20"/>
          <w:lang w:val="es-ES" w:eastAsia="es-ES" w:bidi="es-ES"/>
        </w:rPr>
        <w:lastRenderedPageBreak/>
        <w:t>contenidas en el parágrafo del artículo 38</w:t>
      </w:r>
      <w:r w:rsidRPr="009B20C5">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p>
    <w:p w14:paraId="4A400B01" w14:textId="77777777" w:rsidR="00863264" w:rsidRDefault="00863264" w:rsidP="00863264">
      <w:pPr>
        <w:spacing w:after="0" w:line="276" w:lineRule="auto"/>
        <w:ind w:firstLine="709"/>
        <w:jc w:val="both"/>
        <w:rPr>
          <w:rFonts w:ascii="Verdana" w:eastAsia="Arial" w:hAnsi="Verdana" w:cs="Arial"/>
          <w:lang w:val="es-ES" w:eastAsia="es-ES" w:bidi="es-ES"/>
        </w:rPr>
      </w:pPr>
    </w:p>
    <w:p w14:paraId="15F30E91" w14:textId="77777777" w:rsidR="00863264" w:rsidRPr="00F10E52" w:rsidRDefault="00863264" w:rsidP="00863264">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2882850D" w14:textId="77777777" w:rsidR="00863264" w:rsidRPr="00F10E52" w:rsidRDefault="00863264" w:rsidP="00863264">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32371C4A" w14:textId="77777777" w:rsidR="00863264" w:rsidRPr="00F10E52" w:rsidRDefault="00863264" w:rsidP="00863264">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w:t>
      </w:r>
      <w:r>
        <w:rPr>
          <w:rFonts w:ascii="Verdana" w:eastAsia="Arial" w:hAnsi="Verdana" w:cs="Arial"/>
          <w:lang w:val="es-ES" w:eastAsia="es-ES" w:bidi="es-ES"/>
        </w:rPr>
        <w:t>(6)</w:t>
      </w:r>
      <w:r w:rsidRPr="00F10E52">
        <w:rPr>
          <w:rFonts w:ascii="Verdana" w:eastAsia="Arial" w:hAnsi="Verdana" w:cs="Arial"/>
          <w:lang w:val="es-ES" w:eastAsia="es-ES" w:bidi="es-ES"/>
        </w:rPr>
        <w:t xml:space="preserve"> meses antes de la elección en primera vuelta, de acuerdo con el artículo 9 de la Ley 996 de 2005. Sin embargo, el condicionamiento impuesto por la Corte Constitucional, relacionado con el momento en que estas restricciones empiezan a regir para el Presidente y el </w:t>
      </w:r>
      <w:r w:rsidRPr="00F10E52">
        <w:rPr>
          <w:rFonts w:ascii="Verdana" w:eastAsia="Arial" w:hAnsi="Verdana" w:cs="Arial"/>
          <w:lang w:val="es-ES" w:eastAsia="es-ES" w:bidi="es-ES"/>
        </w:rPr>
        <w:lastRenderedPageBreak/>
        <w:t xml:space="preserve">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7451130" w14:textId="77777777" w:rsidR="00863264" w:rsidRPr="00DC56D3" w:rsidRDefault="00863264" w:rsidP="00863264">
      <w:pPr>
        <w:spacing w:before="120" w:after="0" w:line="276" w:lineRule="auto"/>
        <w:ind w:firstLine="708"/>
        <w:jc w:val="both"/>
        <w:rPr>
          <w:rFonts w:ascii="Verdana" w:eastAsia="Times New Roman" w:hAnsi="Verdana" w:cs="Arial"/>
          <w:bCs/>
          <w:lang w:eastAsia="es-CO"/>
        </w:rPr>
      </w:pPr>
      <w:r>
        <w:rPr>
          <w:rFonts w:ascii="Verdana" w:eastAsia="Times New Roman" w:hAnsi="Verdana" w:cs="Arial"/>
          <w:bCs/>
          <w:lang w:val="es-ES" w:eastAsia="es-CO"/>
        </w:rPr>
        <w:t>Por otra parte, e</w:t>
      </w:r>
      <w:r w:rsidRPr="00F10E52">
        <w:rPr>
          <w:rFonts w:ascii="Verdana" w:eastAsia="Times New Roman" w:hAnsi="Verdana" w:cs="Arial"/>
          <w:bCs/>
          <w:lang w:eastAsia="x-none"/>
        </w:rPr>
        <w:t xml:space="preserve">l ámbito material de la prohibición contenida </w:t>
      </w:r>
      <w:bookmarkStart w:id="11" w:name="_Hlk75628761"/>
      <w:r w:rsidRPr="00F10E52">
        <w:rPr>
          <w:rFonts w:ascii="Verdana" w:eastAsia="Times New Roman" w:hAnsi="Verdana" w:cs="Arial"/>
          <w:bCs/>
          <w:lang w:eastAsia="x-none"/>
        </w:rPr>
        <w:t xml:space="preserve">en el artículo 33 de la ley 996 de 2005 </w:t>
      </w:r>
      <w:bookmarkEnd w:id="11"/>
      <w:r w:rsidRPr="00F10E52">
        <w:rPr>
          <w:rFonts w:ascii="Verdana" w:eastAsia="Times New Roman" w:hAnsi="Verdana" w:cs="Arial"/>
          <w:bCs/>
          <w:lang w:eastAsia="x-none"/>
        </w:rPr>
        <w:t xml:space="preserve">está delimitado por la expresión </w:t>
      </w:r>
      <w:r>
        <w:rPr>
          <w:rFonts w:ascii="Verdana" w:eastAsia="Calibri" w:hAnsi="Verdana" w:cs="Arial"/>
          <w:bCs/>
        </w:rPr>
        <w:t>“</w:t>
      </w:r>
      <w:r w:rsidRPr="00F10E52">
        <w:rPr>
          <w:rFonts w:ascii="Verdana" w:eastAsia="Times New Roman" w:hAnsi="Verdana" w:cs="Arial"/>
          <w:bCs/>
          <w:lang w:eastAsia="x-none"/>
        </w:rPr>
        <w:t>queda prohibida la contratación directa</w:t>
      </w:r>
      <w:r>
        <w:rPr>
          <w:rFonts w:ascii="Verdana" w:hAnsi="Verdana" w:cs="Arial"/>
        </w:rPr>
        <w:t>”</w:t>
      </w:r>
      <w:r w:rsidRPr="00F10E52">
        <w:rPr>
          <w:rFonts w:ascii="Verdana" w:eastAsia="Times New Roman" w:hAnsi="Verdana" w:cs="Arial"/>
          <w:bCs/>
          <w:lang w:eastAsia="x-none"/>
        </w:rPr>
        <w:t>.</w:t>
      </w:r>
      <w:r w:rsidRPr="00F10E52">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7FB10ACB" w14:textId="77777777" w:rsidR="00863264" w:rsidRPr="00DC56D3" w:rsidRDefault="00863264" w:rsidP="00863264">
      <w:pPr>
        <w:spacing w:after="0" w:line="276" w:lineRule="auto"/>
        <w:ind w:firstLine="708"/>
        <w:jc w:val="both"/>
        <w:rPr>
          <w:rFonts w:ascii="Verdana" w:eastAsia="Times New Roman" w:hAnsi="Verdana" w:cs="Arial"/>
          <w:bCs/>
          <w:lang w:eastAsia="es-CO"/>
        </w:rPr>
      </w:pPr>
    </w:p>
    <w:p w14:paraId="45F7FBF7" w14:textId="77777777" w:rsidR="00863264" w:rsidRPr="009B20C5" w:rsidRDefault="00863264" w:rsidP="00863264">
      <w:pPr>
        <w:spacing w:after="0" w:line="240" w:lineRule="auto"/>
        <w:ind w:left="709" w:right="709"/>
        <w:jc w:val="both"/>
        <w:rPr>
          <w:rFonts w:ascii="Verdana" w:hAnsi="Verdana" w:cs="Arial"/>
          <w:sz w:val="20"/>
          <w:szCs w:val="20"/>
        </w:rPr>
      </w:pPr>
      <w:r w:rsidRPr="009B20C5">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10"/>
      </w:r>
      <w:r w:rsidRPr="009B20C5">
        <w:rPr>
          <w:rFonts w:ascii="Verdana" w:hAnsi="Verdana" w:cs="Arial"/>
          <w:sz w:val="20"/>
          <w:szCs w:val="20"/>
        </w:rPr>
        <w:t>.</w:t>
      </w:r>
    </w:p>
    <w:p w14:paraId="558A1410" w14:textId="77777777" w:rsidR="00863264" w:rsidRPr="009B20C5" w:rsidRDefault="00863264" w:rsidP="00863264">
      <w:pPr>
        <w:spacing w:after="0" w:line="240" w:lineRule="auto"/>
        <w:ind w:left="709" w:right="709"/>
        <w:jc w:val="both"/>
        <w:rPr>
          <w:rFonts w:ascii="Verdana" w:hAnsi="Verdana" w:cs="Arial"/>
          <w:sz w:val="20"/>
          <w:szCs w:val="20"/>
        </w:rPr>
      </w:pPr>
    </w:p>
    <w:p w14:paraId="2D3081C8" w14:textId="77777777" w:rsidR="00863264" w:rsidRPr="009B20C5" w:rsidRDefault="00863264" w:rsidP="00863264">
      <w:pPr>
        <w:spacing w:after="0" w:line="240" w:lineRule="auto"/>
        <w:ind w:left="708" w:right="709"/>
        <w:jc w:val="both"/>
        <w:rPr>
          <w:rFonts w:ascii="Verdana" w:hAnsi="Verdana" w:cs="Arial"/>
          <w:sz w:val="20"/>
          <w:szCs w:val="20"/>
        </w:rPr>
      </w:pPr>
      <w:r w:rsidRPr="009B20C5">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9B20C5">
        <w:rPr>
          <w:rFonts w:ascii="Verdana" w:hAnsi="Verdana" w:cs="Arial"/>
          <w:sz w:val="20"/>
          <w:szCs w:val="20"/>
        </w:rPr>
        <w:t xml:space="preserve">de cualquier sistema que no implique convocatoria pública y posibilidad de pluralidad de oferentes, </w:t>
      </w:r>
      <w:bookmarkEnd w:id="12"/>
      <w:r w:rsidRPr="009B20C5">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1"/>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9B20C5">
        <w:rPr>
          <w:rFonts w:ascii="Verdana" w:eastAsia="Times New Roman" w:hAnsi="Verdana" w:cs="Arial"/>
          <w:sz w:val="20"/>
          <w:szCs w:val="20"/>
          <w:vertAlign w:val="superscript"/>
          <w:lang w:eastAsia="es-CO"/>
        </w:rPr>
        <w:footnoteReference w:id="12"/>
      </w:r>
      <w:r w:rsidRPr="009B20C5">
        <w:rPr>
          <w:rFonts w:ascii="Verdana" w:hAnsi="Verdana" w:cs="Arial"/>
          <w:sz w:val="20"/>
          <w:szCs w:val="20"/>
        </w:rPr>
        <w:t xml:space="preserve"> .</w:t>
      </w:r>
    </w:p>
    <w:p w14:paraId="38EF9293" w14:textId="77777777" w:rsidR="00863264" w:rsidRPr="00363352" w:rsidRDefault="00863264" w:rsidP="00863264">
      <w:pPr>
        <w:spacing w:after="0" w:line="276" w:lineRule="auto"/>
        <w:ind w:left="708" w:right="709"/>
        <w:jc w:val="both"/>
        <w:rPr>
          <w:rFonts w:ascii="Verdana" w:hAnsi="Verdana" w:cs="Arial"/>
        </w:rPr>
      </w:pPr>
    </w:p>
    <w:p w14:paraId="59D6DEBA" w14:textId="77777777" w:rsidR="00863264" w:rsidRPr="00F10E52" w:rsidRDefault="00863264" w:rsidP="00863264">
      <w:pPr>
        <w:spacing w:after="120" w:line="276" w:lineRule="auto"/>
        <w:ind w:firstLine="709"/>
        <w:jc w:val="both"/>
        <w:rPr>
          <w:rFonts w:ascii="Verdana" w:eastAsia="Times New Roman" w:hAnsi="Verdana" w:cs="Arial"/>
          <w:bCs/>
          <w:lang w:eastAsia="x-none"/>
        </w:rPr>
      </w:pPr>
      <w:bookmarkStart w:id="14" w:name="_Hlk94521748"/>
      <w:r w:rsidRPr="00F10E52">
        <w:rPr>
          <w:rFonts w:ascii="Verdana" w:eastAsia="Times New Roman" w:hAnsi="Verdana" w:cs="Arial"/>
          <w:lang w:eastAsia="x-none"/>
        </w:rPr>
        <w:t xml:space="preserve">De conformidad con el citado concepto, </w:t>
      </w:r>
      <w:bookmarkStart w:id="15" w:name="_Hlk78818702"/>
      <w:r w:rsidRPr="00F10E52">
        <w:rPr>
          <w:rFonts w:ascii="Verdana" w:eastAsia="Times New Roman" w:hAnsi="Verdana" w:cs="Arial"/>
          <w:lang w:eastAsia="x-none"/>
        </w:rPr>
        <w:t xml:space="preserve">la prohibición del artículo 33 de la Ley de Garantías Electorales se refiere a </w:t>
      </w:r>
      <w:bookmarkStart w:id="16" w:name="_Hlk74294635"/>
      <w:r>
        <w:rPr>
          <w:rFonts w:ascii="Verdana" w:eastAsia="Times New Roman" w:hAnsi="Verdana" w:cs="Arial"/>
          <w:lang w:eastAsia="en-GB"/>
        </w:rPr>
        <w:t>“</w:t>
      </w:r>
      <w:bookmarkEnd w:id="16"/>
      <w:r w:rsidRPr="00F10E52">
        <w:rPr>
          <w:rFonts w:ascii="Verdana" w:eastAsia="Times New Roman" w:hAnsi="Verdana" w:cs="Arial"/>
          <w:lang w:eastAsia="x-none"/>
        </w:rPr>
        <w:t>cualquier sistema que no implique convocatoria pública y posibilidad de pluralidad de oferentes</w:t>
      </w:r>
      <w:bookmarkStart w:id="17" w:name="_Hlk74404754"/>
      <w:r>
        <w:rPr>
          <w:rFonts w:ascii="Verdana" w:eastAsia="Times New Roman" w:hAnsi="Verdana" w:cs="Arial"/>
          <w:lang w:eastAsia="en-GB"/>
        </w:rPr>
        <w:t>”</w:t>
      </w:r>
      <w:bookmarkEnd w:id="17"/>
      <w:r w:rsidRPr="00F10E52">
        <w:rPr>
          <w:rFonts w:ascii="Verdana" w:eastAsia="Times New Roman" w:hAnsi="Verdana" w:cs="Arial"/>
          <w:lang w:eastAsia="x-none"/>
        </w:rPr>
        <w:t xml:space="preserve">, por lo que excluye </w:t>
      </w:r>
      <w:r w:rsidRPr="00F10E52">
        <w:rPr>
          <w:rFonts w:ascii="Verdana" w:eastAsia="Times New Roman" w:hAnsi="Verdana" w:cs="Arial"/>
          <w:lang w:eastAsia="x-none"/>
        </w:rPr>
        <w:lastRenderedPageBreak/>
        <w:t xml:space="preserve">las demás modalidades de contratación previstas en la Ley 1150 de 2007, es decir, la licitación pública, la selección abreviada y el concurso de méritos u otros previstos en normas especiales. </w:t>
      </w:r>
      <w:bookmarkEnd w:id="14"/>
      <w:bookmarkEnd w:id="15"/>
      <w:r w:rsidRPr="00F10E52">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10E52">
        <w:rPr>
          <w:rFonts w:ascii="Verdana" w:eastAsia="Times New Roman" w:hAnsi="Verdana" w:cs="Arial"/>
          <w:vertAlign w:val="superscript"/>
          <w:lang w:val="en-GB" w:eastAsia="x-none"/>
        </w:rPr>
        <w:footnoteReference w:id="13"/>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xml:space="preserve">. </w:t>
      </w:r>
    </w:p>
    <w:p w14:paraId="232B70CB" w14:textId="77777777" w:rsidR="00863264" w:rsidRPr="00F10E52" w:rsidRDefault="00863264" w:rsidP="00863264">
      <w:pPr>
        <w:spacing w:after="120" w:line="276" w:lineRule="auto"/>
        <w:ind w:firstLine="709"/>
        <w:jc w:val="both"/>
        <w:rPr>
          <w:rFonts w:ascii="Verdana" w:eastAsia="Times New Roman" w:hAnsi="Verdana" w:cs="Arial"/>
          <w:lang w:eastAsia="x-none"/>
        </w:rPr>
      </w:pPr>
      <w:r w:rsidRPr="00F10E52">
        <w:rPr>
          <w:rFonts w:ascii="Verdana" w:eastAsia="Times New Roman" w:hAnsi="Verdana" w:cs="Arial"/>
          <w:lang w:eastAsia="x-none"/>
        </w:rPr>
        <w:t xml:space="preserve">De esta forma, se ha depurado la noción de </w:t>
      </w:r>
      <w:r>
        <w:rPr>
          <w:rFonts w:ascii="Verdana" w:eastAsia="Times New Roman" w:hAnsi="Verdana" w:cs="Arial"/>
          <w:lang w:eastAsia="en-GB"/>
        </w:rPr>
        <w:t>“</w:t>
      </w:r>
      <w:r w:rsidRPr="00F10E52">
        <w:rPr>
          <w:rFonts w:ascii="Verdana" w:eastAsia="Times New Roman" w:hAnsi="Verdana" w:cs="Arial"/>
          <w:lang w:eastAsia="x-none"/>
        </w:rPr>
        <w:t>contratación directa</w:t>
      </w:r>
      <w:r>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F10E52">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5"/>
      </w:r>
      <w:r w:rsidRPr="00F10E52">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F10E52">
        <w:rPr>
          <w:rFonts w:ascii="Verdana" w:eastAsia="Times New Roman" w:hAnsi="Verdana" w:cs="Arial"/>
          <w:lang w:eastAsia="x-none"/>
        </w:rPr>
        <w:t xml:space="preserve">. </w:t>
      </w:r>
    </w:p>
    <w:p w14:paraId="5492F2D0" w14:textId="77777777" w:rsidR="00863264" w:rsidRPr="00F10E52" w:rsidRDefault="00863264" w:rsidP="00863264">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19" w:name="_Hlk75636073"/>
      <w:r w:rsidRPr="00F10E52">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F10E52">
        <w:rPr>
          <w:rFonts w:ascii="Verdana" w:eastAsia="Times New Roman" w:hAnsi="Verdana" w:cs="Arial"/>
          <w:lang w:eastAsia="x-none"/>
        </w:rPr>
        <w:t>contratación directa</w:t>
      </w:r>
      <w:r>
        <w:rPr>
          <w:rFonts w:ascii="Verdana" w:eastAsia="Times New Roman" w:hAnsi="Verdana" w:cs="Arial"/>
          <w:lang w:eastAsia="x-none"/>
        </w:rPr>
        <w:t>”</w:t>
      </w:r>
      <w:r w:rsidRPr="00F10E52">
        <w:rPr>
          <w:rFonts w:ascii="Verdana" w:eastAsia="Times New Roman" w:hAnsi="Verdana" w:cs="Arial"/>
          <w:lang w:eastAsia="x-none"/>
        </w:rPr>
        <w:t>, es que la convocatoria para inscribirse en forma previa se haga de manera pública, y que se permita la participación de una pluralidad de oferentes</w:t>
      </w:r>
      <w:bookmarkEnd w:id="19"/>
      <w:r w:rsidRPr="00F10E52">
        <w:rPr>
          <w:rFonts w:ascii="Verdana" w:eastAsia="Times New Roman" w:hAnsi="Verdana" w:cs="Arial"/>
          <w:vertAlign w:val="superscript"/>
          <w:lang w:eastAsia="x-none"/>
        </w:rPr>
        <w:footnoteReference w:id="16"/>
      </w:r>
      <w:r w:rsidRPr="00F10E52">
        <w:rPr>
          <w:rFonts w:ascii="Verdana" w:eastAsia="Times New Roman" w:hAnsi="Verdana" w:cs="Arial"/>
          <w:lang w:eastAsia="x-none"/>
        </w:rPr>
        <w:t xml:space="preserve">. </w:t>
      </w:r>
    </w:p>
    <w:p w14:paraId="2479F1F3" w14:textId="77777777" w:rsidR="00863264" w:rsidRPr="00F10E52" w:rsidRDefault="00863264" w:rsidP="00863264">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Como se advierte de lo anterior, el Consejo de Estado realiza una interpretación amplia de la contratación directa, para efectos de aplicar las </w:t>
      </w:r>
      <w:r w:rsidRPr="00F10E52">
        <w:rPr>
          <w:rFonts w:ascii="Verdana" w:eastAsia="Times New Roman" w:hAnsi="Verdana" w:cs="Arial"/>
          <w:bCs/>
          <w:lang w:eastAsia="es-CO"/>
        </w:rPr>
        <w:lastRenderedPageBreak/>
        <w:t>restricciones establecidas en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eastAsia="es-CO"/>
        </w:rPr>
        <w:t>“</w:t>
      </w:r>
      <w:r w:rsidRPr="00F10E52">
        <w:rPr>
          <w:rFonts w:ascii="Verdana" w:eastAsia="Times New Roman" w:hAnsi="Verdana" w:cs="Arial"/>
          <w:bCs/>
          <w:lang w:eastAsia="es-CO"/>
        </w:rPr>
        <w:t>contratación directa</w:t>
      </w:r>
      <w:r>
        <w:rPr>
          <w:rFonts w:ascii="Verdana" w:eastAsia="Times New Roman" w:hAnsi="Verdana" w:cs="Arial"/>
          <w:bCs/>
          <w:lang w:eastAsia="es-CO"/>
        </w:rPr>
        <w:t>”</w:t>
      </w:r>
      <w:r w:rsidRPr="00F10E52">
        <w:rPr>
          <w:rFonts w:ascii="Verdana" w:eastAsia="Times New Roman" w:hAnsi="Verdana" w:cs="Arial"/>
          <w:bCs/>
          <w:lang w:eastAsia="es-CO"/>
        </w:rPr>
        <w:t>.</w:t>
      </w:r>
    </w:p>
    <w:p w14:paraId="7543CFB1" w14:textId="77777777" w:rsidR="00863264" w:rsidRPr="00F10E52" w:rsidRDefault="00863264" w:rsidP="00863264">
      <w:pPr>
        <w:spacing w:after="120" w:line="276" w:lineRule="auto"/>
        <w:ind w:firstLine="709"/>
        <w:jc w:val="both"/>
        <w:rPr>
          <w:rFonts w:ascii="Verdana" w:eastAsia="Times New Roman" w:hAnsi="Verdana" w:cs="Arial"/>
          <w:bCs/>
          <w:lang w:eastAsia="x-none"/>
        </w:rPr>
      </w:pPr>
      <w:bookmarkStart w:id="20" w:name="_Hlk78818796"/>
      <w:r w:rsidRPr="00F10E52">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w:t>
      </w:r>
      <w:r>
        <w:rPr>
          <w:rFonts w:ascii="Verdana" w:eastAsia="Times New Roman" w:hAnsi="Verdana" w:cs="Arial"/>
          <w:bCs/>
          <w:lang w:eastAsia="x-none"/>
        </w:rPr>
        <w:t>“</w:t>
      </w:r>
      <w:r w:rsidRPr="00F10E52">
        <w:rPr>
          <w:rFonts w:ascii="Verdana" w:eastAsia="Times New Roman" w:hAnsi="Verdana" w:cs="Arial"/>
          <w:bCs/>
          <w:lang w:eastAsia="x-none"/>
        </w:rPr>
        <w:t>contratación directa</w:t>
      </w:r>
      <w:r>
        <w:rPr>
          <w:rFonts w:ascii="Verdana" w:eastAsia="Times New Roman" w:hAnsi="Verdana" w:cs="Arial"/>
          <w:bCs/>
          <w:lang w:eastAsia="x-none"/>
        </w:rPr>
        <w:t>”</w:t>
      </w:r>
      <w:r w:rsidRPr="00F10E52">
        <w:rPr>
          <w:rFonts w:ascii="Verdana" w:eastAsia="Times New Roman" w:hAnsi="Verdana" w:cs="Arial"/>
          <w:bCs/>
          <w:lang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7"/>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20"/>
    <w:p w14:paraId="4583A007" w14:textId="77777777" w:rsidR="00863264" w:rsidRPr="00F10E52" w:rsidRDefault="00863264" w:rsidP="00863264">
      <w:pPr>
        <w:spacing w:after="120" w:line="276" w:lineRule="auto"/>
        <w:ind w:firstLine="709"/>
        <w:jc w:val="both"/>
        <w:rPr>
          <w:rFonts w:ascii="Verdana" w:eastAsia="Times New Roman" w:hAnsi="Verdana" w:cs="Arial"/>
          <w:lang w:eastAsia="x-none"/>
        </w:rPr>
      </w:pPr>
      <w:r w:rsidRPr="00F10E52">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F10E52">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659F0794" w14:textId="77777777" w:rsidR="00863264" w:rsidRPr="00F10E52" w:rsidRDefault="00863264" w:rsidP="00863264">
      <w:pPr>
        <w:spacing w:after="120" w:line="276" w:lineRule="auto"/>
        <w:ind w:firstLine="709"/>
        <w:jc w:val="both"/>
        <w:rPr>
          <w:rFonts w:ascii="Verdana" w:eastAsia="Times New Roman" w:hAnsi="Verdana" w:cs="Arial"/>
          <w:bCs/>
          <w:lang w:eastAsia="x-none"/>
        </w:rPr>
      </w:pPr>
      <w:bookmarkStart w:id="21" w:name="_Hlk77237094"/>
      <w:r w:rsidRPr="00F10E52">
        <w:rPr>
          <w:rFonts w:ascii="Verdana" w:eastAsia="Times New Roman" w:hAnsi="Verdana" w:cs="Arial"/>
          <w:bCs/>
          <w:lang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21"/>
    </w:p>
    <w:p w14:paraId="20F2AD35" w14:textId="77777777" w:rsidR="00863264" w:rsidRPr="00F10E52" w:rsidRDefault="00863264" w:rsidP="00863264">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x-none"/>
        </w:rPr>
        <w:t>De otro lado, las excepciones a la restricción prevista en la Ley de Garantías</w:t>
      </w:r>
      <w:r>
        <w:rPr>
          <w:rFonts w:ascii="Verdana" w:eastAsia="Times New Roman" w:hAnsi="Verdana" w:cs="Arial"/>
          <w:bCs/>
          <w:lang w:eastAsia="x-none"/>
        </w:rPr>
        <w:t xml:space="preserve"> Electorales</w:t>
      </w:r>
      <w:r w:rsidRPr="00F10E52">
        <w:rPr>
          <w:rFonts w:ascii="Verdana" w:eastAsia="Times New Roman" w:hAnsi="Verdana" w:cs="Arial"/>
          <w:bCs/>
          <w:lang w:eastAsia="x-none"/>
        </w:rPr>
        <w:t xml:space="preserve">,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w:t>
      </w:r>
      <w:r w:rsidRPr="00F10E52">
        <w:rPr>
          <w:rFonts w:ascii="Verdana" w:eastAsia="Times New Roman" w:hAnsi="Verdana" w:cs="Arial"/>
          <w:bCs/>
          <w:lang w:eastAsia="x-none"/>
        </w:rPr>
        <w:lastRenderedPageBreak/>
        <w:t>referente a</w:t>
      </w:r>
      <w:r>
        <w:rPr>
          <w:rFonts w:ascii="Verdana" w:eastAsia="Times New Roman" w:hAnsi="Verdana" w:cs="Arial"/>
          <w:bCs/>
          <w:lang w:eastAsia="x-none"/>
        </w:rPr>
        <w:t>:</w:t>
      </w:r>
      <w:r w:rsidRPr="00F10E52">
        <w:rPr>
          <w:rFonts w:ascii="Verdana" w:eastAsia="Times New Roman" w:hAnsi="Verdana" w:cs="Arial"/>
          <w:bCs/>
          <w:lang w:eastAsia="x-none"/>
        </w:rPr>
        <w:t xml:space="preserve">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emergencias educativas,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10E52">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8EB8813" w14:textId="77777777" w:rsidR="00863264" w:rsidRPr="00F10E52" w:rsidRDefault="00863264" w:rsidP="00863264">
      <w:pPr>
        <w:spacing w:after="120" w:line="276" w:lineRule="auto"/>
        <w:ind w:firstLine="709"/>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22" w:name="_Hlk74309042"/>
      <w:r w:rsidRPr="00F10E52">
        <w:rPr>
          <w:rFonts w:ascii="Verdana" w:eastAsia="Times New Roman" w:hAnsi="Verdana" w:cs="Arial"/>
          <w:bCs/>
          <w:lang w:eastAsia="x-none"/>
        </w:rPr>
        <w:t xml:space="preserve">que </w:t>
      </w:r>
      <w:bookmarkEnd w:id="22"/>
      <w:r>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23" w:name="_Hlk75768308"/>
      <w:r w:rsidRPr="00F10E52">
        <w:rPr>
          <w:rFonts w:ascii="Verdana" w:eastAsia="Times New Roman" w:hAnsi="Verdana" w:cs="Arial"/>
          <w:bCs/>
          <w:lang w:eastAsia="x-none"/>
        </w:rPr>
        <w:t>no termine yendo en detrimento de intereses públicos, cuya garantía está en cabeza del ejecutivo, como son los inmersos en las excepciones para la prohibición de contratación</w:t>
      </w:r>
      <w:r>
        <w:rPr>
          <w:rFonts w:ascii="Verdana" w:eastAsia="Times New Roman" w:hAnsi="Verdana" w:cs="Arial"/>
          <w:bCs/>
          <w:lang w:eastAsia="x-none"/>
        </w:rPr>
        <w:t>”</w:t>
      </w:r>
      <w:r w:rsidRPr="00F10E52">
        <w:rPr>
          <w:rStyle w:val="Refdenotaalpie"/>
          <w:rFonts w:ascii="Verdana" w:hAnsi="Verdana" w:cs="Arial"/>
        </w:rPr>
        <w:footnoteReference w:id="18"/>
      </w:r>
      <w:r w:rsidRPr="00F10E52">
        <w:rPr>
          <w:rFonts w:ascii="Verdana" w:eastAsia="Times New Roman" w:hAnsi="Verdana" w:cs="Arial"/>
          <w:bCs/>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24" w:name="_Hlk75783800"/>
      <w:bookmarkEnd w:id="23"/>
    </w:p>
    <w:p w14:paraId="1ECFEEC3" w14:textId="77777777" w:rsidR="00863264" w:rsidRDefault="00863264" w:rsidP="00863264">
      <w:pPr>
        <w:spacing w:before="120" w:after="120" w:line="276" w:lineRule="auto"/>
        <w:ind w:firstLine="708"/>
        <w:jc w:val="both"/>
        <w:rPr>
          <w:rFonts w:ascii="Verdana" w:eastAsia="Times New Roman" w:hAnsi="Verdana" w:cs="Arial"/>
          <w:bCs/>
          <w:lang w:eastAsia="x-none"/>
        </w:rPr>
      </w:pPr>
      <w:bookmarkStart w:id="25" w:name="_Hlk99438356"/>
      <w:r>
        <w:rPr>
          <w:rFonts w:ascii="Verdana" w:eastAsia="Times New Roman" w:hAnsi="Verdana" w:cs="Arial"/>
          <w:bCs/>
          <w:lang w:eastAsia="x-none"/>
        </w:rPr>
        <w:t>Ahora bien, e</w:t>
      </w:r>
      <w:r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Pr="00F10E52">
        <w:rPr>
          <w:rFonts w:ascii="Verdana" w:eastAsia="Times New Roman" w:hAnsi="Verdana" w:cs="Arial"/>
          <w:bCs/>
          <w:lang w:eastAsia="x-none"/>
        </w:rPr>
        <w:t>, expresión que contempla a los diferentes organismos o entidades autorizadas por la ley para suscribir contratos.</w:t>
      </w:r>
      <w:r w:rsidRPr="00F10E52">
        <w:rPr>
          <w:rFonts w:ascii="Verdana" w:hAnsi="Verdana"/>
        </w:rPr>
        <w:t xml:space="preserve"> </w:t>
      </w:r>
      <w:r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Pr="00F10E52">
        <w:rPr>
          <w:rFonts w:ascii="Verdana" w:eastAsia="Times New Roman" w:hAnsi="Verdana" w:cs="Arial"/>
          <w:bCs/>
          <w:lang w:eastAsia="x-none"/>
        </w:rPr>
        <w:t>todos</w:t>
      </w:r>
      <w:r>
        <w:rPr>
          <w:rFonts w:ascii="Verdana" w:eastAsia="Times New Roman" w:hAnsi="Verdana" w:cs="Arial"/>
          <w:bCs/>
          <w:lang w:eastAsia="x-none"/>
        </w:rPr>
        <w:t>”</w:t>
      </w:r>
      <w:r w:rsidRPr="00F10E52">
        <w:rPr>
          <w:rFonts w:ascii="Verdana" w:eastAsia="Times New Roman" w:hAnsi="Verdana" w:cs="Arial"/>
          <w:bCs/>
          <w:lang w:eastAsia="x-none"/>
        </w:rPr>
        <w:t xml:space="preserve"> utilizado por el legislador comprende</w:t>
      </w:r>
      <w:r w:rsidRPr="00F10E52">
        <w:rPr>
          <w:rFonts w:ascii="Verdana" w:hAnsi="Verdana"/>
        </w:rPr>
        <w:t xml:space="preserve"> </w:t>
      </w:r>
      <w:r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24"/>
      <w:r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25"/>
    </w:p>
    <w:p w14:paraId="2A07689C" w14:textId="77777777" w:rsidR="00863264" w:rsidRDefault="00863264" w:rsidP="00863264">
      <w:pPr>
        <w:spacing w:after="120" w:line="276" w:lineRule="auto"/>
        <w:ind w:firstLine="707"/>
        <w:jc w:val="both"/>
        <w:rPr>
          <w:rFonts w:ascii="Verdana" w:eastAsia="Calibri" w:hAnsi="Verdana" w:cs="Arial"/>
          <w:lang w:val="es-MX"/>
        </w:rPr>
      </w:pPr>
      <w:r>
        <w:rPr>
          <w:rFonts w:ascii="Verdana" w:eastAsia="Calibri" w:hAnsi="Verdana" w:cs="Arial"/>
          <w:lang w:val="es-MX"/>
        </w:rPr>
        <w:lastRenderedPageBreak/>
        <w:t>En segundo lugar, e</w:t>
      </w:r>
      <w:r w:rsidRPr="00A60F9C">
        <w:rPr>
          <w:rFonts w:ascii="Verdana" w:eastAsia="Calibri" w:hAnsi="Verdana" w:cs="Arial"/>
          <w:lang w:val="es-MX"/>
        </w:rPr>
        <w:t xml:space="preserve">n cuanto a las </w:t>
      </w:r>
      <w:r>
        <w:rPr>
          <w:rFonts w:ascii="Verdana" w:eastAsia="Times New Roman" w:hAnsi="Verdana" w:cs="Arial"/>
          <w:lang w:val="es-MX" w:eastAsia="es-CO"/>
        </w:rPr>
        <w:t>r</w:t>
      </w:r>
      <w:r w:rsidRPr="00A60F9C">
        <w:rPr>
          <w:rFonts w:ascii="Verdana" w:eastAsia="Times New Roman" w:hAnsi="Verdana" w:cs="Arial"/>
          <w:lang w:val="es-MX" w:eastAsia="es-CO"/>
        </w:rPr>
        <w:t xml:space="preserve">estricciones </w:t>
      </w:r>
      <w:bookmarkStart w:id="26" w:name="_Hlk75643279"/>
      <w:r w:rsidRPr="00A60F9C">
        <w:rPr>
          <w:rFonts w:ascii="Verdana" w:eastAsia="Times New Roman" w:hAnsi="Verdana" w:cs="Arial"/>
          <w:lang w:val="es-MX" w:eastAsia="es-CO"/>
        </w:rPr>
        <w:t>para la celebración de contratos y convenios interadministrativos en los comicios para cargos de elección popular</w:t>
      </w:r>
      <w:bookmarkStart w:id="27" w:name="_Hlk88210558"/>
      <w:bookmarkEnd w:id="26"/>
      <w:r>
        <w:rPr>
          <w:rFonts w:ascii="Verdana" w:eastAsia="Times New Roman" w:hAnsi="Verdana" w:cs="Arial"/>
          <w:lang w:val="es-MX" w:eastAsia="es-CO"/>
        </w:rPr>
        <w:t xml:space="preserve">, </w:t>
      </w:r>
      <w:r>
        <w:rPr>
          <w:rFonts w:ascii="Verdana" w:eastAsia="Calibri" w:hAnsi="Verdana" w:cs="Arial"/>
          <w:bCs/>
        </w:rPr>
        <w:t>e</w:t>
      </w:r>
      <w:r w:rsidRPr="00896CCA">
        <w:rPr>
          <w:rFonts w:ascii="Verdana" w:eastAsia="Calibri" w:hAnsi="Verdana" w:cs="Arial"/>
          <w:bCs/>
        </w:rPr>
        <w:t>l parágrafo del artículo 38 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896CCA">
        <w:rPr>
          <w:rFonts w:ascii="Verdana" w:eastAsia="Times New Roman" w:hAnsi="Verdana" w:cs="Arial"/>
          <w:bCs/>
          <w:iCs/>
          <w:lang w:val="es-MX" w:eastAsia="x-none"/>
        </w:rPr>
        <w:t xml:space="preserve"> </w:t>
      </w:r>
      <w:bookmarkStart w:id="28" w:name="_Hlk99578153"/>
      <w:bookmarkEnd w:id="27"/>
      <w:r w:rsidRPr="00896CCA">
        <w:rPr>
          <w:rFonts w:ascii="Verdana" w:eastAsia="Times New Roman" w:hAnsi="Verdana" w:cs="Arial"/>
          <w:bCs/>
          <w:iCs/>
          <w:lang w:val="es-MX" w:eastAsia="x-none"/>
        </w:rPr>
        <w:t>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bookmarkEnd w:id="28"/>
      <w:r w:rsidRPr="00896CCA">
        <w:rPr>
          <w:rFonts w:ascii="Verdana" w:eastAsia="Times New Roman" w:hAnsi="Verdana" w:cs="Arial"/>
          <w:bCs/>
          <w:iCs/>
          <w:vertAlign w:val="superscript"/>
          <w:lang w:val="es-MX" w:eastAsia="x-none"/>
        </w:rPr>
        <w:footnoteReference w:id="19"/>
      </w:r>
      <w:r w:rsidRPr="00896CCA">
        <w:rPr>
          <w:rFonts w:ascii="Verdana" w:eastAsia="Times New Roman" w:hAnsi="Verdana" w:cs="Arial"/>
          <w:bCs/>
          <w:iCs/>
          <w:lang w:val="es-MX" w:eastAsia="x-none"/>
        </w:rPr>
        <w:t>.</w:t>
      </w:r>
      <w:r w:rsidRPr="00896CCA">
        <w:rPr>
          <w:rFonts w:ascii="Verdana" w:eastAsia="Calibri" w:hAnsi="Verdana" w:cs="Arial"/>
          <w:lang w:val="es-MX"/>
        </w:rPr>
        <w:t xml:space="preserve"> </w:t>
      </w:r>
    </w:p>
    <w:p w14:paraId="7945043B" w14:textId="77777777" w:rsidR="00863264" w:rsidRPr="00896CCA" w:rsidRDefault="00863264" w:rsidP="00863264">
      <w:pPr>
        <w:widowControl w:val="0"/>
        <w:autoSpaceDE w:val="0"/>
        <w:autoSpaceDN w:val="0"/>
        <w:spacing w:after="120" w:line="276" w:lineRule="auto"/>
        <w:ind w:firstLine="707"/>
        <w:jc w:val="both"/>
        <w:rPr>
          <w:rFonts w:ascii="Verdana" w:eastAsia="Arial" w:hAnsi="Verdana" w:cs="Arial"/>
          <w:lang w:val="es-ES" w:eastAsia="es-ES" w:bidi="es-ES"/>
        </w:rPr>
      </w:pPr>
      <w:r w:rsidRPr="00896CCA">
        <w:rPr>
          <w:rFonts w:ascii="Verdana" w:eastAsia="Calibri" w:hAnsi="Verdana" w:cs="Arial"/>
          <w:bCs/>
          <w:lang w:eastAsia="es-ES" w:bidi="es-ES"/>
        </w:rPr>
        <w:t xml:space="preserve">Ahora bien, </w:t>
      </w:r>
      <w:bookmarkStart w:id="29" w:name="_Hlk78820161"/>
      <w:r w:rsidRPr="00896CCA">
        <w:rPr>
          <w:rFonts w:ascii="Verdana" w:eastAsia="Calibri" w:hAnsi="Verdana" w:cs="Arial"/>
          <w:bCs/>
          <w:lang w:eastAsia="es-ES" w:bidi="es-ES"/>
        </w:rPr>
        <w:t xml:space="preserve">para determinar el alcance de la prohibición consagrada por la Ley de Garantías Electorales, conviene precisar la tipología de convenios o contratos interadministrativos. </w:t>
      </w:r>
      <w:r w:rsidRPr="00896CCA">
        <w:rPr>
          <w:rFonts w:ascii="Verdana" w:eastAsia="Arial" w:hAnsi="Verdana" w:cs="Arial"/>
          <w:lang w:val="es-ES" w:eastAsia="es-ES" w:bidi="es-ES"/>
        </w:rPr>
        <w:t>Aunque la ley no la definió ni desarrolló, el Decreto 1082 de 2015 califica a los convenios o contratos interadministrativos como aquella contratación entre entidades estatales</w:t>
      </w:r>
      <w:r w:rsidRPr="00896CCA">
        <w:rPr>
          <w:rFonts w:ascii="Verdana" w:eastAsia="Arial" w:hAnsi="Verdana" w:cs="Arial"/>
          <w:vertAlign w:val="superscript"/>
          <w:lang w:val="es-ES" w:eastAsia="es-ES" w:bidi="es-ES"/>
        </w:rPr>
        <w:footnoteReference w:id="20"/>
      </w:r>
      <w:r w:rsidRPr="00896CCA">
        <w:rPr>
          <w:rFonts w:ascii="Verdana" w:eastAsia="Arial" w:hAnsi="Verdana" w:cs="Arial"/>
          <w:lang w:val="es-ES" w:eastAsia="es-ES" w:bidi="es-ES"/>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896CCA">
        <w:rPr>
          <w:rFonts w:ascii="Verdana" w:eastAsia="Arial" w:hAnsi="Verdana" w:cs="Arial"/>
          <w:spacing w:val="-6"/>
          <w:lang w:val="es-ES" w:eastAsia="es-ES" w:bidi="es-ES"/>
        </w:rPr>
        <w:t xml:space="preserve"> </w:t>
      </w:r>
      <w:r w:rsidRPr="00896CCA">
        <w:rPr>
          <w:rFonts w:ascii="Verdana" w:eastAsia="Arial" w:hAnsi="Verdana" w:cs="Arial"/>
          <w:lang w:val="es-ES" w:eastAsia="es-ES" w:bidi="es-ES"/>
        </w:rPr>
        <w:t>estatales.</w:t>
      </w:r>
    </w:p>
    <w:p w14:paraId="67C04A49" w14:textId="77777777" w:rsidR="00863264" w:rsidRPr="00896CCA" w:rsidRDefault="00863264" w:rsidP="00863264">
      <w:pPr>
        <w:widowControl w:val="0"/>
        <w:autoSpaceDE w:val="0"/>
        <w:autoSpaceDN w:val="0"/>
        <w:spacing w:after="120" w:line="276" w:lineRule="auto"/>
        <w:ind w:firstLine="707"/>
        <w:jc w:val="both"/>
        <w:rPr>
          <w:rFonts w:ascii="Verdana" w:eastAsia="Calibri" w:hAnsi="Verdana" w:cs="Arial"/>
          <w:bCs/>
          <w:lang w:val="es-ES"/>
        </w:rPr>
      </w:pPr>
      <w:bookmarkStart w:id="30" w:name="_Hlk78820654"/>
      <w:bookmarkEnd w:id="29"/>
      <w:r w:rsidRPr="00896CCA">
        <w:rPr>
          <w:rFonts w:ascii="Verdana" w:eastAsia="Arial" w:hAnsi="Verdana" w:cs="Arial"/>
          <w:lang w:val="es-ES" w:eastAsia="es-ES" w:bidi="es-ES"/>
        </w:rPr>
        <w:t xml:space="preserve">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 De esta manera, sin perjuicio de lo dispuesto en el </w:t>
      </w:r>
      <w:r w:rsidRPr="00896CCA">
        <w:rPr>
          <w:rFonts w:ascii="Verdana" w:eastAsia="Arial" w:hAnsi="Verdana" w:cs="Arial"/>
          <w:lang w:val="es-ES" w:eastAsia="es-ES" w:bidi="es-ES"/>
        </w:rPr>
        <w:lastRenderedPageBreak/>
        <w:t>artículo 56 de la Ley 2195 de 2022, el literal c) del artículo 2.4 de la Ley 1150 de 2007 dispone que “</w:t>
      </w:r>
      <w:r w:rsidRPr="00896CCA">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56EEC04A" w14:textId="77777777" w:rsidR="00863264" w:rsidRPr="00896CCA" w:rsidRDefault="00863264" w:rsidP="00863264">
      <w:pPr>
        <w:widowControl w:val="0"/>
        <w:autoSpaceDE w:val="0"/>
        <w:autoSpaceDN w:val="0"/>
        <w:spacing w:after="120" w:line="276" w:lineRule="auto"/>
        <w:ind w:firstLine="707"/>
        <w:jc w:val="both"/>
        <w:rPr>
          <w:rFonts w:ascii="Verdana" w:eastAsia="Arial" w:hAnsi="Verdana" w:cs="Arial"/>
          <w:lang w:val="es-ES" w:eastAsia="es-ES" w:bidi="es-ES"/>
        </w:rPr>
      </w:pPr>
      <w:bookmarkStart w:id="31" w:name="_Hlk99578261"/>
      <w:bookmarkEnd w:id="30"/>
      <w:r w:rsidRPr="00896CCA">
        <w:rPr>
          <w:rFonts w:ascii="Verdana" w:eastAsia="Arial" w:hAnsi="Verdana" w:cs="Arial"/>
          <w:lang w:val="es-ES" w:eastAsia="es-ES" w:bidi="es-ES"/>
        </w:rPr>
        <w:t>Adicionalmente,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896CCA">
        <w:rPr>
          <w:rFonts w:ascii="Verdana" w:eastAsia="Arial" w:hAnsi="Verdana" w:cs="Arial"/>
          <w:vertAlign w:val="superscript"/>
          <w:lang w:val="es-ES" w:eastAsia="es-ES" w:bidi="es-ES"/>
        </w:rPr>
        <w:footnoteReference w:id="21"/>
      </w:r>
      <w:r w:rsidRPr="00896CCA">
        <w:rPr>
          <w:rFonts w:ascii="Verdana" w:eastAsia="Arial" w:hAnsi="Verdana" w:cs="Arial"/>
          <w:lang w:val="es-ES" w:eastAsia="es-ES" w:bidi="es-ES"/>
        </w:rPr>
        <w:t>. Nótese que, en este caso, lo que cambia es la modalidad de selección y no la naturaleza de contrato</w:t>
      </w:r>
      <w:r w:rsidRPr="00896CCA">
        <w:rPr>
          <w:rFonts w:ascii="Verdana" w:eastAsia="Arial" w:hAnsi="Verdana" w:cs="Arial"/>
          <w:spacing w:val="-18"/>
          <w:lang w:val="es-ES" w:eastAsia="es-ES" w:bidi="es-ES"/>
        </w:rPr>
        <w:t xml:space="preserve"> </w:t>
      </w:r>
      <w:r w:rsidRPr="00896CCA">
        <w:rPr>
          <w:rFonts w:ascii="Verdana" w:eastAsia="Arial" w:hAnsi="Verdana" w:cs="Arial"/>
          <w:lang w:val="es-ES" w:eastAsia="es-ES" w:bidi="es-ES"/>
        </w:rPr>
        <w:t>interadministrativo.</w:t>
      </w:r>
    </w:p>
    <w:bookmarkEnd w:id="31"/>
    <w:p w14:paraId="2053B4B2" w14:textId="77777777" w:rsidR="00863264" w:rsidRDefault="00863264" w:rsidP="00863264">
      <w:pPr>
        <w:tabs>
          <w:tab w:val="left" w:pos="426"/>
        </w:tabs>
        <w:spacing w:after="120" w:line="276" w:lineRule="auto"/>
        <w:ind w:firstLine="709"/>
        <w:jc w:val="both"/>
        <w:rPr>
          <w:rFonts w:ascii="Verdana" w:eastAsia="Times New Roman" w:hAnsi="Verdana" w:cs="Arial"/>
          <w:bCs/>
          <w:lang w:val="es-MX" w:eastAsia="es-CO"/>
        </w:rPr>
      </w:pPr>
      <w:r w:rsidRPr="00896CCA">
        <w:rPr>
          <w:rFonts w:ascii="Verdana" w:eastAsia="Times New Roman" w:hAnsi="Verdana" w:cs="Arial"/>
          <w:bCs/>
          <w:lang w:eastAsia="es-CO"/>
        </w:rPr>
        <w:t xml:space="preserve">Se observa entonces que </w:t>
      </w:r>
      <w:r w:rsidRPr="00896CCA">
        <w:rPr>
          <w:rFonts w:ascii="Verdana" w:eastAsia="Times New Roman" w:hAnsi="Verdana" w:cs="Arial"/>
          <w:bCs/>
          <w:lang w:val="es-MX"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w:t>
      </w:r>
      <w:r w:rsidRPr="00896CCA">
        <w:rPr>
          <w:rFonts w:ascii="Verdana" w:eastAsia="Times New Roman" w:hAnsi="Verdana" w:cs="Arial"/>
          <w:bCs/>
          <w:i/>
          <w:iCs/>
          <w:lang w:val="es-MX" w:eastAsia="es-CO"/>
        </w:rPr>
        <w:t>ibidem</w:t>
      </w:r>
      <w:r w:rsidRPr="00896CCA">
        <w:rPr>
          <w:rFonts w:ascii="Verdana" w:eastAsia="Times New Roman" w:hAnsi="Verdana" w:cs="Arial"/>
          <w:bCs/>
          <w:lang w:val="es-MX" w:eastAsia="es-CO"/>
        </w:rPr>
        <w:t>, 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r w:rsidRPr="00896CCA">
        <w:rPr>
          <w:rFonts w:ascii="Verdana" w:eastAsia="Calibri" w:hAnsi="Verdana" w:cs="Arial"/>
          <w:bCs/>
          <w:vertAlign w:val="superscript"/>
          <w:lang w:val="es-MX" w:eastAsia="es-CO"/>
        </w:rPr>
        <w:footnoteReference w:id="22"/>
      </w:r>
      <w:r w:rsidRPr="00896CCA">
        <w:rPr>
          <w:rFonts w:ascii="Verdana" w:eastAsia="Times New Roman" w:hAnsi="Verdana" w:cs="Arial"/>
          <w:bCs/>
          <w:lang w:val="es-MX" w:eastAsia="es-CO"/>
        </w:rPr>
        <w:t xml:space="preserve">. </w:t>
      </w:r>
    </w:p>
    <w:p w14:paraId="4647D406" w14:textId="77777777" w:rsidR="00863264" w:rsidRPr="00E2397D" w:rsidRDefault="00863264" w:rsidP="00863264">
      <w:pPr>
        <w:spacing w:after="120" w:line="276" w:lineRule="auto"/>
        <w:ind w:firstLine="709"/>
        <w:jc w:val="both"/>
        <w:rPr>
          <w:rFonts w:ascii="Verdana" w:eastAsia="Calibri" w:hAnsi="Verdana" w:cs="Arial"/>
          <w:lang w:bidi="es-ES"/>
        </w:rPr>
      </w:pPr>
      <w:r>
        <w:rPr>
          <w:rFonts w:ascii="Verdana" w:eastAsia="Times New Roman" w:hAnsi="Verdana" w:cs="Arial"/>
          <w:lang w:val="es-MX" w:eastAsia="x-none"/>
        </w:rPr>
        <w:t>E</w:t>
      </w:r>
      <w:r w:rsidRPr="00E2397D">
        <w:rPr>
          <w:rFonts w:ascii="Verdana" w:eastAsia="Times New Roman" w:hAnsi="Verdana" w:cs="Arial"/>
          <w:lang w:val="es-MX" w:eastAsia="x-none"/>
        </w:rPr>
        <w:t xml:space="preserve">s importante señalar que esta Subdirección, en los conceptos emitidos sobre la aplicación de la Ley de Garantías Electorales, ha defendido y mantenido </w:t>
      </w:r>
      <w:r w:rsidRPr="00E2397D">
        <w:rPr>
          <w:rFonts w:ascii="Verdana" w:eastAsia="Times New Roman" w:hAnsi="Verdana" w:cs="Arial"/>
          <w:lang w:val="es-MX" w:eastAsia="x-none"/>
        </w:rPr>
        <w:lastRenderedPageBreak/>
        <w:t xml:space="preserve">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4C9DCF55" w14:textId="77777777" w:rsidR="00863264" w:rsidRPr="00E2397D" w:rsidRDefault="00863264" w:rsidP="00863264">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23"/>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4"/>
      </w:r>
      <w:r w:rsidRPr="00E2397D">
        <w:rPr>
          <w:rFonts w:ascii="Verdana" w:eastAsia="Arial" w:hAnsi="Verdana" w:cs="Arial"/>
          <w:lang w:val="es-ES" w:eastAsia="es-ES" w:bidi="es-ES"/>
        </w:rPr>
        <w:t>.</w:t>
      </w:r>
    </w:p>
    <w:p w14:paraId="5D27D1F5" w14:textId="77777777" w:rsidR="00863264" w:rsidRPr="00E2397D" w:rsidRDefault="00863264" w:rsidP="00863264">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5BAE9B4A" w14:textId="77777777" w:rsidR="00863264" w:rsidRPr="00E2397D" w:rsidRDefault="00863264" w:rsidP="00863264">
      <w:pPr>
        <w:widowControl w:val="0"/>
        <w:autoSpaceDE w:val="0"/>
        <w:autoSpaceDN w:val="0"/>
        <w:spacing w:after="0" w:line="276" w:lineRule="auto"/>
        <w:contextualSpacing/>
        <w:jc w:val="both"/>
        <w:rPr>
          <w:rFonts w:ascii="Verdana" w:eastAsia="Arial" w:hAnsi="Verdana" w:cs="Arial"/>
          <w:lang w:val="es-ES" w:eastAsia="es-ES" w:bidi="es-ES"/>
        </w:rPr>
      </w:pPr>
    </w:p>
    <w:p w14:paraId="54884651" w14:textId="77777777" w:rsidR="00863264" w:rsidRPr="00E2397D" w:rsidRDefault="00863264" w:rsidP="00863264">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lastRenderedPageBreak/>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0AFE6280" w14:textId="77777777" w:rsidR="00863264" w:rsidRPr="00E2397D" w:rsidRDefault="00863264" w:rsidP="00863264">
      <w:pPr>
        <w:spacing w:after="0" w:line="240" w:lineRule="auto"/>
        <w:ind w:left="709" w:right="709"/>
        <w:jc w:val="both"/>
        <w:rPr>
          <w:rFonts w:ascii="Verdana" w:eastAsia="Calibri" w:hAnsi="Verdana" w:cs="Arial"/>
          <w:sz w:val="20"/>
          <w:szCs w:val="20"/>
          <w:lang w:val="es-MX"/>
        </w:rPr>
      </w:pPr>
    </w:p>
    <w:p w14:paraId="5C159081" w14:textId="77777777" w:rsidR="00863264" w:rsidRPr="00E2397D" w:rsidRDefault="00863264" w:rsidP="00863264">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4255940F" w14:textId="77777777" w:rsidR="00863264" w:rsidRPr="00E2397D" w:rsidRDefault="00863264" w:rsidP="00863264">
      <w:pPr>
        <w:spacing w:after="0" w:line="240" w:lineRule="auto"/>
        <w:ind w:left="709" w:right="709"/>
        <w:jc w:val="both"/>
        <w:rPr>
          <w:rFonts w:ascii="Verdana" w:eastAsia="Calibri" w:hAnsi="Verdana" w:cs="Arial"/>
          <w:sz w:val="20"/>
          <w:szCs w:val="20"/>
          <w:lang w:val="es-MX"/>
        </w:rPr>
      </w:pPr>
    </w:p>
    <w:p w14:paraId="681DCC34" w14:textId="77777777" w:rsidR="00863264" w:rsidRPr="00E2397D" w:rsidRDefault="00863264" w:rsidP="00863264">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5A2FCF0A" w14:textId="77777777" w:rsidR="00863264" w:rsidRPr="00E2397D" w:rsidRDefault="00863264" w:rsidP="00863264">
      <w:pPr>
        <w:widowControl w:val="0"/>
        <w:autoSpaceDE w:val="0"/>
        <w:autoSpaceDN w:val="0"/>
        <w:spacing w:after="0" w:line="276" w:lineRule="auto"/>
        <w:contextualSpacing/>
        <w:jc w:val="both"/>
        <w:rPr>
          <w:rFonts w:ascii="Verdana" w:eastAsia="Arial" w:hAnsi="Verdana" w:cs="Arial"/>
          <w:lang w:val="es-ES" w:eastAsia="es-ES" w:bidi="es-ES"/>
        </w:rPr>
      </w:pPr>
    </w:p>
    <w:p w14:paraId="77269EE7" w14:textId="77777777" w:rsidR="00863264" w:rsidRPr="00E2397D" w:rsidRDefault="00863264" w:rsidP="00863264">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1FAAEFD1" w14:textId="77777777" w:rsidR="00863264" w:rsidRPr="00E2397D" w:rsidRDefault="00863264" w:rsidP="00863264">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w:t>
      </w:r>
      <w:r w:rsidRPr="00E2397D">
        <w:rPr>
          <w:rFonts w:ascii="Verdana" w:eastAsia="Arial" w:hAnsi="Verdana" w:cs="Arial"/>
          <w:lang w:val="es-MX" w:eastAsia="es-ES" w:bidi="es-ES"/>
        </w:rPr>
        <w:lastRenderedPageBreak/>
        <w:t xml:space="preserve">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25"/>
      </w:r>
      <w:r w:rsidRPr="00E2397D">
        <w:rPr>
          <w:rFonts w:ascii="Verdana" w:hAnsi="Verdana"/>
        </w:rPr>
        <w:t>:</w:t>
      </w:r>
      <w:r w:rsidRPr="00E2397D">
        <w:t xml:space="preserve"> </w:t>
      </w:r>
    </w:p>
    <w:p w14:paraId="7BBEEDFA" w14:textId="77777777" w:rsidR="00863264" w:rsidRPr="00E2397D" w:rsidRDefault="00863264" w:rsidP="00863264">
      <w:pPr>
        <w:spacing w:after="0" w:line="276" w:lineRule="auto"/>
        <w:ind w:firstLine="709"/>
        <w:jc w:val="both"/>
      </w:pPr>
    </w:p>
    <w:p w14:paraId="66BC93D8" w14:textId="77777777" w:rsidR="00863264" w:rsidRPr="00E2397D" w:rsidRDefault="00863264" w:rsidP="00863264">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B80A141" w14:textId="77777777" w:rsidR="00863264" w:rsidRPr="00E2397D" w:rsidRDefault="00863264" w:rsidP="00863264">
      <w:pPr>
        <w:spacing w:after="0" w:line="240" w:lineRule="auto"/>
        <w:ind w:left="709" w:right="709"/>
        <w:jc w:val="both"/>
        <w:rPr>
          <w:rFonts w:ascii="Verdana" w:eastAsia="Calibri" w:hAnsi="Verdana" w:cs="Arial"/>
          <w:sz w:val="20"/>
          <w:szCs w:val="20"/>
        </w:rPr>
      </w:pPr>
    </w:p>
    <w:p w14:paraId="40B72802" w14:textId="77777777" w:rsidR="00863264" w:rsidRPr="00E2397D" w:rsidRDefault="00863264" w:rsidP="00863264">
      <w:pPr>
        <w:spacing w:after="0" w:line="240" w:lineRule="auto"/>
        <w:ind w:left="709" w:right="709"/>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D86B60F" w14:textId="77777777" w:rsidR="00863264" w:rsidRPr="00E2397D" w:rsidRDefault="00863264" w:rsidP="00863264">
      <w:pPr>
        <w:spacing w:after="0" w:line="276" w:lineRule="auto"/>
        <w:ind w:left="709" w:right="709"/>
        <w:jc w:val="both"/>
        <w:rPr>
          <w:rFonts w:ascii="Verdana" w:hAnsi="Verdana"/>
        </w:rPr>
      </w:pPr>
    </w:p>
    <w:p w14:paraId="4403356A" w14:textId="77777777" w:rsidR="00863264" w:rsidRPr="00E2397D" w:rsidRDefault="00863264" w:rsidP="00863264">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A2506CA" w14:textId="77777777" w:rsidR="00863264" w:rsidRPr="00E2397D" w:rsidRDefault="00863264" w:rsidP="00863264">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lastRenderedPageBreak/>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098240B6" w14:textId="77777777" w:rsidR="00863264" w:rsidRPr="00E2397D" w:rsidRDefault="00863264" w:rsidP="00863264">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64F94AF9" w14:textId="77777777" w:rsidR="00863264" w:rsidRDefault="00863264" w:rsidP="00863264">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w:t>
      </w:r>
      <w:r>
        <w:rPr>
          <w:rFonts w:ascii="Verdana" w:eastAsia="Times New Roman" w:hAnsi="Verdana" w:cs="Arial"/>
          <w:lang w:val="es-MX" w:eastAsia="es-CO"/>
        </w:rPr>
        <w:t xml:space="preserve">istrativos. </w:t>
      </w:r>
    </w:p>
    <w:p w14:paraId="4ABE2FE3" w14:textId="77777777" w:rsidR="00863264" w:rsidRDefault="00863264" w:rsidP="00863264">
      <w:pPr>
        <w:widowControl w:val="0"/>
        <w:autoSpaceDE w:val="0"/>
        <w:autoSpaceDN w:val="0"/>
        <w:spacing w:after="120" w:line="276" w:lineRule="auto"/>
        <w:ind w:firstLine="709"/>
        <w:jc w:val="both"/>
        <w:rPr>
          <w:rFonts w:ascii="Verdana" w:eastAsia="Calibri" w:hAnsi="Verdana" w:cs="Arial"/>
          <w:lang w:eastAsia="es-ES" w:bidi="es-ES"/>
        </w:rPr>
      </w:pPr>
      <w:bookmarkStart w:id="32" w:name="_Hlk77154098"/>
      <w:r w:rsidRPr="00896CCA">
        <w:rPr>
          <w:rFonts w:ascii="Verdana" w:eastAsia="Times New Roman" w:hAnsi="Verdana" w:cs="Arial"/>
          <w:bCs/>
          <w:lang w:val="es-ES" w:eastAsia="es-CO" w:bidi="es-ES"/>
        </w:rPr>
        <w:t>En todo caso</w:t>
      </w:r>
      <w:r w:rsidRPr="00896CCA">
        <w:rPr>
          <w:rFonts w:ascii="Verdana" w:eastAsia="Arial" w:hAnsi="Verdana" w:cs="Arial"/>
          <w:lang w:val="es-ES" w:eastAsia="es-ES" w:bidi="es-ES"/>
        </w:rPr>
        <w:t xml:space="preserve">, es importante resaltar que la Sala de Consulta y Servicio Civil del Consejo de Estado se ha pronunciado en el sentido de que </w:t>
      </w:r>
      <w:bookmarkStart w:id="33" w:name="_Hlk78820889"/>
      <w:r w:rsidRPr="00896CCA">
        <w:rPr>
          <w:rFonts w:ascii="Verdana" w:eastAsia="Arial" w:hAnsi="Verdana" w:cs="Arial"/>
          <w:lang w:val="es-ES" w:eastAsia="es-ES" w:bidi="es-ES"/>
        </w:rPr>
        <w:t xml:space="preserve">no se les aplica la restricción contemplada en el artículo 38 de la Ley de Garantías a los </w:t>
      </w:r>
      <w:r w:rsidRPr="00896CCA">
        <w:rPr>
          <w:rFonts w:ascii="Verdana" w:eastAsia="Arial" w:hAnsi="Verdana" w:cs="Arial"/>
          <w:lang w:val="es-ES" w:eastAsia="es-ES" w:bidi="es-ES"/>
        </w:rPr>
        <w:lastRenderedPageBreak/>
        <w:t>convenios o contratos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33"/>
      <w:r w:rsidRPr="00896CCA">
        <w:rPr>
          <w:rFonts w:ascii="Verdana" w:eastAsia="Arial" w:hAnsi="Verdana" w:cs="Arial"/>
          <w:vertAlign w:val="superscript"/>
          <w:lang w:val="es-ES" w:eastAsia="es-ES" w:bidi="es-ES"/>
        </w:rPr>
        <w:footnoteReference w:id="26"/>
      </w:r>
      <w:r w:rsidRPr="00896CCA">
        <w:rPr>
          <w:rFonts w:ascii="Verdana" w:eastAsia="Calibri" w:hAnsi="Verdana" w:cs="Arial"/>
          <w:lang w:eastAsia="es-ES" w:bidi="es-ES"/>
        </w:rPr>
        <w:t>.</w:t>
      </w:r>
      <w:bookmarkEnd w:id="32"/>
    </w:p>
    <w:p w14:paraId="7D3FF3D9" w14:textId="77777777" w:rsidR="00863264" w:rsidRDefault="00863264" w:rsidP="00863264">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Finalmente y con el propósito de absolver</w:t>
      </w:r>
      <w:r>
        <w:rPr>
          <w:rFonts w:ascii="Verdana" w:eastAsia="Times New Roman" w:hAnsi="Verdana" w:cs="Times New Roman"/>
          <w:lang w:eastAsia="es-MX"/>
        </w:rPr>
        <w:t xml:space="preserve"> sobre el particular de </w:t>
      </w:r>
      <w:r w:rsidRPr="00805B33">
        <w:rPr>
          <w:rFonts w:ascii="Verdana" w:eastAsia="Times New Roman" w:hAnsi="Verdana" w:cs="Times New Roman"/>
          <w:lang w:eastAsia="es-MX"/>
        </w:rPr>
        <w:t xml:space="preserve">la consulta, se debe partir de que las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diseñada para garantizar la transparencia y la igualdad en la contienda electoral, evitando que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entidad que maneje recursos públicos pueda usarlos para inclinar la balanza política.</w:t>
      </w:r>
    </w:p>
    <w:p w14:paraId="197ACA9D" w14:textId="77777777" w:rsidR="00863264" w:rsidRDefault="00863264" w:rsidP="00863264">
      <w:pPr>
        <w:spacing w:before="120" w:after="120" w:line="276" w:lineRule="auto"/>
        <w:ind w:firstLine="708"/>
        <w:jc w:val="both"/>
        <w:rPr>
          <w:rFonts w:ascii="Verdana" w:eastAsia="Times New Roman" w:hAnsi="Verdana" w:cs="Arial"/>
          <w:lang w:eastAsia="x-none"/>
        </w:rPr>
      </w:pPr>
      <w:r>
        <w:rPr>
          <w:rFonts w:ascii="Verdana" w:eastAsia="Times New Roman" w:hAnsi="Verdana" w:cs="Times New Roman"/>
          <w:lang w:eastAsia="es-MX"/>
        </w:rPr>
        <w:t>En este sentido</w:t>
      </w:r>
      <w:r w:rsidRPr="00805B33">
        <w:rPr>
          <w:rFonts w:ascii="Verdana" w:eastAsia="Times New Roman" w:hAnsi="Verdana" w:cs="Times New Roman"/>
          <w:lang w:eastAsia="es-MX"/>
        </w:rPr>
        <w:t>, la Ley 996 de 2005</w:t>
      </w:r>
      <w:r>
        <w:rPr>
          <w:rFonts w:ascii="Verdana" w:eastAsia="Times New Roman" w:hAnsi="Verdana" w:cs="Times New Roman"/>
          <w:lang w:eastAsia="es-MX"/>
        </w:rPr>
        <w:t xml:space="preserve">, establece dos prohibiciones </w:t>
      </w:r>
      <w:r w:rsidRPr="009816B6">
        <w:rPr>
          <w:rFonts w:ascii="Verdana" w:eastAsia="Times New Roman" w:hAnsi="Verdana" w:cs="Times New Roman"/>
          <w:i/>
          <w:iCs/>
          <w:lang w:eastAsia="es-MX"/>
        </w:rPr>
        <w:t>i)</w:t>
      </w:r>
      <w:r>
        <w:rPr>
          <w:rFonts w:ascii="Verdana" w:eastAsia="Times New Roman" w:hAnsi="Verdana" w:cs="Times New Roman"/>
          <w:lang w:eastAsia="es-MX"/>
        </w:rPr>
        <w:t xml:space="preserve"> de un lado, la p</w:t>
      </w:r>
      <w:r w:rsidRPr="00805B33">
        <w:rPr>
          <w:rFonts w:ascii="Verdana" w:eastAsia="Times New Roman" w:hAnsi="Verdana" w:cs="Times New Roman"/>
          <w:lang w:eastAsia="es-MX"/>
        </w:rPr>
        <w:t xml:space="preserve">rohibición del </w:t>
      </w:r>
      <w:r>
        <w:rPr>
          <w:rFonts w:ascii="Verdana" w:eastAsia="Times New Roman" w:hAnsi="Verdana" w:cs="Times New Roman"/>
          <w:lang w:eastAsia="es-MX"/>
        </w:rPr>
        <w:t>a</w:t>
      </w:r>
      <w:r w:rsidRPr="00805B33">
        <w:rPr>
          <w:rFonts w:ascii="Verdana" w:eastAsia="Times New Roman" w:hAnsi="Verdana" w:cs="Times New Roman"/>
          <w:lang w:eastAsia="es-MX"/>
        </w:rPr>
        <w:t>rtículo 33</w:t>
      </w:r>
      <w:r>
        <w:rPr>
          <w:rFonts w:ascii="Verdana" w:eastAsia="Times New Roman" w:hAnsi="Verdana" w:cs="Times New Roman"/>
          <w:lang w:eastAsia="es-MX"/>
        </w:rPr>
        <w:t xml:space="preserve">, donde se </w:t>
      </w:r>
      <w:r w:rsidRPr="00805B33">
        <w:rPr>
          <w:rFonts w:ascii="Verdana" w:eastAsia="Times New Roman" w:hAnsi="Verdana" w:cs="Times New Roman"/>
          <w:lang w:eastAsia="es-MX"/>
        </w:rPr>
        <w:t>prohíbe la contratación directa (salvo sus excepciones)</w:t>
      </w:r>
      <w:r>
        <w:rPr>
          <w:rFonts w:ascii="Verdana" w:eastAsia="Times New Roman" w:hAnsi="Verdana" w:cs="Times New Roman"/>
          <w:lang w:eastAsia="es-MX"/>
        </w:rPr>
        <w:t>,</w:t>
      </w:r>
      <w:r w:rsidRPr="00805B33">
        <w:rPr>
          <w:rFonts w:ascii="Verdana" w:eastAsia="Times New Roman" w:hAnsi="Verdana" w:cs="Times New Roman"/>
          <w:lang w:eastAsia="es-MX"/>
        </w:rPr>
        <w:t xml:space="preserve"> durante los cuatro meses previos a la elección </w:t>
      </w:r>
      <w:r w:rsidRPr="00805B33">
        <w:rPr>
          <w:rFonts w:ascii="Verdana" w:eastAsia="Times New Roman" w:hAnsi="Verdana" w:cs="Times New Roman"/>
          <w:i/>
          <w:iCs/>
          <w:lang w:eastAsia="es-MX"/>
        </w:rPr>
        <w:t>presidencial</w:t>
      </w:r>
      <w:r w:rsidRPr="00805B33">
        <w:rPr>
          <w:rFonts w:ascii="Verdana" w:eastAsia="Times New Roman" w:hAnsi="Verdana" w:cs="Times New Roman"/>
          <w:lang w:eastAsia="es-MX"/>
        </w:rPr>
        <w:t>. Esta restricción aplica a "todas las entidades del Estado". La Personería Municipal, al ser una entidad estatal y un órgano autónomo de control, está sujeta a esta restricción.</w:t>
      </w:r>
      <w:r>
        <w:rPr>
          <w:rFonts w:ascii="Verdana" w:eastAsia="Times New Roman" w:hAnsi="Verdana" w:cs="Times New Roman"/>
          <w:lang w:eastAsia="es-MX"/>
        </w:rPr>
        <w:t xml:space="preserve"> </w:t>
      </w:r>
      <w:proofErr w:type="spellStart"/>
      <w:r w:rsidRPr="009816B6">
        <w:rPr>
          <w:rFonts w:ascii="Verdana" w:eastAsia="Times New Roman" w:hAnsi="Verdana" w:cs="Times New Roman"/>
          <w:i/>
          <w:iCs/>
          <w:lang w:eastAsia="es-MX"/>
        </w:rPr>
        <w:t>ii</w:t>
      </w:r>
      <w:proofErr w:type="spellEnd"/>
      <w:r w:rsidRPr="009816B6">
        <w:rPr>
          <w:rFonts w:ascii="Verdana" w:eastAsia="Times New Roman" w:hAnsi="Verdana" w:cs="Times New Roman"/>
          <w:i/>
          <w:iCs/>
          <w:lang w:eastAsia="es-MX"/>
        </w:rPr>
        <w:t>)</w:t>
      </w:r>
      <w:r>
        <w:rPr>
          <w:rFonts w:ascii="Verdana" w:eastAsia="Times New Roman" w:hAnsi="Verdana" w:cs="Times New Roman"/>
          <w:lang w:eastAsia="es-MX"/>
        </w:rPr>
        <w:t xml:space="preserve"> y de otro lado, se encuentra la p</w:t>
      </w:r>
      <w:r w:rsidRPr="00805B33">
        <w:rPr>
          <w:rFonts w:ascii="Verdana" w:eastAsia="Times New Roman" w:hAnsi="Verdana" w:cs="Times New Roman"/>
          <w:lang w:eastAsia="es-MX"/>
        </w:rPr>
        <w:t>rohibición del Parágrafo del Artículo 38</w:t>
      </w:r>
      <w:r>
        <w:rPr>
          <w:rFonts w:ascii="Verdana" w:eastAsia="Times New Roman" w:hAnsi="Verdana" w:cs="Times New Roman"/>
          <w:lang w:eastAsia="es-MX"/>
        </w:rPr>
        <w:t xml:space="preserve">, allí se </w:t>
      </w:r>
      <w:r w:rsidRPr="00805B33">
        <w:rPr>
          <w:rFonts w:ascii="Verdana" w:eastAsia="Times New Roman" w:hAnsi="Verdana" w:cs="Times New Roman"/>
          <w:lang w:eastAsia="es-MX"/>
        </w:rPr>
        <w:t xml:space="preserve">prohíbe la celebración de convenios interadministrativos que ejecuten recursos públicos durante los cuatro meses previos a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tipo de elección nacional o territorial. </w:t>
      </w:r>
    </w:p>
    <w:p w14:paraId="16BBA967" w14:textId="77777777" w:rsidR="00863264" w:rsidRDefault="00863264" w:rsidP="00863264">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 xml:space="preserve">Esta prohibición se dirige explícitamente a "Gobernadores, Alcaldes Municipales y/o Distritales, Secretarios, Gerentes y directores de Entidades Descentralizadas". Aunque el Personero no está en esa lista taxativa, la prohibición recae </w:t>
      </w:r>
      <w:r>
        <w:rPr>
          <w:rFonts w:ascii="Verdana" w:eastAsia="Times New Roman" w:hAnsi="Verdana" w:cs="Times New Roman"/>
          <w:lang w:eastAsia="es-MX"/>
        </w:rPr>
        <w:t xml:space="preserve">en dicho cargo al ser el director </w:t>
      </w:r>
      <w:r w:rsidRPr="00805B33">
        <w:rPr>
          <w:rFonts w:ascii="Verdana" w:eastAsia="Times New Roman" w:hAnsi="Verdana" w:cs="Times New Roman"/>
          <w:lang w:eastAsia="es-MX"/>
        </w:rPr>
        <w:t>, haciendo jurídicamente inviable que la Personería suscriba dichos convenios con ellas durante el periodo restrictivo.</w:t>
      </w:r>
    </w:p>
    <w:p w14:paraId="385E8905" w14:textId="77777777" w:rsidR="00863264" w:rsidRDefault="00863264" w:rsidP="00863264">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 xml:space="preserve">En conclusión, la autonomía de la Personería Municipal frente a la Alcaldía no la exime del cumplimiento de la Ley de Garantías Electorales. Como entidad </w:t>
      </w:r>
      <w:r w:rsidRPr="00805B33">
        <w:rPr>
          <w:rFonts w:ascii="Verdana" w:eastAsia="Times New Roman" w:hAnsi="Verdana" w:cs="Times New Roman"/>
          <w:lang w:eastAsia="es-MX"/>
        </w:rPr>
        <w:lastRenderedPageBreak/>
        <w:t xml:space="preserve">estatal que maneja recursos públicos y posee la naturaleza de "órgano autónomo", la Personería está plenamente cobijada por las prohibiciones de los artículos 33 (en lo referente a contratación directa en </w:t>
      </w:r>
      <w:r>
        <w:rPr>
          <w:rFonts w:ascii="Verdana" w:eastAsia="Times New Roman" w:hAnsi="Verdana" w:cs="Times New Roman"/>
          <w:lang w:eastAsia="es-MX"/>
        </w:rPr>
        <w:t xml:space="preserve">elecciones </w:t>
      </w:r>
      <w:r w:rsidRPr="00805B33">
        <w:rPr>
          <w:rFonts w:ascii="Verdana" w:eastAsia="Times New Roman" w:hAnsi="Verdana" w:cs="Times New Roman"/>
          <w:lang w:eastAsia="es-MX"/>
        </w:rPr>
        <w:t>presidenciales</w:t>
      </w:r>
      <w:r>
        <w:rPr>
          <w:rFonts w:ascii="Verdana" w:eastAsia="Times New Roman" w:hAnsi="Verdana" w:cs="Times New Roman"/>
          <w:lang w:eastAsia="es-MX"/>
        </w:rPr>
        <w:t>, y la restricción del artículo</w:t>
      </w:r>
      <w:r w:rsidRPr="00805B33">
        <w:rPr>
          <w:rFonts w:ascii="Verdana" w:eastAsia="Times New Roman" w:hAnsi="Verdana" w:cs="Times New Roman"/>
          <w:lang w:eastAsia="es-MX"/>
        </w:rPr>
        <w:t xml:space="preserve"> 38</w:t>
      </w:r>
      <w:r>
        <w:rPr>
          <w:rFonts w:ascii="Verdana" w:eastAsia="Times New Roman" w:hAnsi="Verdana" w:cs="Times New Roman"/>
          <w:lang w:eastAsia="es-MX"/>
        </w:rPr>
        <w:t xml:space="preserve">, </w:t>
      </w:r>
      <w:r w:rsidRPr="00805B33">
        <w:rPr>
          <w:rFonts w:ascii="Verdana" w:eastAsia="Times New Roman" w:hAnsi="Verdana" w:cs="Times New Roman"/>
          <w:lang w:eastAsia="es-MX"/>
        </w:rPr>
        <w:t>en lo referente a convenios interadministrativos en toda elección</w:t>
      </w:r>
      <w:r>
        <w:rPr>
          <w:rFonts w:ascii="Verdana" w:eastAsia="Times New Roman" w:hAnsi="Verdana" w:cs="Times New Roman"/>
          <w:lang w:eastAsia="es-MX"/>
        </w:rPr>
        <w:t>,</w:t>
      </w:r>
      <w:r w:rsidRPr="00805B33">
        <w:rPr>
          <w:rFonts w:ascii="Verdana" w:eastAsia="Times New Roman" w:hAnsi="Verdana" w:cs="Times New Roman"/>
          <w:lang w:eastAsia="es-MX"/>
        </w:rPr>
        <w:t xml:space="preserve"> de la Ley 996 de 2005.</w:t>
      </w:r>
    </w:p>
    <w:p w14:paraId="1DBB4BED" w14:textId="77777777" w:rsidR="00863264" w:rsidRDefault="00863264" w:rsidP="00863264">
      <w:pPr>
        <w:widowControl w:val="0"/>
        <w:autoSpaceDE w:val="0"/>
        <w:autoSpaceDN w:val="0"/>
        <w:spacing w:after="0" w:line="276" w:lineRule="auto"/>
        <w:jc w:val="both"/>
        <w:rPr>
          <w:rFonts w:ascii="Verdana" w:eastAsia="Calibri" w:hAnsi="Verdana" w:cs="Times New Roman"/>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55C8509" w14:textId="77777777" w:rsidR="00863264" w:rsidRPr="00593A5F" w:rsidRDefault="00863264" w:rsidP="00863264">
      <w:pPr>
        <w:widowControl w:val="0"/>
        <w:autoSpaceDE w:val="0"/>
        <w:autoSpaceDN w:val="0"/>
        <w:spacing w:after="0" w:line="276" w:lineRule="auto"/>
        <w:jc w:val="both"/>
        <w:rPr>
          <w:rFonts w:ascii="Verdana" w:hAnsi="Verdana" w:cs="Arial"/>
        </w:rPr>
      </w:pPr>
    </w:p>
    <w:p w14:paraId="39687E1D" w14:textId="77777777" w:rsidR="00863264" w:rsidRPr="00593A5F" w:rsidRDefault="00863264" w:rsidP="0086326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78BB0230" w14:textId="77777777" w:rsidR="00863264" w:rsidRPr="00593A5F" w:rsidRDefault="00863264" w:rsidP="0086326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63264" w:rsidRPr="00593A5F" w14:paraId="1D8BEAC1" w14:textId="77777777" w:rsidTr="00CF4917">
        <w:trPr>
          <w:trHeight w:val="870"/>
        </w:trPr>
        <w:tc>
          <w:tcPr>
            <w:tcW w:w="8647" w:type="dxa"/>
          </w:tcPr>
          <w:p w14:paraId="394FDB9B" w14:textId="77777777" w:rsidR="00863264" w:rsidRDefault="00863264" w:rsidP="0086326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 xml:space="preserve">Constitución Política, art 118, 127, 190 y 197. </w:t>
            </w:r>
          </w:p>
          <w:p w14:paraId="47A8A000" w14:textId="77777777" w:rsidR="00863264" w:rsidRDefault="00863264" w:rsidP="0086326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Ley 996 de 2005, art 33 y 38.</w:t>
            </w:r>
          </w:p>
          <w:p w14:paraId="2B0EFFE9" w14:textId="77777777" w:rsidR="00863264" w:rsidRDefault="00863264" w:rsidP="0086326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 xml:space="preserve">Ley 1150 de 2007, art 2 numeral 4 </w:t>
            </w:r>
          </w:p>
          <w:p w14:paraId="797C544C" w14:textId="77777777" w:rsidR="00863264" w:rsidRDefault="00863264" w:rsidP="0086326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Decreto 1082 de 2015.</w:t>
            </w:r>
          </w:p>
          <w:p w14:paraId="31BAF2D4" w14:textId="77777777" w:rsidR="00863264" w:rsidRDefault="00863264" w:rsidP="0086326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 xml:space="preserve">Sentencia C-1153 de 2005, Corte Constitucional. </w:t>
            </w:r>
          </w:p>
          <w:p w14:paraId="6C027539" w14:textId="77777777" w:rsidR="00863264" w:rsidRDefault="00863264" w:rsidP="0086326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Auto 4 de octubre de 2024, Consejo de Estado, Sección Tercera.</w:t>
            </w:r>
          </w:p>
          <w:p w14:paraId="3557ED1D" w14:textId="77777777" w:rsidR="00863264" w:rsidRDefault="00863264" w:rsidP="0086326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 xml:space="preserve">Concepto 1712 de 2006, Consejo de Estado, Sala de Consulta y </w:t>
            </w:r>
            <w:proofErr w:type="gramStart"/>
            <w:r>
              <w:rPr>
                <w:rFonts w:ascii="Verdana" w:hAnsi="Verdana" w:cs="Arial"/>
              </w:rPr>
              <w:t>Servicio  Civil</w:t>
            </w:r>
            <w:proofErr w:type="gramEnd"/>
            <w:r>
              <w:rPr>
                <w:rFonts w:ascii="Verdana" w:hAnsi="Verdana" w:cs="Arial"/>
              </w:rPr>
              <w:t xml:space="preserve">. </w:t>
            </w:r>
          </w:p>
          <w:p w14:paraId="09305079" w14:textId="77777777" w:rsidR="00863264" w:rsidRPr="00AC742F" w:rsidRDefault="00863264" w:rsidP="0086326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 xml:space="preserve">Circular Externa Única de Colombia Compra Eficiente, Numeral 16.2. </w:t>
            </w:r>
          </w:p>
        </w:tc>
      </w:tr>
    </w:tbl>
    <w:p w14:paraId="1BB9BBD1" w14:textId="77777777" w:rsidR="00863264" w:rsidRPr="00593A5F" w:rsidRDefault="00863264" w:rsidP="00863264">
      <w:pPr>
        <w:widowControl w:val="0"/>
        <w:autoSpaceDE w:val="0"/>
        <w:autoSpaceDN w:val="0"/>
        <w:spacing w:after="0" w:line="276" w:lineRule="auto"/>
        <w:jc w:val="both"/>
        <w:rPr>
          <w:rFonts w:ascii="Verdana" w:hAnsi="Verdana" w:cs="Arial"/>
        </w:rPr>
      </w:pPr>
    </w:p>
    <w:p w14:paraId="3F670243" w14:textId="77777777" w:rsidR="00863264" w:rsidRPr="00593A5F" w:rsidRDefault="00863264" w:rsidP="0086326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DCEAD29" w14:textId="77777777" w:rsidR="00863264" w:rsidRPr="00593A5F" w:rsidRDefault="00863264" w:rsidP="00863264">
      <w:pPr>
        <w:widowControl w:val="0"/>
        <w:autoSpaceDE w:val="0"/>
        <w:autoSpaceDN w:val="0"/>
        <w:spacing w:after="0" w:line="276" w:lineRule="auto"/>
        <w:jc w:val="both"/>
        <w:rPr>
          <w:rFonts w:ascii="Verdana" w:hAnsi="Verdana" w:cs="Arial"/>
        </w:rPr>
      </w:pPr>
    </w:p>
    <w:p w14:paraId="2CD60285" w14:textId="77777777" w:rsidR="00863264" w:rsidRPr="00DF79A1" w:rsidRDefault="00863264" w:rsidP="00863264">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9E35F8">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w:t>
      </w:r>
      <w:r w:rsidRPr="009E35F8">
        <w:rPr>
          <w:rFonts w:ascii="Verdana" w:hAnsi="Verdana" w:cs="Arial"/>
          <w:shd w:val="clear" w:color="auto" w:fill="FFFFFF"/>
        </w:rPr>
        <w:lastRenderedPageBreak/>
        <w:t xml:space="preserve">septiembre de 2021, C-550 del 5 de octubre de 2021 y C-523 del 10 de octubre de 2021, C-606 del 28 de octubre de 2021 y C-614 del 2 de noviembre de 2021, C-636 del 16 de noviembre de 2021, 681 del 7 de diciembre de 2021, C-686 del 21 de diciembre de 2021, C-697 del 3 de enero de 2022, C-163 del 29 de marzo de 2022, C-180 del 21 de marzo de 2025, C-317 del 25 de abril de 2025, C-510 del 4 de junio de 2025, C -635 del 27 de junio de 2025 y C–750 de 17 de julio 2025, </w:t>
      </w:r>
      <w:r>
        <w:rPr>
          <w:rFonts w:ascii="Verdana" w:hAnsi="Verdana" w:cs="Arial"/>
          <w:shd w:val="clear" w:color="auto" w:fill="FFFFFF"/>
        </w:rPr>
        <w:t xml:space="preserve">C-1185 de 2025, </w:t>
      </w:r>
      <w:r w:rsidRPr="009E35F8">
        <w:rPr>
          <w:rFonts w:ascii="Verdana" w:eastAsia="Aptos" w:hAnsi="Verdana" w:cs="Arial"/>
          <w:shd w:val="clear" w:color="auto" w:fill="FFFFFF"/>
          <w:lang w:val="es-ES"/>
        </w:rPr>
        <w:t xml:space="preserve">entre otros. </w:t>
      </w:r>
      <w:r w:rsidRPr="009E35F8">
        <w:rPr>
          <w:rFonts w:ascii="Verdana" w:eastAsia="Calibri" w:hAnsi="Verdana" w:cs="Arial"/>
          <w:lang w:val="es-ES" w:eastAsia="es-ES_tradnl"/>
        </w:rPr>
        <w:t>Estos</w:t>
      </w:r>
      <w:r w:rsidRPr="009E35F8">
        <w:rPr>
          <w:rFonts w:ascii="Verdana" w:hAnsi="Verdana"/>
        </w:rPr>
        <w:t xml:space="preserve"> y otros conceptos se encuentran disponibles para consulta en el Sistema de relatoría de la Agencia, al cual se puede acceder a través del siguiente enlace:</w:t>
      </w:r>
      <w:r w:rsidRPr="009E35F8">
        <w:rPr>
          <w:rFonts w:ascii="Verdana" w:hAnsi="Verdana" w:cs="Arial"/>
          <w:shd w:val="clear" w:color="auto" w:fill="FFFFFF"/>
          <w:lang w:val="es-ES"/>
        </w:rPr>
        <w:t xml:space="preserve"> </w:t>
      </w:r>
      <w:hyperlink r:id="rId11" w:history="1">
        <w:r w:rsidRPr="007E001A">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292B6F20" w14:textId="77777777" w:rsidR="00863264" w:rsidRDefault="00863264" w:rsidP="0086326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252EB0E" w14:textId="77777777" w:rsidR="00863264" w:rsidRDefault="00863264" w:rsidP="00863264">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2"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4210360D" w14:textId="77777777" w:rsidR="00863264" w:rsidRPr="003E2460" w:rsidRDefault="00863264" w:rsidP="00863264">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02F672E3" w14:textId="77777777" w:rsidR="00863264" w:rsidRPr="003E2460" w:rsidRDefault="00863264" w:rsidP="00863264">
      <w:pPr>
        <w:spacing w:after="0" w:line="240" w:lineRule="auto"/>
        <w:jc w:val="both"/>
        <w:rPr>
          <w:rFonts w:ascii="Verdana" w:hAnsi="Verdana"/>
        </w:rPr>
      </w:pPr>
    </w:p>
    <w:p w14:paraId="43A210A2" w14:textId="77777777" w:rsidR="00863264" w:rsidRPr="003E2460" w:rsidRDefault="00863264" w:rsidP="00863264">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3B64EA1A" w14:textId="77777777" w:rsidR="00863264" w:rsidRPr="003E2460" w:rsidRDefault="00863264" w:rsidP="00863264">
      <w:pPr>
        <w:spacing w:after="0" w:line="240" w:lineRule="auto"/>
        <w:jc w:val="both"/>
        <w:rPr>
          <w:rFonts w:ascii="Verdana" w:hAnsi="Verdana"/>
        </w:rPr>
      </w:pPr>
      <w:r w:rsidRPr="1F9252E4">
        <w:rPr>
          <w:rFonts w:ascii="Verdana" w:hAnsi="Verdana"/>
        </w:rPr>
        <w:t xml:space="preserve">Facebook: </w:t>
      </w:r>
      <w:proofErr w:type="spellStart"/>
      <w:r w:rsidRPr="1F9252E4">
        <w:rPr>
          <w:rStyle w:val="Hipervnculo"/>
          <w:rFonts w:ascii="Verdana" w:hAnsi="Verdana"/>
          <w:color w:val="4472C4" w:themeColor="accent1"/>
        </w:rPr>
        <w:t>ColombiaCompraEficiente</w:t>
      </w:r>
      <w:proofErr w:type="spellEnd"/>
    </w:p>
    <w:p w14:paraId="2975AA5C" w14:textId="77777777" w:rsidR="00863264" w:rsidRPr="003E2460" w:rsidRDefault="00863264" w:rsidP="00863264">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221546C4" w14:textId="77777777" w:rsidR="00863264" w:rsidRPr="00593A5F" w:rsidRDefault="00863264" w:rsidP="00863264">
      <w:pPr>
        <w:widowControl w:val="0"/>
        <w:autoSpaceDE w:val="0"/>
        <w:autoSpaceDN w:val="0"/>
        <w:spacing w:after="0" w:line="276" w:lineRule="auto"/>
        <w:jc w:val="both"/>
        <w:rPr>
          <w:rFonts w:ascii="Verdana" w:hAnsi="Verdana" w:cs="Arial"/>
        </w:rPr>
      </w:pPr>
    </w:p>
    <w:p w14:paraId="2548A1A6" w14:textId="77777777" w:rsidR="00863264" w:rsidRPr="00593A5F" w:rsidRDefault="00863264" w:rsidP="0086326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E6E2BFA" w14:textId="77777777" w:rsidR="00863264" w:rsidRPr="00593A5F" w:rsidRDefault="00863264" w:rsidP="00863264">
      <w:pPr>
        <w:widowControl w:val="0"/>
        <w:autoSpaceDE w:val="0"/>
        <w:autoSpaceDN w:val="0"/>
        <w:spacing w:after="0" w:line="276" w:lineRule="auto"/>
        <w:jc w:val="both"/>
        <w:rPr>
          <w:rFonts w:ascii="Verdana" w:hAnsi="Verdana" w:cs="Arial"/>
        </w:rPr>
      </w:pPr>
    </w:p>
    <w:p w14:paraId="139A0B63" w14:textId="77777777" w:rsidR="00863264" w:rsidRPr="00593A5F" w:rsidRDefault="00863264" w:rsidP="0086326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37BC174" w14:textId="686D0E1D" w:rsidR="00863264" w:rsidRPr="009E262B" w:rsidRDefault="009E262B" w:rsidP="009E262B">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4D8D9C5A" wp14:editId="4CB3F63F">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394701" cy="1457365"/>
                    </a:xfrm>
                    <a:prstGeom prst="rect">
                      <a:avLst/>
                    </a:prstGeom>
                  </pic:spPr>
                </pic:pic>
              </a:graphicData>
            </a:graphic>
          </wp:inline>
        </w:drawing>
      </w:r>
    </w:p>
    <w:p w14:paraId="0490EAFC" w14:textId="77777777" w:rsidR="007A6D3C" w:rsidRDefault="007A6D3C" w:rsidP="00863264">
      <w:pPr>
        <w:spacing w:after="0" w:line="240" w:lineRule="auto"/>
        <w:rPr>
          <w:rFonts w:ascii="Verdana" w:eastAsia="Times New Roman" w:hAnsi="Verdana" w:cs="Arial"/>
          <w:sz w:val="24"/>
          <w:szCs w:val="24"/>
          <w:lang w:eastAsia="es-ES"/>
        </w:rPr>
      </w:pPr>
    </w:p>
    <w:tbl>
      <w:tblPr>
        <w:tblStyle w:val="Tablaconcuadrcula"/>
        <w:tblW w:w="6521" w:type="dxa"/>
        <w:tblLook w:val="04A0" w:firstRow="1" w:lastRow="0" w:firstColumn="1" w:lastColumn="0" w:noHBand="0" w:noVBand="1"/>
      </w:tblPr>
      <w:tblGrid>
        <w:gridCol w:w="977"/>
        <w:gridCol w:w="5544"/>
      </w:tblGrid>
      <w:tr w:rsidR="007A6D3C" w:rsidRPr="00F3272B" w14:paraId="3C832AD1" w14:textId="77777777" w:rsidTr="007A6D3C">
        <w:trPr>
          <w:trHeight w:val="315"/>
        </w:trPr>
        <w:tc>
          <w:tcPr>
            <w:tcW w:w="893" w:type="dxa"/>
            <w:tcBorders>
              <w:top w:val="nil"/>
              <w:left w:val="nil"/>
              <w:bottom w:val="nil"/>
              <w:right w:val="nil"/>
            </w:tcBorders>
            <w:vAlign w:val="center"/>
            <w:hideMark/>
          </w:tcPr>
          <w:p w14:paraId="1B69D0E9" w14:textId="77777777" w:rsidR="007A6D3C" w:rsidRPr="00F3272B" w:rsidRDefault="007A6D3C" w:rsidP="00CF491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45803E28" w14:textId="77777777" w:rsidR="007A6D3C" w:rsidRPr="00F3272B" w:rsidRDefault="007A6D3C" w:rsidP="00CF4917">
            <w:pPr>
              <w:spacing w:line="276" w:lineRule="auto"/>
              <w:contextualSpacing/>
              <w:rPr>
                <w:rStyle w:val="normaltextrun"/>
                <w:rFonts w:ascii="Verdana" w:eastAsia="Arial" w:hAnsi="Verdana" w:cs="Arial"/>
                <w:sz w:val="18"/>
                <w:szCs w:val="18"/>
              </w:rPr>
            </w:pPr>
            <w:r w:rsidRPr="00F3272B">
              <w:rPr>
                <w:rStyle w:val="normaltextrun"/>
                <w:rFonts w:ascii="Verdana" w:eastAsia="Arial" w:hAnsi="Verdana" w:cs="Arial"/>
                <w:sz w:val="18"/>
                <w:szCs w:val="18"/>
              </w:rPr>
              <w:t>Andrea del Pilar Garzón Sánchez.</w:t>
            </w:r>
          </w:p>
          <w:p w14:paraId="63DD5142" w14:textId="77777777" w:rsidR="007A6D3C" w:rsidRPr="00F3272B" w:rsidRDefault="007A6D3C" w:rsidP="00CF4917">
            <w:pPr>
              <w:spacing w:line="276" w:lineRule="auto"/>
              <w:contextualSpacing/>
              <w:rPr>
                <w:rFonts w:ascii="Verdana" w:eastAsia="Arial" w:hAnsi="Verdana" w:cs="Arial"/>
                <w:color w:val="7030A0"/>
                <w:sz w:val="18"/>
                <w:szCs w:val="18"/>
              </w:rPr>
            </w:pPr>
            <w:r w:rsidRPr="00F3272B">
              <w:rPr>
                <w:rStyle w:val="normaltextrun"/>
                <w:rFonts w:ascii="Verdana" w:eastAsia="Arial" w:hAnsi="Verdana" w:cs="Arial"/>
                <w:sz w:val="18"/>
                <w:szCs w:val="18"/>
              </w:rPr>
              <w:t>Contratista de la Subdirección de Gestión Contractual</w:t>
            </w:r>
          </w:p>
        </w:tc>
      </w:tr>
      <w:tr w:rsidR="007A6D3C" w:rsidRPr="00F3272B" w14:paraId="28445A54" w14:textId="77777777" w:rsidTr="007A6D3C">
        <w:trPr>
          <w:trHeight w:val="330"/>
        </w:trPr>
        <w:tc>
          <w:tcPr>
            <w:tcW w:w="893" w:type="dxa"/>
            <w:tcBorders>
              <w:top w:val="nil"/>
              <w:left w:val="nil"/>
              <w:bottom w:val="nil"/>
              <w:right w:val="nil"/>
            </w:tcBorders>
            <w:vAlign w:val="center"/>
            <w:hideMark/>
          </w:tcPr>
          <w:p w14:paraId="0F0E659A" w14:textId="77777777" w:rsidR="007A6D3C" w:rsidRPr="00F3272B" w:rsidRDefault="007A6D3C" w:rsidP="00CF491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5C77F9" w14:textId="77777777" w:rsidR="007A6D3C" w:rsidRPr="00F3272B" w:rsidRDefault="007A6D3C" w:rsidP="00CF4917">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Pr>
                <w:rStyle w:val="normaltextrun"/>
                <w:rFonts w:ascii="Verdana" w:hAnsi="Verdana" w:cs="Arial"/>
                <w:sz w:val="18"/>
                <w:szCs w:val="18"/>
                <w:lang w:val="es-ES"/>
              </w:rPr>
              <w:t xml:space="preserve">Juan David Cárdenas </w:t>
            </w:r>
          </w:p>
          <w:p w14:paraId="147359AF" w14:textId="77777777" w:rsidR="007A6D3C" w:rsidRPr="00F3272B" w:rsidRDefault="007A6D3C" w:rsidP="00CF4917">
            <w:pPr>
              <w:pStyle w:val="paragraph"/>
              <w:spacing w:before="0" w:beforeAutospacing="0" w:after="0" w:afterAutospacing="0" w:line="276" w:lineRule="auto"/>
              <w:contextualSpacing/>
              <w:textAlignment w:val="baseline"/>
              <w:rPr>
                <w:rFonts w:ascii="Verdana" w:hAnsi="Verdana" w:cs="Segoe UI"/>
                <w:sz w:val="18"/>
                <w:szCs w:val="18"/>
              </w:rPr>
            </w:pPr>
            <w:r w:rsidRPr="00F3272B">
              <w:rPr>
                <w:rStyle w:val="normaltextrun"/>
                <w:rFonts w:ascii="Verdana" w:hAnsi="Verdana" w:cs="Arial"/>
                <w:sz w:val="18"/>
                <w:szCs w:val="18"/>
                <w:lang w:val="es-ES"/>
              </w:rPr>
              <w:t>Contratista de la Subdirección de Gestión Contractual</w:t>
            </w:r>
            <w:r w:rsidRPr="00F3272B">
              <w:rPr>
                <w:rStyle w:val="eop"/>
                <w:rFonts w:ascii="Verdana" w:hAnsi="Verdana" w:cs="Arial"/>
                <w:sz w:val="18"/>
                <w:szCs w:val="18"/>
              </w:rPr>
              <w:t> </w:t>
            </w:r>
          </w:p>
        </w:tc>
      </w:tr>
      <w:tr w:rsidR="007A6D3C" w:rsidRPr="00F3272B" w14:paraId="5A5209DD" w14:textId="77777777" w:rsidTr="007A6D3C">
        <w:trPr>
          <w:trHeight w:val="300"/>
        </w:trPr>
        <w:tc>
          <w:tcPr>
            <w:tcW w:w="893" w:type="dxa"/>
            <w:tcBorders>
              <w:top w:val="nil"/>
              <w:left w:val="nil"/>
              <w:bottom w:val="nil"/>
              <w:right w:val="nil"/>
            </w:tcBorders>
            <w:vAlign w:val="center"/>
          </w:tcPr>
          <w:p w14:paraId="614A147E" w14:textId="77777777" w:rsidR="007A6D3C" w:rsidRPr="00F3272B" w:rsidRDefault="007A6D3C" w:rsidP="00CF491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0106A7" w14:textId="77777777" w:rsidR="007A6D3C" w:rsidRPr="00F3272B" w:rsidRDefault="007A6D3C" w:rsidP="00CF491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val="pt-BR" w:eastAsia="es-ES"/>
              </w:rPr>
              <w:t xml:space="preserve">Carolina Quintero </w:t>
            </w:r>
            <w:proofErr w:type="spellStart"/>
            <w:r w:rsidRPr="00F3272B">
              <w:rPr>
                <w:rFonts w:ascii="Verdana" w:eastAsia="Calibri" w:hAnsi="Verdana" w:cs="Arial"/>
                <w:sz w:val="18"/>
                <w:szCs w:val="18"/>
                <w:lang w:val="pt-BR" w:eastAsia="es-ES"/>
              </w:rPr>
              <w:t>Gacharná</w:t>
            </w:r>
            <w:proofErr w:type="spellEnd"/>
          </w:p>
          <w:p w14:paraId="2C692F8D" w14:textId="77777777" w:rsidR="007A6D3C" w:rsidRPr="00F3272B" w:rsidRDefault="007A6D3C" w:rsidP="00CF491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eastAsia="es-ES"/>
              </w:rPr>
              <w:t>Subdirectora</w:t>
            </w:r>
            <w:r w:rsidRPr="00F3272B">
              <w:rPr>
                <w:rFonts w:ascii="Verdana" w:eastAsia="Calibri" w:hAnsi="Verdana" w:cs="Arial"/>
                <w:sz w:val="18"/>
                <w:szCs w:val="18"/>
                <w:lang w:val="pt-BR" w:eastAsia="es-ES"/>
              </w:rPr>
              <w:t xml:space="preserve"> de Gestión </w:t>
            </w:r>
            <w:proofErr w:type="spellStart"/>
            <w:r w:rsidRPr="00F3272B">
              <w:rPr>
                <w:rFonts w:ascii="Verdana" w:eastAsia="Calibri" w:hAnsi="Verdana" w:cs="Arial"/>
                <w:sz w:val="18"/>
                <w:szCs w:val="18"/>
                <w:lang w:val="pt-BR" w:eastAsia="es-ES"/>
              </w:rPr>
              <w:t>Contractual</w:t>
            </w:r>
            <w:proofErr w:type="spellEnd"/>
            <w:r w:rsidRPr="00F3272B">
              <w:rPr>
                <w:rFonts w:ascii="Verdana" w:eastAsia="Calibri" w:hAnsi="Verdana" w:cs="Arial"/>
                <w:sz w:val="18"/>
                <w:szCs w:val="18"/>
                <w:lang w:val="pt-BR" w:eastAsia="es-ES"/>
              </w:rPr>
              <w:t xml:space="preserve"> ANCP – CCE</w:t>
            </w:r>
          </w:p>
        </w:tc>
      </w:tr>
    </w:tbl>
    <w:p w14:paraId="211E1DCC" w14:textId="77777777" w:rsidR="007A6D3C" w:rsidRPr="00593A5F" w:rsidRDefault="007A6D3C" w:rsidP="00863264">
      <w:pPr>
        <w:spacing w:after="0" w:line="240" w:lineRule="auto"/>
        <w:rPr>
          <w:rFonts w:ascii="Verdana" w:eastAsia="Times New Roman" w:hAnsi="Verdana" w:cs="Arial"/>
          <w:sz w:val="24"/>
          <w:szCs w:val="24"/>
          <w:lang w:eastAsia="es-ES"/>
        </w:rPr>
      </w:pPr>
    </w:p>
    <w:p w14:paraId="7DB95C20" w14:textId="77777777" w:rsidR="00863264" w:rsidRPr="00871B59" w:rsidRDefault="00863264" w:rsidP="00863264"/>
    <w:p w14:paraId="0F293BF4" w14:textId="57B0A7EF" w:rsidR="00127233" w:rsidRPr="0015699B" w:rsidRDefault="00127233" w:rsidP="007B7494">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C18A9" w14:textId="77777777" w:rsidR="002D4FE7" w:rsidRDefault="002D4FE7" w:rsidP="004A1847">
      <w:pPr>
        <w:spacing w:after="0" w:line="240" w:lineRule="auto"/>
      </w:pPr>
      <w:r>
        <w:separator/>
      </w:r>
    </w:p>
  </w:endnote>
  <w:endnote w:type="continuationSeparator" w:id="0">
    <w:p w14:paraId="01AF4D26" w14:textId="77777777" w:rsidR="002D4FE7" w:rsidRDefault="002D4FE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28E62" w14:textId="77777777" w:rsidR="002D4FE7" w:rsidRDefault="002D4FE7" w:rsidP="004A1847">
      <w:pPr>
        <w:spacing w:after="0" w:line="240" w:lineRule="auto"/>
      </w:pPr>
      <w:r>
        <w:separator/>
      </w:r>
    </w:p>
  </w:footnote>
  <w:footnote w:type="continuationSeparator" w:id="0">
    <w:p w14:paraId="26A2DD55" w14:textId="77777777" w:rsidR="002D4FE7" w:rsidRDefault="002D4FE7" w:rsidP="004A1847">
      <w:pPr>
        <w:spacing w:after="0" w:line="240" w:lineRule="auto"/>
      </w:pPr>
      <w:r>
        <w:continuationSeparator/>
      </w:r>
    </w:p>
  </w:footnote>
  <w:footnote w:id="1">
    <w:p w14:paraId="3DB63905" w14:textId="77777777" w:rsidR="00863264" w:rsidRPr="009B20C5" w:rsidRDefault="00863264" w:rsidP="00863264">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12B6461E" w14:textId="77777777" w:rsidR="00863264" w:rsidRDefault="00863264" w:rsidP="00863264">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9B20C5">
        <w:rPr>
          <w:rFonts w:ascii="Verdana" w:hAnsi="Verdana" w:cs="Arial"/>
          <w:sz w:val="16"/>
          <w:szCs w:val="16"/>
        </w:rPr>
        <w:t>.</w:t>
      </w:r>
    </w:p>
    <w:p w14:paraId="75ACA371" w14:textId="77777777" w:rsidR="00863264" w:rsidRPr="009B20C5" w:rsidRDefault="00863264" w:rsidP="00863264">
      <w:pPr>
        <w:pStyle w:val="Textonotapie"/>
        <w:ind w:firstLine="709"/>
        <w:jc w:val="both"/>
        <w:rPr>
          <w:rFonts w:ascii="Verdana" w:hAnsi="Verdana" w:cs="Arial"/>
          <w:sz w:val="16"/>
          <w:szCs w:val="16"/>
        </w:rPr>
      </w:pPr>
    </w:p>
  </w:footnote>
  <w:footnote w:id="2">
    <w:p w14:paraId="7B072F3E" w14:textId="77777777" w:rsidR="00863264" w:rsidRPr="009B20C5" w:rsidRDefault="00863264" w:rsidP="00863264">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p w14:paraId="5DAC4DD7" w14:textId="77777777" w:rsidR="00863264" w:rsidRPr="009B20C5" w:rsidRDefault="00863264" w:rsidP="00863264">
      <w:pPr>
        <w:pStyle w:val="Textonotapie"/>
        <w:ind w:firstLine="709"/>
        <w:jc w:val="both"/>
        <w:rPr>
          <w:rFonts w:ascii="Verdana" w:hAnsi="Verdana" w:cs="Arial"/>
          <w:sz w:val="16"/>
          <w:szCs w:val="16"/>
        </w:rPr>
      </w:pPr>
    </w:p>
  </w:footnote>
  <w:footnote w:id="3">
    <w:p w14:paraId="363315BC" w14:textId="77777777" w:rsidR="00863264" w:rsidRDefault="00863264" w:rsidP="00863264">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p w14:paraId="60D5A4F6" w14:textId="77777777" w:rsidR="00863264" w:rsidRPr="009B20C5" w:rsidRDefault="00863264" w:rsidP="00863264">
      <w:pPr>
        <w:pStyle w:val="Textonotapie"/>
        <w:ind w:firstLine="709"/>
        <w:jc w:val="both"/>
        <w:rPr>
          <w:rFonts w:ascii="Verdana" w:hAnsi="Verdana" w:cs="Arial"/>
          <w:sz w:val="16"/>
          <w:szCs w:val="16"/>
        </w:rPr>
      </w:pPr>
    </w:p>
  </w:footnote>
  <w:footnote w:id="4">
    <w:p w14:paraId="7F265F22" w14:textId="77777777" w:rsidR="00863264" w:rsidRDefault="00863264" w:rsidP="00863264">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7E1C9F86" w14:textId="77777777" w:rsidR="00863264" w:rsidRPr="009B20C5" w:rsidRDefault="00863264" w:rsidP="00863264">
      <w:pPr>
        <w:pStyle w:val="Textonotapie"/>
        <w:ind w:firstLine="709"/>
        <w:jc w:val="both"/>
        <w:rPr>
          <w:rFonts w:ascii="Verdana" w:hAnsi="Verdana" w:cs="Arial"/>
          <w:sz w:val="16"/>
          <w:szCs w:val="16"/>
        </w:rPr>
      </w:pPr>
    </w:p>
  </w:footnote>
  <w:footnote w:id="5">
    <w:p w14:paraId="2B20C168" w14:textId="77777777" w:rsidR="00863264" w:rsidRDefault="00863264" w:rsidP="00863264">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22A871A6" w14:textId="77777777" w:rsidR="00863264" w:rsidRPr="009B20C5" w:rsidRDefault="00863264" w:rsidP="00863264">
      <w:pPr>
        <w:pStyle w:val="Textonotapie"/>
        <w:ind w:firstLine="709"/>
        <w:jc w:val="both"/>
        <w:rPr>
          <w:rFonts w:ascii="Verdana" w:hAnsi="Verdana" w:cs="Arial"/>
          <w:sz w:val="16"/>
          <w:szCs w:val="16"/>
          <w:lang w:val="es-CO"/>
        </w:rPr>
      </w:pPr>
    </w:p>
  </w:footnote>
  <w:footnote w:id="6">
    <w:p w14:paraId="331CAFFE" w14:textId="77777777" w:rsidR="00863264" w:rsidRDefault="00863264" w:rsidP="00863264">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p w14:paraId="6E987013" w14:textId="77777777" w:rsidR="00863264" w:rsidRPr="009B20C5" w:rsidRDefault="00863264" w:rsidP="00863264">
      <w:pPr>
        <w:pStyle w:val="Textonotapie"/>
        <w:ind w:firstLine="709"/>
        <w:jc w:val="both"/>
        <w:rPr>
          <w:rFonts w:ascii="Verdana" w:hAnsi="Verdana" w:cs="Arial"/>
          <w:sz w:val="16"/>
          <w:szCs w:val="16"/>
        </w:rPr>
      </w:pPr>
    </w:p>
  </w:footnote>
  <w:footnote w:id="7">
    <w:p w14:paraId="691069B5" w14:textId="77777777" w:rsidR="00863264" w:rsidRPr="009B20C5" w:rsidRDefault="00863264" w:rsidP="00863264">
      <w:pPr>
        <w:spacing w:after="0" w:line="240" w:lineRule="auto"/>
        <w:ind w:firstLine="709"/>
        <w:jc w:val="both"/>
        <w:rPr>
          <w:rFonts w:ascii="Verdana" w:eastAsia="Times New Roman"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4" w:name="33"/>
      <w:r>
        <w:rPr>
          <w:rFonts w:ascii="Verdana" w:eastAsia="Calibri" w:hAnsi="Verdana" w:cs="Arial"/>
          <w:bCs/>
          <w:color w:val="000000"/>
          <w:sz w:val="16"/>
          <w:szCs w:val="16"/>
        </w:rPr>
        <w:t>“</w:t>
      </w:r>
      <w:r w:rsidRPr="009B20C5">
        <w:rPr>
          <w:rFonts w:ascii="Verdana" w:eastAsia="Times New Roman" w:hAnsi="Verdana" w:cs="Arial"/>
          <w:sz w:val="16"/>
          <w:szCs w:val="16"/>
        </w:rPr>
        <w:t>Artículo 33. Restricciones a la contratación pública.</w:t>
      </w:r>
      <w:bookmarkEnd w:id="4"/>
      <w:r w:rsidRPr="009B20C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5B438AB" w14:textId="77777777" w:rsidR="00863264" w:rsidRPr="009B20C5" w:rsidRDefault="00863264" w:rsidP="00863264">
      <w:pPr>
        <w:spacing w:after="0" w:line="240" w:lineRule="auto"/>
        <w:ind w:firstLine="709"/>
        <w:jc w:val="both"/>
        <w:rPr>
          <w:rFonts w:ascii="Verdana" w:eastAsia="Times New Roman" w:hAnsi="Verdana" w:cs="Arial"/>
          <w:sz w:val="16"/>
          <w:szCs w:val="16"/>
        </w:rPr>
      </w:pPr>
      <w:r w:rsidRPr="009B20C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color w:val="000000"/>
          <w:sz w:val="16"/>
          <w:szCs w:val="16"/>
        </w:rPr>
        <w:t>”</w:t>
      </w:r>
      <w:r w:rsidRPr="009B20C5">
        <w:rPr>
          <w:rFonts w:ascii="Verdana" w:eastAsia="Times New Roman" w:hAnsi="Verdana" w:cs="Arial"/>
          <w:sz w:val="16"/>
          <w:szCs w:val="16"/>
        </w:rPr>
        <w:t>.</w:t>
      </w:r>
    </w:p>
  </w:footnote>
  <w:footnote w:id="8">
    <w:p w14:paraId="5DEED1E2" w14:textId="77777777" w:rsidR="00863264" w:rsidRDefault="00863264" w:rsidP="00863264">
      <w:pPr>
        <w:pStyle w:val="NormalWeb"/>
        <w:spacing w:after="0"/>
        <w:ind w:firstLine="709"/>
        <w:jc w:val="both"/>
        <w:rPr>
          <w:rFonts w:ascii="Verdana" w:hAnsi="Verdana" w:cs="Arial"/>
          <w:sz w:val="16"/>
          <w:szCs w:val="16"/>
        </w:rPr>
      </w:pPr>
    </w:p>
    <w:p w14:paraId="2DF6BC2B" w14:textId="77777777" w:rsidR="00863264" w:rsidRPr="009B20C5" w:rsidRDefault="00863264" w:rsidP="00863264">
      <w:pPr>
        <w:pStyle w:val="NormalWeb"/>
        <w:spacing w:after="0"/>
        <w:ind w:firstLine="709"/>
        <w:jc w:val="both"/>
        <w:rPr>
          <w:rFonts w:ascii="Verdana" w:hAnsi="Verdana" w:cs="Arial"/>
          <w:sz w:val="16"/>
          <w:szCs w:val="16"/>
          <w:lang w:val="es-MX"/>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Pr>
          <w:rFonts w:ascii="Verdana" w:eastAsia="Calibri" w:hAnsi="Verdana" w:cs="Arial"/>
          <w:bCs/>
          <w:color w:val="000000"/>
          <w:sz w:val="16"/>
          <w:szCs w:val="16"/>
        </w:rPr>
        <w:t>“</w:t>
      </w:r>
      <w:bookmarkStart w:id="5" w:name="38"/>
      <w:r w:rsidRPr="009B20C5">
        <w:rPr>
          <w:rFonts w:ascii="Verdana" w:hAnsi="Verdana" w:cs="Arial"/>
          <w:sz w:val="16"/>
          <w:szCs w:val="16"/>
          <w:lang w:val="es-MX"/>
        </w:rPr>
        <w:t>Artículo 38. Prohibiciones para los servidores públicos. A los empleados del Estado les está prohibido:</w:t>
      </w:r>
      <w:bookmarkEnd w:id="5"/>
    </w:p>
    <w:p w14:paraId="6D9D9B21" w14:textId="77777777" w:rsidR="00863264" w:rsidRPr="009B20C5" w:rsidRDefault="00863264" w:rsidP="00863264">
      <w:pPr>
        <w:pStyle w:val="NormalWeb"/>
        <w:spacing w:after="0"/>
        <w:ind w:firstLine="709"/>
        <w:jc w:val="both"/>
        <w:rPr>
          <w:rFonts w:ascii="Verdana" w:hAnsi="Verdana" w:cs="Arial"/>
          <w:sz w:val="16"/>
          <w:szCs w:val="16"/>
          <w:lang w:val="es-MX"/>
        </w:rPr>
      </w:pPr>
      <w:r w:rsidRPr="009B20C5">
        <w:rPr>
          <w:rFonts w:ascii="Verdana" w:hAnsi="Verdana" w:cs="Arial"/>
          <w:sz w:val="16"/>
          <w:szCs w:val="16"/>
          <w:lang w:val="es-MX"/>
        </w:rPr>
        <w:t>[…]</w:t>
      </w:r>
    </w:p>
    <w:p w14:paraId="52553534" w14:textId="77777777" w:rsidR="00863264" w:rsidRDefault="00863264" w:rsidP="00863264">
      <w:pPr>
        <w:pStyle w:val="NormalWeb"/>
        <w:spacing w:after="0"/>
        <w:ind w:firstLine="709"/>
        <w:jc w:val="both"/>
        <w:rPr>
          <w:rFonts w:ascii="Verdana" w:hAnsi="Verdana" w:cs="Arial"/>
          <w:sz w:val="16"/>
          <w:szCs w:val="16"/>
          <w:lang w:val="es-MX"/>
        </w:rPr>
      </w:pPr>
      <w:r w:rsidRPr="009B20C5">
        <w:rPr>
          <w:rStyle w:val="baj"/>
          <w:rFonts w:ascii="Verdana" w:hAnsi="Verdana" w:cs="Arial"/>
          <w:sz w:val="16"/>
          <w:szCs w:val="16"/>
          <w:lang w:val="es-MX"/>
        </w:rPr>
        <w:t>Parágrafo.</w:t>
      </w:r>
      <w:r w:rsidRPr="009B20C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color w:val="000000"/>
          <w:sz w:val="16"/>
          <w:szCs w:val="16"/>
        </w:rPr>
        <w:t>”</w:t>
      </w:r>
      <w:r w:rsidRPr="009B20C5">
        <w:rPr>
          <w:rFonts w:ascii="Verdana" w:hAnsi="Verdana" w:cs="Arial"/>
          <w:sz w:val="16"/>
          <w:szCs w:val="16"/>
          <w:lang w:val="es-MX"/>
        </w:rPr>
        <w:t>.</w:t>
      </w:r>
    </w:p>
    <w:p w14:paraId="29E6DB3E" w14:textId="77777777" w:rsidR="00863264" w:rsidRPr="009B20C5" w:rsidRDefault="00863264" w:rsidP="00863264">
      <w:pPr>
        <w:pStyle w:val="NormalWeb"/>
        <w:spacing w:after="0"/>
        <w:ind w:firstLine="709"/>
        <w:jc w:val="both"/>
        <w:rPr>
          <w:rFonts w:ascii="Verdana" w:hAnsi="Verdana" w:cs="Arial"/>
          <w:sz w:val="16"/>
          <w:szCs w:val="16"/>
          <w:lang w:val="es-MX"/>
        </w:rPr>
      </w:pPr>
    </w:p>
  </w:footnote>
  <w:footnote w:id="9">
    <w:p w14:paraId="18759AB7" w14:textId="77777777" w:rsidR="00863264" w:rsidRDefault="00863264" w:rsidP="00863264">
      <w:pPr>
        <w:spacing w:after="0" w:line="240" w:lineRule="auto"/>
        <w:ind w:left="100" w:right="244"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72BD1301" w14:textId="77777777" w:rsidR="00863264" w:rsidRPr="009B20C5" w:rsidRDefault="00863264" w:rsidP="00863264">
      <w:pPr>
        <w:spacing w:after="0" w:line="240" w:lineRule="auto"/>
        <w:ind w:left="100" w:right="244" w:firstLine="709"/>
        <w:jc w:val="both"/>
        <w:rPr>
          <w:rFonts w:ascii="Verdana" w:hAnsi="Verdana" w:cs="Arial"/>
          <w:sz w:val="16"/>
          <w:szCs w:val="16"/>
          <w:lang w:val="es-ES"/>
        </w:rPr>
      </w:pPr>
    </w:p>
  </w:footnote>
  <w:footnote w:id="10">
    <w:p w14:paraId="5A8EF3DD" w14:textId="77777777" w:rsidR="00863264" w:rsidRDefault="00863264" w:rsidP="00863264">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p>
    <w:p w14:paraId="392E51B5" w14:textId="77777777" w:rsidR="00863264" w:rsidRPr="009B20C5" w:rsidRDefault="00863264" w:rsidP="00863264">
      <w:pPr>
        <w:pStyle w:val="Textonotapie"/>
        <w:ind w:right="51" w:firstLine="709"/>
        <w:jc w:val="both"/>
        <w:rPr>
          <w:rFonts w:ascii="Verdana" w:hAnsi="Verdana" w:cs="Arial"/>
          <w:sz w:val="16"/>
          <w:szCs w:val="16"/>
        </w:rPr>
      </w:pPr>
    </w:p>
  </w:footnote>
  <w:footnote w:id="11">
    <w:p w14:paraId="41016039" w14:textId="77777777" w:rsidR="00863264" w:rsidRDefault="00863264" w:rsidP="00863264">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13" w:name="_Hlk74294506"/>
      <w:r w:rsidRPr="009B20C5">
        <w:rPr>
          <w:rFonts w:ascii="Verdana" w:hAnsi="Verdana" w:cs="Arial"/>
          <w:sz w:val="16"/>
          <w:szCs w:val="16"/>
          <w:lang w:val="es-ES"/>
        </w:rPr>
        <w:t xml:space="preserve">[26] </w:t>
      </w:r>
      <w:bookmarkEnd w:id="13"/>
      <w:r w:rsidRPr="009B20C5">
        <w:rPr>
          <w:rFonts w:ascii="Verdana" w:hAnsi="Verdana" w:cs="Arial"/>
          <w:sz w:val="16"/>
          <w:szCs w:val="16"/>
        </w:rPr>
        <w:t>Al respecto ver el concepto 1712 de 2 de febrero de 2006. Consejo de Estado Sala de Consulta y Servicio Civil.</w:t>
      </w:r>
    </w:p>
    <w:p w14:paraId="6CD551E2" w14:textId="77777777" w:rsidR="00863264" w:rsidRPr="009B20C5" w:rsidRDefault="00863264" w:rsidP="00863264">
      <w:pPr>
        <w:pStyle w:val="Textonotapie"/>
        <w:ind w:right="51" w:firstLine="709"/>
        <w:jc w:val="both"/>
        <w:rPr>
          <w:rFonts w:ascii="Verdana" w:hAnsi="Verdana" w:cs="Arial"/>
          <w:sz w:val="16"/>
          <w:szCs w:val="16"/>
        </w:rPr>
      </w:pPr>
    </w:p>
  </w:footnote>
  <w:footnote w:id="12">
    <w:p w14:paraId="4EB32983" w14:textId="77777777" w:rsidR="00863264" w:rsidRPr="009B20C5" w:rsidRDefault="00863264" w:rsidP="00863264">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4A4C5B55" w14:textId="77777777" w:rsidR="00863264" w:rsidRDefault="00863264" w:rsidP="00863264">
      <w:pPr>
        <w:pStyle w:val="Textonotapie"/>
        <w:ind w:firstLine="709"/>
        <w:jc w:val="both"/>
        <w:rPr>
          <w:rFonts w:ascii="Verdana" w:hAnsi="Verdana" w:cs="Arial"/>
          <w:sz w:val="16"/>
          <w:szCs w:val="16"/>
        </w:rPr>
      </w:pPr>
    </w:p>
    <w:p w14:paraId="6E58B66D" w14:textId="77777777" w:rsidR="00863264" w:rsidRPr="009B20C5" w:rsidRDefault="00863264" w:rsidP="00863264">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4">
    <w:p w14:paraId="5C5B58AD" w14:textId="77777777" w:rsidR="00863264" w:rsidRDefault="00863264" w:rsidP="00863264">
      <w:pPr>
        <w:pStyle w:val="Textonotapie"/>
        <w:ind w:firstLine="709"/>
        <w:jc w:val="both"/>
        <w:rPr>
          <w:rFonts w:ascii="Verdana" w:hAnsi="Verdana" w:cs="Arial"/>
          <w:sz w:val="16"/>
          <w:szCs w:val="16"/>
        </w:rPr>
      </w:pPr>
    </w:p>
    <w:p w14:paraId="3765C009" w14:textId="77777777" w:rsidR="00863264" w:rsidRDefault="00863264" w:rsidP="00863264">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p w14:paraId="5584F548" w14:textId="77777777" w:rsidR="00863264" w:rsidRPr="009B20C5" w:rsidRDefault="00863264" w:rsidP="00863264">
      <w:pPr>
        <w:pStyle w:val="Textonotapie"/>
        <w:ind w:firstLine="709"/>
        <w:jc w:val="both"/>
        <w:rPr>
          <w:rFonts w:ascii="Verdana" w:hAnsi="Verdana" w:cs="Arial"/>
          <w:sz w:val="16"/>
          <w:szCs w:val="16"/>
          <w:lang w:val="es-ES"/>
        </w:rPr>
      </w:pPr>
    </w:p>
  </w:footnote>
  <w:footnote w:id="15">
    <w:p w14:paraId="68C2A717" w14:textId="77777777" w:rsidR="00863264" w:rsidRPr="009B20C5" w:rsidRDefault="00863264" w:rsidP="00863264">
      <w:pPr>
        <w:pStyle w:val="Textonotapie"/>
        <w:jc w:val="both"/>
        <w:rPr>
          <w:rFonts w:ascii="Verdana" w:hAnsi="Verdana" w:cs="Arial"/>
          <w:sz w:val="16"/>
          <w:szCs w:val="16"/>
        </w:rPr>
      </w:pPr>
    </w:p>
    <w:p w14:paraId="0E9118B1" w14:textId="77777777" w:rsidR="00863264" w:rsidRDefault="00863264" w:rsidP="00863264">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bookmarkStart w:id="18" w:name="_Hlk74297130"/>
      <w:r>
        <w:rPr>
          <w:rFonts w:ascii="Verdana" w:hAnsi="Verdana" w:cs="Arial"/>
          <w:sz w:val="16"/>
          <w:szCs w:val="16"/>
          <w:lang w:val="es-ES"/>
        </w:rPr>
        <w:t>“</w:t>
      </w:r>
      <w:bookmarkEnd w:id="18"/>
      <w:r w:rsidRPr="009B20C5">
        <w:rPr>
          <w:rFonts w:ascii="Verdana" w:hAnsi="Verdana" w:cs="Arial"/>
          <w:sz w:val="16"/>
          <w:szCs w:val="16"/>
          <w:lang w:val="es-ES"/>
        </w:rPr>
        <w:t>[…] A este respecto, cabe recordar que el artículo 860 del Código de Comercio regula la licitación en el derecho privado</w:t>
      </w:r>
      <w:r>
        <w:rPr>
          <w:rFonts w:ascii="Verdana" w:hAnsi="Verdana" w:cs="Arial"/>
          <w:sz w:val="16"/>
          <w:szCs w:val="16"/>
          <w:lang w:val="es-ES"/>
        </w:rPr>
        <w:t>”</w:t>
      </w:r>
      <w:r w:rsidRPr="009B20C5">
        <w:rPr>
          <w:rFonts w:ascii="Verdana" w:hAnsi="Verdana" w:cs="Arial"/>
          <w:sz w:val="16"/>
          <w:szCs w:val="16"/>
          <w:lang w:val="es-ES"/>
        </w:rPr>
        <w:t>.</w:t>
      </w:r>
    </w:p>
    <w:p w14:paraId="6F6CF106" w14:textId="77777777" w:rsidR="00863264" w:rsidRPr="009B20C5" w:rsidRDefault="00863264" w:rsidP="00863264">
      <w:pPr>
        <w:pStyle w:val="Textonotapie"/>
        <w:ind w:firstLine="709"/>
        <w:jc w:val="both"/>
        <w:rPr>
          <w:rFonts w:ascii="Verdana" w:hAnsi="Verdana" w:cs="Arial"/>
          <w:sz w:val="16"/>
          <w:szCs w:val="16"/>
          <w:lang w:val="es-ES"/>
        </w:rPr>
      </w:pPr>
      <w:r w:rsidRPr="009B20C5">
        <w:rPr>
          <w:rFonts w:ascii="Verdana" w:hAnsi="Verdana" w:cs="Arial"/>
          <w:sz w:val="16"/>
          <w:szCs w:val="16"/>
          <w:lang w:val="es-ES"/>
        </w:rPr>
        <w:t xml:space="preserve"> </w:t>
      </w:r>
    </w:p>
  </w:footnote>
  <w:footnote w:id="16">
    <w:p w14:paraId="41677242" w14:textId="77777777" w:rsidR="00863264" w:rsidRPr="009B20C5" w:rsidRDefault="00863264" w:rsidP="00863264">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38972A37" w14:textId="77777777" w:rsidR="00863264" w:rsidRDefault="00863264" w:rsidP="00863264">
      <w:pPr>
        <w:pStyle w:val="Textonotapie"/>
        <w:ind w:firstLine="709"/>
        <w:jc w:val="both"/>
        <w:rPr>
          <w:rFonts w:ascii="Verdana" w:hAnsi="Verdana" w:cs="Arial"/>
          <w:sz w:val="16"/>
          <w:szCs w:val="16"/>
        </w:rPr>
      </w:pPr>
    </w:p>
    <w:p w14:paraId="1A3B4A76" w14:textId="77777777" w:rsidR="00863264" w:rsidRDefault="00863264" w:rsidP="00863264">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Exp. 2.382. C.P. Álvaro Namén Vargas.</w:t>
      </w:r>
    </w:p>
    <w:p w14:paraId="6FA45978" w14:textId="77777777" w:rsidR="00863264" w:rsidRPr="009B20C5" w:rsidRDefault="00863264" w:rsidP="00863264">
      <w:pPr>
        <w:pStyle w:val="Textonotapie"/>
        <w:ind w:firstLine="709"/>
        <w:jc w:val="both"/>
        <w:rPr>
          <w:rFonts w:ascii="Verdana" w:hAnsi="Verdana" w:cs="Arial"/>
          <w:sz w:val="16"/>
          <w:szCs w:val="16"/>
        </w:rPr>
      </w:pPr>
    </w:p>
  </w:footnote>
  <w:footnote w:id="18">
    <w:p w14:paraId="0F09512D" w14:textId="77777777" w:rsidR="00863264" w:rsidRPr="009B20C5" w:rsidRDefault="00863264" w:rsidP="00863264">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737BD322" w14:textId="77777777" w:rsidR="00863264" w:rsidRPr="00306ECD" w:rsidRDefault="00863264" w:rsidP="00863264">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Consejo de Estado. Sala de Consulta y Servicio Civil. Concepto de 20 de febrero de2006. Radicación 11001-03-06-000-2006-00023-00(1724). Consejero Ponente: Flavio Augusto Rodríguez Arce.</w:t>
      </w:r>
    </w:p>
    <w:p w14:paraId="705FAA7F" w14:textId="77777777" w:rsidR="00863264" w:rsidRPr="00306ECD" w:rsidRDefault="00863264" w:rsidP="00863264">
      <w:pPr>
        <w:pStyle w:val="Textonotapie"/>
        <w:ind w:firstLine="709"/>
        <w:jc w:val="both"/>
        <w:rPr>
          <w:rFonts w:ascii="Verdana" w:hAnsi="Verdana" w:cs="Arial"/>
          <w:sz w:val="14"/>
          <w:szCs w:val="14"/>
        </w:rPr>
      </w:pPr>
    </w:p>
  </w:footnote>
  <w:footnote w:id="20">
    <w:p w14:paraId="211CC09A" w14:textId="77777777" w:rsidR="00863264" w:rsidRPr="00306ECD" w:rsidRDefault="00863264" w:rsidP="00863264">
      <w:pPr>
        <w:spacing w:after="0" w:line="240" w:lineRule="auto"/>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7158E2A" w14:textId="77777777" w:rsidR="00863264" w:rsidRPr="00306ECD" w:rsidRDefault="00863264" w:rsidP="00863264">
      <w:pPr>
        <w:spacing w:after="0" w:line="240" w:lineRule="auto"/>
        <w:ind w:firstLine="709"/>
        <w:jc w:val="both"/>
        <w:rPr>
          <w:rFonts w:ascii="Verdana" w:hAnsi="Verdana" w:cs="Arial"/>
          <w:sz w:val="14"/>
          <w:szCs w:val="14"/>
        </w:rPr>
      </w:pPr>
      <w:r w:rsidRPr="00306ECD">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306ECD">
        <w:rPr>
          <w:rFonts w:ascii="Verdana" w:hAnsi="Verdana" w:cs="Arial"/>
          <w:spacing w:val="-1"/>
          <w:sz w:val="14"/>
          <w:szCs w:val="14"/>
        </w:rPr>
        <w:t xml:space="preserve"> </w:t>
      </w:r>
      <w:r w:rsidRPr="00306ECD">
        <w:rPr>
          <w:rFonts w:ascii="Verdana" w:hAnsi="Verdana" w:cs="Arial"/>
          <w:sz w:val="14"/>
          <w:szCs w:val="14"/>
        </w:rPr>
        <w:t>Estatales”.</w:t>
      </w:r>
    </w:p>
    <w:p w14:paraId="40FBC044" w14:textId="77777777" w:rsidR="00863264" w:rsidRPr="00306ECD" w:rsidRDefault="00863264" w:rsidP="00863264">
      <w:pPr>
        <w:spacing w:after="0" w:line="240" w:lineRule="auto"/>
        <w:ind w:firstLine="709"/>
        <w:jc w:val="both"/>
        <w:rPr>
          <w:rFonts w:ascii="Verdana" w:hAnsi="Verdana" w:cs="Arial"/>
          <w:sz w:val="14"/>
          <w:szCs w:val="14"/>
        </w:rPr>
      </w:pPr>
    </w:p>
  </w:footnote>
  <w:footnote w:id="21">
    <w:p w14:paraId="150BD6D5" w14:textId="77777777" w:rsidR="00863264" w:rsidRPr="00306ECD" w:rsidRDefault="00863264" w:rsidP="00863264">
      <w:pPr>
        <w:spacing w:after="0" w:line="240" w:lineRule="auto"/>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306ECD">
        <w:rPr>
          <w:rFonts w:ascii="Verdana" w:hAnsi="Verdana" w:cs="Arial"/>
          <w:spacing w:val="-6"/>
          <w:sz w:val="14"/>
          <w:szCs w:val="14"/>
        </w:rPr>
        <w:t xml:space="preserve"> </w:t>
      </w:r>
      <w:r w:rsidRPr="00306ECD">
        <w:rPr>
          <w:rFonts w:ascii="Verdana" w:hAnsi="Verdana" w:cs="Arial"/>
          <w:sz w:val="14"/>
          <w:szCs w:val="14"/>
        </w:rPr>
        <w:t>artículo”.</w:t>
      </w:r>
    </w:p>
    <w:p w14:paraId="023D72F6" w14:textId="77777777" w:rsidR="00863264" w:rsidRPr="00306ECD" w:rsidRDefault="00863264" w:rsidP="00863264">
      <w:pPr>
        <w:spacing w:after="0" w:line="240" w:lineRule="auto"/>
        <w:ind w:firstLine="709"/>
        <w:jc w:val="both"/>
        <w:rPr>
          <w:rFonts w:ascii="Verdana" w:hAnsi="Verdana" w:cs="Arial"/>
          <w:sz w:val="14"/>
          <w:szCs w:val="14"/>
        </w:rPr>
      </w:pPr>
    </w:p>
  </w:footnote>
  <w:footnote w:id="22">
    <w:p w14:paraId="0A700915" w14:textId="77777777" w:rsidR="00863264" w:rsidRPr="00306ECD" w:rsidRDefault="00863264" w:rsidP="00863264">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Lo anterior, salvo que se traten de organismos internacionales que se rijan por normas internacionales y se financien con cargo a recursos de esos organismos (Cfr. Colombia Compra Eficiente. Concepto C-559 del 31 de agosto de 2021). </w:t>
      </w:r>
    </w:p>
    <w:p w14:paraId="07192993" w14:textId="77777777" w:rsidR="00863264" w:rsidRPr="00306ECD" w:rsidRDefault="00863264" w:rsidP="00863264">
      <w:pPr>
        <w:pStyle w:val="Textonotapie"/>
        <w:ind w:firstLine="709"/>
        <w:jc w:val="both"/>
        <w:rPr>
          <w:rFonts w:ascii="Verdana" w:hAnsi="Verdana" w:cs="Arial"/>
          <w:sz w:val="14"/>
          <w:szCs w:val="14"/>
        </w:rPr>
      </w:pPr>
    </w:p>
  </w:footnote>
  <w:footnote w:id="23">
    <w:p w14:paraId="6B5CA6AF" w14:textId="77777777" w:rsidR="00863264" w:rsidRPr="00306ECD" w:rsidRDefault="00863264" w:rsidP="00863264">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Es lo que sucede, por ejemplo, con el Decreto 092 de 2017, que en su desarrollo hace referencia tanto a los “contratos” como a los “convenios”. </w:t>
      </w:r>
    </w:p>
    <w:p w14:paraId="5C7384A8" w14:textId="77777777" w:rsidR="00863264" w:rsidRPr="00306ECD" w:rsidRDefault="00863264" w:rsidP="00863264">
      <w:pPr>
        <w:pStyle w:val="Textonotapie"/>
        <w:ind w:firstLine="709"/>
        <w:jc w:val="both"/>
        <w:rPr>
          <w:rFonts w:ascii="Verdana" w:hAnsi="Verdana" w:cs="Arial"/>
          <w:sz w:val="14"/>
          <w:szCs w:val="14"/>
        </w:rPr>
      </w:pPr>
    </w:p>
  </w:footnote>
  <w:footnote w:id="24">
    <w:p w14:paraId="56B5085B" w14:textId="77777777" w:rsidR="00863264" w:rsidRPr="00306ECD" w:rsidRDefault="00863264" w:rsidP="00863264">
      <w:pPr>
        <w:pStyle w:val="Textonotapie"/>
        <w:ind w:firstLine="709"/>
        <w:jc w:val="both"/>
        <w:rPr>
          <w:rFonts w:ascii="Verdana" w:hAnsi="Verdana" w:cs="Arial"/>
          <w:sz w:val="14"/>
          <w:szCs w:val="14"/>
          <w:lang w:val="pt-BR"/>
        </w:rPr>
      </w:pPr>
      <w:r w:rsidRPr="00306ECD">
        <w:rPr>
          <w:rStyle w:val="Refdenotaalpie"/>
          <w:rFonts w:ascii="Verdana" w:hAnsi="Verdana" w:cs="Arial"/>
          <w:sz w:val="14"/>
          <w:szCs w:val="14"/>
        </w:rPr>
        <w:footnoteRef/>
      </w:r>
      <w:r w:rsidRPr="00306ECD">
        <w:rPr>
          <w:rFonts w:ascii="Verdana" w:hAnsi="Verdana" w:cs="Arial"/>
          <w:sz w:val="14"/>
          <w:szCs w:val="14"/>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306ECD">
        <w:rPr>
          <w:rFonts w:ascii="Verdana" w:hAnsi="Verdana" w:cs="Arial"/>
          <w:sz w:val="14"/>
          <w:szCs w:val="14"/>
          <w:lang w:val="pt-BR"/>
        </w:rPr>
        <w:t>(Corte Constitucional. Sentencia C-671 de 2015. M.P. Alberto Rojas Ríos).</w:t>
      </w:r>
    </w:p>
    <w:p w14:paraId="7A0E7767" w14:textId="77777777" w:rsidR="00863264" w:rsidRPr="00306ECD" w:rsidRDefault="00863264" w:rsidP="00863264">
      <w:pPr>
        <w:pStyle w:val="Textonotapie"/>
        <w:ind w:firstLine="709"/>
        <w:jc w:val="both"/>
        <w:rPr>
          <w:rFonts w:ascii="Verdana" w:hAnsi="Verdana" w:cs="Arial"/>
          <w:sz w:val="14"/>
          <w:szCs w:val="14"/>
          <w:lang w:val="pt-BR"/>
        </w:rPr>
      </w:pPr>
    </w:p>
  </w:footnote>
  <w:footnote w:id="25">
    <w:p w14:paraId="18079D49" w14:textId="77777777" w:rsidR="00863264" w:rsidRPr="00306ECD" w:rsidRDefault="00863264" w:rsidP="00863264">
      <w:pPr>
        <w:pStyle w:val="Textonotapie"/>
        <w:ind w:firstLine="709"/>
        <w:jc w:val="both"/>
        <w:rPr>
          <w:rFonts w:ascii="Verdana" w:hAnsi="Verdana" w:cs="Arial"/>
          <w:sz w:val="14"/>
          <w:szCs w:val="14"/>
          <w:lang w:val="es-CO"/>
        </w:rPr>
      </w:pPr>
      <w:r w:rsidRPr="00306ECD">
        <w:rPr>
          <w:rStyle w:val="Refdenotaalpie"/>
          <w:rFonts w:ascii="Verdana" w:hAnsi="Verdana"/>
          <w:sz w:val="14"/>
          <w:szCs w:val="14"/>
        </w:rPr>
        <w:footnoteRef/>
      </w:r>
      <w:r w:rsidRPr="00306ECD">
        <w:rPr>
          <w:rFonts w:ascii="Verdana" w:hAnsi="Verdana"/>
          <w:sz w:val="14"/>
          <w:szCs w:val="14"/>
          <w:lang w:val="es-CO"/>
        </w:rPr>
        <w:t xml:space="preserve"> </w:t>
      </w:r>
      <w:r w:rsidRPr="00306ECD">
        <w:rPr>
          <w:rFonts w:ascii="Verdana" w:hAnsi="Verdana" w:cs="Arial"/>
          <w:sz w:val="14"/>
          <w:szCs w:val="14"/>
          <w:lang w:val="es-CO"/>
        </w:rPr>
        <w:t>Consejo de Estado, Sección Tercera. Auto del 4 de octubre de 2024. Exp. 70.313. C.P: Fredy Ibarra Martínez</w:t>
      </w:r>
    </w:p>
    <w:p w14:paraId="7729BE87" w14:textId="77777777" w:rsidR="00863264" w:rsidRPr="00306ECD" w:rsidRDefault="00863264" w:rsidP="00863264">
      <w:pPr>
        <w:pStyle w:val="Textonotapie"/>
        <w:ind w:firstLine="709"/>
        <w:jc w:val="both"/>
        <w:rPr>
          <w:rFonts w:ascii="Verdana" w:hAnsi="Verdana"/>
          <w:sz w:val="14"/>
          <w:szCs w:val="14"/>
          <w:lang w:val="es-CO"/>
        </w:rPr>
      </w:pPr>
    </w:p>
  </w:footnote>
  <w:footnote w:id="26">
    <w:p w14:paraId="177F260D" w14:textId="77777777" w:rsidR="00863264" w:rsidRPr="00306ECD" w:rsidRDefault="00863264" w:rsidP="00863264">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Consejo de Estado. Sala de Consulta y Servicio Civil. Concepto del 15 de noviembre de 2007. Expediente número 1863. Consejero Ponente: Luis Fernando Álvarez Jaramillo.</w:t>
      </w:r>
    </w:p>
    <w:p w14:paraId="03E36E82" w14:textId="77777777" w:rsidR="00863264" w:rsidRPr="00306ECD" w:rsidRDefault="00863264" w:rsidP="00863264">
      <w:pPr>
        <w:pStyle w:val="Textonotapie"/>
        <w:ind w:firstLine="709"/>
        <w:jc w:val="both"/>
        <w:rPr>
          <w:rFonts w:ascii="Verdana" w:hAnsi="Verdana" w:cs="Arial"/>
          <w:sz w:val="14"/>
          <w:szCs w:val="14"/>
        </w:rPr>
      </w:pPr>
    </w:p>
    <w:p w14:paraId="47132407" w14:textId="77777777" w:rsidR="00863264" w:rsidRPr="00306ECD" w:rsidRDefault="00863264" w:rsidP="00863264">
      <w:pPr>
        <w:pStyle w:val="Textonotapie"/>
        <w:ind w:firstLine="709"/>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14D6"/>
    <w:rsid w:val="000D5DA7"/>
    <w:rsid w:val="000F6486"/>
    <w:rsid w:val="00116940"/>
    <w:rsid w:val="00125105"/>
    <w:rsid w:val="00127233"/>
    <w:rsid w:val="0015699B"/>
    <w:rsid w:val="001A33BF"/>
    <w:rsid w:val="001E4177"/>
    <w:rsid w:val="001F0B24"/>
    <w:rsid w:val="001F5D8B"/>
    <w:rsid w:val="001F7DC6"/>
    <w:rsid w:val="0022400B"/>
    <w:rsid w:val="002421BB"/>
    <w:rsid w:val="0025796E"/>
    <w:rsid w:val="002707A2"/>
    <w:rsid w:val="002951A0"/>
    <w:rsid w:val="002962BC"/>
    <w:rsid w:val="002A093D"/>
    <w:rsid w:val="002A0DD0"/>
    <w:rsid w:val="002A49AC"/>
    <w:rsid w:val="002A64FD"/>
    <w:rsid w:val="002C7A84"/>
    <w:rsid w:val="002D4FE7"/>
    <w:rsid w:val="002E2BF8"/>
    <w:rsid w:val="002E4FD9"/>
    <w:rsid w:val="0030657A"/>
    <w:rsid w:val="00322A85"/>
    <w:rsid w:val="00324168"/>
    <w:rsid w:val="00330834"/>
    <w:rsid w:val="003448F4"/>
    <w:rsid w:val="00374F5E"/>
    <w:rsid w:val="00377E3E"/>
    <w:rsid w:val="003A0AD4"/>
    <w:rsid w:val="003A779E"/>
    <w:rsid w:val="003B4535"/>
    <w:rsid w:val="003D0F4D"/>
    <w:rsid w:val="003D5B0D"/>
    <w:rsid w:val="003E0499"/>
    <w:rsid w:val="003E4F80"/>
    <w:rsid w:val="003E6439"/>
    <w:rsid w:val="003F3941"/>
    <w:rsid w:val="00406575"/>
    <w:rsid w:val="00414C74"/>
    <w:rsid w:val="0042722E"/>
    <w:rsid w:val="0044528D"/>
    <w:rsid w:val="00466E39"/>
    <w:rsid w:val="004A1847"/>
    <w:rsid w:val="004A305D"/>
    <w:rsid w:val="004A5C66"/>
    <w:rsid w:val="004F21C4"/>
    <w:rsid w:val="004F685F"/>
    <w:rsid w:val="00530A41"/>
    <w:rsid w:val="005566E8"/>
    <w:rsid w:val="00574867"/>
    <w:rsid w:val="00591460"/>
    <w:rsid w:val="005A65E0"/>
    <w:rsid w:val="005C3777"/>
    <w:rsid w:val="005C5CDC"/>
    <w:rsid w:val="005D476C"/>
    <w:rsid w:val="006200BF"/>
    <w:rsid w:val="006219F8"/>
    <w:rsid w:val="006302F7"/>
    <w:rsid w:val="00646B9F"/>
    <w:rsid w:val="00665D70"/>
    <w:rsid w:val="006900D9"/>
    <w:rsid w:val="006C1B51"/>
    <w:rsid w:val="006D0B9F"/>
    <w:rsid w:val="00706C16"/>
    <w:rsid w:val="007340C3"/>
    <w:rsid w:val="0075235A"/>
    <w:rsid w:val="00756841"/>
    <w:rsid w:val="007649AB"/>
    <w:rsid w:val="00771D0C"/>
    <w:rsid w:val="007833AC"/>
    <w:rsid w:val="007A6D3C"/>
    <w:rsid w:val="007B268C"/>
    <w:rsid w:val="007B7171"/>
    <w:rsid w:val="007B7494"/>
    <w:rsid w:val="007C0C0F"/>
    <w:rsid w:val="007C3DC2"/>
    <w:rsid w:val="007E5497"/>
    <w:rsid w:val="00806F5F"/>
    <w:rsid w:val="00811603"/>
    <w:rsid w:val="00820278"/>
    <w:rsid w:val="008258C9"/>
    <w:rsid w:val="00844AE9"/>
    <w:rsid w:val="00846D6A"/>
    <w:rsid w:val="00863264"/>
    <w:rsid w:val="00867F95"/>
    <w:rsid w:val="008843B6"/>
    <w:rsid w:val="00891928"/>
    <w:rsid w:val="00894D25"/>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262B"/>
    <w:rsid w:val="009F3A13"/>
    <w:rsid w:val="00A122D3"/>
    <w:rsid w:val="00A14468"/>
    <w:rsid w:val="00A17F13"/>
    <w:rsid w:val="00A20739"/>
    <w:rsid w:val="00A23AF9"/>
    <w:rsid w:val="00A33C78"/>
    <w:rsid w:val="00AB0ADB"/>
    <w:rsid w:val="00B00C0E"/>
    <w:rsid w:val="00B01B1A"/>
    <w:rsid w:val="00B0381D"/>
    <w:rsid w:val="00B10EC3"/>
    <w:rsid w:val="00B44A47"/>
    <w:rsid w:val="00B72CD3"/>
    <w:rsid w:val="00B72FFF"/>
    <w:rsid w:val="00BC3D36"/>
    <w:rsid w:val="00BD54A6"/>
    <w:rsid w:val="00BD7F72"/>
    <w:rsid w:val="00BE613C"/>
    <w:rsid w:val="00BF7425"/>
    <w:rsid w:val="00C04FB3"/>
    <w:rsid w:val="00C11D8B"/>
    <w:rsid w:val="00C15139"/>
    <w:rsid w:val="00C330EB"/>
    <w:rsid w:val="00C50D69"/>
    <w:rsid w:val="00C5365C"/>
    <w:rsid w:val="00C754BE"/>
    <w:rsid w:val="00C76B1C"/>
    <w:rsid w:val="00C925AC"/>
    <w:rsid w:val="00CB6357"/>
    <w:rsid w:val="00CC1B26"/>
    <w:rsid w:val="00CC7C6F"/>
    <w:rsid w:val="00CD6F4D"/>
    <w:rsid w:val="00CF5024"/>
    <w:rsid w:val="00D05D41"/>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6326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63264"/>
    <w:rPr>
      <w:rFonts w:ascii="Geomanist Light" w:hAnsi="Geomanist Light"/>
      <w:lang w:val="es-ES"/>
    </w:rPr>
  </w:style>
  <w:style w:type="character" w:customStyle="1" w:styleId="NormalWebCar">
    <w:name w:val="Normal (Web) Car"/>
    <w:link w:val="NormalWeb"/>
    <w:uiPriority w:val="99"/>
    <w:locked/>
    <w:rsid w:val="00863264"/>
    <w:rPr>
      <w:rFonts w:ascii="Times New Roman" w:eastAsia="Times New Roman" w:hAnsi="Times New Roman" w:cs="Times New Roman"/>
      <w:sz w:val="24"/>
      <w:szCs w:val="24"/>
      <w:lang w:eastAsia="es-CO"/>
    </w:rPr>
  </w:style>
  <w:style w:type="character" w:customStyle="1" w:styleId="baj">
    <w:name w:val="b_aj"/>
    <w:basedOn w:val="Fuentedeprrafopredeter"/>
    <w:rsid w:val="008632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ala-de-prensa/boletin-digita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5D17CBBB-06A1-425D-9190-E652876F4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24</Pages>
  <Words>7526</Words>
  <Characters>41398</Characters>
  <Application>Microsoft Office Word</Application>
  <DocSecurity>0</DocSecurity>
  <Lines>344</Lines>
  <Paragraphs>97</Paragraphs>
  <ScaleCrop>false</ScaleCrop>
  <Company/>
  <LinksUpToDate>false</LinksUpToDate>
  <CharactersWithSpaces>48827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2026-03-13T23:28:00Z</dcterms:created>
  <dcterms:modified xsi:type="dcterms:W3CDTF">2026-03-16T17:14:00Z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