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1B688" w14:textId="77777777" w:rsidR="001B0727" w:rsidRPr="00992E1A" w:rsidRDefault="001B0727" w:rsidP="001B0727">
      <w:pPr>
        <w:spacing w:after="0" w:line="240" w:lineRule="auto"/>
        <w:jc w:val="both"/>
        <w:rPr>
          <w:rFonts w:ascii="Verdana" w:eastAsia="Geomanist Light" w:hAnsi="Verdana" w:cs="Arial"/>
          <w:b/>
          <w:bCs/>
          <w:lang w:val="es-MX"/>
        </w:rPr>
      </w:pPr>
      <w:bookmarkStart w:id="0" w:name="_Hlk143780582"/>
      <w:r w:rsidRPr="00992E1A">
        <w:rPr>
          <w:rFonts w:ascii="Verdana" w:eastAsia="Geomanist Light" w:hAnsi="Verdana" w:cs="Arial"/>
          <w:b/>
          <w:bCs/>
          <w:lang w:val="es-MX"/>
        </w:rPr>
        <w:t>CONTRATO DE ARRENDAMIENTO</w:t>
      </w:r>
      <w:r>
        <w:rPr>
          <w:rFonts w:ascii="Verdana" w:eastAsia="Geomanist Light" w:hAnsi="Verdana" w:cs="Arial"/>
          <w:b/>
          <w:bCs/>
          <w:lang w:val="es-MX"/>
        </w:rPr>
        <w:t xml:space="preserve"> </w:t>
      </w:r>
      <w:r w:rsidRPr="00992E1A">
        <w:rPr>
          <w:rFonts w:ascii="Verdana" w:eastAsia="Geomanist Light" w:hAnsi="Verdana" w:cs="Arial"/>
          <w:b/>
          <w:bCs/>
          <w:lang w:val="es-MX"/>
        </w:rPr>
        <w:t>– Regulación</w:t>
      </w:r>
      <w:r>
        <w:rPr>
          <w:rFonts w:ascii="Verdana" w:eastAsia="Geomanist Light" w:hAnsi="Verdana" w:cs="Arial"/>
          <w:b/>
          <w:bCs/>
          <w:lang w:val="es-MX"/>
        </w:rPr>
        <w:t xml:space="preserve"> –</w:t>
      </w:r>
      <w:r w:rsidRPr="00992E1A">
        <w:rPr>
          <w:rFonts w:ascii="Verdana" w:eastAsia="Geomanist Light" w:hAnsi="Verdana" w:cs="Arial"/>
          <w:b/>
          <w:bCs/>
          <w:lang w:val="es-MX"/>
        </w:rPr>
        <w:t xml:space="preserve"> Concepto</w:t>
      </w:r>
      <w:r>
        <w:rPr>
          <w:rFonts w:ascii="Verdana" w:eastAsia="Geomanist Light" w:hAnsi="Verdana" w:cs="Arial"/>
          <w:b/>
          <w:bCs/>
          <w:lang w:val="es-MX"/>
        </w:rPr>
        <w:t xml:space="preserve"> - Elementos</w:t>
      </w:r>
    </w:p>
    <w:p w14:paraId="32E42F83" w14:textId="77777777" w:rsidR="001B0727" w:rsidRPr="00992E1A" w:rsidRDefault="001B0727" w:rsidP="001B0727">
      <w:pPr>
        <w:spacing w:after="0" w:line="240" w:lineRule="auto"/>
        <w:jc w:val="both"/>
        <w:rPr>
          <w:rFonts w:ascii="Verdana" w:eastAsia="Geomanist Light" w:hAnsi="Verdana" w:cs="Arial"/>
          <w:lang w:val="es-MX"/>
        </w:rPr>
      </w:pPr>
    </w:p>
    <w:p w14:paraId="76FF7F97" w14:textId="77777777" w:rsidR="001B0727" w:rsidRPr="00992E1A" w:rsidRDefault="001B0727" w:rsidP="001B0727">
      <w:pPr>
        <w:spacing w:after="0" w:line="240" w:lineRule="auto"/>
        <w:jc w:val="both"/>
        <w:rPr>
          <w:rFonts w:ascii="Verdana" w:eastAsia="Verdana" w:hAnsi="Verdana" w:cs="Arial"/>
          <w:sz w:val="20"/>
          <w:szCs w:val="20"/>
          <w:lang w:val="es-ES"/>
        </w:rPr>
      </w:pPr>
      <w:r w:rsidRPr="00992E1A">
        <w:rPr>
          <w:rFonts w:ascii="Verdana" w:eastAsia="Verdana" w:hAnsi="Verdana" w:cs="Arial"/>
          <w:sz w:val="20"/>
          <w:szCs w:val="20"/>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42CEBD3D" w14:textId="77777777" w:rsidR="001B0727" w:rsidRPr="00992E1A" w:rsidRDefault="001B0727" w:rsidP="001B0727">
      <w:pPr>
        <w:spacing w:after="0" w:line="240" w:lineRule="auto"/>
        <w:jc w:val="both"/>
        <w:rPr>
          <w:rFonts w:ascii="Verdana" w:eastAsia="Verdana" w:hAnsi="Verdana" w:cs="Arial"/>
          <w:sz w:val="20"/>
          <w:szCs w:val="20"/>
          <w:lang w:val="es-ES"/>
        </w:rPr>
      </w:pPr>
    </w:p>
    <w:p w14:paraId="103EB0E5" w14:textId="77777777" w:rsidR="001B0727" w:rsidRDefault="001B0727" w:rsidP="001B0727">
      <w:pPr>
        <w:spacing w:after="0" w:line="240" w:lineRule="auto"/>
        <w:jc w:val="both"/>
        <w:rPr>
          <w:rFonts w:ascii="Verdana" w:eastAsia="Verdana" w:hAnsi="Verdana" w:cs="Arial"/>
          <w:sz w:val="20"/>
          <w:szCs w:val="20"/>
          <w:lang w:val="es-ES"/>
        </w:rPr>
      </w:pPr>
      <w:r w:rsidRPr="00992E1A">
        <w:rPr>
          <w:rFonts w:ascii="Verdana" w:eastAsia="Verdana" w:hAnsi="Verdana" w:cs="Arial"/>
          <w:sz w:val="20"/>
          <w:szCs w:val="20"/>
          <w:lang w:val="es-ES"/>
        </w:rPr>
        <w:t xml:space="preserve">En cuanto a sus características, la doctrina ha indicado que el arrendamiento es un contrato: i) bilateral, pues ambas partes se obligan recíprocamente; </w:t>
      </w:r>
      <w:proofErr w:type="spellStart"/>
      <w:r w:rsidRPr="00992E1A">
        <w:rPr>
          <w:rFonts w:ascii="Verdana" w:eastAsia="Verdana" w:hAnsi="Verdana" w:cs="Arial"/>
          <w:sz w:val="20"/>
          <w:szCs w:val="20"/>
          <w:lang w:val="es-ES"/>
        </w:rPr>
        <w:t>ii</w:t>
      </w:r>
      <w:proofErr w:type="spellEnd"/>
      <w:r w:rsidRPr="00992E1A">
        <w:rPr>
          <w:rFonts w:ascii="Verdana" w:eastAsia="Verdana" w:hAnsi="Verdana" w:cs="Arial"/>
          <w:sz w:val="20"/>
          <w:szCs w:val="20"/>
          <w:lang w:val="es-ES"/>
        </w:rPr>
        <w:t xml:space="preserve">) consensual, dado que se perfecciona con el consentimiento ; </w:t>
      </w:r>
      <w:proofErr w:type="spellStart"/>
      <w:r w:rsidRPr="00992E1A">
        <w:rPr>
          <w:rFonts w:ascii="Verdana" w:eastAsia="Verdana" w:hAnsi="Verdana" w:cs="Arial"/>
          <w:sz w:val="20"/>
          <w:szCs w:val="20"/>
          <w:lang w:val="es-ES"/>
        </w:rPr>
        <w:t>iii</w:t>
      </w:r>
      <w:proofErr w:type="spellEnd"/>
      <w:r w:rsidRPr="00992E1A">
        <w:rPr>
          <w:rFonts w:ascii="Verdana" w:eastAsia="Verdana" w:hAnsi="Verdana" w:cs="Arial"/>
          <w:sz w:val="20"/>
          <w:szCs w:val="20"/>
          <w:lang w:val="es-ES"/>
        </w:rPr>
        <w:t xml:space="preserve">) oneroso, ya que ambas partes obtienen utilidades –el arrendatario, el uso y goce del bien, y el arrendador la renta o canon–; </w:t>
      </w:r>
      <w:proofErr w:type="spellStart"/>
      <w:r w:rsidRPr="00992E1A">
        <w:rPr>
          <w:rFonts w:ascii="Verdana" w:eastAsia="Verdana" w:hAnsi="Verdana" w:cs="Arial"/>
          <w:sz w:val="20"/>
          <w:szCs w:val="20"/>
          <w:lang w:val="es-ES"/>
        </w:rPr>
        <w:t>iv</w:t>
      </w:r>
      <w:proofErr w:type="spellEnd"/>
      <w:r w:rsidRPr="00992E1A">
        <w:rPr>
          <w:rFonts w:ascii="Verdana" w:eastAsia="Verdana" w:hAnsi="Verdana" w:cs="Arial"/>
          <w:sz w:val="20"/>
          <w:szCs w:val="20"/>
          <w:lang w:val="es-ES"/>
        </w:rPr>
        <w:t>) de ejecución sucesiva, en la medida en que se ejecuta en forma periódica; v) principal, porque existe en forma autónoma; y v) nominado, porque está tipificado y desarrollado en la ley.</w:t>
      </w:r>
    </w:p>
    <w:p w14:paraId="5014EB9A" w14:textId="77777777" w:rsidR="001B0727" w:rsidRPr="00095BC0" w:rsidRDefault="001B0727" w:rsidP="001B0727">
      <w:pPr>
        <w:spacing w:after="0" w:line="240" w:lineRule="auto"/>
        <w:jc w:val="both"/>
        <w:rPr>
          <w:rFonts w:ascii="Verdana" w:eastAsia="Verdana" w:hAnsi="Verdana" w:cs="Arial"/>
          <w:sz w:val="20"/>
          <w:szCs w:val="20"/>
          <w:lang w:val="es-ES"/>
        </w:rPr>
      </w:pPr>
    </w:p>
    <w:p w14:paraId="4D9F4571" w14:textId="77777777" w:rsidR="001B0727" w:rsidRPr="00992E1A" w:rsidRDefault="001B0727" w:rsidP="001B0727">
      <w:pPr>
        <w:spacing w:line="276" w:lineRule="auto"/>
        <w:jc w:val="both"/>
        <w:rPr>
          <w:rFonts w:ascii="Verdana" w:hAnsi="Verdana" w:cs="Arial"/>
          <w:b/>
          <w:bCs/>
          <w:lang w:val="es-ES" w:eastAsia="es-ES"/>
        </w:rPr>
      </w:pPr>
      <w:r w:rsidRPr="00992E1A">
        <w:rPr>
          <w:rFonts w:ascii="Verdana" w:hAnsi="Verdana" w:cs="Arial"/>
          <w:b/>
          <w:bCs/>
          <w:lang w:val="es-ES" w:eastAsia="es-ES"/>
        </w:rPr>
        <w:t>CONTRATO DE ARRENDAMIENTO – Seguridad social</w:t>
      </w:r>
    </w:p>
    <w:p w14:paraId="7237D95D" w14:textId="77777777" w:rsidR="001B0727" w:rsidRPr="00CA04F4" w:rsidRDefault="001B0727" w:rsidP="001B0727">
      <w:pPr>
        <w:pStyle w:val="Textoindependiente"/>
        <w:spacing w:after="120" w:line="276" w:lineRule="auto"/>
        <w:ind w:firstLine="0"/>
        <w:jc w:val="both"/>
        <w:rPr>
          <w:spacing w:val="-2"/>
          <w:lang w:val="es-CO"/>
        </w:rPr>
      </w:pPr>
      <w:r w:rsidRPr="00992E1A">
        <w:rPr>
          <w:rFonts w:eastAsia="Geomanist Light" w:cs="Arial"/>
          <w:sz w:val="20"/>
          <w:szCs w:val="20"/>
          <w:lang w:val="es-MX"/>
        </w:rPr>
        <w:t>[…]</w:t>
      </w:r>
      <w:r w:rsidRPr="00992E1A">
        <w:rPr>
          <w:rFonts w:eastAsia="Calibri" w:cs="Arial"/>
          <w:sz w:val="20"/>
          <w:szCs w:val="20"/>
        </w:rPr>
        <w:t xml:space="preserve"> en Colombia</w:t>
      </w:r>
      <w:r w:rsidRPr="00992E1A">
        <w:rPr>
          <w:rFonts w:cs="Arial"/>
          <w:sz w:val="20"/>
          <w:szCs w:val="20"/>
        </w:rPr>
        <w:t>, es obligatorio que los contratistas que participen en contratos de arrendamiento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r w:rsidRPr="00992E1A">
        <w:rPr>
          <w:rFonts w:cs="Arial"/>
        </w:rPr>
        <w:t>.</w:t>
      </w:r>
    </w:p>
    <w:p w14:paraId="639AB267" w14:textId="77777777" w:rsidR="001B0727" w:rsidRPr="00992E1A" w:rsidRDefault="001B0727" w:rsidP="001B0727">
      <w:pPr>
        <w:spacing w:after="0" w:line="240" w:lineRule="auto"/>
        <w:jc w:val="both"/>
        <w:rPr>
          <w:rFonts w:ascii="Verdana" w:eastAsia="Geomanist Light" w:hAnsi="Verdana" w:cs="Arial"/>
          <w:b/>
          <w:bCs/>
          <w:lang w:val="es-MX"/>
        </w:rPr>
      </w:pPr>
      <w:r>
        <w:rPr>
          <w:rFonts w:ascii="Verdana" w:eastAsia="Geomanist Light" w:hAnsi="Verdana" w:cs="Arial"/>
          <w:b/>
          <w:bCs/>
          <w:lang w:val="es-ES"/>
        </w:rPr>
        <w:t xml:space="preserve">APORTES A </w:t>
      </w:r>
      <w:r w:rsidRPr="00992E1A">
        <w:rPr>
          <w:rFonts w:ascii="Verdana" w:eastAsia="Geomanist Light" w:hAnsi="Verdana" w:cs="Arial"/>
          <w:b/>
          <w:bCs/>
          <w:lang w:val="es-MX"/>
        </w:rPr>
        <w:t>SEGURIDAD SOCIAL – Verificación – Pago – Persona natural – Persona jurídica</w:t>
      </w:r>
    </w:p>
    <w:p w14:paraId="40BB0FBB" w14:textId="77777777" w:rsidR="001B0727" w:rsidRPr="00992E1A" w:rsidRDefault="001B0727" w:rsidP="001B0727">
      <w:pPr>
        <w:spacing w:after="0" w:line="240" w:lineRule="auto"/>
        <w:jc w:val="both"/>
        <w:rPr>
          <w:rFonts w:ascii="Verdana" w:eastAsia="Geomanist Light" w:hAnsi="Verdana" w:cs="Arial"/>
          <w:lang w:val="es-MX"/>
        </w:rPr>
      </w:pPr>
    </w:p>
    <w:p w14:paraId="63574B81" w14:textId="77777777" w:rsidR="001B0727" w:rsidRDefault="001B0727" w:rsidP="001B0727">
      <w:pPr>
        <w:spacing w:after="0" w:line="240" w:lineRule="auto"/>
        <w:jc w:val="both"/>
        <w:rPr>
          <w:rFonts w:ascii="Verdana" w:eastAsia="Geomanist Light" w:hAnsi="Verdana" w:cs="Arial"/>
          <w:sz w:val="20"/>
          <w:szCs w:val="20"/>
          <w:lang w:val="es-MX"/>
        </w:rPr>
      </w:pPr>
      <w:r w:rsidRPr="00CA04F4">
        <w:rPr>
          <w:rFonts w:ascii="Verdana" w:eastAsia="Geomanist Light" w:hAnsi="Verdana" w:cs="Arial"/>
          <w:sz w:val="20"/>
          <w:szCs w:val="20"/>
          <w:lang w:val="es-MX"/>
        </w:rPr>
        <w:t xml:space="preserve">La verificación del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CA04F4">
        <w:rPr>
          <w:rFonts w:ascii="Verdana" w:eastAsia="Geomanist Light" w:hAnsi="Verdana" w:cs="Arial"/>
          <w:sz w:val="20"/>
          <w:szCs w:val="20"/>
          <w:lang w:val="es-MX"/>
        </w:rPr>
        <w:t>ii</w:t>
      </w:r>
      <w:proofErr w:type="spellEnd"/>
      <w:r w:rsidRPr="00CA04F4">
        <w:rPr>
          <w:rFonts w:ascii="Verdana" w:eastAsia="Geomanist Light" w:hAnsi="Verdana" w:cs="Arial"/>
          <w:sz w:val="20"/>
          <w:szCs w:val="20"/>
          <w:lang w:val="es-MX"/>
        </w:rPr>
        <w:t xml:space="preserve">)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w:t>
      </w:r>
      <w:r w:rsidRPr="00CA04F4">
        <w:rPr>
          <w:rFonts w:ascii="Verdana" w:eastAsia="Geomanist Light" w:hAnsi="Verdana" w:cs="Arial"/>
          <w:sz w:val="20"/>
          <w:szCs w:val="20"/>
          <w:lang w:val="es-MX"/>
        </w:rPr>
        <w:lastRenderedPageBreak/>
        <w:t>contrato también se acredite el pago al Sistema de Seguridad Social Integral para pagar las cuentas o facturas si a ello hubiere lugar.</w:t>
      </w:r>
    </w:p>
    <w:p w14:paraId="26F87426" w14:textId="77777777" w:rsidR="001B0727" w:rsidRDefault="001B0727" w:rsidP="001B0727">
      <w:pPr>
        <w:spacing w:after="0" w:line="240" w:lineRule="auto"/>
        <w:jc w:val="both"/>
        <w:rPr>
          <w:rFonts w:ascii="Verdana" w:eastAsia="Geomanist Light" w:hAnsi="Verdana" w:cs="Arial"/>
          <w:sz w:val="20"/>
          <w:szCs w:val="20"/>
          <w:lang w:val="es-MX"/>
        </w:rPr>
      </w:pPr>
    </w:p>
    <w:p w14:paraId="248C98F1" w14:textId="77777777" w:rsidR="001B0727" w:rsidRPr="00992E1A" w:rsidRDefault="001B0727" w:rsidP="001B0727">
      <w:pPr>
        <w:spacing w:after="0" w:line="240" w:lineRule="auto"/>
        <w:jc w:val="both"/>
        <w:rPr>
          <w:rFonts w:ascii="Verdana" w:eastAsia="Geomanist Light" w:hAnsi="Verdana" w:cs="Arial"/>
          <w:sz w:val="20"/>
          <w:szCs w:val="20"/>
          <w:lang w:val="es-MX"/>
        </w:rPr>
      </w:pPr>
    </w:p>
    <w:p w14:paraId="40D425CD" w14:textId="77777777" w:rsidR="001B0727" w:rsidRPr="00992E1A" w:rsidRDefault="001B0727" w:rsidP="001B0727">
      <w:pPr>
        <w:spacing w:line="276" w:lineRule="auto"/>
        <w:jc w:val="both"/>
        <w:rPr>
          <w:rFonts w:ascii="Verdana" w:hAnsi="Verdana" w:cs="Arial"/>
          <w:b/>
          <w:bCs/>
          <w:lang w:val="es-ES" w:eastAsia="es-ES"/>
        </w:rPr>
      </w:pPr>
      <w:r w:rsidRPr="00992E1A">
        <w:rPr>
          <w:rFonts w:ascii="Verdana" w:hAnsi="Verdana" w:cs="Arial"/>
          <w:b/>
          <w:bCs/>
          <w:lang w:val="es-ES" w:eastAsia="es-ES"/>
        </w:rPr>
        <w:t>CONTRATO DE ARRENDAMIENTO – Seguridad social – Rentistas de capital – Ingresos inferiores a un SMMLV</w:t>
      </w:r>
    </w:p>
    <w:p w14:paraId="25BAF18E" w14:textId="77777777" w:rsidR="001B0727" w:rsidRPr="004272E1" w:rsidRDefault="001B0727" w:rsidP="001B0727">
      <w:pPr>
        <w:spacing w:after="120" w:line="276" w:lineRule="auto"/>
        <w:jc w:val="both"/>
        <w:rPr>
          <w:rFonts w:ascii="Verdana" w:eastAsia="Calibri" w:hAnsi="Verdana" w:cs="Arial"/>
          <w:color w:val="000000"/>
          <w:sz w:val="20"/>
          <w:szCs w:val="20"/>
        </w:rPr>
      </w:pPr>
      <w:r w:rsidRPr="004272E1">
        <w:rPr>
          <w:rFonts w:ascii="Verdana" w:eastAsia="Calibri" w:hAnsi="Verdana" w:cs="Arial"/>
          <w:color w:val="000000"/>
          <w:sz w:val="20"/>
          <w:szCs w:val="20"/>
        </w:rPr>
        <w:t>En el caso de los</w:t>
      </w:r>
      <w:r w:rsidRPr="004272E1">
        <w:rPr>
          <w:rFonts w:ascii="Verdana" w:eastAsia="Aptos" w:hAnsi="Verdana" w:cs="Arial"/>
          <w:color w:val="000000"/>
          <w:sz w:val="20"/>
          <w:szCs w:val="20"/>
        </w:rPr>
        <w:t xml:space="preserve"> arrendadores, que son personas naturales o jurídicas y que actúan como rentistas de capital (quienes obtienen ingresos por el uso de sus bienes), la normativa los obliga a cotizar como trabajadores independientes. Este grupo debe realizar aportes sobre un ingreso base de cotización del 40% de sus ingresos brutos, sin incluir el valor del IVA, tal como lo establece el Decreto Único 780 de 2016. Este requisito responde al principio de solidaridad, que implica que toda persona con capacidad económica debe contribuir al </w:t>
      </w:r>
      <w:r w:rsidRPr="004272E1">
        <w:rPr>
          <w:rFonts w:ascii="Verdana" w:eastAsia="Calibri" w:hAnsi="Verdana" w:cs="Arial"/>
          <w:color w:val="000000"/>
          <w:sz w:val="20"/>
          <w:szCs w:val="20"/>
        </w:rPr>
        <w:t xml:space="preserve">financiamiento del Sistema de Seguridad Social. </w:t>
      </w:r>
    </w:p>
    <w:p w14:paraId="3F4960B0" w14:textId="77777777" w:rsidR="001B0727" w:rsidRDefault="001B0727" w:rsidP="00F34DB6">
      <w:pPr>
        <w:spacing w:after="0"/>
        <w:rPr>
          <w:rFonts w:ascii="Verdana" w:hAnsi="Verdana"/>
        </w:rPr>
      </w:pPr>
    </w:p>
    <w:p w14:paraId="44D03652" w14:textId="77777777" w:rsidR="001B0727" w:rsidRDefault="001B0727" w:rsidP="00F34DB6">
      <w:pPr>
        <w:spacing w:after="0"/>
        <w:rPr>
          <w:rFonts w:ascii="Verdana" w:hAnsi="Verdana"/>
        </w:rPr>
      </w:pPr>
    </w:p>
    <w:p w14:paraId="39F8F655" w14:textId="77777777" w:rsidR="001B0727" w:rsidRDefault="001B0727" w:rsidP="00F34DB6">
      <w:pPr>
        <w:spacing w:after="0"/>
        <w:rPr>
          <w:rFonts w:ascii="Verdana" w:hAnsi="Verdana"/>
        </w:rPr>
      </w:pPr>
    </w:p>
    <w:p w14:paraId="182609AE" w14:textId="77777777" w:rsidR="001B0727" w:rsidRDefault="001B0727" w:rsidP="00F34DB6">
      <w:pPr>
        <w:spacing w:after="0"/>
        <w:rPr>
          <w:rFonts w:ascii="Verdana" w:hAnsi="Verdana"/>
        </w:rPr>
      </w:pPr>
    </w:p>
    <w:p w14:paraId="7F929D86" w14:textId="77777777" w:rsidR="001B0727" w:rsidRDefault="001B0727" w:rsidP="00F34DB6">
      <w:pPr>
        <w:spacing w:after="0"/>
        <w:rPr>
          <w:rFonts w:ascii="Verdana" w:hAnsi="Verdana"/>
        </w:rPr>
      </w:pPr>
    </w:p>
    <w:p w14:paraId="67A4B621" w14:textId="77777777" w:rsidR="001B0727" w:rsidRDefault="001B0727" w:rsidP="00F34DB6">
      <w:pPr>
        <w:spacing w:after="0"/>
        <w:rPr>
          <w:rFonts w:ascii="Verdana" w:hAnsi="Verdana"/>
        </w:rPr>
      </w:pPr>
    </w:p>
    <w:p w14:paraId="5B9B42FC" w14:textId="77777777" w:rsidR="001B0727" w:rsidRDefault="001B0727" w:rsidP="00F34DB6">
      <w:pPr>
        <w:spacing w:after="0"/>
        <w:rPr>
          <w:rFonts w:ascii="Verdana" w:hAnsi="Verdana"/>
        </w:rPr>
      </w:pPr>
    </w:p>
    <w:p w14:paraId="4D224378" w14:textId="77777777" w:rsidR="001B0727" w:rsidRDefault="001B0727" w:rsidP="00F34DB6">
      <w:pPr>
        <w:spacing w:after="0"/>
        <w:rPr>
          <w:rFonts w:ascii="Verdana" w:hAnsi="Verdana"/>
        </w:rPr>
      </w:pPr>
    </w:p>
    <w:p w14:paraId="61E1E945" w14:textId="77777777" w:rsidR="001B0727" w:rsidRDefault="001B0727" w:rsidP="00F34DB6">
      <w:pPr>
        <w:spacing w:after="0"/>
        <w:rPr>
          <w:rFonts w:ascii="Verdana" w:hAnsi="Verdana"/>
        </w:rPr>
      </w:pPr>
    </w:p>
    <w:p w14:paraId="60711C4F" w14:textId="77777777" w:rsidR="001B0727" w:rsidRDefault="001B0727" w:rsidP="00F34DB6">
      <w:pPr>
        <w:spacing w:after="0"/>
        <w:rPr>
          <w:rFonts w:ascii="Verdana" w:hAnsi="Verdana"/>
        </w:rPr>
      </w:pPr>
    </w:p>
    <w:p w14:paraId="40A532E7" w14:textId="77777777" w:rsidR="001B0727" w:rsidRDefault="001B0727" w:rsidP="00F34DB6">
      <w:pPr>
        <w:spacing w:after="0"/>
        <w:rPr>
          <w:rFonts w:ascii="Verdana" w:hAnsi="Verdana"/>
        </w:rPr>
      </w:pPr>
    </w:p>
    <w:p w14:paraId="0B1DF342" w14:textId="77777777" w:rsidR="001B0727" w:rsidRDefault="001B0727" w:rsidP="00F34DB6">
      <w:pPr>
        <w:spacing w:after="0"/>
        <w:rPr>
          <w:rFonts w:ascii="Verdana" w:hAnsi="Verdana"/>
        </w:rPr>
      </w:pPr>
    </w:p>
    <w:p w14:paraId="70D01800" w14:textId="77777777" w:rsidR="001B0727" w:rsidRDefault="001B0727" w:rsidP="00F34DB6">
      <w:pPr>
        <w:spacing w:after="0"/>
        <w:rPr>
          <w:rFonts w:ascii="Verdana" w:hAnsi="Verdana"/>
        </w:rPr>
      </w:pPr>
    </w:p>
    <w:p w14:paraId="76F196C7" w14:textId="77777777" w:rsidR="001B0727" w:rsidRDefault="001B0727" w:rsidP="00F34DB6">
      <w:pPr>
        <w:spacing w:after="0"/>
        <w:rPr>
          <w:rFonts w:ascii="Verdana" w:hAnsi="Verdana"/>
        </w:rPr>
      </w:pPr>
    </w:p>
    <w:p w14:paraId="7B9508EB" w14:textId="77777777" w:rsidR="001B0727" w:rsidRDefault="001B0727" w:rsidP="00F34DB6">
      <w:pPr>
        <w:spacing w:after="0"/>
        <w:rPr>
          <w:rFonts w:ascii="Verdana" w:hAnsi="Verdana"/>
        </w:rPr>
      </w:pPr>
    </w:p>
    <w:p w14:paraId="2A743F75" w14:textId="77777777" w:rsidR="001B0727" w:rsidRDefault="001B0727" w:rsidP="00F34DB6">
      <w:pPr>
        <w:spacing w:after="0"/>
        <w:rPr>
          <w:rFonts w:ascii="Verdana" w:hAnsi="Verdana"/>
        </w:rPr>
      </w:pPr>
    </w:p>
    <w:p w14:paraId="20AEB030" w14:textId="77777777" w:rsidR="001B0727" w:rsidRDefault="001B0727" w:rsidP="00F34DB6">
      <w:pPr>
        <w:spacing w:after="0"/>
        <w:rPr>
          <w:rFonts w:ascii="Verdana" w:hAnsi="Verdana"/>
        </w:rPr>
      </w:pPr>
    </w:p>
    <w:p w14:paraId="560C4A2C" w14:textId="77777777" w:rsidR="001B0727" w:rsidRDefault="001B0727" w:rsidP="00F34DB6">
      <w:pPr>
        <w:spacing w:after="0"/>
        <w:rPr>
          <w:rFonts w:ascii="Verdana" w:hAnsi="Verdana"/>
        </w:rPr>
      </w:pPr>
    </w:p>
    <w:p w14:paraId="2BA6BEB3" w14:textId="77777777" w:rsidR="001B0727" w:rsidRDefault="001B0727" w:rsidP="00F34DB6">
      <w:pPr>
        <w:spacing w:after="0"/>
        <w:rPr>
          <w:rFonts w:ascii="Verdana" w:hAnsi="Verdana"/>
        </w:rPr>
      </w:pPr>
    </w:p>
    <w:p w14:paraId="7934DB29" w14:textId="77777777" w:rsidR="001B0727" w:rsidRDefault="001B0727" w:rsidP="00F34DB6">
      <w:pPr>
        <w:spacing w:after="0"/>
        <w:rPr>
          <w:rFonts w:ascii="Verdana" w:hAnsi="Verdana"/>
        </w:rPr>
      </w:pPr>
    </w:p>
    <w:p w14:paraId="5CEB9DD3" w14:textId="77777777" w:rsidR="001B0727" w:rsidRDefault="001B0727" w:rsidP="00F34DB6">
      <w:pPr>
        <w:spacing w:after="0"/>
        <w:rPr>
          <w:rFonts w:ascii="Verdana" w:hAnsi="Verdana"/>
        </w:rPr>
      </w:pPr>
    </w:p>
    <w:p w14:paraId="23655DC0" w14:textId="77777777" w:rsidR="001B0727" w:rsidRDefault="001B0727" w:rsidP="00F34DB6">
      <w:pPr>
        <w:spacing w:after="0"/>
        <w:rPr>
          <w:rFonts w:ascii="Verdana" w:hAnsi="Verdana"/>
        </w:rPr>
      </w:pPr>
    </w:p>
    <w:p w14:paraId="2969028C" w14:textId="77777777" w:rsidR="001B0727" w:rsidRDefault="001B0727" w:rsidP="00F34DB6">
      <w:pPr>
        <w:spacing w:after="0"/>
        <w:rPr>
          <w:rFonts w:ascii="Verdana" w:hAnsi="Verdana"/>
        </w:rPr>
      </w:pPr>
    </w:p>
    <w:p w14:paraId="01D0E8FC" w14:textId="77777777" w:rsidR="001B0727" w:rsidRDefault="001B0727" w:rsidP="00F34DB6">
      <w:pPr>
        <w:spacing w:after="0"/>
        <w:rPr>
          <w:rFonts w:ascii="Verdana" w:hAnsi="Verdana"/>
        </w:rPr>
      </w:pPr>
    </w:p>
    <w:p w14:paraId="3ADC7509" w14:textId="77777777" w:rsidR="001B0727" w:rsidRDefault="001B0727" w:rsidP="00F34DB6">
      <w:pPr>
        <w:spacing w:after="0"/>
        <w:rPr>
          <w:rFonts w:ascii="Verdana" w:hAnsi="Verdana"/>
        </w:rPr>
      </w:pPr>
    </w:p>
    <w:p w14:paraId="409256B1" w14:textId="65664866" w:rsidR="00F34DB6" w:rsidRDefault="00945D12" w:rsidP="00F34DB6">
      <w:pPr>
        <w:spacing w:after="0"/>
        <w:rPr>
          <w:rFonts w:ascii="Verdana" w:hAnsi="Verdana"/>
        </w:rPr>
      </w:pPr>
      <w:r w:rsidRPr="00945D12">
        <w:rPr>
          <w:rFonts w:ascii="Verdana" w:hAnsi="Verdana"/>
          <w:noProof/>
        </w:rPr>
        <w:lastRenderedPageBreak/>
        <w:drawing>
          <wp:anchor distT="0" distB="0" distL="114300" distR="114300" simplePos="0" relativeHeight="251657216" behindDoc="0" locked="0" layoutInCell="1" allowOverlap="1" wp14:anchorId="45869A77" wp14:editId="5EEB2BCB">
            <wp:simplePos x="0" y="0"/>
            <wp:positionH relativeFrom="margin">
              <wp:posOffset>2802890</wp:posOffset>
            </wp:positionH>
            <wp:positionV relativeFrom="margin">
              <wp:posOffset>-3810</wp:posOffset>
            </wp:positionV>
            <wp:extent cx="3024505" cy="984250"/>
            <wp:effectExtent l="0" t="0" r="4445" b="6350"/>
            <wp:wrapSquare wrapText="bothSides"/>
            <wp:docPr id="13260173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017355" name=""/>
                    <pic:cNvPicPr/>
                  </pic:nvPicPr>
                  <pic:blipFill>
                    <a:blip r:embed="rId11">
                      <a:extLst>
                        <a:ext uri="{28A0092B-C50C-407E-A947-70E740481C1C}">
                          <a14:useLocalDpi xmlns:a14="http://schemas.microsoft.com/office/drawing/2010/main" val="0"/>
                        </a:ext>
                      </a:extLst>
                    </a:blip>
                    <a:stretch>
                      <a:fillRect/>
                    </a:stretch>
                  </pic:blipFill>
                  <pic:spPr>
                    <a:xfrm>
                      <a:off x="0" y="0"/>
                      <a:ext cx="3024505" cy="984250"/>
                    </a:xfrm>
                    <a:prstGeom prst="rect">
                      <a:avLst/>
                    </a:prstGeom>
                  </pic:spPr>
                </pic:pic>
              </a:graphicData>
            </a:graphic>
            <wp14:sizeRelH relativeFrom="margin">
              <wp14:pctWidth>0</wp14:pctWidth>
            </wp14:sizeRelH>
            <wp14:sizeRelV relativeFrom="margin">
              <wp14:pctHeight>0</wp14:pctHeight>
            </wp14:sizeRelV>
          </wp:anchor>
        </w:drawing>
      </w:r>
      <w:r w:rsidR="00E26913" w:rsidRPr="00E26913">
        <w:rPr>
          <w:rFonts w:ascii="Verdana" w:hAnsi="Verdana"/>
        </w:rPr>
        <w:t>Bogotá D.C, 04 Marzo 2026</w:t>
      </w:r>
    </w:p>
    <w:p w14:paraId="5F014736" w14:textId="7AAD4CC0" w:rsidR="00E26913" w:rsidRPr="0003440D" w:rsidRDefault="00E26913" w:rsidP="00F34DB6">
      <w:pPr>
        <w:spacing w:after="0"/>
        <w:rPr>
          <w:rFonts w:ascii="Verdana" w:hAnsi="Verdana"/>
        </w:rPr>
      </w:pPr>
    </w:p>
    <w:p w14:paraId="49149FA3" w14:textId="77777777" w:rsidR="00F34DB6" w:rsidRPr="0003440D" w:rsidRDefault="00F34DB6" w:rsidP="00F34DB6">
      <w:pPr>
        <w:spacing w:after="0"/>
        <w:rPr>
          <w:rFonts w:ascii="Verdana" w:hAnsi="Verdana"/>
        </w:rPr>
      </w:pPr>
      <w:r w:rsidRPr="0003440D">
        <w:rPr>
          <w:rFonts w:ascii="Verdana" w:hAnsi="Verdana"/>
        </w:rPr>
        <w:tab/>
      </w:r>
    </w:p>
    <w:bookmarkEnd w:id="0"/>
    <w:p w14:paraId="373D1A2A" w14:textId="77777777" w:rsidR="00F34DB6" w:rsidRPr="0003440D" w:rsidRDefault="00F34DB6" w:rsidP="00F34DB6">
      <w:pPr>
        <w:spacing w:after="0" w:line="276" w:lineRule="auto"/>
        <w:rPr>
          <w:rFonts w:ascii="Verdana" w:eastAsia="Calibri" w:hAnsi="Verdana" w:cs="Arial"/>
          <w:lang w:val="es-ES" w:eastAsia="es-ES"/>
        </w:rPr>
      </w:pPr>
      <w:r w:rsidRPr="0003440D">
        <w:rPr>
          <w:rFonts w:ascii="Verdana" w:eastAsia="Calibri" w:hAnsi="Verdana" w:cs="Arial"/>
          <w:lang w:val="es-ES" w:eastAsia="es-ES"/>
        </w:rPr>
        <w:t>Señor</w:t>
      </w:r>
    </w:p>
    <w:p w14:paraId="3E2190F4" w14:textId="77777777" w:rsidR="00F34DB6" w:rsidRPr="00253152" w:rsidRDefault="00F34DB6" w:rsidP="00F34DB6">
      <w:pPr>
        <w:spacing w:after="0" w:line="276" w:lineRule="auto"/>
        <w:rPr>
          <w:rFonts w:ascii="Verdana" w:eastAsia="Calibri" w:hAnsi="Verdana" w:cs="Arial"/>
          <w:b/>
          <w:bCs/>
          <w:lang w:eastAsia="es-ES"/>
        </w:rPr>
      </w:pPr>
      <w:r w:rsidRPr="00253152">
        <w:rPr>
          <w:rFonts w:ascii="Verdana" w:eastAsia="Calibri" w:hAnsi="Verdana" w:cs="Arial"/>
          <w:b/>
          <w:bCs/>
          <w:lang w:eastAsia="es-ES"/>
        </w:rPr>
        <w:t>Cesar Steber Andrade Cordoba</w:t>
      </w:r>
    </w:p>
    <w:p w14:paraId="28C2B65C" w14:textId="77777777" w:rsidR="00F34DB6" w:rsidRPr="00A12777" w:rsidRDefault="00F34DB6" w:rsidP="00F34DB6">
      <w:pPr>
        <w:spacing w:after="0" w:line="276" w:lineRule="auto"/>
        <w:rPr>
          <w:rFonts w:ascii="Verdana" w:eastAsia="Calibri" w:hAnsi="Verdana" w:cs="Arial"/>
          <w:lang w:eastAsia="es-ES"/>
        </w:rPr>
      </w:pPr>
      <w:r w:rsidRPr="00A12777">
        <w:rPr>
          <w:rFonts w:ascii="Verdana" w:eastAsia="Calibri" w:hAnsi="Verdana" w:cs="Arial"/>
          <w:lang w:eastAsia="es-ES"/>
        </w:rPr>
        <w:t xml:space="preserve">Jefe de la Oficina de Control Interno </w:t>
      </w:r>
    </w:p>
    <w:p w14:paraId="50DAB978" w14:textId="77777777" w:rsidR="00F34DB6" w:rsidRDefault="00F34DB6" w:rsidP="00F34DB6">
      <w:pPr>
        <w:spacing w:after="0" w:line="276" w:lineRule="auto"/>
        <w:rPr>
          <w:rFonts w:ascii="Verdana" w:eastAsia="Calibri" w:hAnsi="Verdana" w:cs="Arial"/>
          <w:lang w:eastAsia="es-ES"/>
        </w:rPr>
      </w:pPr>
      <w:r w:rsidRPr="00A12777">
        <w:rPr>
          <w:rFonts w:ascii="Verdana" w:eastAsia="Calibri" w:hAnsi="Verdana" w:cs="Arial"/>
          <w:lang w:eastAsia="es-ES"/>
        </w:rPr>
        <w:t>Gobernación del Chocó</w:t>
      </w:r>
    </w:p>
    <w:p w14:paraId="720A0675" w14:textId="77777777" w:rsidR="00F34DB6" w:rsidRDefault="00F34DB6" w:rsidP="00F34DB6">
      <w:pPr>
        <w:spacing w:after="0" w:line="276" w:lineRule="auto"/>
        <w:rPr>
          <w:rFonts w:ascii="Verdana" w:eastAsia="Calibri" w:hAnsi="Verdana" w:cs="Arial"/>
          <w:lang w:eastAsia="es-ES"/>
        </w:rPr>
      </w:pPr>
      <w:hyperlink r:id="rId12" w:history="1">
        <w:r w:rsidRPr="00B24C6D">
          <w:rPr>
            <w:rStyle w:val="Hipervnculo"/>
            <w:rFonts w:ascii="Verdana" w:eastAsia="Calibri" w:hAnsi="Verdana" w:cs="Arial"/>
            <w:lang w:eastAsia="es-ES"/>
          </w:rPr>
          <w:t>infocontrolinterno@choco.gov.co</w:t>
        </w:r>
      </w:hyperlink>
    </w:p>
    <w:p w14:paraId="05A6BCDB" w14:textId="77777777" w:rsidR="00F34DB6" w:rsidRPr="0003440D" w:rsidRDefault="00F34DB6" w:rsidP="00F34DB6">
      <w:pPr>
        <w:spacing w:after="0" w:line="276" w:lineRule="auto"/>
        <w:rPr>
          <w:rFonts w:ascii="Verdana" w:eastAsia="Calibri" w:hAnsi="Verdana" w:cs="Arial"/>
          <w:lang w:val="es-ES" w:eastAsia="es-ES"/>
        </w:rPr>
      </w:pPr>
      <w:r w:rsidRPr="0003440D">
        <w:rPr>
          <w:rFonts w:ascii="Verdana" w:eastAsia="Calibri" w:hAnsi="Verdana" w:cs="Arial"/>
          <w:lang w:val="es-ES" w:eastAsia="es-ES"/>
        </w:rPr>
        <w:t>Bogotá, D.C.</w:t>
      </w:r>
    </w:p>
    <w:p w14:paraId="68A7C4E5" w14:textId="77777777" w:rsidR="00F34DB6" w:rsidRPr="007E53B7" w:rsidRDefault="00F34DB6" w:rsidP="00F34DB6">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F34DB6" w:rsidRPr="007E53B7" w14:paraId="1CE397EE" w14:textId="77777777" w:rsidTr="00EB7760">
        <w:trPr>
          <w:trHeight w:val="999"/>
        </w:trPr>
        <w:tc>
          <w:tcPr>
            <w:tcW w:w="3261" w:type="dxa"/>
          </w:tcPr>
          <w:p w14:paraId="07396CE5" w14:textId="77777777" w:rsidR="00F34DB6" w:rsidRPr="007E53B7" w:rsidRDefault="00F34DB6" w:rsidP="00EB7760">
            <w:pPr>
              <w:spacing w:line="276" w:lineRule="auto"/>
              <w:jc w:val="both"/>
              <w:rPr>
                <w:rFonts w:ascii="Verdana" w:eastAsia="Calibri" w:hAnsi="Verdana" w:cs="Arial"/>
                <w:b/>
                <w:bCs/>
                <w:color w:val="66CCFF"/>
                <w:lang w:val="es-ES_tradnl" w:eastAsia="es-ES_tradnl"/>
              </w:rPr>
            </w:pPr>
          </w:p>
        </w:tc>
        <w:tc>
          <w:tcPr>
            <w:tcW w:w="5972" w:type="dxa"/>
            <w:hideMark/>
          </w:tcPr>
          <w:p w14:paraId="41134FA7" w14:textId="77777777" w:rsidR="00F34DB6" w:rsidRPr="00DF2EA7" w:rsidRDefault="00F34DB6" w:rsidP="00EB7760">
            <w:pPr>
              <w:spacing w:line="276" w:lineRule="auto"/>
              <w:jc w:val="both"/>
              <w:rPr>
                <w:rFonts w:ascii="Verdana" w:eastAsia="Calibri" w:hAnsi="Verdana" w:cs="Arial"/>
                <w:b/>
                <w:bCs/>
                <w:lang w:val="es-ES" w:eastAsia="es-ES"/>
              </w:rPr>
            </w:pPr>
            <w:r w:rsidRPr="00DF2EA7">
              <w:rPr>
                <w:rFonts w:ascii="Verdana" w:eastAsia="Calibri" w:hAnsi="Verdana" w:cs="Arial"/>
                <w:b/>
                <w:bCs/>
                <w:lang w:val="es-ES" w:eastAsia="es-ES"/>
              </w:rPr>
              <w:t>Concepto C – 087 de 2026</w:t>
            </w:r>
          </w:p>
        </w:tc>
      </w:tr>
      <w:tr w:rsidR="00F34DB6" w:rsidRPr="007E53B7" w14:paraId="2ECAAC9A" w14:textId="77777777" w:rsidTr="00EB7760">
        <w:trPr>
          <w:trHeight w:val="999"/>
        </w:trPr>
        <w:tc>
          <w:tcPr>
            <w:tcW w:w="3261" w:type="dxa"/>
            <w:hideMark/>
          </w:tcPr>
          <w:p w14:paraId="62484C44" w14:textId="77777777" w:rsidR="00F34DB6" w:rsidRPr="007E53B7" w:rsidRDefault="00F34DB6" w:rsidP="00EB7760">
            <w:pPr>
              <w:spacing w:line="276" w:lineRule="auto"/>
              <w:jc w:val="both"/>
              <w:rPr>
                <w:rFonts w:ascii="Verdana" w:eastAsia="Calibri" w:hAnsi="Verdana" w:cs="Arial"/>
                <w:color w:val="66CCFF"/>
                <w:lang w:val="es-ES_tradnl" w:eastAsia="es-ES_tradnl"/>
              </w:rPr>
            </w:pPr>
            <w:r w:rsidRPr="00DF2EA7">
              <w:rPr>
                <w:rFonts w:ascii="Verdana" w:eastAsia="Calibri" w:hAnsi="Verdana" w:cs="Arial"/>
                <w:b/>
                <w:lang w:val="es-ES_tradnl" w:eastAsia="es-ES_tradnl"/>
              </w:rPr>
              <w:t>Temas:</w:t>
            </w:r>
            <w:r w:rsidRPr="00DF2EA7">
              <w:rPr>
                <w:rFonts w:ascii="Verdana" w:eastAsia="Calibri" w:hAnsi="Verdana" w:cs="Arial"/>
                <w:lang w:val="es-ES_tradnl" w:eastAsia="es-ES_tradnl"/>
              </w:rPr>
              <w:t xml:space="preserve">                   </w:t>
            </w:r>
          </w:p>
        </w:tc>
        <w:tc>
          <w:tcPr>
            <w:tcW w:w="5972" w:type="dxa"/>
          </w:tcPr>
          <w:p w14:paraId="0AA2BF7F" w14:textId="77777777" w:rsidR="00F34DB6" w:rsidRPr="00CA04F4" w:rsidRDefault="00F34DB6" w:rsidP="00EB7760">
            <w:pPr>
              <w:jc w:val="both"/>
              <w:rPr>
                <w:rFonts w:ascii="Verdana" w:eastAsia="Geomanist Light" w:hAnsi="Verdana" w:cs="Arial"/>
                <w:sz w:val="20"/>
                <w:szCs w:val="20"/>
                <w:lang w:val="es-MX"/>
              </w:rPr>
            </w:pPr>
            <w:r w:rsidRPr="00CA04F4">
              <w:rPr>
                <w:rFonts w:ascii="Verdana" w:eastAsia="Geomanist Light" w:hAnsi="Verdana" w:cs="Arial"/>
                <w:lang w:val="es-MX"/>
              </w:rPr>
              <w:t xml:space="preserve">CONTRATO DE ARRENDAMIENTO – Regulación – Concepto – Elementos / </w:t>
            </w:r>
            <w:r w:rsidRPr="00CA04F4">
              <w:rPr>
                <w:rFonts w:ascii="Verdana" w:hAnsi="Verdana" w:cs="Arial"/>
                <w:lang w:val="es-ES" w:eastAsia="es-ES"/>
              </w:rPr>
              <w:t xml:space="preserve">CONTRATO DE ARRENDAMIENTO – Seguridad social / </w:t>
            </w:r>
            <w:r w:rsidRPr="00CA04F4">
              <w:rPr>
                <w:rFonts w:ascii="Verdana" w:eastAsia="Geomanist Light" w:hAnsi="Verdana" w:cs="Arial"/>
                <w:lang w:val="es-ES"/>
              </w:rPr>
              <w:t xml:space="preserve">APORTES A </w:t>
            </w:r>
            <w:r w:rsidRPr="00CA04F4">
              <w:rPr>
                <w:rFonts w:ascii="Verdana" w:eastAsia="Geomanist Light" w:hAnsi="Verdana" w:cs="Arial"/>
                <w:lang w:val="es-MX"/>
              </w:rPr>
              <w:t xml:space="preserve">SEGURIDAD SOCIAL – Verificación – Pago – Persona natural – Persona jurídica / </w:t>
            </w:r>
            <w:r w:rsidRPr="00CA04F4">
              <w:rPr>
                <w:rFonts w:ascii="Verdana" w:hAnsi="Verdana" w:cs="Arial"/>
                <w:lang w:val="es-ES" w:eastAsia="es-ES"/>
              </w:rPr>
              <w:t>CONTRATO DE ARRENDAMIENTO – Seguridad social – Rentistas de capital – Ingresos inferiores a un SMMLV</w:t>
            </w:r>
          </w:p>
          <w:p w14:paraId="2099291B" w14:textId="77777777" w:rsidR="00F34DB6" w:rsidRPr="00CA04F4" w:rsidRDefault="00F34DB6" w:rsidP="00EB7760">
            <w:pPr>
              <w:spacing w:line="276" w:lineRule="auto"/>
              <w:jc w:val="both"/>
              <w:rPr>
                <w:rFonts w:ascii="Verdana" w:hAnsi="Verdana" w:cs="Arial"/>
                <w:lang w:val="es-MX" w:eastAsia="es-ES"/>
              </w:rPr>
            </w:pPr>
          </w:p>
        </w:tc>
      </w:tr>
      <w:tr w:rsidR="00F34DB6" w:rsidRPr="00724695" w14:paraId="413B2F54" w14:textId="77777777" w:rsidTr="00EB7760">
        <w:trPr>
          <w:trHeight w:val="597"/>
        </w:trPr>
        <w:tc>
          <w:tcPr>
            <w:tcW w:w="3261" w:type="dxa"/>
            <w:hideMark/>
          </w:tcPr>
          <w:p w14:paraId="304C67D6" w14:textId="77777777" w:rsidR="00F34DB6" w:rsidRPr="008C5E3B" w:rsidRDefault="00F34DB6" w:rsidP="00EB7760">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7E38590D" w14:textId="77777777" w:rsidR="00F34DB6" w:rsidRPr="00724695" w:rsidRDefault="00F34DB6" w:rsidP="00EB7760">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r w:rsidRPr="00724695">
              <w:rPr>
                <w:rFonts w:ascii="Verdana" w:eastAsia="Calibri" w:hAnsi="Verdana" w:cs="Arial"/>
                <w:bCs/>
                <w:lang w:eastAsia="es-ES_tradnl"/>
              </w:rPr>
              <w:t>No. 1_2026_01_23_000722</w:t>
            </w:r>
          </w:p>
          <w:p w14:paraId="52BD3F88" w14:textId="77777777" w:rsidR="00F34DB6" w:rsidRPr="00724695" w:rsidRDefault="00F34DB6" w:rsidP="00EB7760">
            <w:pPr>
              <w:spacing w:line="276" w:lineRule="auto"/>
              <w:jc w:val="both"/>
              <w:rPr>
                <w:rFonts w:ascii="Verdana" w:eastAsia="Calibri" w:hAnsi="Verdana" w:cs="Arial"/>
                <w:bCs/>
                <w:lang w:val="es-ES_tradnl" w:eastAsia="es-ES_tradnl"/>
              </w:rPr>
            </w:pPr>
          </w:p>
        </w:tc>
      </w:tr>
    </w:tbl>
    <w:p w14:paraId="16938B13" w14:textId="77777777" w:rsidR="00F34DB6" w:rsidRPr="00724695" w:rsidRDefault="00F34DB6" w:rsidP="00F34DB6">
      <w:pPr>
        <w:spacing w:after="0" w:line="276" w:lineRule="auto"/>
        <w:jc w:val="both"/>
        <w:rPr>
          <w:rFonts w:ascii="Verdana" w:eastAsia="Calibri" w:hAnsi="Verdana" w:cs="Arial"/>
          <w:bCs/>
          <w:lang w:val="es-ES_tradnl" w:eastAsia="es-ES_tradnl"/>
        </w:rPr>
      </w:pPr>
    </w:p>
    <w:p w14:paraId="354B1E69" w14:textId="77777777" w:rsidR="00F34DB6" w:rsidRPr="00724695" w:rsidRDefault="00F34DB6" w:rsidP="00F34DB6">
      <w:pPr>
        <w:spacing w:after="0" w:line="276" w:lineRule="auto"/>
        <w:jc w:val="both"/>
        <w:rPr>
          <w:rFonts w:ascii="Verdana" w:eastAsia="Calibri" w:hAnsi="Verdana" w:cs="Arial"/>
          <w:bCs/>
          <w:lang w:val="es-ES" w:eastAsia="es-ES"/>
        </w:rPr>
      </w:pPr>
      <w:r w:rsidRPr="00724695">
        <w:rPr>
          <w:rFonts w:ascii="Verdana" w:eastAsia="Calibri" w:hAnsi="Verdana" w:cs="Arial"/>
          <w:bCs/>
          <w:lang w:val="es-ES" w:eastAsia="es-ES"/>
        </w:rPr>
        <w:t xml:space="preserve">Estimado señor </w:t>
      </w:r>
      <w:r w:rsidRPr="00724695">
        <w:rPr>
          <w:rFonts w:ascii="Verdana" w:eastAsia="Calibri" w:hAnsi="Verdana" w:cs="Arial"/>
          <w:bCs/>
          <w:lang w:eastAsia="es-ES"/>
        </w:rPr>
        <w:t>Cesar Steber</w:t>
      </w:r>
      <w:r w:rsidRPr="00724695">
        <w:rPr>
          <w:rFonts w:ascii="Verdana" w:eastAsia="Calibri" w:hAnsi="Verdana" w:cs="Arial"/>
          <w:bCs/>
          <w:lang w:val="es-ES" w:eastAsia="es-ES"/>
        </w:rPr>
        <w:t xml:space="preserve">:  </w:t>
      </w:r>
    </w:p>
    <w:p w14:paraId="1DDA7910" w14:textId="77777777" w:rsidR="00F34DB6" w:rsidRPr="00724695" w:rsidRDefault="00F34DB6" w:rsidP="00F34DB6">
      <w:pPr>
        <w:tabs>
          <w:tab w:val="left" w:pos="3768"/>
        </w:tabs>
        <w:spacing w:after="0" w:line="276" w:lineRule="auto"/>
        <w:jc w:val="both"/>
        <w:rPr>
          <w:rFonts w:ascii="Verdana" w:eastAsia="Calibri" w:hAnsi="Verdana" w:cs="Arial"/>
          <w:bCs/>
          <w:lang w:val="es-ES" w:eastAsia="es-ES"/>
        </w:rPr>
      </w:pPr>
      <w:r w:rsidRPr="00724695">
        <w:rPr>
          <w:rFonts w:ascii="Verdana" w:eastAsia="Calibri" w:hAnsi="Verdana" w:cs="Arial"/>
          <w:bCs/>
          <w:lang w:val="es-ES" w:eastAsia="es-ES"/>
        </w:rPr>
        <w:tab/>
      </w:r>
    </w:p>
    <w:p w14:paraId="61632943" w14:textId="5F9AF6E6" w:rsidR="00F34DB6" w:rsidRDefault="00F34DB6" w:rsidP="00F34DB6">
      <w:pPr>
        <w:spacing w:after="0" w:line="276" w:lineRule="auto"/>
        <w:jc w:val="both"/>
        <w:rPr>
          <w:rFonts w:ascii="Verdana" w:eastAsia="Calibri" w:hAnsi="Verdana" w:cs="Arial"/>
          <w:bCs/>
          <w:lang w:val="es-ES" w:eastAsia="es-ES"/>
        </w:rPr>
      </w:pPr>
      <w:r w:rsidRPr="00724695">
        <w:rPr>
          <w:rFonts w:ascii="Verdana" w:eastAsia="Calibri" w:hAnsi="Verdana" w:cs="Arial"/>
          <w:bCs/>
          <w:lang w:val="es-ES" w:eastAsia="es-ES"/>
        </w:rPr>
        <w:t>En ejercicio de la competencia otorgada por los artículos 3, numeral 5º, y 11, numeral 8º, del Decreto Ley 4170 de 2011,</w:t>
      </w:r>
      <w:r w:rsidRPr="00724695">
        <w:rPr>
          <w:rFonts w:ascii="Verdana" w:eastAsia="Arial MT" w:hAnsi="Verdana" w:cs="Arial MT"/>
          <w:bCs/>
          <w:lang w:val="es-ES" w:eastAsia="es-ES"/>
        </w:rPr>
        <w:t xml:space="preserve"> </w:t>
      </w:r>
      <w:r w:rsidRPr="00724695">
        <w:rPr>
          <w:rFonts w:ascii="Verdana" w:eastAsia="Calibri" w:hAnsi="Verdana" w:cs="Arial"/>
          <w:bCs/>
        </w:rPr>
        <w:t xml:space="preserve">así como lo establecido en el artículo 4 de la Resolución 1707 de 2018 expedida por esta Entidad, </w:t>
      </w:r>
      <w:r w:rsidRPr="00724695">
        <w:rPr>
          <w:rFonts w:ascii="Verdana" w:eastAsia="Calibri" w:hAnsi="Verdana" w:cs="Arial"/>
          <w:bCs/>
          <w:lang w:val="es-ES" w:eastAsia="es-ES"/>
        </w:rPr>
        <w:t>la Agencia Nacional de Contratación Pública –Colombia Compra Eficiente– responde su solicitud de consulta de fecha de 2</w:t>
      </w:r>
      <w:r w:rsidR="00B84442">
        <w:rPr>
          <w:rFonts w:ascii="Verdana" w:eastAsia="Calibri" w:hAnsi="Verdana" w:cs="Arial"/>
          <w:bCs/>
          <w:lang w:val="es-ES" w:eastAsia="es-ES"/>
        </w:rPr>
        <w:t>3</w:t>
      </w:r>
      <w:r>
        <w:rPr>
          <w:rFonts w:ascii="Verdana" w:eastAsia="Calibri" w:hAnsi="Verdana" w:cs="Arial"/>
          <w:bCs/>
          <w:lang w:val="es-ES" w:eastAsia="es-ES"/>
        </w:rPr>
        <w:t xml:space="preserve"> </w:t>
      </w:r>
      <w:r w:rsidRPr="00724695">
        <w:rPr>
          <w:rFonts w:ascii="Verdana" w:eastAsia="Calibri" w:hAnsi="Verdana" w:cs="Arial"/>
          <w:bCs/>
          <w:lang w:val="es-ES" w:eastAsia="es-ES"/>
        </w:rPr>
        <w:t xml:space="preserve">de </w:t>
      </w:r>
      <w:r w:rsidR="00B84442">
        <w:rPr>
          <w:rFonts w:ascii="Verdana" w:eastAsia="Calibri" w:hAnsi="Verdana" w:cs="Arial"/>
          <w:bCs/>
          <w:lang w:val="es-ES" w:eastAsia="es-ES"/>
        </w:rPr>
        <w:t>febrero</w:t>
      </w:r>
      <w:r w:rsidRPr="00724695">
        <w:rPr>
          <w:rFonts w:ascii="Verdana" w:eastAsia="Calibri" w:hAnsi="Verdana" w:cs="Arial"/>
          <w:bCs/>
          <w:lang w:val="es-ES" w:eastAsia="es-ES"/>
        </w:rPr>
        <w:t xml:space="preserve"> de 202</w:t>
      </w:r>
      <w:r w:rsidR="00B84442">
        <w:rPr>
          <w:rFonts w:ascii="Verdana" w:eastAsia="Calibri" w:hAnsi="Verdana" w:cs="Arial"/>
          <w:bCs/>
          <w:lang w:val="es-ES" w:eastAsia="es-ES"/>
        </w:rPr>
        <w:t>6</w:t>
      </w:r>
      <w:r w:rsidRPr="00724695">
        <w:rPr>
          <w:rFonts w:ascii="Verdana" w:eastAsia="Calibri" w:hAnsi="Verdana" w:cs="Arial"/>
          <w:bCs/>
          <w:lang w:val="es-ES" w:eastAsia="es-ES"/>
        </w:rPr>
        <w:t xml:space="preserve">, en la cual manifiesta lo siguiente: </w:t>
      </w:r>
      <w:bookmarkStart w:id="1" w:name="_Hlk95313578"/>
    </w:p>
    <w:p w14:paraId="3432D000" w14:textId="77777777" w:rsidR="00F34DB6" w:rsidRPr="00E5442F" w:rsidRDefault="00F34DB6" w:rsidP="00F34DB6">
      <w:pPr>
        <w:spacing w:after="0" w:line="276" w:lineRule="auto"/>
        <w:jc w:val="both"/>
        <w:rPr>
          <w:rFonts w:ascii="Verdana" w:eastAsia="Calibri" w:hAnsi="Verdana" w:cs="Arial"/>
          <w:bCs/>
          <w:lang w:val="es-ES" w:eastAsia="es-ES"/>
        </w:rPr>
      </w:pPr>
    </w:p>
    <w:bookmarkEnd w:id="1"/>
    <w:p w14:paraId="1C624F9E" w14:textId="77777777" w:rsidR="00F34DB6" w:rsidRPr="00E5442F" w:rsidRDefault="00F34DB6" w:rsidP="00F34DB6">
      <w:pPr>
        <w:spacing w:after="0" w:line="240" w:lineRule="auto"/>
        <w:ind w:left="709" w:right="709"/>
        <w:jc w:val="both"/>
        <w:rPr>
          <w:rFonts w:ascii="Verdana" w:eastAsia="Calibri" w:hAnsi="Verdana" w:cs="Arial"/>
          <w:i/>
          <w:iCs/>
          <w:sz w:val="21"/>
          <w:szCs w:val="21"/>
          <w:lang w:val="es-ES" w:eastAsia="es-ES"/>
        </w:rPr>
      </w:pPr>
      <w:r w:rsidRPr="00E5442F">
        <w:rPr>
          <w:rFonts w:ascii="Verdana" w:eastAsia="Calibri" w:hAnsi="Verdana" w:cs="Arial"/>
          <w:i/>
          <w:iCs/>
          <w:sz w:val="21"/>
          <w:szCs w:val="21"/>
          <w:lang w:val="es-ES" w:eastAsia="es-ES"/>
        </w:rPr>
        <w:t>“(…)</w:t>
      </w:r>
    </w:p>
    <w:p w14:paraId="02951C0C" w14:textId="77777777" w:rsidR="00F34DB6" w:rsidRPr="00E5442F" w:rsidRDefault="00F34DB6" w:rsidP="00F34DB6">
      <w:pPr>
        <w:spacing w:after="0" w:line="240" w:lineRule="auto"/>
        <w:ind w:left="709" w:right="709"/>
        <w:jc w:val="both"/>
        <w:rPr>
          <w:rFonts w:ascii="Verdana" w:eastAsia="Calibri" w:hAnsi="Verdana" w:cs="Arial"/>
          <w:i/>
          <w:iCs/>
          <w:sz w:val="21"/>
          <w:szCs w:val="21"/>
          <w:lang w:val="es-ES" w:eastAsia="es-ES"/>
        </w:rPr>
      </w:pPr>
    </w:p>
    <w:p w14:paraId="2D619BF4" w14:textId="77777777" w:rsidR="00F34DB6" w:rsidRPr="00E5442F" w:rsidRDefault="00F34DB6" w:rsidP="00F34DB6">
      <w:pPr>
        <w:spacing w:after="0" w:line="240" w:lineRule="auto"/>
        <w:ind w:left="709" w:right="709"/>
        <w:jc w:val="both"/>
        <w:rPr>
          <w:rFonts w:ascii="Verdana" w:eastAsia="Calibri" w:hAnsi="Verdana" w:cs="Arial"/>
          <w:i/>
          <w:iCs/>
          <w:sz w:val="21"/>
          <w:szCs w:val="21"/>
          <w:lang w:eastAsia="es-ES"/>
        </w:rPr>
      </w:pPr>
      <w:r w:rsidRPr="00E5442F">
        <w:rPr>
          <w:rFonts w:ascii="Verdana" w:eastAsia="Calibri" w:hAnsi="Verdana" w:cs="Arial"/>
          <w:i/>
          <w:iCs/>
          <w:sz w:val="21"/>
          <w:szCs w:val="21"/>
          <w:lang w:eastAsia="es-ES"/>
        </w:rPr>
        <w:t xml:space="preserve">1. ¿Es aplicable la obligación de verificar y exigir aportes a seguridad social y parafiscales, establecida en el Artículo 23 de la Ley 1150 de </w:t>
      </w:r>
      <w:r w:rsidRPr="00E5442F">
        <w:rPr>
          <w:rFonts w:ascii="Verdana" w:eastAsia="Calibri" w:hAnsi="Verdana" w:cs="Arial"/>
          <w:i/>
          <w:iCs/>
          <w:sz w:val="21"/>
          <w:szCs w:val="21"/>
          <w:lang w:eastAsia="es-ES"/>
        </w:rPr>
        <w:lastRenderedPageBreak/>
        <w:t xml:space="preserve">2007, a los contratos de arrendamiento de bien inmueble celebrados por la Gobernación con Personas Jurídicas arrendadoras? </w:t>
      </w:r>
    </w:p>
    <w:p w14:paraId="14A89DD6" w14:textId="77777777" w:rsidR="00F34DB6" w:rsidRPr="00E5442F" w:rsidRDefault="00F34DB6" w:rsidP="00F34DB6">
      <w:pPr>
        <w:spacing w:after="0" w:line="240" w:lineRule="auto"/>
        <w:ind w:left="709" w:right="709"/>
        <w:jc w:val="both"/>
        <w:rPr>
          <w:rFonts w:ascii="Verdana" w:eastAsia="Calibri" w:hAnsi="Verdana" w:cs="Arial"/>
          <w:i/>
          <w:iCs/>
          <w:sz w:val="21"/>
          <w:szCs w:val="21"/>
          <w:lang w:eastAsia="es-ES"/>
        </w:rPr>
      </w:pPr>
    </w:p>
    <w:p w14:paraId="23BBDC15" w14:textId="77777777" w:rsidR="00F34DB6" w:rsidRPr="00E5442F" w:rsidRDefault="00F34DB6" w:rsidP="00F34DB6">
      <w:pPr>
        <w:spacing w:after="0" w:line="240" w:lineRule="auto"/>
        <w:ind w:left="709" w:right="709"/>
        <w:jc w:val="both"/>
        <w:rPr>
          <w:rFonts w:ascii="Verdana" w:eastAsia="Calibri" w:hAnsi="Verdana" w:cs="Arial"/>
          <w:i/>
          <w:iCs/>
          <w:sz w:val="21"/>
          <w:szCs w:val="21"/>
          <w:lang w:eastAsia="es-ES"/>
        </w:rPr>
      </w:pPr>
      <w:r w:rsidRPr="00E5442F">
        <w:rPr>
          <w:rFonts w:ascii="Verdana" w:eastAsia="Calibri" w:hAnsi="Verdana" w:cs="Arial"/>
          <w:i/>
          <w:iCs/>
          <w:sz w:val="21"/>
          <w:szCs w:val="21"/>
          <w:lang w:eastAsia="es-ES"/>
        </w:rPr>
        <w:t xml:space="preserve">2. ¿Bajo el marco legal colombiano vigente para 2026, el contrato de arrendamiento de bien inmueble se entiende como un "servicio personal" o "contrato de obra" que obligue a la Gobernación (arrendatario) a verificar la planilla PILA del arrendador Persona Jurídica para proceder con el pago del canon? </w:t>
      </w:r>
    </w:p>
    <w:p w14:paraId="78F6D416" w14:textId="77777777" w:rsidR="00F34DB6" w:rsidRPr="00E5442F" w:rsidRDefault="00F34DB6" w:rsidP="00F34DB6">
      <w:pPr>
        <w:spacing w:after="0" w:line="240" w:lineRule="auto"/>
        <w:ind w:left="709" w:right="709"/>
        <w:jc w:val="both"/>
        <w:rPr>
          <w:rFonts w:ascii="Verdana" w:eastAsia="Calibri" w:hAnsi="Verdana" w:cs="Arial"/>
          <w:i/>
          <w:iCs/>
          <w:sz w:val="21"/>
          <w:szCs w:val="21"/>
          <w:lang w:eastAsia="es-ES"/>
        </w:rPr>
      </w:pPr>
    </w:p>
    <w:p w14:paraId="3033549E" w14:textId="77777777" w:rsidR="00F34DB6" w:rsidRPr="00E5442F" w:rsidRDefault="00F34DB6" w:rsidP="00F34DB6">
      <w:pPr>
        <w:spacing w:after="0" w:line="240" w:lineRule="auto"/>
        <w:ind w:left="709" w:right="709"/>
        <w:jc w:val="both"/>
        <w:rPr>
          <w:rFonts w:ascii="Verdana" w:eastAsia="Calibri" w:hAnsi="Verdana" w:cs="Arial"/>
          <w:i/>
          <w:iCs/>
          <w:sz w:val="21"/>
          <w:szCs w:val="21"/>
          <w:lang w:val="es-ES" w:eastAsia="es-ES"/>
        </w:rPr>
      </w:pPr>
      <w:r w:rsidRPr="00E5442F">
        <w:rPr>
          <w:rFonts w:ascii="Verdana" w:eastAsia="Calibri" w:hAnsi="Verdana" w:cs="Arial"/>
          <w:i/>
          <w:iCs/>
          <w:sz w:val="21"/>
          <w:szCs w:val="21"/>
          <w:lang w:eastAsia="es-ES"/>
        </w:rPr>
        <w:t>3. ¿En caso de que la verificación no sea exigible mediante PILA, basta con que la Gobernación del Chocó solicite una certificación simple del representante legal o revisor fiscal de la empresa arrendadora sobre el cumplimiento de sus obligaciones parafiscales para dar cumplimiento a la Ley 1150 de 2007?</w:t>
      </w:r>
      <w:r w:rsidRPr="00E5442F">
        <w:rPr>
          <w:rFonts w:ascii="Verdana" w:eastAsia="Calibri" w:hAnsi="Verdana" w:cs="Arial"/>
          <w:i/>
          <w:iCs/>
          <w:sz w:val="21"/>
          <w:szCs w:val="21"/>
          <w:lang w:val="es-ES" w:eastAsia="es-ES"/>
        </w:rPr>
        <w:t xml:space="preserve"> (…)</w:t>
      </w:r>
      <w:r w:rsidRPr="00E5442F">
        <w:rPr>
          <w:rFonts w:ascii="Verdana" w:eastAsia="Calibri" w:hAnsi="Verdana" w:cs="Arial"/>
          <w:i/>
          <w:iCs/>
          <w:sz w:val="21"/>
          <w:szCs w:val="21"/>
          <w:lang w:eastAsia="es-ES"/>
        </w:rPr>
        <w:t>”</w:t>
      </w:r>
    </w:p>
    <w:p w14:paraId="3C41F85B" w14:textId="77777777" w:rsidR="00F34DB6" w:rsidRPr="007E53B7" w:rsidRDefault="00F34DB6" w:rsidP="00F34DB6">
      <w:pPr>
        <w:spacing w:after="0" w:line="276" w:lineRule="auto"/>
        <w:ind w:left="709" w:right="709"/>
        <w:jc w:val="both"/>
        <w:rPr>
          <w:rFonts w:ascii="Verdana" w:eastAsia="Times New Roman" w:hAnsi="Verdana" w:cs="Times New Roman"/>
          <w:color w:val="66CCFF"/>
          <w:lang w:eastAsia="es-CO"/>
        </w:rPr>
      </w:pPr>
    </w:p>
    <w:p w14:paraId="49E1956C" w14:textId="77777777" w:rsidR="00F34DB6" w:rsidRPr="00E5442F" w:rsidRDefault="00F34DB6" w:rsidP="00F34DB6">
      <w:pPr>
        <w:spacing w:after="120" w:line="276" w:lineRule="auto"/>
        <w:ind w:firstLine="709"/>
        <w:jc w:val="both"/>
        <w:rPr>
          <w:rFonts w:ascii="Verdana" w:eastAsia="Calibri" w:hAnsi="Verdana" w:cs="Arial"/>
          <w:lang w:val="es-ES_tradnl" w:eastAsia="es-ES_tradnl"/>
        </w:rPr>
      </w:pPr>
      <w:r w:rsidRPr="00E5442F">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442F">
        <w:rPr>
          <w:rFonts w:ascii="Verdana" w:eastAsia="Calibri" w:hAnsi="Verdana" w:cs="Arial"/>
          <w:lang w:val="es-ES_tradnl" w:eastAsia="es-ES_tradnl"/>
        </w:rPr>
        <w:tab/>
      </w:r>
    </w:p>
    <w:p w14:paraId="6E2E2C52" w14:textId="77777777" w:rsidR="00F34DB6" w:rsidRPr="00E5442F" w:rsidRDefault="00F34DB6" w:rsidP="00F34DB6">
      <w:pPr>
        <w:spacing w:after="0" w:line="276" w:lineRule="auto"/>
        <w:ind w:firstLine="708"/>
        <w:jc w:val="both"/>
        <w:rPr>
          <w:rFonts w:ascii="Verdana" w:eastAsia="Calibri" w:hAnsi="Verdana" w:cs="Arial"/>
          <w:lang w:val="es-ES" w:eastAsia="es-ES"/>
        </w:rPr>
      </w:pPr>
      <w:r w:rsidRPr="00E5442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C6728B1" w14:textId="77777777" w:rsidR="00F34DB6" w:rsidRPr="00E5442F" w:rsidRDefault="00F34DB6" w:rsidP="00F34DB6">
      <w:pPr>
        <w:spacing w:after="0" w:line="276" w:lineRule="auto"/>
        <w:ind w:firstLine="709"/>
        <w:jc w:val="both"/>
        <w:rPr>
          <w:rFonts w:ascii="Verdana" w:eastAsia="Calibri" w:hAnsi="Verdana" w:cs="Arial"/>
          <w:lang w:val="es-ES" w:eastAsia="es-ES"/>
        </w:rPr>
      </w:pPr>
    </w:p>
    <w:p w14:paraId="1C910584" w14:textId="77777777" w:rsidR="00F34DB6" w:rsidRPr="00E5442F" w:rsidRDefault="00F34DB6" w:rsidP="00F34DB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E5442F">
        <w:rPr>
          <w:rFonts w:ascii="Verdana" w:eastAsia="Century Gothic" w:hAnsi="Verdana" w:cs="Century Gothic"/>
          <w:b/>
          <w:bCs/>
          <w:lang w:val="es-ES"/>
        </w:rPr>
        <w:t>Problema planteado:</w:t>
      </w:r>
    </w:p>
    <w:p w14:paraId="028D4C22" w14:textId="77777777" w:rsidR="00F34DB6" w:rsidRPr="009D4BB3" w:rsidRDefault="00F34DB6" w:rsidP="00F34DB6">
      <w:pPr>
        <w:tabs>
          <w:tab w:val="left" w:pos="426"/>
        </w:tabs>
        <w:spacing w:after="0" w:line="276" w:lineRule="auto"/>
        <w:jc w:val="both"/>
        <w:rPr>
          <w:rFonts w:ascii="Verdana" w:eastAsia="Century Gothic" w:hAnsi="Verdana" w:cs="Century Gothic"/>
          <w:lang w:val="es-ES"/>
        </w:rPr>
      </w:pPr>
    </w:p>
    <w:p w14:paraId="01AE6A27" w14:textId="77777777" w:rsidR="00F34DB6" w:rsidRDefault="00F34DB6" w:rsidP="00F34DB6">
      <w:pPr>
        <w:spacing w:line="276" w:lineRule="auto"/>
        <w:jc w:val="both"/>
        <w:rPr>
          <w:rFonts w:ascii="Verdana" w:eastAsia="Century Gothic" w:hAnsi="Verdana" w:cs="Century Gothic"/>
        </w:rPr>
      </w:pPr>
      <w:r w:rsidRPr="009D4BB3">
        <w:rPr>
          <w:rFonts w:ascii="Verdana" w:eastAsia="Century Gothic" w:hAnsi="Verdana" w:cs="Century Gothic"/>
        </w:rPr>
        <w:t>De acuerdo con el contenido de su solicitud, esta Agencia resolverá el siguiente problema jurídico:</w:t>
      </w:r>
    </w:p>
    <w:p w14:paraId="1B2B1DAF" w14:textId="77777777" w:rsidR="00F34DB6" w:rsidRDefault="00F34DB6" w:rsidP="00F34DB6">
      <w:pPr>
        <w:spacing w:line="276" w:lineRule="auto"/>
        <w:jc w:val="both"/>
        <w:rPr>
          <w:rFonts w:ascii="Verdana" w:eastAsia="Century Gothic" w:hAnsi="Verdana" w:cs="Century Gothic"/>
        </w:rPr>
      </w:pPr>
    </w:p>
    <w:p w14:paraId="75037F0D" w14:textId="23353551" w:rsidR="00F34DB6" w:rsidRPr="00F34DB6" w:rsidRDefault="00F34DB6" w:rsidP="00F34DB6">
      <w:pPr>
        <w:pStyle w:val="Prrafodelista"/>
        <w:numPr>
          <w:ilvl w:val="0"/>
          <w:numId w:val="19"/>
        </w:numPr>
        <w:spacing w:line="276" w:lineRule="auto"/>
        <w:jc w:val="both"/>
        <w:rPr>
          <w:rFonts w:ascii="Verdana" w:eastAsia="Century Gothic" w:hAnsi="Verdana" w:cs="Century Gothic"/>
        </w:rPr>
      </w:pPr>
      <w:r w:rsidRPr="00FA7BBC">
        <w:rPr>
          <w:rFonts w:ascii="Verdana" w:eastAsia="Century Gothic" w:hAnsi="Verdana" w:cs="Century Gothic"/>
        </w:rPr>
        <w:lastRenderedPageBreak/>
        <w:t xml:space="preserve"> </w:t>
      </w:r>
      <w:r w:rsidRPr="00021794">
        <w:rPr>
          <w:rFonts w:ascii="Verdana" w:eastAsia="Century Gothic" w:hAnsi="Verdana" w:cs="Century Gothic"/>
        </w:rPr>
        <w:t>¿La naturaleza del contrato estatal de arrendamiento de un inmueble genera para la entidad estatal la obligación de verificar</w:t>
      </w:r>
      <w:r>
        <w:rPr>
          <w:rFonts w:ascii="Verdana" w:eastAsia="Century Gothic" w:hAnsi="Verdana" w:cs="Century Gothic"/>
        </w:rPr>
        <w:t xml:space="preserve"> a través de los mecanismos idóneos </w:t>
      </w:r>
      <w:r w:rsidRPr="00021794">
        <w:rPr>
          <w:rFonts w:ascii="Verdana" w:eastAsia="Century Gothic" w:hAnsi="Verdana" w:cs="Century Gothic"/>
        </w:rPr>
        <w:t>el cumplimiento de los aportes al Sistema General de Seguridad Social del arrendador persona jurídica?</w:t>
      </w:r>
      <w:r>
        <w:rPr>
          <w:rFonts w:ascii="Verdana" w:eastAsia="Century Gothic" w:hAnsi="Verdana" w:cs="Century Gothic"/>
        </w:rPr>
        <w:t xml:space="preserve"> </w:t>
      </w:r>
    </w:p>
    <w:p w14:paraId="222E13C1" w14:textId="77777777" w:rsidR="00F34DB6" w:rsidRPr="009D4BB3" w:rsidRDefault="00F34DB6" w:rsidP="00F34DB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D4BB3">
        <w:rPr>
          <w:rFonts w:ascii="Verdana" w:eastAsia="Century Gothic" w:hAnsi="Verdana" w:cs="Century Gothic"/>
          <w:b/>
          <w:bCs/>
          <w:lang w:val="es-ES"/>
        </w:rPr>
        <w:t>Respuesta:</w:t>
      </w:r>
    </w:p>
    <w:p w14:paraId="5CB89AAB" w14:textId="77777777" w:rsidR="00F34DB6" w:rsidRPr="007E53B7" w:rsidRDefault="00F34DB6" w:rsidP="00F34DB6">
      <w:pPr>
        <w:tabs>
          <w:tab w:val="left" w:pos="142"/>
          <w:tab w:val="left" w:pos="284"/>
        </w:tabs>
        <w:spacing w:line="276" w:lineRule="auto"/>
        <w:contextualSpacing/>
        <w:jc w:val="both"/>
        <w:rPr>
          <w:rFonts w:ascii="Verdana" w:eastAsia="Century Gothic" w:hAnsi="Verdana" w:cs="Century Gothic"/>
          <w:b/>
          <w:bCs/>
          <w:color w:val="66CC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34DB6" w:rsidRPr="007E53B7" w14:paraId="66F8C3E4" w14:textId="77777777" w:rsidTr="00EB7760">
        <w:trPr>
          <w:trHeight w:val="1057"/>
        </w:trPr>
        <w:tc>
          <w:tcPr>
            <w:tcW w:w="8828" w:type="dxa"/>
            <w:tcBorders>
              <w:top w:val="dotted" w:sz="4" w:space="0" w:color="auto"/>
              <w:left w:val="dotted" w:sz="4" w:space="0" w:color="auto"/>
              <w:bottom w:val="dotted" w:sz="4" w:space="0" w:color="auto"/>
              <w:right w:val="dotted" w:sz="4" w:space="0" w:color="auto"/>
            </w:tcBorders>
          </w:tcPr>
          <w:p w14:paraId="31127DDF" w14:textId="77777777" w:rsidR="00F34DB6" w:rsidRPr="00B8056D" w:rsidRDefault="00F34DB6" w:rsidP="00EB7760">
            <w:pPr>
              <w:spacing w:afterLines="120" w:after="288" w:line="276" w:lineRule="auto"/>
              <w:jc w:val="both"/>
              <w:rPr>
                <w:rFonts w:ascii="Verdana" w:eastAsia="Calibri" w:hAnsi="Verdana" w:cs="Arial"/>
                <w:color w:val="000000" w:themeColor="text1"/>
              </w:rPr>
            </w:pPr>
            <w:r>
              <w:rPr>
                <w:rFonts w:ascii="Verdana" w:eastAsia="Calibri" w:hAnsi="Verdana" w:cs="Arial"/>
                <w:color w:val="000000" w:themeColor="text1"/>
              </w:rPr>
              <w:t xml:space="preserve">Resulta pertinente precisar que </w:t>
            </w:r>
            <w:r w:rsidRPr="00B8056D">
              <w:rPr>
                <w:rFonts w:ascii="Verdana" w:eastAsia="Calibri" w:hAnsi="Verdana" w:cs="Arial"/>
                <w:color w:val="000000" w:themeColor="text1"/>
              </w:rPr>
              <w:t xml:space="preserve">la modalidad de selección aplicable a la celebración de los contratos de arrendamiento depende </w:t>
            </w:r>
            <w:r>
              <w:rPr>
                <w:rFonts w:ascii="Verdana" w:eastAsia="Calibri" w:hAnsi="Verdana" w:cs="Arial"/>
                <w:color w:val="000000" w:themeColor="text1"/>
              </w:rPr>
              <w:t xml:space="preserve">de la </w:t>
            </w:r>
            <w:r w:rsidRPr="00B8056D">
              <w:rPr>
                <w:rFonts w:ascii="Verdana" w:eastAsia="Calibri" w:hAnsi="Verdana" w:cs="Arial"/>
                <w:color w:val="000000" w:themeColor="text1"/>
              </w:rPr>
              <w:t>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w:t>
            </w:r>
            <w:r>
              <w:rPr>
                <w:rFonts w:ascii="Verdana" w:eastAsia="Calibri" w:hAnsi="Verdana" w:cs="Arial"/>
                <w:color w:val="000000" w:themeColor="text1"/>
              </w:rPr>
              <w:t>s</w:t>
            </w:r>
            <w:r w:rsidRPr="00B8056D">
              <w:rPr>
                <w:rFonts w:ascii="Verdana" w:eastAsia="Calibri" w:hAnsi="Verdana" w:cs="Arial"/>
                <w:color w:val="000000" w:themeColor="text1"/>
              </w:rPr>
              <w:t xml:space="preserve">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w:t>
            </w:r>
          </w:p>
          <w:p w14:paraId="2D738F22" w14:textId="77777777" w:rsidR="00F34DB6" w:rsidRDefault="00F34DB6" w:rsidP="00EB7760">
            <w:pPr>
              <w:spacing w:afterLines="120" w:after="288"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La Ley 80 de 1993, en el texto original del artículo 41, estableció que los requisitos para perfeccionar el contrato eran: i) llegar a un acuerdo sobre el objeto y la contraprestación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xml:space="preserve">) que conste por escrito. Por su parte, para iniciar la ejecución se requería: i) la constitución y aprobación de la garantía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la existencia del registro presupuestal.</w:t>
            </w:r>
            <w:r>
              <w:rPr>
                <w:rFonts w:ascii="Verdana" w:eastAsia="Calibri" w:hAnsi="Verdana" w:cs="Arial"/>
                <w:color w:val="000000" w:themeColor="text1"/>
              </w:rPr>
              <w:t xml:space="preserve"> En línea con lo anterior, </w:t>
            </w:r>
            <w:r w:rsidRPr="00B8056D">
              <w:rPr>
                <w:rFonts w:ascii="Verdana" w:eastAsia="Calibri" w:hAnsi="Verdana" w:cs="Arial"/>
                <w:color w:val="000000" w:themeColor="text1"/>
              </w:rPr>
              <w:t>el artículo 50 de la Ley 789 de 2002 estableció, como obligación de quien quiere celebrar, renovar o liquidar contratos de cualquier naturaleza con entidades del sector público, cumplir con las obligaciones frente a los sistemas de salud, riesgos profesionales, pensiones y aportes a la Caja de Compensación Familiar, Instituto Colombiano de Bienestar Familiar y Servicio Nacional de Aprendizaje cuando a ello haya lugar</w:t>
            </w:r>
            <w:r w:rsidRPr="00C34CB6">
              <w:rPr>
                <w:rFonts w:ascii="Verdana" w:eastAsia="Calibri" w:hAnsi="Verdana" w:cs="Arial"/>
                <w:color w:val="000000" w:themeColor="text1"/>
              </w:rPr>
              <w:t>.</w:t>
            </w:r>
          </w:p>
          <w:p w14:paraId="4546CAE4" w14:textId="77777777" w:rsidR="00F34DB6" w:rsidRDefault="00F34DB6" w:rsidP="00EB7760">
            <w:pPr>
              <w:spacing w:afterLines="120" w:after="288" w:line="276" w:lineRule="auto"/>
              <w:ind w:firstLine="709"/>
              <w:jc w:val="both"/>
              <w:rPr>
                <w:rFonts w:ascii="Verdana" w:eastAsia="Calibri" w:hAnsi="Verdana" w:cs="Arial"/>
              </w:rPr>
            </w:pPr>
            <w:r>
              <w:rPr>
                <w:rFonts w:ascii="Verdana" w:eastAsia="Calibri" w:hAnsi="Verdana" w:cs="Arial"/>
                <w:color w:val="000000" w:themeColor="text1"/>
              </w:rPr>
              <w:t xml:space="preserve">Por lo anterior, </w:t>
            </w:r>
            <w:r w:rsidRPr="009452C3">
              <w:rPr>
                <w:rFonts w:ascii="Verdana" w:eastAsia="Calibri" w:hAnsi="Verdana" w:cs="Arial"/>
              </w:rPr>
              <w:t>por parte del contratista en calidad de arrendador o arrendatario</w:t>
            </w:r>
            <w:r>
              <w:rPr>
                <w:rFonts w:ascii="Verdana" w:eastAsia="Calibri" w:hAnsi="Verdana" w:cs="Arial"/>
              </w:rPr>
              <w:t>, existe la obligación de</w:t>
            </w:r>
            <w:r w:rsidRPr="009452C3">
              <w:rPr>
                <w:rFonts w:ascii="Verdana" w:eastAsia="Calibri" w:hAnsi="Verdana" w:cs="Arial"/>
              </w:rPr>
              <w:t>l pago de aportes al Sistema de Seguridad Social Integral</w:t>
            </w:r>
            <w:r>
              <w:rPr>
                <w:rFonts w:ascii="Verdana" w:eastAsia="Calibri" w:hAnsi="Verdana" w:cs="Arial"/>
              </w:rPr>
              <w:t xml:space="preserve">, teniendo en cuenta, que como se señaló previamente es un </w:t>
            </w:r>
            <w:r w:rsidRPr="009452C3">
              <w:rPr>
                <w:rFonts w:ascii="Verdana" w:eastAsia="Calibri" w:hAnsi="Verdana" w:cs="Arial"/>
              </w:rPr>
              <w:t xml:space="preserve"> </w:t>
            </w:r>
            <w:r w:rsidRPr="009452C3">
              <w:rPr>
                <w:rFonts w:ascii="Verdana" w:eastAsia="Calibri" w:hAnsi="Verdana" w:cs="Arial"/>
              </w:rPr>
              <w:lastRenderedPageBreak/>
              <w:t xml:space="preserve">requisito </w:t>
            </w:r>
            <w:r>
              <w:rPr>
                <w:rFonts w:ascii="Verdana" w:eastAsia="Calibri" w:hAnsi="Verdana" w:cs="Arial"/>
              </w:rPr>
              <w:t>de orden legal</w:t>
            </w:r>
            <w:r w:rsidRPr="009452C3">
              <w:rPr>
                <w:rFonts w:ascii="Verdana" w:eastAsia="Calibri" w:hAnsi="Verdana" w:cs="Arial"/>
              </w:rPr>
              <w:t xml:space="preserve">, por lo que las Entidades Contratantes tienen el deber de verificar su cumplimiento antes de la celebración del contrato como es el caso de la afiliación, y durante su ejecución y liquidación el pago de los respectivos aportes conforme al valor de la prestación. </w:t>
            </w:r>
          </w:p>
          <w:p w14:paraId="47E267DE" w14:textId="77777777" w:rsidR="00F34DB6" w:rsidRDefault="00F34DB6" w:rsidP="00EB7760">
            <w:pPr>
              <w:spacing w:afterLines="120" w:after="288" w:line="276" w:lineRule="auto"/>
              <w:ind w:firstLine="709"/>
              <w:jc w:val="both"/>
              <w:rPr>
                <w:rFonts w:ascii="Verdana" w:eastAsia="Calibri" w:hAnsi="Verdana" w:cs="Arial"/>
              </w:rPr>
            </w:pPr>
            <w:r w:rsidRPr="00E4553B">
              <w:rPr>
                <w:rFonts w:ascii="Verdana" w:eastAsia="Calibri" w:hAnsi="Verdana" w:cs="Arial"/>
              </w:rPr>
              <w:t xml:space="preserve">La verificación del aporte al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E4553B">
              <w:rPr>
                <w:rFonts w:ascii="Verdana" w:eastAsia="Calibri" w:hAnsi="Verdana" w:cs="Arial"/>
              </w:rPr>
              <w:t>ii</w:t>
            </w:r>
            <w:proofErr w:type="spellEnd"/>
            <w:r w:rsidRPr="00E4553B">
              <w:rPr>
                <w:rFonts w:ascii="Verdana" w:eastAsia="Calibri" w:hAnsi="Verdana" w:cs="Arial"/>
              </w:rPr>
              <w:t>)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contrato también se acredite el pago al Sistema de Seguridad Social Integral para pagar las cuentas o facturas si a ello hubiere lugar.</w:t>
            </w:r>
          </w:p>
          <w:p w14:paraId="53B77DB9" w14:textId="77777777" w:rsidR="00F34DB6" w:rsidRPr="00094ACE" w:rsidRDefault="00F34DB6" w:rsidP="00EB7760">
            <w:pPr>
              <w:spacing w:afterLines="120" w:after="288" w:line="276" w:lineRule="auto"/>
              <w:ind w:firstLine="709"/>
              <w:jc w:val="both"/>
              <w:rPr>
                <w:rFonts w:ascii="Verdana" w:eastAsia="Calibri" w:hAnsi="Verdana" w:cs="Arial"/>
              </w:rPr>
            </w:pPr>
            <w:r w:rsidRPr="00094ACE">
              <w:rPr>
                <w:rFonts w:ascii="Verdana" w:eastAsia="Calibri" w:hAnsi="Verdana" w:cs="Arial"/>
              </w:rPr>
              <w:t>En</w:t>
            </w:r>
            <w:r w:rsidRPr="00E4553B">
              <w:rPr>
                <w:rFonts w:ascii="Verdana" w:eastAsia="Calibri" w:hAnsi="Verdana" w:cs="Arial"/>
              </w:rPr>
              <w:t xml:space="preserve">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415F0663" w14:textId="77777777" w:rsidR="00F34DB6" w:rsidRPr="00B8056D" w:rsidRDefault="00F34DB6" w:rsidP="00EB7760">
            <w:pPr>
              <w:spacing w:after="120" w:line="276" w:lineRule="auto"/>
              <w:ind w:firstLine="709"/>
              <w:jc w:val="both"/>
              <w:rPr>
                <w:rFonts w:ascii="Verdana" w:eastAsia="Calibri" w:hAnsi="Verdana" w:cs="Arial"/>
                <w:color w:val="000000" w:themeColor="text1"/>
              </w:rPr>
            </w:pPr>
            <w:r w:rsidRPr="00094ACE">
              <w:rPr>
                <w:rFonts w:ascii="Verdana" w:eastAsia="Calibri" w:hAnsi="Verdana" w:cs="Arial"/>
                <w:color w:val="000000" w:themeColor="text1"/>
              </w:rPr>
              <w:t>Finalmente, es pertinente señalar que,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7584D82E" w14:textId="77777777" w:rsidR="00F34DB6" w:rsidRDefault="00F34DB6" w:rsidP="00EB7760">
            <w:pPr>
              <w:spacing w:line="276" w:lineRule="auto"/>
              <w:ind w:firstLine="709"/>
              <w:jc w:val="both"/>
              <w:rPr>
                <w:rFonts w:ascii="Verdana" w:eastAsia="Calibri" w:hAnsi="Verdana" w:cs="Arial"/>
              </w:rPr>
            </w:pPr>
          </w:p>
          <w:p w14:paraId="04666336" w14:textId="77777777" w:rsidR="00F34DB6" w:rsidRPr="007E53B7" w:rsidRDefault="00F34DB6" w:rsidP="00EB7760">
            <w:pPr>
              <w:spacing w:line="276" w:lineRule="auto"/>
              <w:ind w:firstLine="709"/>
              <w:jc w:val="both"/>
              <w:rPr>
                <w:rFonts w:ascii="Verdana" w:eastAsia="Calibri" w:hAnsi="Verdana" w:cs="Arial"/>
                <w:color w:val="66CCFF"/>
                <w:shd w:val="clear" w:color="auto" w:fill="FFFFFF"/>
              </w:rPr>
            </w:pPr>
          </w:p>
        </w:tc>
      </w:tr>
    </w:tbl>
    <w:p w14:paraId="707FE149" w14:textId="77777777" w:rsidR="00F34DB6" w:rsidRPr="005F4D9F" w:rsidRDefault="00F34DB6" w:rsidP="00F34DB6">
      <w:pPr>
        <w:tabs>
          <w:tab w:val="left" w:pos="142"/>
          <w:tab w:val="left" w:pos="284"/>
        </w:tabs>
        <w:spacing w:after="0" w:line="276" w:lineRule="auto"/>
        <w:jc w:val="both"/>
        <w:rPr>
          <w:rFonts w:ascii="Verdana" w:eastAsia="Century Gothic" w:hAnsi="Verdana" w:cs="Century Gothic"/>
          <w:b/>
          <w:bCs/>
          <w:lang w:val="es-ES"/>
        </w:rPr>
      </w:pPr>
    </w:p>
    <w:p w14:paraId="74F29717" w14:textId="77777777" w:rsidR="00F34DB6" w:rsidRPr="005F4D9F" w:rsidRDefault="00F34DB6" w:rsidP="00F34DB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5F4D9F">
        <w:rPr>
          <w:rFonts w:ascii="Verdana" w:eastAsia="Century Gothic" w:hAnsi="Verdana" w:cs="Century Gothic"/>
          <w:b/>
          <w:bCs/>
          <w:lang w:val="es-ES"/>
        </w:rPr>
        <w:t>Razones de la respuesta:</w:t>
      </w:r>
    </w:p>
    <w:p w14:paraId="199B4B03" w14:textId="77777777" w:rsidR="00F34DB6" w:rsidRDefault="00F34DB6" w:rsidP="00F34DB6">
      <w:pPr>
        <w:snapToGrid w:val="0"/>
        <w:spacing w:after="0" w:line="276" w:lineRule="auto"/>
        <w:jc w:val="both"/>
        <w:rPr>
          <w:rFonts w:ascii="Verdana" w:eastAsia="Calibri" w:hAnsi="Verdana" w:cs="Arial"/>
          <w:color w:val="66CCFF"/>
          <w:lang w:val="es-ES"/>
        </w:rPr>
      </w:pPr>
    </w:p>
    <w:p w14:paraId="75997D17" w14:textId="77777777" w:rsidR="00F34DB6" w:rsidRPr="005F4D9F" w:rsidRDefault="00F34DB6" w:rsidP="00F34DB6">
      <w:pPr>
        <w:snapToGrid w:val="0"/>
        <w:spacing w:after="0" w:line="276" w:lineRule="auto"/>
        <w:jc w:val="both"/>
        <w:rPr>
          <w:rFonts w:ascii="Verdana" w:eastAsia="Calibri" w:hAnsi="Verdana" w:cs="Arial"/>
          <w:lang w:val="es-ES"/>
        </w:rPr>
      </w:pPr>
      <w:r w:rsidRPr="005F4D9F">
        <w:rPr>
          <w:rFonts w:ascii="Verdana" w:eastAsia="Calibri" w:hAnsi="Verdana" w:cs="Arial"/>
          <w:lang w:val="es-ES"/>
        </w:rPr>
        <w:t xml:space="preserve">Lo anterior se sustenta en las siguientes consideraciones: </w:t>
      </w:r>
    </w:p>
    <w:p w14:paraId="1C60D4BE" w14:textId="77777777" w:rsidR="00F34DB6" w:rsidRPr="005F4D9F" w:rsidRDefault="00F34DB6" w:rsidP="00F34DB6">
      <w:pPr>
        <w:snapToGrid w:val="0"/>
        <w:spacing w:after="0" w:line="276" w:lineRule="auto"/>
        <w:ind w:firstLine="709"/>
        <w:jc w:val="both"/>
        <w:rPr>
          <w:rFonts w:ascii="Verdana" w:eastAsia="Calibri" w:hAnsi="Verdana" w:cs="Arial"/>
          <w:lang w:val="es-ES"/>
        </w:rPr>
      </w:pPr>
    </w:p>
    <w:p w14:paraId="49CE3A64" w14:textId="77777777" w:rsidR="00F34DB6" w:rsidRPr="005F4D9F" w:rsidRDefault="00F34DB6" w:rsidP="00F34DB6">
      <w:pPr>
        <w:snapToGrid w:val="0"/>
        <w:spacing w:after="0" w:line="276" w:lineRule="auto"/>
        <w:ind w:firstLine="709"/>
        <w:jc w:val="both"/>
        <w:rPr>
          <w:rFonts w:ascii="Verdana" w:eastAsia="Calibri" w:hAnsi="Verdana" w:cs="Arial"/>
        </w:rPr>
      </w:pPr>
      <w:r w:rsidRPr="005F4D9F">
        <w:rPr>
          <w:rFonts w:ascii="Verdana" w:eastAsia="Calibri" w:hAnsi="Verdana" w:cs="Arial"/>
        </w:rPr>
        <w:lastRenderedPageBreak/>
        <w:t xml:space="preserve">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w:t>
      </w:r>
      <w:r w:rsidRPr="005F4D9F">
        <w:rPr>
          <w:rFonts w:ascii="Verdana" w:eastAsia="Calibri" w:hAnsi="Verdana" w:cs="Arial"/>
          <w:lang w:val="es-ES_tradnl"/>
        </w:rPr>
        <w:t xml:space="preserve">arrendador o arrendadora– se obliga a concederle a otra –llamada arrendatario o arrendataria– el uso y goce de un bien, a cambio de una renta o canon, diferenciándose del contrato de compraventa en que no opera una transferencia </w:t>
      </w:r>
      <w:r w:rsidRPr="005F4D9F">
        <w:rPr>
          <w:rFonts w:ascii="Verdana" w:eastAsia="Calibri" w:hAnsi="Verdana" w:cs="Arial"/>
        </w:rPr>
        <w:t>del dominio del bien cuyo uso y goce se entrega.</w:t>
      </w:r>
    </w:p>
    <w:p w14:paraId="07A2DF1B" w14:textId="77777777" w:rsidR="00F34DB6" w:rsidRDefault="00F34DB6" w:rsidP="00F34DB6">
      <w:pPr>
        <w:snapToGrid w:val="0"/>
        <w:spacing w:after="0" w:line="276" w:lineRule="auto"/>
        <w:ind w:firstLine="709"/>
        <w:jc w:val="both"/>
        <w:rPr>
          <w:rFonts w:ascii="Verdana" w:eastAsia="Calibri" w:hAnsi="Verdana" w:cs="Arial"/>
        </w:rPr>
      </w:pPr>
    </w:p>
    <w:p w14:paraId="0E55BAF2" w14:textId="77777777" w:rsidR="00F34DB6" w:rsidRDefault="00F34DB6" w:rsidP="00F34DB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cuanto a sus características</w:t>
      </w:r>
      <w:r w:rsidRPr="00B8056D">
        <w:rPr>
          <w:rFonts w:ascii="Verdana" w:hAnsi="Verdana" w:cs="Arial"/>
          <w:color w:val="000000" w:themeColor="text1"/>
          <w:lang w:val="es-ES_tradnl"/>
        </w:rPr>
        <w:t>, la doctrina ha indicado que el arrendamiento es un contrato</w:t>
      </w:r>
      <w:r w:rsidRPr="00B8056D">
        <w:rPr>
          <w:rFonts w:ascii="Verdana" w:eastAsia="Calibri" w:hAnsi="Verdana"/>
          <w:color w:val="000000" w:themeColor="text1"/>
        </w:rPr>
        <w:t xml:space="preserve">: i) bilateral, pues ambas partes se obligan recíprocamente; </w:t>
      </w:r>
      <w:proofErr w:type="spellStart"/>
      <w:r w:rsidRPr="00B8056D">
        <w:rPr>
          <w:rFonts w:ascii="Verdana" w:eastAsia="Calibri" w:hAnsi="Verdana"/>
          <w:color w:val="000000" w:themeColor="text1"/>
        </w:rPr>
        <w:t>ii</w:t>
      </w:r>
      <w:proofErr w:type="spellEnd"/>
      <w:r w:rsidRPr="00B8056D">
        <w:rPr>
          <w:rFonts w:ascii="Verdana" w:eastAsia="Calibri" w:hAnsi="Verdana"/>
          <w:color w:val="000000" w:themeColor="text1"/>
        </w:rPr>
        <w:t xml:space="preserve">) consensual, dado que se perfecciona con el consentimiento ; </w:t>
      </w:r>
      <w:proofErr w:type="spellStart"/>
      <w:r w:rsidRPr="00B8056D">
        <w:rPr>
          <w:rFonts w:ascii="Verdana" w:eastAsia="Calibri" w:hAnsi="Verdana"/>
          <w:color w:val="000000" w:themeColor="text1"/>
        </w:rPr>
        <w:t>iii</w:t>
      </w:r>
      <w:proofErr w:type="spellEnd"/>
      <w:r w:rsidRPr="00B8056D">
        <w:rPr>
          <w:rFonts w:ascii="Verdana" w:eastAsia="Calibri" w:hAnsi="Verdana"/>
          <w:color w:val="000000" w:themeColor="text1"/>
        </w:rPr>
        <w:t xml:space="preserve">) oneroso, ya que ambas partes obtienen utilidades –el arrendatario, el uso y goce del bien, y el arrendador la renta o canon; </w:t>
      </w:r>
      <w:proofErr w:type="spellStart"/>
      <w:r w:rsidRPr="00B8056D">
        <w:rPr>
          <w:rFonts w:ascii="Verdana" w:eastAsia="Calibri" w:hAnsi="Verdana"/>
          <w:color w:val="000000" w:themeColor="text1"/>
        </w:rPr>
        <w:t>iv</w:t>
      </w:r>
      <w:proofErr w:type="spellEnd"/>
      <w:r w:rsidRPr="00B8056D">
        <w:rPr>
          <w:rFonts w:ascii="Verdana" w:eastAsia="Calibri" w:hAnsi="Verdana"/>
          <w:color w:val="000000" w:themeColor="text1"/>
        </w:rPr>
        <w:t xml:space="preserve">) de ejecución sucesiva, en la </w:t>
      </w:r>
      <w:r w:rsidRPr="00B8056D">
        <w:rPr>
          <w:rFonts w:ascii="Verdana" w:eastAsia="Calibri" w:hAnsi="Verdana" w:cs="Arial"/>
          <w:color w:val="000000" w:themeColor="text1"/>
        </w:rPr>
        <w:t>medida en que se ejecuta en forma periódica; v) principal, porque existe en forma autónoma; y v) nominado, porque está tipificado y desarrollado en la ley.</w:t>
      </w:r>
    </w:p>
    <w:p w14:paraId="09F188DE" w14:textId="77777777" w:rsidR="00F34DB6" w:rsidRPr="00B8056D" w:rsidRDefault="00F34DB6" w:rsidP="00F34DB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Frente a su regulación, </w:t>
      </w:r>
      <w:r w:rsidRPr="00B05F99">
        <w:rPr>
          <w:rFonts w:ascii="Verdana" w:eastAsia="Times New Roman" w:hAnsi="Verdana" w:cs="Arial"/>
          <w:color w:val="000000"/>
        </w:rPr>
        <w:t>debemos remitirnos a las normas civiles y comerciales, debido a que</w:t>
      </w:r>
      <w:r>
        <w:rPr>
          <w:rFonts w:ascii="Verdana" w:eastAsia="Times New Roman" w:hAnsi="Verdana" w:cs="Arial"/>
          <w:color w:val="000000"/>
        </w:rPr>
        <w:t>, a</w:t>
      </w:r>
      <w:r w:rsidRPr="00B05F99">
        <w:rPr>
          <w:rFonts w:ascii="Verdana" w:eastAsia="Times New Roman" w:hAnsi="Verdana" w:cs="Arial"/>
          <w:color w:val="000000"/>
        </w:rPr>
        <w:t>unque el contrato de arrendamiento no se encuentra dentro del listado enunciativo del artículo 32 de la Ley 80 de 1993, por lo que se aplicará, los artículos 1973 al 2078 del Código Civil y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r>
        <w:rPr>
          <w:rFonts w:ascii="Verdana" w:eastAsia="Times New Roman" w:hAnsi="Verdana" w:cs="Arial"/>
          <w:color w:val="000000"/>
        </w:rPr>
        <w:t xml:space="preserve"> </w:t>
      </w:r>
    </w:p>
    <w:p w14:paraId="121C73E9" w14:textId="77777777" w:rsidR="00F34DB6" w:rsidRDefault="00F34DB6" w:rsidP="00F34DB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w:t>
      </w:r>
      <w:r>
        <w:rPr>
          <w:rFonts w:ascii="Verdana" w:eastAsia="Calibri" w:hAnsi="Verdana" w:cs="Arial"/>
          <w:color w:val="000000" w:themeColor="text1"/>
        </w:rPr>
        <w:t>s</w:t>
      </w:r>
      <w:r w:rsidRPr="00B8056D">
        <w:rPr>
          <w:rFonts w:ascii="Verdana" w:eastAsia="Calibri" w:hAnsi="Verdana" w:cs="Arial"/>
          <w:color w:val="000000" w:themeColor="text1"/>
        </w:rPr>
        <w:t xml:space="preserve">te, si la entidad estatal se rige </w:t>
      </w:r>
      <w:r w:rsidRPr="00B8056D">
        <w:rPr>
          <w:rFonts w:ascii="Verdana" w:eastAsia="Calibri" w:hAnsi="Verdana" w:cs="Arial"/>
          <w:color w:val="000000" w:themeColor="text1"/>
        </w:rPr>
        <w:lastRenderedPageBreak/>
        <w:t>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 Si lo que arrendará es un bien mueble, lo deberá hacer por licitación pública, selección abreviada o mínima cuantía, dependiendo del valor de la contratación. En ambos supuestos la entidad estatal también debe aplicar las normas civiles y comerciales que regulan la sustantividad del contrato de arrendamiento, porque a estas se remiten los artículos 13, 32 y 40 de la Ley 80 de 1993.</w:t>
      </w:r>
    </w:p>
    <w:p w14:paraId="68975B27" w14:textId="77777777" w:rsidR="00F34DB6" w:rsidRPr="00B8056D" w:rsidRDefault="00F34DB6" w:rsidP="00F34DB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xml:space="preserve">) que conste por escrito. Por su parte, para iniciar la ejecución se requería: i) la constitución y aprobación de la garantía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la existencia del registro presupuestal.</w:t>
      </w:r>
    </w:p>
    <w:p w14:paraId="1190D923" w14:textId="77777777" w:rsidR="00F34DB6" w:rsidRPr="00B8056D" w:rsidRDefault="00F34DB6" w:rsidP="00F34DB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Posteriormente, el artículo 50 de la Ley 789 de 2002 estableció, como obligación de quien quiere celebrar, renovar o liquidar contratos de cualquier naturaleza con entidades del sector público, cumplir con las obligaciones frente a los sistemas de salud, riesgos profesionales, pensiones y aportes a la Caja de Compensación Familiar, Instituto Colombiano de Bienestar Familiar y Servicio Nacional de Aprendizaje cuando a ello haya lugar. Además,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7CE6D1C1" w14:textId="77777777" w:rsidR="00F34DB6" w:rsidRPr="00C079CE" w:rsidRDefault="00F34DB6" w:rsidP="00F34DB6">
      <w:pPr>
        <w:spacing w:after="120" w:line="276" w:lineRule="auto"/>
        <w:ind w:firstLine="709"/>
        <w:jc w:val="both"/>
        <w:rPr>
          <w:rFonts w:ascii="Verdana" w:eastAsia="Calibri" w:hAnsi="Verdana" w:cs="Arial"/>
          <w:color w:val="000000" w:themeColor="text1"/>
        </w:rPr>
      </w:pPr>
      <w:r w:rsidRPr="00C079CE">
        <w:rPr>
          <w:rFonts w:ascii="Verdana" w:eastAsia="Calibri" w:hAnsi="Verdana" w:cs="Arial"/>
          <w:color w:val="000000" w:themeColor="text1"/>
        </w:rPr>
        <w:t>Además, aclara que las personas jurídicas que quieran celebrar contratos con las entidades estatales deben acreditar el pago al Sistema de Seguridad Social Integral de sus empleados, y que por eso deben presentar una certificación expedida por el revisor fiscal o por el representante legal, durante un lapso equivalente al que exija el respectivo régimen de contratación para que se hubiera constituido la sociedad, el cual, en todo caso, no debe ser inferior a los 6 meses anteriores a la celebración del contrato. En este sentido, la ley establece que para presentar la oferta las personas jurídicas deben acreditar el requisito señalado anteriormente, es decir, el pago al sistema de seguridad social de sus empleados.</w:t>
      </w:r>
    </w:p>
    <w:p w14:paraId="3E09C23D" w14:textId="77777777" w:rsidR="00F34DB6" w:rsidRDefault="00F34DB6" w:rsidP="00F34DB6">
      <w:pPr>
        <w:spacing w:after="120" w:line="276" w:lineRule="auto"/>
        <w:ind w:firstLine="709"/>
        <w:jc w:val="both"/>
        <w:rPr>
          <w:rFonts w:ascii="Verdana" w:eastAsia="Calibri" w:hAnsi="Verdana" w:cs="Arial"/>
          <w:color w:val="000000" w:themeColor="text1"/>
        </w:rPr>
      </w:pPr>
      <w:r w:rsidRPr="00C079CE">
        <w:rPr>
          <w:rFonts w:ascii="Verdana" w:eastAsia="Calibri" w:hAnsi="Verdana" w:cs="Arial"/>
          <w:color w:val="000000" w:themeColor="text1"/>
        </w:rPr>
        <w:lastRenderedPageBreak/>
        <w:t>Esta norma fue analizada por el Consejo de Estado, quien consideró que el artículo 50 de la Ley 789 de 2002 tiene por objeto evitar la evasión por parte de los empleadores de las cotizaciones al Sistema de Seguridad Social Integral y de los aportes parafiscales.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durante la ejecución del contrato, verifiquen el cumplimiento de las obligaciones del Sistema de Seguridad Social Integral por parte de los contratistas.</w:t>
      </w:r>
    </w:p>
    <w:p w14:paraId="176D7202" w14:textId="77777777" w:rsidR="00F34DB6" w:rsidRPr="00601F68" w:rsidRDefault="00F34DB6" w:rsidP="00F34DB6">
      <w:pPr>
        <w:spacing w:after="120" w:line="276" w:lineRule="auto"/>
        <w:ind w:firstLine="709"/>
        <w:jc w:val="both"/>
        <w:rPr>
          <w:rFonts w:ascii="Verdana" w:eastAsia="Calibri" w:hAnsi="Verdana" w:cs="Arial"/>
          <w:color w:val="000000"/>
        </w:rPr>
      </w:pPr>
      <w:r w:rsidRPr="00C079CE">
        <w:rPr>
          <w:rFonts w:ascii="Verdana" w:eastAsia="Calibri" w:hAnsi="Verdana" w:cs="Arial"/>
          <w:color w:val="000000" w:themeColor="text1"/>
        </w:rPr>
        <w:t xml:space="preserve"> </w:t>
      </w:r>
      <w:r w:rsidRPr="00601F68">
        <w:rPr>
          <w:rFonts w:ascii="Verdana" w:eastAsia="Times New Roman" w:hAnsi="Verdana" w:cs="Arial"/>
          <w:color w:val="000000"/>
          <w:lang w:eastAsia="es-ES"/>
        </w:rPr>
        <w:t>En igual sentido, el artículo 23</w:t>
      </w:r>
      <w:r w:rsidRPr="00601F68">
        <w:rPr>
          <w:rFonts w:ascii="Verdana" w:eastAsia="Calibri" w:hAnsi="Verdana" w:cs="Arial"/>
          <w:color w:val="000000"/>
        </w:rPr>
        <w:t xml:space="preserve"> de la Ley 1150 de 2007 modificó el inciso segundo del artículo 41 de la Ley 80 de 1993, incluyendo la obligación, para los proponentes y contratistas, de estar a paz y salvo con los aportes parafiscales al Sistema de Seguridad Social integral, al señalar:</w:t>
      </w:r>
    </w:p>
    <w:p w14:paraId="5CBB7404" w14:textId="77777777" w:rsidR="00F34DB6" w:rsidRPr="00601F68" w:rsidRDefault="00F34DB6" w:rsidP="00F34DB6">
      <w:pPr>
        <w:contextualSpacing/>
        <w:jc w:val="both"/>
        <w:rPr>
          <w:rFonts w:ascii="Verdana" w:eastAsia="Calibri" w:hAnsi="Verdana" w:cs="Arial"/>
          <w:color w:val="000000"/>
        </w:rPr>
      </w:pPr>
    </w:p>
    <w:p w14:paraId="1E5EADA0" w14:textId="77777777" w:rsidR="00F34DB6" w:rsidRPr="00601F68" w:rsidRDefault="00F34DB6" w:rsidP="00F34DB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601F68">
        <w:rPr>
          <w:rFonts w:ascii="Verdana" w:eastAsia="Times New Roman" w:hAnsi="Verdana" w:cs="Arial"/>
          <w:sz w:val="20"/>
          <w:szCs w:val="20"/>
          <w:lang w:eastAsia="es-CO"/>
        </w:rPr>
        <w:t>“</w:t>
      </w:r>
      <w:r w:rsidRPr="00601F68">
        <w:rPr>
          <w:rFonts w:ascii="Verdana" w:eastAsia="Times New Roman" w:hAnsi="Verdana" w:cs="Arial"/>
          <w:sz w:val="20"/>
          <w:szCs w:val="20"/>
          <w:lang w:val="es-ES"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31378361" w14:textId="77777777" w:rsidR="00F34DB6" w:rsidRPr="00601F68" w:rsidRDefault="00F34DB6" w:rsidP="00F34DB6">
      <w:pPr>
        <w:spacing w:before="120" w:after="120" w:line="240" w:lineRule="auto"/>
        <w:ind w:left="1134" w:right="709"/>
        <w:jc w:val="both"/>
        <w:rPr>
          <w:rFonts w:ascii="Verdana" w:eastAsia="Times New Roman" w:hAnsi="Verdana" w:cs="Arial"/>
          <w:sz w:val="20"/>
          <w:szCs w:val="20"/>
          <w:lang w:val="es-ES" w:eastAsia="es-CO"/>
        </w:rPr>
      </w:pPr>
      <w:r w:rsidRPr="00601F68">
        <w:rPr>
          <w:rFonts w:ascii="Verdana" w:eastAsia="Times New Roman" w:hAnsi="Verdana" w:cs="Arial"/>
          <w:bCs/>
          <w:sz w:val="20"/>
          <w:szCs w:val="20"/>
          <w:lang w:val="es-ES" w:eastAsia="es-CO"/>
        </w:rPr>
        <w:t>Parágrafo 1.</w:t>
      </w:r>
      <w:r w:rsidRPr="00601F68">
        <w:rPr>
          <w:rFonts w:ascii="Verdana" w:eastAsia="Times New Roman" w:hAnsi="Verdana" w:cs="Arial"/>
          <w:sz w:val="20"/>
          <w:szCs w:val="20"/>
          <w:lang w:val="es-ES" w:eastAsia="es-CO"/>
        </w:rPr>
        <w:t> El requisito establecido en la parte final del inciso segundo de este artículo deberá acreditarse para la realización de cada pago derivado del contrato estatal.</w:t>
      </w:r>
    </w:p>
    <w:p w14:paraId="39B7F92E" w14:textId="77777777" w:rsidR="00F34DB6" w:rsidRPr="00601F68" w:rsidRDefault="00F34DB6" w:rsidP="00F34DB6">
      <w:pPr>
        <w:spacing w:before="120" w:after="120" w:line="240" w:lineRule="auto"/>
        <w:ind w:left="1134" w:right="709"/>
        <w:jc w:val="both"/>
        <w:rPr>
          <w:rFonts w:ascii="Verdana" w:eastAsia="Times New Roman" w:hAnsi="Verdana" w:cs="Arial"/>
          <w:sz w:val="20"/>
          <w:szCs w:val="20"/>
          <w:lang w:val="es-ES" w:eastAsia="es-CO"/>
        </w:rPr>
      </w:pPr>
      <w:r w:rsidRPr="00601F68">
        <w:rPr>
          <w:rFonts w:ascii="Verdana" w:eastAsia="Times New Roman" w:hAnsi="Verdana" w:cs="Arial"/>
          <w:sz w:val="20"/>
          <w:szCs w:val="20"/>
          <w:lang w:val="es-ES" w:eastAsia="es-CO"/>
        </w:rPr>
        <w:t>El servidor público que sin justa causa no verifique el pago de los aportes a que se refiere el presente artículo, incurrirá en causal de mala conducta, que será sancionada con arreglo al régimen disciplinario vigente.”</w:t>
      </w:r>
    </w:p>
    <w:p w14:paraId="61DF247D" w14:textId="77777777" w:rsidR="00F34DB6" w:rsidRPr="00601F68" w:rsidRDefault="00F34DB6" w:rsidP="00F34DB6">
      <w:pPr>
        <w:spacing w:after="0" w:line="276" w:lineRule="auto"/>
        <w:contextualSpacing/>
        <w:jc w:val="both"/>
        <w:rPr>
          <w:rFonts w:ascii="Verdana" w:eastAsia="Calibri" w:hAnsi="Verdana" w:cs="Arial"/>
          <w:color w:val="000000"/>
        </w:rPr>
      </w:pPr>
    </w:p>
    <w:p w14:paraId="4887B3E4" w14:textId="77777777" w:rsidR="00F34DB6" w:rsidRPr="00601F68" w:rsidRDefault="00F34DB6" w:rsidP="00F34DB6">
      <w:pPr>
        <w:spacing w:after="120" w:line="276" w:lineRule="auto"/>
        <w:ind w:firstLine="709"/>
        <w:jc w:val="both"/>
        <w:rPr>
          <w:rFonts w:ascii="Verdana" w:eastAsia="Times New Roman" w:hAnsi="Verdana" w:cs="Arial"/>
          <w:color w:val="000000"/>
          <w:lang w:eastAsia="es-ES"/>
        </w:rPr>
      </w:pPr>
      <w:r w:rsidRPr="00601F68">
        <w:rPr>
          <w:rFonts w:ascii="Verdana" w:eastAsia="Calibri" w:hAnsi="Verdana" w:cs="Arial"/>
          <w:color w:val="000000"/>
        </w:rPr>
        <w:t xml:space="preserve">De la lectura integral del artículo 23 de la Ley 1150 de 2007 se infiere que, si bien los proponentes y los contratistas deben estar al día en el pago al Sistema de Seguridad Social Integral, la verificación de este requisito, por parte de las entidades estatales, se efectuará cuando realicen los pagos del contrato, es </w:t>
      </w:r>
      <w:r w:rsidRPr="00601F68">
        <w:rPr>
          <w:rFonts w:ascii="Verdana" w:eastAsia="Times New Roman" w:hAnsi="Verdana" w:cs="Arial"/>
          <w:color w:val="000000"/>
          <w:lang w:eastAsia="es-ES"/>
        </w:rPr>
        <w:t>decir, durante la ejecución.</w:t>
      </w:r>
    </w:p>
    <w:p w14:paraId="190CFB8F" w14:textId="77777777" w:rsidR="00F34DB6" w:rsidRPr="00601F68" w:rsidRDefault="00F34DB6" w:rsidP="00F34DB6">
      <w:pPr>
        <w:spacing w:after="120" w:line="276" w:lineRule="auto"/>
        <w:ind w:firstLine="709"/>
        <w:jc w:val="both"/>
        <w:rPr>
          <w:rFonts w:ascii="Verdana" w:eastAsia="Calibri" w:hAnsi="Verdana" w:cs="Arial"/>
          <w:color w:val="000000"/>
        </w:rPr>
      </w:pPr>
      <w:r w:rsidRPr="00601F68">
        <w:rPr>
          <w:rFonts w:ascii="Verdana" w:eastAsia="Times New Roman" w:hAnsi="Verdana" w:cs="Arial"/>
          <w:color w:val="000000"/>
          <w:lang w:eastAsia="es-ES"/>
        </w:rPr>
        <w:lastRenderedPageBreak/>
        <w:t>La verificación del</w:t>
      </w:r>
      <w:r w:rsidRPr="00601F68">
        <w:rPr>
          <w:rFonts w:ascii="Verdana" w:eastAsia="Calibri" w:hAnsi="Verdana" w:cs="Arial"/>
          <w:color w:val="000000"/>
        </w:rPr>
        <w:t xml:space="preserve">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601F68">
        <w:rPr>
          <w:rFonts w:ascii="Verdana" w:eastAsia="Calibri" w:hAnsi="Verdana" w:cs="Arial"/>
          <w:color w:val="000000"/>
        </w:rPr>
        <w:t>ii</w:t>
      </w:r>
      <w:proofErr w:type="spellEnd"/>
      <w:r w:rsidRPr="00601F68">
        <w:rPr>
          <w:rFonts w:ascii="Verdana" w:eastAsia="Calibri" w:hAnsi="Verdana" w:cs="Arial"/>
          <w:color w:val="000000"/>
        </w:rPr>
        <w:t>)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contrato también se acredite el pago al Sistema de Seguridad Social Integral para pagar las cuentas o facturas si a ello hubiere lugar.</w:t>
      </w:r>
    </w:p>
    <w:p w14:paraId="221B6C9A" w14:textId="77777777" w:rsidR="00F34DB6" w:rsidRDefault="00F34DB6" w:rsidP="00F34DB6">
      <w:pPr>
        <w:spacing w:after="120" w:line="276" w:lineRule="auto"/>
        <w:ind w:firstLine="709"/>
        <w:jc w:val="both"/>
        <w:rPr>
          <w:rFonts w:ascii="Verdana" w:eastAsia="Calibri" w:hAnsi="Verdana" w:cs="Arial"/>
          <w:color w:val="000000"/>
        </w:rPr>
      </w:pPr>
      <w:r w:rsidRPr="00601F68">
        <w:rPr>
          <w:rFonts w:ascii="Verdana" w:eastAsia="Calibri" w:hAnsi="Verdana" w:cs="Arial"/>
          <w:color w:val="000000"/>
        </w:rPr>
        <w:t>Igualmente, en virtud del artículo</w:t>
      </w:r>
      <w:r w:rsidRPr="00601F68">
        <w:rPr>
          <w:rFonts w:ascii="Verdana" w:eastAsia="Aptos" w:hAnsi="Verdana" w:cs="Arial"/>
          <w:color w:val="000000"/>
        </w:rPr>
        <w:t xml:space="preserve">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w:t>
      </w:r>
      <w:r w:rsidRPr="00601F68">
        <w:rPr>
          <w:rFonts w:ascii="Verdana" w:eastAsia="Calibri" w:hAnsi="Verdana" w:cs="Arial"/>
          <w:color w:val="000000"/>
        </w:rPr>
        <w:t>estableciendo una correcta relación entre el monto cancelado y las sumas que debieron cotizar.</w:t>
      </w:r>
    </w:p>
    <w:p w14:paraId="112206A5"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En consecuencia, no cabe</w:t>
      </w:r>
      <w:r w:rsidRPr="004272E1">
        <w:rPr>
          <w:rFonts w:ascii="Verdana" w:eastAsia="Aptos" w:hAnsi="Verdana" w:cs="Arial"/>
        </w:rPr>
        <w:t xml:space="preserv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w:t>
      </w:r>
      <w:r w:rsidRPr="004272E1">
        <w:rPr>
          <w:rFonts w:ascii="Verdana" w:eastAsia="Calibri" w:hAnsi="Verdana" w:cs="Arial"/>
          <w:color w:val="000000"/>
        </w:rPr>
        <w:t xml:space="preserve">realizar el contrato de arrendamiento. </w:t>
      </w:r>
    </w:p>
    <w:p w14:paraId="6165B258"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Ahora bien, frente a la persona que arrendataria, es menester tener en cuenta que la Corte Constitucional en sentencia C-578 de 2009 concluyó que de la interpretación de los artículos 157 y 204 de la Ley 100 de 1993 debía considerarse a los rentistas de capital como trabajadores independientes, ya que dicha expresión incluye a todas las personas económicamente activas.</w:t>
      </w:r>
    </w:p>
    <w:p w14:paraId="1577C1F9"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En ese orden de ideas, son conocidos como rentistas de capital aquellas personas que obtienen ingresos de arrendamientos, dividendos de inversiones, entre otras actividades, adquiriendo de esta manera capacidad de pago para cotizar al Sistema Integral de Seguridad Social.</w:t>
      </w:r>
    </w:p>
    <w:p w14:paraId="2E59256E"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lastRenderedPageBreak/>
        <w:t>El Decreto Único 780 de 2016 identifica como aportante a las personas naturales o jurídicas con trabajadores dependientes, a las entidades promotoras de salud, administradoras de pensiones o riesgos profesionales obligadas a realizar aportes correspondientes al Sistema, a los rentistas de capital y demás personas que tengan capacidad de contribuir al financiamiento del SGSSS y a los trabajadores independientes que se encuentren afiliados al Sistema de Seguridad Social Integral.</w:t>
      </w:r>
    </w:p>
    <w:p w14:paraId="2CFDBABD"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Toda persona económicamente activa con capacidad de pago, en virtud del principio de solidaridad que rige el Sistema Integral de Seguridad Social, está en la obligación de aportar a los Sistemas de Salud y Pensiones, y en forma voluntaria pueden afiliarse al Sistema de Riesgos Laborales y caja de compensación familiar. Lo anterior para el caso de los independientes por cuenta propia y con contrato diferente al de prestación de servicios, dentro de los cuales se encuentran los rentistas de capital.</w:t>
      </w:r>
    </w:p>
    <w:p w14:paraId="1CF1ACF8"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Al respecto, la Unidad de Gestión Pensional y Parafiscales indicó que:</w:t>
      </w:r>
    </w:p>
    <w:p w14:paraId="7E85646E" w14:textId="77777777" w:rsidR="00F34DB6" w:rsidRPr="004272E1" w:rsidRDefault="00F34DB6" w:rsidP="00F34DB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4272E1">
        <w:rPr>
          <w:rFonts w:ascii="Verdana" w:eastAsia="Times New Roman" w:hAnsi="Verdana" w:cs="Arial"/>
          <w:sz w:val="20"/>
          <w:szCs w:val="20"/>
          <w:lang w:val="es-ES" w:eastAsia="es-CO"/>
        </w:rPr>
        <w:t>“Un independiente que percibe ingresos mensuales iguales o superiores a 1 salario mínimo mensual legal vigente provenientes de la explotación de sus bienes muebles o inmuebles, o recibe intereses, dividendos o utilidades producto de unas acciones de su propiedad se considera como rentista de capital dentro del grupo de independientes por cuenta propia o por contratos diferentes al de prestación de servicios, y por tanto está en la obligación de cotizar a los sistemas de salud y pensión, en la forma señalada en el inciso primero del artículo 135 de la Ley 1753 de 2015, es decir, sobre mínimo el 40% del valor de sus ingresos y para calcular el ingreso base de cotización IBC podrán deducir las expensas que se generen en la ejecución de cada actividad conforme a lo dispuesto en el art. 107 del Estatuto Tributario”</w:t>
      </w:r>
      <w:r w:rsidRPr="004272E1">
        <w:rPr>
          <w:rFonts w:ascii="Aptos" w:eastAsia="Times New Roman" w:hAnsi="Aptos" w:cs="Times New Roman"/>
          <w:vertAlign w:val="superscript"/>
          <w:lang w:eastAsia="es-CO"/>
        </w:rPr>
        <w:footnoteReference w:id="1"/>
      </w:r>
      <w:r w:rsidRPr="004272E1">
        <w:rPr>
          <w:rFonts w:ascii="Verdana" w:eastAsia="Times New Roman" w:hAnsi="Verdana" w:cs="Arial"/>
          <w:sz w:val="20"/>
          <w:szCs w:val="20"/>
          <w:lang w:val="es-ES" w:eastAsia="es-CO"/>
        </w:rPr>
        <w:t>.</w:t>
      </w:r>
    </w:p>
    <w:p w14:paraId="5E6AD4F5" w14:textId="77777777" w:rsidR="00F34DB6" w:rsidRPr="004272E1" w:rsidRDefault="00F34DB6" w:rsidP="00F34DB6">
      <w:pPr>
        <w:widowControl w:val="0"/>
        <w:autoSpaceDE w:val="0"/>
        <w:autoSpaceDN w:val="0"/>
        <w:spacing w:after="0" w:line="276" w:lineRule="auto"/>
        <w:ind w:firstLine="709"/>
        <w:jc w:val="both"/>
        <w:rPr>
          <w:rFonts w:ascii="Verdana" w:eastAsia="Aptos" w:hAnsi="Verdana" w:cs="Arial"/>
          <w:color w:val="000000"/>
        </w:rPr>
      </w:pPr>
      <w:r w:rsidRPr="004272E1">
        <w:rPr>
          <w:rFonts w:ascii="Verdana" w:eastAsia="Aptos" w:hAnsi="Verdana" w:cs="Arial"/>
          <w:color w:val="000000"/>
        </w:rPr>
        <w:t>Por otra parte, en concepto con radicado No. 4201912000005462, expedido como respuesta a la consulta del 13 de agosto de 2019, esta Subdirección indicó:</w:t>
      </w:r>
    </w:p>
    <w:p w14:paraId="4378A4BA" w14:textId="77777777" w:rsidR="00F34DB6" w:rsidRPr="004272E1" w:rsidRDefault="00F34DB6" w:rsidP="00F34DB6">
      <w:pPr>
        <w:widowControl w:val="0"/>
        <w:autoSpaceDE w:val="0"/>
        <w:autoSpaceDN w:val="0"/>
        <w:spacing w:after="0" w:line="276" w:lineRule="auto"/>
        <w:ind w:firstLine="709"/>
        <w:jc w:val="both"/>
        <w:rPr>
          <w:rFonts w:ascii="Verdana" w:eastAsia="Aptos" w:hAnsi="Verdana" w:cs="Arial"/>
          <w:color w:val="000000"/>
        </w:rPr>
      </w:pPr>
    </w:p>
    <w:p w14:paraId="065458BA" w14:textId="77777777" w:rsidR="00F34DB6" w:rsidRPr="004272E1" w:rsidRDefault="00F34DB6" w:rsidP="00F34DB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4272E1">
        <w:rPr>
          <w:rFonts w:ascii="Verdana" w:eastAsia="Times New Roman" w:hAnsi="Verdana" w:cs="Arial"/>
          <w:sz w:val="20"/>
          <w:szCs w:val="20"/>
          <w:lang w:val="es-ES" w:eastAsia="es-CO"/>
        </w:rPr>
        <w:t xml:space="preserve">“Asimismo, como se mencionó previamente, el artículo 50 de la Ley 789 de 2002 establece que las entidades estatales, al momento de </w:t>
      </w:r>
      <w:r w:rsidRPr="004272E1">
        <w:rPr>
          <w:rFonts w:ascii="Verdana" w:eastAsia="Times New Roman" w:hAnsi="Verdana" w:cs="Arial"/>
          <w:sz w:val="20"/>
          <w:szCs w:val="20"/>
          <w:lang w:val="es-ES" w:eastAsia="es-CO"/>
        </w:rPr>
        <w:lastRenderedPageBreak/>
        <w:t>celebrar, renovar o liquidar un contrato verificará que el contratista cumpla sus obligaciones con los sistemas de salud, riesgos profesionales, pensiones y aportes a las Cajas de Compensación Familiar, cuando a ello haya lugar.”</w:t>
      </w:r>
    </w:p>
    <w:p w14:paraId="6CDC9349" w14:textId="77777777" w:rsidR="00F34DB6" w:rsidRPr="004272E1" w:rsidRDefault="00F34DB6" w:rsidP="00F34DB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4272E1">
        <w:rPr>
          <w:rFonts w:ascii="Verdana" w:eastAsia="Times New Roman" w:hAnsi="Verdana" w:cs="Arial"/>
          <w:sz w:val="20"/>
          <w:szCs w:val="20"/>
          <w:lang w:val="es-ES" w:eastAsia="es-CO"/>
        </w:rPr>
        <w:t>Si bien la Ley 1393 de 2010 sólo prevé como obligación verificar la afiliación al sistema de seguridad social en los contratos de prestación de servicios, la Ley 789 de 2002 sí establece que en cualquier contrato estatal la entidad contratante deberá verificar que el contratista cumplió con sus obligaciones al sistema de salud, riesgos profesionales, pensiones y aportes a las Cajas de Compensación Familiar.</w:t>
      </w:r>
    </w:p>
    <w:p w14:paraId="650B4ECE" w14:textId="77777777" w:rsidR="00F34DB6" w:rsidRPr="004272E1" w:rsidRDefault="00F34DB6" w:rsidP="00F34DB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4272E1">
        <w:rPr>
          <w:rFonts w:ascii="Verdana" w:eastAsia="Times New Roman" w:hAnsi="Verdana" w:cs="Arial"/>
          <w:sz w:val="20"/>
          <w:szCs w:val="20"/>
          <w:lang w:val="es-ES" w:eastAsia="es-CO"/>
        </w:rPr>
        <w:t xml:space="preserve">Entre las obligaciones que tienen las personas naturales que presten directamente servicios al Estado, bajo la modalidad de contratos de prestación o bajo cualquier otra modalidad de contrato, como el de suministro, se encuentra la de estar afiliados al sistema de seguridad social en salud y pensiones. </w:t>
      </w:r>
    </w:p>
    <w:p w14:paraId="7DDB1544" w14:textId="77777777" w:rsidR="00F34DB6" w:rsidRPr="004272E1" w:rsidRDefault="00F34DB6" w:rsidP="00F34DB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4272E1">
        <w:rPr>
          <w:rFonts w:ascii="Verdana" w:eastAsia="Times New Roman" w:hAnsi="Verdana" w:cs="Arial"/>
          <w:sz w:val="20"/>
          <w:szCs w:val="20"/>
          <w:lang w:val="es-ES" w:eastAsia="es-CO"/>
        </w:rPr>
        <w:t>Por otro lado, el artículo 3 de la Ley 797 de 2003 establece que deberán estar afiliados al Sistema General de Pensiones todas aquellas personas naturales que presten directamente servicios al Estado o a las entidades o empresas del sector privado, bajo la modalidad de contratos de prestación de servicios, o cualquier otra modalidad de servicios que adopten. El Ministerio de Salud y Protección Social, en el concepto No. 112520 del 31 de mayo de 2012 indicó que el alcance de cualquier otra modalidad de servicios incluye los contratos de obra, suministro, de arrendamiento de servicios, entre otros . Por lo tanto, en los contratos de suministro la entidad estatal deberá verificar que la persona natural que presta el servicio de contrato de suministro en favor de una entidad estatal está afiliada al Sistema General de Pensiones .”</w:t>
      </w:r>
    </w:p>
    <w:p w14:paraId="58CBC923" w14:textId="77777777" w:rsidR="00F34DB6" w:rsidRPr="004272E1" w:rsidRDefault="00F34DB6" w:rsidP="00F34DB6">
      <w:pPr>
        <w:widowControl w:val="0"/>
        <w:autoSpaceDE w:val="0"/>
        <w:autoSpaceDN w:val="0"/>
        <w:spacing w:after="0" w:line="276" w:lineRule="auto"/>
        <w:jc w:val="both"/>
        <w:rPr>
          <w:rFonts w:ascii="Verdana" w:eastAsia="Aptos" w:hAnsi="Verdana" w:cs="Arial"/>
          <w:color w:val="000000"/>
        </w:rPr>
      </w:pPr>
      <w:r w:rsidRPr="004272E1">
        <w:rPr>
          <w:rFonts w:ascii="Verdana" w:eastAsia="Aptos" w:hAnsi="Verdana" w:cs="Arial"/>
          <w:color w:val="000000"/>
        </w:rPr>
        <w:t xml:space="preserve"> </w:t>
      </w:r>
    </w:p>
    <w:p w14:paraId="1CF0323D"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Aptos" w:hAnsi="Verdana" w:cs="Arial"/>
          <w:color w:val="000000"/>
        </w:rPr>
        <w:t xml:space="preserve">Como se observa, en dicho concepto se señaló que la obligación frente al Sistema de Seguridad Social Integral aplica frente a todos los contratos con las entidades estatales, pues es lo que se deduce del artículo 50 de la Ley 789 de </w:t>
      </w:r>
      <w:r w:rsidRPr="004272E1">
        <w:rPr>
          <w:rFonts w:ascii="Verdana" w:eastAsia="Calibri" w:hAnsi="Verdana" w:cs="Arial"/>
          <w:color w:val="000000"/>
        </w:rPr>
        <w:t>2002.</w:t>
      </w:r>
    </w:p>
    <w:p w14:paraId="45C3FE90"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En consecuencia</w:t>
      </w:r>
      <w:r w:rsidRPr="004272E1">
        <w:rPr>
          <w:rFonts w:ascii="Verdana" w:eastAsia="Aptos" w:hAnsi="Verdana" w:cs="Arial"/>
          <w:color w:val="000000"/>
        </w:rPr>
        <w:t xml:space="preserve">,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w:t>
      </w:r>
      <w:r w:rsidRPr="004272E1">
        <w:rPr>
          <w:rFonts w:ascii="Verdana" w:eastAsia="Aptos" w:hAnsi="Verdana" w:cs="Arial"/>
          <w:color w:val="000000"/>
        </w:rPr>
        <w:lastRenderedPageBreak/>
        <w:t xml:space="preserve">y liquidación, conforme a la naturaleza jurídica de la persona con quien se va a </w:t>
      </w:r>
      <w:r w:rsidRPr="004272E1">
        <w:rPr>
          <w:rFonts w:ascii="Verdana" w:eastAsia="Calibri" w:hAnsi="Verdana" w:cs="Arial"/>
          <w:color w:val="000000"/>
        </w:rPr>
        <w:t xml:space="preserve">realizar el contrato de arrendamiento. </w:t>
      </w:r>
    </w:p>
    <w:p w14:paraId="0B09C131" w14:textId="77777777" w:rsidR="00F34DB6" w:rsidRPr="004272E1" w:rsidRDefault="00F34DB6" w:rsidP="00F34DB6">
      <w:pPr>
        <w:spacing w:after="120" w:line="276" w:lineRule="auto"/>
        <w:ind w:firstLine="709"/>
        <w:jc w:val="both"/>
        <w:rPr>
          <w:rFonts w:ascii="Verdana" w:eastAsia="Calibri" w:hAnsi="Verdana" w:cs="Arial"/>
          <w:color w:val="000000"/>
        </w:rPr>
      </w:pPr>
      <w:r w:rsidRPr="004272E1">
        <w:rPr>
          <w:rFonts w:ascii="Verdana" w:eastAsia="Calibri" w:hAnsi="Verdana" w:cs="Arial"/>
          <w:color w:val="000000"/>
        </w:rPr>
        <w:t>En el caso de los</w:t>
      </w:r>
      <w:r w:rsidRPr="004272E1">
        <w:rPr>
          <w:rFonts w:ascii="Verdana" w:eastAsia="Aptos" w:hAnsi="Verdana" w:cs="Arial"/>
          <w:color w:val="000000"/>
        </w:rPr>
        <w:t xml:space="preserve"> arrendadores, que son personas naturales o jurídicas y que actúan como rentistas de capital (quienes obtienen ingresos por el uso de sus bienes), la normativa los obliga a cotizar como trabajadores independientes. Este grupo debe realizar aportes sobre un ingreso base de cotización del 40% de sus ingresos brutos, sin incluir el valor del IVA, tal como lo establece el Decreto Único 780 de 2016. Este requisito responde al principio de solidaridad, que implica que toda persona con capacidad económica debe contribuir al </w:t>
      </w:r>
      <w:r w:rsidRPr="004272E1">
        <w:rPr>
          <w:rFonts w:ascii="Verdana" w:eastAsia="Calibri" w:hAnsi="Verdana" w:cs="Arial"/>
          <w:color w:val="000000"/>
        </w:rPr>
        <w:t xml:space="preserve">financiamiento del Sistema de Seguridad Social. </w:t>
      </w:r>
    </w:p>
    <w:p w14:paraId="10453757" w14:textId="77777777" w:rsidR="00F34DB6" w:rsidRPr="004272E1" w:rsidRDefault="00F34DB6" w:rsidP="00F34DB6">
      <w:pPr>
        <w:spacing w:after="120" w:line="276" w:lineRule="auto"/>
        <w:ind w:firstLine="709"/>
        <w:jc w:val="both"/>
        <w:rPr>
          <w:rFonts w:ascii="Verdana" w:eastAsia="Aptos" w:hAnsi="Verdana" w:cs="Arial"/>
          <w:color w:val="000000"/>
        </w:rPr>
      </w:pPr>
      <w:r w:rsidRPr="004272E1">
        <w:rPr>
          <w:rFonts w:ascii="Verdana" w:eastAsia="Calibri" w:hAnsi="Verdana" w:cs="Arial"/>
          <w:color w:val="000000"/>
        </w:rPr>
        <w:t>Finalmente, en Colombia</w:t>
      </w:r>
      <w:r w:rsidRPr="004272E1">
        <w:rPr>
          <w:rFonts w:ascii="Verdana" w:eastAsia="Aptos" w:hAnsi="Verdana" w:cs="Arial"/>
          <w:color w:val="000000"/>
        </w:rPr>
        <w:t>, es obligatorio que los contratistas que participen en contratos de arrendamiento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p>
    <w:p w14:paraId="4A68C378" w14:textId="77777777" w:rsidR="00F34DB6" w:rsidRPr="00C60F4D" w:rsidRDefault="00F34DB6" w:rsidP="00F34DB6">
      <w:pPr>
        <w:snapToGrid w:val="0"/>
        <w:spacing w:after="0" w:line="276" w:lineRule="auto"/>
        <w:ind w:firstLine="709"/>
        <w:jc w:val="both"/>
        <w:rPr>
          <w:rFonts w:ascii="Verdana" w:eastAsia="Calibri" w:hAnsi="Verdana" w:cs="Arial"/>
          <w:color w:val="3399FF"/>
          <w:lang w:val="es-ES_tradnl" w:eastAsia="es-ES"/>
        </w:rPr>
      </w:pPr>
    </w:p>
    <w:p w14:paraId="301FBBA5" w14:textId="77777777" w:rsidR="00F34DB6" w:rsidRPr="00EF54B1" w:rsidRDefault="00F34DB6" w:rsidP="00F34DB6">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color w:val="000000" w:themeColor="text1"/>
          <w:lang w:val="es-ES_tradnl"/>
        </w:rPr>
      </w:pPr>
      <w:r w:rsidRPr="00EF54B1">
        <w:rPr>
          <w:rFonts w:ascii="Verdana" w:eastAsia="Century Gothic" w:hAnsi="Verdana" w:cs="Century Gothic"/>
          <w:b/>
          <w:bCs/>
          <w:color w:val="000000" w:themeColor="text1"/>
          <w:lang w:val="es-ES_tradnl"/>
        </w:rPr>
        <w:t>Referencias normativas, jurisprudenciales y otras fuentes:</w:t>
      </w:r>
    </w:p>
    <w:p w14:paraId="4C6E75BE" w14:textId="77777777" w:rsidR="00F34DB6" w:rsidRPr="00EF54B1" w:rsidRDefault="00F34DB6" w:rsidP="00F34DB6">
      <w:pPr>
        <w:tabs>
          <w:tab w:val="left" w:pos="970"/>
        </w:tabs>
        <w:spacing w:after="0" w:line="276" w:lineRule="auto"/>
        <w:ind w:left="-15840"/>
        <w:jc w:val="both"/>
        <w:rPr>
          <w:rFonts w:ascii="Verdana" w:eastAsia="Calibri" w:hAnsi="Verdana" w:cs="Arial"/>
          <w:b/>
          <w:bCs/>
          <w:color w:val="000000" w:themeColor="text1"/>
        </w:rPr>
      </w:pPr>
      <w:r w:rsidRPr="00EF54B1">
        <w:rPr>
          <w:rFonts w:ascii="Verdana" w:eastAsia="Calibri" w:hAnsi="Verdana" w:cs="Arial"/>
          <w:b/>
          <w:bCs/>
          <w:color w:val="000000" w:themeColor="text1"/>
        </w:rPr>
        <w:t>4. Referencias normativas, jurisprudenciales y otras fuentes:</w:t>
      </w:r>
      <w:r w:rsidRPr="00EF54B1">
        <w:rPr>
          <w:rFonts w:ascii="Verdana" w:eastAsia="Calibri" w:hAnsi="Verdana" w:cs="Arial"/>
          <w:b/>
          <w:bCs/>
          <w:color w:val="000000" w:themeColor="text1"/>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34DB6" w:rsidRPr="007E53B7" w14:paraId="4816160D" w14:textId="77777777" w:rsidTr="00EB7760">
        <w:trPr>
          <w:trHeight w:val="242"/>
        </w:trPr>
        <w:tc>
          <w:tcPr>
            <w:tcW w:w="8647" w:type="dxa"/>
            <w:tcBorders>
              <w:top w:val="dotted" w:sz="4" w:space="0" w:color="auto"/>
              <w:left w:val="dotted" w:sz="4" w:space="0" w:color="auto"/>
              <w:bottom w:val="dotted" w:sz="4" w:space="0" w:color="auto"/>
              <w:right w:val="dotted" w:sz="4" w:space="0" w:color="auto"/>
            </w:tcBorders>
          </w:tcPr>
          <w:p w14:paraId="44A7DAD5" w14:textId="77777777" w:rsidR="00F34DB6" w:rsidRDefault="00F34DB6" w:rsidP="00EB7760">
            <w:pPr>
              <w:widowControl w:val="0"/>
              <w:autoSpaceDE w:val="0"/>
              <w:autoSpaceDN w:val="0"/>
              <w:snapToGrid w:val="0"/>
              <w:spacing w:after="120"/>
              <w:ind w:left="714"/>
              <w:jc w:val="both"/>
              <w:rPr>
                <w:rFonts w:ascii="Verdana" w:eastAsia="Calibri" w:hAnsi="Verdana" w:cs="Arial"/>
                <w:color w:val="000000" w:themeColor="text1"/>
                <w:lang w:val="es-ES_tradnl"/>
              </w:rPr>
            </w:pPr>
          </w:p>
          <w:p w14:paraId="7682EAED" w14:textId="77777777" w:rsidR="00F34DB6" w:rsidRPr="00B05F99" w:rsidRDefault="00F34DB6" w:rsidP="00F34DB6">
            <w:pPr>
              <w:widowControl w:val="0"/>
              <w:numPr>
                <w:ilvl w:val="0"/>
                <w:numId w:val="17"/>
              </w:numPr>
              <w:autoSpaceDE w:val="0"/>
              <w:autoSpaceDN w:val="0"/>
              <w:spacing w:after="120" w:line="276" w:lineRule="auto"/>
              <w:jc w:val="both"/>
              <w:rPr>
                <w:rFonts w:ascii="Verdana" w:hAnsi="Verdana" w:cs="Arial"/>
                <w:color w:val="000000"/>
              </w:rPr>
            </w:pPr>
            <w:r w:rsidRPr="00B05F99">
              <w:rPr>
                <w:rFonts w:ascii="Verdana" w:hAnsi="Verdana" w:cs="Arial"/>
                <w:color w:val="000000"/>
              </w:rPr>
              <w:t xml:space="preserve">Ley 80 de 1993: Artículo 41 </w:t>
            </w:r>
          </w:p>
          <w:p w14:paraId="177B863A" w14:textId="77777777" w:rsidR="00F34DB6" w:rsidRPr="00B05F99" w:rsidRDefault="00F34DB6" w:rsidP="00F34DB6">
            <w:pPr>
              <w:widowControl w:val="0"/>
              <w:numPr>
                <w:ilvl w:val="0"/>
                <w:numId w:val="17"/>
              </w:numPr>
              <w:autoSpaceDE w:val="0"/>
              <w:autoSpaceDN w:val="0"/>
              <w:spacing w:after="120" w:line="276" w:lineRule="auto"/>
              <w:jc w:val="both"/>
              <w:rPr>
                <w:rFonts w:ascii="Verdana" w:hAnsi="Verdana" w:cs="Arial"/>
                <w:color w:val="000000"/>
              </w:rPr>
            </w:pPr>
            <w:r w:rsidRPr="00B05F99">
              <w:rPr>
                <w:rFonts w:ascii="Verdana" w:hAnsi="Verdana" w:cs="Arial"/>
                <w:lang w:val="es-ES"/>
              </w:rPr>
              <w:t>Ley 1150 de 2007: Artículo 23</w:t>
            </w:r>
          </w:p>
          <w:p w14:paraId="78D929EC" w14:textId="77777777" w:rsidR="00F34DB6" w:rsidRPr="00B05F99" w:rsidRDefault="00F34DB6" w:rsidP="00F34DB6">
            <w:pPr>
              <w:widowControl w:val="0"/>
              <w:numPr>
                <w:ilvl w:val="0"/>
                <w:numId w:val="17"/>
              </w:numPr>
              <w:autoSpaceDE w:val="0"/>
              <w:autoSpaceDN w:val="0"/>
              <w:spacing w:after="120" w:line="276" w:lineRule="auto"/>
              <w:jc w:val="both"/>
              <w:rPr>
                <w:rFonts w:ascii="Verdana" w:hAnsi="Verdana" w:cs="Arial"/>
                <w:color w:val="000000"/>
              </w:rPr>
            </w:pPr>
            <w:r w:rsidRPr="00B05F99">
              <w:rPr>
                <w:rFonts w:ascii="Verdana" w:hAnsi="Verdana" w:cs="Arial"/>
                <w:color w:val="000000"/>
              </w:rPr>
              <w:t>Código Civil: Artículos 1973, Artículo 2000</w:t>
            </w:r>
          </w:p>
          <w:p w14:paraId="3E2A2E2F" w14:textId="77777777" w:rsidR="00F34DB6" w:rsidRPr="00B05F99" w:rsidRDefault="00F34DB6" w:rsidP="00F34DB6">
            <w:pPr>
              <w:widowControl w:val="0"/>
              <w:numPr>
                <w:ilvl w:val="0"/>
                <w:numId w:val="17"/>
              </w:numPr>
              <w:autoSpaceDE w:val="0"/>
              <w:autoSpaceDN w:val="0"/>
              <w:spacing w:after="120" w:line="276" w:lineRule="auto"/>
              <w:jc w:val="both"/>
              <w:rPr>
                <w:rFonts w:ascii="Verdana" w:hAnsi="Verdana" w:cs="Arial"/>
                <w:color w:val="000000"/>
              </w:rPr>
            </w:pPr>
            <w:r w:rsidRPr="00B05F99">
              <w:rPr>
                <w:rFonts w:ascii="Verdana" w:hAnsi="Verdana" w:cs="Arial"/>
                <w:color w:val="000000"/>
              </w:rPr>
              <w:t xml:space="preserve">Ley 789 de 2002: Artículo 50 </w:t>
            </w:r>
          </w:p>
          <w:p w14:paraId="733A86D4" w14:textId="77777777" w:rsidR="00F34DB6" w:rsidRDefault="00F34DB6" w:rsidP="00F34DB6">
            <w:pPr>
              <w:widowControl w:val="0"/>
              <w:numPr>
                <w:ilvl w:val="0"/>
                <w:numId w:val="17"/>
              </w:numPr>
              <w:autoSpaceDE w:val="0"/>
              <w:autoSpaceDN w:val="0"/>
              <w:spacing w:after="120" w:line="276" w:lineRule="auto"/>
              <w:jc w:val="both"/>
              <w:rPr>
                <w:rFonts w:ascii="Verdana" w:hAnsi="Verdana" w:cs="Arial"/>
                <w:color w:val="000000"/>
              </w:rPr>
            </w:pPr>
            <w:r w:rsidRPr="00B05F99">
              <w:rPr>
                <w:rFonts w:ascii="Verdana" w:hAnsi="Verdana" w:cs="Arial"/>
                <w:color w:val="000000"/>
              </w:rPr>
              <w:t>Ley 1955 de 2019: Artículos 244, Artículo 336</w:t>
            </w:r>
          </w:p>
          <w:p w14:paraId="27537757" w14:textId="77777777" w:rsidR="00F34DB6" w:rsidRPr="00EB7D20" w:rsidRDefault="00F34DB6" w:rsidP="00F34DB6">
            <w:pPr>
              <w:widowControl w:val="0"/>
              <w:numPr>
                <w:ilvl w:val="0"/>
                <w:numId w:val="17"/>
              </w:numPr>
              <w:autoSpaceDE w:val="0"/>
              <w:autoSpaceDN w:val="0"/>
              <w:spacing w:after="120" w:line="276" w:lineRule="auto"/>
              <w:jc w:val="both"/>
              <w:rPr>
                <w:rFonts w:ascii="Verdana" w:hAnsi="Verdana" w:cs="Arial"/>
                <w:color w:val="000000"/>
              </w:rPr>
            </w:pPr>
            <w:r w:rsidRPr="00DF7D34">
              <w:rPr>
                <w:rFonts w:ascii="Verdana" w:hAnsi="Verdana"/>
              </w:rPr>
              <w:t xml:space="preserve">CONSEJO DE ESTADO. SALA DE CONSULTA Y SERVICIO CIVIL. Sentencia del 26 de julio de 2007. </w:t>
            </w:r>
            <w:proofErr w:type="spellStart"/>
            <w:r w:rsidRPr="00DF7D34">
              <w:rPr>
                <w:rFonts w:ascii="Verdana" w:hAnsi="Verdana"/>
              </w:rPr>
              <w:t>Exp</w:t>
            </w:r>
            <w:proofErr w:type="spellEnd"/>
            <w:r w:rsidRPr="00DF7D34">
              <w:rPr>
                <w:rFonts w:ascii="Verdana" w:hAnsi="Verdana"/>
              </w:rPr>
              <w:t xml:space="preserve">. 1832. C.P. Luis Fernando </w:t>
            </w:r>
            <w:r w:rsidRPr="00DF7D34">
              <w:rPr>
                <w:rFonts w:ascii="Verdana" w:hAnsi="Verdana"/>
              </w:rPr>
              <w:lastRenderedPageBreak/>
              <w:t>Álvarez Jaramillo.</w:t>
            </w:r>
          </w:p>
        </w:tc>
      </w:tr>
    </w:tbl>
    <w:p w14:paraId="1258DB93" w14:textId="77777777" w:rsidR="00F34DB6" w:rsidRPr="00EF54B1" w:rsidRDefault="00F34DB6" w:rsidP="00F34DB6">
      <w:pPr>
        <w:tabs>
          <w:tab w:val="left" w:pos="142"/>
          <w:tab w:val="left" w:pos="284"/>
        </w:tabs>
        <w:spacing w:after="0" w:line="276" w:lineRule="auto"/>
        <w:jc w:val="both"/>
        <w:rPr>
          <w:rFonts w:ascii="Verdana" w:eastAsia="Calibri" w:hAnsi="Verdana" w:cs="Arial"/>
          <w:color w:val="000000" w:themeColor="text1"/>
        </w:rPr>
      </w:pPr>
    </w:p>
    <w:p w14:paraId="75EC4AA0" w14:textId="77777777" w:rsidR="00F34DB6" w:rsidRPr="00EF54B1" w:rsidRDefault="00F34DB6" w:rsidP="00F34DB6">
      <w:pPr>
        <w:tabs>
          <w:tab w:val="left" w:pos="142"/>
          <w:tab w:val="left" w:pos="284"/>
        </w:tabs>
        <w:spacing w:after="0" w:line="276" w:lineRule="auto"/>
        <w:jc w:val="both"/>
        <w:rPr>
          <w:rFonts w:ascii="Verdana" w:eastAsia="Century Gothic" w:hAnsi="Verdana" w:cs="Century Gothic"/>
          <w:b/>
          <w:bCs/>
          <w:color w:val="000000" w:themeColor="text1"/>
          <w:lang w:val="es-ES"/>
        </w:rPr>
      </w:pPr>
      <w:r w:rsidRPr="00EF54B1">
        <w:rPr>
          <w:rFonts w:ascii="Verdana" w:eastAsia="Calibri" w:hAnsi="Verdana" w:cs="Arial"/>
          <w:b/>
          <w:bCs/>
          <w:color w:val="000000" w:themeColor="text1"/>
        </w:rPr>
        <w:t>5</w:t>
      </w:r>
      <w:r w:rsidRPr="00EF54B1">
        <w:rPr>
          <w:rFonts w:ascii="Verdana" w:eastAsia="Calibri" w:hAnsi="Verdana" w:cs="Arial"/>
          <w:color w:val="000000" w:themeColor="text1"/>
        </w:rPr>
        <w:t>.</w:t>
      </w:r>
      <w:r w:rsidRPr="00EF54B1">
        <w:rPr>
          <w:rFonts w:ascii="Verdana" w:eastAsia="Century Gothic" w:hAnsi="Verdana" w:cs="Century Gothic"/>
          <w:b/>
          <w:bCs/>
          <w:color w:val="000000" w:themeColor="text1"/>
          <w:lang w:val="es-ES"/>
        </w:rPr>
        <w:t>Doctrina de la Agencia Nacional de Contratación Pública:</w:t>
      </w:r>
    </w:p>
    <w:p w14:paraId="04F7CD1F" w14:textId="77777777" w:rsidR="00F34DB6" w:rsidRPr="00374710" w:rsidRDefault="00F34DB6" w:rsidP="00F34DB6">
      <w:pPr>
        <w:widowControl w:val="0"/>
        <w:autoSpaceDE w:val="0"/>
        <w:autoSpaceDN w:val="0"/>
        <w:spacing w:after="0" w:line="276" w:lineRule="auto"/>
        <w:jc w:val="both"/>
        <w:rPr>
          <w:rFonts w:ascii="Verdana" w:eastAsia="Calibri" w:hAnsi="Verdana" w:cs="Arial"/>
          <w:color w:val="000000" w:themeColor="text1"/>
        </w:rPr>
      </w:pPr>
    </w:p>
    <w:p w14:paraId="3184CE71" w14:textId="77777777" w:rsidR="00F34DB6" w:rsidRPr="007603CE" w:rsidRDefault="00F34DB6" w:rsidP="00F34DB6">
      <w:pPr>
        <w:widowControl w:val="0"/>
        <w:autoSpaceDE w:val="0"/>
        <w:autoSpaceDN w:val="0"/>
        <w:spacing w:after="0" w:line="276" w:lineRule="auto"/>
        <w:jc w:val="both"/>
        <w:rPr>
          <w:rFonts w:ascii="Verdana" w:eastAsia="Times New Roman" w:hAnsi="Verdana" w:cs="Arial"/>
          <w:color w:val="000000"/>
          <w:lang w:val="es-ES"/>
        </w:rPr>
      </w:pPr>
      <w:r w:rsidRPr="00B05F99">
        <w:rPr>
          <w:rFonts w:ascii="Verdana" w:eastAsia="Times New Roman" w:hAnsi="Verdana" w:cs="Arial"/>
          <w:color w:val="000000"/>
          <w:lang w:val="es-ES"/>
        </w:rPr>
        <w:t xml:space="preserve">La Agencia Nacional de Contratación Pública – Colombia Compra Eficiente ha tenido la oportunidad de pronunciarse en relación con estos aspectos en los Conceptos No. 4201814000000493 en respuesta a la consulta del 18 de enero de 2018, así como en los conceptos C-006 del 04 de febrero de 2020, C-141 del 03 de marzo de 2020, C-161 y C-183 del 17 de marzo de 2020, C-319 del 12 de junio de 202 </w:t>
      </w:r>
      <w:r w:rsidRPr="00B05F99">
        <w:rPr>
          <w:rFonts w:ascii="Verdana" w:eastAsia="Times New Roman" w:hAnsi="Verdana" w:cs="Arial"/>
          <w:color w:val="000000"/>
        </w:rPr>
        <w:t>Concepto C-391 de 2023</w:t>
      </w:r>
      <w:r w:rsidRPr="00B05F99">
        <w:rPr>
          <w:rFonts w:ascii="Verdana" w:eastAsia="Times New Roman" w:hAnsi="Verdana" w:cs="Arial"/>
          <w:b/>
          <w:bCs/>
          <w:color w:val="000000"/>
        </w:rPr>
        <w:t>,</w:t>
      </w:r>
      <w:r w:rsidRPr="00B05F99">
        <w:rPr>
          <w:rFonts w:ascii="Verdana" w:eastAsia="Times New Roman" w:hAnsi="Verdana" w:cs="Arial"/>
          <w:color w:val="000000"/>
        </w:rPr>
        <w:t xml:space="preserve"> </w:t>
      </w:r>
      <w:r w:rsidRPr="00B05F99">
        <w:rPr>
          <w:rFonts w:ascii="Verdana" w:eastAsia="Times New Roman" w:hAnsi="Verdana" w:cs="Arial"/>
          <w:color w:val="000000"/>
          <w:lang w:val="es-ES"/>
        </w:rPr>
        <w:t>y C-293 del 20 de agosto de 2024</w:t>
      </w:r>
      <w:r>
        <w:rPr>
          <w:rFonts w:ascii="Verdana" w:eastAsia="Times New Roman" w:hAnsi="Verdana" w:cs="Arial"/>
          <w:color w:val="000000"/>
          <w:lang w:val="es-ES"/>
        </w:rPr>
        <w:t xml:space="preserve">, C-681 del 29 de octubre de 2024, C-270 de </w:t>
      </w:r>
      <w:r w:rsidRPr="007603CE">
        <w:rPr>
          <w:rFonts w:ascii="Verdana" w:eastAsia="Times New Roman" w:hAnsi="Verdana" w:cs="Arial"/>
          <w:color w:val="000000"/>
          <w:lang w:val="es-ES"/>
        </w:rPr>
        <w:t>08 de abril de 2025</w:t>
      </w:r>
      <w:r>
        <w:rPr>
          <w:rFonts w:ascii="Verdana" w:eastAsia="Times New Roman" w:hAnsi="Verdana" w:cs="Arial"/>
          <w:color w:val="000000"/>
          <w:lang w:val="es-ES"/>
        </w:rPr>
        <w:t>, C-1128 del 22 de septiembre de 2025, C-992</w:t>
      </w:r>
      <w:r w:rsidRPr="00B05F99">
        <w:rPr>
          <w:rFonts w:ascii="Verdana" w:eastAsia="Times New Roman" w:hAnsi="Verdana" w:cs="Arial"/>
          <w:color w:val="000000"/>
          <w:lang w:val="es-ES"/>
        </w:rPr>
        <w:t xml:space="preserve">  </w:t>
      </w:r>
      <w:r>
        <w:rPr>
          <w:rFonts w:ascii="Verdana" w:eastAsia="Times New Roman" w:hAnsi="Verdana" w:cs="Arial"/>
          <w:color w:val="000000"/>
          <w:lang w:val="es-ES"/>
        </w:rPr>
        <w:t xml:space="preserve"> </w:t>
      </w:r>
      <w:r w:rsidRPr="00B05F99">
        <w:rPr>
          <w:rFonts w:ascii="Verdana" w:eastAsia="Times New Roman" w:hAnsi="Verdana" w:cs="Arial"/>
          <w:color w:val="000000"/>
          <w:lang w:val="es-ES"/>
        </w:rPr>
        <w:t>Es</w:t>
      </w:r>
      <w:r w:rsidRPr="00B05F99">
        <w:rPr>
          <w:rFonts w:ascii="Verdana" w:eastAsia="Times New Roman" w:hAnsi="Verdana" w:cs="Arial"/>
          <w:color w:val="000000"/>
        </w:rPr>
        <w:t>tos y otros conceptos se encuentran disponibles para consulta en el Sistema de relatoría de la Agencia, al cual se puede acceder a través del siguiente enlace:</w:t>
      </w:r>
      <w:r w:rsidRPr="00B05F99">
        <w:rPr>
          <w:rFonts w:ascii="Verdana" w:eastAsia="Times New Roman" w:hAnsi="Verdana" w:cs="Arial"/>
          <w:color w:val="000000"/>
          <w:lang w:val="es-ES"/>
        </w:rPr>
        <w:t xml:space="preserve"> </w:t>
      </w:r>
      <w:hyperlink r:id="rId13" w:history="1">
        <w:r w:rsidRPr="00696FA1">
          <w:rPr>
            <w:rFonts w:ascii="Verdana" w:eastAsia="Times New Roman" w:hAnsi="Verdana" w:cs="Arial"/>
            <w:color w:val="0000FF"/>
            <w:u w:val="single"/>
            <w:lang w:val="es-ES"/>
          </w:rPr>
          <w:t>https://relatoria.colombiacompra.gov.co/busqueda/conceptos</w:t>
        </w:r>
      </w:hyperlink>
      <w:r w:rsidRPr="00696FA1">
        <w:rPr>
          <w:rFonts w:ascii="Verdana" w:eastAsia="Times New Roman" w:hAnsi="Verdana" w:cs="Arial"/>
          <w:color w:val="0000FF"/>
          <w:lang w:val="es-ES"/>
        </w:rPr>
        <w:t xml:space="preserve">. </w:t>
      </w:r>
    </w:p>
    <w:p w14:paraId="4EF09706" w14:textId="77777777" w:rsidR="00F34DB6" w:rsidRPr="00696FA1" w:rsidRDefault="00F34DB6" w:rsidP="00F34DB6">
      <w:pPr>
        <w:widowControl w:val="0"/>
        <w:autoSpaceDE w:val="0"/>
        <w:autoSpaceDN w:val="0"/>
        <w:spacing w:after="0" w:line="276" w:lineRule="auto"/>
        <w:jc w:val="both"/>
        <w:rPr>
          <w:rFonts w:ascii="Verdana" w:eastAsia="Times New Roman" w:hAnsi="Verdana" w:cs="Arial"/>
          <w:shd w:val="clear" w:color="auto" w:fill="FFFFFF"/>
        </w:rPr>
      </w:pPr>
    </w:p>
    <w:p w14:paraId="7EDE9013" w14:textId="77777777" w:rsidR="00F34DB6" w:rsidRPr="00374710" w:rsidRDefault="00F34DB6" w:rsidP="00F34DB6">
      <w:pPr>
        <w:widowControl w:val="0"/>
        <w:autoSpaceDE w:val="0"/>
        <w:autoSpaceDN w:val="0"/>
        <w:spacing w:after="0" w:line="276" w:lineRule="auto"/>
        <w:jc w:val="both"/>
        <w:rPr>
          <w:rFonts w:ascii="Verdana" w:eastAsia="Times New Roman" w:hAnsi="Verdana" w:cs="Arial"/>
          <w:shd w:val="clear" w:color="auto" w:fill="FFFFFF"/>
          <w:lang w:val="es-ES"/>
        </w:rPr>
      </w:pPr>
      <w:r w:rsidRPr="009552C8">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9552C8">
          <w:rPr>
            <w:rFonts w:ascii="Verdana" w:eastAsia="Calibri" w:hAnsi="Verdana" w:cs="Arial"/>
            <w:color w:val="0000FF"/>
            <w:kern w:val="2"/>
            <w:u w:val="single"/>
            <w:shd w:val="clear" w:color="auto" w:fill="FFFFFF"/>
            <w14:ligatures w14:val="standardContextual"/>
          </w:rPr>
          <w:t>https://relatoria.colombiacompra.gov.co/</w:t>
        </w:r>
      </w:hyperlink>
    </w:p>
    <w:p w14:paraId="3B4A335F" w14:textId="77777777" w:rsidR="00F34DB6" w:rsidRPr="00EF54B1" w:rsidRDefault="00F34DB6" w:rsidP="00F34DB6">
      <w:pPr>
        <w:spacing w:after="0" w:line="240" w:lineRule="auto"/>
        <w:jc w:val="both"/>
        <w:rPr>
          <w:rFonts w:ascii="Verdana" w:eastAsia="Calibri" w:hAnsi="Verdana" w:cs="Arial"/>
          <w:color w:val="000000" w:themeColor="text1"/>
          <w:shd w:val="clear" w:color="auto" w:fill="FFFFFF"/>
        </w:rPr>
      </w:pPr>
    </w:p>
    <w:p w14:paraId="28A190C4" w14:textId="77777777" w:rsidR="00F34DB6" w:rsidRPr="00EF54B1" w:rsidRDefault="00F34DB6" w:rsidP="00F34DB6">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93B6D18" w14:textId="77777777" w:rsidR="00F34DB6" w:rsidRPr="00EF54B1" w:rsidRDefault="00F34DB6" w:rsidP="00F34DB6">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57D50CE8" w14:textId="77777777" w:rsidR="00F34DB6" w:rsidRPr="009552C8" w:rsidRDefault="00F34DB6" w:rsidP="00F34DB6">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235CFC4C" w14:textId="77777777" w:rsidR="00F34DB6" w:rsidRPr="009552C8" w:rsidRDefault="00F34DB6" w:rsidP="00F34DB6">
      <w:pPr>
        <w:spacing w:after="0" w:line="240" w:lineRule="auto"/>
        <w:jc w:val="both"/>
        <w:rPr>
          <w:rFonts w:ascii="Verdana" w:eastAsia="Aptos" w:hAnsi="Verdana" w:cs="Times New Roman"/>
          <w:kern w:val="2"/>
          <w14:ligatures w14:val="standardContextual"/>
        </w:rPr>
      </w:pPr>
    </w:p>
    <w:p w14:paraId="4147A52F" w14:textId="77777777" w:rsidR="00F34DB6" w:rsidRPr="009552C8" w:rsidRDefault="00F34DB6" w:rsidP="00F34DB6">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7498D10A" w14:textId="77777777" w:rsidR="00F34DB6" w:rsidRPr="009552C8" w:rsidRDefault="00F34DB6" w:rsidP="00F34DB6">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lastRenderedPageBreak/>
        <w:t xml:space="preserve">Facebook: </w:t>
      </w:r>
      <w:proofErr w:type="spellStart"/>
      <w:r w:rsidRPr="007603CE">
        <w:rPr>
          <w:rFonts w:ascii="Verdana" w:eastAsia="Calibri" w:hAnsi="Verdana" w:cs="Times New Roman"/>
          <w:color w:val="0000FF"/>
          <w:kern w:val="2"/>
          <w:u w:val="single"/>
          <w14:ligatures w14:val="standardContextual"/>
        </w:rPr>
        <w:t>ColombiaCompraEficiente</w:t>
      </w:r>
      <w:proofErr w:type="spellEnd"/>
    </w:p>
    <w:p w14:paraId="25986C16" w14:textId="77777777" w:rsidR="00F34DB6" w:rsidRPr="009552C8" w:rsidRDefault="00F34DB6" w:rsidP="00F34DB6">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637760C8" w14:textId="77777777" w:rsidR="00F34DB6" w:rsidRPr="005D21BF" w:rsidRDefault="00F34DB6" w:rsidP="00F34DB6">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75C8BBDC" w14:textId="77777777" w:rsidR="00F34DB6" w:rsidRDefault="00F34DB6" w:rsidP="00F34DB6">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0DBD3A5" w14:textId="77777777" w:rsidR="00F34DB6" w:rsidRPr="00EF54B1" w:rsidRDefault="00F34DB6" w:rsidP="00F34DB6">
      <w:pPr>
        <w:widowControl w:val="0"/>
        <w:autoSpaceDE w:val="0"/>
        <w:autoSpaceDN w:val="0"/>
        <w:spacing w:after="0" w:line="276" w:lineRule="auto"/>
        <w:jc w:val="both"/>
        <w:rPr>
          <w:rFonts w:ascii="Verdana" w:eastAsia="Calibri" w:hAnsi="Verdana" w:cs="Arial"/>
          <w:color w:val="000000" w:themeColor="text1"/>
        </w:rPr>
      </w:pPr>
    </w:p>
    <w:p w14:paraId="7C5329FE" w14:textId="77777777" w:rsidR="00F34DB6" w:rsidRPr="00EF54B1" w:rsidRDefault="00F34DB6" w:rsidP="00F34DB6">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1D7EF94D" w14:textId="77777777" w:rsidR="00F34DB6" w:rsidRDefault="00F34DB6" w:rsidP="00F34DB6">
      <w:pPr>
        <w:tabs>
          <w:tab w:val="left" w:pos="1320"/>
        </w:tabs>
        <w:rPr>
          <w:noProof/>
        </w:rPr>
      </w:pPr>
    </w:p>
    <w:p w14:paraId="35B3F429" w14:textId="74CAB116" w:rsidR="00945D12" w:rsidRDefault="00945D12" w:rsidP="00AD52DF">
      <w:pPr>
        <w:tabs>
          <w:tab w:val="left" w:pos="1320"/>
        </w:tabs>
        <w:jc w:val="center"/>
        <w:rPr>
          <w:noProof/>
        </w:rPr>
      </w:pPr>
      <w:r>
        <w:rPr>
          <w:rFonts w:ascii="Verdana" w:eastAsia="Verdana" w:hAnsi="Verdana" w:cs="Verdana"/>
          <w:noProof/>
          <w:color w:val="000000" w:themeColor="text1"/>
        </w:rPr>
        <w:drawing>
          <wp:inline distT="0" distB="0" distL="0" distR="0" wp14:anchorId="4A8EF2E1" wp14:editId="69087030">
            <wp:extent cx="3493311" cy="1298561"/>
            <wp:effectExtent l="0" t="0" r="0" b="0"/>
            <wp:docPr id="10342702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270264" name="Imagen 1034270264"/>
                    <pic:cNvPicPr/>
                  </pic:nvPicPr>
                  <pic:blipFill>
                    <a:blip r:embed="rId15">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40313AE6" w14:textId="77777777" w:rsidR="00AD52DF" w:rsidRPr="00AD52DF" w:rsidRDefault="00AD52DF" w:rsidP="00AD52DF">
      <w:pPr>
        <w:tabs>
          <w:tab w:val="left" w:pos="1320"/>
        </w:tabs>
        <w:jc w:val="center"/>
        <w:rPr>
          <w:noProof/>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3F869DD7" w14:paraId="3D9F1671" w14:textId="77777777" w:rsidTr="3F869DD7">
        <w:trPr>
          <w:trHeight w:val="315"/>
        </w:trPr>
        <w:tc>
          <w:tcPr>
            <w:tcW w:w="1185" w:type="dxa"/>
            <w:tcBorders>
              <w:top w:val="nil"/>
              <w:left w:val="nil"/>
              <w:bottom w:val="nil"/>
              <w:right w:val="nil"/>
            </w:tcBorders>
            <w:tcMar>
              <w:left w:w="105" w:type="dxa"/>
              <w:right w:w="105" w:type="dxa"/>
            </w:tcMar>
            <w:vAlign w:val="center"/>
          </w:tcPr>
          <w:p w14:paraId="66FD9756" w14:textId="4673BA39"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Elabor:</w:t>
            </w:r>
          </w:p>
        </w:tc>
        <w:tc>
          <w:tcPr>
            <w:tcW w:w="5925" w:type="dxa"/>
            <w:tcBorders>
              <w:top w:val="nil"/>
              <w:left w:val="nil"/>
              <w:bottom w:val="dotted" w:sz="4" w:space="0" w:color="7F7F7F" w:themeColor="text1" w:themeTint="80"/>
              <w:right w:val="nil"/>
            </w:tcBorders>
            <w:tcMar>
              <w:left w:w="105" w:type="dxa"/>
              <w:right w:w="105" w:type="dxa"/>
            </w:tcMar>
            <w:vAlign w:val="center"/>
          </w:tcPr>
          <w:p w14:paraId="6002672C" w14:textId="77777777" w:rsidR="05720E24" w:rsidRDefault="05720E24" w:rsidP="3F869DD7">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342BA664" w14:textId="2B55FDC6" w:rsidR="05720E24" w:rsidRDefault="05720E24" w:rsidP="3F869DD7">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3F869DD7" w14:paraId="56F760F9" w14:textId="77777777" w:rsidTr="3F869DD7">
        <w:trPr>
          <w:trHeight w:val="315"/>
        </w:trPr>
        <w:tc>
          <w:tcPr>
            <w:tcW w:w="1185" w:type="dxa"/>
            <w:tcBorders>
              <w:top w:val="nil"/>
              <w:left w:val="nil"/>
              <w:bottom w:val="nil"/>
              <w:right w:val="nil"/>
            </w:tcBorders>
            <w:tcMar>
              <w:left w:w="105" w:type="dxa"/>
              <w:right w:w="105" w:type="dxa"/>
            </w:tcMar>
            <w:vAlign w:val="center"/>
          </w:tcPr>
          <w:p w14:paraId="48BE32C4" w14:textId="41941AF1"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247224E3" w14:textId="6BD22D8D"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085F7C04" w14:textId="01C4297E"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3F869DD7" w14:paraId="466A474A" w14:textId="77777777" w:rsidTr="3F869DD7">
        <w:trPr>
          <w:trHeight w:val="300"/>
        </w:trPr>
        <w:tc>
          <w:tcPr>
            <w:tcW w:w="1185" w:type="dxa"/>
            <w:tcBorders>
              <w:top w:val="nil"/>
              <w:left w:val="nil"/>
              <w:bottom w:val="nil"/>
              <w:right w:val="nil"/>
            </w:tcBorders>
            <w:tcMar>
              <w:left w:w="105" w:type="dxa"/>
              <w:right w:w="105" w:type="dxa"/>
            </w:tcMar>
            <w:vAlign w:val="center"/>
          </w:tcPr>
          <w:p w14:paraId="47AA2036" w14:textId="294B859E"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71A9AACE" w14:textId="314E2D1C"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Carolina Quintero Gacharná</w:t>
            </w:r>
          </w:p>
          <w:p w14:paraId="2A562485" w14:textId="66CC6259" w:rsidR="3F869DD7" w:rsidRDefault="3F869DD7" w:rsidP="3F869DD7">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4A84C55B" w14:textId="0DEA1482" w:rsidR="00127233" w:rsidRDefault="00127233" w:rsidP="00F34DB6">
      <w:pPr>
        <w:rPr>
          <w:rFonts w:ascii="Verdana" w:eastAsia="Verdana" w:hAnsi="Verdana" w:cs="Verdana"/>
          <w:color w:val="000000" w:themeColor="text1"/>
        </w:rPr>
      </w:pPr>
    </w:p>
    <w:p w14:paraId="05C77DC5" w14:textId="61CC1CDE" w:rsidR="6FE63520" w:rsidRDefault="6FE63520" w:rsidP="3F869DD7">
      <w:pPr>
        <w:rPr>
          <w:rFonts w:ascii="Verdana" w:eastAsia="Verdana" w:hAnsi="Verdana" w:cs="Verdana"/>
          <w:noProof/>
          <w:color w:val="000000" w:themeColor="text1"/>
        </w:rPr>
      </w:pPr>
    </w:p>
    <w:p w14:paraId="4A2D09F6" w14:textId="3A1B97A2" w:rsidR="3F869DD7" w:rsidRDefault="3F869DD7" w:rsidP="3F869DD7">
      <w:pPr>
        <w:rPr>
          <w:rFonts w:ascii="Calibri" w:eastAsia="Calibri" w:hAnsi="Calibri" w:cs="Calibri"/>
          <w:noProof/>
          <w:color w:val="000000" w:themeColor="text1"/>
        </w:rPr>
      </w:pPr>
    </w:p>
    <w:p w14:paraId="6AFF61EE" w14:textId="10C0DE35" w:rsidR="000B270D" w:rsidRPr="00F34DB6" w:rsidRDefault="000B270D" w:rsidP="3F869DD7">
      <w:pPr>
        <w:tabs>
          <w:tab w:val="left" w:pos="1320"/>
        </w:tabs>
      </w:pPr>
    </w:p>
    <w:sectPr w:rsidR="000B270D" w:rsidRPr="00F34DB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3CBF3E" w14:textId="77777777" w:rsidR="00781333" w:rsidRDefault="00781333" w:rsidP="004A1847">
      <w:pPr>
        <w:spacing w:after="0" w:line="240" w:lineRule="auto"/>
      </w:pPr>
      <w:r>
        <w:separator/>
      </w:r>
    </w:p>
  </w:endnote>
  <w:endnote w:type="continuationSeparator" w:id="0">
    <w:p w14:paraId="3CE45666" w14:textId="77777777" w:rsidR="00781333" w:rsidRDefault="0078133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BEDBA" w14:textId="77777777" w:rsidR="00781333" w:rsidRDefault="00781333" w:rsidP="004A1847">
      <w:pPr>
        <w:spacing w:after="0" w:line="240" w:lineRule="auto"/>
      </w:pPr>
      <w:r>
        <w:separator/>
      </w:r>
    </w:p>
  </w:footnote>
  <w:footnote w:type="continuationSeparator" w:id="0">
    <w:p w14:paraId="630E1813" w14:textId="77777777" w:rsidR="00781333" w:rsidRDefault="00781333" w:rsidP="004A1847">
      <w:pPr>
        <w:spacing w:after="0" w:line="240" w:lineRule="auto"/>
      </w:pPr>
      <w:r>
        <w:continuationSeparator/>
      </w:r>
    </w:p>
  </w:footnote>
  <w:footnote w:id="1">
    <w:p w14:paraId="41208093" w14:textId="77777777" w:rsidR="00F34DB6" w:rsidRPr="00B05F99" w:rsidRDefault="00F34DB6" w:rsidP="00F34DB6">
      <w:pPr>
        <w:ind w:firstLine="709"/>
        <w:jc w:val="both"/>
        <w:rPr>
          <w:rFonts w:ascii="Verdana" w:hAnsi="Verdana" w:cs="Arial"/>
          <w:color w:val="000000"/>
          <w:sz w:val="14"/>
          <w:szCs w:val="14"/>
        </w:rPr>
      </w:pPr>
      <w:r w:rsidRPr="00B05F99">
        <w:rPr>
          <w:rFonts w:ascii="Verdana" w:hAnsi="Verdana" w:cs="Arial"/>
          <w:color w:val="000000"/>
          <w:sz w:val="14"/>
          <w:szCs w:val="14"/>
          <w:vertAlign w:val="superscript"/>
        </w:rPr>
        <w:footnoteRef/>
      </w:r>
      <w:r w:rsidRPr="00B05F99">
        <w:rPr>
          <w:rFonts w:ascii="Verdana" w:hAnsi="Verdana" w:cs="Arial"/>
          <w:color w:val="000000"/>
          <w:sz w:val="14"/>
          <w:szCs w:val="14"/>
        </w:rPr>
        <w:t xml:space="preserve"> Concepto Unidad de Gestión Pensional y Parafiscales, radicado 201811200427881 del 12 de febrero de 2018.</w:t>
      </w:r>
    </w:p>
    <w:p w14:paraId="16F14F7C" w14:textId="77777777" w:rsidR="00F34DB6" w:rsidRDefault="00F34DB6" w:rsidP="00F34DB6">
      <w:pPr>
        <w:ind w:firstLine="709"/>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3AD5452C"/>
    <w:multiLevelType w:val="hybridMultilevel"/>
    <w:tmpl w:val="08EA6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14847841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15B"/>
    <w:rsid w:val="00082362"/>
    <w:rsid w:val="000A683E"/>
    <w:rsid w:val="000B19B9"/>
    <w:rsid w:val="000B270D"/>
    <w:rsid w:val="000D0334"/>
    <w:rsid w:val="000D5DA7"/>
    <w:rsid w:val="000F1F88"/>
    <w:rsid w:val="000F6486"/>
    <w:rsid w:val="00116940"/>
    <w:rsid w:val="00125105"/>
    <w:rsid w:val="001254DE"/>
    <w:rsid w:val="00127233"/>
    <w:rsid w:val="0015699B"/>
    <w:rsid w:val="001A33BF"/>
    <w:rsid w:val="001B0727"/>
    <w:rsid w:val="001E2C89"/>
    <w:rsid w:val="001E4177"/>
    <w:rsid w:val="001F0B24"/>
    <w:rsid w:val="001F764F"/>
    <w:rsid w:val="001F7DC6"/>
    <w:rsid w:val="0020738D"/>
    <w:rsid w:val="00216F42"/>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2D94"/>
    <w:rsid w:val="003448F4"/>
    <w:rsid w:val="00374F5E"/>
    <w:rsid w:val="00377E3E"/>
    <w:rsid w:val="003A452C"/>
    <w:rsid w:val="003A779E"/>
    <w:rsid w:val="003D0F4D"/>
    <w:rsid w:val="003D5B0D"/>
    <w:rsid w:val="003E0499"/>
    <w:rsid w:val="003E4F80"/>
    <w:rsid w:val="003E6439"/>
    <w:rsid w:val="003F3941"/>
    <w:rsid w:val="00406575"/>
    <w:rsid w:val="00414C74"/>
    <w:rsid w:val="0042722E"/>
    <w:rsid w:val="0044528D"/>
    <w:rsid w:val="0044559D"/>
    <w:rsid w:val="00466E39"/>
    <w:rsid w:val="004A1847"/>
    <w:rsid w:val="004A305D"/>
    <w:rsid w:val="004A7042"/>
    <w:rsid w:val="004F21C4"/>
    <w:rsid w:val="004F63FF"/>
    <w:rsid w:val="004F685F"/>
    <w:rsid w:val="005566E8"/>
    <w:rsid w:val="00574867"/>
    <w:rsid w:val="00591460"/>
    <w:rsid w:val="005A65E0"/>
    <w:rsid w:val="005C3777"/>
    <w:rsid w:val="005C5CDC"/>
    <w:rsid w:val="005D3820"/>
    <w:rsid w:val="005D476C"/>
    <w:rsid w:val="005F3773"/>
    <w:rsid w:val="006200BF"/>
    <w:rsid w:val="006219F8"/>
    <w:rsid w:val="006302F7"/>
    <w:rsid w:val="00646B9F"/>
    <w:rsid w:val="00665D70"/>
    <w:rsid w:val="006900D9"/>
    <w:rsid w:val="00706C16"/>
    <w:rsid w:val="007340C3"/>
    <w:rsid w:val="0075235A"/>
    <w:rsid w:val="00756841"/>
    <w:rsid w:val="007649AB"/>
    <w:rsid w:val="00771D0C"/>
    <w:rsid w:val="00781333"/>
    <w:rsid w:val="007833AC"/>
    <w:rsid w:val="007B268C"/>
    <w:rsid w:val="007B7171"/>
    <w:rsid w:val="007C0C0F"/>
    <w:rsid w:val="007C3DC2"/>
    <w:rsid w:val="007E08D9"/>
    <w:rsid w:val="007E4F0A"/>
    <w:rsid w:val="007E5497"/>
    <w:rsid w:val="00806F5F"/>
    <w:rsid w:val="00820278"/>
    <w:rsid w:val="008258C9"/>
    <w:rsid w:val="00844AE9"/>
    <w:rsid w:val="00853494"/>
    <w:rsid w:val="00867F95"/>
    <w:rsid w:val="008843B6"/>
    <w:rsid w:val="00891928"/>
    <w:rsid w:val="008951EC"/>
    <w:rsid w:val="008A446D"/>
    <w:rsid w:val="008B25F1"/>
    <w:rsid w:val="008D180B"/>
    <w:rsid w:val="008F0EA7"/>
    <w:rsid w:val="00923EEF"/>
    <w:rsid w:val="009419F9"/>
    <w:rsid w:val="00945D12"/>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52DF"/>
    <w:rsid w:val="00AE0823"/>
    <w:rsid w:val="00B00C0E"/>
    <w:rsid w:val="00B01B1A"/>
    <w:rsid w:val="00B0381D"/>
    <w:rsid w:val="00B44A47"/>
    <w:rsid w:val="00B72CD3"/>
    <w:rsid w:val="00B72FFF"/>
    <w:rsid w:val="00B84442"/>
    <w:rsid w:val="00BC1F8F"/>
    <w:rsid w:val="00BC3D36"/>
    <w:rsid w:val="00BC688D"/>
    <w:rsid w:val="00BD54A6"/>
    <w:rsid w:val="00BD7F72"/>
    <w:rsid w:val="00BF7425"/>
    <w:rsid w:val="00C04FB3"/>
    <w:rsid w:val="00C11D8B"/>
    <w:rsid w:val="00C15139"/>
    <w:rsid w:val="00C270F2"/>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E50E8"/>
    <w:rsid w:val="00DF5254"/>
    <w:rsid w:val="00E02524"/>
    <w:rsid w:val="00E16408"/>
    <w:rsid w:val="00E20894"/>
    <w:rsid w:val="00E245AB"/>
    <w:rsid w:val="00E26913"/>
    <w:rsid w:val="00E2764C"/>
    <w:rsid w:val="00E27F2E"/>
    <w:rsid w:val="00E37989"/>
    <w:rsid w:val="00E404F1"/>
    <w:rsid w:val="00E50AFE"/>
    <w:rsid w:val="00E50ED3"/>
    <w:rsid w:val="00E75C92"/>
    <w:rsid w:val="00E771DC"/>
    <w:rsid w:val="00E8772A"/>
    <w:rsid w:val="00E90F6B"/>
    <w:rsid w:val="00E92C27"/>
    <w:rsid w:val="00EA0E3D"/>
    <w:rsid w:val="00EA1581"/>
    <w:rsid w:val="00EB7760"/>
    <w:rsid w:val="00EC38A7"/>
    <w:rsid w:val="00EC7D6F"/>
    <w:rsid w:val="00EE1AA8"/>
    <w:rsid w:val="00F1481B"/>
    <w:rsid w:val="00F23FEA"/>
    <w:rsid w:val="00F31EDC"/>
    <w:rsid w:val="00F34DB6"/>
    <w:rsid w:val="00F462B3"/>
    <w:rsid w:val="00F5664F"/>
    <w:rsid w:val="00F666C4"/>
    <w:rsid w:val="00F76AFC"/>
    <w:rsid w:val="00FA47C0"/>
    <w:rsid w:val="00FA4A5B"/>
    <w:rsid w:val="00FB5DD1"/>
    <w:rsid w:val="00FC20D4"/>
    <w:rsid w:val="00FC2B5D"/>
    <w:rsid w:val="00FE19AA"/>
    <w:rsid w:val="00FF1449"/>
    <w:rsid w:val="00FF7963"/>
    <w:rsid w:val="05720E24"/>
    <w:rsid w:val="071B8F93"/>
    <w:rsid w:val="09908A09"/>
    <w:rsid w:val="0FF4CCA8"/>
    <w:rsid w:val="13CFC91B"/>
    <w:rsid w:val="19A2EC2C"/>
    <w:rsid w:val="2859CA1B"/>
    <w:rsid w:val="32A4F9CF"/>
    <w:rsid w:val="356CEDFD"/>
    <w:rsid w:val="3F869DD7"/>
    <w:rsid w:val="69614A15"/>
    <w:rsid w:val="6FE635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982692A-6FE0-463B-A531-F9CA06B98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F34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qFormat/>
    <w:rsid w:val="00F34DB6"/>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F34DB6"/>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controlinterno@choco.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E6BDA37-BAF3-42E9-9CCF-937FFAAAFDF3}">
  <ds:schemaRefs>
    <ds:schemaRef ds:uri="http://schemas.openxmlformats.org/officeDocument/2006/bibliography"/>
  </ds:schemaRefs>
</ds:datastoreItem>
</file>

<file path=customXml/itemProps3.xml><?xml version="1.0" encoding="utf-8"?>
<ds:datastoreItem xmlns:ds="http://schemas.openxmlformats.org/officeDocument/2006/customXml" ds:itemID="{7E78C4A9-6D66-4DF9-8846-13A3581AE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15</Pages>
  <Words>4999</Words>
  <Characters>26345</Characters>
  <Application>Microsoft Office Word</Application>
  <DocSecurity>0</DocSecurity>
  <Lines>548</Lines>
  <Paragraphs>121</Paragraphs>
  <ScaleCrop>false</ScaleCrop>
  <Company/>
  <LinksUpToDate>false</LinksUpToDate>
  <CharactersWithSpaces>31223</CharactersWithSpaces>
  <SharedDoc>false</SharedDoc>
  <HLinks>
    <vt:vector size="18" baseType="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5242926</vt:i4>
      </vt:variant>
      <vt:variant>
        <vt:i4>0</vt:i4>
      </vt:variant>
      <vt:variant>
        <vt:i4>0</vt:i4>
      </vt:variant>
      <vt:variant>
        <vt:i4>5</vt:i4>
      </vt:variant>
      <vt:variant>
        <vt:lpwstr>mailto:infocontrolinterno@choco.gov.co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8</cp:revision>
  <cp:lastPrinted>2023-01-10T21:18:00Z</cp:lastPrinted>
  <dcterms:created xsi:type="dcterms:W3CDTF">2026-03-04T20:20:00Z</dcterms:created>
  <dcterms:modified xsi:type="dcterms:W3CDTF">2026-03-13T13:27:00Z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