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6B113C" w14:textId="77777777" w:rsidR="008D4DDA" w:rsidRPr="000428F8" w:rsidRDefault="008D4DDA" w:rsidP="008D4DDA">
      <w:pPr>
        <w:spacing w:after="0" w:line="240" w:lineRule="auto"/>
        <w:jc w:val="both"/>
        <w:rPr>
          <w:rFonts w:ascii="Verdana" w:hAnsi="Verdana"/>
          <w:b/>
          <w:lang w:val="es-ES"/>
        </w:rPr>
      </w:pPr>
      <w:bookmarkStart w:id="0" w:name="_Hlk143780582"/>
    </w:p>
    <w:p w14:paraId="1A80D0DD" w14:textId="77777777" w:rsidR="008D4DDA" w:rsidRPr="000428F8" w:rsidRDefault="008D4DDA" w:rsidP="008D4DDA">
      <w:pPr>
        <w:spacing w:after="0" w:line="240" w:lineRule="auto"/>
        <w:jc w:val="both"/>
        <w:rPr>
          <w:rFonts w:ascii="Verdana" w:hAnsi="Verdana"/>
          <w:b/>
          <w:lang w:val="es-ES"/>
        </w:rPr>
      </w:pPr>
      <w:r w:rsidRPr="000428F8">
        <w:rPr>
          <w:rFonts w:ascii="Verdana" w:hAnsi="Verdana"/>
          <w:b/>
          <w:lang w:val="es-ES"/>
        </w:rPr>
        <w:t xml:space="preserve">RÉGIMEN EXCEPCIONAL – Justificación – Criterios de clasificación </w:t>
      </w:r>
    </w:p>
    <w:p w14:paraId="5AD96C40" w14:textId="77777777" w:rsidR="008D4DDA" w:rsidRPr="000428F8" w:rsidRDefault="008D4DDA" w:rsidP="008D4DDA">
      <w:pPr>
        <w:spacing w:after="0" w:line="240" w:lineRule="auto"/>
        <w:jc w:val="both"/>
        <w:rPr>
          <w:rFonts w:ascii="Verdana" w:hAnsi="Verdana"/>
          <w:b/>
          <w:lang w:val="es-ES"/>
        </w:rPr>
      </w:pPr>
    </w:p>
    <w:p w14:paraId="621AB568" w14:textId="77777777" w:rsidR="008D4DDA" w:rsidRPr="00191AB2" w:rsidRDefault="008D4DDA" w:rsidP="008D4DDA">
      <w:pPr>
        <w:spacing w:after="0" w:line="240" w:lineRule="auto"/>
        <w:jc w:val="both"/>
        <w:rPr>
          <w:rFonts w:ascii="Verdana" w:hAnsi="Verdana"/>
          <w:sz w:val="20"/>
          <w:lang w:val="es-ES_tradnl"/>
        </w:rPr>
      </w:pPr>
      <w:r w:rsidRPr="00191AB2">
        <w:rPr>
          <w:rFonts w:ascii="Verdana" w:hAnsi="Verdana"/>
          <w:sz w:val="20"/>
        </w:rPr>
        <w:t>La existencia de entidades exceptuadas del EGCAP se ha justificado por alguna de las siguientes tres (3) circunstancias: i) facilitar la competencia económica –como ocurre actualmente respecto al régimen de los servicios públicos domiciliarios–, ir) flexibilizar el ejercicio de la función administrativa –como en los contratos del Banco de la República o los de ciencia y tecnología– o mi) establecer un régimen especial sin excluir por completo la aplicación de la Ley 80 de 1993 –como ocurre en la operaciones del crédito público–.  Para estos efectos, la doctrina ha identificado 171 entidades y contratos que manejan un régimen excepcional, los cuales se clasifican de acuerdo i) al sector económico, mi) la asignación de un esquema legal especial, ni) el objeto del contrato celebrado y iba) la existencia de fondos que administran recursos públicos</w:t>
      </w:r>
      <w:r w:rsidRPr="00191AB2">
        <w:rPr>
          <w:rFonts w:ascii="Verdana" w:hAnsi="Verdana"/>
          <w:sz w:val="20"/>
          <w:lang w:val="es-ES_tradnl"/>
        </w:rPr>
        <w:t>.</w:t>
      </w:r>
    </w:p>
    <w:p w14:paraId="35AE2EAC" w14:textId="77777777" w:rsidR="008D4DDA" w:rsidRDefault="008D4DDA" w:rsidP="008D4DDA">
      <w:pPr>
        <w:spacing w:after="0" w:line="240" w:lineRule="auto"/>
        <w:jc w:val="both"/>
        <w:rPr>
          <w:rFonts w:ascii="Verdana" w:hAnsi="Verdana"/>
        </w:rPr>
      </w:pPr>
    </w:p>
    <w:p w14:paraId="764158CB" w14:textId="77777777" w:rsidR="008D4DDA" w:rsidRPr="00191AB2" w:rsidRDefault="008D4DDA" w:rsidP="008D4DDA">
      <w:pPr>
        <w:spacing w:after="0" w:line="240" w:lineRule="auto"/>
        <w:jc w:val="both"/>
        <w:rPr>
          <w:rFonts w:ascii="Verdana" w:hAnsi="Verdana"/>
          <w:b/>
          <w:lang w:val="es-ES_tradnl"/>
        </w:rPr>
      </w:pPr>
      <w:r w:rsidRPr="00191AB2">
        <w:rPr>
          <w:rFonts w:ascii="Verdana" w:hAnsi="Verdana"/>
          <w:b/>
          <w:lang w:val="es-ES_tradnl"/>
        </w:rPr>
        <w:t xml:space="preserve">EMPRESAS SOCIALES DEL ESTADO– Naturaleza – régimen especial </w:t>
      </w:r>
    </w:p>
    <w:p w14:paraId="43F85B8E" w14:textId="77777777" w:rsidR="008D4DDA" w:rsidRPr="00191AB2" w:rsidRDefault="008D4DDA" w:rsidP="008D4DDA">
      <w:pPr>
        <w:spacing w:after="0" w:line="240" w:lineRule="auto"/>
        <w:jc w:val="both"/>
        <w:rPr>
          <w:rFonts w:ascii="Verdana" w:hAnsi="Verdana"/>
          <w:sz w:val="20"/>
          <w:lang w:val="es-ES_tradnl"/>
        </w:rPr>
      </w:pPr>
    </w:p>
    <w:p w14:paraId="29DD4183" w14:textId="77777777" w:rsidR="008D4DDA" w:rsidRPr="00191AB2" w:rsidRDefault="008D4DDA" w:rsidP="008D4DDA">
      <w:pPr>
        <w:spacing w:after="0" w:line="240" w:lineRule="auto"/>
        <w:jc w:val="both"/>
        <w:rPr>
          <w:rFonts w:ascii="Verdana" w:hAnsi="Verdana"/>
          <w:sz w:val="20"/>
          <w:lang w:val="es-ES"/>
        </w:rPr>
      </w:pPr>
      <w:r w:rsidRPr="00191AB2">
        <w:rPr>
          <w:rFonts w:ascii="Verdana" w:hAnsi="Verdana"/>
          <w:sz w:val="20"/>
          <w:lang w:val="es-ES"/>
        </w:rPr>
        <w:t xml:space="preserve">De la cita precedente puede concluirse entonces que, las Empresas Sociales del Estado </w:t>
      </w:r>
      <w:r w:rsidRPr="00191AB2">
        <w:rPr>
          <w:rFonts w:ascii="Verdana" w:hAnsi="Verdana"/>
          <w:sz w:val="20"/>
          <w:lang w:val="es-MX"/>
        </w:rPr>
        <w:t>–ESE–</w:t>
      </w:r>
      <w:r w:rsidRPr="00191AB2">
        <w:rPr>
          <w:rFonts w:ascii="Verdana" w:hAnsi="Verdana"/>
          <w:sz w:val="20"/>
          <w:lang w:val="es-ES"/>
        </w:rPr>
        <w:t xml:space="preserve"> son una categoría especial de Entidades Públicas que hacen parte de la estructura de la Rama Ejecutiva del poder público. En este mismo sentido, el artículo 38 de la Ley 489 de 1998, en el que se consagran los organismos y entidades que integran la rama ejecutiva del poder público, dispuso en el literal d) del numeral 2 que las Empresas Sociales del Estado hacen parte del sector descentralizado por servicios de esta rama del poder público. </w:t>
      </w:r>
    </w:p>
    <w:p w14:paraId="2826F9C9" w14:textId="77777777" w:rsidR="008D4DDA" w:rsidRPr="00191AB2" w:rsidRDefault="008D4DDA" w:rsidP="008D4DDA">
      <w:pPr>
        <w:spacing w:after="0" w:line="240" w:lineRule="auto"/>
        <w:jc w:val="both"/>
        <w:rPr>
          <w:rFonts w:ascii="Verdana" w:hAnsi="Verdana"/>
          <w:sz w:val="20"/>
          <w:lang w:val="es-ES"/>
        </w:rPr>
      </w:pPr>
    </w:p>
    <w:p w14:paraId="7A495A86" w14:textId="77777777" w:rsidR="008D4DDA" w:rsidRDefault="008D4DDA" w:rsidP="008D4DDA">
      <w:pPr>
        <w:spacing w:after="0" w:line="240" w:lineRule="auto"/>
        <w:jc w:val="both"/>
        <w:rPr>
          <w:rFonts w:ascii="Verdana" w:hAnsi="Verdana"/>
          <w:sz w:val="20"/>
        </w:rPr>
      </w:pPr>
      <w:r w:rsidRPr="00191AB2">
        <w:rPr>
          <w:rFonts w:ascii="Verdana" w:hAnsi="Verdana"/>
          <w:sz w:val="20"/>
        </w:rPr>
        <w:t xml:space="preserve">Por su parte, en lo que a materia contractual se refiere, de conformidad con el numeral 6 del artículo 195 de la Ley 100 de 1993, el régimen de contratación de las </w:t>
      </w:r>
      <w:r w:rsidRPr="00191AB2">
        <w:rPr>
          <w:rFonts w:ascii="Verdana" w:hAnsi="Verdana"/>
          <w:sz w:val="20"/>
          <w:lang w:val="es-MX"/>
        </w:rPr>
        <w:t>–ESE–</w:t>
      </w:r>
      <w:r w:rsidRPr="00191AB2">
        <w:rPr>
          <w:rFonts w:ascii="Verdana" w:hAnsi="Verdana"/>
          <w:sz w:val="20"/>
        </w:rPr>
        <w:t xml:space="preserve"> es el de derecho privado, es decir, se rige por las disposiciones contenidas en el Código de Comercio y en el Código Civil, aplicables en lo que resulten pertinentes, salvo en las materias particularmente reguladas por el derecho público. La norma referida prescribe que: “En materia contractual se regirá por el derecho privado, </w:t>
      </w:r>
      <w:r w:rsidRPr="00191AB2">
        <w:rPr>
          <w:rFonts w:ascii="Verdana" w:hAnsi="Verdana"/>
          <w:i/>
          <w:sz w:val="20"/>
        </w:rPr>
        <w:t>pero podrá discrecionalmente utilizar las cláusulas exorbitantes previstas en el estatuto general de contratación de la administración pública”</w:t>
      </w:r>
      <w:r w:rsidRPr="00191AB2">
        <w:rPr>
          <w:rFonts w:ascii="Verdana" w:hAnsi="Verdana"/>
          <w:sz w:val="20"/>
        </w:rPr>
        <w:t xml:space="preserve"> (énfasis fuera de texto). </w:t>
      </w:r>
    </w:p>
    <w:p w14:paraId="6B22C3F5" w14:textId="77777777" w:rsidR="008D4DDA" w:rsidRPr="00191AB2" w:rsidRDefault="008D4DDA" w:rsidP="008D4DDA">
      <w:pPr>
        <w:spacing w:after="0" w:line="240" w:lineRule="auto"/>
        <w:jc w:val="both"/>
        <w:rPr>
          <w:rFonts w:ascii="Verdana" w:hAnsi="Verdana"/>
          <w:sz w:val="20"/>
        </w:rPr>
      </w:pPr>
    </w:p>
    <w:p w14:paraId="2FC482D2" w14:textId="77777777" w:rsidR="008D4DDA" w:rsidRPr="00881D8A" w:rsidRDefault="008D4DDA" w:rsidP="008D4DDA">
      <w:pPr>
        <w:spacing w:after="0"/>
        <w:jc w:val="both"/>
        <w:rPr>
          <w:rFonts w:ascii="Verdana" w:eastAsia="Calibri" w:hAnsi="Verdana" w:cs="Calibri"/>
          <w:b/>
          <w:bCs/>
          <w:lang w:val="es-ES"/>
        </w:rPr>
      </w:pPr>
      <w:r w:rsidRPr="00881D8A">
        <w:rPr>
          <w:rFonts w:ascii="Verdana" w:eastAsia="Calibri" w:hAnsi="Verdana" w:cs="Calibri"/>
          <w:b/>
          <w:bCs/>
          <w:lang w:val="es-ES"/>
        </w:rPr>
        <w:t xml:space="preserve">CAPACIDAD RESIDUAL – Definición </w:t>
      </w:r>
    </w:p>
    <w:p w14:paraId="20DB6CA9" w14:textId="77777777" w:rsidR="008D4DDA" w:rsidRPr="00881D8A" w:rsidRDefault="008D4DDA" w:rsidP="008D4DDA">
      <w:pPr>
        <w:spacing w:after="0"/>
        <w:jc w:val="both"/>
        <w:rPr>
          <w:rFonts w:ascii="Verdana" w:eastAsia="Calibri" w:hAnsi="Verdana" w:cs="Calibri"/>
          <w:b/>
          <w:bCs/>
          <w:lang w:val="es-ES"/>
        </w:rPr>
      </w:pPr>
    </w:p>
    <w:p w14:paraId="1CE455FB" w14:textId="77777777" w:rsidR="008D4DDA" w:rsidRPr="00881D8A" w:rsidRDefault="008D4DDA" w:rsidP="008D4DDA">
      <w:pPr>
        <w:spacing w:after="0" w:line="240" w:lineRule="auto"/>
        <w:jc w:val="both"/>
        <w:rPr>
          <w:rFonts w:ascii="Verdana" w:eastAsia="Calibri" w:hAnsi="Verdana" w:cs="Calibri"/>
          <w:sz w:val="20"/>
          <w:szCs w:val="20"/>
        </w:rPr>
      </w:pPr>
      <w:r w:rsidRPr="00881D8A">
        <w:rPr>
          <w:rFonts w:ascii="Verdana" w:eastAsia="Calibri" w:hAnsi="Verdana" w:cs="Calibri"/>
          <w:sz w:val="20"/>
          <w:szCs w:val="20"/>
        </w:rPr>
        <w:t xml:space="preserve">La Capacidad Residual o K de Contratación es la aptitud de un oferente para cumplir oportuna y cabalmente con el objeto de un contrato de obra, sin que sus otros compromisos contractuales afecten su habilidad de responder con el contrato objeto del Proceso de Contratación. </w:t>
      </w:r>
    </w:p>
    <w:p w14:paraId="7EC335B4" w14:textId="77777777" w:rsidR="008D4DDA" w:rsidRPr="00881D8A" w:rsidRDefault="008D4DDA" w:rsidP="008D4DDA">
      <w:pPr>
        <w:spacing w:after="0" w:line="240" w:lineRule="auto"/>
        <w:jc w:val="both"/>
        <w:rPr>
          <w:rFonts w:ascii="Verdana" w:eastAsia="Calibri" w:hAnsi="Verdana" w:cs="Calibri"/>
          <w:sz w:val="20"/>
          <w:szCs w:val="20"/>
        </w:rPr>
      </w:pPr>
    </w:p>
    <w:p w14:paraId="21F02B16" w14:textId="77777777" w:rsidR="008D4DDA" w:rsidRPr="00881D8A" w:rsidRDefault="008D4DDA" w:rsidP="008D4DDA">
      <w:pPr>
        <w:spacing w:after="0" w:line="240" w:lineRule="auto"/>
        <w:jc w:val="both"/>
        <w:rPr>
          <w:rFonts w:ascii="Verdana" w:eastAsia="Calibri" w:hAnsi="Verdana" w:cs="Calibri"/>
          <w:sz w:val="20"/>
          <w:szCs w:val="20"/>
        </w:rPr>
      </w:pPr>
      <w:r w:rsidRPr="00881D8A">
        <w:rPr>
          <w:rFonts w:ascii="Verdana" w:eastAsia="Calibri" w:hAnsi="Verdana" w:cs="Calibri"/>
          <w:sz w:val="20"/>
          <w:szCs w:val="20"/>
        </w:rPr>
        <w:t>El artículo 2.2.1.1.1.3.1 del Decreto 1082 de 2015 define la capacidad residual como: “Aptitud de un oferente para cumplir oportuna y cabalmente con el objeto de un contrato de obra, sin que sus otros compromisos contractuales afecten su habilidad de cumplir con el contrato que está en proceso de selección”.</w:t>
      </w:r>
    </w:p>
    <w:p w14:paraId="15B1A5AA" w14:textId="77777777" w:rsidR="008D4DDA" w:rsidRDefault="008D4DDA" w:rsidP="008D4DDA">
      <w:pPr>
        <w:spacing w:after="0" w:line="240" w:lineRule="auto"/>
        <w:jc w:val="both"/>
        <w:rPr>
          <w:rFonts w:ascii="Verdana" w:hAnsi="Verdana"/>
        </w:rPr>
      </w:pPr>
    </w:p>
    <w:p w14:paraId="5B2D26D9" w14:textId="77777777" w:rsidR="008D4DDA" w:rsidRDefault="008D4DDA" w:rsidP="008D4DDA">
      <w:pPr>
        <w:spacing w:after="0" w:line="240" w:lineRule="auto"/>
        <w:jc w:val="both"/>
        <w:rPr>
          <w:rFonts w:ascii="Verdana" w:eastAsia="Calibri" w:hAnsi="Verdana" w:cs="Calibri"/>
          <w:b/>
          <w:bCs/>
          <w:lang w:val="es-ES"/>
        </w:rPr>
      </w:pPr>
      <w:r w:rsidRPr="00881D8A">
        <w:rPr>
          <w:rFonts w:ascii="Verdana" w:eastAsia="Calibri" w:hAnsi="Verdana" w:cs="Calibri"/>
          <w:b/>
          <w:bCs/>
          <w:lang w:val="es-ES"/>
        </w:rPr>
        <w:lastRenderedPageBreak/>
        <w:t>CAPACIDAD RESIDUAL</w:t>
      </w:r>
      <w:r>
        <w:rPr>
          <w:rFonts w:ascii="Verdana" w:eastAsia="Calibri" w:hAnsi="Verdana" w:cs="Calibri"/>
          <w:b/>
          <w:bCs/>
          <w:lang w:val="es-ES"/>
        </w:rPr>
        <w:t xml:space="preserve"> </w:t>
      </w:r>
      <w:r w:rsidRPr="00881D8A">
        <w:rPr>
          <w:rFonts w:ascii="Verdana" w:eastAsia="Calibri" w:hAnsi="Verdana" w:cs="Calibri"/>
          <w:b/>
          <w:bCs/>
          <w:lang w:val="es-ES"/>
        </w:rPr>
        <w:t>–</w:t>
      </w:r>
      <w:r>
        <w:rPr>
          <w:rFonts w:ascii="Verdana" w:eastAsia="Calibri" w:hAnsi="Verdana" w:cs="Calibri"/>
          <w:b/>
          <w:bCs/>
          <w:lang w:val="es-ES"/>
        </w:rPr>
        <w:t xml:space="preserve"> Contratos de obra </w:t>
      </w:r>
      <w:r w:rsidRPr="00881D8A">
        <w:rPr>
          <w:rFonts w:ascii="Verdana" w:eastAsia="Calibri" w:hAnsi="Verdana" w:cs="Calibri"/>
          <w:b/>
          <w:bCs/>
          <w:lang w:val="es-ES"/>
        </w:rPr>
        <w:t>–</w:t>
      </w:r>
      <w:r>
        <w:rPr>
          <w:rFonts w:ascii="Verdana" w:eastAsia="Calibri" w:hAnsi="Verdana" w:cs="Calibri"/>
          <w:b/>
          <w:bCs/>
          <w:lang w:val="es-ES"/>
        </w:rPr>
        <w:t xml:space="preserve"> Modalidades de selección</w:t>
      </w:r>
    </w:p>
    <w:p w14:paraId="6E384698" w14:textId="77777777" w:rsidR="008D4DDA" w:rsidRDefault="008D4DDA" w:rsidP="008D4DDA">
      <w:pPr>
        <w:spacing w:after="0" w:line="240" w:lineRule="auto"/>
        <w:jc w:val="both"/>
        <w:rPr>
          <w:rFonts w:ascii="Verdana" w:eastAsia="Calibri" w:hAnsi="Verdana" w:cs="Calibri"/>
          <w:b/>
          <w:bCs/>
          <w:lang w:val="es-ES"/>
        </w:rPr>
      </w:pPr>
    </w:p>
    <w:p w14:paraId="7FF92768" w14:textId="77777777" w:rsidR="008D4DDA" w:rsidRPr="00656723" w:rsidRDefault="008D4DDA" w:rsidP="008D4DDA">
      <w:pPr>
        <w:spacing w:after="0" w:line="240" w:lineRule="auto"/>
        <w:jc w:val="both"/>
        <w:rPr>
          <w:rFonts w:ascii="Verdana" w:eastAsia="Times New Roman" w:hAnsi="Verdana" w:cs="Arial"/>
          <w:color w:val="000000"/>
          <w:sz w:val="20"/>
          <w:szCs w:val="20"/>
          <w:lang w:val="es-MX" w:eastAsia="es-ES_tradnl"/>
        </w:rPr>
      </w:pPr>
      <w:r w:rsidRPr="00656723">
        <w:rPr>
          <w:rFonts w:ascii="Verdana" w:eastAsia="Times New Roman" w:hAnsi="Verdana" w:cs="Arial"/>
          <w:color w:val="000000"/>
          <w:sz w:val="20"/>
          <w:szCs w:val="20"/>
          <w:lang w:val="es-MX" w:eastAsia="es-ES_tradnl"/>
        </w:rPr>
        <w:t xml:space="preserve">De esta forma, la exigencia de la capacidad residual depende de la tipología contractual, es decir, si se trata de un contrato de obra, y no se restringue a una modalidad de selección específica para su aplicación. Al respecto, esta Agencia señaló que “(…)  </w:t>
      </w:r>
      <w:r w:rsidRPr="00656723">
        <w:rPr>
          <w:rFonts w:ascii="Verdana" w:hAnsi="Verdana" w:cs="Arial"/>
          <w:sz w:val="20"/>
          <w:szCs w:val="20"/>
        </w:rPr>
        <w:t>todas las entidades estatales que adelanten procesos de contratación de obra pública, sin importar la modalidad de selección del contratista, están obligadas a verificar la capacidad residual de los proponentes, como requisito habilitante para participar en el procedimiento de selección”.</w:t>
      </w:r>
    </w:p>
    <w:p w14:paraId="1469BA18" w14:textId="77777777" w:rsidR="008D4DDA" w:rsidRDefault="008D4DDA" w:rsidP="008D4DDA">
      <w:pPr>
        <w:spacing w:after="0" w:line="276" w:lineRule="auto"/>
        <w:jc w:val="both"/>
        <w:rPr>
          <w:rFonts w:ascii="Verdana" w:hAnsi="Verdana" w:cs="Arial"/>
          <w:bCs/>
          <w:color w:val="000000" w:themeColor="text1"/>
          <w:lang w:val="es-ES_tradnl"/>
        </w:rPr>
      </w:pPr>
    </w:p>
    <w:p w14:paraId="3714E131" w14:textId="77777777" w:rsidR="008D4DDA" w:rsidRDefault="008D4DDA" w:rsidP="008D4DDA">
      <w:pPr>
        <w:spacing w:after="0" w:line="276" w:lineRule="auto"/>
        <w:jc w:val="both"/>
        <w:rPr>
          <w:rFonts w:ascii="Verdana" w:eastAsia="Calibri" w:hAnsi="Verdana" w:cs="Calibri"/>
          <w:b/>
          <w:lang w:val="es-ES"/>
        </w:rPr>
      </w:pPr>
      <w:r w:rsidRPr="00656723">
        <w:rPr>
          <w:rFonts w:ascii="Verdana" w:hAnsi="Verdana" w:cs="Arial"/>
          <w:b/>
          <w:color w:val="000000" w:themeColor="text1"/>
          <w:lang w:val="es-ES_tradnl"/>
        </w:rPr>
        <w:t xml:space="preserve">EMPRESAS SOCIALES DEL ESTADO </w:t>
      </w:r>
      <w:r w:rsidRPr="00656723">
        <w:rPr>
          <w:rFonts w:ascii="Verdana" w:eastAsia="Calibri" w:hAnsi="Verdana" w:cs="Calibri"/>
          <w:b/>
          <w:lang w:val="es-ES"/>
        </w:rPr>
        <w:t>–</w:t>
      </w:r>
      <w:r w:rsidRPr="00656723">
        <w:rPr>
          <w:rFonts w:ascii="Verdana" w:hAnsi="Verdana" w:cs="Arial"/>
          <w:b/>
          <w:color w:val="000000" w:themeColor="text1"/>
          <w:lang w:val="es-ES_tradnl"/>
        </w:rPr>
        <w:t xml:space="preserve"> </w:t>
      </w:r>
      <w:r w:rsidRPr="00656723">
        <w:rPr>
          <w:rFonts w:ascii="Verdana" w:eastAsia="Calibri" w:hAnsi="Verdana" w:cs="Calibri"/>
          <w:b/>
          <w:lang w:val="es-ES"/>
        </w:rPr>
        <w:t>Capacidad residual – Aplicación</w:t>
      </w:r>
    </w:p>
    <w:p w14:paraId="370FF0AA" w14:textId="77777777" w:rsidR="008D4DDA" w:rsidRDefault="008D4DDA" w:rsidP="008D4DDA">
      <w:pPr>
        <w:spacing w:after="0" w:line="276" w:lineRule="auto"/>
        <w:jc w:val="both"/>
        <w:rPr>
          <w:rFonts w:ascii="Verdana" w:hAnsi="Verdana" w:cs="Arial"/>
          <w:bCs/>
          <w:color w:val="000000" w:themeColor="text1"/>
          <w:lang w:val="es-ES"/>
        </w:rPr>
      </w:pPr>
    </w:p>
    <w:p w14:paraId="799077C1" w14:textId="77777777" w:rsidR="008D4DDA" w:rsidRPr="000467F1" w:rsidRDefault="008D4DDA" w:rsidP="008D4DDA">
      <w:pPr>
        <w:spacing w:after="0" w:line="240" w:lineRule="auto"/>
        <w:jc w:val="both"/>
        <w:rPr>
          <w:rFonts w:ascii="Verdana" w:hAnsi="Verdana" w:cs="Arial"/>
          <w:bCs/>
          <w:color w:val="000000" w:themeColor="text1"/>
          <w:sz w:val="20"/>
          <w:szCs w:val="20"/>
          <w:lang w:val="es-ES"/>
        </w:rPr>
      </w:pPr>
      <w:r w:rsidRPr="000467F1">
        <w:rPr>
          <w:rFonts w:ascii="Verdana" w:hAnsi="Verdana" w:cs="Arial"/>
          <w:bCs/>
          <w:color w:val="000000" w:themeColor="text1"/>
          <w:sz w:val="20"/>
          <w:szCs w:val="20"/>
          <w:lang w:val="es-ES"/>
        </w:rPr>
        <w:t xml:space="preserve">En efecto, la exigencia de la capacidad residual se encuentra prevista de manera expresa en el artículo 6 de la Ley 1150 de 2007 y desarrollada reglamentariamente en el artículo 2.2.1.1.1.6.4 del Decreto 1082 de 2015, disposiciones que integran el Estatuto General de Contratación de la Administración Pública y que regulan la gestión contractual de las entidades estatales sometidas a dicho régimen. En este sentido, dado que las ESE no se rigen de manera integral por estas normas -salvo lo relativo al régimen de inhabilidades e incompatibilidades y los deberes de publicidad, entre otros- la exigencia de la capacidad residual no les resulta jurídicamente obligatoria en los contratos de obra pública que celebren. </w:t>
      </w:r>
    </w:p>
    <w:p w14:paraId="364F2AB0" w14:textId="77777777" w:rsidR="008D4DDA" w:rsidRDefault="008D4DDA" w:rsidP="008D4DDA">
      <w:pPr>
        <w:spacing w:after="0" w:line="276" w:lineRule="auto"/>
        <w:jc w:val="both"/>
        <w:rPr>
          <w:rFonts w:ascii="Verdana" w:hAnsi="Verdana" w:cs="Arial"/>
          <w:bCs/>
          <w:color w:val="000000" w:themeColor="text1"/>
          <w:lang w:val="es-ES"/>
        </w:rPr>
      </w:pPr>
    </w:p>
    <w:p w14:paraId="16257A48" w14:textId="77777777" w:rsidR="008D4DDA" w:rsidRDefault="008D4DDA" w:rsidP="008D4DDA">
      <w:pPr>
        <w:spacing w:after="0" w:line="240" w:lineRule="auto"/>
        <w:jc w:val="both"/>
        <w:rPr>
          <w:rFonts w:ascii="Verdana" w:eastAsia="Calibri" w:hAnsi="Verdana" w:cs="Calibri"/>
          <w:b/>
          <w:lang w:val="es-ES"/>
        </w:rPr>
      </w:pPr>
      <w:r w:rsidRPr="00656723">
        <w:rPr>
          <w:rFonts w:ascii="Verdana" w:hAnsi="Verdana" w:cs="Arial"/>
          <w:b/>
          <w:color w:val="000000" w:themeColor="text1"/>
          <w:lang w:val="es-ES_tradnl"/>
        </w:rPr>
        <w:t xml:space="preserve">EMPRESAS SOCIALES DEL ESTADO </w:t>
      </w:r>
      <w:r w:rsidRPr="00656723">
        <w:rPr>
          <w:rFonts w:ascii="Verdana" w:eastAsia="Calibri" w:hAnsi="Verdana" w:cs="Calibri"/>
          <w:b/>
          <w:lang w:val="es-ES"/>
        </w:rPr>
        <w:t>–</w:t>
      </w:r>
      <w:r w:rsidRPr="00656723">
        <w:rPr>
          <w:rFonts w:ascii="Verdana" w:hAnsi="Verdana" w:cs="Arial"/>
          <w:b/>
          <w:color w:val="000000" w:themeColor="text1"/>
          <w:lang w:val="es-ES_tradnl"/>
        </w:rPr>
        <w:t xml:space="preserve"> </w:t>
      </w:r>
      <w:r w:rsidRPr="00656723">
        <w:rPr>
          <w:rFonts w:ascii="Verdana" w:eastAsia="Calibri" w:hAnsi="Verdana" w:cs="Calibri"/>
          <w:b/>
          <w:lang w:val="es-ES"/>
        </w:rPr>
        <w:t>Capacidad residual</w:t>
      </w:r>
      <w:r>
        <w:rPr>
          <w:rFonts w:ascii="Verdana" w:eastAsia="Calibri" w:hAnsi="Verdana" w:cs="Calibri"/>
          <w:b/>
          <w:lang w:val="es-ES"/>
        </w:rPr>
        <w:t xml:space="preserve"> </w:t>
      </w:r>
      <w:r w:rsidRPr="00656723">
        <w:rPr>
          <w:rFonts w:ascii="Verdana" w:eastAsia="Calibri" w:hAnsi="Verdana" w:cs="Calibri"/>
          <w:b/>
          <w:lang w:val="es-ES"/>
        </w:rPr>
        <w:t>–</w:t>
      </w:r>
      <w:r>
        <w:rPr>
          <w:rFonts w:ascii="Verdana" w:eastAsia="Calibri" w:hAnsi="Verdana" w:cs="Calibri"/>
          <w:b/>
          <w:lang w:val="es-ES"/>
        </w:rPr>
        <w:t xml:space="preserve"> Autonomía </w:t>
      </w:r>
      <w:r w:rsidRPr="00656723">
        <w:rPr>
          <w:rFonts w:ascii="Verdana" w:eastAsia="Calibri" w:hAnsi="Verdana" w:cs="Calibri"/>
          <w:b/>
          <w:lang w:val="es-ES"/>
        </w:rPr>
        <w:t>–</w:t>
      </w:r>
      <w:r>
        <w:rPr>
          <w:rFonts w:ascii="Verdana" w:eastAsia="Calibri" w:hAnsi="Verdana" w:cs="Calibri"/>
          <w:b/>
          <w:lang w:val="es-ES"/>
        </w:rPr>
        <w:t xml:space="preserve">Manuales de contratación </w:t>
      </w:r>
    </w:p>
    <w:p w14:paraId="36D0D58D" w14:textId="77777777" w:rsidR="008D4DDA" w:rsidRPr="00656723" w:rsidRDefault="008D4DDA" w:rsidP="008D4DDA">
      <w:pPr>
        <w:spacing w:after="0" w:line="276" w:lineRule="auto"/>
        <w:jc w:val="both"/>
        <w:rPr>
          <w:rFonts w:ascii="Verdana" w:eastAsia="Calibri" w:hAnsi="Verdana" w:cs="Calibri"/>
          <w:b/>
          <w:lang w:val="es-ES"/>
        </w:rPr>
      </w:pPr>
    </w:p>
    <w:p w14:paraId="049D6150" w14:textId="77777777" w:rsidR="008D4DDA" w:rsidRPr="000467F1" w:rsidRDefault="008D4DDA" w:rsidP="008D4DDA">
      <w:pPr>
        <w:spacing w:after="120" w:line="240" w:lineRule="auto"/>
        <w:jc w:val="both"/>
        <w:rPr>
          <w:rFonts w:ascii="Verdana" w:hAnsi="Verdana" w:cs="Arial"/>
          <w:bCs/>
          <w:color w:val="000000" w:themeColor="text1"/>
          <w:sz w:val="20"/>
          <w:szCs w:val="20"/>
          <w:lang w:val="es-ES"/>
        </w:rPr>
      </w:pPr>
      <w:r w:rsidRPr="000467F1">
        <w:rPr>
          <w:rFonts w:ascii="Verdana" w:hAnsi="Verdana" w:cs="Arial"/>
          <w:bCs/>
          <w:color w:val="000000" w:themeColor="text1"/>
          <w:sz w:val="20"/>
          <w:szCs w:val="20"/>
          <w:lang w:val="es-ES"/>
        </w:rPr>
        <w:t xml:space="preserve">No obstante, entendiendo que la actividad contractual de las ESE se desarrolla bajo el derecho privado y lo establecido en sus manuales de contratación, y considerando que la capacidad residual constituye un criterio orientado a verificar la aptitud del oferente para ejecutar de manera íntegra el contrato de obra sin que otros compromisos contractuales afecten su cumplimiento, resulta jurídicamente viable que estas entidades, en ejercicio de su autonomía contractual, incorporen dicha exigencia en su manual de contratación, libertad que se deriva del principio de la autonomía de la voluntad que se les reconocer a estas entidades. </w:t>
      </w:r>
    </w:p>
    <w:p w14:paraId="24AADA6F" w14:textId="77777777" w:rsidR="008D4DDA" w:rsidRPr="000370B1" w:rsidRDefault="008D4DDA" w:rsidP="008D4DDA">
      <w:pPr>
        <w:spacing w:after="0" w:line="276" w:lineRule="auto"/>
        <w:jc w:val="both"/>
        <w:rPr>
          <w:rFonts w:ascii="Verdana" w:hAnsi="Verdana" w:cs="Arial"/>
          <w:bCs/>
          <w:color w:val="000000" w:themeColor="text1"/>
        </w:rPr>
      </w:pPr>
    </w:p>
    <w:p w14:paraId="498A99C8" w14:textId="77777777" w:rsidR="008D4DDA" w:rsidRPr="00656723" w:rsidRDefault="008D4DDA" w:rsidP="008D4DDA">
      <w:pPr>
        <w:spacing w:after="0" w:line="240" w:lineRule="auto"/>
        <w:jc w:val="both"/>
        <w:rPr>
          <w:rFonts w:ascii="Verdana" w:eastAsia="Calibri" w:hAnsi="Verdana" w:cs="Calibri"/>
          <w:b/>
          <w:bCs/>
        </w:rPr>
      </w:pPr>
    </w:p>
    <w:p w14:paraId="653A761B" w14:textId="77777777" w:rsidR="008D4DDA" w:rsidRDefault="008D4DDA" w:rsidP="008D4DDA">
      <w:pPr>
        <w:spacing w:after="0" w:line="240" w:lineRule="auto"/>
        <w:jc w:val="both"/>
        <w:rPr>
          <w:rFonts w:ascii="Verdana" w:hAnsi="Verdana"/>
        </w:rPr>
      </w:pPr>
    </w:p>
    <w:p w14:paraId="0ED1CB98" w14:textId="77777777" w:rsidR="008D4DDA" w:rsidRDefault="008D4DDA" w:rsidP="008D4DDA">
      <w:pPr>
        <w:spacing w:after="0" w:line="240" w:lineRule="auto"/>
        <w:jc w:val="both"/>
        <w:rPr>
          <w:rFonts w:ascii="Verdana" w:hAnsi="Verdana"/>
        </w:rPr>
      </w:pPr>
    </w:p>
    <w:p w14:paraId="217C3B45" w14:textId="77777777" w:rsidR="008D4DDA" w:rsidRDefault="008D4DDA" w:rsidP="008D4DDA">
      <w:pPr>
        <w:spacing w:after="0" w:line="240" w:lineRule="auto"/>
        <w:jc w:val="both"/>
        <w:rPr>
          <w:rFonts w:ascii="Verdana" w:hAnsi="Verdana"/>
        </w:rPr>
      </w:pPr>
    </w:p>
    <w:p w14:paraId="35FA909F" w14:textId="77777777" w:rsidR="008D4DDA" w:rsidRDefault="008D4DDA" w:rsidP="008D4DDA">
      <w:pPr>
        <w:spacing w:after="0" w:line="240" w:lineRule="auto"/>
        <w:jc w:val="both"/>
        <w:rPr>
          <w:rFonts w:ascii="Verdana" w:hAnsi="Verdana"/>
        </w:rPr>
      </w:pPr>
    </w:p>
    <w:p w14:paraId="688AF355" w14:textId="77777777" w:rsidR="008D4DDA" w:rsidRDefault="008D4DDA" w:rsidP="008D4DDA">
      <w:pPr>
        <w:spacing w:after="0" w:line="240" w:lineRule="auto"/>
        <w:jc w:val="both"/>
        <w:rPr>
          <w:rFonts w:ascii="Verdana" w:hAnsi="Verdana"/>
        </w:rPr>
      </w:pPr>
    </w:p>
    <w:p w14:paraId="35A60056" w14:textId="77777777" w:rsidR="008D4DDA" w:rsidRDefault="008D4DDA" w:rsidP="008D4DDA">
      <w:pPr>
        <w:spacing w:after="0" w:line="240" w:lineRule="auto"/>
        <w:jc w:val="both"/>
        <w:rPr>
          <w:rFonts w:ascii="Verdana" w:hAnsi="Verdana"/>
        </w:rPr>
      </w:pPr>
    </w:p>
    <w:p w14:paraId="3C67B1C5" w14:textId="77777777" w:rsidR="008D4DDA" w:rsidRDefault="008D4DDA" w:rsidP="008D4DDA">
      <w:pPr>
        <w:spacing w:after="0" w:line="240" w:lineRule="auto"/>
        <w:jc w:val="both"/>
        <w:rPr>
          <w:rFonts w:ascii="Verdana" w:hAnsi="Verdana"/>
        </w:rPr>
      </w:pPr>
    </w:p>
    <w:p w14:paraId="3A4137F9" w14:textId="4E55F5C8" w:rsidR="008D4DDA" w:rsidRDefault="008D4DDA" w:rsidP="008D4DDA">
      <w:pPr>
        <w:spacing w:after="0" w:line="240" w:lineRule="auto"/>
        <w:rPr>
          <w:rFonts w:ascii="Verdana" w:hAnsi="Verdana"/>
        </w:rPr>
      </w:pPr>
      <w:r w:rsidRPr="00121DB5">
        <w:rPr>
          <w:rFonts w:ascii="Verdana" w:hAnsi="Verdana"/>
        </w:rPr>
        <w:lastRenderedPageBreak/>
        <w:t xml:space="preserve">Bogotá D.C., </w:t>
      </w:r>
      <w:r w:rsidR="00585553">
        <w:rPr>
          <w:rFonts w:ascii="Verdana" w:hAnsi="Verdana"/>
        </w:rPr>
        <w:t>04 de marzo de 2026</w:t>
      </w:r>
    </w:p>
    <w:p w14:paraId="193549EC" w14:textId="77777777" w:rsidR="00585553" w:rsidRDefault="00585553" w:rsidP="008D4DDA">
      <w:pPr>
        <w:spacing w:after="0" w:line="240" w:lineRule="auto"/>
        <w:rPr>
          <w:rFonts w:ascii="Verdana" w:hAnsi="Verdana"/>
        </w:rPr>
      </w:pPr>
    </w:p>
    <w:p w14:paraId="36A708F9" w14:textId="34362104" w:rsidR="00585553" w:rsidRDefault="00585553" w:rsidP="00585553">
      <w:pPr>
        <w:spacing w:after="0" w:line="240" w:lineRule="auto"/>
        <w:jc w:val="right"/>
        <w:rPr>
          <w:rFonts w:ascii="Verdana" w:hAnsi="Verdana"/>
        </w:rPr>
      </w:pPr>
      <w:r w:rsidRPr="00585553">
        <w:rPr>
          <w:rFonts w:ascii="Verdana" w:hAnsi="Verdana"/>
        </w:rPr>
        <w:drawing>
          <wp:inline distT="0" distB="0" distL="0" distR="0" wp14:anchorId="1B9D5ADD" wp14:editId="5B9347E6">
            <wp:extent cx="2056618" cy="618424"/>
            <wp:effectExtent l="0" t="0" r="1270" b="4445"/>
            <wp:docPr id="108749510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495108" name=""/>
                    <pic:cNvPicPr/>
                  </pic:nvPicPr>
                  <pic:blipFill>
                    <a:blip r:embed="rId10"/>
                    <a:stretch>
                      <a:fillRect/>
                    </a:stretch>
                  </pic:blipFill>
                  <pic:spPr>
                    <a:xfrm>
                      <a:off x="0" y="0"/>
                      <a:ext cx="2140969" cy="643788"/>
                    </a:xfrm>
                    <a:prstGeom prst="rect">
                      <a:avLst/>
                    </a:prstGeom>
                  </pic:spPr>
                </pic:pic>
              </a:graphicData>
            </a:graphic>
          </wp:inline>
        </w:drawing>
      </w:r>
    </w:p>
    <w:p w14:paraId="730D2BBD" w14:textId="77777777" w:rsidR="008D4DDA" w:rsidRDefault="008D4DDA" w:rsidP="008D4DDA">
      <w:pPr>
        <w:spacing w:after="0" w:line="240" w:lineRule="auto"/>
        <w:jc w:val="both"/>
        <w:rPr>
          <w:rFonts w:ascii="Verdana" w:hAnsi="Verdana"/>
        </w:rPr>
      </w:pPr>
    </w:p>
    <w:p w14:paraId="5B53DB28" w14:textId="77777777" w:rsidR="008D4DDA" w:rsidRPr="00157783" w:rsidRDefault="008D4DDA" w:rsidP="008D4DDA">
      <w:pPr>
        <w:spacing w:after="0" w:line="240" w:lineRule="auto"/>
        <w:jc w:val="both"/>
        <w:rPr>
          <w:rFonts w:ascii="Verdana" w:hAnsi="Verdana"/>
        </w:rPr>
      </w:pPr>
    </w:p>
    <w:p w14:paraId="3B0B8425" w14:textId="77777777" w:rsidR="008D4DDA" w:rsidRPr="00E2345F" w:rsidRDefault="008D4DDA" w:rsidP="008D4DDA">
      <w:pPr>
        <w:widowControl w:val="0"/>
        <w:autoSpaceDE w:val="0"/>
        <w:autoSpaceDN w:val="0"/>
        <w:spacing w:after="0" w:line="240" w:lineRule="auto"/>
        <w:rPr>
          <w:rFonts w:ascii="Verdana" w:eastAsia="Verdana" w:hAnsi="Verdana" w:cs="Verdana"/>
          <w:lang w:val="es-ES"/>
        </w:rPr>
      </w:pPr>
      <w:r w:rsidRPr="00E2345F">
        <w:rPr>
          <w:rFonts w:ascii="Verdana" w:eastAsia="Verdana" w:hAnsi="Verdana" w:cs="Verdana"/>
          <w:spacing w:val="-2"/>
          <w:lang w:val="es-ES"/>
        </w:rPr>
        <w:t>Señor</w:t>
      </w:r>
    </w:p>
    <w:p w14:paraId="43D94786" w14:textId="77777777" w:rsidR="008D4DDA" w:rsidRPr="00E2345F" w:rsidRDefault="008D4DDA" w:rsidP="008D4DDA">
      <w:pPr>
        <w:widowControl w:val="0"/>
        <w:autoSpaceDE w:val="0"/>
        <w:autoSpaceDN w:val="0"/>
        <w:spacing w:after="0" w:line="240" w:lineRule="auto"/>
        <w:outlineLvl w:val="0"/>
        <w:rPr>
          <w:rFonts w:ascii="Verdana" w:eastAsia="Verdana" w:hAnsi="Verdana" w:cs="Verdana"/>
          <w:b/>
          <w:bCs/>
        </w:rPr>
      </w:pPr>
      <w:r>
        <w:rPr>
          <w:rFonts w:ascii="Verdana" w:eastAsia="Verdana" w:hAnsi="Verdana" w:cs="Verdana"/>
          <w:b/>
          <w:bCs/>
        </w:rPr>
        <w:t>Carlos Andrés Pérez Chacón</w:t>
      </w:r>
    </w:p>
    <w:p w14:paraId="0199AF7C" w14:textId="77777777" w:rsidR="008D4DDA" w:rsidRPr="0041694B" w:rsidRDefault="008D4DDA" w:rsidP="008D4DDA">
      <w:pPr>
        <w:spacing w:after="0" w:line="240" w:lineRule="auto"/>
        <w:jc w:val="both"/>
        <w:rPr>
          <w:rFonts w:ascii="Verdana" w:hAnsi="Verdana" w:cs="Arial"/>
          <w:b/>
          <w:bCs/>
          <w:lang w:val="es-ES_tradnl" w:eastAsia="es-ES" w:bidi="es-ES"/>
        </w:rPr>
      </w:pPr>
      <w:r>
        <w:rPr>
          <w:rFonts w:ascii="Verdana" w:eastAsia="Verdana" w:hAnsi="Verdana" w:cs="Verdana"/>
          <w:lang w:val="es-ES"/>
        </w:rPr>
        <w:t>Mocoa, Putumayo</w:t>
      </w:r>
    </w:p>
    <w:p w14:paraId="7FEDC650" w14:textId="77777777" w:rsidR="008D4DDA" w:rsidRPr="0041694B" w:rsidRDefault="008D4DDA" w:rsidP="008D4DDA">
      <w:pPr>
        <w:spacing w:after="0" w:line="240" w:lineRule="auto"/>
        <w:jc w:val="both"/>
        <w:rPr>
          <w:rFonts w:ascii="Verdana" w:hAnsi="Verdana" w:cs="Arial"/>
          <w:b/>
          <w:bCs/>
          <w:lang w:val="es-ES_tradnl" w:eastAsia="es-ES" w:bidi="es-ES"/>
        </w:rPr>
      </w:pPr>
    </w:p>
    <w:tbl>
      <w:tblPr>
        <w:tblStyle w:val="Tablaconcuadrcula"/>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8D4DDA" w:rsidRPr="0041694B" w14:paraId="3D20580C" w14:textId="77777777" w:rsidTr="00296400">
        <w:trPr>
          <w:trHeight w:val="884"/>
        </w:trPr>
        <w:tc>
          <w:tcPr>
            <w:tcW w:w="2689" w:type="dxa"/>
          </w:tcPr>
          <w:p w14:paraId="5FDDF9F3" w14:textId="77777777" w:rsidR="008D4DDA" w:rsidRPr="0041694B" w:rsidRDefault="008D4DDA" w:rsidP="00296400">
            <w:pPr>
              <w:jc w:val="both"/>
              <w:rPr>
                <w:rFonts w:ascii="Verdana" w:hAnsi="Verdana" w:cs="Arial"/>
                <w:b/>
                <w:bCs/>
                <w:lang w:val="es-ES_tradnl" w:eastAsia="es-ES" w:bidi="es-ES"/>
              </w:rPr>
            </w:pPr>
          </w:p>
        </w:tc>
        <w:tc>
          <w:tcPr>
            <w:tcW w:w="6242" w:type="dxa"/>
          </w:tcPr>
          <w:p w14:paraId="61CAD37D" w14:textId="77777777" w:rsidR="008D4DDA" w:rsidRPr="0041694B" w:rsidRDefault="008D4DDA" w:rsidP="00296400">
            <w:pPr>
              <w:jc w:val="both"/>
              <w:rPr>
                <w:rFonts w:ascii="Verdana" w:hAnsi="Verdana" w:cs="Arial"/>
                <w:b/>
                <w:bCs/>
                <w:lang w:val="es-MX" w:eastAsia="es-ES" w:bidi="es-ES"/>
              </w:rPr>
            </w:pPr>
            <w:r w:rsidRPr="0041694B">
              <w:rPr>
                <w:rFonts w:ascii="Verdana" w:hAnsi="Verdana" w:cs="Arial"/>
                <w:b/>
                <w:bCs/>
                <w:lang w:val="es-MX" w:eastAsia="es-ES" w:bidi="es-ES"/>
              </w:rPr>
              <w:t>Concepto C-</w:t>
            </w:r>
            <w:r>
              <w:rPr>
                <w:rFonts w:ascii="Verdana" w:hAnsi="Verdana" w:cs="Arial"/>
                <w:b/>
                <w:bCs/>
                <w:lang w:val="es-MX" w:eastAsia="es-ES" w:bidi="es-ES"/>
              </w:rPr>
              <w:t>089 de 2026</w:t>
            </w:r>
          </w:p>
        </w:tc>
      </w:tr>
      <w:tr w:rsidR="008D4DDA" w:rsidRPr="0041694B" w14:paraId="42FB5CD8" w14:textId="77777777" w:rsidTr="00296400">
        <w:trPr>
          <w:trHeight w:val="884"/>
        </w:trPr>
        <w:tc>
          <w:tcPr>
            <w:tcW w:w="2689" w:type="dxa"/>
          </w:tcPr>
          <w:p w14:paraId="1CDEA4F2" w14:textId="77777777" w:rsidR="008D4DDA" w:rsidRPr="00983F4C" w:rsidRDefault="008D4DDA" w:rsidP="00296400">
            <w:pPr>
              <w:spacing w:line="276" w:lineRule="auto"/>
              <w:jc w:val="both"/>
              <w:rPr>
                <w:rFonts w:ascii="Verdana" w:hAnsi="Verdana" w:cs="Arial"/>
                <w:b/>
                <w:bCs/>
                <w:lang w:val="es-MX" w:eastAsia="es-ES" w:bidi="es-ES"/>
              </w:rPr>
            </w:pPr>
            <w:r w:rsidRPr="00983F4C">
              <w:rPr>
                <w:rFonts w:ascii="Verdana" w:hAnsi="Verdana" w:cs="Arial"/>
                <w:b/>
                <w:bCs/>
                <w:lang w:val="es-MX" w:eastAsia="es-ES" w:bidi="es-ES"/>
              </w:rPr>
              <w:t xml:space="preserve">Temas:                   </w:t>
            </w:r>
          </w:p>
        </w:tc>
        <w:tc>
          <w:tcPr>
            <w:tcW w:w="6242" w:type="dxa"/>
          </w:tcPr>
          <w:p w14:paraId="246A9090" w14:textId="77777777" w:rsidR="008D4DDA" w:rsidRPr="003C70D8" w:rsidRDefault="008D4DDA" w:rsidP="00296400">
            <w:pPr>
              <w:jc w:val="both"/>
              <w:rPr>
                <w:rFonts w:ascii="Verdana" w:eastAsia="Calibri" w:hAnsi="Verdana" w:cs="Calibri"/>
                <w:bCs/>
                <w:lang w:val="es-ES"/>
              </w:rPr>
            </w:pPr>
            <w:r w:rsidRPr="003C70D8">
              <w:rPr>
                <w:rFonts w:ascii="Verdana" w:hAnsi="Verdana"/>
                <w:bCs/>
                <w:lang w:val="es-ES"/>
              </w:rPr>
              <w:t xml:space="preserve">RÉGIMEN EXCEPCIONAL – Justificación – Criterios de clasificación / </w:t>
            </w:r>
            <w:r w:rsidRPr="003C70D8">
              <w:rPr>
                <w:rFonts w:ascii="Verdana" w:hAnsi="Verdana"/>
                <w:bCs/>
                <w:lang w:val="es-ES_tradnl"/>
              </w:rPr>
              <w:t xml:space="preserve">EMPRESAS SOCIALES DEL ESTADO – Naturaleza – régimen especial / </w:t>
            </w:r>
            <w:r w:rsidRPr="003C70D8">
              <w:rPr>
                <w:rFonts w:ascii="Verdana" w:eastAsia="Calibri" w:hAnsi="Verdana" w:cs="Calibri"/>
                <w:bCs/>
                <w:lang w:val="es-ES"/>
              </w:rPr>
              <w:t xml:space="preserve">CAPACIDAD RESIDUAL – Definición / CAPACIDAD RESIDUAL – Contratos de obra – Modalidades de selección / </w:t>
            </w:r>
            <w:r w:rsidRPr="003C70D8">
              <w:rPr>
                <w:rFonts w:ascii="Verdana" w:hAnsi="Verdana" w:cs="Arial"/>
                <w:bCs/>
                <w:color w:val="000000" w:themeColor="text1"/>
                <w:lang w:val="es-ES_tradnl"/>
              </w:rPr>
              <w:t xml:space="preserve">EMPRESAS SOCIALES DEL ESTADO </w:t>
            </w:r>
            <w:r w:rsidRPr="003C70D8">
              <w:rPr>
                <w:rFonts w:ascii="Verdana" w:eastAsia="Calibri" w:hAnsi="Verdana" w:cs="Calibri"/>
                <w:bCs/>
                <w:lang w:val="es-ES"/>
              </w:rPr>
              <w:t>–</w:t>
            </w:r>
            <w:r w:rsidRPr="003C70D8">
              <w:rPr>
                <w:rFonts w:ascii="Verdana" w:hAnsi="Verdana" w:cs="Arial"/>
                <w:bCs/>
                <w:color w:val="000000" w:themeColor="text1"/>
                <w:lang w:val="es-ES_tradnl"/>
              </w:rPr>
              <w:t xml:space="preserve"> </w:t>
            </w:r>
            <w:r w:rsidRPr="003C70D8">
              <w:rPr>
                <w:rFonts w:ascii="Verdana" w:eastAsia="Calibri" w:hAnsi="Verdana" w:cs="Calibri"/>
                <w:bCs/>
                <w:lang w:val="es-ES"/>
              </w:rPr>
              <w:t xml:space="preserve">Capacidad residual – Aplicación / </w:t>
            </w:r>
            <w:r w:rsidRPr="003C70D8">
              <w:rPr>
                <w:rFonts w:ascii="Verdana" w:hAnsi="Verdana" w:cs="Arial"/>
                <w:bCs/>
                <w:color w:val="000000" w:themeColor="text1"/>
                <w:lang w:val="es-ES_tradnl"/>
              </w:rPr>
              <w:t xml:space="preserve">EMPRESAS SOCIALES DEL ESTADO </w:t>
            </w:r>
            <w:r w:rsidRPr="003C70D8">
              <w:rPr>
                <w:rFonts w:ascii="Verdana" w:eastAsia="Calibri" w:hAnsi="Verdana" w:cs="Calibri"/>
                <w:bCs/>
                <w:lang w:val="es-ES"/>
              </w:rPr>
              <w:t>–</w:t>
            </w:r>
            <w:r w:rsidRPr="003C70D8">
              <w:rPr>
                <w:rFonts w:ascii="Verdana" w:hAnsi="Verdana" w:cs="Arial"/>
                <w:bCs/>
                <w:color w:val="000000" w:themeColor="text1"/>
                <w:lang w:val="es-ES_tradnl"/>
              </w:rPr>
              <w:t xml:space="preserve"> </w:t>
            </w:r>
            <w:r w:rsidRPr="003C70D8">
              <w:rPr>
                <w:rFonts w:ascii="Verdana" w:eastAsia="Calibri" w:hAnsi="Verdana" w:cs="Calibri"/>
                <w:bCs/>
                <w:lang w:val="es-ES"/>
              </w:rPr>
              <w:t xml:space="preserve">Capacidad residual – Autonomía –Manuales de contratación </w:t>
            </w:r>
          </w:p>
          <w:p w14:paraId="2738A414" w14:textId="77777777" w:rsidR="008D4DDA" w:rsidRPr="00002779" w:rsidRDefault="008D4DDA" w:rsidP="00296400">
            <w:pPr>
              <w:spacing w:line="276" w:lineRule="auto"/>
              <w:jc w:val="both"/>
              <w:rPr>
                <w:rFonts w:ascii="Verdana" w:eastAsia="Calibri" w:hAnsi="Verdana" w:cs="Arial"/>
                <w:lang w:val="es-ES" w:eastAsia="es-ES"/>
              </w:rPr>
            </w:pPr>
          </w:p>
        </w:tc>
      </w:tr>
      <w:tr w:rsidR="008D4DDA" w:rsidRPr="0041694B" w14:paraId="1307AFAC" w14:textId="77777777" w:rsidTr="00296400">
        <w:tc>
          <w:tcPr>
            <w:tcW w:w="2689" w:type="dxa"/>
          </w:tcPr>
          <w:p w14:paraId="4025B28B" w14:textId="77777777" w:rsidR="008D4DDA" w:rsidRPr="00983F4C" w:rsidRDefault="008D4DDA" w:rsidP="00296400">
            <w:pPr>
              <w:jc w:val="both"/>
              <w:rPr>
                <w:rFonts w:ascii="Verdana" w:hAnsi="Verdana" w:cs="Arial"/>
                <w:b/>
                <w:bCs/>
                <w:lang w:val="es-MX" w:eastAsia="es-ES" w:bidi="es-ES"/>
              </w:rPr>
            </w:pPr>
            <w:r w:rsidRPr="00983F4C">
              <w:rPr>
                <w:rFonts w:ascii="Verdana" w:hAnsi="Verdana" w:cs="Arial"/>
                <w:b/>
                <w:bCs/>
                <w:lang w:val="es-MX" w:eastAsia="es-ES" w:bidi="es-ES"/>
              </w:rPr>
              <w:t xml:space="preserve">Radicación:               </w:t>
            </w:r>
          </w:p>
        </w:tc>
        <w:tc>
          <w:tcPr>
            <w:tcW w:w="6242" w:type="dxa"/>
          </w:tcPr>
          <w:p w14:paraId="013F63CE" w14:textId="77777777" w:rsidR="008D4DDA" w:rsidRDefault="008D4DDA" w:rsidP="00296400">
            <w:pPr>
              <w:jc w:val="both"/>
              <w:rPr>
                <w:rFonts w:ascii="Verdana" w:hAnsi="Verdana" w:cs="Arial"/>
                <w:bCs/>
                <w:lang w:val="es-MX" w:eastAsia="es-ES" w:bidi="es-ES"/>
              </w:rPr>
            </w:pPr>
            <w:r w:rsidRPr="00AC39B6">
              <w:rPr>
                <w:rFonts w:ascii="Verdana" w:hAnsi="Verdana" w:cs="Arial"/>
                <w:bCs/>
                <w:lang w:val="es-MX" w:eastAsia="es-ES" w:bidi="es-ES"/>
              </w:rPr>
              <w:t xml:space="preserve">Respuesta a consulta con radicado </w:t>
            </w:r>
            <w:r w:rsidRPr="00AC39B6">
              <w:rPr>
                <w:rFonts w:ascii="Verdana" w:hAnsi="Verdana" w:cs="Arial"/>
                <w:bCs/>
                <w:lang w:eastAsia="es-ES" w:bidi="es-ES"/>
              </w:rPr>
              <w:t xml:space="preserve">No. </w:t>
            </w:r>
            <w:r w:rsidRPr="00A80BF0">
              <w:rPr>
                <w:rFonts w:ascii="Verdana" w:hAnsi="Verdana" w:cs="Arial"/>
                <w:bCs/>
                <w:lang w:eastAsia="es-ES" w:bidi="es-ES"/>
              </w:rPr>
              <w:t>1_2026_01_23_000735</w:t>
            </w:r>
          </w:p>
          <w:p w14:paraId="77E47920" w14:textId="77777777" w:rsidR="008D4DDA" w:rsidRPr="00AC39B6" w:rsidRDefault="008D4DDA" w:rsidP="00296400">
            <w:pPr>
              <w:jc w:val="both"/>
              <w:rPr>
                <w:rFonts w:ascii="Verdana" w:hAnsi="Verdana" w:cs="Arial"/>
                <w:bCs/>
                <w:lang w:val="es-MX" w:eastAsia="es-ES" w:bidi="es-ES"/>
              </w:rPr>
            </w:pPr>
          </w:p>
        </w:tc>
      </w:tr>
    </w:tbl>
    <w:p w14:paraId="28EB1FD8" w14:textId="77777777" w:rsidR="008D4DDA" w:rsidRPr="0041694B" w:rsidRDefault="008D4DDA" w:rsidP="008D4DDA">
      <w:pPr>
        <w:spacing w:after="0" w:line="240" w:lineRule="auto"/>
        <w:jc w:val="both"/>
        <w:rPr>
          <w:rFonts w:ascii="Verdana" w:hAnsi="Verdana" w:cs="Arial"/>
          <w:bCs/>
          <w:lang w:val="es-ES_tradnl" w:eastAsia="es-ES" w:bidi="es-ES"/>
        </w:rPr>
      </w:pPr>
    </w:p>
    <w:p w14:paraId="5F316A73" w14:textId="77777777" w:rsidR="008D4DDA" w:rsidRPr="0041694B" w:rsidRDefault="008D4DDA" w:rsidP="008D4DDA">
      <w:pPr>
        <w:spacing w:after="0" w:line="240" w:lineRule="auto"/>
        <w:jc w:val="both"/>
        <w:rPr>
          <w:rFonts w:ascii="Verdana" w:hAnsi="Verdana" w:cs="Arial"/>
          <w:bCs/>
          <w:lang w:val="es-MX" w:eastAsia="es-ES" w:bidi="es-ES"/>
        </w:rPr>
      </w:pPr>
      <w:r>
        <w:rPr>
          <w:rFonts w:ascii="Verdana" w:hAnsi="Verdana" w:cs="Arial"/>
          <w:bCs/>
          <w:lang w:val="es-MX" w:eastAsia="es-ES" w:bidi="es-ES"/>
        </w:rPr>
        <w:t xml:space="preserve">Estimado Señor Pérez Chacón: </w:t>
      </w:r>
    </w:p>
    <w:p w14:paraId="05CD9479" w14:textId="77777777" w:rsidR="008D4DDA" w:rsidRPr="0041694B" w:rsidRDefault="008D4DDA" w:rsidP="008D4DDA">
      <w:pPr>
        <w:spacing w:after="0" w:line="240" w:lineRule="auto"/>
        <w:jc w:val="both"/>
        <w:rPr>
          <w:rFonts w:ascii="Verdana" w:hAnsi="Verdana" w:cs="Arial"/>
          <w:bCs/>
          <w:lang w:val="es-ES" w:eastAsia="es-ES" w:bidi="es-ES"/>
        </w:rPr>
      </w:pPr>
      <w:r w:rsidRPr="0041694B">
        <w:rPr>
          <w:rFonts w:ascii="Verdana" w:hAnsi="Verdana" w:cs="Arial"/>
          <w:bCs/>
          <w:lang w:val="es-ES" w:eastAsia="es-ES" w:bidi="es-ES"/>
        </w:rPr>
        <w:tab/>
      </w:r>
    </w:p>
    <w:p w14:paraId="3AC59F81" w14:textId="77777777" w:rsidR="008D4DDA" w:rsidRPr="0041694B" w:rsidRDefault="008D4DDA" w:rsidP="008D4DDA">
      <w:pPr>
        <w:spacing w:after="0" w:line="276" w:lineRule="auto"/>
        <w:jc w:val="both"/>
        <w:rPr>
          <w:rFonts w:ascii="Verdana" w:hAnsi="Verdana" w:cs="Arial"/>
          <w:bCs/>
          <w:lang w:val="es-ES" w:eastAsia="es-ES" w:bidi="es-ES"/>
        </w:rPr>
      </w:pPr>
      <w:r w:rsidRPr="00EC0E3F">
        <w:rPr>
          <w:rFonts w:ascii="Verdana" w:hAnsi="Verdana" w:cs="Arial"/>
          <w:bCs/>
          <w:lang w:val="es-ES" w:eastAsia="es-ES" w:bidi="es-ES"/>
        </w:rPr>
        <w:t xml:space="preserve">En ejercicio de la competencia otorgada por los artículos 3, numeral 5º, y 11, numeral 8º, del Decreto Ley 4170 de 2011, </w:t>
      </w:r>
      <w:r w:rsidRPr="00EC0E3F">
        <w:rPr>
          <w:rFonts w:ascii="Verdana" w:hAnsi="Verdana" w:cs="Arial"/>
          <w:bCs/>
          <w:lang w:eastAsia="es-ES" w:bidi="es-ES"/>
        </w:rPr>
        <w:t xml:space="preserve">así como lo establecido por la Resolución 469 de 2025 expedida por esta Entidad, </w:t>
      </w:r>
      <w:r w:rsidRPr="00EC0E3F">
        <w:rPr>
          <w:rFonts w:ascii="Verdana" w:hAnsi="Verdana" w:cs="Arial"/>
          <w:bCs/>
          <w:lang w:val="es-ES" w:eastAsia="es-ES" w:bidi="es-ES"/>
        </w:rPr>
        <w:t xml:space="preserve">la Agencia Nacional de Contratación Pública – Colombia Compra Eficiente– responde </w:t>
      </w:r>
      <w:r>
        <w:rPr>
          <w:rFonts w:ascii="Verdana" w:hAnsi="Verdana" w:cs="Arial"/>
          <w:bCs/>
          <w:lang w:val="es-ES" w:eastAsia="es-ES" w:bidi="es-ES"/>
        </w:rPr>
        <w:t xml:space="preserve">la solicitud </w:t>
      </w:r>
      <w:r w:rsidRPr="00EC0E3F">
        <w:rPr>
          <w:rFonts w:ascii="Verdana" w:hAnsi="Verdana" w:cs="Arial"/>
          <w:bCs/>
          <w:lang w:val="es-ES" w:eastAsia="es-ES" w:bidi="es-ES"/>
        </w:rPr>
        <w:t>del</w:t>
      </w:r>
      <w:r>
        <w:rPr>
          <w:rFonts w:ascii="Verdana" w:hAnsi="Verdana" w:cs="Arial"/>
          <w:bCs/>
          <w:lang w:val="es-ES" w:eastAsia="es-ES" w:bidi="es-ES"/>
        </w:rPr>
        <w:t xml:space="preserve"> 23 de enero de 2026</w:t>
      </w:r>
      <w:r w:rsidRPr="00EC0E3F">
        <w:rPr>
          <w:rFonts w:ascii="Verdana" w:hAnsi="Verdana" w:cs="Arial"/>
          <w:bCs/>
          <w:lang w:val="es-ES" w:eastAsia="es-ES" w:bidi="es-ES"/>
        </w:rPr>
        <w:t>, en la cual manifiesta:</w:t>
      </w:r>
      <w:r w:rsidRPr="0041694B">
        <w:rPr>
          <w:rFonts w:ascii="Verdana" w:hAnsi="Verdana" w:cs="Arial"/>
          <w:bCs/>
          <w:lang w:val="es-ES" w:eastAsia="es-ES" w:bidi="es-ES"/>
        </w:rPr>
        <w:t xml:space="preserve"> </w:t>
      </w:r>
    </w:p>
    <w:p w14:paraId="4A84DE85" w14:textId="77777777" w:rsidR="008D4DDA" w:rsidRPr="0041694B" w:rsidRDefault="008D4DDA" w:rsidP="008D4DDA">
      <w:pPr>
        <w:spacing w:after="0" w:line="240" w:lineRule="auto"/>
        <w:jc w:val="both"/>
        <w:rPr>
          <w:rFonts w:ascii="Verdana" w:hAnsi="Verdana" w:cs="Arial"/>
          <w:b/>
          <w:bCs/>
          <w:lang w:val="es-ES" w:eastAsia="es-ES" w:bidi="es-ES"/>
        </w:rPr>
      </w:pPr>
    </w:p>
    <w:p w14:paraId="6659792B" w14:textId="77777777" w:rsidR="008D4DDA" w:rsidRPr="001155BA" w:rsidRDefault="008D4DDA" w:rsidP="008D4DDA">
      <w:pPr>
        <w:spacing w:after="120" w:line="240" w:lineRule="auto"/>
        <w:ind w:left="709" w:right="709"/>
        <w:jc w:val="both"/>
        <w:rPr>
          <w:rFonts w:ascii="Verdana" w:hAnsi="Verdana"/>
          <w:sz w:val="21"/>
          <w:szCs w:val="21"/>
        </w:rPr>
      </w:pPr>
      <w:r w:rsidRPr="001155BA">
        <w:rPr>
          <w:rFonts w:ascii="Verdana" w:hAnsi="Verdana" w:cs="Arial"/>
          <w:bCs/>
          <w:sz w:val="21"/>
          <w:szCs w:val="21"/>
          <w:lang w:val="es-ES" w:eastAsia="es-ES" w:bidi="es-ES"/>
        </w:rPr>
        <w:t>“</w:t>
      </w:r>
      <w:r w:rsidRPr="001155BA">
        <w:rPr>
          <w:rFonts w:ascii="Verdana" w:hAnsi="Verdana"/>
          <w:sz w:val="21"/>
          <w:szCs w:val="21"/>
        </w:rPr>
        <w:t xml:space="preserve">1. Régimen especial de contratación – Contratación directa por mínima cuantía </w:t>
      </w:r>
    </w:p>
    <w:p w14:paraId="118A5332" w14:textId="77777777" w:rsidR="008D4DDA" w:rsidRPr="001155BA" w:rsidRDefault="008D4DDA" w:rsidP="008D4DDA">
      <w:pPr>
        <w:spacing w:after="120" w:line="240" w:lineRule="auto"/>
        <w:ind w:left="709" w:right="709"/>
        <w:jc w:val="both"/>
        <w:rPr>
          <w:rFonts w:ascii="Verdana" w:hAnsi="Verdana"/>
          <w:sz w:val="21"/>
          <w:szCs w:val="21"/>
        </w:rPr>
      </w:pPr>
      <w:r w:rsidRPr="001155BA">
        <w:rPr>
          <w:rFonts w:ascii="Verdana" w:hAnsi="Verdana"/>
          <w:sz w:val="21"/>
          <w:szCs w:val="21"/>
        </w:rPr>
        <w:t xml:space="preserve">Teniendo en cuenta que las Empresas Sociales del Estado (ESE) se rigen por un régimen especial de contratación, conforme a lo dispuesto </w:t>
      </w:r>
      <w:r w:rsidRPr="001155BA">
        <w:rPr>
          <w:rFonts w:ascii="Verdana" w:hAnsi="Verdana"/>
          <w:sz w:val="21"/>
          <w:szCs w:val="21"/>
        </w:rPr>
        <w:lastRenderedPageBreak/>
        <w:t xml:space="preserve">en el artículo 195 numeral 6 de la Ley 100 de 1993, y que su Estatuto de Contratación interno establece como mínima cuantía el equivalente a mil (1.000) salarios mínimos legales mensuales vigentes y no hay regulación interna específica sobre la capacidad residual (K), se solicita precisar: </w:t>
      </w:r>
    </w:p>
    <w:p w14:paraId="02A66036" w14:textId="77777777" w:rsidR="008D4DDA" w:rsidRPr="001155BA" w:rsidRDefault="008D4DDA" w:rsidP="008D4DDA">
      <w:pPr>
        <w:spacing w:after="120" w:line="240" w:lineRule="auto"/>
        <w:ind w:left="709" w:right="709"/>
        <w:jc w:val="both"/>
        <w:rPr>
          <w:rFonts w:ascii="Verdana" w:hAnsi="Verdana"/>
          <w:sz w:val="21"/>
          <w:szCs w:val="21"/>
        </w:rPr>
      </w:pPr>
      <w:r w:rsidRPr="001155BA">
        <w:rPr>
          <w:rFonts w:ascii="Verdana" w:hAnsi="Verdana"/>
          <w:sz w:val="21"/>
          <w:szCs w:val="21"/>
        </w:rPr>
        <w:t xml:space="preserve">¿Es jurídicamente obligatorio que, en los estudios previos y documentos del proceso contractual, se evalúe y exija la Capacidad Residual de Contratación (K) cuando una ESE adelanta un contrato de obra pública bajo la modalidad de contratación directa por mínima cuantía, conforme a su régimen especial, o dicha exigencia resulta aplicable únicamente a procesos de convocatoria pública o selección competitiva? </w:t>
      </w:r>
    </w:p>
    <w:p w14:paraId="43C5B030" w14:textId="77777777" w:rsidR="008D4DDA" w:rsidRPr="001155BA" w:rsidRDefault="008D4DDA" w:rsidP="008D4DDA">
      <w:pPr>
        <w:spacing w:after="120" w:line="240" w:lineRule="auto"/>
        <w:ind w:left="709" w:right="709"/>
        <w:jc w:val="both"/>
        <w:rPr>
          <w:rFonts w:ascii="Verdana" w:hAnsi="Verdana"/>
          <w:sz w:val="21"/>
          <w:szCs w:val="21"/>
        </w:rPr>
      </w:pPr>
      <w:r w:rsidRPr="001155BA">
        <w:rPr>
          <w:rFonts w:ascii="Verdana" w:hAnsi="Verdana"/>
          <w:sz w:val="21"/>
          <w:szCs w:val="21"/>
        </w:rPr>
        <w:t xml:space="preserve">2. Aplicabilidad del Estatuto General de Contratación y del Decreto 1082 de 2015 </w:t>
      </w:r>
    </w:p>
    <w:p w14:paraId="1205009A" w14:textId="77777777" w:rsidR="008D4DDA" w:rsidRPr="001155BA" w:rsidRDefault="008D4DDA" w:rsidP="008D4DDA">
      <w:pPr>
        <w:spacing w:after="120" w:line="240" w:lineRule="auto"/>
        <w:ind w:left="709" w:right="709"/>
        <w:jc w:val="both"/>
        <w:rPr>
          <w:rFonts w:ascii="Verdana" w:hAnsi="Verdana" w:cs="Arial"/>
          <w:bCs/>
          <w:i/>
          <w:iCs/>
          <w:sz w:val="21"/>
          <w:szCs w:val="21"/>
          <w:lang w:eastAsia="es-ES" w:bidi="es-ES"/>
        </w:rPr>
      </w:pPr>
      <w:r w:rsidRPr="001155BA">
        <w:rPr>
          <w:rFonts w:ascii="Verdana" w:hAnsi="Verdana"/>
          <w:sz w:val="21"/>
          <w:szCs w:val="21"/>
        </w:rPr>
        <w:t>En relación con la exigencia de la Capacidad Residual prevista en el artículo 6 de la Ley 1150 de 2007 y en el Decreto 1082 de 2015, se solicita aclarar: ¿La obligación de evaluar la Capacidad Residual (K) en contratos de obra pública resulta plenamente exigible a las ESE en todos los casos, o su aplicación se circunscribe exclusivamente a aquellos procesos de selección sujetos al Estatuto General de Contratación Estatal y a esquemas de</w:t>
      </w:r>
      <w:r w:rsidRPr="001155BA">
        <w:rPr>
          <w:rFonts w:ascii="Verdana" w:hAnsi="Verdana" w:cs="Arial"/>
          <w:bCs/>
          <w:i/>
          <w:iCs/>
          <w:sz w:val="21"/>
          <w:szCs w:val="21"/>
          <w:lang w:eastAsia="es-ES" w:bidi="es-ES"/>
        </w:rPr>
        <w:t xml:space="preserve"> </w:t>
      </w:r>
      <w:r w:rsidRPr="001155BA">
        <w:rPr>
          <w:rFonts w:ascii="Verdana" w:hAnsi="Verdana"/>
          <w:sz w:val="21"/>
          <w:szCs w:val="21"/>
        </w:rPr>
        <w:t>pluralidad de oferentes, no siendo obligatoria en procesos de contratación directa propios del régimen especial de las ESE?</w:t>
      </w:r>
    </w:p>
    <w:p w14:paraId="64F4D249" w14:textId="77777777" w:rsidR="008D4DDA" w:rsidRPr="001155BA" w:rsidRDefault="008D4DDA" w:rsidP="008D4DDA">
      <w:pPr>
        <w:spacing w:after="120" w:line="240" w:lineRule="auto"/>
        <w:ind w:left="709" w:right="709"/>
        <w:jc w:val="both"/>
        <w:rPr>
          <w:rFonts w:ascii="Verdana" w:hAnsi="Verdana"/>
          <w:sz w:val="21"/>
          <w:szCs w:val="21"/>
        </w:rPr>
      </w:pPr>
      <w:r w:rsidRPr="001155BA">
        <w:rPr>
          <w:rFonts w:ascii="Verdana" w:hAnsi="Verdana"/>
          <w:sz w:val="21"/>
          <w:szCs w:val="21"/>
        </w:rPr>
        <w:t xml:space="preserve">3. Contratos financiados con recursos del Presupuesto General de la Nación (PGN) </w:t>
      </w:r>
    </w:p>
    <w:p w14:paraId="1F341928" w14:textId="77777777" w:rsidR="008D4DDA" w:rsidRPr="001155BA" w:rsidRDefault="008D4DDA" w:rsidP="008D4DDA">
      <w:pPr>
        <w:spacing w:after="120" w:line="240" w:lineRule="auto"/>
        <w:ind w:left="709" w:right="709"/>
        <w:jc w:val="both"/>
        <w:rPr>
          <w:rFonts w:ascii="Verdana" w:hAnsi="Verdana"/>
          <w:sz w:val="21"/>
          <w:szCs w:val="21"/>
        </w:rPr>
      </w:pPr>
      <w:r w:rsidRPr="001155BA">
        <w:rPr>
          <w:rFonts w:ascii="Verdana" w:hAnsi="Verdana"/>
          <w:sz w:val="21"/>
          <w:szCs w:val="21"/>
        </w:rPr>
        <w:t xml:space="preserve">Teniendo en cuenta que determinados contratos de infraestructura, adecuaciones, ampliaciones o construcciones adelantados por las ESE pueden ejecutarse con recursos provenientes del Presupuesto General de la Nación, y que el Ministerio de Salud y Protección Social, mediante la Resolución No. 5185 de 2013, modificada por la Resolución No. 1440 del 13 de agosto de 2024 y lineamientos sectoriales, ha establecido que dichos proyectos deben adelantarse bajo la modalidad de convocatoria pública, independientemente de la cuantía, se consulta: </w:t>
      </w:r>
    </w:p>
    <w:p w14:paraId="2CB5D6D2" w14:textId="77777777" w:rsidR="008D4DDA" w:rsidRPr="001155BA" w:rsidRDefault="008D4DDA" w:rsidP="008D4DDA">
      <w:pPr>
        <w:spacing w:after="120" w:line="240" w:lineRule="auto"/>
        <w:ind w:left="709" w:right="709"/>
        <w:jc w:val="both"/>
        <w:rPr>
          <w:rFonts w:ascii="Verdana" w:hAnsi="Verdana"/>
          <w:sz w:val="21"/>
          <w:szCs w:val="21"/>
        </w:rPr>
      </w:pPr>
      <w:r w:rsidRPr="001155BA">
        <w:rPr>
          <w:rFonts w:ascii="Verdana" w:hAnsi="Verdana"/>
          <w:sz w:val="21"/>
          <w:szCs w:val="21"/>
        </w:rPr>
        <w:t>En los contratos de obra financiados total o parcialmente con recursos del Presupuesto General de la Nación, para los cuales la normativa sectorial del Ministerio de Salud y Protección Social exige la realización de convocatoria pública sin consideración a la cuantía, ¿es obligatorio exigir y evaluar la Capacidad Residual de Contratación (K) como requisito habilitante, en aplicación del Decreto 1082 de 2015 y de las reglas generales de la contratación estatal?</w:t>
      </w:r>
    </w:p>
    <w:p w14:paraId="56FEEE1C" w14:textId="77777777" w:rsidR="008D4DDA" w:rsidRPr="001155BA" w:rsidRDefault="008D4DDA" w:rsidP="008D4DDA">
      <w:pPr>
        <w:spacing w:after="120" w:line="240" w:lineRule="auto"/>
        <w:ind w:left="709" w:right="709"/>
        <w:jc w:val="both"/>
        <w:rPr>
          <w:rFonts w:ascii="Verdana" w:hAnsi="Verdana"/>
          <w:sz w:val="21"/>
          <w:szCs w:val="21"/>
        </w:rPr>
      </w:pPr>
      <w:r w:rsidRPr="001155BA">
        <w:rPr>
          <w:rFonts w:ascii="Verdana" w:hAnsi="Verdana"/>
          <w:sz w:val="21"/>
          <w:szCs w:val="21"/>
        </w:rPr>
        <w:lastRenderedPageBreak/>
        <w:t xml:space="preserve">4. Diferenciación entre modalidad de selección y fuente de financiación </w:t>
      </w:r>
    </w:p>
    <w:p w14:paraId="0D018E61" w14:textId="77777777" w:rsidR="008D4DDA" w:rsidRPr="001155BA" w:rsidRDefault="008D4DDA" w:rsidP="008D4DDA">
      <w:pPr>
        <w:spacing w:after="0" w:line="240" w:lineRule="auto"/>
        <w:ind w:left="709" w:right="709"/>
        <w:jc w:val="both"/>
        <w:rPr>
          <w:rFonts w:ascii="Verdana" w:hAnsi="Verdana"/>
          <w:sz w:val="21"/>
          <w:szCs w:val="21"/>
        </w:rPr>
      </w:pPr>
      <w:r w:rsidRPr="001155BA">
        <w:rPr>
          <w:rFonts w:ascii="Verdana" w:hAnsi="Verdana"/>
          <w:sz w:val="21"/>
          <w:szCs w:val="21"/>
        </w:rPr>
        <w:t>Finalmente, se solicita un pronunciamiento que permita delimitar con claridad los criterios aplicables: ¿La obligación de exigir la Capacidad Residual (K) en contratos de obra celebrados por las ESE depende principalmente de la modalidad de selección del contratista (contratación directa vs. convocatoria pública), o de la fuente de financiación de los recursos (recursos propios de la ESE vs. recursos del Presupuesto General de la Nación), o de la concurrencia de ambos factores?</w:t>
      </w:r>
      <w:r w:rsidRPr="001155BA">
        <w:rPr>
          <w:rFonts w:ascii="Verdana" w:hAnsi="Verdana" w:cs="Arial"/>
          <w:bCs/>
          <w:i/>
          <w:iCs/>
          <w:sz w:val="21"/>
          <w:szCs w:val="21"/>
          <w:lang w:eastAsia="es-ES" w:bidi="es-ES"/>
        </w:rPr>
        <w:t>”.</w:t>
      </w:r>
    </w:p>
    <w:p w14:paraId="0FBFC96D" w14:textId="77777777" w:rsidR="008D4DDA" w:rsidRPr="002D0DC9" w:rsidRDefault="008D4DDA" w:rsidP="008D4DDA">
      <w:pPr>
        <w:spacing w:after="0" w:line="240" w:lineRule="auto"/>
        <w:jc w:val="both"/>
        <w:rPr>
          <w:rFonts w:ascii="Verdana" w:hAnsi="Verdana" w:cs="Arial"/>
          <w:b/>
          <w:bCs/>
          <w:lang w:eastAsia="es-ES" w:bidi="es-ES"/>
        </w:rPr>
      </w:pPr>
    </w:p>
    <w:p w14:paraId="4B9F1830" w14:textId="77777777" w:rsidR="008D4DDA" w:rsidRPr="00121EA1" w:rsidRDefault="008D4DDA" w:rsidP="008D4DDA">
      <w:pPr>
        <w:spacing w:after="120" w:line="276" w:lineRule="auto"/>
        <w:ind w:firstLine="709"/>
        <w:jc w:val="both"/>
        <w:rPr>
          <w:rFonts w:ascii="Verdana" w:eastAsia="Calibri" w:hAnsi="Verdana" w:cs="Times New Roman"/>
          <w:lang w:val="es-ES"/>
        </w:rPr>
      </w:pPr>
      <w:r w:rsidRPr="00121EA1">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316FCF1E" w14:textId="77777777" w:rsidR="008D4DDA" w:rsidRDefault="008D4DDA" w:rsidP="008D4DDA">
      <w:pPr>
        <w:spacing w:after="0" w:line="276" w:lineRule="auto"/>
        <w:ind w:firstLine="708"/>
        <w:jc w:val="both"/>
        <w:rPr>
          <w:rFonts w:ascii="Verdana" w:eastAsia="Calibri" w:hAnsi="Verdana" w:cs="Times New Roman"/>
          <w:lang w:val="es-ES"/>
        </w:rPr>
      </w:pPr>
      <w:r w:rsidRPr="00121EA1">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Times New Roman"/>
          <w:lang w:val="es-ES"/>
        </w:rPr>
        <w:t xml:space="preserve">los problemas jurídicos </w:t>
      </w:r>
      <w:r w:rsidRPr="00121EA1">
        <w:rPr>
          <w:rFonts w:ascii="Verdana" w:eastAsia="Calibri" w:hAnsi="Verdana" w:cs="Times New Roman"/>
          <w:lang w:val="es-ES"/>
        </w:rPr>
        <w:t>de su consulta.</w:t>
      </w:r>
    </w:p>
    <w:p w14:paraId="29697808" w14:textId="77777777" w:rsidR="008D4DDA" w:rsidRPr="00121EA1" w:rsidRDefault="008D4DDA" w:rsidP="008D4DDA">
      <w:pPr>
        <w:spacing w:after="0" w:line="256" w:lineRule="auto"/>
        <w:rPr>
          <w:rFonts w:ascii="Verdana" w:eastAsia="Calibri" w:hAnsi="Verdana" w:cs="Times New Roman"/>
          <w:lang w:val="es-ES"/>
        </w:rPr>
      </w:pPr>
    </w:p>
    <w:p w14:paraId="4E2EA558" w14:textId="77777777" w:rsidR="008D4DDA" w:rsidRPr="00121EA1" w:rsidRDefault="008D4DDA" w:rsidP="008D4DDA">
      <w:pPr>
        <w:numPr>
          <w:ilvl w:val="0"/>
          <w:numId w:val="16"/>
        </w:numPr>
        <w:spacing w:after="0" w:line="256" w:lineRule="auto"/>
        <w:contextualSpacing/>
        <w:rPr>
          <w:rFonts w:ascii="Verdana" w:eastAsia="Calibri" w:hAnsi="Verdana" w:cs="Times New Roman"/>
          <w:b/>
          <w:bCs/>
          <w:lang w:val="es-ES"/>
        </w:rPr>
      </w:pPr>
      <w:r w:rsidRPr="00121EA1">
        <w:rPr>
          <w:rFonts w:ascii="Verdana" w:eastAsia="Calibri" w:hAnsi="Verdana" w:cs="Times New Roman"/>
          <w:b/>
          <w:bCs/>
          <w:lang w:val="es-ES"/>
        </w:rPr>
        <w:t>Problema planteado:</w:t>
      </w:r>
    </w:p>
    <w:p w14:paraId="6E8A0405" w14:textId="77777777" w:rsidR="008D4DDA" w:rsidRPr="00121EA1" w:rsidRDefault="008D4DDA" w:rsidP="008D4DDA">
      <w:pPr>
        <w:spacing w:after="0" w:line="256" w:lineRule="auto"/>
        <w:rPr>
          <w:rFonts w:ascii="Verdana" w:eastAsia="Calibri" w:hAnsi="Verdana" w:cs="Times New Roman"/>
        </w:rPr>
      </w:pPr>
    </w:p>
    <w:p w14:paraId="3FC938F7" w14:textId="77777777" w:rsidR="008D4DDA" w:rsidRPr="003914FB" w:rsidRDefault="008D4DDA" w:rsidP="008D4DDA">
      <w:pPr>
        <w:spacing w:after="0" w:line="276" w:lineRule="auto"/>
        <w:jc w:val="both"/>
        <w:rPr>
          <w:rFonts w:ascii="Verdana" w:eastAsia="Calibri" w:hAnsi="Verdana" w:cs="Times New Roman"/>
        </w:rPr>
      </w:pPr>
      <w:r w:rsidRPr="00CF1121">
        <w:rPr>
          <w:rFonts w:ascii="Verdana" w:eastAsia="Calibri" w:hAnsi="Verdana" w:cs="Times New Roman"/>
        </w:rPr>
        <w:t xml:space="preserve">De acuerdo </w:t>
      </w:r>
      <w:r>
        <w:rPr>
          <w:rFonts w:ascii="Verdana" w:eastAsia="Calibri" w:hAnsi="Verdana" w:cs="Times New Roman"/>
        </w:rPr>
        <w:t>con el contenido de sus solicitudes</w:t>
      </w:r>
      <w:r w:rsidRPr="00CF1121">
        <w:rPr>
          <w:rFonts w:ascii="Verdana" w:eastAsia="Calibri" w:hAnsi="Verdana" w:cs="Times New Roman"/>
        </w:rPr>
        <w:t xml:space="preserve">, esta Agencia procede </w:t>
      </w:r>
      <w:r>
        <w:rPr>
          <w:rFonts w:ascii="Verdana" w:eastAsia="Calibri" w:hAnsi="Verdana" w:cs="Times New Roman"/>
        </w:rPr>
        <w:t xml:space="preserve">a condensarlas en los </w:t>
      </w:r>
      <w:r w:rsidRPr="00CF1121">
        <w:rPr>
          <w:rFonts w:ascii="Verdana" w:eastAsia="Calibri" w:hAnsi="Verdana" w:cs="Times New Roman"/>
        </w:rPr>
        <w:t>siguientes problemas jurídicos</w:t>
      </w:r>
      <w:r w:rsidRPr="00D34E9B">
        <w:rPr>
          <w:rFonts w:ascii="Verdana" w:eastAsia="Calibri" w:hAnsi="Verdana" w:cs="Times New Roman"/>
        </w:rPr>
        <w:t xml:space="preserve">: ¿Puede una Empresa Social del Estado </w:t>
      </w:r>
      <w:r>
        <w:rPr>
          <w:rFonts w:ascii="Verdana" w:eastAsia="Calibri" w:hAnsi="Verdana" w:cs="Times New Roman"/>
        </w:rPr>
        <w:t xml:space="preserve"> - ESE </w:t>
      </w:r>
      <w:r w:rsidRPr="00D34E9B">
        <w:rPr>
          <w:rFonts w:ascii="Verdana" w:eastAsia="Calibri" w:hAnsi="Verdana" w:cs="Times New Roman"/>
        </w:rPr>
        <w:t>en los procesos de contratación que adelante, que tengan por objeto contrato</w:t>
      </w:r>
      <w:r>
        <w:rPr>
          <w:rFonts w:ascii="Verdana" w:eastAsia="Calibri" w:hAnsi="Verdana" w:cs="Times New Roman"/>
        </w:rPr>
        <w:t>s</w:t>
      </w:r>
      <w:r w:rsidRPr="00D34E9B">
        <w:rPr>
          <w:rFonts w:ascii="Verdana" w:eastAsia="Calibri" w:hAnsi="Verdana" w:cs="Times New Roman"/>
        </w:rPr>
        <w:t xml:space="preserve"> de obra exigir la acreditación de capacidad residual?</w:t>
      </w:r>
    </w:p>
    <w:p w14:paraId="259B2D08" w14:textId="77777777" w:rsidR="008D4DDA" w:rsidRPr="00CF1121" w:rsidRDefault="008D4DDA" w:rsidP="008D4DDA">
      <w:pPr>
        <w:spacing w:after="0" w:line="276" w:lineRule="auto"/>
        <w:jc w:val="both"/>
        <w:rPr>
          <w:rFonts w:ascii="Verdana" w:eastAsia="Calibri" w:hAnsi="Verdana" w:cs="Times New Roman"/>
          <w:bCs/>
        </w:rPr>
      </w:pPr>
    </w:p>
    <w:p w14:paraId="4D1B4274" w14:textId="77777777" w:rsidR="008D4DDA" w:rsidRPr="00121EA1" w:rsidRDefault="008D4DDA" w:rsidP="008D4DDA">
      <w:pPr>
        <w:numPr>
          <w:ilvl w:val="0"/>
          <w:numId w:val="16"/>
        </w:numPr>
        <w:spacing w:after="0" w:line="256" w:lineRule="auto"/>
        <w:contextualSpacing/>
        <w:rPr>
          <w:rFonts w:ascii="Verdana" w:eastAsia="Calibri" w:hAnsi="Verdana" w:cs="Times New Roman"/>
          <w:b/>
          <w:bCs/>
          <w:lang w:val="es-ES"/>
        </w:rPr>
      </w:pPr>
      <w:r w:rsidRPr="00121EA1">
        <w:rPr>
          <w:rFonts w:ascii="Verdana" w:eastAsia="Calibri" w:hAnsi="Verdana" w:cs="Times New Roman"/>
          <w:b/>
          <w:bCs/>
          <w:lang w:val="es-ES"/>
        </w:rPr>
        <w:t>Respuesta:</w:t>
      </w:r>
    </w:p>
    <w:p w14:paraId="29D13EF9" w14:textId="77777777" w:rsidR="008D4DDA" w:rsidRDefault="008D4DDA" w:rsidP="008D4DDA">
      <w:pPr>
        <w:spacing w:after="0" w:line="240" w:lineRule="auto"/>
        <w:jc w:val="both"/>
        <w:rPr>
          <w:rFonts w:ascii="Verdana" w:hAnsi="Verdana" w:cs="Arial"/>
          <w:bCs/>
          <w:lang w:val="es-ES" w:eastAsia="es-ES" w:bidi="es-E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D4DDA" w:rsidRPr="001205D1" w14:paraId="54F83705" w14:textId="77777777" w:rsidTr="00296400">
        <w:trPr>
          <w:trHeight w:val="629"/>
          <w:jc w:val="center"/>
        </w:trPr>
        <w:tc>
          <w:tcPr>
            <w:tcW w:w="8647" w:type="dxa"/>
          </w:tcPr>
          <w:p w14:paraId="5B69A056" w14:textId="77777777" w:rsidR="008D4DDA" w:rsidRPr="003A1844" w:rsidRDefault="008D4DDA" w:rsidP="00296400">
            <w:pPr>
              <w:tabs>
                <w:tab w:val="left" w:pos="426"/>
              </w:tabs>
              <w:spacing w:after="120" w:line="276" w:lineRule="auto"/>
              <w:jc w:val="both"/>
              <w:rPr>
                <w:rFonts w:ascii="Verdana" w:hAnsi="Verdana" w:cs="Arial"/>
              </w:rPr>
            </w:pPr>
            <w:r>
              <w:rPr>
                <w:rFonts w:ascii="Verdana" w:hAnsi="Verdana" w:cs="Arial"/>
                <w:lang w:val="es-MX"/>
              </w:rPr>
              <w:t xml:space="preserve">En materia contractual </w:t>
            </w:r>
            <w:r w:rsidRPr="003A1844">
              <w:rPr>
                <w:rFonts w:ascii="Verdana" w:hAnsi="Verdana" w:cs="Arial"/>
              </w:rPr>
              <w:t xml:space="preserve">de conformidad con el numeral 6 del artículo 195 de la Ley 100 de 1993, el régimen de contratación de las </w:t>
            </w:r>
            <w:r>
              <w:rPr>
                <w:rFonts w:ascii="Verdana" w:hAnsi="Verdana" w:cs="Arial"/>
              </w:rPr>
              <w:t xml:space="preserve">Empresas Social del Estado </w:t>
            </w:r>
            <w:r w:rsidRPr="003A1844">
              <w:rPr>
                <w:rFonts w:ascii="Verdana" w:hAnsi="Verdana" w:cs="Arial"/>
                <w:lang w:val="es-MX"/>
              </w:rPr>
              <w:t>–ESE–</w:t>
            </w:r>
            <w:r w:rsidRPr="003A1844">
              <w:rPr>
                <w:rFonts w:ascii="Verdana" w:hAnsi="Verdana"/>
              </w:rPr>
              <w:t xml:space="preserve"> </w:t>
            </w:r>
            <w:r w:rsidRPr="003A1844">
              <w:rPr>
                <w:rFonts w:ascii="Verdana" w:hAnsi="Verdana" w:cs="Arial"/>
              </w:rPr>
              <w:t xml:space="preserve">es el de derecho privado, es decir, se rige por las disposiciones contenidas en el Código de Comercio y en el Código Civil, aplicables en lo que resulten pertinentes, salvo en las materias particularmente reguladas </w:t>
            </w:r>
            <w:r w:rsidRPr="003A1844">
              <w:rPr>
                <w:rFonts w:ascii="Verdana" w:eastAsia="Calibri" w:hAnsi="Verdana" w:cs="Arial"/>
              </w:rPr>
              <w:t xml:space="preserve">por el derecho público. </w:t>
            </w:r>
          </w:p>
          <w:p w14:paraId="7E38E0D3" w14:textId="77777777" w:rsidR="008D4DDA" w:rsidRPr="003A1844" w:rsidRDefault="008D4DDA" w:rsidP="00296400">
            <w:pPr>
              <w:widowControl w:val="0"/>
              <w:autoSpaceDE w:val="0"/>
              <w:autoSpaceDN w:val="0"/>
              <w:spacing w:after="120" w:line="276" w:lineRule="auto"/>
              <w:ind w:right="102" w:firstLine="709"/>
              <w:jc w:val="both"/>
              <w:rPr>
                <w:rFonts w:ascii="Verdana" w:hAnsi="Verdana" w:cs="Arial"/>
                <w:lang w:val="es-ES_tradnl"/>
              </w:rPr>
            </w:pPr>
            <w:r w:rsidRPr="003A1844">
              <w:rPr>
                <w:rFonts w:ascii="Verdana" w:eastAsia="Arial" w:hAnsi="Verdana" w:cs="Arial"/>
                <w:lang w:val="es-ES"/>
              </w:rPr>
              <w:t xml:space="preserve">En consecuencia, </w:t>
            </w:r>
            <w:r w:rsidRPr="003A1844">
              <w:rPr>
                <w:rFonts w:ascii="Verdana" w:eastAsia="Calibri" w:hAnsi="Verdana" w:cs="Arial"/>
                <w:color w:val="000000" w:themeColor="text1"/>
                <w:lang w:val="es-MX"/>
              </w:rPr>
              <w:t xml:space="preserve">las </w:t>
            </w:r>
            <w:r w:rsidRPr="003A1844">
              <w:rPr>
                <w:rFonts w:ascii="Verdana" w:eastAsia="Arial" w:hAnsi="Verdana" w:cs="Arial"/>
                <w:lang w:val="es-MX"/>
              </w:rPr>
              <w:t>–ESE–</w:t>
            </w:r>
            <w:r w:rsidRPr="003A1844">
              <w:rPr>
                <w:rFonts w:ascii="Verdana" w:eastAsia="Arial" w:hAnsi="Verdana" w:cs="Arial"/>
                <w:lang w:val="es-ES"/>
              </w:rPr>
              <w:t xml:space="preserve"> </w:t>
            </w:r>
            <w:r w:rsidRPr="003A1844">
              <w:rPr>
                <w:rFonts w:ascii="Verdana" w:eastAsia="Calibri" w:hAnsi="Verdana" w:cs="Arial"/>
                <w:color w:val="000000" w:themeColor="text1"/>
                <w:lang w:val="es-MX"/>
              </w:rPr>
              <w:t xml:space="preserve">no están sometidas al EGCAP ni a las normas que lo reglamentan o complementan, ya que, por disposición expresa de la norma transcrita, sus </w:t>
            </w:r>
            <w:r w:rsidRPr="003A1844">
              <w:rPr>
                <w:rFonts w:ascii="Verdana" w:eastAsia="Arial" w:hAnsi="Verdana" w:cs="Arial"/>
                <w:lang w:val="es-ES"/>
              </w:rPr>
              <w:t xml:space="preserve">contratos se rigen por el derecho privado. </w:t>
            </w:r>
          </w:p>
          <w:p w14:paraId="6715F9D5" w14:textId="77777777" w:rsidR="008D4DDA" w:rsidRPr="0001599D" w:rsidRDefault="008D4DDA" w:rsidP="00296400">
            <w:pPr>
              <w:spacing w:after="120" w:line="276" w:lineRule="auto"/>
              <w:ind w:firstLine="709"/>
              <w:jc w:val="both"/>
              <w:rPr>
                <w:rFonts w:ascii="Verdana" w:eastAsia="Arial" w:hAnsi="Verdana" w:cs="Arial"/>
              </w:rPr>
            </w:pPr>
            <w:r w:rsidRPr="003A1844">
              <w:rPr>
                <w:rFonts w:ascii="Verdana" w:eastAsia="Arial" w:hAnsi="Verdana" w:cs="Arial"/>
              </w:rPr>
              <w:t xml:space="preserve">Ahora bien, puede decirse que una de las reglas para las </w:t>
            </w:r>
            <w:r w:rsidRPr="003A1844">
              <w:rPr>
                <w:rFonts w:ascii="Verdana" w:hAnsi="Verdana" w:cs="Arial"/>
                <w:lang w:val="es-MX"/>
              </w:rPr>
              <w:t>–ESE–</w:t>
            </w:r>
            <w:r w:rsidRPr="003A1844">
              <w:rPr>
                <w:rFonts w:ascii="Verdana" w:eastAsia="Arial" w:hAnsi="Verdana" w:cs="Arial"/>
              </w:rPr>
              <w:t xml:space="preserve">, derivada de las normas de derecho público estudiadas, consiste en el deber de expedir un manual de contratación. </w:t>
            </w:r>
            <w:r w:rsidRPr="003A1844">
              <w:rPr>
                <w:rFonts w:ascii="Verdana" w:eastAsia="Calibri" w:hAnsi="Verdana" w:cs="Arial"/>
                <w:lang w:val="es-ES_tradnl"/>
              </w:rPr>
              <w:t>Sobre este punto particular es preciso destacar que, las Entidades Estatales sometidas a regímenes especiales de derecho privado tienen una amplia libertad de configuración del contenido del manual de contratación. Esta libertad se deriva del principio de autonomía de la voluntad reconocida a estas entidades, que les permite establecer la manera en que adelantarán sus procesos de contratació</w:t>
            </w:r>
            <w:r>
              <w:rPr>
                <w:rFonts w:ascii="Verdana" w:eastAsia="Calibri" w:hAnsi="Verdana" w:cs="Arial"/>
                <w:lang w:val="es-ES_tradnl"/>
              </w:rPr>
              <w:t>n.</w:t>
            </w:r>
            <w:r w:rsidRPr="003A1844">
              <w:rPr>
                <w:rFonts w:ascii="Verdana" w:eastAsia="Calibri" w:hAnsi="Verdana" w:cs="Arial"/>
                <w:lang w:val="es-ES_tradnl"/>
              </w:rPr>
              <w:t xml:space="preserve"> </w:t>
            </w:r>
          </w:p>
          <w:p w14:paraId="511E51E5" w14:textId="77777777" w:rsidR="008D4DDA" w:rsidRPr="003C70D8" w:rsidRDefault="008D4DDA" w:rsidP="00296400">
            <w:pPr>
              <w:spacing w:after="120" w:line="276" w:lineRule="auto"/>
              <w:ind w:firstLine="708"/>
              <w:jc w:val="both"/>
              <w:rPr>
                <w:rFonts w:ascii="Verdana" w:eastAsia="Times New Roman" w:hAnsi="Verdana" w:cs="Arial"/>
                <w:color w:val="000000"/>
                <w:lang w:val="es-MX" w:eastAsia="es-ES_tradnl"/>
              </w:rPr>
            </w:pPr>
            <w:r>
              <w:rPr>
                <w:rFonts w:ascii="Verdana" w:eastAsia="Calibri" w:hAnsi="Verdana" w:cs="Times New Roman"/>
              </w:rPr>
              <w:t xml:space="preserve">En este sentido, </w:t>
            </w:r>
            <w:r>
              <w:rPr>
                <w:rFonts w:ascii="Verdana" w:hAnsi="Verdana" w:cs="Arial"/>
                <w:bCs/>
                <w:color w:val="000000" w:themeColor="text1"/>
                <w:lang w:val="es-ES"/>
              </w:rPr>
              <w:t>las Empresas Sociales del Estado – ESE no se encuentran sometidas al Estatuto General de Contratación de la Administración Pública, ni a las normas que lo reglamentan o complementan y, en consecuencia, su actividad contractual se rige por un régimen especial de derecho privado y particularmente por lo dispuesto en sus respectivos manuales de contratación. Esta circunstancia resulta determinante para el problema jurídico planteado en este concepto.</w:t>
            </w:r>
          </w:p>
          <w:p w14:paraId="13389F27" w14:textId="77777777" w:rsidR="008D4DDA" w:rsidRDefault="008D4DDA" w:rsidP="00296400">
            <w:pPr>
              <w:spacing w:after="120" w:line="276" w:lineRule="auto"/>
              <w:jc w:val="both"/>
              <w:rPr>
                <w:rFonts w:ascii="Verdana" w:hAnsi="Verdana" w:cs="Arial"/>
                <w:bCs/>
                <w:color w:val="000000" w:themeColor="text1"/>
                <w:lang w:val="es-ES"/>
              </w:rPr>
            </w:pPr>
            <w:r>
              <w:rPr>
                <w:rFonts w:ascii="Verdana" w:hAnsi="Verdana" w:cs="Arial"/>
                <w:bCs/>
                <w:color w:val="000000" w:themeColor="text1"/>
                <w:lang w:val="es-ES"/>
              </w:rPr>
              <w:tab/>
              <w:t xml:space="preserve">En efecto, la exigencia de la capacidad residual se encuentra prevista de manera expresa en el artículo 6 de la Ley 1150 de 2007 y desarrollada reglamentariamente en el artículo 2.2.1.1.1.6.4 del Decreto 1082 de 2015, disposiciones que integran el Estatuto General de Contratación de la Administración Pública. Así, dado que las ESE no se rigen de manera integral </w:t>
            </w:r>
            <w:r>
              <w:rPr>
                <w:rFonts w:ascii="Verdana" w:hAnsi="Verdana" w:cs="Arial"/>
                <w:bCs/>
                <w:color w:val="000000" w:themeColor="text1"/>
                <w:lang w:val="es-ES"/>
              </w:rPr>
              <w:lastRenderedPageBreak/>
              <w:t xml:space="preserve">por estas normas, la exigencia de la capacidad residual no les resulta jurídicamente obligatoria en los contratos de obra pública que celebren. </w:t>
            </w:r>
          </w:p>
          <w:p w14:paraId="7E3E504A" w14:textId="77777777" w:rsidR="008D4DDA" w:rsidRDefault="008D4DDA" w:rsidP="00296400">
            <w:pPr>
              <w:spacing w:after="120" w:line="276" w:lineRule="auto"/>
              <w:jc w:val="both"/>
              <w:rPr>
                <w:rFonts w:ascii="Verdana" w:hAnsi="Verdana" w:cs="Arial"/>
                <w:bCs/>
                <w:color w:val="000000" w:themeColor="text1"/>
                <w:lang w:val="es-ES"/>
              </w:rPr>
            </w:pPr>
            <w:r>
              <w:rPr>
                <w:rFonts w:ascii="Verdana" w:hAnsi="Verdana" w:cs="Arial"/>
                <w:bCs/>
                <w:color w:val="000000" w:themeColor="text1"/>
                <w:lang w:val="es-ES"/>
              </w:rPr>
              <w:tab/>
              <w:t xml:space="preserve">No obstante, entendiendo que la actividad contractual de las ESE se desarrolla bajo el derecho privado y lo establecido en sus manuales de contratación, y considerando que la capacidad residual constituye un criterio orientado a verificar la aptitud del oferente para ejecutar de manera íntegra el contrato de obra sin que otros compromisos contractuales afecten su cumplimiento, resulta jurídicamente viable que estas entidades, en ejercicio de su autonomía contractual, incorporen dicha exigencia en su manual de contratación, libertad que se deriva del principio de la autonomía de la voluntad que se les reconocer a estas entidades. </w:t>
            </w:r>
          </w:p>
          <w:p w14:paraId="379B1EC5" w14:textId="77777777" w:rsidR="008D4DDA" w:rsidRPr="00D34E9B" w:rsidRDefault="008D4DDA" w:rsidP="00296400">
            <w:pPr>
              <w:spacing w:line="276" w:lineRule="auto"/>
              <w:jc w:val="both"/>
              <w:rPr>
                <w:rFonts w:ascii="Verdana" w:hAnsi="Verdana" w:cs="Arial"/>
                <w:bCs/>
                <w:color w:val="000000" w:themeColor="text1"/>
                <w:lang w:val="es-ES"/>
              </w:rPr>
            </w:pPr>
            <w:r>
              <w:rPr>
                <w:rFonts w:ascii="Verdana" w:hAnsi="Verdana" w:cs="Arial"/>
                <w:bCs/>
                <w:color w:val="000000" w:themeColor="text1"/>
                <w:lang w:val="es-ES"/>
              </w:rPr>
              <w:tab/>
              <w:t xml:space="preserve">De esta forma, si las Empresas Sociales del Estado determinan en sus manuales de contratación la exigencia de capacidad residual para los procesos que adelanten que tenga como objeto un contrato de obra, </w:t>
            </w:r>
            <w:r w:rsidRPr="003A1844">
              <w:rPr>
                <w:rFonts w:ascii="Verdana" w:eastAsia="Arial" w:hAnsi="Verdana" w:cs="Arial"/>
                <w:lang w:val="es-ES"/>
              </w:rPr>
              <w:t>su</w:t>
            </w:r>
            <w:r w:rsidRPr="003A1844">
              <w:rPr>
                <w:rFonts w:ascii="Verdana" w:eastAsia="Arial" w:hAnsi="Verdana" w:cs="Arial"/>
                <w:spacing w:val="1"/>
                <w:lang w:val="es-ES"/>
              </w:rPr>
              <w:t xml:space="preserve"> </w:t>
            </w:r>
            <w:r w:rsidRPr="003A1844">
              <w:rPr>
                <w:rFonts w:ascii="Verdana" w:eastAsia="Arial" w:hAnsi="Verdana" w:cs="Arial"/>
                <w:lang w:val="es-ES"/>
              </w:rPr>
              <w:t xml:space="preserve">contenido vincula </w:t>
            </w:r>
            <w:r>
              <w:rPr>
                <w:rFonts w:ascii="Verdana" w:eastAsia="Arial" w:hAnsi="Verdana" w:cs="Arial"/>
                <w:lang w:val="es-ES"/>
              </w:rPr>
              <w:t xml:space="preserve">a la </w:t>
            </w:r>
            <w:r w:rsidRPr="003A1844">
              <w:rPr>
                <w:rFonts w:ascii="Verdana" w:eastAsia="Arial" w:hAnsi="Verdana" w:cs="Arial"/>
                <w:lang w:val="es-ES"/>
              </w:rPr>
              <w:t>entidad y no p</w:t>
            </w:r>
            <w:r>
              <w:rPr>
                <w:rFonts w:ascii="Verdana" w:eastAsia="Arial" w:hAnsi="Verdana" w:cs="Arial"/>
                <w:lang w:val="es-ES"/>
              </w:rPr>
              <w:t xml:space="preserve">odrá desconocer dicha exigencia. </w:t>
            </w:r>
          </w:p>
        </w:tc>
      </w:tr>
    </w:tbl>
    <w:p w14:paraId="51639148" w14:textId="77777777" w:rsidR="008D4DDA" w:rsidRDefault="008D4DDA" w:rsidP="008D4DDA">
      <w:pPr>
        <w:spacing w:after="0" w:line="276" w:lineRule="auto"/>
        <w:jc w:val="both"/>
        <w:rPr>
          <w:rFonts w:ascii="Verdana" w:eastAsia="Calibri" w:hAnsi="Verdana" w:cs="Arial"/>
          <w:bCs/>
          <w:color w:val="000000" w:themeColor="text1"/>
        </w:rPr>
      </w:pPr>
    </w:p>
    <w:p w14:paraId="73C96885" w14:textId="77777777" w:rsidR="008D4DDA" w:rsidRPr="003F4BAF" w:rsidRDefault="008D4DDA" w:rsidP="008D4DDA">
      <w:pPr>
        <w:numPr>
          <w:ilvl w:val="0"/>
          <w:numId w:val="16"/>
        </w:numPr>
        <w:spacing w:after="0" w:line="256" w:lineRule="auto"/>
        <w:ind w:left="0" w:firstLine="0"/>
        <w:rPr>
          <w:rFonts w:ascii="Verdana" w:eastAsia="Calibri" w:hAnsi="Verdana" w:cs="Times New Roman"/>
          <w:b/>
          <w:bCs/>
          <w:lang w:val="es-ES"/>
        </w:rPr>
      </w:pPr>
      <w:r w:rsidRPr="003F4BAF">
        <w:rPr>
          <w:rFonts w:ascii="Verdana" w:eastAsia="Calibri" w:hAnsi="Verdana" w:cs="Times New Roman"/>
          <w:b/>
          <w:bCs/>
          <w:lang w:val="es-ES"/>
        </w:rPr>
        <w:t>Razones de la respuesta:</w:t>
      </w:r>
    </w:p>
    <w:p w14:paraId="10BBAFB4" w14:textId="77777777" w:rsidR="008D4DDA" w:rsidRPr="003F4BAF" w:rsidRDefault="008D4DDA" w:rsidP="008D4DDA">
      <w:pPr>
        <w:spacing w:after="0" w:line="256" w:lineRule="auto"/>
        <w:rPr>
          <w:rFonts w:ascii="Verdana" w:eastAsia="Calibri" w:hAnsi="Verdana" w:cs="Times New Roman"/>
          <w:b/>
          <w:bCs/>
          <w:lang w:val="es-ES"/>
        </w:rPr>
      </w:pPr>
    </w:p>
    <w:p w14:paraId="0B5049C3" w14:textId="77777777" w:rsidR="008D4DDA" w:rsidRPr="003F4BAF" w:rsidRDefault="008D4DDA" w:rsidP="008D4DDA">
      <w:pPr>
        <w:spacing w:after="0" w:line="276" w:lineRule="auto"/>
        <w:jc w:val="both"/>
        <w:rPr>
          <w:rFonts w:ascii="Verdana" w:eastAsia="Calibri" w:hAnsi="Verdana" w:cs="Arial"/>
          <w:lang w:val="es-ES"/>
        </w:rPr>
      </w:pPr>
      <w:r w:rsidRPr="003F4BAF">
        <w:rPr>
          <w:rFonts w:ascii="Verdana" w:eastAsia="Calibri" w:hAnsi="Verdana" w:cs="Arial"/>
          <w:lang w:val="es-ES"/>
        </w:rPr>
        <w:t xml:space="preserve">Lo anterior se sustenta en las siguientes consideraciones: </w:t>
      </w:r>
    </w:p>
    <w:p w14:paraId="222A6840" w14:textId="77777777" w:rsidR="008D4DDA" w:rsidRPr="00415608" w:rsidRDefault="008D4DDA" w:rsidP="008D4DDA">
      <w:pPr>
        <w:spacing w:after="0" w:line="276" w:lineRule="auto"/>
        <w:jc w:val="both"/>
        <w:rPr>
          <w:rFonts w:ascii="Verdana" w:eastAsia="Calibri" w:hAnsi="Verdana" w:cs="Arial"/>
          <w:lang w:val="es-ES"/>
        </w:rPr>
      </w:pPr>
    </w:p>
    <w:p w14:paraId="4FEE31BF" w14:textId="77777777" w:rsidR="008D4DDA" w:rsidRPr="002A22E2" w:rsidRDefault="008D4DDA" w:rsidP="008D4DDA">
      <w:pPr>
        <w:spacing w:after="120" w:line="276" w:lineRule="auto"/>
        <w:jc w:val="both"/>
        <w:rPr>
          <w:rFonts w:ascii="Verdana" w:hAnsi="Verdana" w:cs="Arial"/>
          <w:b/>
          <w:lang w:val="es-ES_tradnl"/>
        </w:rPr>
      </w:pPr>
      <w:r>
        <w:rPr>
          <w:rFonts w:ascii="Verdana" w:hAnsi="Verdana"/>
        </w:rPr>
        <w:t xml:space="preserve">i) </w:t>
      </w:r>
      <w:r w:rsidRPr="002B4E56">
        <w:rPr>
          <w:rFonts w:ascii="Verdana" w:hAnsi="Verdana"/>
        </w:rPr>
        <w:t>Las entidades de</w:t>
      </w:r>
      <w:r w:rsidRPr="002A22E2">
        <w:rPr>
          <w:rFonts w:ascii="Verdana" w:hAnsi="Verdana" w:cs="Arial"/>
          <w:lang w:val="es-ES_tradnl"/>
        </w:rPr>
        <w:t xml:space="preserve"> régimen especial son aquellas que, por expresa disposición legal y debido a su naturaleza o situación de competencia, tienen condiciones diferenciales respecto a la normativa aplicable en materia de contratación pública. Esto quiere decir que, no están sometidas al Estatuto General de Contratación de la Administración Pública –en adelante </w:t>
      </w:r>
      <w:bookmarkStart w:id="1" w:name="_Hlk97724318"/>
      <w:r w:rsidRPr="002A22E2">
        <w:rPr>
          <w:rFonts w:ascii="Verdana" w:hAnsi="Verdana" w:cs="Arial"/>
          <w:lang w:val="es-ES_tradnl"/>
        </w:rPr>
        <w:t>EGCAP</w:t>
      </w:r>
      <w:bookmarkEnd w:id="1"/>
      <w:r w:rsidRPr="002A22E2">
        <w:rPr>
          <w:rFonts w:ascii="Verdana" w:hAnsi="Verdana" w:cs="Arial"/>
          <w:lang w:val="es-ES_tradnl"/>
        </w:rPr>
        <w:t>– y, por ende, sus procedimientos contractuales se rigen por una normativa propia para su desarrollo, esto es, el derecho privado. Esta particularidad está establecida en las normas de creación de las entidades de régimen especial y en sus manuales de contratación.</w:t>
      </w:r>
    </w:p>
    <w:p w14:paraId="7FF745B3" w14:textId="77777777" w:rsidR="008D4DDA" w:rsidRPr="00231451" w:rsidRDefault="008D4DDA" w:rsidP="008D4DDA">
      <w:pPr>
        <w:spacing w:before="120" w:after="120" w:line="276" w:lineRule="auto"/>
        <w:ind w:firstLine="709"/>
        <w:jc w:val="both"/>
        <w:rPr>
          <w:rFonts w:ascii="Verdana" w:hAnsi="Verdana" w:cs="Arial"/>
          <w:lang w:val="es-ES"/>
        </w:rPr>
      </w:pPr>
      <w:r w:rsidRPr="002A22E2">
        <w:rPr>
          <w:rFonts w:ascii="Verdana" w:hAnsi="Verdana" w:cs="Arial"/>
          <w:lang w:val="es-ES"/>
        </w:rPr>
        <w:t xml:space="preserve">Teniendo en cuenta que las entidades de régimen especial están facultadas legalmente para aplicar reglas distintas a las establecidas en la Ley 80 de 1993 y sus normas complementarias, su régimen contractual estará definido en la norma que crea el régimen especial y será desarrollado en el manual de contratación de la respectiva entidad. Esto, con el fin de que se puedan identificar las reglas que aplican en la contratación. </w:t>
      </w:r>
    </w:p>
    <w:p w14:paraId="4C39D1A6" w14:textId="77777777" w:rsidR="008D4DDA" w:rsidRDefault="008D4DDA" w:rsidP="008D4DDA">
      <w:pPr>
        <w:spacing w:after="120" w:line="276" w:lineRule="auto"/>
        <w:jc w:val="both"/>
        <w:rPr>
          <w:rFonts w:ascii="Verdana" w:hAnsi="Verdana" w:cs="Arial"/>
        </w:rPr>
      </w:pPr>
      <w:r w:rsidRPr="00501E29">
        <w:rPr>
          <w:rFonts w:ascii="Verdana" w:hAnsi="Verdana" w:cs="Arial"/>
        </w:rPr>
        <w:lastRenderedPageBreak/>
        <w:tab/>
      </w:r>
      <w:r>
        <w:rPr>
          <w:rFonts w:ascii="Verdana" w:hAnsi="Verdana" w:cs="Arial"/>
        </w:rPr>
        <w:t>Sin embargo, e</w:t>
      </w:r>
      <w:r w:rsidRPr="00501E29">
        <w:rPr>
          <w:rFonts w:ascii="Verdana" w:hAnsi="Verdana" w:cs="Arial"/>
        </w:rPr>
        <w:t>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w:t>
      </w:r>
    </w:p>
    <w:p w14:paraId="612C9D40" w14:textId="77777777" w:rsidR="008D4DDA" w:rsidRPr="00D4240A" w:rsidRDefault="008D4DDA" w:rsidP="008D4DDA">
      <w:pPr>
        <w:spacing w:after="120" w:line="276" w:lineRule="auto"/>
        <w:ind w:firstLine="709"/>
        <w:jc w:val="both"/>
        <w:rPr>
          <w:rFonts w:ascii="Verdana" w:hAnsi="Verdana" w:cs="Arial"/>
        </w:rPr>
      </w:pPr>
      <w:r w:rsidRPr="00D4240A">
        <w:rPr>
          <w:rFonts w:ascii="Verdana" w:hAnsi="Verdana" w:cs="Arial"/>
        </w:rPr>
        <w:t xml:space="preserve">No obstante, aunque tenga una influencia limitada, las </w:t>
      </w:r>
      <w:r w:rsidRPr="00D4240A">
        <w:rPr>
          <w:rFonts w:ascii="Verdana" w:hAnsi="Verdana" w:cs="Arial"/>
          <w:i/>
          <w:iCs/>
        </w:rPr>
        <w:t>entidades del régimen exceptuado</w:t>
      </w:r>
      <w:r w:rsidRPr="00D4240A">
        <w:rPr>
          <w:rFonts w:ascii="Verdana" w:hAnsi="Verdana" w:cs="Arial"/>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07999930" w14:textId="77777777" w:rsidR="008D4DDA" w:rsidRDefault="008D4DDA" w:rsidP="008D4DDA">
      <w:pPr>
        <w:spacing w:after="0" w:line="276" w:lineRule="auto"/>
        <w:ind w:firstLine="708"/>
        <w:jc w:val="both"/>
        <w:rPr>
          <w:rFonts w:ascii="Verdana" w:hAnsi="Verdana" w:cs="Arial"/>
        </w:rPr>
      </w:pPr>
      <w:r w:rsidRPr="00D4240A">
        <w:rPr>
          <w:rFonts w:ascii="Verdana" w:hAnsi="Verdana" w:cs="Arial"/>
        </w:rPr>
        <w:t>La existencia de entidades exceptuadas del EGCAP se ha justificado por alguna de las siguientes tres (3) circunstancias: i) facilitar la competencia económica –como ocurre actualmente respecto al régimen de los servicios públicos domiciliarios–, ii) flexibilizar el ejercicio de la función administrativa –como en los contratos del Banco de la República o los de ciencia y tecnología– o iii) establecer un régimen especial sin excluir por completo la aplicación de la Ley 80 de 1993 –como ocurre en la operaciones del crédito público–</w:t>
      </w:r>
      <w:r w:rsidRPr="00D4240A">
        <w:rPr>
          <w:rStyle w:val="Refdenotaalpie"/>
          <w:rFonts w:ascii="Verdana" w:hAnsi="Verdana" w:cs="Arial"/>
        </w:rPr>
        <w:footnoteReference w:id="1"/>
      </w:r>
      <w:r w:rsidRPr="00D4240A">
        <w:rPr>
          <w:rFonts w:ascii="Verdana" w:hAnsi="Verdana" w:cs="Arial"/>
        </w:rPr>
        <w:t>.  Para estos efectos, la doctrina ha identificado 171 entidades y contratos que manejan un régimen excepcional, los cuales se clasifican de acuerdo i) al sector económico, ii) la asignación de un esquema legal especial, iii) el objeto del contrato celebrado y iv) la existencia de fondos que administran recursos públicos</w:t>
      </w:r>
      <w:r w:rsidRPr="00D4240A">
        <w:rPr>
          <w:rStyle w:val="Refdenotaalpie"/>
          <w:rFonts w:ascii="Verdana" w:hAnsi="Verdana" w:cs="Arial"/>
        </w:rPr>
        <w:footnoteReference w:id="2"/>
      </w:r>
      <w:r w:rsidRPr="00D4240A">
        <w:rPr>
          <w:rFonts w:ascii="Verdana" w:hAnsi="Verdana" w:cs="Arial"/>
        </w:rPr>
        <w:t>.</w:t>
      </w:r>
    </w:p>
    <w:p w14:paraId="2A96805C" w14:textId="77777777" w:rsidR="008D4DDA" w:rsidRDefault="008D4DDA" w:rsidP="008D4DDA">
      <w:pPr>
        <w:spacing w:after="0" w:line="276" w:lineRule="auto"/>
        <w:jc w:val="both"/>
        <w:rPr>
          <w:rFonts w:ascii="Verdana" w:hAnsi="Verdana" w:cs="Arial"/>
          <w:bCs/>
        </w:rPr>
      </w:pPr>
    </w:p>
    <w:p w14:paraId="6AC70C8E" w14:textId="77777777" w:rsidR="008D4DDA" w:rsidRPr="00926260" w:rsidRDefault="008D4DDA" w:rsidP="008D4DDA">
      <w:pPr>
        <w:tabs>
          <w:tab w:val="left" w:pos="426"/>
        </w:tabs>
        <w:spacing w:after="0" w:line="276" w:lineRule="auto"/>
        <w:jc w:val="both"/>
        <w:rPr>
          <w:rFonts w:ascii="Verdana" w:eastAsia="Calibri" w:hAnsi="Verdana" w:cs="Arial"/>
          <w:color w:val="000000" w:themeColor="text1"/>
          <w:lang w:val="es-ES"/>
        </w:rPr>
      </w:pPr>
      <w:r w:rsidRPr="00E33D48">
        <w:rPr>
          <w:rFonts w:ascii="Verdana" w:hAnsi="Verdana" w:cs="Arial"/>
          <w:bCs/>
        </w:rPr>
        <w:t>ii</w:t>
      </w:r>
      <w:r>
        <w:rPr>
          <w:rFonts w:ascii="Verdana" w:hAnsi="Verdana" w:cs="Arial"/>
          <w:bCs/>
        </w:rPr>
        <w:t xml:space="preserve">. </w:t>
      </w:r>
      <w:r w:rsidRPr="003A1844">
        <w:rPr>
          <w:rFonts w:ascii="Verdana" w:hAnsi="Verdana" w:cs="Arial"/>
          <w:lang w:val="es-MX"/>
        </w:rPr>
        <w:t>Una de las Entidades Estatales con régimen especial son las Empresas Sociales del Estado – ESE, sobre las que redunda el objeto de su concepto. Estas empresas han sido entendidas como Entidades Públicas que, conforme al artículo 194 de la Ley 100 de 1993, constituyen una categoría especial, descentralizada por servicios, con personería jurídica, patrimonio propio y autonomía administrativa</w:t>
      </w:r>
      <w:r w:rsidRPr="003A1844">
        <w:rPr>
          <w:rFonts w:ascii="Verdana" w:hAnsi="Verdana" w:cs="Arial"/>
          <w:vertAlign w:val="superscript"/>
          <w:lang w:val="es-MX"/>
        </w:rPr>
        <w:footnoteReference w:id="3"/>
      </w:r>
      <w:r w:rsidRPr="003A1844">
        <w:rPr>
          <w:rFonts w:ascii="Verdana" w:hAnsi="Verdana" w:cs="Arial"/>
          <w:lang w:val="es-MX"/>
        </w:rPr>
        <w:t xml:space="preserve">. A través de ellas la Nación o las entidades territoriales prestan el servicio de salud de manera directa, es decir, las Empresas Sociales del Estado son, esencialmente, los hospitales públicos. El Consejo de Estado, en relación con la naturaleza jurídica de estas entidades, precisó: </w:t>
      </w:r>
    </w:p>
    <w:p w14:paraId="71399A32" w14:textId="77777777" w:rsidR="008D4DDA" w:rsidRPr="003A1844" w:rsidRDefault="008D4DDA" w:rsidP="008D4DDA">
      <w:pPr>
        <w:spacing w:after="0" w:line="276" w:lineRule="auto"/>
        <w:ind w:firstLine="709"/>
        <w:jc w:val="both"/>
        <w:rPr>
          <w:rFonts w:ascii="Verdana" w:hAnsi="Verdana" w:cs="Arial"/>
          <w:lang w:val="es-MX"/>
        </w:rPr>
      </w:pPr>
    </w:p>
    <w:p w14:paraId="49DD5EAF" w14:textId="77777777" w:rsidR="008D4DDA" w:rsidRPr="003A1844" w:rsidRDefault="008D4DDA" w:rsidP="008D4DDA">
      <w:pPr>
        <w:spacing w:after="0" w:line="240" w:lineRule="auto"/>
        <w:ind w:left="709" w:right="709"/>
        <w:jc w:val="both"/>
        <w:rPr>
          <w:rFonts w:ascii="Verdana" w:eastAsia="Calibri" w:hAnsi="Verdana" w:cs="Arial"/>
          <w:sz w:val="20"/>
          <w:szCs w:val="20"/>
        </w:rPr>
      </w:pPr>
      <w:r w:rsidRPr="003A1844">
        <w:rPr>
          <w:rFonts w:ascii="Verdana" w:eastAsia="Calibri" w:hAnsi="Verdana" w:cs="Arial"/>
          <w:sz w:val="20"/>
          <w:szCs w:val="20"/>
        </w:rPr>
        <w:t>“[…] Se tiene que las empresas sociales del Estado, es decir, los hospitales públicos a que se refiere la ley 100 de 1993, son entidades descentralizadas por servicios, de naturaleza jurídica especial, es decir, son entidades estatales que pertenecen a la estructura de la rama ejecutiva del poder público, porque así lo disponen los arts. 38 y 68 de la ley 489 de 1998 […]”</w:t>
      </w:r>
      <w:r w:rsidRPr="003A1844">
        <w:rPr>
          <w:rFonts w:ascii="Verdana" w:eastAsia="Calibri" w:hAnsi="Verdana" w:cs="Arial"/>
          <w:sz w:val="20"/>
          <w:szCs w:val="20"/>
          <w:vertAlign w:val="superscript"/>
        </w:rPr>
        <w:footnoteReference w:id="4"/>
      </w:r>
      <w:r w:rsidRPr="003A1844">
        <w:rPr>
          <w:rFonts w:ascii="Verdana" w:eastAsia="Calibri" w:hAnsi="Verdana" w:cs="Arial"/>
          <w:sz w:val="20"/>
          <w:szCs w:val="20"/>
        </w:rPr>
        <w:t xml:space="preserve">. </w:t>
      </w:r>
    </w:p>
    <w:p w14:paraId="4C86366A" w14:textId="77777777" w:rsidR="008D4DDA" w:rsidRPr="003A1844" w:rsidRDefault="008D4DDA" w:rsidP="008D4DDA">
      <w:pPr>
        <w:spacing w:after="0" w:line="276" w:lineRule="auto"/>
        <w:ind w:left="709" w:right="709"/>
        <w:jc w:val="both"/>
        <w:rPr>
          <w:rFonts w:ascii="Verdana" w:eastAsia="Calibri" w:hAnsi="Verdana" w:cs="Arial"/>
        </w:rPr>
      </w:pPr>
    </w:p>
    <w:p w14:paraId="53E26E5A" w14:textId="77777777" w:rsidR="008D4DDA" w:rsidRPr="003A1844" w:rsidRDefault="008D4DDA" w:rsidP="008D4DDA">
      <w:pPr>
        <w:widowControl w:val="0"/>
        <w:autoSpaceDE w:val="0"/>
        <w:autoSpaceDN w:val="0"/>
        <w:spacing w:after="120" w:line="276" w:lineRule="auto"/>
        <w:ind w:right="102" w:firstLine="709"/>
        <w:jc w:val="both"/>
        <w:rPr>
          <w:rFonts w:ascii="Verdana" w:eastAsia="Arial" w:hAnsi="Verdana" w:cs="Arial"/>
          <w:lang w:val="es-ES"/>
        </w:rPr>
      </w:pPr>
      <w:r>
        <w:rPr>
          <w:rFonts w:ascii="Verdana" w:eastAsia="Arial" w:hAnsi="Verdana" w:cs="Arial"/>
          <w:lang w:val="es-ES"/>
        </w:rPr>
        <w:t>De la cita precedente</w:t>
      </w:r>
      <w:r w:rsidRPr="003A1844">
        <w:rPr>
          <w:rFonts w:ascii="Verdana" w:eastAsia="Arial" w:hAnsi="Verdana" w:cs="Arial"/>
          <w:lang w:val="es-ES"/>
        </w:rPr>
        <w:t xml:space="preserve"> puede concluir</w:t>
      </w:r>
      <w:r>
        <w:rPr>
          <w:rFonts w:ascii="Verdana" w:eastAsia="Arial" w:hAnsi="Verdana" w:cs="Arial"/>
          <w:lang w:val="es-ES"/>
        </w:rPr>
        <w:t>se</w:t>
      </w:r>
      <w:r w:rsidRPr="003A1844">
        <w:rPr>
          <w:rFonts w:ascii="Verdana" w:eastAsia="Arial" w:hAnsi="Verdana" w:cs="Arial"/>
          <w:lang w:val="es-ES"/>
        </w:rPr>
        <w:t xml:space="preserve"> entonces que, las Empresas Sociales del Estado </w:t>
      </w:r>
      <w:r w:rsidRPr="003A1844">
        <w:rPr>
          <w:rFonts w:ascii="Verdana" w:eastAsia="Arial" w:hAnsi="Verdana" w:cs="Arial"/>
          <w:lang w:val="es-MX"/>
        </w:rPr>
        <w:t>–ESE–</w:t>
      </w:r>
      <w:r w:rsidRPr="003A1844">
        <w:rPr>
          <w:rFonts w:ascii="Verdana" w:eastAsia="Arial" w:hAnsi="Verdana" w:cs="Arial"/>
          <w:lang w:val="es-ES"/>
        </w:rPr>
        <w:t xml:space="preserve"> son una categoría especial de Entidades Públicas que hacen parte de la estructura de la Rama Ejecutiva del poder público. En este mismo sentido, el artículo 38 de la Ley 489 de 1998, en el que se consagran los organismos y entidades que integran la rama ejecutiva del poder público, dispuso en el literal d) del numeral 2 que las Empresas Sociales del Estado hacen parte del sector descentralizado por servicios de esta rama del poder público. </w:t>
      </w:r>
    </w:p>
    <w:p w14:paraId="30B0577A" w14:textId="77777777" w:rsidR="008D4DDA" w:rsidRPr="003A1844" w:rsidRDefault="008D4DDA" w:rsidP="008D4DDA">
      <w:pPr>
        <w:spacing w:after="120" w:line="276" w:lineRule="auto"/>
        <w:ind w:firstLine="709"/>
        <w:jc w:val="both"/>
        <w:rPr>
          <w:rFonts w:ascii="Verdana" w:hAnsi="Verdana" w:cs="Arial"/>
        </w:rPr>
      </w:pPr>
      <w:r w:rsidRPr="003A1844">
        <w:rPr>
          <w:rFonts w:ascii="Verdana" w:hAnsi="Verdana" w:cs="Arial"/>
        </w:rPr>
        <w:t xml:space="preserve">Por su parte, en lo que a materia contractual se refiere, de conformidad con el numeral 6 del artículo 195 de la Ley 100 de 1993, el régimen de contratación de las </w:t>
      </w:r>
      <w:r w:rsidRPr="003A1844">
        <w:rPr>
          <w:rFonts w:ascii="Verdana" w:hAnsi="Verdana" w:cs="Arial"/>
          <w:lang w:val="es-MX"/>
        </w:rPr>
        <w:t>–ESE–</w:t>
      </w:r>
      <w:r w:rsidRPr="003A1844">
        <w:rPr>
          <w:rFonts w:ascii="Verdana" w:hAnsi="Verdana"/>
        </w:rPr>
        <w:t xml:space="preserve"> </w:t>
      </w:r>
      <w:r w:rsidRPr="003A1844">
        <w:rPr>
          <w:rFonts w:ascii="Verdana" w:hAnsi="Verdana" w:cs="Arial"/>
        </w:rPr>
        <w:t xml:space="preserve">es el de derecho privado, es decir, se rige por las disposiciones contenidas en el Código de Comercio y en el Código Civil, aplicables </w:t>
      </w:r>
      <w:r w:rsidRPr="003A1844">
        <w:rPr>
          <w:rFonts w:ascii="Verdana" w:hAnsi="Verdana" w:cs="Arial"/>
        </w:rPr>
        <w:lastRenderedPageBreak/>
        <w:t xml:space="preserve">en lo que resulten pertinentes, salvo en las materias particularmente reguladas </w:t>
      </w:r>
      <w:r w:rsidRPr="003A1844">
        <w:rPr>
          <w:rFonts w:ascii="Verdana" w:eastAsia="Calibri" w:hAnsi="Verdana" w:cs="Arial"/>
        </w:rPr>
        <w:t xml:space="preserve">por el derecho público. </w:t>
      </w:r>
      <w:r w:rsidRPr="003A1844">
        <w:rPr>
          <w:rFonts w:ascii="Verdana" w:hAnsi="Verdana" w:cs="Arial"/>
        </w:rPr>
        <w:t xml:space="preserve">La norma referida prescribe que: “En materia contractual se regirá por el derecho privado, </w:t>
      </w:r>
      <w:r w:rsidRPr="00E2011B">
        <w:rPr>
          <w:rFonts w:ascii="Verdana" w:hAnsi="Verdana" w:cs="Arial"/>
          <w:i/>
        </w:rPr>
        <w:t>pero podrá discrecionalmente utilizar las cláusulas exorbitantes previstas en el estatuto general de contratación de la administración pública”</w:t>
      </w:r>
      <w:r>
        <w:rPr>
          <w:rFonts w:ascii="Verdana" w:hAnsi="Verdana" w:cs="Arial"/>
        </w:rPr>
        <w:t xml:space="preserve"> (énfasis fuera de texto). </w:t>
      </w:r>
    </w:p>
    <w:p w14:paraId="7818A28F" w14:textId="77777777" w:rsidR="008D4DDA" w:rsidRPr="003A1844" w:rsidRDefault="008D4DDA" w:rsidP="008D4DDA">
      <w:pPr>
        <w:widowControl w:val="0"/>
        <w:autoSpaceDE w:val="0"/>
        <w:autoSpaceDN w:val="0"/>
        <w:spacing w:after="0" w:line="276" w:lineRule="auto"/>
        <w:ind w:right="102" w:firstLine="709"/>
        <w:jc w:val="both"/>
        <w:rPr>
          <w:rFonts w:ascii="Verdana" w:eastAsia="Arial" w:hAnsi="Verdana" w:cs="Arial"/>
          <w:lang w:val="es-ES"/>
        </w:rPr>
      </w:pPr>
      <w:r w:rsidRPr="003A1844">
        <w:rPr>
          <w:rFonts w:ascii="Verdana" w:eastAsia="Arial" w:hAnsi="Verdana" w:cs="Arial"/>
          <w:lang w:val="es-ES"/>
        </w:rPr>
        <w:t xml:space="preserve">En consecuencia, </w:t>
      </w:r>
      <w:r w:rsidRPr="003A1844">
        <w:rPr>
          <w:rFonts w:ascii="Verdana" w:eastAsia="Calibri" w:hAnsi="Verdana" w:cs="Arial"/>
          <w:color w:val="000000" w:themeColor="text1"/>
          <w:lang w:val="es-MX"/>
        </w:rPr>
        <w:t xml:space="preserve">las </w:t>
      </w:r>
      <w:r w:rsidRPr="003A1844">
        <w:rPr>
          <w:rFonts w:ascii="Verdana" w:eastAsia="Arial" w:hAnsi="Verdana" w:cs="Arial"/>
          <w:lang w:val="es-MX"/>
        </w:rPr>
        <w:t>–ESE–</w:t>
      </w:r>
      <w:r w:rsidRPr="003A1844">
        <w:rPr>
          <w:rFonts w:ascii="Verdana" w:eastAsia="Arial" w:hAnsi="Verdana" w:cs="Arial"/>
          <w:lang w:val="es-ES"/>
        </w:rPr>
        <w:t xml:space="preserve"> </w:t>
      </w:r>
      <w:r w:rsidRPr="003A1844">
        <w:rPr>
          <w:rFonts w:ascii="Verdana" w:eastAsia="Calibri" w:hAnsi="Verdana" w:cs="Arial"/>
          <w:color w:val="000000" w:themeColor="text1"/>
          <w:lang w:val="es-MX"/>
        </w:rPr>
        <w:t xml:space="preserve">no están sometidas al EGCAP ni a las normas que lo reglamentan o complementan, ya que, por disposición expresa de la norma transcrita, sus </w:t>
      </w:r>
      <w:r w:rsidRPr="003A1844">
        <w:rPr>
          <w:rFonts w:ascii="Verdana" w:eastAsia="Arial" w:hAnsi="Verdana" w:cs="Arial"/>
          <w:lang w:val="es-ES"/>
        </w:rPr>
        <w:t>contratos se rigen por el derecho privado. Sin embargo, esta circunstancia no implica la inobservancia de los principios de la función administrativa y la gestión fiscal, teniendo en cuenta que su objet</w:t>
      </w:r>
      <w:r>
        <w:rPr>
          <w:rFonts w:ascii="Verdana" w:eastAsia="Arial" w:hAnsi="Verdana" w:cs="Arial"/>
          <w:lang w:val="es-ES"/>
        </w:rPr>
        <w:t>o, conforme a la Sentencia C-665</w:t>
      </w:r>
      <w:r w:rsidRPr="003A1844">
        <w:rPr>
          <w:rFonts w:ascii="Verdana" w:eastAsia="Arial" w:hAnsi="Verdana" w:cs="Arial"/>
          <w:lang w:val="es-ES"/>
        </w:rPr>
        <w:t xml:space="preserve"> de 2000 de la Corte Constitucional, corresponde a la prestación del servicio de salud a cargo del Estado o como parte del servicio de seguridad social</w:t>
      </w:r>
      <w:r w:rsidRPr="003A1844">
        <w:rPr>
          <w:rFonts w:ascii="Verdana" w:eastAsia="Arial" w:hAnsi="Verdana" w:cs="Arial"/>
          <w:vertAlign w:val="superscript"/>
          <w:lang w:val="es-ES"/>
        </w:rPr>
        <w:footnoteReference w:id="5"/>
      </w:r>
      <w:r w:rsidRPr="003A1844">
        <w:rPr>
          <w:rFonts w:ascii="Verdana" w:eastAsia="Arial" w:hAnsi="Verdana" w:cs="Arial"/>
          <w:lang w:val="es-ES"/>
        </w:rPr>
        <w:t>. En esta misma línea, el artículo 83 de la Ley 489 de 1998, dispuso lo</w:t>
      </w:r>
      <w:r w:rsidRPr="003A1844">
        <w:rPr>
          <w:rFonts w:ascii="Verdana" w:eastAsia="Arial" w:hAnsi="Verdana" w:cs="Arial"/>
          <w:spacing w:val="-12"/>
          <w:lang w:val="es-ES"/>
        </w:rPr>
        <w:t xml:space="preserve"> </w:t>
      </w:r>
      <w:r w:rsidRPr="003A1844">
        <w:rPr>
          <w:rFonts w:ascii="Verdana" w:eastAsia="Arial" w:hAnsi="Verdana" w:cs="Arial"/>
          <w:lang w:val="es-ES"/>
        </w:rPr>
        <w:t>siguiente:</w:t>
      </w:r>
    </w:p>
    <w:p w14:paraId="64212D7A" w14:textId="77777777" w:rsidR="008D4DDA" w:rsidRPr="003A1844" w:rsidRDefault="008D4DDA" w:rsidP="008D4DDA">
      <w:pPr>
        <w:widowControl w:val="0"/>
        <w:autoSpaceDE w:val="0"/>
        <w:autoSpaceDN w:val="0"/>
        <w:spacing w:after="0" w:line="276" w:lineRule="auto"/>
        <w:ind w:right="102" w:firstLine="709"/>
        <w:jc w:val="both"/>
        <w:rPr>
          <w:rFonts w:ascii="Verdana" w:eastAsia="Arial" w:hAnsi="Verdana" w:cs="Arial"/>
          <w:lang w:val="es-ES"/>
        </w:rPr>
      </w:pPr>
    </w:p>
    <w:p w14:paraId="67DA7FF4" w14:textId="77777777" w:rsidR="008D4DDA" w:rsidRPr="003A1844" w:rsidRDefault="008D4DDA" w:rsidP="008D4DDA">
      <w:pPr>
        <w:widowControl w:val="0"/>
        <w:autoSpaceDE w:val="0"/>
        <w:autoSpaceDN w:val="0"/>
        <w:spacing w:after="0" w:line="240" w:lineRule="auto"/>
        <w:ind w:left="709" w:right="709"/>
        <w:jc w:val="both"/>
        <w:rPr>
          <w:rFonts w:ascii="Verdana" w:eastAsia="Arial" w:hAnsi="Verdana" w:cs="Arial"/>
          <w:sz w:val="20"/>
          <w:szCs w:val="20"/>
          <w:lang w:val="es-ES"/>
        </w:rPr>
      </w:pPr>
      <w:r w:rsidRPr="003A1844">
        <w:rPr>
          <w:rFonts w:ascii="Verdana" w:eastAsia="Arial" w:hAnsi="Verdana" w:cs="Arial"/>
          <w:sz w:val="20"/>
          <w:szCs w:val="20"/>
          <w:lang w:val="es-ES"/>
        </w:rPr>
        <w:t>“Artículo 83. Empresas sociales del Estado. Las empresas sociales del Estado, creadas por la Nación o por las entidades territoriales para la prestación en forma directa de servicios de salud, se sujetan al régimen previsto en la Ley 100 de 1993, la Ley 344 de 1996 y en la presente Ley en los aspectos no regulados por dichas leyes y a las normas que las complementen, sustituyan o</w:t>
      </w:r>
      <w:r w:rsidRPr="003A1844">
        <w:rPr>
          <w:rFonts w:ascii="Verdana" w:eastAsia="Arial" w:hAnsi="Verdana" w:cs="Arial"/>
          <w:spacing w:val="-1"/>
          <w:sz w:val="20"/>
          <w:szCs w:val="20"/>
          <w:lang w:val="es-ES"/>
        </w:rPr>
        <w:t xml:space="preserve"> </w:t>
      </w:r>
      <w:r w:rsidRPr="003A1844">
        <w:rPr>
          <w:rFonts w:ascii="Verdana" w:eastAsia="Arial" w:hAnsi="Verdana" w:cs="Arial"/>
          <w:sz w:val="20"/>
          <w:szCs w:val="20"/>
          <w:lang w:val="es-ES"/>
        </w:rPr>
        <w:t>adicionen.”</w:t>
      </w:r>
    </w:p>
    <w:p w14:paraId="446B9D4A" w14:textId="77777777" w:rsidR="008D4DDA" w:rsidRPr="003A1844" w:rsidRDefault="008D4DDA" w:rsidP="008D4DDA">
      <w:pPr>
        <w:widowControl w:val="0"/>
        <w:autoSpaceDE w:val="0"/>
        <w:autoSpaceDN w:val="0"/>
        <w:spacing w:after="0" w:line="276" w:lineRule="auto"/>
        <w:jc w:val="both"/>
        <w:rPr>
          <w:rFonts w:ascii="Verdana" w:eastAsia="Arial" w:hAnsi="Verdana" w:cs="Arial"/>
          <w:lang w:val="es-ES"/>
        </w:rPr>
      </w:pPr>
    </w:p>
    <w:p w14:paraId="6F7DFE11" w14:textId="77777777" w:rsidR="008D4DDA" w:rsidRPr="003A1844" w:rsidRDefault="008D4DDA" w:rsidP="008D4DDA">
      <w:pPr>
        <w:tabs>
          <w:tab w:val="left" w:pos="709"/>
        </w:tabs>
        <w:spacing w:after="120" w:line="276" w:lineRule="auto"/>
        <w:jc w:val="both"/>
        <w:rPr>
          <w:rFonts w:ascii="Verdana" w:eastAsia="Calibri" w:hAnsi="Verdana" w:cs="Arial"/>
          <w:color w:val="000000" w:themeColor="text1"/>
        </w:rPr>
      </w:pPr>
      <w:r w:rsidRPr="003A1844">
        <w:rPr>
          <w:rFonts w:ascii="Verdana" w:eastAsia="Calibri" w:hAnsi="Verdana" w:cs="Arial"/>
          <w:color w:val="000000" w:themeColor="text1"/>
          <w:lang w:val="es-ES"/>
        </w:rPr>
        <w:tab/>
        <w:t xml:space="preserve">Esta también ha sido la interpretación del Ministerio de Salud y Protección Social, que en el Concepto No. </w:t>
      </w:r>
      <w:r w:rsidRPr="003A1844">
        <w:rPr>
          <w:rFonts w:ascii="Verdana" w:eastAsia="Calibri" w:hAnsi="Verdana" w:cs="Arial"/>
          <w:color w:val="000000" w:themeColor="text1"/>
        </w:rPr>
        <w:t>201942301304712</w:t>
      </w:r>
      <w:r>
        <w:rPr>
          <w:rFonts w:ascii="Verdana" w:eastAsia="Calibri" w:hAnsi="Verdana" w:cs="Arial"/>
          <w:color w:val="000000" w:themeColor="text1"/>
        </w:rPr>
        <w:t xml:space="preserve"> </w:t>
      </w:r>
      <w:r w:rsidRPr="003A1844">
        <w:rPr>
          <w:rFonts w:ascii="Verdana" w:eastAsia="Calibri" w:hAnsi="Verdana" w:cs="Arial"/>
          <w:color w:val="000000" w:themeColor="text1"/>
          <w:lang w:val="es-ES"/>
        </w:rPr>
        <w:t>de 2019, reiterando lo expuesto por la Sala de Consulta y Servicio Civil del Consejo de Estado</w:t>
      </w:r>
      <w:r w:rsidRPr="003A1844">
        <w:rPr>
          <w:rFonts w:ascii="Verdana" w:eastAsia="Calibri" w:hAnsi="Verdana" w:cs="Arial"/>
          <w:color w:val="000000" w:themeColor="text1"/>
          <w:vertAlign w:val="superscript"/>
          <w:lang w:val="es-ES"/>
        </w:rPr>
        <w:footnoteReference w:id="6"/>
      </w:r>
      <w:r w:rsidRPr="003A1844">
        <w:rPr>
          <w:rFonts w:ascii="Verdana" w:eastAsia="Calibri" w:hAnsi="Verdana" w:cs="Arial"/>
          <w:color w:val="000000" w:themeColor="text1"/>
          <w:lang w:val="es-ES"/>
        </w:rPr>
        <w:t xml:space="preserve">, expresó que “[…] </w:t>
      </w:r>
      <w:r w:rsidRPr="003A1844">
        <w:rPr>
          <w:rFonts w:ascii="Verdana" w:eastAsia="Calibri" w:hAnsi="Verdana" w:cs="Arial"/>
          <w:color w:val="000000" w:themeColor="text1"/>
        </w:rPr>
        <w:t xml:space="preserve">el régimen de contratación de las Empresas Sociales del Estado, está </w:t>
      </w:r>
      <w:r w:rsidRPr="003A1844">
        <w:rPr>
          <w:rFonts w:ascii="Verdana" w:eastAsia="Calibri" w:hAnsi="Verdana" w:cs="Arial"/>
          <w:color w:val="000000" w:themeColor="text1"/>
        </w:rPr>
        <w:lastRenderedPageBreak/>
        <w:t>sometido al derecho privado por disposición legal y la facultad discrecional de pactar las cláusulas excepcionales dota a las mentadas entidades de herramientas especiales para garantizar ciertos fines”</w:t>
      </w:r>
      <w:r w:rsidRPr="003A1844">
        <w:rPr>
          <w:rFonts w:ascii="Verdana" w:eastAsia="Calibri" w:hAnsi="Verdana" w:cs="Arial"/>
          <w:color w:val="000000" w:themeColor="text1"/>
          <w:vertAlign w:val="superscript"/>
          <w:lang w:val="es-ES"/>
        </w:rPr>
        <w:footnoteReference w:id="7"/>
      </w:r>
      <w:r w:rsidRPr="003A1844">
        <w:rPr>
          <w:rFonts w:ascii="Verdana" w:eastAsia="Calibri" w:hAnsi="Verdana" w:cs="Arial"/>
          <w:color w:val="000000" w:themeColor="text1"/>
          <w:lang w:val="es-ES"/>
        </w:rPr>
        <w:t xml:space="preserve">. </w:t>
      </w:r>
    </w:p>
    <w:p w14:paraId="4F88B861" w14:textId="77777777" w:rsidR="008D4DDA" w:rsidRPr="003A1844" w:rsidRDefault="008D4DDA" w:rsidP="008D4DDA">
      <w:pPr>
        <w:spacing w:after="120" w:line="276" w:lineRule="auto"/>
        <w:ind w:firstLine="709"/>
        <w:jc w:val="both"/>
        <w:rPr>
          <w:rFonts w:ascii="Verdana" w:hAnsi="Verdana" w:cs="Arial"/>
          <w:lang w:val="es-ES"/>
        </w:rPr>
      </w:pPr>
      <w:r w:rsidRPr="003A1844">
        <w:rPr>
          <w:rFonts w:ascii="Verdana" w:hAnsi="Verdana"/>
        </w:rPr>
        <w:t xml:space="preserve">En consecuencia, por mandato del legislador, el régimen jurídico de los contratos de las </w:t>
      </w:r>
      <w:r w:rsidRPr="003A1844">
        <w:rPr>
          <w:rFonts w:ascii="Verdana" w:hAnsi="Verdana" w:cs="Arial"/>
          <w:lang w:val="es-MX"/>
        </w:rPr>
        <w:t>–ESE–</w:t>
      </w:r>
      <w:r w:rsidRPr="003A1844">
        <w:rPr>
          <w:rFonts w:ascii="Verdana" w:hAnsi="Verdana"/>
        </w:rPr>
        <w:t xml:space="preserve"> constituye una de las excepciones legales existentes para la aplicación del EGCAP. Esta excepción permite que dichas empresas se sustraigan de las normas que regulan la actividad contractual de las Entidades Estatales a que hace referencia el artículo 2° de la Ley 80 de 1993. Sin perjuicio de lo anterior, la exclusión de las </w:t>
      </w:r>
      <w:r w:rsidRPr="003A1844">
        <w:rPr>
          <w:rFonts w:ascii="Verdana" w:hAnsi="Verdana" w:cs="Arial"/>
          <w:lang w:val="es-MX"/>
        </w:rPr>
        <w:t>–ESE–</w:t>
      </w:r>
      <w:r w:rsidRPr="003A1844">
        <w:rPr>
          <w:rFonts w:ascii="Verdana" w:hAnsi="Verdana"/>
        </w:rPr>
        <w:t>, frente al régimen jurídico contractual general de las Entidades Estatales, no ha sido absoluta, toda vez que intervienen en la prestación de servicios de salud, como actores dentro de un servicio público bajo responsabilidad del Estado, en los términos del artículo 49 de la Constitución Política. Además, de tiempo atrás en el ordenamiento jurídico colombiano se reconoció que las entidades exceptuadas del EGCAP debían respetar los principios de la función administrativa, tesis que luego fue acogida por el legislador con la expedición de la Ley 1150 de 2007.</w:t>
      </w:r>
    </w:p>
    <w:p w14:paraId="4B1631C9" w14:textId="77777777" w:rsidR="008D4DDA" w:rsidRPr="003A1844" w:rsidRDefault="008D4DDA" w:rsidP="008D4DDA">
      <w:pPr>
        <w:spacing w:after="120" w:line="276" w:lineRule="auto"/>
        <w:ind w:firstLine="709"/>
        <w:jc w:val="both"/>
        <w:rPr>
          <w:rFonts w:ascii="Verdana" w:hAnsi="Verdana" w:cs="Arial"/>
          <w:sz w:val="20"/>
          <w:szCs w:val="20"/>
          <w:lang w:val="es-MX"/>
        </w:rPr>
      </w:pPr>
      <w:r w:rsidRPr="003A1844">
        <w:rPr>
          <w:rFonts w:ascii="Verdana" w:hAnsi="Verdana" w:cs="Arial"/>
          <w:lang w:val="es-MX"/>
        </w:rPr>
        <w:t>Como se señaló anteriormente, el régimen de derecho privado que, por regla general, caracteriza a los regímenes especiales no implica la ausencia de elementos de derecho público que tienen como fin último garantizar que los regímenes especiales de contratación también se ordenen hacia la consecución de los fines del Estado. Estos elementos de derecho público encuentran su manifestación tanto en forma de reglas como de principios. En relación con este segundo tipo, esto es, principios de derecho público aplicables a regímenes especiales de contratación, la norma por excelencia es el artículo 13 de la Ley 1150 de 2007</w:t>
      </w:r>
      <w:r w:rsidRPr="003A1844">
        <w:rPr>
          <w:rFonts w:ascii="Verdana" w:hAnsi="Verdana" w:cs="Arial"/>
          <w:sz w:val="20"/>
          <w:szCs w:val="20"/>
          <w:lang w:val="es-MX"/>
        </w:rPr>
        <w:t xml:space="preserve">. </w:t>
      </w:r>
    </w:p>
    <w:p w14:paraId="2D80CFFA" w14:textId="77777777" w:rsidR="008D4DDA" w:rsidRDefault="008D4DDA" w:rsidP="008D4DDA">
      <w:pPr>
        <w:spacing w:after="0" w:line="276" w:lineRule="auto"/>
        <w:ind w:firstLine="709"/>
        <w:jc w:val="both"/>
        <w:rPr>
          <w:rFonts w:ascii="Verdana" w:hAnsi="Verdana" w:cs="Arial"/>
          <w:lang w:val="es-MX"/>
        </w:rPr>
      </w:pPr>
      <w:r w:rsidRPr="003A1844">
        <w:rPr>
          <w:rFonts w:ascii="Verdana" w:hAnsi="Verdana" w:cs="Arial"/>
          <w:lang w:val="es-MX"/>
        </w:rPr>
        <w:t>Al referirse al régimen contractual de las –ESE–, la Sección Tercera del Consejo de Estado manifestó que “la entidad estatal debe observar en su actuación, precontractual y contractual, los principios que la Constitución Política le impone, en desarrollo de lo cual le asiste la obligación de obrar con igualdad, moralidad, eficacia, economía, celeridad, imparcialidad y publicidad, en todas las etapas de la realización del contrato estatal”. De esta forma, aunque los contratos suscritos por las –ESE–</w:t>
      </w:r>
      <w:r w:rsidRPr="003A1844">
        <w:rPr>
          <w:rFonts w:ascii="Verdana" w:hAnsi="Verdana"/>
        </w:rPr>
        <w:t xml:space="preserve"> </w:t>
      </w:r>
      <w:r w:rsidRPr="003A1844">
        <w:rPr>
          <w:rFonts w:ascii="Verdana" w:hAnsi="Verdana" w:cs="Arial"/>
          <w:lang w:val="es-MX"/>
        </w:rPr>
        <w:t xml:space="preserve">están excluidos del EGCAP, lo cierto es que no se rigen exclusivamente por el derecho civil y comercial, pues, conforme al </w:t>
      </w:r>
      <w:r w:rsidRPr="003A1844">
        <w:rPr>
          <w:rFonts w:ascii="Verdana" w:hAnsi="Verdana" w:cs="Arial"/>
          <w:lang w:val="es-MX"/>
        </w:rPr>
        <w:lastRenderedPageBreak/>
        <w:t>artículo 13 de la Ley 1150 de 2007, a estos les aplican tanto los principios de la función administrativa y de la gestión fiscal, así como el régimen de inhabilidades e incompatibilidades, temáticas tratadas y reguladas en el referido estatuto</w:t>
      </w:r>
      <w:r>
        <w:rPr>
          <w:rFonts w:ascii="Verdana" w:hAnsi="Verdana" w:cs="Arial"/>
          <w:lang w:val="es-MX"/>
        </w:rPr>
        <w:t>, así como el deber de publicar en la plataforma transaccional SECOP II</w:t>
      </w:r>
      <w:r w:rsidRPr="003A1844">
        <w:rPr>
          <w:rFonts w:ascii="Verdana" w:hAnsi="Verdana" w:cs="Arial"/>
          <w:lang w:val="es-MX"/>
        </w:rPr>
        <w:t>.</w:t>
      </w:r>
      <w:r>
        <w:rPr>
          <w:rFonts w:ascii="Verdana" w:hAnsi="Verdana" w:cs="Arial"/>
          <w:lang w:val="es-MX"/>
        </w:rPr>
        <w:t xml:space="preserve"> Al respecto, el artículo 13 de la Ley 1150 de 2007 modificado por el artículo 53 de la Ley 2195 de 2022:</w:t>
      </w:r>
    </w:p>
    <w:p w14:paraId="41B76923" w14:textId="77777777" w:rsidR="008D4DDA" w:rsidRDefault="008D4DDA" w:rsidP="008D4DDA">
      <w:pPr>
        <w:spacing w:after="0" w:line="276" w:lineRule="auto"/>
        <w:ind w:left="709" w:right="709"/>
        <w:jc w:val="both"/>
        <w:rPr>
          <w:rFonts w:ascii="Verdana" w:hAnsi="Verdana" w:cs="Arial"/>
          <w:lang w:val="es-MX"/>
        </w:rPr>
      </w:pPr>
    </w:p>
    <w:p w14:paraId="344929D9" w14:textId="77777777" w:rsidR="008D4DDA" w:rsidRPr="008B26A1" w:rsidRDefault="008D4DDA" w:rsidP="008D4DDA">
      <w:pPr>
        <w:spacing w:after="0" w:line="240" w:lineRule="auto"/>
        <w:ind w:left="709" w:right="709"/>
        <w:jc w:val="both"/>
        <w:rPr>
          <w:rFonts w:ascii="Verdana" w:hAnsi="Verdana" w:cs="Arial"/>
          <w:bCs/>
          <w:sz w:val="21"/>
          <w:szCs w:val="21"/>
        </w:rPr>
      </w:pPr>
      <w:r w:rsidRPr="008B26A1">
        <w:rPr>
          <w:rFonts w:ascii="Verdana" w:hAnsi="Verdana" w:cs="Arial"/>
          <w:bCs/>
          <w:sz w:val="21"/>
          <w:szCs w:val="21"/>
        </w:rPr>
        <w:t>“Artículo 13. PRINCIPIOS GENERALES DE LA ACTIVIDAD CONTRACTUAL PARA ENTIDADES NO SOMETIDAS AL ESTATUTO GENERAL DE CONTRATACIÓN DE LA ADMINISTRACIÓN PÚBLICA.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75D74444" w14:textId="77777777" w:rsidR="008D4DDA" w:rsidRPr="008B26A1" w:rsidRDefault="008D4DDA" w:rsidP="008D4DDA">
      <w:pPr>
        <w:spacing w:after="0" w:line="240" w:lineRule="auto"/>
        <w:ind w:left="709" w:right="709" w:firstLine="709"/>
        <w:jc w:val="both"/>
        <w:rPr>
          <w:rFonts w:ascii="Verdana" w:hAnsi="Verdana" w:cs="Arial"/>
          <w:bCs/>
          <w:sz w:val="21"/>
          <w:szCs w:val="21"/>
        </w:rPr>
      </w:pPr>
    </w:p>
    <w:p w14:paraId="5E62EE1F" w14:textId="77777777" w:rsidR="008D4DDA" w:rsidRPr="008B26A1" w:rsidRDefault="008D4DDA" w:rsidP="008D4DDA">
      <w:pPr>
        <w:spacing w:after="0" w:line="240" w:lineRule="auto"/>
        <w:ind w:left="709" w:right="709"/>
        <w:jc w:val="both"/>
        <w:rPr>
          <w:rFonts w:ascii="Verdana" w:hAnsi="Verdana" w:cs="Arial"/>
          <w:bCs/>
          <w:i/>
          <w:iCs/>
          <w:sz w:val="21"/>
          <w:szCs w:val="21"/>
        </w:rPr>
      </w:pPr>
      <w:r w:rsidRPr="008B26A1">
        <w:rPr>
          <w:rFonts w:ascii="Verdana" w:hAnsi="Verdana" w:cs="Arial"/>
          <w:bCs/>
          <w:i/>
          <w:iCs/>
          <w:sz w:val="21"/>
          <w:szCs w:val="21"/>
        </w:rPr>
        <w:t>En desarrollo de los anteriores principios, deberán publicar los documentos relacionados con su actividad contractual en el Sistema Electrónico para la Contratación Pública –SECOP II–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postcontractual.</w:t>
      </w:r>
    </w:p>
    <w:p w14:paraId="1455FA0D" w14:textId="77777777" w:rsidR="008D4DDA" w:rsidRPr="008B26A1" w:rsidRDefault="008D4DDA" w:rsidP="008D4DDA">
      <w:pPr>
        <w:spacing w:after="0" w:line="240" w:lineRule="auto"/>
        <w:ind w:left="709" w:right="709"/>
        <w:jc w:val="both"/>
        <w:rPr>
          <w:rFonts w:ascii="Verdana" w:hAnsi="Verdana" w:cs="Arial"/>
          <w:bCs/>
          <w:i/>
          <w:iCs/>
          <w:sz w:val="21"/>
          <w:szCs w:val="21"/>
        </w:rPr>
      </w:pPr>
    </w:p>
    <w:p w14:paraId="41666F95" w14:textId="77777777" w:rsidR="008D4DDA" w:rsidRPr="008B26A1" w:rsidRDefault="008D4DDA" w:rsidP="008D4DDA">
      <w:pPr>
        <w:spacing w:after="0" w:line="240" w:lineRule="auto"/>
        <w:ind w:left="709" w:right="709"/>
        <w:jc w:val="both"/>
        <w:rPr>
          <w:rFonts w:ascii="Verdana" w:hAnsi="Verdana" w:cs="Arial"/>
          <w:bCs/>
          <w:i/>
          <w:iCs/>
          <w:sz w:val="21"/>
          <w:szCs w:val="21"/>
        </w:rPr>
      </w:pPr>
      <w:r w:rsidRPr="008B26A1">
        <w:rPr>
          <w:rFonts w:ascii="Verdana" w:hAnsi="Verdana" w:cs="Arial"/>
          <w:bCs/>
          <w:sz w:val="21"/>
          <w:szCs w:val="21"/>
        </w:rPr>
        <w:t>A partir de la entrada en vigencia de la presente Ley, se establecerá un periodo de transición de seis (6) meses, para que las entidades den cumplimiento efectivo a lo aquí establecido”. (Cursiva fuera del original).</w:t>
      </w:r>
    </w:p>
    <w:p w14:paraId="11D37D13" w14:textId="77777777" w:rsidR="008D4DDA" w:rsidRPr="00BA51C0" w:rsidRDefault="008D4DDA" w:rsidP="008D4DDA">
      <w:pPr>
        <w:spacing w:after="0" w:line="276" w:lineRule="auto"/>
        <w:ind w:firstLine="709"/>
        <w:jc w:val="both"/>
        <w:rPr>
          <w:rFonts w:ascii="Verdana" w:hAnsi="Verdana" w:cs="Arial"/>
          <w:bCs/>
          <w:lang w:val="es-ES_tradnl"/>
        </w:rPr>
      </w:pPr>
    </w:p>
    <w:p w14:paraId="7972027D" w14:textId="77777777" w:rsidR="008D4DDA" w:rsidRPr="008A6A36" w:rsidRDefault="008D4DDA" w:rsidP="008D4DDA">
      <w:pPr>
        <w:spacing w:after="120" w:line="276" w:lineRule="auto"/>
        <w:ind w:firstLine="709"/>
        <w:jc w:val="both"/>
        <w:rPr>
          <w:rFonts w:ascii="Verdana" w:hAnsi="Verdana" w:cs="Arial"/>
          <w:bCs/>
          <w:iCs/>
        </w:rPr>
      </w:pPr>
      <w:r w:rsidRPr="00BA51C0">
        <w:rPr>
          <w:rFonts w:ascii="Verdana" w:hAnsi="Verdana" w:cs="Arial"/>
          <w:bCs/>
          <w:lang w:val="es-ES"/>
        </w:rPr>
        <w:t xml:space="preserve">De la disposición transcrita, se deriva la interpretación de que a pesar que el régimen que aplican sea el derecho privado, tiene limitaciones dentro del derecho público como son los principios de la función administrativa y de la gestión fiscal y reglas del régimen de inhabilidades e incompatibilidades, así como el deber </w:t>
      </w:r>
      <w:r w:rsidRPr="00BA51C0">
        <w:rPr>
          <w:rFonts w:ascii="Verdana" w:hAnsi="Verdana" w:cs="Arial"/>
          <w:bCs/>
          <w:i/>
          <w:iCs/>
        </w:rPr>
        <w:t xml:space="preserve">de </w:t>
      </w:r>
      <w:r w:rsidRPr="00BA51C0">
        <w:rPr>
          <w:rFonts w:ascii="Verdana" w:hAnsi="Verdana" w:cs="Arial"/>
          <w:bCs/>
          <w:iCs/>
        </w:rPr>
        <w:t xml:space="preserve">publicar los documentos relacionados con su actividad contractual en el Sistema Electrónico para la Contratación Pública –SECOP II– o </w:t>
      </w:r>
      <w:r w:rsidRPr="00BA51C0">
        <w:rPr>
          <w:rFonts w:ascii="Verdana" w:hAnsi="Verdana" w:cs="Arial"/>
          <w:bCs/>
          <w:iCs/>
        </w:rPr>
        <w:lastRenderedPageBreak/>
        <w:t xml:space="preserve">la plataforma transaccional que haga sus veces, sin perjuicio de las demás reglas que les aplique a la sociedad de economía exceptuada del EGCAP. </w:t>
      </w:r>
    </w:p>
    <w:p w14:paraId="25D66548" w14:textId="77777777" w:rsidR="008D4DDA" w:rsidRPr="003A1844" w:rsidRDefault="008D4DDA" w:rsidP="008D4DDA">
      <w:pPr>
        <w:spacing w:before="120" w:after="0" w:line="276" w:lineRule="auto"/>
        <w:ind w:firstLine="709"/>
        <w:jc w:val="both"/>
        <w:rPr>
          <w:rFonts w:ascii="Verdana" w:eastAsia="Calibri" w:hAnsi="Verdana" w:cs="Arial"/>
          <w:color w:val="000000" w:themeColor="text1"/>
          <w:lang w:val="es-ES_tradnl"/>
        </w:rPr>
      </w:pPr>
      <w:r w:rsidRPr="003A1844">
        <w:rPr>
          <w:rFonts w:ascii="Verdana" w:eastAsia="Calibri" w:hAnsi="Verdana" w:cs="Arial"/>
          <w:color w:val="000000" w:themeColor="text1"/>
          <w:lang w:val="es-ES_tradnl"/>
        </w:rPr>
        <w:t>Lo anterior es reafirmado por el Consejo de Estado en el caso particular de los manuales de contratación, que contiene algunas reglas que deben seguir las entidades con régimen especial en su actividad contractual:</w:t>
      </w:r>
    </w:p>
    <w:p w14:paraId="2CF835FA" w14:textId="77777777" w:rsidR="008D4DDA" w:rsidRPr="003A1844" w:rsidRDefault="008D4DDA" w:rsidP="008D4DDA">
      <w:pPr>
        <w:spacing w:after="0" w:line="240" w:lineRule="auto"/>
        <w:jc w:val="both"/>
        <w:rPr>
          <w:rFonts w:ascii="Verdana" w:eastAsia="Calibri" w:hAnsi="Verdana" w:cs="Arial"/>
          <w:color w:val="000000" w:themeColor="text1"/>
          <w:lang w:val="es-ES_tradnl"/>
        </w:rPr>
      </w:pPr>
    </w:p>
    <w:p w14:paraId="493B81D9" w14:textId="77777777" w:rsidR="008D4DDA" w:rsidRPr="003A1844" w:rsidRDefault="008D4DDA" w:rsidP="008D4DDA">
      <w:pPr>
        <w:spacing w:after="0" w:line="240" w:lineRule="auto"/>
        <w:ind w:left="709" w:right="709"/>
        <w:jc w:val="both"/>
        <w:rPr>
          <w:rFonts w:ascii="Verdana" w:eastAsia="Calibri" w:hAnsi="Verdana" w:cs="Arial"/>
          <w:color w:val="000000" w:themeColor="text1"/>
          <w:sz w:val="21"/>
          <w:szCs w:val="21"/>
          <w:lang w:val="es-ES_tradnl"/>
        </w:rPr>
      </w:pPr>
      <w:r w:rsidRPr="003A1844">
        <w:rPr>
          <w:rFonts w:ascii="Verdana" w:eastAsia="Calibri" w:hAnsi="Verdana" w:cs="Arial"/>
          <w:color w:val="000000" w:themeColor="text1"/>
          <w:sz w:val="21"/>
          <w:szCs w:val="21"/>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0AF14D5C" w14:textId="77777777" w:rsidR="008D4DDA" w:rsidRPr="003A1844" w:rsidRDefault="008D4DDA" w:rsidP="008D4DDA">
      <w:pPr>
        <w:spacing w:after="0" w:line="240" w:lineRule="auto"/>
        <w:ind w:left="709" w:right="709"/>
        <w:jc w:val="both"/>
        <w:rPr>
          <w:rFonts w:ascii="Verdana" w:eastAsia="Calibri" w:hAnsi="Verdana" w:cs="Arial"/>
          <w:color w:val="000000" w:themeColor="text1"/>
          <w:sz w:val="21"/>
          <w:szCs w:val="21"/>
          <w:lang w:val="es-ES_tradnl"/>
        </w:rPr>
      </w:pPr>
    </w:p>
    <w:p w14:paraId="663168A2" w14:textId="77777777" w:rsidR="008D4DDA" w:rsidRPr="003A1844" w:rsidRDefault="008D4DDA" w:rsidP="008D4DDA">
      <w:pPr>
        <w:spacing w:after="0" w:line="240" w:lineRule="auto"/>
        <w:ind w:left="709" w:right="709"/>
        <w:jc w:val="both"/>
        <w:rPr>
          <w:rFonts w:ascii="Verdana" w:eastAsia="Calibri" w:hAnsi="Verdana" w:cs="Arial"/>
          <w:color w:val="000000" w:themeColor="text1"/>
          <w:sz w:val="21"/>
          <w:szCs w:val="21"/>
          <w:lang w:val="es-ES"/>
        </w:rPr>
      </w:pPr>
      <w:r w:rsidRPr="003A1844">
        <w:rPr>
          <w:rFonts w:ascii="Verdana" w:eastAsia="Calibri" w:hAnsi="Verdana" w:cs="Arial"/>
          <w:color w:val="000000" w:themeColor="text1"/>
          <w:sz w:val="21"/>
          <w:szCs w:val="21"/>
          <w:lang w:val="es-ES"/>
        </w:rPr>
        <w:t>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w:t>
      </w:r>
      <w:r w:rsidRPr="003A1844">
        <w:rPr>
          <w:rFonts w:ascii="Verdana" w:eastAsia="Calibri" w:hAnsi="Verdana" w:cs="Arial"/>
          <w:color w:val="000000" w:themeColor="text1"/>
          <w:sz w:val="21"/>
          <w:szCs w:val="21"/>
          <w:vertAlign w:val="superscript"/>
          <w:lang w:val="es-ES_tradnl"/>
        </w:rPr>
        <w:footnoteReference w:id="8"/>
      </w:r>
      <w:r w:rsidRPr="003A1844">
        <w:rPr>
          <w:rFonts w:ascii="Verdana" w:eastAsia="Calibri" w:hAnsi="Verdana" w:cs="Arial"/>
          <w:color w:val="000000" w:themeColor="text1"/>
          <w:sz w:val="21"/>
          <w:szCs w:val="21"/>
          <w:lang w:val="es-ES"/>
        </w:rPr>
        <w:t>.</w:t>
      </w:r>
    </w:p>
    <w:p w14:paraId="1088011F" w14:textId="77777777" w:rsidR="008D4DDA" w:rsidRPr="003A1844" w:rsidRDefault="008D4DDA" w:rsidP="008D4DDA">
      <w:pPr>
        <w:spacing w:after="0" w:line="276" w:lineRule="auto"/>
        <w:ind w:firstLine="709"/>
        <w:jc w:val="both"/>
        <w:rPr>
          <w:rFonts w:ascii="Verdana" w:hAnsi="Verdana" w:cs="Arial"/>
          <w:lang w:val="es-ES_tradnl"/>
        </w:rPr>
      </w:pPr>
    </w:p>
    <w:p w14:paraId="4C9FB5D0" w14:textId="77777777" w:rsidR="008D4DDA" w:rsidRPr="003A1844" w:rsidRDefault="008D4DDA" w:rsidP="008D4DDA">
      <w:pPr>
        <w:spacing w:after="120" w:line="276" w:lineRule="auto"/>
        <w:ind w:firstLine="709"/>
        <w:jc w:val="both"/>
        <w:rPr>
          <w:rFonts w:ascii="Verdana" w:eastAsia="Arial" w:hAnsi="Verdana" w:cs="Arial"/>
        </w:rPr>
      </w:pPr>
      <w:r w:rsidRPr="003A1844">
        <w:rPr>
          <w:rFonts w:ascii="Verdana" w:eastAsia="Arial" w:hAnsi="Verdana" w:cs="Arial"/>
        </w:rPr>
        <w:t xml:space="preserve">Ahora bien, puede decirse que una de las reglas para las </w:t>
      </w:r>
      <w:r w:rsidRPr="003A1844">
        <w:rPr>
          <w:rFonts w:ascii="Verdana" w:hAnsi="Verdana" w:cs="Arial"/>
          <w:lang w:val="es-MX"/>
        </w:rPr>
        <w:t>–ESE–</w:t>
      </w:r>
      <w:r w:rsidRPr="003A1844">
        <w:rPr>
          <w:rFonts w:ascii="Verdana" w:eastAsia="Arial" w:hAnsi="Verdana" w:cs="Arial"/>
        </w:rPr>
        <w:t>, derivada de las normas de derecho público estudiadas, consiste en el deber de expedir un manual de contratación. En este documento deben concretarse los principios de la función administrativa y de la gestión fiscal, así como determinarse la manera concreta como dichos principios orientarán el derecho privado en el ejercicio de la actividad contractual. De esta manera, los potenciales oferentes podrán identificar las reglas que aplica la entidad en sus procesos contractuales.</w:t>
      </w:r>
    </w:p>
    <w:p w14:paraId="260EC534" w14:textId="77777777" w:rsidR="008D4DDA" w:rsidRPr="003A1844" w:rsidRDefault="008D4DDA" w:rsidP="77BAE255">
      <w:pPr>
        <w:spacing w:after="120" w:line="276" w:lineRule="auto"/>
        <w:ind w:firstLine="708"/>
        <w:jc w:val="both"/>
        <w:rPr>
          <w:rFonts w:ascii="Verdana" w:eastAsia="Calibri" w:hAnsi="Verdana" w:cs="Arial"/>
          <w:lang w:val="es-ES"/>
        </w:rPr>
      </w:pPr>
      <w:r w:rsidRPr="77BAE255">
        <w:rPr>
          <w:rFonts w:ascii="Verdana" w:eastAsia="Calibri" w:hAnsi="Verdana" w:cs="Arial"/>
          <w:lang w:val="es-ES"/>
        </w:rPr>
        <w:t xml:space="preserve">Sobre este punto particular es preciso destacar que, las Entidades Estatales sometidas a regímenes especiales de derecho privado tienen una amplia libertad de configuración del contenido del manual de contratación. Esta libertad se deriva del principio de autonomía de la voluntad reconocida a estas entidades, que les permite establecer la manera en que adelantarán sus </w:t>
      </w:r>
      <w:r w:rsidRPr="77BAE255">
        <w:rPr>
          <w:rFonts w:ascii="Verdana" w:eastAsia="Calibri" w:hAnsi="Verdana" w:cs="Arial"/>
          <w:lang w:val="es-ES"/>
        </w:rPr>
        <w:lastRenderedPageBreak/>
        <w:t>procesos de contratación</w:t>
      </w:r>
      <w:r w:rsidRPr="77BAE255">
        <w:rPr>
          <w:rFonts w:ascii="Verdana" w:eastAsia="Calibri" w:hAnsi="Verdana" w:cs="Arial"/>
          <w:vertAlign w:val="superscript"/>
          <w:lang w:val="es-ES"/>
        </w:rPr>
        <w:footnoteReference w:id="9"/>
      </w:r>
      <w:r w:rsidRPr="77BAE255">
        <w:rPr>
          <w:rFonts w:ascii="Verdana" w:eastAsia="Calibri" w:hAnsi="Verdana" w:cs="Arial"/>
          <w:lang w:val="es-ES"/>
        </w:rPr>
        <w:t>. Ahora bien, dicha libertad es similar a la reconocida a los particulares por el derecho privado, pero no es idéntica a aquella, en la medida en que encuentra importantes limitantes.</w:t>
      </w:r>
    </w:p>
    <w:p w14:paraId="1FB03129" w14:textId="77777777" w:rsidR="008D4DDA" w:rsidRPr="003A1844" w:rsidRDefault="008D4DDA" w:rsidP="008D4DDA">
      <w:pPr>
        <w:spacing w:after="120" w:line="276" w:lineRule="auto"/>
        <w:ind w:firstLine="709"/>
        <w:jc w:val="both"/>
        <w:rPr>
          <w:rFonts w:ascii="Verdana" w:eastAsia="Calibri" w:hAnsi="Verdana" w:cs="Arial"/>
          <w:lang w:val="es-ES"/>
        </w:rPr>
      </w:pPr>
      <w:r w:rsidRPr="003A1844">
        <w:rPr>
          <w:rFonts w:ascii="Verdana" w:eastAsia="Calibri" w:hAnsi="Verdana" w:cs="Arial"/>
          <w:lang w:val="es-ES"/>
        </w:rPr>
        <w:t>La elaboración de esos manuales debe contemplar procedimientos de selección públicos, en los cuales se garantice la imparcialidad de la entidad contratante, la igualdad entre los oferentes, y en los cuales se respeten los principios constitucionales relevantes, como la eficacia, economía, celeridad, moralidad, entre otros. Es decir, deben reflejar los principios de la función administrativa y, también, los de la gestión fiscal. La forma precisa en que se concretan estos principios, así como la manera como se armonizan con su régimen de derecho privado, es un asunto que debe decidir la entidad en el ejercicio de la discrecionalidad concedida por el ordenamiento jurídico. No obstante, se considera que, como mínimo, los manuales diseñados por la entidad se deben indicar cuáles son sus procedimientos de selección y una descripción de cada uno de ellos, al igual que las etapas que los componen, los cuales deben estar alineados con la garantía de los principios de la función administrativa</w:t>
      </w:r>
      <w:r w:rsidRPr="003A1844">
        <w:rPr>
          <w:rFonts w:ascii="Verdana" w:eastAsia="Calibri" w:hAnsi="Verdana" w:cs="Arial"/>
          <w:vertAlign w:val="superscript"/>
          <w:lang w:val="es-ES"/>
        </w:rPr>
        <w:footnoteReference w:id="10"/>
      </w:r>
      <w:r w:rsidRPr="003A1844">
        <w:rPr>
          <w:rFonts w:ascii="Verdana" w:eastAsia="Calibri" w:hAnsi="Verdana" w:cs="Arial"/>
          <w:lang w:val="es-ES"/>
        </w:rPr>
        <w:t xml:space="preserve">. </w:t>
      </w:r>
    </w:p>
    <w:p w14:paraId="455AC07F" w14:textId="77777777" w:rsidR="008D4DDA" w:rsidRPr="003A1844" w:rsidRDefault="008D4DDA" w:rsidP="008D4DDA">
      <w:pPr>
        <w:widowControl w:val="0"/>
        <w:autoSpaceDE w:val="0"/>
        <w:autoSpaceDN w:val="0"/>
        <w:spacing w:after="120" w:line="276" w:lineRule="auto"/>
        <w:ind w:firstLine="608"/>
        <w:jc w:val="both"/>
        <w:rPr>
          <w:rFonts w:ascii="Verdana" w:eastAsia="Arial" w:hAnsi="Verdana" w:cs="Arial"/>
          <w:lang w:val="es-ES"/>
        </w:rPr>
      </w:pPr>
      <w:r w:rsidRPr="003A1844">
        <w:rPr>
          <w:rFonts w:ascii="Verdana" w:eastAsia="Arial" w:hAnsi="Verdana" w:cs="Arial"/>
          <w:lang w:val="es-ES"/>
        </w:rPr>
        <w:t>De esta forma, las</w:t>
      </w:r>
      <w:r w:rsidRPr="003A1844">
        <w:rPr>
          <w:rFonts w:ascii="Verdana" w:eastAsia="Arial" w:hAnsi="Verdana" w:cs="Arial"/>
          <w:spacing w:val="-7"/>
          <w:lang w:val="es-ES"/>
        </w:rPr>
        <w:t xml:space="preserve"> </w:t>
      </w:r>
      <w:r w:rsidRPr="003A1844">
        <w:rPr>
          <w:rFonts w:ascii="Verdana" w:eastAsia="Arial" w:hAnsi="Verdana" w:cs="Arial"/>
          <w:lang w:val="es-ES"/>
        </w:rPr>
        <w:t>reglas</w:t>
      </w:r>
      <w:r w:rsidRPr="003A1844">
        <w:rPr>
          <w:rFonts w:ascii="Verdana" w:eastAsia="Arial" w:hAnsi="Verdana" w:cs="Arial"/>
          <w:spacing w:val="-6"/>
          <w:lang w:val="es-ES"/>
        </w:rPr>
        <w:t xml:space="preserve"> </w:t>
      </w:r>
      <w:r w:rsidRPr="003A1844">
        <w:rPr>
          <w:rFonts w:ascii="Verdana" w:eastAsia="Arial" w:hAnsi="Verdana" w:cs="Arial"/>
          <w:lang w:val="es-ES"/>
        </w:rPr>
        <w:t>establecidas</w:t>
      </w:r>
      <w:r w:rsidRPr="003A1844">
        <w:rPr>
          <w:rFonts w:ascii="Verdana" w:eastAsia="Arial" w:hAnsi="Verdana" w:cs="Arial"/>
          <w:spacing w:val="-5"/>
          <w:lang w:val="es-ES"/>
        </w:rPr>
        <w:t xml:space="preserve"> </w:t>
      </w:r>
      <w:r w:rsidRPr="003A1844">
        <w:rPr>
          <w:rFonts w:ascii="Verdana" w:eastAsia="Arial" w:hAnsi="Verdana" w:cs="Arial"/>
          <w:lang w:val="es-ES"/>
        </w:rPr>
        <w:t>en</w:t>
      </w:r>
      <w:r w:rsidRPr="003A1844">
        <w:rPr>
          <w:rFonts w:ascii="Verdana" w:eastAsia="Arial" w:hAnsi="Verdana" w:cs="Arial"/>
          <w:spacing w:val="-7"/>
          <w:lang w:val="es-ES"/>
        </w:rPr>
        <w:t xml:space="preserve"> </w:t>
      </w:r>
      <w:r w:rsidRPr="003A1844">
        <w:rPr>
          <w:rFonts w:ascii="Verdana" w:eastAsia="Arial" w:hAnsi="Verdana" w:cs="Arial"/>
          <w:lang w:val="es-ES"/>
        </w:rPr>
        <w:t>los</w:t>
      </w:r>
      <w:r w:rsidRPr="003A1844">
        <w:rPr>
          <w:rFonts w:ascii="Verdana" w:eastAsia="Arial" w:hAnsi="Verdana" w:cs="Arial"/>
          <w:spacing w:val="-6"/>
          <w:lang w:val="es-ES"/>
        </w:rPr>
        <w:t xml:space="preserve"> </w:t>
      </w:r>
      <w:r w:rsidRPr="003A1844">
        <w:rPr>
          <w:rFonts w:ascii="Verdana" w:eastAsia="Arial" w:hAnsi="Verdana" w:cs="Arial"/>
          <w:lang w:val="es-ES"/>
        </w:rPr>
        <w:t>manuales</w:t>
      </w:r>
      <w:r w:rsidRPr="003A1844">
        <w:rPr>
          <w:rFonts w:ascii="Verdana" w:eastAsia="Arial" w:hAnsi="Verdana" w:cs="Arial"/>
          <w:spacing w:val="-6"/>
          <w:lang w:val="es-ES"/>
        </w:rPr>
        <w:t xml:space="preserve"> </w:t>
      </w:r>
      <w:r w:rsidRPr="003A1844">
        <w:rPr>
          <w:rFonts w:ascii="Verdana" w:eastAsia="Arial" w:hAnsi="Verdana" w:cs="Arial"/>
          <w:lang w:val="es-ES"/>
        </w:rPr>
        <w:t>o</w:t>
      </w:r>
      <w:r w:rsidRPr="003A1844">
        <w:rPr>
          <w:rFonts w:ascii="Verdana" w:eastAsia="Arial" w:hAnsi="Verdana" w:cs="Arial"/>
          <w:spacing w:val="-6"/>
          <w:lang w:val="es-ES"/>
        </w:rPr>
        <w:t xml:space="preserve"> </w:t>
      </w:r>
      <w:r w:rsidRPr="003A1844">
        <w:rPr>
          <w:rFonts w:ascii="Verdana" w:eastAsia="Arial" w:hAnsi="Verdana" w:cs="Arial"/>
          <w:lang w:val="es-ES"/>
        </w:rPr>
        <w:t>reglamentos</w:t>
      </w:r>
      <w:r w:rsidRPr="003A1844">
        <w:rPr>
          <w:rFonts w:ascii="Verdana" w:eastAsia="Arial" w:hAnsi="Verdana" w:cs="Arial"/>
          <w:spacing w:val="-7"/>
          <w:lang w:val="es-ES"/>
        </w:rPr>
        <w:t xml:space="preserve"> </w:t>
      </w:r>
      <w:r w:rsidRPr="003A1844">
        <w:rPr>
          <w:rFonts w:ascii="Verdana" w:eastAsia="Arial" w:hAnsi="Verdana" w:cs="Arial"/>
          <w:lang w:val="es-ES"/>
        </w:rPr>
        <w:t>internos</w:t>
      </w:r>
      <w:r w:rsidRPr="003A1844">
        <w:rPr>
          <w:rFonts w:ascii="Verdana" w:eastAsia="Arial" w:hAnsi="Verdana" w:cs="Arial"/>
          <w:spacing w:val="-5"/>
          <w:lang w:val="es-ES"/>
        </w:rPr>
        <w:t xml:space="preserve"> </w:t>
      </w:r>
      <w:r w:rsidRPr="003A1844">
        <w:rPr>
          <w:rFonts w:ascii="Verdana" w:eastAsia="Arial" w:hAnsi="Verdana" w:cs="Arial"/>
          <w:lang w:val="es-ES"/>
        </w:rPr>
        <w:t>de</w:t>
      </w:r>
      <w:r w:rsidRPr="003A1844">
        <w:rPr>
          <w:rFonts w:ascii="Verdana" w:eastAsia="Arial" w:hAnsi="Verdana" w:cs="Arial"/>
          <w:spacing w:val="-6"/>
          <w:lang w:val="es-ES"/>
        </w:rPr>
        <w:t xml:space="preserve"> </w:t>
      </w:r>
      <w:r w:rsidRPr="003A1844">
        <w:rPr>
          <w:rFonts w:ascii="Verdana" w:eastAsia="Arial" w:hAnsi="Verdana" w:cs="Arial"/>
          <w:lang w:val="es-ES"/>
        </w:rPr>
        <w:t>contratación son muy importantes, toda vez que las entidades se obligan a cumplir su contenido.</w:t>
      </w:r>
      <w:r w:rsidRPr="003A1844">
        <w:rPr>
          <w:rFonts w:ascii="Verdana" w:eastAsia="Arial" w:hAnsi="Verdana" w:cs="Arial"/>
          <w:spacing w:val="1"/>
          <w:lang w:val="es-ES"/>
        </w:rPr>
        <w:t xml:space="preserve"> </w:t>
      </w:r>
      <w:r w:rsidRPr="003A1844">
        <w:rPr>
          <w:rFonts w:ascii="Verdana" w:eastAsia="Arial" w:hAnsi="Verdana" w:cs="Arial"/>
          <w:lang w:val="es-ES"/>
        </w:rPr>
        <w:t>Además, tratándose de un acto administrativo, concretamente de un reglamento, le</w:t>
      </w:r>
      <w:r w:rsidRPr="003A1844">
        <w:rPr>
          <w:rFonts w:ascii="Verdana" w:eastAsia="Arial" w:hAnsi="Verdana" w:cs="Arial"/>
          <w:spacing w:val="1"/>
          <w:lang w:val="es-ES"/>
        </w:rPr>
        <w:t xml:space="preserve"> </w:t>
      </w:r>
      <w:r w:rsidRPr="003A1844">
        <w:rPr>
          <w:rFonts w:ascii="Verdana" w:eastAsia="Arial" w:hAnsi="Verdana" w:cs="Arial"/>
          <w:lang w:val="es-ES"/>
        </w:rPr>
        <w:t>aplican</w:t>
      </w:r>
      <w:r w:rsidRPr="003A1844">
        <w:rPr>
          <w:rFonts w:ascii="Verdana" w:eastAsia="Arial" w:hAnsi="Verdana" w:cs="Arial"/>
          <w:spacing w:val="-10"/>
          <w:lang w:val="es-ES"/>
        </w:rPr>
        <w:t xml:space="preserve"> </w:t>
      </w:r>
      <w:r w:rsidRPr="003A1844">
        <w:rPr>
          <w:rFonts w:ascii="Verdana" w:eastAsia="Arial" w:hAnsi="Verdana" w:cs="Arial"/>
          <w:lang w:val="es-ES"/>
        </w:rPr>
        <w:t>los</w:t>
      </w:r>
      <w:r w:rsidRPr="003A1844">
        <w:rPr>
          <w:rFonts w:ascii="Verdana" w:eastAsia="Arial" w:hAnsi="Verdana" w:cs="Arial"/>
          <w:spacing w:val="-10"/>
          <w:lang w:val="es-ES"/>
        </w:rPr>
        <w:t xml:space="preserve"> </w:t>
      </w:r>
      <w:r w:rsidRPr="003A1844">
        <w:rPr>
          <w:rFonts w:ascii="Verdana" w:eastAsia="Arial" w:hAnsi="Verdana" w:cs="Arial"/>
          <w:lang w:val="es-ES"/>
        </w:rPr>
        <w:t>atributos</w:t>
      </w:r>
      <w:r w:rsidRPr="003A1844">
        <w:rPr>
          <w:rFonts w:ascii="Verdana" w:eastAsia="Arial" w:hAnsi="Verdana" w:cs="Arial"/>
          <w:spacing w:val="-10"/>
          <w:lang w:val="es-ES"/>
        </w:rPr>
        <w:t xml:space="preserve"> </w:t>
      </w:r>
      <w:r w:rsidRPr="003A1844">
        <w:rPr>
          <w:rFonts w:ascii="Verdana" w:eastAsia="Arial" w:hAnsi="Verdana" w:cs="Arial"/>
          <w:lang w:val="es-ES"/>
        </w:rPr>
        <w:t>propios</w:t>
      </w:r>
      <w:r w:rsidRPr="003A1844">
        <w:rPr>
          <w:rFonts w:ascii="Verdana" w:eastAsia="Arial" w:hAnsi="Verdana" w:cs="Arial"/>
          <w:spacing w:val="-10"/>
          <w:lang w:val="es-ES"/>
        </w:rPr>
        <w:t xml:space="preserve"> </w:t>
      </w:r>
      <w:r w:rsidRPr="003A1844">
        <w:rPr>
          <w:rFonts w:ascii="Verdana" w:eastAsia="Arial" w:hAnsi="Verdana" w:cs="Arial"/>
          <w:lang w:val="es-ES"/>
        </w:rPr>
        <w:t>de</w:t>
      </w:r>
      <w:r w:rsidRPr="003A1844">
        <w:rPr>
          <w:rFonts w:ascii="Verdana" w:eastAsia="Arial" w:hAnsi="Verdana" w:cs="Arial"/>
          <w:spacing w:val="-9"/>
          <w:lang w:val="es-ES"/>
        </w:rPr>
        <w:t xml:space="preserve"> </w:t>
      </w:r>
      <w:r w:rsidRPr="003A1844">
        <w:rPr>
          <w:rFonts w:ascii="Verdana" w:eastAsia="Arial" w:hAnsi="Verdana" w:cs="Arial"/>
          <w:lang w:val="es-ES"/>
        </w:rPr>
        <w:t>estos</w:t>
      </w:r>
      <w:r w:rsidRPr="003A1844">
        <w:rPr>
          <w:rFonts w:ascii="Verdana" w:eastAsia="Arial" w:hAnsi="Verdana" w:cs="Arial"/>
          <w:spacing w:val="-10"/>
          <w:lang w:val="es-ES"/>
        </w:rPr>
        <w:t xml:space="preserve"> </w:t>
      </w:r>
      <w:r w:rsidRPr="003A1844">
        <w:rPr>
          <w:rFonts w:ascii="Verdana" w:eastAsia="Arial" w:hAnsi="Verdana" w:cs="Arial"/>
          <w:lang w:val="es-ES"/>
        </w:rPr>
        <w:t>tipos</w:t>
      </w:r>
      <w:r w:rsidRPr="003A1844">
        <w:rPr>
          <w:rFonts w:ascii="Verdana" w:eastAsia="Arial" w:hAnsi="Verdana" w:cs="Arial"/>
          <w:spacing w:val="-10"/>
          <w:lang w:val="es-ES"/>
        </w:rPr>
        <w:t xml:space="preserve"> </w:t>
      </w:r>
      <w:r w:rsidRPr="003A1844">
        <w:rPr>
          <w:rFonts w:ascii="Verdana" w:eastAsia="Arial" w:hAnsi="Verdana" w:cs="Arial"/>
          <w:lang w:val="es-ES"/>
        </w:rPr>
        <w:t>de</w:t>
      </w:r>
      <w:r w:rsidRPr="003A1844">
        <w:rPr>
          <w:rFonts w:ascii="Verdana" w:eastAsia="Arial" w:hAnsi="Verdana" w:cs="Arial"/>
          <w:spacing w:val="-10"/>
          <w:lang w:val="es-ES"/>
        </w:rPr>
        <w:t xml:space="preserve"> </w:t>
      </w:r>
      <w:r w:rsidRPr="003A1844">
        <w:rPr>
          <w:rFonts w:ascii="Verdana" w:eastAsia="Arial" w:hAnsi="Verdana" w:cs="Arial"/>
          <w:lang w:val="es-ES"/>
        </w:rPr>
        <w:t>actos,</w:t>
      </w:r>
      <w:r w:rsidRPr="003A1844">
        <w:rPr>
          <w:rFonts w:ascii="Verdana" w:eastAsia="Arial" w:hAnsi="Verdana" w:cs="Arial"/>
          <w:spacing w:val="-9"/>
          <w:lang w:val="es-ES"/>
        </w:rPr>
        <w:t xml:space="preserve"> </w:t>
      </w:r>
      <w:r w:rsidRPr="003A1844">
        <w:rPr>
          <w:rFonts w:ascii="Verdana" w:eastAsia="Arial" w:hAnsi="Verdana" w:cs="Arial"/>
          <w:lang w:val="es-ES"/>
        </w:rPr>
        <w:t>entre</w:t>
      </w:r>
      <w:r w:rsidRPr="003A1844">
        <w:rPr>
          <w:rFonts w:ascii="Verdana" w:eastAsia="Arial" w:hAnsi="Verdana" w:cs="Arial"/>
          <w:spacing w:val="-10"/>
          <w:lang w:val="es-ES"/>
        </w:rPr>
        <w:t xml:space="preserve"> </w:t>
      </w:r>
      <w:r w:rsidRPr="003A1844">
        <w:rPr>
          <w:rFonts w:ascii="Verdana" w:eastAsia="Arial" w:hAnsi="Verdana" w:cs="Arial"/>
          <w:lang w:val="es-ES"/>
        </w:rPr>
        <w:t>otras</w:t>
      </w:r>
      <w:r w:rsidRPr="003A1844">
        <w:rPr>
          <w:rFonts w:ascii="Verdana" w:eastAsia="Arial" w:hAnsi="Verdana" w:cs="Arial"/>
          <w:spacing w:val="-10"/>
          <w:lang w:val="es-ES"/>
        </w:rPr>
        <w:t xml:space="preserve"> </w:t>
      </w:r>
      <w:r w:rsidRPr="003A1844">
        <w:rPr>
          <w:rFonts w:ascii="Verdana" w:eastAsia="Arial" w:hAnsi="Verdana" w:cs="Arial"/>
          <w:lang w:val="es-ES"/>
        </w:rPr>
        <w:t>cosas,</w:t>
      </w:r>
      <w:r w:rsidRPr="003A1844">
        <w:rPr>
          <w:rFonts w:ascii="Verdana" w:eastAsia="Arial" w:hAnsi="Verdana" w:cs="Arial"/>
          <w:spacing w:val="-10"/>
          <w:lang w:val="es-ES"/>
        </w:rPr>
        <w:t xml:space="preserve"> </w:t>
      </w:r>
      <w:r w:rsidRPr="003A1844">
        <w:rPr>
          <w:rFonts w:ascii="Verdana" w:eastAsia="Arial" w:hAnsi="Verdana" w:cs="Arial"/>
          <w:lang w:val="es-ES"/>
        </w:rPr>
        <w:t>la</w:t>
      </w:r>
      <w:r w:rsidRPr="003A1844">
        <w:rPr>
          <w:rFonts w:ascii="Verdana" w:eastAsia="Arial" w:hAnsi="Verdana" w:cs="Arial"/>
          <w:spacing w:val="-9"/>
          <w:lang w:val="es-ES"/>
        </w:rPr>
        <w:t xml:space="preserve"> </w:t>
      </w:r>
      <w:r w:rsidRPr="003A1844">
        <w:rPr>
          <w:rFonts w:ascii="Verdana" w:eastAsia="Arial" w:hAnsi="Verdana" w:cs="Arial"/>
          <w:lang w:val="es-ES"/>
        </w:rPr>
        <w:t>presunción</w:t>
      </w:r>
      <w:r w:rsidRPr="003A1844">
        <w:rPr>
          <w:rFonts w:ascii="Verdana" w:eastAsia="Arial" w:hAnsi="Verdana" w:cs="Arial"/>
          <w:spacing w:val="-10"/>
          <w:lang w:val="es-ES"/>
        </w:rPr>
        <w:t xml:space="preserve"> </w:t>
      </w:r>
      <w:r w:rsidRPr="003A1844">
        <w:rPr>
          <w:rFonts w:ascii="Verdana" w:eastAsia="Arial" w:hAnsi="Verdana" w:cs="Arial"/>
          <w:lang w:val="es-ES"/>
        </w:rPr>
        <w:t xml:space="preserve">de legalidad y la regla de </w:t>
      </w:r>
      <w:r w:rsidRPr="003A1844">
        <w:rPr>
          <w:rFonts w:ascii="Verdana" w:eastAsia="Arial" w:hAnsi="Verdana" w:cs="Arial"/>
          <w:i/>
          <w:lang w:val="es-ES"/>
        </w:rPr>
        <w:t>inderogabilidad singular del reglamento</w:t>
      </w:r>
      <w:r w:rsidRPr="003A1844">
        <w:rPr>
          <w:rFonts w:ascii="Verdana" w:eastAsia="Arial" w:hAnsi="Verdana" w:cs="Arial"/>
          <w:i/>
          <w:vertAlign w:val="superscript"/>
          <w:lang w:val="es-ES"/>
        </w:rPr>
        <w:footnoteReference w:id="11"/>
      </w:r>
      <w:r w:rsidRPr="003A1844">
        <w:rPr>
          <w:rFonts w:ascii="Verdana" w:eastAsia="Arial" w:hAnsi="Verdana" w:cs="Arial"/>
          <w:lang w:val="es-ES"/>
        </w:rPr>
        <w:t>. En tal sentido, su</w:t>
      </w:r>
      <w:r w:rsidRPr="003A1844">
        <w:rPr>
          <w:rFonts w:ascii="Verdana" w:eastAsia="Arial" w:hAnsi="Verdana" w:cs="Arial"/>
          <w:spacing w:val="1"/>
          <w:lang w:val="es-ES"/>
        </w:rPr>
        <w:t xml:space="preserve"> </w:t>
      </w:r>
      <w:r w:rsidRPr="003A1844">
        <w:rPr>
          <w:rFonts w:ascii="Verdana" w:eastAsia="Arial" w:hAnsi="Verdana" w:cs="Arial"/>
          <w:lang w:val="es-ES"/>
        </w:rPr>
        <w:t xml:space="preserve">contenido vincula a </w:t>
      </w:r>
      <w:r w:rsidRPr="003A1844">
        <w:rPr>
          <w:rFonts w:ascii="Verdana" w:eastAsia="Arial" w:hAnsi="Verdana" w:cs="Arial"/>
          <w:lang w:val="es-ES"/>
        </w:rPr>
        <w:lastRenderedPageBreak/>
        <w:t>la propia entidad que lo expidió y no puede desconocerlo a su</w:t>
      </w:r>
      <w:r w:rsidRPr="003A1844">
        <w:rPr>
          <w:rFonts w:ascii="Verdana" w:eastAsia="Arial" w:hAnsi="Verdana" w:cs="Arial"/>
          <w:spacing w:val="1"/>
          <w:lang w:val="es-ES"/>
        </w:rPr>
        <w:t xml:space="preserve"> </w:t>
      </w:r>
      <w:r w:rsidRPr="003A1844">
        <w:rPr>
          <w:rFonts w:ascii="Verdana" w:eastAsia="Arial" w:hAnsi="Verdana" w:cs="Arial"/>
          <w:spacing w:val="-1"/>
          <w:lang w:val="es-ES"/>
        </w:rPr>
        <w:t>capricho</w:t>
      </w:r>
      <w:r w:rsidRPr="003A1844">
        <w:rPr>
          <w:rFonts w:ascii="Verdana" w:eastAsia="Arial" w:hAnsi="Verdana" w:cs="Arial"/>
          <w:spacing w:val="-15"/>
          <w:lang w:val="es-ES"/>
        </w:rPr>
        <w:t xml:space="preserve"> </w:t>
      </w:r>
      <w:r w:rsidRPr="003A1844">
        <w:rPr>
          <w:rFonts w:ascii="Verdana" w:eastAsia="Arial" w:hAnsi="Verdana" w:cs="Arial"/>
          <w:spacing w:val="-1"/>
          <w:lang w:val="es-ES"/>
        </w:rPr>
        <w:t>en</w:t>
      </w:r>
      <w:r w:rsidRPr="003A1844">
        <w:rPr>
          <w:rFonts w:ascii="Verdana" w:eastAsia="Arial" w:hAnsi="Verdana" w:cs="Arial"/>
          <w:spacing w:val="-14"/>
          <w:lang w:val="es-ES"/>
        </w:rPr>
        <w:t xml:space="preserve"> </w:t>
      </w:r>
      <w:r w:rsidRPr="003A1844">
        <w:rPr>
          <w:rFonts w:ascii="Verdana" w:eastAsia="Arial" w:hAnsi="Verdana" w:cs="Arial"/>
          <w:spacing w:val="-1"/>
          <w:lang w:val="es-ES"/>
        </w:rPr>
        <w:t>casos</w:t>
      </w:r>
      <w:r w:rsidRPr="003A1844">
        <w:rPr>
          <w:rFonts w:ascii="Verdana" w:eastAsia="Arial" w:hAnsi="Verdana" w:cs="Arial"/>
          <w:spacing w:val="-14"/>
          <w:lang w:val="es-ES"/>
        </w:rPr>
        <w:t xml:space="preserve"> </w:t>
      </w:r>
      <w:r w:rsidRPr="003A1844">
        <w:rPr>
          <w:rFonts w:ascii="Verdana" w:eastAsia="Arial" w:hAnsi="Verdana" w:cs="Arial"/>
          <w:spacing w:val="-1"/>
          <w:lang w:val="es-ES"/>
        </w:rPr>
        <w:t>específicos;</w:t>
      </w:r>
      <w:r w:rsidRPr="003A1844">
        <w:rPr>
          <w:rFonts w:ascii="Verdana" w:eastAsia="Arial" w:hAnsi="Verdana" w:cs="Arial"/>
          <w:spacing w:val="-15"/>
          <w:lang w:val="es-ES"/>
        </w:rPr>
        <w:t xml:space="preserve"> </w:t>
      </w:r>
      <w:r w:rsidRPr="003A1844">
        <w:rPr>
          <w:rFonts w:ascii="Verdana" w:eastAsia="Arial" w:hAnsi="Verdana" w:cs="Arial"/>
          <w:spacing w:val="-1"/>
          <w:lang w:val="es-ES"/>
        </w:rPr>
        <w:t>sin</w:t>
      </w:r>
      <w:r w:rsidRPr="003A1844">
        <w:rPr>
          <w:rFonts w:ascii="Verdana" w:eastAsia="Arial" w:hAnsi="Verdana" w:cs="Arial"/>
          <w:spacing w:val="-14"/>
          <w:lang w:val="es-ES"/>
        </w:rPr>
        <w:t xml:space="preserve"> </w:t>
      </w:r>
      <w:r w:rsidRPr="003A1844">
        <w:rPr>
          <w:rFonts w:ascii="Verdana" w:eastAsia="Arial" w:hAnsi="Verdana" w:cs="Arial"/>
          <w:spacing w:val="-1"/>
          <w:lang w:val="es-ES"/>
        </w:rPr>
        <w:t>perjuicio</w:t>
      </w:r>
      <w:r w:rsidRPr="003A1844">
        <w:rPr>
          <w:rFonts w:ascii="Verdana" w:eastAsia="Arial" w:hAnsi="Verdana" w:cs="Arial"/>
          <w:spacing w:val="-14"/>
          <w:lang w:val="es-ES"/>
        </w:rPr>
        <w:t xml:space="preserve"> </w:t>
      </w:r>
      <w:r w:rsidRPr="003A1844">
        <w:rPr>
          <w:rFonts w:ascii="Verdana" w:eastAsia="Arial" w:hAnsi="Verdana" w:cs="Arial"/>
          <w:spacing w:val="-1"/>
          <w:lang w:val="es-ES"/>
        </w:rPr>
        <w:t>de</w:t>
      </w:r>
      <w:r w:rsidRPr="003A1844">
        <w:rPr>
          <w:rFonts w:ascii="Verdana" w:eastAsia="Arial" w:hAnsi="Verdana" w:cs="Arial"/>
          <w:spacing w:val="-15"/>
          <w:lang w:val="es-ES"/>
        </w:rPr>
        <w:t xml:space="preserve"> </w:t>
      </w:r>
      <w:r w:rsidRPr="003A1844">
        <w:rPr>
          <w:rFonts w:ascii="Verdana" w:eastAsia="Arial" w:hAnsi="Verdana" w:cs="Arial"/>
          <w:spacing w:val="-1"/>
          <w:lang w:val="es-ES"/>
        </w:rPr>
        <w:t>la</w:t>
      </w:r>
      <w:r w:rsidRPr="003A1844">
        <w:rPr>
          <w:rFonts w:ascii="Verdana" w:eastAsia="Arial" w:hAnsi="Verdana" w:cs="Arial"/>
          <w:spacing w:val="-14"/>
          <w:lang w:val="es-ES"/>
        </w:rPr>
        <w:t xml:space="preserve"> </w:t>
      </w:r>
      <w:r w:rsidRPr="003A1844">
        <w:rPr>
          <w:rFonts w:ascii="Verdana" w:eastAsia="Arial" w:hAnsi="Verdana" w:cs="Arial"/>
          <w:spacing w:val="-1"/>
          <w:lang w:val="es-ES"/>
        </w:rPr>
        <w:t>posibilidad</w:t>
      </w:r>
      <w:r w:rsidRPr="003A1844">
        <w:rPr>
          <w:rFonts w:ascii="Verdana" w:eastAsia="Arial" w:hAnsi="Verdana" w:cs="Arial"/>
          <w:spacing w:val="-14"/>
          <w:lang w:val="es-ES"/>
        </w:rPr>
        <w:t xml:space="preserve"> </w:t>
      </w:r>
      <w:r w:rsidRPr="003A1844">
        <w:rPr>
          <w:rFonts w:ascii="Verdana" w:eastAsia="Arial" w:hAnsi="Verdana" w:cs="Arial"/>
          <w:lang w:val="es-ES"/>
        </w:rPr>
        <w:t>de</w:t>
      </w:r>
      <w:r w:rsidRPr="003A1844">
        <w:rPr>
          <w:rFonts w:ascii="Verdana" w:eastAsia="Arial" w:hAnsi="Verdana" w:cs="Arial"/>
          <w:spacing w:val="-14"/>
          <w:lang w:val="es-ES"/>
        </w:rPr>
        <w:t xml:space="preserve"> </w:t>
      </w:r>
      <w:r w:rsidRPr="003A1844">
        <w:rPr>
          <w:rFonts w:ascii="Verdana" w:eastAsia="Arial" w:hAnsi="Verdana" w:cs="Arial"/>
          <w:lang w:val="es-ES"/>
        </w:rPr>
        <w:t>expedir</w:t>
      </w:r>
      <w:r w:rsidRPr="003A1844">
        <w:rPr>
          <w:rFonts w:ascii="Verdana" w:eastAsia="Arial" w:hAnsi="Verdana" w:cs="Arial"/>
          <w:spacing w:val="-15"/>
          <w:lang w:val="es-ES"/>
        </w:rPr>
        <w:t xml:space="preserve"> </w:t>
      </w:r>
      <w:r w:rsidRPr="003A1844">
        <w:rPr>
          <w:rFonts w:ascii="Verdana" w:eastAsia="Arial" w:hAnsi="Verdana" w:cs="Arial"/>
          <w:lang w:val="es-ES"/>
        </w:rPr>
        <w:t>un</w:t>
      </w:r>
      <w:r w:rsidRPr="003A1844">
        <w:rPr>
          <w:rFonts w:ascii="Verdana" w:eastAsia="Arial" w:hAnsi="Verdana" w:cs="Arial"/>
          <w:spacing w:val="-14"/>
          <w:lang w:val="es-ES"/>
        </w:rPr>
        <w:t xml:space="preserve"> </w:t>
      </w:r>
      <w:r w:rsidRPr="003A1844">
        <w:rPr>
          <w:rFonts w:ascii="Verdana" w:eastAsia="Arial" w:hAnsi="Verdana" w:cs="Arial"/>
          <w:lang w:val="es-ES"/>
        </w:rPr>
        <w:t>nuevo</w:t>
      </w:r>
      <w:r w:rsidRPr="003A1844">
        <w:rPr>
          <w:rFonts w:ascii="Verdana" w:eastAsia="Arial" w:hAnsi="Verdana" w:cs="Arial"/>
          <w:spacing w:val="-14"/>
          <w:lang w:val="es-ES"/>
        </w:rPr>
        <w:t xml:space="preserve"> </w:t>
      </w:r>
      <w:r w:rsidRPr="003A1844">
        <w:rPr>
          <w:rFonts w:ascii="Verdana" w:eastAsia="Arial" w:hAnsi="Verdana" w:cs="Arial"/>
          <w:lang w:val="es-ES"/>
        </w:rPr>
        <w:t>manual o</w:t>
      </w:r>
      <w:r w:rsidRPr="003A1844">
        <w:rPr>
          <w:rFonts w:ascii="Verdana" w:eastAsia="Arial" w:hAnsi="Verdana" w:cs="Arial"/>
          <w:spacing w:val="-2"/>
          <w:lang w:val="es-ES"/>
        </w:rPr>
        <w:t xml:space="preserve"> </w:t>
      </w:r>
      <w:r w:rsidRPr="003A1844">
        <w:rPr>
          <w:rFonts w:ascii="Verdana" w:eastAsia="Arial" w:hAnsi="Verdana" w:cs="Arial"/>
          <w:lang w:val="es-ES"/>
        </w:rPr>
        <w:t>de</w:t>
      </w:r>
      <w:r w:rsidRPr="003A1844">
        <w:rPr>
          <w:rFonts w:ascii="Verdana" w:eastAsia="Arial" w:hAnsi="Verdana" w:cs="Arial"/>
          <w:spacing w:val="-1"/>
          <w:lang w:val="es-ES"/>
        </w:rPr>
        <w:t xml:space="preserve"> </w:t>
      </w:r>
      <w:r w:rsidRPr="003A1844">
        <w:rPr>
          <w:rFonts w:ascii="Verdana" w:eastAsia="Arial" w:hAnsi="Verdana" w:cs="Arial"/>
          <w:lang w:val="es-ES"/>
        </w:rPr>
        <w:t>modificar</w:t>
      </w:r>
      <w:r w:rsidRPr="003A1844">
        <w:rPr>
          <w:rFonts w:ascii="Verdana" w:eastAsia="Arial" w:hAnsi="Verdana" w:cs="Arial"/>
          <w:spacing w:val="-1"/>
          <w:lang w:val="es-ES"/>
        </w:rPr>
        <w:t xml:space="preserve"> </w:t>
      </w:r>
      <w:r w:rsidRPr="003A1844">
        <w:rPr>
          <w:rFonts w:ascii="Verdana" w:eastAsia="Arial" w:hAnsi="Verdana" w:cs="Arial"/>
          <w:lang w:val="es-ES"/>
        </w:rPr>
        <w:t>el</w:t>
      </w:r>
      <w:r w:rsidRPr="003A1844">
        <w:rPr>
          <w:rFonts w:ascii="Verdana" w:eastAsia="Arial" w:hAnsi="Verdana" w:cs="Arial"/>
          <w:spacing w:val="-1"/>
          <w:lang w:val="es-ES"/>
        </w:rPr>
        <w:t xml:space="preserve"> </w:t>
      </w:r>
      <w:r w:rsidRPr="003A1844">
        <w:rPr>
          <w:rFonts w:ascii="Verdana" w:eastAsia="Arial" w:hAnsi="Verdana" w:cs="Arial"/>
          <w:lang w:val="es-ES"/>
        </w:rPr>
        <w:t>existente.</w:t>
      </w:r>
    </w:p>
    <w:p w14:paraId="4597905E" w14:textId="77777777" w:rsidR="008D4DDA" w:rsidRPr="003A1844" w:rsidRDefault="008D4DDA" w:rsidP="008D4DDA">
      <w:pPr>
        <w:spacing w:after="120" w:line="276" w:lineRule="auto"/>
        <w:ind w:firstLine="709"/>
        <w:jc w:val="both"/>
        <w:rPr>
          <w:rFonts w:ascii="Verdana" w:eastAsia="Calibri" w:hAnsi="Verdana" w:cs="Arial"/>
          <w:color w:val="000000" w:themeColor="text1"/>
          <w:lang w:val="es-ES_tradnl"/>
        </w:rPr>
      </w:pPr>
      <w:r w:rsidRPr="003A1844">
        <w:rPr>
          <w:rFonts w:ascii="Verdana" w:eastAsia="Calibri" w:hAnsi="Verdana" w:cs="Arial"/>
          <w:color w:val="000000" w:themeColor="text1"/>
          <w:lang w:val="es-ES_tradnl"/>
        </w:rPr>
        <w:t>Además, los procedimientos de selección que creen las entidades de régimen especial en sus manuales de contratación deben estar acordes, en cuanto a sus etapas, publicidad, duración, requisitos y demás aspectos con los acuerdos comerciales suscritos por Colombia, en caso de que la entidad se encuentre dentro del ámbito de cobertura de algún acuerdo comercial.</w:t>
      </w:r>
    </w:p>
    <w:p w14:paraId="628A43E2" w14:textId="77777777" w:rsidR="008D4DDA" w:rsidRPr="003A1844" w:rsidRDefault="008D4DDA" w:rsidP="008D4DDA">
      <w:pPr>
        <w:spacing w:after="120" w:line="276" w:lineRule="auto"/>
        <w:ind w:firstLine="709"/>
        <w:jc w:val="both"/>
        <w:rPr>
          <w:rFonts w:ascii="Verdana" w:eastAsia="Calibri" w:hAnsi="Verdana" w:cs="Arial"/>
          <w:color w:val="000000" w:themeColor="text1"/>
          <w:lang w:val="es-ES"/>
        </w:rPr>
      </w:pPr>
      <w:r w:rsidRPr="003A1844">
        <w:rPr>
          <w:rFonts w:ascii="Verdana" w:eastAsia="Calibri" w:hAnsi="Verdana" w:cs="Arial"/>
          <w:color w:val="000000" w:themeColor="text1"/>
          <w:lang w:val="es-ES"/>
        </w:rPr>
        <w:t>De otro lado, existen ciertos contenidos determinados por el ordenamiento jurídico que no pueden ser modificados por los manuales internos, por tratarse de asuntos con reserva de ley. En este sentido, estos reglamentos internos de las entidades con régimen especial no pueden crear causales de in</w:t>
      </w:r>
      <w:r>
        <w:rPr>
          <w:rFonts w:ascii="Verdana" w:eastAsia="Calibri" w:hAnsi="Verdana" w:cs="Arial"/>
          <w:color w:val="000000" w:themeColor="text1"/>
          <w:lang w:val="es-ES"/>
        </w:rPr>
        <w:t xml:space="preserve">habilidad o incompatibilidad, </w:t>
      </w:r>
      <w:r w:rsidRPr="003A1844">
        <w:rPr>
          <w:rFonts w:ascii="Verdana" w:eastAsia="Calibri" w:hAnsi="Verdana" w:cs="Arial"/>
          <w:color w:val="000000" w:themeColor="text1"/>
          <w:lang w:val="es-ES"/>
        </w:rPr>
        <w:t>prescribir requisitos de perfeccionamiento, tipologías contractuales, limitar la capacidad contractual establecida en la ley. En efecto, estos contenidos no pueden ser regulados o modificados por los manuales de contratación, ya que se trata de aspectos con reserva de ley o con congelación en el rango de nivel legal, por lo que un acto administrativo no podría alterarlos</w:t>
      </w:r>
      <w:r w:rsidRPr="003A1844">
        <w:rPr>
          <w:rFonts w:ascii="Verdana" w:eastAsia="Calibri" w:hAnsi="Verdana" w:cs="Arial"/>
          <w:color w:val="000000" w:themeColor="text1"/>
          <w:vertAlign w:val="superscript"/>
          <w:lang w:val="es-ES_tradnl"/>
        </w:rPr>
        <w:footnoteReference w:id="12"/>
      </w:r>
      <w:r w:rsidRPr="003A1844">
        <w:rPr>
          <w:rFonts w:ascii="Verdana" w:eastAsia="Calibri" w:hAnsi="Verdana" w:cs="Arial"/>
          <w:color w:val="000000" w:themeColor="text1"/>
          <w:lang w:val="es-ES"/>
        </w:rPr>
        <w:t>.</w:t>
      </w:r>
    </w:p>
    <w:p w14:paraId="6D5B17DB" w14:textId="77777777" w:rsidR="008D4DDA" w:rsidRDefault="008D4DDA" w:rsidP="008D4DDA">
      <w:pPr>
        <w:spacing w:after="0" w:line="276" w:lineRule="auto"/>
        <w:ind w:firstLine="708"/>
        <w:jc w:val="both"/>
        <w:rPr>
          <w:rFonts w:ascii="Verdana" w:eastAsia="Calibri" w:hAnsi="Verdana" w:cs="Arial"/>
          <w:color w:val="000000" w:themeColor="text1"/>
          <w:lang w:val="es-ES"/>
        </w:rPr>
      </w:pPr>
      <w:r w:rsidRPr="003A1844">
        <w:rPr>
          <w:rFonts w:ascii="Verdana" w:eastAsia="Calibri" w:hAnsi="Verdana" w:cs="Arial"/>
          <w:color w:val="000000" w:themeColor="text1"/>
          <w:lang w:val="es-ES"/>
        </w:rPr>
        <w:t xml:space="preserve">Sin perjuicio de lo anterior, existen múltiples contenidos que pueden ser objeto de regulación en el manual de contratación, por hacer parte del ámbito de configuración en desarrollo de su autonomía contractual, siempre que no contravengan la Constitución ni la ley. Por ejemplo, la definición de algunos requisitos de ejecución del contrato, con excepción de los que la ley imponga, la definición de si cierta actuación de la actividad contractual la debe realizar cierta dependencia de la entidad, establecer límites en cuanto a posibilidad de realizar </w:t>
      </w:r>
      <w:r w:rsidRPr="003A1844">
        <w:rPr>
          <w:rFonts w:ascii="Verdana" w:eastAsia="Calibri" w:hAnsi="Verdana" w:cs="Arial"/>
          <w:color w:val="000000" w:themeColor="text1"/>
          <w:lang w:val="es-ES"/>
        </w:rPr>
        <w:lastRenderedPageBreak/>
        <w:t>adiciones, detallar los trámites internos que se surten al interior de la entidad y demás aspectos que hagan parte de su ámbito de configuració</w:t>
      </w:r>
      <w:r>
        <w:rPr>
          <w:rFonts w:ascii="Verdana" w:eastAsia="Calibri" w:hAnsi="Verdana" w:cs="Arial"/>
          <w:color w:val="000000" w:themeColor="text1"/>
          <w:lang w:val="es-ES"/>
        </w:rPr>
        <w:t>n.</w:t>
      </w:r>
    </w:p>
    <w:p w14:paraId="5AAF15D5" w14:textId="77777777" w:rsidR="008D4DDA" w:rsidRDefault="008D4DDA" w:rsidP="008D4DDA">
      <w:pPr>
        <w:spacing w:after="0" w:line="276" w:lineRule="auto"/>
        <w:jc w:val="both"/>
        <w:rPr>
          <w:rFonts w:ascii="Verdana" w:eastAsia="Calibri" w:hAnsi="Verdana" w:cs="Arial"/>
          <w:color w:val="000000" w:themeColor="text1"/>
          <w:lang w:val="es-ES"/>
        </w:rPr>
      </w:pPr>
    </w:p>
    <w:p w14:paraId="09E56E2A" w14:textId="77777777" w:rsidR="008D4DDA" w:rsidRPr="00881D8A" w:rsidRDefault="008D4DDA" w:rsidP="008D4DDA">
      <w:pPr>
        <w:widowControl w:val="0"/>
        <w:autoSpaceDE w:val="0"/>
        <w:autoSpaceDN w:val="0"/>
        <w:spacing w:after="120" w:line="276" w:lineRule="auto"/>
        <w:jc w:val="both"/>
        <w:rPr>
          <w:rFonts w:ascii="Verdana" w:eastAsia="Arial" w:hAnsi="Verdana" w:cs="Arial"/>
        </w:rPr>
      </w:pPr>
      <w:r>
        <w:rPr>
          <w:rFonts w:ascii="Verdana" w:eastAsia="Calibri" w:hAnsi="Verdana" w:cs="Arial"/>
          <w:color w:val="000000" w:themeColor="text1"/>
          <w:lang w:val="es-ES"/>
        </w:rPr>
        <w:t xml:space="preserve">iii. </w:t>
      </w:r>
      <w:r w:rsidRPr="00881D8A">
        <w:rPr>
          <w:rFonts w:ascii="Verdana" w:eastAsia="Calibri" w:hAnsi="Verdana" w:cs="Times New Roman"/>
        </w:rPr>
        <w:t xml:space="preserve">La Capacidad Residual o K de Contratación es la aptitud de un oferente para cumplir oportuna y cabalmente con el objeto de un contrato de obra, sin que sus otros compromisos contractuales afecten su habilidad de responder con el contrato objeto del Proceso de Contratación. </w:t>
      </w:r>
    </w:p>
    <w:p w14:paraId="41BFF64F" w14:textId="77777777" w:rsidR="008D4DDA" w:rsidRDefault="008D4DDA" w:rsidP="008D4DDA">
      <w:pPr>
        <w:widowControl w:val="0"/>
        <w:autoSpaceDE w:val="0"/>
        <w:autoSpaceDN w:val="0"/>
        <w:spacing w:after="120" w:line="276" w:lineRule="auto"/>
        <w:ind w:firstLine="709"/>
        <w:jc w:val="both"/>
        <w:rPr>
          <w:rFonts w:ascii="Verdana" w:eastAsia="Arial" w:hAnsi="Verdana" w:cs="Arial"/>
          <w:lang w:val="es-ES"/>
        </w:rPr>
      </w:pPr>
      <w:r w:rsidRPr="00881D8A">
        <w:rPr>
          <w:rFonts w:ascii="Verdana" w:eastAsia="Arial" w:hAnsi="Verdana" w:cs="Arial"/>
        </w:rPr>
        <w:t xml:space="preserve">El artículo 2.2.1.1.1.3.1 del Decreto 1082 de 2015 define la capacidad residual como: “Aptitud de un oferente para cumplir oportuna y cabalmente con el objeto de un contrato de obra, sin que sus otros compromisos contractuales afecten su habilidad de cumplir con el contrato que está en proceso de selección”. </w:t>
      </w:r>
      <w:r w:rsidRPr="00F67D88">
        <w:rPr>
          <w:rFonts w:ascii="Verdana" w:eastAsia="Aptos" w:hAnsi="Verdana" w:cs="Arial"/>
          <w:lang w:val="es-ES"/>
        </w:rPr>
        <w:t xml:space="preserve">Por su parte, el Consejo de Estado </w:t>
      </w:r>
      <w:r>
        <w:rPr>
          <w:rFonts w:ascii="Verdana" w:eastAsia="Aptos" w:hAnsi="Verdana" w:cs="Arial"/>
          <w:lang w:val="es-ES"/>
        </w:rPr>
        <w:t xml:space="preserve">definió </w:t>
      </w:r>
      <w:r w:rsidRPr="00F67D88">
        <w:rPr>
          <w:rFonts w:ascii="Verdana" w:eastAsia="Aptos" w:hAnsi="Verdana" w:cs="Arial"/>
          <w:lang w:val="es-ES"/>
        </w:rPr>
        <w:t>la capacidad residual como “la diferencia que existe entre el potencial de contratación que se tiene y los compromisos que haya adquirido y que se encuentren en ejecución, para la fecha de presentación de la oferta”</w:t>
      </w:r>
      <w:r w:rsidRPr="00F67D88">
        <w:rPr>
          <w:rFonts w:ascii="Verdana" w:eastAsia="Aptos" w:hAnsi="Verdana" w:cs="Arial"/>
          <w:vertAlign w:val="superscript"/>
          <w:lang w:val="es-ES"/>
        </w:rPr>
        <w:footnoteReference w:id="13"/>
      </w:r>
      <w:r w:rsidRPr="00F67D88">
        <w:rPr>
          <w:rFonts w:ascii="Verdana" w:eastAsia="Aptos" w:hAnsi="Verdana" w:cs="Arial"/>
          <w:lang w:val="es-ES"/>
        </w:rPr>
        <w:t>.</w:t>
      </w:r>
    </w:p>
    <w:p w14:paraId="7C58FF40" w14:textId="77777777" w:rsidR="008D4DDA" w:rsidRPr="006A22ED" w:rsidRDefault="008D4DDA" w:rsidP="008D4DDA">
      <w:pPr>
        <w:widowControl w:val="0"/>
        <w:autoSpaceDE w:val="0"/>
        <w:autoSpaceDN w:val="0"/>
        <w:spacing w:after="0" w:line="276" w:lineRule="auto"/>
        <w:ind w:firstLine="709"/>
        <w:jc w:val="both"/>
        <w:rPr>
          <w:rFonts w:ascii="Verdana" w:eastAsia="Arial" w:hAnsi="Verdana" w:cs="Arial"/>
        </w:rPr>
      </w:pPr>
      <w:r w:rsidRPr="00F67D88">
        <w:rPr>
          <w:rFonts w:ascii="Verdana" w:eastAsia="Aptos" w:hAnsi="Verdana" w:cs="Arial"/>
          <w:lang w:val="es-ES"/>
        </w:rPr>
        <w:t xml:space="preserve">De esta manera, la capacidad residual se refiere a la suficiencia que tiene el proponente para asumir nuevas obligaciones que se derivan del contrato objeto del proceso de contratación, en relación con las obligaciones que ya adquirió frente a otros contratos. Por su parte, el artículo 6 de la Ley 1150 de 2007 dispone que la capacidad residual de los interesados en participar en procesos de selección para contratos de obra deberá ser igual o superior al que la entidad ha establecido en los pliegos de condiciones, en los siguientes términos: </w:t>
      </w:r>
    </w:p>
    <w:p w14:paraId="7D45302F" w14:textId="77777777" w:rsidR="008D4DDA" w:rsidRPr="00F67D88" w:rsidRDefault="008D4DDA" w:rsidP="008D4DDA">
      <w:pPr>
        <w:spacing w:after="0" w:line="276" w:lineRule="auto"/>
        <w:ind w:firstLine="708"/>
        <w:jc w:val="both"/>
        <w:rPr>
          <w:rFonts w:ascii="Verdana" w:eastAsia="Times New Roman" w:hAnsi="Verdana" w:cs="Arial"/>
          <w:color w:val="000000"/>
          <w:sz w:val="24"/>
          <w:szCs w:val="24"/>
          <w:lang w:val="es-MX" w:eastAsia="es-ES_tradnl"/>
        </w:rPr>
      </w:pPr>
    </w:p>
    <w:p w14:paraId="62567787" w14:textId="77777777" w:rsidR="008D4DDA" w:rsidRPr="00F67D88" w:rsidRDefault="008D4DDA" w:rsidP="008D4DDA">
      <w:pPr>
        <w:spacing w:after="120" w:line="240" w:lineRule="auto"/>
        <w:ind w:left="709" w:right="709"/>
        <w:jc w:val="both"/>
        <w:rPr>
          <w:rFonts w:ascii="Verdana" w:eastAsia="Calibri" w:hAnsi="Verdana" w:cs="Arial"/>
          <w:color w:val="000000"/>
          <w:sz w:val="21"/>
          <w:szCs w:val="21"/>
          <w:lang w:val="es-MX" w:eastAsia="es-ES_tradnl"/>
        </w:rPr>
      </w:pPr>
      <w:r w:rsidRPr="00F67D88">
        <w:rPr>
          <w:rFonts w:ascii="Verdana" w:eastAsia="Calibri" w:hAnsi="Verdana" w:cs="Arial"/>
          <w:color w:val="000000"/>
          <w:sz w:val="21"/>
          <w:szCs w:val="21"/>
          <w:lang w:val="es-MX" w:eastAsia="es-ES_tradnl"/>
        </w:rPr>
        <w:t>Parágrafo 1°. Para poder participar en los procesos de selección de los contratos de obra y demás que señale el reglamento, la capacidad residual del proponente o K de contratación deberá ser igual o superior al que la entidad haya establecido para el efecto en los pliegos de condiciones.</w:t>
      </w:r>
    </w:p>
    <w:p w14:paraId="2A346B02" w14:textId="77777777" w:rsidR="008D4DDA" w:rsidRDefault="008D4DDA" w:rsidP="008D4DDA">
      <w:pPr>
        <w:spacing w:after="0" w:line="240" w:lineRule="auto"/>
        <w:ind w:left="709" w:right="709"/>
        <w:jc w:val="both"/>
        <w:rPr>
          <w:rFonts w:ascii="Verdana" w:eastAsia="Calibri" w:hAnsi="Verdana" w:cs="Arial"/>
          <w:color w:val="000000"/>
          <w:sz w:val="21"/>
          <w:szCs w:val="21"/>
          <w:lang w:val="es-MX" w:eastAsia="es-ES_tradnl"/>
        </w:rPr>
      </w:pPr>
      <w:r w:rsidRPr="00F67D88">
        <w:rPr>
          <w:rFonts w:ascii="Verdana" w:eastAsia="Calibri" w:hAnsi="Verdana" w:cs="Arial"/>
          <w:color w:val="000000"/>
          <w:sz w:val="21"/>
          <w:szCs w:val="21"/>
          <w:lang w:val="es-MX" w:eastAsia="es-ES_tradnl"/>
        </w:rPr>
        <w:t xml:space="preserve">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w:t>
      </w:r>
      <w:r w:rsidRPr="00F67D88">
        <w:rPr>
          <w:rFonts w:ascii="Verdana" w:eastAsia="Calibri" w:hAnsi="Verdana" w:cs="Arial"/>
          <w:color w:val="000000"/>
          <w:sz w:val="21"/>
          <w:szCs w:val="21"/>
          <w:lang w:val="es-MX" w:eastAsia="es-ES_tradnl"/>
        </w:rPr>
        <w:lastRenderedPageBreak/>
        <w:t>real K de contratación, en cada oportunidad. El Gobierno Nacional reglamentará la materia.</w:t>
      </w:r>
    </w:p>
    <w:p w14:paraId="37F9F3F5" w14:textId="77777777" w:rsidR="008D4DDA" w:rsidRDefault="008D4DDA" w:rsidP="008D4DDA">
      <w:pPr>
        <w:spacing w:after="0" w:line="240" w:lineRule="auto"/>
        <w:ind w:left="709" w:right="709"/>
        <w:jc w:val="both"/>
        <w:rPr>
          <w:rFonts w:ascii="Verdana" w:eastAsia="Calibri" w:hAnsi="Verdana" w:cs="Arial"/>
          <w:color w:val="000000"/>
          <w:sz w:val="21"/>
          <w:szCs w:val="21"/>
          <w:lang w:val="es-MX" w:eastAsia="es-ES_tradnl"/>
        </w:rPr>
      </w:pPr>
    </w:p>
    <w:p w14:paraId="0B10DBBE" w14:textId="77777777" w:rsidR="008D4DDA" w:rsidRDefault="008D4DDA" w:rsidP="008D4DDA">
      <w:pPr>
        <w:snapToGrid w:val="0"/>
        <w:spacing w:after="120" w:line="276" w:lineRule="auto"/>
        <w:ind w:firstLine="709"/>
        <w:jc w:val="both"/>
        <w:rPr>
          <w:rFonts w:ascii="Verdana" w:eastAsia="Calibri" w:hAnsi="Verdana" w:cs="Arial"/>
          <w:color w:val="000000"/>
          <w:sz w:val="21"/>
          <w:szCs w:val="21"/>
          <w:lang w:eastAsia="es-ES_tradnl"/>
        </w:rPr>
      </w:pPr>
      <w:r w:rsidRPr="00F67D88">
        <w:rPr>
          <w:rFonts w:ascii="Verdana" w:eastAsia="Calibri" w:hAnsi="Verdana" w:cs="Arial"/>
          <w:color w:val="000000"/>
          <w:lang w:val="es-MX" w:eastAsia="es-ES_tradnl"/>
        </w:rPr>
        <w:t xml:space="preserve">De acuerdo con </w:t>
      </w:r>
      <w:r w:rsidRPr="00F67D88">
        <w:rPr>
          <w:rFonts w:ascii="Verdana" w:eastAsia="Calibri" w:hAnsi="Verdana" w:cs="Arial"/>
          <w:color w:val="000000"/>
          <w:lang w:eastAsia="es-ES_tradnl"/>
        </w:rPr>
        <w:t xml:space="preserve">el artículo 72 de la Ley 1682 de 2013, </w:t>
      </w:r>
      <w:r>
        <w:rPr>
          <w:rFonts w:ascii="Verdana" w:eastAsia="Calibri" w:hAnsi="Verdana" w:cs="Arial"/>
          <w:color w:val="000000"/>
          <w:lang w:eastAsia="es-ES_tradnl"/>
        </w:rPr>
        <w:t xml:space="preserve">por la cual se adoptan medidas y disposiciones para los proyectos de infraestructura de transporte, estableció que, </w:t>
      </w:r>
      <w:r w:rsidRPr="00F67D88">
        <w:rPr>
          <w:rFonts w:ascii="Verdana" w:eastAsia="Calibri" w:hAnsi="Verdana" w:cs="Arial"/>
          <w:color w:val="000000"/>
          <w:lang w:eastAsia="es-ES_tradnl"/>
        </w:rPr>
        <w:t>la “capacidad residual de contratación cuando se realicen contratos de obra pública se obtendrá de sustraer de la capacidad de contratación, el saldo del valor de los contratos en ejecución”. La “capacidad de contratación”, según se desprende de la misma disposición, “(…) se deberá calcular mediante la evaluación de los siguientes factores: Experiencia (E), Capacidad Financiera (CF), Capacidad Técnica (CT), y Capacidad de Organización (CO)”.</w:t>
      </w:r>
    </w:p>
    <w:p w14:paraId="20CAC46B" w14:textId="77777777" w:rsidR="008D4DDA" w:rsidRDefault="008D4DDA" w:rsidP="008D4DDA">
      <w:pPr>
        <w:snapToGrid w:val="0"/>
        <w:spacing w:after="120" w:line="276" w:lineRule="auto"/>
        <w:ind w:firstLine="709"/>
        <w:jc w:val="both"/>
        <w:rPr>
          <w:rFonts w:ascii="Verdana" w:eastAsia="Calibri" w:hAnsi="Verdana" w:cs="Arial"/>
          <w:color w:val="000000"/>
          <w:sz w:val="21"/>
          <w:szCs w:val="21"/>
          <w:lang w:val="es-MX" w:eastAsia="es-ES_tradnl"/>
        </w:rPr>
      </w:pPr>
      <w:r w:rsidRPr="00F67D88">
        <w:rPr>
          <w:rFonts w:ascii="Verdana" w:eastAsia="Calibri" w:hAnsi="Verdana" w:cs="Arial"/>
          <w:color w:val="000000"/>
          <w:lang w:val="es-MX" w:eastAsia="es-ES_tradnl"/>
        </w:rPr>
        <w:t>Por su parte, el artículo 2.2.1.1.1.6.4 del Decreto 1082 de 2015 dispone que las entidades estatales deberán calcular la capacidad residual conforme a la metodología definida por Colombia Compre Eficiente. Para tale fines, resulta necesario tener en cuenta los factores de i) Experiencia –E–, ii) Capacidad Financiera –CF–, iii) Capacidad Técnica –CT–, iv) Capacidad de Organización y v) los Saldos de los Contratos en Ejecución –SCE–.</w:t>
      </w:r>
    </w:p>
    <w:p w14:paraId="1DDDFFC9" w14:textId="77777777" w:rsidR="008D4DDA" w:rsidRDefault="008D4DDA" w:rsidP="008D4DDA">
      <w:pPr>
        <w:snapToGrid w:val="0"/>
        <w:spacing w:after="120" w:line="276" w:lineRule="auto"/>
        <w:ind w:firstLine="709"/>
        <w:jc w:val="both"/>
        <w:rPr>
          <w:rFonts w:ascii="Verdana" w:eastAsia="Calibri" w:hAnsi="Verdana" w:cs="Arial"/>
          <w:color w:val="000000"/>
          <w:sz w:val="21"/>
          <w:szCs w:val="21"/>
          <w:lang w:val="es-MX" w:eastAsia="es-ES_tradnl"/>
        </w:rPr>
      </w:pPr>
      <w:r w:rsidRPr="00F67D88">
        <w:rPr>
          <w:rFonts w:ascii="Verdana" w:eastAsia="Calibri" w:hAnsi="Verdana" w:cs="Arial"/>
          <w:color w:val="000000"/>
          <w:lang w:val="es-MX" w:eastAsia="es-ES_tradnl"/>
        </w:rPr>
        <w:t xml:space="preserve">De igual manera, </w:t>
      </w:r>
      <w:r w:rsidRPr="00F67D88">
        <w:rPr>
          <w:rFonts w:ascii="Verdana" w:eastAsia="Times New Roman" w:hAnsi="Verdana" w:cs="Arial"/>
          <w:lang w:val="es-MX" w:eastAsia="es-ES_tradnl"/>
        </w:rPr>
        <w:t>establece que el interesado en celebrar contratos de obra pública acreditará su capacidad residual con los siguientes documentos: i) la lista de los contratos de obras civiles en ejecución suscritos con entidades estatales y con entidades privadas; ii) la lista de contratos de obras civiles en ejecución, suscritos por sociedades, consorcios o uniones temporales, en los cuales el proponente tenga participación, con entidades estatales y con entidades privadas; y finalmente iii) el balance general auditado del año inmediatamente anterior y estado de resultados auditado del año en que haya obtenido el mayor ingreso operacional en los últimos cinco (5) años</w:t>
      </w:r>
      <w:r w:rsidRPr="00F67D88">
        <w:rPr>
          <w:rFonts w:ascii="Verdana" w:eastAsia="Aptos" w:hAnsi="Verdana" w:cs="Times New Roman"/>
          <w:kern w:val="2"/>
          <w:sz w:val="24"/>
          <w:szCs w:val="24"/>
          <w:vertAlign w:val="superscript"/>
          <w:lang w:val="es-MX" w:eastAsia="es-ES_tradnl"/>
          <w14:ligatures w14:val="standardContextual"/>
        </w:rPr>
        <w:footnoteReference w:id="14"/>
      </w:r>
      <w:r w:rsidRPr="00F67D88">
        <w:rPr>
          <w:rFonts w:ascii="Verdana" w:eastAsia="Times New Roman" w:hAnsi="Verdana" w:cs="Arial"/>
          <w:lang w:val="es-MX" w:eastAsia="es-ES_tradnl"/>
        </w:rPr>
        <w:t xml:space="preserve">. </w:t>
      </w:r>
    </w:p>
    <w:p w14:paraId="68AA7D5C" w14:textId="77777777" w:rsidR="008D4DDA" w:rsidRDefault="008D4DDA" w:rsidP="008D4DDA">
      <w:pPr>
        <w:spacing w:after="120" w:line="276" w:lineRule="auto"/>
        <w:ind w:firstLine="708"/>
        <w:jc w:val="both"/>
        <w:rPr>
          <w:rFonts w:ascii="Verdana" w:eastAsia="Times New Roman" w:hAnsi="Verdana" w:cs="Arial"/>
          <w:color w:val="000000"/>
          <w:lang w:val="es-MX" w:eastAsia="es-ES_tradnl"/>
        </w:rPr>
      </w:pPr>
      <w:r w:rsidRPr="00F67D88">
        <w:rPr>
          <w:rFonts w:ascii="Verdana" w:eastAsia="Times New Roman" w:hAnsi="Verdana" w:cs="Arial"/>
          <w:color w:val="000000"/>
          <w:lang w:val="es-MX" w:eastAsia="es-ES_tradnl"/>
        </w:rPr>
        <w:lastRenderedPageBreak/>
        <w:t>De conformidad con lo expuesto, la Agencia Nacional de Contratación Pública – Colombia Compra Eficiente expidió la Guía para Determinar y Verificar la Capacidad Residual del Proponente en los Procesos de Contratación de Obra Pública. Este documento establece,</w:t>
      </w:r>
      <w:r>
        <w:rPr>
          <w:rFonts w:ascii="Verdana" w:eastAsia="Times New Roman" w:hAnsi="Verdana" w:cs="Arial"/>
          <w:color w:val="000000"/>
          <w:lang w:val="es-MX" w:eastAsia="es-ES_tradnl"/>
        </w:rPr>
        <w:t xml:space="preserve"> la metodología para el cálculo de la capacidad residual que deben observar tanto las entidades como los oferentes en los procesos de contratación de obra pública. </w:t>
      </w:r>
    </w:p>
    <w:p w14:paraId="6F982D3A" w14:textId="77777777" w:rsidR="008D4DDA" w:rsidRDefault="008D4DDA" w:rsidP="008D4DDA">
      <w:pPr>
        <w:spacing w:after="120" w:line="276" w:lineRule="auto"/>
        <w:ind w:firstLine="708"/>
        <w:jc w:val="both"/>
        <w:rPr>
          <w:rFonts w:ascii="Verdana" w:eastAsia="Times New Roman" w:hAnsi="Verdana" w:cs="Arial"/>
          <w:color w:val="000000"/>
          <w:lang w:val="es-MX" w:eastAsia="es-ES_tradnl"/>
        </w:rPr>
      </w:pPr>
      <w:r w:rsidRPr="00681A77">
        <w:rPr>
          <w:rFonts w:ascii="Verdana" w:eastAsia="Times New Roman" w:hAnsi="Verdana" w:cs="Arial"/>
          <w:color w:val="000000"/>
          <w:lang w:val="es-MX" w:eastAsia="es-ES_tradnl"/>
        </w:rPr>
        <w:t xml:space="preserve">Así mismo, en la mencionada </w:t>
      </w:r>
      <w:r>
        <w:rPr>
          <w:rFonts w:ascii="Verdana" w:eastAsia="Times New Roman" w:hAnsi="Verdana" w:cs="Arial"/>
          <w:color w:val="000000"/>
          <w:lang w:val="es-MX" w:eastAsia="es-ES_tradnl"/>
        </w:rPr>
        <w:t>G</w:t>
      </w:r>
      <w:r w:rsidRPr="00681A77">
        <w:rPr>
          <w:rFonts w:ascii="Verdana" w:eastAsia="Times New Roman" w:hAnsi="Verdana" w:cs="Arial"/>
          <w:color w:val="000000"/>
          <w:lang w:val="es-MX" w:eastAsia="es-ES_tradnl"/>
        </w:rPr>
        <w:t>uía se establece que la Capacidad Residual de Contratación, es únicamente exigida para los contratos de obra pública, por lo tanto, en los Documentos del Proceso de obra pública, la Entidad Estatal debe</w:t>
      </w:r>
      <w:r>
        <w:rPr>
          <w:rFonts w:ascii="Verdana" w:eastAsia="Times New Roman" w:hAnsi="Verdana" w:cs="Arial"/>
          <w:color w:val="000000"/>
          <w:lang w:val="es-MX" w:eastAsia="es-ES_tradnl"/>
        </w:rPr>
        <w:t>rá</w:t>
      </w:r>
      <w:r w:rsidRPr="00681A77">
        <w:rPr>
          <w:rFonts w:ascii="Verdana" w:eastAsia="Times New Roman" w:hAnsi="Verdana" w:cs="Arial"/>
          <w:color w:val="000000"/>
          <w:lang w:val="es-MX" w:eastAsia="es-ES_tradnl"/>
        </w:rPr>
        <w:t xml:space="preserve"> establecer un requisito adiciona</w:t>
      </w:r>
      <w:r>
        <w:rPr>
          <w:rFonts w:ascii="Verdana" w:eastAsia="Times New Roman" w:hAnsi="Verdana" w:cs="Arial"/>
          <w:color w:val="000000"/>
          <w:lang w:val="es-MX" w:eastAsia="es-ES_tradnl"/>
        </w:rPr>
        <w:t>l</w:t>
      </w:r>
      <w:r w:rsidRPr="00681A77">
        <w:rPr>
          <w:rFonts w:ascii="Verdana" w:eastAsia="Times New Roman" w:hAnsi="Verdana" w:cs="Arial"/>
          <w:color w:val="000000"/>
          <w:lang w:val="es-MX" w:eastAsia="es-ES_tradnl"/>
        </w:rPr>
        <w:t xml:space="preserve"> a los requisitos habilitantes que es la Capacidad Rsidual, la cual</w:t>
      </w:r>
      <w:r>
        <w:rPr>
          <w:rFonts w:ascii="Verdana" w:eastAsia="Times New Roman" w:hAnsi="Verdana" w:cs="Arial"/>
          <w:color w:val="000000"/>
          <w:lang w:val="es-MX" w:eastAsia="es-ES_tradnl"/>
        </w:rPr>
        <w:t>,</w:t>
      </w:r>
      <w:r w:rsidRPr="00681A77">
        <w:rPr>
          <w:rFonts w:ascii="Verdana" w:eastAsia="Times New Roman" w:hAnsi="Verdana" w:cs="Arial"/>
          <w:color w:val="000000"/>
          <w:lang w:val="es-MX" w:eastAsia="es-ES_tradnl"/>
        </w:rPr>
        <w:t xml:space="preserve"> deben cumplir los interesados en participar en el proceso de contratación</w:t>
      </w:r>
      <w:r>
        <w:rPr>
          <w:rStyle w:val="Refdenotaalpie"/>
          <w:rFonts w:ascii="Verdana" w:eastAsia="Times New Roman" w:hAnsi="Verdana" w:cs="Arial"/>
          <w:color w:val="000000"/>
          <w:lang w:val="es-MX" w:eastAsia="es-ES_tradnl"/>
        </w:rPr>
        <w:footnoteReference w:id="15"/>
      </w:r>
      <w:r w:rsidRPr="00681A77">
        <w:rPr>
          <w:rFonts w:ascii="Verdana" w:eastAsia="Times New Roman" w:hAnsi="Verdana" w:cs="Arial"/>
          <w:color w:val="000000"/>
          <w:lang w:val="es-MX" w:eastAsia="es-ES_tradnl"/>
        </w:rPr>
        <w:t xml:space="preserve">. </w:t>
      </w:r>
    </w:p>
    <w:p w14:paraId="3C0BFF1C" w14:textId="77777777" w:rsidR="008D4DDA" w:rsidRPr="00681A77" w:rsidRDefault="008D4DDA" w:rsidP="008D4DDA">
      <w:pPr>
        <w:spacing w:after="0" w:line="276" w:lineRule="auto"/>
        <w:ind w:firstLine="708"/>
        <w:jc w:val="both"/>
        <w:rPr>
          <w:rFonts w:ascii="Verdana" w:eastAsia="Times New Roman" w:hAnsi="Verdana" w:cs="Arial"/>
          <w:color w:val="000000"/>
          <w:lang w:val="es-MX" w:eastAsia="es-ES_tradnl"/>
        </w:rPr>
      </w:pPr>
      <w:r w:rsidRPr="00681A77">
        <w:rPr>
          <w:rFonts w:ascii="Verdana" w:eastAsia="Times New Roman" w:hAnsi="Verdana" w:cs="Arial"/>
          <w:color w:val="000000"/>
          <w:lang w:val="es-MX" w:eastAsia="es-ES_tradnl"/>
        </w:rPr>
        <w:t xml:space="preserve">De esta forma, la exigencia de la capacidad residual depende de la tipología contractual, es decir, si se trata de un contrato de obra, y no </w:t>
      </w:r>
      <w:r>
        <w:rPr>
          <w:rFonts w:ascii="Verdana" w:eastAsia="Times New Roman" w:hAnsi="Verdana" w:cs="Arial"/>
          <w:color w:val="000000"/>
          <w:lang w:val="es-MX" w:eastAsia="es-ES_tradnl"/>
        </w:rPr>
        <w:t xml:space="preserve">se </w:t>
      </w:r>
      <w:r w:rsidRPr="00681A77">
        <w:rPr>
          <w:rFonts w:ascii="Verdana" w:eastAsia="Times New Roman" w:hAnsi="Verdana" w:cs="Arial"/>
          <w:color w:val="000000"/>
          <w:lang w:val="es-MX" w:eastAsia="es-ES_tradnl"/>
        </w:rPr>
        <w:t>restringue a una modalidad de selección específica para su aplicación</w:t>
      </w:r>
      <w:r>
        <w:rPr>
          <w:rFonts w:ascii="Verdana" w:eastAsia="Times New Roman" w:hAnsi="Verdana" w:cs="Arial"/>
          <w:color w:val="000000"/>
          <w:lang w:val="es-MX" w:eastAsia="es-ES_tradnl"/>
        </w:rPr>
        <w:t xml:space="preserve">. </w:t>
      </w:r>
      <w:r w:rsidRPr="00681A77">
        <w:rPr>
          <w:rFonts w:ascii="Verdana" w:eastAsia="Times New Roman" w:hAnsi="Verdana" w:cs="Arial"/>
          <w:color w:val="000000"/>
          <w:lang w:val="es-MX" w:eastAsia="es-ES_tradnl"/>
        </w:rPr>
        <w:t xml:space="preserve">Al respecto, esta Agencia </w:t>
      </w:r>
      <w:r>
        <w:rPr>
          <w:rFonts w:ascii="Verdana" w:eastAsia="Times New Roman" w:hAnsi="Verdana" w:cs="Arial"/>
          <w:color w:val="000000"/>
          <w:lang w:val="es-MX" w:eastAsia="es-ES_tradnl"/>
        </w:rPr>
        <w:t xml:space="preserve">señaló que </w:t>
      </w:r>
      <w:r w:rsidRPr="00681A77">
        <w:rPr>
          <w:rFonts w:ascii="Verdana" w:eastAsia="Times New Roman" w:hAnsi="Verdana" w:cs="Arial"/>
          <w:color w:val="000000"/>
          <w:lang w:val="es-MX" w:eastAsia="es-ES_tradnl"/>
        </w:rPr>
        <w:t xml:space="preserve">“(…)  </w:t>
      </w:r>
      <w:r w:rsidRPr="00681A77">
        <w:rPr>
          <w:rFonts w:ascii="Verdana" w:hAnsi="Verdana" w:cs="Arial"/>
        </w:rPr>
        <w:t>todas las entidades estatales que adelanten procesos de contratación de obra pública, sin importar la modalidad de selección del contratista, están obligadas a verificar la capacidad residual de los proponentes, como requisito habilitante para participar en el procedimiento de selección</w:t>
      </w:r>
      <w:r>
        <w:rPr>
          <w:rFonts w:ascii="Verdana" w:hAnsi="Verdana" w:cs="Arial"/>
        </w:rPr>
        <w:t>”</w:t>
      </w:r>
      <w:r>
        <w:rPr>
          <w:rStyle w:val="Refdenotaalpie"/>
          <w:rFonts w:ascii="Verdana" w:hAnsi="Verdana" w:cs="Arial"/>
        </w:rPr>
        <w:footnoteReference w:id="16"/>
      </w:r>
      <w:r w:rsidRPr="00681A77">
        <w:rPr>
          <w:rFonts w:ascii="Verdana" w:hAnsi="Verdana" w:cs="Arial"/>
        </w:rPr>
        <w:t>.</w:t>
      </w:r>
    </w:p>
    <w:p w14:paraId="3346A45F" w14:textId="77777777" w:rsidR="008D4DDA" w:rsidRPr="006A1814" w:rsidRDefault="008D4DDA" w:rsidP="008D4DDA">
      <w:pPr>
        <w:spacing w:after="0" w:line="276" w:lineRule="auto"/>
        <w:jc w:val="both"/>
        <w:rPr>
          <w:rFonts w:ascii="Verdana" w:hAnsi="Verdana" w:cs="Arial"/>
          <w:bCs/>
          <w:color w:val="000000" w:themeColor="text1"/>
          <w:lang w:val="es-ES_tradnl"/>
        </w:rPr>
      </w:pPr>
    </w:p>
    <w:p w14:paraId="381CAA20" w14:textId="77777777" w:rsidR="008D4DDA" w:rsidRDefault="008D4DDA" w:rsidP="008D4DDA">
      <w:pPr>
        <w:spacing w:after="120" w:line="276" w:lineRule="auto"/>
        <w:jc w:val="both"/>
        <w:rPr>
          <w:rFonts w:ascii="Verdana" w:hAnsi="Verdana" w:cs="Arial"/>
          <w:bCs/>
          <w:color w:val="000000" w:themeColor="text1"/>
          <w:lang w:val="es-ES"/>
        </w:rPr>
      </w:pPr>
      <w:r>
        <w:rPr>
          <w:rFonts w:ascii="Verdana" w:hAnsi="Verdana" w:cs="Arial"/>
          <w:bCs/>
          <w:color w:val="000000" w:themeColor="text1"/>
          <w:lang w:val="es-ES"/>
        </w:rPr>
        <w:lastRenderedPageBreak/>
        <w:t>iv. De conformidad con lo expuesto, puede concluirse que las Empresas Sociales del Estado – ESE no se encuentran sometidas al Estatuto General de Contratación de la Administración Pública, ni a las normas que lo reglamentan o complementan y, en consecuencia, su actividad contractual se rige por un régimen especial de derecho privado y particularmente por lo dispuesto en sus respectivos manuales de contratación. Esta circunstancia resulta determinante para establecer si, en los procesos de selección cuyo objeto sea la celebración de contratos de obra, las ESE están obligadas o pueden exigir la acreditación de la capacidad residual por parte de los proponentes.</w:t>
      </w:r>
    </w:p>
    <w:p w14:paraId="3EB770C1" w14:textId="77777777" w:rsidR="008D4DDA" w:rsidRDefault="008D4DDA" w:rsidP="008D4DDA">
      <w:pPr>
        <w:spacing w:after="120" w:line="276" w:lineRule="auto"/>
        <w:jc w:val="both"/>
        <w:rPr>
          <w:rFonts w:ascii="Verdana" w:hAnsi="Verdana" w:cs="Arial"/>
          <w:bCs/>
          <w:color w:val="000000" w:themeColor="text1"/>
          <w:lang w:val="es-ES"/>
        </w:rPr>
      </w:pPr>
      <w:r>
        <w:rPr>
          <w:rFonts w:ascii="Verdana" w:hAnsi="Verdana" w:cs="Arial"/>
          <w:bCs/>
          <w:color w:val="000000" w:themeColor="text1"/>
          <w:lang w:val="es-ES"/>
        </w:rPr>
        <w:tab/>
        <w:t xml:space="preserve">En efecto, la exigencia de la capacidad residual se encuentra prevista de manera expresa en el artículo 6 de la Ley 1150 de 2007 y desarrollada reglamentariamente en el artículo 2.2.1.1.1.6.4 del Decreto 1082 de 2015, disposiciones que integran el Estatuto General de Contratación de la Administración Pública y que regulan la gestión contractual de las entidades estatales sometidas a dicho régimen. En este sentido, dado que las ESE no se rigen de manera integral por estas normas -salvo lo relativo al régimen de inhabilidades e incompatibilidades y los deberes de publicidad, entre otros- la exigencia de la capacidad residual no les resulta jurídicamente obligatoria en los contratos de obra pública que celebren. </w:t>
      </w:r>
    </w:p>
    <w:p w14:paraId="1E6D81DE" w14:textId="77777777" w:rsidR="008D4DDA" w:rsidRDefault="008D4DDA" w:rsidP="008D4DDA">
      <w:pPr>
        <w:spacing w:after="120" w:line="276" w:lineRule="auto"/>
        <w:jc w:val="both"/>
        <w:rPr>
          <w:rFonts w:ascii="Verdana" w:hAnsi="Verdana" w:cs="Arial"/>
          <w:bCs/>
          <w:color w:val="000000" w:themeColor="text1"/>
          <w:lang w:val="es-ES"/>
        </w:rPr>
      </w:pPr>
      <w:r>
        <w:rPr>
          <w:rFonts w:ascii="Verdana" w:hAnsi="Verdana" w:cs="Arial"/>
          <w:bCs/>
          <w:color w:val="000000" w:themeColor="text1"/>
          <w:lang w:val="es-ES"/>
        </w:rPr>
        <w:tab/>
        <w:t xml:space="preserve">No obstante, entendiendo que la actividad contractual de las ESE se desarrolla bajo el derecho privado y lo establecido en sus manuales de contratación, y considerando que la capacidad residual constituye un criterio orientado a verificar la aptitud del oferente para ejecutar de manera íntegra el contrato de obra sin que otros compromisos contractuales afecten su cumplimiento, resulta jurídicamente viable que estas entidades, en ejercicio de su autonomía contractual, incorporen dicha exigencia en su manual de contratación, libertad que se deriva del principio de la autonomía de la voluntad que se les reconocer a estas entidades. Lo anterior, siempre que se establezca con fundamento en criterios objetivos, razonables y proporcionales, y se oriente a garantizar el adecuado y oportuno cumplimiento del objeto contractual, en armonía con los principios que rigen la función administrativa y la gestión fiscal. </w:t>
      </w:r>
    </w:p>
    <w:p w14:paraId="6A1BEEBF" w14:textId="77777777" w:rsidR="008D4DDA" w:rsidRDefault="008D4DDA" w:rsidP="008D4DDA">
      <w:pPr>
        <w:spacing w:after="0" w:line="276" w:lineRule="auto"/>
        <w:jc w:val="both"/>
        <w:rPr>
          <w:rFonts w:ascii="Verdana" w:hAnsi="Verdana" w:cs="Arial"/>
          <w:bCs/>
          <w:color w:val="000000" w:themeColor="text1"/>
          <w:lang w:val="es-ES"/>
        </w:rPr>
      </w:pPr>
      <w:r>
        <w:rPr>
          <w:rFonts w:ascii="Verdana" w:hAnsi="Verdana" w:cs="Arial"/>
          <w:bCs/>
          <w:color w:val="000000" w:themeColor="text1"/>
          <w:lang w:val="es-ES"/>
        </w:rPr>
        <w:tab/>
        <w:t xml:space="preserve">De esta forma, si las Empresas Sociales del Estado determinan en sus manuales de contratación la exigencia de capacidad residual para los procesos que adelanten que tengo como objeto un contrato de obra, </w:t>
      </w:r>
      <w:r w:rsidRPr="003A1844">
        <w:rPr>
          <w:rFonts w:ascii="Verdana" w:eastAsia="Arial" w:hAnsi="Verdana" w:cs="Arial"/>
          <w:lang w:val="es-ES"/>
        </w:rPr>
        <w:t>su</w:t>
      </w:r>
      <w:r w:rsidRPr="003A1844">
        <w:rPr>
          <w:rFonts w:ascii="Verdana" w:eastAsia="Arial" w:hAnsi="Verdana" w:cs="Arial"/>
          <w:spacing w:val="1"/>
          <w:lang w:val="es-ES"/>
        </w:rPr>
        <w:t xml:space="preserve"> </w:t>
      </w:r>
      <w:r w:rsidRPr="003A1844">
        <w:rPr>
          <w:rFonts w:ascii="Verdana" w:eastAsia="Arial" w:hAnsi="Verdana" w:cs="Arial"/>
          <w:lang w:val="es-ES"/>
        </w:rPr>
        <w:t xml:space="preserve">contenido vincula </w:t>
      </w:r>
      <w:r>
        <w:rPr>
          <w:rFonts w:ascii="Verdana" w:eastAsia="Arial" w:hAnsi="Verdana" w:cs="Arial"/>
          <w:lang w:val="es-ES"/>
        </w:rPr>
        <w:t xml:space="preserve">a la </w:t>
      </w:r>
      <w:r w:rsidRPr="003A1844">
        <w:rPr>
          <w:rFonts w:ascii="Verdana" w:eastAsia="Arial" w:hAnsi="Verdana" w:cs="Arial"/>
          <w:lang w:val="es-ES"/>
        </w:rPr>
        <w:t>entidad y no p</w:t>
      </w:r>
      <w:r>
        <w:rPr>
          <w:rFonts w:ascii="Verdana" w:eastAsia="Arial" w:hAnsi="Verdana" w:cs="Arial"/>
          <w:lang w:val="es-ES"/>
        </w:rPr>
        <w:t xml:space="preserve">odrá desconocer dicha exigencia. </w:t>
      </w:r>
    </w:p>
    <w:p w14:paraId="4CA31211" w14:textId="77777777" w:rsidR="008D4DDA" w:rsidRPr="000370B1" w:rsidRDefault="008D4DDA" w:rsidP="008D4DDA">
      <w:pPr>
        <w:spacing w:after="0" w:line="276" w:lineRule="auto"/>
        <w:jc w:val="both"/>
        <w:rPr>
          <w:rFonts w:ascii="Verdana" w:hAnsi="Verdana" w:cs="Arial"/>
          <w:bCs/>
          <w:color w:val="000000" w:themeColor="text1"/>
        </w:rPr>
      </w:pPr>
    </w:p>
    <w:p w14:paraId="26F8F99C" w14:textId="77777777" w:rsidR="008D4DDA" w:rsidRPr="00021F4E" w:rsidRDefault="008D4DDA" w:rsidP="008D4DDA">
      <w:pPr>
        <w:spacing w:after="120" w:line="276" w:lineRule="auto"/>
        <w:jc w:val="both"/>
        <w:rPr>
          <w:rFonts w:ascii="Verdana" w:eastAsia="Times New Roman" w:hAnsi="Verdana" w:cs="Arial"/>
          <w:iCs/>
          <w:color w:val="000000"/>
          <w:szCs w:val="24"/>
          <w:lang w:eastAsia="es-ES_tradnl"/>
        </w:rPr>
      </w:pPr>
      <w:r>
        <w:rPr>
          <w:rFonts w:ascii="Verdana" w:hAnsi="Verdana" w:cs="Arial"/>
          <w:lang w:val="es-ES_tradnl" w:eastAsia="es-ES"/>
        </w:rPr>
        <w:t xml:space="preserve">v. </w:t>
      </w:r>
      <w:r w:rsidRPr="00462654">
        <w:rPr>
          <w:rFonts w:ascii="Verdana" w:hAnsi="Verdana" w:cs="Arial"/>
          <w:lang w:val="es-ES_tradnl" w:eastAsia="es-ES"/>
        </w:rPr>
        <w:t xml:space="preserve">Al margen de la explicación precedente debe advertirse que el análisis requerido para resolver problemas específicos en torno </w:t>
      </w:r>
      <w:r>
        <w:rPr>
          <w:rFonts w:ascii="Verdana" w:hAnsi="Verdana" w:cs="Arial"/>
          <w:lang w:val="es-ES_tradnl" w:eastAsia="es-ES"/>
        </w:rPr>
        <w:t>al clausulado contractual</w:t>
      </w:r>
      <w:r w:rsidRPr="00462654">
        <w:rPr>
          <w:rFonts w:ascii="Verdana" w:hAnsi="Verdana" w:cs="Arial"/>
          <w:lang w:val="es-ES_tradnl" w:eastAsia="es-ES"/>
        </w:rPr>
        <w:t xml:space="preserve"> debe ser realizado por quienes tengan interés en ello, de acuerdo con lo explicado la aclaración preliminar del presente oficio.</w:t>
      </w:r>
      <w:r>
        <w:rPr>
          <w:rFonts w:ascii="Verdana" w:hAnsi="Verdana" w:cs="Arial"/>
          <w:lang w:val="es-ES_tradnl" w:eastAsia="es-ES"/>
        </w:rPr>
        <w:t xml:space="preserve"> </w:t>
      </w:r>
      <w:r w:rsidRPr="00462654">
        <w:rPr>
          <w:rFonts w:ascii="Verdana" w:hAnsi="Verdana" w:cs="Arial"/>
          <w:lang w:val="es-ES_tradnl" w:eastAsia="es-ES"/>
        </w:rPr>
        <w:t>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88C8A92" w14:textId="77777777" w:rsidR="008D4DDA" w:rsidRPr="00462654" w:rsidRDefault="008D4DDA" w:rsidP="008D4DDA">
      <w:pPr>
        <w:spacing w:after="0" w:line="276" w:lineRule="auto"/>
        <w:ind w:firstLine="709"/>
        <w:jc w:val="both"/>
        <w:rPr>
          <w:rFonts w:ascii="Verdana" w:hAnsi="Verdana" w:cs="Arial"/>
          <w:lang w:val="es-ES" w:eastAsia="es-ES"/>
        </w:rPr>
      </w:pPr>
      <w:r w:rsidRPr="1AE1532E">
        <w:rPr>
          <w:rFonts w:ascii="Verdana" w:hAnsi="Verdana" w:cs="Arial"/>
          <w:lang w:val="es-ES"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2ACE606" w14:textId="77777777" w:rsidR="008D4DDA" w:rsidRPr="006C2545" w:rsidRDefault="008D4DDA" w:rsidP="008D4DDA">
      <w:pPr>
        <w:spacing w:after="0" w:line="276" w:lineRule="auto"/>
        <w:jc w:val="both"/>
        <w:rPr>
          <w:rFonts w:ascii="Verdana" w:eastAsia="Calibri" w:hAnsi="Verdana" w:cs="Arial"/>
          <w:bCs/>
          <w:color w:val="000000" w:themeColor="text1"/>
          <w:lang w:val="es-ES"/>
        </w:rPr>
      </w:pPr>
    </w:p>
    <w:p w14:paraId="3E0125A2" w14:textId="77777777" w:rsidR="008D4DDA" w:rsidRPr="004D657F" w:rsidRDefault="008D4DDA" w:rsidP="008D4DDA">
      <w:pPr>
        <w:pStyle w:val="Prrafodelista"/>
        <w:numPr>
          <w:ilvl w:val="0"/>
          <w:numId w:val="16"/>
        </w:num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Re</w:t>
      </w:r>
      <w:r w:rsidRPr="004D657F">
        <w:rPr>
          <w:rFonts w:ascii="Verdana" w:eastAsia="Century Gothic" w:hAnsi="Verdana" w:cs="Century Gothic"/>
          <w:b/>
          <w:bCs/>
        </w:rPr>
        <w:t>ferencias normativas</w:t>
      </w:r>
      <w:r>
        <w:rPr>
          <w:rFonts w:ascii="Verdana" w:eastAsia="Century Gothic" w:hAnsi="Verdana" w:cs="Century Gothic"/>
          <w:b/>
          <w:bCs/>
        </w:rPr>
        <w:t>, jurisprudenciales y otras fuentes</w:t>
      </w:r>
      <w:r w:rsidRPr="004D657F">
        <w:rPr>
          <w:rFonts w:ascii="Verdana" w:eastAsia="Century Gothic" w:hAnsi="Verdana" w:cs="Century Gothic"/>
          <w:b/>
          <w:bCs/>
        </w:rPr>
        <w:t>:</w:t>
      </w:r>
    </w:p>
    <w:p w14:paraId="4D0D8D32" w14:textId="77777777" w:rsidR="008D4DDA" w:rsidRPr="00593A5F" w:rsidRDefault="008D4DDA" w:rsidP="008D4DDA">
      <w:pPr>
        <w:widowControl w:val="0"/>
        <w:autoSpaceDE w:val="0"/>
        <w:autoSpaceDN w:val="0"/>
        <w:spacing w:after="0" w:line="276" w:lineRule="auto"/>
        <w:jc w:val="both"/>
        <w:rPr>
          <w:rFonts w:ascii="Verdana" w:hAnsi="Verdana" w:cs="Arial"/>
        </w:rPr>
      </w:pPr>
      <w:r>
        <w:rPr>
          <w:rFonts w:ascii="Verdana" w:hAnsi="Verdana" w:cs="Arial"/>
        </w:rPr>
        <w:t xml:space="preserve"> </w:t>
      </w: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D4DDA" w:rsidRPr="002407CE" w14:paraId="509C8323" w14:textId="77777777" w:rsidTr="00296400">
        <w:trPr>
          <w:trHeight w:val="870"/>
          <w:jc w:val="center"/>
        </w:trPr>
        <w:tc>
          <w:tcPr>
            <w:tcW w:w="8647" w:type="dxa"/>
          </w:tcPr>
          <w:p w14:paraId="1BEEA3BD" w14:textId="77777777" w:rsidR="008D4DDA" w:rsidRPr="00FD59BF" w:rsidRDefault="008D4DDA" w:rsidP="008D4DDA">
            <w:pPr>
              <w:pStyle w:val="Prrafodelista"/>
              <w:widowControl w:val="0"/>
              <w:numPr>
                <w:ilvl w:val="0"/>
                <w:numId w:val="17"/>
              </w:numPr>
              <w:autoSpaceDE w:val="0"/>
              <w:autoSpaceDN w:val="0"/>
              <w:snapToGrid w:val="0"/>
              <w:spacing w:before="120" w:after="120"/>
              <w:ind w:left="714" w:hanging="357"/>
              <w:contextualSpacing w:val="0"/>
              <w:jc w:val="both"/>
              <w:rPr>
                <w:rFonts w:ascii="Verdana" w:hAnsi="Verdana" w:cs="Arial"/>
              </w:rPr>
            </w:pPr>
            <w:r w:rsidRPr="008C6F30">
              <w:rPr>
                <w:rFonts w:ascii="Verdana" w:hAnsi="Verdana" w:cs="Arial"/>
              </w:rPr>
              <w:t xml:space="preserve">Constitución </w:t>
            </w:r>
            <w:r>
              <w:rPr>
                <w:rFonts w:ascii="Verdana" w:hAnsi="Verdana" w:cs="Arial"/>
              </w:rPr>
              <w:t>Política de 1991, artículos 209 y 267</w:t>
            </w:r>
            <w:r w:rsidRPr="008C6F30">
              <w:rPr>
                <w:rFonts w:ascii="Verdana" w:hAnsi="Verdana" w:cs="Arial"/>
              </w:rPr>
              <w:t>.</w:t>
            </w:r>
          </w:p>
          <w:p w14:paraId="2D0C44B5" w14:textId="77777777" w:rsidR="008D4DDA" w:rsidRDefault="008D4DDA" w:rsidP="008D4DDA">
            <w:pPr>
              <w:pStyle w:val="Prrafodelista"/>
              <w:widowControl w:val="0"/>
              <w:numPr>
                <w:ilvl w:val="0"/>
                <w:numId w:val="17"/>
              </w:numPr>
              <w:autoSpaceDE w:val="0"/>
              <w:autoSpaceDN w:val="0"/>
              <w:snapToGrid w:val="0"/>
              <w:spacing w:before="120" w:after="120"/>
              <w:ind w:left="714" w:hanging="357"/>
              <w:contextualSpacing w:val="0"/>
              <w:jc w:val="both"/>
              <w:rPr>
                <w:rFonts w:ascii="Verdana" w:hAnsi="Verdana" w:cs="Arial"/>
              </w:rPr>
            </w:pPr>
            <w:r w:rsidRPr="008C6F30">
              <w:rPr>
                <w:rFonts w:ascii="Verdana" w:hAnsi="Verdana" w:cs="Arial"/>
              </w:rPr>
              <w:t xml:space="preserve">Ley 80 de 1993, artículos </w:t>
            </w:r>
            <w:r>
              <w:rPr>
                <w:rFonts w:ascii="Verdana" w:hAnsi="Verdana" w:cs="Arial"/>
              </w:rPr>
              <w:t xml:space="preserve">2 y 13, 32 y 40. </w:t>
            </w:r>
          </w:p>
          <w:p w14:paraId="4AB48C53" w14:textId="77777777" w:rsidR="008D4DDA" w:rsidRDefault="008D4DDA" w:rsidP="008D4DDA">
            <w:pPr>
              <w:pStyle w:val="Prrafodelista"/>
              <w:widowControl w:val="0"/>
              <w:numPr>
                <w:ilvl w:val="0"/>
                <w:numId w:val="17"/>
              </w:numPr>
              <w:autoSpaceDE w:val="0"/>
              <w:autoSpaceDN w:val="0"/>
              <w:snapToGrid w:val="0"/>
              <w:spacing w:before="120" w:after="120"/>
              <w:ind w:left="714" w:hanging="357"/>
              <w:contextualSpacing w:val="0"/>
              <w:jc w:val="both"/>
              <w:rPr>
                <w:rFonts w:ascii="Verdana" w:hAnsi="Verdana" w:cs="Arial"/>
              </w:rPr>
            </w:pPr>
            <w:r>
              <w:rPr>
                <w:rFonts w:ascii="Verdana" w:hAnsi="Verdana" w:cs="Arial"/>
              </w:rPr>
              <w:t xml:space="preserve">Ley 100 de 1993, artículo 195. </w:t>
            </w:r>
          </w:p>
          <w:p w14:paraId="0B782B51" w14:textId="77777777" w:rsidR="008D4DDA" w:rsidRDefault="008D4DDA" w:rsidP="008D4DDA">
            <w:pPr>
              <w:pStyle w:val="Prrafodelista"/>
              <w:widowControl w:val="0"/>
              <w:numPr>
                <w:ilvl w:val="0"/>
                <w:numId w:val="17"/>
              </w:numPr>
              <w:autoSpaceDE w:val="0"/>
              <w:autoSpaceDN w:val="0"/>
              <w:snapToGrid w:val="0"/>
              <w:spacing w:before="120" w:after="120"/>
              <w:ind w:left="714" w:hanging="357"/>
              <w:contextualSpacing w:val="0"/>
              <w:jc w:val="both"/>
              <w:rPr>
                <w:rFonts w:ascii="Verdana" w:hAnsi="Verdana" w:cs="Arial"/>
              </w:rPr>
            </w:pPr>
            <w:r>
              <w:rPr>
                <w:rFonts w:ascii="Verdana" w:hAnsi="Verdana" w:cs="Arial"/>
              </w:rPr>
              <w:t>Ley 1150 de 2007, artículos 6, 13 y 17.</w:t>
            </w:r>
          </w:p>
          <w:p w14:paraId="1C2269C4" w14:textId="77777777" w:rsidR="008D4DDA" w:rsidRPr="000D433E" w:rsidRDefault="008D4DDA" w:rsidP="008D4DDA">
            <w:pPr>
              <w:pStyle w:val="Prrafodelista"/>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napToGrid w:val="0"/>
              <w:spacing w:before="120" w:after="120"/>
              <w:contextualSpacing w:val="0"/>
              <w:jc w:val="both"/>
              <w:rPr>
                <w:rFonts w:ascii="Verdana" w:hAnsi="Verdana"/>
              </w:rPr>
            </w:pPr>
            <w:r>
              <w:rPr>
                <w:rFonts w:ascii="Verdana" w:hAnsi="Verdana"/>
                <w:lang w:val="es-CO"/>
              </w:rPr>
              <w:t>Resolución No. 5185 de 2013 del Ministerio de Salud.</w:t>
            </w:r>
          </w:p>
          <w:p w14:paraId="6F40458A" w14:textId="77777777" w:rsidR="008D4DDA" w:rsidRPr="00082456" w:rsidRDefault="008D4DDA" w:rsidP="008D4DDA">
            <w:pPr>
              <w:pStyle w:val="Prrafodelista"/>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napToGrid w:val="0"/>
              <w:spacing w:before="120" w:after="120"/>
              <w:contextualSpacing w:val="0"/>
              <w:jc w:val="both"/>
              <w:rPr>
                <w:rFonts w:ascii="Verdana" w:hAnsi="Verdana"/>
              </w:rPr>
            </w:pPr>
            <w:r>
              <w:rPr>
                <w:rFonts w:ascii="Verdana" w:hAnsi="Verdana"/>
                <w:lang w:val="es-CO"/>
              </w:rPr>
              <w:t>R</w:t>
            </w:r>
            <w:r w:rsidRPr="000D433E">
              <w:rPr>
                <w:rFonts w:ascii="Verdana" w:hAnsi="Verdana"/>
                <w:lang w:val="es-CO"/>
              </w:rPr>
              <w:t>esolución 1440 de 2024</w:t>
            </w:r>
            <w:r>
              <w:rPr>
                <w:rFonts w:ascii="Verdana" w:hAnsi="Verdana"/>
                <w:lang w:val="es-CO"/>
              </w:rPr>
              <w:t xml:space="preserve"> del Ministerio de Salud. </w:t>
            </w:r>
          </w:p>
          <w:p w14:paraId="0FB8A7F6" w14:textId="77777777" w:rsidR="008D4DDA" w:rsidRPr="00752F37" w:rsidRDefault="008D4DDA" w:rsidP="008D4DDA">
            <w:pPr>
              <w:pStyle w:val="Prrafodelista"/>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napToGrid w:val="0"/>
              <w:spacing w:before="120" w:after="120"/>
              <w:contextualSpacing w:val="0"/>
              <w:jc w:val="both"/>
              <w:rPr>
                <w:rFonts w:ascii="Verdana" w:hAnsi="Verdana"/>
              </w:rPr>
            </w:pPr>
            <w:r w:rsidRPr="00752F37">
              <w:rPr>
                <w:rFonts w:ascii="Verdana" w:hAnsi="Verdana"/>
              </w:rPr>
              <w:t xml:space="preserve">Consejo de Estado. Sala de Consulta y Servicio Civil. Concepto del 27 de agosto de 1998, Rad. 1.127, C.P. Javier Henao Hidrón. Rad. 1.127. </w:t>
            </w:r>
          </w:p>
          <w:p w14:paraId="3A104057" w14:textId="77777777" w:rsidR="008D4DDA" w:rsidRPr="00752F37" w:rsidRDefault="008D4DDA" w:rsidP="008D4DDA">
            <w:pPr>
              <w:pStyle w:val="Prrafodelista"/>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napToGrid w:val="0"/>
              <w:spacing w:before="120" w:after="120"/>
              <w:contextualSpacing w:val="0"/>
              <w:jc w:val="both"/>
              <w:rPr>
                <w:rFonts w:ascii="Verdana" w:hAnsi="Verdana"/>
              </w:rPr>
            </w:pPr>
            <w:r w:rsidRPr="00752F37">
              <w:rPr>
                <w:rFonts w:ascii="Verdana" w:hAnsi="Verdana"/>
              </w:rPr>
              <w:t>Consejo de Estado. Sala de Consulta y Servicio Civil. Concepto del 6 de abril de 2000, C.P. Flavio Augusto Rodriguez Arce. Rad. 1.263.</w:t>
            </w:r>
          </w:p>
          <w:p w14:paraId="1C811762" w14:textId="77777777" w:rsidR="008D4DDA" w:rsidRDefault="008D4DDA" w:rsidP="008D4DDA">
            <w:pPr>
              <w:pStyle w:val="Prrafodelista"/>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napToGrid w:val="0"/>
              <w:spacing w:before="120" w:after="120"/>
              <w:contextualSpacing w:val="0"/>
              <w:jc w:val="both"/>
              <w:rPr>
                <w:rFonts w:ascii="Verdana" w:hAnsi="Verdana"/>
              </w:rPr>
            </w:pPr>
            <w:r w:rsidRPr="00752F37">
              <w:rPr>
                <w:rFonts w:ascii="Verdana" w:hAnsi="Verdana"/>
              </w:rPr>
              <w:t xml:space="preserve">Consejo de Estado. Sección Tercera. Sentencia 18 de febrero de 2010. </w:t>
            </w:r>
            <w:r w:rsidRPr="00752F37">
              <w:rPr>
                <w:rFonts w:ascii="Verdana" w:hAnsi="Verdana"/>
              </w:rPr>
              <w:lastRenderedPageBreak/>
              <w:t xml:space="preserve">CP, Enrique Gil Botero. Exp. 37004. </w:t>
            </w:r>
          </w:p>
          <w:p w14:paraId="1F6AD2E9" w14:textId="77777777" w:rsidR="008D4DDA" w:rsidRPr="00DB67C9" w:rsidRDefault="008D4DDA" w:rsidP="008D4DDA">
            <w:pPr>
              <w:pStyle w:val="Prrafodelista"/>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napToGrid w:val="0"/>
              <w:spacing w:before="120" w:after="120"/>
              <w:contextualSpacing w:val="0"/>
              <w:jc w:val="both"/>
              <w:rPr>
                <w:rFonts w:ascii="Verdana" w:hAnsi="Verdana"/>
              </w:rPr>
            </w:pPr>
            <w:r w:rsidRPr="00DB67C9">
              <w:rPr>
                <w:rFonts w:ascii="Verdana" w:hAnsi="Verdana"/>
              </w:rPr>
              <w:t>Consejo de Estado. Sección Tercera. Subsección A. Sentencia del 24 de octubre de 2016. C.P. Marta Nubia Velásquez Rico. Exp. 45.607.</w:t>
            </w:r>
          </w:p>
          <w:p w14:paraId="6029F2FC" w14:textId="77777777" w:rsidR="008D4DDA" w:rsidRPr="00FC7B39" w:rsidRDefault="008D4DDA" w:rsidP="008D4DDA">
            <w:pPr>
              <w:pStyle w:val="Prrafodelista"/>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napToGrid w:val="0"/>
              <w:spacing w:before="120" w:after="120"/>
              <w:contextualSpacing w:val="0"/>
              <w:jc w:val="both"/>
              <w:rPr>
                <w:rFonts w:ascii="Verdana" w:hAnsi="Verdana"/>
                <w:lang w:val="pt-BR"/>
              </w:rPr>
            </w:pPr>
            <w:r w:rsidRPr="00FC7B39">
              <w:rPr>
                <w:rFonts w:ascii="Verdana" w:hAnsi="Verdana"/>
                <w:lang w:val="pt-BR"/>
              </w:rPr>
              <w:t>Corte Constitucional. Sentencia C-665 de 2000. M.P. José Gregorio Hernández Galindo</w:t>
            </w:r>
          </w:p>
          <w:p w14:paraId="445B8C2E" w14:textId="77777777" w:rsidR="008D4DDA" w:rsidRDefault="008D4DDA" w:rsidP="008D4DDA">
            <w:pPr>
              <w:pStyle w:val="Prrafodelista"/>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napToGrid w:val="0"/>
              <w:spacing w:before="120" w:after="120"/>
              <w:contextualSpacing w:val="0"/>
              <w:jc w:val="both"/>
              <w:rPr>
                <w:rFonts w:ascii="Verdana" w:hAnsi="Verdana"/>
              </w:rPr>
            </w:pPr>
            <w:r w:rsidRPr="00752F37">
              <w:rPr>
                <w:rFonts w:ascii="Verdana" w:hAnsi="Verdana"/>
              </w:rPr>
              <w:t>Ministerio de Salud y la Protección Social. Concepto del 16 de agosto de 2019. Expediente No. 201942301304712.</w:t>
            </w:r>
          </w:p>
          <w:p w14:paraId="071DAA5D" w14:textId="77777777" w:rsidR="008D4DDA" w:rsidRPr="0095533A" w:rsidRDefault="008D4DDA" w:rsidP="008D4DDA">
            <w:pPr>
              <w:pStyle w:val="Prrafodelista"/>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napToGrid w:val="0"/>
              <w:spacing w:before="120" w:after="120"/>
              <w:contextualSpacing w:val="0"/>
              <w:jc w:val="both"/>
              <w:rPr>
                <w:rFonts w:ascii="Verdana" w:hAnsi="Verdana"/>
              </w:rPr>
            </w:pPr>
            <w:r w:rsidRPr="0095533A">
              <w:rPr>
                <w:rFonts w:ascii="Verdana" w:hAnsi="Verdana"/>
              </w:rPr>
              <w:t>BARRETO MORENO, Antonio Alejandro. El derecho de la compra pública: estudio jurídico de un mercado imperfecto. Bogotá: Legis, 2019.</w:t>
            </w:r>
          </w:p>
          <w:p w14:paraId="181D699C" w14:textId="77777777" w:rsidR="008D4DDA" w:rsidRPr="008B26A1" w:rsidRDefault="008D4DDA" w:rsidP="008D4DDA">
            <w:pPr>
              <w:pStyle w:val="Prrafodelista"/>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napToGrid w:val="0"/>
              <w:spacing w:before="120" w:after="120"/>
              <w:contextualSpacing w:val="0"/>
              <w:jc w:val="both"/>
              <w:rPr>
                <w:rFonts w:ascii="Verdana" w:hAnsi="Verdana"/>
              </w:rPr>
            </w:pPr>
            <w:r w:rsidRPr="00752F37">
              <w:rPr>
                <w:rFonts w:ascii="Verdana" w:hAnsi="Verdana"/>
              </w:rPr>
              <w:t xml:space="preserve">HINESTROSA FORERO, Fernando. Tratado de las Obligaciones II. De las fuentes de las obligaciones: el negocio jurídico. Vol. I. Bogotá: Universidad Externado de Colombia, 2015. p. 116.  </w:t>
            </w:r>
          </w:p>
          <w:p w14:paraId="3B694583" w14:textId="77777777" w:rsidR="008D4DDA" w:rsidRPr="008B26A1" w:rsidRDefault="008D4DDA" w:rsidP="008D4DDA">
            <w:pPr>
              <w:pStyle w:val="Prrafodelista"/>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napToGrid w:val="0"/>
              <w:spacing w:before="120" w:after="120"/>
              <w:contextualSpacing w:val="0"/>
              <w:jc w:val="both"/>
              <w:rPr>
                <w:rFonts w:ascii="Verdana" w:hAnsi="Verdana"/>
              </w:rPr>
            </w:pPr>
            <w:r w:rsidRPr="0095533A">
              <w:rPr>
                <w:rFonts w:ascii="Verdana" w:hAnsi="Verdana"/>
              </w:rPr>
              <w:t xml:space="preserve">JOJOA BOLAÑOS, Alexander. Los regímenes exceptuados en los contratos estatales. Bogotá: Grupo Editorial Ibáñez, 2012. </w:t>
            </w:r>
          </w:p>
        </w:tc>
      </w:tr>
    </w:tbl>
    <w:p w14:paraId="1F5FB9AC" w14:textId="77777777" w:rsidR="008D4DDA" w:rsidRPr="00185EE9" w:rsidRDefault="008D4DDA" w:rsidP="008D4DDA">
      <w:pPr>
        <w:spacing w:after="0" w:line="276" w:lineRule="auto"/>
        <w:ind w:right="709"/>
        <w:jc w:val="both"/>
        <w:rPr>
          <w:rFonts w:ascii="Verdana" w:hAnsi="Verdana" w:cs="Arial"/>
          <w:color w:val="000000" w:themeColor="text1"/>
          <w:lang w:val="es-ES_tradnl"/>
        </w:rPr>
      </w:pPr>
    </w:p>
    <w:p w14:paraId="3662BACD" w14:textId="77777777" w:rsidR="008D4DDA" w:rsidRPr="00185EE9" w:rsidRDefault="008D4DDA" w:rsidP="008D4DDA">
      <w:pPr>
        <w:numPr>
          <w:ilvl w:val="0"/>
          <w:numId w:val="16"/>
        </w:numPr>
        <w:spacing w:after="0" w:line="256" w:lineRule="auto"/>
        <w:ind w:left="0" w:firstLine="0"/>
        <w:rPr>
          <w:rFonts w:ascii="Verdana" w:eastAsia="Calibri" w:hAnsi="Verdana" w:cs="Times New Roman"/>
          <w:b/>
          <w:bCs/>
          <w:lang w:val="es-ES"/>
        </w:rPr>
      </w:pPr>
      <w:r w:rsidRPr="00185EE9">
        <w:rPr>
          <w:rFonts w:ascii="Verdana" w:eastAsia="Calibri" w:hAnsi="Verdana" w:cs="Times New Roman"/>
          <w:b/>
          <w:bCs/>
          <w:lang w:val="es-ES"/>
        </w:rPr>
        <w:t>Doctrina de la Agencia Nacional de Contratación Pública:</w:t>
      </w:r>
    </w:p>
    <w:p w14:paraId="04A5109C" w14:textId="77777777" w:rsidR="008D4DDA" w:rsidRDefault="008D4DDA" w:rsidP="008D4DDA">
      <w:pPr>
        <w:widowControl w:val="0"/>
        <w:autoSpaceDE w:val="0"/>
        <w:autoSpaceDN w:val="0"/>
        <w:spacing w:after="0" w:line="276" w:lineRule="auto"/>
        <w:jc w:val="both"/>
        <w:rPr>
          <w:rFonts w:ascii="Verdana" w:hAnsi="Verdana" w:cs="Arial"/>
          <w:bCs/>
          <w:shd w:val="clear" w:color="auto" w:fill="FFFFFF"/>
        </w:rPr>
      </w:pPr>
    </w:p>
    <w:p w14:paraId="4B7AE4BF" w14:textId="77777777" w:rsidR="008D4DDA" w:rsidRDefault="008D4DDA" w:rsidP="008D4DDA">
      <w:pPr>
        <w:widowControl w:val="0"/>
        <w:autoSpaceDE w:val="0"/>
        <w:autoSpaceDN w:val="0"/>
        <w:spacing w:after="0" w:line="276" w:lineRule="auto"/>
        <w:jc w:val="both"/>
        <w:rPr>
          <w:rFonts w:ascii="Verdana" w:hAnsi="Verdana" w:cs="Arial"/>
          <w:shd w:val="clear" w:color="auto" w:fill="FFFFFF"/>
        </w:rPr>
      </w:pPr>
      <w:r w:rsidRPr="00B57A1B">
        <w:rPr>
          <w:rFonts w:ascii="Verdana" w:hAnsi="Verdana" w:cs="Arial"/>
          <w:shd w:val="clear" w:color="auto" w:fill="FFFFFF"/>
        </w:rPr>
        <w:t>Esta Subdirección se ha pronunciado sobre</w:t>
      </w:r>
      <w:r>
        <w:rPr>
          <w:rFonts w:ascii="Verdana" w:hAnsi="Verdana" w:cs="Arial"/>
          <w:shd w:val="clear" w:color="auto" w:fill="FFFFFF"/>
        </w:rPr>
        <w:t xml:space="preserve"> el régimen de contratación de las entidades exceptuadas del Estatuto General de Contratación de la Administración Pública, entre otros en los siguientes conceptos: C- 792 del 28 de noviembre de 2024, C-998 del 18 de diciembre de 2024, C- 429 del 13 de mayo de 2025, C-477 del 20 de mayo de 2025, C-1004 del 29 de agosto de 2025, C- 1012 del 4 de septiembre de 2025, C-1224 del 25 de septiembre de 2025, C-1208 del 7 de octubre de 2025, C-1368 del 5 de noviembre de 2025, C-1573 del 5 de diciembre de 2025, C-1605 del 15 de diciembre de 2026, C-1831 del 23 de diciembre de 2025 y C-1851 del 21 de enero de 2026.</w:t>
      </w:r>
    </w:p>
    <w:p w14:paraId="44A65671" w14:textId="77777777" w:rsidR="008D4DDA" w:rsidRPr="003F4BAF" w:rsidRDefault="008D4DDA" w:rsidP="008D4DDA">
      <w:pPr>
        <w:widowControl w:val="0"/>
        <w:autoSpaceDE w:val="0"/>
        <w:autoSpaceDN w:val="0"/>
        <w:spacing w:after="0" w:line="276" w:lineRule="auto"/>
        <w:jc w:val="both"/>
        <w:rPr>
          <w:rFonts w:ascii="Verdana" w:hAnsi="Verdana" w:cs="Arial"/>
          <w:bCs/>
          <w:shd w:val="clear" w:color="auto" w:fill="FFFFFF"/>
        </w:rPr>
      </w:pPr>
    </w:p>
    <w:p w14:paraId="3C4F0BD6" w14:textId="77777777" w:rsidR="008D4DDA" w:rsidRDefault="008D4DDA" w:rsidP="008D4DDA">
      <w:pPr>
        <w:widowControl w:val="0"/>
        <w:autoSpaceDE w:val="0"/>
        <w:autoSpaceDN w:val="0"/>
        <w:spacing w:after="0" w:line="276" w:lineRule="auto"/>
        <w:jc w:val="both"/>
        <w:rPr>
          <w:rFonts w:ascii="Verdana" w:hAnsi="Verdana" w:cs="Arial"/>
          <w:shd w:val="clear" w:color="auto" w:fill="FFFFFF"/>
        </w:rPr>
      </w:pPr>
      <w:r w:rsidRPr="000F60AB">
        <w:rPr>
          <w:rStyle w:val="normaltextrun"/>
          <w:rFonts w:ascii="Verdana" w:hAnsi="Verdana" w:cs="Arial"/>
          <w:shd w:val="clear" w:color="auto" w:fill="FFFFFF"/>
          <w:lang w:val="es-ES"/>
        </w:rPr>
        <w:t>Sobre la capacidad residual y la forma como esta se debe acreditar se pronunció esta Subdirección en los conceptos</w:t>
      </w:r>
      <w:r w:rsidRPr="000F60AB">
        <w:rPr>
          <w:rStyle w:val="normaltextrun"/>
          <w:rFonts w:ascii="Verdana" w:hAnsi="Verdana" w:cs="Calibri"/>
          <w:shd w:val="clear" w:color="auto" w:fill="FFFFFF"/>
        </w:rPr>
        <w:t xml:space="preserve"> </w:t>
      </w:r>
      <w:r w:rsidRPr="000F60AB">
        <w:rPr>
          <w:rStyle w:val="normaltextrun"/>
          <w:rFonts w:ascii="Verdana" w:hAnsi="Verdana" w:cs="Arial"/>
          <w:shd w:val="clear" w:color="auto" w:fill="FFFFFF"/>
          <w:lang w:val="es-ES"/>
        </w:rPr>
        <w:t>2201913000006275 del 27 de agosto y el 20 y 26 del 2 de diciembre de 2019 −radicados Nos., 2201913000009465, 2201913000009642 y 2201913000009640−; así como en los conceptos C–022 del 20 de febrero de 2020, C–089 del 4 de marzo de 2020, C–112 del 16 de marzo del 2020, C–133 del 25 de marzo del 2020, C – 194 de 2020 del 21 de abril de 2020, C–326 del 9 de junio de 2020 y C-446 del 6 de julio de 2020, C-</w:t>
      </w:r>
      <w:r w:rsidRPr="000F60AB">
        <w:rPr>
          <w:rStyle w:val="normaltextrun"/>
          <w:rFonts w:ascii="Verdana" w:hAnsi="Verdana" w:cs="Arial"/>
          <w:shd w:val="clear" w:color="auto" w:fill="FFFFFF"/>
          <w:lang w:val="es-ES"/>
        </w:rPr>
        <w:lastRenderedPageBreak/>
        <w:t xml:space="preserve">045 del 5 de marzo de 2021, C-003 del 26 de marzo de 2021, C-143 del 9 de abril de 2021 C–202 del 7 de mayo de 2021, C–219 del 19 de mayo de 2021, C–368 del 28 de julio de 2021, C–392 del 5 de agosto de 2021, C–513 del 23 de septiembre de 2021, C–590 del 12 de octubre de 2021, C-068 del 9 de marzo de 2022, C-220 del 22 de abril de 2022, C-306 de 16 de mayo de 2022, C-351 de 23 de mayo de 2022, C-392 del 16 de junio de 2022, C-402 del 28 de junio de 2022, C-463 del 19 de julio de 2022 y C-615 del 19 de agosto de 2022, </w:t>
      </w:r>
      <w:r>
        <w:rPr>
          <w:rFonts w:ascii="Verdana" w:eastAsia="Calibri" w:hAnsi="Verdana" w:cs="Arial"/>
          <w:lang w:val="es-ES_tradnl" w:eastAsia="es-ES_tradnl"/>
        </w:rPr>
        <w:t xml:space="preserve">C-438 del 15 de mayo de 2025, C- 862 del 12 de agosto del 2025 y C-619 del 27 de agosto de 2025, </w:t>
      </w:r>
      <w:r w:rsidRPr="00EF647F">
        <w:rPr>
          <w:rFonts w:ascii="Verdana" w:hAnsi="Verdana" w:cs="Arial"/>
          <w:shd w:val="clear" w:color="auto" w:fill="FFFFFF"/>
          <w:lang w:val="es-ES"/>
        </w:rPr>
        <w:t>C-486 de 2025, C-619 de 2025, C-1228 de 2025</w:t>
      </w:r>
      <w:r>
        <w:rPr>
          <w:rFonts w:ascii="Verdana" w:hAnsi="Verdana" w:cs="Arial"/>
          <w:shd w:val="clear" w:color="auto" w:fill="FFFFFF"/>
          <w:lang w:val="es-ES"/>
        </w:rPr>
        <w:t>, C-1349 del 28 de octubre de 2025, C-1732 del 21 de diciembre de 2025 y. C-1809 del 21 de enero de 2026 entre otros</w:t>
      </w:r>
      <w:r>
        <w:rPr>
          <w:rFonts w:ascii="Verdana" w:hAnsi="Verdana" w:cs="Arial"/>
          <w:shd w:val="clear" w:color="auto" w:fill="FFFFFF"/>
        </w:rPr>
        <w:t>.</w:t>
      </w:r>
      <w:r>
        <w:rPr>
          <w:rFonts w:ascii="Verdana" w:hAnsi="Verdana" w:cs="Arial"/>
          <w:bCs/>
          <w:shd w:val="clear" w:color="auto" w:fill="FFFFFF"/>
          <w:lang w:val="es-ES"/>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r w:rsidRPr="00B46DB7">
        <w:rPr>
          <w:rFonts w:ascii="Verdana" w:hAnsi="Verdana" w:cs="Arial"/>
          <w:bCs/>
          <w:shd w:val="clear" w:color="auto" w:fill="FFFFFF"/>
        </w:rPr>
        <w:t> </w:t>
      </w:r>
    </w:p>
    <w:p w14:paraId="3F85E1F7" w14:textId="77777777" w:rsidR="008D4DDA" w:rsidRDefault="008D4DDA" w:rsidP="008D4DDA">
      <w:pPr>
        <w:widowControl w:val="0"/>
        <w:autoSpaceDE w:val="0"/>
        <w:autoSpaceDN w:val="0"/>
        <w:spacing w:after="0" w:line="276" w:lineRule="auto"/>
        <w:jc w:val="both"/>
        <w:rPr>
          <w:rFonts w:ascii="Verdana" w:hAnsi="Verdana" w:cs="Arial"/>
          <w:color w:val="FF0000"/>
          <w:shd w:val="clear" w:color="auto" w:fill="FFFFFF"/>
        </w:rPr>
      </w:pPr>
      <w:hyperlink r:id="rId11" w:history="1">
        <w:r w:rsidRPr="00A869FE">
          <w:rPr>
            <w:rFonts w:ascii="Verdana" w:hAnsi="Verdana" w:cs="Arial"/>
            <w:color w:val="0000FF"/>
            <w:u w:val="single"/>
            <w:shd w:val="clear" w:color="auto" w:fill="FFFFFF"/>
          </w:rPr>
          <w:t>https://relatoria.colombiacompra.gov.co/busqueda/conceptos</w:t>
        </w:r>
      </w:hyperlink>
      <w:r w:rsidRPr="00A869FE">
        <w:rPr>
          <w:rFonts w:ascii="Verdana" w:hAnsi="Verdana" w:cs="Arial"/>
          <w:shd w:val="clear" w:color="auto" w:fill="FFFFFF"/>
        </w:rPr>
        <w:t xml:space="preserve">. </w:t>
      </w:r>
      <w:r w:rsidRPr="00A869FE">
        <w:rPr>
          <w:rFonts w:ascii="Verdana" w:hAnsi="Verdana" w:cs="Arial"/>
          <w:color w:val="FF0000"/>
          <w:shd w:val="clear" w:color="auto" w:fill="FFFFFF"/>
        </w:rPr>
        <w:t xml:space="preserve"> </w:t>
      </w:r>
    </w:p>
    <w:p w14:paraId="0E3A96AD" w14:textId="77777777" w:rsidR="008D4DDA" w:rsidRPr="0089599E" w:rsidRDefault="008D4DDA" w:rsidP="008D4DDA">
      <w:pPr>
        <w:spacing w:after="0" w:line="256" w:lineRule="auto"/>
        <w:jc w:val="both"/>
        <w:rPr>
          <w:rFonts w:ascii="Verdana" w:eastAsia="Calibri" w:hAnsi="Verdana" w:cs="Times New Roman"/>
        </w:rPr>
      </w:pPr>
    </w:p>
    <w:p w14:paraId="5822B85A" w14:textId="77777777" w:rsidR="00F41CEA" w:rsidRDefault="00F41CEA" w:rsidP="006E6B5B">
      <w:pPr>
        <w:tabs>
          <w:tab w:val="left" w:pos="4550"/>
        </w:tabs>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2" w:tgtFrame="_new" w:history="1">
        <w:r w:rsidRPr="009A385A">
          <w:rPr>
            <w:rStyle w:val="Hipervnculo"/>
            <w:rFonts w:ascii="Verdana" w:hAnsi="Verdana"/>
          </w:rPr>
          <w:t>https://formacionvirtual.colombiacompra.gov.co/mod/page/view.php?id=3718</w:t>
        </w:r>
      </w:hyperlink>
    </w:p>
    <w:p w14:paraId="1FFD0515" w14:textId="77777777" w:rsidR="006E6B5B" w:rsidRPr="009A385A" w:rsidRDefault="006E6B5B" w:rsidP="006E6B5B">
      <w:pPr>
        <w:tabs>
          <w:tab w:val="left" w:pos="4550"/>
        </w:tabs>
        <w:spacing w:after="0"/>
        <w:jc w:val="both"/>
        <w:rPr>
          <w:rFonts w:ascii="Verdana" w:hAnsi="Verdana"/>
        </w:rPr>
      </w:pPr>
    </w:p>
    <w:p w14:paraId="470738CD" w14:textId="77777777" w:rsidR="00F41CEA" w:rsidRPr="006E6B5B" w:rsidRDefault="00F41CEA" w:rsidP="006E6B5B">
      <w:pPr>
        <w:tabs>
          <w:tab w:val="left" w:pos="4550"/>
        </w:tabs>
        <w:spacing w:after="0"/>
        <w:jc w:val="both"/>
        <w:rPr>
          <w:rFonts w:ascii="Verdana" w:hAnsi="Verdana"/>
        </w:rPr>
      </w:pPr>
      <w:r w:rsidRPr="006E6B5B">
        <w:rPr>
          <w:rFonts w:ascii="Verdana" w:hAnsi="Verdana"/>
        </w:rPr>
        <w:t xml:space="preserve">De otro lado, te contamos que esta Agencia ha da un paso decisivo en la estandarización y modernización del </w:t>
      </w:r>
      <w:r w:rsidRPr="006E6B5B">
        <w:rPr>
          <w:rFonts w:ascii="Verdana" w:hAnsi="Verdana"/>
          <w:b/>
          <w:bCs/>
        </w:rPr>
        <w:t>sector  social</w:t>
      </w:r>
      <w:r w:rsidRPr="006E6B5B">
        <w:rPr>
          <w:rFonts w:ascii="Verdana" w:hAnsi="Verdana"/>
        </w:rPr>
        <w:t xml:space="preserve"> con la expedición de las </w:t>
      </w:r>
      <w:r w:rsidRPr="006E6B5B">
        <w:rPr>
          <w:rFonts w:ascii="Verdana" w:hAnsi="Verdana"/>
          <w:b/>
          <w:bCs/>
        </w:rPr>
        <w:t>Resoluciones 539, 540, 541, 952 y 953 de 2025</w:t>
      </w:r>
      <w:r w:rsidRPr="006E6B5B">
        <w:rPr>
          <w:rFonts w:ascii="Verdana" w:hAnsi="Verdana"/>
        </w:rPr>
        <w:t xml:space="preserve">, </w:t>
      </w:r>
      <w:r w:rsidRPr="006E6B5B">
        <w:rPr>
          <w:rFonts w:ascii="Verdana" w:hAnsi="Verdana"/>
          <w:b/>
          <w:bCs/>
        </w:rPr>
        <w:t>mediante las cuales adoptó Documentos Tipo</w:t>
      </w:r>
      <w:r w:rsidRPr="006E6B5B">
        <w:rPr>
          <w:rFonts w:ascii="Verdana" w:hAnsi="Verdana"/>
        </w:rPr>
        <w:t xml:space="preserve"> para las modalidades de selección de</w:t>
      </w:r>
      <w:r w:rsidRPr="006E6B5B">
        <w:rPr>
          <w:rFonts w:ascii="Verdana" w:hAnsi="Verdana"/>
          <w:b/>
          <w:bCs/>
        </w:rPr>
        <w:t xml:space="preserve"> licitación pública (versión 2), selección abreviada de menor cuantía, mínima cuantía, consultoría e interventoría</w:t>
      </w:r>
      <w:r w:rsidRPr="006E6B5B">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3" w:tgtFrame="_new" w:history="1">
        <w:r w:rsidRPr="006E6B5B">
          <w:rPr>
            <w:rStyle w:val="Hipervnculo"/>
            <w:rFonts w:ascii="Verdana" w:hAnsi="Verdana"/>
          </w:rPr>
          <w:t>https://www.colombiacompra.gov.co/normativa-y-relatoria/documentos-tipo</w:t>
        </w:r>
      </w:hyperlink>
    </w:p>
    <w:p w14:paraId="0C963132" w14:textId="2086EEB5" w:rsidR="008D4DDA" w:rsidRPr="006E6B5B" w:rsidRDefault="00F41CEA" w:rsidP="00F41CEA">
      <w:pPr>
        <w:tabs>
          <w:tab w:val="left" w:pos="4550"/>
        </w:tabs>
        <w:spacing w:after="0"/>
        <w:jc w:val="both"/>
        <w:rPr>
          <w:rFonts w:ascii="Verdana" w:hAnsi="Verdana"/>
        </w:rPr>
      </w:pPr>
      <w:r w:rsidRPr="006E6B5B">
        <w:rPr>
          <w:rFonts w:ascii="Verdana" w:hAnsi="Verdana"/>
        </w:rPr>
        <w:t xml:space="preserve">Si quieres conocer más sobre la aplicación de Documentos Tipo puedes consultar la última versión de la </w:t>
      </w:r>
      <w:r w:rsidRPr="006E6B5B">
        <w:rPr>
          <w:rFonts w:ascii="Verdana" w:hAnsi="Verdana"/>
          <w:b/>
          <w:bCs/>
        </w:rPr>
        <w:t xml:space="preserve">Guía para la comprensión e implementación de los </w:t>
      </w:r>
      <w:r w:rsidRPr="006E6B5B">
        <w:rPr>
          <w:rFonts w:ascii="Verdana" w:hAnsi="Verdana"/>
          <w:b/>
          <w:bCs/>
        </w:rPr>
        <w:lastRenderedPageBreak/>
        <w:t>Documentos Tipo de obra pública de infraestructura de transporte</w:t>
      </w:r>
      <w:r w:rsidRPr="006E6B5B">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6E6B5B">
        <w:rPr>
          <w:rFonts w:ascii="Verdana" w:hAnsi="Verdana"/>
        </w:rPr>
        <w:br/>
      </w:r>
      <w:hyperlink r:id="rId14" w:tgtFrame="_new" w:history="1">
        <w:r w:rsidRPr="006E6B5B">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D85D716" w14:textId="77777777" w:rsidR="00F41CEA" w:rsidRPr="0044528D" w:rsidRDefault="00F41CEA" w:rsidP="00F41CEA">
      <w:pPr>
        <w:tabs>
          <w:tab w:val="left" w:pos="4550"/>
        </w:tabs>
        <w:spacing w:after="0"/>
        <w:jc w:val="both"/>
        <w:rPr>
          <w:rFonts w:ascii="Verdana" w:hAnsi="Verdana"/>
        </w:rPr>
      </w:pPr>
    </w:p>
    <w:p w14:paraId="78EA05FB" w14:textId="77777777" w:rsidR="008D4DDA" w:rsidRPr="00185EE9" w:rsidRDefault="008D4DDA" w:rsidP="00F41CEA">
      <w:pPr>
        <w:spacing w:after="0" w:line="256" w:lineRule="auto"/>
        <w:jc w:val="both"/>
        <w:rPr>
          <w:rFonts w:ascii="Verdana" w:eastAsia="Calibri" w:hAnsi="Verdana" w:cs="Times New Roman"/>
          <w:bCs/>
          <w:lang w:val="es-ES_tradnl"/>
        </w:rPr>
      </w:pPr>
      <w:r w:rsidRPr="00185EE9">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4F45E93" w14:textId="77777777" w:rsidR="008D4DDA" w:rsidRPr="00185EE9" w:rsidRDefault="008D4DDA" w:rsidP="008D4DDA">
      <w:pPr>
        <w:spacing w:after="0" w:line="256" w:lineRule="auto"/>
        <w:jc w:val="both"/>
        <w:rPr>
          <w:rFonts w:ascii="Verdana" w:eastAsia="Calibri" w:hAnsi="Verdana" w:cs="Times New Roman"/>
        </w:rPr>
      </w:pPr>
    </w:p>
    <w:p w14:paraId="6DDD18EC" w14:textId="77777777" w:rsidR="008D4DDA" w:rsidRPr="00157783" w:rsidRDefault="008D4DDA" w:rsidP="008D4DDA">
      <w:pPr>
        <w:spacing w:after="0" w:line="256" w:lineRule="auto"/>
        <w:jc w:val="both"/>
        <w:rPr>
          <w:rFonts w:ascii="Verdana" w:eastAsia="Calibri" w:hAnsi="Verdana" w:cs="Times New Roman"/>
        </w:rPr>
      </w:pPr>
      <w:r w:rsidRPr="00185EE9">
        <w:rPr>
          <w:rFonts w:ascii="Verdana" w:eastAsia="Calibri" w:hAnsi="Verdana" w:cs="Times New Roman"/>
        </w:rPr>
        <w:t>Atentamente,</w:t>
      </w:r>
    </w:p>
    <w:bookmarkEnd w:id="0"/>
    <w:p w14:paraId="561208AC" w14:textId="3B34A1AC" w:rsidR="008D4DDA" w:rsidRPr="00881D8A" w:rsidRDefault="006018B3" w:rsidP="008D4DDA">
      <w:pPr>
        <w:tabs>
          <w:tab w:val="left" w:pos="1320"/>
        </w:tabs>
        <w:jc w:val="center"/>
        <w:rPr>
          <w:rFonts w:ascii="Verdana" w:eastAsia="Calibri" w:hAnsi="Verdana" w:cs="Times New Roman"/>
        </w:rPr>
      </w:pPr>
      <w:r w:rsidRPr="004D5C25">
        <w:rPr>
          <w:rFonts w:ascii="Century Gothic" w:hAnsi="Century Gothic"/>
          <w:noProof/>
        </w:rPr>
        <w:drawing>
          <wp:inline distT="0" distB="0" distL="0" distR="0" wp14:anchorId="6D2B1634" wp14:editId="7C5E1DAE">
            <wp:extent cx="2244642" cy="963637"/>
            <wp:effectExtent l="0" t="0" r="3810" b="190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5"/>
                    <a:stretch>
                      <a:fillRect/>
                    </a:stretch>
                  </pic:blipFill>
                  <pic:spPr>
                    <a:xfrm>
                      <a:off x="0" y="0"/>
                      <a:ext cx="2308922" cy="991233"/>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D4DDA" w:rsidRPr="00881D8A" w14:paraId="1EA241C1" w14:textId="77777777" w:rsidTr="00296400">
        <w:trPr>
          <w:trHeight w:val="315"/>
        </w:trPr>
        <w:tc>
          <w:tcPr>
            <w:tcW w:w="893" w:type="dxa"/>
            <w:vAlign w:val="center"/>
            <w:hideMark/>
          </w:tcPr>
          <w:p w14:paraId="0CE3A0C1" w14:textId="77777777" w:rsidR="008D4DDA" w:rsidRPr="00881D8A" w:rsidRDefault="008D4DDA" w:rsidP="00296400">
            <w:pPr>
              <w:rPr>
                <w:rFonts w:ascii="Verdana" w:eastAsia="Calibri" w:hAnsi="Verdana" w:cs="Arial"/>
                <w:sz w:val="16"/>
                <w:szCs w:val="16"/>
                <w:lang w:eastAsia="es-ES"/>
              </w:rPr>
            </w:pPr>
            <w:r w:rsidRPr="00881D8A">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139ABFAB" w14:textId="77777777" w:rsidR="008D4DDA" w:rsidRPr="00881D8A" w:rsidRDefault="008D4DDA" w:rsidP="00296400">
            <w:pPr>
              <w:rPr>
                <w:rFonts w:ascii="Verdana" w:eastAsia="Arial" w:hAnsi="Verdana" w:cs="Arial"/>
                <w:sz w:val="16"/>
                <w:szCs w:val="16"/>
              </w:rPr>
            </w:pPr>
            <w:r w:rsidRPr="00881D8A">
              <w:rPr>
                <w:rFonts w:ascii="Verdana" w:eastAsia="Arial" w:hAnsi="Verdana" w:cs="Arial"/>
                <w:sz w:val="16"/>
                <w:szCs w:val="16"/>
              </w:rPr>
              <w:t xml:space="preserve">Carlos Mario Castrillon Endo </w:t>
            </w:r>
          </w:p>
          <w:p w14:paraId="32B7B566" w14:textId="77777777" w:rsidR="008D4DDA" w:rsidRPr="00881D8A" w:rsidRDefault="008D4DDA" w:rsidP="00296400">
            <w:pPr>
              <w:rPr>
                <w:rFonts w:ascii="Verdana" w:eastAsia="Arial" w:hAnsi="Verdana" w:cs="Arial"/>
                <w:sz w:val="16"/>
                <w:szCs w:val="16"/>
              </w:rPr>
            </w:pPr>
            <w:r w:rsidRPr="00881D8A">
              <w:rPr>
                <w:rFonts w:ascii="Verdana" w:eastAsia="Arial" w:hAnsi="Verdana" w:cs="Arial"/>
                <w:sz w:val="16"/>
                <w:szCs w:val="16"/>
              </w:rPr>
              <w:t>Contratista de la Subdirección de Gestión Contractual</w:t>
            </w:r>
          </w:p>
          <w:p w14:paraId="4CB6DF53" w14:textId="77777777" w:rsidR="008D4DDA" w:rsidRPr="00881D8A" w:rsidRDefault="008D4DDA" w:rsidP="00296400">
            <w:pPr>
              <w:rPr>
                <w:rFonts w:ascii="Verdana" w:eastAsia="Arial" w:hAnsi="Verdana" w:cs="Arial"/>
                <w:sz w:val="16"/>
                <w:szCs w:val="16"/>
              </w:rPr>
            </w:pPr>
          </w:p>
        </w:tc>
      </w:tr>
      <w:tr w:rsidR="008D4DDA" w:rsidRPr="00881D8A" w14:paraId="7C512AB7" w14:textId="77777777" w:rsidTr="00296400">
        <w:trPr>
          <w:trHeight w:val="330"/>
        </w:trPr>
        <w:tc>
          <w:tcPr>
            <w:tcW w:w="893" w:type="dxa"/>
            <w:vAlign w:val="center"/>
            <w:hideMark/>
          </w:tcPr>
          <w:p w14:paraId="51C15158" w14:textId="77777777" w:rsidR="008D4DDA" w:rsidRPr="00881D8A" w:rsidRDefault="008D4DDA" w:rsidP="00296400">
            <w:pPr>
              <w:rPr>
                <w:rFonts w:ascii="Verdana" w:eastAsia="Calibri" w:hAnsi="Verdana" w:cs="Arial"/>
                <w:sz w:val="16"/>
                <w:szCs w:val="16"/>
                <w:lang w:eastAsia="es-ES"/>
              </w:rPr>
            </w:pPr>
            <w:r w:rsidRPr="00881D8A">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005A7AB5" w14:textId="77777777" w:rsidR="008D4DDA" w:rsidRPr="00881D8A" w:rsidRDefault="008D4DDA" w:rsidP="00296400">
            <w:pPr>
              <w:textAlignment w:val="baseline"/>
              <w:rPr>
                <w:rFonts w:ascii="Verdana" w:eastAsia="Times New Roman" w:hAnsi="Verdana" w:cs="Aptos"/>
                <w:sz w:val="16"/>
                <w:szCs w:val="16"/>
                <w:lang w:eastAsia="es-CO"/>
              </w:rPr>
            </w:pPr>
            <w:r w:rsidRPr="00881D8A">
              <w:rPr>
                <w:rFonts w:ascii="Verdana" w:eastAsia="Times New Roman" w:hAnsi="Verdana" w:cs="Aptos"/>
                <w:sz w:val="16"/>
                <w:szCs w:val="16"/>
                <w:lang w:eastAsia="es-CO"/>
              </w:rPr>
              <w:t xml:space="preserve">Juan David Cárdenas Cabeza </w:t>
            </w:r>
          </w:p>
          <w:p w14:paraId="2A222E26" w14:textId="77777777" w:rsidR="008D4DDA" w:rsidRPr="00881D8A" w:rsidRDefault="008D4DDA" w:rsidP="00296400">
            <w:pPr>
              <w:rPr>
                <w:rFonts w:ascii="Verdana" w:eastAsia="Arial" w:hAnsi="Verdana" w:cs="Arial"/>
                <w:sz w:val="16"/>
                <w:szCs w:val="16"/>
              </w:rPr>
            </w:pPr>
            <w:r w:rsidRPr="00881D8A">
              <w:rPr>
                <w:rFonts w:ascii="Verdana" w:eastAsia="Arial" w:hAnsi="Verdana" w:cs="Arial"/>
                <w:sz w:val="16"/>
                <w:szCs w:val="16"/>
              </w:rPr>
              <w:t>Contratista de la Subdirección de Gestión Contractual</w:t>
            </w:r>
          </w:p>
        </w:tc>
      </w:tr>
      <w:tr w:rsidR="008D4DDA" w:rsidRPr="00881D8A" w14:paraId="5C2F016C" w14:textId="77777777" w:rsidTr="00296400">
        <w:trPr>
          <w:trHeight w:val="300"/>
        </w:trPr>
        <w:tc>
          <w:tcPr>
            <w:tcW w:w="893" w:type="dxa"/>
            <w:vAlign w:val="center"/>
          </w:tcPr>
          <w:p w14:paraId="50E09E93" w14:textId="77777777" w:rsidR="008D4DDA" w:rsidRPr="00881D8A" w:rsidRDefault="008D4DDA" w:rsidP="00296400">
            <w:pPr>
              <w:rPr>
                <w:rFonts w:ascii="Verdana" w:eastAsia="Calibri" w:hAnsi="Verdana" w:cs="Arial"/>
                <w:sz w:val="16"/>
                <w:szCs w:val="16"/>
                <w:lang w:eastAsia="es-ES"/>
              </w:rPr>
            </w:pPr>
            <w:r w:rsidRPr="00881D8A">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54303D0D" w14:textId="77777777" w:rsidR="008D4DDA" w:rsidRPr="00881D8A" w:rsidRDefault="008D4DDA" w:rsidP="00296400">
            <w:pPr>
              <w:rPr>
                <w:rFonts w:ascii="Verdana" w:eastAsia="Calibri" w:hAnsi="Verdana" w:cs="Arial"/>
                <w:sz w:val="16"/>
                <w:szCs w:val="16"/>
                <w:lang w:eastAsia="es-ES"/>
              </w:rPr>
            </w:pPr>
            <w:r w:rsidRPr="00881D8A">
              <w:rPr>
                <w:rFonts w:ascii="Verdana" w:eastAsia="Calibri" w:hAnsi="Verdana" w:cs="Arial"/>
                <w:sz w:val="16"/>
                <w:szCs w:val="16"/>
                <w:lang w:eastAsia="es-ES"/>
              </w:rPr>
              <w:t>Carolina Quintero Gacharná</w:t>
            </w:r>
          </w:p>
          <w:p w14:paraId="59A2F8C8" w14:textId="77777777" w:rsidR="008D4DDA" w:rsidRPr="00881D8A" w:rsidRDefault="008D4DDA" w:rsidP="00296400">
            <w:pPr>
              <w:rPr>
                <w:rFonts w:ascii="Verdana" w:eastAsia="Calibri" w:hAnsi="Verdana" w:cs="Arial"/>
                <w:sz w:val="16"/>
                <w:szCs w:val="16"/>
                <w:lang w:eastAsia="es-ES"/>
              </w:rPr>
            </w:pPr>
            <w:r w:rsidRPr="00881D8A">
              <w:rPr>
                <w:rFonts w:ascii="Verdana" w:eastAsia="Calibri" w:hAnsi="Verdana" w:cs="Arial"/>
                <w:sz w:val="16"/>
                <w:szCs w:val="16"/>
                <w:lang w:eastAsia="es-ES"/>
              </w:rPr>
              <w:t>Subdirectora de Gestión Contractual ANCP – CCE</w:t>
            </w:r>
          </w:p>
        </w:tc>
      </w:tr>
    </w:tbl>
    <w:p w14:paraId="1256743D" w14:textId="77777777" w:rsidR="008D4DDA" w:rsidRPr="00881D8A" w:rsidRDefault="008D4DDA" w:rsidP="008D4DDA">
      <w:pPr>
        <w:rPr>
          <w:rFonts w:ascii="Verdana" w:eastAsia="Calibri" w:hAnsi="Verdana" w:cs="Times New Roman"/>
        </w:rPr>
      </w:pPr>
    </w:p>
    <w:p w14:paraId="19B60022" w14:textId="77777777" w:rsidR="008D4DDA" w:rsidRPr="00881D8A" w:rsidRDefault="008D4DDA" w:rsidP="008D4DDA">
      <w:pPr>
        <w:rPr>
          <w:rFonts w:ascii="Verdana" w:eastAsia="Aptos" w:hAnsi="Verdana" w:cs="Times New Roman"/>
        </w:rPr>
      </w:pPr>
    </w:p>
    <w:p w14:paraId="762FE620" w14:textId="77777777" w:rsidR="008D4DDA" w:rsidRPr="00135720" w:rsidRDefault="008D4DDA" w:rsidP="008D4DDA"/>
    <w:p w14:paraId="269C484C" w14:textId="77777777" w:rsidR="008D4DDA" w:rsidRDefault="008D4DDA" w:rsidP="008D4DDA"/>
    <w:p w14:paraId="0F293BF4" w14:textId="2464D838" w:rsidR="00127233" w:rsidRPr="002F2A9A" w:rsidRDefault="00127233" w:rsidP="002F2A9A"/>
    <w:sectPr w:rsidR="00127233" w:rsidRPr="002F2A9A"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5EDD06" w14:textId="77777777" w:rsidR="00822C92" w:rsidRDefault="00822C92" w:rsidP="004A1847">
      <w:pPr>
        <w:spacing w:after="0" w:line="240" w:lineRule="auto"/>
      </w:pPr>
      <w:r>
        <w:separator/>
      </w:r>
    </w:p>
  </w:endnote>
  <w:endnote w:type="continuationSeparator" w:id="0">
    <w:p w14:paraId="0236C1BE" w14:textId="77777777" w:rsidR="00822C92" w:rsidRDefault="00822C9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38236E" w14:textId="77777777" w:rsidR="00822C92" w:rsidRDefault="00822C92" w:rsidP="004A1847">
      <w:pPr>
        <w:spacing w:after="0" w:line="240" w:lineRule="auto"/>
      </w:pPr>
      <w:r>
        <w:separator/>
      </w:r>
    </w:p>
  </w:footnote>
  <w:footnote w:type="continuationSeparator" w:id="0">
    <w:p w14:paraId="28907D5E" w14:textId="77777777" w:rsidR="00822C92" w:rsidRDefault="00822C92" w:rsidP="004A1847">
      <w:pPr>
        <w:spacing w:after="0" w:line="240" w:lineRule="auto"/>
      </w:pPr>
      <w:r>
        <w:continuationSeparator/>
      </w:r>
    </w:p>
  </w:footnote>
  <w:footnote w:id="1">
    <w:p w14:paraId="21A9B730" w14:textId="77777777" w:rsidR="008D4DDA" w:rsidRDefault="008D4DDA" w:rsidP="008D4DDA">
      <w:pPr>
        <w:pStyle w:val="Textonotapie"/>
        <w:ind w:firstLine="708"/>
        <w:jc w:val="both"/>
        <w:rPr>
          <w:rFonts w:ascii="Verdana" w:hAnsi="Verdana" w:cs="Arial"/>
          <w:sz w:val="18"/>
          <w:szCs w:val="18"/>
        </w:rPr>
      </w:pPr>
      <w:r w:rsidRPr="0064767F">
        <w:rPr>
          <w:rStyle w:val="Refdenotaalpie"/>
          <w:rFonts w:ascii="Verdana" w:hAnsi="Verdana" w:cs="Arial"/>
          <w:sz w:val="18"/>
          <w:szCs w:val="18"/>
          <w:vertAlign w:val="baseline"/>
        </w:rPr>
        <w:footnoteRef/>
      </w:r>
      <w:r w:rsidRPr="0064767F">
        <w:rPr>
          <w:rFonts w:ascii="Verdana" w:hAnsi="Verdana" w:cs="Arial"/>
          <w:sz w:val="18"/>
          <w:szCs w:val="18"/>
        </w:rPr>
        <w:t xml:space="preserve"> JOJOA BOLAÑOS, Alexander. Los regímenes exceptuados en los contratos estatales. Bogotá: Grupo Editorial Ibáñez, 2012. p. 89.</w:t>
      </w:r>
    </w:p>
    <w:p w14:paraId="06E564B6" w14:textId="77777777" w:rsidR="008D4DDA" w:rsidRPr="0064767F" w:rsidRDefault="008D4DDA" w:rsidP="008D4DDA">
      <w:pPr>
        <w:pStyle w:val="Textonotapie"/>
        <w:ind w:firstLine="708"/>
        <w:jc w:val="both"/>
        <w:rPr>
          <w:rFonts w:ascii="Verdana" w:hAnsi="Verdana" w:cs="Arial"/>
          <w:sz w:val="18"/>
          <w:szCs w:val="18"/>
        </w:rPr>
      </w:pPr>
    </w:p>
  </w:footnote>
  <w:footnote w:id="2">
    <w:p w14:paraId="29555D68" w14:textId="77777777" w:rsidR="008D4DDA" w:rsidRDefault="008D4DDA" w:rsidP="008D4DDA">
      <w:pPr>
        <w:pStyle w:val="Textonotapie"/>
        <w:ind w:firstLine="708"/>
        <w:jc w:val="both"/>
        <w:rPr>
          <w:rFonts w:ascii="Verdana" w:hAnsi="Verdana" w:cs="Arial"/>
          <w:sz w:val="18"/>
          <w:szCs w:val="18"/>
        </w:rPr>
      </w:pPr>
      <w:r w:rsidRPr="0064767F">
        <w:rPr>
          <w:rStyle w:val="Refdenotaalpie"/>
          <w:rFonts w:ascii="Verdana" w:hAnsi="Verdana" w:cs="Arial"/>
          <w:sz w:val="18"/>
          <w:szCs w:val="18"/>
          <w:vertAlign w:val="baseline"/>
        </w:rPr>
        <w:footnoteRef/>
      </w:r>
      <w:r w:rsidRPr="0064767F">
        <w:rPr>
          <w:rFonts w:ascii="Verdana" w:hAnsi="Verdana" w:cs="Arial"/>
          <w:sz w:val="18"/>
          <w:szCs w:val="18"/>
        </w:rPr>
        <w:t xml:space="preserve"> BARRETO MORENO, Antonio Alejandro. El derecho de la compra pública: estudio jurídico de un mercado imperfecto. Bogotá: Legis, 2019. pp. 281 y ss.</w:t>
      </w:r>
    </w:p>
    <w:p w14:paraId="4AED169A" w14:textId="77777777" w:rsidR="008D4DDA" w:rsidRPr="0064767F" w:rsidRDefault="008D4DDA" w:rsidP="008D4DDA">
      <w:pPr>
        <w:pStyle w:val="Textonotapie"/>
        <w:ind w:firstLine="708"/>
        <w:jc w:val="both"/>
        <w:rPr>
          <w:rFonts w:ascii="Verdana" w:hAnsi="Verdana" w:cs="Arial"/>
          <w:sz w:val="18"/>
          <w:szCs w:val="18"/>
        </w:rPr>
      </w:pPr>
    </w:p>
  </w:footnote>
  <w:footnote w:id="3">
    <w:p w14:paraId="0488F827" w14:textId="77777777" w:rsidR="008D4DDA" w:rsidRPr="0064767F" w:rsidRDefault="008D4DDA" w:rsidP="008D4DDA">
      <w:pPr>
        <w:pStyle w:val="Textonotapie"/>
        <w:ind w:firstLine="709"/>
        <w:jc w:val="both"/>
        <w:rPr>
          <w:rFonts w:ascii="Verdana" w:hAnsi="Verdana" w:cs="Arial"/>
          <w:sz w:val="18"/>
          <w:szCs w:val="18"/>
          <w:lang w:val="es-ES"/>
        </w:rPr>
      </w:pPr>
      <w:r w:rsidRPr="0064767F">
        <w:rPr>
          <w:rStyle w:val="Refdenotaalpie"/>
          <w:rFonts w:ascii="Verdana" w:hAnsi="Verdana" w:cs="Arial"/>
          <w:sz w:val="18"/>
          <w:szCs w:val="18"/>
        </w:rPr>
        <w:footnoteRef/>
      </w:r>
      <w:r w:rsidRPr="0064767F">
        <w:rPr>
          <w:rFonts w:ascii="Verdana" w:hAnsi="Verdana" w:cs="Arial"/>
          <w:sz w:val="18"/>
          <w:szCs w:val="18"/>
        </w:rPr>
        <w:t xml:space="preserve"> </w:t>
      </w:r>
      <w:r w:rsidRPr="0064767F">
        <w:rPr>
          <w:rFonts w:ascii="Verdana" w:hAnsi="Verdana" w:cs="Arial"/>
          <w:sz w:val="18"/>
          <w:szCs w:val="18"/>
          <w:lang w:val="es-ES"/>
        </w:rPr>
        <w:t>“</w:t>
      </w:r>
      <w:r w:rsidRPr="0064767F">
        <w:rPr>
          <w:rFonts w:ascii="Verdana" w:hAnsi="Verdana" w:cs="Arial"/>
          <w:sz w:val="18"/>
          <w:szCs w:val="18"/>
        </w:rPr>
        <w:t>Artículo 194.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sidRPr="0064767F">
        <w:rPr>
          <w:rFonts w:ascii="Verdana" w:hAnsi="Verdana" w:cs="Arial"/>
          <w:sz w:val="18"/>
          <w:szCs w:val="18"/>
          <w:lang w:val="es-ES"/>
        </w:rPr>
        <w:t>”.</w:t>
      </w:r>
    </w:p>
  </w:footnote>
  <w:footnote w:id="4">
    <w:p w14:paraId="15A49A5B" w14:textId="77777777" w:rsidR="008D4DDA" w:rsidRPr="0064767F" w:rsidRDefault="008D4DDA" w:rsidP="008D4DDA">
      <w:pPr>
        <w:pStyle w:val="Textonotapie"/>
        <w:ind w:firstLine="709"/>
        <w:jc w:val="both"/>
        <w:rPr>
          <w:rFonts w:ascii="Verdana" w:hAnsi="Verdana" w:cs="Arial"/>
          <w:sz w:val="18"/>
          <w:szCs w:val="18"/>
        </w:rPr>
      </w:pPr>
      <w:r w:rsidRPr="0064767F">
        <w:rPr>
          <w:rStyle w:val="Refdenotaalpie"/>
          <w:rFonts w:ascii="Verdana" w:hAnsi="Verdana" w:cs="Arial"/>
          <w:sz w:val="18"/>
          <w:szCs w:val="18"/>
        </w:rPr>
        <w:footnoteRef/>
      </w:r>
      <w:r w:rsidRPr="0064767F">
        <w:rPr>
          <w:rFonts w:ascii="Verdana" w:hAnsi="Verdana" w:cs="Arial"/>
          <w:sz w:val="18"/>
          <w:szCs w:val="18"/>
        </w:rPr>
        <w:t xml:space="preserve"> Consejo de Estado. Sección Tercera. Sentencia 18 de febrero de 2010. CP, Enrique Gil Botero. Exp. 37004. </w:t>
      </w:r>
    </w:p>
    <w:p w14:paraId="66C252A6" w14:textId="77777777" w:rsidR="008D4DDA" w:rsidRPr="0064767F" w:rsidRDefault="008D4DDA" w:rsidP="008D4DDA">
      <w:pPr>
        <w:pStyle w:val="Textonotapie"/>
        <w:ind w:firstLine="709"/>
        <w:jc w:val="both"/>
        <w:rPr>
          <w:rFonts w:ascii="Verdana" w:hAnsi="Verdana" w:cs="Arial"/>
          <w:sz w:val="18"/>
          <w:szCs w:val="18"/>
        </w:rPr>
      </w:pPr>
    </w:p>
  </w:footnote>
  <w:footnote w:id="5">
    <w:p w14:paraId="47E98FFB" w14:textId="77777777" w:rsidR="008D4DDA" w:rsidRDefault="008D4DDA" w:rsidP="008D4DDA">
      <w:pPr>
        <w:pStyle w:val="Textonotapie"/>
        <w:ind w:firstLine="709"/>
        <w:jc w:val="both"/>
        <w:rPr>
          <w:rFonts w:ascii="Verdana" w:hAnsi="Verdana" w:cs="Arial"/>
          <w:color w:val="000000"/>
          <w:sz w:val="18"/>
          <w:szCs w:val="18"/>
        </w:rPr>
      </w:pPr>
      <w:r w:rsidRPr="0064767F">
        <w:rPr>
          <w:rStyle w:val="Refdenotaalpie"/>
          <w:rFonts w:ascii="Verdana" w:hAnsi="Verdana" w:cs="Arial"/>
          <w:sz w:val="18"/>
          <w:szCs w:val="18"/>
        </w:rPr>
        <w:footnoteRef/>
      </w:r>
      <w:r w:rsidRPr="0064767F">
        <w:rPr>
          <w:rFonts w:ascii="Verdana" w:hAnsi="Verdana" w:cs="Arial"/>
          <w:sz w:val="18"/>
          <w:szCs w:val="18"/>
        </w:rPr>
        <w:t xml:space="preserve"> En sentencia C-665 de 2000, la Corte Constitucional se pronunció, así: </w:t>
      </w:r>
      <w:r w:rsidRPr="0064767F">
        <w:rPr>
          <w:rFonts w:ascii="Verdana" w:hAnsi="Verdana" w:cs="Arial"/>
          <w:sz w:val="18"/>
          <w:szCs w:val="18"/>
          <w:lang w:val="es-ES_tradnl"/>
        </w:rPr>
        <w:t>“</w:t>
      </w:r>
      <w:r w:rsidRPr="0064767F">
        <w:rPr>
          <w:rFonts w:ascii="Verdana" w:hAnsi="Verdana" w:cs="Arial"/>
          <w:color w:val="000000"/>
          <w:sz w:val="18"/>
          <w:szCs w:val="18"/>
        </w:rPr>
        <w:t>En los términos del artículo 49 de la Constitución Política, la atención de la salud y el saneamiento ambiental son servicios públicos a cargo del Estado; al cual corresponde organizarlos, dirigirlos y reglamentarlos conforme a los principios de eficiencia, universalidad y solidaridad. Igualmente es deber del Estado establecer las políticas para la prestación de servicios de salud por entidades privadas y ejercer su vigilancia y control. Debe también el Estado señalar las competencias de la Nación, las entidades territoriales y los particulares y determinar los aportes a su cargo en los términos y condiciones señalados en la ley</w:t>
      </w:r>
      <w:r w:rsidRPr="0064767F">
        <w:rPr>
          <w:rFonts w:ascii="Verdana" w:hAnsi="Verdana" w:cs="Arial"/>
          <w:sz w:val="18"/>
          <w:szCs w:val="18"/>
          <w:lang w:val="es-ES_tradnl"/>
        </w:rPr>
        <w:t>”</w:t>
      </w:r>
      <w:r w:rsidRPr="0064767F">
        <w:rPr>
          <w:rFonts w:ascii="Verdana" w:hAnsi="Verdana" w:cs="Arial"/>
          <w:color w:val="000000"/>
          <w:sz w:val="18"/>
          <w:szCs w:val="18"/>
        </w:rPr>
        <w:t xml:space="preserve"> (Corte Constitucional. Sentencia C-665 de 2000. M.P. José Gregorio Hernández Galindo)</w:t>
      </w:r>
    </w:p>
    <w:p w14:paraId="66457CAE" w14:textId="77777777" w:rsidR="008D4DDA" w:rsidRPr="0064767F" w:rsidRDefault="008D4DDA" w:rsidP="008D4DDA">
      <w:pPr>
        <w:pStyle w:val="Textonotapie"/>
        <w:ind w:firstLine="709"/>
        <w:jc w:val="both"/>
        <w:rPr>
          <w:rFonts w:ascii="Verdana" w:hAnsi="Verdana" w:cs="Arial"/>
          <w:color w:val="000000"/>
          <w:sz w:val="18"/>
          <w:szCs w:val="18"/>
        </w:rPr>
      </w:pPr>
    </w:p>
  </w:footnote>
  <w:footnote w:id="6">
    <w:p w14:paraId="12CCF9A7" w14:textId="77777777" w:rsidR="008D4DDA" w:rsidRDefault="008D4DDA" w:rsidP="008D4DDA">
      <w:pPr>
        <w:pStyle w:val="Textonotapie"/>
        <w:ind w:firstLine="708"/>
        <w:jc w:val="both"/>
        <w:rPr>
          <w:rFonts w:ascii="Verdana" w:hAnsi="Verdana" w:cs="Arial"/>
          <w:color w:val="000000" w:themeColor="text1"/>
          <w:sz w:val="18"/>
          <w:szCs w:val="18"/>
          <w:lang w:val="es-CO"/>
        </w:rPr>
      </w:pPr>
      <w:r w:rsidRPr="0064767F">
        <w:rPr>
          <w:rStyle w:val="Refdenotaalpie"/>
          <w:rFonts w:ascii="Verdana" w:hAnsi="Verdana" w:cs="Arial"/>
          <w:color w:val="000000" w:themeColor="text1"/>
          <w:sz w:val="18"/>
          <w:szCs w:val="18"/>
        </w:rPr>
        <w:footnoteRef/>
      </w:r>
      <w:r w:rsidRPr="0064767F">
        <w:rPr>
          <w:rFonts w:ascii="Verdana" w:hAnsi="Verdana" w:cs="Arial"/>
          <w:color w:val="000000" w:themeColor="text1"/>
          <w:sz w:val="18"/>
          <w:szCs w:val="18"/>
        </w:rPr>
        <w:t xml:space="preserve"> Consejo de Estado. Sala de Consulta y Servicio Civil. Concepto del 27 de agosto de 1998, Rad. 1.127, C.P. Javier Henao Hidrón. </w:t>
      </w:r>
      <w:r w:rsidRPr="0064767F">
        <w:rPr>
          <w:rFonts w:ascii="Verdana" w:hAnsi="Verdana" w:cs="Arial"/>
          <w:color w:val="000000" w:themeColor="text1"/>
          <w:sz w:val="18"/>
          <w:szCs w:val="18"/>
          <w:lang w:val="es-CO"/>
        </w:rPr>
        <w:t>Rad. 1.127</w:t>
      </w:r>
      <w:r w:rsidRPr="0064767F">
        <w:rPr>
          <w:rFonts w:ascii="Verdana" w:hAnsi="Verdana" w:cs="Arial"/>
          <w:color w:val="000000" w:themeColor="text1"/>
          <w:sz w:val="18"/>
          <w:szCs w:val="18"/>
        </w:rPr>
        <w:t xml:space="preserve">; y </w:t>
      </w:r>
      <w:r w:rsidRPr="0064767F">
        <w:rPr>
          <w:rFonts w:ascii="Verdana" w:hAnsi="Verdana" w:cs="Arial"/>
          <w:color w:val="000000" w:themeColor="text1"/>
          <w:sz w:val="18"/>
          <w:szCs w:val="18"/>
          <w:lang w:val="es-CO"/>
        </w:rPr>
        <w:t>concepto del 6 de abril de 2000, C.P. Flavio Augusto Rodriguez Arce. Rad. 1.263.</w:t>
      </w:r>
    </w:p>
    <w:p w14:paraId="5C92385C" w14:textId="77777777" w:rsidR="008D4DDA" w:rsidRPr="0064767F" w:rsidRDefault="008D4DDA" w:rsidP="008D4DDA">
      <w:pPr>
        <w:pStyle w:val="Textonotapie"/>
        <w:ind w:firstLine="708"/>
        <w:jc w:val="both"/>
        <w:rPr>
          <w:rFonts w:ascii="Verdana" w:hAnsi="Verdana" w:cs="Arial"/>
          <w:color w:val="000000" w:themeColor="text1"/>
          <w:sz w:val="18"/>
          <w:szCs w:val="18"/>
          <w:lang w:val="es-CO"/>
        </w:rPr>
      </w:pPr>
    </w:p>
  </w:footnote>
  <w:footnote w:id="7">
    <w:p w14:paraId="70890034" w14:textId="77777777" w:rsidR="008D4DDA" w:rsidRPr="0064767F" w:rsidRDefault="008D4DDA" w:rsidP="008D4DDA">
      <w:pPr>
        <w:pStyle w:val="Textonotapie"/>
        <w:ind w:firstLine="709"/>
        <w:jc w:val="both"/>
        <w:rPr>
          <w:rFonts w:ascii="Verdana" w:hAnsi="Verdana" w:cs="Arial"/>
          <w:color w:val="000000" w:themeColor="text1"/>
          <w:sz w:val="18"/>
          <w:szCs w:val="18"/>
        </w:rPr>
      </w:pPr>
      <w:r w:rsidRPr="0064767F">
        <w:rPr>
          <w:rStyle w:val="Refdenotaalpie"/>
          <w:rFonts w:ascii="Verdana" w:hAnsi="Verdana" w:cs="Arial"/>
          <w:color w:val="000000" w:themeColor="text1"/>
          <w:sz w:val="18"/>
          <w:szCs w:val="18"/>
        </w:rPr>
        <w:footnoteRef/>
      </w:r>
      <w:r w:rsidRPr="0064767F">
        <w:rPr>
          <w:rFonts w:ascii="Verdana" w:hAnsi="Verdana" w:cs="Arial"/>
          <w:color w:val="000000" w:themeColor="text1"/>
          <w:sz w:val="18"/>
          <w:szCs w:val="18"/>
        </w:rPr>
        <w:t xml:space="preserve"> Ministerio de Salud y la Protección Social. Concepto del 16 de agosto de 2019. Expediente No. 201942301304712. </w:t>
      </w:r>
    </w:p>
  </w:footnote>
  <w:footnote w:id="8">
    <w:p w14:paraId="52D9C27A" w14:textId="77777777" w:rsidR="008D4DDA" w:rsidRPr="0064767F" w:rsidRDefault="008D4DDA" w:rsidP="008D4DDA">
      <w:pPr>
        <w:pStyle w:val="Textonotapie"/>
        <w:ind w:firstLine="709"/>
        <w:jc w:val="both"/>
        <w:rPr>
          <w:rFonts w:ascii="Verdana" w:hAnsi="Verdana" w:cs="Arial"/>
          <w:color w:val="000000" w:themeColor="text1"/>
          <w:sz w:val="18"/>
          <w:szCs w:val="18"/>
        </w:rPr>
      </w:pPr>
      <w:r w:rsidRPr="0064767F">
        <w:rPr>
          <w:rStyle w:val="Refdenotaalpie"/>
          <w:rFonts w:ascii="Verdana" w:hAnsi="Verdana" w:cs="Arial"/>
          <w:color w:val="000000" w:themeColor="text1"/>
          <w:sz w:val="18"/>
          <w:szCs w:val="18"/>
        </w:rPr>
        <w:footnoteRef/>
      </w:r>
      <w:r w:rsidRPr="0064767F">
        <w:rPr>
          <w:rFonts w:ascii="Verdana" w:hAnsi="Verdana" w:cs="Arial"/>
          <w:color w:val="000000" w:themeColor="text1"/>
          <w:sz w:val="18"/>
          <w:szCs w:val="18"/>
        </w:rPr>
        <w:t xml:space="preserve"> Consejo de Estado. Sección Tercera. Subsección A. Sentencia del 24 de octubre de 2016. C.P. Marta Nubia Velásquez Rico. </w:t>
      </w:r>
      <w:r w:rsidRPr="0064767F">
        <w:rPr>
          <w:rFonts w:ascii="Verdana" w:hAnsi="Verdana" w:cs="Arial"/>
          <w:color w:val="000000" w:themeColor="text1"/>
          <w:sz w:val="18"/>
          <w:szCs w:val="18"/>
          <w:lang w:val="es-CO"/>
        </w:rPr>
        <w:t>Exp. 45.607.</w:t>
      </w:r>
    </w:p>
  </w:footnote>
  <w:footnote w:id="9">
    <w:p w14:paraId="07069844" w14:textId="77777777" w:rsidR="008D4DDA" w:rsidRDefault="008D4DDA" w:rsidP="008D4DDA">
      <w:pPr>
        <w:pStyle w:val="Textonotapie"/>
        <w:snapToGrid w:val="0"/>
        <w:ind w:firstLine="709"/>
        <w:jc w:val="both"/>
        <w:rPr>
          <w:rFonts w:ascii="Verdana" w:hAnsi="Verdana" w:cs="Arial"/>
          <w:color w:val="000000" w:themeColor="text1"/>
          <w:sz w:val="18"/>
          <w:szCs w:val="18"/>
        </w:rPr>
      </w:pPr>
      <w:r w:rsidRPr="0064767F">
        <w:rPr>
          <w:rStyle w:val="Refdenotaalpie"/>
          <w:rFonts w:ascii="Verdana" w:hAnsi="Verdana" w:cs="Arial"/>
          <w:color w:val="000000" w:themeColor="text1"/>
          <w:sz w:val="18"/>
          <w:szCs w:val="18"/>
        </w:rPr>
        <w:footnoteRef/>
      </w:r>
      <w:r w:rsidRPr="0064767F">
        <w:rPr>
          <w:rFonts w:ascii="Verdana" w:hAnsi="Verdana" w:cs="Arial"/>
          <w:color w:val="000000" w:themeColor="text1"/>
          <w:sz w:val="18"/>
          <w:szCs w:val="18"/>
        </w:rPr>
        <w:t xml:space="preserve"> HINESTROSA FORERO, Fernando. Tratado de las Obligaciones II. De las fuentes de las obligaciones: el negocio jurídico. Vol. I. Bogotá: Universidad Externado de Colombia, 2015. p. 116.  </w:t>
      </w:r>
    </w:p>
    <w:p w14:paraId="230C294B" w14:textId="77777777" w:rsidR="008D4DDA" w:rsidRPr="0064767F" w:rsidRDefault="008D4DDA" w:rsidP="008D4DDA">
      <w:pPr>
        <w:pStyle w:val="Textonotapie"/>
        <w:snapToGrid w:val="0"/>
        <w:ind w:firstLine="709"/>
        <w:jc w:val="both"/>
        <w:rPr>
          <w:rFonts w:ascii="Verdana" w:hAnsi="Verdana" w:cs="Arial"/>
          <w:color w:val="000000" w:themeColor="text1"/>
          <w:sz w:val="18"/>
          <w:szCs w:val="18"/>
        </w:rPr>
      </w:pPr>
    </w:p>
  </w:footnote>
  <w:footnote w:id="10">
    <w:p w14:paraId="2498EBC1" w14:textId="77777777" w:rsidR="008D4DDA" w:rsidRDefault="008D4DDA" w:rsidP="008D4DDA">
      <w:pPr>
        <w:pStyle w:val="Textonotapie"/>
        <w:snapToGrid w:val="0"/>
        <w:ind w:firstLine="709"/>
        <w:jc w:val="both"/>
        <w:rPr>
          <w:rFonts w:ascii="Verdana" w:hAnsi="Verdana" w:cs="Arial"/>
          <w:sz w:val="18"/>
          <w:szCs w:val="18"/>
        </w:rPr>
      </w:pPr>
      <w:r w:rsidRPr="0064767F">
        <w:rPr>
          <w:rStyle w:val="Refdenotaalpie"/>
          <w:rFonts w:ascii="Verdana" w:hAnsi="Verdana" w:cs="Arial"/>
          <w:sz w:val="18"/>
          <w:szCs w:val="18"/>
        </w:rPr>
        <w:footnoteRef/>
      </w:r>
      <w:r w:rsidRPr="0064767F">
        <w:rPr>
          <w:rFonts w:ascii="Verdana" w:hAnsi="Verdana" w:cs="Arial"/>
          <w:sz w:val="18"/>
          <w:szCs w:val="18"/>
        </w:rPr>
        <w:t xml:space="preserve"> Cfr. Colombia Compra Eficiente. Subdirección de Gestión Contractual. Concepto C-362 del 3 de julio de 2020. Pág. 9.</w:t>
      </w:r>
    </w:p>
    <w:p w14:paraId="199905DC" w14:textId="77777777" w:rsidR="008D4DDA" w:rsidRPr="0064767F" w:rsidRDefault="008D4DDA" w:rsidP="008D4DDA">
      <w:pPr>
        <w:pStyle w:val="Textonotapie"/>
        <w:snapToGrid w:val="0"/>
        <w:ind w:firstLine="709"/>
        <w:jc w:val="both"/>
        <w:rPr>
          <w:rFonts w:ascii="Verdana" w:hAnsi="Verdana" w:cs="Arial"/>
          <w:sz w:val="18"/>
          <w:szCs w:val="18"/>
        </w:rPr>
      </w:pPr>
    </w:p>
  </w:footnote>
  <w:footnote w:id="11">
    <w:p w14:paraId="1E828BFC" w14:textId="77777777" w:rsidR="008D4DDA" w:rsidRDefault="008D4DDA" w:rsidP="008D4DDA">
      <w:pPr>
        <w:snapToGrid w:val="0"/>
        <w:spacing w:after="0" w:line="240" w:lineRule="auto"/>
        <w:ind w:firstLine="709"/>
        <w:jc w:val="both"/>
        <w:rPr>
          <w:rFonts w:ascii="Verdana" w:hAnsi="Verdana" w:cs="Arial"/>
          <w:sz w:val="18"/>
          <w:szCs w:val="18"/>
        </w:rPr>
      </w:pPr>
      <w:r w:rsidRPr="0064767F">
        <w:rPr>
          <w:rStyle w:val="Refdenotaalpie"/>
          <w:rFonts w:ascii="Verdana" w:hAnsi="Verdana" w:cs="Arial"/>
          <w:sz w:val="18"/>
          <w:szCs w:val="18"/>
        </w:rPr>
        <w:footnoteRef/>
      </w:r>
      <w:r w:rsidRPr="0064767F">
        <w:rPr>
          <w:rFonts w:ascii="Verdana" w:hAnsi="Verdana" w:cs="Arial"/>
          <w:sz w:val="18"/>
          <w:szCs w:val="18"/>
        </w:rPr>
        <w:t xml:space="preserve"> “La</w:t>
      </w:r>
      <w:r w:rsidRPr="0064767F">
        <w:rPr>
          <w:rFonts w:ascii="Verdana" w:hAnsi="Verdana" w:cs="Arial"/>
          <w:spacing w:val="-12"/>
          <w:sz w:val="18"/>
          <w:szCs w:val="18"/>
        </w:rPr>
        <w:t xml:space="preserve"> </w:t>
      </w:r>
      <w:r w:rsidRPr="0064767F">
        <w:rPr>
          <w:rFonts w:ascii="Verdana" w:hAnsi="Verdana" w:cs="Arial"/>
          <w:sz w:val="18"/>
          <w:szCs w:val="18"/>
        </w:rPr>
        <w:t>fuerza</w:t>
      </w:r>
      <w:r w:rsidRPr="0064767F">
        <w:rPr>
          <w:rFonts w:ascii="Verdana" w:hAnsi="Verdana" w:cs="Arial"/>
          <w:spacing w:val="-12"/>
          <w:sz w:val="18"/>
          <w:szCs w:val="18"/>
        </w:rPr>
        <w:t xml:space="preserve"> </w:t>
      </w:r>
      <w:r w:rsidRPr="0064767F">
        <w:rPr>
          <w:rFonts w:ascii="Verdana" w:hAnsi="Verdana" w:cs="Arial"/>
          <w:sz w:val="18"/>
          <w:szCs w:val="18"/>
        </w:rPr>
        <w:t>vinculante</w:t>
      </w:r>
      <w:r w:rsidRPr="0064767F">
        <w:rPr>
          <w:rFonts w:ascii="Verdana" w:hAnsi="Verdana" w:cs="Arial"/>
          <w:spacing w:val="-12"/>
          <w:sz w:val="18"/>
          <w:szCs w:val="18"/>
        </w:rPr>
        <w:t xml:space="preserve"> </w:t>
      </w:r>
      <w:r w:rsidRPr="0064767F">
        <w:rPr>
          <w:rFonts w:ascii="Verdana" w:hAnsi="Verdana" w:cs="Arial"/>
          <w:sz w:val="18"/>
          <w:szCs w:val="18"/>
        </w:rPr>
        <w:t>de</w:t>
      </w:r>
      <w:r w:rsidRPr="0064767F">
        <w:rPr>
          <w:rFonts w:ascii="Verdana" w:hAnsi="Verdana" w:cs="Arial"/>
          <w:spacing w:val="-11"/>
          <w:sz w:val="18"/>
          <w:szCs w:val="18"/>
        </w:rPr>
        <w:t xml:space="preserve"> </w:t>
      </w:r>
      <w:r w:rsidRPr="0064767F">
        <w:rPr>
          <w:rFonts w:ascii="Verdana" w:hAnsi="Verdana" w:cs="Arial"/>
          <w:sz w:val="18"/>
          <w:szCs w:val="18"/>
        </w:rPr>
        <w:t>los</w:t>
      </w:r>
      <w:r w:rsidRPr="0064767F">
        <w:rPr>
          <w:rFonts w:ascii="Verdana" w:hAnsi="Verdana" w:cs="Arial"/>
          <w:spacing w:val="-12"/>
          <w:sz w:val="18"/>
          <w:szCs w:val="18"/>
        </w:rPr>
        <w:t xml:space="preserve"> </w:t>
      </w:r>
      <w:r w:rsidRPr="0064767F">
        <w:rPr>
          <w:rFonts w:ascii="Verdana" w:hAnsi="Verdana" w:cs="Arial"/>
          <w:sz w:val="18"/>
          <w:szCs w:val="18"/>
        </w:rPr>
        <w:t>reglamentos</w:t>
      </w:r>
      <w:r w:rsidRPr="0064767F">
        <w:rPr>
          <w:rFonts w:ascii="Verdana" w:hAnsi="Verdana" w:cs="Arial"/>
          <w:spacing w:val="-12"/>
          <w:sz w:val="18"/>
          <w:szCs w:val="18"/>
        </w:rPr>
        <w:t xml:space="preserve"> </w:t>
      </w:r>
      <w:r w:rsidRPr="0064767F">
        <w:rPr>
          <w:rFonts w:ascii="Verdana" w:hAnsi="Verdana" w:cs="Arial"/>
          <w:sz w:val="18"/>
          <w:szCs w:val="18"/>
        </w:rPr>
        <w:t>–tanto</w:t>
      </w:r>
      <w:r w:rsidRPr="0064767F">
        <w:rPr>
          <w:rFonts w:ascii="Verdana" w:hAnsi="Verdana" w:cs="Arial"/>
          <w:spacing w:val="-12"/>
          <w:sz w:val="18"/>
          <w:szCs w:val="18"/>
        </w:rPr>
        <w:t xml:space="preserve"> </w:t>
      </w:r>
      <w:r w:rsidRPr="0064767F">
        <w:rPr>
          <w:rFonts w:ascii="Verdana" w:hAnsi="Verdana" w:cs="Arial"/>
          <w:sz w:val="18"/>
          <w:szCs w:val="18"/>
        </w:rPr>
        <w:t>para</w:t>
      </w:r>
      <w:r w:rsidRPr="0064767F">
        <w:rPr>
          <w:rFonts w:ascii="Verdana" w:hAnsi="Verdana" w:cs="Arial"/>
          <w:spacing w:val="-12"/>
          <w:sz w:val="18"/>
          <w:szCs w:val="18"/>
        </w:rPr>
        <w:t xml:space="preserve"> </w:t>
      </w:r>
      <w:r w:rsidRPr="0064767F">
        <w:rPr>
          <w:rFonts w:ascii="Verdana" w:hAnsi="Verdana" w:cs="Arial"/>
          <w:sz w:val="18"/>
          <w:szCs w:val="18"/>
        </w:rPr>
        <w:t>los</w:t>
      </w:r>
      <w:r w:rsidRPr="0064767F">
        <w:rPr>
          <w:rFonts w:ascii="Verdana" w:hAnsi="Verdana" w:cs="Arial"/>
          <w:spacing w:val="-11"/>
          <w:sz w:val="18"/>
          <w:szCs w:val="18"/>
        </w:rPr>
        <w:t xml:space="preserve"> </w:t>
      </w:r>
      <w:r w:rsidRPr="0064767F">
        <w:rPr>
          <w:rFonts w:ascii="Verdana" w:hAnsi="Verdana" w:cs="Arial"/>
          <w:sz w:val="18"/>
          <w:szCs w:val="18"/>
        </w:rPr>
        <w:t>administrados</w:t>
      </w:r>
      <w:r w:rsidRPr="0064767F">
        <w:rPr>
          <w:rFonts w:ascii="Verdana" w:hAnsi="Verdana" w:cs="Arial"/>
          <w:spacing w:val="-12"/>
          <w:sz w:val="18"/>
          <w:szCs w:val="18"/>
        </w:rPr>
        <w:t xml:space="preserve"> </w:t>
      </w:r>
      <w:r w:rsidRPr="0064767F">
        <w:rPr>
          <w:rFonts w:ascii="Verdana" w:hAnsi="Verdana" w:cs="Arial"/>
          <w:sz w:val="18"/>
          <w:szCs w:val="18"/>
        </w:rPr>
        <w:t>como</w:t>
      </w:r>
      <w:r w:rsidRPr="0064767F">
        <w:rPr>
          <w:rFonts w:ascii="Verdana" w:hAnsi="Verdana" w:cs="Arial"/>
          <w:spacing w:val="-12"/>
          <w:sz w:val="18"/>
          <w:szCs w:val="18"/>
        </w:rPr>
        <w:t xml:space="preserve"> </w:t>
      </w:r>
      <w:r w:rsidRPr="0064767F">
        <w:rPr>
          <w:rFonts w:ascii="Verdana" w:hAnsi="Verdana" w:cs="Arial"/>
          <w:sz w:val="18"/>
          <w:szCs w:val="18"/>
        </w:rPr>
        <w:t>para</w:t>
      </w:r>
      <w:r w:rsidRPr="0064767F">
        <w:rPr>
          <w:rFonts w:ascii="Verdana" w:hAnsi="Verdana" w:cs="Arial"/>
          <w:spacing w:val="-12"/>
          <w:sz w:val="18"/>
          <w:szCs w:val="18"/>
        </w:rPr>
        <w:t xml:space="preserve"> </w:t>
      </w:r>
      <w:r w:rsidRPr="0064767F">
        <w:rPr>
          <w:rFonts w:ascii="Verdana" w:hAnsi="Verdana" w:cs="Arial"/>
          <w:sz w:val="18"/>
          <w:szCs w:val="18"/>
        </w:rPr>
        <w:t>la</w:t>
      </w:r>
      <w:r w:rsidRPr="0064767F">
        <w:rPr>
          <w:rFonts w:ascii="Verdana" w:hAnsi="Verdana" w:cs="Arial"/>
          <w:spacing w:val="-12"/>
          <w:sz w:val="18"/>
          <w:szCs w:val="18"/>
        </w:rPr>
        <w:t xml:space="preserve"> </w:t>
      </w:r>
      <w:r w:rsidRPr="0064767F">
        <w:rPr>
          <w:rFonts w:ascii="Verdana" w:hAnsi="Verdana" w:cs="Arial"/>
          <w:sz w:val="18"/>
          <w:szCs w:val="18"/>
        </w:rPr>
        <w:t>propia</w:t>
      </w:r>
      <w:r w:rsidRPr="0064767F">
        <w:rPr>
          <w:rFonts w:ascii="Verdana" w:hAnsi="Verdana" w:cs="Arial"/>
          <w:spacing w:val="-50"/>
          <w:sz w:val="18"/>
          <w:szCs w:val="18"/>
        </w:rPr>
        <w:t xml:space="preserve"> </w:t>
      </w:r>
      <w:r w:rsidRPr="0064767F">
        <w:rPr>
          <w:rFonts w:ascii="Verdana" w:hAnsi="Verdana" w:cs="Arial"/>
          <w:sz w:val="18"/>
          <w:szCs w:val="18"/>
        </w:rPr>
        <w:t>administración– surge del hecho de ser una norma jurídica, y de compartir la naturaleza del acto</w:t>
      </w:r>
      <w:r w:rsidRPr="0064767F">
        <w:rPr>
          <w:rFonts w:ascii="Verdana" w:hAnsi="Verdana" w:cs="Arial"/>
          <w:spacing w:val="1"/>
          <w:sz w:val="18"/>
          <w:szCs w:val="18"/>
        </w:rPr>
        <w:t xml:space="preserve"> </w:t>
      </w:r>
      <w:r w:rsidRPr="0064767F">
        <w:rPr>
          <w:rFonts w:ascii="Verdana" w:hAnsi="Verdana" w:cs="Arial"/>
          <w:sz w:val="18"/>
          <w:szCs w:val="18"/>
        </w:rPr>
        <w:t>administrativo,</w:t>
      </w:r>
      <w:r w:rsidRPr="0064767F">
        <w:rPr>
          <w:rFonts w:ascii="Verdana" w:hAnsi="Verdana" w:cs="Arial"/>
          <w:spacing w:val="-4"/>
          <w:sz w:val="18"/>
          <w:szCs w:val="18"/>
        </w:rPr>
        <w:t xml:space="preserve"> </w:t>
      </w:r>
      <w:r w:rsidRPr="0064767F">
        <w:rPr>
          <w:rFonts w:ascii="Verdana" w:hAnsi="Verdana" w:cs="Arial"/>
          <w:sz w:val="18"/>
          <w:szCs w:val="18"/>
        </w:rPr>
        <w:t>luego,</w:t>
      </w:r>
      <w:r w:rsidRPr="0064767F">
        <w:rPr>
          <w:rFonts w:ascii="Verdana" w:hAnsi="Verdana" w:cs="Arial"/>
          <w:spacing w:val="-4"/>
          <w:sz w:val="18"/>
          <w:szCs w:val="18"/>
        </w:rPr>
        <w:t xml:space="preserve"> </w:t>
      </w:r>
      <w:r w:rsidRPr="0064767F">
        <w:rPr>
          <w:rFonts w:ascii="Verdana" w:hAnsi="Verdana" w:cs="Arial"/>
          <w:sz w:val="18"/>
          <w:szCs w:val="18"/>
        </w:rPr>
        <w:t>de</w:t>
      </w:r>
      <w:r w:rsidRPr="0064767F">
        <w:rPr>
          <w:rFonts w:ascii="Verdana" w:hAnsi="Verdana" w:cs="Arial"/>
          <w:spacing w:val="-4"/>
          <w:sz w:val="18"/>
          <w:szCs w:val="18"/>
        </w:rPr>
        <w:t xml:space="preserve"> </w:t>
      </w:r>
      <w:r w:rsidRPr="0064767F">
        <w:rPr>
          <w:rFonts w:ascii="Verdana" w:hAnsi="Verdana" w:cs="Arial"/>
          <w:sz w:val="18"/>
          <w:szCs w:val="18"/>
        </w:rPr>
        <w:t>allí</w:t>
      </w:r>
      <w:r w:rsidRPr="0064767F">
        <w:rPr>
          <w:rFonts w:ascii="Verdana" w:hAnsi="Verdana" w:cs="Arial"/>
          <w:spacing w:val="-4"/>
          <w:sz w:val="18"/>
          <w:szCs w:val="18"/>
        </w:rPr>
        <w:t xml:space="preserve"> </w:t>
      </w:r>
      <w:r w:rsidRPr="0064767F">
        <w:rPr>
          <w:rFonts w:ascii="Verdana" w:hAnsi="Verdana" w:cs="Arial"/>
          <w:sz w:val="18"/>
          <w:szCs w:val="18"/>
        </w:rPr>
        <w:t>también</w:t>
      </w:r>
      <w:r w:rsidRPr="0064767F">
        <w:rPr>
          <w:rFonts w:ascii="Verdana" w:hAnsi="Verdana" w:cs="Arial"/>
          <w:spacing w:val="-4"/>
          <w:sz w:val="18"/>
          <w:szCs w:val="18"/>
        </w:rPr>
        <w:t xml:space="preserve"> </w:t>
      </w:r>
      <w:r w:rsidRPr="0064767F">
        <w:rPr>
          <w:rFonts w:ascii="Verdana" w:hAnsi="Verdana" w:cs="Arial"/>
          <w:sz w:val="18"/>
          <w:szCs w:val="18"/>
        </w:rPr>
        <w:t>se</w:t>
      </w:r>
      <w:r w:rsidRPr="0064767F">
        <w:rPr>
          <w:rFonts w:ascii="Verdana" w:hAnsi="Verdana" w:cs="Arial"/>
          <w:spacing w:val="-4"/>
          <w:sz w:val="18"/>
          <w:szCs w:val="18"/>
        </w:rPr>
        <w:t xml:space="preserve"> </w:t>
      </w:r>
      <w:r w:rsidRPr="0064767F">
        <w:rPr>
          <w:rFonts w:ascii="Verdana" w:hAnsi="Verdana" w:cs="Arial"/>
          <w:sz w:val="18"/>
          <w:szCs w:val="18"/>
        </w:rPr>
        <w:t>desprende</w:t>
      </w:r>
      <w:r w:rsidRPr="0064767F">
        <w:rPr>
          <w:rFonts w:ascii="Verdana" w:hAnsi="Verdana" w:cs="Arial"/>
          <w:spacing w:val="-4"/>
          <w:sz w:val="18"/>
          <w:szCs w:val="18"/>
        </w:rPr>
        <w:t xml:space="preserve"> </w:t>
      </w:r>
      <w:r w:rsidRPr="0064767F">
        <w:rPr>
          <w:rFonts w:ascii="Verdana" w:hAnsi="Verdana" w:cs="Arial"/>
          <w:sz w:val="18"/>
          <w:szCs w:val="18"/>
        </w:rPr>
        <w:t>que</w:t>
      </w:r>
      <w:r w:rsidRPr="0064767F">
        <w:rPr>
          <w:rFonts w:ascii="Verdana" w:hAnsi="Verdana" w:cs="Arial"/>
          <w:spacing w:val="-3"/>
          <w:sz w:val="18"/>
          <w:szCs w:val="18"/>
        </w:rPr>
        <w:t xml:space="preserve"> </w:t>
      </w:r>
      <w:r w:rsidRPr="0064767F">
        <w:rPr>
          <w:rFonts w:ascii="Verdana" w:hAnsi="Verdana" w:cs="Arial"/>
          <w:sz w:val="18"/>
          <w:szCs w:val="18"/>
        </w:rPr>
        <w:t>se</w:t>
      </w:r>
      <w:r w:rsidRPr="0064767F">
        <w:rPr>
          <w:rFonts w:ascii="Verdana" w:hAnsi="Verdana" w:cs="Arial"/>
          <w:spacing w:val="-4"/>
          <w:sz w:val="18"/>
          <w:szCs w:val="18"/>
        </w:rPr>
        <w:t xml:space="preserve"> </w:t>
      </w:r>
      <w:r w:rsidRPr="0064767F">
        <w:rPr>
          <w:rFonts w:ascii="Verdana" w:hAnsi="Verdana" w:cs="Arial"/>
          <w:sz w:val="18"/>
          <w:szCs w:val="18"/>
        </w:rPr>
        <w:t>presuman</w:t>
      </w:r>
      <w:r w:rsidRPr="0064767F">
        <w:rPr>
          <w:rFonts w:ascii="Verdana" w:hAnsi="Verdana" w:cs="Arial"/>
          <w:spacing w:val="-4"/>
          <w:sz w:val="18"/>
          <w:szCs w:val="18"/>
        </w:rPr>
        <w:t xml:space="preserve"> </w:t>
      </w:r>
      <w:r w:rsidRPr="0064767F">
        <w:rPr>
          <w:rFonts w:ascii="Verdana" w:hAnsi="Verdana" w:cs="Arial"/>
          <w:sz w:val="18"/>
          <w:szCs w:val="18"/>
        </w:rPr>
        <w:t>legales</w:t>
      </w:r>
      <w:r w:rsidRPr="0064767F">
        <w:rPr>
          <w:rFonts w:ascii="Verdana" w:hAnsi="Verdana" w:cs="Arial"/>
          <w:spacing w:val="-4"/>
          <w:sz w:val="18"/>
          <w:szCs w:val="18"/>
        </w:rPr>
        <w:t xml:space="preserve"> </w:t>
      </w:r>
      <w:r w:rsidRPr="0064767F">
        <w:rPr>
          <w:rFonts w:ascii="Verdana" w:hAnsi="Verdana" w:cs="Arial"/>
          <w:sz w:val="18"/>
          <w:szCs w:val="18"/>
        </w:rPr>
        <w:t>y</w:t>
      </w:r>
      <w:r w:rsidRPr="0064767F">
        <w:rPr>
          <w:rFonts w:ascii="Verdana" w:hAnsi="Verdana" w:cs="Arial"/>
          <w:spacing w:val="-4"/>
          <w:sz w:val="18"/>
          <w:szCs w:val="18"/>
        </w:rPr>
        <w:t xml:space="preserve"> </w:t>
      </w:r>
      <w:r w:rsidRPr="0064767F">
        <w:rPr>
          <w:rFonts w:ascii="Verdana" w:hAnsi="Verdana" w:cs="Arial"/>
          <w:sz w:val="18"/>
          <w:szCs w:val="18"/>
        </w:rPr>
        <w:t>sean</w:t>
      </w:r>
      <w:r w:rsidRPr="0064767F">
        <w:rPr>
          <w:rFonts w:ascii="Verdana" w:hAnsi="Verdana" w:cs="Arial"/>
          <w:spacing w:val="-4"/>
          <w:sz w:val="18"/>
          <w:szCs w:val="18"/>
        </w:rPr>
        <w:t xml:space="preserve"> </w:t>
      </w:r>
      <w:r w:rsidRPr="0064767F">
        <w:rPr>
          <w:rFonts w:ascii="Verdana" w:hAnsi="Verdana" w:cs="Arial"/>
          <w:sz w:val="18"/>
          <w:szCs w:val="18"/>
        </w:rPr>
        <w:t>ejecutorios.</w:t>
      </w:r>
    </w:p>
    <w:p w14:paraId="11410BD4" w14:textId="77777777" w:rsidR="008D4DDA" w:rsidRPr="0064767F" w:rsidRDefault="008D4DDA" w:rsidP="008D4DDA">
      <w:pPr>
        <w:snapToGrid w:val="0"/>
        <w:spacing w:after="0" w:line="240" w:lineRule="auto"/>
        <w:ind w:firstLine="709"/>
        <w:jc w:val="both"/>
        <w:rPr>
          <w:rFonts w:ascii="Verdana" w:hAnsi="Verdana" w:cs="Arial"/>
          <w:sz w:val="18"/>
          <w:szCs w:val="18"/>
        </w:rPr>
      </w:pPr>
    </w:p>
    <w:p w14:paraId="076F9039" w14:textId="77777777" w:rsidR="008D4DDA" w:rsidRDefault="008D4DDA" w:rsidP="008D4DDA">
      <w:pPr>
        <w:spacing w:after="0" w:line="240" w:lineRule="auto"/>
        <w:ind w:firstLine="708"/>
        <w:jc w:val="both"/>
        <w:rPr>
          <w:rFonts w:ascii="Verdana" w:hAnsi="Verdana" w:cs="Arial"/>
          <w:sz w:val="18"/>
          <w:szCs w:val="18"/>
        </w:rPr>
      </w:pPr>
      <w:r w:rsidRPr="0064767F">
        <w:rPr>
          <w:rFonts w:ascii="Verdana" w:hAnsi="Verdana" w:cs="Arial"/>
          <w:sz w:val="18"/>
          <w:szCs w:val="18"/>
        </w:rPr>
        <w:t>Por esta misma razón, la doctrina española –con especial fuerza– ha señalado que su</w:t>
      </w:r>
      <w:r w:rsidRPr="0064767F">
        <w:rPr>
          <w:rFonts w:ascii="Verdana" w:hAnsi="Verdana" w:cs="Arial"/>
          <w:spacing w:val="1"/>
          <w:sz w:val="18"/>
          <w:szCs w:val="18"/>
        </w:rPr>
        <w:t xml:space="preserve"> </w:t>
      </w:r>
      <w:r w:rsidRPr="0064767F">
        <w:rPr>
          <w:rFonts w:ascii="Verdana" w:hAnsi="Verdana" w:cs="Arial"/>
          <w:sz w:val="18"/>
          <w:szCs w:val="18"/>
        </w:rPr>
        <w:t>observancia</w:t>
      </w:r>
      <w:r w:rsidRPr="0064767F">
        <w:rPr>
          <w:rFonts w:ascii="Verdana" w:hAnsi="Verdana" w:cs="Arial"/>
          <w:spacing w:val="-5"/>
          <w:sz w:val="18"/>
          <w:szCs w:val="18"/>
        </w:rPr>
        <w:t xml:space="preserve"> </w:t>
      </w:r>
      <w:r w:rsidRPr="0064767F">
        <w:rPr>
          <w:rFonts w:ascii="Verdana" w:hAnsi="Verdana" w:cs="Arial"/>
          <w:sz w:val="18"/>
          <w:szCs w:val="18"/>
        </w:rPr>
        <w:t>no</w:t>
      </w:r>
      <w:r w:rsidRPr="0064767F">
        <w:rPr>
          <w:rFonts w:ascii="Verdana" w:hAnsi="Verdana" w:cs="Arial"/>
          <w:spacing w:val="-4"/>
          <w:sz w:val="18"/>
          <w:szCs w:val="18"/>
        </w:rPr>
        <w:t xml:space="preserve"> </w:t>
      </w:r>
      <w:r w:rsidRPr="0064767F">
        <w:rPr>
          <w:rFonts w:ascii="Verdana" w:hAnsi="Verdana" w:cs="Arial"/>
          <w:sz w:val="18"/>
          <w:szCs w:val="18"/>
        </w:rPr>
        <w:t>queda</w:t>
      </w:r>
      <w:r w:rsidRPr="0064767F">
        <w:rPr>
          <w:rFonts w:ascii="Verdana" w:hAnsi="Verdana" w:cs="Arial"/>
          <w:spacing w:val="-5"/>
          <w:sz w:val="18"/>
          <w:szCs w:val="18"/>
        </w:rPr>
        <w:t xml:space="preserve"> </w:t>
      </w:r>
      <w:r w:rsidRPr="0064767F">
        <w:rPr>
          <w:rFonts w:ascii="Verdana" w:hAnsi="Verdana" w:cs="Arial"/>
          <w:sz w:val="18"/>
          <w:szCs w:val="18"/>
        </w:rPr>
        <w:t>al</w:t>
      </w:r>
      <w:r w:rsidRPr="0064767F">
        <w:rPr>
          <w:rFonts w:ascii="Verdana" w:hAnsi="Verdana" w:cs="Arial"/>
          <w:spacing w:val="-4"/>
          <w:sz w:val="18"/>
          <w:szCs w:val="18"/>
        </w:rPr>
        <w:t xml:space="preserve"> </w:t>
      </w:r>
      <w:r w:rsidRPr="0064767F">
        <w:rPr>
          <w:rFonts w:ascii="Verdana" w:hAnsi="Verdana" w:cs="Arial"/>
          <w:sz w:val="18"/>
          <w:szCs w:val="18"/>
        </w:rPr>
        <w:t>capricho</w:t>
      </w:r>
      <w:r w:rsidRPr="0064767F">
        <w:rPr>
          <w:rFonts w:ascii="Verdana" w:hAnsi="Verdana" w:cs="Arial"/>
          <w:spacing w:val="-5"/>
          <w:sz w:val="18"/>
          <w:szCs w:val="18"/>
        </w:rPr>
        <w:t xml:space="preserve"> </w:t>
      </w:r>
      <w:r w:rsidRPr="0064767F">
        <w:rPr>
          <w:rFonts w:ascii="Verdana" w:hAnsi="Verdana" w:cs="Arial"/>
          <w:sz w:val="18"/>
          <w:szCs w:val="18"/>
        </w:rPr>
        <w:t>del</w:t>
      </w:r>
      <w:r w:rsidRPr="0064767F">
        <w:rPr>
          <w:rFonts w:ascii="Verdana" w:hAnsi="Verdana" w:cs="Arial"/>
          <w:spacing w:val="-4"/>
          <w:sz w:val="18"/>
          <w:szCs w:val="18"/>
        </w:rPr>
        <w:t xml:space="preserve"> </w:t>
      </w:r>
      <w:r w:rsidRPr="0064767F">
        <w:rPr>
          <w:rFonts w:ascii="Verdana" w:hAnsi="Verdana" w:cs="Arial"/>
          <w:sz w:val="18"/>
          <w:szCs w:val="18"/>
        </w:rPr>
        <w:t>órgano</w:t>
      </w:r>
      <w:r w:rsidRPr="0064767F">
        <w:rPr>
          <w:rFonts w:ascii="Verdana" w:hAnsi="Verdana" w:cs="Arial"/>
          <w:spacing w:val="-5"/>
          <w:sz w:val="18"/>
          <w:szCs w:val="18"/>
        </w:rPr>
        <w:t xml:space="preserve"> </w:t>
      </w:r>
      <w:r w:rsidRPr="0064767F">
        <w:rPr>
          <w:rFonts w:ascii="Verdana" w:hAnsi="Verdana" w:cs="Arial"/>
          <w:sz w:val="18"/>
          <w:szCs w:val="18"/>
        </w:rPr>
        <w:t>que</w:t>
      </w:r>
      <w:r w:rsidRPr="0064767F">
        <w:rPr>
          <w:rFonts w:ascii="Verdana" w:hAnsi="Verdana" w:cs="Arial"/>
          <w:spacing w:val="-4"/>
          <w:sz w:val="18"/>
          <w:szCs w:val="18"/>
        </w:rPr>
        <w:t xml:space="preserve"> </w:t>
      </w:r>
      <w:r w:rsidRPr="0064767F">
        <w:rPr>
          <w:rFonts w:ascii="Verdana" w:hAnsi="Verdana" w:cs="Arial"/>
          <w:sz w:val="18"/>
          <w:szCs w:val="18"/>
        </w:rPr>
        <w:t>la</w:t>
      </w:r>
      <w:r w:rsidRPr="0064767F">
        <w:rPr>
          <w:rFonts w:ascii="Verdana" w:hAnsi="Verdana" w:cs="Arial"/>
          <w:spacing w:val="-5"/>
          <w:sz w:val="18"/>
          <w:szCs w:val="18"/>
        </w:rPr>
        <w:t xml:space="preserve"> </w:t>
      </w:r>
      <w:r w:rsidRPr="0064767F">
        <w:rPr>
          <w:rFonts w:ascii="Verdana" w:hAnsi="Verdana" w:cs="Arial"/>
          <w:sz w:val="18"/>
          <w:szCs w:val="18"/>
        </w:rPr>
        <w:t>expidió,</w:t>
      </w:r>
      <w:r w:rsidRPr="0064767F">
        <w:rPr>
          <w:rFonts w:ascii="Verdana" w:hAnsi="Verdana" w:cs="Arial"/>
          <w:spacing w:val="-4"/>
          <w:sz w:val="18"/>
          <w:szCs w:val="18"/>
        </w:rPr>
        <w:t xml:space="preserve"> </w:t>
      </w:r>
      <w:r w:rsidRPr="0064767F">
        <w:rPr>
          <w:rFonts w:ascii="Verdana" w:hAnsi="Verdana" w:cs="Arial"/>
          <w:sz w:val="18"/>
          <w:szCs w:val="18"/>
        </w:rPr>
        <w:t>pues</w:t>
      </w:r>
      <w:r w:rsidRPr="0064767F">
        <w:rPr>
          <w:rFonts w:ascii="Verdana" w:hAnsi="Verdana" w:cs="Arial"/>
          <w:spacing w:val="-5"/>
          <w:sz w:val="18"/>
          <w:szCs w:val="18"/>
        </w:rPr>
        <w:t xml:space="preserve"> </w:t>
      </w:r>
      <w:r w:rsidRPr="0064767F">
        <w:rPr>
          <w:rFonts w:ascii="Verdana" w:hAnsi="Verdana" w:cs="Arial"/>
          <w:sz w:val="18"/>
          <w:szCs w:val="18"/>
        </w:rPr>
        <w:t>si</w:t>
      </w:r>
      <w:r w:rsidRPr="0064767F">
        <w:rPr>
          <w:rFonts w:ascii="Verdana" w:hAnsi="Verdana" w:cs="Arial"/>
          <w:spacing w:val="-4"/>
          <w:sz w:val="18"/>
          <w:szCs w:val="18"/>
        </w:rPr>
        <w:t xml:space="preserve"> </w:t>
      </w:r>
      <w:r w:rsidRPr="0064767F">
        <w:rPr>
          <w:rFonts w:ascii="Verdana" w:hAnsi="Verdana" w:cs="Arial"/>
          <w:sz w:val="18"/>
          <w:szCs w:val="18"/>
        </w:rPr>
        <w:t>quisiera</w:t>
      </w:r>
      <w:r w:rsidRPr="0064767F">
        <w:rPr>
          <w:rFonts w:ascii="Verdana" w:hAnsi="Verdana" w:cs="Arial"/>
          <w:spacing w:val="-5"/>
          <w:sz w:val="18"/>
          <w:szCs w:val="18"/>
        </w:rPr>
        <w:t xml:space="preserve"> </w:t>
      </w:r>
      <w:r w:rsidRPr="0064767F">
        <w:rPr>
          <w:rFonts w:ascii="Verdana" w:hAnsi="Verdana" w:cs="Arial"/>
          <w:sz w:val="18"/>
          <w:szCs w:val="18"/>
        </w:rPr>
        <w:t>él</w:t>
      </w:r>
      <w:r w:rsidRPr="0064767F">
        <w:rPr>
          <w:rFonts w:ascii="Verdana" w:hAnsi="Verdana" w:cs="Arial"/>
          <w:spacing w:val="-4"/>
          <w:sz w:val="18"/>
          <w:szCs w:val="18"/>
        </w:rPr>
        <w:t xml:space="preserve"> </w:t>
      </w:r>
      <w:r w:rsidRPr="0064767F">
        <w:rPr>
          <w:rFonts w:ascii="Verdana" w:hAnsi="Verdana" w:cs="Arial"/>
          <w:sz w:val="18"/>
          <w:szCs w:val="18"/>
        </w:rPr>
        <w:t>lo</w:t>
      </w:r>
      <w:r w:rsidRPr="0064767F">
        <w:rPr>
          <w:rFonts w:ascii="Verdana" w:hAnsi="Verdana" w:cs="Arial"/>
          <w:spacing w:val="-4"/>
          <w:sz w:val="18"/>
          <w:szCs w:val="18"/>
        </w:rPr>
        <w:t xml:space="preserve"> </w:t>
      </w:r>
      <w:r w:rsidRPr="0064767F">
        <w:rPr>
          <w:rFonts w:ascii="Verdana" w:hAnsi="Verdana" w:cs="Arial"/>
          <w:sz w:val="18"/>
          <w:szCs w:val="18"/>
        </w:rPr>
        <w:t>puede</w:t>
      </w:r>
      <w:r w:rsidRPr="0064767F">
        <w:rPr>
          <w:rFonts w:ascii="Verdana" w:hAnsi="Verdana" w:cs="Arial"/>
          <w:spacing w:val="-5"/>
          <w:sz w:val="18"/>
          <w:szCs w:val="18"/>
        </w:rPr>
        <w:t xml:space="preserve"> </w:t>
      </w:r>
      <w:r w:rsidRPr="0064767F">
        <w:rPr>
          <w:rFonts w:ascii="Verdana" w:hAnsi="Verdana" w:cs="Arial"/>
          <w:sz w:val="18"/>
          <w:szCs w:val="18"/>
        </w:rPr>
        <w:t>desconocer.</w:t>
      </w:r>
      <w:r w:rsidRPr="0064767F">
        <w:rPr>
          <w:rFonts w:ascii="Verdana" w:hAnsi="Verdana" w:cs="Arial"/>
          <w:spacing w:val="1"/>
          <w:sz w:val="18"/>
          <w:szCs w:val="18"/>
        </w:rPr>
        <w:t xml:space="preserve"> </w:t>
      </w:r>
      <w:r w:rsidRPr="0064767F">
        <w:rPr>
          <w:rFonts w:ascii="Verdana" w:hAnsi="Verdana" w:cs="Arial"/>
          <w:sz w:val="18"/>
          <w:szCs w:val="18"/>
        </w:rPr>
        <w:t>De algún modo, como acontece con todo acto administrativo, el acto cobra vida propia, y autonomía</w:t>
      </w:r>
      <w:r w:rsidRPr="0064767F">
        <w:rPr>
          <w:rFonts w:ascii="Verdana" w:hAnsi="Verdana" w:cs="Arial"/>
          <w:spacing w:val="1"/>
          <w:sz w:val="18"/>
          <w:szCs w:val="18"/>
        </w:rPr>
        <w:t xml:space="preserve"> </w:t>
      </w:r>
      <w:r w:rsidRPr="0064767F">
        <w:rPr>
          <w:rFonts w:ascii="Verdana" w:hAnsi="Verdana" w:cs="Arial"/>
          <w:sz w:val="18"/>
          <w:szCs w:val="18"/>
        </w:rPr>
        <w:t>en</w:t>
      </w:r>
      <w:r w:rsidRPr="0064767F">
        <w:rPr>
          <w:rFonts w:ascii="Verdana" w:hAnsi="Verdana" w:cs="Arial"/>
          <w:spacing w:val="-7"/>
          <w:sz w:val="18"/>
          <w:szCs w:val="18"/>
        </w:rPr>
        <w:t xml:space="preserve"> </w:t>
      </w:r>
      <w:r w:rsidRPr="0064767F">
        <w:rPr>
          <w:rFonts w:ascii="Verdana" w:hAnsi="Verdana" w:cs="Arial"/>
          <w:sz w:val="18"/>
          <w:szCs w:val="18"/>
        </w:rPr>
        <w:t>relación</w:t>
      </w:r>
      <w:r w:rsidRPr="0064767F">
        <w:rPr>
          <w:rFonts w:ascii="Verdana" w:hAnsi="Verdana" w:cs="Arial"/>
          <w:spacing w:val="-7"/>
          <w:sz w:val="18"/>
          <w:szCs w:val="18"/>
        </w:rPr>
        <w:t xml:space="preserve"> </w:t>
      </w:r>
      <w:r w:rsidRPr="0064767F">
        <w:rPr>
          <w:rFonts w:ascii="Verdana" w:hAnsi="Verdana" w:cs="Arial"/>
          <w:sz w:val="18"/>
          <w:szCs w:val="18"/>
        </w:rPr>
        <w:t>con</w:t>
      </w:r>
      <w:r w:rsidRPr="0064767F">
        <w:rPr>
          <w:rFonts w:ascii="Verdana" w:hAnsi="Verdana" w:cs="Arial"/>
          <w:spacing w:val="-6"/>
          <w:sz w:val="18"/>
          <w:szCs w:val="18"/>
        </w:rPr>
        <w:t xml:space="preserve"> </w:t>
      </w:r>
      <w:r w:rsidRPr="0064767F">
        <w:rPr>
          <w:rFonts w:ascii="Verdana" w:hAnsi="Verdana" w:cs="Arial"/>
          <w:sz w:val="18"/>
          <w:szCs w:val="18"/>
        </w:rPr>
        <w:t>su</w:t>
      </w:r>
      <w:r w:rsidRPr="0064767F">
        <w:rPr>
          <w:rFonts w:ascii="Verdana" w:hAnsi="Verdana" w:cs="Arial"/>
          <w:spacing w:val="-7"/>
          <w:sz w:val="18"/>
          <w:szCs w:val="18"/>
        </w:rPr>
        <w:t xml:space="preserve"> </w:t>
      </w:r>
      <w:r w:rsidRPr="0064767F">
        <w:rPr>
          <w:rFonts w:ascii="Verdana" w:hAnsi="Verdana" w:cs="Arial"/>
          <w:sz w:val="18"/>
          <w:szCs w:val="18"/>
        </w:rPr>
        <w:t>propio</w:t>
      </w:r>
      <w:r w:rsidRPr="0064767F">
        <w:rPr>
          <w:rFonts w:ascii="Verdana" w:hAnsi="Verdana" w:cs="Arial"/>
          <w:spacing w:val="-7"/>
          <w:sz w:val="18"/>
          <w:szCs w:val="18"/>
        </w:rPr>
        <w:t xml:space="preserve"> </w:t>
      </w:r>
      <w:r w:rsidRPr="0064767F">
        <w:rPr>
          <w:rFonts w:ascii="Verdana" w:hAnsi="Verdana" w:cs="Arial"/>
          <w:sz w:val="18"/>
          <w:szCs w:val="18"/>
        </w:rPr>
        <w:t>creador.</w:t>
      </w:r>
      <w:r w:rsidRPr="0064767F">
        <w:rPr>
          <w:rFonts w:ascii="Verdana" w:hAnsi="Verdana" w:cs="Arial"/>
          <w:spacing w:val="-6"/>
          <w:sz w:val="18"/>
          <w:szCs w:val="18"/>
        </w:rPr>
        <w:t xml:space="preserve"> </w:t>
      </w:r>
      <w:r w:rsidRPr="0064767F">
        <w:rPr>
          <w:rFonts w:ascii="Verdana" w:hAnsi="Verdana" w:cs="Arial"/>
          <w:sz w:val="18"/>
          <w:szCs w:val="18"/>
        </w:rPr>
        <w:t>A</w:t>
      </w:r>
      <w:r w:rsidRPr="0064767F">
        <w:rPr>
          <w:rFonts w:ascii="Verdana" w:hAnsi="Verdana" w:cs="Arial"/>
          <w:spacing w:val="-7"/>
          <w:sz w:val="18"/>
          <w:szCs w:val="18"/>
        </w:rPr>
        <w:t xml:space="preserve"> </w:t>
      </w:r>
      <w:r w:rsidRPr="0064767F">
        <w:rPr>
          <w:rFonts w:ascii="Verdana" w:hAnsi="Verdana" w:cs="Arial"/>
          <w:sz w:val="18"/>
          <w:szCs w:val="18"/>
        </w:rPr>
        <w:t>este</w:t>
      </w:r>
      <w:r w:rsidRPr="0064767F">
        <w:rPr>
          <w:rFonts w:ascii="Verdana" w:hAnsi="Verdana" w:cs="Arial"/>
          <w:spacing w:val="-6"/>
          <w:sz w:val="18"/>
          <w:szCs w:val="18"/>
        </w:rPr>
        <w:t xml:space="preserve"> </w:t>
      </w:r>
      <w:r w:rsidRPr="0064767F">
        <w:rPr>
          <w:rFonts w:ascii="Verdana" w:hAnsi="Verdana" w:cs="Arial"/>
          <w:sz w:val="18"/>
          <w:szCs w:val="18"/>
        </w:rPr>
        <w:t>último</w:t>
      </w:r>
      <w:r w:rsidRPr="0064767F">
        <w:rPr>
          <w:rFonts w:ascii="Verdana" w:hAnsi="Verdana" w:cs="Arial"/>
          <w:spacing w:val="-7"/>
          <w:sz w:val="18"/>
          <w:szCs w:val="18"/>
        </w:rPr>
        <w:t xml:space="preserve"> </w:t>
      </w:r>
      <w:r w:rsidRPr="0064767F">
        <w:rPr>
          <w:rFonts w:ascii="Verdana" w:hAnsi="Verdana" w:cs="Arial"/>
          <w:sz w:val="18"/>
          <w:szCs w:val="18"/>
        </w:rPr>
        <w:t>evento</w:t>
      </w:r>
      <w:r w:rsidRPr="0064767F">
        <w:rPr>
          <w:rFonts w:ascii="Verdana" w:hAnsi="Verdana" w:cs="Arial"/>
          <w:spacing w:val="-7"/>
          <w:sz w:val="18"/>
          <w:szCs w:val="18"/>
        </w:rPr>
        <w:t xml:space="preserve"> </w:t>
      </w:r>
      <w:r w:rsidRPr="0064767F">
        <w:rPr>
          <w:rFonts w:ascii="Verdana" w:hAnsi="Verdana" w:cs="Arial"/>
          <w:sz w:val="18"/>
          <w:szCs w:val="18"/>
        </w:rPr>
        <w:t>se</w:t>
      </w:r>
      <w:r w:rsidRPr="0064767F">
        <w:rPr>
          <w:rFonts w:ascii="Verdana" w:hAnsi="Verdana" w:cs="Arial"/>
          <w:spacing w:val="-6"/>
          <w:sz w:val="18"/>
          <w:szCs w:val="18"/>
        </w:rPr>
        <w:t xml:space="preserve"> </w:t>
      </w:r>
      <w:r w:rsidRPr="0064767F">
        <w:rPr>
          <w:rFonts w:ascii="Verdana" w:hAnsi="Verdana" w:cs="Arial"/>
          <w:sz w:val="18"/>
          <w:szCs w:val="18"/>
        </w:rPr>
        <w:t>le</w:t>
      </w:r>
      <w:r w:rsidRPr="0064767F">
        <w:rPr>
          <w:rFonts w:ascii="Verdana" w:hAnsi="Verdana" w:cs="Arial"/>
          <w:spacing w:val="-7"/>
          <w:sz w:val="18"/>
          <w:szCs w:val="18"/>
        </w:rPr>
        <w:t xml:space="preserve"> </w:t>
      </w:r>
      <w:r w:rsidRPr="0064767F">
        <w:rPr>
          <w:rFonts w:ascii="Verdana" w:hAnsi="Verdana" w:cs="Arial"/>
          <w:sz w:val="18"/>
          <w:szCs w:val="18"/>
        </w:rPr>
        <w:t>denomina</w:t>
      </w:r>
      <w:r w:rsidRPr="0064767F">
        <w:rPr>
          <w:rFonts w:ascii="Verdana" w:hAnsi="Verdana" w:cs="Arial"/>
          <w:spacing w:val="-6"/>
          <w:sz w:val="18"/>
          <w:szCs w:val="18"/>
        </w:rPr>
        <w:t xml:space="preserve"> </w:t>
      </w:r>
      <w:r w:rsidRPr="0064767F">
        <w:rPr>
          <w:rFonts w:ascii="Verdana" w:hAnsi="Verdana" w:cs="Arial"/>
          <w:sz w:val="18"/>
          <w:szCs w:val="18"/>
        </w:rPr>
        <w:t>la</w:t>
      </w:r>
      <w:r w:rsidRPr="0064767F">
        <w:rPr>
          <w:rFonts w:ascii="Verdana" w:hAnsi="Verdana" w:cs="Arial"/>
          <w:spacing w:val="-6"/>
          <w:sz w:val="18"/>
          <w:szCs w:val="18"/>
        </w:rPr>
        <w:t xml:space="preserve"> </w:t>
      </w:r>
      <w:r w:rsidRPr="0064767F">
        <w:rPr>
          <w:rFonts w:ascii="Verdana" w:hAnsi="Verdana" w:cs="Arial"/>
          <w:sz w:val="18"/>
          <w:szCs w:val="18"/>
        </w:rPr>
        <w:t>inderogabilidad</w:t>
      </w:r>
      <w:r w:rsidRPr="0064767F">
        <w:rPr>
          <w:rFonts w:ascii="Verdana" w:hAnsi="Verdana" w:cs="Arial"/>
          <w:spacing w:val="-6"/>
          <w:sz w:val="18"/>
          <w:szCs w:val="18"/>
        </w:rPr>
        <w:t xml:space="preserve"> </w:t>
      </w:r>
      <w:r w:rsidRPr="0064767F">
        <w:rPr>
          <w:rFonts w:ascii="Verdana" w:hAnsi="Verdana" w:cs="Arial"/>
          <w:sz w:val="18"/>
          <w:szCs w:val="18"/>
        </w:rPr>
        <w:t>singular</w:t>
      </w:r>
      <w:r w:rsidRPr="0064767F">
        <w:rPr>
          <w:rFonts w:ascii="Verdana" w:hAnsi="Verdana" w:cs="Arial"/>
          <w:spacing w:val="-6"/>
          <w:sz w:val="18"/>
          <w:szCs w:val="18"/>
        </w:rPr>
        <w:t xml:space="preserve"> </w:t>
      </w:r>
      <w:r w:rsidRPr="0064767F">
        <w:rPr>
          <w:rFonts w:ascii="Verdana" w:hAnsi="Verdana" w:cs="Arial"/>
          <w:sz w:val="18"/>
          <w:szCs w:val="18"/>
        </w:rPr>
        <w:t>del</w:t>
      </w:r>
      <w:r w:rsidRPr="0064767F">
        <w:rPr>
          <w:rFonts w:ascii="Verdana" w:hAnsi="Verdana" w:cs="Arial"/>
          <w:spacing w:val="1"/>
          <w:sz w:val="18"/>
          <w:szCs w:val="18"/>
        </w:rPr>
        <w:t xml:space="preserve"> </w:t>
      </w:r>
      <w:r w:rsidRPr="0064767F">
        <w:rPr>
          <w:rFonts w:ascii="Verdana" w:hAnsi="Verdana" w:cs="Arial"/>
          <w:sz w:val="18"/>
          <w:szCs w:val="18"/>
        </w:rPr>
        <w:t>reglamento,</w:t>
      </w:r>
      <w:r w:rsidRPr="0064767F">
        <w:rPr>
          <w:rFonts w:ascii="Verdana" w:hAnsi="Verdana" w:cs="Arial"/>
          <w:spacing w:val="-3"/>
          <w:sz w:val="18"/>
          <w:szCs w:val="18"/>
        </w:rPr>
        <w:t xml:space="preserve"> </w:t>
      </w:r>
      <w:r w:rsidRPr="0064767F">
        <w:rPr>
          <w:rFonts w:ascii="Verdana" w:hAnsi="Verdana" w:cs="Arial"/>
          <w:sz w:val="18"/>
          <w:szCs w:val="18"/>
        </w:rPr>
        <w:t>que</w:t>
      </w:r>
      <w:r w:rsidRPr="0064767F">
        <w:rPr>
          <w:rFonts w:ascii="Verdana" w:hAnsi="Verdana" w:cs="Arial"/>
          <w:spacing w:val="-2"/>
          <w:sz w:val="18"/>
          <w:szCs w:val="18"/>
        </w:rPr>
        <w:t xml:space="preserve"> </w:t>
      </w:r>
      <w:r w:rsidRPr="0064767F">
        <w:rPr>
          <w:rFonts w:ascii="Verdana" w:hAnsi="Verdana" w:cs="Arial"/>
          <w:sz w:val="18"/>
          <w:szCs w:val="18"/>
        </w:rPr>
        <w:t>no</w:t>
      </w:r>
      <w:r w:rsidRPr="0064767F">
        <w:rPr>
          <w:rFonts w:ascii="Verdana" w:hAnsi="Verdana" w:cs="Arial"/>
          <w:spacing w:val="-2"/>
          <w:sz w:val="18"/>
          <w:szCs w:val="18"/>
        </w:rPr>
        <w:t xml:space="preserve"> </w:t>
      </w:r>
      <w:r w:rsidRPr="0064767F">
        <w:rPr>
          <w:rFonts w:ascii="Verdana" w:hAnsi="Verdana" w:cs="Arial"/>
          <w:sz w:val="18"/>
          <w:szCs w:val="18"/>
        </w:rPr>
        <w:t>es</w:t>
      </w:r>
      <w:r w:rsidRPr="0064767F">
        <w:rPr>
          <w:rFonts w:ascii="Verdana" w:hAnsi="Verdana" w:cs="Arial"/>
          <w:spacing w:val="-2"/>
          <w:sz w:val="18"/>
          <w:szCs w:val="18"/>
        </w:rPr>
        <w:t xml:space="preserve"> </w:t>
      </w:r>
      <w:r w:rsidRPr="0064767F">
        <w:rPr>
          <w:rFonts w:ascii="Verdana" w:hAnsi="Verdana" w:cs="Arial"/>
          <w:sz w:val="18"/>
          <w:szCs w:val="18"/>
        </w:rPr>
        <w:t>otra</w:t>
      </w:r>
      <w:r w:rsidRPr="0064767F">
        <w:rPr>
          <w:rFonts w:ascii="Verdana" w:hAnsi="Verdana" w:cs="Arial"/>
          <w:spacing w:val="-2"/>
          <w:sz w:val="18"/>
          <w:szCs w:val="18"/>
        </w:rPr>
        <w:t xml:space="preserve"> </w:t>
      </w:r>
      <w:r w:rsidRPr="0064767F">
        <w:rPr>
          <w:rFonts w:ascii="Verdana" w:hAnsi="Verdana" w:cs="Arial"/>
          <w:sz w:val="18"/>
          <w:szCs w:val="18"/>
        </w:rPr>
        <w:t>cosa</w:t>
      </w:r>
      <w:r w:rsidRPr="0064767F">
        <w:rPr>
          <w:rFonts w:ascii="Verdana" w:hAnsi="Verdana" w:cs="Arial"/>
          <w:spacing w:val="-2"/>
          <w:sz w:val="18"/>
          <w:szCs w:val="18"/>
        </w:rPr>
        <w:t xml:space="preserve"> </w:t>
      </w:r>
      <w:r w:rsidRPr="0064767F">
        <w:rPr>
          <w:rFonts w:ascii="Verdana" w:hAnsi="Verdana" w:cs="Arial"/>
          <w:sz w:val="18"/>
          <w:szCs w:val="18"/>
        </w:rPr>
        <w:t>que</w:t>
      </w:r>
      <w:r w:rsidRPr="0064767F">
        <w:rPr>
          <w:rFonts w:ascii="Verdana" w:hAnsi="Verdana" w:cs="Arial"/>
          <w:spacing w:val="-2"/>
          <w:sz w:val="18"/>
          <w:szCs w:val="18"/>
        </w:rPr>
        <w:t xml:space="preserve"> </w:t>
      </w:r>
      <w:r w:rsidRPr="0064767F">
        <w:rPr>
          <w:rFonts w:ascii="Verdana" w:hAnsi="Verdana" w:cs="Arial"/>
          <w:sz w:val="18"/>
          <w:szCs w:val="18"/>
        </w:rPr>
        <w:t>la</w:t>
      </w:r>
      <w:r w:rsidRPr="0064767F">
        <w:rPr>
          <w:rFonts w:ascii="Verdana" w:hAnsi="Verdana" w:cs="Arial"/>
          <w:spacing w:val="-2"/>
          <w:sz w:val="18"/>
          <w:szCs w:val="18"/>
        </w:rPr>
        <w:t xml:space="preserve"> </w:t>
      </w:r>
      <w:r w:rsidRPr="0064767F">
        <w:rPr>
          <w:rFonts w:ascii="Verdana" w:hAnsi="Verdana" w:cs="Arial"/>
          <w:sz w:val="18"/>
          <w:szCs w:val="18"/>
        </w:rPr>
        <w:t>prohibición</w:t>
      </w:r>
      <w:r w:rsidRPr="0064767F">
        <w:rPr>
          <w:rFonts w:ascii="Verdana" w:hAnsi="Verdana" w:cs="Arial"/>
          <w:spacing w:val="-2"/>
          <w:sz w:val="18"/>
          <w:szCs w:val="18"/>
        </w:rPr>
        <w:t xml:space="preserve"> </w:t>
      </w:r>
      <w:r w:rsidRPr="0064767F">
        <w:rPr>
          <w:rFonts w:ascii="Verdana" w:hAnsi="Verdana" w:cs="Arial"/>
          <w:sz w:val="18"/>
          <w:szCs w:val="18"/>
        </w:rPr>
        <w:t>de</w:t>
      </w:r>
      <w:r w:rsidRPr="0064767F">
        <w:rPr>
          <w:rFonts w:ascii="Verdana" w:hAnsi="Verdana" w:cs="Arial"/>
          <w:spacing w:val="-2"/>
          <w:sz w:val="18"/>
          <w:szCs w:val="18"/>
        </w:rPr>
        <w:t xml:space="preserve"> </w:t>
      </w:r>
      <w:r w:rsidRPr="0064767F">
        <w:rPr>
          <w:rFonts w:ascii="Verdana" w:hAnsi="Verdana" w:cs="Arial"/>
          <w:sz w:val="18"/>
          <w:szCs w:val="18"/>
        </w:rPr>
        <w:t>insertarlo</w:t>
      </w:r>
      <w:r w:rsidRPr="0064767F">
        <w:rPr>
          <w:rFonts w:ascii="Verdana" w:hAnsi="Verdana" w:cs="Arial"/>
          <w:spacing w:val="-2"/>
          <w:sz w:val="18"/>
          <w:szCs w:val="18"/>
        </w:rPr>
        <w:t xml:space="preserve"> </w:t>
      </w:r>
      <w:r w:rsidRPr="0064767F">
        <w:rPr>
          <w:rFonts w:ascii="Verdana" w:hAnsi="Verdana" w:cs="Arial"/>
          <w:sz w:val="18"/>
          <w:szCs w:val="18"/>
        </w:rPr>
        <w:t>en</w:t>
      </w:r>
      <w:r w:rsidRPr="0064767F">
        <w:rPr>
          <w:rFonts w:ascii="Verdana" w:hAnsi="Verdana" w:cs="Arial"/>
          <w:spacing w:val="-3"/>
          <w:sz w:val="18"/>
          <w:szCs w:val="18"/>
        </w:rPr>
        <w:t xml:space="preserve"> </w:t>
      </w:r>
      <w:r w:rsidRPr="0064767F">
        <w:rPr>
          <w:rFonts w:ascii="Verdana" w:hAnsi="Verdana" w:cs="Arial"/>
          <w:sz w:val="18"/>
          <w:szCs w:val="18"/>
        </w:rPr>
        <w:t>un</w:t>
      </w:r>
      <w:r w:rsidRPr="0064767F">
        <w:rPr>
          <w:rFonts w:ascii="Verdana" w:hAnsi="Verdana" w:cs="Arial"/>
          <w:spacing w:val="-2"/>
          <w:sz w:val="18"/>
          <w:szCs w:val="18"/>
        </w:rPr>
        <w:t xml:space="preserve"> </w:t>
      </w:r>
      <w:r w:rsidRPr="0064767F">
        <w:rPr>
          <w:rFonts w:ascii="Verdana" w:hAnsi="Verdana" w:cs="Arial"/>
          <w:sz w:val="18"/>
          <w:szCs w:val="18"/>
        </w:rPr>
        <w:t>caso</w:t>
      </w:r>
      <w:r w:rsidRPr="0064767F">
        <w:rPr>
          <w:rFonts w:ascii="Verdana" w:hAnsi="Verdana" w:cs="Arial"/>
          <w:spacing w:val="-2"/>
          <w:sz w:val="18"/>
          <w:szCs w:val="18"/>
        </w:rPr>
        <w:t xml:space="preserve"> </w:t>
      </w:r>
      <w:r w:rsidRPr="0064767F">
        <w:rPr>
          <w:rFonts w:ascii="Verdana" w:hAnsi="Verdana" w:cs="Arial"/>
          <w:sz w:val="18"/>
          <w:szCs w:val="18"/>
        </w:rPr>
        <w:t>particular.</w:t>
      </w:r>
    </w:p>
    <w:p w14:paraId="5DFC83C4" w14:textId="77777777" w:rsidR="008D4DDA" w:rsidRPr="0064767F" w:rsidRDefault="008D4DDA" w:rsidP="008D4DDA">
      <w:pPr>
        <w:spacing w:after="0" w:line="240" w:lineRule="auto"/>
        <w:ind w:firstLine="708"/>
        <w:jc w:val="both"/>
        <w:rPr>
          <w:rFonts w:ascii="Verdana" w:hAnsi="Verdana" w:cs="Arial"/>
          <w:sz w:val="18"/>
          <w:szCs w:val="18"/>
        </w:rPr>
      </w:pPr>
    </w:p>
    <w:p w14:paraId="3B57E4B9" w14:textId="77777777" w:rsidR="008D4DDA" w:rsidRDefault="008D4DDA" w:rsidP="008D4DDA">
      <w:pPr>
        <w:spacing w:after="0" w:line="240" w:lineRule="auto"/>
        <w:ind w:firstLine="708"/>
        <w:jc w:val="both"/>
        <w:rPr>
          <w:rFonts w:ascii="Verdana" w:hAnsi="Verdana" w:cs="Arial"/>
          <w:sz w:val="18"/>
          <w:szCs w:val="18"/>
        </w:rPr>
      </w:pPr>
      <w:r w:rsidRPr="0064767F">
        <w:rPr>
          <w:rFonts w:ascii="Verdana" w:hAnsi="Verdana" w:cs="Arial"/>
          <w:sz w:val="18"/>
          <w:szCs w:val="18"/>
        </w:rPr>
        <w:t>Esta tesis –de absoluta razonabilidad–, protege tanto al ciudadano como al ordenamiento</w:t>
      </w:r>
      <w:r w:rsidRPr="0064767F">
        <w:rPr>
          <w:rFonts w:ascii="Verdana" w:hAnsi="Verdana" w:cs="Arial"/>
          <w:spacing w:val="1"/>
          <w:sz w:val="18"/>
          <w:szCs w:val="18"/>
        </w:rPr>
        <w:t xml:space="preserve"> </w:t>
      </w:r>
      <w:r w:rsidRPr="0064767F">
        <w:rPr>
          <w:rFonts w:ascii="Verdana" w:hAnsi="Verdana" w:cs="Arial"/>
          <w:sz w:val="18"/>
          <w:szCs w:val="18"/>
        </w:rPr>
        <w:t>jurídico en general, de la arbitrariedad de la administración, pues si se admitiera que pese a estar en</w:t>
      </w:r>
      <w:r w:rsidRPr="0064767F">
        <w:rPr>
          <w:rFonts w:ascii="Verdana" w:hAnsi="Verdana" w:cs="Arial"/>
          <w:spacing w:val="-50"/>
          <w:sz w:val="18"/>
          <w:szCs w:val="18"/>
        </w:rPr>
        <w:t xml:space="preserve"> </w:t>
      </w:r>
      <w:r w:rsidRPr="0064767F">
        <w:rPr>
          <w:rFonts w:ascii="Verdana" w:hAnsi="Verdana" w:cs="Arial"/>
          <w:sz w:val="18"/>
          <w:szCs w:val="18"/>
        </w:rPr>
        <w:t>vigencia</w:t>
      </w:r>
      <w:r w:rsidRPr="0064767F">
        <w:rPr>
          <w:rFonts w:ascii="Verdana" w:hAnsi="Verdana" w:cs="Arial"/>
          <w:spacing w:val="-10"/>
          <w:sz w:val="18"/>
          <w:szCs w:val="18"/>
        </w:rPr>
        <w:t xml:space="preserve"> </w:t>
      </w:r>
      <w:r w:rsidRPr="0064767F">
        <w:rPr>
          <w:rFonts w:ascii="Verdana" w:hAnsi="Verdana" w:cs="Arial"/>
          <w:sz w:val="18"/>
          <w:szCs w:val="18"/>
        </w:rPr>
        <w:t>un</w:t>
      </w:r>
      <w:r w:rsidRPr="0064767F">
        <w:rPr>
          <w:rFonts w:ascii="Verdana" w:hAnsi="Verdana" w:cs="Arial"/>
          <w:spacing w:val="-9"/>
          <w:sz w:val="18"/>
          <w:szCs w:val="18"/>
        </w:rPr>
        <w:t xml:space="preserve"> </w:t>
      </w:r>
      <w:r w:rsidRPr="0064767F">
        <w:rPr>
          <w:rFonts w:ascii="Verdana" w:hAnsi="Verdana" w:cs="Arial"/>
          <w:sz w:val="18"/>
          <w:szCs w:val="18"/>
        </w:rPr>
        <w:t>reglamento</w:t>
      </w:r>
      <w:r w:rsidRPr="0064767F">
        <w:rPr>
          <w:rFonts w:ascii="Verdana" w:hAnsi="Verdana" w:cs="Arial"/>
          <w:spacing w:val="-10"/>
          <w:sz w:val="18"/>
          <w:szCs w:val="18"/>
        </w:rPr>
        <w:t xml:space="preserve"> </w:t>
      </w:r>
      <w:r w:rsidRPr="0064767F">
        <w:rPr>
          <w:rFonts w:ascii="Verdana" w:hAnsi="Verdana" w:cs="Arial"/>
          <w:sz w:val="18"/>
          <w:szCs w:val="18"/>
        </w:rPr>
        <w:t>la</w:t>
      </w:r>
      <w:r w:rsidRPr="0064767F">
        <w:rPr>
          <w:rFonts w:ascii="Verdana" w:hAnsi="Verdana" w:cs="Arial"/>
          <w:spacing w:val="-9"/>
          <w:sz w:val="18"/>
          <w:szCs w:val="18"/>
        </w:rPr>
        <w:t xml:space="preserve"> </w:t>
      </w:r>
      <w:r w:rsidRPr="0064767F">
        <w:rPr>
          <w:rFonts w:ascii="Verdana" w:hAnsi="Verdana" w:cs="Arial"/>
          <w:sz w:val="18"/>
          <w:szCs w:val="18"/>
        </w:rPr>
        <w:t>propia</w:t>
      </w:r>
      <w:r w:rsidRPr="0064767F">
        <w:rPr>
          <w:rFonts w:ascii="Verdana" w:hAnsi="Verdana" w:cs="Arial"/>
          <w:spacing w:val="-10"/>
          <w:sz w:val="18"/>
          <w:szCs w:val="18"/>
        </w:rPr>
        <w:t xml:space="preserve"> </w:t>
      </w:r>
      <w:r w:rsidRPr="0064767F">
        <w:rPr>
          <w:rFonts w:ascii="Verdana" w:hAnsi="Verdana" w:cs="Arial"/>
          <w:sz w:val="18"/>
          <w:szCs w:val="18"/>
        </w:rPr>
        <w:t>administración</w:t>
      </w:r>
      <w:r w:rsidRPr="0064767F">
        <w:rPr>
          <w:rFonts w:ascii="Verdana" w:hAnsi="Verdana" w:cs="Arial"/>
          <w:spacing w:val="-9"/>
          <w:sz w:val="18"/>
          <w:szCs w:val="18"/>
        </w:rPr>
        <w:t xml:space="preserve"> </w:t>
      </w:r>
      <w:r w:rsidRPr="0064767F">
        <w:rPr>
          <w:rFonts w:ascii="Verdana" w:hAnsi="Verdana" w:cs="Arial"/>
          <w:sz w:val="18"/>
          <w:szCs w:val="18"/>
        </w:rPr>
        <w:t>que</w:t>
      </w:r>
      <w:r w:rsidRPr="0064767F">
        <w:rPr>
          <w:rFonts w:ascii="Verdana" w:hAnsi="Verdana" w:cs="Arial"/>
          <w:spacing w:val="-10"/>
          <w:sz w:val="18"/>
          <w:szCs w:val="18"/>
        </w:rPr>
        <w:t xml:space="preserve"> </w:t>
      </w:r>
      <w:r w:rsidRPr="0064767F">
        <w:rPr>
          <w:rFonts w:ascii="Verdana" w:hAnsi="Verdana" w:cs="Arial"/>
          <w:sz w:val="18"/>
          <w:szCs w:val="18"/>
        </w:rPr>
        <w:t>lo</w:t>
      </w:r>
      <w:r w:rsidRPr="0064767F">
        <w:rPr>
          <w:rFonts w:ascii="Verdana" w:hAnsi="Verdana" w:cs="Arial"/>
          <w:spacing w:val="-9"/>
          <w:sz w:val="18"/>
          <w:szCs w:val="18"/>
        </w:rPr>
        <w:t xml:space="preserve"> </w:t>
      </w:r>
      <w:r w:rsidRPr="0064767F">
        <w:rPr>
          <w:rFonts w:ascii="Verdana" w:hAnsi="Verdana" w:cs="Arial"/>
          <w:sz w:val="18"/>
          <w:szCs w:val="18"/>
        </w:rPr>
        <w:t>dictó</w:t>
      </w:r>
      <w:r w:rsidRPr="0064767F">
        <w:rPr>
          <w:rFonts w:ascii="Verdana" w:hAnsi="Verdana" w:cs="Arial"/>
          <w:spacing w:val="-10"/>
          <w:sz w:val="18"/>
          <w:szCs w:val="18"/>
        </w:rPr>
        <w:t xml:space="preserve"> </w:t>
      </w:r>
      <w:r w:rsidRPr="0064767F">
        <w:rPr>
          <w:rFonts w:ascii="Verdana" w:hAnsi="Verdana" w:cs="Arial"/>
          <w:sz w:val="18"/>
          <w:szCs w:val="18"/>
        </w:rPr>
        <w:t>lo</w:t>
      </w:r>
      <w:r w:rsidRPr="0064767F">
        <w:rPr>
          <w:rFonts w:ascii="Verdana" w:hAnsi="Verdana" w:cs="Arial"/>
          <w:spacing w:val="-9"/>
          <w:sz w:val="18"/>
          <w:szCs w:val="18"/>
        </w:rPr>
        <w:t xml:space="preserve"> </w:t>
      </w:r>
      <w:r w:rsidRPr="0064767F">
        <w:rPr>
          <w:rFonts w:ascii="Verdana" w:hAnsi="Verdana" w:cs="Arial"/>
          <w:sz w:val="18"/>
          <w:szCs w:val="18"/>
        </w:rPr>
        <w:t>pudiera</w:t>
      </w:r>
      <w:r w:rsidRPr="0064767F">
        <w:rPr>
          <w:rFonts w:ascii="Verdana" w:hAnsi="Verdana" w:cs="Arial"/>
          <w:spacing w:val="-10"/>
          <w:sz w:val="18"/>
          <w:szCs w:val="18"/>
        </w:rPr>
        <w:t xml:space="preserve"> </w:t>
      </w:r>
      <w:r w:rsidRPr="0064767F">
        <w:rPr>
          <w:rFonts w:ascii="Verdana" w:hAnsi="Verdana" w:cs="Arial"/>
          <w:sz w:val="18"/>
          <w:szCs w:val="18"/>
        </w:rPr>
        <w:t>inaplicar,</w:t>
      </w:r>
      <w:r w:rsidRPr="0064767F">
        <w:rPr>
          <w:rFonts w:ascii="Verdana" w:hAnsi="Verdana" w:cs="Arial"/>
          <w:spacing w:val="-9"/>
          <w:sz w:val="18"/>
          <w:szCs w:val="18"/>
        </w:rPr>
        <w:t xml:space="preserve"> </w:t>
      </w:r>
      <w:r w:rsidRPr="0064767F">
        <w:rPr>
          <w:rFonts w:ascii="Verdana" w:hAnsi="Verdana" w:cs="Arial"/>
          <w:sz w:val="18"/>
          <w:szCs w:val="18"/>
        </w:rPr>
        <w:t>aduciendo</w:t>
      </w:r>
      <w:r w:rsidRPr="0064767F">
        <w:rPr>
          <w:rFonts w:ascii="Verdana" w:hAnsi="Verdana" w:cs="Arial"/>
          <w:spacing w:val="-10"/>
          <w:sz w:val="18"/>
          <w:szCs w:val="18"/>
        </w:rPr>
        <w:t xml:space="preserve"> </w:t>
      </w:r>
      <w:r w:rsidRPr="0064767F">
        <w:rPr>
          <w:rFonts w:ascii="Verdana" w:hAnsi="Verdana" w:cs="Arial"/>
          <w:sz w:val="18"/>
          <w:szCs w:val="18"/>
        </w:rPr>
        <w:t>que</w:t>
      </w:r>
      <w:r w:rsidRPr="0064767F">
        <w:rPr>
          <w:rFonts w:ascii="Verdana" w:hAnsi="Verdana" w:cs="Arial"/>
          <w:spacing w:val="-9"/>
          <w:sz w:val="18"/>
          <w:szCs w:val="18"/>
        </w:rPr>
        <w:t xml:space="preserve"> </w:t>
      </w:r>
      <w:r w:rsidRPr="0064767F">
        <w:rPr>
          <w:rFonts w:ascii="Verdana" w:hAnsi="Verdana" w:cs="Arial"/>
          <w:sz w:val="18"/>
          <w:szCs w:val="18"/>
        </w:rPr>
        <w:t>si</w:t>
      </w:r>
      <w:r w:rsidRPr="0064767F">
        <w:rPr>
          <w:rFonts w:ascii="Verdana" w:hAnsi="Verdana" w:cs="Arial"/>
          <w:spacing w:val="-10"/>
          <w:sz w:val="18"/>
          <w:szCs w:val="18"/>
        </w:rPr>
        <w:t xml:space="preserve"> </w:t>
      </w:r>
      <w:r w:rsidRPr="0064767F">
        <w:rPr>
          <w:rFonts w:ascii="Verdana" w:hAnsi="Verdana" w:cs="Arial"/>
          <w:sz w:val="18"/>
          <w:szCs w:val="18"/>
        </w:rPr>
        <w:t>ella</w:t>
      </w:r>
      <w:r w:rsidRPr="0064767F">
        <w:rPr>
          <w:rFonts w:ascii="Verdana" w:hAnsi="Verdana" w:cs="Arial"/>
          <w:spacing w:val="1"/>
          <w:sz w:val="18"/>
          <w:szCs w:val="18"/>
        </w:rPr>
        <w:t xml:space="preserve"> </w:t>
      </w:r>
      <w:r w:rsidRPr="0064767F">
        <w:rPr>
          <w:rFonts w:ascii="Verdana" w:hAnsi="Verdana" w:cs="Arial"/>
          <w:sz w:val="18"/>
          <w:szCs w:val="18"/>
        </w:rPr>
        <w:t>lo</w:t>
      </w:r>
      <w:r w:rsidRPr="0064767F">
        <w:rPr>
          <w:rFonts w:ascii="Verdana" w:hAnsi="Verdana" w:cs="Arial"/>
          <w:spacing w:val="-13"/>
          <w:sz w:val="18"/>
          <w:szCs w:val="18"/>
        </w:rPr>
        <w:t xml:space="preserve"> </w:t>
      </w:r>
      <w:r w:rsidRPr="0064767F">
        <w:rPr>
          <w:rFonts w:ascii="Verdana" w:hAnsi="Verdana" w:cs="Arial"/>
          <w:sz w:val="18"/>
          <w:szCs w:val="18"/>
        </w:rPr>
        <w:t>produjo</w:t>
      </w:r>
      <w:r w:rsidRPr="0064767F">
        <w:rPr>
          <w:rFonts w:ascii="Verdana" w:hAnsi="Verdana" w:cs="Arial"/>
          <w:spacing w:val="-12"/>
          <w:sz w:val="18"/>
          <w:szCs w:val="18"/>
        </w:rPr>
        <w:t xml:space="preserve"> </w:t>
      </w:r>
      <w:r w:rsidRPr="0064767F">
        <w:rPr>
          <w:rFonts w:ascii="Verdana" w:hAnsi="Verdana" w:cs="Arial"/>
          <w:sz w:val="18"/>
          <w:szCs w:val="18"/>
        </w:rPr>
        <w:t>entonces</w:t>
      </w:r>
      <w:r w:rsidRPr="0064767F">
        <w:rPr>
          <w:rFonts w:ascii="Verdana" w:hAnsi="Verdana" w:cs="Arial"/>
          <w:spacing w:val="-12"/>
          <w:sz w:val="18"/>
          <w:szCs w:val="18"/>
        </w:rPr>
        <w:t xml:space="preserve"> </w:t>
      </w:r>
      <w:r w:rsidRPr="0064767F">
        <w:rPr>
          <w:rFonts w:ascii="Verdana" w:hAnsi="Verdana" w:cs="Arial"/>
          <w:sz w:val="18"/>
          <w:szCs w:val="18"/>
        </w:rPr>
        <w:t>cuenta</w:t>
      </w:r>
      <w:r w:rsidRPr="0064767F">
        <w:rPr>
          <w:rFonts w:ascii="Verdana" w:hAnsi="Verdana" w:cs="Arial"/>
          <w:spacing w:val="-12"/>
          <w:sz w:val="18"/>
          <w:szCs w:val="18"/>
        </w:rPr>
        <w:t xml:space="preserve"> </w:t>
      </w:r>
      <w:r w:rsidRPr="0064767F">
        <w:rPr>
          <w:rFonts w:ascii="Verdana" w:hAnsi="Verdana" w:cs="Arial"/>
          <w:sz w:val="18"/>
          <w:szCs w:val="18"/>
        </w:rPr>
        <w:t>con</w:t>
      </w:r>
      <w:r w:rsidRPr="0064767F">
        <w:rPr>
          <w:rFonts w:ascii="Verdana" w:hAnsi="Verdana" w:cs="Arial"/>
          <w:spacing w:val="-12"/>
          <w:sz w:val="18"/>
          <w:szCs w:val="18"/>
        </w:rPr>
        <w:t xml:space="preserve"> </w:t>
      </w:r>
      <w:r w:rsidRPr="0064767F">
        <w:rPr>
          <w:rFonts w:ascii="Verdana" w:hAnsi="Verdana" w:cs="Arial"/>
          <w:sz w:val="18"/>
          <w:szCs w:val="18"/>
        </w:rPr>
        <w:t>la</w:t>
      </w:r>
      <w:r w:rsidRPr="0064767F">
        <w:rPr>
          <w:rFonts w:ascii="Verdana" w:hAnsi="Verdana" w:cs="Arial"/>
          <w:spacing w:val="-12"/>
          <w:sz w:val="18"/>
          <w:szCs w:val="18"/>
        </w:rPr>
        <w:t xml:space="preserve"> </w:t>
      </w:r>
      <w:r w:rsidRPr="0064767F">
        <w:rPr>
          <w:rFonts w:ascii="Verdana" w:hAnsi="Verdana" w:cs="Arial"/>
          <w:sz w:val="18"/>
          <w:szCs w:val="18"/>
        </w:rPr>
        <w:t>autoridad</w:t>
      </w:r>
      <w:r w:rsidRPr="0064767F">
        <w:rPr>
          <w:rFonts w:ascii="Verdana" w:hAnsi="Verdana" w:cs="Arial"/>
          <w:spacing w:val="-12"/>
          <w:sz w:val="18"/>
          <w:szCs w:val="18"/>
        </w:rPr>
        <w:t xml:space="preserve"> </w:t>
      </w:r>
      <w:r w:rsidRPr="0064767F">
        <w:rPr>
          <w:rFonts w:ascii="Verdana" w:hAnsi="Verdana" w:cs="Arial"/>
          <w:sz w:val="18"/>
          <w:szCs w:val="18"/>
        </w:rPr>
        <w:t>para</w:t>
      </w:r>
      <w:r w:rsidRPr="0064767F">
        <w:rPr>
          <w:rFonts w:ascii="Verdana" w:hAnsi="Verdana" w:cs="Arial"/>
          <w:spacing w:val="-12"/>
          <w:sz w:val="18"/>
          <w:szCs w:val="18"/>
        </w:rPr>
        <w:t xml:space="preserve"> </w:t>
      </w:r>
      <w:r w:rsidRPr="0064767F">
        <w:rPr>
          <w:rFonts w:ascii="Verdana" w:hAnsi="Verdana" w:cs="Arial"/>
          <w:sz w:val="18"/>
          <w:szCs w:val="18"/>
        </w:rPr>
        <w:t>desconocerlo,</w:t>
      </w:r>
      <w:r w:rsidRPr="0064767F">
        <w:rPr>
          <w:rFonts w:ascii="Verdana" w:hAnsi="Verdana" w:cs="Arial"/>
          <w:spacing w:val="-12"/>
          <w:sz w:val="18"/>
          <w:szCs w:val="18"/>
        </w:rPr>
        <w:t xml:space="preserve"> </w:t>
      </w:r>
      <w:r w:rsidRPr="0064767F">
        <w:rPr>
          <w:rFonts w:ascii="Verdana" w:hAnsi="Verdana" w:cs="Arial"/>
          <w:sz w:val="18"/>
          <w:szCs w:val="18"/>
        </w:rPr>
        <w:t>los</w:t>
      </w:r>
      <w:r w:rsidRPr="0064767F">
        <w:rPr>
          <w:rFonts w:ascii="Verdana" w:hAnsi="Verdana" w:cs="Arial"/>
          <w:spacing w:val="-12"/>
          <w:sz w:val="18"/>
          <w:szCs w:val="18"/>
        </w:rPr>
        <w:t xml:space="preserve"> </w:t>
      </w:r>
      <w:r w:rsidRPr="0064767F">
        <w:rPr>
          <w:rFonts w:ascii="Verdana" w:hAnsi="Verdana" w:cs="Arial"/>
          <w:sz w:val="18"/>
          <w:szCs w:val="18"/>
        </w:rPr>
        <w:t>abusos</w:t>
      </w:r>
      <w:r w:rsidRPr="0064767F">
        <w:rPr>
          <w:rFonts w:ascii="Verdana" w:hAnsi="Verdana" w:cs="Arial"/>
          <w:spacing w:val="-12"/>
          <w:sz w:val="18"/>
          <w:szCs w:val="18"/>
        </w:rPr>
        <w:t xml:space="preserve"> </w:t>
      </w:r>
      <w:r w:rsidRPr="0064767F">
        <w:rPr>
          <w:rFonts w:ascii="Verdana" w:hAnsi="Verdana" w:cs="Arial"/>
          <w:sz w:val="18"/>
          <w:szCs w:val="18"/>
        </w:rPr>
        <w:t>y</w:t>
      </w:r>
      <w:r w:rsidRPr="0064767F">
        <w:rPr>
          <w:rFonts w:ascii="Verdana" w:hAnsi="Verdana" w:cs="Arial"/>
          <w:spacing w:val="-12"/>
          <w:sz w:val="18"/>
          <w:szCs w:val="18"/>
        </w:rPr>
        <w:t xml:space="preserve"> </w:t>
      </w:r>
      <w:r w:rsidRPr="0064767F">
        <w:rPr>
          <w:rFonts w:ascii="Verdana" w:hAnsi="Verdana" w:cs="Arial"/>
          <w:sz w:val="18"/>
          <w:szCs w:val="18"/>
        </w:rPr>
        <w:t>la</w:t>
      </w:r>
      <w:r w:rsidRPr="0064767F">
        <w:rPr>
          <w:rFonts w:ascii="Verdana" w:hAnsi="Verdana" w:cs="Arial"/>
          <w:spacing w:val="-12"/>
          <w:sz w:val="18"/>
          <w:szCs w:val="18"/>
        </w:rPr>
        <w:t xml:space="preserve"> </w:t>
      </w:r>
      <w:r w:rsidRPr="0064767F">
        <w:rPr>
          <w:rFonts w:ascii="Verdana" w:hAnsi="Verdana" w:cs="Arial"/>
          <w:sz w:val="18"/>
          <w:szCs w:val="18"/>
        </w:rPr>
        <w:t>violación</w:t>
      </w:r>
      <w:r w:rsidRPr="0064767F">
        <w:rPr>
          <w:rFonts w:ascii="Verdana" w:hAnsi="Verdana" w:cs="Arial"/>
          <w:spacing w:val="-12"/>
          <w:sz w:val="18"/>
          <w:szCs w:val="18"/>
        </w:rPr>
        <w:t xml:space="preserve"> </w:t>
      </w:r>
      <w:r w:rsidRPr="0064767F">
        <w:rPr>
          <w:rFonts w:ascii="Verdana" w:hAnsi="Verdana" w:cs="Arial"/>
          <w:sz w:val="18"/>
          <w:szCs w:val="18"/>
        </w:rPr>
        <w:t>a</w:t>
      </w:r>
      <w:r w:rsidRPr="0064767F">
        <w:rPr>
          <w:rFonts w:ascii="Verdana" w:hAnsi="Verdana" w:cs="Arial"/>
          <w:spacing w:val="-12"/>
          <w:sz w:val="18"/>
          <w:szCs w:val="18"/>
        </w:rPr>
        <w:t xml:space="preserve"> </w:t>
      </w:r>
      <w:r w:rsidRPr="0064767F">
        <w:rPr>
          <w:rFonts w:ascii="Verdana" w:hAnsi="Verdana" w:cs="Arial"/>
          <w:sz w:val="18"/>
          <w:szCs w:val="18"/>
        </w:rPr>
        <w:t>sus</w:t>
      </w:r>
      <w:r w:rsidRPr="0064767F">
        <w:rPr>
          <w:rFonts w:ascii="Verdana" w:hAnsi="Verdana" w:cs="Arial"/>
          <w:spacing w:val="-12"/>
          <w:sz w:val="18"/>
          <w:szCs w:val="18"/>
        </w:rPr>
        <w:t xml:space="preserve"> </w:t>
      </w:r>
      <w:r w:rsidRPr="0064767F">
        <w:rPr>
          <w:rFonts w:ascii="Verdana" w:hAnsi="Verdana" w:cs="Arial"/>
          <w:sz w:val="18"/>
          <w:szCs w:val="18"/>
        </w:rPr>
        <w:t>propias</w:t>
      </w:r>
      <w:r w:rsidRPr="0064767F">
        <w:rPr>
          <w:rFonts w:ascii="Verdana" w:hAnsi="Verdana" w:cs="Arial"/>
          <w:spacing w:val="1"/>
          <w:sz w:val="18"/>
          <w:szCs w:val="18"/>
        </w:rPr>
        <w:t xml:space="preserve"> </w:t>
      </w:r>
      <w:r w:rsidRPr="0064767F">
        <w:rPr>
          <w:rFonts w:ascii="Verdana" w:hAnsi="Verdana" w:cs="Arial"/>
          <w:sz w:val="18"/>
          <w:szCs w:val="18"/>
        </w:rPr>
        <w:t>reglas propiciaría el atropello y la corrupción”. (MARÍN CORTÉS, Fabián G. El reglamento como</w:t>
      </w:r>
      <w:r w:rsidRPr="0064767F">
        <w:rPr>
          <w:rFonts w:ascii="Verdana" w:hAnsi="Verdana" w:cs="Arial"/>
          <w:spacing w:val="1"/>
          <w:sz w:val="18"/>
          <w:szCs w:val="18"/>
        </w:rPr>
        <w:t xml:space="preserve"> </w:t>
      </w:r>
      <w:r w:rsidRPr="0064767F">
        <w:rPr>
          <w:rFonts w:ascii="Verdana" w:hAnsi="Verdana" w:cs="Arial"/>
          <w:sz w:val="18"/>
          <w:szCs w:val="18"/>
        </w:rPr>
        <w:t>fuente</w:t>
      </w:r>
      <w:r w:rsidRPr="0064767F">
        <w:rPr>
          <w:rFonts w:ascii="Verdana" w:hAnsi="Verdana" w:cs="Arial"/>
          <w:spacing w:val="-12"/>
          <w:sz w:val="18"/>
          <w:szCs w:val="18"/>
        </w:rPr>
        <w:t xml:space="preserve"> </w:t>
      </w:r>
      <w:r w:rsidRPr="0064767F">
        <w:rPr>
          <w:rFonts w:ascii="Verdana" w:hAnsi="Verdana" w:cs="Arial"/>
          <w:sz w:val="18"/>
          <w:szCs w:val="18"/>
        </w:rPr>
        <w:t>del</w:t>
      </w:r>
      <w:r w:rsidRPr="0064767F">
        <w:rPr>
          <w:rFonts w:ascii="Verdana" w:hAnsi="Verdana" w:cs="Arial"/>
          <w:spacing w:val="-12"/>
          <w:sz w:val="18"/>
          <w:szCs w:val="18"/>
        </w:rPr>
        <w:t xml:space="preserve"> </w:t>
      </w:r>
      <w:r w:rsidRPr="0064767F">
        <w:rPr>
          <w:rFonts w:ascii="Verdana" w:hAnsi="Verdana" w:cs="Arial"/>
          <w:sz w:val="18"/>
          <w:szCs w:val="18"/>
        </w:rPr>
        <w:t>derecho</w:t>
      </w:r>
      <w:r w:rsidRPr="0064767F">
        <w:rPr>
          <w:rFonts w:ascii="Verdana" w:hAnsi="Verdana" w:cs="Arial"/>
          <w:spacing w:val="-12"/>
          <w:sz w:val="18"/>
          <w:szCs w:val="18"/>
        </w:rPr>
        <w:t xml:space="preserve"> </w:t>
      </w:r>
      <w:r w:rsidRPr="0064767F">
        <w:rPr>
          <w:rFonts w:ascii="Verdana" w:hAnsi="Verdana" w:cs="Arial"/>
          <w:sz w:val="18"/>
          <w:szCs w:val="18"/>
        </w:rPr>
        <w:t>administrativo.</w:t>
      </w:r>
      <w:r w:rsidRPr="0064767F">
        <w:rPr>
          <w:rFonts w:ascii="Verdana" w:hAnsi="Verdana" w:cs="Arial"/>
          <w:spacing w:val="-11"/>
          <w:sz w:val="18"/>
          <w:szCs w:val="18"/>
        </w:rPr>
        <w:t xml:space="preserve"> </w:t>
      </w:r>
      <w:r w:rsidRPr="0064767F">
        <w:rPr>
          <w:rFonts w:ascii="Verdana" w:hAnsi="Verdana" w:cs="Arial"/>
          <w:sz w:val="18"/>
          <w:szCs w:val="18"/>
        </w:rPr>
        <w:t>En:</w:t>
      </w:r>
      <w:r w:rsidRPr="0064767F">
        <w:rPr>
          <w:rFonts w:ascii="Verdana" w:hAnsi="Verdana" w:cs="Arial"/>
          <w:spacing w:val="-12"/>
          <w:sz w:val="18"/>
          <w:szCs w:val="18"/>
        </w:rPr>
        <w:t xml:space="preserve"> </w:t>
      </w:r>
      <w:r w:rsidRPr="0064767F">
        <w:rPr>
          <w:rFonts w:ascii="Verdana" w:hAnsi="Verdana" w:cs="Arial"/>
          <w:sz w:val="18"/>
          <w:szCs w:val="18"/>
        </w:rPr>
        <w:t>Las</w:t>
      </w:r>
      <w:r w:rsidRPr="0064767F">
        <w:rPr>
          <w:rFonts w:ascii="Verdana" w:hAnsi="Verdana" w:cs="Arial"/>
          <w:spacing w:val="-12"/>
          <w:sz w:val="18"/>
          <w:szCs w:val="18"/>
        </w:rPr>
        <w:t xml:space="preserve"> </w:t>
      </w:r>
      <w:r w:rsidRPr="0064767F">
        <w:rPr>
          <w:rFonts w:ascii="Verdana" w:hAnsi="Verdana" w:cs="Arial"/>
          <w:sz w:val="18"/>
          <w:szCs w:val="18"/>
        </w:rPr>
        <w:t>fuentes</w:t>
      </w:r>
      <w:r w:rsidRPr="0064767F">
        <w:rPr>
          <w:rFonts w:ascii="Verdana" w:hAnsi="Verdana" w:cs="Arial"/>
          <w:spacing w:val="-11"/>
          <w:sz w:val="18"/>
          <w:szCs w:val="18"/>
        </w:rPr>
        <w:t xml:space="preserve"> </w:t>
      </w:r>
      <w:r w:rsidRPr="0064767F">
        <w:rPr>
          <w:rFonts w:ascii="Verdana" w:hAnsi="Verdana" w:cs="Arial"/>
          <w:sz w:val="18"/>
          <w:szCs w:val="18"/>
        </w:rPr>
        <w:t>del</w:t>
      </w:r>
      <w:r w:rsidRPr="0064767F">
        <w:rPr>
          <w:rFonts w:ascii="Verdana" w:hAnsi="Verdana" w:cs="Arial"/>
          <w:spacing w:val="-12"/>
          <w:sz w:val="18"/>
          <w:szCs w:val="18"/>
        </w:rPr>
        <w:t xml:space="preserve"> </w:t>
      </w:r>
      <w:r w:rsidRPr="0064767F">
        <w:rPr>
          <w:rFonts w:ascii="Verdana" w:hAnsi="Verdana" w:cs="Arial"/>
          <w:sz w:val="18"/>
          <w:szCs w:val="18"/>
        </w:rPr>
        <w:t>derecho</w:t>
      </w:r>
      <w:r w:rsidRPr="0064767F">
        <w:rPr>
          <w:rFonts w:ascii="Verdana" w:hAnsi="Verdana" w:cs="Arial"/>
          <w:spacing w:val="-12"/>
          <w:sz w:val="18"/>
          <w:szCs w:val="18"/>
        </w:rPr>
        <w:t xml:space="preserve"> </w:t>
      </w:r>
      <w:r w:rsidRPr="0064767F">
        <w:rPr>
          <w:rFonts w:ascii="Verdana" w:hAnsi="Verdana" w:cs="Arial"/>
          <w:sz w:val="18"/>
          <w:szCs w:val="18"/>
        </w:rPr>
        <w:t>administrativo.</w:t>
      </w:r>
      <w:r w:rsidRPr="0064767F">
        <w:rPr>
          <w:rFonts w:ascii="Verdana" w:hAnsi="Verdana" w:cs="Arial"/>
          <w:spacing w:val="-12"/>
          <w:sz w:val="18"/>
          <w:szCs w:val="18"/>
        </w:rPr>
        <w:t xml:space="preserve"> </w:t>
      </w:r>
      <w:r w:rsidRPr="0064767F">
        <w:rPr>
          <w:rFonts w:ascii="Verdana" w:hAnsi="Verdana" w:cs="Arial"/>
          <w:sz w:val="18"/>
          <w:szCs w:val="18"/>
        </w:rPr>
        <w:t>Texto</w:t>
      </w:r>
      <w:r w:rsidRPr="0064767F">
        <w:rPr>
          <w:rFonts w:ascii="Verdana" w:hAnsi="Verdana" w:cs="Arial"/>
          <w:spacing w:val="-11"/>
          <w:sz w:val="18"/>
          <w:szCs w:val="18"/>
        </w:rPr>
        <w:t xml:space="preserve"> </w:t>
      </w:r>
      <w:r w:rsidRPr="0064767F">
        <w:rPr>
          <w:rFonts w:ascii="Verdana" w:hAnsi="Verdana" w:cs="Arial"/>
          <w:sz w:val="18"/>
          <w:szCs w:val="18"/>
        </w:rPr>
        <w:t>inédito.</w:t>
      </w:r>
      <w:r w:rsidRPr="0064767F">
        <w:rPr>
          <w:rFonts w:ascii="Verdana" w:hAnsi="Verdana" w:cs="Arial"/>
          <w:spacing w:val="-12"/>
          <w:sz w:val="18"/>
          <w:szCs w:val="18"/>
        </w:rPr>
        <w:t xml:space="preserve"> </w:t>
      </w:r>
      <w:r w:rsidRPr="0064767F">
        <w:rPr>
          <w:rFonts w:ascii="Verdana" w:hAnsi="Verdana" w:cs="Arial"/>
          <w:sz w:val="18"/>
          <w:szCs w:val="18"/>
        </w:rPr>
        <w:t>2010.</w:t>
      </w:r>
      <w:r w:rsidRPr="0064767F">
        <w:rPr>
          <w:rFonts w:ascii="Verdana" w:hAnsi="Verdana" w:cs="Arial"/>
          <w:spacing w:val="-12"/>
          <w:sz w:val="18"/>
          <w:szCs w:val="18"/>
        </w:rPr>
        <w:t xml:space="preserve"> </w:t>
      </w:r>
      <w:r w:rsidRPr="0064767F">
        <w:rPr>
          <w:rFonts w:ascii="Verdana" w:hAnsi="Verdana" w:cs="Arial"/>
          <w:sz w:val="18"/>
          <w:szCs w:val="18"/>
        </w:rPr>
        <w:t>pp.</w:t>
      </w:r>
      <w:r w:rsidRPr="0064767F">
        <w:rPr>
          <w:rFonts w:ascii="Verdana" w:hAnsi="Verdana" w:cs="Arial"/>
          <w:spacing w:val="1"/>
          <w:sz w:val="18"/>
          <w:szCs w:val="18"/>
        </w:rPr>
        <w:t xml:space="preserve"> </w:t>
      </w:r>
      <w:r w:rsidRPr="0064767F">
        <w:rPr>
          <w:rFonts w:ascii="Verdana" w:hAnsi="Verdana" w:cs="Arial"/>
          <w:sz w:val="18"/>
          <w:szCs w:val="18"/>
        </w:rPr>
        <w:t>200-201).</w:t>
      </w:r>
    </w:p>
    <w:p w14:paraId="35EE63FA" w14:textId="77777777" w:rsidR="008D4DDA" w:rsidRPr="0064767F" w:rsidRDefault="008D4DDA" w:rsidP="008D4DDA">
      <w:pPr>
        <w:spacing w:after="0" w:line="240" w:lineRule="auto"/>
        <w:ind w:firstLine="708"/>
        <w:jc w:val="both"/>
        <w:rPr>
          <w:rFonts w:ascii="Verdana" w:hAnsi="Verdana" w:cs="Arial"/>
          <w:sz w:val="18"/>
          <w:szCs w:val="18"/>
        </w:rPr>
      </w:pPr>
    </w:p>
  </w:footnote>
  <w:footnote w:id="12">
    <w:p w14:paraId="157E2E56" w14:textId="77777777" w:rsidR="008D4DDA" w:rsidRPr="0064767F" w:rsidRDefault="008D4DDA" w:rsidP="008D4DDA">
      <w:pPr>
        <w:pStyle w:val="Textonotapie"/>
        <w:ind w:firstLine="708"/>
        <w:jc w:val="both"/>
        <w:rPr>
          <w:rFonts w:ascii="Verdana" w:hAnsi="Verdana" w:cs="Arial"/>
          <w:sz w:val="18"/>
          <w:szCs w:val="18"/>
        </w:rPr>
      </w:pPr>
      <w:r w:rsidRPr="0064767F">
        <w:rPr>
          <w:rStyle w:val="Refdenotaalpie"/>
          <w:rFonts w:ascii="Verdana" w:hAnsi="Verdana" w:cs="Arial"/>
          <w:sz w:val="18"/>
          <w:szCs w:val="18"/>
        </w:rPr>
        <w:footnoteRef/>
      </w:r>
      <w:r w:rsidRPr="0064767F">
        <w:rPr>
          <w:rFonts w:ascii="Verdana" w:hAnsi="Verdana" w:cs="Arial"/>
          <w:sz w:val="18"/>
          <w:szCs w:val="18"/>
        </w:rPr>
        <w:t xml:space="preserve"> Ibíd. </w:t>
      </w:r>
    </w:p>
    <w:p w14:paraId="24C45BC8" w14:textId="77777777" w:rsidR="008D4DDA" w:rsidRPr="0064767F" w:rsidRDefault="008D4DDA" w:rsidP="008D4DDA">
      <w:pPr>
        <w:pStyle w:val="Textonotapie"/>
        <w:ind w:firstLine="708"/>
        <w:jc w:val="both"/>
        <w:rPr>
          <w:rFonts w:ascii="Verdana" w:hAnsi="Verdana" w:cs="Arial"/>
          <w:sz w:val="18"/>
          <w:szCs w:val="18"/>
        </w:rPr>
      </w:pPr>
    </w:p>
  </w:footnote>
  <w:footnote w:id="13">
    <w:p w14:paraId="1C01C686" w14:textId="77777777" w:rsidR="008D4DDA" w:rsidRPr="0064767F" w:rsidRDefault="008D4DDA" w:rsidP="008D4DDA">
      <w:pPr>
        <w:pStyle w:val="Textonotapie"/>
        <w:spacing w:after="120"/>
        <w:ind w:firstLine="709"/>
        <w:jc w:val="both"/>
        <w:rPr>
          <w:rFonts w:ascii="Verdana" w:hAnsi="Verdana" w:cs="Arial"/>
          <w:color w:val="000000"/>
          <w:sz w:val="18"/>
          <w:szCs w:val="18"/>
          <w:lang w:val="es-CO"/>
        </w:rPr>
      </w:pPr>
      <w:r w:rsidRPr="0064767F">
        <w:rPr>
          <w:rFonts w:ascii="Verdana" w:eastAsia="Calibri" w:hAnsi="Verdana" w:cs="Arial"/>
          <w:color w:val="000000"/>
          <w:sz w:val="18"/>
          <w:szCs w:val="18"/>
          <w:vertAlign w:val="superscript"/>
        </w:rPr>
        <w:footnoteRef/>
      </w:r>
      <w:r w:rsidRPr="0064767F">
        <w:rPr>
          <w:rFonts w:ascii="Verdana" w:eastAsia="Calibri" w:hAnsi="Verdana" w:cs="Arial"/>
          <w:color w:val="000000"/>
          <w:sz w:val="18"/>
          <w:szCs w:val="18"/>
          <w:vertAlign w:val="superscript"/>
        </w:rPr>
        <w:t xml:space="preserve"> </w:t>
      </w:r>
      <w:r w:rsidRPr="0064767F">
        <w:rPr>
          <w:rFonts w:ascii="Verdana" w:eastAsia="Calibri" w:hAnsi="Verdana" w:cs="Arial"/>
          <w:color w:val="000000"/>
          <w:sz w:val="18"/>
          <w:szCs w:val="18"/>
        </w:rPr>
        <w:t xml:space="preserve">Consejo de Estado. Sección Tercera. Sentencia del 26 de junio de 2003. Rad. 13.354. C.P: María Elena Giraldo Gómez. </w:t>
      </w:r>
    </w:p>
  </w:footnote>
  <w:footnote w:id="14">
    <w:p w14:paraId="0B29C55F" w14:textId="77777777" w:rsidR="008D4DDA" w:rsidRPr="0064767F" w:rsidRDefault="008D4DDA" w:rsidP="008D4DDA">
      <w:pPr>
        <w:pStyle w:val="NormalWeb"/>
        <w:shd w:val="clear" w:color="auto" w:fill="FFFFFF"/>
        <w:spacing w:after="120"/>
        <w:ind w:firstLine="709"/>
        <w:jc w:val="both"/>
        <w:rPr>
          <w:rFonts w:ascii="Verdana" w:hAnsi="Verdana" w:cs="Arial"/>
          <w:sz w:val="18"/>
          <w:szCs w:val="18"/>
        </w:rPr>
      </w:pPr>
      <w:r w:rsidRPr="0064767F">
        <w:rPr>
          <w:rStyle w:val="Refdenotaalpie"/>
          <w:rFonts w:ascii="Verdana" w:eastAsiaTheme="majorEastAsia" w:hAnsi="Verdana" w:cs="Arial"/>
          <w:sz w:val="18"/>
          <w:szCs w:val="18"/>
          <w:lang w:val="es-MX"/>
        </w:rPr>
        <w:footnoteRef/>
      </w:r>
      <w:r w:rsidRPr="0064767F">
        <w:rPr>
          <w:rStyle w:val="Refdenotaalpie"/>
          <w:rFonts w:ascii="Verdana" w:eastAsiaTheme="majorEastAsia" w:hAnsi="Verdana" w:cs="Arial"/>
          <w:sz w:val="18"/>
          <w:szCs w:val="18"/>
          <w:lang w:val="es-MX"/>
        </w:rPr>
        <w:t xml:space="preserve"> </w:t>
      </w:r>
      <w:r w:rsidRPr="0064767F">
        <w:rPr>
          <w:rFonts w:ascii="Verdana" w:hAnsi="Verdana" w:cs="Arial"/>
          <w:sz w:val="18"/>
          <w:szCs w:val="18"/>
        </w:rPr>
        <w:t>“Artículo 2.2.1.1.1.6.4. Capacidad Residual: El interesado en celebrar contratos de obra pública con Entidades Estatales debe acreditar su Capacidad Residual o K de Contratación con los siguientes documentos:</w:t>
      </w:r>
    </w:p>
    <w:p w14:paraId="5C8573F3" w14:textId="77777777" w:rsidR="008D4DDA" w:rsidRDefault="008D4DDA" w:rsidP="008D4DDA">
      <w:pPr>
        <w:shd w:val="clear" w:color="auto" w:fill="FFFFFF"/>
        <w:snapToGrid w:val="0"/>
        <w:spacing w:after="0" w:line="240" w:lineRule="auto"/>
        <w:ind w:firstLine="709"/>
        <w:jc w:val="both"/>
        <w:rPr>
          <w:rFonts w:ascii="Verdana" w:hAnsi="Verdana" w:cs="Arial"/>
          <w:sz w:val="18"/>
          <w:szCs w:val="18"/>
        </w:rPr>
      </w:pPr>
      <w:r w:rsidRPr="0064767F">
        <w:rPr>
          <w:rFonts w:ascii="Verdana" w:hAnsi="Verdana" w:cs="Arial"/>
          <w:sz w:val="18"/>
          <w:szCs w:val="18"/>
        </w:rPr>
        <w:t>1. La lista de los contratos de obras civiles en ejecución suscritos con Entidades Estatales y con entidades privadas, así como el valor y plazo de tales contratos, incluyendo contratos de concesión y los contratos de obra suscritos con concesionarios.</w:t>
      </w:r>
    </w:p>
    <w:p w14:paraId="06BE1217" w14:textId="77777777" w:rsidR="008D4DDA" w:rsidRPr="0064767F" w:rsidRDefault="008D4DDA" w:rsidP="008D4DDA">
      <w:pPr>
        <w:shd w:val="clear" w:color="auto" w:fill="FFFFFF"/>
        <w:snapToGrid w:val="0"/>
        <w:spacing w:after="0" w:line="240" w:lineRule="auto"/>
        <w:ind w:firstLine="709"/>
        <w:jc w:val="both"/>
        <w:rPr>
          <w:rFonts w:ascii="Verdana" w:hAnsi="Verdana" w:cs="Arial"/>
          <w:sz w:val="18"/>
          <w:szCs w:val="18"/>
        </w:rPr>
      </w:pPr>
    </w:p>
    <w:p w14:paraId="44C8A38B" w14:textId="77777777" w:rsidR="008D4DDA" w:rsidRDefault="008D4DDA" w:rsidP="008D4DDA">
      <w:pPr>
        <w:shd w:val="clear" w:color="auto" w:fill="FFFFFF"/>
        <w:snapToGrid w:val="0"/>
        <w:spacing w:after="0" w:line="240" w:lineRule="auto"/>
        <w:ind w:firstLine="709"/>
        <w:jc w:val="both"/>
        <w:rPr>
          <w:rFonts w:ascii="Verdana" w:hAnsi="Verdana" w:cs="Arial"/>
          <w:sz w:val="18"/>
          <w:szCs w:val="18"/>
        </w:rPr>
      </w:pPr>
      <w:r w:rsidRPr="0064767F">
        <w:rPr>
          <w:rFonts w:ascii="Verdana" w:hAnsi="Verdana" w:cs="Arial"/>
          <w:sz w:val="18"/>
          <w:szCs w:val="18"/>
        </w:rPr>
        <w:t>2. La lista de los contratos de obras civiles en ejecución, suscritos por sociedades, consorcios o uniones temporales, en los cuales el proponente tenga participación, con Entidades Estatales y con entidades privadas, así como el valor y plazo de tales contratos, incluyendo los contratos de concesión y los contratos de obra suscritos con concesionarios.</w:t>
      </w:r>
    </w:p>
    <w:p w14:paraId="6036E542" w14:textId="77777777" w:rsidR="008D4DDA" w:rsidRPr="0064767F" w:rsidRDefault="008D4DDA" w:rsidP="008D4DDA">
      <w:pPr>
        <w:shd w:val="clear" w:color="auto" w:fill="FFFFFF"/>
        <w:snapToGrid w:val="0"/>
        <w:spacing w:after="0" w:line="240" w:lineRule="auto"/>
        <w:ind w:firstLine="709"/>
        <w:jc w:val="both"/>
        <w:rPr>
          <w:rFonts w:ascii="Verdana" w:hAnsi="Verdana" w:cs="Arial"/>
          <w:sz w:val="18"/>
          <w:szCs w:val="18"/>
        </w:rPr>
      </w:pPr>
    </w:p>
    <w:p w14:paraId="3506060B" w14:textId="77777777" w:rsidR="008D4DDA" w:rsidRDefault="008D4DDA" w:rsidP="008D4DDA">
      <w:pPr>
        <w:shd w:val="clear" w:color="auto" w:fill="FFFFFF"/>
        <w:snapToGrid w:val="0"/>
        <w:spacing w:after="0" w:line="240" w:lineRule="auto"/>
        <w:ind w:firstLine="709"/>
        <w:jc w:val="both"/>
        <w:rPr>
          <w:rFonts w:ascii="Verdana" w:hAnsi="Verdana" w:cs="Arial"/>
          <w:sz w:val="18"/>
          <w:szCs w:val="18"/>
        </w:rPr>
      </w:pPr>
      <w:r w:rsidRPr="0064767F">
        <w:rPr>
          <w:rFonts w:ascii="Verdana" w:hAnsi="Verdana" w:cs="Arial"/>
          <w:sz w:val="18"/>
          <w:szCs w:val="18"/>
        </w:rPr>
        <w:t>3. Balance general auditado del año inmediatamente anterior y estado de resultados auditado del año en que haya obtenido el mayor ingreso operacional en los últimos cinco (5) años. Los estados financieros deben estar suscritos por el interesado o su representante legal y el revisor fiscal si está obligado a tenerlo, o el auditor o contador si no está obligado a tener revisor fiscal. Si se trata de proponentes obligados a tener RUP, las Entidades Estatales solo deben solicitar como documento adicional el estado de resultados del año en que el proponente obtuvo el mayor ingreso operacional en los últimos cinco (5) años”.</w:t>
      </w:r>
    </w:p>
    <w:p w14:paraId="4322B182" w14:textId="77777777" w:rsidR="008D4DDA" w:rsidRPr="0064767F" w:rsidRDefault="008D4DDA" w:rsidP="008D4DDA">
      <w:pPr>
        <w:shd w:val="clear" w:color="auto" w:fill="FFFFFF"/>
        <w:snapToGrid w:val="0"/>
        <w:spacing w:after="0" w:line="240" w:lineRule="auto"/>
        <w:ind w:firstLine="709"/>
        <w:jc w:val="both"/>
        <w:rPr>
          <w:rFonts w:ascii="Verdana" w:hAnsi="Verdana" w:cs="Arial"/>
          <w:sz w:val="18"/>
          <w:szCs w:val="18"/>
        </w:rPr>
      </w:pPr>
    </w:p>
  </w:footnote>
  <w:footnote w:id="15">
    <w:p w14:paraId="25009614" w14:textId="77777777" w:rsidR="008D4DDA" w:rsidRPr="0064767F" w:rsidRDefault="008D4DDA" w:rsidP="008D4DDA">
      <w:pPr>
        <w:pStyle w:val="Textonotapie"/>
        <w:snapToGrid w:val="0"/>
        <w:ind w:firstLine="708"/>
        <w:jc w:val="both"/>
        <w:rPr>
          <w:rFonts w:ascii="Verdana" w:hAnsi="Verdana"/>
          <w:sz w:val="18"/>
          <w:szCs w:val="18"/>
          <w:lang w:val="es-ES_tradnl"/>
        </w:rPr>
      </w:pPr>
      <w:r w:rsidRPr="0064767F">
        <w:rPr>
          <w:rStyle w:val="Refdenotaalpie"/>
          <w:rFonts w:ascii="Verdana" w:hAnsi="Verdana"/>
          <w:sz w:val="18"/>
          <w:szCs w:val="18"/>
        </w:rPr>
        <w:footnoteRef/>
      </w:r>
      <w:r w:rsidRPr="0064767F">
        <w:rPr>
          <w:rFonts w:ascii="Verdana" w:hAnsi="Verdana"/>
          <w:sz w:val="18"/>
          <w:szCs w:val="18"/>
        </w:rPr>
        <w:t xml:space="preserve"> Agencia Nacional de Contratación Pública – Colombia Compra Eficiente. Guía para determinar y verificar la capacidad residual del proponentes en los procesos de contratación pública, disponible en el siguiente enlace: https://www.colombiacompra.gov.co/wp-content/uploads/2024/08/2023-Guia-para-determinar-y-verificar-la-Capacidad-Residual-del-proponente-en-los-Procesos-de-Contratacion-de-obra-publica-CCE-REC-GI-22.pdf</w:t>
      </w:r>
    </w:p>
  </w:footnote>
  <w:footnote w:id="16">
    <w:p w14:paraId="228A4C8B" w14:textId="77777777" w:rsidR="008D4DDA" w:rsidRPr="00681A77" w:rsidRDefault="008D4DDA" w:rsidP="008D4DDA">
      <w:pPr>
        <w:pStyle w:val="Textonotapie"/>
        <w:ind w:firstLine="708"/>
        <w:rPr>
          <w:lang w:val="es-ES_tradnl"/>
        </w:rPr>
      </w:pPr>
      <w:r>
        <w:rPr>
          <w:rStyle w:val="Refdenotaalpie"/>
        </w:rPr>
        <w:footnoteRef/>
      </w:r>
      <w:r>
        <w:t xml:space="preserve"> Agencia Nacional de Contratación Pública – Colombia Compra Eficiente, concepto C-175 del 29 de julio de 2014.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65pt;height:11.6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0F736BA"/>
    <w:multiLevelType w:val="hybridMultilevel"/>
    <w:tmpl w:val="8B64E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1"/>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882211401">
    <w:abstractNumId w:val="3"/>
  </w:num>
  <w:num w:numId="17" w16cid:durableId="21326301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09F6"/>
    <w:rsid w:val="00082362"/>
    <w:rsid w:val="000A683E"/>
    <w:rsid w:val="000B19B9"/>
    <w:rsid w:val="000D0334"/>
    <w:rsid w:val="000D5DA7"/>
    <w:rsid w:val="000F6486"/>
    <w:rsid w:val="001004D0"/>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2F2A9A"/>
    <w:rsid w:val="0030657A"/>
    <w:rsid w:val="00322A85"/>
    <w:rsid w:val="00324168"/>
    <w:rsid w:val="00330834"/>
    <w:rsid w:val="003448F4"/>
    <w:rsid w:val="00374F5E"/>
    <w:rsid w:val="00377E3E"/>
    <w:rsid w:val="003A779E"/>
    <w:rsid w:val="003D0F4D"/>
    <w:rsid w:val="003D5B0D"/>
    <w:rsid w:val="003E0499"/>
    <w:rsid w:val="003E4F80"/>
    <w:rsid w:val="003E6439"/>
    <w:rsid w:val="003E6EE0"/>
    <w:rsid w:val="003F3941"/>
    <w:rsid w:val="00406575"/>
    <w:rsid w:val="00414C74"/>
    <w:rsid w:val="0042722E"/>
    <w:rsid w:val="0044528D"/>
    <w:rsid w:val="00466E39"/>
    <w:rsid w:val="004A1847"/>
    <w:rsid w:val="004A305D"/>
    <w:rsid w:val="004F21C4"/>
    <w:rsid w:val="004F685F"/>
    <w:rsid w:val="005566E8"/>
    <w:rsid w:val="00574867"/>
    <w:rsid w:val="00585553"/>
    <w:rsid w:val="00591460"/>
    <w:rsid w:val="005A65E0"/>
    <w:rsid w:val="005C3777"/>
    <w:rsid w:val="005C5CDC"/>
    <w:rsid w:val="005D476C"/>
    <w:rsid w:val="006018B3"/>
    <w:rsid w:val="006200BF"/>
    <w:rsid w:val="006219F8"/>
    <w:rsid w:val="006302F7"/>
    <w:rsid w:val="00646B9F"/>
    <w:rsid w:val="00665D70"/>
    <w:rsid w:val="006900D9"/>
    <w:rsid w:val="006E6B5B"/>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2C92"/>
    <w:rsid w:val="008258C9"/>
    <w:rsid w:val="00844AE9"/>
    <w:rsid w:val="00867F95"/>
    <w:rsid w:val="008843B6"/>
    <w:rsid w:val="00891928"/>
    <w:rsid w:val="008A446D"/>
    <w:rsid w:val="008B25F1"/>
    <w:rsid w:val="008D180B"/>
    <w:rsid w:val="008D4DDA"/>
    <w:rsid w:val="008F0EA7"/>
    <w:rsid w:val="00923EEF"/>
    <w:rsid w:val="009419F9"/>
    <w:rsid w:val="00943EAE"/>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D307A"/>
    <w:rsid w:val="00B00C0E"/>
    <w:rsid w:val="00B01B1A"/>
    <w:rsid w:val="00B0381D"/>
    <w:rsid w:val="00B44A47"/>
    <w:rsid w:val="00B72CD3"/>
    <w:rsid w:val="00B72FFF"/>
    <w:rsid w:val="00BC3D36"/>
    <w:rsid w:val="00BD54A6"/>
    <w:rsid w:val="00BD7F72"/>
    <w:rsid w:val="00BE2555"/>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15C1"/>
    <w:rsid w:val="00DA231B"/>
    <w:rsid w:val="00DC39FC"/>
    <w:rsid w:val="00DF5254"/>
    <w:rsid w:val="00DF620B"/>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1CEA"/>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7BAE25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D4DD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D4DDA"/>
    <w:rPr>
      <w:rFonts w:ascii="Geomanist Light" w:hAnsi="Geomanist Light"/>
      <w:lang w:val="es-ES"/>
    </w:rPr>
  </w:style>
  <w:style w:type="character" w:customStyle="1" w:styleId="NormalWebCar">
    <w:name w:val="Normal (Web) Car"/>
    <w:link w:val="NormalWeb"/>
    <w:uiPriority w:val="99"/>
    <w:locked/>
    <w:rsid w:val="008D4DDA"/>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3.xml><?xml version="1.0" encoding="utf-8"?>
<ds:datastoreItem xmlns:ds="http://schemas.openxmlformats.org/officeDocument/2006/customXml" ds:itemID="{AA190D14-2571-46E0-A369-5F679F4773A6}"/>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23</Pages>
  <Words>7369</Words>
  <Characters>40532</Characters>
  <Application>Microsoft Office Word</Application>
  <DocSecurity>0</DocSecurity>
  <Lines>337</Lines>
  <Paragraphs>95</Paragraphs>
  <ScaleCrop>false</ScaleCrop>
  <Company/>
  <LinksUpToDate>false</LinksUpToDate>
  <CharactersWithSpaces>47806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Carlos Mario Castrillon Endo</cp:lastModifiedBy>
  <cp:revision>5</cp:revision>
  <cp:lastPrinted>2023-01-10T21:18:00Z</cp:lastPrinted>
  <dcterms:created xsi:type="dcterms:W3CDTF">2026-03-04T12:26:00Z</dcterms:created>
  <dcterms:modified xsi:type="dcterms:W3CDTF">2026-03-04T20:54:00Z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