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5B33" w14:textId="77777777" w:rsidR="00713A26" w:rsidRPr="00713A26" w:rsidRDefault="00713A26" w:rsidP="00713A26">
      <w:pPr>
        <w:spacing w:after="0"/>
        <w:jc w:val="both"/>
        <w:rPr>
          <w:rFonts w:ascii="Verdana" w:eastAsia="Calibri" w:hAnsi="Verdana" w:cs="Times New Roman"/>
        </w:rPr>
      </w:pPr>
      <w:bookmarkStart w:id="0" w:name="_Hlk143780582"/>
      <w:r w:rsidRPr="00713A26">
        <w:rPr>
          <w:rFonts w:ascii="Verdana" w:eastAsia="Aptos" w:hAnsi="Verdana" w:cs="Arial"/>
          <w:b/>
          <w:color w:val="000000"/>
          <w:kern w:val="2"/>
          <w:lang w:val="es-ES_tradnl"/>
          <w14:ligatures w14:val="standardContextual"/>
        </w:rPr>
        <w:t>DOCUMENTOS TIPO – Fundamento normativo</w:t>
      </w:r>
    </w:p>
    <w:p w14:paraId="24F76FEC" w14:textId="77777777" w:rsidR="00713A26" w:rsidRPr="00713A26" w:rsidRDefault="00713A26" w:rsidP="00713A26">
      <w:pPr>
        <w:spacing w:after="0" w:line="276" w:lineRule="auto"/>
        <w:jc w:val="both"/>
        <w:rPr>
          <w:rFonts w:ascii="Verdana" w:eastAsia="Aptos" w:hAnsi="Verdana" w:cs="Arial"/>
          <w:b/>
          <w:color w:val="000000"/>
          <w:kern w:val="2"/>
          <w:lang w:val="es-ES_tradnl"/>
          <w14:ligatures w14:val="standardContextual"/>
        </w:rPr>
      </w:pPr>
    </w:p>
    <w:p w14:paraId="438D73A5" w14:textId="365DE3B0" w:rsidR="00713A26" w:rsidRPr="00713A26" w:rsidRDefault="00E82D04" w:rsidP="00713A26">
      <w:pPr>
        <w:snapToGrid w:val="0"/>
        <w:spacing w:after="0" w:line="240" w:lineRule="auto"/>
        <w:jc w:val="both"/>
        <w:rPr>
          <w:rFonts w:ascii="Verdana" w:eastAsia="Calibri" w:hAnsi="Verdana" w:cs="Arial"/>
          <w:sz w:val="20"/>
          <w:szCs w:val="20"/>
          <w:lang w:val="es-ES_tradnl"/>
        </w:rPr>
      </w:pPr>
      <w:r w:rsidRPr="00E82D04">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49A62A6" w14:textId="77777777" w:rsidR="00713A26" w:rsidRPr="00713A26" w:rsidRDefault="00713A26" w:rsidP="00713A26">
      <w:pPr>
        <w:spacing w:after="0" w:line="276" w:lineRule="auto"/>
        <w:jc w:val="both"/>
        <w:rPr>
          <w:rFonts w:ascii="Verdana" w:eastAsia="Aptos" w:hAnsi="Verdana" w:cs="Arial"/>
          <w:b/>
          <w:color w:val="000000"/>
          <w:kern w:val="2"/>
          <w:lang w:val="es-ES_tradnl"/>
          <w14:ligatures w14:val="standardContextual"/>
        </w:rPr>
      </w:pPr>
    </w:p>
    <w:p w14:paraId="51C74EC0" w14:textId="77777777" w:rsidR="00713A26" w:rsidRPr="00713A26" w:rsidRDefault="00713A26" w:rsidP="00713A26">
      <w:pPr>
        <w:spacing w:after="0" w:line="276" w:lineRule="auto"/>
        <w:jc w:val="both"/>
        <w:rPr>
          <w:rFonts w:ascii="Verdana" w:eastAsia="Aptos" w:hAnsi="Verdana" w:cs="Arial"/>
          <w:b/>
          <w:color w:val="000000"/>
          <w:kern w:val="2"/>
          <w:lang w:val="es-ES_tradnl"/>
          <w14:ligatures w14:val="standardContextual"/>
        </w:rPr>
      </w:pPr>
      <w:r w:rsidRPr="00713A26">
        <w:rPr>
          <w:rFonts w:ascii="Verdana" w:eastAsia="Aptos" w:hAnsi="Verdana" w:cs="Arial"/>
          <w:b/>
          <w:color w:val="000000"/>
          <w:kern w:val="2"/>
          <w:lang w:val="es-ES_tradnl"/>
          <w14:ligatures w14:val="standardContextual"/>
        </w:rPr>
        <w:t>DOCUMENTOS TIPO – Formato 5 – Capacidad Residual</w:t>
      </w:r>
    </w:p>
    <w:p w14:paraId="6624EA6C" w14:textId="77777777" w:rsidR="00713A26" w:rsidRPr="000317C6" w:rsidRDefault="00713A26" w:rsidP="000317C6">
      <w:pPr>
        <w:spacing w:after="0" w:line="276" w:lineRule="auto"/>
        <w:jc w:val="both"/>
        <w:rPr>
          <w:rFonts w:ascii="Verdana" w:eastAsia="Aptos" w:hAnsi="Verdana" w:cs="Arial"/>
          <w:b/>
          <w:color w:val="000000"/>
          <w:kern w:val="2"/>
          <w:lang w:val="es-ES_tradnl"/>
          <w14:ligatures w14:val="standardContextual"/>
        </w:rPr>
      </w:pPr>
    </w:p>
    <w:p w14:paraId="03A6C5E0" w14:textId="38805264" w:rsidR="000B0108" w:rsidRPr="000317C6" w:rsidRDefault="000B0108" w:rsidP="000317C6">
      <w:pPr>
        <w:snapToGrid w:val="0"/>
        <w:spacing w:after="0" w:line="240" w:lineRule="auto"/>
        <w:jc w:val="both"/>
        <w:rPr>
          <w:rFonts w:ascii="Verdana" w:eastAsia="Calibri" w:hAnsi="Verdana" w:cs="Times New Roman"/>
          <w:sz w:val="20"/>
          <w:szCs w:val="20"/>
          <w:lang w:val="es-ES_tradnl"/>
        </w:rPr>
      </w:pPr>
      <w:r w:rsidRPr="000317C6">
        <w:rPr>
          <w:rFonts w:ascii="Verdana" w:eastAsia="Calibri" w:hAnsi="Verdana" w:cs="Times New Roman"/>
          <w:sz w:val="20"/>
          <w:szCs w:val="20"/>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p>
    <w:p w14:paraId="5D1904F9" w14:textId="386CBC94" w:rsidR="000B0108" w:rsidRPr="000317C6" w:rsidRDefault="000B0108" w:rsidP="000317C6">
      <w:pPr>
        <w:snapToGrid w:val="0"/>
        <w:spacing w:after="0" w:line="240" w:lineRule="auto"/>
        <w:jc w:val="both"/>
        <w:rPr>
          <w:rFonts w:ascii="Verdana" w:eastAsia="Calibri" w:hAnsi="Verdana" w:cs="Times New Roman"/>
          <w:sz w:val="20"/>
          <w:szCs w:val="20"/>
          <w:vertAlign w:val="superscript"/>
          <w:lang w:val="es-ES_tradnl"/>
        </w:rPr>
      </w:pPr>
      <w:r w:rsidRPr="000317C6">
        <w:rPr>
          <w:rFonts w:ascii="Verdana" w:eastAsia="Calibri" w:hAnsi="Verdana" w:cs="Times New Roman"/>
          <w:sz w:val="20"/>
          <w:szCs w:val="20"/>
          <w:lang w:val="es-ES_tradnl"/>
        </w:rPr>
        <w:t>[…]</w:t>
      </w:r>
    </w:p>
    <w:p w14:paraId="48CE5156" w14:textId="46FB5054" w:rsidR="00713A26" w:rsidRPr="000317C6" w:rsidRDefault="000B0108" w:rsidP="000317C6">
      <w:pPr>
        <w:snapToGrid w:val="0"/>
        <w:spacing w:after="0" w:line="240" w:lineRule="auto"/>
        <w:jc w:val="both"/>
        <w:rPr>
          <w:rFonts w:ascii="Verdana" w:eastAsia="Times New Roman" w:hAnsi="Verdana" w:cs="Arial"/>
          <w:kern w:val="2"/>
          <w:sz w:val="20"/>
          <w:szCs w:val="20"/>
          <w:shd w:val="clear" w:color="auto" w:fill="FFFFFF"/>
          <w:lang w:val="es-ES_tradnl" w:eastAsia="es-ES"/>
          <w14:ligatures w14:val="standardContextual"/>
        </w:rPr>
      </w:pPr>
      <w:r w:rsidRPr="000317C6">
        <w:rPr>
          <w:rFonts w:ascii="Verdana" w:eastAsia="Times New Roman" w:hAnsi="Verdana" w:cs="Arial"/>
          <w:kern w:val="2"/>
          <w:sz w:val="20"/>
          <w:szCs w:val="20"/>
          <w:shd w:val="clear" w:color="auto" w:fill="FFFFFF"/>
          <w:lang w:val="es-ES_tradnl" w:eastAsia="es-ES"/>
          <w14:ligatures w14:val="standardContextual"/>
        </w:rPr>
        <w:t>Los documentos tipo se encuentran conformados por un documento base, unos anexos, unos formatos, unas matrices y un formulario. Dentro de los formatos, teniendo en cuenta su consulta, es pertinente resaltar el “Formato 5 – Capacidad Residual”, el cual dispone lo siguiente:</w:t>
      </w:r>
      <w:r w:rsidR="00D33B0A" w:rsidRPr="000317C6">
        <w:rPr>
          <w:rFonts w:ascii="Verdana" w:eastAsia="Times New Roman" w:hAnsi="Verdana" w:cs="Arial"/>
          <w:kern w:val="2"/>
          <w:sz w:val="20"/>
          <w:szCs w:val="20"/>
          <w:shd w:val="clear" w:color="auto" w:fill="FFFFFF"/>
          <w:lang w:val="es-ES_tradnl" w:eastAsia="es-ES"/>
          <w14:ligatures w14:val="standardContextual"/>
        </w:rPr>
        <w:t xml:space="preserve"> […]</w:t>
      </w:r>
    </w:p>
    <w:p w14:paraId="2E1335FF" w14:textId="77777777" w:rsidR="00713A26" w:rsidRPr="00713A26" w:rsidRDefault="00713A26" w:rsidP="00713A26">
      <w:pPr>
        <w:spacing w:after="0" w:line="276" w:lineRule="auto"/>
        <w:jc w:val="both"/>
        <w:rPr>
          <w:rFonts w:ascii="Verdana" w:eastAsia="Aptos" w:hAnsi="Verdana" w:cs="Arial"/>
          <w:b/>
          <w:color w:val="000000"/>
          <w:kern w:val="2"/>
          <w:lang w:val="es-ES_tradnl"/>
          <w14:ligatures w14:val="standardContextual"/>
        </w:rPr>
      </w:pPr>
    </w:p>
    <w:p w14:paraId="320B44BD" w14:textId="77777777" w:rsidR="00713A26" w:rsidRPr="00713A26" w:rsidRDefault="00713A26" w:rsidP="00713A26">
      <w:pPr>
        <w:spacing w:line="276" w:lineRule="auto"/>
        <w:contextualSpacing/>
        <w:jc w:val="both"/>
        <w:rPr>
          <w:rFonts w:ascii="Verdana" w:eastAsia="Aptos" w:hAnsi="Verdana" w:cs="Arial"/>
          <w:b/>
          <w:bCs/>
          <w:color w:val="000000"/>
          <w:kern w:val="2"/>
          <w:lang w:val="es-ES_tradnl"/>
          <w14:ligatures w14:val="standardContextual"/>
        </w:rPr>
      </w:pPr>
      <w:r w:rsidRPr="00713A26">
        <w:rPr>
          <w:rFonts w:ascii="Verdana" w:eastAsia="Aptos" w:hAnsi="Verdana" w:cs="Arial"/>
          <w:b/>
          <w:bCs/>
          <w:color w:val="000000"/>
          <w:kern w:val="2"/>
          <w:lang w:val="es-ES_tradnl"/>
          <w14:ligatures w14:val="standardContextual"/>
        </w:rPr>
        <w:t xml:space="preserve">CAPACIDAD RESIDUAL – Concepto – Verificación </w:t>
      </w:r>
    </w:p>
    <w:p w14:paraId="7558DCFA" w14:textId="77777777" w:rsidR="00713A26" w:rsidRPr="00713A26" w:rsidRDefault="00713A26" w:rsidP="00713A26">
      <w:pPr>
        <w:spacing w:line="276" w:lineRule="auto"/>
        <w:contextualSpacing/>
        <w:jc w:val="both"/>
        <w:rPr>
          <w:rFonts w:ascii="Verdana" w:eastAsia="Aptos" w:hAnsi="Verdana" w:cs="Arial"/>
          <w:b/>
          <w:bCs/>
          <w:color w:val="000000"/>
          <w:kern w:val="2"/>
          <w:lang w:val="es-ES_tradnl"/>
          <w14:ligatures w14:val="standardContextual"/>
        </w:rPr>
      </w:pPr>
    </w:p>
    <w:p w14:paraId="51640C83" w14:textId="38A2D250" w:rsidR="00D33B0A" w:rsidRPr="000317C6" w:rsidRDefault="00713A26" w:rsidP="000317C6">
      <w:pPr>
        <w:widowControl w:val="0"/>
        <w:autoSpaceDE w:val="0"/>
        <w:autoSpaceDN w:val="0"/>
        <w:spacing w:after="0" w:line="240" w:lineRule="auto"/>
        <w:jc w:val="both"/>
        <w:rPr>
          <w:rFonts w:ascii="Verdana" w:eastAsia="Aptos" w:hAnsi="Verdana" w:cs="Arial"/>
          <w:color w:val="000000"/>
          <w:kern w:val="2"/>
          <w:sz w:val="20"/>
          <w:szCs w:val="20"/>
          <w:lang w:val="es-ES_tradnl"/>
          <w14:ligatures w14:val="standardContextual"/>
        </w:rPr>
      </w:pPr>
      <w:r w:rsidRPr="000317C6">
        <w:rPr>
          <w:rFonts w:ascii="Verdana" w:eastAsia="Aptos" w:hAnsi="Verdana" w:cs="Arial"/>
          <w:color w:val="000000"/>
          <w:kern w:val="2"/>
          <w:sz w:val="20"/>
          <w:szCs w:val="20"/>
          <w:lang w:val="es-ES_tradnl"/>
          <w14:ligatures w14:val="standardContextual"/>
        </w:rPr>
        <w:t xml:space="preserve">[…] </w:t>
      </w:r>
      <w:r w:rsidR="00D33B0A" w:rsidRPr="000317C6">
        <w:rPr>
          <w:rFonts w:ascii="Verdana" w:eastAsia="Aptos" w:hAnsi="Verdana" w:cs="Arial"/>
          <w:color w:val="000000"/>
          <w:kern w:val="2"/>
          <w:sz w:val="20"/>
          <w:szCs w:val="20"/>
          <w:lang w:val="es-ES_tradnl"/>
          <w14:ligatures w14:val="standardContextual"/>
        </w:rPr>
        <w:t>debe señalarse que la capacidad residual es una aptitud que se exige a los oferentes con el objetivo de establecer o determinar si estos pueden o no cumplir de manera oportuna y a cabalidad con las obligaciones derivadas del contrato de obra pública, sin que los demás compromisos contractuales que hubieran adquirido les afecte la habilidad de cumplir con el objeto del contrato que está en proceso de selección.</w:t>
      </w:r>
    </w:p>
    <w:p w14:paraId="1D82A93A" w14:textId="77777777" w:rsidR="00D33B0A" w:rsidRPr="000317C6" w:rsidRDefault="00D33B0A" w:rsidP="000317C6">
      <w:pPr>
        <w:widowControl w:val="0"/>
        <w:autoSpaceDE w:val="0"/>
        <w:autoSpaceDN w:val="0"/>
        <w:spacing w:after="0" w:line="240" w:lineRule="auto"/>
        <w:jc w:val="both"/>
        <w:rPr>
          <w:rFonts w:ascii="Verdana" w:eastAsia="Aptos" w:hAnsi="Verdana" w:cs="Arial"/>
          <w:color w:val="000000"/>
          <w:kern w:val="2"/>
          <w:sz w:val="20"/>
          <w:szCs w:val="20"/>
          <w:lang w:val="es-ES_tradnl"/>
          <w14:ligatures w14:val="standardContextual"/>
        </w:rPr>
      </w:pPr>
      <w:r w:rsidRPr="000317C6">
        <w:rPr>
          <w:rFonts w:ascii="Verdana" w:eastAsia="Aptos" w:hAnsi="Verdana" w:cs="Arial"/>
          <w:color w:val="000000"/>
          <w:kern w:val="2"/>
          <w:sz w:val="20"/>
          <w:szCs w:val="20"/>
          <w:lang w:val="es-ES_tradnl"/>
          <w14:ligatures w14:val="standardContextual"/>
        </w:rPr>
        <w:tab/>
      </w:r>
    </w:p>
    <w:p w14:paraId="7ECDC483" w14:textId="24EFC5C4" w:rsidR="00713A26" w:rsidRPr="000317C6" w:rsidRDefault="00D33B0A" w:rsidP="000317C6">
      <w:pPr>
        <w:widowControl w:val="0"/>
        <w:autoSpaceDE w:val="0"/>
        <w:autoSpaceDN w:val="0"/>
        <w:spacing w:after="0" w:line="240" w:lineRule="auto"/>
        <w:jc w:val="both"/>
        <w:rPr>
          <w:rFonts w:ascii="Verdana" w:eastAsia="Arial" w:hAnsi="Verdana" w:cs="Arial"/>
          <w:kern w:val="2"/>
          <w:sz w:val="20"/>
          <w:szCs w:val="20"/>
          <w:lang w:eastAsia="es-ES" w:bidi="es-ES"/>
          <w14:ligatures w14:val="standardContextual"/>
        </w:rPr>
      </w:pPr>
      <w:r w:rsidRPr="000317C6">
        <w:rPr>
          <w:rFonts w:ascii="Verdana" w:eastAsia="Aptos" w:hAnsi="Verdana" w:cs="Arial"/>
          <w:color w:val="000000"/>
          <w:kern w:val="2"/>
          <w:sz w:val="20"/>
          <w:szCs w:val="20"/>
          <w:lang w:val="es-ES_tradnl"/>
          <w14:ligatures w14:val="standardContextual"/>
        </w:rPr>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p>
    <w:p w14:paraId="36F8D69E" w14:textId="77777777" w:rsidR="00713A26" w:rsidRPr="000317C6" w:rsidRDefault="00713A26" w:rsidP="000317C6">
      <w:pPr>
        <w:spacing w:after="0" w:line="240" w:lineRule="auto"/>
        <w:jc w:val="both"/>
        <w:rPr>
          <w:rFonts w:ascii="Verdana" w:eastAsia="Aptos" w:hAnsi="Verdana" w:cs="Arial"/>
          <w:color w:val="000000"/>
          <w:kern w:val="2"/>
          <w:sz w:val="20"/>
          <w:szCs w:val="20"/>
          <w:lang w:val="es-ES_tradnl"/>
          <w14:ligatures w14:val="standardContextual"/>
        </w:rPr>
      </w:pPr>
      <w:r w:rsidRPr="000317C6">
        <w:rPr>
          <w:rFonts w:ascii="Verdana" w:eastAsia="Aptos" w:hAnsi="Verdana" w:cs="Arial"/>
          <w:color w:val="000000"/>
          <w:kern w:val="2"/>
          <w:sz w:val="20"/>
          <w:szCs w:val="20"/>
          <w:lang w:val="es-ES_tradnl"/>
          <w14:ligatures w14:val="standardContextual"/>
        </w:rPr>
        <w:t>[…]</w:t>
      </w:r>
    </w:p>
    <w:p w14:paraId="49CD92CF" w14:textId="77777777" w:rsidR="000317C6" w:rsidRPr="00713A26" w:rsidRDefault="000317C6" w:rsidP="000317C6">
      <w:pPr>
        <w:spacing w:after="0" w:line="240" w:lineRule="auto"/>
        <w:jc w:val="both"/>
        <w:rPr>
          <w:rFonts w:ascii="Verdana" w:eastAsia="Calibri" w:hAnsi="Verdana" w:cs="Arial"/>
          <w:kern w:val="2"/>
          <w14:ligatures w14:val="standardContextual"/>
        </w:rPr>
      </w:pPr>
      <w:r w:rsidRPr="000317C6">
        <w:rPr>
          <w:rFonts w:ascii="Verdana" w:eastAsia="Calibri" w:hAnsi="Verdana" w:cs="Arial"/>
          <w:kern w:val="2"/>
          <w:sz w:val="20"/>
          <w:szCs w:val="20"/>
          <w14:ligatures w14:val="standardContextual"/>
        </w:rPr>
        <w:t xml:space="preserve">De acuerdo con el artículo 72 de la Ley 1682 de 2013, </w:t>
      </w:r>
      <w:r w:rsidRPr="000317C6">
        <w:rPr>
          <w:rFonts w:ascii="Verdana" w:eastAsia="Aptos" w:hAnsi="Verdana" w:cs="Arial"/>
          <w:kern w:val="2"/>
          <w:sz w:val="20"/>
          <w:szCs w:val="20"/>
          <w14:ligatures w14:val="standardContextual"/>
        </w:rPr>
        <w:t xml:space="preserve">por la cual se adoptan medidas y disposiciones para los proyectos de infraestructura de transporte, </w:t>
      </w:r>
      <w:r w:rsidRPr="000317C6">
        <w:rPr>
          <w:rFonts w:ascii="Verdana" w:eastAsia="Calibri" w:hAnsi="Verdana" w:cs="Arial"/>
          <w:kern w:val="2"/>
          <w:sz w:val="20"/>
          <w:szCs w:val="20"/>
          <w14:ligatures w14:val="standardContextual"/>
        </w:rPr>
        <w:t>la “</w:t>
      </w:r>
      <w:r w:rsidRPr="000317C6">
        <w:rPr>
          <w:rFonts w:ascii="Verdana" w:eastAsia="Calibri" w:hAnsi="Verdana" w:cs="Arial"/>
          <w:i/>
          <w:kern w:val="2"/>
          <w:sz w:val="20"/>
          <w:szCs w:val="20"/>
          <w14:ligatures w14:val="standardContextual"/>
        </w:rPr>
        <w:t>capacidad residual de contratación cuando se realicen contratos de obra pública se obtendrá de sustraer de la capacidad de contratación, el saldo del valor de los contratos en ejecución</w:t>
      </w:r>
      <w:r w:rsidRPr="000317C6">
        <w:rPr>
          <w:rFonts w:ascii="Verdana" w:eastAsia="Calibri" w:hAnsi="Verdana" w:cs="Arial"/>
          <w:i/>
          <w:iCs/>
          <w:kern w:val="2"/>
          <w:sz w:val="20"/>
          <w:szCs w:val="20"/>
          <w14:ligatures w14:val="standardContextual"/>
        </w:rPr>
        <w:t>”</w:t>
      </w:r>
      <w:r w:rsidRPr="000317C6">
        <w:rPr>
          <w:rFonts w:ascii="Verdana" w:eastAsia="Calibri" w:hAnsi="Verdana" w:cs="Arial"/>
          <w:i/>
          <w:kern w:val="2"/>
          <w:sz w:val="20"/>
          <w:szCs w:val="20"/>
          <w14:ligatures w14:val="standardContextual"/>
        </w:rPr>
        <w:t>.</w:t>
      </w:r>
      <w:r w:rsidRPr="000317C6">
        <w:rPr>
          <w:rFonts w:ascii="Verdana" w:eastAsia="Calibri" w:hAnsi="Verdana" w:cs="Arial"/>
          <w:kern w:val="2"/>
          <w:sz w:val="20"/>
          <w:szCs w:val="20"/>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6B8C94CC" w14:textId="77777777" w:rsidR="00713A26" w:rsidRPr="00713A26" w:rsidRDefault="00713A26" w:rsidP="00713A26">
      <w:pPr>
        <w:spacing w:line="276" w:lineRule="auto"/>
        <w:contextualSpacing/>
        <w:jc w:val="both"/>
        <w:rPr>
          <w:rFonts w:ascii="Verdana" w:eastAsia="Aptos" w:hAnsi="Verdana" w:cs="Arial"/>
          <w:b/>
          <w:bCs/>
          <w:color w:val="000000"/>
          <w:kern w:val="2"/>
          <w:lang w:val="es-ES_tradnl"/>
          <w14:ligatures w14:val="standardContextual"/>
        </w:rPr>
      </w:pPr>
    </w:p>
    <w:p w14:paraId="0B354695" w14:textId="77777777" w:rsidR="00713A26" w:rsidRPr="00713A26" w:rsidRDefault="00713A26" w:rsidP="00713A26">
      <w:pPr>
        <w:spacing w:line="276" w:lineRule="auto"/>
        <w:contextualSpacing/>
        <w:jc w:val="both"/>
        <w:rPr>
          <w:rFonts w:ascii="Verdana" w:eastAsia="Aptos" w:hAnsi="Verdana" w:cs="Arial"/>
          <w:b/>
          <w:bCs/>
          <w:color w:val="000000"/>
          <w:kern w:val="2"/>
          <w:lang w:val="es-ES_tradnl"/>
          <w14:ligatures w14:val="standardContextual"/>
        </w:rPr>
      </w:pPr>
      <w:r w:rsidRPr="00713A26">
        <w:rPr>
          <w:rFonts w:ascii="Verdana" w:eastAsia="Aptos" w:hAnsi="Verdana" w:cs="Arial"/>
          <w:b/>
          <w:bCs/>
          <w:color w:val="000000"/>
          <w:kern w:val="2"/>
          <w:lang w:val="es-ES_tradnl"/>
          <w14:ligatures w14:val="standardContextual"/>
        </w:rPr>
        <w:t>CAPACIDAD RESIDUAL – Guía para determinar y verificar la Capacidad Residual del proponente en los Procesos de Contratación de obra pública – Anexos sugeridos – Firmas</w:t>
      </w:r>
    </w:p>
    <w:p w14:paraId="15E17EE6" w14:textId="77777777" w:rsidR="00713A26" w:rsidRPr="00713A26" w:rsidRDefault="00713A26" w:rsidP="00713A26">
      <w:pPr>
        <w:spacing w:line="276" w:lineRule="auto"/>
        <w:contextualSpacing/>
        <w:jc w:val="both"/>
        <w:rPr>
          <w:rFonts w:ascii="Verdana" w:eastAsia="Aptos" w:hAnsi="Verdana" w:cs="Arial"/>
          <w:color w:val="000000"/>
          <w:kern w:val="2"/>
          <w:lang w:val="es-ES_tradnl"/>
          <w14:ligatures w14:val="standardContextual"/>
        </w:rPr>
      </w:pPr>
    </w:p>
    <w:p w14:paraId="341199DE" w14:textId="77777777" w:rsidR="000317C6" w:rsidRDefault="000317C6" w:rsidP="000317C6">
      <w:pPr>
        <w:spacing w:after="0" w:line="240" w:lineRule="auto"/>
        <w:jc w:val="both"/>
        <w:rPr>
          <w:rFonts w:ascii="Verdana" w:eastAsia="Aptos" w:hAnsi="Verdana" w:cs="Times New Roman"/>
          <w:color w:val="000000"/>
          <w:kern w:val="2"/>
          <w:sz w:val="20"/>
          <w:szCs w:val="20"/>
          <w:lang w:val="es-ES"/>
          <w14:ligatures w14:val="standardContextual"/>
        </w:rPr>
      </w:pPr>
      <w:r w:rsidRPr="000317C6">
        <w:rPr>
          <w:rFonts w:ascii="Verdana" w:eastAsia="Calibri" w:hAnsi="Verdana" w:cs="Arial"/>
          <w:color w:val="000000"/>
          <w:kern w:val="2"/>
          <w:sz w:val="20"/>
          <w:szCs w:val="20"/>
          <w14:ligatures w14:val="standardContextual"/>
        </w:rPr>
        <w:t xml:space="preserve">Se observa en la “Guía para determinar y verificar la Capacidad Residual del proponente en los Procesos de Contratación de obra pública”, </w:t>
      </w:r>
      <w:r w:rsidRPr="000317C6">
        <w:rPr>
          <w:rFonts w:ascii="Verdana" w:eastAsia="Aptos" w:hAnsi="Verdana" w:cs="Times New Roman"/>
          <w:color w:val="000000"/>
          <w:kern w:val="2"/>
          <w:sz w:val="20"/>
          <w:szCs w:val="20"/>
          <w:lang w:val="es-ES"/>
          <w14:ligatures w14:val="standardContextual"/>
        </w:rPr>
        <w:t xml:space="preserve">que para acreditar la Capacidad Técnica (CT) y los Saldos de Contratos en Ejecución (SCE), es el proponente quien debe diligenciar el formato establecido en los pliegos de condiciones. De igual forma, la mencionada Guía sugiere el uso del “Anexo 2 – Certificación de la Capacidad Técnica” y “Anexo 3 – Certificación de Saldos de Contratos en Ejecución (SCE)”. </w:t>
      </w:r>
    </w:p>
    <w:p w14:paraId="0E25C2D3" w14:textId="77777777" w:rsidR="000317C6" w:rsidRPr="000317C6" w:rsidRDefault="000317C6" w:rsidP="000317C6">
      <w:pPr>
        <w:spacing w:after="0" w:line="240" w:lineRule="auto"/>
        <w:jc w:val="both"/>
        <w:rPr>
          <w:rFonts w:ascii="Verdana" w:eastAsia="Aptos" w:hAnsi="Verdana" w:cs="Times New Roman"/>
          <w:color w:val="000000"/>
          <w:kern w:val="2"/>
          <w:sz w:val="20"/>
          <w:szCs w:val="20"/>
          <w:lang w:val="es-ES"/>
          <w14:ligatures w14:val="standardContextual"/>
        </w:rPr>
      </w:pPr>
    </w:p>
    <w:p w14:paraId="2248A720" w14:textId="77777777" w:rsidR="000317C6" w:rsidRPr="000317C6" w:rsidRDefault="000317C6" w:rsidP="000317C6">
      <w:pPr>
        <w:spacing w:after="0" w:line="240" w:lineRule="auto"/>
        <w:jc w:val="both"/>
        <w:rPr>
          <w:rFonts w:ascii="Verdana" w:eastAsia="Aptos" w:hAnsi="Verdana" w:cs="Times New Roman"/>
          <w:color w:val="000000"/>
          <w:kern w:val="2"/>
          <w:sz w:val="20"/>
          <w:szCs w:val="20"/>
          <w:lang w:val="es-ES"/>
          <w14:ligatures w14:val="standardContextual"/>
        </w:rPr>
      </w:pPr>
      <w:r w:rsidRPr="000317C6">
        <w:rPr>
          <w:rFonts w:ascii="Verdana" w:eastAsia="Aptos" w:hAnsi="Verdana" w:cs="Times New Roman"/>
          <w:color w:val="000000"/>
          <w:kern w:val="2"/>
          <w:sz w:val="20"/>
          <w:szCs w:val="20"/>
          <w:lang w:val="es-ES"/>
          <w14:ligatures w14:val="standardContextual"/>
        </w:rPr>
        <w:t xml:space="preserve">Respecto al Anexo 2, el formato sugerido indica que deberá ser suscrito por el representante legal del proponente y el auditor o revisor fiscal; por su parte, y con relación al Anexo 3, el formato sugerido indica que deberá ser suscrito por el representante legal y su revisor fiscal, si el proponente está obligado a tenerlo, o por el contador público o auditor independiente. </w:t>
      </w:r>
    </w:p>
    <w:p w14:paraId="332D78C6" w14:textId="654C1D6C" w:rsidR="00713A26" w:rsidRPr="00713A26" w:rsidRDefault="00713A26" w:rsidP="000317C6">
      <w:pPr>
        <w:spacing w:after="0" w:line="240" w:lineRule="auto"/>
        <w:jc w:val="both"/>
        <w:rPr>
          <w:rFonts w:ascii="Verdana" w:eastAsia="Aptos" w:hAnsi="Verdana" w:cs="Times New Roman"/>
          <w:color w:val="000000"/>
          <w:kern w:val="2"/>
          <w:lang w:val="es-ES"/>
          <w14:ligatures w14:val="standardContextual"/>
        </w:rPr>
      </w:pPr>
      <w:r w:rsidRPr="00713A26">
        <w:rPr>
          <w:rFonts w:ascii="Verdana" w:eastAsia="Aptos" w:hAnsi="Verdana" w:cs="Times New Roman"/>
          <w:color w:val="000000"/>
          <w:kern w:val="2"/>
          <w:lang w:val="es-ES"/>
          <w14:ligatures w14:val="standardContextual"/>
        </w:rPr>
        <w:t xml:space="preserve"> </w:t>
      </w:r>
    </w:p>
    <w:p w14:paraId="727F00FE" w14:textId="77777777" w:rsidR="00713A26" w:rsidRPr="00713A26" w:rsidRDefault="00713A26" w:rsidP="00713A26">
      <w:pPr>
        <w:spacing w:after="0" w:line="240" w:lineRule="auto"/>
        <w:rPr>
          <w:rFonts w:ascii="Verdana" w:eastAsia="Calibri" w:hAnsi="Verdana" w:cs="Times New Roman"/>
          <w:lang w:val="es-ES_tradnl"/>
        </w:rPr>
      </w:pPr>
    </w:p>
    <w:p w14:paraId="0D5611E7" w14:textId="77777777" w:rsidR="00713A26" w:rsidRPr="00713A26" w:rsidRDefault="00713A26" w:rsidP="00713A26">
      <w:pPr>
        <w:spacing w:after="0" w:line="240" w:lineRule="auto"/>
        <w:rPr>
          <w:rFonts w:ascii="Verdana" w:eastAsia="Calibri" w:hAnsi="Verdana" w:cs="Times New Roman"/>
          <w:lang w:val="es-ES_tradnl"/>
        </w:rPr>
      </w:pPr>
    </w:p>
    <w:p w14:paraId="39F987AF" w14:textId="77777777" w:rsidR="00713A26" w:rsidRPr="00713A26" w:rsidRDefault="00713A26" w:rsidP="00713A26">
      <w:pPr>
        <w:spacing w:after="0" w:line="240" w:lineRule="auto"/>
        <w:rPr>
          <w:rFonts w:ascii="Verdana" w:eastAsia="Calibri" w:hAnsi="Verdana" w:cs="Times New Roman"/>
          <w:lang w:val="es-ES_tradnl"/>
        </w:rPr>
      </w:pPr>
    </w:p>
    <w:p w14:paraId="34D72A54" w14:textId="77777777" w:rsidR="00713A26" w:rsidRPr="00713A26" w:rsidRDefault="00713A26" w:rsidP="00713A26">
      <w:pPr>
        <w:spacing w:after="0" w:line="240" w:lineRule="auto"/>
        <w:rPr>
          <w:rFonts w:ascii="Verdana" w:eastAsia="Calibri" w:hAnsi="Verdana" w:cs="Times New Roman"/>
          <w:lang w:val="es-ES_tradnl"/>
        </w:rPr>
      </w:pPr>
    </w:p>
    <w:p w14:paraId="3D7FA59E" w14:textId="77777777" w:rsidR="00713A26" w:rsidRPr="00713A26" w:rsidRDefault="00713A26" w:rsidP="00713A26">
      <w:pPr>
        <w:spacing w:after="0" w:line="240" w:lineRule="auto"/>
        <w:rPr>
          <w:rFonts w:ascii="Verdana" w:eastAsia="Calibri" w:hAnsi="Verdana" w:cs="Times New Roman"/>
          <w:lang w:val="es-ES_tradnl"/>
        </w:rPr>
      </w:pPr>
    </w:p>
    <w:p w14:paraId="650174B7" w14:textId="77777777" w:rsidR="00713A26" w:rsidRPr="00713A26" w:rsidRDefault="00713A26" w:rsidP="00713A26">
      <w:pPr>
        <w:spacing w:after="0" w:line="240" w:lineRule="auto"/>
        <w:rPr>
          <w:rFonts w:ascii="Verdana" w:eastAsia="Calibri" w:hAnsi="Verdana" w:cs="Times New Roman"/>
          <w:lang w:val="es-ES_tradnl"/>
        </w:rPr>
      </w:pPr>
    </w:p>
    <w:p w14:paraId="03E773EA" w14:textId="77777777" w:rsidR="00713A26" w:rsidRPr="00713A26" w:rsidRDefault="00713A26" w:rsidP="00713A26">
      <w:pPr>
        <w:spacing w:after="0" w:line="240" w:lineRule="auto"/>
        <w:jc w:val="both"/>
        <w:rPr>
          <w:rFonts w:ascii="Verdana" w:eastAsia="Calibri" w:hAnsi="Verdana" w:cs="Times New Roman"/>
          <w:lang w:val="es-ES_tradnl"/>
        </w:rPr>
      </w:pPr>
    </w:p>
    <w:p w14:paraId="61568CE8" w14:textId="77777777" w:rsidR="00713A26" w:rsidRPr="00713A26" w:rsidRDefault="00713A26" w:rsidP="00713A26">
      <w:pPr>
        <w:spacing w:after="0" w:line="240" w:lineRule="auto"/>
        <w:jc w:val="both"/>
        <w:rPr>
          <w:rFonts w:ascii="Verdana" w:eastAsia="Calibri" w:hAnsi="Verdana" w:cs="Times New Roman"/>
          <w:lang w:val="es-ES_tradnl"/>
        </w:rPr>
      </w:pPr>
    </w:p>
    <w:p w14:paraId="50688343" w14:textId="77777777" w:rsidR="00713A26" w:rsidRPr="00713A26" w:rsidRDefault="00713A26" w:rsidP="00713A26">
      <w:pPr>
        <w:spacing w:after="0" w:line="240" w:lineRule="auto"/>
        <w:jc w:val="both"/>
        <w:rPr>
          <w:rFonts w:ascii="Verdana" w:eastAsia="Calibri" w:hAnsi="Verdana" w:cs="Times New Roman"/>
          <w:lang w:val="es-ES_tradnl"/>
        </w:rPr>
      </w:pPr>
    </w:p>
    <w:p w14:paraId="54807928" w14:textId="77777777" w:rsidR="00713A26" w:rsidRPr="00713A26" w:rsidRDefault="00713A26" w:rsidP="00713A26">
      <w:pPr>
        <w:spacing w:after="0" w:line="240" w:lineRule="auto"/>
        <w:jc w:val="both"/>
        <w:rPr>
          <w:rFonts w:ascii="Verdana" w:eastAsia="Calibri" w:hAnsi="Verdana" w:cs="Times New Roman"/>
          <w:lang w:val="es-ES_tradnl"/>
        </w:rPr>
      </w:pPr>
    </w:p>
    <w:p w14:paraId="5FB4C8DF" w14:textId="77777777" w:rsidR="00713A26" w:rsidRPr="00713A26" w:rsidRDefault="00713A26" w:rsidP="00713A26">
      <w:pPr>
        <w:spacing w:after="0" w:line="240" w:lineRule="auto"/>
        <w:jc w:val="both"/>
        <w:rPr>
          <w:rFonts w:ascii="Verdana" w:eastAsia="Calibri" w:hAnsi="Verdana" w:cs="Times New Roman"/>
          <w:lang w:val="es-ES_tradnl"/>
        </w:rPr>
      </w:pPr>
    </w:p>
    <w:p w14:paraId="358B0EF2" w14:textId="77777777" w:rsidR="00713A26" w:rsidRPr="00713A26" w:rsidRDefault="00713A26" w:rsidP="00713A26">
      <w:pPr>
        <w:spacing w:after="0" w:line="240" w:lineRule="auto"/>
        <w:jc w:val="both"/>
        <w:rPr>
          <w:rFonts w:ascii="Verdana" w:eastAsia="Calibri" w:hAnsi="Verdana" w:cs="Times New Roman"/>
          <w:lang w:val="es-ES_tradnl"/>
        </w:rPr>
      </w:pPr>
    </w:p>
    <w:p w14:paraId="32C91E06" w14:textId="77777777" w:rsidR="00713A26" w:rsidRPr="00713A26" w:rsidRDefault="00713A26" w:rsidP="00713A26">
      <w:pPr>
        <w:spacing w:after="0" w:line="240" w:lineRule="auto"/>
        <w:jc w:val="both"/>
        <w:rPr>
          <w:rFonts w:ascii="Verdana" w:eastAsia="Calibri" w:hAnsi="Verdana" w:cs="Times New Roman"/>
          <w:lang w:val="es-ES_tradnl"/>
        </w:rPr>
      </w:pPr>
    </w:p>
    <w:p w14:paraId="6891AA4A" w14:textId="77777777" w:rsidR="00713A26" w:rsidRPr="00713A26" w:rsidRDefault="00713A26" w:rsidP="00713A26">
      <w:pPr>
        <w:spacing w:after="0" w:line="240" w:lineRule="auto"/>
        <w:jc w:val="both"/>
        <w:rPr>
          <w:rFonts w:ascii="Verdana" w:eastAsia="Calibri" w:hAnsi="Verdana" w:cs="Times New Roman"/>
          <w:lang w:val="es-ES_tradnl"/>
        </w:rPr>
      </w:pPr>
    </w:p>
    <w:p w14:paraId="373EB81E" w14:textId="77777777" w:rsidR="00713A26" w:rsidRPr="00713A26" w:rsidRDefault="00713A26" w:rsidP="00713A26">
      <w:pPr>
        <w:spacing w:after="0" w:line="240" w:lineRule="auto"/>
        <w:jc w:val="both"/>
        <w:rPr>
          <w:rFonts w:ascii="Verdana" w:eastAsia="Calibri" w:hAnsi="Verdana" w:cs="Times New Roman"/>
          <w:lang w:val="es-ES_tradnl"/>
        </w:rPr>
      </w:pPr>
    </w:p>
    <w:p w14:paraId="7C2A2B90" w14:textId="77777777" w:rsidR="00713A26" w:rsidRPr="00713A26" w:rsidRDefault="00713A26" w:rsidP="00713A26">
      <w:pPr>
        <w:spacing w:after="0" w:line="240" w:lineRule="auto"/>
        <w:jc w:val="both"/>
        <w:rPr>
          <w:rFonts w:ascii="Verdana" w:eastAsia="Calibri" w:hAnsi="Verdana" w:cs="Times New Roman"/>
          <w:lang w:val="es-ES_tradnl"/>
        </w:rPr>
      </w:pPr>
    </w:p>
    <w:p w14:paraId="78D63D41" w14:textId="77777777" w:rsidR="00713A26" w:rsidRPr="00713A26" w:rsidRDefault="00713A26" w:rsidP="00713A26">
      <w:pPr>
        <w:spacing w:after="0" w:line="240" w:lineRule="auto"/>
        <w:jc w:val="both"/>
        <w:rPr>
          <w:rFonts w:ascii="Verdana" w:eastAsia="Calibri" w:hAnsi="Verdana" w:cs="Times New Roman"/>
          <w:lang w:val="es-ES_tradnl"/>
        </w:rPr>
      </w:pPr>
    </w:p>
    <w:p w14:paraId="4DF8CFE3" w14:textId="77777777" w:rsidR="00713A26" w:rsidRPr="00713A26" w:rsidRDefault="00713A26" w:rsidP="00713A26">
      <w:pPr>
        <w:spacing w:after="0" w:line="240" w:lineRule="auto"/>
        <w:jc w:val="both"/>
        <w:rPr>
          <w:rFonts w:ascii="Verdana" w:eastAsia="Calibri" w:hAnsi="Verdana" w:cs="Times New Roman"/>
          <w:lang w:val="es-ES_tradnl"/>
        </w:rPr>
      </w:pPr>
    </w:p>
    <w:p w14:paraId="5D4C193F" w14:textId="77777777" w:rsidR="00713A26" w:rsidRPr="00713A26" w:rsidRDefault="00713A26" w:rsidP="00713A26">
      <w:pPr>
        <w:spacing w:after="0" w:line="240" w:lineRule="auto"/>
        <w:jc w:val="both"/>
        <w:rPr>
          <w:rFonts w:ascii="Verdana" w:eastAsia="Calibri" w:hAnsi="Verdana" w:cs="Times New Roman"/>
          <w:lang w:val="es-ES_tradnl"/>
        </w:rPr>
      </w:pPr>
    </w:p>
    <w:p w14:paraId="4B71614D" w14:textId="77777777" w:rsidR="00713A26" w:rsidRDefault="00713A26" w:rsidP="00713A26">
      <w:pPr>
        <w:spacing w:after="0" w:line="240" w:lineRule="auto"/>
        <w:jc w:val="both"/>
        <w:rPr>
          <w:rFonts w:ascii="Verdana" w:eastAsia="Calibri" w:hAnsi="Verdana" w:cs="Times New Roman"/>
          <w:lang w:val="es-ES_tradnl"/>
        </w:rPr>
      </w:pPr>
    </w:p>
    <w:p w14:paraId="6A8A85C6" w14:textId="77777777" w:rsidR="0048331E" w:rsidRDefault="0048331E" w:rsidP="00713A26">
      <w:pPr>
        <w:spacing w:after="0" w:line="240" w:lineRule="auto"/>
        <w:jc w:val="both"/>
        <w:rPr>
          <w:rFonts w:ascii="Verdana" w:eastAsia="Calibri" w:hAnsi="Verdana" w:cs="Times New Roman"/>
          <w:lang w:val="es-ES_tradnl"/>
        </w:rPr>
      </w:pPr>
    </w:p>
    <w:p w14:paraId="702B6B47" w14:textId="77777777" w:rsidR="0048331E" w:rsidRPr="00713A26" w:rsidRDefault="0048331E" w:rsidP="00713A26">
      <w:pPr>
        <w:spacing w:after="0" w:line="240" w:lineRule="auto"/>
        <w:jc w:val="both"/>
        <w:rPr>
          <w:rFonts w:ascii="Verdana" w:eastAsia="Calibri" w:hAnsi="Verdana" w:cs="Times New Roman"/>
          <w:lang w:val="es-ES_tradnl"/>
        </w:rPr>
      </w:pPr>
    </w:p>
    <w:p w14:paraId="45BDFE7E" w14:textId="77777777" w:rsidR="00713A26" w:rsidRDefault="00713A26" w:rsidP="00713A26">
      <w:pPr>
        <w:spacing w:after="0" w:line="240" w:lineRule="auto"/>
        <w:jc w:val="both"/>
        <w:rPr>
          <w:rFonts w:ascii="Verdana" w:eastAsia="Calibri" w:hAnsi="Verdana" w:cs="Times New Roman"/>
          <w:lang w:val="es-ES_tradnl"/>
        </w:rPr>
      </w:pPr>
    </w:p>
    <w:p w14:paraId="7414EBBA" w14:textId="77777777" w:rsidR="000317C6" w:rsidRPr="00713A26" w:rsidRDefault="000317C6" w:rsidP="00713A26">
      <w:pPr>
        <w:spacing w:after="0" w:line="240" w:lineRule="auto"/>
        <w:jc w:val="both"/>
        <w:rPr>
          <w:rFonts w:ascii="Verdana" w:eastAsia="Calibri" w:hAnsi="Verdana" w:cs="Times New Roman"/>
          <w:lang w:val="es-ES_tradnl"/>
        </w:rPr>
      </w:pPr>
    </w:p>
    <w:p w14:paraId="24D8F64D" w14:textId="7B7DB621" w:rsidR="00713A26" w:rsidRPr="00713A26" w:rsidRDefault="00713A26" w:rsidP="00713A26">
      <w:pPr>
        <w:spacing w:after="0" w:line="240" w:lineRule="auto"/>
        <w:jc w:val="both"/>
        <w:rPr>
          <w:rFonts w:ascii="Verdana" w:eastAsia="Calibri" w:hAnsi="Verdana" w:cs="Arial"/>
          <w:lang w:val="es-ES_tradnl" w:eastAsia="es-ES"/>
        </w:rPr>
      </w:pPr>
      <w:r w:rsidRPr="00713A26">
        <w:rPr>
          <w:rFonts w:ascii="Verdana" w:eastAsia="Calibri" w:hAnsi="Verdana" w:cs="Times New Roman"/>
        </w:rPr>
        <w:lastRenderedPageBreak/>
        <w:t xml:space="preserve">Bogotá D.C., </w:t>
      </w:r>
      <w:r w:rsidR="00F659C6">
        <w:rPr>
          <w:rFonts w:ascii="Verdana" w:eastAsia="Calibri" w:hAnsi="Verdana" w:cs="Times New Roman"/>
        </w:rPr>
        <w:t>03 Marzo 2026</w:t>
      </w:r>
    </w:p>
    <w:p w14:paraId="340244A7" w14:textId="5FBCFF73" w:rsidR="00713A26" w:rsidRPr="00713A26" w:rsidRDefault="00BE11AE" w:rsidP="00DA58E0">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2EA7FDA5" wp14:editId="6D798294">
            <wp:extent cx="2414199" cy="684624"/>
            <wp:effectExtent l="0" t="0" r="0" b="1270"/>
            <wp:docPr id="977855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855074" name="Imagen 977855074"/>
                    <pic:cNvPicPr/>
                  </pic:nvPicPr>
                  <pic:blipFill>
                    <a:blip r:embed="rId10">
                      <a:extLst>
                        <a:ext uri="{28A0092B-C50C-407E-A947-70E740481C1C}">
                          <a14:useLocalDpi xmlns:a14="http://schemas.microsoft.com/office/drawing/2010/main" val="0"/>
                        </a:ext>
                      </a:extLst>
                    </a:blip>
                    <a:stretch>
                      <a:fillRect/>
                    </a:stretch>
                  </pic:blipFill>
                  <pic:spPr>
                    <a:xfrm>
                      <a:off x="0" y="0"/>
                      <a:ext cx="2429889" cy="689073"/>
                    </a:xfrm>
                    <a:prstGeom prst="rect">
                      <a:avLst/>
                    </a:prstGeom>
                  </pic:spPr>
                </pic:pic>
              </a:graphicData>
            </a:graphic>
          </wp:inline>
        </w:drawing>
      </w:r>
    </w:p>
    <w:p w14:paraId="56109D0C" w14:textId="77777777" w:rsidR="00713A26" w:rsidRPr="00713A26" w:rsidRDefault="00713A26" w:rsidP="00713A26">
      <w:pPr>
        <w:spacing w:after="0" w:line="240" w:lineRule="auto"/>
        <w:jc w:val="both"/>
        <w:rPr>
          <w:rFonts w:ascii="Verdana" w:eastAsia="Calibri" w:hAnsi="Verdana" w:cs="Arial"/>
          <w:lang w:val="es-ES_tradnl" w:eastAsia="es-ES"/>
        </w:rPr>
      </w:pPr>
      <w:r w:rsidRPr="00713A26">
        <w:rPr>
          <w:rFonts w:ascii="Verdana" w:eastAsia="Calibri" w:hAnsi="Verdana" w:cs="Arial"/>
          <w:lang w:val="es-ES_tradnl" w:eastAsia="es-ES"/>
        </w:rPr>
        <w:t>Señora</w:t>
      </w:r>
    </w:p>
    <w:p w14:paraId="5665C227" w14:textId="77777777" w:rsidR="00713A26" w:rsidRPr="00713A26" w:rsidRDefault="00713A26" w:rsidP="00713A26">
      <w:pPr>
        <w:spacing w:after="0" w:line="240" w:lineRule="auto"/>
        <w:rPr>
          <w:rFonts w:ascii="Verdana" w:eastAsia="Calibri" w:hAnsi="Verdana" w:cs="Arial"/>
          <w:b/>
          <w:bCs/>
          <w:lang w:val="es-ES" w:eastAsia="es-ES"/>
        </w:rPr>
      </w:pPr>
      <w:r w:rsidRPr="00713A26">
        <w:rPr>
          <w:rFonts w:ascii="Verdana" w:eastAsia="Calibri" w:hAnsi="Verdana" w:cs="Arial"/>
          <w:b/>
          <w:bCs/>
          <w:lang w:val="es-ES" w:eastAsia="es-ES"/>
        </w:rPr>
        <w:t>Claudia Milena Ricaurte Rincón</w:t>
      </w:r>
    </w:p>
    <w:p w14:paraId="18D6487C" w14:textId="77777777" w:rsidR="00713A26" w:rsidRPr="00713A26" w:rsidRDefault="00713A26" w:rsidP="00713A26">
      <w:pPr>
        <w:spacing w:after="0" w:line="240" w:lineRule="auto"/>
        <w:rPr>
          <w:rFonts w:ascii="Verdana" w:eastAsia="Calibri" w:hAnsi="Verdana" w:cs="Arial"/>
          <w:lang w:val="es-ES_tradnl" w:eastAsia="es-ES"/>
        </w:rPr>
      </w:pPr>
      <w:r w:rsidRPr="00713A26">
        <w:rPr>
          <w:rFonts w:ascii="Verdana" w:eastAsia="Calibri" w:hAnsi="Verdana" w:cs="Arial"/>
          <w:lang w:val="es-ES_tradnl" w:eastAsia="es-ES"/>
        </w:rPr>
        <w:t>Villavicencio, Meta</w:t>
      </w:r>
    </w:p>
    <w:p w14:paraId="6FA76941" w14:textId="77777777" w:rsidR="00713A26" w:rsidRPr="00713A26" w:rsidRDefault="00713A26" w:rsidP="00713A26">
      <w:pPr>
        <w:spacing w:after="0" w:line="240" w:lineRule="auto"/>
        <w:rPr>
          <w:rFonts w:ascii="Verdana" w:eastAsia="Calibri" w:hAnsi="Verdana" w:cs="Arial"/>
          <w:b/>
          <w:bCs/>
          <w:lang w:val="es-ES_tradnl" w:eastAsia="es-ES_tradnl"/>
        </w:rPr>
      </w:pPr>
    </w:p>
    <w:p w14:paraId="047DC2E6" w14:textId="77777777" w:rsidR="00713A26" w:rsidRPr="00713A26" w:rsidRDefault="00713A26" w:rsidP="00713A26">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13A26" w:rsidRPr="00713A26" w14:paraId="47A27F56" w14:textId="77777777" w:rsidTr="005418D5">
        <w:trPr>
          <w:trHeight w:val="884"/>
        </w:trPr>
        <w:tc>
          <w:tcPr>
            <w:tcW w:w="2689" w:type="dxa"/>
          </w:tcPr>
          <w:p w14:paraId="67AAB4C3" w14:textId="77777777" w:rsidR="00713A26" w:rsidRPr="00713A26" w:rsidRDefault="00713A26" w:rsidP="00713A26">
            <w:pPr>
              <w:spacing w:line="240" w:lineRule="exact"/>
              <w:jc w:val="both"/>
              <w:rPr>
                <w:rFonts w:ascii="Verdana" w:eastAsia="Calibri" w:hAnsi="Verdana" w:cs="Arial"/>
                <w:b/>
                <w:bCs/>
                <w:lang w:val="es-ES_tradnl" w:eastAsia="es-ES_tradnl"/>
              </w:rPr>
            </w:pPr>
          </w:p>
        </w:tc>
        <w:tc>
          <w:tcPr>
            <w:tcW w:w="6100" w:type="dxa"/>
          </w:tcPr>
          <w:p w14:paraId="1AE59A6C" w14:textId="77777777" w:rsidR="00713A26" w:rsidRPr="00713A26" w:rsidRDefault="00713A26" w:rsidP="00713A26">
            <w:pPr>
              <w:spacing w:line="240" w:lineRule="exact"/>
              <w:jc w:val="both"/>
              <w:rPr>
                <w:rFonts w:ascii="Verdana" w:eastAsia="Calibri" w:hAnsi="Verdana" w:cs="Arial"/>
                <w:b/>
                <w:bCs/>
                <w:lang w:val="es-ES_tradnl" w:eastAsia="es-ES"/>
              </w:rPr>
            </w:pPr>
            <w:r w:rsidRPr="00713A26">
              <w:rPr>
                <w:rFonts w:ascii="Verdana" w:eastAsia="Calibri" w:hAnsi="Verdana" w:cs="Arial"/>
                <w:b/>
                <w:bCs/>
                <w:lang w:val="es-ES_tradnl" w:eastAsia="es-ES"/>
              </w:rPr>
              <w:t>Concepto C – 093 de 2026</w:t>
            </w:r>
          </w:p>
          <w:p w14:paraId="7561E531" w14:textId="77777777" w:rsidR="00713A26" w:rsidRPr="00713A26" w:rsidRDefault="00713A26" w:rsidP="00713A26">
            <w:pPr>
              <w:tabs>
                <w:tab w:val="left" w:pos="1137"/>
              </w:tabs>
              <w:spacing w:line="240" w:lineRule="exact"/>
              <w:rPr>
                <w:rFonts w:ascii="Verdana" w:eastAsia="Calibri" w:hAnsi="Verdana" w:cs="Arial"/>
                <w:lang w:val="es-ES_tradnl" w:eastAsia="es-ES"/>
              </w:rPr>
            </w:pPr>
            <w:r w:rsidRPr="00713A26">
              <w:rPr>
                <w:rFonts w:ascii="Verdana" w:eastAsia="Calibri" w:hAnsi="Verdana" w:cs="Arial"/>
                <w:lang w:val="es-ES_tradnl" w:eastAsia="es-ES"/>
              </w:rPr>
              <w:tab/>
            </w:r>
          </w:p>
        </w:tc>
      </w:tr>
      <w:tr w:rsidR="00713A26" w:rsidRPr="00713A26" w14:paraId="6951A951" w14:textId="77777777" w:rsidTr="005418D5">
        <w:trPr>
          <w:trHeight w:val="884"/>
        </w:trPr>
        <w:tc>
          <w:tcPr>
            <w:tcW w:w="2689" w:type="dxa"/>
          </w:tcPr>
          <w:p w14:paraId="3FFBEDDE" w14:textId="77777777" w:rsidR="00713A26" w:rsidRPr="00713A26" w:rsidRDefault="00713A26" w:rsidP="00713A26">
            <w:pPr>
              <w:spacing w:line="240" w:lineRule="exact"/>
              <w:jc w:val="both"/>
              <w:rPr>
                <w:rFonts w:ascii="Verdana" w:eastAsia="Calibri" w:hAnsi="Verdana" w:cs="Arial"/>
                <w:lang w:val="es-ES_tradnl" w:eastAsia="es-ES_tradnl"/>
              </w:rPr>
            </w:pPr>
            <w:r w:rsidRPr="00713A26">
              <w:rPr>
                <w:rFonts w:ascii="Verdana" w:eastAsia="Calibri" w:hAnsi="Verdana" w:cs="Arial"/>
                <w:b/>
                <w:lang w:val="es-ES_tradnl" w:eastAsia="es-ES_tradnl"/>
              </w:rPr>
              <w:t>Temas:</w:t>
            </w:r>
            <w:r w:rsidRPr="00713A26">
              <w:rPr>
                <w:rFonts w:ascii="Verdana" w:eastAsia="Calibri" w:hAnsi="Verdana" w:cs="Arial"/>
                <w:lang w:val="es-ES_tradnl" w:eastAsia="es-ES_tradnl"/>
              </w:rPr>
              <w:t xml:space="preserve">                   </w:t>
            </w:r>
          </w:p>
        </w:tc>
        <w:tc>
          <w:tcPr>
            <w:tcW w:w="6100" w:type="dxa"/>
          </w:tcPr>
          <w:p w14:paraId="3EE13F81" w14:textId="77777777" w:rsidR="00713A26" w:rsidRPr="00713A26" w:rsidRDefault="00713A26" w:rsidP="00713A26">
            <w:pPr>
              <w:spacing w:line="276" w:lineRule="auto"/>
              <w:contextualSpacing/>
              <w:jc w:val="both"/>
              <w:rPr>
                <w:rFonts w:ascii="Verdana" w:eastAsia="Aptos" w:hAnsi="Verdana" w:cs="Arial"/>
                <w:bCs/>
                <w:color w:val="000000"/>
                <w:lang w:val="es-ES_tradnl"/>
              </w:rPr>
            </w:pPr>
            <w:r w:rsidRPr="00713A26">
              <w:rPr>
                <w:rFonts w:ascii="Verdana" w:eastAsia="Aptos" w:hAnsi="Verdana" w:cs="Arial"/>
                <w:bCs/>
                <w:color w:val="000000"/>
                <w:lang w:val="es-ES_tradnl"/>
              </w:rPr>
              <w:t>DOCUMENTOS TIPO – Fundamento normativo / DOCUMENTOS TIPO – Formato 5 – Capacidad Residual / CAPACIDAD RESIDUAL – Concepto – Verificación / CAPACIDAD RESIDUAL – Guía para determinar y verificar la Capacidad Residual del proponente en los Procesos de Contratación de obra pública – Anexos sugeridos – Firmas</w:t>
            </w:r>
          </w:p>
          <w:p w14:paraId="624E1A3E" w14:textId="77777777" w:rsidR="00713A26" w:rsidRPr="00713A26" w:rsidRDefault="00713A26" w:rsidP="00713A26">
            <w:pPr>
              <w:spacing w:line="276" w:lineRule="auto"/>
              <w:jc w:val="both"/>
              <w:rPr>
                <w:rFonts w:ascii="Verdana" w:eastAsia="Aptos" w:hAnsi="Verdana" w:cs="Arial"/>
                <w:b/>
                <w:color w:val="000000"/>
                <w:lang w:val="es-ES_tradnl"/>
              </w:rPr>
            </w:pPr>
          </w:p>
        </w:tc>
      </w:tr>
      <w:tr w:rsidR="00713A26" w:rsidRPr="00713A26" w14:paraId="2F5016DE" w14:textId="77777777" w:rsidTr="005418D5">
        <w:tc>
          <w:tcPr>
            <w:tcW w:w="2689" w:type="dxa"/>
          </w:tcPr>
          <w:p w14:paraId="7CD97EBC" w14:textId="77777777" w:rsidR="00713A26" w:rsidRPr="00713A26" w:rsidRDefault="00713A26" w:rsidP="00713A26">
            <w:pPr>
              <w:spacing w:line="240" w:lineRule="exact"/>
              <w:jc w:val="both"/>
              <w:rPr>
                <w:rFonts w:ascii="Verdana" w:eastAsia="Calibri" w:hAnsi="Verdana" w:cs="Arial"/>
                <w:b/>
                <w:lang w:val="es-ES_tradnl" w:eastAsia="es-ES_tradnl"/>
              </w:rPr>
            </w:pPr>
            <w:r w:rsidRPr="00713A26">
              <w:rPr>
                <w:rFonts w:ascii="Verdana" w:eastAsia="Calibri" w:hAnsi="Verdana" w:cs="Arial"/>
                <w:b/>
                <w:lang w:val="es-ES_tradnl" w:eastAsia="es-ES_tradnl"/>
              </w:rPr>
              <w:t>Radicación:</w:t>
            </w:r>
            <w:r w:rsidRPr="00713A26">
              <w:rPr>
                <w:rFonts w:ascii="Verdana" w:eastAsia="Calibri" w:hAnsi="Verdana" w:cs="Arial"/>
                <w:lang w:val="es-ES_tradnl" w:eastAsia="es-ES_tradnl"/>
              </w:rPr>
              <w:t xml:space="preserve">               </w:t>
            </w:r>
          </w:p>
        </w:tc>
        <w:tc>
          <w:tcPr>
            <w:tcW w:w="6100" w:type="dxa"/>
          </w:tcPr>
          <w:p w14:paraId="3EDFEB3B" w14:textId="77777777" w:rsidR="00713A26" w:rsidRPr="00713A26" w:rsidRDefault="00713A26" w:rsidP="00713A26">
            <w:pPr>
              <w:spacing w:line="240" w:lineRule="exact"/>
              <w:jc w:val="both"/>
              <w:rPr>
                <w:rFonts w:ascii="Verdana" w:eastAsia="Calibri" w:hAnsi="Verdana" w:cs="Arial"/>
                <w:lang w:val="es-ES_tradnl" w:eastAsia="es-ES_tradnl"/>
              </w:rPr>
            </w:pPr>
            <w:r w:rsidRPr="00713A26">
              <w:rPr>
                <w:rFonts w:ascii="Verdana" w:eastAsia="Calibri" w:hAnsi="Verdana" w:cs="Arial"/>
                <w:lang w:val="es-ES_tradnl" w:eastAsia="es-ES_tradnl"/>
              </w:rPr>
              <w:t>Respuesta a consulta con radicado No. 1_2026_01_25_000757</w:t>
            </w:r>
          </w:p>
        </w:tc>
      </w:tr>
    </w:tbl>
    <w:p w14:paraId="2E8A13B9" w14:textId="77777777" w:rsidR="00713A26" w:rsidRPr="00713A26" w:rsidRDefault="00713A26" w:rsidP="00713A26">
      <w:pPr>
        <w:spacing w:after="0" w:line="240" w:lineRule="auto"/>
        <w:jc w:val="both"/>
        <w:rPr>
          <w:rFonts w:ascii="Verdana" w:eastAsia="Calibri" w:hAnsi="Verdana" w:cs="Arial"/>
          <w:lang w:val="es-ES_tradnl" w:eastAsia="es-ES_tradnl"/>
        </w:rPr>
      </w:pPr>
    </w:p>
    <w:p w14:paraId="02236838" w14:textId="77777777" w:rsidR="00713A26" w:rsidRPr="00713A26" w:rsidRDefault="00713A26" w:rsidP="00713A26">
      <w:pPr>
        <w:spacing w:after="0" w:line="240" w:lineRule="auto"/>
        <w:jc w:val="both"/>
        <w:rPr>
          <w:rFonts w:ascii="Verdana" w:eastAsia="Calibri" w:hAnsi="Verdana" w:cs="Arial"/>
          <w:lang w:val="es-ES_tradnl" w:eastAsia="es-ES_tradnl"/>
        </w:rPr>
      </w:pPr>
    </w:p>
    <w:p w14:paraId="2361CED0" w14:textId="77777777" w:rsidR="00713A26" w:rsidRPr="00713A26" w:rsidRDefault="00713A26" w:rsidP="00713A26">
      <w:pPr>
        <w:spacing w:after="0" w:line="276" w:lineRule="auto"/>
        <w:jc w:val="both"/>
        <w:rPr>
          <w:rFonts w:ascii="Verdana" w:eastAsia="Calibri" w:hAnsi="Verdana" w:cs="Arial"/>
          <w:lang w:val="es-ES" w:eastAsia="es-ES"/>
        </w:rPr>
      </w:pPr>
      <w:r w:rsidRPr="00713A26">
        <w:rPr>
          <w:rFonts w:ascii="Verdana" w:eastAsia="Calibri" w:hAnsi="Verdana" w:cs="Arial"/>
          <w:lang w:val="es-ES" w:eastAsia="es-ES"/>
        </w:rPr>
        <w:t xml:space="preserve">Estimada señora Ricaurte Rincón: </w:t>
      </w:r>
    </w:p>
    <w:p w14:paraId="7A47CA51" w14:textId="77777777" w:rsidR="00713A26" w:rsidRPr="00713A26" w:rsidRDefault="00713A26" w:rsidP="00713A26">
      <w:pPr>
        <w:tabs>
          <w:tab w:val="left" w:pos="3768"/>
        </w:tabs>
        <w:spacing w:after="0" w:line="276" w:lineRule="auto"/>
        <w:jc w:val="both"/>
        <w:rPr>
          <w:rFonts w:ascii="Verdana" w:eastAsia="Calibri" w:hAnsi="Verdana" w:cs="Arial"/>
          <w:lang w:val="es-ES_tradnl" w:eastAsia="es-ES"/>
        </w:rPr>
      </w:pPr>
      <w:r w:rsidRPr="00713A26">
        <w:rPr>
          <w:rFonts w:ascii="Verdana" w:eastAsia="Calibri" w:hAnsi="Verdana" w:cs="Arial"/>
          <w:lang w:val="es-ES_tradnl" w:eastAsia="es-ES"/>
        </w:rPr>
        <w:tab/>
      </w:r>
    </w:p>
    <w:p w14:paraId="2F298495" w14:textId="77777777" w:rsidR="00713A26" w:rsidRPr="00713A26" w:rsidRDefault="00713A26" w:rsidP="00713A26">
      <w:pPr>
        <w:snapToGrid w:val="0"/>
        <w:spacing w:after="0" w:line="276" w:lineRule="auto"/>
        <w:jc w:val="both"/>
        <w:rPr>
          <w:rFonts w:ascii="Verdana" w:eastAsia="Calibri" w:hAnsi="Verdana" w:cs="Arial"/>
          <w:lang w:val="es-ES_tradnl" w:eastAsia="es-ES"/>
        </w:rPr>
      </w:pPr>
      <w:r w:rsidRPr="00713A26">
        <w:rPr>
          <w:rFonts w:ascii="Verdana" w:eastAsia="Calibri" w:hAnsi="Verdana" w:cs="Arial"/>
          <w:lang w:val="es-ES_tradnl" w:eastAsia="es-ES"/>
        </w:rPr>
        <w:t>En ejercicio de la competencia otorgada por los artículos 3, numeral 5º, y 11, numeral 8º, del Decreto Ley 4170 de 2011,</w:t>
      </w:r>
      <w:r w:rsidRPr="00713A26">
        <w:rPr>
          <w:rFonts w:ascii="Verdana" w:eastAsia="Arial MT" w:hAnsi="Verdana" w:cs="Arial MT"/>
          <w:lang w:val="es-ES_tradnl" w:eastAsia="es-ES"/>
        </w:rPr>
        <w:t xml:space="preserve"> </w:t>
      </w:r>
      <w:r w:rsidRPr="00713A26">
        <w:rPr>
          <w:rFonts w:ascii="Verdana" w:eastAsia="Calibri" w:hAnsi="Verdana" w:cs="Arial"/>
          <w:lang w:val="es-ES_tradnl"/>
        </w:rPr>
        <w:t xml:space="preserve">así como lo establecido en el artículo 4 de la Resolución 1707 de 2018 expedida por esta Entidad, </w:t>
      </w:r>
      <w:r w:rsidRPr="00713A26">
        <w:rPr>
          <w:rFonts w:ascii="Verdana" w:eastAsia="Calibri" w:hAnsi="Verdana" w:cs="Arial"/>
          <w:lang w:val="es-ES_tradnl" w:eastAsia="es-ES"/>
        </w:rPr>
        <w:t>la Agencia Nacional de Contratación Pública –Colombia Compra Eficiente– responde su solicitud de consulta de fecha 25 de enero de 2026. En relación con los documentos tipo, usted pregunta lo siguiente:</w:t>
      </w:r>
    </w:p>
    <w:p w14:paraId="66D0050B" w14:textId="77777777" w:rsidR="00713A26" w:rsidRPr="00713A26" w:rsidRDefault="00713A26" w:rsidP="00713A26">
      <w:pPr>
        <w:tabs>
          <w:tab w:val="left" w:pos="142"/>
          <w:tab w:val="left" w:pos="1275"/>
        </w:tabs>
        <w:snapToGrid w:val="0"/>
        <w:spacing w:after="0" w:line="276" w:lineRule="auto"/>
        <w:jc w:val="both"/>
        <w:rPr>
          <w:rFonts w:ascii="Verdana" w:eastAsia="Century Gothic" w:hAnsi="Verdana" w:cs="Century Gothic"/>
          <w:b/>
          <w:bCs/>
          <w:lang w:val="es-ES_tradnl"/>
        </w:rPr>
      </w:pPr>
      <w:r w:rsidRPr="00713A26">
        <w:rPr>
          <w:rFonts w:ascii="Verdana" w:eastAsia="Century Gothic" w:hAnsi="Verdana" w:cs="Century Gothic"/>
          <w:b/>
          <w:bCs/>
          <w:lang w:val="es-ES_tradnl"/>
        </w:rPr>
        <w:tab/>
      </w:r>
      <w:r w:rsidRPr="00713A26">
        <w:rPr>
          <w:rFonts w:ascii="Verdana" w:eastAsia="Century Gothic" w:hAnsi="Verdana" w:cs="Century Gothic"/>
          <w:b/>
          <w:bCs/>
          <w:lang w:val="es-ES_tradnl"/>
        </w:rPr>
        <w:tab/>
      </w:r>
    </w:p>
    <w:p w14:paraId="555E6AAF" w14:textId="77777777" w:rsidR="00713A26" w:rsidRPr="00713A26" w:rsidRDefault="00713A26" w:rsidP="00713A26">
      <w:pPr>
        <w:snapToGrid w:val="0"/>
        <w:spacing w:after="0" w:line="240" w:lineRule="auto"/>
        <w:ind w:left="720" w:right="709"/>
        <w:jc w:val="both"/>
        <w:rPr>
          <w:rFonts w:ascii="Verdana" w:eastAsia="Century Gothic" w:hAnsi="Verdana" w:cs="Century Gothic"/>
          <w:sz w:val="21"/>
          <w:szCs w:val="21"/>
          <w:lang w:val="es-ES"/>
        </w:rPr>
      </w:pPr>
      <w:r w:rsidRPr="00713A26">
        <w:rPr>
          <w:rFonts w:ascii="Verdana" w:eastAsia="Century Gothic" w:hAnsi="Verdana" w:cs="Century Gothic"/>
          <w:sz w:val="21"/>
          <w:szCs w:val="21"/>
          <w:lang w:val="es-ES"/>
        </w:rPr>
        <w:t>“En el proceso de presentación de los Anexos 1, 2 y 3 del Formato 5 de Capacidad residual, para el caso de la empresa que no está obligada a tener Revisor Fiscal. ¿Los Anexos 2 y 3 deben pueden ser firmados por el Contador Público de la empresa o los debe firmar un Contador Público Independiente o Auditor externo</w:t>
      </w:r>
      <w:proofErr w:type="gramStart"/>
      <w:r w:rsidRPr="00713A26">
        <w:rPr>
          <w:rFonts w:ascii="Verdana" w:eastAsia="Century Gothic" w:hAnsi="Verdana" w:cs="Century Gothic"/>
          <w:sz w:val="21"/>
          <w:szCs w:val="21"/>
          <w:lang w:val="es-ES"/>
        </w:rPr>
        <w:t>? .</w:t>
      </w:r>
      <w:proofErr w:type="gramEnd"/>
      <w:r w:rsidRPr="00713A26">
        <w:rPr>
          <w:rFonts w:ascii="Verdana" w:eastAsia="Century Gothic" w:hAnsi="Verdana" w:cs="Century Gothic"/>
          <w:sz w:val="21"/>
          <w:szCs w:val="21"/>
          <w:lang w:val="es-ES"/>
        </w:rPr>
        <w:t xml:space="preserve"> YA QUE EL CONCEPTO </w:t>
      </w:r>
      <w:proofErr w:type="spellStart"/>
      <w:r w:rsidRPr="00713A26">
        <w:rPr>
          <w:rFonts w:ascii="Verdana" w:eastAsia="Century Gothic" w:hAnsi="Verdana" w:cs="Century Gothic"/>
          <w:sz w:val="21"/>
          <w:szCs w:val="21"/>
          <w:lang w:val="es-ES"/>
        </w:rPr>
        <w:lastRenderedPageBreak/>
        <w:t>Concepto</w:t>
      </w:r>
      <w:proofErr w:type="spellEnd"/>
      <w:r w:rsidRPr="00713A26">
        <w:rPr>
          <w:rFonts w:ascii="Verdana" w:eastAsia="Century Gothic" w:hAnsi="Verdana" w:cs="Century Gothic"/>
          <w:sz w:val="21"/>
          <w:szCs w:val="21"/>
          <w:lang w:val="es-ES"/>
        </w:rPr>
        <w:t xml:space="preserve"> C- 574 de 2025, NO ACLARA LA PREGUNTA SINO CONTESTA SOBRE EL PAGO DE PLANILLAS, RESPUESTA QUE NO CORRESPONDE A LA PREGUNTA”.</w:t>
      </w:r>
    </w:p>
    <w:p w14:paraId="222FA6CC" w14:textId="77777777" w:rsidR="00713A26" w:rsidRPr="00713A26" w:rsidRDefault="00713A26" w:rsidP="00713A26">
      <w:pPr>
        <w:snapToGrid w:val="0"/>
        <w:spacing w:after="0" w:line="240" w:lineRule="auto"/>
        <w:ind w:left="720" w:right="709"/>
        <w:jc w:val="both"/>
        <w:rPr>
          <w:rFonts w:ascii="Verdana" w:eastAsia="Century Gothic" w:hAnsi="Verdana" w:cs="Century Gothic"/>
          <w:lang w:val="es-ES_tradnl"/>
        </w:rPr>
      </w:pPr>
    </w:p>
    <w:p w14:paraId="191EB72E" w14:textId="77777777" w:rsidR="00713A26" w:rsidRPr="00713A26" w:rsidRDefault="00713A26" w:rsidP="00713A26">
      <w:pPr>
        <w:spacing w:after="120" w:line="276" w:lineRule="auto"/>
        <w:ind w:firstLine="709"/>
        <w:jc w:val="both"/>
        <w:rPr>
          <w:rFonts w:ascii="Verdana" w:eastAsia="Calibri" w:hAnsi="Verdana" w:cs="Arial"/>
          <w:lang w:val="es-ES" w:eastAsia="es-ES"/>
        </w:rPr>
      </w:pPr>
      <w:r w:rsidRPr="00713A2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3A26">
        <w:rPr>
          <w:rFonts w:ascii="Calibri" w:eastAsia="Calibri" w:hAnsi="Calibri" w:cs="Times New Roman"/>
        </w:rPr>
        <w:tab/>
      </w:r>
    </w:p>
    <w:p w14:paraId="4A6615BC" w14:textId="77777777" w:rsidR="00713A26" w:rsidRPr="00713A26" w:rsidRDefault="00713A26" w:rsidP="00713A26">
      <w:pPr>
        <w:snapToGrid w:val="0"/>
        <w:spacing w:after="0" w:line="276" w:lineRule="auto"/>
        <w:ind w:firstLine="709"/>
        <w:jc w:val="both"/>
        <w:rPr>
          <w:rFonts w:ascii="Verdana" w:eastAsia="Calibri" w:hAnsi="Verdana" w:cs="Arial"/>
          <w:lang w:val="es-ES_tradnl" w:eastAsia="es-ES"/>
        </w:rPr>
      </w:pPr>
      <w:r w:rsidRPr="00713A26">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5CA5B6" w14:textId="77777777" w:rsidR="00713A26" w:rsidRPr="00713A26" w:rsidRDefault="00713A26" w:rsidP="00713A26">
      <w:pPr>
        <w:snapToGrid w:val="0"/>
        <w:spacing w:after="0" w:line="276" w:lineRule="auto"/>
        <w:ind w:firstLine="709"/>
        <w:jc w:val="both"/>
        <w:rPr>
          <w:rFonts w:ascii="Verdana" w:eastAsia="Calibri" w:hAnsi="Verdana" w:cs="Arial"/>
          <w:lang w:val="es-ES_tradnl" w:eastAsia="es-ES"/>
        </w:rPr>
      </w:pPr>
    </w:p>
    <w:p w14:paraId="024E1DD9" w14:textId="77777777" w:rsidR="00713A26" w:rsidRPr="00713A26" w:rsidRDefault="00713A26" w:rsidP="00713A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13A26">
        <w:rPr>
          <w:rFonts w:ascii="Verdana" w:eastAsia="Century Gothic" w:hAnsi="Verdana" w:cs="Century Gothic"/>
          <w:b/>
          <w:bCs/>
          <w:lang w:val="es-ES_tradnl"/>
        </w:rPr>
        <w:t>Problema planteado:</w:t>
      </w:r>
    </w:p>
    <w:p w14:paraId="09DBC26F" w14:textId="77777777" w:rsidR="00713A26" w:rsidRPr="00713A26" w:rsidRDefault="00713A26" w:rsidP="00713A26">
      <w:pPr>
        <w:tabs>
          <w:tab w:val="left" w:pos="426"/>
        </w:tabs>
        <w:snapToGrid w:val="0"/>
        <w:spacing w:after="0" w:line="276" w:lineRule="auto"/>
        <w:jc w:val="both"/>
        <w:rPr>
          <w:rFonts w:ascii="Verdana" w:eastAsia="Century Gothic" w:hAnsi="Verdana" w:cs="Century Gothic"/>
          <w:lang w:val="es-ES_tradnl"/>
        </w:rPr>
      </w:pPr>
    </w:p>
    <w:p w14:paraId="4EBEE36F" w14:textId="77777777" w:rsidR="00713A26" w:rsidRPr="00713A26" w:rsidRDefault="00713A26" w:rsidP="00713A26">
      <w:pPr>
        <w:snapToGrid w:val="0"/>
        <w:spacing w:after="0" w:line="276" w:lineRule="auto"/>
        <w:jc w:val="both"/>
        <w:rPr>
          <w:rFonts w:ascii="Verdana" w:eastAsia="Century Gothic" w:hAnsi="Verdana" w:cs="Century Gothic"/>
          <w:lang w:val="es-ES"/>
        </w:rPr>
      </w:pPr>
      <w:r w:rsidRPr="00713A26">
        <w:rPr>
          <w:rFonts w:ascii="Verdana" w:eastAsia="Century Gothic" w:hAnsi="Verdana" w:cs="Century Gothic"/>
          <w:lang w:val="es-ES"/>
        </w:rPr>
        <w:t>De acuerdo con el contenido de su solicitud, esta Agencia resolverá el siguiente problema jurídico: teniendo en cuenta el Formato 5 de Capacidad Residual de los documentos tipo, ¿quiénes pueden firmar los anexos 2 y 3 de la “Guía para determinar y verificar la Capacidad Residual del proponente en los Procesos de Contratación de obra pública” expedida por la Agencia Nacional de Contratación Pública – Colombia Compra Eficiente?</w:t>
      </w:r>
    </w:p>
    <w:p w14:paraId="0C27F242" w14:textId="77777777" w:rsidR="00713A26" w:rsidRPr="00713A26" w:rsidRDefault="00713A26" w:rsidP="00713A26">
      <w:pPr>
        <w:snapToGrid w:val="0"/>
        <w:spacing w:after="0" w:line="276" w:lineRule="auto"/>
        <w:jc w:val="both"/>
        <w:rPr>
          <w:rFonts w:ascii="Verdana" w:eastAsia="Century Gothic" w:hAnsi="Verdana" w:cs="Century Gothic"/>
          <w:lang w:val="es-ES_tradnl"/>
        </w:rPr>
      </w:pPr>
    </w:p>
    <w:p w14:paraId="73858978" w14:textId="77777777" w:rsidR="00713A26" w:rsidRPr="00713A26" w:rsidRDefault="00713A26" w:rsidP="00713A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13A26">
        <w:rPr>
          <w:rFonts w:ascii="Verdana" w:eastAsia="Century Gothic" w:hAnsi="Verdana" w:cs="Century Gothic"/>
          <w:b/>
          <w:bCs/>
          <w:lang w:val="es-ES_tradnl"/>
        </w:rPr>
        <w:t>Respuesta:</w:t>
      </w:r>
    </w:p>
    <w:p w14:paraId="64F7A2F9" w14:textId="77777777" w:rsidR="00713A26" w:rsidRPr="00713A26" w:rsidRDefault="00713A26" w:rsidP="00713A26">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3A26" w:rsidRPr="00713A26" w14:paraId="2CA7AC7F" w14:textId="77777777" w:rsidTr="005418D5">
        <w:tc>
          <w:tcPr>
            <w:tcW w:w="8828" w:type="dxa"/>
          </w:tcPr>
          <w:p w14:paraId="0B341755" w14:textId="77777777" w:rsidR="00713A26" w:rsidRPr="00713A26" w:rsidRDefault="00713A26" w:rsidP="00713A26">
            <w:pPr>
              <w:snapToGrid w:val="0"/>
              <w:spacing w:line="276" w:lineRule="auto"/>
              <w:jc w:val="both"/>
              <w:rPr>
                <w:rFonts w:ascii="Verdana" w:eastAsia="Times New Roman" w:hAnsi="Verdana" w:cs="Arial"/>
                <w:shd w:val="clear" w:color="auto" w:fill="FFFFFF"/>
                <w:lang w:val="es-ES_tradnl" w:eastAsia="es-ES"/>
              </w:rPr>
            </w:pPr>
            <w:r w:rsidRPr="00713A26">
              <w:rPr>
                <w:rFonts w:ascii="Verdana" w:eastAsia="Times New Roman" w:hAnsi="Verdana" w:cs="Arial"/>
                <w:shd w:val="clear" w:color="auto" w:fill="FFFFFF"/>
                <w:lang w:val="es-ES_tradnl" w:eastAsia="es-ES"/>
              </w:rPr>
              <w:t xml:space="preserve">La Agencia Nacional de Contratación Pública – Colombia Compra Eficiente ha expedido Documentos Tipo para los sectores de infraestructura de transporte, agua potable-saneamiento básico y social. Asimismo, esta Agencia expidió los </w:t>
            </w:r>
            <w:r w:rsidRPr="00713A26">
              <w:rPr>
                <w:rFonts w:ascii="Verdana" w:eastAsia="Times New Roman" w:hAnsi="Verdana" w:cs="Arial"/>
                <w:shd w:val="clear" w:color="auto" w:fill="FFFFFF"/>
                <w:lang w:val="es-ES_tradnl" w:eastAsia="es-ES"/>
              </w:rPr>
              <w:lastRenderedPageBreak/>
              <w:t xml:space="preserve">documentos tipo de gestión catastral con enfoque multipropósito y para la contratación directa de convenios solidarios para la ejecución de obras hasta la menor cuantía con organismos de acción comunal.  </w:t>
            </w:r>
          </w:p>
          <w:p w14:paraId="686FC86E" w14:textId="77777777" w:rsidR="00713A26" w:rsidRPr="00713A26" w:rsidRDefault="00713A26" w:rsidP="00713A26">
            <w:pPr>
              <w:snapToGrid w:val="0"/>
              <w:spacing w:before="120" w:line="276" w:lineRule="auto"/>
              <w:ind w:firstLine="709"/>
              <w:jc w:val="both"/>
              <w:rPr>
                <w:rFonts w:ascii="Verdana" w:eastAsia="Times New Roman" w:hAnsi="Verdana" w:cs="Arial"/>
                <w:shd w:val="clear" w:color="auto" w:fill="FFFFFF"/>
                <w:lang w:val="es-ES_tradnl" w:eastAsia="es-ES"/>
              </w:rPr>
            </w:pPr>
            <w:r w:rsidRPr="00713A26">
              <w:rPr>
                <w:rFonts w:ascii="Verdana" w:eastAsia="Times New Roman" w:hAnsi="Verdana" w:cs="Arial"/>
                <w:shd w:val="clear" w:color="auto" w:fill="FFFFFF"/>
                <w:lang w:val="es-ES_tradnl" w:eastAsia="es-ES"/>
              </w:rPr>
              <w:t>Los documentos tipo se encuentran conformados por un documento base, unos anexos, unos formatos, unas matrices y un formulario. Dentro de los formatos, teniendo en cuenta su consulta, es pertinente resaltar el “Formato 5 – Capacidad Residual”, el cual dispone lo siguiente:</w:t>
            </w:r>
          </w:p>
          <w:p w14:paraId="236918C7" w14:textId="77777777" w:rsidR="00713A26" w:rsidRPr="00713A26" w:rsidRDefault="00713A26" w:rsidP="00713A26">
            <w:pPr>
              <w:snapToGrid w:val="0"/>
              <w:spacing w:line="276" w:lineRule="auto"/>
              <w:jc w:val="both"/>
              <w:rPr>
                <w:rFonts w:ascii="Verdana" w:eastAsia="Times New Roman" w:hAnsi="Verdana" w:cs="Arial"/>
                <w:shd w:val="clear" w:color="auto" w:fill="FFFFFF"/>
                <w:lang w:val="es-ES_tradnl" w:eastAsia="es-ES"/>
              </w:rPr>
            </w:pPr>
          </w:p>
          <w:p w14:paraId="11E84497" w14:textId="77777777" w:rsidR="00713A26" w:rsidRPr="00713A26" w:rsidRDefault="00713A26" w:rsidP="00713A26">
            <w:pPr>
              <w:snapToGrid w:val="0"/>
              <w:ind w:left="709" w:right="709"/>
              <w:jc w:val="both"/>
              <w:rPr>
                <w:rFonts w:ascii="Verdana" w:eastAsia="Times New Roman" w:hAnsi="Verdana" w:cs="Arial"/>
                <w:sz w:val="21"/>
                <w:szCs w:val="21"/>
                <w:shd w:val="clear" w:color="auto" w:fill="FFFFFF"/>
                <w:lang w:val="es-ES" w:eastAsia="es-ES"/>
              </w:rPr>
            </w:pPr>
            <w:r w:rsidRPr="23A5CFCD">
              <w:rPr>
                <w:rFonts w:ascii="Verdana" w:eastAsia="Times New Roman" w:hAnsi="Verdana" w:cs="Arial"/>
                <w:sz w:val="21"/>
                <w:szCs w:val="21"/>
                <w:shd w:val="clear" w:color="auto" w:fill="FFFFFF"/>
                <w:lang w:val="es-ES" w:eastAsia="es-ES"/>
              </w:rPr>
              <w:t>“[La entidad estatal deberá estructurar los formatos para la verificación de la capacidad residual ut[i]</w:t>
            </w:r>
            <w:proofErr w:type="spellStart"/>
            <w:r w:rsidRPr="23A5CFCD">
              <w:rPr>
                <w:rFonts w:ascii="Verdana" w:eastAsia="Times New Roman" w:hAnsi="Verdana" w:cs="Arial"/>
                <w:sz w:val="21"/>
                <w:szCs w:val="21"/>
                <w:shd w:val="clear" w:color="auto" w:fill="FFFFFF"/>
                <w:lang w:val="es-ES" w:eastAsia="es-ES"/>
              </w:rPr>
              <w:t>lizando</w:t>
            </w:r>
            <w:proofErr w:type="spellEnd"/>
            <w:r w:rsidRPr="23A5CFCD">
              <w:rPr>
                <w:rFonts w:ascii="Verdana" w:eastAsia="Times New Roman" w:hAnsi="Verdana" w:cs="Arial"/>
                <w:sz w:val="21"/>
                <w:szCs w:val="21"/>
                <w:shd w:val="clear" w:color="auto" w:fill="FFFFFF"/>
                <w:lang w:val="es-ES" w:eastAsia="es-ES"/>
              </w:rPr>
              <w:t xml:space="preserve"> los formatos y la metodología señalada en la "Guía para Determinar y Verificar la Capacidad Residual del Proponente en los Procesos de Contratación de Obra Pública" de la Agencia Nacional de Contratación Pública - Colombia Compra Eficiente]”</w:t>
            </w:r>
          </w:p>
          <w:p w14:paraId="169C1479" w14:textId="77777777" w:rsidR="00713A26" w:rsidRPr="00713A26" w:rsidRDefault="00713A26" w:rsidP="00713A26">
            <w:pPr>
              <w:snapToGrid w:val="0"/>
              <w:ind w:left="709" w:right="709"/>
              <w:jc w:val="both"/>
              <w:rPr>
                <w:rFonts w:ascii="Verdana" w:eastAsia="Times New Roman" w:hAnsi="Verdana" w:cs="Arial"/>
                <w:shd w:val="clear" w:color="auto" w:fill="FFFFFF"/>
                <w:lang w:val="es-ES_tradnl" w:eastAsia="es-ES"/>
              </w:rPr>
            </w:pPr>
          </w:p>
          <w:p w14:paraId="7CCA2199" w14:textId="77777777" w:rsidR="00713A26" w:rsidRPr="00713A26" w:rsidRDefault="00713A26" w:rsidP="00713A26">
            <w:pPr>
              <w:spacing w:after="120" w:line="276" w:lineRule="auto"/>
              <w:ind w:firstLine="708"/>
              <w:jc w:val="both"/>
              <w:rPr>
                <w:rFonts w:ascii="Verdana" w:eastAsia="Aptos" w:hAnsi="Verdana" w:cs="Times New Roman"/>
                <w:color w:val="000000"/>
                <w:lang w:val="es-ES"/>
              </w:rPr>
            </w:pPr>
            <w:r w:rsidRPr="00713A26">
              <w:rPr>
                <w:rFonts w:ascii="Verdana" w:eastAsia="Calibri" w:hAnsi="Verdana" w:cs="Arial"/>
                <w:color w:val="000000"/>
              </w:rPr>
              <w:t xml:space="preserve">Se observa en la “Guía para determinar y verificar la Capacidad Residual del proponente en los Procesos de Contratación de obra pública”, </w:t>
            </w:r>
            <w:r w:rsidRPr="00713A26">
              <w:rPr>
                <w:rFonts w:ascii="Verdana" w:eastAsia="Aptos" w:hAnsi="Verdana" w:cs="Times New Roman"/>
                <w:color w:val="000000"/>
                <w:lang w:val="es-ES"/>
              </w:rPr>
              <w:t xml:space="preserve">que para acreditar la Capacidad Técnica (CT) y los Saldos de Contratos en Ejecución (SCE), es el proponente quien debe diligenciar el formato establecido en los pliegos de condiciones. De igual forma, la mencionada Guía sugiere el uso del “Anexo 2 – Certificación de la Capacidad Técnica” y “Anexo 3 – Certificación de Saldos de Contratos en Ejecución (SCE)”. </w:t>
            </w:r>
          </w:p>
          <w:p w14:paraId="7177DAE6" w14:textId="77777777" w:rsidR="00713A26" w:rsidRPr="00713A26" w:rsidRDefault="00713A26" w:rsidP="00713A26">
            <w:pPr>
              <w:spacing w:after="120" w:line="276" w:lineRule="auto"/>
              <w:ind w:firstLine="708"/>
              <w:jc w:val="both"/>
              <w:rPr>
                <w:rFonts w:ascii="Verdana" w:eastAsia="Aptos" w:hAnsi="Verdana" w:cs="Times New Roman"/>
                <w:color w:val="000000"/>
                <w:lang w:val="es-ES"/>
              </w:rPr>
            </w:pPr>
            <w:r w:rsidRPr="00713A26">
              <w:rPr>
                <w:rFonts w:ascii="Verdana" w:eastAsia="Aptos" w:hAnsi="Verdana" w:cs="Times New Roman"/>
                <w:color w:val="000000"/>
                <w:lang w:val="es-ES"/>
              </w:rPr>
              <w:t xml:space="preserve">Respecto al Anexo 2, el formato sugerido indica que deberá ser suscrito por el representante legal del proponente y el auditor o revisor fiscal; por su parte, y con relación al Anexo 3, el formato sugerido indica que deberá ser suscrito por el representante legal y su revisor fiscal, si el proponente está obligado a tenerlo, o por el contador público o auditor independiente. </w:t>
            </w:r>
          </w:p>
          <w:p w14:paraId="1E158E30" w14:textId="77777777" w:rsidR="00713A26" w:rsidRPr="00713A26" w:rsidRDefault="00713A26" w:rsidP="00713A26">
            <w:pPr>
              <w:spacing w:after="120" w:line="276" w:lineRule="auto"/>
              <w:ind w:firstLine="708"/>
              <w:jc w:val="both"/>
              <w:rPr>
                <w:rFonts w:ascii="Verdana" w:eastAsia="Calibri" w:hAnsi="Verdana" w:cs="Arial"/>
                <w:color w:val="000000"/>
              </w:rPr>
            </w:pPr>
            <w:r w:rsidRPr="00713A26">
              <w:rPr>
                <w:rFonts w:ascii="Verdana" w:eastAsia="Aptos" w:hAnsi="Verdana" w:cs="Times New Roman"/>
                <w:color w:val="000000"/>
                <w:lang w:val="es-ES"/>
              </w:rPr>
              <w:t xml:space="preserve">Como se evidencia, en el marco de los Anexos sugeridos por la </w:t>
            </w:r>
            <w:r w:rsidRPr="00713A26">
              <w:rPr>
                <w:rFonts w:ascii="Verdana" w:eastAsia="Calibri" w:hAnsi="Verdana" w:cs="Arial"/>
                <w:color w:val="000000"/>
              </w:rPr>
              <w:t xml:space="preserve">Guía, cuando los formatos no son suscritos por el revisor fiscal (porque la empresa que presenta la propuesta no se encuentra obligada a tenerlo), este rol puede ser sustituido por el de un </w:t>
            </w:r>
            <w:r w:rsidRPr="00713A26">
              <w:rPr>
                <w:rFonts w:ascii="Verdana" w:eastAsia="Aptos" w:hAnsi="Verdana" w:cs="Times New Roman"/>
                <w:color w:val="000000"/>
                <w:lang w:val="es-ES"/>
              </w:rPr>
              <w:t>contador público o auditor independiente</w:t>
            </w:r>
            <w:r w:rsidRPr="00713A26">
              <w:rPr>
                <w:rFonts w:ascii="Verdana" w:eastAsia="Calibri" w:hAnsi="Verdana" w:cs="Arial"/>
                <w:color w:val="000000"/>
              </w:rPr>
              <w:t xml:space="preserve"> que cumpla ese rol de certificación o verificación de la información acreditada en el formato. Respecto al Anexo 2, el rol del auditor puede reemplazar el del revisor fiscal (cuando el proponente no se encuentre obligado a tenerlo), en la medida en que verifica desde un rol independiente, la información relacionada por el proponente. </w:t>
            </w:r>
          </w:p>
          <w:p w14:paraId="3BFC78D1" w14:textId="77777777" w:rsidR="00713A26" w:rsidRPr="00713A26" w:rsidRDefault="00713A26" w:rsidP="00713A26">
            <w:pPr>
              <w:spacing w:after="120" w:line="276" w:lineRule="auto"/>
              <w:ind w:firstLine="708"/>
              <w:jc w:val="both"/>
              <w:rPr>
                <w:rFonts w:ascii="Verdana" w:eastAsia="Calibri" w:hAnsi="Verdana" w:cs="Arial"/>
                <w:color w:val="000000"/>
              </w:rPr>
            </w:pPr>
            <w:r w:rsidRPr="00713A26">
              <w:rPr>
                <w:rFonts w:ascii="Verdana" w:eastAsia="Calibri" w:hAnsi="Verdana" w:cs="Arial"/>
                <w:color w:val="000000"/>
              </w:rPr>
              <w:lastRenderedPageBreak/>
              <w:t>Por otra parte, es de resaltar que para el caso del “Anexo de Saldos de Contratos en Ejecución”, la Guía no realiza una precisión frente a si el contador público debe ser “Independiente” o no. En todo caso, se reitera que el anexo se presenta en la Guía a modo de sugerencia para que la entidad estructure los documentos del proceso y para que el proponente presente su propuesta con posterioridad.</w:t>
            </w:r>
          </w:p>
          <w:p w14:paraId="5FB3B84D" w14:textId="77777777" w:rsidR="00713A26" w:rsidRPr="00713A26" w:rsidRDefault="00713A26" w:rsidP="00713A26">
            <w:pPr>
              <w:spacing w:after="120" w:line="276" w:lineRule="auto"/>
              <w:ind w:firstLine="709"/>
              <w:jc w:val="both"/>
              <w:rPr>
                <w:rFonts w:ascii="Verdana" w:eastAsia="Calibri" w:hAnsi="Verdana" w:cs="Arial"/>
                <w:color w:val="000000"/>
              </w:rPr>
            </w:pPr>
            <w:r w:rsidRPr="00713A26">
              <w:rPr>
                <w:rFonts w:ascii="Verdana" w:eastAsia="Aptos" w:hAnsi="Verdana" w:cs="Times New Roman"/>
                <w:color w:val="000000"/>
                <w:lang w:val="es-ES"/>
              </w:rPr>
              <w:t>Así las cosas, respecto al problema jurídico, debe señalarse que, n</w:t>
            </w:r>
            <w:r w:rsidRPr="00713A26">
              <w:rPr>
                <w:rFonts w:ascii="Verdana" w:eastAsia="Calibri" w:hAnsi="Verdana" w:cs="Arial"/>
                <w:color w:val="000000"/>
              </w:rPr>
              <w:t>i las normas referenciadas en este concepto, ni la</w:t>
            </w:r>
            <w:r w:rsidRPr="00713A26">
              <w:rPr>
                <w:rFonts w:ascii="Aptos" w:eastAsia="Aptos" w:hAnsi="Aptos" w:cs="Times New Roman"/>
                <w:color w:val="000000"/>
              </w:rPr>
              <w:t xml:space="preserve"> “</w:t>
            </w:r>
            <w:r w:rsidRPr="00713A26">
              <w:rPr>
                <w:rFonts w:ascii="Verdana" w:eastAsia="Calibri" w:hAnsi="Verdana" w:cs="Arial"/>
                <w:color w:val="000000"/>
              </w:rPr>
              <w:t xml:space="preserve">Guía para determinar y verificar la Capacidad Residual del proponente en los Procesos de Contratación de obra pública” expedida por esta Agencia, exigen un anexo para la acreditación de estos requisitos, por el contrario, se realiza la sugerencia de formatos, y en ellos una información a solicitar y unos roles quienes los suscriben. </w:t>
            </w:r>
          </w:p>
          <w:p w14:paraId="0CB23BAA" w14:textId="77777777" w:rsidR="00713A26" w:rsidRPr="00713A26" w:rsidRDefault="00713A26" w:rsidP="00713A26">
            <w:pPr>
              <w:spacing w:line="276" w:lineRule="auto"/>
              <w:ind w:firstLine="709"/>
              <w:jc w:val="both"/>
              <w:rPr>
                <w:rFonts w:ascii="Verdana" w:eastAsia="Aptos" w:hAnsi="Verdana" w:cs="Times New Roman"/>
                <w:color w:val="000000"/>
                <w:lang w:val="es-ES"/>
              </w:rPr>
            </w:pPr>
            <w:r w:rsidRPr="00713A26">
              <w:rPr>
                <w:rFonts w:ascii="Verdana" w:eastAsia="Calibri" w:hAnsi="Verdana" w:cs="Arial"/>
                <w:color w:val="000000"/>
              </w:rPr>
              <w:t>Por lo anterior,</w:t>
            </w:r>
            <w:r w:rsidRPr="00713A26">
              <w:rPr>
                <w:rFonts w:ascii="Verdana" w:eastAsia="Aptos" w:hAnsi="Verdana" w:cs="Times New Roman"/>
                <w:color w:val="000000"/>
                <w:lang w:val="es-ES"/>
              </w:rPr>
              <w:t xml:space="preserve"> debe tenerse en cuenta que, la entidad estatal, como directora de los procesos de contratación que adelanta, debe señalar en el pliego de condiciones –o en la invitación– cuál es la información que se debe acreditar para el cálculo de la capacidad residual, así como los documentos que tendrá como válidos para tal fin y los roles que deberán suscribir cada uno de ellos. En consecuencia, el proponente deberá ceñirse a lo dispuesto por la entidad y allegar toda información ordenada, en los términos y la forma en que hayan sido señalados, con el fin de que la entidad pueda calcular la capacidad residual del proponente y verificar si cumple o no con lo requerido en el proceso de contratación que adelanta.</w:t>
            </w:r>
          </w:p>
        </w:tc>
      </w:tr>
    </w:tbl>
    <w:p w14:paraId="37913F68" w14:textId="77777777" w:rsidR="00713A26" w:rsidRPr="00713A26" w:rsidRDefault="00713A26" w:rsidP="00713A26">
      <w:pPr>
        <w:tabs>
          <w:tab w:val="left" w:pos="142"/>
          <w:tab w:val="left" w:pos="284"/>
        </w:tabs>
        <w:snapToGrid w:val="0"/>
        <w:spacing w:after="0" w:line="276" w:lineRule="auto"/>
        <w:jc w:val="both"/>
        <w:rPr>
          <w:rFonts w:ascii="Verdana" w:eastAsia="Century Gothic" w:hAnsi="Verdana" w:cs="Century Gothic"/>
          <w:b/>
          <w:bCs/>
          <w:lang w:val="es-ES_tradnl"/>
        </w:rPr>
      </w:pPr>
    </w:p>
    <w:p w14:paraId="5A3A4641" w14:textId="77777777" w:rsidR="00713A26" w:rsidRPr="00713A26" w:rsidRDefault="00713A26" w:rsidP="00713A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13A26">
        <w:rPr>
          <w:rFonts w:ascii="Verdana" w:eastAsia="Century Gothic" w:hAnsi="Verdana" w:cs="Century Gothic"/>
          <w:b/>
          <w:bCs/>
          <w:lang w:val="es-ES_tradnl"/>
        </w:rPr>
        <w:t>Razones de la respuesta:</w:t>
      </w:r>
    </w:p>
    <w:p w14:paraId="08A624C7" w14:textId="77777777" w:rsidR="00713A26" w:rsidRPr="00713A26" w:rsidRDefault="00713A26" w:rsidP="00713A26">
      <w:pPr>
        <w:snapToGrid w:val="0"/>
        <w:spacing w:after="0" w:line="276" w:lineRule="auto"/>
        <w:jc w:val="both"/>
        <w:rPr>
          <w:rFonts w:ascii="Verdana" w:eastAsia="Calibri" w:hAnsi="Verdana" w:cs="Arial"/>
          <w:lang w:val="es-ES_tradnl"/>
        </w:rPr>
      </w:pPr>
    </w:p>
    <w:p w14:paraId="68DD8EC1" w14:textId="77777777" w:rsidR="00713A26" w:rsidRPr="00713A26" w:rsidRDefault="00713A26" w:rsidP="00713A26">
      <w:pPr>
        <w:snapToGrid w:val="0"/>
        <w:spacing w:after="0" w:line="276" w:lineRule="auto"/>
        <w:jc w:val="both"/>
        <w:rPr>
          <w:rFonts w:ascii="Verdana" w:eastAsia="Calibri" w:hAnsi="Verdana" w:cs="Arial"/>
          <w:lang w:val="es-ES_tradnl"/>
        </w:rPr>
      </w:pPr>
      <w:r w:rsidRPr="00713A26">
        <w:rPr>
          <w:rFonts w:ascii="Verdana" w:eastAsia="Calibri" w:hAnsi="Verdana" w:cs="Arial"/>
          <w:lang w:val="es-ES_tradnl"/>
        </w:rPr>
        <w:t xml:space="preserve">Lo anterior se sustenta en las siguientes consideraciones: </w:t>
      </w:r>
    </w:p>
    <w:p w14:paraId="16BA5F41" w14:textId="77777777" w:rsidR="00713A26" w:rsidRPr="00713A26" w:rsidRDefault="00713A26" w:rsidP="00713A26">
      <w:pPr>
        <w:snapToGrid w:val="0"/>
        <w:spacing w:after="0" w:line="276" w:lineRule="auto"/>
        <w:jc w:val="both"/>
        <w:rPr>
          <w:rFonts w:ascii="Verdana" w:eastAsia="Calibri" w:hAnsi="Verdana" w:cs="Arial"/>
          <w:lang w:val="es-ES_tradnl"/>
        </w:rPr>
      </w:pPr>
    </w:p>
    <w:p w14:paraId="06E4EBA0" w14:textId="77777777" w:rsidR="00713A26" w:rsidRPr="00713A26" w:rsidRDefault="00713A26" w:rsidP="00713A26">
      <w:pPr>
        <w:snapToGrid w:val="0"/>
        <w:spacing w:after="0" w:line="276" w:lineRule="auto"/>
        <w:jc w:val="both"/>
        <w:rPr>
          <w:rFonts w:ascii="Verdana" w:eastAsia="Calibri" w:hAnsi="Verdana" w:cs="Arial"/>
          <w:lang w:val="es-ES_tradnl"/>
        </w:rPr>
      </w:pPr>
      <w:r w:rsidRPr="00713A26">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173016A5" w14:textId="77777777" w:rsidR="00713A26" w:rsidRPr="00713A26" w:rsidRDefault="00713A26" w:rsidP="00713A26">
      <w:pPr>
        <w:snapToGrid w:val="0"/>
        <w:spacing w:before="120" w:after="0" w:line="276" w:lineRule="auto"/>
        <w:ind w:firstLine="709"/>
        <w:jc w:val="both"/>
        <w:rPr>
          <w:rFonts w:ascii="Verdana" w:eastAsia="Calibri" w:hAnsi="Verdana" w:cs="Times New Roman"/>
          <w:lang w:val="es-ES"/>
        </w:rPr>
      </w:pPr>
      <w:r w:rsidRPr="00713A26">
        <w:rPr>
          <w:rFonts w:ascii="Verdana" w:eastAsia="Calibri" w:hAnsi="Verdana" w:cs="Arial"/>
          <w:lang w:val="es-ES"/>
        </w:rPr>
        <w:t xml:space="preserve">Para establecer si determinado objeto contractual se encuentra cobijado o no por los Documentos Tipo, es necesario establecer si el mismo se enmarca </w:t>
      </w:r>
      <w:r w:rsidRPr="00713A26">
        <w:rPr>
          <w:rFonts w:ascii="Verdana" w:eastAsia="Calibri" w:hAnsi="Verdana" w:cs="Arial"/>
          <w:lang w:val="es-ES"/>
        </w:rPr>
        <w:lastRenderedPageBreak/>
        <w:t>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2AE1704A" w14:textId="77777777" w:rsidR="00713A26" w:rsidRPr="00713A26" w:rsidRDefault="00713A26" w:rsidP="00713A26">
      <w:pPr>
        <w:snapToGrid w:val="0"/>
        <w:spacing w:before="120" w:after="0" w:line="276" w:lineRule="auto"/>
        <w:ind w:firstLine="709"/>
        <w:jc w:val="both"/>
        <w:rPr>
          <w:rFonts w:ascii="Verdana" w:eastAsia="Calibri" w:hAnsi="Verdana" w:cs="Arial"/>
          <w:lang w:val="es-ES_tradnl"/>
        </w:rPr>
      </w:pPr>
      <w:r w:rsidRPr="00713A26">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13A26">
        <w:rPr>
          <w:rFonts w:ascii="Verdana" w:eastAsia="Calibri" w:hAnsi="Verdana" w:cs="Times New Roman"/>
          <w:vertAlign w:val="superscript"/>
          <w:lang w:val="es-ES_tradnl"/>
        </w:rPr>
        <w:footnoteReference w:id="1"/>
      </w:r>
      <w:r w:rsidRPr="00713A26">
        <w:rPr>
          <w:rFonts w:ascii="Verdana" w:eastAsia="Calibri" w:hAnsi="Verdana" w:cs="Times New Roman"/>
          <w:lang w:val="es-ES_tradnl"/>
        </w:rPr>
        <w:t xml:space="preserve"> </w:t>
      </w:r>
    </w:p>
    <w:p w14:paraId="259D9124" w14:textId="77777777" w:rsidR="00713A26" w:rsidRPr="00713A26" w:rsidRDefault="00713A26" w:rsidP="00713A26">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713A26">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713A26">
        <w:rPr>
          <w:rFonts w:ascii="Verdana" w:eastAsia="Times New Roman" w:hAnsi="Verdana" w:cs="Arial"/>
          <w:kern w:val="2"/>
          <w:highlight w:val="lightGray"/>
          <w:shd w:val="clear" w:color="auto" w:fill="FFFFFF"/>
          <w:lang w:val="es-ES" w:eastAsia="es-ES"/>
          <w14:ligatures w14:val="standardContextual"/>
        </w:rPr>
        <w:t>[texto]</w:t>
      </w:r>
      <w:r w:rsidRPr="00713A26">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28D5C5C8" w14:textId="77777777" w:rsidR="00713A26" w:rsidRPr="00713A26" w:rsidRDefault="00713A26" w:rsidP="00713A26">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713A26">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2C1149DF" w14:textId="77777777" w:rsidR="00713A26" w:rsidRPr="00713A26" w:rsidRDefault="00713A26" w:rsidP="00713A26">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713A26">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E4BBD0A" w14:textId="77777777" w:rsidR="00713A26" w:rsidRPr="00713A26" w:rsidRDefault="00713A26" w:rsidP="00713A26">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713A26">
        <w:rPr>
          <w:rFonts w:ascii="Verdana" w:eastAsia="Times New Roman" w:hAnsi="Verdana" w:cs="Arial"/>
          <w:kern w:val="2"/>
          <w:shd w:val="clear" w:color="auto" w:fill="FFFFFF"/>
          <w:lang w:val="es-ES_tradnl" w:eastAsia="es-ES"/>
          <w14:ligatures w14:val="standardContextual"/>
        </w:rPr>
        <w:t xml:space="preserve">Los documentos tipo se encuentran conformados por un documento base, unos anexos, unos formatos, unas matrices y un formulario. Dentro de los </w:t>
      </w:r>
      <w:r w:rsidRPr="00713A26">
        <w:rPr>
          <w:rFonts w:ascii="Verdana" w:eastAsia="Times New Roman" w:hAnsi="Verdana" w:cs="Arial"/>
          <w:kern w:val="2"/>
          <w:shd w:val="clear" w:color="auto" w:fill="FFFFFF"/>
          <w:lang w:val="es-ES_tradnl" w:eastAsia="es-ES"/>
          <w14:ligatures w14:val="standardContextual"/>
        </w:rPr>
        <w:lastRenderedPageBreak/>
        <w:t>formatos, teniendo en cuenta su consulta, es pertinente resaltar el “Formato 5 – Capacidad Residual”, el cual dispone lo siguiente:</w:t>
      </w:r>
    </w:p>
    <w:p w14:paraId="2A9FF7FC" w14:textId="77777777" w:rsidR="00713A26" w:rsidRPr="00713A26" w:rsidRDefault="00713A26" w:rsidP="00713A26">
      <w:pPr>
        <w:snapToGrid w:val="0"/>
        <w:spacing w:after="0" w:line="276" w:lineRule="auto"/>
        <w:jc w:val="both"/>
        <w:rPr>
          <w:rFonts w:ascii="Verdana" w:eastAsia="Times New Roman" w:hAnsi="Verdana" w:cs="Arial"/>
          <w:kern w:val="2"/>
          <w:shd w:val="clear" w:color="auto" w:fill="FFFFFF"/>
          <w:lang w:val="es-ES_tradnl" w:eastAsia="es-ES"/>
          <w14:ligatures w14:val="standardContextual"/>
        </w:rPr>
      </w:pPr>
    </w:p>
    <w:p w14:paraId="55F93FBC" w14:textId="77777777" w:rsidR="00713A26" w:rsidRPr="00713A26" w:rsidRDefault="00713A26" w:rsidP="00713A26">
      <w:pPr>
        <w:snapToGrid w:val="0"/>
        <w:spacing w:after="0" w:line="240" w:lineRule="auto"/>
        <w:ind w:left="709" w:right="709"/>
        <w:jc w:val="both"/>
        <w:rPr>
          <w:rFonts w:ascii="Verdana" w:eastAsia="Times New Roman" w:hAnsi="Verdana" w:cs="Arial"/>
          <w:kern w:val="2"/>
          <w:sz w:val="21"/>
          <w:szCs w:val="21"/>
          <w:shd w:val="clear" w:color="auto" w:fill="FFFFFF"/>
          <w:lang w:val="es-ES" w:eastAsia="es-ES"/>
          <w14:ligatures w14:val="standardContextual"/>
        </w:rPr>
      </w:pPr>
      <w:r w:rsidRPr="23A5CFCD">
        <w:rPr>
          <w:rFonts w:ascii="Verdana" w:eastAsia="Times New Roman" w:hAnsi="Verdana" w:cs="Arial"/>
          <w:kern w:val="2"/>
          <w:sz w:val="21"/>
          <w:szCs w:val="21"/>
          <w:shd w:val="clear" w:color="auto" w:fill="FFFFFF"/>
          <w:lang w:val="es-ES" w:eastAsia="es-ES"/>
          <w14:ligatures w14:val="standardContextual"/>
        </w:rPr>
        <w:t>“[La entidad estatal deberá estructurar los formatos para la verificación de la capacidad residual ut[i]</w:t>
      </w:r>
      <w:proofErr w:type="spellStart"/>
      <w:r w:rsidRPr="23A5CFCD">
        <w:rPr>
          <w:rFonts w:ascii="Verdana" w:eastAsia="Times New Roman" w:hAnsi="Verdana" w:cs="Arial"/>
          <w:kern w:val="2"/>
          <w:sz w:val="21"/>
          <w:szCs w:val="21"/>
          <w:shd w:val="clear" w:color="auto" w:fill="FFFFFF"/>
          <w:lang w:val="es-ES" w:eastAsia="es-ES"/>
          <w14:ligatures w14:val="standardContextual"/>
        </w:rPr>
        <w:t>lizando</w:t>
      </w:r>
      <w:proofErr w:type="spellEnd"/>
      <w:r w:rsidRPr="23A5CFCD">
        <w:rPr>
          <w:rFonts w:ascii="Verdana" w:eastAsia="Times New Roman" w:hAnsi="Verdana" w:cs="Arial"/>
          <w:kern w:val="2"/>
          <w:sz w:val="21"/>
          <w:szCs w:val="21"/>
          <w:shd w:val="clear" w:color="auto" w:fill="FFFFFF"/>
          <w:lang w:val="es-ES" w:eastAsia="es-ES"/>
          <w14:ligatures w14:val="standardContextual"/>
        </w:rPr>
        <w:t xml:space="preserve"> los formatos y la metodología señalada en la "Guía para Determinar y Verificar la Capacidad Residual del Proponente en los Procesos de Contratación de Obra Pública" de la Agencia Nacional de Contratación Pública - Colombia Compra Eficiente]”</w:t>
      </w:r>
    </w:p>
    <w:p w14:paraId="560EEA2F" w14:textId="77777777" w:rsidR="00713A26" w:rsidRPr="00713A26" w:rsidRDefault="00713A26" w:rsidP="00713A26">
      <w:pPr>
        <w:snapToGrid w:val="0"/>
        <w:spacing w:after="0" w:line="276" w:lineRule="auto"/>
        <w:ind w:left="709" w:right="709"/>
        <w:jc w:val="both"/>
        <w:rPr>
          <w:rFonts w:ascii="Verdana" w:eastAsia="Times New Roman" w:hAnsi="Verdana" w:cs="Arial"/>
          <w:kern w:val="2"/>
          <w:shd w:val="clear" w:color="auto" w:fill="FFFFFF"/>
          <w:lang w:val="es-ES_tradnl" w:eastAsia="es-ES"/>
          <w14:ligatures w14:val="standardContextual"/>
        </w:rPr>
      </w:pPr>
    </w:p>
    <w:p w14:paraId="153AF394" w14:textId="77777777" w:rsidR="00713A26" w:rsidRPr="00713A26" w:rsidRDefault="00713A26" w:rsidP="00713A26">
      <w:pPr>
        <w:widowControl w:val="0"/>
        <w:autoSpaceDE w:val="0"/>
        <w:autoSpaceDN w:val="0"/>
        <w:spacing w:after="120" w:line="276" w:lineRule="auto"/>
        <w:ind w:firstLine="709"/>
        <w:jc w:val="both"/>
        <w:rPr>
          <w:rFonts w:ascii="Verdana" w:eastAsia="Arial" w:hAnsi="Verdana" w:cs="Arial"/>
          <w:kern w:val="2"/>
          <w:lang w:eastAsia="es-ES" w:bidi="es-ES"/>
          <w14:ligatures w14:val="standardContextual"/>
        </w:rPr>
      </w:pPr>
      <w:r w:rsidRPr="00713A26">
        <w:rPr>
          <w:rFonts w:ascii="Verdana" w:eastAsia="Arial" w:hAnsi="Verdana" w:cs="Arial"/>
          <w:kern w:val="2"/>
          <w:lang w:eastAsia="es-ES" w:bidi="es-ES"/>
          <w14:ligatures w14:val="standardContextual"/>
        </w:rPr>
        <w:t>Al respecto, debe señalarse que la capacidad residual es una aptitud que se exige a los oferentes con el objetivo de establecer o determinar si estos pueden o no cumplir de manera oportuna y a cabalidad con las obligaciones derivadas del contrato de obra pública, sin que los demás compromisos contractuales que hubieran adquirido les afecte la habilidad de cumplir con el objeto del contrato que está en proceso de selección</w:t>
      </w:r>
      <w:r w:rsidRPr="00713A26">
        <w:rPr>
          <w:rFonts w:ascii="Aptos" w:eastAsia="Aptos" w:hAnsi="Aptos" w:cs="Times New Roman"/>
          <w:kern w:val="2"/>
          <w:vertAlign w:val="superscript"/>
          <w:lang w:eastAsia="es-ES" w:bidi="es-ES"/>
          <w14:ligatures w14:val="standardContextual"/>
        </w:rPr>
        <w:footnoteReference w:id="2"/>
      </w:r>
      <w:r w:rsidRPr="00713A26">
        <w:rPr>
          <w:rFonts w:ascii="Verdana" w:eastAsia="Arial" w:hAnsi="Verdana" w:cs="Arial"/>
          <w:kern w:val="2"/>
          <w:lang w:eastAsia="es-ES" w:bidi="es-ES"/>
          <w14:ligatures w14:val="standardContextual"/>
        </w:rPr>
        <w:t>.</w:t>
      </w:r>
    </w:p>
    <w:p w14:paraId="119F3AD4" w14:textId="77777777" w:rsidR="00713A26" w:rsidRPr="00713A26" w:rsidRDefault="00713A26" w:rsidP="00713A26">
      <w:pPr>
        <w:widowControl w:val="0"/>
        <w:autoSpaceDE w:val="0"/>
        <w:autoSpaceDN w:val="0"/>
        <w:spacing w:after="120" w:line="276" w:lineRule="auto"/>
        <w:jc w:val="both"/>
        <w:rPr>
          <w:rFonts w:ascii="Verdana" w:eastAsia="Arial" w:hAnsi="Verdana" w:cs="Arial"/>
          <w:kern w:val="2"/>
          <w:lang w:eastAsia="es-ES" w:bidi="es-ES"/>
          <w14:ligatures w14:val="standardContextual"/>
        </w:rPr>
      </w:pPr>
      <w:r w:rsidRPr="00713A26">
        <w:rPr>
          <w:rFonts w:ascii="Verdana" w:eastAsia="Arial" w:hAnsi="Verdana" w:cs="Arial"/>
          <w:kern w:val="2"/>
          <w:lang w:eastAsia="es-ES" w:bidi="es-ES"/>
          <w14:ligatures w14:val="standardContextual"/>
        </w:rPr>
        <w:tab/>
        <w:t>Teniendo en cuenta lo anterior, la Agencia Nacional de Contratación Pública – Colombia Compra Eficiente considera que la capacidad residual hace referencia a la suficiencia que se predica del proponente para asumir nuevas obligaciones que se derivan del contrato objeto del procedimiento de contratación, en relación con las obligaciones que ya ha adquirido simultáneamente frente a otros contratos.</w:t>
      </w:r>
      <w:r w:rsidRPr="00713A26">
        <w:rPr>
          <w:rFonts w:ascii="Verdana" w:eastAsia="Arial" w:hAnsi="Verdana" w:cs="Arial"/>
          <w:kern w:val="2"/>
          <w:lang w:eastAsia="es-ES" w:bidi="es-ES"/>
          <w14:ligatures w14:val="standardContextual"/>
        </w:rPr>
        <w:tab/>
      </w:r>
    </w:p>
    <w:p w14:paraId="24A08420" w14:textId="77777777" w:rsidR="00713A26" w:rsidRPr="00713A26" w:rsidRDefault="00713A26" w:rsidP="00713A26">
      <w:pPr>
        <w:widowControl w:val="0"/>
        <w:autoSpaceDE w:val="0"/>
        <w:autoSpaceDN w:val="0"/>
        <w:spacing w:after="0" w:line="276" w:lineRule="auto"/>
        <w:jc w:val="both"/>
        <w:rPr>
          <w:rFonts w:ascii="Verdana" w:eastAsia="Arial" w:hAnsi="Verdana" w:cs="Arial"/>
          <w:kern w:val="2"/>
          <w:lang w:eastAsia="es-ES" w:bidi="es-ES"/>
          <w14:ligatures w14:val="standardContextual"/>
        </w:rPr>
      </w:pPr>
      <w:r w:rsidRPr="00713A26">
        <w:rPr>
          <w:rFonts w:ascii="Verdana" w:eastAsia="Arial" w:hAnsi="Verdana" w:cs="Arial"/>
          <w:kern w:val="2"/>
          <w:lang w:eastAsia="es-ES" w:bidi="es-ES"/>
          <w14:ligatures w14:val="standardContextual"/>
        </w:rPr>
        <w:tab/>
        <w:t>Por su parte, la Ley 1150 de 2007 establece que la capacidad residual de los interesados en participar en procesos de selección para contratos de obra deberá ser igual o superior a la que la entidad ha establecido en los pliegos de condiciones, en los siguientes términos:</w:t>
      </w:r>
    </w:p>
    <w:p w14:paraId="3CF98070" w14:textId="77777777" w:rsidR="00713A26" w:rsidRPr="00713A26" w:rsidRDefault="00713A26" w:rsidP="00713A26">
      <w:pPr>
        <w:widowControl w:val="0"/>
        <w:autoSpaceDE w:val="0"/>
        <w:autoSpaceDN w:val="0"/>
        <w:spacing w:after="0" w:line="276" w:lineRule="auto"/>
        <w:ind w:left="720" w:right="51"/>
        <w:contextualSpacing/>
        <w:rPr>
          <w:rFonts w:ascii="Verdana" w:eastAsia="Arial" w:hAnsi="Verdana" w:cs="Arial"/>
          <w:kern w:val="2"/>
          <w:lang w:eastAsia="es-ES" w:bidi="es-ES"/>
          <w14:ligatures w14:val="standardContextual"/>
        </w:rPr>
      </w:pPr>
    </w:p>
    <w:p w14:paraId="4AC12719" w14:textId="77777777" w:rsidR="00713A26" w:rsidRPr="00713A26" w:rsidRDefault="00713A26" w:rsidP="00713A26">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13A26">
        <w:rPr>
          <w:rFonts w:ascii="Verdana" w:eastAsia="Arial" w:hAnsi="Verdana" w:cs="Arial"/>
          <w:kern w:val="2"/>
          <w:sz w:val="21"/>
          <w:szCs w:val="21"/>
          <w:lang w:val="es-ES" w:eastAsia="es-ES" w:bidi="es-ES"/>
          <w14:ligatures w14:val="standardContextual"/>
        </w:rPr>
        <w:t xml:space="preserve">“Artículo 6. De la verificación de las condiciones de los proponentes. Todas las personas naturales o jurídicas nacionales o extranjeras </w:t>
      </w:r>
      <w:r w:rsidRPr="00713A26">
        <w:rPr>
          <w:rFonts w:ascii="Verdana" w:eastAsia="Arial" w:hAnsi="Verdana" w:cs="Arial"/>
          <w:kern w:val="2"/>
          <w:sz w:val="21"/>
          <w:szCs w:val="21"/>
          <w:lang w:val="es-ES" w:eastAsia="es-ES" w:bidi="es-ES"/>
          <w14:ligatures w14:val="standardContextual"/>
        </w:rPr>
        <w:lastRenderedPageBreak/>
        <w:t>domiciliadas o con sucursal en Colombia, que aspiren a celebrar contratos con las entidades estatales, se inscribirán en el Registro único de Proponentes del Registro Único Empresarial de la Cámara de Comercio con jurisdicción en su domicilio</w:t>
      </w:r>
      <w:r w:rsidRPr="00713A26">
        <w:rPr>
          <w:rFonts w:ascii="Verdana" w:eastAsia="Arial" w:hAnsi="Verdana" w:cs="Arial"/>
          <w:spacing w:val="-3"/>
          <w:kern w:val="2"/>
          <w:sz w:val="21"/>
          <w:szCs w:val="21"/>
          <w:lang w:val="es-ES" w:eastAsia="es-ES" w:bidi="es-ES"/>
          <w14:ligatures w14:val="standardContextual"/>
        </w:rPr>
        <w:t xml:space="preserve"> </w:t>
      </w:r>
      <w:r w:rsidRPr="00713A26">
        <w:rPr>
          <w:rFonts w:ascii="Verdana" w:eastAsia="Arial" w:hAnsi="Verdana" w:cs="Arial"/>
          <w:kern w:val="2"/>
          <w:sz w:val="21"/>
          <w:szCs w:val="21"/>
          <w:lang w:val="es-ES" w:eastAsia="es-ES" w:bidi="es-ES"/>
          <w14:ligatures w14:val="standardContextual"/>
        </w:rPr>
        <w:t>principal.</w:t>
      </w:r>
    </w:p>
    <w:p w14:paraId="6F05BED3" w14:textId="77777777" w:rsidR="00713A26" w:rsidRPr="00713A26" w:rsidRDefault="00713A26" w:rsidP="00713A26">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713A26">
        <w:rPr>
          <w:rFonts w:ascii="Verdana" w:eastAsia="Arial" w:hAnsi="Verdana" w:cs="Arial"/>
          <w:kern w:val="2"/>
          <w:sz w:val="21"/>
          <w:szCs w:val="21"/>
          <w:lang w:val="es-ES" w:eastAsia="es-ES" w:bidi="es-ES"/>
          <w14:ligatures w14:val="standardContextual"/>
        </w:rPr>
        <w:t>[…]</w:t>
      </w:r>
    </w:p>
    <w:p w14:paraId="4A768F33" w14:textId="77777777" w:rsidR="00713A26" w:rsidRPr="00713A26" w:rsidRDefault="00713A26" w:rsidP="00713A26">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13A26">
        <w:rPr>
          <w:rFonts w:ascii="Verdana" w:eastAsia="Arial" w:hAnsi="Verdana" w:cs="Arial"/>
          <w:kern w:val="2"/>
          <w:sz w:val="21"/>
          <w:szCs w:val="21"/>
          <w:lang w:val="es-ES" w:eastAsia="es-ES" w:bidi="es-ES"/>
          <w14:ligatures w14:val="standardContextual"/>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41607CC1" w14:textId="77777777" w:rsidR="00713A26" w:rsidRPr="00713A26" w:rsidRDefault="00713A26" w:rsidP="00713A26">
      <w:pPr>
        <w:spacing w:after="0" w:line="276" w:lineRule="auto"/>
        <w:ind w:left="720"/>
        <w:jc w:val="both"/>
        <w:rPr>
          <w:rFonts w:ascii="Verdana" w:eastAsia="Calibri" w:hAnsi="Verdana" w:cs="Arial"/>
          <w:kern w:val="2"/>
          <w:lang w:val="es-ES"/>
          <w14:ligatures w14:val="standardContextual"/>
        </w:rPr>
      </w:pPr>
    </w:p>
    <w:p w14:paraId="2D9EE12A" w14:textId="77777777" w:rsidR="00713A26" w:rsidRPr="00713A26" w:rsidRDefault="00713A26" w:rsidP="00713A26">
      <w:pPr>
        <w:spacing w:after="120" w:line="276" w:lineRule="auto"/>
        <w:ind w:firstLine="709"/>
        <w:jc w:val="both"/>
        <w:rPr>
          <w:rFonts w:ascii="Verdana" w:eastAsia="Calibri" w:hAnsi="Verdana" w:cs="Arial"/>
          <w:kern w:val="2"/>
          <w14:ligatures w14:val="standardContextual"/>
        </w:rPr>
      </w:pPr>
      <w:r w:rsidRPr="00713A26">
        <w:rPr>
          <w:rFonts w:ascii="Verdana" w:eastAsia="Calibri" w:hAnsi="Verdana" w:cs="Arial"/>
          <w:kern w:val="2"/>
          <w14:ligatures w14:val="standardContextual"/>
        </w:rPr>
        <w:t xml:space="preserve">De acuerdo con el artículo 72 de la Ley 1682 de 2013, </w:t>
      </w:r>
      <w:r w:rsidRPr="00713A26">
        <w:rPr>
          <w:rFonts w:ascii="Verdana" w:eastAsia="Aptos" w:hAnsi="Verdana" w:cs="Arial"/>
          <w:kern w:val="2"/>
          <w14:ligatures w14:val="standardContextual"/>
        </w:rPr>
        <w:t xml:space="preserve">por la cual se adoptan medidas y disposiciones para los proyectos de infraestructura de transporte, </w:t>
      </w:r>
      <w:r w:rsidRPr="00713A26">
        <w:rPr>
          <w:rFonts w:ascii="Verdana" w:eastAsia="Calibri" w:hAnsi="Verdana" w:cs="Arial"/>
          <w:kern w:val="2"/>
          <w14:ligatures w14:val="standardContextual"/>
        </w:rPr>
        <w:t>la “</w:t>
      </w:r>
      <w:r w:rsidRPr="00713A26">
        <w:rPr>
          <w:rFonts w:ascii="Verdana" w:eastAsia="Calibri" w:hAnsi="Verdana" w:cs="Arial"/>
          <w:i/>
          <w:kern w:val="2"/>
          <w14:ligatures w14:val="standardContextual"/>
        </w:rPr>
        <w:t>capacidad residual de contratación cuando se realicen contratos de obra pública se obtendrá de sustraer de la capacidad de contratación, el saldo del valor de los contratos en ejecución</w:t>
      </w:r>
      <w:r w:rsidRPr="00713A26">
        <w:rPr>
          <w:rFonts w:ascii="Verdana" w:eastAsia="Calibri" w:hAnsi="Verdana" w:cs="Arial"/>
          <w:i/>
          <w:iCs/>
          <w:kern w:val="2"/>
          <w14:ligatures w14:val="standardContextual"/>
        </w:rPr>
        <w:t>”</w:t>
      </w:r>
      <w:r w:rsidRPr="00713A26">
        <w:rPr>
          <w:rFonts w:ascii="Verdana" w:eastAsia="Calibri" w:hAnsi="Verdana" w:cs="Arial"/>
          <w:i/>
          <w:kern w:val="2"/>
          <w14:ligatures w14:val="standardContextual"/>
        </w:rPr>
        <w:t>.</w:t>
      </w:r>
      <w:r w:rsidRPr="00713A26">
        <w:rPr>
          <w:rFonts w:ascii="Verdana" w:eastAsia="Calibri" w:hAnsi="Verdana" w:cs="Arial"/>
          <w:kern w:val="2"/>
          <w14:ligatures w14:val="standardContextual"/>
        </w:rPr>
        <w:t xml:space="preserve"> La “capacidad de contratación”, según se desprende de la misma disposición, “[…] se deberá calcular mediante la evaluación de los siguientes factores: Experiencia (E), Capacidad Financiera (CF), Capacidad Técnica (CT), y Capacidad de Organización (CO)”.</w:t>
      </w:r>
    </w:p>
    <w:p w14:paraId="4330D50F" w14:textId="77777777" w:rsidR="00713A26" w:rsidRPr="00713A26" w:rsidRDefault="00713A26" w:rsidP="00713A26">
      <w:pPr>
        <w:spacing w:after="120" w:line="276" w:lineRule="auto"/>
        <w:ind w:firstLine="708"/>
        <w:jc w:val="both"/>
        <w:rPr>
          <w:rFonts w:ascii="Verdana" w:eastAsia="Calibri" w:hAnsi="Verdana" w:cs="Arial"/>
          <w:kern w:val="2"/>
          <w14:ligatures w14:val="standardContextual"/>
        </w:rPr>
      </w:pPr>
      <w:bookmarkStart w:id="1" w:name="_Hlk103608376"/>
      <w:r w:rsidRPr="00713A26">
        <w:rPr>
          <w:rFonts w:ascii="Verdana" w:eastAsia="Calibri" w:hAnsi="Verdana" w:cs="Arial"/>
          <w:kern w:val="2"/>
          <w14:ligatures w14:val="standardContextual"/>
        </w:rPr>
        <w:t xml:space="preserve">Igualmente, el artículo 2.2.1.1.1.6.4 del Decreto 1082 de 2015 indica que las entidades estatales deberán calcular la capacidad residual conforme a la metodología definida por la Agencia Nacional de Contratación – Colombia Compre Eficiente. Para tales fines, resulta necesario tener en cuenta los factores de: i) Experiencia –E–, </w:t>
      </w:r>
      <w:proofErr w:type="spellStart"/>
      <w:r w:rsidRPr="00713A26">
        <w:rPr>
          <w:rFonts w:ascii="Verdana" w:eastAsia="Calibri" w:hAnsi="Verdana" w:cs="Arial"/>
          <w:kern w:val="2"/>
          <w14:ligatures w14:val="standardContextual"/>
        </w:rPr>
        <w:t>ii</w:t>
      </w:r>
      <w:proofErr w:type="spellEnd"/>
      <w:r w:rsidRPr="00713A26">
        <w:rPr>
          <w:rFonts w:ascii="Verdana" w:eastAsia="Calibri" w:hAnsi="Verdana" w:cs="Arial"/>
          <w:kern w:val="2"/>
          <w14:ligatures w14:val="standardContextual"/>
        </w:rPr>
        <w:t xml:space="preserve">) Capacidad Financiera –CF–, </w:t>
      </w:r>
      <w:proofErr w:type="spellStart"/>
      <w:r w:rsidRPr="00713A26">
        <w:rPr>
          <w:rFonts w:ascii="Verdana" w:eastAsia="Calibri" w:hAnsi="Verdana" w:cs="Arial"/>
          <w:kern w:val="2"/>
          <w14:ligatures w14:val="standardContextual"/>
        </w:rPr>
        <w:t>iii</w:t>
      </w:r>
      <w:proofErr w:type="spellEnd"/>
      <w:r w:rsidRPr="00713A26">
        <w:rPr>
          <w:rFonts w:ascii="Verdana" w:eastAsia="Calibri" w:hAnsi="Verdana" w:cs="Arial"/>
          <w:kern w:val="2"/>
          <w14:ligatures w14:val="standardContextual"/>
        </w:rPr>
        <w:t xml:space="preserve">) Capacidad Técnica –CT–, </w:t>
      </w:r>
      <w:proofErr w:type="spellStart"/>
      <w:r w:rsidRPr="00713A26">
        <w:rPr>
          <w:rFonts w:ascii="Verdana" w:eastAsia="Calibri" w:hAnsi="Verdana" w:cs="Arial"/>
          <w:kern w:val="2"/>
          <w14:ligatures w14:val="standardContextual"/>
        </w:rPr>
        <w:t>iv</w:t>
      </w:r>
      <w:proofErr w:type="spellEnd"/>
      <w:r w:rsidRPr="00713A26">
        <w:rPr>
          <w:rFonts w:ascii="Verdana" w:eastAsia="Calibri" w:hAnsi="Verdana" w:cs="Arial"/>
          <w:kern w:val="2"/>
          <w14:ligatures w14:val="standardContextual"/>
        </w:rPr>
        <w:t>) Capacidad de Organización y v) los Saldos de los Contratos en Ejecución –SCE–.</w:t>
      </w:r>
    </w:p>
    <w:p w14:paraId="436A8142" w14:textId="77777777" w:rsidR="00713A26" w:rsidRPr="00713A26" w:rsidRDefault="00713A26" w:rsidP="00713A26">
      <w:pPr>
        <w:spacing w:after="120" w:line="276" w:lineRule="auto"/>
        <w:ind w:firstLine="708"/>
        <w:jc w:val="both"/>
        <w:rPr>
          <w:rFonts w:ascii="Verdana" w:eastAsia="Aptos" w:hAnsi="Verdana" w:cs="Times New Roman"/>
          <w:kern w:val="2"/>
          <w14:ligatures w14:val="standardContextual"/>
        </w:rPr>
      </w:pPr>
      <w:r w:rsidRPr="00713A26">
        <w:rPr>
          <w:rFonts w:ascii="Verdana" w:eastAsia="Calibri" w:hAnsi="Verdana" w:cs="Arial"/>
          <w:kern w:val="2"/>
          <w14:ligatures w14:val="standardContextual"/>
        </w:rPr>
        <w:t xml:space="preserve">De la misma manera, el precitado artículo </w:t>
      </w:r>
      <w:r w:rsidRPr="00713A26">
        <w:rPr>
          <w:rFonts w:ascii="Verdana" w:eastAsia="Aptos" w:hAnsi="Verdana" w:cs="Arial"/>
          <w:kern w:val="2"/>
          <w14:ligatures w14:val="standardContextual"/>
        </w:rPr>
        <w:t xml:space="preserve">establece que el interesado en celebrar contratos de obra pública acreditará su capacidad residual con los siguientes documentos: i) la lista de los contratos de obras civiles en ejecución suscritos con entidades estatales y con entidades privadas; </w:t>
      </w:r>
      <w:proofErr w:type="spellStart"/>
      <w:r w:rsidRPr="00713A26">
        <w:rPr>
          <w:rFonts w:ascii="Verdana" w:eastAsia="Aptos" w:hAnsi="Verdana" w:cs="Arial"/>
          <w:kern w:val="2"/>
          <w14:ligatures w14:val="standardContextual"/>
        </w:rPr>
        <w:t>ii</w:t>
      </w:r>
      <w:proofErr w:type="spellEnd"/>
      <w:r w:rsidRPr="00713A26">
        <w:rPr>
          <w:rFonts w:ascii="Verdana" w:eastAsia="Aptos" w:hAnsi="Verdana" w:cs="Arial"/>
          <w:kern w:val="2"/>
          <w14:ligatures w14:val="standardContextual"/>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713A26">
        <w:rPr>
          <w:rFonts w:ascii="Verdana" w:eastAsia="Aptos" w:hAnsi="Verdana" w:cs="Arial"/>
          <w:kern w:val="2"/>
          <w14:ligatures w14:val="standardContextual"/>
        </w:rPr>
        <w:t>iii</w:t>
      </w:r>
      <w:proofErr w:type="spellEnd"/>
      <w:r w:rsidRPr="00713A26">
        <w:rPr>
          <w:rFonts w:ascii="Verdana" w:eastAsia="Aptos" w:hAnsi="Verdana" w:cs="Arial"/>
          <w:kern w:val="2"/>
          <w14:ligatures w14:val="standardContextual"/>
        </w:rPr>
        <w:t xml:space="preserve">) el balance general auditado del año inmediatamente anterior y estado de resultados auditado del </w:t>
      </w:r>
      <w:r w:rsidRPr="00713A26">
        <w:rPr>
          <w:rFonts w:ascii="Verdana" w:eastAsia="Aptos" w:hAnsi="Verdana" w:cs="Arial"/>
          <w:kern w:val="2"/>
          <w14:ligatures w14:val="standardContextual"/>
        </w:rPr>
        <w:lastRenderedPageBreak/>
        <w:t>año en que haya obtenido el mayor ingreso operacional en los últimos cinco (5) años</w:t>
      </w:r>
      <w:bookmarkEnd w:id="1"/>
      <w:r w:rsidRPr="00713A26">
        <w:rPr>
          <w:rFonts w:ascii="Verdana" w:eastAsia="Aptos" w:hAnsi="Verdana" w:cs="Times New Roman"/>
          <w:kern w:val="2"/>
          <w:vertAlign w:val="superscript"/>
          <w14:ligatures w14:val="standardContextual"/>
        </w:rPr>
        <w:footnoteReference w:id="3"/>
      </w:r>
      <w:r w:rsidRPr="00713A26">
        <w:rPr>
          <w:rFonts w:ascii="Verdana" w:eastAsia="Aptos" w:hAnsi="Verdana" w:cs="Arial"/>
          <w:kern w:val="2"/>
          <w14:ligatures w14:val="standardContextual"/>
        </w:rPr>
        <w:t xml:space="preserve">. </w:t>
      </w:r>
    </w:p>
    <w:p w14:paraId="67ED8E86" w14:textId="77777777" w:rsidR="00713A26" w:rsidRPr="00713A26" w:rsidRDefault="00713A26" w:rsidP="00713A26">
      <w:pPr>
        <w:spacing w:line="276" w:lineRule="auto"/>
        <w:ind w:firstLine="708"/>
        <w:jc w:val="both"/>
        <w:rPr>
          <w:rFonts w:ascii="Verdana" w:eastAsia="Calibri" w:hAnsi="Verdana" w:cs="Arial"/>
          <w:kern w:val="2"/>
          <w14:ligatures w14:val="standardContextual"/>
        </w:rPr>
      </w:pPr>
      <w:r w:rsidRPr="00713A26">
        <w:rPr>
          <w:rFonts w:ascii="Verdana" w:eastAsia="Calibri" w:hAnsi="Verdana" w:cs="Arial"/>
          <w:kern w:val="2"/>
          <w14:ligatures w14:val="standardContextual"/>
        </w:rPr>
        <w:t xml:space="preserve">Así, la entidad estatal debe verificar que la capacidad residual del proponente “CRP” sea igual o superior a la capacidad residual del proceso de contratación “CRPC”. De todas formas, previamente debe establecer la “CRP”, con fundamento en los siguientes factores: i) experiencia “E”; </w:t>
      </w:r>
      <w:proofErr w:type="spellStart"/>
      <w:r w:rsidRPr="00713A26">
        <w:rPr>
          <w:rFonts w:ascii="Verdana" w:eastAsia="Calibri" w:hAnsi="Verdana" w:cs="Arial"/>
          <w:kern w:val="2"/>
          <w14:ligatures w14:val="standardContextual"/>
        </w:rPr>
        <w:t>ii</w:t>
      </w:r>
      <w:proofErr w:type="spellEnd"/>
      <w:r w:rsidRPr="00713A26">
        <w:rPr>
          <w:rFonts w:ascii="Verdana" w:eastAsia="Calibri" w:hAnsi="Verdana" w:cs="Arial"/>
          <w:kern w:val="2"/>
          <w14:ligatures w14:val="standardContextual"/>
        </w:rPr>
        <w:t xml:space="preserve">) capacidad financiera “CF”; </w:t>
      </w:r>
      <w:proofErr w:type="spellStart"/>
      <w:r w:rsidRPr="00713A26">
        <w:rPr>
          <w:rFonts w:ascii="Verdana" w:eastAsia="Calibri" w:hAnsi="Verdana" w:cs="Arial"/>
          <w:kern w:val="2"/>
          <w14:ligatures w14:val="standardContextual"/>
        </w:rPr>
        <w:t>iii</w:t>
      </w:r>
      <w:proofErr w:type="spellEnd"/>
      <w:r w:rsidRPr="00713A26">
        <w:rPr>
          <w:rFonts w:ascii="Verdana" w:eastAsia="Calibri" w:hAnsi="Verdana" w:cs="Arial"/>
          <w:kern w:val="2"/>
          <w14:ligatures w14:val="standardContextual"/>
        </w:rPr>
        <w:t xml:space="preserve">) capacidad técnica “CT”, </w:t>
      </w:r>
      <w:proofErr w:type="spellStart"/>
      <w:r w:rsidRPr="00713A26">
        <w:rPr>
          <w:rFonts w:ascii="Verdana" w:eastAsia="Calibri" w:hAnsi="Verdana" w:cs="Arial"/>
          <w:kern w:val="2"/>
          <w14:ligatures w14:val="standardContextual"/>
        </w:rPr>
        <w:t>iv</w:t>
      </w:r>
      <w:proofErr w:type="spellEnd"/>
      <w:r w:rsidRPr="00713A26">
        <w:rPr>
          <w:rFonts w:ascii="Verdana" w:eastAsia="Calibri" w:hAnsi="Verdana" w:cs="Arial"/>
          <w:kern w:val="2"/>
          <w14:ligatures w14:val="standardContextual"/>
        </w:rPr>
        <w:t>) capacidad de organización “CO”; y v) los saldos de los contratos en ejecución “SCE”, según la siguiente fórmula:</w:t>
      </w:r>
    </w:p>
    <w:p w14:paraId="1F81AACF" w14:textId="77777777" w:rsidR="00713A26" w:rsidRPr="00713A26" w:rsidRDefault="00713A26" w:rsidP="00713A26">
      <w:pPr>
        <w:spacing w:after="0" w:line="276" w:lineRule="auto"/>
        <w:ind w:left="720"/>
        <w:contextualSpacing/>
        <w:jc w:val="both"/>
        <w:rPr>
          <w:rFonts w:ascii="Verdana" w:eastAsia="Calibri" w:hAnsi="Verdana" w:cs="Arial"/>
          <w:kern w:val="2"/>
          <w:lang w:val="es-ES"/>
          <w14:ligatures w14:val="standardContextual"/>
        </w:rPr>
      </w:pPr>
      <w:r w:rsidRPr="00713A26">
        <w:rPr>
          <w:rFonts w:ascii="Verdana" w:eastAsia="Calibri" w:hAnsi="Verdana" w:cs="Arial"/>
          <w:noProof/>
          <w:kern w:val="2"/>
          <w:lang w:val="es-ES"/>
          <w14:ligatures w14:val="standardContextual"/>
        </w:rPr>
        <w:drawing>
          <wp:inline distT="0" distB="0" distL="0" distR="0" wp14:anchorId="1F287255" wp14:editId="6DB6FCD2">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1"/>
                    <a:stretch>
                      <a:fillRect/>
                    </a:stretch>
                  </pic:blipFill>
                  <pic:spPr>
                    <a:xfrm>
                      <a:off x="0" y="0"/>
                      <a:ext cx="4305673" cy="624894"/>
                    </a:xfrm>
                    <a:prstGeom prst="rect">
                      <a:avLst/>
                    </a:prstGeom>
                  </pic:spPr>
                </pic:pic>
              </a:graphicData>
            </a:graphic>
          </wp:inline>
        </w:drawing>
      </w:r>
    </w:p>
    <w:p w14:paraId="4C8291E7" w14:textId="77777777" w:rsidR="00713A26" w:rsidRPr="00713A26" w:rsidRDefault="00713A26" w:rsidP="00713A26">
      <w:pPr>
        <w:spacing w:after="0" w:line="276" w:lineRule="auto"/>
        <w:ind w:left="720"/>
        <w:contextualSpacing/>
        <w:jc w:val="both"/>
        <w:rPr>
          <w:rFonts w:ascii="Verdana" w:eastAsia="Calibri" w:hAnsi="Verdana" w:cs="Arial"/>
          <w:kern w:val="2"/>
          <w:lang w:val="es-ES"/>
          <w14:ligatures w14:val="standardContextual"/>
        </w:rPr>
      </w:pPr>
    </w:p>
    <w:p w14:paraId="4824286E" w14:textId="77777777" w:rsidR="00713A26" w:rsidRPr="00713A26" w:rsidRDefault="00713A26" w:rsidP="00713A26">
      <w:pPr>
        <w:spacing w:after="120" w:line="276" w:lineRule="auto"/>
        <w:ind w:firstLine="708"/>
        <w:jc w:val="both"/>
        <w:rPr>
          <w:rFonts w:ascii="Verdana" w:eastAsia="Calibri" w:hAnsi="Verdana" w:cs="Arial"/>
          <w:kern w:val="2"/>
          <w14:ligatures w14:val="standardContextual"/>
        </w:rPr>
      </w:pPr>
      <w:r w:rsidRPr="00713A26">
        <w:rPr>
          <w:rFonts w:ascii="Verdana" w:eastAsia="Calibri" w:hAnsi="Verdana" w:cs="Arial"/>
          <w:kern w:val="2"/>
          <w14:ligatures w14:val="standardContextual"/>
        </w:rPr>
        <w:t xml:space="preserve">A cada uno de estos factores se les debe asignar los siguientes puntajes máximos: i) “E” 120; </w:t>
      </w:r>
      <w:proofErr w:type="spellStart"/>
      <w:r w:rsidRPr="00713A26">
        <w:rPr>
          <w:rFonts w:ascii="Verdana" w:eastAsia="Calibri" w:hAnsi="Verdana" w:cs="Arial"/>
          <w:kern w:val="2"/>
          <w14:ligatures w14:val="standardContextual"/>
        </w:rPr>
        <w:t>ii</w:t>
      </w:r>
      <w:proofErr w:type="spellEnd"/>
      <w:r w:rsidRPr="00713A26">
        <w:rPr>
          <w:rFonts w:ascii="Verdana" w:eastAsia="Calibri" w:hAnsi="Verdana" w:cs="Arial"/>
          <w:kern w:val="2"/>
          <w14:ligatures w14:val="standardContextual"/>
        </w:rPr>
        <w:t xml:space="preserve">) “CF” 40; y </w:t>
      </w:r>
      <w:proofErr w:type="spellStart"/>
      <w:r w:rsidRPr="00713A26">
        <w:rPr>
          <w:rFonts w:ascii="Verdana" w:eastAsia="Calibri" w:hAnsi="Verdana" w:cs="Arial"/>
          <w:kern w:val="2"/>
          <w14:ligatures w14:val="standardContextual"/>
        </w:rPr>
        <w:t>iii</w:t>
      </w:r>
      <w:proofErr w:type="spellEnd"/>
      <w:r w:rsidRPr="00713A26">
        <w:rPr>
          <w:rFonts w:ascii="Verdana" w:eastAsia="Calibri" w:hAnsi="Verdana" w:cs="Arial"/>
          <w:kern w:val="2"/>
          <w14:ligatures w14:val="standardContextual"/>
        </w:rPr>
        <w:t xml:space="preserve">) “CT” 40. La “CO” no tiene asignación de puntaje en la fórmula, por un lado, porque su unidad de medida es en pesos colombianos “COP” y, por el otro, debido a que el mismo constituye un factor multiplicador de los demás factores en la fórmula. </w:t>
      </w:r>
    </w:p>
    <w:p w14:paraId="2E2FD1D0" w14:textId="77777777" w:rsidR="00713A26" w:rsidRPr="00713A26" w:rsidRDefault="00713A26" w:rsidP="00713A26">
      <w:pPr>
        <w:spacing w:after="120" w:line="276" w:lineRule="auto"/>
        <w:ind w:firstLine="709"/>
        <w:jc w:val="both"/>
        <w:rPr>
          <w:rFonts w:ascii="Verdana" w:eastAsia="Calibri" w:hAnsi="Verdana" w:cs="Arial"/>
          <w:kern w:val="2"/>
          <w14:ligatures w14:val="standardContextual"/>
        </w:rPr>
      </w:pPr>
      <w:r w:rsidRPr="00713A26">
        <w:rPr>
          <w:rFonts w:ascii="Verdana" w:eastAsia="Calibri" w:hAnsi="Verdana" w:cs="Arial"/>
          <w:kern w:val="2"/>
          <w14:ligatures w14:val="standardContextual"/>
        </w:rPr>
        <w:t xml:space="preserve">Para el caso de la Capacidad Técnica (CT) y el Saldo de Contratos en Ejecución (SCE), temas sobre los cuales se centra su consulta, el artículo 72 de </w:t>
      </w:r>
      <w:r w:rsidRPr="00713A26">
        <w:rPr>
          <w:rFonts w:ascii="Verdana" w:eastAsia="Calibri" w:hAnsi="Verdana" w:cs="Arial"/>
          <w:kern w:val="2"/>
          <w14:ligatures w14:val="standardContextual"/>
        </w:rPr>
        <w:lastRenderedPageBreak/>
        <w:t>la Ley 1682 de 2013 y el artículo 2.2.1.1.1.6.4 del Decreto 1082 de 2015, los incluyen dentro de los factores que se deben tener en cuenta para calcular la capacidad residual de los proponentes. Sin embargo, estas disposiciones no definieron criterios de valor</w:t>
      </w:r>
      <w:r w:rsidRPr="00713A26">
        <w:rPr>
          <w:rFonts w:ascii="Verdana" w:eastAsia="Calibri" w:hAnsi="Verdana" w:cs="Arial"/>
          <w:color w:val="000000"/>
          <w:kern w:val="2"/>
          <w14:ligatures w14:val="standardContextual"/>
        </w:rPr>
        <w:t xml:space="preserve">ación ni la forma de acreditación de estos factores. </w:t>
      </w:r>
    </w:p>
    <w:p w14:paraId="7B90E7D5" w14:textId="77777777" w:rsidR="00713A26" w:rsidRPr="00713A26" w:rsidRDefault="00713A26" w:rsidP="00713A26">
      <w:pPr>
        <w:spacing w:after="0" w:line="276" w:lineRule="auto"/>
        <w:ind w:firstLine="708"/>
        <w:jc w:val="both"/>
        <w:rPr>
          <w:rFonts w:ascii="Verdana" w:eastAsia="Calibri" w:hAnsi="Verdana" w:cs="Arial"/>
          <w:kern w:val="2"/>
          <w14:ligatures w14:val="standardContextual"/>
        </w:rPr>
      </w:pPr>
      <w:r w:rsidRPr="00713A26">
        <w:rPr>
          <w:rFonts w:ascii="Verdana" w:eastAsia="Calibri" w:hAnsi="Verdana" w:cs="Arial"/>
          <w:kern w:val="2"/>
          <w14:ligatures w14:val="standardContextual"/>
        </w:rPr>
        <w:t>Por lo anterior, la Agencia Nacional de Contratación Pública – Colombia Compra Eficiente, en el marco de la competencia establecida por el Decreto 1082 de 2015, al fijar la metodología para el cálculo de la capacidad residual, estableció la forma de calcular la Capacidad Técnica (CT) y el Saldo de Contratos en Ejecución (SCE) en la “Guía para determinar y verificar la Capacidad Residual del proponente en los Procesos de Contratación de obra pública”</w:t>
      </w:r>
      <w:r w:rsidRPr="00713A26">
        <w:rPr>
          <w:rFonts w:ascii="Verdana" w:eastAsia="Calibri" w:hAnsi="Verdana" w:cs="Arial"/>
          <w:kern w:val="2"/>
          <w:vertAlign w:val="superscript"/>
          <w14:ligatures w14:val="standardContextual"/>
        </w:rPr>
        <w:footnoteReference w:id="4"/>
      </w:r>
      <w:r w:rsidRPr="00713A26">
        <w:rPr>
          <w:rFonts w:ascii="Verdana" w:eastAsia="Calibri" w:hAnsi="Verdana" w:cs="Arial"/>
          <w:kern w:val="2"/>
          <w14:ligatures w14:val="standardContextual"/>
        </w:rPr>
        <w:t xml:space="preserve"> de la siguiente manera: </w:t>
      </w:r>
    </w:p>
    <w:p w14:paraId="011ADD54" w14:textId="77777777" w:rsidR="00713A26" w:rsidRPr="00713A26" w:rsidRDefault="00713A26" w:rsidP="00713A26">
      <w:pPr>
        <w:spacing w:after="0" w:line="276" w:lineRule="auto"/>
        <w:ind w:left="720"/>
        <w:contextualSpacing/>
        <w:jc w:val="both"/>
        <w:rPr>
          <w:rFonts w:ascii="Verdana" w:eastAsia="Calibri" w:hAnsi="Verdana" w:cs="Arial"/>
          <w:kern w:val="2"/>
          <w:lang w:val="es-ES"/>
          <w14:ligatures w14:val="standardContextual"/>
        </w:rPr>
      </w:pPr>
    </w:p>
    <w:p w14:paraId="7EA9983C" w14:textId="77777777" w:rsidR="00713A26" w:rsidRPr="00713A26" w:rsidRDefault="00713A26" w:rsidP="00713A26">
      <w:pPr>
        <w:spacing w:after="0" w:line="240" w:lineRule="auto"/>
        <w:ind w:left="709" w:right="709"/>
        <w:contextualSpacing/>
        <w:jc w:val="both"/>
        <w:rPr>
          <w:rFonts w:ascii="Verdana" w:eastAsia="Calibri" w:hAnsi="Verdana" w:cs="Arial"/>
          <w:b/>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w:t>
      </w:r>
      <w:r w:rsidRPr="00713A26">
        <w:rPr>
          <w:rFonts w:ascii="Verdana" w:eastAsia="Calibri" w:hAnsi="Verdana" w:cs="Arial"/>
          <w:b/>
          <w:kern w:val="2"/>
          <w:sz w:val="21"/>
          <w:szCs w:val="21"/>
          <w:lang w:val="es-ES"/>
          <w14:ligatures w14:val="standardContextual"/>
        </w:rPr>
        <w:t>9.4 ¿Cómo calcular la Capacidad Técnica (CT)?</w:t>
      </w:r>
    </w:p>
    <w:p w14:paraId="4B4222E5" w14:textId="77777777" w:rsidR="00713A26" w:rsidRPr="00713A26" w:rsidRDefault="00713A26" w:rsidP="00713A26">
      <w:pPr>
        <w:spacing w:after="0" w:line="240" w:lineRule="auto"/>
        <w:ind w:left="709" w:right="709"/>
        <w:contextualSpacing/>
        <w:jc w:val="both"/>
        <w:rPr>
          <w:rFonts w:ascii="Verdana" w:eastAsia="Calibri" w:hAnsi="Verdana" w:cs="Arial"/>
          <w:kern w:val="2"/>
          <w:sz w:val="21"/>
          <w:szCs w:val="21"/>
          <w:lang w:val="es-ES"/>
          <w14:ligatures w14:val="standardContextual"/>
        </w:rPr>
      </w:pPr>
    </w:p>
    <w:p w14:paraId="43417C30" w14:textId="77777777" w:rsidR="00713A26" w:rsidRPr="00713A26" w:rsidRDefault="00713A26" w:rsidP="00713A26">
      <w:pPr>
        <w:spacing w:after="0" w:line="240" w:lineRule="auto"/>
        <w:ind w:left="709" w:right="709"/>
        <w:contextualSpacing/>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La capacidad técnica (CT) se asigna teniendo en cuenta el número de socios y profesionales de la arquitectura, ingeniería y geología vinculados mediante una relación laboral o contractual conforme a la cual desarrollen actividades relacionadas directamente a la construcción.</w:t>
      </w:r>
    </w:p>
    <w:p w14:paraId="424624D7" w14:textId="77777777" w:rsidR="00713A26" w:rsidRPr="00713A26" w:rsidRDefault="00713A26" w:rsidP="00713A26">
      <w:pPr>
        <w:spacing w:after="0" w:line="240" w:lineRule="auto"/>
        <w:ind w:left="709" w:right="709"/>
        <w:contextualSpacing/>
        <w:jc w:val="both"/>
        <w:rPr>
          <w:rFonts w:ascii="Verdana" w:eastAsia="Calibri" w:hAnsi="Verdana" w:cs="Arial"/>
          <w:kern w:val="2"/>
          <w:sz w:val="21"/>
          <w:szCs w:val="21"/>
          <w:lang w:val="es-ES"/>
          <w14:ligatures w14:val="standardContextual"/>
        </w:rPr>
      </w:pPr>
    </w:p>
    <w:p w14:paraId="1800190F" w14:textId="77777777" w:rsidR="00713A26" w:rsidRPr="00713A26" w:rsidRDefault="00713A26" w:rsidP="00713A26">
      <w:pPr>
        <w:widowControl w:val="0"/>
        <w:autoSpaceDE w:val="0"/>
        <w:autoSpaceDN w:val="0"/>
        <w:spacing w:after="0" w:line="240" w:lineRule="auto"/>
        <w:ind w:left="709" w:right="709"/>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Para acreditar la Capacidad Técnica (CT) el proponente debe diligenciar el formato establecido para tal fin en los pliegos de condiciones. No obstante, se sugiere el establecido en el Anexo 2 de esta guía.</w:t>
      </w:r>
    </w:p>
    <w:p w14:paraId="56CE1CD4" w14:textId="77777777" w:rsidR="00713A26" w:rsidRPr="00713A26" w:rsidRDefault="00713A26" w:rsidP="00713A26">
      <w:pPr>
        <w:widowControl w:val="0"/>
        <w:autoSpaceDE w:val="0"/>
        <w:autoSpaceDN w:val="0"/>
        <w:spacing w:after="0" w:line="240" w:lineRule="auto"/>
        <w:ind w:left="709" w:right="709"/>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 xml:space="preserve">[...]”. </w:t>
      </w:r>
    </w:p>
    <w:p w14:paraId="3C34DCB0" w14:textId="77777777" w:rsidR="00713A26" w:rsidRPr="00713A26" w:rsidRDefault="00713A26" w:rsidP="00713A26">
      <w:pPr>
        <w:widowControl w:val="0"/>
        <w:autoSpaceDE w:val="0"/>
        <w:autoSpaceDN w:val="0"/>
        <w:spacing w:after="0" w:line="240" w:lineRule="auto"/>
        <w:ind w:left="709" w:right="709"/>
        <w:jc w:val="both"/>
        <w:rPr>
          <w:rFonts w:ascii="Verdana" w:eastAsia="Calibri" w:hAnsi="Verdana" w:cs="Arial"/>
          <w:kern w:val="2"/>
          <w:sz w:val="21"/>
          <w:szCs w:val="21"/>
          <w:lang w:val="es-ES"/>
          <w14:ligatures w14:val="standardContextual"/>
        </w:rPr>
      </w:pPr>
    </w:p>
    <w:p w14:paraId="53032673" w14:textId="77777777" w:rsidR="00713A26" w:rsidRPr="00713A26" w:rsidRDefault="00713A26" w:rsidP="00713A26">
      <w:pPr>
        <w:spacing w:after="120" w:line="240" w:lineRule="auto"/>
        <w:ind w:left="709" w:right="709"/>
        <w:jc w:val="both"/>
        <w:rPr>
          <w:rFonts w:ascii="Verdana" w:eastAsia="Calibri" w:hAnsi="Verdana" w:cs="Arial"/>
          <w:b/>
          <w:kern w:val="2"/>
          <w:sz w:val="21"/>
          <w:szCs w:val="21"/>
          <w:lang w:val="es-ES"/>
          <w14:ligatures w14:val="standardContextual"/>
        </w:rPr>
      </w:pPr>
      <w:r w:rsidRPr="00713A26">
        <w:rPr>
          <w:rFonts w:ascii="Verdana" w:eastAsia="Calibri" w:hAnsi="Verdana" w:cs="Arial"/>
          <w:bCs/>
          <w:kern w:val="2"/>
          <w:sz w:val="21"/>
          <w:szCs w:val="21"/>
          <w:lang w:val="es-ES"/>
          <w14:ligatures w14:val="standardContextual"/>
        </w:rPr>
        <w:t>“</w:t>
      </w:r>
      <w:r w:rsidRPr="00713A26">
        <w:rPr>
          <w:rFonts w:ascii="Verdana" w:eastAsia="Calibri" w:hAnsi="Verdana" w:cs="Arial"/>
          <w:b/>
          <w:kern w:val="2"/>
          <w:sz w:val="21"/>
          <w:szCs w:val="21"/>
          <w:lang w:val="es-ES"/>
          <w14:ligatures w14:val="standardContextual"/>
        </w:rPr>
        <w:t>9.5 ¿Cómo calcular el Saldo de Contratos en Ejecución?</w:t>
      </w:r>
    </w:p>
    <w:p w14:paraId="3AE6F3CD"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 xml:space="preserve">El proponente debe presentar un certificado suscrito por su representante legal y su revisor fiscal, si el proponente está obligado a tenerlo, o por el Contador Público o auditor independiente, para lo </w:t>
      </w:r>
      <w:r w:rsidRPr="00713A26">
        <w:rPr>
          <w:rFonts w:ascii="Verdana" w:eastAsia="Calibri" w:hAnsi="Verdana" w:cs="Arial"/>
          <w:kern w:val="2"/>
          <w:sz w:val="21"/>
          <w:szCs w:val="21"/>
          <w:lang w:val="es-ES"/>
          <w14:ligatures w14:val="standardContextual"/>
        </w:rPr>
        <w:lastRenderedPageBreak/>
        <w:t>cual se sugiere el formato establecido en el Anexo 3 de la presente Guía.</w:t>
      </w:r>
    </w:p>
    <w:p w14:paraId="4923DA23"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El certificado deberá contener la lista de los Contratos en Ejecución, tanto a nivel nacional como internacional, indicando:</w:t>
      </w:r>
    </w:p>
    <w:p w14:paraId="7F74424F"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•El valor del contrato en pesos colombianos.</w:t>
      </w:r>
    </w:p>
    <w:p w14:paraId="2A20C97C"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•El plazo de ejecución del contrato en meses.</w:t>
      </w:r>
    </w:p>
    <w:p w14:paraId="46DE6C65"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•La fecha de inicio de las obras objeto del contrato: día, mes, año.</w:t>
      </w:r>
    </w:p>
    <w:p w14:paraId="5DF12A11" w14:textId="77777777" w:rsidR="00713A26" w:rsidRPr="00713A26" w:rsidRDefault="00713A26" w:rsidP="00713A26">
      <w:pPr>
        <w:spacing w:after="12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•Si la obra la ejecuta un consorcio o unión temporal, el porcentaje de participación del oferente que presenta el certificado.</w:t>
      </w:r>
    </w:p>
    <w:p w14:paraId="07E7C40B" w14:textId="77777777" w:rsidR="00713A26" w:rsidRPr="00713A26" w:rsidRDefault="00713A26" w:rsidP="00713A26">
      <w:pPr>
        <w:spacing w:after="0" w:line="240" w:lineRule="auto"/>
        <w:ind w:left="709" w:right="709" w:firstLine="1"/>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•Si el contrato se encuentra suspendido, y si es así, la fecha de suspensión. En todo caso, si el contrato está suspendido el proponente debe informar el saldo pendiente por ejecutar.</w:t>
      </w:r>
    </w:p>
    <w:p w14:paraId="615882C1" w14:textId="77777777" w:rsidR="00713A26" w:rsidRPr="00713A26" w:rsidRDefault="00713A26" w:rsidP="00713A26">
      <w:pPr>
        <w:widowControl w:val="0"/>
        <w:autoSpaceDE w:val="0"/>
        <w:autoSpaceDN w:val="0"/>
        <w:spacing w:after="0" w:line="240" w:lineRule="auto"/>
        <w:ind w:left="709" w:right="709"/>
        <w:jc w:val="both"/>
        <w:rPr>
          <w:rFonts w:ascii="Verdana" w:eastAsia="Calibri" w:hAnsi="Verdana" w:cs="Arial"/>
          <w:kern w:val="2"/>
          <w:sz w:val="21"/>
          <w:szCs w:val="21"/>
          <w:lang w:val="es-ES"/>
          <w14:ligatures w14:val="standardContextual"/>
        </w:rPr>
      </w:pPr>
      <w:r w:rsidRPr="00713A26">
        <w:rPr>
          <w:rFonts w:ascii="Verdana" w:eastAsia="Calibri" w:hAnsi="Verdana" w:cs="Arial"/>
          <w:kern w:val="2"/>
          <w:sz w:val="21"/>
          <w:szCs w:val="21"/>
          <w:lang w:val="es-ES"/>
          <w14:ligatures w14:val="standardContextual"/>
        </w:rPr>
        <w:t xml:space="preserve">[...]”. </w:t>
      </w:r>
    </w:p>
    <w:p w14:paraId="1B9D1F20" w14:textId="77777777" w:rsidR="00713A26" w:rsidRPr="00713A26" w:rsidRDefault="00713A26" w:rsidP="00713A26">
      <w:pPr>
        <w:widowControl w:val="0"/>
        <w:autoSpaceDE w:val="0"/>
        <w:autoSpaceDN w:val="0"/>
        <w:spacing w:after="0" w:line="276" w:lineRule="auto"/>
        <w:ind w:left="709" w:right="709"/>
        <w:jc w:val="both"/>
        <w:rPr>
          <w:rFonts w:ascii="Verdana" w:eastAsia="Calibri" w:hAnsi="Verdana" w:cs="Arial"/>
          <w:kern w:val="2"/>
          <w:lang w:val="es-ES"/>
          <w14:ligatures w14:val="standardContextual"/>
        </w:rPr>
      </w:pPr>
    </w:p>
    <w:p w14:paraId="75BFCF83" w14:textId="77777777" w:rsidR="00713A26" w:rsidRPr="00713A26" w:rsidRDefault="00713A26" w:rsidP="00713A26">
      <w:pPr>
        <w:spacing w:after="120" w:line="276" w:lineRule="auto"/>
        <w:ind w:firstLine="708"/>
        <w:jc w:val="both"/>
        <w:rPr>
          <w:rFonts w:ascii="Verdana" w:eastAsia="Aptos" w:hAnsi="Verdana" w:cs="Times New Roman"/>
          <w:color w:val="000000"/>
          <w:kern w:val="2"/>
          <w:lang w:val="es-ES"/>
          <w14:ligatures w14:val="standardContextual"/>
        </w:rPr>
      </w:pPr>
      <w:r w:rsidRPr="00713A26">
        <w:rPr>
          <w:rFonts w:ascii="Verdana" w:eastAsia="Calibri" w:hAnsi="Verdana" w:cs="Arial"/>
          <w:color w:val="000000"/>
          <w:kern w:val="2"/>
          <w14:ligatures w14:val="standardContextual"/>
        </w:rPr>
        <w:t xml:space="preserve">Se observa en la “Guía para determinar y verificar la Capacidad Residual del proponente en los Procesos de Contratación de obra pública”, </w:t>
      </w:r>
      <w:r w:rsidRPr="00713A26">
        <w:rPr>
          <w:rFonts w:ascii="Verdana" w:eastAsia="Aptos" w:hAnsi="Verdana" w:cs="Times New Roman"/>
          <w:color w:val="000000"/>
          <w:kern w:val="2"/>
          <w:lang w:val="es-ES"/>
          <w14:ligatures w14:val="standardContextual"/>
        </w:rPr>
        <w:t xml:space="preserve">que para acreditar la Capacidad Técnica (CT) y los Saldos de Contratos en Ejecución (SCE), es el proponente quien debe diligenciar el formato establecido en los pliegos de condiciones. De igual forma, la mencionada Guía sugiere el uso del “Anexo 2 – Certificación de la Capacidad Técnica” y “Anexo 3 – Certificación de Saldos de Contratos en Ejecución (SCE)”. </w:t>
      </w:r>
    </w:p>
    <w:p w14:paraId="5A88B9F7" w14:textId="77777777" w:rsidR="00713A26" w:rsidRPr="00713A26" w:rsidRDefault="00713A26" w:rsidP="00713A26">
      <w:pPr>
        <w:spacing w:after="120" w:line="276" w:lineRule="auto"/>
        <w:ind w:firstLine="708"/>
        <w:jc w:val="both"/>
        <w:rPr>
          <w:rFonts w:ascii="Verdana" w:eastAsia="Aptos" w:hAnsi="Verdana" w:cs="Times New Roman"/>
          <w:color w:val="000000"/>
          <w:kern w:val="2"/>
          <w:lang w:val="es-ES"/>
          <w14:ligatures w14:val="standardContextual"/>
        </w:rPr>
      </w:pPr>
      <w:r w:rsidRPr="00713A26">
        <w:rPr>
          <w:rFonts w:ascii="Verdana" w:eastAsia="Aptos" w:hAnsi="Verdana" w:cs="Times New Roman"/>
          <w:color w:val="000000"/>
          <w:kern w:val="2"/>
          <w:lang w:val="es-ES"/>
          <w14:ligatures w14:val="standardContextual"/>
        </w:rPr>
        <w:t xml:space="preserve">Respecto al Anexo 2, el formato sugerido indica que deberá ser suscrito por el representante legal del proponente y el auditor o revisor fiscal; por su parte, y con relación al Anexo 3, el formato sugerido indica que deberá ser suscrito por el representante legal y su revisor fiscal, si el proponente está obligado a tenerlo, o por el contador público o auditor independiente. </w:t>
      </w:r>
    </w:p>
    <w:p w14:paraId="4A532FCB" w14:textId="77777777" w:rsidR="00713A26" w:rsidRPr="00713A26" w:rsidRDefault="00713A26" w:rsidP="00713A26">
      <w:pPr>
        <w:spacing w:after="120" w:line="276" w:lineRule="auto"/>
        <w:ind w:firstLine="708"/>
        <w:jc w:val="both"/>
        <w:rPr>
          <w:rFonts w:ascii="Verdana" w:eastAsia="Calibri" w:hAnsi="Verdana" w:cs="Arial"/>
          <w:color w:val="000000"/>
          <w:kern w:val="2"/>
          <w14:ligatures w14:val="standardContextual"/>
        </w:rPr>
      </w:pPr>
      <w:r w:rsidRPr="00713A26">
        <w:rPr>
          <w:rFonts w:ascii="Verdana" w:eastAsia="Aptos" w:hAnsi="Verdana" w:cs="Times New Roman"/>
          <w:color w:val="000000"/>
          <w:kern w:val="2"/>
          <w:lang w:val="es-ES"/>
          <w14:ligatures w14:val="standardContextual"/>
        </w:rPr>
        <w:t xml:space="preserve">Como se evidencia, en el marco de los Anexos sugeridos por la </w:t>
      </w:r>
      <w:r w:rsidRPr="00713A26">
        <w:rPr>
          <w:rFonts w:ascii="Verdana" w:eastAsia="Calibri" w:hAnsi="Verdana" w:cs="Arial"/>
          <w:color w:val="000000"/>
          <w:kern w:val="2"/>
          <w14:ligatures w14:val="standardContextual"/>
        </w:rPr>
        <w:t xml:space="preserve">Guía, cuando los formatos no son suscritos por el revisor fiscal (porque la empresa que presenta la propuesta no se encuentra obligada a tenerlo), este rol puede ser sustituido por el de un </w:t>
      </w:r>
      <w:r w:rsidRPr="00713A26">
        <w:rPr>
          <w:rFonts w:ascii="Verdana" w:eastAsia="Aptos" w:hAnsi="Verdana" w:cs="Times New Roman"/>
          <w:color w:val="000000"/>
          <w:kern w:val="2"/>
          <w:lang w:val="es-ES"/>
          <w14:ligatures w14:val="standardContextual"/>
        </w:rPr>
        <w:t>contador público o auditor independiente</w:t>
      </w:r>
      <w:r w:rsidRPr="00713A26">
        <w:rPr>
          <w:rFonts w:ascii="Verdana" w:eastAsia="Calibri" w:hAnsi="Verdana" w:cs="Arial"/>
          <w:color w:val="000000"/>
          <w:kern w:val="2"/>
          <w14:ligatures w14:val="standardContextual"/>
        </w:rPr>
        <w:t xml:space="preserve"> que cumpla ese rol de certificación o verificación de la información acreditada en el formato. Respecto al Anexo 2, el rol del auditor puede reemplazar el del revisor fiscal (cuando el proponente no se encuentre obligado a tenerlo), en la medida en que verifica desde un rol independiente, la información relacionada por el proponente. </w:t>
      </w:r>
    </w:p>
    <w:p w14:paraId="745D4A45" w14:textId="77777777" w:rsidR="00713A26" w:rsidRPr="00713A26" w:rsidRDefault="00713A26" w:rsidP="00713A26">
      <w:pPr>
        <w:spacing w:after="120" w:line="276" w:lineRule="auto"/>
        <w:ind w:firstLine="708"/>
        <w:jc w:val="both"/>
        <w:rPr>
          <w:rFonts w:ascii="Verdana" w:eastAsia="Calibri" w:hAnsi="Verdana" w:cs="Arial"/>
          <w:color w:val="000000"/>
          <w:kern w:val="2"/>
          <w14:ligatures w14:val="standardContextual"/>
        </w:rPr>
      </w:pPr>
      <w:r w:rsidRPr="00713A26">
        <w:rPr>
          <w:rFonts w:ascii="Verdana" w:eastAsia="Calibri" w:hAnsi="Verdana" w:cs="Arial"/>
          <w:color w:val="000000"/>
          <w:kern w:val="2"/>
          <w14:ligatures w14:val="standardContextual"/>
        </w:rPr>
        <w:lastRenderedPageBreak/>
        <w:t>Por otra parte, es de resaltar que para el caso del “Anexo de Saldos de Contratos en Ejecución”, la Guía no realiza una precisión frente a si el contador público debe ser “Independiente” o no. En todo caso, se reitera que el anexo se presenta en la Guía a modo de sugerencia para que la entidad estructure los documentos del proceso y para que el proponente presente su propuesta con posterioridad.</w:t>
      </w:r>
    </w:p>
    <w:p w14:paraId="39F73CDE" w14:textId="77777777" w:rsidR="00713A26" w:rsidRPr="00713A26" w:rsidRDefault="00713A26" w:rsidP="00713A26">
      <w:pPr>
        <w:spacing w:after="120" w:line="276" w:lineRule="auto"/>
        <w:ind w:firstLine="709"/>
        <w:jc w:val="both"/>
        <w:rPr>
          <w:rFonts w:ascii="Verdana" w:eastAsia="Calibri" w:hAnsi="Verdana" w:cs="Arial"/>
          <w:color w:val="000000"/>
          <w:kern w:val="2"/>
          <w14:ligatures w14:val="standardContextual"/>
        </w:rPr>
      </w:pPr>
      <w:r w:rsidRPr="00713A26">
        <w:rPr>
          <w:rFonts w:ascii="Verdana" w:eastAsia="Aptos" w:hAnsi="Verdana" w:cs="Times New Roman"/>
          <w:color w:val="000000"/>
          <w:kern w:val="2"/>
          <w:lang w:val="es-ES"/>
          <w14:ligatures w14:val="standardContextual"/>
        </w:rPr>
        <w:t>Así las cosas, respecto al problema jurídico, debe señalarse que, n</w:t>
      </w:r>
      <w:r w:rsidRPr="00713A26">
        <w:rPr>
          <w:rFonts w:ascii="Verdana" w:eastAsia="Calibri" w:hAnsi="Verdana" w:cs="Arial"/>
          <w:color w:val="000000"/>
          <w:kern w:val="2"/>
          <w14:ligatures w14:val="standardContextual"/>
        </w:rPr>
        <w:t>i las normas referenciadas, ni la</w:t>
      </w:r>
      <w:r w:rsidRPr="00713A26">
        <w:rPr>
          <w:rFonts w:ascii="Aptos" w:eastAsia="Aptos" w:hAnsi="Aptos" w:cs="Times New Roman"/>
          <w:color w:val="000000"/>
          <w:kern w:val="2"/>
          <w14:ligatures w14:val="standardContextual"/>
        </w:rPr>
        <w:t xml:space="preserve"> “</w:t>
      </w:r>
      <w:r w:rsidRPr="00713A26">
        <w:rPr>
          <w:rFonts w:ascii="Verdana" w:eastAsia="Calibri" w:hAnsi="Verdana" w:cs="Arial"/>
          <w:color w:val="000000"/>
          <w:kern w:val="2"/>
          <w14:ligatures w14:val="standardContextual"/>
        </w:rPr>
        <w:t xml:space="preserve">Guía para determinar y verificar la Capacidad Residual del proponente en los Procesos de Contratación de obra pública” expedida por esta Agencia, exigen un anexo para la acreditación de estos requisitos, por el contrario, se realiza la sugerencia de formatos, y en ellos una información a solicitar y unos roles quienes los suscriben. </w:t>
      </w:r>
    </w:p>
    <w:p w14:paraId="5CE6D79B" w14:textId="77777777" w:rsidR="00713A26" w:rsidRPr="00713A26" w:rsidRDefault="00713A26" w:rsidP="00713A26">
      <w:pPr>
        <w:spacing w:after="0" w:line="276" w:lineRule="auto"/>
        <w:ind w:firstLine="709"/>
        <w:jc w:val="both"/>
        <w:rPr>
          <w:rFonts w:ascii="Verdana" w:eastAsia="Aptos" w:hAnsi="Verdana" w:cs="Times New Roman"/>
          <w:color w:val="000000"/>
          <w:kern w:val="2"/>
          <w:lang w:val="es-ES"/>
          <w14:ligatures w14:val="standardContextual"/>
        </w:rPr>
      </w:pPr>
      <w:r w:rsidRPr="00713A26">
        <w:rPr>
          <w:rFonts w:ascii="Verdana" w:eastAsia="Calibri" w:hAnsi="Verdana" w:cs="Arial"/>
          <w:color w:val="000000"/>
          <w:kern w:val="2"/>
          <w14:ligatures w14:val="standardContextual"/>
        </w:rPr>
        <w:t>Por lo anterior,</w:t>
      </w:r>
      <w:r w:rsidRPr="00713A26">
        <w:rPr>
          <w:rFonts w:ascii="Verdana" w:eastAsia="Aptos" w:hAnsi="Verdana" w:cs="Times New Roman"/>
          <w:color w:val="000000"/>
          <w:kern w:val="2"/>
          <w:lang w:val="es-ES"/>
          <w14:ligatures w14:val="standardContextual"/>
        </w:rPr>
        <w:t xml:space="preserve"> debe tenerse en cuenta que, la entidad estatal, como directora de los procesos de contratación que adelanta, debe señalar en el pliego de condiciones –o en la invitación– cuál es la información que se debe acreditar para el cálculo de la capacidad residual, así como los documentos que tendrá como válidos para tal fin y los roles que deberán suscribir cada uno de ellos. En consecuencia, el proponente deberá ceñirse a lo dispuesto por la entidad y allegar toda información ordenada, en los términos y la forma en que hayan sido señalados, con el fin de que la entidad pueda calcular la capacidad residual del proponente y verificar si cumple o no con lo requerido en el proceso de contratación que adelanta.</w:t>
      </w:r>
    </w:p>
    <w:p w14:paraId="1EEA2FAD" w14:textId="77777777" w:rsidR="00713A26" w:rsidRPr="00713A26" w:rsidRDefault="00713A26" w:rsidP="00713A26">
      <w:pPr>
        <w:spacing w:after="0" w:line="276" w:lineRule="auto"/>
        <w:ind w:firstLine="709"/>
        <w:jc w:val="both"/>
        <w:rPr>
          <w:rFonts w:ascii="Verdana" w:eastAsia="Calibri" w:hAnsi="Verdana" w:cs="Arial"/>
          <w:color w:val="000000"/>
        </w:rPr>
      </w:pPr>
    </w:p>
    <w:p w14:paraId="1933B593" w14:textId="77777777" w:rsidR="00713A26" w:rsidRPr="00713A26" w:rsidRDefault="00713A26" w:rsidP="00713A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13A26">
        <w:rPr>
          <w:rFonts w:ascii="Verdana" w:eastAsia="Century Gothic" w:hAnsi="Verdana" w:cs="Century Gothic"/>
          <w:b/>
          <w:bCs/>
          <w:lang w:val="es-ES_tradnl"/>
        </w:rPr>
        <w:t>Referencias normativas, jurisprudenciales y otras fuentes:</w:t>
      </w:r>
    </w:p>
    <w:p w14:paraId="6FC984F1"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713A26" w:rsidRPr="00713A26" w14:paraId="6F00C476" w14:textId="77777777" w:rsidTr="005418D5">
        <w:trPr>
          <w:trHeight w:val="870"/>
        </w:trPr>
        <w:tc>
          <w:tcPr>
            <w:tcW w:w="8647" w:type="dxa"/>
          </w:tcPr>
          <w:p w14:paraId="20FE08C4"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Calibri" w:hAnsi="Verdana" w:cs="Arial"/>
                <w:lang w:val="es-ES_tradnl"/>
              </w:rPr>
              <w:t>Ley 2022 de 2020, artículo 1.</w:t>
            </w:r>
          </w:p>
          <w:p w14:paraId="4CA2FA61"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Calibri" w:hAnsi="Verdana" w:cs="Arial"/>
                <w:lang w:val="es-ES_tradnl"/>
              </w:rPr>
              <w:t>Ley 1150 de 2007, artículo 7.</w:t>
            </w:r>
          </w:p>
          <w:p w14:paraId="236C3767"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Calibri" w:hAnsi="Verdana" w:cs="Arial"/>
              </w:rPr>
              <w:t>Ley 1682 de 2013, artículo 72.</w:t>
            </w:r>
          </w:p>
          <w:p w14:paraId="09962DEF"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Calibri" w:hAnsi="Verdana" w:cs="Arial"/>
                <w:lang w:val="es-ES_tradnl"/>
              </w:rPr>
              <w:t>Decreto 1082 de 2025, artículos 2.2.1.1.1.3.1 y 2.2.1.1.1.6.4.</w:t>
            </w:r>
          </w:p>
          <w:p w14:paraId="616CD030"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Calibri" w:hAnsi="Verdana" w:cs="Arial"/>
              </w:rPr>
              <w:t xml:space="preserve">Guía para determinar y verificar la Capacidad Residual del proponente en los Procesos de Contratación de obra pública. Disponible en: </w:t>
            </w:r>
            <w:hyperlink r:id="rId12" w:history="1">
              <w:r w:rsidRPr="00713A26">
                <w:rPr>
                  <w:rFonts w:ascii="Verdana" w:eastAsia="Calibri" w:hAnsi="Verdana" w:cs="Arial"/>
                  <w:color w:val="0000FF"/>
                  <w:u w:val="single"/>
                </w:rPr>
                <w:t>https://www.colombiacompra.gov.co/archivos/manual/guia-para-determinar-y-verificar-la-capacidad-residual-del-proponente-en-los-</w:t>
              </w:r>
              <w:r w:rsidRPr="00713A26">
                <w:rPr>
                  <w:rFonts w:ascii="Verdana" w:eastAsia="Calibri" w:hAnsi="Verdana" w:cs="Arial"/>
                  <w:color w:val="0000FF"/>
                  <w:u w:val="single"/>
                </w:rPr>
                <w:lastRenderedPageBreak/>
                <w:t>procesos-de-contratacion-de-obra-publica</w:t>
              </w:r>
            </w:hyperlink>
            <w:r w:rsidRPr="00713A26">
              <w:rPr>
                <w:rFonts w:ascii="Verdana" w:eastAsia="Calibri" w:hAnsi="Verdana" w:cs="Arial"/>
              </w:rPr>
              <w:t xml:space="preserve">. </w:t>
            </w:r>
          </w:p>
          <w:p w14:paraId="267B9B47" w14:textId="77777777" w:rsidR="00713A26" w:rsidRPr="00713A26" w:rsidRDefault="00713A26" w:rsidP="00713A26">
            <w:pPr>
              <w:widowControl w:val="0"/>
              <w:numPr>
                <w:ilvl w:val="0"/>
                <w:numId w:val="18"/>
              </w:numPr>
              <w:autoSpaceDE w:val="0"/>
              <w:autoSpaceDN w:val="0"/>
              <w:snapToGrid w:val="0"/>
              <w:spacing w:after="120" w:line="276" w:lineRule="auto"/>
              <w:jc w:val="both"/>
              <w:rPr>
                <w:rFonts w:ascii="Verdana" w:eastAsia="Calibri" w:hAnsi="Verdana" w:cs="Arial"/>
                <w:lang w:val="es-ES_tradnl"/>
              </w:rPr>
            </w:pPr>
            <w:r w:rsidRPr="00713A26">
              <w:rPr>
                <w:rFonts w:ascii="Verdana" w:eastAsia="Aptos" w:hAnsi="Verdana" w:cs="Arial"/>
                <w:lang w:val="es-ES_tradnl"/>
              </w:rPr>
              <w:t xml:space="preserve">Documentos tipo de infraestructura de transporte. Disponibles en: </w:t>
            </w:r>
            <w:hyperlink r:id="rId13" w:history="1">
              <w:r w:rsidRPr="00713A26">
                <w:rPr>
                  <w:rFonts w:ascii="Verdana" w:eastAsia="Aptos" w:hAnsi="Verdana" w:cs="Arial"/>
                  <w:color w:val="0000FF"/>
                  <w:u w:val="single"/>
                  <w:lang w:val="es-ES_tradnl"/>
                </w:rPr>
                <w:t>https://www.colombiacompra.gov.co/normativa-y-relatoria/documentos-tipo</w:t>
              </w:r>
            </w:hyperlink>
            <w:r w:rsidRPr="00713A26">
              <w:rPr>
                <w:rFonts w:ascii="Verdana" w:eastAsia="Aptos" w:hAnsi="Verdana" w:cs="Arial"/>
                <w:lang w:val="es-ES_tradnl"/>
              </w:rPr>
              <w:t>.</w:t>
            </w:r>
            <w:r w:rsidRPr="00713A26">
              <w:rPr>
                <w:rFonts w:ascii="Verdana" w:eastAsia="Aptos" w:hAnsi="Verdana" w:cs="Arial"/>
                <w:vertAlign w:val="superscript"/>
                <w:lang w:val="es-ES_tradnl"/>
              </w:rPr>
              <w:t xml:space="preserve"> </w:t>
            </w:r>
          </w:p>
        </w:tc>
      </w:tr>
    </w:tbl>
    <w:p w14:paraId="0B7DE2A0"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lang w:val="es-ES_tradnl"/>
        </w:rPr>
      </w:pPr>
    </w:p>
    <w:p w14:paraId="776BBC0F" w14:textId="77777777" w:rsidR="00713A26" w:rsidRPr="00713A26" w:rsidRDefault="00713A26" w:rsidP="00713A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13A26">
        <w:rPr>
          <w:rFonts w:ascii="Verdana" w:eastAsia="Century Gothic" w:hAnsi="Verdana" w:cs="Century Gothic"/>
          <w:b/>
          <w:bCs/>
          <w:lang w:val="es-ES_tradnl"/>
        </w:rPr>
        <w:t>Doctrina de la Agencia Nacional de Contratación Pública:</w:t>
      </w:r>
    </w:p>
    <w:p w14:paraId="7B1A8488"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lang w:val="es-ES_tradnl"/>
        </w:rPr>
      </w:pPr>
    </w:p>
    <w:p w14:paraId="435B43A0"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713A26">
        <w:rPr>
          <w:rFonts w:ascii="Verdana" w:eastAsia="Calibri" w:hAnsi="Verdana" w:cs="Arial"/>
          <w:kern w:val="2"/>
          <w:shd w:val="clear" w:color="auto" w:fill="FFFFFF"/>
          <w:lang w:val="es-ES_tradnl"/>
          <w14:ligatures w14:val="standardContextual"/>
        </w:rPr>
        <w:t>Esta Agencia se refirió a la capacidad residual, y la forma como esta se debe acreditar, en los conceptos 2201913000006275 del 27 de agosto de 2019, 2201913000009465 del 20 de diciembre de 2019, 2201913000009642 y 2201913000009640 del 26 de diciembre de 2019; así como en los conceptos C–022 del 20 de febrero de 2020, C–089 del 4 de marzo de 2020, C–112 del 16 de marzo de 2020, C–133 del 25 de marzo de 2020, C–194 del 21 de abril de 2020, C–326 del 9 de junio de 2020, C–446 del 6 de julio de 2020, C-461 del 13 de julio de 2020, C–668 del 20 de noviembre de 2020, C–742 del 16 de diciembre de 2020, C–045 del 5 de marzo de 2021, C–003 del 26 de marzo de 2021, C–121 del 31 de marzo de 2021, C–143 del 9 de abril de 2021, C–202 del 7 de mayo de 2021, C–219 del 19 de mayo de 2021, C–368 del 28 de julio de 2021, C–392 del 5 de agosto de 2021, C–513 del 23 de septiembre de 2021, C–590 del 12 de octubre de 2021, C-068 del 9 de marzo de 2022, C-220 del 22 de abril de 2022, C-351 del 23 de mayo de 2022, C-392 del 16 de junio de 2022, C-244 del 13 de agosto de 2024, C-528 del 31 de octubre de 2024, entre otros.</w:t>
      </w:r>
    </w:p>
    <w:p w14:paraId="1F3E3276"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p>
    <w:p w14:paraId="30228A79" w14:textId="77777777" w:rsidR="00713A26" w:rsidRPr="00713A26" w:rsidRDefault="00713A26" w:rsidP="00713A26">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713A26">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4" w:tgtFrame="_blank" w:tooltip="Dirección URL original: https://relatoria.colombiacompra.gov.co/. Haga clic o pulse si confía en este vínculo." w:history="1">
        <w:r w:rsidRPr="00713A26">
          <w:rPr>
            <w:rFonts w:ascii="Verdana" w:eastAsia="Times New Roman" w:hAnsi="Verdana" w:cs="Arial"/>
            <w:kern w:val="2"/>
            <w:shd w:val="clear" w:color="auto" w:fill="FFFFFF"/>
            <w:lang w:val="es-ES"/>
            <w14:ligatures w14:val="standardContextual"/>
          </w:rPr>
          <w:t>https://relatoria.colombiacompra.gov.co/</w:t>
        </w:r>
      </w:hyperlink>
      <w:r w:rsidRPr="00713A26">
        <w:rPr>
          <w:rFonts w:ascii="Verdana" w:eastAsia="Times New Roman" w:hAnsi="Verdana" w:cs="Arial"/>
          <w:kern w:val="2"/>
          <w:shd w:val="clear" w:color="auto" w:fill="FFFFFF"/>
          <w:lang w:val="es-ES"/>
          <w14:ligatures w14:val="standardContextual"/>
        </w:rPr>
        <w:t>.</w:t>
      </w:r>
    </w:p>
    <w:p w14:paraId="382700E0" w14:textId="77777777" w:rsidR="00713A26" w:rsidRPr="00713A26" w:rsidRDefault="00713A26" w:rsidP="00713A26">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B595EB3"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13A26">
        <w:rPr>
          <w:rFonts w:ascii="Verdana" w:eastAsia="Calibri" w:hAnsi="Verdana" w:cs="Arial"/>
          <w:kern w:val="2"/>
          <w:shd w:val="clear" w:color="auto" w:fill="FFFFFF"/>
          <w:lang w:val="es-ES_tradnl"/>
          <w14:ligatures w14:val="standardContextual"/>
        </w:rPr>
        <w:t>La</w:t>
      </w:r>
      <w:r w:rsidRPr="00713A26">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713A26">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713A26">
        <w:rPr>
          <w:rFonts w:ascii="Verdana" w:eastAsia="Calibri" w:hAnsi="Verdana" w:cs="Arial"/>
          <w:b/>
          <w:bCs/>
          <w:kern w:val="2"/>
          <w:shd w:val="clear" w:color="auto" w:fill="FFFFFF"/>
          <w:lang w:val="es-ES_tradnl"/>
          <w14:ligatures w14:val="standardContextual"/>
        </w:rPr>
        <w:t>Documentos Tipo</w:t>
      </w:r>
      <w:r w:rsidRPr="00713A26">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713A26">
        <w:rPr>
          <w:rFonts w:ascii="Verdana" w:eastAsia="Calibri" w:hAnsi="Verdana" w:cs="Arial"/>
          <w:b/>
          <w:bCs/>
          <w:kern w:val="2"/>
          <w:shd w:val="clear" w:color="auto" w:fill="FFFFFF"/>
          <w:lang w:val="es-ES_tradnl"/>
          <w14:ligatures w14:val="standardContextual"/>
        </w:rPr>
        <w:t>transparencia</w:t>
      </w:r>
      <w:r w:rsidRPr="00713A26">
        <w:rPr>
          <w:rFonts w:ascii="Verdana" w:eastAsia="Calibri" w:hAnsi="Verdana" w:cs="Arial"/>
          <w:kern w:val="2"/>
          <w:shd w:val="clear" w:color="auto" w:fill="FFFFFF"/>
          <w:lang w:val="es-ES_tradnl"/>
          <w14:ligatures w14:val="standardContextual"/>
        </w:rPr>
        <w:t xml:space="preserve"> y promover un </w:t>
      </w:r>
      <w:r w:rsidRPr="00713A26">
        <w:rPr>
          <w:rFonts w:ascii="Verdana" w:eastAsia="Calibri" w:hAnsi="Verdana" w:cs="Arial"/>
          <w:kern w:val="2"/>
          <w:shd w:val="clear" w:color="auto" w:fill="FFFFFF"/>
          <w:lang w:val="es-ES_tradnl"/>
          <w14:ligatures w14:val="standardContextual"/>
        </w:rPr>
        <w:lastRenderedPageBreak/>
        <w:t>proceso de </w:t>
      </w:r>
      <w:r w:rsidRPr="00713A26">
        <w:rPr>
          <w:rFonts w:ascii="Verdana" w:eastAsia="Calibri" w:hAnsi="Verdana" w:cs="Arial"/>
          <w:b/>
          <w:bCs/>
          <w:kern w:val="2"/>
          <w:shd w:val="clear" w:color="auto" w:fill="FFFFFF"/>
          <w:lang w:val="es-ES_tradnl"/>
          <w14:ligatures w14:val="standardContextual"/>
        </w:rPr>
        <w:t>selección objetiva</w:t>
      </w:r>
      <w:r w:rsidRPr="00713A26">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E92E440"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44B4252"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713A26">
        <w:rPr>
          <w:rFonts w:ascii="Verdana" w:eastAsia="Calibri" w:hAnsi="Verdana" w:cs="Arial"/>
          <w:kern w:val="2"/>
          <w:shd w:val="clear" w:color="auto" w:fill="FFFFFF"/>
          <w:lang w:val="es-ES"/>
          <w14:ligatures w14:val="standardContextual"/>
        </w:rPr>
        <w:t>También, le contamos que ya se encuentra disponible la </w:t>
      </w:r>
      <w:r w:rsidRPr="00713A26">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713A26">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13A26">
        <w:rPr>
          <w:rFonts w:ascii="Verdana" w:eastAsia="Calibri" w:hAnsi="Verdana" w:cs="Arial"/>
          <w:kern w:val="2"/>
          <w:shd w:val="clear" w:color="auto" w:fill="FFFFFF"/>
          <w:lang w:val="es-ES"/>
          <w14:ligatures w14:val="standardContextual"/>
        </w:rPr>
        <w:t>Wayúu</w:t>
      </w:r>
      <w:proofErr w:type="spellEnd"/>
      <w:r w:rsidRPr="00713A26">
        <w:rPr>
          <w:rFonts w:ascii="Verdana" w:eastAsia="Calibri" w:hAnsi="Verdana" w:cs="Arial"/>
          <w:kern w:val="2"/>
          <w:shd w:val="clear" w:color="auto" w:fill="FFFFFF"/>
          <w:lang w:val="es-ES"/>
          <w14:ligatures w14:val="standardContextual"/>
        </w:rPr>
        <w:t>. Puede consultar la guía en el siguiente enlace: </w:t>
      </w:r>
      <w:hyperlink r:id="rId15" w:tgtFrame="_blank" w:tooltip="Original URL: https://www.colombiacompra.gov.co/wp-content/uploads/2025/05/GUIA-DE-LINEAMIENTOS-DE-TRANSPARENCIA-Y-SELECCION-OBJETIVA-1.0.pdf. Click or tap if you trust this link." w:history="1">
        <w:r w:rsidRPr="00713A26">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713A26">
        <w:rPr>
          <w:rFonts w:ascii="Verdana" w:eastAsia="Calibri" w:hAnsi="Verdana" w:cs="Arial"/>
          <w:kern w:val="2"/>
          <w:u w:val="single"/>
          <w:shd w:val="clear" w:color="auto" w:fill="FFFFFF"/>
          <w:lang w:val="es-ES"/>
          <w14:ligatures w14:val="standardContextual"/>
        </w:rPr>
        <w:t>.</w:t>
      </w:r>
    </w:p>
    <w:p w14:paraId="763BF9CF"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5EB78FA" w14:textId="77777777" w:rsidR="00713A26" w:rsidRPr="00713A26" w:rsidRDefault="00713A26" w:rsidP="00713A26">
      <w:pPr>
        <w:spacing w:after="0" w:line="276" w:lineRule="auto"/>
        <w:jc w:val="both"/>
        <w:rPr>
          <w:rFonts w:ascii="Verdana" w:eastAsia="Calibri" w:hAnsi="Verdana" w:cs="Times New Roman"/>
          <w:kern w:val="2"/>
          <w:lang w:val="es-ES_tradnl"/>
          <w14:ligatures w14:val="standardContextual"/>
        </w:rPr>
      </w:pPr>
      <w:r w:rsidRPr="00713A26">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658CF58C" w14:textId="77777777" w:rsidR="00713A26" w:rsidRPr="00713A26" w:rsidRDefault="00713A26" w:rsidP="00713A26">
      <w:pPr>
        <w:spacing w:after="0" w:line="240" w:lineRule="auto"/>
        <w:jc w:val="both"/>
        <w:rPr>
          <w:rFonts w:ascii="Verdana" w:eastAsia="Calibri" w:hAnsi="Verdana" w:cs="Times New Roman"/>
          <w:kern w:val="2"/>
          <w:lang w:val="es-ES_tradnl"/>
          <w14:ligatures w14:val="standardContextual"/>
        </w:rPr>
      </w:pPr>
    </w:p>
    <w:p w14:paraId="6BB4D6E5" w14:textId="77777777" w:rsidR="00713A26" w:rsidRPr="00713A26" w:rsidRDefault="00713A26" w:rsidP="00713A26">
      <w:pPr>
        <w:spacing w:after="0" w:line="240" w:lineRule="auto"/>
        <w:jc w:val="both"/>
        <w:rPr>
          <w:rFonts w:ascii="Verdana" w:eastAsia="Calibri" w:hAnsi="Verdana" w:cs="Times New Roman"/>
          <w:kern w:val="2"/>
          <w:lang w:val="es-ES_tradnl"/>
          <w14:ligatures w14:val="standardContextual"/>
        </w:rPr>
      </w:pPr>
      <w:r w:rsidRPr="00713A26">
        <w:rPr>
          <w:rFonts w:ascii="Verdana" w:eastAsia="Calibri" w:hAnsi="Verdana" w:cs="Times New Roman"/>
          <w:kern w:val="2"/>
          <w:lang w:val="es-ES_tradnl"/>
          <w14:ligatures w14:val="standardContextual"/>
        </w:rPr>
        <w:t xml:space="preserve">X: </w:t>
      </w:r>
      <w:r w:rsidRPr="00713A26">
        <w:rPr>
          <w:rFonts w:ascii="Verdana" w:eastAsia="Calibri" w:hAnsi="Verdana" w:cs="Times New Roman"/>
          <w:kern w:val="2"/>
          <w:u w:val="single"/>
          <w:lang w:val="es-ES_tradnl"/>
          <w14:ligatures w14:val="standardContextual"/>
        </w:rPr>
        <w:t>@colombiacompra</w:t>
      </w:r>
      <w:r w:rsidRPr="00713A26">
        <w:rPr>
          <w:rFonts w:ascii="Verdana" w:eastAsia="Calibri" w:hAnsi="Verdana" w:cs="Times New Roman"/>
          <w:kern w:val="2"/>
          <w:lang w:val="es-ES_tradnl"/>
          <w14:ligatures w14:val="standardContextual"/>
        </w:rPr>
        <w:t xml:space="preserve"> </w:t>
      </w:r>
    </w:p>
    <w:p w14:paraId="13A503A2" w14:textId="77777777" w:rsidR="00713A26" w:rsidRPr="00713A26" w:rsidRDefault="00713A26" w:rsidP="00713A26">
      <w:pPr>
        <w:spacing w:after="0" w:line="240" w:lineRule="auto"/>
        <w:jc w:val="both"/>
        <w:rPr>
          <w:rFonts w:ascii="Verdana" w:eastAsia="Calibri" w:hAnsi="Verdana" w:cs="Times New Roman"/>
          <w:kern w:val="2"/>
          <w:lang w:val="es-ES"/>
          <w14:ligatures w14:val="standardContextual"/>
        </w:rPr>
      </w:pPr>
      <w:r w:rsidRPr="00713A26">
        <w:rPr>
          <w:rFonts w:ascii="Verdana" w:eastAsia="Calibri" w:hAnsi="Verdana" w:cs="Times New Roman"/>
          <w:kern w:val="2"/>
          <w:lang w:val="es-ES"/>
          <w14:ligatures w14:val="standardContextual"/>
        </w:rPr>
        <w:t xml:space="preserve">Facebook: </w:t>
      </w:r>
      <w:proofErr w:type="spellStart"/>
      <w:r w:rsidRPr="00713A26">
        <w:rPr>
          <w:rFonts w:ascii="Verdana" w:eastAsia="Calibri" w:hAnsi="Verdana" w:cs="Times New Roman"/>
          <w:kern w:val="2"/>
          <w:u w:val="single"/>
          <w:lang w:val="es-ES"/>
          <w14:ligatures w14:val="standardContextual"/>
        </w:rPr>
        <w:t>ColombiaCompraEficiente</w:t>
      </w:r>
      <w:proofErr w:type="spellEnd"/>
    </w:p>
    <w:p w14:paraId="3C891BD1" w14:textId="77777777" w:rsidR="00713A26" w:rsidRPr="00713A26" w:rsidRDefault="00713A26" w:rsidP="00713A26">
      <w:pPr>
        <w:spacing w:after="0" w:line="240" w:lineRule="auto"/>
        <w:jc w:val="both"/>
        <w:rPr>
          <w:rFonts w:ascii="Verdana" w:eastAsia="Calibri" w:hAnsi="Verdana" w:cs="Times New Roman"/>
          <w:kern w:val="2"/>
          <w:lang w:val="es-ES_tradnl"/>
          <w14:ligatures w14:val="standardContextual"/>
        </w:rPr>
      </w:pPr>
      <w:r w:rsidRPr="00713A26">
        <w:rPr>
          <w:rFonts w:ascii="Verdana" w:eastAsia="Calibri" w:hAnsi="Verdana" w:cs="Times New Roman"/>
          <w:kern w:val="2"/>
          <w:lang w:val="es-ES_tradnl"/>
          <w14:ligatures w14:val="standardContextual"/>
        </w:rPr>
        <w:t xml:space="preserve">LinkedIn: </w:t>
      </w:r>
      <w:r w:rsidRPr="00713A26">
        <w:rPr>
          <w:rFonts w:ascii="Verdana" w:eastAsia="Calibri" w:hAnsi="Verdana" w:cs="Times New Roman"/>
          <w:kern w:val="2"/>
          <w:u w:val="single"/>
          <w:lang w:val="es-ES_tradnl"/>
          <w14:ligatures w14:val="standardContextual"/>
        </w:rPr>
        <w:t>Agencia Nacional de Contratación Pública - Colombia Compra Eficiente</w:t>
      </w:r>
      <w:r w:rsidRPr="00713A26">
        <w:rPr>
          <w:rFonts w:ascii="Verdana" w:eastAsia="Calibri" w:hAnsi="Verdana" w:cs="Times New Roman"/>
          <w:kern w:val="2"/>
          <w:lang w:val="es-ES_tradnl"/>
          <w14:ligatures w14:val="standardContextual"/>
        </w:rPr>
        <w:t xml:space="preserve"> Instagram: </w:t>
      </w:r>
      <w:r w:rsidRPr="00713A26">
        <w:rPr>
          <w:rFonts w:ascii="Verdana" w:eastAsia="Calibri" w:hAnsi="Verdana" w:cs="Times New Roman"/>
          <w:kern w:val="2"/>
          <w:u w:val="single"/>
          <w:lang w:val="es-ES_tradnl"/>
          <w14:ligatures w14:val="standardContextual"/>
        </w:rPr>
        <w:t>@colombiacompraeficiente_cce</w:t>
      </w:r>
    </w:p>
    <w:p w14:paraId="72FD0314"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6F6C1484" w14:textId="77777777" w:rsidR="00713A26" w:rsidRPr="00713A26" w:rsidRDefault="00713A26" w:rsidP="00713A26">
      <w:pPr>
        <w:widowControl w:val="0"/>
        <w:autoSpaceDE w:val="0"/>
        <w:autoSpaceDN w:val="0"/>
        <w:spacing w:after="0" w:line="276" w:lineRule="auto"/>
        <w:jc w:val="both"/>
        <w:rPr>
          <w:rFonts w:ascii="Verdana" w:eastAsia="Calibri" w:hAnsi="Verdana" w:cs="Arial"/>
          <w:kern w:val="2"/>
          <w:lang w:val="es-ES_tradnl"/>
          <w14:ligatures w14:val="standardContextual"/>
        </w:rPr>
      </w:pPr>
      <w:r w:rsidRPr="00713A26">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05C0EB5" w14:textId="77777777" w:rsidR="00713A26" w:rsidRPr="00713A26" w:rsidRDefault="00713A26" w:rsidP="00713A26">
      <w:pPr>
        <w:widowControl w:val="0"/>
        <w:autoSpaceDE w:val="0"/>
        <w:autoSpaceDN w:val="0"/>
        <w:spacing w:after="0" w:line="276" w:lineRule="auto"/>
        <w:jc w:val="both"/>
        <w:rPr>
          <w:rFonts w:ascii="Verdana" w:eastAsia="Calibri" w:hAnsi="Verdana" w:cs="Arial"/>
          <w:lang w:val="es-ES_tradnl"/>
        </w:rPr>
      </w:pPr>
    </w:p>
    <w:p w14:paraId="06ACE7E2" w14:textId="77777777" w:rsidR="00713A26" w:rsidRPr="00713A26" w:rsidRDefault="00713A26" w:rsidP="00713A26">
      <w:pPr>
        <w:spacing w:after="0" w:line="240" w:lineRule="auto"/>
        <w:rPr>
          <w:rFonts w:ascii="Verdana" w:eastAsia="Calibri" w:hAnsi="Verdana" w:cs="Arial"/>
          <w:lang w:val="es-ES_tradnl" w:eastAsia="es-CO"/>
        </w:rPr>
      </w:pPr>
      <w:r w:rsidRPr="00713A26">
        <w:rPr>
          <w:rFonts w:ascii="Verdana" w:eastAsia="Times New Roman" w:hAnsi="Verdana" w:cs="Arial"/>
          <w:lang w:val="es-ES_tradnl" w:eastAsia="es-CO"/>
        </w:rPr>
        <w:t>Atentamente,</w:t>
      </w:r>
      <w:r w:rsidRPr="00713A26">
        <w:rPr>
          <w:rFonts w:ascii="Verdana" w:eastAsia="Calibri" w:hAnsi="Verdana" w:cs="Arial"/>
          <w:lang w:val="es-ES_tradnl" w:eastAsia="es-CO"/>
        </w:rPr>
        <w:t xml:space="preserve"> </w:t>
      </w:r>
    </w:p>
    <w:p w14:paraId="3248906F" w14:textId="68DD6D3B" w:rsidR="00713A26" w:rsidRPr="00713A26" w:rsidRDefault="00D12668" w:rsidP="00713A26">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11B450A5" wp14:editId="4D86861C">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3A26" w:rsidRPr="00713A26" w14:paraId="0B7E5BB5" w14:textId="77777777" w:rsidTr="23A5CFCD">
        <w:trPr>
          <w:trHeight w:val="315"/>
        </w:trPr>
        <w:tc>
          <w:tcPr>
            <w:tcW w:w="893" w:type="dxa"/>
            <w:vAlign w:val="center"/>
            <w:hideMark/>
          </w:tcPr>
          <w:p w14:paraId="24D9C92B" w14:textId="77777777" w:rsidR="00713A26" w:rsidRPr="00713A26" w:rsidRDefault="00713A26" w:rsidP="00713A26">
            <w:pPr>
              <w:rPr>
                <w:rFonts w:ascii="Verdana" w:eastAsia="Calibri" w:hAnsi="Verdana" w:cs="Arial"/>
                <w:sz w:val="16"/>
                <w:szCs w:val="16"/>
                <w:lang w:val="es-ES_tradnl" w:eastAsia="es-ES"/>
              </w:rPr>
            </w:pPr>
            <w:r w:rsidRPr="00713A26">
              <w:rPr>
                <w:rFonts w:ascii="Verdana" w:eastAsia="Calibri" w:hAnsi="Verdana" w:cs="Arial"/>
                <w:sz w:val="16"/>
                <w:szCs w:val="16"/>
                <w:lang w:val="es-ES_tradnl"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2073E1A" w14:textId="77777777" w:rsidR="00713A26" w:rsidRPr="00713A26" w:rsidRDefault="00713A26" w:rsidP="00713A26">
            <w:pPr>
              <w:rPr>
                <w:rFonts w:ascii="Verdana" w:eastAsia="Arial" w:hAnsi="Verdana" w:cs="Arial"/>
                <w:sz w:val="16"/>
                <w:szCs w:val="16"/>
                <w:lang w:val="es-ES"/>
              </w:rPr>
            </w:pPr>
            <w:r w:rsidRPr="00713A26">
              <w:rPr>
                <w:rFonts w:ascii="Verdana" w:eastAsia="Arial" w:hAnsi="Verdana" w:cs="Arial"/>
                <w:sz w:val="16"/>
                <w:szCs w:val="16"/>
                <w:lang w:val="es-ES"/>
              </w:rPr>
              <w:t>Kevin Arlid Herrera Santa</w:t>
            </w:r>
          </w:p>
          <w:p w14:paraId="7AE65038" w14:textId="77777777" w:rsidR="00713A26" w:rsidRPr="00713A26" w:rsidRDefault="00713A26" w:rsidP="00713A26">
            <w:pPr>
              <w:rPr>
                <w:rFonts w:ascii="Verdana" w:eastAsia="Arial" w:hAnsi="Verdana" w:cs="Arial"/>
                <w:sz w:val="16"/>
                <w:szCs w:val="16"/>
                <w:lang w:val="es-ES_tradnl"/>
              </w:rPr>
            </w:pPr>
            <w:r w:rsidRPr="00713A26">
              <w:rPr>
                <w:rFonts w:ascii="Verdana" w:eastAsia="Arial" w:hAnsi="Verdana" w:cs="Arial"/>
                <w:sz w:val="16"/>
                <w:szCs w:val="16"/>
                <w:lang w:val="es-ES_tradnl"/>
              </w:rPr>
              <w:t xml:space="preserve">Contratista de la Subdirección de Gestión Contractual </w:t>
            </w:r>
          </w:p>
          <w:p w14:paraId="70A0804F" w14:textId="77777777" w:rsidR="00713A26" w:rsidRPr="00713A26" w:rsidRDefault="00713A26" w:rsidP="00713A26">
            <w:pPr>
              <w:rPr>
                <w:rFonts w:ascii="Verdana" w:eastAsia="Arial" w:hAnsi="Verdana" w:cs="Arial"/>
                <w:sz w:val="16"/>
                <w:szCs w:val="16"/>
                <w:lang w:val="es-ES"/>
              </w:rPr>
            </w:pPr>
            <w:r w:rsidRPr="00713A26">
              <w:rPr>
                <w:rFonts w:ascii="Verdana" w:eastAsia="Arial" w:hAnsi="Verdana" w:cs="Arial"/>
                <w:sz w:val="16"/>
                <w:szCs w:val="16"/>
                <w:lang w:val="es-ES"/>
              </w:rPr>
              <w:t>Alejandro Gamboa Cárdenas</w:t>
            </w:r>
          </w:p>
          <w:p w14:paraId="58673C3A" w14:textId="77777777" w:rsidR="00713A26" w:rsidRPr="00713A26" w:rsidRDefault="00713A26" w:rsidP="00713A26">
            <w:pPr>
              <w:rPr>
                <w:rFonts w:ascii="Verdana" w:eastAsia="Arial" w:hAnsi="Verdana" w:cs="Arial"/>
                <w:sz w:val="16"/>
                <w:szCs w:val="16"/>
                <w:lang w:val="es-ES_tradnl"/>
              </w:rPr>
            </w:pPr>
            <w:r w:rsidRPr="00713A26">
              <w:rPr>
                <w:rFonts w:ascii="Verdana" w:eastAsia="Arial" w:hAnsi="Verdana" w:cs="Arial"/>
                <w:sz w:val="16"/>
                <w:szCs w:val="16"/>
                <w:lang w:val="es-ES_tradnl"/>
              </w:rPr>
              <w:t>Contratista de la Subdirección de Gestión Contractual</w:t>
            </w:r>
          </w:p>
        </w:tc>
      </w:tr>
      <w:tr w:rsidR="00713A26" w:rsidRPr="00713A26" w14:paraId="2946D98A" w14:textId="77777777" w:rsidTr="23A5CFCD">
        <w:trPr>
          <w:trHeight w:val="330"/>
        </w:trPr>
        <w:tc>
          <w:tcPr>
            <w:tcW w:w="893" w:type="dxa"/>
            <w:vAlign w:val="center"/>
            <w:hideMark/>
          </w:tcPr>
          <w:p w14:paraId="0990F20B" w14:textId="77777777" w:rsidR="00713A26" w:rsidRPr="00713A26" w:rsidRDefault="00713A26" w:rsidP="00713A26">
            <w:pPr>
              <w:rPr>
                <w:rFonts w:ascii="Verdana" w:eastAsia="Calibri" w:hAnsi="Verdana" w:cs="Arial"/>
                <w:sz w:val="16"/>
                <w:szCs w:val="16"/>
                <w:lang w:val="es-ES_tradnl" w:eastAsia="es-ES"/>
              </w:rPr>
            </w:pPr>
            <w:r w:rsidRPr="00713A26">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A247D2" w14:textId="77777777" w:rsidR="00713A26" w:rsidRPr="00713A26" w:rsidRDefault="00713A26" w:rsidP="00713A26">
            <w:pPr>
              <w:textAlignment w:val="baseline"/>
              <w:rPr>
                <w:rFonts w:ascii="Verdana" w:eastAsia="Times New Roman" w:hAnsi="Verdana" w:cs="Arial"/>
                <w:sz w:val="16"/>
                <w:szCs w:val="16"/>
                <w:lang w:val="es-ES" w:eastAsia="es-ES"/>
              </w:rPr>
            </w:pPr>
            <w:r w:rsidRPr="23A5CFCD">
              <w:rPr>
                <w:rFonts w:ascii="Verdana" w:eastAsia="Times New Roman" w:hAnsi="Verdana" w:cs="Arial"/>
                <w:sz w:val="16"/>
                <w:szCs w:val="16"/>
                <w:lang w:val="es-ES" w:eastAsia="es-ES"/>
              </w:rPr>
              <w:t xml:space="preserve">Adriana </w:t>
            </w:r>
            <w:proofErr w:type="spellStart"/>
            <w:r w:rsidRPr="23A5CFCD">
              <w:rPr>
                <w:rFonts w:ascii="Verdana" w:eastAsia="Times New Roman" w:hAnsi="Verdana" w:cs="Arial"/>
                <w:sz w:val="16"/>
                <w:szCs w:val="16"/>
                <w:lang w:val="es-ES" w:eastAsia="es-ES"/>
              </w:rPr>
              <w:t>Katerine</w:t>
            </w:r>
            <w:proofErr w:type="spellEnd"/>
            <w:r w:rsidRPr="23A5CFCD">
              <w:rPr>
                <w:rFonts w:ascii="Verdana" w:eastAsia="Times New Roman" w:hAnsi="Verdana" w:cs="Arial"/>
                <w:sz w:val="16"/>
                <w:szCs w:val="16"/>
                <w:lang w:val="es-ES" w:eastAsia="es-ES"/>
              </w:rPr>
              <w:t xml:space="preserve"> López Rodríguez</w:t>
            </w:r>
          </w:p>
          <w:p w14:paraId="24AA0321" w14:textId="77777777" w:rsidR="00713A26" w:rsidRPr="00713A26" w:rsidRDefault="00713A26" w:rsidP="00713A26">
            <w:pPr>
              <w:textAlignment w:val="baseline"/>
              <w:rPr>
                <w:rFonts w:ascii="Verdana" w:eastAsia="Times New Roman" w:hAnsi="Verdana" w:cs="Segoe UI"/>
                <w:sz w:val="16"/>
                <w:szCs w:val="16"/>
                <w:lang w:val="es-ES_tradnl" w:eastAsia="es-ES_tradnl"/>
              </w:rPr>
            </w:pPr>
            <w:r w:rsidRPr="00713A26">
              <w:rPr>
                <w:rFonts w:ascii="Verdana" w:eastAsia="Times New Roman" w:hAnsi="Verdana" w:cs="Arial"/>
                <w:sz w:val="16"/>
                <w:szCs w:val="16"/>
                <w:lang w:val="es-ES_tradnl" w:eastAsia="es-ES_tradnl"/>
              </w:rPr>
              <w:t>Contratista de la Subdirección de Gestión Contractual </w:t>
            </w:r>
          </w:p>
        </w:tc>
      </w:tr>
      <w:tr w:rsidR="00713A26" w:rsidRPr="00713A26" w14:paraId="470E7805" w14:textId="77777777" w:rsidTr="23A5CFCD">
        <w:trPr>
          <w:trHeight w:val="300"/>
        </w:trPr>
        <w:tc>
          <w:tcPr>
            <w:tcW w:w="893" w:type="dxa"/>
            <w:vAlign w:val="center"/>
          </w:tcPr>
          <w:p w14:paraId="1E1440BA" w14:textId="77777777" w:rsidR="00713A26" w:rsidRPr="00713A26" w:rsidRDefault="00713A26" w:rsidP="00713A26">
            <w:pPr>
              <w:rPr>
                <w:rFonts w:ascii="Verdana" w:eastAsia="Calibri" w:hAnsi="Verdana" w:cs="Arial"/>
                <w:sz w:val="16"/>
                <w:szCs w:val="16"/>
                <w:lang w:val="es-ES_tradnl" w:eastAsia="es-ES"/>
              </w:rPr>
            </w:pPr>
            <w:r w:rsidRPr="00713A26">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03DEE3" w14:textId="77777777" w:rsidR="00713A26" w:rsidRPr="00713A26" w:rsidRDefault="00713A26" w:rsidP="00713A26">
            <w:pPr>
              <w:rPr>
                <w:rFonts w:ascii="Verdana" w:eastAsia="Calibri" w:hAnsi="Verdana" w:cs="Arial"/>
                <w:sz w:val="16"/>
                <w:szCs w:val="16"/>
                <w:lang w:val="es-ES" w:eastAsia="es-ES"/>
              </w:rPr>
            </w:pPr>
            <w:r w:rsidRPr="00713A26">
              <w:rPr>
                <w:rFonts w:ascii="Verdana" w:eastAsia="Calibri" w:hAnsi="Verdana" w:cs="Arial"/>
                <w:sz w:val="16"/>
                <w:szCs w:val="16"/>
                <w:lang w:val="es-ES" w:eastAsia="es-ES"/>
              </w:rPr>
              <w:t>Carolina Quintero Gacharná</w:t>
            </w:r>
          </w:p>
          <w:p w14:paraId="518A7099" w14:textId="77777777" w:rsidR="00713A26" w:rsidRPr="00713A26" w:rsidRDefault="00713A26" w:rsidP="00713A26">
            <w:pPr>
              <w:rPr>
                <w:rFonts w:ascii="Verdana" w:eastAsia="Calibri" w:hAnsi="Verdana" w:cs="Arial"/>
                <w:sz w:val="16"/>
                <w:szCs w:val="16"/>
                <w:lang w:val="es-ES_tradnl" w:eastAsia="es-ES"/>
              </w:rPr>
            </w:pPr>
            <w:r w:rsidRPr="00713A26">
              <w:rPr>
                <w:rFonts w:ascii="Verdana" w:eastAsia="Calibri" w:hAnsi="Verdana" w:cs="Arial"/>
                <w:sz w:val="16"/>
                <w:szCs w:val="16"/>
                <w:lang w:val="es-ES_tradnl" w:eastAsia="es-ES"/>
              </w:rPr>
              <w:t>Subdirectora de Gestión Contractual ANCP – CCE</w:t>
            </w:r>
          </w:p>
        </w:tc>
      </w:tr>
      <w:bookmarkEnd w:id="0"/>
    </w:tbl>
    <w:p w14:paraId="111F3AE0" w14:textId="77777777" w:rsidR="00713A26" w:rsidRPr="00713A26" w:rsidRDefault="00713A26" w:rsidP="00713A26">
      <w:pPr>
        <w:spacing w:after="0"/>
        <w:rPr>
          <w:rFonts w:ascii="Verdana" w:eastAsia="Calibri" w:hAnsi="Verdana" w:cs="Times New Roman"/>
        </w:rPr>
      </w:pPr>
    </w:p>
    <w:p w14:paraId="017DEA42" w14:textId="71D97136" w:rsidR="0048331E" w:rsidRPr="0048331E" w:rsidRDefault="0048331E" w:rsidP="0048331E">
      <w:pPr>
        <w:spacing w:line="278" w:lineRule="auto"/>
        <w:rPr>
          <w:rFonts w:ascii="Aptos" w:eastAsia="Aptos" w:hAnsi="Aptos" w:cs="Times New Roman"/>
          <w:kern w:val="2"/>
          <w:sz w:val="24"/>
          <w:szCs w:val="24"/>
          <w14:ligatures w14:val="standardContextual"/>
        </w:rPr>
      </w:pPr>
    </w:p>
    <w:p w14:paraId="76225BCB" w14:textId="77777777" w:rsidR="00713A26" w:rsidRPr="00713A26" w:rsidRDefault="00713A26" w:rsidP="00713A26">
      <w:pPr>
        <w:spacing w:line="278" w:lineRule="auto"/>
        <w:rPr>
          <w:rFonts w:ascii="Aptos" w:eastAsia="Aptos" w:hAnsi="Aptos" w:cs="Times New Roman"/>
          <w:kern w:val="2"/>
          <w:sz w:val="24"/>
          <w:szCs w:val="24"/>
          <w14:ligatures w14:val="standardContextual"/>
        </w:rPr>
      </w:pPr>
    </w:p>
    <w:p w14:paraId="0F293BF4" w14:textId="760539B1" w:rsidR="00127233" w:rsidRPr="006E2C17" w:rsidRDefault="00127233" w:rsidP="006E2C17">
      <w:pPr>
        <w:rPr>
          <w:lang w:val="es-MX"/>
        </w:rPr>
      </w:pPr>
    </w:p>
    <w:sectPr w:rsidR="00127233" w:rsidRPr="006E2C1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E63CC" w14:textId="77777777" w:rsidR="00E43AC1" w:rsidRDefault="00E43AC1" w:rsidP="004A1847">
      <w:pPr>
        <w:spacing w:after="0" w:line="240" w:lineRule="auto"/>
      </w:pPr>
      <w:r>
        <w:separator/>
      </w:r>
    </w:p>
  </w:endnote>
  <w:endnote w:type="continuationSeparator" w:id="0">
    <w:p w14:paraId="6949C353" w14:textId="77777777" w:rsidR="00E43AC1" w:rsidRDefault="00E43AC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713A26">
      <w:rPr>
        <w:rFonts w:ascii="Verdana" w:eastAsia="Times New Roman" w:hAnsi="Verdana" w:cs="Times New Roman"/>
        <w:b/>
        <w:bCs/>
        <w:sz w:val="16"/>
        <w:szCs w:val="16"/>
        <w:lang w:val="es-ES"/>
      </w:rPr>
      <w:t xml:space="preserve">pág. </w:t>
    </w:r>
    <w:r w:rsidRPr="00713A26">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713A26">
      <w:rPr>
        <w:rFonts w:ascii="Verdana" w:eastAsia="Times New Roman" w:hAnsi="Verdana"/>
        <w:b/>
        <w:bCs/>
        <w:sz w:val="16"/>
        <w:szCs w:val="16"/>
      </w:rPr>
      <w:fldChar w:fldCharType="separate"/>
    </w:r>
    <w:r w:rsidRPr="00713A26">
      <w:rPr>
        <w:rFonts w:ascii="Verdana" w:eastAsia="Times New Roman" w:hAnsi="Verdana"/>
        <w:b/>
        <w:bCs/>
        <w:sz w:val="16"/>
        <w:szCs w:val="16"/>
      </w:rPr>
      <w:t>1</w:t>
    </w:r>
    <w:r w:rsidRPr="00713A26">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00713A26">
      <w:rPr>
        <w:rFonts w:ascii="Century Gothic" w:eastAsia="Geo" w:hAnsi="Century Gothic" w:cs="Geo"/>
        <w:b/>
        <w:bCs/>
        <w:color w:val="000000"/>
        <w:sz w:val="16"/>
        <w:szCs w:val="16"/>
        <w:lang w:eastAsia="es-CO"/>
      </w:rPr>
      <w:t xml:space="preserve">Código: </w:t>
    </w:r>
    <w:r w:rsidRPr="00713A26">
      <w:rPr>
        <w:rFonts w:ascii="Century Gothic" w:eastAsia="Geo" w:hAnsi="Century Gothic" w:cs="Geo"/>
        <w:color w:val="000000"/>
        <w:sz w:val="16"/>
        <w:szCs w:val="16"/>
        <w:lang w:eastAsia="es-CO"/>
      </w:rPr>
      <w:t xml:space="preserve">CCE-REC-FM-17 </w:t>
    </w:r>
    <w:r w:rsidRPr="00713A26">
      <w:rPr>
        <w:rFonts w:ascii="Century Gothic" w:eastAsia="Geo" w:hAnsi="Century Gothic" w:cs="Geo"/>
        <w:b/>
        <w:bCs/>
        <w:color w:val="000000"/>
        <w:sz w:val="16"/>
        <w:szCs w:val="16"/>
        <w:lang w:eastAsia="es-CO"/>
      </w:rPr>
      <w:t>V</w:t>
    </w:r>
    <w:r w:rsidRPr="00713A26">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906FE" w14:textId="77777777" w:rsidR="00E43AC1" w:rsidRDefault="00E43AC1" w:rsidP="004A1847">
      <w:pPr>
        <w:spacing w:after="0" w:line="240" w:lineRule="auto"/>
      </w:pPr>
      <w:r>
        <w:separator/>
      </w:r>
    </w:p>
  </w:footnote>
  <w:footnote w:type="continuationSeparator" w:id="0">
    <w:p w14:paraId="45265EA4" w14:textId="77777777" w:rsidR="00E43AC1" w:rsidRDefault="00E43AC1" w:rsidP="004A1847">
      <w:pPr>
        <w:spacing w:after="0" w:line="240" w:lineRule="auto"/>
      </w:pPr>
      <w:r>
        <w:continuationSeparator/>
      </w:r>
    </w:p>
  </w:footnote>
  <w:footnote w:id="1">
    <w:p w14:paraId="7F7D7463" w14:textId="77777777" w:rsidR="00713A26" w:rsidRPr="00BF71CD" w:rsidRDefault="00713A26" w:rsidP="00713A26">
      <w:pPr>
        <w:pStyle w:val="fn1"/>
        <w:ind w:firstLine="709"/>
        <w:jc w:val="both"/>
        <w:rPr>
          <w:rFonts w:ascii="Verdana" w:hAnsi="Verdana"/>
          <w:sz w:val="18"/>
          <w:szCs w:val="18"/>
        </w:rPr>
      </w:pPr>
      <w:r w:rsidRPr="00BF71CD">
        <w:rPr>
          <w:rStyle w:val="Refdenotaalpie"/>
          <w:rFonts w:ascii="Verdana" w:hAnsi="Verdana"/>
          <w:sz w:val="18"/>
          <w:szCs w:val="18"/>
        </w:rPr>
        <w:footnoteRef/>
      </w:r>
      <w:r w:rsidRPr="00BF71CD">
        <w:rPr>
          <w:rFonts w:ascii="Verdana" w:hAnsi="Verdana"/>
          <w:sz w:val="18"/>
          <w:szCs w:val="18"/>
        </w:rPr>
        <w:t xml:space="preserve"> Estos Documentos Tipo pueden ser consultados en la página web de Colombia Compra Eficiente, a través del siguiente enlace: </w:t>
      </w:r>
      <w:hyperlink r:id="rId1" w:history="1">
        <w:r w:rsidRPr="00BF71CD">
          <w:rPr>
            <w:rStyle w:val="Hipervnculo"/>
            <w:rFonts w:ascii="Verdana" w:hAnsi="Verdana"/>
            <w:sz w:val="18"/>
            <w:szCs w:val="18"/>
          </w:rPr>
          <w:t>https://www.colombiacompra.gov.co/documentos-tipo/documentos-tipo</w:t>
        </w:r>
      </w:hyperlink>
      <w:r w:rsidRPr="00BF71CD">
        <w:rPr>
          <w:rFonts w:ascii="Verdana" w:hAnsi="Verdana"/>
          <w:sz w:val="18"/>
          <w:szCs w:val="18"/>
        </w:rPr>
        <w:t xml:space="preserve"> </w:t>
      </w:r>
    </w:p>
  </w:footnote>
  <w:footnote w:id="2">
    <w:p w14:paraId="0AE70184" w14:textId="77777777" w:rsidR="00713A26" w:rsidRPr="00BF71CD" w:rsidRDefault="00713A26" w:rsidP="00713A26">
      <w:pPr>
        <w:spacing w:after="0" w:line="240" w:lineRule="auto"/>
        <w:ind w:right="51" w:firstLine="720"/>
        <w:jc w:val="both"/>
        <w:rPr>
          <w:rFonts w:ascii="Verdana" w:hAnsi="Verdana" w:cs="Arial"/>
          <w:sz w:val="18"/>
          <w:szCs w:val="18"/>
        </w:rPr>
      </w:pPr>
      <w:r w:rsidRPr="00BF71CD">
        <w:rPr>
          <w:rStyle w:val="Refdenotaalpie"/>
          <w:rFonts w:ascii="Verdana" w:hAnsi="Verdana" w:cs="Arial"/>
          <w:sz w:val="18"/>
          <w:szCs w:val="18"/>
        </w:rPr>
        <w:footnoteRef/>
      </w:r>
      <w:r w:rsidRPr="00BF71CD">
        <w:rPr>
          <w:rFonts w:ascii="Verdana" w:hAnsi="Verdana" w:cs="Arial"/>
          <w:sz w:val="18"/>
          <w:szCs w:val="18"/>
        </w:rPr>
        <w:t xml:space="preserve"> 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w:t>
      </w:r>
      <w:r w:rsidRPr="00BF71CD">
        <w:rPr>
          <w:rFonts w:ascii="Verdana" w:hAnsi="Verdana" w:cs="Arial"/>
          <w:spacing w:val="-14"/>
          <w:sz w:val="18"/>
          <w:szCs w:val="18"/>
        </w:rPr>
        <w:t xml:space="preserve"> </w:t>
      </w:r>
      <w:r w:rsidRPr="00BF71CD">
        <w:rPr>
          <w:rFonts w:ascii="Verdana" w:hAnsi="Verdana" w:cs="Arial"/>
          <w:sz w:val="18"/>
          <w:szCs w:val="18"/>
        </w:rPr>
        <w:t>utilizados. […]</w:t>
      </w:r>
    </w:p>
    <w:p w14:paraId="5B31C8B1" w14:textId="77777777" w:rsidR="00713A26" w:rsidRPr="00BF71CD" w:rsidRDefault="00713A26" w:rsidP="00713A26">
      <w:pPr>
        <w:spacing w:after="0" w:line="240" w:lineRule="auto"/>
        <w:ind w:right="51" w:firstLine="708"/>
        <w:jc w:val="both"/>
        <w:rPr>
          <w:rFonts w:ascii="Verdana" w:hAnsi="Verdana" w:cs="Arial"/>
          <w:sz w:val="18"/>
          <w:szCs w:val="18"/>
        </w:rPr>
      </w:pPr>
      <w:r w:rsidRPr="00BF71CD">
        <w:rPr>
          <w:rFonts w:ascii="Verdana" w:hAnsi="Verdana" w:cs="Arial"/>
          <w:sz w:val="18"/>
          <w:szCs w:val="18"/>
        </w:rPr>
        <w:t>Capacidad Residual o K de Contratación: Aptitud de un oferente para cumplir oportuna y cabalmente con el objeto de un contrato de obra, sin que sus otros compromisos contractuales afecten su habilidad de cumplir con el contrato que está en proceso de selección”.</w:t>
      </w:r>
    </w:p>
    <w:p w14:paraId="1FED20CB" w14:textId="77777777" w:rsidR="00713A26" w:rsidRPr="00BF71CD" w:rsidRDefault="00713A26" w:rsidP="00713A26">
      <w:pPr>
        <w:spacing w:after="0" w:line="240" w:lineRule="auto"/>
        <w:ind w:right="51" w:firstLine="708"/>
        <w:jc w:val="both"/>
        <w:rPr>
          <w:rFonts w:ascii="Verdana" w:hAnsi="Verdana" w:cs="Arial"/>
          <w:sz w:val="18"/>
          <w:szCs w:val="18"/>
        </w:rPr>
      </w:pPr>
    </w:p>
  </w:footnote>
  <w:footnote w:id="3">
    <w:p w14:paraId="670FD433" w14:textId="77777777" w:rsidR="00713A26" w:rsidRPr="00BF71CD" w:rsidRDefault="00713A26" w:rsidP="00713A26">
      <w:pPr>
        <w:pStyle w:val="NormalWeb"/>
        <w:shd w:val="clear" w:color="auto" w:fill="FFFFFF"/>
        <w:spacing w:after="0"/>
        <w:ind w:firstLine="709"/>
        <w:jc w:val="both"/>
        <w:rPr>
          <w:rFonts w:ascii="Verdana" w:hAnsi="Verdana" w:cs="Arial"/>
          <w:sz w:val="18"/>
          <w:szCs w:val="18"/>
        </w:rPr>
      </w:pPr>
      <w:r w:rsidRPr="00BF71CD">
        <w:rPr>
          <w:rStyle w:val="Refdenotaalpie"/>
          <w:rFonts w:ascii="Verdana" w:hAnsi="Verdana" w:cs="Arial"/>
          <w:sz w:val="18"/>
          <w:szCs w:val="18"/>
          <w:lang w:val="es-MX"/>
        </w:rPr>
        <w:footnoteRef/>
      </w:r>
      <w:r w:rsidRPr="00BF71CD">
        <w:rPr>
          <w:rStyle w:val="Refdenotaalpie"/>
          <w:rFonts w:ascii="Verdana" w:hAnsi="Verdana" w:cs="Arial"/>
          <w:sz w:val="18"/>
          <w:szCs w:val="18"/>
          <w:lang w:val="es-MX"/>
        </w:rPr>
        <w:t xml:space="preserve"> </w:t>
      </w:r>
      <w:r w:rsidRPr="00BF71CD">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654C9B2A" w14:textId="77777777" w:rsidR="00713A26" w:rsidRPr="00BF71CD" w:rsidRDefault="00713A26" w:rsidP="00713A26">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46E99703" w14:textId="77777777" w:rsidR="00713A26" w:rsidRPr="00BF71CD" w:rsidRDefault="00713A26" w:rsidP="00713A26">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0A53387E" w14:textId="77777777" w:rsidR="00713A26" w:rsidRPr="00BF71CD" w:rsidRDefault="00713A26" w:rsidP="00713A26">
      <w:pPr>
        <w:shd w:val="clear" w:color="auto" w:fill="FFFFFF"/>
        <w:spacing w:after="0" w:line="240" w:lineRule="auto"/>
        <w:ind w:firstLine="709"/>
        <w:jc w:val="both"/>
        <w:rPr>
          <w:rFonts w:ascii="Verdana" w:hAnsi="Verdana" w:cs="Arial"/>
          <w:sz w:val="18"/>
          <w:szCs w:val="18"/>
        </w:rPr>
      </w:pPr>
      <w:r w:rsidRPr="00BF71CD">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35AAEA8D" w14:textId="77777777" w:rsidR="00713A26" w:rsidRPr="00BF71CD" w:rsidRDefault="00713A26" w:rsidP="00713A26">
      <w:pPr>
        <w:shd w:val="clear" w:color="auto" w:fill="FFFFFF"/>
        <w:spacing w:after="0" w:line="240" w:lineRule="auto"/>
        <w:ind w:firstLine="709"/>
        <w:jc w:val="both"/>
        <w:rPr>
          <w:rFonts w:ascii="Verdana" w:hAnsi="Verdana" w:cs="Arial"/>
          <w:sz w:val="18"/>
          <w:szCs w:val="18"/>
        </w:rPr>
      </w:pPr>
    </w:p>
  </w:footnote>
  <w:footnote w:id="4">
    <w:p w14:paraId="78F50693" w14:textId="77777777" w:rsidR="00713A26" w:rsidRPr="00BF71CD" w:rsidRDefault="00713A26" w:rsidP="00713A26">
      <w:pPr>
        <w:spacing w:after="0" w:line="240" w:lineRule="auto"/>
        <w:ind w:firstLine="708"/>
        <w:jc w:val="both"/>
        <w:rPr>
          <w:rFonts w:ascii="Verdana" w:eastAsia="Calibri" w:hAnsi="Verdana" w:cs="Arial"/>
          <w:sz w:val="18"/>
          <w:szCs w:val="18"/>
        </w:rPr>
      </w:pPr>
      <w:r w:rsidRPr="00BF71CD">
        <w:rPr>
          <w:rStyle w:val="Refdenotaalpie"/>
          <w:rFonts w:ascii="Verdana" w:hAnsi="Verdana"/>
          <w:sz w:val="18"/>
          <w:szCs w:val="18"/>
        </w:rPr>
        <w:footnoteRef/>
      </w:r>
      <w:r w:rsidRPr="00BF71CD">
        <w:rPr>
          <w:rFonts w:ascii="Verdana" w:hAnsi="Verdana"/>
          <w:sz w:val="18"/>
          <w:szCs w:val="18"/>
        </w:rPr>
        <w:t xml:space="preserve"> </w:t>
      </w:r>
      <w:r w:rsidRPr="00BF71CD">
        <w:rPr>
          <w:rFonts w:ascii="Verdana" w:eastAsia="Calibri" w:hAnsi="Verdana" w:cs="Arial"/>
          <w:sz w:val="18"/>
          <w:szCs w:val="18"/>
        </w:rPr>
        <w:t xml:space="preserve">De conformidad con lo expuesto, la Agencia Nacional de Contratación Pública – Colombia Compra Eficiente, como ente rector del sistema de compra pública y en virtud del mandato legal, ha expedido la “Guía para determinar y verificar la Capacidad Residual del proponente en los Procesos de Contratación”, con el propósito de otorgar una herramienta útil para la participación en los procesos de selección del sistema de compras públicas colombiano. En ella se ha puesto a disposición de las entidades y proponentes unos formatos, los cuales pueden usar en desarrollo de su proceso, y se estableció la metodología para el cálculo de la capacidad residual. La metodología resulta de obligatoria observancia tanto para entidades como oferentes en los procesos de contratación de obra pública y es orientadora para realizar el cálculo de la capacidad residual. </w:t>
      </w:r>
    </w:p>
    <w:p w14:paraId="6B0A300F" w14:textId="77777777" w:rsidR="00713A26" w:rsidRPr="00BF71CD" w:rsidRDefault="00713A26" w:rsidP="00713A26">
      <w:pPr>
        <w:pStyle w:val="Textonotapie"/>
        <w:jc w:val="both"/>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34D3366"/>
    <w:multiLevelType w:val="hybridMultilevel"/>
    <w:tmpl w:val="05EEE7A0"/>
    <w:lvl w:ilvl="0" w:tplc="0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1716109">
    <w:abstractNumId w:val="6"/>
  </w:num>
  <w:num w:numId="2" w16cid:durableId="835000656">
    <w:abstractNumId w:val="2"/>
  </w:num>
  <w:num w:numId="3" w16cid:durableId="1909873812">
    <w:abstractNumId w:val="4"/>
  </w:num>
  <w:num w:numId="4" w16cid:durableId="80393405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4212632">
    <w:abstractNumId w:val="2"/>
  </w:num>
  <w:num w:numId="6" w16cid:durableId="709038677">
    <w:abstractNumId w:val="14"/>
  </w:num>
  <w:num w:numId="7" w16cid:durableId="1840924061">
    <w:abstractNumId w:val="5"/>
  </w:num>
  <w:num w:numId="8" w16cid:durableId="330841329">
    <w:abstractNumId w:val="13"/>
  </w:num>
  <w:num w:numId="9" w16cid:durableId="977343745">
    <w:abstractNumId w:val="7"/>
  </w:num>
  <w:num w:numId="10" w16cid:durableId="583492790">
    <w:abstractNumId w:val="12"/>
  </w:num>
  <w:num w:numId="11" w16cid:durableId="1610621492">
    <w:abstractNumId w:val="8"/>
  </w:num>
  <w:num w:numId="12" w16cid:durableId="1458380118">
    <w:abstractNumId w:val="1"/>
  </w:num>
  <w:num w:numId="13" w16cid:durableId="972104798">
    <w:abstractNumId w:val="3"/>
  </w:num>
  <w:num w:numId="14" w16cid:durableId="2088647461">
    <w:abstractNumId w:val="15"/>
  </w:num>
  <w:num w:numId="15" w16cid:durableId="1156142523">
    <w:abstractNumId w:val="11"/>
  </w:num>
  <w:num w:numId="16" w16cid:durableId="2067609441">
    <w:abstractNumId w:val="0"/>
  </w:num>
  <w:num w:numId="17" w16cid:durableId="1530796730">
    <w:abstractNumId w:val="10"/>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FC4"/>
    <w:rsid w:val="000317C6"/>
    <w:rsid w:val="00041CF9"/>
    <w:rsid w:val="00046945"/>
    <w:rsid w:val="00061B2A"/>
    <w:rsid w:val="00082362"/>
    <w:rsid w:val="000A4CC4"/>
    <w:rsid w:val="000A683E"/>
    <w:rsid w:val="000B0108"/>
    <w:rsid w:val="000B19B9"/>
    <w:rsid w:val="000D0334"/>
    <w:rsid w:val="000D5DA7"/>
    <w:rsid w:val="000F6486"/>
    <w:rsid w:val="00116940"/>
    <w:rsid w:val="00116CC6"/>
    <w:rsid w:val="00125105"/>
    <w:rsid w:val="00127233"/>
    <w:rsid w:val="0015699B"/>
    <w:rsid w:val="001A33BF"/>
    <w:rsid w:val="001E4177"/>
    <w:rsid w:val="001F0B24"/>
    <w:rsid w:val="001F7DC6"/>
    <w:rsid w:val="0022400B"/>
    <w:rsid w:val="00241EB3"/>
    <w:rsid w:val="002421BB"/>
    <w:rsid w:val="0025796E"/>
    <w:rsid w:val="002707A2"/>
    <w:rsid w:val="002951A0"/>
    <w:rsid w:val="002962BC"/>
    <w:rsid w:val="002A093D"/>
    <w:rsid w:val="002A0DD0"/>
    <w:rsid w:val="002A49AC"/>
    <w:rsid w:val="002A64FD"/>
    <w:rsid w:val="002C7A84"/>
    <w:rsid w:val="002E2BF8"/>
    <w:rsid w:val="002E4FD9"/>
    <w:rsid w:val="002F0189"/>
    <w:rsid w:val="0030657A"/>
    <w:rsid w:val="00322A85"/>
    <w:rsid w:val="00324168"/>
    <w:rsid w:val="00330834"/>
    <w:rsid w:val="003448F4"/>
    <w:rsid w:val="00374F5E"/>
    <w:rsid w:val="00377E3E"/>
    <w:rsid w:val="003A779E"/>
    <w:rsid w:val="003D0F4D"/>
    <w:rsid w:val="003D5B0D"/>
    <w:rsid w:val="003E0499"/>
    <w:rsid w:val="003E4F80"/>
    <w:rsid w:val="003E6439"/>
    <w:rsid w:val="003E6A6A"/>
    <w:rsid w:val="003F3941"/>
    <w:rsid w:val="00406575"/>
    <w:rsid w:val="00414C74"/>
    <w:rsid w:val="0042722E"/>
    <w:rsid w:val="0044528D"/>
    <w:rsid w:val="00466E39"/>
    <w:rsid w:val="0048331E"/>
    <w:rsid w:val="004A1847"/>
    <w:rsid w:val="004A305D"/>
    <w:rsid w:val="004F21C4"/>
    <w:rsid w:val="004F685F"/>
    <w:rsid w:val="005566E8"/>
    <w:rsid w:val="00574867"/>
    <w:rsid w:val="00591460"/>
    <w:rsid w:val="005A65E0"/>
    <w:rsid w:val="005C3777"/>
    <w:rsid w:val="005C5CDC"/>
    <w:rsid w:val="005D476C"/>
    <w:rsid w:val="006063C2"/>
    <w:rsid w:val="006200BF"/>
    <w:rsid w:val="006219F8"/>
    <w:rsid w:val="006302F7"/>
    <w:rsid w:val="00646B9F"/>
    <w:rsid w:val="00665D70"/>
    <w:rsid w:val="006900D9"/>
    <w:rsid w:val="006C0F5A"/>
    <w:rsid w:val="006D6FE0"/>
    <w:rsid w:val="006E2C17"/>
    <w:rsid w:val="00706C16"/>
    <w:rsid w:val="00713A26"/>
    <w:rsid w:val="007340C3"/>
    <w:rsid w:val="0075235A"/>
    <w:rsid w:val="00754D39"/>
    <w:rsid w:val="00756841"/>
    <w:rsid w:val="007649AB"/>
    <w:rsid w:val="00771D0C"/>
    <w:rsid w:val="007833AC"/>
    <w:rsid w:val="007A56AD"/>
    <w:rsid w:val="007B268C"/>
    <w:rsid w:val="007B7171"/>
    <w:rsid w:val="007C0C0F"/>
    <w:rsid w:val="007C3DC2"/>
    <w:rsid w:val="007E5497"/>
    <w:rsid w:val="00806F5F"/>
    <w:rsid w:val="00820278"/>
    <w:rsid w:val="008258C9"/>
    <w:rsid w:val="00833EB3"/>
    <w:rsid w:val="00844AE9"/>
    <w:rsid w:val="00867F95"/>
    <w:rsid w:val="008843B6"/>
    <w:rsid w:val="00891928"/>
    <w:rsid w:val="008A446D"/>
    <w:rsid w:val="008B25F1"/>
    <w:rsid w:val="008D180B"/>
    <w:rsid w:val="008F0EA7"/>
    <w:rsid w:val="00923EEF"/>
    <w:rsid w:val="009419F9"/>
    <w:rsid w:val="00946D67"/>
    <w:rsid w:val="0095685E"/>
    <w:rsid w:val="00961B09"/>
    <w:rsid w:val="00965334"/>
    <w:rsid w:val="0097093E"/>
    <w:rsid w:val="0099339E"/>
    <w:rsid w:val="009A0DFA"/>
    <w:rsid w:val="009A1C6F"/>
    <w:rsid w:val="009B2D26"/>
    <w:rsid w:val="009B44D3"/>
    <w:rsid w:val="009C71FA"/>
    <w:rsid w:val="009C72E7"/>
    <w:rsid w:val="009C7F7E"/>
    <w:rsid w:val="009D3058"/>
    <w:rsid w:val="009F3A13"/>
    <w:rsid w:val="00A122D3"/>
    <w:rsid w:val="00A14468"/>
    <w:rsid w:val="00A17F13"/>
    <w:rsid w:val="00A20739"/>
    <w:rsid w:val="00A23AF9"/>
    <w:rsid w:val="00A33C78"/>
    <w:rsid w:val="00A452F2"/>
    <w:rsid w:val="00AB0ADB"/>
    <w:rsid w:val="00B00C0E"/>
    <w:rsid w:val="00B01B1A"/>
    <w:rsid w:val="00B0381D"/>
    <w:rsid w:val="00B44A47"/>
    <w:rsid w:val="00B72CD3"/>
    <w:rsid w:val="00B72FFF"/>
    <w:rsid w:val="00BC3D36"/>
    <w:rsid w:val="00BD54A6"/>
    <w:rsid w:val="00BD7F72"/>
    <w:rsid w:val="00BE11AE"/>
    <w:rsid w:val="00BF7425"/>
    <w:rsid w:val="00C04FB3"/>
    <w:rsid w:val="00C11D8B"/>
    <w:rsid w:val="00C15139"/>
    <w:rsid w:val="00C16BD2"/>
    <w:rsid w:val="00C330EB"/>
    <w:rsid w:val="00C342E4"/>
    <w:rsid w:val="00C50D69"/>
    <w:rsid w:val="00C5365C"/>
    <w:rsid w:val="00C754BE"/>
    <w:rsid w:val="00C76B1C"/>
    <w:rsid w:val="00C925AC"/>
    <w:rsid w:val="00CB6357"/>
    <w:rsid w:val="00CC1B26"/>
    <w:rsid w:val="00D12668"/>
    <w:rsid w:val="00D33B0A"/>
    <w:rsid w:val="00D361FD"/>
    <w:rsid w:val="00D423A2"/>
    <w:rsid w:val="00D44E26"/>
    <w:rsid w:val="00D520D8"/>
    <w:rsid w:val="00D63AC2"/>
    <w:rsid w:val="00D7383B"/>
    <w:rsid w:val="00D7788A"/>
    <w:rsid w:val="00DA231B"/>
    <w:rsid w:val="00DA58E0"/>
    <w:rsid w:val="00DC39FC"/>
    <w:rsid w:val="00DF5254"/>
    <w:rsid w:val="00E02524"/>
    <w:rsid w:val="00E16408"/>
    <w:rsid w:val="00E16ED0"/>
    <w:rsid w:val="00E20894"/>
    <w:rsid w:val="00E245AB"/>
    <w:rsid w:val="00E2764C"/>
    <w:rsid w:val="00E27F2E"/>
    <w:rsid w:val="00E43AC1"/>
    <w:rsid w:val="00E50AFE"/>
    <w:rsid w:val="00E53304"/>
    <w:rsid w:val="00E75C92"/>
    <w:rsid w:val="00E771DC"/>
    <w:rsid w:val="00E82D04"/>
    <w:rsid w:val="00E8772A"/>
    <w:rsid w:val="00E90F6B"/>
    <w:rsid w:val="00E92C27"/>
    <w:rsid w:val="00EA0E3D"/>
    <w:rsid w:val="00EC38A7"/>
    <w:rsid w:val="00EE1AA8"/>
    <w:rsid w:val="00F23FEA"/>
    <w:rsid w:val="00F31EDC"/>
    <w:rsid w:val="00F377B3"/>
    <w:rsid w:val="00F462B3"/>
    <w:rsid w:val="00F5664F"/>
    <w:rsid w:val="00F659C6"/>
    <w:rsid w:val="00F666C4"/>
    <w:rsid w:val="00F76AFC"/>
    <w:rsid w:val="00FA47C0"/>
    <w:rsid w:val="00FB5DD1"/>
    <w:rsid w:val="00FC2B5D"/>
    <w:rsid w:val="00FD6107"/>
    <w:rsid w:val="00FF1449"/>
    <w:rsid w:val="00FF7963"/>
    <w:rsid w:val="071B8F93"/>
    <w:rsid w:val="09908A09"/>
    <w:rsid w:val="0FF4CCA8"/>
    <w:rsid w:val="13CFC91B"/>
    <w:rsid w:val="19A2EC2C"/>
    <w:rsid w:val="23A5CFCD"/>
    <w:rsid w:val="2859CA1B"/>
    <w:rsid w:val="32A4F9CF"/>
    <w:rsid w:val="356CEDFD"/>
    <w:rsid w:val="3F64F34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41EB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41EB3"/>
    <w:rPr>
      <w:rFonts w:ascii="Geomanist Light" w:hAnsi="Geomanist Light"/>
      <w:lang w:val="es-ES"/>
    </w:rPr>
  </w:style>
  <w:style w:type="character" w:customStyle="1" w:styleId="NormalWebCar">
    <w:name w:val="Normal (Web) Car"/>
    <w:link w:val="NormalWeb"/>
    <w:uiPriority w:val="99"/>
    <w:locked/>
    <w:rsid w:val="00241EB3"/>
    <w:rPr>
      <w:rFonts w:ascii="Times New Roman" w:eastAsia="Times New Roman" w:hAnsi="Times New Roman" w:cs="Times New Roman"/>
      <w:sz w:val="24"/>
      <w:szCs w:val="24"/>
      <w:lang w:eastAsia="es-CO"/>
    </w:rPr>
  </w:style>
  <w:style w:type="paragraph" w:customStyle="1" w:styleId="fn1">
    <w:name w:val="fn1"/>
    <w:basedOn w:val="Normal"/>
    <w:next w:val="Textonotapie"/>
    <w:uiPriority w:val="99"/>
    <w:unhideWhenUsed/>
    <w:qFormat/>
    <w:rsid w:val="00713A26"/>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713A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determinar-y-verificar-la-capacidad-residual-del-proponente-en-los-procesos-de-contratacion-de-obra-public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446244C-389D-40F8-B62D-A1DC821AF10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16</Pages>
  <Words>4827</Words>
  <Characters>25830</Characters>
  <Application>Microsoft Office Word</Application>
  <DocSecurity>0</DocSecurity>
  <Lines>561</Lines>
  <Paragraphs>139</Paragraphs>
  <ScaleCrop>false</ScaleCrop>
  <Company/>
  <LinksUpToDate>false</LinksUpToDate>
  <CharactersWithSpaces>30518</CharactersWithSpaces>
  <SharedDoc>false</SharedDoc>
  <HLinks>
    <vt:vector size="30" baseType="variant">
      <vt:variant>
        <vt:i4>7733301</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3</vt:i4>
      </vt:variant>
      <vt:variant>
        <vt:i4>0</vt:i4>
      </vt:variant>
      <vt:variant>
        <vt:i4>5</vt:i4>
      </vt:variant>
      <vt:variant>
        <vt:lpwstr>https://www.colombiacompra.gov.co/normativa-y-relatoria/documentos-tipo</vt:lpwstr>
      </vt:variant>
      <vt:variant>
        <vt:lpwstr/>
      </vt:variant>
      <vt:variant>
        <vt:i4>6684780</vt:i4>
      </vt:variant>
      <vt:variant>
        <vt:i4>0</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7</cp:revision>
  <cp:lastPrinted>2023-01-10T21:18:00Z</cp:lastPrinted>
  <dcterms:created xsi:type="dcterms:W3CDTF">2026-03-02T20:35:00Z</dcterms:created>
  <dcterms:modified xsi:type="dcterms:W3CDTF">2026-03-03T20:42:00Z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