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565CFA" w14:textId="77777777" w:rsidR="002A58CD" w:rsidRPr="000C7D33" w:rsidRDefault="002A58CD" w:rsidP="00D01973">
      <w:pPr>
        <w:spacing w:after="0" w:line="240" w:lineRule="auto"/>
        <w:jc w:val="both"/>
        <w:rPr>
          <w:rFonts w:ascii="Verdana" w:eastAsia="Verdana" w:hAnsi="Verdana" w:cs="Verdana"/>
          <w:b/>
          <w:lang w:val="es-ES"/>
        </w:rPr>
      </w:pPr>
      <w:bookmarkStart w:id="0" w:name="_Hlk143780582"/>
      <w:r w:rsidRPr="000C7D33">
        <w:rPr>
          <w:rFonts w:ascii="Verdana" w:eastAsia="Verdana" w:hAnsi="Verdana" w:cs="Verdana"/>
          <w:b/>
          <w:lang w:val="es-ES"/>
        </w:rPr>
        <w:t xml:space="preserve">RÉGIMEN EXCEPCIONAL – Justificación – Criterios de clasificación </w:t>
      </w:r>
    </w:p>
    <w:p w14:paraId="6C692EFF" w14:textId="77777777" w:rsidR="002A58CD" w:rsidRPr="000C7D33" w:rsidRDefault="002A58CD" w:rsidP="00D01973">
      <w:pPr>
        <w:spacing w:after="0" w:line="240" w:lineRule="auto"/>
        <w:jc w:val="both"/>
        <w:rPr>
          <w:rFonts w:ascii="Verdana" w:eastAsia="Verdana" w:hAnsi="Verdana" w:cs="Verdana"/>
          <w:b/>
          <w:lang w:val="es-ES"/>
        </w:rPr>
      </w:pPr>
    </w:p>
    <w:p w14:paraId="5AF96E36" w14:textId="1CA6C043" w:rsidR="002A58CD" w:rsidRPr="000C7D33" w:rsidRDefault="000C7D33" w:rsidP="00D01973">
      <w:pPr>
        <w:spacing w:after="0" w:line="240" w:lineRule="auto"/>
        <w:jc w:val="both"/>
        <w:rPr>
          <w:rFonts w:ascii="Verdana" w:eastAsia="Verdana" w:hAnsi="Verdana" w:cs="Verdana"/>
          <w:bCs/>
          <w:sz w:val="20"/>
          <w:lang w:val="es-MX"/>
        </w:rPr>
      </w:pPr>
      <w:r w:rsidRPr="000C7D33">
        <w:rPr>
          <w:rFonts w:ascii="Verdana" w:eastAsia="Verdana" w:hAnsi="Verdana" w:cs="Verdana"/>
          <w:bCs/>
          <w:sz w:val="20"/>
          <w:lang w:val="es-MX"/>
        </w:rPr>
        <w:t xml:space="preserve">El inciso segundo del 365 constitucional dispone que “Los servicios públicos estarán sometidos al régimen jurídico que fije la ley, podrán ser prestados por el Estado, directa o indirectamente, por comunidades organizadas, o por particulares […]”. Por ello, el inciso primero del artículo 31 de la Ley 142 de 1994 dispuso expresamente que “Los contratos que celebren las </w:t>
      </w:r>
      <w:r w:rsidRPr="000C7D33">
        <w:rPr>
          <w:rFonts w:ascii="Verdana" w:eastAsia="Verdana" w:hAnsi="Verdana" w:cs="Verdana"/>
          <w:bCs/>
          <w:i/>
          <w:iCs/>
          <w:sz w:val="20"/>
          <w:lang w:val="es-MX"/>
        </w:rPr>
        <w:t>entidades estatales que prestan los servicios públicos</w:t>
      </w:r>
      <w:r w:rsidRPr="000C7D33">
        <w:rPr>
          <w:rFonts w:ascii="Verdana" w:eastAsia="Verdana" w:hAnsi="Verdana" w:cs="Verdana"/>
          <w:bCs/>
          <w:sz w:val="20"/>
          <w:lang w:val="es-MX"/>
        </w:rPr>
        <w:t xml:space="preserve"> a los que se refiere esta ley no estarán sujetos a las disposiciones del Estatuto General de Contratación de la Administración Pública, salvo en lo que la presente ley disponga otra cosa” (Énfasis fuera de texto). Asimismo, el inciso primero del artículo 32 </w:t>
      </w:r>
      <w:r w:rsidRPr="000C7D33">
        <w:rPr>
          <w:rFonts w:ascii="Verdana" w:eastAsia="Verdana" w:hAnsi="Verdana" w:cs="Verdana"/>
          <w:bCs/>
          <w:i/>
          <w:iCs/>
          <w:sz w:val="20"/>
          <w:lang w:val="es-MX"/>
        </w:rPr>
        <w:t>ibidem</w:t>
      </w:r>
      <w:r w:rsidRPr="000C7D33">
        <w:rPr>
          <w:rFonts w:ascii="Verdana" w:eastAsia="Verdana" w:hAnsi="Verdana" w:cs="Verdana"/>
          <w:bCs/>
          <w:sz w:val="20"/>
          <w:lang w:val="es-MX"/>
        </w:rPr>
        <w:t xml:space="preserve"> precisa lo siguiente: “Salvo en cuanto la Constitución Política o esta Ley dispongan expresamente lo contrario, la constitución, y los actos de todas las </w:t>
      </w:r>
      <w:r w:rsidRPr="000C7D33">
        <w:rPr>
          <w:rFonts w:ascii="Verdana" w:eastAsia="Verdana" w:hAnsi="Verdana" w:cs="Verdana"/>
          <w:bCs/>
          <w:i/>
          <w:iCs/>
          <w:sz w:val="20"/>
          <w:lang w:val="es-MX"/>
        </w:rPr>
        <w:t>empresas de servicios públicos</w:t>
      </w:r>
      <w:r w:rsidRPr="000C7D33">
        <w:rPr>
          <w:rFonts w:ascii="Verdana" w:eastAsia="Verdana" w:hAnsi="Verdana" w:cs="Verdana"/>
          <w:bCs/>
          <w:sz w:val="20"/>
          <w:lang w:val="es-MX"/>
        </w:rPr>
        <w:t>, así como los requeridos para la administración y el ejercicio de los derechos de todas las personas que sean socias de ellas, en lo no dispuesto en esta Ley, se regirán exclusivamente por las reglas del derecho privado”</w:t>
      </w:r>
    </w:p>
    <w:p w14:paraId="442A9C9C" w14:textId="77777777" w:rsidR="000C7D33" w:rsidRPr="000C7D33" w:rsidRDefault="000C7D33" w:rsidP="00D01973">
      <w:pPr>
        <w:spacing w:after="0" w:line="240" w:lineRule="auto"/>
        <w:jc w:val="both"/>
        <w:rPr>
          <w:rFonts w:ascii="Verdana" w:eastAsia="Verdana" w:hAnsi="Verdana" w:cs="Verdana"/>
          <w:b/>
          <w:lang w:val="es-ES"/>
        </w:rPr>
      </w:pPr>
    </w:p>
    <w:p w14:paraId="69C37200" w14:textId="77777777" w:rsidR="002A58CD" w:rsidRPr="000C7D33" w:rsidRDefault="002A58CD" w:rsidP="00D01973">
      <w:pPr>
        <w:spacing w:after="0" w:line="240" w:lineRule="auto"/>
        <w:jc w:val="both"/>
        <w:rPr>
          <w:rFonts w:ascii="Verdana" w:eastAsia="Verdana" w:hAnsi="Verdana" w:cs="Verdana"/>
          <w:b/>
          <w:lang w:val="es-ES"/>
        </w:rPr>
      </w:pPr>
      <w:r w:rsidRPr="000C7D33">
        <w:rPr>
          <w:rFonts w:ascii="Verdana" w:eastAsia="Verdana" w:hAnsi="Verdana" w:cs="Verdana"/>
          <w:b/>
          <w:lang w:val="es-ES"/>
        </w:rPr>
        <w:t xml:space="preserve">EMPRESAS DE SERVICIOS PÚBLICOS – Naturaleza – régimen especial </w:t>
      </w:r>
    </w:p>
    <w:p w14:paraId="24C4F693" w14:textId="77777777" w:rsidR="002A58CD" w:rsidRPr="000C7D33" w:rsidRDefault="002A58CD" w:rsidP="00D01973">
      <w:pPr>
        <w:spacing w:after="0" w:line="240" w:lineRule="auto"/>
        <w:jc w:val="both"/>
        <w:rPr>
          <w:rFonts w:ascii="Verdana" w:eastAsia="Verdana" w:hAnsi="Verdana" w:cs="Verdana"/>
          <w:b/>
          <w:lang w:val="es-ES"/>
        </w:rPr>
      </w:pPr>
    </w:p>
    <w:p w14:paraId="154CCEED" w14:textId="739E32E6" w:rsidR="000C7D33" w:rsidRPr="000C7D33" w:rsidRDefault="000C7D33" w:rsidP="00D01973">
      <w:pPr>
        <w:spacing w:after="0" w:line="240" w:lineRule="auto"/>
        <w:jc w:val="both"/>
        <w:rPr>
          <w:rFonts w:ascii="Verdana" w:eastAsia="Verdana" w:hAnsi="Verdana" w:cs="Verdana"/>
          <w:sz w:val="20"/>
        </w:rPr>
      </w:pPr>
      <w:r w:rsidRPr="000C7D33">
        <w:rPr>
          <w:rFonts w:ascii="Verdana" w:eastAsia="Verdana" w:hAnsi="Verdana" w:cs="Verdana"/>
          <w:bCs/>
          <w:sz w:val="20"/>
          <w:lang w:val="es-MX"/>
        </w:rPr>
        <w:t xml:space="preserve">Asimismo, el inciso primero del artículo 32 </w:t>
      </w:r>
      <w:r w:rsidRPr="000C7D33">
        <w:rPr>
          <w:rFonts w:ascii="Verdana" w:eastAsia="Verdana" w:hAnsi="Verdana" w:cs="Verdana"/>
          <w:bCs/>
          <w:i/>
          <w:iCs/>
          <w:sz w:val="20"/>
          <w:lang w:val="es-MX"/>
        </w:rPr>
        <w:t>ibidem</w:t>
      </w:r>
      <w:r w:rsidRPr="000C7D33">
        <w:rPr>
          <w:rFonts w:ascii="Verdana" w:eastAsia="Verdana" w:hAnsi="Verdana" w:cs="Verdana"/>
          <w:bCs/>
          <w:sz w:val="20"/>
          <w:lang w:val="es-MX"/>
        </w:rPr>
        <w:t xml:space="preserve"> precisa lo siguiente: “Salvo en cuanto la Constitución Política o esta Ley dispongan expresamente lo contrario, la constitución, y los actos de todas las </w:t>
      </w:r>
      <w:r w:rsidRPr="000C7D33">
        <w:rPr>
          <w:rFonts w:ascii="Verdana" w:eastAsia="Verdana" w:hAnsi="Verdana" w:cs="Verdana"/>
          <w:bCs/>
          <w:i/>
          <w:iCs/>
          <w:sz w:val="20"/>
          <w:lang w:val="es-MX"/>
        </w:rPr>
        <w:t>empresas de servicios públicos</w:t>
      </w:r>
      <w:r w:rsidRPr="000C7D33">
        <w:rPr>
          <w:rFonts w:ascii="Verdana" w:eastAsia="Verdana" w:hAnsi="Verdana" w:cs="Verdana"/>
          <w:bCs/>
          <w:sz w:val="20"/>
          <w:lang w:val="es-MX"/>
        </w:rPr>
        <w:t xml:space="preserve">, así como los requeridos para la administración y el ejercicio de los derechos de todas las personas que sean socias de ellas, en lo no dispuesto en esta Ley, se regirán exclusivamente por las reglas del derecho privado” (Énfasis fuera de texto). </w:t>
      </w:r>
      <w:r w:rsidRPr="000C7D33">
        <w:rPr>
          <w:rFonts w:ascii="Verdana" w:eastAsia="Verdana" w:hAnsi="Verdana" w:cs="Verdana"/>
          <w:sz w:val="20"/>
          <w:lang w:val="es-ES"/>
        </w:rPr>
        <w:t xml:space="preserve">De esta manera, el máximo órgano de la Jurisdicción de lo Contencioso Administrativo considera que: “En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2EC5C5B3" w14:textId="116262F7" w:rsidR="002A58CD" w:rsidRPr="000C7D33" w:rsidRDefault="002A58CD" w:rsidP="00D01973">
      <w:pPr>
        <w:spacing w:after="0" w:line="240" w:lineRule="auto"/>
        <w:jc w:val="both"/>
        <w:rPr>
          <w:rFonts w:ascii="Verdana" w:eastAsia="Verdana" w:hAnsi="Verdana" w:cs="Verdana"/>
          <w:b/>
          <w:lang w:val="es-ES"/>
        </w:rPr>
      </w:pPr>
    </w:p>
    <w:p w14:paraId="6ECF5BA7" w14:textId="77777777" w:rsidR="002A58CD" w:rsidRPr="000C7D33" w:rsidRDefault="002A58CD" w:rsidP="00D01973">
      <w:pPr>
        <w:spacing w:after="0" w:line="240" w:lineRule="auto"/>
        <w:jc w:val="both"/>
        <w:rPr>
          <w:rFonts w:ascii="Verdana" w:eastAsia="Verdana" w:hAnsi="Verdana" w:cs="Verdana"/>
          <w:b/>
          <w:lang w:val="es-ES"/>
        </w:rPr>
      </w:pPr>
      <w:r w:rsidRPr="000C7D33">
        <w:rPr>
          <w:rFonts w:ascii="Verdana" w:eastAsia="Verdana" w:hAnsi="Verdana" w:cs="Verdana"/>
          <w:b/>
          <w:lang w:val="es-ES"/>
        </w:rPr>
        <w:t xml:space="preserve">EMPRESAS DE SERVICIOS PÚBLICOS – Mixtas – Privadas con participación estatal – Entidades descentralizadas por servicios – Sentencia C-736 de 2007 </w:t>
      </w:r>
    </w:p>
    <w:p w14:paraId="5F414FF3" w14:textId="77777777" w:rsidR="002A58CD" w:rsidRPr="000C7D33" w:rsidRDefault="002A58CD" w:rsidP="00D01973">
      <w:pPr>
        <w:spacing w:after="0" w:line="240" w:lineRule="auto"/>
        <w:jc w:val="both"/>
        <w:rPr>
          <w:rFonts w:ascii="Verdana" w:eastAsia="Verdana" w:hAnsi="Verdana" w:cs="Verdana"/>
          <w:b/>
          <w:lang w:val="es-ES"/>
        </w:rPr>
      </w:pPr>
    </w:p>
    <w:p w14:paraId="2F65817A" w14:textId="65416BD1" w:rsidR="000C7D33" w:rsidRDefault="000C7D33" w:rsidP="00D01973">
      <w:pPr>
        <w:spacing w:after="0" w:line="240" w:lineRule="auto"/>
        <w:jc w:val="both"/>
        <w:rPr>
          <w:rFonts w:ascii="Verdana" w:eastAsia="Verdana" w:hAnsi="Verdana" w:cs="Verdana"/>
          <w:bCs/>
          <w:sz w:val="20"/>
          <w:lang w:val="es-ES_tradnl"/>
        </w:rPr>
      </w:pPr>
      <w:r w:rsidRPr="000C7D33">
        <w:rPr>
          <w:rFonts w:ascii="Verdana" w:eastAsia="Verdana" w:hAnsi="Verdana" w:cs="Verdana"/>
          <w:bCs/>
          <w:sz w:val="20"/>
          <w:lang w:val="es-ES_tradnl"/>
        </w:rPr>
        <w:t xml:space="preserve">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 En otras palabras, aunque el artículo 14 de la Ley 142 de 1994 establece que las empresas prestadoras de servicios públicos domiciliarios pueden ser </w:t>
      </w:r>
      <w:r w:rsidRPr="000C7D33">
        <w:rPr>
          <w:rFonts w:ascii="Verdana" w:eastAsia="Verdana" w:hAnsi="Verdana" w:cs="Verdana"/>
          <w:bCs/>
          <w:i/>
          <w:iCs/>
          <w:sz w:val="20"/>
          <w:lang w:val="es-ES_tradnl"/>
        </w:rPr>
        <w:t>oficiales</w:t>
      </w:r>
      <w:r w:rsidRPr="000C7D33">
        <w:rPr>
          <w:rFonts w:ascii="Verdana" w:eastAsia="Verdana" w:hAnsi="Verdana" w:cs="Verdana"/>
          <w:bCs/>
          <w:sz w:val="20"/>
          <w:lang w:val="es-ES_tradnl"/>
        </w:rPr>
        <w:t xml:space="preserve">, </w:t>
      </w:r>
      <w:r w:rsidRPr="000C7D33">
        <w:rPr>
          <w:rFonts w:ascii="Verdana" w:eastAsia="Verdana" w:hAnsi="Verdana" w:cs="Verdana"/>
          <w:bCs/>
          <w:i/>
          <w:iCs/>
          <w:sz w:val="20"/>
          <w:lang w:val="es-ES_tradnl"/>
        </w:rPr>
        <w:t>mixtas</w:t>
      </w:r>
      <w:r w:rsidRPr="000C7D33">
        <w:rPr>
          <w:rFonts w:ascii="Verdana" w:eastAsia="Verdana" w:hAnsi="Verdana" w:cs="Verdana"/>
          <w:bCs/>
          <w:sz w:val="20"/>
          <w:lang w:val="es-ES_tradnl"/>
        </w:rPr>
        <w:t xml:space="preserve"> o </w:t>
      </w:r>
      <w:r w:rsidRPr="000C7D33">
        <w:rPr>
          <w:rFonts w:ascii="Verdana" w:eastAsia="Verdana" w:hAnsi="Verdana" w:cs="Verdana"/>
          <w:bCs/>
          <w:i/>
          <w:iCs/>
          <w:sz w:val="20"/>
          <w:lang w:val="es-ES_tradnl"/>
        </w:rPr>
        <w:t>privadas</w:t>
      </w:r>
      <w:r w:rsidRPr="000C7D33">
        <w:rPr>
          <w:rFonts w:ascii="Verdana" w:eastAsia="Verdana" w:hAnsi="Verdana" w:cs="Verdana"/>
          <w:bCs/>
          <w:sz w:val="20"/>
          <w:lang w:val="es-ES_tradnl"/>
        </w:rPr>
        <w:t xml:space="preserve">, estas tres especies ingresan en la categoría de las </w:t>
      </w:r>
      <w:r w:rsidRPr="000C7D33">
        <w:rPr>
          <w:rFonts w:ascii="Verdana" w:eastAsia="Verdana" w:hAnsi="Verdana" w:cs="Verdana"/>
          <w:bCs/>
          <w:i/>
          <w:iCs/>
          <w:sz w:val="20"/>
          <w:lang w:val="es-ES_tradnl"/>
        </w:rPr>
        <w:t>entidades descentralizadas por servicios</w:t>
      </w:r>
      <w:r w:rsidRPr="000C7D33">
        <w:rPr>
          <w:rFonts w:ascii="Verdana" w:eastAsia="Verdana" w:hAnsi="Verdana" w:cs="Verdana"/>
          <w:bCs/>
          <w:sz w:val="20"/>
          <w:lang w:val="es-ES_tradnl"/>
        </w:rPr>
        <w:t xml:space="preserve">, es decir, hacen parte de la Rama Ejecutiva del Orden Público.  </w:t>
      </w:r>
    </w:p>
    <w:p w14:paraId="19D22990" w14:textId="77777777" w:rsidR="000C7D33" w:rsidRPr="000C7D33" w:rsidRDefault="000C7D33" w:rsidP="00D01973">
      <w:pPr>
        <w:spacing w:after="0" w:line="240" w:lineRule="auto"/>
        <w:jc w:val="both"/>
        <w:rPr>
          <w:rFonts w:ascii="Verdana" w:eastAsia="Verdana" w:hAnsi="Verdana" w:cs="Verdana"/>
          <w:bCs/>
          <w:sz w:val="20"/>
          <w:lang w:val="es-ES_tradnl"/>
        </w:rPr>
      </w:pPr>
    </w:p>
    <w:p w14:paraId="697D6D7F" w14:textId="6424F20C" w:rsidR="002A58CD" w:rsidRPr="000C7D33" w:rsidRDefault="000C7D33" w:rsidP="00D01973">
      <w:pPr>
        <w:spacing w:after="0" w:line="240" w:lineRule="auto"/>
        <w:jc w:val="both"/>
        <w:rPr>
          <w:rFonts w:ascii="Verdana" w:eastAsia="Verdana" w:hAnsi="Verdana" w:cs="Verdana"/>
          <w:sz w:val="20"/>
          <w:lang w:val="es-ES"/>
        </w:rPr>
      </w:pPr>
      <w:r w:rsidRPr="000C7D33">
        <w:rPr>
          <w:rFonts w:ascii="Verdana" w:eastAsia="Verdana" w:hAnsi="Verdana" w:cs="Verdana"/>
          <w:bCs/>
          <w:sz w:val="20"/>
          <w:lang w:val="es-ES_tradnl"/>
        </w:rPr>
        <w:t xml:space="preserve">Al respecto, debe recordarse que en dicha Sentencia el alto tribunal afirmó que las empresas prestadoras de servicios públicos domiciliarios </w:t>
      </w:r>
      <w:r w:rsidRPr="000C7D33">
        <w:rPr>
          <w:rFonts w:ascii="Verdana" w:eastAsia="Verdana" w:hAnsi="Verdana" w:cs="Verdana"/>
          <w:bCs/>
          <w:i/>
          <w:iCs/>
          <w:sz w:val="20"/>
          <w:lang w:val="es-ES_tradnl"/>
        </w:rPr>
        <w:t>mixtas y privadas</w:t>
      </w:r>
      <w:r w:rsidRPr="000C7D33">
        <w:rPr>
          <w:rFonts w:ascii="Verdana" w:eastAsia="Verdana" w:hAnsi="Verdana" w:cs="Verdana"/>
          <w:bCs/>
          <w:sz w:val="20"/>
          <w:lang w:val="es-ES_tradnl"/>
        </w:rPr>
        <w:t xml:space="preserve"> con aportes estatales son tipos </w:t>
      </w:r>
      <w:r w:rsidRPr="000C7D33">
        <w:rPr>
          <w:rFonts w:ascii="Verdana" w:eastAsia="Verdana" w:hAnsi="Verdana" w:cs="Verdana"/>
          <w:bCs/>
          <w:i/>
          <w:iCs/>
          <w:sz w:val="20"/>
          <w:lang w:val="es-ES_tradnl"/>
        </w:rPr>
        <w:t>especiales</w:t>
      </w:r>
      <w:r w:rsidRPr="000C7D33">
        <w:rPr>
          <w:rFonts w:ascii="Verdana" w:eastAsia="Verdana" w:hAnsi="Verdana" w:cs="Verdana"/>
          <w:bCs/>
          <w:sz w:val="20"/>
          <w:lang w:val="es-ES_tradnl"/>
        </w:rPr>
        <w:t xml:space="preserve"> de entidades descentralizadas por servicios que, por tanto, </w:t>
      </w:r>
      <w:r w:rsidRPr="000C7D33">
        <w:rPr>
          <w:rFonts w:ascii="Verdana" w:eastAsia="Verdana" w:hAnsi="Verdana" w:cs="Verdana"/>
          <w:bCs/>
          <w:sz w:val="20"/>
          <w:lang w:val="es-ES_tradnl"/>
        </w:rPr>
        <w:lastRenderedPageBreak/>
        <w:t>no pueden enmarcarse en las otras especies de entidades descentralizadas por servicios enlistadas en el artículo 38 de la Ley 489 de 1998, es decir, que no cabe considerarlas, verbigracia, dentro de las sociedades públicas ni en las sociedades de economía mixta.</w:t>
      </w:r>
    </w:p>
    <w:p w14:paraId="6DADE3E0" w14:textId="77777777" w:rsidR="002A58CD" w:rsidRPr="000C7D33" w:rsidRDefault="002A58CD" w:rsidP="00D01973">
      <w:pPr>
        <w:spacing w:after="0" w:line="240" w:lineRule="auto"/>
        <w:jc w:val="both"/>
        <w:rPr>
          <w:rFonts w:ascii="Verdana" w:eastAsia="Verdana" w:hAnsi="Verdana" w:cs="Verdana"/>
          <w:b/>
          <w:lang w:val="es-ES"/>
        </w:rPr>
      </w:pPr>
    </w:p>
    <w:p w14:paraId="7AC1DBBA" w14:textId="77777777" w:rsidR="002A58CD" w:rsidRPr="000C7D33" w:rsidRDefault="002A58CD" w:rsidP="00D01973">
      <w:pPr>
        <w:spacing w:after="0" w:line="240" w:lineRule="auto"/>
        <w:jc w:val="both"/>
        <w:rPr>
          <w:rFonts w:ascii="Verdana" w:eastAsia="Verdana" w:hAnsi="Verdana" w:cs="Verdana"/>
          <w:b/>
          <w:lang w:val="es-ES"/>
        </w:rPr>
      </w:pPr>
      <w:r w:rsidRPr="000C7D33">
        <w:rPr>
          <w:rFonts w:ascii="Verdana" w:eastAsia="Verdana" w:hAnsi="Verdana" w:cs="Verdana"/>
          <w:b/>
          <w:lang w:val="es-ES"/>
        </w:rPr>
        <w:t>EMPRESAS PRIVADAS DE SERVICIOS PÚBLICOS – Capital – 100% privadas – Naturaleza</w:t>
      </w:r>
    </w:p>
    <w:p w14:paraId="7536D465" w14:textId="77777777" w:rsidR="002A58CD" w:rsidRPr="000C7D33" w:rsidRDefault="002A58CD" w:rsidP="00D01973">
      <w:pPr>
        <w:spacing w:after="0" w:line="240" w:lineRule="auto"/>
        <w:jc w:val="both"/>
        <w:rPr>
          <w:rFonts w:ascii="Verdana" w:eastAsia="Verdana" w:hAnsi="Verdana" w:cs="Verdana"/>
          <w:b/>
          <w:lang w:val="es-ES"/>
        </w:rPr>
      </w:pPr>
    </w:p>
    <w:p w14:paraId="3BD295A7" w14:textId="4AEC31C3" w:rsidR="00ED0AD9" w:rsidRPr="00ED0AD9" w:rsidRDefault="00ED0AD9" w:rsidP="00D01973">
      <w:pPr>
        <w:spacing w:after="0" w:line="240" w:lineRule="auto"/>
        <w:jc w:val="both"/>
        <w:rPr>
          <w:rFonts w:ascii="Verdana" w:eastAsia="Verdana" w:hAnsi="Verdana" w:cs="Verdana"/>
          <w:sz w:val="20"/>
          <w:lang w:val="es-ES"/>
        </w:rPr>
      </w:pPr>
      <w:r w:rsidRPr="00ED0AD9">
        <w:rPr>
          <w:rFonts w:ascii="Verdana" w:eastAsia="Verdana" w:hAnsi="Verdana" w:cs="Verdana"/>
          <w:sz w:val="20"/>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empresas con capital 100% privadas que son prestadoras de servicios públicos domiciliarios, lo cual implica exponer dos posturas. </w:t>
      </w:r>
    </w:p>
    <w:p w14:paraId="623DDBC8" w14:textId="77777777" w:rsidR="00ED0AD9" w:rsidRPr="00ED0AD9" w:rsidRDefault="00ED0AD9" w:rsidP="00D01973">
      <w:pPr>
        <w:spacing w:after="0" w:line="240" w:lineRule="auto"/>
        <w:jc w:val="both"/>
        <w:rPr>
          <w:rFonts w:ascii="Verdana" w:eastAsia="Verdana" w:hAnsi="Verdana" w:cs="Verdana"/>
          <w:sz w:val="20"/>
          <w:lang w:val="es-ES"/>
        </w:rPr>
      </w:pPr>
    </w:p>
    <w:p w14:paraId="5833B025" w14:textId="4DC590B7" w:rsidR="00ED0AD9" w:rsidRPr="00ED0AD9" w:rsidRDefault="00ED0AD9" w:rsidP="00D01973">
      <w:pPr>
        <w:spacing w:after="0" w:line="240" w:lineRule="auto"/>
        <w:jc w:val="both"/>
        <w:rPr>
          <w:rFonts w:ascii="Verdana" w:eastAsia="Verdana" w:hAnsi="Verdana" w:cs="Verdana"/>
          <w:sz w:val="20"/>
        </w:rPr>
      </w:pPr>
      <w:r w:rsidRPr="00ED0AD9">
        <w:rPr>
          <w:rFonts w:ascii="Verdana" w:eastAsia="Verdana" w:hAnsi="Verdana" w:cs="Verdana"/>
          <w:sz w:val="20"/>
          <w:lang w:val="es-ES"/>
        </w:rPr>
        <w:t>La primera postura es la que resalta la doctrina, donde se expone que el pronunciamiento de constitucionalidad implica que lo dispuesto en el literal g) se subsumen las empresas de servicios públicos mixtas o privadas</w:t>
      </w:r>
      <w:r w:rsidRPr="00ED0AD9">
        <w:rPr>
          <w:rFonts w:ascii="Verdana" w:eastAsia="Verdana" w:hAnsi="Verdana" w:cs="Verdana"/>
          <w:sz w:val="20"/>
        </w:rPr>
        <w:t xml:space="preserve"> (en torno a las últimas ya no precisa si tienen aporte estatal) como parte de la Rama Ejecutiva en su sector descentralizado. </w:t>
      </w:r>
    </w:p>
    <w:p w14:paraId="51F953EE" w14:textId="77777777" w:rsidR="00ED0AD9" w:rsidRPr="00ED0AD9" w:rsidRDefault="00ED0AD9" w:rsidP="00D01973">
      <w:pPr>
        <w:spacing w:after="0" w:line="240" w:lineRule="auto"/>
        <w:jc w:val="both"/>
        <w:rPr>
          <w:rFonts w:ascii="Verdana" w:eastAsia="Verdana" w:hAnsi="Verdana" w:cs="Verdana"/>
          <w:sz w:val="20"/>
        </w:rPr>
      </w:pPr>
    </w:p>
    <w:p w14:paraId="6515BF27" w14:textId="44DFDF68" w:rsidR="00ED0AD9" w:rsidRPr="00ED0AD9" w:rsidRDefault="00ED0AD9" w:rsidP="00D01973">
      <w:pPr>
        <w:spacing w:after="0" w:line="240" w:lineRule="auto"/>
        <w:jc w:val="both"/>
        <w:rPr>
          <w:rFonts w:ascii="Verdana" w:eastAsia="Verdana" w:hAnsi="Verdana" w:cs="Verdana"/>
          <w:sz w:val="20"/>
        </w:rPr>
      </w:pPr>
      <w:r w:rsidRPr="00ED0AD9">
        <w:rPr>
          <w:rFonts w:ascii="Verdana" w:eastAsia="Verdana" w:hAnsi="Verdana" w:cs="Verdana"/>
          <w:sz w:val="20"/>
          <w:lang w:val="es-ES"/>
        </w:rPr>
        <w:t>La segunda postura que también se deriva de la interpretación de la sentencia es que la Corte Constitucional</w:t>
      </w:r>
      <w:r w:rsidRPr="00ED0AD9">
        <w:rPr>
          <w:rFonts w:ascii="Verdana" w:eastAsia="Verdana" w:hAnsi="Verdana" w:cs="Verdana"/>
          <w:sz w:val="20"/>
        </w:rPr>
        <w:t xml:space="preserve"> </w:t>
      </w:r>
      <w:r w:rsidRPr="00ED0AD9">
        <w:rPr>
          <w:rFonts w:ascii="Verdana" w:eastAsia="Verdana" w:hAnsi="Verdana" w:cs="Verdana"/>
          <w:sz w:val="20"/>
          <w:lang w:val="es-ES"/>
        </w:rPr>
        <w:t xml:space="preserve">determinó que las empresas de servicios públicos domiciliarios mixtas y privadas con participación estatal constituyen una categoría especial de entidades descentralizadas por servicios. En esta línea, se destaca que el encabezado de la consideración 5.3. alude expresamente, así como en varios apartes que son entidades descentralizadas por servicios las </w:t>
      </w:r>
      <w:r w:rsidRPr="00ED0AD9">
        <w:rPr>
          <w:rFonts w:ascii="Verdana" w:eastAsia="Verdana" w:hAnsi="Verdana" w:cs="Verdana"/>
          <w:bCs/>
          <w:sz w:val="20"/>
          <w:lang w:val="es-ES"/>
        </w:rPr>
        <w:t xml:space="preserve">empresas de servicios públicos mixtas y privadas en las cuales haya cualquier porcentaje de participación pública. </w:t>
      </w:r>
      <w:r w:rsidRPr="00ED0AD9">
        <w:rPr>
          <w:rFonts w:ascii="Verdana" w:eastAsia="Verdana" w:hAnsi="Verdana" w:cs="Verdana"/>
          <w:sz w:val="20"/>
          <w:lang w:val="es-ES"/>
        </w:rPr>
        <w:t xml:space="preserve">Esta interpretación se complementa con la Ley 142 de 1994, que define los tipos societarios según la proporción de capital estatal y privado, entendiendo como empresa privada de servicios públicos como </w:t>
      </w:r>
      <w:r w:rsidRPr="00ED0AD9">
        <w:rPr>
          <w:rFonts w:ascii="Verdana" w:eastAsia="Verdana" w:hAnsi="Verdana" w:cs="Verdana"/>
          <w:sz w:val="20"/>
        </w:rPr>
        <w:t>aquella cuyo capital pertenece mayoritariamente a particulares o a entidades internacionales que se acogen al régimen privado, lo que implica una participación minoritaria del Estado.</w:t>
      </w:r>
    </w:p>
    <w:p w14:paraId="5B8A685B" w14:textId="77777777" w:rsidR="00ED0AD9" w:rsidRPr="00ED0AD9" w:rsidRDefault="00ED0AD9" w:rsidP="00D01973">
      <w:pPr>
        <w:spacing w:after="0" w:line="240" w:lineRule="auto"/>
        <w:jc w:val="both"/>
        <w:rPr>
          <w:rFonts w:ascii="Verdana" w:eastAsia="Verdana" w:hAnsi="Verdana" w:cs="Verdana"/>
          <w:sz w:val="20"/>
        </w:rPr>
      </w:pPr>
    </w:p>
    <w:p w14:paraId="0E533860" w14:textId="77777777" w:rsidR="00ED0AD9" w:rsidRPr="00ED0AD9" w:rsidRDefault="00ED0AD9" w:rsidP="00D01973">
      <w:pPr>
        <w:spacing w:after="0" w:line="240" w:lineRule="auto"/>
        <w:jc w:val="both"/>
        <w:rPr>
          <w:rFonts w:ascii="Verdana" w:eastAsia="Verdana" w:hAnsi="Verdana" w:cs="Verdana"/>
          <w:sz w:val="20"/>
          <w:lang w:val="es-ES"/>
        </w:rPr>
      </w:pPr>
      <w:r w:rsidRPr="00ED0AD9">
        <w:rPr>
          <w:rFonts w:ascii="Verdana" w:eastAsia="Verdana" w:hAnsi="Verdana" w:cs="Verdana"/>
          <w:sz w:val="20"/>
          <w:lang w:val="es-ES"/>
        </w:rPr>
        <w:t xml:space="preserve">Teniendo en cuenta las posturas expuestas, se acoge la segunda, destacándose que las empresas con capital 100% privado por las actividades 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w:t>
      </w:r>
    </w:p>
    <w:p w14:paraId="309A3EA4" w14:textId="77777777" w:rsidR="002A58CD" w:rsidRPr="00ED0AD9" w:rsidRDefault="002A58CD" w:rsidP="00D01973">
      <w:pPr>
        <w:spacing w:after="0" w:line="240" w:lineRule="auto"/>
        <w:jc w:val="both"/>
        <w:rPr>
          <w:rFonts w:ascii="Verdana" w:eastAsia="Verdana" w:hAnsi="Verdana" w:cs="Verdana"/>
          <w:sz w:val="20"/>
          <w:lang w:val="es-ES"/>
        </w:rPr>
      </w:pPr>
    </w:p>
    <w:p w14:paraId="486CF1E3" w14:textId="261B27F9" w:rsidR="002A58CD" w:rsidRPr="000C7D33" w:rsidRDefault="002A58CD" w:rsidP="00D01973">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CONTRATOS Y CONVENIOS INTERADMINISTRATIVOS – Noción – Diferencias </w:t>
      </w:r>
    </w:p>
    <w:p w14:paraId="7072FBCA" w14:textId="360C0CA9" w:rsidR="002A58CD" w:rsidRDefault="002A58CD" w:rsidP="00D01973">
      <w:pPr>
        <w:spacing w:after="0" w:line="240" w:lineRule="auto"/>
        <w:jc w:val="both"/>
        <w:rPr>
          <w:rFonts w:ascii="Verdana" w:eastAsia="Verdana" w:hAnsi="Verdana" w:cs="Verdana"/>
          <w:bCs/>
          <w:sz w:val="20"/>
          <w:lang w:val="es-ES"/>
        </w:rPr>
      </w:pPr>
    </w:p>
    <w:p w14:paraId="42C6EFE0" w14:textId="25FBE59D" w:rsidR="00BE429B" w:rsidRPr="00BE429B" w:rsidRDefault="00BE429B" w:rsidP="00D01973">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La Corte Constitucional, en Sentencia C-671 de 2015, expresó que “Lo que hace interadministrativo a un contrato o convenio no es el procedimiento de selección </w:t>
      </w:r>
      <w:r w:rsidRPr="00BE429B">
        <w:rPr>
          <w:rFonts w:ascii="Verdana" w:eastAsia="Verdana" w:hAnsi="Verdana" w:cs="Verdana"/>
          <w:bCs/>
          <w:sz w:val="20"/>
        </w:rPr>
        <w:lastRenderedPageBreak/>
        <w:t xml:space="preserve">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w:t>
      </w:r>
    </w:p>
    <w:p w14:paraId="14BA685F" w14:textId="2D40CC97" w:rsidR="00BE429B" w:rsidRDefault="00BE429B" w:rsidP="00D01973">
      <w:pPr>
        <w:spacing w:after="0" w:line="240" w:lineRule="auto"/>
        <w:jc w:val="both"/>
        <w:rPr>
          <w:rFonts w:ascii="Verdana" w:eastAsia="Verdana" w:hAnsi="Verdana" w:cs="Verdana"/>
          <w:bCs/>
          <w:sz w:val="20"/>
          <w:lang w:val="es-ES"/>
        </w:rPr>
      </w:pPr>
      <w:r>
        <w:rPr>
          <w:rFonts w:ascii="Verdana" w:eastAsia="Verdana" w:hAnsi="Verdana" w:cs="Verdana"/>
          <w:bCs/>
          <w:sz w:val="20"/>
          <w:lang w:val="es-ES"/>
        </w:rPr>
        <w:t>[…]</w:t>
      </w:r>
    </w:p>
    <w:p w14:paraId="074E7FDF" w14:textId="2AD3A700" w:rsidR="00BE429B" w:rsidRPr="00ED0AD9" w:rsidRDefault="00BE429B" w:rsidP="00D01973">
      <w:pPr>
        <w:spacing w:after="0" w:line="240" w:lineRule="auto"/>
        <w:jc w:val="both"/>
        <w:rPr>
          <w:rFonts w:ascii="Verdana" w:eastAsia="Verdana" w:hAnsi="Verdana" w:cs="Verdana"/>
          <w:bCs/>
          <w:sz w:val="20"/>
          <w:lang w:val="es-ES"/>
        </w:rPr>
      </w:pPr>
      <w:r w:rsidRPr="00BE429B">
        <w:rPr>
          <w:rFonts w:ascii="Verdana" w:eastAsia="Verdana" w:hAnsi="Verdana" w:cs="Verdana"/>
          <w:bCs/>
          <w:sz w:val="20"/>
        </w:rPr>
        <w:t>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w:t>
      </w:r>
    </w:p>
    <w:p w14:paraId="44A987C8" w14:textId="77777777" w:rsidR="00ED0AD9" w:rsidRPr="000C7D33" w:rsidRDefault="00ED0AD9" w:rsidP="00D01973">
      <w:pPr>
        <w:spacing w:after="0" w:line="240" w:lineRule="auto"/>
        <w:jc w:val="both"/>
        <w:rPr>
          <w:rFonts w:ascii="Verdana" w:eastAsia="Verdana" w:hAnsi="Verdana" w:cs="Verdana"/>
          <w:b/>
          <w:bCs/>
          <w:lang w:val="es-ES"/>
        </w:rPr>
      </w:pPr>
    </w:p>
    <w:p w14:paraId="3C576126" w14:textId="77777777" w:rsidR="002A58CD" w:rsidRPr="000C7D33" w:rsidRDefault="002A58CD" w:rsidP="00D01973">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CONVENIO INTERADMINISTRATIVO – Naturaleza – Inaplicabilidad – Ley 80 de 1993</w:t>
      </w:r>
    </w:p>
    <w:p w14:paraId="6C429724" w14:textId="77777777" w:rsidR="002A58CD" w:rsidRPr="000C7D33" w:rsidRDefault="002A58CD" w:rsidP="00D01973">
      <w:pPr>
        <w:spacing w:after="0" w:line="240" w:lineRule="auto"/>
        <w:jc w:val="both"/>
        <w:rPr>
          <w:rFonts w:ascii="Verdana" w:eastAsia="Verdana" w:hAnsi="Verdana" w:cs="Verdana"/>
          <w:b/>
          <w:bCs/>
          <w:lang w:val="es-ES"/>
        </w:rPr>
      </w:pPr>
    </w:p>
    <w:p w14:paraId="0E39343C" w14:textId="77777777" w:rsidR="00BE429B" w:rsidRPr="00BE429B" w:rsidRDefault="00BE429B" w:rsidP="00D01973">
      <w:pPr>
        <w:spacing w:after="0" w:line="240" w:lineRule="auto"/>
        <w:jc w:val="both"/>
        <w:rPr>
          <w:rFonts w:ascii="Verdana" w:eastAsia="Verdana" w:hAnsi="Verdana" w:cs="Verdana"/>
          <w:bCs/>
          <w:sz w:val="20"/>
        </w:rPr>
      </w:pPr>
      <w:r w:rsidRPr="00BE429B">
        <w:rPr>
          <w:rFonts w:ascii="Verdana" w:eastAsia="Verdana" w:hAnsi="Verdana" w:cs="Verdana"/>
          <w:bCs/>
          <w:sz w:val="20"/>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p>
    <w:p w14:paraId="45D844A4" w14:textId="77777777" w:rsidR="002A58CD" w:rsidRPr="00BE429B" w:rsidRDefault="002A58CD" w:rsidP="00D01973">
      <w:pPr>
        <w:spacing w:after="0" w:line="240" w:lineRule="auto"/>
        <w:jc w:val="both"/>
        <w:rPr>
          <w:rFonts w:ascii="Verdana" w:eastAsia="Verdana" w:hAnsi="Verdana" w:cs="Verdana"/>
          <w:b/>
          <w:bCs/>
        </w:rPr>
      </w:pPr>
    </w:p>
    <w:p w14:paraId="130F73A8" w14:textId="6D61EEF9" w:rsidR="002A58CD" w:rsidRPr="000C7D33" w:rsidRDefault="002A58CD" w:rsidP="00D01973">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SERVICIOS PÚBLICOS DOMICILIARIOS – Subsidios – Estado Social de Derecho </w:t>
      </w:r>
    </w:p>
    <w:p w14:paraId="278EA597" w14:textId="77777777" w:rsidR="002A58CD" w:rsidRPr="00BE429B" w:rsidRDefault="002A58CD" w:rsidP="00D01973">
      <w:pPr>
        <w:spacing w:after="0" w:line="240" w:lineRule="auto"/>
        <w:jc w:val="both"/>
        <w:rPr>
          <w:rFonts w:ascii="Verdana" w:eastAsia="Verdana" w:hAnsi="Verdana" w:cs="Verdana"/>
          <w:bCs/>
          <w:sz w:val="20"/>
          <w:lang w:val="es-ES"/>
        </w:rPr>
      </w:pPr>
    </w:p>
    <w:p w14:paraId="34313283" w14:textId="77777777" w:rsidR="00BE429B" w:rsidRPr="00BE429B" w:rsidRDefault="00BE429B" w:rsidP="00D01973">
      <w:pPr>
        <w:spacing w:after="0" w:line="240" w:lineRule="auto"/>
        <w:jc w:val="both"/>
        <w:rPr>
          <w:rFonts w:ascii="Verdana" w:eastAsia="Verdana" w:hAnsi="Verdana" w:cs="Verdana"/>
          <w:bCs/>
          <w:iCs/>
          <w:sz w:val="20"/>
        </w:rPr>
      </w:pPr>
      <w:r w:rsidRPr="00BE429B">
        <w:rPr>
          <w:rFonts w:ascii="Verdana" w:eastAsia="Verdana" w:hAnsi="Verdana" w:cs="Verdana"/>
          <w:bCs/>
          <w:iCs/>
          <w:sz w:val="20"/>
        </w:rPr>
        <w:t xml:space="preserve">Como manifestación del deber de otorgar subsidios en el marco del Estado Social de Derecho, se encuentra el artículo 368 constitucional prescribe: “[…] La Nación, los departamentos, los distritos, los municipios y las entidades descentralizadas podrán conceder subsidios, en sus respectivos presupuestos, para que las personas de menores ingresos puedan pagar las tarifas de los servicios públicos domiciliarios que cubran sus necesidades básicas”. En tal sentido, dicho tratamiento constitucional se desarrolló en la Leyes 142 y 143 de 1994. </w:t>
      </w:r>
    </w:p>
    <w:p w14:paraId="0E735A68" w14:textId="77777777" w:rsidR="00BE429B" w:rsidRDefault="00BE429B" w:rsidP="00D01973">
      <w:pPr>
        <w:spacing w:after="0" w:line="240" w:lineRule="auto"/>
        <w:jc w:val="both"/>
        <w:rPr>
          <w:rFonts w:ascii="Verdana" w:eastAsia="Verdana" w:hAnsi="Verdana" w:cs="Verdana"/>
          <w:bCs/>
          <w:iCs/>
          <w:sz w:val="20"/>
        </w:rPr>
      </w:pPr>
    </w:p>
    <w:p w14:paraId="5E6BABCC" w14:textId="3932B302" w:rsidR="00BE429B" w:rsidRPr="00BE429B" w:rsidRDefault="00BE429B" w:rsidP="00D01973">
      <w:pPr>
        <w:spacing w:after="0" w:line="240" w:lineRule="auto"/>
        <w:jc w:val="both"/>
        <w:rPr>
          <w:rFonts w:ascii="Verdana" w:eastAsia="Verdana" w:hAnsi="Verdana" w:cs="Verdana"/>
          <w:bCs/>
          <w:iCs/>
          <w:sz w:val="20"/>
          <w:lang w:val="es-ES"/>
        </w:rPr>
      </w:pPr>
      <w:r w:rsidRPr="00BE429B">
        <w:rPr>
          <w:rFonts w:ascii="Verdana" w:eastAsia="Verdana" w:hAnsi="Verdana" w:cs="Verdana"/>
          <w:bCs/>
          <w:iCs/>
          <w:sz w:val="20"/>
        </w:rPr>
        <w:t xml:space="preserve">Para ello, se hace una referencia especial a la Ley 142 de 1994, “por la cual se establece el régimen de los servicios públicos domiciliarios y se dictan otras disposiciones”. Dicha Ley en su artículo 3° establece que la intervención estatal en los servicios públicos se ejerce a través de diversas funciones asignadas a las entidades competentes, entre ellas: el apoyo a los prestadores, la gestión de recursos, la regulación de eficiencia, cobertura, </w:t>
      </w:r>
      <w:r w:rsidRPr="00BE429B">
        <w:rPr>
          <w:rFonts w:ascii="Verdana" w:eastAsia="Verdana" w:hAnsi="Verdana" w:cs="Verdana"/>
          <w:bCs/>
          <w:iCs/>
          <w:sz w:val="20"/>
        </w:rPr>
        <w:lastRenderedPageBreak/>
        <w:t>calidad y tarifas, el control y vigilancia del cumplimiento normativo, la organización de sistemas de información y asistencia técnica, la protección de recursos naturales, el otorgamiento de subsidios a personas de bajos ingresos, el estímulo a la inversión privada y el respeto al principio de neutralidad para evitar prácticas discriminatorias. Todas las decisiones deben fundarse en motivos comprobables previstos por la ley, y los prestadores quedan sujetos a la regulación de las Comisiones, al control de la Superintendencia de Servicios Públicos y a las contribuciones correspondientes.</w:t>
      </w:r>
    </w:p>
    <w:p w14:paraId="40910069" w14:textId="77777777" w:rsidR="002A58CD" w:rsidRPr="00BE429B" w:rsidRDefault="002A58CD" w:rsidP="00D01973">
      <w:pPr>
        <w:spacing w:after="0" w:line="240" w:lineRule="auto"/>
        <w:jc w:val="both"/>
        <w:rPr>
          <w:rFonts w:ascii="Verdana" w:eastAsia="Verdana" w:hAnsi="Verdana" w:cs="Verdana"/>
          <w:bCs/>
          <w:sz w:val="20"/>
          <w:lang w:val="es-ES"/>
        </w:rPr>
      </w:pPr>
    </w:p>
    <w:p w14:paraId="1F684C64" w14:textId="7AE50F83" w:rsidR="002A58CD" w:rsidRPr="000C7D33" w:rsidRDefault="002A58CD" w:rsidP="00D01973">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SUBSIDIOS – Ley 142 de 2994 – Contratos y Convenios – Financiación de Subsidios </w:t>
      </w:r>
    </w:p>
    <w:p w14:paraId="28190150" w14:textId="77777777" w:rsidR="002A58CD" w:rsidRPr="000C7D33" w:rsidRDefault="002A58CD" w:rsidP="00D01973">
      <w:pPr>
        <w:spacing w:after="0" w:line="240" w:lineRule="auto"/>
        <w:jc w:val="both"/>
        <w:rPr>
          <w:rFonts w:ascii="Verdana" w:eastAsia="Verdana" w:hAnsi="Verdana" w:cs="Verdana"/>
          <w:b/>
          <w:bCs/>
          <w:lang w:val="es-ES"/>
        </w:rPr>
      </w:pPr>
    </w:p>
    <w:p w14:paraId="0FA9118F" w14:textId="77777777" w:rsidR="00BE429B" w:rsidRPr="00BE429B" w:rsidRDefault="00BE429B" w:rsidP="00D01973">
      <w:pPr>
        <w:spacing w:after="0" w:line="240" w:lineRule="auto"/>
        <w:jc w:val="both"/>
        <w:rPr>
          <w:rFonts w:ascii="Verdana" w:eastAsia="Verdana" w:hAnsi="Verdana" w:cs="Verdana"/>
          <w:bCs/>
          <w:sz w:val="20"/>
        </w:rPr>
      </w:pPr>
      <w:r w:rsidRPr="00BE429B">
        <w:rPr>
          <w:rFonts w:ascii="Verdana" w:eastAsia="Verdana" w:hAnsi="Verdana" w:cs="Verdana"/>
          <w:bCs/>
          <w:sz w:val="20"/>
        </w:rPr>
        <w:t>En la práctica administrativa, las entidades territoriales realizan giros o transferencias de recursos provenientes del Fondo de Solidaridad y Redistribución de Ingresos, así como de otros mecanismos de subsidio, a favor de los prestadores de servicios públicos domiciliarios. Estos prestadores pueden ser una empresa de servicios públicos domiciliarios de naturaleza pública, mixta o privada -con o sin participación estatal-. Para la ejecución de dichas transferencias, se emplean instrumentos jurídicos como los convenios de transferencia de recursos.</w:t>
      </w:r>
    </w:p>
    <w:p w14:paraId="00CC4444" w14:textId="6AEFE174" w:rsidR="00BE429B" w:rsidRPr="00BE429B" w:rsidRDefault="00BE429B" w:rsidP="00D01973">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 </w:t>
      </w:r>
    </w:p>
    <w:p w14:paraId="376389B8" w14:textId="3F861176" w:rsidR="00BE429B" w:rsidRPr="00BE429B" w:rsidRDefault="00BE429B" w:rsidP="00D01973">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En este escenario, la naturaleza de los convenios de transferencia de recursos depende de la naturaleza jurídica de las partes que los suscriben. Cuando una entidad territorial celebra estos acuerdos con empresas de servicios públicos de carácter público, mixto o privado con participación estatal, se configura un contrato o convenio interadministrativo. Ello se sustenta en que dichas empresas son catalogadas como entidades descentralizadas por servicios, conforme a lo establecido en el numeral 2 del artículo 38 de la Ley 489 de 1998 y a lo reiterado por la Corte Constitucional en la Sentencia C-736 de 2008, lo que les otorga un carácter especial dentro de la estructura administrativa del Estado. </w:t>
      </w:r>
    </w:p>
    <w:p w14:paraId="1558BB8E" w14:textId="77777777" w:rsidR="00BE429B" w:rsidRPr="00BE429B" w:rsidRDefault="00BE429B" w:rsidP="00D01973">
      <w:pPr>
        <w:spacing w:after="0" w:line="240" w:lineRule="auto"/>
        <w:jc w:val="both"/>
        <w:rPr>
          <w:rFonts w:ascii="Verdana" w:eastAsia="Verdana" w:hAnsi="Verdana" w:cs="Verdana"/>
          <w:bCs/>
          <w:sz w:val="20"/>
        </w:rPr>
      </w:pPr>
    </w:p>
    <w:p w14:paraId="00A72759" w14:textId="77777777" w:rsidR="00BE429B" w:rsidRPr="00BE429B" w:rsidRDefault="00BE429B" w:rsidP="00D01973">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En torno a este tema, la Superintendencia de Servicios Públicos Domiciliarios ha expresado que dichos negocios jurídicos no son una modalidad tipificada en el Derecho Público y en el Derecho Privado, por lo que corresponde a la autonomía de las partes. Al respecto, señaló: “[…] estos contratos son una modalidad especial que no se encuentra tipificada en el derecho público ni en el derecho privado, </w:t>
      </w:r>
      <w:proofErr w:type="gramStart"/>
      <w:r w:rsidRPr="00BE429B">
        <w:rPr>
          <w:rFonts w:ascii="Verdana" w:eastAsia="Verdana" w:hAnsi="Verdana" w:cs="Verdana"/>
          <w:bCs/>
          <w:sz w:val="20"/>
        </w:rPr>
        <w:t>y</w:t>
      </w:r>
      <w:proofErr w:type="gramEnd"/>
      <w:r w:rsidRPr="00BE429B">
        <w:rPr>
          <w:rFonts w:ascii="Verdana" w:eastAsia="Verdana" w:hAnsi="Verdana" w:cs="Verdana"/>
          <w:bCs/>
          <w:sz w:val="20"/>
        </w:rPr>
        <w:t xml:space="preserve"> por ende, sus condiciones se encuentran sujetas a la autonomía de la voluntad de las partes que lo suscriben, lo cual debe plasmarse en el texto contractual”. </w:t>
      </w:r>
    </w:p>
    <w:p w14:paraId="2495BF1B" w14:textId="77777777" w:rsidR="002A58CD" w:rsidRPr="00BE429B" w:rsidRDefault="002A58CD" w:rsidP="00D01973">
      <w:pPr>
        <w:spacing w:after="0" w:line="240" w:lineRule="auto"/>
        <w:jc w:val="both"/>
        <w:rPr>
          <w:rFonts w:ascii="Verdana" w:eastAsia="Verdana" w:hAnsi="Verdana" w:cs="Verdana"/>
          <w:b/>
          <w:bCs/>
        </w:rPr>
      </w:pPr>
    </w:p>
    <w:p w14:paraId="0996D354" w14:textId="77777777" w:rsidR="002A58CD" w:rsidRPr="000C7D33" w:rsidRDefault="002A58CD" w:rsidP="00D01973">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LEY DE GARANTÍAS ELECTORALES – Restricciones – Artículo 38 – Artículo 33 </w:t>
      </w:r>
    </w:p>
    <w:p w14:paraId="0323A426" w14:textId="77777777" w:rsidR="002A58CD" w:rsidRPr="000C7D33" w:rsidRDefault="002A58CD" w:rsidP="00D01973">
      <w:pPr>
        <w:spacing w:after="0" w:line="240" w:lineRule="auto"/>
        <w:jc w:val="both"/>
        <w:rPr>
          <w:rFonts w:ascii="Verdana" w:eastAsia="Verdana" w:hAnsi="Verdana" w:cs="Verdana"/>
          <w:b/>
          <w:bCs/>
          <w:lang w:val="es-ES"/>
        </w:rPr>
      </w:pPr>
    </w:p>
    <w:p w14:paraId="13725DD5" w14:textId="3A430875" w:rsidR="00BE429B" w:rsidRDefault="00BE429B" w:rsidP="00D01973">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Por un lado, el </w:t>
      </w:r>
      <w:r w:rsidRPr="00BE429B">
        <w:rPr>
          <w:rFonts w:ascii="Verdana" w:eastAsia="Verdana" w:hAnsi="Verdana" w:cs="Verdana"/>
          <w:bCs/>
          <w:i/>
          <w:iCs/>
          <w:sz w:val="20"/>
        </w:rPr>
        <w:t>artículo 33 de la Ley 996 de 2005</w:t>
      </w:r>
      <w:r w:rsidRPr="00BE429B">
        <w:rPr>
          <w:rFonts w:ascii="Verdana" w:eastAsia="Verdana" w:hAnsi="Verdana" w:cs="Verdana"/>
          <w:bCs/>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w:t>
      </w:r>
      <w:r w:rsidRPr="00BE429B">
        <w:rPr>
          <w:rFonts w:ascii="Verdana" w:eastAsia="Verdana" w:hAnsi="Verdana" w:cs="Verdana"/>
          <w:bCs/>
          <w:sz w:val="20"/>
        </w:rPr>
        <w:lastRenderedPageBreak/>
        <w:t>puentes, carreteras, infraestructura energética y de comunicaciones, en caso de que hayan sido objeto de atentados, acciones terroristas, desastres naturales o casos de fuerza mayor, y los que deban realizar las entidades sanitarias y hospitalarias”.</w:t>
      </w:r>
    </w:p>
    <w:p w14:paraId="38A83B35" w14:textId="77777777" w:rsidR="00BE429B" w:rsidRPr="00BE429B" w:rsidRDefault="00BE429B" w:rsidP="00D01973">
      <w:pPr>
        <w:spacing w:after="0" w:line="240" w:lineRule="auto"/>
        <w:jc w:val="both"/>
        <w:rPr>
          <w:rFonts w:ascii="Verdana" w:eastAsia="Verdana" w:hAnsi="Verdana" w:cs="Verdana"/>
          <w:bCs/>
          <w:sz w:val="20"/>
        </w:rPr>
      </w:pPr>
    </w:p>
    <w:p w14:paraId="06159059" w14:textId="73D3271B" w:rsidR="002A58CD" w:rsidRPr="00BE429B" w:rsidRDefault="00BE429B" w:rsidP="00D01973">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Por otro lado, </w:t>
      </w:r>
      <w:r w:rsidRPr="00BE429B">
        <w:rPr>
          <w:rFonts w:ascii="Verdana" w:eastAsia="Verdana" w:hAnsi="Verdana" w:cs="Verdana"/>
          <w:bCs/>
          <w:i/>
          <w:iCs/>
          <w:sz w:val="20"/>
        </w:rPr>
        <w:t>el parágrafo del artículo 38 de la Ley 996 de 2005</w:t>
      </w:r>
      <w:r w:rsidRPr="00BE429B">
        <w:rPr>
          <w:rFonts w:ascii="Verdana" w:eastAsia="Verdana" w:hAnsi="Verdana" w:cs="Verdana"/>
          <w:bCs/>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BE429B">
        <w:rPr>
          <w:rFonts w:ascii="Verdana" w:eastAsia="Verdana" w:hAnsi="Verdana" w:cs="Verdana"/>
          <w:bCs/>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E429B">
        <w:rPr>
          <w:rFonts w:ascii="Verdana" w:eastAsia="Verdana" w:hAnsi="Verdana" w:cs="Verdana"/>
          <w:bCs/>
          <w:sz w:val="20"/>
        </w:rPr>
        <w:t>”.</w:t>
      </w:r>
    </w:p>
    <w:p w14:paraId="069032BE" w14:textId="77777777" w:rsidR="00BE429B" w:rsidRPr="000C7D33" w:rsidRDefault="00BE429B" w:rsidP="00D01973">
      <w:pPr>
        <w:spacing w:after="0" w:line="240" w:lineRule="auto"/>
        <w:jc w:val="both"/>
        <w:rPr>
          <w:rFonts w:ascii="Verdana" w:eastAsia="Verdana" w:hAnsi="Verdana" w:cs="Verdana"/>
          <w:b/>
          <w:bCs/>
          <w:lang w:val="es-ES"/>
        </w:rPr>
      </w:pPr>
    </w:p>
    <w:p w14:paraId="4318FE03" w14:textId="487D32E0" w:rsidR="002A58CD" w:rsidRPr="000C7D33" w:rsidRDefault="002A58CD" w:rsidP="00D01973">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LEY DE GARANTÍAS ELECTORALES – Restricciones –Superintendencia de Servicios Públicos Domiciliarios </w:t>
      </w:r>
    </w:p>
    <w:p w14:paraId="1B8AAFE0" w14:textId="77777777" w:rsidR="002A58CD" w:rsidRPr="000C7D33" w:rsidRDefault="002A58CD" w:rsidP="00D01973">
      <w:pPr>
        <w:spacing w:after="0" w:line="240" w:lineRule="auto"/>
        <w:jc w:val="both"/>
        <w:rPr>
          <w:rFonts w:ascii="Verdana" w:eastAsia="Verdana" w:hAnsi="Verdana" w:cs="Verdana"/>
          <w:b/>
          <w:bCs/>
          <w:lang w:val="es-ES"/>
        </w:rPr>
      </w:pPr>
    </w:p>
    <w:p w14:paraId="180FB1CB" w14:textId="22E6E793" w:rsidR="002A58CD" w:rsidRDefault="00D01973" w:rsidP="00D01973">
      <w:pPr>
        <w:spacing w:after="0" w:line="240" w:lineRule="auto"/>
        <w:jc w:val="both"/>
        <w:rPr>
          <w:rFonts w:ascii="Verdana" w:eastAsia="Verdana" w:hAnsi="Verdana" w:cs="Verdana"/>
          <w:bCs/>
          <w:iCs/>
          <w:sz w:val="20"/>
        </w:rPr>
      </w:pPr>
      <w:r w:rsidRPr="00D01973">
        <w:rPr>
          <w:rFonts w:ascii="Verdana" w:eastAsia="Verdana" w:hAnsi="Verdana" w:cs="Verdana"/>
          <w:bCs/>
          <w:sz w:val="20"/>
        </w:rPr>
        <w:t>Teniendo en cuenta lo expuesto, la Superintendencia de Servicios Públicos ha expresado que l</w:t>
      </w:r>
      <w:r w:rsidRPr="00D01973">
        <w:rPr>
          <w:rFonts w:ascii="Verdana" w:eastAsia="Verdana" w:hAnsi="Verdana" w:cs="Verdana"/>
          <w:bCs/>
          <w:iCs/>
          <w:sz w:val="20"/>
        </w:rPr>
        <w:t>a celebración de contratos o convenios para la transferencia de recursos destinados a subsidios entre los entes territoriales y los prestadores de servicios públicos constituye una obligación legal esencial, exceptuando de la aplicación de la Ley de Garantías. Este organismo considera que estos convenios o contratos no son opcionales, pues permiten asegurar la continuidad y eficacia en la prestación de los servicios públicos. Por ello, deben interpretarse conforme a los principios y fines superiores del régimen de servicios públicos, los cuales prevalecen sobre las restricciones de la Ley 996 de 2005.</w:t>
      </w:r>
    </w:p>
    <w:p w14:paraId="0F4EC43A" w14:textId="77777777" w:rsidR="00D01973" w:rsidRPr="00D01973" w:rsidRDefault="00D01973" w:rsidP="00D01973">
      <w:pPr>
        <w:spacing w:after="0" w:line="240" w:lineRule="auto"/>
        <w:jc w:val="both"/>
        <w:rPr>
          <w:rFonts w:ascii="Verdana" w:eastAsia="Verdana" w:hAnsi="Verdana" w:cs="Verdana"/>
          <w:bCs/>
          <w:sz w:val="20"/>
          <w:lang w:val="es-ES"/>
        </w:rPr>
      </w:pPr>
    </w:p>
    <w:p w14:paraId="612FF072" w14:textId="1022F126" w:rsidR="00BE429B" w:rsidRDefault="002A58CD" w:rsidP="00D01973">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LEY DE GARANTÍAS ELECTORALES – </w:t>
      </w:r>
      <w:r w:rsidR="00BE429B">
        <w:rPr>
          <w:rFonts w:ascii="Verdana" w:eastAsia="Verdana" w:hAnsi="Verdana" w:cs="Verdana"/>
          <w:b/>
          <w:bCs/>
          <w:lang w:val="es-ES"/>
        </w:rPr>
        <w:t>Posturas del Consejo de Estado</w:t>
      </w:r>
    </w:p>
    <w:p w14:paraId="43B757E6" w14:textId="77777777" w:rsidR="00BE429B" w:rsidRDefault="00BE429B" w:rsidP="00D01973">
      <w:pPr>
        <w:spacing w:after="0" w:line="240" w:lineRule="auto"/>
        <w:jc w:val="both"/>
        <w:rPr>
          <w:rFonts w:ascii="Verdana" w:eastAsia="Verdana" w:hAnsi="Verdana" w:cs="Verdana"/>
          <w:b/>
          <w:bCs/>
          <w:lang w:val="es-ES"/>
        </w:rPr>
      </w:pPr>
    </w:p>
    <w:p w14:paraId="3C4BB36D" w14:textId="06603D72" w:rsidR="00BE429B" w:rsidRPr="00D01973" w:rsidRDefault="00D01973" w:rsidP="00D01973">
      <w:pPr>
        <w:spacing w:after="0" w:line="240" w:lineRule="auto"/>
        <w:jc w:val="both"/>
        <w:rPr>
          <w:rFonts w:ascii="Verdana" w:eastAsia="Verdana" w:hAnsi="Verdana" w:cs="Verdana"/>
          <w:bCs/>
          <w:sz w:val="20"/>
          <w:lang w:val="es-ES"/>
        </w:rPr>
      </w:pPr>
      <w:r w:rsidRPr="00D01973">
        <w:rPr>
          <w:rFonts w:ascii="Verdana" w:eastAsia="Verdana" w:hAnsi="Verdana" w:cs="Verdana"/>
          <w:bCs/>
          <w:sz w:val="20"/>
        </w:rPr>
        <w:t xml:space="preserve">Bajo ese escenario, </w:t>
      </w:r>
      <w:r w:rsidRPr="00D01973">
        <w:rPr>
          <w:rFonts w:ascii="Verdana" w:eastAsia="Verdana" w:hAnsi="Verdana" w:cs="Verdana"/>
          <w:bCs/>
          <w:sz w:val="20"/>
          <w:lang w:val="es-ES" w:bidi="es-ES"/>
        </w:rPr>
        <w:t>el alcance de esta obligación frente a las restricciones de la Ley de Garantías Electorales, resulta pertinente traer a colación el pronunciamiento de la Sala de Consulta y Servicio Civil del Consejo de Estado, el cual en un tema concerniente a las restricciones de la Ley de Garantías Electorales expresa que si bien la seguridad social no está expresamente definida como derecho fundamental, 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sidRPr="00D01973">
        <w:rPr>
          <w:rFonts w:ascii="Verdana" w:eastAsia="Verdana" w:hAnsi="Verdana" w:cs="Verdana"/>
          <w:bCs/>
          <w:sz w:val="20"/>
          <w:lang w:val="es-ES"/>
        </w:rPr>
        <w:t xml:space="preserve"> En este contexto, La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w:t>
      </w:r>
      <w:r w:rsidRPr="00D01973">
        <w:rPr>
          <w:rFonts w:ascii="Verdana" w:eastAsia="Verdana" w:hAnsi="Verdana" w:cs="Verdana"/>
          <w:bCs/>
          <w:sz w:val="20"/>
          <w:lang w:val="es-ES"/>
        </w:rPr>
        <w:lastRenderedPageBreak/>
        <w:t>social, particularmente en lo relacionado con la prestación de servicios públicos esenciales.</w:t>
      </w:r>
    </w:p>
    <w:p w14:paraId="7C0933ED" w14:textId="77777777" w:rsidR="00D01973" w:rsidRPr="00D01973" w:rsidRDefault="00D01973" w:rsidP="00D01973">
      <w:pPr>
        <w:spacing w:after="0" w:line="240" w:lineRule="auto"/>
        <w:jc w:val="both"/>
        <w:rPr>
          <w:rFonts w:ascii="Verdana" w:eastAsia="Verdana" w:hAnsi="Verdana" w:cs="Verdana"/>
          <w:b/>
          <w:bCs/>
          <w:lang w:val="es-ES"/>
        </w:rPr>
      </w:pPr>
    </w:p>
    <w:p w14:paraId="38B05BAA" w14:textId="4C0E3074" w:rsidR="002A58CD" w:rsidRPr="000C7D33" w:rsidRDefault="002A58CD" w:rsidP="00D01973">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LEY DE GARANTIAS – Restricciones-Celebración de Contratos y Convenios – Transferencia de recursos </w:t>
      </w:r>
    </w:p>
    <w:p w14:paraId="4FD4EE29" w14:textId="77777777" w:rsidR="002A58CD" w:rsidRPr="00D01973" w:rsidRDefault="002A58CD" w:rsidP="00D01973">
      <w:pPr>
        <w:spacing w:after="0" w:line="240" w:lineRule="auto"/>
        <w:jc w:val="both"/>
        <w:rPr>
          <w:rFonts w:ascii="Verdana" w:eastAsia="Verdana" w:hAnsi="Verdana" w:cs="Verdana"/>
          <w:bCs/>
          <w:sz w:val="20"/>
          <w:lang w:val="es-ES"/>
        </w:rPr>
      </w:pPr>
    </w:p>
    <w:p w14:paraId="7688BB0C" w14:textId="77777777" w:rsidR="00D01973" w:rsidRPr="00D01973" w:rsidRDefault="00D01973" w:rsidP="00D01973">
      <w:pPr>
        <w:spacing w:after="0" w:line="240" w:lineRule="auto"/>
        <w:jc w:val="both"/>
        <w:rPr>
          <w:rFonts w:ascii="Verdana" w:eastAsia="Verdana" w:hAnsi="Verdana" w:cs="Verdana"/>
          <w:bCs/>
          <w:sz w:val="20"/>
          <w:lang w:val="es-ES"/>
        </w:rPr>
      </w:pPr>
      <w:r w:rsidRPr="00D01973">
        <w:rPr>
          <w:rFonts w:ascii="Verdana" w:eastAsia="Verdana" w:hAnsi="Verdana" w:cs="Verdana"/>
          <w:bCs/>
          <w:sz w:val="20"/>
          <w:lang w:val="es-ES"/>
        </w:rPr>
        <w:t xml:space="preserve">A partir de lo expuesto en las consideraciones previas, la Agencia considera esta Agencia que, la posibilidad de suscribir contratos o convenios entre entidades territoriales y empresas de servicios públicos para la transferencia de recursos en el marco de subsidios a los servicios públicos domiciliarios, depende de que se enmarque dentro de las excepciones reguladas en el artículo 33 de la Ley 996 de 2005, sin perjuicio de lo expresado por la Sala de Consulta y Servicio Civil del Consejo que se expuso previamente. De otra parte, posturas como la de la Superintendencia de Servicios Públicos acogen la posibilidad de celebrar convenios y contratos por parte de las entidades territoriales con las empresas de servicios públicos domiciliarios en periodo preelectoral, basados en el deber de garantizar la prestación efectiva de los servicios públicos de las personas más vulnerables que tienen una estrecha relación con los derechos fundamentales.  </w:t>
      </w:r>
    </w:p>
    <w:p w14:paraId="768102DF" w14:textId="77777777" w:rsidR="002A58CD" w:rsidRPr="000C7D33" w:rsidRDefault="002A58CD" w:rsidP="00D01973">
      <w:pPr>
        <w:spacing w:after="0" w:line="240" w:lineRule="auto"/>
        <w:jc w:val="both"/>
        <w:rPr>
          <w:rFonts w:ascii="Verdana" w:eastAsia="Verdana" w:hAnsi="Verdana" w:cs="Verdana"/>
          <w:b/>
          <w:bCs/>
          <w:lang w:val="es-ES"/>
        </w:rPr>
      </w:pPr>
    </w:p>
    <w:p w14:paraId="5D8ABE74" w14:textId="77777777" w:rsidR="002A58CD" w:rsidRPr="000C7D33" w:rsidRDefault="002A58CD" w:rsidP="00D01973">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PRINCIPIO DE PUBLICIDAD – Sujetos Obligados</w:t>
      </w:r>
    </w:p>
    <w:p w14:paraId="69C967AA" w14:textId="77777777" w:rsidR="002A58CD" w:rsidRPr="00D01973" w:rsidRDefault="002A58CD" w:rsidP="00D01973">
      <w:pPr>
        <w:spacing w:after="0" w:line="240" w:lineRule="auto"/>
        <w:jc w:val="both"/>
        <w:rPr>
          <w:rFonts w:ascii="Verdana" w:eastAsia="Verdana" w:hAnsi="Verdana" w:cs="Verdana"/>
          <w:bCs/>
          <w:sz w:val="20"/>
          <w:lang w:val="es-ES"/>
        </w:rPr>
      </w:pPr>
    </w:p>
    <w:p w14:paraId="0D8671A9" w14:textId="526BAD1F" w:rsidR="002A58CD" w:rsidRPr="00D01973" w:rsidRDefault="00D01973" w:rsidP="00D01973">
      <w:pPr>
        <w:spacing w:after="0" w:line="240" w:lineRule="auto"/>
        <w:jc w:val="both"/>
        <w:rPr>
          <w:rFonts w:ascii="Verdana" w:eastAsia="Verdana" w:hAnsi="Verdana" w:cs="Verdana"/>
          <w:bCs/>
          <w:sz w:val="20"/>
          <w:lang w:val="es-ES_tradnl"/>
        </w:rPr>
      </w:pPr>
      <w:r w:rsidRPr="00D01973">
        <w:rPr>
          <w:rFonts w:ascii="Verdana" w:eastAsia="Verdana" w:hAnsi="Verdana" w:cs="Verdana"/>
          <w:bCs/>
          <w:sz w:val="20"/>
          <w:lang w:val="es-ES_tradnl"/>
        </w:rPr>
        <w:t>A partir de la lista de quienes son los sujetos obligados a publicar la información, puede inferirse que las entidades territoriales tienen la obligación de publicar la información relativa a su contratación, así como las entidades descentralizadas por servicios. Esta obligación del deber de publicar fue desarrollada por el Decreto Único Reglamentario 1081 de 2015, el cual dispuso que la publicación de la información contractual de los sujetos obligados, que contratan con cargo a recursos públicos, debe hacerse en el SECOP. Asimismo, de acuerdo con el literal g) del artículo 11 de la Ley 1712 de 2014, todos los 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w:t>
      </w:r>
    </w:p>
    <w:p w14:paraId="07DD6D9C" w14:textId="77777777" w:rsidR="00D01973" w:rsidRPr="000C7D33" w:rsidRDefault="00D01973" w:rsidP="00D01973">
      <w:pPr>
        <w:spacing w:after="0" w:line="240" w:lineRule="auto"/>
        <w:jc w:val="both"/>
        <w:rPr>
          <w:rFonts w:ascii="Verdana" w:eastAsia="Verdana" w:hAnsi="Verdana" w:cs="Verdana"/>
          <w:b/>
          <w:bCs/>
          <w:lang w:val="es-ES"/>
        </w:rPr>
      </w:pPr>
    </w:p>
    <w:p w14:paraId="6E0C3338" w14:textId="1A320F6C" w:rsidR="002A58CD" w:rsidRPr="000C7D33" w:rsidRDefault="002A58CD" w:rsidP="00D01973">
      <w:pPr>
        <w:spacing w:after="0" w:line="240" w:lineRule="auto"/>
        <w:jc w:val="both"/>
        <w:rPr>
          <w:rFonts w:ascii="Verdana" w:eastAsia="Verdana" w:hAnsi="Verdana" w:cs="Verdana"/>
          <w:b/>
          <w:lang w:val="es-ES"/>
        </w:rPr>
      </w:pPr>
      <w:r w:rsidRPr="000C7D33">
        <w:rPr>
          <w:rFonts w:ascii="Verdana" w:eastAsia="Verdana" w:hAnsi="Verdana" w:cs="Verdana"/>
          <w:b/>
          <w:bCs/>
          <w:lang w:val="es-ES"/>
        </w:rPr>
        <w:t xml:space="preserve"> PRINCIPIO DE PUBLICIDAD – Documentos del Proceso. </w:t>
      </w:r>
    </w:p>
    <w:p w14:paraId="7A92A1BA" w14:textId="77777777" w:rsidR="002A58CD" w:rsidRPr="000C7D33" w:rsidRDefault="002A58CD" w:rsidP="00D01973">
      <w:pPr>
        <w:spacing w:after="0" w:line="240" w:lineRule="auto"/>
        <w:jc w:val="both"/>
        <w:rPr>
          <w:rFonts w:ascii="Verdana" w:eastAsia="Verdana" w:hAnsi="Verdana" w:cs="Verdana"/>
          <w:b/>
          <w:lang w:val="es-ES"/>
        </w:rPr>
      </w:pPr>
    </w:p>
    <w:p w14:paraId="48A0182F" w14:textId="1FE01A13" w:rsidR="00D01973" w:rsidRDefault="00D01973" w:rsidP="00D01973">
      <w:pPr>
        <w:spacing w:after="0" w:line="240" w:lineRule="auto"/>
        <w:jc w:val="both"/>
        <w:rPr>
          <w:rFonts w:ascii="Verdana" w:eastAsia="Verdana" w:hAnsi="Verdana" w:cs="Verdana"/>
          <w:sz w:val="20"/>
        </w:rPr>
      </w:pPr>
      <w:r w:rsidRPr="00D01973">
        <w:rPr>
          <w:rFonts w:ascii="Verdana" w:eastAsia="Verdana" w:hAnsi="Verdana" w:cs="Verdana"/>
          <w:sz w:val="20"/>
        </w:rPr>
        <w:t xml:space="preserve">Conforme a lo anterior, es clara la obligatoriedad de publicar la información de la actividad contractual que se realiza con cargo a recursos públicos en el SECOP, incluidas aquellas con regímenes contractuales especiales. En tal sentido, 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w:t>
      </w:r>
      <w:r w:rsidRPr="00D01973">
        <w:rPr>
          <w:rFonts w:ascii="Verdana" w:eastAsia="Verdana" w:hAnsi="Verdana" w:cs="Verdana"/>
          <w:sz w:val="20"/>
        </w:rPr>
        <w:lastRenderedPageBreak/>
        <w:t xml:space="preserve">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w:t>
      </w:r>
      <w:proofErr w:type="spellStart"/>
      <w:r w:rsidRPr="00D01973">
        <w:rPr>
          <w:rFonts w:ascii="Verdana" w:eastAsia="Verdana" w:hAnsi="Verdana" w:cs="Verdana"/>
          <w:sz w:val="20"/>
        </w:rPr>
        <w:t>post-contractual</w:t>
      </w:r>
      <w:proofErr w:type="spellEnd"/>
      <w:r w:rsidRPr="00D01973">
        <w:rPr>
          <w:rFonts w:ascii="Verdana" w:eastAsia="Verdana" w:hAnsi="Verdana" w:cs="Verdana"/>
          <w:sz w:val="20"/>
        </w:rPr>
        <w:t>”.</w:t>
      </w:r>
    </w:p>
    <w:p w14:paraId="73551FCB" w14:textId="77777777" w:rsidR="00D01973" w:rsidRPr="00D01973" w:rsidRDefault="00D01973" w:rsidP="00D01973">
      <w:pPr>
        <w:spacing w:after="0" w:line="240" w:lineRule="auto"/>
        <w:jc w:val="both"/>
        <w:rPr>
          <w:rFonts w:ascii="Verdana" w:eastAsia="Verdana" w:hAnsi="Verdana" w:cs="Verdana"/>
          <w:sz w:val="20"/>
        </w:rPr>
      </w:pPr>
    </w:p>
    <w:p w14:paraId="40CC9C2A" w14:textId="77777777" w:rsidR="00D01973" w:rsidRPr="00D01973" w:rsidRDefault="00D01973" w:rsidP="00D01973">
      <w:pPr>
        <w:spacing w:after="0" w:line="240" w:lineRule="auto"/>
        <w:jc w:val="both"/>
        <w:rPr>
          <w:rFonts w:ascii="Verdana" w:eastAsia="Verdana" w:hAnsi="Verdana" w:cs="Verdana"/>
          <w:sz w:val="20"/>
        </w:rPr>
      </w:pPr>
      <w:r w:rsidRPr="00D01973">
        <w:rPr>
          <w:rFonts w:ascii="Verdana" w:eastAsia="Verdana" w:hAnsi="Verdana" w:cs="Verdana"/>
          <w:sz w:val="20"/>
        </w:rPr>
        <w:t xml:space="preserve">Así las cosas, existe un deber consagrado en la Ley 1712 de 2014, así como en demás leyes y reglamentos de publicar los contratos y convenios que suscriben las entidades territoriales con las empresas de servicios públicos domiciliarios para la transferencia de recursos en el marco de subsidios a las personas con menores ingresos. En este sentido, La obligación de publicidad abarca no solo el contrato en sí, sino también todos los documentos y actos que integran la actividad contractual, incluyendo las </w:t>
      </w:r>
      <w:proofErr w:type="gramStart"/>
      <w:r w:rsidRPr="00D01973">
        <w:rPr>
          <w:rFonts w:ascii="Verdana" w:eastAsia="Verdana" w:hAnsi="Verdana" w:cs="Verdana"/>
          <w:sz w:val="20"/>
        </w:rPr>
        <w:t>fases precontractual</w:t>
      </w:r>
      <w:proofErr w:type="gramEnd"/>
      <w:r w:rsidRPr="00D01973">
        <w:rPr>
          <w:rFonts w:ascii="Verdana" w:eastAsia="Verdana" w:hAnsi="Verdana" w:cs="Verdana"/>
          <w:sz w:val="20"/>
        </w:rPr>
        <w:t xml:space="preserve">, contractual y </w:t>
      </w:r>
      <w:proofErr w:type="spellStart"/>
      <w:r w:rsidRPr="00D01973">
        <w:rPr>
          <w:rFonts w:ascii="Verdana" w:eastAsia="Verdana" w:hAnsi="Verdana" w:cs="Verdana"/>
          <w:sz w:val="20"/>
        </w:rPr>
        <w:t>postcontractual</w:t>
      </w:r>
      <w:proofErr w:type="spellEnd"/>
      <w:r w:rsidRPr="00D01973">
        <w:rPr>
          <w:rFonts w:ascii="Verdana" w:eastAsia="Verdana" w:hAnsi="Verdana" w:cs="Verdana"/>
          <w:sz w:val="20"/>
        </w:rPr>
        <w:t xml:space="preserve">, de modo que el proceso completo sea transparente, verificable y accesible para el control ciudadano y administrativo. </w:t>
      </w:r>
    </w:p>
    <w:p w14:paraId="62628FA6" w14:textId="77777777" w:rsidR="002A58CD" w:rsidRDefault="002A58CD" w:rsidP="00A7153D">
      <w:pPr>
        <w:spacing w:after="0" w:line="240" w:lineRule="auto"/>
        <w:rPr>
          <w:rFonts w:ascii="Verdana" w:eastAsia="Verdana" w:hAnsi="Verdana" w:cs="Verdana"/>
        </w:rPr>
      </w:pPr>
    </w:p>
    <w:p w14:paraId="23CDF4F2" w14:textId="77777777" w:rsidR="002A58CD" w:rsidRDefault="002A58CD" w:rsidP="00A7153D">
      <w:pPr>
        <w:spacing w:after="0" w:line="240" w:lineRule="auto"/>
        <w:rPr>
          <w:rFonts w:ascii="Verdana" w:eastAsia="Verdana" w:hAnsi="Verdana" w:cs="Verdana"/>
        </w:rPr>
      </w:pPr>
    </w:p>
    <w:p w14:paraId="3C01A13D" w14:textId="7A49B79A" w:rsidR="002A58CD" w:rsidRDefault="002A58CD" w:rsidP="00A7153D">
      <w:pPr>
        <w:spacing w:after="0" w:line="240" w:lineRule="auto"/>
        <w:rPr>
          <w:rFonts w:ascii="Verdana" w:eastAsia="Verdana" w:hAnsi="Verdana" w:cs="Verdana"/>
        </w:rPr>
      </w:pPr>
    </w:p>
    <w:p w14:paraId="7915985C" w14:textId="039C299D" w:rsidR="00D01973" w:rsidRDefault="00D01973" w:rsidP="00A7153D">
      <w:pPr>
        <w:spacing w:after="0" w:line="240" w:lineRule="auto"/>
        <w:rPr>
          <w:rFonts w:ascii="Verdana" w:eastAsia="Verdana" w:hAnsi="Verdana" w:cs="Verdana"/>
        </w:rPr>
      </w:pPr>
    </w:p>
    <w:p w14:paraId="18F5146D" w14:textId="62353788" w:rsidR="00D01973" w:rsidRDefault="00D01973" w:rsidP="00A7153D">
      <w:pPr>
        <w:spacing w:after="0" w:line="240" w:lineRule="auto"/>
        <w:rPr>
          <w:rFonts w:ascii="Verdana" w:eastAsia="Verdana" w:hAnsi="Verdana" w:cs="Verdana"/>
        </w:rPr>
      </w:pPr>
    </w:p>
    <w:p w14:paraId="2EA043BC" w14:textId="1B57A7CF" w:rsidR="00D01973" w:rsidRDefault="00D01973" w:rsidP="00A7153D">
      <w:pPr>
        <w:spacing w:after="0" w:line="240" w:lineRule="auto"/>
        <w:rPr>
          <w:rFonts w:ascii="Verdana" w:eastAsia="Verdana" w:hAnsi="Verdana" w:cs="Verdana"/>
        </w:rPr>
      </w:pPr>
    </w:p>
    <w:p w14:paraId="0CCD7D87" w14:textId="7C2BC811" w:rsidR="00D01973" w:rsidRDefault="00D01973" w:rsidP="00A7153D">
      <w:pPr>
        <w:spacing w:after="0" w:line="240" w:lineRule="auto"/>
        <w:rPr>
          <w:rFonts w:ascii="Verdana" w:eastAsia="Verdana" w:hAnsi="Verdana" w:cs="Verdana"/>
        </w:rPr>
      </w:pPr>
    </w:p>
    <w:p w14:paraId="36A71C7A" w14:textId="1FC8EDE5" w:rsidR="00D01973" w:rsidRDefault="00D01973" w:rsidP="00A7153D">
      <w:pPr>
        <w:spacing w:after="0" w:line="240" w:lineRule="auto"/>
        <w:rPr>
          <w:rFonts w:ascii="Verdana" w:eastAsia="Verdana" w:hAnsi="Verdana" w:cs="Verdana"/>
        </w:rPr>
      </w:pPr>
    </w:p>
    <w:p w14:paraId="7A5B33EB" w14:textId="67376028" w:rsidR="00D01973" w:rsidRDefault="00D01973" w:rsidP="00A7153D">
      <w:pPr>
        <w:spacing w:after="0" w:line="240" w:lineRule="auto"/>
        <w:rPr>
          <w:rFonts w:ascii="Verdana" w:eastAsia="Verdana" w:hAnsi="Verdana" w:cs="Verdana"/>
        </w:rPr>
      </w:pPr>
    </w:p>
    <w:p w14:paraId="5270C076" w14:textId="773191F7" w:rsidR="00D01973" w:rsidRDefault="00D01973" w:rsidP="00A7153D">
      <w:pPr>
        <w:spacing w:after="0" w:line="240" w:lineRule="auto"/>
        <w:rPr>
          <w:rFonts w:ascii="Verdana" w:eastAsia="Verdana" w:hAnsi="Verdana" w:cs="Verdana"/>
        </w:rPr>
      </w:pPr>
    </w:p>
    <w:p w14:paraId="43B9B235" w14:textId="704FEDB4" w:rsidR="00D01973" w:rsidRDefault="00D01973" w:rsidP="00A7153D">
      <w:pPr>
        <w:spacing w:after="0" w:line="240" w:lineRule="auto"/>
        <w:rPr>
          <w:rFonts w:ascii="Verdana" w:eastAsia="Verdana" w:hAnsi="Verdana" w:cs="Verdana"/>
        </w:rPr>
      </w:pPr>
    </w:p>
    <w:p w14:paraId="455EF54C" w14:textId="60887EF1" w:rsidR="00D01973" w:rsidRDefault="00D01973" w:rsidP="00A7153D">
      <w:pPr>
        <w:spacing w:after="0" w:line="240" w:lineRule="auto"/>
        <w:rPr>
          <w:rFonts w:ascii="Verdana" w:eastAsia="Verdana" w:hAnsi="Verdana" w:cs="Verdana"/>
        </w:rPr>
      </w:pPr>
    </w:p>
    <w:p w14:paraId="6F7ABB24" w14:textId="499D4EEA" w:rsidR="00D01973" w:rsidRDefault="00D01973" w:rsidP="00A7153D">
      <w:pPr>
        <w:spacing w:after="0" w:line="240" w:lineRule="auto"/>
        <w:rPr>
          <w:rFonts w:ascii="Verdana" w:eastAsia="Verdana" w:hAnsi="Verdana" w:cs="Verdana"/>
        </w:rPr>
      </w:pPr>
    </w:p>
    <w:p w14:paraId="32E95288" w14:textId="6208E00F" w:rsidR="00D01973" w:rsidRDefault="00D01973" w:rsidP="00A7153D">
      <w:pPr>
        <w:spacing w:after="0" w:line="240" w:lineRule="auto"/>
        <w:rPr>
          <w:rFonts w:ascii="Verdana" w:eastAsia="Verdana" w:hAnsi="Verdana" w:cs="Verdana"/>
        </w:rPr>
      </w:pPr>
    </w:p>
    <w:p w14:paraId="09887D30" w14:textId="7DBF1679" w:rsidR="00D01973" w:rsidRDefault="00D01973" w:rsidP="00A7153D">
      <w:pPr>
        <w:spacing w:after="0" w:line="240" w:lineRule="auto"/>
        <w:rPr>
          <w:rFonts w:ascii="Verdana" w:eastAsia="Verdana" w:hAnsi="Verdana" w:cs="Verdana"/>
        </w:rPr>
      </w:pPr>
    </w:p>
    <w:p w14:paraId="26CE2974" w14:textId="20F1FA64" w:rsidR="00D01973" w:rsidRDefault="00D01973" w:rsidP="00A7153D">
      <w:pPr>
        <w:spacing w:after="0" w:line="240" w:lineRule="auto"/>
        <w:rPr>
          <w:rFonts w:ascii="Verdana" w:eastAsia="Verdana" w:hAnsi="Verdana" w:cs="Verdana"/>
        </w:rPr>
      </w:pPr>
    </w:p>
    <w:p w14:paraId="7E1F920F" w14:textId="3FDCDCEE" w:rsidR="00D01973" w:rsidRDefault="00D01973" w:rsidP="00A7153D">
      <w:pPr>
        <w:spacing w:after="0" w:line="240" w:lineRule="auto"/>
        <w:rPr>
          <w:rFonts w:ascii="Verdana" w:eastAsia="Verdana" w:hAnsi="Verdana" w:cs="Verdana"/>
        </w:rPr>
      </w:pPr>
    </w:p>
    <w:p w14:paraId="17147001" w14:textId="5C8C32D8" w:rsidR="00D01973" w:rsidRDefault="00D01973" w:rsidP="00A7153D">
      <w:pPr>
        <w:spacing w:after="0" w:line="240" w:lineRule="auto"/>
        <w:rPr>
          <w:rFonts w:ascii="Verdana" w:eastAsia="Verdana" w:hAnsi="Verdana" w:cs="Verdana"/>
        </w:rPr>
      </w:pPr>
    </w:p>
    <w:p w14:paraId="09877950" w14:textId="183AD210" w:rsidR="00D01973" w:rsidRDefault="00D01973" w:rsidP="00A7153D">
      <w:pPr>
        <w:spacing w:after="0" w:line="240" w:lineRule="auto"/>
        <w:rPr>
          <w:rFonts w:ascii="Verdana" w:eastAsia="Verdana" w:hAnsi="Verdana" w:cs="Verdana"/>
        </w:rPr>
      </w:pPr>
    </w:p>
    <w:p w14:paraId="23997473" w14:textId="638F143B" w:rsidR="00D01973" w:rsidRDefault="00D01973" w:rsidP="00A7153D">
      <w:pPr>
        <w:spacing w:after="0" w:line="240" w:lineRule="auto"/>
        <w:rPr>
          <w:rFonts w:ascii="Verdana" w:eastAsia="Verdana" w:hAnsi="Verdana" w:cs="Verdana"/>
        </w:rPr>
      </w:pPr>
    </w:p>
    <w:p w14:paraId="0307F7C0" w14:textId="5AF9B2C3" w:rsidR="00D01973" w:rsidRDefault="00D01973" w:rsidP="00A7153D">
      <w:pPr>
        <w:spacing w:after="0" w:line="240" w:lineRule="auto"/>
        <w:rPr>
          <w:rFonts w:ascii="Verdana" w:eastAsia="Verdana" w:hAnsi="Verdana" w:cs="Verdana"/>
        </w:rPr>
      </w:pPr>
    </w:p>
    <w:p w14:paraId="384BD050" w14:textId="6503F3F0" w:rsidR="00D01973" w:rsidRDefault="00D01973" w:rsidP="00A7153D">
      <w:pPr>
        <w:spacing w:after="0" w:line="240" w:lineRule="auto"/>
        <w:rPr>
          <w:rFonts w:ascii="Verdana" w:eastAsia="Verdana" w:hAnsi="Verdana" w:cs="Verdana"/>
        </w:rPr>
      </w:pPr>
    </w:p>
    <w:p w14:paraId="63B21B9F" w14:textId="3266BB4A" w:rsidR="00D01973" w:rsidRDefault="00D01973" w:rsidP="00A7153D">
      <w:pPr>
        <w:spacing w:after="0" w:line="240" w:lineRule="auto"/>
        <w:rPr>
          <w:rFonts w:ascii="Verdana" w:eastAsia="Verdana" w:hAnsi="Verdana" w:cs="Verdana"/>
        </w:rPr>
      </w:pPr>
    </w:p>
    <w:p w14:paraId="2A2BDF20" w14:textId="08835EC6" w:rsidR="00D01973" w:rsidRDefault="00D01973" w:rsidP="00A7153D">
      <w:pPr>
        <w:spacing w:after="0" w:line="240" w:lineRule="auto"/>
        <w:rPr>
          <w:rFonts w:ascii="Verdana" w:eastAsia="Verdana" w:hAnsi="Verdana" w:cs="Verdana"/>
        </w:rPr>
      </w:pPr>
    </w:p>
    <w:p w14:paraId="32D77BAA" w14:textId="4C6C0757" w:rsidR="00D01973" w:rsidRDefault="00D01973" w:rsidP="00A7153D">
      <w:pPr>
        <w:spacing w:after="0" w:line="240" w:lineRule="auto"/>
        <w:rPr>
          <w:rFonts w:ascii="Verdana" w:eastAsia="Verdana" w:hAnsi="Verdana" w:cs="Verdana"/>
        </w:rPr>
      </w:pPr>
    </w:p>
    <w:p w14:paraId="676267D9" w14:textId="50FB6390" w:rsidR="00D01973" w:rsidRDefault="00D01973" w:rsidP="00A7153D">
      <w:pPr>
        <w:spacing w:after="0" w:line="240" w:lineRule="auto"/>
        <w:rPr>
          <w:rFonts w:ascii="Verdana" w:eastAsia="Verdana" w:hAnsi="Verdana" w:cs="Verdana"/>
        </w:rPr>
      </w:pPr>
    </w:p>
    <w:p w14:paraId="57277BDB" w14:textId="705038FA" w:rsidR="00D01973" w:rsidRDefault="00D01973" w:rsidP="00A7153D">
      <w:pPr>
        <w:spacing w:after="0" w:line="240" w:lineRule="auto"/>
        <w:rPr>
          <w:rFonts w:ascii="Verdana" w:eastAsia="Verdana" w:hAnsi="Verdana" w:cs="Verdana"/>
        </w:rPr>
      </w:pPr>
    </w:p>
    <w:p w14:paraId="50A6C5F5" w14:textId="571B37C0" w:rsidR="00D01973" w:rsidRDefault="00D01973" w:rsidP="00A7153D">
      <w:pPr>
        <w:spacing w:after="0" w:line="240" w:lineRule="auto"/>
        <w:rPr>
          <w:rFonts w:ascii="Verdana" w:eastAsia="Verdana" w:hAnsi="Verdana" w:cs="Verdana"/>
        </w:rPr>
      </w:pPr>
    </w:p>
    <w:p w14:paraId="4A3695F1" w14:textId="43257B08" w:rsidR="00D01973" w:rsidRDefault="00D01973" w:rsidP="00A7153D">
      <w:pPr>
        <w:spacing w:after="0" w:line="240" w:lineRule="auto"/>
        <w:rPr>
          <w:rFonts w:ascii="Verdana" w:eastAsia="Verdana" w:hAnsi="Verdana" w:cs="Verdana"/>
        </w:rPr>
      </w:pPr>
    </w:p>
    <w:p w14:paraId="4DA41B7A" w14:textId="27C1B853" w:rsidR="00D01973" w:rsidRDefault="00D01973" w:rsidP="00A7153D">
      <w:pPr>
        <w:spacing w:after="0" w:line="240" w:lineRule="auto"/>
        <w:rPr>
          <w:rFonts w:ascii="Verdana" w:eastAsia="Verdana" w:hAnsi="Verdana" w:cs="Verdana"/>
        </w:rPr>
      </w:pPr>
    </w:p>
    <w:p w14:paraId="4B192D6A" w14:textId="61B1F53D" w:rsidR="00A7153D" w:rsidRDefault="00D01973" w:rsidP="00A7153D">
      <w:pPr>
        <w:spacing w:after="0" w:line="240" w:lineRule="auto"/>
        <w:rPr>
          <w:rFonts w:ascii="Verdana" w:hAnsi="Verdana"/>
        </w:rPr>
      </w:pPr>
      <w:r w:rsidRPr="00D01973">
        <w:rPr>
          <w:rFonts w:ascii="Verdana" w:hAnsi="Verdana"/>
          <w:noProof/>
          <w:lang w:val="en-US"/>
        </w:rPr>
        <w:lastRenderedPageBreak/>
        <w:drawing>
          <wp:anchor distT="0" distB="0" distL="114300" distR="114300" simplePos="0" relativeHeight="251658240" behindDoc="0" locked="0" layoutInCell="1" allowOverlap="1" wp14:anchorId="07465AE1" wp14:editId="0FEC26D8">
            <wp:simplePos x="0" y="0"/>
            <wp:positionH relativeFrom="margin">
              <wp:align>right</wp:align>
            </wp:positionH>
            <wp:positionV relativeFrom="paragraph">
              <wp:posOffset>127635</wp:posOffset>
            </wp:positionV>
            <wp:extent cx="2785110" cy="796925"/>
            <wp:effectExtent l="0" t="0" r="0" b="317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85110" cy="796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58CD">
        <w:rPr>
          <w:rFonts w:ascii="Verdana" w:eastAsia="Verdana" w:hAnsi="Verdana" w:cs="Verdana"/>
        </w:rPr>
        <w:t xml:space="preserve">Bogotá D.C., 4 de marzo de 2026 </w:t>
      </w:r>
      <w:r w:rsidR="00A7153D">
        <w:tab/>
      </w:r>
      <w:r w:rsidR="00A7153D">
        <w:br/>
      </w:r>
    </w:p>
    <w:p w14:paraId="1FF00996" w14:textId="77777777" w:rsidR="00A7153D" w:rsidRPr="001743CA" w:rsidRDefault="00A7153D" w:rsidP="00A7153D">
      <w:pPr>
        <w:spacing w:after="0" w:line="240" w:lineRule="auto"/>
        <w:rPr>
          <w:rFonts w:ascii="Verdana" w:hAnsi="Verdana"/>
        </w:rPr>
      </w:pPr>
    </w:p>
    <w:p w14:paraId="56AC7D4F" w14:textId="77777777" w:rsidR="00A7153D" w:rsidRPr="00A124D3" w:rsidRDefault="00A7153D" w:rsidP="00A7153D">
      <w:pPr>
        <w:spacing w:after="0" w:line="240" w:lineRule="auto"/>
        <w:rPr>
          <w:rFonts w:ascii="Verdana" w:eastAsia="Calibri" w:hAnsi="Verdana" w:cs="Times New Roman"/>
          <w:lang w:val="it-CH"/>
        </w:rPr>
      </w:pPr>
      <w:r w:rsidRPr="00A124D3">
        <w:rPr>
          <w:rFonts w:ascii="Verdana" w:eastAsia="Calibri" w:hAnsi="Verdana" w:cs="Times New Roman"/>
          <w:lang w:val="it-CH"/>
        </w:rPr>
        <w:t>Señora</w:t>
      </w:r>
    </w:p>
    <w:p w14:paraId="325013EB" w14:textId="77777777" w:rsidR="00A7153D" w:rsidRPr="00A124D3" w:rsidRDefault="00A7153D" w:rsidP="00A7153D">
      <w:pPr>
        <w:spacing w:after="0" w:line="240" w:lineRule="auto"/>
        <w:rPr>
          <w:rFonts w:ascii="Verdana" w:eastAsia="Calibri" w:hAnsi="Verdana" w:cs="Times New Roman"/>
          <w:b/>
          <w:highlight w:val="yellow"/>
          <w:lang w:val="it-CH"/>
        </w:rPr>
      </w:pPr>
      <w:r w:rsidRPr="00A124D3">
        <w:rPr>
          <w:rFonts w:ascii="Verdana" w:eastAsia="Calibri" w:hAnsi="Verdana" w:cs="Times New Roman"/>
          <w:b/>
          <w:lang w:val="it-CH"/>
        </w:rPr>
        <w:t>Nicolle Daniela Rueda Fernández</w:t>
      </w:r>
    </w:p>
    <w:p w14:paraId="4518FE81" w14:textId="77777777" w:rsidR="00A7153D" w:rsidRPr="00A124D3" w:rsidRDefault="00A7153D" w:rsidP="00A7153D">
      <w:pPr>
        <w:spacing w:after="0" w:line="240" w:lineRule="auto"/>
        <w:rPr>
          <w:rFonts w:ascii="Verdana" w:hAnsi="Verdana"/>
          <w:lang w:val="it-CH"/>
        </w:rPr>
      </w:pPr>
      <w:hyperlink r:id="rId12" w:history="1">
        <w:r w:rsidRPr="00A124D3">
          <w:rPr>
            <w:rStyle w:val="Hipervnculo"/>
            <w:rFonts w:ascii="Verdana" w:hAnsi="Verdana"/>
            <w:lang w:val="it-CH"/>
          </w:rPr>
          <w:t>nrueda266@unab.edu.co</w:t>
        </w:r>
      </w:hyperlink>
      <w:r w:rsidRPr="00A124D3">
        <w:rPr>
          <w:rFonts w:ascii="Verdana" w:hAnsi="Verdana"/>
          <w:lang w:val="it-CH"/>
        </w:rPr>
        <w:t xml:space="preserve"> </w:t>
      </w:r>
    </w:p>
    <w:p w14:paraId="6AE8766C" w14:textId="77777777" w:rsidR="00A7153D" w:rsidRPr="001743CA" w:rsidRDefault="00A7153D" w:rsidP="00A7153D">
      <w:pPr>
        <w:spacing w:after="0" w:line="240" w:lineRule="auto"/>
        <w:rPr>
          <w:rFonts w:ascii="Verdana" w:eastAsia="Calibri" w:hAnsi="Verdana" w:cs="Times New Roman"/>
        </w:rPr>
      </w:pPr>
      <w:r w:rsidRPr="001743CA">
        <w:rPr>
          <w:rFonts w:ascii="Verdana" w:eastAsia="Calibri" w:hAnsi="Verdana" w:cs="Times New Roman"/>
        </w:rPr>
        <w:t>Bucaramanga, Santander</w:t>
      </w:r>
    </w:p>
    <w:p w14:paraId="73140C16" w14:textId="77777777" w:rsidR="00A7153D" w:rsidRPr="00B57A1B" w:rsidRDefault="00A7153D" w:rsidP="00A7153D">
      <w:pPr>
        <w:spacing w:after="0" w:line="240" w:lineRule="auto"/>
        <w:rPr>
          <w:rFonts w:ascii="Verdana" w:eastAsia="Calibri" w:hAnsi="Verdana" w:cs="Times New Roman"/>
        </w:rPr>
      </w:pPr>
    </w:p>
    <w:p w14:paraId="632095C3" w14:textId="77777777" w:rsidR="00A7153D" w:rsidRPr="00B57A1B" w:rsidRDefault="00A7153D" w:rsidP="00A7153D">
      <w:pPr>
        <w:spacing w:after="0" w:line="240" w:lineRule="auto"/>
        <w:rPr>
          <w:rFonts w:ascii="Verdana" w:eastAsia="Calibri" w:hAnsi="Verdana" w:cs="Times New Roman"/>
        </w:rPr>
      </w:pPr>
    </w:p>
    <w:p w14:paraId="741E37B9" w14:textId="77777777" w:rsidR="00A7153D" w:rsidRPr="00B57A1B" w:rsidRDefault="00A7153D" w:rsidP="00A7153D">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C–095 de 2026</w:t>
      </w:r>
    </w:p>
    <w:p w14:paraId="464CA4E6" w14:textId="77777777" w:rsidR="00A7153D" w:rsidRPr="00B57A1B" w:rsidRDefault="00A7153D" w:rsidP="00A7153D">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A7153D" w:rsidRPr="00B57A1B" w14:paraId="3CAB9687" w14:textId="77777777" w:rsidTr="00BE429B">
        <w:trPr>
          <w:trHeight w:val="645"/>
        </w:trPr>
        <w:tc>
          <w:tcPr>
            <w:tcW w:w="2685" w:type="dxa"/>
            <w:hideMark/>
          </w:tcPr>
          <w:p w14:paraId="055EEC97" w14:textId="77777777" w:rsidR="00A7153D" w:rsidRPr="00B57A1B" w:rsidRDefault="00A7153D" w:rsidP="00BE429B">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1674EFAE" w14:textId="78184C97" w:rsidR="00A7153D" w:rsidRPr="00D01973" w:rsidRDefault="00A7153D" w:rsidP="00BE429B">
            <w:pPr>
              <w:spacing w:line="276" w:lineRule="auto"/>
              <w:jc w:val="both"/>
              <w:rPr>
                <w:rFonts w:ascii="Verdana" w:hAnsi="Verdana" w:cs="Arial"/>
                <w:lang w:val="es-ES" w:eastAsia="es-ES"/>
              </w:rPr>
            </w:pPr>
            <w:r w:rsidRPr="00482020">
              <w:rPr>
                <w:rFonts w:ascii="Verdana" w:hAnsi="Verdana" w:cs="Arial"/>
                <w:lang w:val="es-ES" w:eastAsia="es-ES"/>
              </w:rPr>
              <w:t>RÉGIMEN EXCEPCIONAL – Justificación – Criterios de clasificación / EMPRESAS DE SERVICIOS PÚBLICOS – Naturaleza – régimen especial / EMPRESAS DE SERVICIOS PÚBLICOS – Mixtas – Privadas con participación estatal – Entidades descentralizadas por servicios – Sentencia C-</w:t>
            </w:r>
            <w:r>
              <w:rPr>
                <w:rFonts w:ascii="Verdana" w:hAnsi="Verdana" w:cs="Arial"/>
                <w:lang w:val="es-ES" w:eastAsia="es-ES"/>
              </w:rPr>
              <w:t>736</w:t>
            </w:r>
            <w:r w:rsidRPr="00482020">
              <w:rPr>
                <w:rFonts w:ascii="Verdana" w:hAnsi="Verdana" w:cs="Arial"/>
                <w:lang w:val="es-ES" w:eastAsia="es-ES"/>
              </w:rPr>
              <w:t xml:space="preserve"> de 2007 / EMPRESAS PRIVADAS DE SERVICIOS PÚBLICOS – Capital – 100% privadas – Naturaleza </w:t>
            </w:r>
            <w:r w:rsidRPr="00AC39B6">
              <w:rPr>
                <w:rFonts w:ascii="Verdana" w:hAnsi="Verdana" w:cs="Arial"/>
                <w:lang w:val="es-ES" w:eastAsia="es-ES"/>
              </w:rPr>
              <w:t xml:space="preserve">/ </w:t>
            </w:r>
            <w:r w:rsidRPr="0027160D">
              <w:rPr>
                <w:rFonts w:ascii="Verdana" w:hAnsi="Verdana" w:cs="Arial"/>
                <w:bCs/>
                <w:lang w:val="es-ES" w:eastAsia="es-ES"/>
              </w:rPr>
              <w:t>CONTRATOS Y CONVENIOS INTERADMINISTRATIVOS – Noción – Diferencias / CONVENIO INTERADMINISTRATIVO – Naturaleza – Inaplicabilidad – Ley 80 de 1993</w:t>
            </w:r>
            <w:r>
              <w:rPr>
                <w:rFonts w:ascii="Verdana" w:hAnsi="Verdana" w:cs="Arial"/>
                <w:bCs/>
                <w:lang w:val="es-ES" w:eastAsia="es-ES"/>
              </w:rPr>
              <w:t xml:space="preserve"> / SERVICIOS PÚBLICOS DOMICILIARIOS – Subsidios – Estado Social de Derecho / SUBSIDIOS – Ley 142 de 2994 – Contratos y Convenios – Financiación de Subsidios / LEY DE GARANTÍAS ELECTORALES – Restricciones – Artículo 38 – Artículo 33 / LEY DE GARANTÍAS ELECTORALES – Restricciones –Superintendencia de Servicios Públicos Domiciliarios / LEY DE GARANTÍAS ELECTORALES – Posturas del Consejo de Estado / LEY DE GARANTIAS – Restricciones-Celebración de Contratos y Convenios – Transferencia de recursos /PRINCIPIO DE PUBLICIDAD – Sujetos Obligados / PRINCIPIO DE PUBLICIDAD – Documentos del Proceso</w:t>
            </w:r>
          </w:p>
          <w:p w14:paraId="1F1BB20A" w14:textId="77777777" w:rsidR="00A7153D" w:rsidRPr="00B57A1B" w:rsidRDefault="00A7153D" w:rsidP="00BE429B">
            <w:pPr>
              <w:spacing w:line="276" w:lineRule="auto"/>
              <w:jc w:val="both"/>
              <w:rPr>
                <w:rFonts w:ascii="Verdana" w:hAnsi="Verdana" w:cs="Arial"/>
                <w:lang w:val="es-ES" w:eastAsia="es-ES"/>
              </w:rPr>
            </w:pPr>
          </w:p>
        </w:tc>
        <w:tc>
          <w:tcPr>
            <w:tcW w:w="6237" w:type="dxa"/>
          </w:tcPr>
          <w:p w14:paraId="0489FC95" w14:textId="77777777" w:rsidR="00A7153D" w:rsidRPr="002D0E1D" w:rsidRDefault="00A7153D" w:rsidP="00BE429B">
            <w:pPr>
              <w:spacing w:line="256" w:lineRule="auto"/>
              <w:rPr>
                <w:rFonts w:ascii="Verdana" w:hAnsi="Verdana"/>
                <w:lang w:val="es-ES"/>
              </w:rPr>
            </w:pPr>
          </w:p>
        </w:tc>
      </w:tr>
      <w:tr w:rsidR="00A7153D" w:rsidRPr="00B57A1B" w14:paraId="3E87A101" w14:textId="77777777" w:rsidTr="00BE429B">
        <w:tc>
          <w:tcPr>
            <w:tcW w:w="2685" w:type="dxa"/>
          </w:tcPr>
          <w:p w14:paraId="1DBA8DF0" w14:textId="77777777" w:rsidR="00A7153D" w:rsidRPr="00B57A1B" w:rsidRDefault="00A7153D" w:rsidP="00BE429B">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18E40250" w14:textId="77777777" w:rsidR="00A7153D" w:rsidRPr="002D0E1D" w:rsidRDefault="00A7153D" w:rsidP="00BE429B">
            <w:pPr>
              <w:spacing w:line="257" w:lineRule="auto"/>
              <w:jc w:val="both"/>
              <w:rPr>
                <w:rFonts w:ascii="Verdana" w:hAnsi="Verdana"/>
                <w:lang w:val="es-ES_tradnl"/>
              </w:rPr>
            </w:pPr>
            <w:r w:rsidRPr="00B57A1B">
              <w:rPr>
                <w:rFonts w:ascii="Verdana" w:hAnsi="Verdana"/>
                <w:lang w:val="es-ES_tradnl"/>
              </w:rPr>
              <w:t>Respue</w:t>
            </w:r>
            <w:r>
              <w:rPr>
                <w:rFonts w:ascii="Verdana" w:hAnsi="Verdana"/>
                <w:lang w:val="es-ES_tradnl"/>
              </w:rPr>
              <w:t xml:space="preserve">sta a consulta con radicado No. </w:t>
            </w:r>
            <w:r w:rsidRPr="0071632A">
              <w:rPr>
                <w:rFonts w:ascii="Verdana" w:hAnsi="Verdana"/>
              </w:rPr>
              <w:t>1_2026_01_26_000773</w:t>
            </w:r>
          </w:p>
          <w:p w14:paraId="7E396D88" w14:textId="77777777" w:rsidR="00A7153D" w:rsidRPr="00B57A1B" w:rsidRDefault="00A7153D" w:rsidP="00BE429B">
            <w:pPr>
              <w:spacing w:line="257" w:lineRule="auto"/>
              <w:jc w:val="both"/>
              <w:rPr>
                <w:rFonts w:ascii="Verdana" w:hAnsi="Verdana"/>
              </w:rPr>
            </w:pPr>
          </w:p>
        </w:tc>
        <w:tc>
          <w:tcPr>
            <w:tcW w:w="6237" w:type="dxa"/>
          </w:tcPr>
          <w:p w14:paraId="7C2BFCA1" w14:textId="77777777" w:rsidR="00A7153D" w:rsidRPr="00B57A1B" w:rsidRDefault="00A7153D" w:rsidP="00BE429B">
            <w:pPr>
              <w:spacing w:line="256" w:lineRule="auto"/>
              <w:rPr>
                <w:rFonts w:ascii="Verdana" w:hAnsi="Verdana"/>
                <w:lang w:val="es-ES_tradnl"/>
              </w:rPr>
            </w:pPr>
          </w:p>
        </w:tc>
      </w:tr>
    </w:tbl>
    <w:p w14:paraId="74386838" w14:textId="77777777" w:rsidR="00A7153D" w:rsidRDefault="00A7153D" w:rsidP="00A7153D">
      <w:pPr>
        <w:spacing w:after="0" w:line="256" w:lineRule="auto"/>
        <w:rPr>
          <w:rFonts w:ascii="Verdana" w:eastAsia="Calibri" w:hAnsi="Verdana" w:cs="Times New Roman"/>
          <w:lang w:val="es-ES"/>
        </w:rPr>
      </w:pPr>
    </w:p>
    <w:p w14:paraId="330329C6" w14:textId="77777777" w:rsidR="00A7153D" w:rsidRPr="00B57A1B" w:rsidRDefault="00A7153D" w:rsidP="00A7153D">
      <w:pPr>
        <w:spacing w:after="0" w:line="256" w:lineRule="auto"/>
        <w:rPr>
          <w:rFonts w:ascii="Verdana" w:eastAsia="Calibri" w:hAnsi="Verdana" w:cs="Times New Roman"/>
          <w:lang w:val="es-ES"/>
        </w:rPr>
      </w:pPr>
      <w:r w:rsidRPr="00B57A1B">
        <w:rPr>
          <w:rFonts w:ascii="Verdana" w:eastAsia="Calibri" w:hAnsi="Verdana" w:cs="Times New Roman"/>
          <w:lang w:val="es-ES"/>
        </w:rPr>
        <w:lastRenderedPageBreak/>
        <w:t>Estimado</w:t>
      </w:r>
      <w:r>
        <w:rPr>
          <w:rFonts w:ascii="Verdana" w:eastAsia="Calibri" w:hAnsi="Verdana" w:cs="Times New Roman"/>
          <w:lang w:val="es-ES"/>
        </w:rPr>
        <w:t xml:space="preserve"> Señor Yepes</w:t>
      </w:r>
      <w:r w:rsidRPr="00B57A1B">
        <w:rPr>
          <w:rFonts w:ascii="Verdana" w:eastAsia="Calibri" w:hAnsi="Verdana" w:cs="Times New Roman"/>
          <w:lang w:val="es-ES"/>
        </w:rPr>
        <w:t xml:space="preserve">: </w:t>
      </w:r>
    </w:p>
    <w:p w14:paraId="1B666D78" w14:textId="77777777" w:rsidR="00A7153D" w:rsidRPr="00B57A1B" w:rsidRDefault="00A7153D" w:rsidP="00A7153D">
      <w:pPr>
        <w:spacing w:after="0" w:line="256" w:lineRule="auto"/>
        <w:rPr>
          <w:rFonts w:ascii="Verdana" w:eastAsia="Calibri" w:hAnsi="Verdana" w:cs="Times New Roman"/>
          <w:lang w:val="es-ES"/>
        </w:rPr>
      </w:pPr>
    </w:p>
    <w:p w14:paraId="43825495" w14:textId="77777777" w:rsidR="00A7153D" w:rsidRDefault="00A7153D" w:rsidP="00A7153D">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consulta del 26 de enero de 2026 en torno a la naturaleza jurídica de los convenios que suscriben las entidades en el marco de convenios y contratos interadministrativos</w:t>
      </w:r>
      <w:r w:rsidRPr="00B57A1B">
        <w:rPr>
          <w:rFonts w:ascii="Verdana" w:eastAsia="Calibri" w:hAnsi="Verdana" w:cs="Times New Roman"/>
          <w:bCs/>
          <w:lang w:val="es-ES" w:bidi="es-ES"/>
        </w:rPr>
        <w:t xml:space="preserve">, en la cual manifiesta: </w:t>
      </w:r>
    </w:p>
    <w:p w14:paraId="79F3B69C" w14:textId="77777777" w:rsidR="00A7153D" w:rsidRPr="00586328" w:rsidRDefault="00A7153D" w:rsidP="00A7153D">
      <w:pPr>
        <w:spacing w:after="0" w:line="240" w:lineRule="auto"/>
        <w:jc w:val="both"/>
        <w:rPr>
          <w:rFonts w:ascii="Verdana" w:eastAsia="Calibri" w:hAnsi="Verdana" w:cs="Times New Roman"/>
          <w:bCs/>
          <w:lang w:bidi="es-ES"/>
        </w:rPr>
      </w:pPr>
    </w:p>
    <w:p w14:paraId="15B180C0" w14:textId="77777777" w:rsidR="00A7153D" w:rsidRPr="0071632A" w:rsidRDefault="00A7153D" w:rsidP="00A7153D">
      <w:pPr>
        <w:spacing w:after="0" w:line="240" w:lineRule="auto"/>
        <w:ind w:left="709" w:right="709"/>
        <w:jc w:val="both"/>
        <w:rPr>
          <w:rFonts w:ascii="Verdana" w:eastAsia="Calibri" w:hAnsi="Verdana" w:cs="Times New Roman"/>
          <w:bCs/>
          <w:sz w:val="21"/>
          <w:szCs w:val="21"/>
          <w:lang w:bidi="es-ES"/>
        </w:rPr>
      </w:pPr>
      <w:r>
        <w:rPr>
          <w:rFonts w:ascii="Verdana" w:eastAsia="Calibri" w:hAnsi="Verdana" w:cs="Times New Roman"/>
          <w:bCs/>
          <w:sz w:val="21"/>
          <w:szCs w:val="21"/>
          <w:lang w:bidi="es-ES"/>
        </w:rPr>
        <w:t>“</w:t>
      </w:r>
      <w:r w:rsidRPr="0071632A">
        <w:rPr>
          <w:rFonts w:ascii="Verdana" w:eastAsia="Calibri" w:hAnsi="Verdana" w:cs="Times New Roman"/>
          <w:bCs/>
          <w:sz w:val="21"/>
          <w:szCs w:val="21"/>
          <w:lang w:bidi="es-ES"/>
        </w:rPr>
        <w:t>1. ¿Cuáles son los criterios jurídicos relevantes para definir si el instrumento mediante el cual se materializa la transferencia de recursos para subsidios/aportes en servicios públicos domiciliarios debe clasificarse como: (i) un convenio/contrato interadministrativo (cuando concurren dos entidades públicas), o (</w:t>
      </w:r>
      <w:proofErr w:type="spellStart"/>
      <w:r w:rsidRPr="0071632A">
        <w:rPr>
          <w:rFonts w:ascii="Verdana" w:eastAsia="Calibri" w:hAnsi="Verdana" w:cs="Times New Roman"/>
          <w:bCs/>
          <w:sz w:val="21"/>
          <w:szCs w:val="21"/>
          <w:lang w:bidi="es-ES"/>
        </w:rPr>
        <w:t>ii</w:t>
      </w:r>
      <w:proofErr w:type="spellEnd"/>
      <w:r w:rsidRPr="0071632A">
        <w:rPr>
          <w:rFonts w:ascii="Verdana" w:eastAsia="Calibri" w:hAnsi="Verdana" w:cs="Times New Roman"/>
          <w:bCs/>
          <w:sz w:val="21"/>
          <w:szCs w:val="21"/>
          <w:lang w:bidi="es-ES"/>
        </w:rPr>
        <w:t xml:space="preserve">) un convenio/contrato de transferencia de recursos u otra figura distinta, dada la finalidad sectorial del giro? </w:t>
      </w:r>
    </w:p>
    <w:p w14:paraId="55A505D0" w14:textId="77777777" w:rsidR="00A7153D" w:rsidRPr="0071632A" w:rsidRDefault="00A7153D" w:rsidP="00A7153D">
      <w:pPr>
        <w:spacing w:after="0" w:line="240" w:lineRule="auto"/>
        <w:ind w:left="709" w:right="709"/>
        <w:jc w:val="both"/>
        <w:rPr>
          <w:rFonts w:ascii="Verdana" w:eastAsia="Calibri" w:hAnsi="Verdana" w:cs="Times New Roman"/>
          <w:bCs/>
          <w:sz w:val="21"/>
          <w:szCs w:val="21"/>
          <w:lang w:bidi="es-ES"/>
        </w:rPr>
      </w:pPr>
      <w:r w:rsidRPr="0071632A">
        <w:rPr>
          <w:rFonts w:ascii="Verdana" w:eastAsia="Calibri" w:hAnsi="Verdana" w:cs="Times New Roman"/>
          <w:bCs/>
          <w:sz w:val="21"/>
          <w:szCs w:val="21"/>
          <w:lang w:bidi="es-ES"/>
        </w:rPr>
        <w:t xml:space="preserve">2. En estos eventos, ¿debe primar la naturaleza de las partes (p. ej., dos entidades públicas) para la clasificación como interadministrativo, o prima la finalidad y regulación sectorial del giro (subsidios/aportes solidarios) como criterio determinante para definir la tipología, incluso cuando el prestador sea público? </w:t>
      </w:r>
    </w:p>
    <w:p w14:paraId="36DCE204" w14:textId="77777777" w:rsidR="00A7153D" w:rsidRPr="0071632A" w:rsidRDefault="00A7153D" w:rsidP="00A7153D">
      <w:pPr>
        <w:spacing w:after="0" w:line="240" w:lineRule="auto"/>
        <w:ind w:left="709" w:right="709"/>
        <w:jc w:val="both"/>
        <w:rPr>
          <w:rFonts w:ascii="Verdana" w:eastAsia="Calibri" w:hAnsi="Verdana" w:cs="Times New Roman"/>
          <w:bCs/>
          <w:sz w:val="21"/>
          <w:szCs w:val="21"/>
          <w:lang w:bidi="es-ES"/>
        </w:rPr>
      </w:pPr>
      <w:r w:rsidRPr="0071632A">
        <w:rPr>
          <w:rFonts w:ascii="Verdana" w:eastAsia="Calibri" w:hAnsi="Verdana" w:cs="Times New Roman"/>
          <w:bCs/>
          <w:sz w:val="21"/>
          <w:szCs w:val="21"/>
          <w:lang w:bidi="es-ES"/>
        </w:rPr>
        <w:t xml:space="preserve">3. Para realizar válidamente estas transferencias, ¿es jurídicamente exigible la preexistencia de un instrumento bilateral escrito (convenio/contrato) que establezca condiciones de manejo, obligaciones, informes, controles e intereses, o podría bastar un esquema alterno como: factura/cuenta de cobro del prestador más acto administrativo unilateral que ordene el giro y fije condiciones mínimas? Se solicita precisar el estándar mínimo de formalización en clave de la normativa de contratación pública y la regulación sectorial. </w:t>
      </w:r>
    </w:p>
    <w:p w14:paraId="52D78B0B" w14:textId="77777777" w:rsidR="00A7153D" w:rsidRPr="0071632A" w:rsidRDefault="00A7153D" w:rsidP="00A7153D">
      <w:pPr>
        <w:spacing w:after="0" w:line="240" w:lineRule="auto"/>
        <w:ind w:left="709" w:right="709"/>
        <w:jc w:val="both"/>
        <w:rPr>
          <w:rFonts w:ascii="Verdana" w:eastAsia="Calibri" w:hAnsi="Verdana" w:cs="Times New Roman"/>
          <w:bCs/>
          <w:sz w:val="21"/>
          <w:szCs w:val="21"/>
          <w:lang w:bidi="es-ES"/>
        </w:rPr>
      </w:pPr>
      <w:r w:rsidRPr="0071632A">
        <w:rPr>
          <w:rFonts w:ascii="Verdana" w:eastAsia="Calibri" w:hAnsi="Verdana" w:cs="Times New Roman"/>
          <w:bCs/>
          <w:sz w:val="21"/>
          <w:szCs w:val="21"/>
          <w:lang w:bidi="es-ES"/>
        </w:rPr>
        <w:t xml:space="preserve">4. ¿Estos instrumentos/giros exigen la expedición del acto administrativo de justificación de contratación directa previsto en el artículo 2.2.1.2.1.4.1 del Decreto 1082 de 2015, o existe algún tratamiento diferenciado por corresponder a una obligación sectorial de transferir recursos? </w:t>
      </w:r>
    </w:p>
    <w:p w14:paraId="31FE0BCD" w14:textId="77777777" w:rsidR="00A7153D" w:rsidRPr="0071632A" w:rsidRDefault="00A7153D" w:rsidP="00A7153D">
      <w:pPr>
        <w:spacing w:after="0" w:line="240" w:lineRule="auto"/>
        <w:ind w:left="709" w:right="709"/>
        <w:jc w:val="both"/>
        <w:rPr>
          <w:rFonts w:ascii="Verdana" w:eastAsia="Calibri" w:hAnsi="Verdana" w:cs="Times New Roman"/>
          <w:bCs/>
          <w:sz w:val="21"/>
          <w:szCs w:val="21"/>
          <w:lang w:bidi="es-ES"/>
        </w:rPr>
      </w:pPr>
      <w:r w:rsidRPr="0071632A">
        <w:rPr>
          <w:rFonts w:ascii="Verdana" w:eastAsia="Calibri" w:hAnsi="Verdana" w:cs="Times New Roman"/>
          <w:bCs/>
          <w:sz w:val="21"/>
          <w:szCs w:val="21"/>
          <w:lang w:bidi="es-ES"/>
        </w:rPr>
        <w:t xml:space="preserve">5. Bajo criterios generales, ¿cómo debe analizarse la aplicabilidad de las restricciones de la Ley 996 de 2005 frente a estos instrumentos de transferencia? En particular: ¿la mera concurrencia de dos entidades públicas determina automáticamente la prohibición asociada a “interadministrativos”, o procede evaluar la naturaleza del acto/giro como cumplimiento de obligaciones sectoriales, y/o su carácter inaplazable e imprescindible para garantizar continuidad del servicio? </w:t>
      </w:r>
    </w:p>
    <w:p w14:paraId="7A17730A" w14:textId="77777777" w:rsidR="00A7153D" w:rsidRPr="00560ECB" w:rsidRDefault="00A7153D" w:rsidP="00A7153D">
      <w:pPr>
        <w:spacing w:after="0" w:line="240" w:lineRule="auto"/>
        <w:ind w:left="709" w:right="709"/>
        <w:jc w:val="both"/>
        <w:rPr>
          <w:rFonts w:ascii="Verdana" w:eastAsia="Calibri" w:hAnsi="Verdana" w:cs="Times New Roman"/>
          <w:bCs/>
          <w:sz w:val="21"/>
          <w:szCs w:val="21"/>
          <w:lang w:bidi="es-ES"/>
        </w:rPr>
      </w:pPr>
      <w:r w:rsidRPr="0071632A">
        <w:rPr>
          <w:rFonts w:ascii="Verdana" w:eastAsia="Calibri" w:hAnsi="Verdana" w:cs="Times New Roman"/>
          <w:bCs/>
          <w:sz w:val="21"/>
          <w:szCs w:val="21"/>
          <w:lang w:bidi="es-ES"/>
        </w:rPr>
        <w:lastRenderedPageBreak/>
        <w:t xml:space="preserve">6. ¿CCE considera que estos instrumentos deben publicarse en SECOP, y en caso afirmativo, bajo qué lógica: como “contrato/convenio” del régimen general, como instrumento asociado a la contratación directa, o bajo un esquema específico de publicación? </w:t>
      </w:r>
      <w:r w:rsidRPr="00560ECB">
        <w:rPr>
          <w:rFonts w:ascii="Verdana" w:eastAsia="Calibri" w:hAnsi="Verdana" w:cs="Times New Roman"/>
          <w:bCs/>
          <w:sz w:val="21"/>
          <w:szCs w:val="21"/>
          <w:lang w:bidi="es-ES"/>
        </w:rPr>
        <w:t>¿Qué documentos recomienda publicar como mínimo?</w:t>
      </w:r>
      <w:r>
        <w:rPr>
          <w:rFonts w:ascii="Verdana" w:eastAsia="Calibri" w:hAnsi="Verdana" w:cs="Times New Roman"/>
          <w:bCs/>
          <w:sz w:val="21"/>
          <w:szCs w:val="21"/>
          <w:lang w:bidi="es-ES"/>
        </w:rPr>
        <w:t>”</w:t>
      </w:r>
      <w:r w:rsidRPr="00812F2C">
        <w:rPr>
          <w:rFonts w:ascii="Verdana" w:eastAsia="Calibri" w:hAnsi="Verdana" w:cs="Times New Roman"/>
          <w:bCs/>
          <w:sz w:val="21"/>
          <w:szCs w:val="21"/>
          <w:lang w:bidi="es-ES"/>
        </w:rPr>
        <w:t>.</w:t>
      </w:r>
    </w:p>
    <w:p w14:paraId="70A52FFB" w14:textId="77777777" w:rsidR="00A7153D" w:rsidRPr="00812F2C" w:rsidRDefault="00A7153D" w:rsidP="00A7153D">
      <w:pPr>
        <w:spacing w:after="0" w:line="240" w:lineRule="auto"/>
        <w:ind w:left="709" w:right="709"/>
        <w:jc w:val="both"/>
        <w:rPr>
          <w:rFonts w:ascii="Verdana" w:eastAsia="Calibri" w:hAnsi="Verdana" w:cs="Times New Roman"/>
          <w:bCs/>
          <w:sz w:val="21"/>
          <w:szCs w:val="21"/>
          <w:lang w:bidi="es-ES"/>
        </w:rPr>
      </w:pPr>
    </w:p>
    <w:p w14:paraId="0C2E9903" w14:textId="77777777" w:rsidR="00A7153D" w:rsidRPr="00B57A1B" w:rsidRDefault="00A7153D" w:rsidP="00A7153D">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72B0C00F" w14:textId="77777777" w:rsidR="00A7153D" w:rsidRPr="00B57A1B" w:rsidRDefault="00A7153D" w:rsidP="00A7153D">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los problemas jurídicos objeto de consulta</w:t>
      </w:r>
      <w:r w:rsidRPr="00B57A1B">
        <w:rPr>
          <w:rFonts w:ascii="Verdana" w:eastAsia="Calibri" w:hAnsi="Verdana" w:cs="Times New Roman"/>
          <w:lang w:val="es-ES"/>
        </w:rPr>
        <w:t xml:space="preserve">. </w:t>
      </w:r>
    </w:p>
    <w:p w14:paraId="01C4F398" w14:textId="77777777" w:rsidR="00A7153D" w:rsidRPr="00B57A1B" w:rsidRDefault="00A7153D" w:rsidP="00A7153D">
      <w:pPr>
        <w:spacing w:after="0" w:line="256" w:lineRule="auto"/>
        <w:rPr>
          <w:rFonts w:ascii="Verdana" w:eastAsia="Calibri" w:hAnsi="Verdana" w:cs="Times New Roman"/>
          <w:lang w:val="es-ES"/>
        </w:rPr>
      </w:pPr>
    </w:p>
    <w:p w14:paraId="7BC1B04F" w14:textId="77777777" w:rsidR="00A7153D" w:rsidRPr="00B57A1B" w:rsidRDefault="00A7153D" w:rsidP="00A7153D">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5095B957" w14:textId="77777777" w:rsidR="00A7153D" w:rsidRPr="00B57A1B" w:rsidRDefault="00A7153D" w:rsidP="00A7153D">
      <w:pPr>
        <w:spacing w:after="0" w:line="256" w:lineRule="auto"/>
        <w:rPr>
          <w:rFonts w:ascii="Verdana" w:eastAsia="Calibri" w:hAnsi="Verdana" w:cs="Times New Roman"/>
        </w:rPr>
      </w:pPr>
    </w:p>
    <w:p w14:paraId="1AF42C14" w14:textId="77777777" w:rsidR="00A7153D" w:rsidRDefault="00A7153D" w:rsidP="00A7153D">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 xml:space="preserve">: i) </w:t>
      </w:r>
      <w:r w:rsidRPr="00890DF7">
        <w:rPr>
          <w:rFonts w:ascii="Verdana" w:eastAsia="Calibri" w:hAnsi="Verdana" w:cs="Times New Roman"/>
          <w:iCs/>
          <w:lang w:val="es-ES"/>
        </w:rPr>
        <w:t>¿</w:t>
      </w:r>
      <w:r w:rsidRPr="005F1A8F">
        <w:rPr>
          <w:rFonts w:ascii="Verdana" w:eastAsia="Calibri" w:hAnsi="Verdana" w:cs="Times New Roman"/>
          <w:iCs/>
          <w:lang w:val="es-ES"/>
        </w:rPr>
        <w:t>Cuáles son los criterios jurídicos relevantes para definir si el instrumento de transfere</w:t>
      </w:r>
      <w:r>
        <w:rPr>
          <w:rFonts w:ascii="Verdana" w:eastAsia="Calibri" w:hAnsi="Verdana" w:cs="Times New Roman"/>
          <w:iCs/>
          <w:lang w:val="es-ES"/>
        </w:rPr>
        <w:t xml:space="preserve">ncia de recursos para subsidios o </w:t>
      </w:r>
      <w:r w:rsidRPr="005F1A8F">
        <w:rPr>
          <w:rFonts w:ascii="Verdana" w:eastAsia="Calibri" w:hAnsi="Verdana" w:cs="Times New Roman"/>
          <w:iCs/>
          <w:lang w:val="es-ES"/>
        </w:rPr>
        <w:t xml:space="preserve">aportes en servicios públicos domiciliarios </w:t>
      </w:r>
      <w:r>
        <w:rPr>
          <w:rFonts w:ascii="Verdana" w:eastAsia="Calibri" w:hAnsi="Verdana" w:cs="Times New Roman"/>
          <w:iCs/>
          <w:lang w:val="es-ES"/>
        </w:rPr>
        <w:t>debe clasificarse como convenio o contrato interadministrativo</w:t>
      </w:r>
      <w:r w:rsidRPr="005F1A8F">
        <w:rPr>
          <w:rFonts w:ascii="Verdana" w:eastAsia="Calibri" w:hAnsi="Verdana" w:cs="Times New Roman"/>
          <w:iCs/>
          <w:lang w:val="es-ES"/>
        </w:rPr>
        <w:t>?</w:t>
      </w:r>
      <w:r>
        <w:rPr>
          <w:rFonts w:ascii="Verdana" w:eastAsia="Calibri" w:hAnsi="Verdana" w:cs="Times New Roman"/>
          <w:iCs/>
          <w:lang w:val="es-ES"/>
        </w:rPr>
        <w:t xml:space="preserve">; </w:t>
      </w:r>
      <w:proofErr w:type="spellStart"/>
      <w:r>
        <w:rPr>
          <w:rFonts w:ascii="Verdana" w:eastAsia="Calibri" w:hAnsi="Verdana" w:cs="Times New Roman"/>
          <w:iCs/>
          <w:lang w:val="es-ES"/>
        </w:rPr>
        <w:t>ii</w:t>
      </w:r>
      <w:proofErr w:type="spellEnd"/>
      <w:r>
        <w:rPr>
          <w:rFonts w:ascii="Verdana" w:eastAsia="Calibri" w:hAnsi="Verdana" w:cs="Times New Roman"/>
          <w:iCs/>
          <w:lang w:val="es-ES"/>
        </w:rPr>
        <w:t>)</w:t>
      </w:r>
      <w:r>
        <w:rPr>
          <w:rFonts w:ascii="Verdana" w:eastAsia="Calibri" w:hAnsi="Verdana" w:cs="Times New Roman"/>
          <w:lang w:val="es-ES"/>
        </w:rPr>
        <w:t xml:space="preserve"> </w:t>
      </w:r>
      <w:r w:rsidRPr="006B3110">
        <w:rPr>
          <w:rFonts w:ascii="Verdana" w:eastAsia="Calibri" w:hAnsi="Verdana" w:cs="Times New Roman"/>
          <w:iCs/>
          <w:lang w:val="es-ES"/>
        </w:rPr>
        <w:t xml:space="preserve">¿Bajo qué criterios </w:t>
      </w:r>
      <w:r>
        <w:rPr>
          <w:rFonts w:ascii="Verdana" w:eastAsia="Calibri" w:hAnsi="Verdana" w:cs="Times New Roman"/>
          <w:iCs/>
          <w:lang w:val="es-ES"/>
        </w:rPr>
        <w:t>o condiciones</w:t>
      </w:r>
      <w:r w:rsidRPr="006506D8">
        <w:rPr>
          <w:rFonts w:ascii="Verdana" w:eastAsia="Calibri" w:hAnsi="Verdana" w:cs="Times New Roman"/>
          <w:iCs/>
          <w:lang w:val="es-ES"/>
        </w:rPr>
        <w:t xml:space="preserve"> debe analizarse la aplicabilidad de las restricciones </w:t>
      </w:r>
      <w:r w:rsidRPr="006B3110">
        <w:rPr>
          <w:rFonts w:ascii="Verdana" w:eastAsia="Calibri" w:hAnsi="Verdana" w:cs="Times New Roman"/>
          <w:iCs/>
          <w:lang w:val="es-ES"/>
        </w:rPr>
        <w:t xml:space="preserve">establecidas en </w:t>
      </w:r>
      <w:r w:rsidRPr="006506D8">
        <w:rPr>
          <w:rFonts w:ascii="Verdana" w:eastAsia="Calibri" w:hAnsi="Verdana" w:cs="Times New Roman"/>
          <w:iCs/>
          <w:lang w:val="es-ES"/>
        </w:rPr>
        <w:t xml:space="preserve">la Ley 996 de 2005 frente a </w:t>
      </w:r>
      <w:r w:rsidRPr="006B3110">
        <w:rPr>
          <w:rFonts w:ascii="Verdana" w:eastAsia="Calibri" w:hAnsi="Verdana" w:cs="Times New Roman"/>
          <w:iCs/>
          <w:lang w:val="es-ES"/>
        </w:rPr>
        <w:t>los</w:t>
      </w:r>
      <w:r w:rsidRPr="006506D8">
        <w:rPr>
          <w:rFonts w:ascii="Verdana" w:eastAsia="Calibri" w:hAnsi="Verdana" w:cs="Times New Roman"/>
          <w:iCs/>
          <w:lang w:val="es-ES"/>
        </w:rPr>
        <w:t xml:space="preserve"> i</w:t>
      </w:r>
      <w:r>
        <w:rPr>
          <w:rFonts w:ascii="Verdana" w:eastAsia="Calibri" w:hAnsi="Verdana" w:cs="Times New Roman"/>
          <w:iCs/>
          <w:lang w:val="es-ES"/>
        </w:rPr>
        <w:t xml:space="preserve">nstrumentos de transferencia de recursos </w:t>
      </w:r>
      <w:r w:rsidRPr="006B3110">
        <w:rPr>
          <w:rFonts w:ascii="Verdana" w:eastAsia="Calibri" w:hAnsi="Verdana" w:cs="Times New Roman"/>
          <w:iCs/>
          <w:lang w:val="es-ES"/>
        </w:rPr>
        <w:t>fundamentados</w:t>
      </w:r>
      <w:r>
        <w:rPr>
          <w:rFonts w:ascii="Verdana" w:eastAsia="Calibri" w:hAnsi="Verdana" w:cs="Times New Roman"/>
          <w:iCs/>
          <w:lang w:val="es-ES"/>
        </w:rPr>
        <w:t xml:space="preserve"> en subsidios o aportes?; </w:t>
      </w:r>
      <w:proofErr w:type="spellStart"/>
      <w:r>
        <w:rPr>
          <w:rFonts w:ascii="Verdana" w:eastAsia="Calibri" w:hAnsi="Verdana" w:cs="Times New Roman"/>
          <w:iCs/>
          <w:lang w:val="es-ES"/>
        </w:rPr>
        <w:t>iii</w:t>
      </w:r>
      <w:proofErr w:type="spellEnd"/>
      <w:r>
        <w:rPr>
          <w:rFonts w:ascii="Verdana" w:eastAsia="Calibri" w:hAnsi="Verdana" w:cs="Times New Roman"/>
          <w:iCs/>
          <w:lang w:val="es-ES"/>
        </w:rPr>
        <w:t>) ¿Existe el deber</w:t>
      </w:r>
      <w:r w:rsidRPr="006506D8">
        <w:rPr>
          <w:rFonts w:ascii="Verdana" w:eastAsia="Calibri" w:hAnsi="Verdana" w:cs="Times New Roman"/>
          <w:iCs/>
          <w:lang w:val="es-ES"/>
        </w:rPr>
        <w:t xml:space="preserve"> de pub</w:t>
      </w:r>
      <w:r>
        <w:rPr>
          <w:rFonts w:ascii="Verdana" w:eastAsia="Calibri" w:hAnsi="Verdana" w:cs="Times New Roman"/>
          <w:iCs/>
          <w:lang w:val="es-ES"/>
        </w:rPr>
        <w:t xml:space="preserve">licidad en SECOP del contrato </w:t>
      </w:r>
      <w:r>
        <w:rPr>
          <w:rFonts w:ascii="Verdana" w:eastAsia="Calibri" w:hAnsi="Verdana" w:cs="Times New Roman"/>
          <w:iCs/>
          <w:lang w:val="es-ES"/>
        </w:rPr>
        <w:lastRenderedPageBreak/>
        <w:t xml:space="preserve">o </w:t>
      </w:r>
      <w:r w:rsidRPr="006506D8">
        <w:rPr>
          <w:rFonts w:ascii="Verdana" w:eastAsia="Calibri" w:hAnsi="Verdana" w:cs="Times New Roman"/>
          <w:iCs/>
          <w:lang w:val="es-ES"/>
        </w:rPr>
        <w:t xml:space="preserve">convenio </w:t>
      </w:r>
      <w:r>
        <w:rPr>
          <w:rFonts w:ascii="Verdana" w:eastAsia="Calibri" w:hAnsi="Verdana" w:cs="Times New Roman"/>
          <w:iCs/>
          <w:lang w:val="es-ES"/>
        </w:rPr>
        <w:t>de transferencia de recursos</w:t>
      </w:r>
      <w:r w:rsidRPr="006506D8">
        <w:rPr>
          <w:rFonts w:ascii="Verdana" w:eastAsia="Calibri" w:hAnsi="Verdana" w:cs="Times New Roman"/>
          <w:iCs/>
          <w:lang w:val="es-ES"/>
        </w:rPr>
        <w:t xml:space="preserve"> </w:t>
      </w:r>
      <w:r>
        <w:rPr>
          <w:rFonts w:ascii="Verdana" w:eastAsia="Calibri" w:hAnsi="Verdana" w:cs="Times New Roman"/>
          <w:iCs/>
          <w:lang w:val="es-ES"/>
        </w:rPr>
        <w:t>para el otorgamiento</w:t>
      </w:r>
      <w:r w:rsidRPr="006506D8">
        <w:rPr>
          <w:rFonts w:ascii="Verdana" w:eastAsia="Calibri" w:hAnsi="Verdana" w:cs="Times New Roman"/>
          <w:iCs/>
          <w:lang w:val="es-ES"/>
        </w:rPr>
        <w:t xml:space="preserve"> de </w:t>
      </w:r>
      <w:r>
        <w:rPr>
          <w:rFonts w:ascii="Verdana" w:eastAsia="Calibri" w:hAnsi="Verdana" w:cs="Times New Roman"/>
          <w:iCs/>
          <w:lang w:val="es-ES"/>
        </w:rPr>
        <w:t>subsidios y cuáles serían los documentos a publicar</w:t>
      </w:r>
      <w:r w:rsidRPr="006506D8">
        <w:rPr>
          <w:rFonts w:ascii="Verdana" w:eastAsia="Calibri" w:hAnsi="Verdana" w:cs="Times New Roman"/>
          <w:iCs/>
          <w:lang w:val="es-ES"/>
        </w:rPr>
        <w:t>?</w:t>
      </w:r>
    </w:p>
    <w:p w14:paraId="244BBD34" w14:textId="77777777" w:rsidR="00A7153D" w:rsidRPr="00B57A1B" w:rsidRDefault="00A7153D" w:rsidP="00A7153D">
      <w:pPr>
        <w:spacing w:after="0" w:line="276" w:lineRule="auto"/>
        <w:jc w:val="both"/>
        <w:rPr>
          <w:rFonts w:ascii="Verdana" w:eastAsia="Calibri" w:hAnsi="Verdana" w:cs="Times New Roman"/>
          <w:i/>
          <w:iCs/>
          <w:lang w:val="es-ES"/>
        </w:rPr>
      </w:pPr>
    </w:p>
    <w:p w14:paraId="08A647BD" w14:textId="77777777" w:rsidR="00A7153D" w:rsidRPr="00B57A1B" w:rsidRDefault="00A7153D" w:rsidP="00A7153D">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6E1ADAF3" w14:textId="77777777" w:rsidR="00A7153D" w:rsidRPr="00B57A1B" w:rsidRDefault="00A7153D" w:rsidP="00A7153D">
      <w:pPr>
        <w:spacing w:after="0" w:line="276" w:lineRule="auto"/>
        <w:rPr>
          <w:rFonts w:ascii="Verdana" w:eastAsia="Calibri" w:hAnsi="Verdana" w:cs="Times New Roman"/>
          <w:b/>
          <w:bCs/>
          <w:lang w:val="es-ES"/>
        </w:rPr>
      </w:pPr>
    </w:p>
    <w:tbl>
      <w:tblPr>
        <w:tblStyle w:val="Tablaconcuadrcula"/>
        <w:tblW w:w="878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A7153D" w:rsidRPr="00B57A1B" w14:paraId="54488F12" w14:textId="77777777" w:rsidTr="00BE429B">
        <w:trPr>
          <w:trHeight w:val="345"/>
        </w:trPr>
        <w:tc>
          <w:tcPr>
            <w:tcW w:w="8784" w:type="dxa"/>
            <w:tcBorders>
              <w:bottom w:val="single" w:sz="4" w:space="0" w:color="auto"/>
            </w:tcBorders>
          </w:tcPr>
          <w:p w14:paraId="174E8C73" w14:textId="77777777" w:rsidR="00A7153D" w:rsidRDefault="00A7153D" w:rsidP="00BE429B">
            <w:pPr>
              <w:spacing w:line="276" w:lineRule="auto"/>
              <w:jc w:val="both"/>
              <w:rPr>
                <w:rFonts w:ascii="Verdana" w:hAnsi="Verdana" w:cs="Arial"/>
                <w:lang w:val="es-ES" w:eastAsia="es-ES"/>
              </w:rPr>
            </w:pPr>
            <w:r>
              <w:rPr>
                <w:rFonts w:ascii="Verdana" w:hAnsi="Verdana" w:cs="Arial"/>
                <w:lang w:val="es-ES" w:eastAsia="es-ES"/>
              </w:rPr>
              <w:t>De acuerdo con los problemas jurídicos, objeto de consulta, se expresa lo siguiente:</w:t>
            </w:r>
          </w:p>
          <w:p w14:paraId="3B6EC81B" w14:textId="77777777" w:rsidR="00A7153D" w:rsidRDefault="00A7153D" w:rsidP="00BE429B">
            <w:pPr>
              <w:spacing w:line="276" w:lineRule="auto"/>
              <w:jc w:val="both"/>
              <w:rPr>
                <w:rFonts w:ascii="Verdana" w:hAnsi="Verdana" w:cs="Arial"/>
                <w:lang w:val="es-ES" w:eastAsia="es-ES"/>
              </w:rPr>
            </w:pPr>
          </w:p>
          <w:p w14:paraId="23FF93B8" w14:textId="77777777" w:rsidR="00A7153D" w:rsidRDefault="00A7153D" w:rsidP="00BE429B">
            <w:pPr>
              <w:spacing w:after="120" w:line="276" w:lineRule="auto"/>
              <w:jc w:val="both"/>
              <w:rPr>
                <w:rFonts w:ascii="Verdana" w:hAnsi="Verdana"/>
              </w:rPr>
            </w:pPr>
            <w:r>
              <w:rPr>
                <w:rFonts w:ascii="Verdana" w:hAnsi="Verdana" w:cs="Arial"/>
                <w:lang w:val="es-ES" w:eastAsia="es-ES"/>
              </w:rPr>
              <w:t>i.</w:t>
            </w:r>
            <w:r w:rsidRPr="003C5FD9">
              <w:rPr>
                <w:rFonts w:ascii="Verdana" w:hAnsi="Verdana"/>
              </w:rPr>
              <w:t xml:space="preserve"> </w:t>
            </w:r>
            <w:r>
              <w:rPr>
                <w:rFonts w:ascii="Verdana" w:hAnsi="Verdana"/>
              </w:rPr>
              <w:t xml:space="preserve">De acuerdo con el primer problema jurídico, se destaca que </w:t>
            </w:r>
            <w:r w:rsidRPr="003C5FD9">
              <w:rPr>
                <w:rFonts w:ascii="Verdana" w:hAnsi="Verdana"/>
              </w:rPr>
              <w:t xml:space="preserve">las entidades territoriales realizan giros o transferencias de recursos provenientes del Fondo de Solidaridad y Redistribución de Ingresos, así como de otros mecanismos de subsidio, a favor de los prestadores de servicios públicos domiciliarios. Estos prestadores pueden </w:t>
            </w:r>
            <w:r>
              <w:rPr>
                <w:rFonts w:ascii="Verdana" w:hAnsi="Verdana"/>
              </w:rPr>
              <w:t>ser</w:t>
            </w:r>
            <w:r w:rsidRPr="003C5FD9">
              <w:rPr>
                <w:rFonts w:ascii="Verdana" w:hAnsi="Verdana"/>
              </w:rPr>
              <w:t xml:space="preserve"> </w:t>
            </w:r>
            <w:r>
              <w:rPr>
                <w:rFonts w:ascii="Verdana" w:hAnsi="Verdana"/>
              </w:rPr>
              <w:t xml:space="preserve">una empresa de servicios públicos domiciliarios de </w:t>
            </w:r>
            <w:r w:rsidRPr="003C5FD9">
              <w:rPr>
                <w:rFonts w:ascii="Verdana" w:hAnsi="Verdana"/>
              </w:rPr>
              <w:t>naturaleza públ</w:t>
            </w:r>
            <w:r>
              <w:rPr>
                <w:rFonts w:ascii="Verdana" w:hAnsi="Verdana"/>
              </w:rPr>
              <w:t>ica, mixta o privada -</w:t>
            </w:r>
            <w:r w:rsidRPr="003C5FD9">
              <w:rPr>
                <w:rFonts w:ascii="Verdana" w:hAnsi="Verdana"/>
              </w:rPr>
              <w:t>con o sin participación estatal</w:t>
            </w:r>
            <w:r>
              <w:rPr>
                <w:rFonts w:ascii="Verdana" w:hAnsi="Verdana"/>
              </w:rPr>
              <w:t>-</w:t>
            </w:r>
            <w:r w:rsidRPr="003C5FD9">
              <w:rPr>
                <w:rFonts w:ascii="Verdana" w:hAnsi="Verdana"/>
              </w:rPr>
              <w:t>. Para la ejecución de dichas transferencias, se emplean instrumentos jurídicos como los convenios de transferencia de recursos.</w:t>
            </w:r>
            <w:r>
              <w:rPr>
                <w:rFonts w:ascii="Verdana" w:hAnsi="Verdana"/>
              </w:rPr>
              <w:t xml:space="preserve"> </w:t>
            </w:r>
          </w:p>
          <w:p w14:paraId="1ED2C081" w14:textId="77777777" w:rsidR="00A7153D" w:rsidRDefault="00A7153D" w:rsidP="00BE429B">
            <w:pPr>
              <w:spacing w:after="120" w:line="276" w:lineRule="auto"/>
              <w:ind w:firstLine="709"/>
              <w:jc w:val="both"/>
              <w:rPr>
                <w:rFonts w:ascii="Verdana" w:hAnsi="Verdana"/>
              </w:rPr>
            </w:pPr>
            <w:r>
              <w:rPr>
                <w:rFonts w:ascii="Verdana" w:hAnsi="Verdana"/>
              </w:rPr>
              <w:t>En este escenario, l</w:t>
            </w:r>
            <w:r w:rsidRPr="00055945">
              <w:rPr>
                <w:rFonts w:ascii="Verdana" w:hAnsi="Verdana"/>
              </w:rPr>
              <w:t xml:space="preserve">a </w:t>
            </w:r>
            <w:r>
              <w:rPr>
                <w:rFonts w:ascii="Verdana" w:hAnsi="Verdana"/>
              </w:rPr>
              <w:t>denominación de</w:t>
            </w:r>
            <w:r w:rsidRPr="00055945">
              <w:rPr>
                <w:rFonts w:ascii="Verdana" w:hAnsi="Verdana"/>
              </w:rPr>
              <w:t xml:space="preserve"> convenios de tra</w:t>
            </w:r>
            <w:r>
              <w:rPr>
                <w:rFonts w:ascii="Verdana" w:hAnsi="Verdana"/>
              </w:rPr>
              <w:t xml:space="preserve">nsferencia de recursos depende de la naturaleza </w:t>
            </w:r>
            <w:r w:rsidRPr="00055945">
              <w:rPr>
                <w:rFonts w:ascii="Verdana" w:hAnsi="Verdana"/>
              </w:rPr>
              <w:t xml:space="preserve">jurídica de las partes que los suscriben. Cuando una entidad territorial celebra estos acuerdos con empresas de servicios públicos de carácter público, mixto o privado con participación estatal, se configura un contrato o convenio interadministrativo. Ello </w:t>
            </w:r>
            <w:r>
              <w:rPr>
                <w:rFonts w:ascii="Verdana" w:hAnsi="Verdana"/>
              </w:rPr>
              <w:t>se sustenta en que dichas empresas son catalogadas como entidades descentralizadas por servicios</w:t>
            </w:r>
            <w:r w:rsidRPr="00055945">
              <w:rPr>
                <w:rFonts w:ascii="Verdana" w:hAnsi="Verdana"/>
              </w:rPr>
              <w:t xml:space="preserve">, conforme a lo </w:t>
            </w:r>
            <w:r>
              <w:rPr>
                <w:rFonts w:ascii="Verdana" w:hAnsi="Verdana"/>
              </w:rPr>
              <w:t xml:space="preserve">expresado </w:t>
            </w:r>
            <w:r w:rsidRPr="00055945">
              <w:rPr>
                <w:rFonts w:ascii="Verdana" w:hAnsi="Verdana"/>
              </w:rPr>
              <w:t>por la Corte Constitucional en la Sentencia C-736 de 200</w:t>
            </w:r>
            <w:r>
              <w:rPr>
                <w:rFonts w:ascii="Verdana" w:hAnsi="Verdana"/>
              </w:rPr>
              <w:t>7</w:t>
            </w:r>
            <w:r w:rsidRPr="00055945">
              <w:rPr>
                <w:rFonts w:ascii="Verdana" w:hAnsi="Verdana"/>
              </w:rPr>
              <w:t>, lo que les otorga un carácter especial dentro de la estructura administrativa del Estad</w:t>
            </w:r>
            <w:r>
              <w:rPr>
                <w:rFonts w:ascii="Verdana" w:hAnsi="Verdana"/>
              </w:rPr>
              <w:t xml:space="preserve">o. </w:t>
            </w:r>
          </w:p>
          <w:p w14:paraId="162FD35B" w14:textId="77777777" w:rsidR="00A7153D" w:rsidRDefault="00A7153D" w:rsidP="00BE429B">
            <w:pPr>
              <w:spacing w:after="120" w:line="276" w:lineRule="auto"/>
              <w:ind w:firstLine="709"/>
              <w:jc w:val="both"/>
              <w:rPr>
                <w:rFonts w:ascii="Verdana" w:hAnsi="Verdana"/>
              </w:rPr>
            </w:pPr>
            <w:r>
              <w:rPr>
                <w:rFonts w:ascii="Verdana" w:hAnsi="Verdana"/>
              </w:rPr>
              <w:t xml:space="preserve">En torno a este tema, la Superintendencia de Servicios Públicos Domiciliarios ha expresado que dichos negocios jurídicos no son una modalidad tipificada en el Derecho Público y en el Derecho Privado, por lo que corresponde a la autonomía de las partes. Al respecto, señaló: “[…] estos contratos son una modalidad especial que no se encuentra tipificada en el derecho público ni en el derecho privado, </w:t>
            </w:r>
            <w:proofErr w:type="gramStart"/>
            <w:r>
              <w:rPr>
                <w:rFonts w:ascii="Verdana" w:hAnsi="Verdana"/>
              </w:rPr>
              <w:t>y</w:t>
            </w:r>
            <w:proofErr w:type="gramEnd"/>
            <w:r>
              <w:rPr>
                <w:rFonts w:ascii="Verdana" w:hAnsi="Verdana"/>
              </w:rPr>
              <w:t xml:space="preserve"> por ende, sus condiciones se encuentran sujetas a la autonomía de la voluntad de las partes que lo suscriben, lo cual debe plasmarse en el texto contractual”. </w:t>
            </w:r>
          </w:p>
          <w:p w14:paraId="43CC1044" w14:textId="77777777" w:rsidR="00A7153D" w:rsidRDefault="00A7153D" w:rsidP="00BE429B">
            <w:pPr>
              <w:spacing w:after="120" w:line="276" w:lineRule="auto"/>
              <w:ind w:firstLine="709"/>
              <w:jc w:val="both"/>
              <w:rPr>
                <w:rFonts w:ascii="Verdana" w:hAnsi="Verdana"/>
              </w:rPr>
            </w:pPr>
            <w:r>
              <w:rPr>
                <w:rFonts w:ascii="Verdana" w:hAnsi="Verdana"/>
              </w:rPr>
              <w:t xml:space="preserve">Ahora bien, la calidad de contrato o convenio depende del tipo de obligaciones que se adquieren por cada una de las partes de la relación </w:t>
            </w:r>
            <w:r>
              <w:rPr>
                <w:rFonts w:ascii="Verdana" w:hAnsi="Verdana"/>
              </w:rPr>
              <w:lastRenderedPageBreak/>
              <w:t>contractual. Por ejemplo, l</w:t>
            </w:r>
            <w:r w:rsidRPr="00DF7C2F">
              <w:rPr>
                <w:rFonts w:ascii="Verdana" w:hAnsi="Verdana"/>
              </w:rPr>
              <w:t>os contratos</w:t>
            </w:r>
            <w:r>
              <w:rPr>
                <w:rFonts w:ascii="Verdana" w:hAnsi="Verdana"/>
              </w:rPr>
              <w:t xml:space="preserve"> interadministrativos</w:t>
            </w:r>
            <w:r w:rsidRPr="00DF7C2F">
              <w:rPr>
                <w:rFonts w:ascii="Verdana" w:hAnsi="Verdana"/>
              </w:rPr>
              <w:t xml:space="preserve"> implican obligaciones de contenido patrimonial, por lo que son onerosos y cada parte asume un gravamen en beneficio de la otra; además, las partes actúan con intereses opuestos: la entidad estatal contratante busca satisfacer el interés público, mientras que la entidad contratista</w:t>
            </w:r>
            <w:r>
              <w:rPr>
                <w:rFonts w:ascii="Verdana" w:hAnsi="Verdana"/>
              </w:rPr>
              <w:t xml:space="preserve"> </w:t>
            </w:r>
            <w:r w:rsidRPr="00DF7C2F">
              <w:rPr>
                <w:rFonts w:ascii="Verdana" w:hAnsi="Verdana"/>
              </w:rPr>
              <w:t xml:space="preserve">persigue un interés propio de carácter económico. </w:t>
            </w:r>
            <w:r>
              <w:rPr>
                <w:rFonts w:ascii="Verdana" w:hAnsi="Verdana"/>
              </w:rPr>
              <w:t>Por otro lado</w:t>
            </w:r>
            <w:r w:rsidRPr="00DF7C2F">
              <w:rPr>
                <w:rFonts w:ascii="Verdana" w:hAnsi="Verdana"/>
              </w:rPr>
              <w:t xml:space="preserve">, los convenios no tienen una finalidad lucrativa, pues su objeto es desarrollar actividades que contribuyen directamente a un fin común, de </w:t>
            </w:r>
            <w:r>
              <w:rPr>
                <w:rFonts w:ascii="Verdana" w:hAnsi="Verdana"/>
              </w:rPr>
              <w:t xml:space="preserve">tal forma que </w:t>
            </w:r>
            <w:r w:rsidRPr="00DF7C2F">
              <w:rPr>
                <w:rFonts w:ascii="Verdana" w:hAnsi="Verdana"/>
              </w:rPr>
              <w:t>las entidades involucradas actúan con intereses convergentes y cooperan para cumplir funciones administrativas o prestar servicios alineados con el interés general, sin que exista</w:t>
            </w:r>
            <w:r>
              <w:rPr>
                <w:rFonts w:ascii="Verdana" w:hAnsi="Verdana"/>
              </w:rPr>
              <w:t xml:space="preserve"> una contraprestación propiamente dicha</w:t>
            </w:r>
            <w:r w:rsidRPr="00DF7C2F">
              <w:rPr>
                <w:rFonts w:ascii="Verdana" w:hAnsi="Verdana"/>
              </w:rPr>
              <w:t>.</w:t>
            </w:r>
          </w:p>
          <w:p w14:paraId="0698E21D" w14:textId="77777777" w:rsidR="00A7153D" w:rsidRDefault="00A7153D" w:rsidP="00BE429B">
            <w:pPr>
              <w:spacing w:line="276" w:lineRule="auto"/>
              <w:ind w:firstLine="709"/>
              <w:jc w:val="both"/>
              <w:rPr>
                <w:rFonts w:ascii="Verdana" w:hAnsi="Verdana"/>
              </w:rPr>
            </w:pPr>
            <w:r w:rsidRPr="00055945">
              <w:rPr>
                <w:rFonts w:ascii="Verdana" w:hAnsi="Verdana"/>
              </w:rPr>
              <w:t>Por el contrario, cuando las entidades territoriales suscriben convenios o contratos con empresas de servicios públicos cuyo capital es 100% privado, estos no adquieren la calidad de interadministrativos. La razón es que tales empresas no son catalogadas como entidades descentralizadas por servicios, sino como personas jurídicas de derecho privado</w:t>
            </w:r>
            <w:r>
              <w:rPr>
                <w:rFonts w:ascii="Verdana" w:hAnsi="Verdana"/>
              </w:rPr>
              <w:t xml:space="preserve"> que prestan un servicio público</w:t>
            </w:r>
            <w:r w:rsidRPr="00055945">
              <w:rPr>
                <w:rFonts w:ascii="Verdana" w:hAnsi="Verdana"/>
              </w:rPr>
              <w:t>, lo que implica</w:t>
            </w:r>
            <w:r>
              <w:rPr>
                <w:rFonts w:ascii="Verdana" w:hAnsi="Verdana"/>
              </w:rPr>
              <w:t xml:space="preserve"> que no se aluda a que la relación contractual se denomine un contrato o convenio interadministrativo, a pesar de que el objeto y las finalidades sean idénticas o similares</w:t>
            </w:r>
            <w:r w:rsidRPr="00055945">
              <w:rPr>
                <w:rFonts w:ascii="Verdana" w:hAnsi="Verdana"/>
              </w:rPr>
              <w:t>.</w:t>
            </w:r>
            <w:r>
              <w:rPr>
                <w:rFonts w:ascii="Verdana" w:hAnsi="Verdana"/>
              </w:rPr>
              <w:t xml:space="preserve"> </w:t>
            </w:r>
          </w:p>
          <w:p w14:paraId="32272B1B" w14:textId="77777777" w:rsidR="00A7153D" w:rsidRDefault="00A7153D" w:rsidP="00BE429B">
            <w:pPr>
              <w:spacing w:line="276" w:lineRule="auto"/>
              <w:jc w:val="both"/>
              <w:rPr>
                <w:rFonts w:ascii="Verdana" w:hAnsi="Verdana" w:cs="Arial"/>
                <w:lang w:val="es-ES" w:eastAsia="es-ES"/>
              </w:rPr>
            </w:pPr>
          </w:p>
          <w:p w14:paraId="23AD89F8" w14:textId="77777777" w:rsidR="00A7153D" w:rsidRPr="00E2397D" w:rsidRDefault="00A7153D" w:rsidP="00BE429B">
            <w:pPr>
              <w:spacing w:after="120" w:line="276" w:lineRule="auto"/>
              <w:jc w:val="both"/>
              <w:rPr>
                <w:rFonts w:ascii="Verdana" w:eastAsia="Arial" w:hAnsi="Verdana" w:cs="Arial"/>
                <w:lang w:val="es-ES" w:eastAsia="es-ES" w:bidi="es-ES"/>
              </w:rPr>
            </w:pPr>
            <w:proofErr w:type="spellStart"/>
            <w:r>
              <w:rPr>
                <w:rFonts w:ascii="Verdana" w:hAnsi="Verdana" w:cs="Arial"/>
                <w:lang w:val="es-ES" w:eastAsia="es-ES"/>
              </w:rPr>
              <w:t>ii</w:t>
            </w:r>
            <w:proofErr w:type="spellEnd"/>
            <w:r>
              <w:rPr>
                <w:rFonts w:ascii="Verdana" w:hAnsi="Verdana" w:cs="Arial"/>
                <w:lang w:val="es-ES" w:eastAsia="es-ES"/>
              </w:rPr>
              <w:t xml:space="preserve">. De acuerdo con el segundo problema jurídico, objeto de consulta, se señala que </w:t>
            </w:r>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convenios interadministrativos que impliquen la ejecución de recursos públicos dentro </w:t>
            </w:r>
            <w:r w:rsidRPr="00E2397D">
              <w:rPr>
                <w:rFonts w:ascii="Verdana" w:eastAsia="Arial" w:hAnsi="Verdana" w:cs="Arial"/>
                <w:lang w:val="es-ES" w:eastAsia="es-ES" w:bidi="es-ES"/>
              </w:rPr>
              <w:lastRenderedPageBreak/>
              <w:t>de los cuatro (4) meses anteriores a la respectiva jornada de votaciones.</w:t>
            </w:r>
            <w:r>
              <w:rPr>
                <w:rFonts w:ascii="Verdana" w:eastAsia="Arial" w:hAnsi="Verdana" w:cs="Arial"/>
                <w:lang w:val="es-ES" w:eastAsia="es-ES" w:bidi="es-ES"/>
              </w:rPr>
              <w:t xml:space="preserve"> </w:t>
            </w: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5392BCCB" w14:textId="77777777" w:rsidR="00A7153D" w:rsidRDefault="00A7153D" w:rsidP="00BE429B">
            <w:pPr>
              <w:spacing w:after="120" w:line="276" w:lineRule="auto"/>
              <w:ind w:firstLine="708"/>
              <w:jc w:val="both"/>
              <w:rPr>
                <w:rFonts w:ascii="Verdana" w:eastAsia="Times New Roman" w:hAnsi="Verdana" w:cs="Times New Roman"/>
                <w:iCs/>
                <w:lang w:val="es-ES" w:eastAsia="es-ES"/>
              </w:rPr>
            </w:pPr>
            <w:r>
              <w:rPr>
                <w:rFonts w:ascii="Verdana" w:eastAsia="Times New Roman" w:hAnsi="Verdana" w:cs="Arial"/>
                <w:bCs/>
                <w:lang w:val="es-MX" w:eastAsia="x-none"/>
              </w:rPr>
              <w:t xml:space="preserve">Es importante señalar que </w:t>
            </w:r>
            <w:r w:rsidRPr="0057193B">
              <w:rPr>
                <w:rFonts w:ascii="Verdana" w:eastAsia="Times New Roman" w:hAnsi="Verdana" w:cs="Arial"/>
                <w:bCs/>
                <w:lang w:val="es-MX" w:eastAsia="x-none"/>
              </w:rPr>
              <w:t>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t xml:space="preserve"> </w:t>
            </w:r>
            <w:r w:rsidRPr="0057193B">
              <w:rPr>
                <w:rFonts w:ascii="Verdana" w:eastAsia="Times New Roman" w:hAnsi="Verdana" w:cs="Arial"/>
                <w:bCs/>
                <w:lang w:val="es-MX" w:eastAsia="x-none"/>
              </w:rPr>
              <w:t xml:space="preserve">De lo anterior se desprende que la restricción </w:t>
            </w:r>
            <w:r>
              <w:rPr>
                <w:rFonts w:ascii="Verdana" w:eastAsia="Times New Roman" w:hAnsi="Verdana" w:cs="Arial"/>
                <w:bCs/>
                <w:lang w:val="es-MX" w:eastAsia="x-none"/>
              </w:rPr>
              <w:t xml:space="preserve">del artículo 33 </w:t>
            </w:r>
            <w:r w:rsidRPr="0057193B">
              <w:rPr>
                <w:rFonts w:ascii="Verdana" w:eastAsia="Times New Roman" w:hAnsi="Verdana" w:cs="Arial"/>
                <w:bCs/>
                <w:lang w:val="es-MX" w:eastAsia="x-none"/>
              </w:rPr>
              <w:t xml:space="preserve">aplica, sin perjuicio de las excepciones establecidas </w:t>
            </w:r>
            <w:r w:rsidRPr="00B2403B">
              <w:rPr>
                <w:rFonts w:ascii="Verdana" w:eastAsia="Times New Roman" w:hAnsi="Verdana" w:cs="Arial"/>
                <w:bCs/>
                <w:lang w:val="es-MX" w:eastAsia="x-none"/>
              </w:rPr>
              <w:t>en el inciso final del</w:t>
            </w:r>
            <w:r>
              <w:rPr>
                <w:rFonts w:ascii="Verdana" w:eastAsia="Times New Roman" w:hAnsi="Verdana" w:cs="Arial"/>
                <w:bCs/>
                <w:lang w:val="es-MX" w:eastAsia="x-none"/>
              </w:rPr>
              <w:t xml:space="preserve"> precitado artículo:</w:t>
            </w:r>
            <w:r w:rsidRPr="00B2403B">
              <w:rPr>
                <w:rFonts w:ascii="Verdana" w:eastAsia="Times New Roman" w:hAnsi="Verdana" w:cs="Arial"/>
                <w:bCs/>
                <w:lang w:val="es-MX" w:eastAsia="x-none"/>
              </w:rPr>
              <w:t xml:space="preserve"> a i) la defensa y seguridad del Estado; </w:t>
            </w:r>
            <w:proofErr w:type="spellStart"/>
            <w:r w:rsidRPr="00B2403B">
              <w:rPr>
                <w:rFonts w:ascii="Verdana" w:eastAsia="Times New Roman" w:hAnsi="Verdana" w:cs="Arial"/>
                <w:bCs/>
                <w:lang w:val="es-MX" w:eastAsia="x-none"/>
              </w:rPr>
              <w:t>ii</w:t>
            </w:r>
            <w:proofErr w:type="spellEnd"/>
            <w:r w:rsidRPr="00B2403B">
              <w:rPr>
                <w:rFonts w:ascii="Verdana" w:eastAsia="Times New Roman" w:hAnsi="Verdana" w:cs="Arial"/>
                <w:bCs/>
                <w:lang w:val="es-MX" w:eastAsia="x-none"/>
              </w:rPr>
              <w:t xml:space="preserve">) los contratos de crédito público; </w:t>
            </w:r>
            <w:proofErr w:type="spellStart"/>
            <w:r w:rsidRPr="00B2403B">
              <w:rPr>
                <w:rFonts w:ascii="Verdana" w:eastAsia="Times New Roman" w:hAnsi="Verdana" w:cs="Arial"/>
                <w:bCs/>
                <w:lang w:val="es-MX" w:eastAsia="x-none"/>
              </w:rPr>
              <w:t>iii</w:t>
            </w:r>
            <w:proofErr w:type="spellEnd"/>
            <w:r w:rsidRPr="00B2403B">
              <w:rPr>
                <w:rFonts w:ascii="Verdana" w:eastAsia="Times New Roman" w:hAnsi="Verdana" w:cs="Arial"/>
                <w:bCs/>
                <w:lang w:val="es-MX" w:eastAsia="x-none"/>
              </w:rPr>
              <w:t xml:space="preserve">) los requeridos para cubrir las emergencias educativas, sanitarias y desastres; </w:t>
            </w:r>
            <w:proofErr w:type="spellStart"/>
            <w:r w:rsidRPr="00B2403B">
              <w:rPr>
                <w:rFonts w:ascii="Verdana" w:eastAsia="Times New Roman" w:hAnsi="Verdana" w:cs="Arial"/>
                <w:bCs/>
                <w:lang w:val="es-MX" w:eastAsia="x-none"/>
              </w:rPr>
              <w:t>iv</w:t>
            </w:r>
            <w:proofErr w:type="spellEnd"/>
            <w:r w:rsidRPr="00B240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2403B">
              <w:rPr>
                <w:rFonts w:ascii="Verdana" w:eastAsia="Times New Roman" w:hAnsi="Verdana" w:cs="Arial"/>
                <w:bCs/>
                <w:lang w:val="es-MX" w:eastAsia="es-CO"/>
              </w:rPr>
              <w:t xml:space="preserve"> Así mismo, la Corte Constitucional en la Sentencia C-1153 de 2005 señaló que la expresión </w:t>
            </w:r>
            <w:r w:rsidRPr="00B2403B">
              <w:rPr>
                <w:rFonts w:ascii="Verdana" w:eastAsia="Times New Roman" w:hAnsi="Verdana" w:cs="Times New Roman"/>
                <w:i/>
                <w:iCs/>
                <w:lang w:val="es-ES" w:eastAsia="es-ES"/>
              </w:rPr>
              <w:t>“adicionalmente se exceptúan aquellos gastos inaplazables e imprescindibles que afecten el normal funci</w:t>
            </w:r>
            <w:r>
              <w:rPr>
                <w:rFonts w:ascii="Verdana" w:eastAsia="Times New Roman" w:hAnsi="Verdana" w:cs="Times New Roman"/>
                <w:i/>
                <w:iCs/>
                <w:lang w:val="es-ES" w:eastAsia="es-ES"/>
              </w:rPr>
              <w:t>onamiento de la administración</w:t>
            </w:r>
            <w:r w:rsidRPr="00B2403B">
              <w:rPr>
                <w:rFonts w:ascii="Verdana" w:eastAsia="Times New Roman" w:hAnsi="Verdana" w:cs="Times New Roman"/>
                <w:i/>
                <w:iCs/>
                <w:lang w:val="es-ES" w:eastAsia="es-ES"/>
              </w:rPr>
              <w:t>”</w:t>
            </w:r>
            <w:r>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regulada como excepción en el artículo 33</w:t>
            </w:r>
            <w:r w:rsidRPr="00B2403B">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es demasiado amplia y ambigua, pues términos como inaplazable, imprescindible y normal funcionamiento son evaluativos y sujetos a interpretaciones diversas, lo que permitiría introducir mú</w:t>
            </w:r>
            <w:r>
              <w:rPr>
                <w:rFonts w:ascii="Verdana" w:eastAsia="Times New Roman" w:hAnsi="Verdana" w:cs="Times New Roman"/>
                <w:iCs/>
                <w:lang w:val="es-ES" w:eastAsia="es-ES"/>
              </w:rPr>
              <w:t>ltiples excepciones que desfigurarían</w:t>
            </w:r>
            <w:r w:rsidRPr="00B2403B">
              <w:rPr>
                <w:rFonts w:ascii="Verdana" w:eastAsia="Times New Roman" w:hAnsi="Verdana" w:cs="Times New Roman"/>
                <w:iCs/>
                <w:lang w:val="es-ES" w:eastAsia="es-ES"/>
              </w:rPr>
              <w:t xml:space="preserve"> la prohibición original y comp</w:t>
            </w:r>
            <w:r>
              <w:rPr>
                <w:rFonts w:ascii="Verdana" w:eastAsia="Times New Roman" w:hAnsi="Verdana" w:cs="Times New Roman"/>
                <w:iCs/>
                <w:lang w:val="es-ES" w:eastAsia="es-ES"/>
              </w:rPr>
              <w:t>rometerían los fines y propósitos de la Ley de Garantías Electorales</w:t>
            </w:r>
            <w:r w:rsidRPr="00B2403B">
              <w:rPr>
                <w:rFonts w:ascii="Verdana" w:eastAsia="Times New Roman" w:hAnsi="Verdana" w:cs="Times New Roman"/>
                <w:iCs/>
                <w:lang w:val="es-ES" w:eastAsia="es-ES"/>
              </w:rPr>
              <w:t>.</w:t>
            </w:r>
            <w:r w:rsidRPr="00B2403B">
              <w:rPr>
                <w:rFonts w:ascii="Verdana" w:eastAsia="Times New Roman" w:hAnsi="Verdana" w:cs="Times New Roman"/>
                <w:i/>
                <w:iCs/>
                <w:lang w:val="es-ES" w:eastAsia="es-ES"/>
              </w:rPr>
              <w:t xml:space="preserve"> </w:t>
            </w:r>
            <w:r w:rsidRPr="00B95F21">
              <w:rPr>
                <w:rFonts w:ascii="Verdana" w:eastAsia="Times New Roman" w:hAnsi="Verdana" w:cs="Times New Roman"/>
                <w:iCs/>
                <w:lang w:val="es-ES" w:eastAsia="es-ES"/>
              </w:rPr>
              <w:t>Por tanto, dicha expresión fue declarada inexequible, razón por la cual no es posible que las entidades argumenten razones como esta para exceptuar la restricción del artículo 33.</w:t>
            </w:r>
          </w:p>
          <w:p w14:paraId="3F619F72" w14:textId="77777777" w:rsidR="00A7153D" w:rsidRPr="000D3291" w:rsidRDefault="00A7153D" w:rsidP="00BE429B">
            <w:pPr>
              <w:spacing w:after="120" w:line="276" w:lineRule="auto"/>
              <w:ind w:firstLine="709"/>
              <w:jc w:val="both"/>
              <w:rPr>
                <w:rFonts w:ascii="Verdana" w:hAnsi="Verdana"/>
                <w:sz w:val="20"/>
                <w:szCs w:val="20"/>
              </w:rPr>
            </w:pPr>
            <w:r>
              <w:rPr>
                <w:rFonts w:ascii="Verdana" w:eastAsia="Times New Roman" w:hAnsi="Verdana" w:cs="Arial"/>
                <w:bCs/>
                <w:lang w:val="es-MX" w:eastAsia="es-CO"/>
              </w:rPr>
              <w:t xml:space="preserve">Por otro lado, el artículo 38 frente a la prohibición de celebrar convenios interadministrativos para la ejecución de recursos públicos no establece </w:t>
            </w:r>
            <w:r>
              <w:rPr>
                <w:rFonts w:ascii="Verdana" w:eastAsia="Times New Roman" w:hAnsi="Verdana" w:cs="Arial"/>
                <w:bCs/>
                <w:lang w:val="es-MX" w:eastAsia="es-CO"/>
              </w:rPr>
              <w:lastRenderedPageBreak/>
              <w:t xml:space="preserve">excepciones como el artículo 33, para que puedan adelantarse sin ninguna dificultad. Así mismo, el Consejo de Estado señaló que el concepto de convenio interadministrativo no es aplicable a los contratos interadministrativos, pues son instituciones totalmente diferentes. </w:t>
            </w:r>
          </w:p>
          <w:p w14:paraId="1F2EC13E" w14:textId="77777777" w:rsidR="00A7153D" w:rsidRDefault="00A7153D" w:rsidP="00BE429B">
            <w:pPr>
              <w:spacing w:after="120" w:line="276" w:lineRule="auto"/>
              <w:ind w:firstLine="709"/>
              <w:jc w:val="both"/>
              <w:rPr>
                <w:rFonts w:ascii="Verdana" w:hAnsi="Verdana"/>
                <w:sz w:val="20"/>
                <w:szCs w:val="20"/>
              </w:rPr>
            </w:pPr>
            <w:r>
              <w:rPr>
                <w:rFonts w:ascii="Verdana" w:hAnsi="Verdana"/>
              </w:rPr>
              <w:t xml:space="preserve">Sin perjuicio de lo anterior, Superintendencia de Servicios Públicos en varios conceptos - </w:t>
            </w:r>
            <w:r w:rsidRPr="005D4BFC">
              <w:rPr>
                <w:rFonts w:ascii="Verdana" w:hAnsi="Verdana"/>
              </w:rPr>
              <w:t>C-086 de 2022 y C-194 de 2022</w:t>
            </w:r>
            <w:r>
              <w:rPr>
                <w:rFonts w:ascii="Verdana" w:hAnsi="Verdana"/>
              </w:rPr>
              <w:t>- ha expresado que l</w:t>
            </w:r>
            <w:r w:rsidRPr="00916FC1">
              <w:rPr>
                <w:rFonts w:ascii="Verdana" w:eastAsia="Calibri" w:hAnsi="Verdana" w:cs="Times New Roman"/>
                <w:iCs/>
              </w:rPr>
              <w:t>a celebración de contratos o convenios para la transferencia de recursos destinados a subsidios entre los entes territoriales y los prestadores de servicios públicos constituye una obligación legal esencial</w:t>
            </w:r>
            <w:r>
              <w:rPr>
                <w:rFonts w:ascii="Verdana" w:eastAsia="Calibri" w:hAnsi="Verdana" w:cs="Times New Roman"/>
                <w:iCs/>
              </w:rPr>
              <w:t xml:space="preserve">, exceptuando de la aplicación de la Ley de Garantías. Dicho organismo considera que estos convenios o contratos </w:t>
            </w:r>
            <w:r w:rsidRPr="00916FC1">
              <w:rPr>
                <w:rFonts w:ascii="Verdana" w:eastAsia="Calibri" w:hAnsi="Verdana" w:cs="Times New Roman"/>
                <w:iCs/>
              </w:rPr>
              <w:t>no son opcionales, pues permiten asegurar la continuidad y eficacia en la prestación de los servicios públicos. Por ello, deben interpretarse conforme a los principios y fines superiores del régimen de servicios públicos, los cuales prevalecen sobre las restricciones de la Ley 996 de 2005</w:t>
            </w:r>
            <w:r>
              <w:rPr>
                <w:rFonts w:ascii="Verdana" w:hAnsi="Verdana"/>
                <w:sz w:val="20"/>
                <w:szCs w:val="20"/>
              </w:rPr>
              <w:t xml:space="preserve">. </w:t>
            </w:r>
            <w:r>
              <w:rPr>
                <w:rFonts w:ascii="Verdana" w:eastAsia="Calibri" w:hAnsi="Verdana" w:cs="Times New Roman"/>
                <w:iCs/>
              </w:rPr>
              <w:t xml:space="preserve">Dicha </w:t>
            </w:r>
            <w:r w:rsidRPr="00B2403B">
              <w:rPr>
                <w:rFonts w:ascii="Verdana" w:eastAsia="Calibri" w:hAnsi="Verdana" w:cs="Times New Roman"/>
                <w:iCs/>
              </w:rPr>
              <w:t xml:space="preserve">postura de la Superintendencia de Servicios Públicos Domiciliarios no se basa en las excepciones establecidas en el artículo 33 de la Ley 996 de 2005 o en otras que contemple el ordenamiento jurídico, sino que se basa en el deber constitucional y legal de las entidades territoriales de transferir los subsidios a las empresas de servicios públicos domiciliarios. </w:t>
            </w:r>
          </w:p>
          <w:p w14:paraId="5FB81F6B" w14:textId="77777777" w:rsidR="00A7153D" w:rsidRPr="0046286C" w:rsidRDefault="00A7153D" w:rsidP="00BE429B">
            <w:pPr>
              <w:spacing w:after="120" w:line="276" w:lineRule="auto"/>
              <w:ind w:firstLine="709"/>
              <w:jc w:val="both"/>
              <w:rPr>
                <w:rFonts w:ascii="Verdana" w:eastAsia="Calibri" w:hAnsi="Verdana" w:cs="Arial"/>
                <w:sz w:val="20"/>
                <w:szCs w:val="20"/>
              </w:rPr>
            </w:pPr>
            <w:r w:rsidRPr="0046286C">
              <w:rPr>
                <w:rFonts w:ascii="Verdana" w:eastAsiaTheme="minorEastAsia" w:hAnsi="Verdana" w:cs="Arial"/>
                <w:lang w:eastAsia="es-CO"/>
              </w:rPr>
              <w:t xml:space="preserve">Bajo ese escenario, </w:t>
            </w:r>
            <w:r w:rsidRPr="0046286C">
              <w:rPr>
                <w:rFonts w:ascii="Verdana" w:eastAsia="Arial" w:hAnsi="Verdana" w:cs="Arial"/>
                <w:lang w:val="es-ES" w:eastAsia="es-ES" w:bidi="es-ES"/>
              </w:rPr>
              <w:t>el alcance de esta obligación frente a las restricciones de la Ley de Garantías Electorales, resulta pertinente traer a colación el pronunciamiento de la Sala de Consulta y Servicio Civil del Consejo de Estado</w:t>
            </w:r>
            <w:r w:rsidRPr="0046286C">
              <w:rPr>
                <w:rStyle w:val="Refdenotaalpie"/>
                <w:rFonts w:ascii="Verdana" w:eastAsia="Arial" w:hAnsi="Verdana" w:cs="Arial"/>
                <w:lang w:val="es-ES" w:eastAsia="es-ES" w:bidi="es-ES"/>
              </w:rPr>
              <w:t xml:space="preserve"> </w:t>
            </w:r>
            <w:r w:rsidRPr="0046286C">
              <w:rPr>
                <w:rFonts w:ascii="Verdana" w:hAnsi="Verdana"/>
              </w:rPr>
              <w:t>en Concepto con Radicado 1736</w:t>
            </w:r>
            <w:r w:rsidRPr="0046286C">
              <w:rPr>
                <w:rFonts w:ascii="Verdana" w:eastAsia="Arial" w:hAnsi="Verdana" w:cs="Arial"/>
                <w:lang w:val="es-ES" w:eastAsia="es-ES" w:bidi="es-ES"/>
              </w:rPr>
              <w:t>, el cual en un tema concerniente a las restricciones de la Ley de Garantías Electorales expresa que si bien la seguridad social no está expresamente definida como derecho fundamental, 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sidRPr="0046286C">
              <w:rPr>
                <w:rFonts w:ascii="Verdana" w:eastAsia="Times New Roman" w:hAnsi="Verdana" w:cs="Arial"/>
                <w:bCs/>
                <w:lang w:val="es-ES" w:eastAsia="es-CO"/>
              </w:rPr>
              <w:t xml:space="preserve"> </w:t>
            </w:r>
            <w:r>
              <w:rPr>
                <w:rFonts w:ascii="Verdana" w:eastAsia="Times New Roman" w:hAnsi="Verdana" w:cs="Arial"/>
                <w:bCs/>
                <w:lang w:val="es-ES" w:eastAsia="es-CO"/>
              </w:rPr>
              <w:t>En este contexto, l</w:t>
            </w:r>
            <w:r w:rsidRPr="00C15179">
              <w:rPr>
                <w:rFonts w:ascii="Verdana" w:eastAsia="Times New Roman" w:hAnsi="Verdana" w:cs="Arial"/>
                <w:bCs/>
                <w:lang w:val="es-ES" w:eastAsia="es-CO"/>
              </w:rPr>
              <w:t xml:space="preserve">a Sala de Consulta y Servicio Civil del </w:t>
            </w:r>
            <w:r w:rsidRPr="00C15179">
              <w:rPr>
                <w:rFonts w:ascii="Verdana" w:eastAsia="Times New Roman" w:hAnsi="Verdana" w:cs="Arial"/>
                <w:bCs/>
                <w:lang w:val="es-ES" w:eastAsia="es-CO"/>
              </w:rPr>
              <w:lastRenderedPageBreak/>
              <w:t>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que están vinculados a la garantía de derechos fundamentales.</w:t>
            </w:r>
          </w:p>
          <w:p w14:paraId="0CF539A6" w14:textId="77777777" w:rsidR="002A58CD" w:rsidRDefault="00A7153D" w:rsidP="00BE429B">
            <w:pPr>
              <w:spacing w:after="120" w:line="276" w:lineRule="auto"/>
              <w:ind w:firstLine="708"/>
              <w:jc w:val="both"/>
              <w:rPr>
                <w:rFonts w:ascii="Verdana" w:eastAsia="Times New Roman" w:hAnsi="Verdana" w:cs="Arial"/>
                <w:bCs/>
                <w:lang w:val="es-ES" w:eastAsia="es-CO"/>
              </w:rPr>
            </w:pPr>
            <w:r>
              <w:rPr>
                <w:rFonts w:ascii="Verdana" w:hAnsi="Verdana" w:cs="Arial"/>
                <w:lang w:val="es-ES"/>
              </w:rPr>
              <w:t xml:space="preserve">En todo caso, la Agencia considera que, la posibilidad de suscribir contratos o convenios entre entidades territoriales y empresas de servicios públicos para la transferencia de recursos en el marco de subsidios a los servicios públicos </w:t>
            </w:r>
            <w:proofErr w:type="gramStart"/>
            <w:r>
              <w:rPr>
                <w:rFonts w:ascii="Verdana" w:hAnsi="Verdana" w:cs="Arial"/>
                <w:lang w:val="es-ES"/>
              </w:rPr>
              <w:t>domiciliarios,</w:t>
            </w:r>
            <w:proofErr w:type="gramEnd"/>
            <w:r>
              <w:rPr>
                <w:rFonts w:ascii="Verdana" w:hAnsi="Verdana" w:cs="Arial"/>
                <w:lang w:val="es-ES"/>
              </w:rPr>
              <w:t xml:space="preserve"> depende de si </w:t>
            </w:r>
            <w:proofErr w:type="gramStart"/>
            <w:r>
              <w:rPr>
                <w:rFonts w:ascii="Verdana" w:hAnsi="Verdana" w:cs="Arial"/>
                <w:lang w:val="es-ES"/>
              </w:rPr>
              <w:t>se enmarca dentro de</w:t>
            </w:r>
            <w:proofErr w:type="gramEnd"/>
            <w:r>
              <w:rPr>
                <w:rFonts w:ascii="Verdana" w:hAnsi="Verdana" w:cs="Arial"/>
                <w:lang w:val="es-ES"/>
              </w:rPr>
              <w:t xml:space="preserve"> las excepciones reguladas en el artículo 33 de la Ley 996 de 2005, sin perjuicio de lo expresado por la Sala de Consulta y Servicio Civil del Consejo que se expuso previamente. De otra parte, posturas como la de la Superintendencia de Servicios Públicos acogen la posibilidad de celebrar</w:t>
            </w:r>
            <w:r>
              <w:rPr>
                <w:rFonts w:ascii="Verdana" w:eastAsia="Times New Roman" w:hAnsi="Verdana" w:cs="Arial"/>
                <w:bCs/>
                <w:lang w:val="es-ES" w:eastAsia="es-CO"/>
              </w:rPr>
              <w:t xml:space="preserve"> convenios y contratos por parte de las entidades territoriales con las empresas de servicios públicos domiciliarios en periodo preelectoral, basados en el deber de garantizar la prestación efectiva de los servicios públicos de las personas más vulnerables que tienen una estrecha relación con los derechos fundamentales. </w:t>
            </w:r>
          </w:p>
          <w:p w14:paraId="359A390B" w14:textId="0B27B270" w:rsidR="00A7153D" w:rsidRPr="006D07A8" w:rsidRDefault="00A7153D" w:rsidP="002A58CD">
            <w:pPr>
              <w:spacing w:after="120" w:line="276" w:lineRule="auto"/>
              <w:jc w:val="both"/>
              <w:rPr>
                <w:rFonts w:ascii="Verdana" w:hAnsi="Verdana" w:cs="Arial"/>
                <w:lang w:val="es-ES"/>
              </w:rPr>
            </w:pPr>
            <w:r>
              <w:rPr>
                <w:rFonts w:ascii="Verdana" w:eastAsia="Times New Roman" w:hAnsi="Verdana" w:cs="Arial"/>
                <w:bCs/>
                <w:lang w:val="es-ES" w:eastAsia="es-CO"/>
              </w:rPr>
              <w:t xml:space="preserve"> </w:t>
            </w:r>
          </w:p>
          <w:p w14:paraId="788B276B" w14:textId="77777777" w:rsidR="00A7153D" w:rsidRDefault="00A7153D" w:rsidP="00BE429B">
            <w:pPr>
              <w:spacing w:before="120" w:after="120" w:line="276" w:lineRule="auto"/>
              <w:jc w:val="both"/>
              <w:rPr>
                <w:rFonts w:ascii="Verdana" w:eastAsia="Times New Roman" w:hAnsi="Verdana" w:cs="Arial"/>
                <w:lang w:val="es-ES_tradnl" w:eastAsia="es-ES_tradnl"/>
                <w14:ligatures w14:val="standardContextual"/>
              </w:rPr>
            </w:pPr>
            <w:proofErr w:type="spellStart"/>
            <w:r>
              <w:rPr>
                <w:rFonts w:ascii="Verdana" w:hAnsi="Verdana" w:cs="Arial"/>
                <w:lang w:val="es-MX" w:eastAsia="es-ES"/>
              </w:rPr>
              <w:t>iii</w:t>
            </w:r>
            <w:proofErr w:type="spellEnd"/>
            <w:r>
              <w:rPr>
                <w:rFonts w:ascii="Verdana" w:hAnsi="Verdana" w:cs="Arial"/>
                <w:lang w:val="es-MX" w:eastAsia="es-ES"/>
              </w:rPr>
              <w:t>. De acuerdo con el tercer problema jurídico, se expresa que a</w:t>
            </w:r>
            <w:r>
              <w:rPr>
                <w:rFonts w:ascii="Verdana" w:eastAsia="Times New Roman" w:hAnsi="Verdana" w:cs="Arial"/>
                <w:lang w:val="es-ES_tradnl" w:eastAsia="es-ES_tradnl"/>
                <w14:ligatures w14:val="standardContextual"/>
              </w:rPr>
              <w:t xml:space="preserve"> partir de la lista de quienes son los sujetos obligados a publicar la información, puede inferirse que las entidades territoriales tienen la obligación de </w:t>
            </w:r>
            <w:r w:rsidRPr="002A3450">
              <w:rPr>
                <w:rFonts w:ascii="Verdana" w:eastAsia="Times New Roman" w:hAnsi="Verdana" w:cs="Arial"/>
                <w:lang w:val="es-ES_tradnl" w:eastAsia="es-ES_tradnl"/>
                <w14:ligatures w14:val="standardContextual"/>
              </w:rPr>
              <w:t>publicar la información relativa a su contratación</w:t>
            </w:r>
            <w:r>
              <w:rPr>
                <w:rFonts w:ascii="Verdana" w:eastAsia="Times New Roman" w:hAnsi="Verdana" w:cs="Arial"/>
                <w:lang w:val="es-ES_tradnl" w:eastAsia="es-ES_tradnl"/>
                <w14:ligatures w14:val="standardContextual"/>
              </w:rPr>
              <w:t xml:space="preserve">, así como las entidades descentralizadas por servicios. Esta obligación del deber de publicar fue </w:t>
            </w:r>
            <w:r w:rsidRPr="002A3450">
              <w:rPr>
                <w:rFonts w:ascii="Verdana" w:eastAsia="Times New Roman" w:hAnsi="Verdana" w:cs="Arial"/>
                <w:lang w:val="es-ES_tradnl" w:eastAsia="es-ES_tradnl"/>
                <w14:ligatures w14:val="standardContextual"/>
              </w:rPr>
              <w:t>desarrollada por el Decreto Único Reglamentario 1081 de 2015, el cual dispuso que la publicación de la información contractual de los sujetos obligados, que contratan con cargo a recursos públicos, debe hacerse en el SECOP.</w:t>
            </w:r>
            <w:r>
              <w:rPr>
                <w:rFonts w:ascii="Verdana" w:eastAsia="Times New Roman" w:hAnsi="Verdana" w:cs="Arial"/>
                <w:lang w:val="es-ES_tradnl" w:eastAsia="es-ES_tradnl"/>
                <w14:ligatures w14:val="standardContextual"/>
              </w:rPr>
              <w:t xml:space="preserve"> </w:t>
            </w:r>
            <w:r w:rsidRPr="00E806EA">
              <w:rPr>
                <w:rFonts w:ascii="Verdana" w:eastAsia="Times New Roman" w:hAnsi="Verdana" w:cs="Arial"/>
                <w:lang w:val="es-ES_tradnl" w:eastAsia="es-ES_tradnl"/>
                <w14:ligatures w14:val="standardContextual"/>
              </w:rPr>
              <w:t xml:space="preserve">Asimismo, de acuerdo con el literal g) del artículo 11 de </w:t>
            </w:r>
            <w:r>
              <w:rPr>
                <w:rFonts w:ascii="Verdana" w:eastAsia="Times New Roman" w:hAnsi="Verdana" w:cs="Arial"/>
                <w:lang w:val="es-ES_tradnl" w:eastAsia="es-ES_tradnl"/>
                <w14:ligatures w14:val="standardContextual"/>
              </w:rPr>
              <w:t>la L</w:t>
            </w:r>
            <w:r w:rsidRPr="00E806EA">
              <w:rPr>
                <w:rFonts w:ascii="Verdana" w:eastAsia="Times New Roman" w:hAnsi="Verdana" w:cs="Arial"/>
                <w:lang w:val="es-ES_tradnl" w:eastAsia="es-ES_tradnl"/>
                <w14:ligatures w14:val="standardContextual"/>
              </w:rPr>
              <w:t>ey</w:t>
            </w:r>
            <w:r>
              <w:rPr>
                <w:rFonts w:ascii="Verdana" w:eastAsia="Times New Roman" w:hAnsi="Verdana" w:cs="Arial"/>
                <w:lang w:val="es-ES_tradnl" w:eastAsia="es-ES_tradnl"/>
                <w14:ligatures w14:val="standardContextual"/>
              </w:rPr>
              <w:t xml:space="preserve"> 1712 de 2014</w:t>
            </w:r>
            <w:r w:rsidRPr="00E806EA">
              <w:rPr>
                <w:rFonts w:ascii="Verdana" w:eastAsia="Times New Roman" w:hAnsi="Verdana" w:cs="Arial"/>
                <w:lang w:val="es-ES_tradnl" w:eastAsia="es-ES_tradnl"/>
                <w14:ligatures w14:val="standardContextual"/>
              </w:rPr>
              <w:t xml:space="preserve">, todos los destinatarios de la </w:t>
            </w:r>
            <w:r>
              <w:rPr>
                <w:rFonts w:ascii="Verdana" w:eastAsia="Times New Roman" w:hAnsi="Verdana" w:cs="Arial"/>
                <w:lang w:val="es-ES_tradnl" w:eastAsia="es-ES_tradnl"/>
                <w14:ligatures w14:val="standardContextual"/>
              </w:rPr>
              <w:t xml:space="preserve">Ley Estatutaria de Transparencia y Acceso a la Información Pública </w:t>
            </w:r>
            <w:r w:rsidRPr="00E806EA">
              <w:rPr>
                <w:rFonts w:ascii="Verdana" w:eastAsia="Times New Roman" w:hAnsi="Verdana" w:cs="Arial"/>
                <w:lang w:val="es-ES_tradnl" w:eastAsia="es-ES_tradnl"/>
                <w14:ligatures w14:val="standardContextual"/>
              </w:rPr>
              <w:t xml:space="preserve">deben garantizar la publicidad de “sus procedimientos, lineamientos, políticas en materia de adquisiciones y compras, así como todos los datos de </w:t>
            </w:r>
            <w:r w:rsidRPr="00E806EA">
              <w:rPr>
                <w:rFonts w:ascii="Verdana" w:eastAsia="Times New Roman" w:hAnsi="Verdana" w:cs="Arial"/>
                <w:lang w:val="es-ES_tradnl" w:eastAsia="es-ES_tradnl"/>
                <w14:ligatures w14:val="standardContextual"/>
              </w:rPr>
              <w:lastRenderedPageBreak/>
              <w:t xml:space="preserve">adjudicación y ejecución de contratos, incluidos concursos y licitaciones”, y esta información también debe estar en el SECOP. </w:t>
            </w:r>
          </w:p>
          <w:p w14:paraId="0D743E91" w14:textId="77777777" w:rsidR="00A7153D" w:rsidRDefault="00A7153D" w:rsidP="00BE429B">
            <w:pPr>
              <w:spacing w:before="120" w:after="120" w:line="276" w:lineRule="auto"/>
              <w:ind w:firstLine="709"/>
              <w:jc w:val="both"/>
              <w:rPr>
                <w:rFonts w:ascii="Verdana" w:eastAsia="Times New Roman" w:hAnsi="Verdana" w:cs="Arial"/>
                <w:lang w:val="es-ES_tradnl" w:eastAsia="es-ES_tradnl"/>
                <w14:ligatures w14:val="standardContextual"/>
              </w:rPr>
            </w:pPr>
            <w:r w:rsidRPr="00E806EA">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3F90FC8B" w14:textId="77777777" w:rsidR="00A7153D" w:rsidRDefault="00A7153D" w:rsidP="00BE429B">
            <w:pPr>
              <w:tabs>
                <w:tab w:val="left" w:pos="709"/>
              </w:tabs>
              <w:spacing w:before="120" w:after="120" w:line="276" w:lineRule="auto"/>
              <w:ind w:firstLine="709"/>
              <w:jc w:val="both"/>
              <w:rPr>
                <w:rFonts w:ascii="Verdana" w:hAnsi="Verdana" w:cs="Arial"/>
                <w:shd w:val="clear" w:color="auto" w:fill="FFFFFF"/>
              </w:rPr>
            </w:pPr>
            <w:r w:rsidRPr="00052904">
              <w:rPr>
                <w:rFonts w:ascii="Verdana" w:hAnsi="Verdana" w:cs="Arial"/>
                <w:shd w:val="clear" w:color="auto" w:fill="FFFFFF"/>
              </w:rPr>
              <w:t xml:space="preserve">La expresión </w:t>
            </w:r>
            <w:r w:rsidRPr="00052904">
              <w:rPr>
                <w:rFonts w:ascii="Verdana" w:hAnsi="Verdana" w:cs="Arial"/>
                <w:i/>
                <w:iCs/>
                <w:shd w:val="clear" w:color="auto" w:fill="FFFFFF"/>
              </w:rPr>
              <w:t xml:space="preserve">Documentos del Proceso </w:t>
            </w:r>
            <w:r w:rsidRPr="00052904">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052904">
              <w:rPr>
                <w:rFonts w:ascii="Verdana" w:hAnsi="Verdana" w:cs="Arial"/>
                <w:i/>
                <w:iCs/>
                <w:shd w:val="clear" w:color="auto" w:fill="FFFFFF"/>
              </w:rPr>
              <w:t>y cualquier otro documento expedido por la Entidad Estatal durante el Proceso de Contratación</w:t>
            </w:r>
            <w:r w:rsidRPr="00052904">
              <w:rPr>
                <w:rFonts w:ascii="Verdana" w:hAnsi="Verdana" w:cs="Arial"/>
                <w:shd w:val="clear" w:color="auto" w:fill="FFFFFF"/>
              </w:rPr>
              <w:t>”. [Énfasis fuera de texto]</w:t>
            </w:r>
            <w:r>
              <w:rPr>
                <w:rFonts w:ascii="Verdana" w:hAnsi="Verdana" w:cs="Arial"/>
                <w:shd w:val="clear" w:color="auto" w:fill="FFFFFF"/>
              </w:rPr>
              <w:t xml:space="preserve"> </w:t>
            </w:r>
            <w:r w:rsidRPr="00EF0BDA">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EF0BDA">
              <w:rPr>
                <w:rFonts w:ascii="Verdana" w:hAnsi="Verdana" w:cs="Arial"/>
                <w:i/>
                <w:iCs/>
                <w:shd w:val="clear" w:color="auto" w:fill="FFFFFF"/>
              </w:rPr>
              <w:t>Ibidem</w:t>
            </w:r>
            <w:r w:rsidRPr="00EF0BDA">
              <w:rPr>
                <w:rFonts w:ascii="Verdana" w:hAnsi="Verdana" w:cs="Arial"/>
                <w:shd w:val="clear" w:color="auto" w:fill="FFFFFF"/>
              </w:rPr>
              <w:t xml:space="preserve"> recoge en la noción de Documentos del Proceso “cualquier otro documento expedido por la Entidad Estatal durante el Proceso de Contratación”. </w:t>
            </w:r>
          </w:p>
          <w:p w14:paraId="38353F5B" w14:textId="77777777" w:rsidR="00A7153D" w:rsidRDefault="00A7153D" w:rsidP="00BE429B">
            <w:pPr>
              <w:tabs>
                <w:tab w:val="left" w:pos="709"/>
              </w:tabs>
              <w:spacing w:before="120" w:after="120" w:line="276" w:lineRule="auto"/>
              <w:ind w:firstLine="709"/>
              <w:jc w:val="both"/>
              <w:rPr>
                <w:rFonts w:ascii="Verdana" w:eastAsia="Calibri" w:hAnsi="Verdana" w:cs="Arial"/>
                <w:color w:val="000000"/>
              </w:rPr>
            </w:pPr>
            <w:r w:rsidRPr="00AD6B46">
              <w:rPr>
                <w:rFonts w:ascii="Verdana" w:hAnsi="Verdana" w:cs="Arial"/>
                <w:shd w:val="clear" w:color="auto" w:fill="FFFFFF"/>
              </w:rPr>
              <w:t xml:space="preserve">Conforme a lo anterior, es clara la obligatoriedad de publicar la información de la actividad contractual que se realiza con cargo a recursos públicos en el SECOP, incluidas aquellas con regímenes contractuales especiales. En tal sentido, </w:t>
            </w:r>
            <w:r w:rsidRPr="00AD6B46">
              <w:rPr>
                <w:rFonts w:ascii="Verdana" w:eastAsia="Calibri" w:hAnsi="Verdana" w:cs="Arial"/>
                <w:color w:val="000000"/>
              </w:rPr>
              <w:t xml:space="preserve">debe destacarse el artículo 53 de la Ley 2195 de 2022 que modifica el artículo 13 de la Ley 1150 de 2007 que estableció la obligación de las Entidades Estatales exceptuadas del Estatuto General de Contratación de la Administración Pública de publicar en el SECOP II su actividad contractual. 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w:t>
            </w:r>
            <w:r w:rsidRPr="00AD6B46">
              <w:rPr>
                <w:rFonts w:ascii="Verdana" w:eastAsia="Calibri" w:hAnsi="Verdana" w:cs="Arial"/>
                <w:color w:val="000000"/>
              </w:rPr>
              <w:lastRenderedPageBreak/>
              <w:t xml:space="preserve">por oferentes, contratista, contratante, supervisor o interventor, tanto en la etapa precontractual, como en la contractual y la </w:t>
            </w:r>
            <w:proofErr w:type="spellStart"/>
            <w:r w:rsidRPr="00AD6B46">
              <w:rPr>
                <w:rFonts w:ascii="Verdana" w:eastAsia="Calibri" w:hAnsi="Verdana" w:cs="Arial"/>
                <w:color w:val="000000"/>
              </w:rPr>
              <w:t>post-contractual</w:t>
            </w:r>
            <w:proofErr w:type="spellEnd"/>
            <w:r w:rsidRPr="00AD6B46">
              <w:rPr>
                <w:rFonts w:ascii="Verdana" w:eastAsia="Calibri" w:hAnsi="Verdana" w:cs="Arial"/>
                <w:color w:val="000000"/>
              </w:rPr>
              <w:t>”.</w:t>
            </w:r>
          </w:p>
          <w:p w14:paraId="6DCC5E3F" w14:textId="77777777" w:rsidR="00A7153D" w:rsidRPr="008E7BCA" w:rsidRDefault="00A7153D" w:rsidP="00BE429B">
            <w:pPr>
              <w:tabs>
                <w:tab w:val="left" w:pos="709"/>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 xml:space="preserve">Así las cosas, existe un deber consagrado en la Ley 1712 de 2014, así como en demás leyes y reglamentos de publicar los contratos y convenios que suscriben las entidades territoriales con las empresas de servicios públicos domiciliarios para la transferencia de recursos en el marco de subsidios a las personas con menores ingresos. En este sentido, </w:t>
            </w:r>
            <w:r w:rsidRPr="00E74FDD">
              <w:rPr>
                <w:rFonts w:ascii="Verdana" w:eastAsia="Calibri" w:hAnsi="Verdana" w:cs="Arial"/>
                <w:color w:val="000000"/>
              </w:rPr>
              <w:t xml:space="preserve">La obligación de publicidad abarca no solo el contrato en sí, sino también todos los documentos y actos que integran la actividad contractual, incluyendo las </w:t>
            </w:r>
            <w:proofErr w:type="gramStart"/>
            <w:r w:rsidRPr="00E74FDD">
              <w:rPr>
                <w:rFonts w:ascii="Verdana" w:eastAsia="Calibri" w:hAnsi="Verdana" w:cs="Arial"/>
                <w:color w:val="000000"/>
              </w:rPr>
              <w:t>fases precontractual</w:t>
            </w:r>
            <w:proofErr w:type="gramEnd"/>
            <w:r w:rsidRPr="00E74FDD">
              <w:rPr>
                <w:rFonts w:ascii="Verdana" w:eastAsia="Calibri" w:hAnsi="Verdana" w:cs="Arial"/>
                <w:color w:val="000000"/>
              </w:rPr>
              <w:t xml:space="preserve">, contractual y </w:t>
            </w:r>
            <w:proofErr w:type="spellStart"/>
            <w:r w:rsidRPr="00E74FDD">
              <w:rPr>
                <w:rFonts w:ascii="Verdana" w:eastAsia="Calibri" w:hAnsi="Verdana" w:cs="Arial"/>
                <w:color w:val="000000"/>
              </w:rPr>
              <w:t>postcontractual</w:t>
            </w:r>
            <w:proofErr w:type="spellEnd"/>
            <w:r w:rsidRPr="00E74FDD">
              <w:rPr>
                <w:rFonts w:ascii="Verdana" w:eastAsia="Calibri" w:hAnsi="Verdana" w:cs="Arial"/>
                <w:color w:val="000000"/>
              </w:rPr>
              <w:t>, de modo que el proceso completo sea transparente, verificable y accesible para el control ciudadano y administrativo.</w:t>
            </w:r>
            <w:r>
              <w:rPr>
                <w:rFonts w:ascii="Verdana" w:eastAsia="Calibri" w:hAnsi="Verdana" w:cs="Arial"/>
                <w:color w:val="000000"/>
              </w:rPr>
              <w:t xml:space="preserve"> </w:t>
            </w:r>
          </w:p>
        </w:tc>
      </w:tr>
    </w:tbl>
    <w:p w14:paraId="7EA58CDD" w14:textId="77777777" w:rsidR="00A7153D" w:rsidRPr="00B57A1B" w:rsidRDefault="00A7153D" w:rsidP="00A7153D">
      <w:pPr>
        <w:spacing w:after="0" w:line="276" w:lineRule="auto"/>
        <w:jc w:val="both"/>
        <w:rPr>
          <w:rFonts w:ascii="Verdana" w:eastAsia="Calibri" w:hAnsi="Verdana" w:cs="Arial"/>
          <w:bCs/>
          <w:color w:val="000000" w:themeColor="text1"/>
        </w:rPr>
      </w:pPr>
    </w:p>
    <w:p w14:paraId="3019E6A2" w14:textId="77777777" w:rsidR="00A7153D" w:rsidRPr="00B57A1B" w:rsidRDefault="00A7153D" w:rsidP="00A7153D">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6CB1A180" w14:textId="77777777" w:rsidR="00A7153D" w:rsidRPr="00B57A1B" w:rsidRDefault="00A7153D" w:rsidP="00A7153D">
      <w:pPr>
        <w:spacing w:after="0" w:line="256" w:lineRule="auto"/>
        <w:rPr>
          <w:rFonts w:ascii="Verdana" w:eastAsia="Calibri" w:hAnsi="Verdana" w:cs="Times New Roman"/>
          <w:b/>
          <w:bCs/>
          <w:lang w:val="es-ES"/>
        </w:rPr>
      </w:pPr>
    </w:p>
    <w:p w14:paraId="758DA4BB" w14:textId="77777777" w:rsidR="00A7153D" w:rsidRPr="00B57A1B" w:rsidRDefault="00A7153D" w:rsidP="00A7153D">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55F5963D" w14:textId="77777777" w:rsidR="00A7153D" w:rsidRDefault="00A7153D" w:rsidP="00A7153D">
      <w:pPr>
        <w:spacing w:after="0" w:line="276" w:lineRule="auto"/>
        <w:jc w:val="both"/>
        <w:rPr>
          <w:rFonts w:ascii="Verdana" w:hAnsi="Verdana" w:cs="Arial"/>
          <w:bCs/>
          <w:lang w:val="es-MX"/>
        </w:rPr>
      </w:pPr>
      <w:bookmarkStart w:id="1" w:name="_Hlk78820161"/>
    </w:p>
    <w:p w14:paraId="49918930" w14:textId="77777777" w:rsidR="00A7153D" w:rsidRPr="00E0284C" w:rsidRDefault="00A7153D" w:rsidP="00A7153D">
      <w:pPr>
        <w:spacing w:after="120" w:line="276" w:lineRule="auto"/>
        <w:jc w:val="both"/>
        <w:rPr>
          <w:rFonts w:ascii="Verdana" w:hAnsi="Verdana" w:cs="Arial"/>
        </w:rPr>
      </w:pPr>
      <w:r>
        <w:rPr>
          <w:rFonts w:ascii="Verdana" w:hAnsi="Verdana" w:cs="Arial"/>
          <w:bCs/>
          <w:lang w:val="es-MX"/>
        </w:rPr>
        <w:t>i. El inciso segundo del 365 constitucional dispone que “</w:t>
      </w:r>
      <w:r w:rsidRPr="002A30BA">
        <w:rPr>
          <w:rFonts w:ascii="Verdana" w:hAnsi="Verdana" w:cs="Arial"/>
          <w:bCs/>
          <w:lang w:val="es-MX"/>
        </w:rPr>
        <w:t>Los servicios públicos estarán sometidos al régimen jurídico que fije la ley, podrán ser prestados por el Estado, directa o indirectamente, por comunidades organizadas, o por particulares</w:t>
      </w:r>
      <w:r>
        <w:rPr>
          <w:rFonts w:ascii="Verdana" w:hAnsi="Verdana" w:cs="Arial"/>
          <w:bCs/>
          <w:lang w:val="es-MX"/>
        </w:rPr>
        <w:t xml:space="preserve"> […]”. Por ello, </w:t>
      </w:r>
      <w:r w:rsidRPr="002A30BA">
        <w:rPr>
          <w:rFonts w:ascii="Verdana" w:hAnsi="Verdana" w:cs="Arial"/>
          <w:bCs/>
          <w:lang w:val="es-MX"/>
        </w:rPr>
        <w:t xml:space="preserve">el </w:t>
      </w:r>
      <w:r>
        <w:rPr>
          <w:rFonts w:ascii="Verdana" w:hAnsi="Verdana" w:cs="Arial"/>
          <w:bCs/>
          <w:lang w:val="es-MX"/>
        </w:rPr>
        <w:t xml:space="preserve">inciso primero del </w:t>
      </w:r>
      <w:r w:rsidRPr="002A30BA">
        <w:rPr>
          <w:rFonts w:ascii="Verdana" w:hAnsi="Verdana" w:cs="Arial"/>
          <w:bCs/>
          <w:lang w:val="es-MX"/>
        </w:rPr>
        <w:t xml:space="preserve">artículo 31 de la Ley 142 de 1994 </w:t>
      </w:r>
      <w:r>
        <w:rPr>
          <w:rFonts w:ascii="Verdana" w:hAnsi="Verdana" w:cs="Arial"/>
          <w:bCs/>
          <w:lang w:val="es-MX"/>
        </w:rPr>
        <w:t>dispuso expresamente que</w:t>
      </w:r>
      <w:r w:rsidRPr="002A30BA">
        <w:rPr>
          <w:rFonts w:ascii="Verdana" w:hAnsi="Verdana" w:cs="Arial"/>
          <w:bCs/>
          <w:lang w:val="es-MX"/>
        </w:rPr>
        <w:t xml:space="preserve"> </w:t>
      </w:r>
      <w:r>
        <w:rPr>
          <w:rFonts w:ascii="Verdana" w:hAnsi="Verdana" w:cs="Arial"/>
          <w:bCs/>
          <w:lang w:val="es-MX"/>
        </w:rPr>
        <w:t>“</w:t>
      </w:r>
      <w:r w:rsidRPr="002A30BA">
        <w:rPr>
          <w:rFonts w:ascii="Verdana" w:hAnsi="Verdana" w:cs="Arial"/>
          <w:bCs/>
          <w:lang w:val="es-MX"/>
        </w:rPr>
        <w:t xml:space="preserve">Los contratos que celebren las </w:t>
      </w:r>
      <w:r w:rsidRPr="00C87D7C">
        <w:rPr>
          <w:rFonts w:ascii="Verdana" w:hAnsi="Verdana" w:cs="Arial"/>
          <w:bCs/>
          <w:i/>
          <w:iCs/>
          <w:lang w:val="es-MX"/>
        </w:rPr>
        <w:t>entidades estatales que prestan los servicios públicos</w:t>
      </w:r>
      <w:r w:rsidRPr="002A30BA">
        <w:rPr>
          <w:rFonts w:ascii="Verdana" w:hAnsi="Verdana" w:cs="Arial"/>
          <w:bCs/>
          <w:lang w:val="es-MX"/>
        </w:rPr>
        <w:t xml:space="preserve"> a los que se refiere esta ley no estarán sujetos a las disposiciones del Estatuto General de Contratación de la Administración Pública, salvo en lo que la presente ley dispong</w:t>
      </w:r>
      <w:r w:rsidRPr="008638A5">
        <w:rPr>
          <w:rFonts w:ascii="Verdana" w:hAnsi="Verdana" w:cs="Arial"/>
          <w:bCs/>
          <w:lang w:val="es-MX"/>
        </w:rPr>
        <w:t>a otra cosa”</w:t>
      </w:r>
      <w:r>
        <w:rPr>
          <w:rFonts w:ascii="Verdana" w:hAnsi="Verdana" w:cs="Arial"/>
          <w:bCs/>
          <w:lang w:val="es-MX"/>
        </w:rPr>
        <w:t xml:space="preserve"> (Énfasis fuera de texto)</w:t>
      </w:r>
      <w:r w:rsidRPr="008638A5">
        <w:rPr>
          <w:rFonts w:ascii="Verdana" w:hAnsi="Verdana" w:cs="Arial"/>
          <w:bCs/>
          <w:lang w:val="es-MX"/>
        </w:rPr>
        <w:t xml:space="preserve">. </w:t>
      </w:r>
      <w:r>
        <w:rPr>
          <w:rFonts w:ascii="Verdana" w:hAnsi="Verdana" w:cs="Arial"/>
          <w:bCs/>
          <w:lang w:val="es-MX"/>
        </w:rPr>
        <w:t>Asimismo,</w:t>
      </w:r>
      <w:r w:rsidRPr="00C87D7C">
        <w:rPr>
          <w:rFonts w:ascii="Verdana" w:hAnsi="Verdana" w:cs="Arial"/>
          <w:bCs/>
          <w:lang w:val="es-MX"/>
        </w:rPr>
        <w:t xml:space="preserve"> </w:t>
      </w:r>
      <w:r>
        <w:rPr>
          <w:rFonts w:ascii="Verdana" w:hAnsi="Verdana" w:cs="Arial"/>
          <w:bCs/>
          <w:lang w:val="es-MX"/>
        </w:rPr>
        <w:t>el inciso primero del</w:t>
      </w:r>
      <w:r w:rsidRPr="00C87D7C">
        <w:rPr>
          <w:rFonts w:ascii="Verdana" w:hAnsi="Verdana" w:cs="Arial"/>
          <w:bCs/>
          <w:lang w:val="es-MX"/>
        </w:rPr>
        <w:t xml:space="preserve"> artículo 32 </w:t>
      </w:r>
      <w:r w:rsidRPr="00C87D7C">
        <w:rPr>
          <w:rFonts w:ascii="Verdana" w:hAnsi="Verdana" w:cs="Arial"/>
          <w:bCs/>
          <w:i/>
          <w:iCs/>
          <w:lang w:val="es-MX"/>
        </w:rPr>
        <w:t>ibidem</w:t>
      </w:r>
      <w:r>
        <w:rPr>
          <w:rFonts w:ascii="Verdana" w:hAnsi="Verdana" w:cs="Arial"/>
          <w:bCs/>
          <w:lang w:val="es-MX"/>
        </w:rPr>
        <w:t xml:space="preserve"> precisa lo siguiente: “</w:t>
      </w:r>
      <w:r w:rsidRPr="00C87D7C">
        <w:rPr>
          <w:rFonts w:ascii="Verdana" w:hAnsi="Verdana" w:cs="Arial"/>
          <w:bCs/>
          <w:lang w:val="es-MX"/>
        </w:rPr>
        <w:t xml:space="preserve">Salvo en cuanto la Constitución Política o esta Ley dispongan expresamente lo contrario, la constitución, y los actos de todas las </w:t>
      </w:r>
      <w:r w:rsidRPr="00C87D7C">
        <w:rPr>
          <w:rFonts w:ascii="Verdana" w:hAnsi="Verdana" w:cs="Arial"/>
          <w:bCs/>
          <w:i/>
          <w:iCs/>
          <w:lang w:val="es-MX"/>
        </w:rPr>
        <w:t>empresas de servicios públicos</w:t>
      </w:r>
      <w:r w:rsidRPr="00C87D7C">
        <w:rPr>
          <w:rFonts w:ascii="Verdana" w:hAnsi="Verdana" w:cs="Arial"/>
          <w:bCs/>
          <w:lang w:val="es-MX"/>
        </w:rPr>
        <w:t>, así como los requeridos para la administración y el ejercicio de los derechos de todas las personas que sean socias de ellas, en lo no dispuesto en esta Ley, se regirán exclusivamente por las reglas del derecho privado</w:t>
      </w:r>
      <w:r>
        <w:rPr>
          <w:rFonts w:ascii="Verdana" w:hAnsi="Verdana" w:cs="Arial"/>
          <w:bCs/>
          <w:lang w:val="es-MX"/>
        </w:rPr>
        <w:t>” (Énfasis fuera de texto)</w:t>
      </w:r>
      <w:r w:rsidRPr="00C87D7C">
        <w:rPr>
          <w:rFonts w:ascii="Verdana" w:hAnsi="Verdana" w:cs="Arial"/>
          <w:bCs/>
          <w:lang w:val="es-MX"/>
        </w:rPr>
        <w:t>.</w:t>
      </w:r>
      <w:r>
        <w:rPr>
          <w:rFonts w:ascii="Verdana" w:hAnsi="Verdana" w:cs="Arial"/>
          <w:bCs/>
          <w:lang w:val="es-MX"/>
        </w:rPr>
        <w:t xml:space="preserve"> </w:t>
      </w:r>
      <w:r>
        <w:rPr>
          <w:rFonts w:ascii="Verdana" w:eastAsia="Calibri" w:hAnsi="Verdana" w:cs="Arial"/>
          <w:color w:val="000000" w:themeColor="text1"/>
          <w:lang w:val="es-ES"/>
        </w:rPr>
        <w:t>De esta manera, el</w:t>
      </w:r>
      <w:r w:rsidRPr="00060C87">
        <w:rPr>
          <w:rFonts w:ascii="Verdana" w:eastAsia="Calibri" w:hAnsi="Verdana" w:cs="Arial"/>
          <w:color w:val="000000" w:themeColor="text1"/>
          <w:lang w:val="es-ES"/>
        </w:rPr>
        <w:t xml:space="preserve"> máximo órgano de la Jurisdicción de lo Contencioso Administrativo</w:t>
      </w:r>
      <w:r>
        <w:rPr>
          <w:rFonts w:ascii="Verdana" w:eastAsia="Calibri" w:hAnsi="Verdana" w:cs="Arial"/>
          <w:color w:val="000000" w:themeColor="text1"/>
          <w:lang w:val="es-ES"/>
        </w:rPr>
        <w:t xml:space="preserve"> considera que</w:t>
      </w:r>
      <w:r w:rsidRPr="00060C87">
        <w:rPr>
          <w:rFonts w:ascii="Verdana" w:eastAsia="Calibri" w:hAnsi="Verdana" w:cs="Arial"/>
          <w:color w:val="000000" w:themeColor="text1"/>
          <w:lang w:val="es-ES"/>
        </w:rPr>
        <w:t xml:space="preserve">: </w:t>
      </w:r>
    </w:p>
    <w:p w14:paraId="6F48C6E8" w14:textId="77777777" w:rsidR="00A7153D" w:rsidRPr="00060C87" w:rsidRDefault="00A7153D" w:rsidP="00A7153D">
      <w:pPr>
        <w:tabs>
          <w:tab w:val="left" w:pos="426"/>
        </w:tabs>
        <w:spacing w:after="0" w:line="276" w:lineRule="auto"/>
        <w:jc w:val="both"/>
        <w:rPr>
          <w:rFonts w:ascii="Verdana" w:eastAsia="Calibri" w:hAnsi="Verdana" w:cs="Arial"/>
          <w:color w:val="000000" w:themeColor="text1"/>
          <w:lang w:val="es-ES"/>
        </w:rPr>
      </w:pPr>
    </w:p>
    <w:p w14:paraId="5603B5A1" w14:textId="77777777" w:rsidR="00A7153D" w:rsidRPr="00033F5A" w:rsidRDefault="00A7153D" w:rsidP="00A7153D">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lastRenderedPageBreak/>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675BCB5C" w14:textId="77777777" w:rsidR="00A7153D" w:rsidRPr="00033F5A" w:rsidRDefault="00A7153D" w:rsidP="00A7153D">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47957B83" w14:textId="77777777" w:rsidR="00A7153D" w:rsidRPr="00033F5A" w:rsidRDefault="00A7153D" w:rsidP="00A7153D">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no a las administrativas; y que en lo relacionado con la terminación, ampliación y liquidación de los contratos, deben aplicarse las reglas del derecho común”</w:t>
      </w:r>
      <w:r w:rsidRPr="00033F5A">
        <w:rPr>
          <w:rStyle w:val="Refdenotaalpie"/>
          <w:rFonts w:ascii="Verdana" w:eastAsia="Calibri" w:hAnsi="Verdana" w:cs="Arial"/>
          <w:color w:val="000000" w:themeColor="text1"/>
          <w:sz w:val="20"/>
          <w:szCs w:val="20"/>
          <w:lang w:val="es-ES"/>
        </w:rPr>
        <w:footnoteReference w:id="1"/>
      </w:r>
      <w:r w:rsidRPr="00033F5A">
        <w:rPr>
          <w:rFonts w:ascii="Verdana" w:eastAsia="Calibri" w:hAnsi="Verdana" w:cs="Arial"/>
          <w:color w:val="000000" w:themeColor="text1"/>
          <w:sz w:val="20"/>
          <w:szCs w:val="20"/>
          <w:lang w:val="es-ES"/>
        </w:rPr>
        <w:t>.</w:t>
      </w:r>
    </w:p>
    <w:p w14:paraId="4CB02A6E" w14:textId="77777777" w:rsidR="00A7153D" w:rsidRPr="00060C87" w:rsidRDefault="00A7153D" w:rsidP="00A7153D">
      <w:pPr>
        <w:spacing w:after="0" w:line="276" w:lineRule="auto"/>
        <w:jc w:val="both"/>
        <w:rPr>
          <w:rFonts w:ascii="Verdana" w:hAnsi="Verdana" w:cs="Arial"/>
          <w:bCs/>
          <w:lang w:val="es-ES"/>
        </w:rPr>
      </w:pPr>
    </w:p>
    <w:p w14:paraId="1D588FA3" w14:textId="77777777" w:rsidR="00A7153D" w:rsidRDefault="00A7153D" w:rsidP="00A7153D">
      <w:pPr>
        <w:tabs>
          <w:tab w:val="left" w:pos="0"/>
        </w:tabs>
        <w:spacing w:before="120" w:after="120" w:line="276" w:lineRule="auto"/>
        <w:ind w:firstLine="709"/>
        <w:jc w:val="both"/>
        <w:rPr>
          <w:rFonts w:ascii="Verdana" w:eastAsia="Calibri" w:hAnsi="Verdana" w:cs="Arial"/>
          <w:bCs/>
          <w:color w:val="000000" w:themeColor="text1"/>
          <w:lang w:val="es-ES_tradnl"/>
        </w:rPr>
      </w:pPr>
      <w:r w:rsidRPr="008638A5">
        <w:rPr>
          <w:rFonts w:ascii="Verdana" w:eastAsia="Calibri" w:hAnsi="Verdana" w:cs="Arial"/>
          <w:bCs/>
          <w:color w:val="000000" w:themeColor="text1"/>
          <w:lang w:val="es-ES_tradnl"/>
        </w:rPr>
        <w:t>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w:t>
      </w:r>
      <w:r w:rsidRPr="008638A5">
        <w:rPr>
          <w:rStyle w:val="Refdenotaalpie"/>
          <w:rFonts w:ascii="Verdana" w:eastAsia="Calibri" w:hAnsi="Verdana" w:cs="Arial"/>
          <w:bCs/>
          <w:color w:val="000000" w:themeColor="text1"/>
          <w:lang w:val="es-ES_tradnl"/>
        </w:rPr>
        <w:footnoteReference w:id="2"/>
      </w:r>
      <w:r w:rsidRPr="008638A5">
        <w:rPr>
          <w:rFonts w:ascii="Verdana" w:eastAsia="Calibri" w:hAnsi="Verdana" w:cs="Arial"/>
          <w:bCs/>
          <w:color w:val="000000" w:themeColor="text1"/>
          <w:lang w:val="es-ES_tradnl"/>
        </w:rPr>
        <w:t xml:space="preserve">. En otras palabras, aunque el artículo 14 de la Ley 142 de 1994 establece que las empresas prestadoras de servicios públicos domiciliarios pueden ser </w:t>
      </w:r>
      <w:r w:rsidRPr="008638A5">
        <w:rPr>
          <w:rFonts w:ascii="Verdana" w:eastAsia="Calibri" w:hAnsi="Verdana" w:cs="Arial"/>
          <w:bCs/>
          <w:i/>
          <w:iCs/>
          <w:color w:val="000000" w:themeColor="text1"/>
          <w:lang w:val="es-ES_tradnl"/>
        </w:rPr>
        <w:t>oficiales</w:t>
      </w:r>
      <w:r w:rsidRPr="008638A5">
        <w:rPr>
          <w:rFonts w:ascii="Verdana" w:eastAsia="Calibri" w:hAnsi="Verdana" w:cs="Arial"/>
          <w:bCs/>
          <w:color w:val="000000" w:themeColor="text1"/>
          <w:lang w:val="es-ES_tradnl"/>
        </w:rPr>
        <w:t xml:space="preserve">, </w:t>
      </w:r>
      <w:r w:rsidRPr="008638A5">
        <w:rPr>
          <w:rFonts w:ascii="Verdana" w:eastAsia="Calibri" w:hAnsi="Verdana" w:cs="Arial"/>
          <w:bCs/>
          <w:i/>
          <w:iCs/>
          <w:color w:val="000000" w:themeColor="text1"/>
          <w:lang w:val="es-ES_tradnl"/>
        </w:rPr>
        <w:t>mixtas</w:t>
      </w:r>
      <w:r w:rsidRPr="008638A5">
        <w:rPr>
          <w:rFonts w:ascii="Verdana" w:eastAsia="Calibri" w:hAnsi="Verdana" w:cs="Arial"/>
          <w:bCs/>
          <w:color w:val="000000" w:themeColor="text1"/>
          <w:lang w:val="es-ES_tradnl"/>
        </w:rPr>
        <w:t xml:space="preserve"> o </w:t>
      </w:r>
      <w:r w:rsidRPr="008638A5">
        <w:rPr>
          <w:rFonts w:ascii="Verdana" w:eastAsia="Calibri" w:hAnsi="Verdana" w:cs="Arial"/>
          <w:bCs/>
          <w:i/>
          <w:iCs/>
          <w:color w:val="000000" w:themeColor="text1"/>
          <w:lang w:val="es-ES_tradnl"/>
        </w:rPr>
        <w:t>privadas</w:t>
      </w:r>
      <w:r w:rsidRPr="008638A5">
        <w:rPr>
          <w:rFonts w:ascii="Verdana" w:eastAsia="Calibri" w:hAnsi="Verdana" w:cs="Arial"/>
          <w:bCs/>
          <w:color w:val="000000" w:themeColor="text1"/>
          <w:lang w:val="es-ES_tradnl"/>
        </w:rPr>
        <w:t xml:space="preserve">, estas tres especies ingresan en la categoría de las </w:t>
      </w:r>
      <w:r w:rsidRPr="008638A5">
        <w:rPr>
          <w:rFonts w:ascii="Verdana" w:eastAsia="Calibri" w:hAnsi="Verdana" w:cs="Arial"/>
          <w:bCs/>
          <w:i/>
          <w:iCs/>
          <w:color w:val="000000" w:themeColor="text1"/>
          <w:lang w:val="es-ES_tradnl"/>
        </w:rPr>
        <w:t>entidades descentralizadas por servicios</w:t>
      </w:r>
      <w:r>
        <w:rPr>
          <w:rFonts w:ascii="Verdana" w:eastAsia="Calibri" w:hAnsi="Verdana" w:cs="Arial"/>
          <w:bCs/>
          <w:color w:val="000000" w:themeColor="text1"/>
          <w:lang w:val="es-ES_tradnl"/>
        </w:rPr>
        <w:t xml:space="preserve">, es decir, hacen parte de la Rama Ejecutiva del Orden Público. </w:t>
      </w:r>
      <w:r w:rsidRPr="008638A5">
        <w:rPr>
          <w:rFonts w:ascii="Verdana" w:eastAsia="Calibri" w:hAnsi="Verdana" w:cs="Arial"/>
          <w:bCs/>
          <w:color w:val="000000" w:themeColor="text1"/>
          <w:lang w:val="es-ES_tradnl"/>
        </w:rPr>
        <w:t xml:space="preserve"> </w:t>
      </w:r>
    </w:p>
    <w:p w14:paraId="698B133D" w14:textId="77777777" w:rsidR="00A7153D" w:rsidRDefault="00A7153D" w:rsidP="00A7153D">
      <w:pPr>
        <w:tabs>
          <w:tab w:val="left" w:pos="0"/>
        </w:tabs>
        <w:spacing w:after="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Al respecto</w:t>
      </w:r>
      <w:r w:rsidRPr="008638A5">
        <w:rPr>
          <w:rFonts w:ascii="Verdana" w:eastAsia="Calibri" w:hAnsi="Verdana" w:cs="Arial"/>
          <w:bCs/>
          <w:color w:val="000000" w:themeColor="text1"/>
          <w:lang w:val="es-ES_tradnl"/>
        </w:rPr>
        <w:t xml:space="preserve">, debe recordarse que en dicha Sentencia el alto tribunal afirmó que las empresas prestadoras de servicios públicos domiciliarios </w:t>
      </w:r>
      <w:r w:rsidRPr="008638A5">
        <w:rPr>
          <w:rFonts w:ascii="Verdana" w:eastAsia="Calibri" w:hAnsi="Verdana" w:cs="Arial"/>
          <w:bCs/>
          <w:i/>
          <w:iCs/>
          <w:color w:val="000000" w:themeColor="text1"/>
          <w:lang w:val="es-ES_tradnl"/>
        </w:rPr>
        <w:t>mixtas y privadas</w:t>
      </w:r>
      <w:r w:rsidRPr="008638A5">
        <w:rPr>
          <w:rFonts w:ascii="Verdana" w:eastAsia="Calibri" w:hAnsi="Verdana" w:cs="Arial"/>
          <w:bCs/>
          <w:color w:val="000000" w:themeColor="text1"/>
          <w:lang w:val="es-ES_tradnl"/>
        </w:rPr>
        <w:t xml:space="preserve"> </w:t>
      </w:r>
      <w:r>
        <w:rPr>
          <w:rFonts w:ascii="Verdana" w:eastAsia="Calibri" w:hAnsi="Verdana" w:cs="Arial"/>
          <w:bCs/>
          <w:color w:val="000000" w:themeColor="text1"/>
          <w:lang w:val="es-ES_tradnl"/>
        </w:rPr>
        <w:t xml:space="preserve">con aportes estatales </w:t>
      </w:r>
      <w:r w:rsidRPr="008638A5">
        <w:rPr>
          <w:rFonts w:ascii="Verdana" w:eastAsia="Calibri" w:hAnsi="Verdana" w:cs="Arial"/>
          <w:bCs/>
          <w:color w:val="000000" w:themeColor="text1"/>
          <w:lang w:val="es-ES_tradnl"/>
        </w:rPr>
        <w:t xml:space="preserve">son tipos </w:t>
      </w:r>
      <w:r w:rsidRPr="008638A5">
        <w:rPr>
          <w:rFonts w:ascii="Verdana" w:eastAsia="Calibri" w:hAnsi="Verdana" w:cs="Arial"/>
          <w:bCs/>
          <w:i/>
          <w:iCs/>
          <w:color w:val="000000" w:themeColor="text1"/>
          <w:lang w:val="es-ES_tradnl"/>
        </w:rPr>
        <w:t>especiales</w:t>
      </w:r>
      <w:r w:rsidRPr="008638A5">
        <w:rPr>
          <w:rFonts w:ascii="Verdana" w:eastAsia="Calibri" w:hAnsi="Verdana" w:cs="Arial"/>
          <w:bCs/>
          <w:color w:val="000000" w:themeColor="text1"/>
          <w:lang w:val="es-ES_tradnl"/>
        </w:rPr>
        <w:t xml:space="preserve"> de entidades descentralizadas por servicios que, por tanto, no pueden e</w:t>
      </w:r>
      <w:r>
        <w:rPr>
          <w:rFonts w:ascii="Verdana" w:eastAsia="Calibri" w:hAnsi="Verdana" w:cs="Arial"/>
          <w:bCs/>
          <w:color w:val="000000" w:themeColor="text1"/>
          <w:lang w:val="es-ES_tradnl"/>
        </w:rPr>
        <w:t>nmarcarse</w:t>
      </w:r>
      <w:r w:rsidRPr="008638A5">
        <w:rPr>
          <w:rFonts w:ascii="Verdana" w:eastAsia="Calibri" w:hAnsi="Verdana" w:cs="Arial"/>
          <w:bCs/>
          <w:color w:val="000000" w:themeColor="text1"/>
          <w:lang w:val="es-ES_tradnl"/>
        </w:rPr>
        <w:t xml:space="preserve"> en las otras especies de entidades descentralizadas por servicios enlistadas en el artículo 38 de la Ley 489 de 1998, es decir, que no cabe considerarlas, verbigracia, dentro de las sociedades públicas ni en las sociedades de economía mixta.</w:t>
      </w:r>
      <w:r>
        <w:rPr>
          <w:rFonts w:ascii="Verdana" w:eastAsia="Calibri" w:hAnsi="Verdana" w:cs="Arial"/>
          <w:bCs/>
          <w:color w:val="000000" w:themeColor="text1"/>
          <w:lang w:val="es-ES_tradnl"/>
        </w:rPr>
        <w:t xml:space="preserve"> En dicho sentido, en el numeral 5.3. de la precitada Sentencia expresa: </w:t>
      </w:r>
    </w:p>
    <w:p w14:paraId="176DFFC0" w14:textId="77777777" w:rsidR="00A7153D" w:rsidRDefault="00A7153D" w:rsidP="00A7153D">
      <w:pPr>
        <w:tabs>
          <w:tab w:val="left" w:pos="0"/>
        </w:tabs>
        <w:spacing w:after="0" w:line="276" w:lineRule="auto"/>
        <w:jc w:val="both"/>
        <w:rPr>
          <w:rFonts w:ascii="Verdana" w:eastAsia="Calibri" w:hAnsi="Verdana" w:cs="Arial"/>
          <w:bCs/>
          <w:color w:val="000000" w:themeColor="text1"/>
          <w:lang w:val="es-ES_tradnl"/>
        </w:rPr>
      </w:pPr>
    </w:p>
    <w:p w14:paraId="71F93480" w14:textId="77777777" w:rsidR="00A7153D" w:rsidRDefault="00A7153D" w:rsidP="00A7153D">
      <w:pPr>
        <w:tabs>
          <w:tab w:val="left" w:pos="0"/>
        </w:tabs>
        <w:spacing w:before="120" w:after="0" w:line="276" w:lineRule="auto"/>
        <w:ind w:left="709" w:right="709"/>
        <w:jc w:val="both"/>
        <w:rPr>
          <w:rFonts w:ascii="Verdana" w:eastAsia="Times New Roman" w:hAnsi="Verdana" w:cs="Arial"/>
          <w:sz w:val="20"/>
          <w:szCs w:val="20"/>
          <w:lang w:val="es-ES" w:eastAsia="es-ES"/>
        </w:rPr>
      </w:pPr>
      <w:r w:rsidRPr="00270257">
        <w:rPr>
          <w:rFonts w:ascii="Verdana" w:eastAsia="Calibri" w:hAnsi="Verdana" w:cs="Arial"/>
          <w:bCs/>
          <w:color w:val="000000" w:themeColor="text1"/>
          <w:sz w:val="20"/>
          <w:szCs w:val="20"/>
          <w:lang w:val="es-ES_tradnl"/>
        </w:rPr>
        <w:lastRenderedPageBreak/>
        <w:t>“</w:t>
      </w:r>
      <w:r w:rsidRPr="00270257">
        <w:rPr>
          <w:rFonts w:ascii="Verdana" w:eastAsia="Times New Roman" w:hAnsi="Verdana" w:cs="Arial"/>
          <w:sz w:val="20"/>
          <w:szCs w:val="20"/>
          <w:lang w:val="es-ES" w:eastAsia="es-ES"/>
        </w:rPr>
        <w:t xml:space="preserve">[…] desde la perspectiva constitucional, en el nivel nacional las empresas de servicios públicos públicas, mixtas o privadas en las </w:t>
      </w:r>
      <w:r w:rsidRPr="00270257">
        <w:rPr>
          <w:rFonts w:ascii="Verdana" w:eastAsia="Times New Roman" w:hAnsi="Verdana" w:cs="Arial"/>
          <w:i/>
          <w:sz w:val="20"/>
          <w:szCs w:val="20"/>
          <w:lang w:val="es-ES" w:eastAsia="es-ES"/>
        </w:rPr>
        <w:t>cuales haya cualquier porcentaje de capital público pueden formar parte de la estructura de la Rama Ejecutiva</w:t>
      </w:r>
      <w:r w:rsidRPr="00270257">
        <w:rPr>
          <w:rFonts w:ascii="Verdana" w:eastAsia="Times New Roman" w:hAnsi="Verdana" w:cs="Arial"/>
          <w:sz w:val="20"/>
          <w:szCs w:val="20"/>
          <w:lang w:val="es-ES" w:eastAsia="es-ES"/>
        </w:rPr>
        <w:t>, según lo disponga el legislador, que para esos efectos está revestido de las facultades que le confiere expresamente el numeral 7° del artículo150 superior (énfasis fuera de texto)”</w:t>
      </w:r>
      <w:r w:rsidRPr="00270257">
        <w:rPr>
          <w:rStyle w:val="Refdenotaalpie"/>
          <w:rFonts w:ascii="Verdana" w:eastAsia="Times New Roman" w:hAnsi="Verdana" w:cs="Arial"/>
          <w:sz w:val="20"/>
          <w:szCs w:val="20"/>
          <w:lang w:val="es-ES" w:eastAsia="es-ES"/>
        </w:rPr>
        <w:footnoteReference w:id="3"/>
      </w:r>
    </w:p>
    <w:p w14:paraId="006004D8" w14:textId="77777777" w:rsidR="00A7153D" w:rsidRDefault="00A7153D" w:rsidP="00A7153D">
      <w:pPr>
        <w:tabs>
          <w:tab w:val="left" w:pos="0"/>
        </w:tabs>
        <w:spacing w:after="0" w:line="276" w:lineRule="auto"/>
        <w:ind w:right="709"/>
        <w:jc w:val="both"/>
        <w:rPr>
          <w:rFonts w:ascii="Verdana" w:eastAsia="Times New Roman" w:hAnsi="Verdana" w:cs="Arial"/>
          <w:sz w:val="20"/>
          <w:szCs w:val="20"/>
          <w:lang w:val="es-ES" w:eastAsia="es-ES"/>
        </w:rPr>
      </w:pPr>
    </w:p>
    <w:p w14:paraId="7EA68D22" w14:textId="77777777" w:rsidR="00A7153D" w:rsidRPr="00270257" w:rsidRDefault="00A7153D" w:rsidP="00A7153D">
      <w:pPr>
        <w:tabs>
          <w:tab w:val="left" w:pos="0"/>
        </w:tabs>
        <w:spacing w:before="120" w:after="0" w:line="276" w:lineRule="auto"/>
        <w:jc w:val="both"/>
        <w:rPr>
          <w:rFonts w:ascii="Verdana" w:eastAsia="Times New Roman" w:hAnsi="Verdana" w:cs="Arial"/>
          <w:lang w:val="es-ES" w:eastAsia="es-ES"/>
        </w:rPr>
      </w:pPr>
      <w:r>
        <w:rPr>
          <w:rFonts w:ascii="Verdana" w:eastAsia="Times New Roman" w:hAnsi="Verdana" w:cs="Arial"/>
          <w:lang w:val="es-ES" w:eastAsia="es-ES"/>
        </w:rPr>
        <w:tab/>
        <w:t>Lo expuesto, permite resaltar</w:t>
      </w:r>
      <w:r w:rsidRPr="00270257">
        <w:rPr>
          <w:rFonts w:ascii="Verdana" w:eastAsia="Times New Roman" w:hAnsi="Verdana" w:cs="Arial"/>
          <w:lang w:val="es-ES" w:eastAsia="es-ES"/>
        </w:rPr>
        <w:t xml:space="preserve"> la flexibilidad constitucional al legislador colombiano</w:t>
      </w:r>
      <w:r>
        <w:rPr>
          <w:rFonts w:ascii="Verdana" w:eastAsia="Times New Roman" w:hAnsi="Verdana" w:cs="Arial"/>
          <w:lang w:val="es-ES" w:eastAsia="es-ES"/>
        </w:rPr>
        <w:t xml:space="preserve"> de</w:t>
      </w:r>
      <w:r w:rsidRPr="00270257">
        <w:rPr>
          <w:rFonts w:ascii="Verdana" w:eastAsia="Times New Roman" w:hAnsi="Verdana" w:cs="Arial"/>
          <w:lang w:val="es-ES" w:eastAsia="es-ES"/>
        </w:rPr>
        <w:t xml:space="preserve"> incorporar empresas de servicios públicos —ya sean públicas, mixtas o privadas con participación estatal— dentro de la estructura de la Rama Ejecutiva. Esta posibilida</w:t>
      </w:r>
      <w:r>
        <w:rPr>
          <w:rFonts w:ascii="Verdana" w:eastAsia="Times New Roman" w:hAnsi="Verdana" w:cs="Arial"/>
          <w:lang w:val="es-ES" w:eastAsia="es-ES"/>
        </w:rPr>
        <w:t>d se justifica</w:t>
      </w:r>
      <w:r w:rsidRPr="00270257">
        <w:rPr>
          <w:rFonts w:ascii="Verdana" w:eastAsia="Times New Roman" w:hAnsi="Verdana" w:cs="Arial"/>
          <w:lang w:val="es-ES" w:eastAsia="es-ES"/>
        </w:rPr>
        <w:t xml:space="preserve"> en el numeral 7° del artículo 150 de la Constitución, que </w:t>
      </w:r>
      <w:r>
        <w:rPr>
          <w:rFonts w:ascii="Verdana" w:eastAsia="Times New Roman" w:hAnsi="Verdana" w:cs="Arial"/>
          <w:lang w:val="es-ES" w:eastAsia="es-ES"/>
        </w:rPr>
        <w:t xml:space="preserve">otorga la competencia </w:t>
      </w:r>
      <w:r w:rsidRPr="00270257">
        <w:rPr>
          <w:rFonts w:ascii="Verdana" w:eastAsia="Times New Roman" w:hAnsi="Verdana" w:cs="Arial"/>
          <w:lang w:val="es-ES" w:eastAsia="es-ES"/>
        </w:rPr>
        <w:t>al Congreso la facultad de organizar la a</w:t>
      </w:r>
      <w:r>
        <w:rPr>
          <w:rFonts w:ascii="Verdana" w:eastAsia="Times New Roman" w:hAnsi="Verdana" w:cs="Arial"/>
          <w:lang w:val="es-ES" w:eastAsia="es-ES"/>
        </w:rPr>
        <w:t>dministración nacional. De esta manera, no</w:t>
      </w:r>
      <w:r w:rsidRPr="00270257">
        <w:rPr>
          <w:rFonts w:ascii="Verdana" w:eastAsia="Times New Roman" w:hAnsi="Verdana" w:cs="Arial"/>
          <w:lang w:val="es-ES" w:eastAsia="es-ES"/>
        </w:rPr>
        <w:t xml:space="preserve"> es necesario que la empresa sea completamente pública para que pueda </w:t>
      </w:r>
      <w:r>
        <w:rPr>
          <w:rFonts w:ascii="Verdana" w:eastAsia="Times New Roman" w:hAnsi="Verdana" w:cs="Arial"/>
          <w:lang w:val="es-ES" w:eastAsia="es-ES"/>
        </w:rPr>
        <w:t>considerarse parte del Estado.</w:t>
      </w:r>
    </w:p>
    <w:p w14:paraId="56815A2C" w14:textId="77777777" w:rsidR="00A7153D" w:rsidRPr="00270257" w:rsidRDefault="00A7153D" w:rsidP="00A7153D">
      <w:pPr>
        <w:tabs>
          <w:tab w:val="left" w:pos="0"/>
        </w:tabs>
        <w:spacing w:before="120" w:after="0" w:line="276" w:lineRule="auto"/>
        <w:ind w:firstLine="709"/>
        <w:jc w:val="both"/>
        <w:rPr>
          <w:rFonts w:ascii="Verdana" w:eastAsia="Times New Roman" w:hAnsi="Verdana" w:cs="Arial"/>
          <w:sz w:val="20"/>
          <w:szCs w:val="20"/>
          <w:lang w:val="es-ES" w:eastAsia="es-ES"/>
        </w:rPr>
      </w:pPr>
      <w:r>
        <w:rPr>
          <w:rFonts w:ascii="Verdana" w:eastAsia="Times New Roman" w:hAnsi="Verdana" w:cs="Times New Roman"/>
          <w:lang w:val="es-ES" w:eastAsia="es-ES"/>
        </w:rPr>
        <w:t>Posteriormente, en la Sentencia precitada haciendo un análisis de los artículos 38</w:t>
      </w:r>
      <w:r>
        <w:rPr>
          <w:rStyle w:val="Refdenotaalpie"/>
          <w:rFonts w:ascii="Verdana" w:eastAsia="Times New Roman" w:hAnsi="Verdana" w:cs="Times New Roman"/>
          <w:lang w:val="es-ES" w:eastAsia="es-ES"/>
        </w:rPr>
        <w:footnoteReference w:id="4"/>
      </w:r>
      <w:r>
        <w:rPr>
          <w:rFonts w:ascii="Verdana" w:eastAsia="Times New Roman" w:hAnsi="Verdana" w:cs="Times New Roman"/>
          <w:lang w:val="es-ES" w:eastAsia="es-ES"/>
        </w:rPr>
        <w:t xml:space="preserve"> y 68</w:t>
      </w:r>
      <w:r>
        <w:rPr>
          <w:rStyle w:val="Refdenotaalpie"/>
          <w:rFonts w:ascii="Verdana" w:eastAsia="Times New Roman" w:hAnsi="Verdana" w:cs="Times New Roman"/>
          <w:lang w:val="es-ES" w:eastAsia="es-ES"/>
        </w:rPr>
        <w:footnoteReference w:id="5"/>
      </w:r>
      <w:r>
        <w:rPr>
          <w:rFonts w:ascii="Verdana" w:eastAsia="Times New Roman" w:hAnsi="Verdana" w:cs="Times New Roman"/>
          <w:lang w:val="es-ES" w:eastAsia="es-ES"/>
        </w:rPr>
        <w:t xml:space="preserve"> de la Ley 489 de 1998 sobre la integración de la Rama </w:t>
      </w:r>
      <w:r>
        <w:rPr>
          <w:rFonts w:ascii="Verdana" w:eastAsia="Times New Roman" w:hAnsi="Verdana" w:cs="Times New Roman"/>
          <w:lang w:val="es-ES" w:eastAsia="es-ES"/>
        </w:rPr>
        <w:lastRenderedPageBreak/>
        <w:t>Ejecutiva del Poder Público en el orden nacional y cuáles son las entidades descentralizadas del orden nacional, solo se incluyen a las empresas de servicios públicos domiciliarios, pero no de manera expresa a las empresas mixtas o privadas de la misma naturaleza. En este sentido, se cuestiona la constitucionalidad de dichos artículos, teniendo en cuenta que los numerales 6 y 7 del artículo 14 de la Ley 142 de 1994 señalan que son tipos societarios con capital del Estado y de los particulares:</w:t>
      </w:r>
    </w:p>
    <w:p w14:paraId="3B6D25C6" w14:textId="77777777" w:rsidR="00A7153D" w:rsidRDefault="00A7153D" w:rsidP="00A7153D">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val="es-ES" w:eastAsia="es-ES"/>
        </w:rPr>
      </w:pPr>
    </w:p>
    <w:p w14:paraId="654EE3F6" w14:textId="77777777" w:rsidR="00A7153D" w:rsidRPr="00585A53" w:rsidRDefault="00A7153D" w:rsidP="00A7153D">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14.6. Empresa de servicios públicos mixta. Es aquella en cuyo capital la Nación, las entidades territoriales, o las entidades descentralizadas de aquella o </w:t>
      </w:r>
      <w:r w:rsidRPr="00585A53">
        <w:rPr>
          <w:rFonts w:ascii="Verdana" w:eastAsia="Times New Roman" w:hAnsi="Verdana" w:cs="Times New Roman"/>
          <w:i/>
          <w:sz w:val="20"/>
          <w:lang w:eastAsia="es-ES"/>
        </w:rPr>
        <w:t>éstas tienen aportes iguales o superiores al 50%. </w:t>
      </w:r>
    </w:p>
    <w:p w14:paraId="1E8C35B4" w14:textId="77777777" w:rsidR="00A7153D" w:rsidRPr="00585A53" w:rsidRDefault="00A7153D" w:rsidP="00A7153D">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w:t>
      </w:r>
    </w:p>
    <w:p w14:paraId="03F4EBFF" w14:textId="77777777" w:rsidR="00A7153D" w:rsidRPr="00585A53" w:rsidRDefault="00A7153D" w:rsidP="00A7153D">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14.7. Empresa de servicios públicos privada. Es aquella cuyo capital pertenece </w:t>
      </w:r>
      <w:r w:rsidRPr="00585A53">
        <w:rPr>
          <w:rFonts w:ascii="Verdana" w:eastAsia="Times New Roman" w:hAnsi="Verdana" w:cs="Times New Roman"/>
          <w:i/>
          <w:sz w:val="20"/>
          <w:lang w:eastAsia="es-ES"/>
        </w:rPr>
        <w:t>mayoritariamente</w:t>
      </w:r>
      <w:r w:rsidRPr="00585A53">
        <w:rPr>
          <w:rFonts w:ascii="Verdana" w:eastAsia="Times New Roman" w:hAnsi="Verdana" w:cs="Times New Roman"/>
          <w:sz w:val="20"/>
          <w:lang w:eastAsia="es-ES"/>
        </w:rPr>
        <w:t xml:space="preserve"> a particulares, o a entidades surgidas de convenios internacionales que deseen someterse íntegramente para estos efectos a las reglas a las que se someten los p</w:t>
      </w:r>
      <w:r>
        <w:rPr>
          <w:rFonts w:ascii="Verdana" w:eastAsia="Times New Roman" w:hAnsi="Verdana" w:cs="Times New Roman"/>
          <w:sz w:val="20"/>
          <w:lang w:eastAsia="es-ES"/>
        </w:rPr>
        <w:t xml:space="preserve">articulares (énfasis fuera de texto) </w:t>
      </w:r>
    </w:p>
    <w:p w14:paraId="660E528D" w14:textId="77777777" w:rsidR="00A7153D" w:rsidRPr="00585A53" w:rsidRDefault="00A7153D" w:rsidP="00A7153D">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eastAsia="es-ES"/>
        </w:rPr>
      </w:pPr>
    </w:p>
    <w:p w14:paraId="4E81DEE9" w14:textId="77777777" w:rsidR="00A7153D" w:rsidRDefault="00A7153D" w:rsidP="00A7153D">
      <w:pPr>
        <w:spacing w:after="120" w:line="276" w:lineRule="auto"/>
        <w:jc w:val="both"/>
        <w:rPr>
          <w:rFonts w:ascii="Verdana" w:eastAsia="Times New Roman" w:hAnsi="Verdana" w:cs="Times New Roman"/>
          <w:lang w:val="es-ES" w:eastAsia="es-ES"/>
        </w:rPr>
      </w:pPr>
      <w:r w:rsidRPr="00DE3ED2">
        <w:rPr>
          <w:rFonts w:ascii="Verdana" w:eastAsia="Times New Roman" w:hAnsi="Verdana" w:cs="Times New Roman"/>
          <w:lang w:val="es-ES" w:eastAsia="es-ES"/>
        </w:rPr>
        <w:tab/>
        <w:t xml:space="preserve">En este aspecto, la Sentencia expresa que una empresa de servicios públicos privada es aquella cuyo capital pertenece de forma mayoritaria a particulares, lo que implica que hay una participación minoritaria de las entidades del Estado. Mientras, una empresa de servicios públicos mixta es aquella en la cual el capital público </w:t>
      </w:r>
      <w:r w:rsidRPr="00E0284C">
        <w:rPr>
          <w:rFonts w:ascii="Verdana" w:eastAsia="Times New Roman" w:hAnsi="Verdana" w:cs="Times New Roman"/>
          <w:lang w:val="es-ES" w:eastAsia="es-ES"/>
        </w:rPr>
        <w:t>es igual o superior al</w:t>
      </w:r>
      <w:r w:rsidRPr="00DE3ED2">
        <w:rPr>
          <w:rFonts w:ascii="Verdana" w:eastAsia="Times New Roman" w:hAnsi="Verdana" w:cs="Times New Roman"/>
          <w:lang w:val="es-ES" w:eastAsia="es-ES"/>
        </w:rPr>
        <w:t xml:space="preserve"> cin</w:t>
      </w:r>
      <w:r>
        <w:rPr>
          <w:rFonts w:ascii="Verdana" w:eastAsia="Times New Roman" w:hAnsi="Verdana" w:cs="Times New Roman"/>
          <w:lang w:val="es-ES" w:eastAsia="es-ES"/>
        </w:rPr>
        <w:t>cuenta por ciento (50%), lo que implica</w:t>
      </w:r>
      <w:r w:rsidRPr="00DE3ED2">
        <w:rPr>
          <w:rFonts w:ascii="Verdana" w:eastAsia="Times New Roman" w:hAnsi="Verdana" w:cs="Times New Roman"/>
          <w:lang w:val="es-ES" w:eastAsia="es-ES"/>
        </w:rPr>
        <w:t xml:space="preserve"> </w:t>
      </w:r>
      <w:r w:rsidRPr="00E0284C">
        <w:rPr>
          <w:rFonts w:ascii="Verdana" w:eastAsia="Times New Roman" w:hAnsi="Verdana" w:cs="Times New Roman"/>
          <w:lang w:val="es-ES" w:eastAsia="es-ES"/>
        </w:rPr>
        <w:t>que</w:t>
      </w:r>
      <w:r>
        <w:rPr>
          <w:rFonts w:ascii="Verdana" w:eastAsia="Times New Roman" w:hAnsi="Verdana" w:cs="Times New Roman"/>
          <w:lang w:val="es-ES" w:eastAsia="es-ES"/>
        </w:rPr>
        <w:t>,</w:t>
      </w:r>
      <w:r w:rsidRPr="00E0284C">
        <w:rPr>
          <w:rFonts w:ascii="Verdana" w:eastAsia="Times New Roman" w:hAnsi="Verdana" w:cs="Times New Roman"/>
          <w:lang w:val="es-ES" w:eastAsia="es-ES"/>
        </w:rPr>
        <w:t xml:space="preserve"> </w:t>
      </w:r>
      <w:r w:rsidRPr="00E0284C">
        <w:rPr>
          <w:rFonts w:ascii="Verdana" w:eastAsia="Times New Roman" w:hAnsi="Verdana" w:cs="Times New Roman"/>
          <w:i/>
          <w:iCs/>
          <w:lang w:val="es-ES" w:eastAsia="es-ES"/>
        </w:rPr>
        <w:t xml:space="preserve">minoritariamente </w:t>
      </w:r>
      <w:r w:rsidRPr="00E0284C">
        <w:rPr>
          <w:rFonts w:ascii="Verdana" w:eastAsia="Times New Roman" w:hAnsi="Verdana" w:cs="Times New Roman"/>
          <w:lang w:val="es-ES" w:eastAsia="es-ES"/>
        </w:rPr>
        <w:t xml:space="preserve">pertenece a particulares. </w:t>
      </w:r>
    </w:p>
    <w:p w14:paraId="67517BDD" w14:textId="77777777" w:rsidR="00A7153D" w:rsidRPr="00FF6C85" w:rsidRDefault="00A7153D" w:rsidP="00A7153D">
      <w:pPr>
        <w:spacing w:after="120" w:line="276" w:lineRule="auto"/>
        <w:jc w:val="both"/>
        <w:rPr>
          <w:rFonts w:ascii="Verdana" w:eastAsia="Times New Roman" w:hAnsi="Verdana" w:cs="Times New Roman"/>
          <w:lang w:val="es-ES" w:eastAsia="es-ES"/>
        </w:rPr>
      </w:pPr>
      <w:r>
        <w:rPr>
          <w:rFonts w:ascii="Verdana" w:eastAsia="Times New Roman" w:hAnsi="Verdana" w:cs="Times New Roman"/>
          <w:lang w:val="es-ES" w:eastAsia="es-ES"/>
        </w:rPr>
        <w:lastRenderedPageBreak/>
        <w:tab/>
        <w:t>Posterior a estas precisiones, la Corte Constitucional</w:t>
      </w:r>
      <w:r w:rsidRPr="008B3502">
        <w:rPr>
          <w:rFonts w:ascii="Verdana" w:eastAsia="Calibri" w:hAnsi="Verdana" w:cs="Arial"/>
          <w:bCs/>
          <w:color w:val="000000" w:themeColor="text1"/>
          <w:lang w:val="es-ES"/>
        </w:rPr>
        <w:t>, al analizar el artículo 38 de la Ley 489 de 1998, concluyó que</w:t>
      </w:r>
      <w:r>
        <w:rPr>
          <w:rFonts w:ascii="Verdana" w:eastAsia="Calibri" w:hAnsi="Verdana" w:cs="Arial"/>
          <w:bCs/>
          <w:color w:val="000000" w:themeColor="text1"/>
          <w:lang w:val="es-ES"/>
        </w:rPr>
        <w:t>,</w:t>
      </w:r>
      <w:r w:rsidRPr="008B3502">
        <w:rPr>
          <w:rFonts w:ascii="Verdana" w:eastAsia="Calibri" w:hAnsi="Verdana" w:cs="Arial"/>
          <w:bCs/>
          <w:color w:val="000000" w:themeColor="text1"/>
          <w:lang w:val="es-ES"/>
        </w:rPr>
        <w:t xml:space="preserve"> aunque el literal d) menciona únicamente a las empresas oficiales de servicios públicos domiciliarios como parte de la Rama Ejecutiva, el literal g) permite una interpretación más amplia. Este último incluye a todas las entidades administrativas nacionales con personería jurídica creadas o autorizadas por la ley, lo que abarca también a las empresas de servicios públicos mixtas o privadas. Por tanto, estas empresas pueden considerarse parte del sector descentralizado de la Rama Ejecutiva, lo que</w:t>
      </w:r>
      <w:r>
        <w:rPr>
          <w:rFonts w:ascii="Verdana" w:eastAsia="Calibri" w:hAnsi="Verdana" w:cs="Arial"/>
          <w:bCs/>
          <w:color w:val="000000" w:themeColor="text1"/>
          <w:lang w:val="es-ES"/>
        </w:rPr>
        <w:t xml:space="preserve"> implica la declaratoria de </w:t>
      </w:r>
      <w:r w:rsidRPr="008B3502">
        <w:rPr>
          <w:rFonts w:ascii="Verdana" w:eastAsia="Calibri" w:hAnsi="Verdana" w:cs="Arial"/>
          <w:bCs/>
          <w:color w:val="000000" w:themeColor="text1"/>
          <w:lang w:val="es-ES"/>
        </w:rPr>
        <w:t xml:space="preserve">la </w:t>
      </w:r>
      <w:proofErr w:type="spellStart"/>
      <w:r w:rsidRPr="008B3502">
        <w:rPr>
          <w:rFonts w:ascii="Verdana" w:eastAsia="Calibri" w:hAnsi="Verdana" w:cs="Arial"/>
          <w:bCs/>
          <w:color w:val="000000" w:themeColor="text1"/>
          <w:lang w:val="es-ES"/>
        </w:rPr>
        <w:t>exequibilidad</w:t>
      </w:r>
      <w:proofErr w:type="spellEnd"/>
      <w:r w:rsidRPr="008B3502">
        <w:rPr>
          <w:rFonts w:ascii="Verdana" w:eastAsia="Calibri" w:hAnsi="Verdana" w:cs="Arial"/>
          <w:bCs/>
          <w:color w:val="000000" w:themeColor="text1"/>
          <w:lang w:val="es-ES"/>
        </w:rPr>
        <w:t xml:space="preserve"> de la norma demandada.</w:t>
      </w:r>
    </w:p>
    <w:p w14:paraId="3C09CAB7" w14:textId="77777777" w:rsidR="00A7153D" w:rsidRDefault="00A7153D" w:rsidP="00A7153D">
      <w:pPr>
        <w:tabs>
          <w:tab w:val="left" w:pos="0"/>
        </w:tabs>
        <w:spacing w:before="120" w:after="120" w:line="276" w:lineRule="auto"/>
        <w:ind w:firstLine="709"/>
        <w:jc w:val="both"/>
        <w:rPr>
          <w:rFonts w:ascii="Verdana" w:eastAsia="Calibri" w:hAnsi="Verdana" w:cs="Arial"/>
          <w:bCs/>
          <w:color w:val="000000" w:themeColor="text1"/>
          <w:lang w:val="es-ES"/>
        </w:rPr>
      </w:pPr>
      <w:r w:rsidRPr="008B3502">
        <w:rPr>
          <w:rFonts w:ascii="Verdana" w:eastAsia="Calibri" w:hAnsi="Verdana" w:cs="Arial"/>
          <w:bCs/>
          <w:color w:val="000000" w:themeColor="text1"/>
          <w:lang w:val="es-ES"/>
        </w:rPr>
        <w:t xml:space="preserve">Respecto al artículo 68, aunque se </w:t>
      </w:r>
      <w:r>
        <w:rPr>
          <w:rFonts w:ascii="Verdana" w:eastAsia="Calibri" w:hAnsi="Verdana" w:cs="Arial"/>
          <w:bCs/>
          <w:color w:val="000000" w:themeColor="text1"/>
          <w:lang w:val="es-ES"/>
        </w:rPr>
        <w:t xml:space="preserve">refiere explícitamente </w:t>
      </w:r>
      <w:r w:rsidRPr="008B3502">
        <w:rPr>
          <w:rFonts w:ascii="Verdana" w:eastAsia="Calibri" w:hAnsi="Verdana" w:cs="Arial"/>
          <w:bCs/>
          <w:color w:val="000000" w:themeColor="text1"/>
          <w:lang w:val="es-ES"/>
        </w:rPr>
        <w:t xml:space="preserve">a las empresas oficiales como entidades descentralizadas, el legislador también incluye a otras entidades con personería jurídica, autonomía administrativa y patrimonio propio, cuyo objeto sea prestar servicios públicos o realizar actividades administrativas, industriales o comerciales. Esta redacción permite incluir a las empresas mixtas o privadas de servicios públicos como entidades descentralizadas del orden nacional. En consecuencia, la Corte no encuentra reparos de constitucionalidad y declara la norma ajustada a la </w:t>
      </w:r>
      <w:r>
        <w:rPr>
          <w:rFonts w:ascii="Verdana" w:eastAsia="Calibri" w:hAnsi="Verdana" w:cs="Arial"/>
          <w:bCs/>
          <w:color w:val="000000" w:themeColor="text1"/>
          <w:lang w:val="es-ES"/>
        </w:rPr>
        <w:t xml:space="preserve">Constitución Política. Con respecto a este tema, hay doctrina que tiene sus observaciones frente a dicha Sentencia de Constitucionalidad, expresando: </w:t>
      </w:r>
    </w:p>
    <w:p w14:paraId="5EB2AADE" w14:textId="77777777" w:rsidR="00A7153D" w:rsidRDefault="00A7153D" w:rsidP="00A7153D">
      <w:pPr>
        <w:tabs>
          <w:tab w:val="left" w:pos="0"/>
        </w:tabs>
        <w:spacing w:before="120" w:after="0" w:line="276" w:lineRule="auto"/>
        <w:ind w:firstLine="709"/>
        <w:jc w:val="both"/>
        <w:rPr>
          <w:rFonts w:ascii="Verdana" w:eastAsia="Calibri" w:hAnsi="Verdana" w:cs="Arial"/>
          <w:bCs/>
          <w:color w:val="000000" w:themeColor="text1"/>
          <w:lang w:val="es-ES"/>
        </w:rPr>
      </w:pPr>
      <w:r>
        <w:rPr>
          <w:rFonts w:ascii="Verdana" w:eastAsia="Calibri" w:hAnsi="Verdana" w:cs="Arial"/>
          <w:bCs/>
          <w:color w:val="000000" w:themeColor="text1"/>
          <w:lang w:val="es-ES"/>
        </w:rPr>
        <w:tab/>
      </w:r>
    </w:p>
    <w:p w14:paraId="0751DF11" w14:textId="77777777" w:rsidR="00A7153D" w:rsidRPr="00435AFF" w:rsidRDefault="00A7153D" w:rsidP="00A7153D">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De hecho, allí no se afirma, ni se deduce, que los operadores de los servicios públicos deban o tengan que ser entidades de naturaleza especial, y sobre todo distintas de los establecimientos públicos, de las empresas industriales y comerciales y de las sociedades de economía mixta. Más bien, se observa que la norma le concedió libertad de configuración al legislador para que hiciera en este tema lo que considerara más conveniente, y así debió reconocerlo la Corte.</w:t>
      </w:r>
    </w:p>
    <w:p w14:paraId="6AE74F89" w14:textId="77777777" w:rsidR="00A7153D" w:rsidRPr="00435AFF" w:rsidRDefault="00A7153D" w:rsidP="00A7153D">
      <w:pPr>
        <w:tabs>
          <w:tab w:val="left" w:pos="0"/>
        </w:tabs>
        <w:spacing w:after="0" w:line="240" w:lineRule="auto"/>
        <w:ind w:left="709" w:right="709"/>
        <w:jc w:val="both"/>
        <w:rPr>
          <w:rFonts w:ascii="Verdana" w:eastAsia="Calibri" w:hAnsi="Verdana" w:cs="Arial"/>
          <w:bCs/>
          <w:color w:val="000000" w:themeColor="text1"/>
          <w:sz w:val="20"/>
        </w:rPr>
      </w:pPr>
    </w:p>
    <w:p w14:paraId="46E33C18" w14:textId="77777777" w:rsidR="00A7153D" w:rsidRPr="00435AFF" w:rsidRDefault="00A7153D" w:rsidP="00A7153D">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Ahora, el error de este criterio se proyecta en dos sentidos: de un lado, en el hecho de que no solo las empresas mixtas de servicios públicos domiciliarios son diferentes a las sociedades de economía mixta, y de otro, porque no pueden confundirse pues se viola la Constitución, ya que las empresas oficiales –algunas de las cuales son empresas industriales y comerciales del Estado- tampoco podrían tener esta naturaleza jurídica, porque se asimilarían a las empresas industriales y comerciales del Estado convencionales, de manera que se violaría la Constitución.</w:t>
      </w:r>
    </w:p>
    <w:p w14:paraId="16855257" w14:textId="77777777" w:rsidR="00A7153D" w:rsidRPr="00435AFF" w:rsidRDefault="00A7153D" w:rsidP="00A7153D">
      <w:pPr>
        <w:tabs>
          <w:tab w:val="left" w:pos="0"/>
        </w:tabs>
        <w:spacing w:after="0" w:line="240" w:lineRule="auto"/>
        <w:ind w:left="709" w:right="709"/>
        <w:jc w:val="both"/>
        <w:rPr>
          <w:rFonts w:ascii="Verdana" w:eastAsia="Calibri" w:hAnsi="Verdana" w:cs="Arial"/>
          <w:bCs/>
          <w:color w:val="000000" w:themeColor="text1"/>
          <w:sz w:val="20"/>
        </w:rPr>
      </w:pPr>
    </w:p>
    <w:p w14:paraId="13B4A37B" w14:textId="77777777" w:rsidR="00A7153D" w:rsidRDefault="00A7153D" w:rsidP="00A7153D">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 xml:space="preserve">Lo propio cabe decir de las empresas privadas que prestan servicios públicos domiciliarios, pues ellas no podrían ser "sociedades por acciones" </w:t>
      </w:r>
      <w:r w:rsidRPr="00435AFF">
        <w:rPr>
          <w:rFonts w:ascii="Verdana" w:eastAsia="Calibri" w:hAnsi="Verdana" w:cs="Arial"/>
          <w:bCs/>
          <w:color w:val="000000" w:themeColor="text1"/>
          <w:sz w:val="20"/>
        </w:rPr>
        <w:lastRenderedPageBreak/>
        <w:t>convencionales -es decir, las del Código de Comercio-, sino que deben ser diferentes, so pena de violar la Constitución</w:t>
      </w:r>
      <w:r>
        <w:rPr>
          <w:rStyle w:val="Refdenotaalpie"/>
          <w:rFonts w:ascii="Verdana" w:eastAsia="Calibri" w:hAnsi="Verdana" w:cs="Arial"/>
          <w:bCs/>
          <w:color w:val="000000" w:themeColor="text1"/>
          <w:sz w:val="20"/>
        </w:rPr>
        <w:footnoteReference w:id="6"/>
      </w:r>
      <w:r w:rsidRPr="00435AFF">
        <w:rPr>
          <w:rFonts w:ascii="Verdana" w:eastAsia="Calibri" w:hAnsi="Verdana" w:cs="Arial"/>
          <w:bCs/>
          <w:color w:val="000000" w:themeColor="text1"/>
          <w:sz w:val="20"/>
        </w:rPr>
        <w:t>.</w:t>
      </w:r>
    </w:p>
    <w:p w14:paraId="13F0714A" w14:textId="77777777" w:rsidR="00A7153D" w:rsidRPr="00435AFF" w:rsidRDefault="00A7153D" w:rsidP="00A7153D">
      <w:pPr>
        <w:tabs>
          <w:tab w:val="left" w:pos="0"/>
        </w:tabs>
        <w:spacing w:after="0" w:line="240" w:lineRule="auto"/>
        <w:ind w:left="709" w:right="709"/>
        <w:jc w:val="both"/>
        <w:rPr>
          <w:rFonts w:ascii="Verdana" w:eastAsia="Calibri" w:hAnsi="Verdana" w:cs="Arial"/>
          <w:bCs/>
          <w:color w:val="000000" w:themeColor="text1"/>
          <w:sz w:val="20"/>
        </w:rPr>
      </w:pPr>
    </w:p>
    <w:p w14:paraId="0A36E1ED" w14:textId="77777777" w:rsidR="00A7153D" w:rsidRDefault="00A7153D" w:rsidP="00A7153D">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empresas con capital 100% privadas que son prestadoras de servicios públicos domiciliarios, lo cual implica exponer dos posturas. </w:t>
      </w:r>
    </w:p>
    <w:p w14:paraId="768603DB" w14:textId="77777777" w:rsidR="00A7153D" w:rsidRDefault="00A7153D" w:rsidP="00A7153D">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La primera postura es la que resalta la doctrina</w:t>
      </w:r>
      <w:r>
        <w:rPr>
          <w:rStyle w:val="Refdenotaalpie"/>
          <w:rFonts w:ascii="Verdana" w:eastAsia="Calibri" w:hAnsi="Verdana" w:cs="Arial"/>
          <w:color w:val="000000" w:themeColor="text1"/>
          <w:lang w:val="es-ES"/>
        </w:rPr>
        <w:footnoteReference w:id="7"/>
      </w:r>
      <w:r>
        <w:rPr>
          <w:rFonts w:ascii="Verdana" w:eastAsia="Calibri" w:hAnsi="Verdana" w:cs="Arial"/>
          <w:color w:val="000000" w:themeColor="text1"/>
          <w:lang w:val="es-ES"/>
        </w:rPr>
        <w:t>, donde se expone que el pronunciamiento de constitucionalidad implica que lo dispuesto en el literal g) se subsumen las empresas de servicios públicos mixtas o privadas</w:t>
      </w:r>
      <w:r>
        <w:rPr>
          <w:rFonts w:ascii="Verdana" w:eastAsia="Calibri" w:hAnsi="Verdana" w:cs="Arial"/>
          <w:color w:val="000000" w:themeColor="text1"/>
        </w:rPr>
        <w:t xml:space="preserve"> (en torno a las últimas ya no precisa si tienen aporte estatal) como parte de la Rama Ejecutiva en su sector descentralizado. Dicha afirmación se origina de lo siguiente: </w:t>
      </w:r>
    </w:p>
    <w:p w14:paraId="0E4EE2B2" w14:textId="77777777" w:rsidR="00A7153D" w:rsidRDefault="00A7153D" w:rsidP="00A7153D">
      <w:pPr>
        <w:spacing w:after="0" w:line="276" w:lineRule="auto"/>
        <w:ind w:firstLine="709"/>
        <w:jc w:val="both"/>
        <w:rPr>
          <w:rFonts w:ascii="Verdana" w:eastAsia="Calibri" w:hAnsi="Verdana" w:cs="Arial"/>
          <w:color w:val="000000" w:themeColor="text1"/>
        </w:rPr>
      </w:pPr>
    </w:p>
    <w:p w14:paraId="035B7D24" w14:textId="77777777" w:rsidR="00A7153D" w:rsidRDefault="00A7153D" w:rsidP="00A7153D">
      <w:pPr>
        <w:spacing w:after="0" w:line="240" w:lineRule="auto"/>
        <w:ind w:left="709" w:right="709"/>
        <w:jc w:val="both"/>
        <w:rPr>
          <w:rFonts w:ascii="Verdana" w:eastAsia="Calibri" w:hAnsi="Verdana" w:cs="Arial"/>
          <w:color w:val="000000" w:themeColor="text1"/>
          <w:sz w:val="20"/>
          <w:szCs w:val="20"/>
        </w:rPr>
      </w:pPr>
      <w:r w:rsidRPr="008719EC">
        <w:rPr>
          <w:rFonts w:ascii="Verdana" w:eastAsia="Calibri" w:hAnsi="Verdana" w:cs="Arial"/>
          <w:color w:val="000000" w:themeColor="text1"/>
          <w:sz w:val="20"/>
          <w:szCs w:val="20"/>
        </w:rPr>
        <w:lastRenderedPageBreak/>
        <w:t xml:space="preserve">Obsérvese que si bien el legislador sólo considera explícitamente como entidades descentralizadas a las empresas oficiales de servicios públicos, es decir a aquellas con un capital cien por ciento (100%) estatal, lo cual haría pensar que las mixtas y las privadas no ostentarían esta naturaleza jurídica, a continuación indica que también son entidades descentralizadas </w:t>
      </w:r>
      <w:r w:rsidRPr="008719EC">
        <w:rPr>
          <w:rFonts w:ascii="Verdana" w:eastAsia="Calibri" w:hAnsi="Verdana" w:cs="Arial"/>
          <w:i/>
          <w:iCs/>
          <w:color w:val="000000" w:themeColor="text1"/>
          <w:sz w:val="20"/>
          <w:szCs w:val="20"/>
        </w:rPr>
        <w:t xml:space="preserve">“las demás entidades creadas por la ley o con su autorización, cuyo objeto principal sea el ejercicio de funciones administrativas, </w:t>
      </w:r>
      <w:r w:rsidRPr="008719EC">
        <w:rPr>
          <w:rFonts w:ascii="Verdana" w:eastAsia="Calibri" w:hAnsi="Verdana" w:cs="Arial"/>
          <w:i/>
          <w:iCs/>
          <w:color w:val="000000" w:themeColor="text1"/>
          <w:sz w:val="20"/>
          <w:szCs w:val="20"/>
          <w:u w:val="single"/>
        </w:rPr>
        <w:t>la prestación de servicios públicos</w:t>
      </w:r>
      <w:r w:rsidRPr="008719EC">
        <w:rPr>
          <w:rFonts w:ascii="Verdana" w:eastAsia="Calibri" w:hAnsi="Verdana" w:cs="Arial"/>
          <w:i/>
          <w:iCs/>
          <w:color w:val="000000" w:themeColor="text1"/>
          <w:sz w:val="20"/>
          <w:szCs w:val="20"/>
        </w:rPr>
        <w:t xml:space="preserve"> o la realización de actividades industriales o comerciales con personería jurídica, autonomía administrativa y patrimonio propio.” </w:t>
      </w:r>
      <w:r w:rsidRPr="008719EC">
        <w:rPr>
          <w:rFonts w:ascii="Verdana" w:eastAsia="Calibri" w:hAnsi="Verdana" w:cs="Arial"/>
          <w:color w:val="000000" w:themeColor="text1"/>
          <w:sz w:val="20"/>
          <w:szCs w:val="20"/>
        </w:rPr>
        <w:t>(Subraya la Corte)</w:t>
      </w:r>
      <w:r>
        <w:rPr>
          <w:rStyle w:val="Refdenotaalpie"/>
          <w:rFonts w:ascii="Verdana" w:eastAsia="Calibri" w:hAnsi="Verdana" w:cs="Arial"/>
          <w:color w:val="000000" w:themeColor="text1"/>
          <w:sz w:val="20"/>
          <w:szCs w:val="20"/>
        </w:rPr>
        <w:footnoteReference w:id="8"/>
      </w:r>
      <w:r w:rsidRPr="008719EC">
        <w:rPr>
          <w:rFonts w:ascii="Verdana" w:eastAsia="Calibri" w:hAnsi="Verdana" w:cs="Arial"/>
          <w:color w:val="000000" w:themeColor="text1"/>
          <w:sz w:val="20"/>
          <w:szCs w:val="20"/>
        </w:rPr>
        <w:t>.</w:t>
      </w:r>
    </w:p>
    <w:p w14:paraId="67DC8393" w14:textId="77777777" w:rsidR="00A7153D" w:rsidRPr="008719EC" w:rsidRDefault="00A7153D" w:rsidP="00A7153D">
      <w:pPr>
        <w:spacing w:after="0" w:line="240" w:lineRule="auto"/>
        <w:jc w:val="both"/>
        <w:rPr>
          <w:rFonts w:ascii="Verdana" w:eastAsia="Calibri" w:hAnsi="Verdana" w:cs="Arial"/>
          <w:color w:val="000000" w:themeColor="text1"/>
          <w:sz w:val="20"/>
          <w:szCs w:val="20"/>
        </w:rPr>
      </w:pPr>
    </w:p>
    <w:p w14:paraId="11B092C5" w14:textId="77777777" w:rsidR="00A7153D" w:rsidRPr="00D50C4E" w:rsidRDefault="00A7153D" w:rsidP="00A7153D">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La segunda postura que también se deriva de la interpretación de la sentencia es que la Corte Constitucional</w:t>
      </w:r>
      <w:r w:rsidRPr="008719EC">
        <w:t xml:space="preserve"> </w:t>
      </w:r>
      <w:r w:rsidRPr="008719EC">
        <w:rPr>
          <w:rFonts w:ascii="Verdana" w:eastAsia="Calibri" w:hAnsi="Verdana" w:cs="Arial"/>
          <w:color w:val="000000" w:themeColor="text1"/>
          <w:lang w:val="es-ES"/>
        </w:rPr>
        <w:t xml:space="preserve">determinó que las empresas de servicios públicos domiciliarios mixtas y privadas con participación estatal constituyen una categoría especial de entidades descentralizadas por servicios. </w:t>
      </w:r>
      <w:r>
        <w:rPr>
          <w:rFonts w:ascii="Verdana" w:eastAsia="Calibri" w:hAnsi="Verdana" w:cs="Arial"/>
          <w:color w:val="000000" w:themeColor="text1"/>
          <w:lang w:val="es-ES"/>
        </w:rPr>
        <w:t xml:space="preserve">En esta línea, se destaca que el encabezado de la consideración 5.3. alude expresamente, así como en varios apartes que son entidades descentralizadas por servicios las </w:t>
      </w:r>
      <w:r w:rsidRPr="00D50C4E">
        <w:rPr>
          <w:rFonts w:ascii="Verdana" w:eastAsia="Calibri" w:hAnsi="Verdana" w:cs="Arial"/>
          <w:bCs/>
          <w:color w:val="000000" w:themeColor="text1"/>
          <w:lang w:val="es-ES"/>
        </w:rPr>
        <w:t>empresas de servicios públicos mixtas y privadas en las cuales haya cualquier porc</w:t>
      </w:r>
      <w:r>
        <w:rPr>
          <w:rFonts w:ascii="Verdana" w:eastAsia="Calibri" w:hAnsi="Verdana" w:cs="Arial"/>
          <w:bCs/>
          <w:color w:val="000000" w:themeColor="text1"/>
          <w:lang w:val="es-ES"/>
        </w:rPr>
        <w:t xml:space="preserve">entaje de participación pública. </w:t>
      </w:r>
      <w:r w:rsidRPr="008719EC">
        <w:rPr>
          <w:rFonts w:ascii="Verdana" w:eastAsia="Calibri" w:hAnsi="Verdana" w:cs="Arial"/>
          <w:color w:val="000000" w:themeColor="text1"/>
          <w:lang w:val="es-ES"/>
        </w:rPr>
        <w:t>Esta interpretación se complementa con la Ley 142 de 1994, que define los tipos societarios según la proporción de capital estatal y privado</w:t>
      </w:r>
      <w:r>
        <w:rPr>
          <w:rFonts w:ascii="Verdana" w:eastAsia="Calibri" w:hAnsi="Verdana" w:cs="Arial"/>
          <w:color w:val="000000" w:themeColor="text1"/>
          <w:lang w:val="es-ES"/>
        </w:rPr>
        <w:t xml:space="preserve">, entendiendo como empresa privada de servicios públicos como </w:t>
      </w:r>
      <w:r w:rsidRPr="00D50C4E">
        <w:rPr>
          <w:rFonts w:ascii="Verdana" w:eastAsia="Calibri" w:hAnsi="Verdana" w:cs="Arial"/>
          <w:color w:val="000000" w:themeColor="text1"/>
        </w:rPr>
        <w:t>aquella cuyo capital pertenece mayoritariamente a particulares o a entidades internacionales que se acogen al régimen privado</w:t>
      </w:r>
      <w:r>
        <w:rPr>
          <w:rFonts w:ascii="Verdana" w:eastAsia="Calibri" w:hAnsi="Verdana" w:cs="Arial"/>
          <w:color w:val="000000" w:themeColor="text1"/>
        </w:rPr>
        <w:t>, lo que implica</w:t>
      </w:r>
      <w:r w:rsidRPr="00D50C4E">
        <w:rPr>
          <w:rFonts w:ascii="Verdana" w:eastAsia="Calibri" w:hAnsi="Verdana" w:cs="Arial"/>
          <w:color w:val="000000" w:themeColor="text1"/>
        </w:rPr>
        <w:t xml:space="preserve"> una participación minoritaria del Estado.</w:t>
      </w:r>
    </w:p>
    <w:p w14:paraId="3DFB466A" w14:textId="77777777" w:rsidR="00A7153D" w:rsidRDefault="00A7153D" w:rsidP="00A7153D">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Teniendo en cuenta las posturas expuestas, se acoge la segunda, destacándose que las empresas con capital 100% privado por las actividades 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w:t>
      </w:r>
    </w:p>
    <w:p w14:paraId="6BC928D9" w14:textId="77777777" w:rsidR="00A7153D" w:rsidRDefault="00A7153D" w:rsidP="00A7153D">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Es importante señalar </w:t>
      </w:r>
      <w:r w:rsidRPr="00A11176">
        <w:rPr>
          <w:rFonts w:ascii="Verdana" w:eastAsia="Calibri" w:hAnsi="Verdana" w:cs="Arial"/>
          <w:color w:val="000000" w:themeColor="text1"/>
          <w:lang w:val="es-ES"/>
        </w:rPr>
        <w:t xml:space="preserve">que la naturaleza jurídica de una entidad no depende </w:t>
      </w:r>
      <w:r>
        <w:rPr>
          <w:rFonts w:ascii="Verdana" w:eastAsia="Calibri" w:hAnsi="Verdana" w:cs="Arial"/>
          <w:color w:val="000000" w:themeColor="text1"/>
          <w:lang w:val="es-ES"/>
        </w:rPr>
        <w:t xml:space="preserve">solo </w:t>
      </w:r>
      <w:r w:rsidRPr="00A11176">
        <w:rPr>
          <w:rFonts w:ascii="Verdana" w:eastAsia="Calibri" w:hAnsi="Verdana" w:cs="Arial"/>
          <w:color w:val="000000" w:themeColor="text1"/>
          <w:lang w:val="es-ES"/>
        </w:rPr>
        <w:t>de la función que cumple.</w:t>
      </w:r>
      <w:r>
        <w:rPr>
          <w:rFonts w:ascii="Verdana" w:eastAsia="Calibri" w:hAnsi="Verdana" w:cs="Arial"/>
          <w:color w:val="000000" w:themeColor="text1"/>
          <w:lang w:val="es-ES"/>
        </w:rPr>
        <w:t xml:space="preserve"> En otras palabras</w:t>
      </w:r>
      <w:r w:rsidRPr="00A11176">
        <w:rPr>
          <w:rFonts w:ascii="Verdana" w:eastAsia="Calibri" w:hAnsi="Verdana" w:cs="Arial"/>
          <w:color w:val="000000" w:themeColor="text1"/>
          <w:lang w:val="es-ES"/>
        </w:rPr>
        <w:t>, prestar un servicio público no convierte a una empresa en entidad pública. Lo determinante es su origen legal, su régimen jurídico y su vinculación con e</w:t>
      </w:r>
      <w:r>
        <w:rPr>
          <w:rFonts w:ascii="Verdana" w:eastAsia="Calibri" w:hAnsi="Verdana" w:cs="Arial"/>
          <w:color w:val="000000" w:themeColor="text1"/>
          <w:lang w:val="es-ES"/>
        </w:rPr>
        <w:t xml:space="preserve">l Estado. Aunque </w:t>
      </w:r>
      <w:r w:rsidRPr="00A11176">
        <w:rPr>
          <w:rFonts w:ascii="Verdana" w:eastAsia="Calibri" w:hAnsi="Verdana" w:cs="Arial"/>
          <w:color w:val="000000" w:themeColor="text1"/>
          <w:lang w:val="es-ES"/>
        </w:rPr>
        <w:t>las empresas privadas</w:t>
      </w:r>
      <w:r>
        <w:rPr>
          <w:rFonts w:ascii="Verdana" w:eastAsia="Calibri" w:hAnsi="Verdana" w:cs="Arial"/>
          <w:color w:val="000000" w:themeColor="text1"/>
          <w:lang w:val="es-ES"/>
        </w:rPr>
        <w:t xml:space="preserve"> con capital 100% privado</w:t>
      </w:r>
      <w:r w:rsidRPr="00A11176">
        <w:rPr>
          <w:rFonts w:ascii="Verdana" w:eastAsia="Calibri" w:hAnsi="Verdana" w:cs="Arial"/>
          <w:color w:val="000000" w:themeColor="text1"/>
          <w:lang w:val="es-ES"/>
        </w:rPr>
        <w:t xml:space="preserve"> de servicios públicos cumplen una </w:t>
      </w:r>
      <w:r w:rsidRPr="00A11176">
        <w:rPr>
          <w:rFonts w:ascii="Verdana" w:eastAsia="Calibri" w:hAnsi="Verdana" w:cs="Arial"/>
          <w:color w:val="000000" w:themeColor="text1"/>
          <w:lang w:val="es-ES"/>
        </w:rPr>
        <w:lastRenderedPageBreak/>
        <w:t>función pública, siguen siendo entidades privadas en cuanto a su estructura, ges</w:t>
      </w:r>
      <w:r>
        <w:rPr>
          <w:rFonts w:ascii="Verdana" w:eastAsia="Calibri" w:hAnsi="Verdana" w:cs="Arial"/>
          <w:color w:val="000000" w:themeColor="text1"/>
          <w:lang w:val="es-ES"/>
        </w:rPr>
        <w:t xml:space="preserve">tión y responsabilidad jurídica. Esto, sin dejar de lado que las empresas de servicios públicos domiciliarios mixtas y las empresas privadas con participación minoritaria del Estado son comprendidas como entidades descentralizadas por servicios, de acuerdo con lo expresado por la Corte Constitucional en la sentencia ya precitada. </w:t>
      </w:r>
    </w:p>
    <w:p w14:paraId="1F30EC98" w14:textId="77777777" w:rsidR="00A7153D" w:rsidRDefault="00A7153D" w:rsidP="00A7153D">
      <w:pPr>
        <w:spacing w:after="0" w:line="276" w:lineRule="auto"/>
        <w:ind w:firstLine="709"/>
        <w:jc w:val="both"/>
        <w:rPr>
          <w:rFonts w:ascii="Verdana" w:eastAsia="Calibri" w:hAnsi="Verdana" w:cs="Arial"/>
          <w:color w:val="000000" w:themeColor="text1"/>
          <w:lang w:val="es-ES"/>
        </w:rPr>
      </w:pPr>
      <w:r w:rsidRPr="000B07AC">
        <w:rPr>
          <w:rFonts w:ascii="Verdana" w:eastAsia="Calibri" w:hAnsi="Verdana" w:cs="Arial"/>
          <w:color w:val="000000" w:themeColor="text1"/>
          <w:lang w:val="es-ES"/>
        </w:rPr>
        <w:t xml:space="preserve">De este modo, se </w:t>
      </w:r>
      <w:r>
        <w:rPr>
          <w:rFonts w:ascii="Verdana" w:eastAsia="Calibri" w:hAnsi="Verdana" w:cs="Arial"/>
          <w:color w:val="000000" w:themeColor="text1"/>
          <w:lang w:val="es-ES"/>
        </w:rPr>
        <w:t xml:space="preserve">consideran entidades descentralizadas por servicios, es decir, adquieren la naturaleza de ser una entidad pública, lo que implica que tienen </w:t>
      </w:r>
      <w:r w:rsidRPr="001B0ECC">
        <w:rPr>
          <w:rFonts w:ascii="Verdana" w:eastAsia="Calibri" w:hAnsi="Verdana" w:cs="Arial"/>
          <w:color w:val="000000" w:themeColor="text1"/>
          <w:lang w:val="es-ES"/>
        </w:rPr>
        <w:t>la facultad de celebrar convenios y contratos inte</w:t>
      </w:r>
      <w:r>
        <w:rPr>
          <w:rFonts w:ascii="Verdana" w:eastAsia="Calibri" w:hAnsi="Verdana" w:cs="Arial"/>
          <w:color w:val="000000" w:themeColor="text1"/>
          <w:lang w:val="es-ES"/>
        </w:rPr>
        <w:t>radministrativos con otras entidades</w:t>
      </w:r>
      <w:r w:rsidRPr="001B0ECC">
        <w:rPr>
          <w:rFonts w:ascii="Verdana" w:eastAsia="Calibri" w:hAnsi="Verdana" w:cs="Arial"/>
          <w:color w:val="000000" w:themeColor="text1"/>
          <w:lang w:val="es-ES"/>
        </w:rPr>
        <w:t xml:space="preserve"> estatales, lo que les permite coordinar esfuerzos y optimizar recursos en la ejecución de proyectos comunes. A la par, deben cumplir con las obligaciones propias de su régimen especial, como la sujeción a la vigilancia de organismos de control y la aplicación de las normas de contratación pública. </w:t>
      </w:r>
    </w:p>
    <w:p w14:paraId="32F13C17" w14:textId="77777777" w:rsidR="00A7153D" w:rsidRDefault="00A7153D" w:rsidP="00A7153D">
      <w:pPr>
        <w:spacing w:after="0" w:line="276" w:lineRule="auto"/>
        <w:jc w:val="both"/>
        <w:rPr>
          <w:rFonts w:ascii="Verdana" w:eastAsia="Calibri" w:hAnsi="Verdana" w:cs="Arial"/>
          <w:color w:val="000000" w:themeColor="text1"/>
          <w:lang w:val="es-ES"/>
        </w:rPr>
      </w:pPr>
    </w:p>
    <w:p w14:paraId="6B9B1306" w14:textId="77777777" w:rsidR="00A7153D" w:rsidRPr="00B57A1B" w:rsidRDefault="00A7153D" w:rsidP="00A7153D">
      <w:pPr>
        <w:tabs>
          <w:tab w:val="left" w:pos="7851"/>
        </w:tabs>
        <w:spacing w:after="120" w:line="276" w:lineRule="auto"/>
        <w:jc w:val="both"/>
        <w:rPr>
          <w:rFonts w:ascii="Arial" w:hAnsi="Arial" w:cs="Arial"/>
          <w:b/>
        </w:rPr>
      </w:pPr>
      <w:proofErr w:type="spellStart"/>
      <w:r>
        <w:rPr>
          <w:rFonts w:ascii="Verdana" w:eastAsia="Calibri" w:hAnsi="Verdana" w:cs="Arial"/>
          <w:color w:val="000000" w:themeColor="text1"/>
          <w:lang w:val="es-ES"/>
        </w:rPr>
        <w:t>ii</w:t>
      </w:r>
      <w:proofErr w:type="spellEnd"/>
      <w:r>
        <w:rPr>
          <w:rFonts w:ascii="Verdana" w:eastAsia="Calibri" w:hAnsi="Verdana" w:cs="Arial"/>
          <w:color w:val="000000" w:themeColor="text1"/>
          <w:lang w:val="es-ES"/>
        </w:rPr>
        <w:t xml:space="preserve">. </w:t>
      </w:r>
      <w:r w:rsidRPr="00B57A1B">
        <w:rPr>
          <w:rFonts w:ascii="Verdana" w:eastAsiaTheme="minorEastAsia" w:hAnsi="Verdana" w:cs="Arial"/>
          <w:lang w:eastAsia="es-CO"/>
        </w:rPr>
        <w:t>La tipología del contrato interadministrativo fue creada en la Ley 80 de 1993, y el Decreto 1082 de 2015 la califica como aquella contratación entre Entidades Estatales</w:t>
      </w:r>
      <w:r w:rsidRPr="00B57A1B">
        <w:rPr>
          <w:rFonts w:ascii="Verdana" w:hAnsi="Verdana"/>
          <w:vertAlign w:val="superscript"/>
          <w:lang w:eastAsia="es-CO"/>
        </w:rPr>
        <w:footnoteReference w:id="9"/>
      </w:r>
      <w:r w:rsidRPr="00B57A1B">
        <w:rPr>
          <w:rFonts w:ascii="Verdana" w:eastAsiaTheme="minorEastAsia" w:hAnsi="Verdana" w:cs="Arial"/>
          <w:lang w:eastAsia="es-CO"/>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Pr="00B57A1B">
        <w:rPr>
          <w:rFonts w:ascii="Verdana" w:eastAsiaTheme="minorEastAsia" w:hAnsi="Verdana" w:cs="Arial"/>
          <w:spacing w:val="-6"/>
          <w:lang w:eastAsia="es-CO"/>
        </w:rPr>
        <w:t xml:space="preserve"> </w:t>
      </w:r>
      <w:r w:rsidRPr="00B57A1B">
        <w:rPr>
          <w:rFonts w:ascii="Verdana" w:eastAsiaTheme="minorEastAsia" w:hAnsi="Verdana" w:cs="Arial"/>
          <w:lang w:eastAsia="es-CO"/>
        </w:rPr>
        <w:t>Estatales.</w:t>
      </w:r>
    </w:p>
    <w:p w14:paraId="3735B0C3" w14:textId="77777777" w:rsidR="00A7153D" w:rsidRPr="00B57A1B" w:rsidRDefault="00A7153D" w:rsidP="00A7153D">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21CAEBC1" w14:textId="77777777" w:rsidR="00A7153D" w:rsidRPr="00B57A1B" w:rsidRDefault="00A7153D" w:rsidP="00A7153D">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lastRenderedPageBreak/>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7A1B">
        <w:rPr>
          <w:rFonts w:ascii="Verdana" w:eastAsiaTheme="minorEastAsia" w:hAnsi="Verdana" w:cs="Arial"/>
          <w:vertAlign w:val="superscript"/>
          <w:lang w:eastAsia="es-CO"/>
        </w:rPr>
        <w:footnoteReference w:id="10"/>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00C30676" w14:textId="77777777" w:rsidR="00A7153D" w:rsidRPr="00B57A1B" w:rsidRDefault="00A7153D" w:rsidP="00A7153D">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B57A1B">
        <w:rPr>
          <w:rFonts w:ascii="Verdana" w:eastAsiaTheme="minorEastAsia" w:hAnsi="Verdana" w:cs="Arial"/>
          <w:vertAlign w:val="superscript"/>
          <w:lang w:eastAsia="es-CO"/>
        </w:rPr>
        <w:footnoteReference w:id="11"/>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54DB8AF2" w14:textId="77777777" w:rsidR="00A7153D" w:rsidRPr="00B57A1B" w:rsidRDefault="00A7153D" w:rsidP="00A7153D">
      <w:pPr>
        <w:spacing w:after="0" w:line="276" w:lineRule="auto"/>
        <w:ind w:firstLine="709"/>
        <w:jc w:val="both"/>
        <w:rPr>
          <w:rFonts w:ascii="Verdana" w:eastAsiaTheme="minorEastAsia" w:hAnsi="Verdana" w:cs="Arial"/>
          <w:lang w:eastAsia="es-CO"/>
        </w:rPr>
      </w:pPr>
    </w:p>
    <w:p w14:paraId="056E5AF5" w14:textId="77777777" w:rsidR="00A7153D" w:rsidRPr="000E225C" w:rsidRDefault="00A7153D" w:rsidP="00A7153D">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75A41D4D" w14:textId="77777777" w:rsidR="00A7153D" w:rsidRPr="000E225C" w:rsidRDefault="00A7153D" w:rsidP="00A7153D">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val="es-ES" w:eastAsia="es-CO"/>
        </w:rPr>
        <w:t xml:space="preserve">El objeto de los contratos lo constituyen obligaciones de contenido patrimonial y, por </w:t>
      </w:r>
      <w:r w:rsidRPr="000E225C">
        <w:rPr>
          <w:rFonts w:ascii="Verdana" w:eastAsiaTheme="minorEastAsia" w:hAnsi="Verdana" w:cs="Arial"/>
          <w:sz w:val="20"/>
          <w:szCs w:val="20"/>
          <w:lang w:eastAsia="es-CO"/>
        </w:rPr>
        <w:t xml:space="preserve">lo mismo, son onerosos, lo que implica el gravamen de cada parte en beneficio de la otra. En el contrato, como verdadero acuerdo </w:t>
      </w:r>
      <w:r w:rsidRPr="000E225C">
        <w:rPr>
          <w:rFonts w:ascii="Verdana" w:eastAsiaTheme="minorEastAsia" w:hAnsi="Verdana" w:cs="Arial"/>
          <w:sz w:val="20"/>
          <w:szCs w:val="20"/>
          <w:lang w:eastAsia="es-CO"/>
        </w:rPr>
        <w:lastRenderedPageBreak/>
        <w:t>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34050AEF" w14:textId="77777777" w:rsidR="00A7153D" w:rsidRPr="000E225C" w:rsidRDefault="00A7153D" w:rsidP="00A7153D">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40814552" w14:textId="77777777" w:rsidR="00A7153D" w:rsidRPr="000E225C" w:rsidRDefault="00A7153D" w:rsidP="00A7153D">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0E225C">
        <w:rPr>
          <w:rFonts w:ascii="Verdana" w:eastAsiaTheme="minorEastAsia" w:hAnsi="Verdana" w:cs="Arial"/>
          <w:sz w:val="20"/>
          <w:szCs w:val="20"/>
          <w:vertAlign w:val="superscript"/>
          <w:lang w:eastAsia="es-CO"/>
        </w:rPr>
        <w:footnoteReference w:id="12"/>
      </w:r>
      <w:r w:rsidRPr="000E225C">
        <w:rPr>
          <w:rFonts w:ascii="Verdana" w:eastAsiaTheme="minorEastAsia" w:hAnsi="Verdana" w:cs="Arial"/>
          <w:sz w:val="20"/>
          <w:szCs w:val="20"/>
          <w:lang w:eastAsia="es-CO"/>
        </w:rPr>
        <w:t>.</w:t>
      </w:r>
    </w:p>
    <w:p w14:paraId="3A4D341B" w14:textId="77777777" w:rsidR="00A7153D" w:rsidRPr="00B57A1B" w:rsidRDefault="00A7153D" w:rsidP="00A7153D">
      <w:pPr>
        <w:spacing w:after="0" w:line="276" w:lineRule="auto"/>
        <w:ind w:right="709"/>
        <w:jc w:val="both"/>
        <w:rPr>
          <w:rFonts w:ascii="Verdana" w:eastAsia="Times New Roman" w:hAnsi="Verdana" w:cs="Arial"/>
          <w:lang w:eastAsia="es-ES_tradnl"/>
        </w:rPr>
      </w:pPr>
    </w:p>
    <w:p w14:paraId="3ED4B711" w14:textId="77777777" w:rsidR="00A7153D" w:rsidRPr="00B57A1B" w:rsidRDefault="00A7153D" w:rsidP="00A7153D">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017FD70E" w14:textId="77777777" w:rsidR="00A7153D" w:rsidRPr="00B57A1B" w:rsidRDefault="00A7153D" w:rsidP="00A7153D">
      <w:pPr>
        <w:spacing w:after="0" w:line="276" w:lineRule="auto"/>
        <w:ind w:firstLine="709"/>
        <w:jc w:val="both"/>
        <w:rPr>
          <w:rFonts w:ascii="Verdana" w:eastAsiaTheme="minorEastAsia" w:hAnsi="Verdana" w:cs="Arial"/>
          <w:lang w:eastAsia="es-CO"/>
        </w:rPr>
      </w:pPr>
    </w:p>
    <w:p w14:paraId="2069D954" w14:textId="77777777" w:rsidR="00A7153D" w:rsidRPr="000E225C" w:rsidRDefault="00A7153D" w:rsidP="00A7153D">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 xml:space="preserve">“De acuerdo con todo lo anteriormente expuesto, podemos manifestar que el convenio interadministrativo es el negocio jurídico en el cual están presentes dos entidades públicas en desarrollo de relaciones </w:t>
      </w:r>
      <w:r w:rsidRPr="000E225C">
        <w:rPr>
          <w:rFonts w:ascii="Verdana" w:eastAsiaTheme="minorEastAsia" w:hAnsi="Verdana" w:cs="Arial"/>
          <w:sz w:val="20"/>
          <w:szCs w:val="20"/>
          <w:lang w:eastAsia="es-CO"/>
        </w:rPr>
        <w:lastRenderedPageBreak/>
        <w:t>interadministrativas cuyo objeto es coordinar, cooperar, colaborar o distribuir competencias en la realización de funciones administrativas de interés común a los sujetos negociales.</w:t>
      </w:r>
    </w:p>
    <w:p w14:paraId="17C3298F" w14:textId="77777777" w:rsidR="00A7153D" w:rsidRPr="000E225C" w:rsidRDefault="00A7153D" w:rsidP="00A7153D">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w:t>
      </w:r>
    </w:p>
    <w:p w14:paraId="351E2136" w14:textId="77777777" w:rsidR="00A7153D" w:rsidRPr="000E225C" w:rsidRDefault="00A7153D" w:rsidP="00A7153D">
      <w:pPr>
        <w:autoSpaceDE w:val="0"/>
        <w:autoSpaceDN w:val="0"/>
        <w:adjustRightInd w:val="0"/>
        <w:spacing w:after="0" w:line="240" w:lineRule="auto"/>
        <w:ind w:left="709" w:right="709"/>
        <w:jc w:val="both"/>
        <w:rPr>
          <w:rFonts w:ascii="Verdana" w:hAnsi="Verdana" w:cs="Weiss"/>
          <w:sz w:val="20"/>
          <w:szCs w:val="19"/>
        </w:rPr>
      </w:pPr>
      <w:r w:rsidRPr="000E225C">
        <w:rPr>
          <w:rFonts w:ascii="Verdana" w:hAnsi="Verdana" w:cs="Weiss"/>
          <w:sz w:val="20"/>
          <w:szCs w:val="19"/>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0E225C">
        <w:rPr>
          <w:rFonts w:ascii="Verdana" w:hAnsi="Verdana" w:cs="Weiss"/>
          <w:sz w:val="20"/>
          <w:szCs w:val="19"/>
          <w:vertAlign w:val="superscript"/>
        </w:rPr>
        <w:footnoteReference w:id="13"/>
      </w:r>
      <w:r w:rsidRPr="000E225C">
        <w:rPr>
          <w:rFonts w:ascii="Verdana" w:hAnsi="Verdana" w:cs="Weiss"/>
          <w:sz w:val="20"/>
          <w:szCs w:val="19"/>
        </w:rPr>
        <w:t>.</w:t>
      </w:r>
    </w:p>
    <w:p w14:paraId="5FECF709" w14:textId="77777777" w:rsidR="00A7153D" w:rsidRPr="00B57A1B" w:rsidRDefault="00A7153D" w:rsidP="00A7153D">
      <w:pPr>
        <w:spacing w:after="120" w:line="276" w:lineRule="auto"/>
        <w:jc w:val="both"/>
        <w:rPr>
          <w:rFonts w:ascii="Verdana" w:eastAsiaTheme="minorEastAsia" w:hAnsi="Verdana" w:cs="Arial"/>
          <w:lang w:eastAsia="es-CO"/>
        </w:rPr>
      </w:pPr>
    </w:p>
    <w:p w14:paraId="20CDF15F" w14:textId="77777777" w:rsidR="00A7153D" w:rsidRPr="00B57A1B" w:rsidRDefault="00A7153D" w:rsidP="00A7153D">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14"/>
      </w:r>
      <w:r w:rsidRPr="00B57A1B">
        <w:rPr>
          <w:rFonts w:ascii="Verdana" w:eastAsiaTheme="minorEastAsia" w:hAnsi="Verdana" w:cs="Arial"/>
          <w:lang w:eastAsia="es-CO"/>
        </w:rPr>
        <w:t xml:space="preserve">. De esta manera, el Consejo de Estado expresa:  </w:t>
      </w:r>
    </w:p>
    <w:p w14:paraId="17B18442" w14:textId="77777777" w:rsidR="00A7153D" w:rsidRPr="00B57A1B" w:rsidRDefault="00A7153D" w:rsidP="00A7153D">
      <w:pPr>
        <w:widowControl w:val="0"/>
        <w:autoSpaceDE w:val="0"/>
        <w:autoSpaceDN w:val="0"/>
        <w:spacing w:after="120" w:line="276" w:lineRule="auto"/>
        <w:jc w:val="both"/>
        <w:rPr>
          <w:rFonts w:ascii="Verdana" w:eastAsia="Arial MT" w:hAnsi="Verdana" w:cs="Arial MT"/>
        </w:rPr>
      </w:pPr>
    </w:p>
    <w:p w14:paraId="102B9B0A" w14:textId="77777777" w:rsidR="00A7153D" w:rsidRPr="000E225C" w:rsidRDefault="00A7153D" w:rsidP="00A7153D">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73E797E9" w14:textId="77777777" w:rsidR="00A7153D" w:rsidRPr="000E225C" w:rsidRDefault="00A7153D" w:rsidP="00A7153D">
      <w:pPr>
        <w:widowControl w:val="0"/>
        <w:autoSpaceDE w:val="0"/>
        <w:autoSpaceDN w:val="0"/>
        <w:spacing w:after="0" w:line="240" w:lineRule="auto"/>
        <w:ind w:left="709" w:right="709"/>
        <w:jc w:val="both"/>
        <w:rPr>
          <w:rFonts w:ascii="Verdana" w:eastAsia="Arial MT" w:hAnsi="Verdana" w:cs="Arial MT"/>
          <w:sz w:val="20"/>
          <w:szCs w:val="19"/>
        </w:rPr>
      </w:pPr>
    </w:p>
    <w:p w14:paraId="16BBB836" w14:textId="77777777" w:rsidR="00A7153D" w:rsidRPr="000E225C" w:rsidRDefault="00A7153D" w:rsidP="00A7153D">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En ese sentido, más allá de la concurrencia de voluntades, se trata de la </w:t>
      </w:r>
      <w:r w:rsidRPr="000E225C">
        <w:rPr>
          <w:rFonts w:ascii="Verdana" w:eastAsia="Arial MT" w:hAnsi="Verdana" w:cs="Arial MT"/>
          <w:i/>
          <w:iCs/>
          <w:sz w:val="20"/>
          <w:szCs w:val="19"/>
        </w:rPr>
        <w:lastRenderedPageBreak/>
        <w:t xml:space="preserve">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3A96BF1E" w14:textId="77777777" w:rsidR="00A7153D" w:rsidRPr="000E225C" w:rsidRDefault="00A7153D" w:rsidP="00A7153D">
      <w:pPr>
        <w:widowControl w:val="0"/>
        <w:autoSpaceDE w:val="0"/>
        <w:autoSpaceDN w:val="0"/>
        <w:spacing w:after="0" w:line="240" w:lineRule="auto"/>
        <w:ind w:left="709" w:right="709"/>
        <w:jc w:val="both"/>
        <w:rPr>
          <w:rFonts w:ascii="Verdana" w:eastAsia="Arial MT" w:hAnsi="Verdana" w:cs="Arial MT"/>
          <w:sz w:val="20"/>
          <w:szCs w:val="19"/>
        </w:rPr>
      </w:pPr>
    </w:p>
    <w:p w14:paraId="442EB106" w14:textId="77777777" w:rsidR="00A7153D" w:rsidRPr="000E225C" w:rsidRDefault="00A7153D" w:rsidP="00A7153D">
      <w:pPr>
        <w:widowControl w:val="0"/>
        <w:autoSpaceDE w:val="0"/>
        <w:autoSpaceDN w:val="0"/>
        <w:spacing w:after="0" w:line="240" w:lineRule="auto"/>
        <w:ind w:left="709" w:right="709"/>
        <w:jc w:val="both"/>
        <w:rPr>
          <w:rFonts w:ascii="Verdana" w:eastAsia="Arial MT" w:hAnsi="Verdana" w:cs="Arial MT"/>
          <w:sz w:val="20"/>
          <w:szCs w:val="19"/>
          <w:lang w:val="es-ES"/>
        </w:rPr>
      </w:pPr>
      <w:r w:rsidRPr="000E225C">
        <w:rPr>
          <w:rFonts w:ascii="Verdana" w:eastAsia="Arial MT" w:hAnsi="Verdana" w:cs="Arial MT"/>
          <w:i/>
          <w:iCs/>
          <w:sz w:val="20"/>
          <w:szCs w:val="19"/>
        </w:rPr>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0E225C">
        <w:rPr>
          <w:rFonts w:ascii="Verdana" w:eastAsia="Arial MT" w:hAnsi="Verdana" w:cs="Arial MT"/>
          <w:i/>
          <w:iCs/>
          <w:sz w:val="20"/>
          <w:szCs w:val="19"/>
          <w:vertAlign w:val="superscript"/>
        </w:rPr>
        <w:footnoteReference w:id="15"/>
      </w:r>
      <w:r w:rsidRPr="000E225C">
        <w:rPr>
          <w:rFonts w:ascii="Verdana" w:eastAsia="Arial MT" w:hAnsi="Verdana" w:cs="Arial MT"/>
          <w:i/>
          <w:iCs/>
          <w:sz w:val="20"/>
          <w:szCs w:val="19"/>
        </w:rPr>
        <w:t>.</w:t>
      </w:r>
    </w:p>
    <w:p w14:paraId="4E4A05D3" w14:textId="77777777" w:rsidR="00A7153D" w:rsidRDefault="00A7153D" w:rsidP="00A7153D">
      <w:pPr>
        <w:spacing w:after="120" w:line="276" w:lineRule="auto"/>
        <w:jc w:val="both"/>
        <w:rPr>
          <w:rFonts w:ascii="Verdana" w:eastAsia="Calibri" w:hAnsi="Verdana" w:cs="Arial"/>
          <w:color w:val="000000" w:themeColor="text1"/>
          <w:lang w:val="es-ES"/>
        </w:rPr>
      </w:pPr>
    </w:p>
    <w:p w14:paraId="08CE56E8" w14:textId="77777777" w:rsidR="00A7153D" w:rsidRDefault="00A7153D" w:rsidP="00A7153D">
      <w:pPr>
        <w:spacing w:after="0" w:line="276" w:lineRule="auto"/>
        <w:ind w:firstLine="709"/>
        <w:jc w:val="both"/>
        <w:rPr>
          <w:rFonts w:ascii="Verdana" w:eastAsia="Calibri" w:hAnsi="Verdana" w:cs="Times New Roman"/>
          <w:iCs/>
          <w:lang w:val="es-ES"/>
        </w:rPr>
      </w:pPr>
      <w:r w:rsidRPr="00B57A1B">
        <w:rPr>
          <w:rFonts w:ascii="Verdana" w:eastAsiaTheme="minorEastAsia" w:hAnsi="Verdana" w:cs="Arial"/>
          <w:lang w:eastAsia="es-CO"/>
        </w:rPr>
        <w:t xml:space="preserve">Teniendo en cuenta, este entendimiento sobre los </w:t>
      </w:r>
      <w:proofErr w:type="gramStart"/>
      <w:r w:rsidRPr="00B57A1B">
        <w:rPr>
          <w:rFonts w:ascii="Verdana" w:eastAsiaTheme="minorEastAsia" w:hAnsi="Verdana" w:cs="Arial"/>
          <w:lang w:eastAsia="es-CO"/>
        </w:rPr>
        <w:t>convenios</w:t>
      </w:r>
      <w:r>
        <w:rPr>
          <w:rFonts w:ascii="Verdana" w:eastAsiaTheme="minorEastAsia" w:hAnsi="Verdana" w:cs="Arial"/>
          <w:lang w:eastAsia="es-CO"/>
        </w:rPr>
        <w:t xml:space="preserve"> interadministrativos</w:t>
      </w:r>
      <w:r w:rsidRPr="00B57A1B">
        <w:rPr>
          <w:rFonts w:ascii="Verdana" w:eastAsiaTheme="minorEastAsia" w:hAnsi="Verdana" w:cs="Arial"/>
          <w:lang w:eastAsia="es-CO"/>
        </w:rPr>
        <w:t xml:space="preserve"> y contratos interadministrativos</w:t>
      </w:r>
      <w:proofErr w:type="gramEnd"/>
      <w:r>
        <w:rPr>
          <w:rFonts w:ascii="Verdana" w:eastAsia="Calibri" w:hAnsi="Verdana" w:cs="Times New Roman"/>
          <w:iCs/>
          <w:lang w:val="es-ES"/>
        </w:rPr>
        <w:t xml:space="preserve"> se infiere que su denominación parte de que ambos actores son entidades públicas. Ahora bien, será necesario analizar la posibilidad de celebración de convenios o contratos interadministrativos para el otorgamiento de subsidios en el marco de los servicios públicos domiciliarios. </w:t>
      </w:r>
    </w:p>
    <w:p w14:paraId="6EE8C14B" w14:textId="77777777" w:rsidR="00A7153D" w:rsidRDefault="00A7153D" w:rsidP="00A7153D">
      <w:pPr>
        <w:spacing w:after="0" w:line="276" w:lineRule="auto"/>
        <w:jc w:val="both"/>
        <w:rPr>
          <w:rFonts w:ascii="Verdana" w:eastAsia="Calibri" w:hAnsi="Verdana" w:cs="Times New Roman"/>
          <w:iCs/>
          <w:lang w:val="es-ES"/>
        </w:rPr>
      </w:pPr>
    </w:p>
    <w:p w14:paraId="724C513B" w14:textId="77777777" w:rsidR="00A7153D" w:rsidRDefault="00A7153D" w:rsidP="00A7153D">
      <w:pPr>
        <w:spacing w:after="0" w:line="276" w:lineRule="auto"/>
        <w:jc w:val="both"/>
        <w:rPr>
          <w:rFonts w:ascii="Verdana" w:eastAsia="Calibri" w:hAnsi="Verdana" w:cs="Times New Roman"/>
          <w:iCs/>
          <w:lang w:val="es-ES"/>
        </w:rPr>
      </w:pPr>
      <w:proofErr w:type="spellStart"/>
      <w:r>
        <w:rPr>
          <w:rFonts w:ascii="Verdana" w:eastAsia="Calibri" w:hAnsi="Verdana" w:cs="Times New Roman"/>
          <w:iCs/>
          <w:lang w:val="es-ES"/>
        </w:rPr>
        <w:t>iii</w:t>
      </w:r>
      <w:proofErr w:type="spellEnd"/>
      <w:r>
        <w:rPr>
          <w:rFonts w:ascii="Verdana" w:eastAsia="Calibri" w:hAnsi="Verdana" w:cs="Times New Roman"/>
          <w:iCs/>
          <w:lang w:val="es-ES"/>
        </w:rPr>
        <w:t>. En este acápite se hace un análisis sobre los subsidios en materia de servicios públicos domiciliarios, un aspecto que poco se explora en el Sistema de Compras Públicas, en especial, sobre la forma o el instrumento jurídico en que se otorgan. Para ello, se señala que el subsidio es una forma de auxilio, que en el marco del Estado Social de Derecho pregonado en la Constitución busca garantizar el bienestar general, y en especial, la igualdad material y el principio de solidaridad</w:t>
      </w:r>
      <w:r>
        <w:rPr>
          <w:rStyle w:val="Refdenotaalpie"/>
          <w:rFonts w:ascii="Verdana" w:eastAsia="Calibri" w:hAnsi="Verdana" w:cs="Times New Roman"/>
          <w:iCs/>
          <w:lang w:val="es-ES"/>
        </w:rPr>
        <w:footnoteReference w:id="16"/>
      </w:r>
      <w:r>
        <w:rPr>
          <w:rFonts w:ascii="Verdana" w:eastAsia="Calibri" w:hAnsi="Verdana" w:cs="Times New Roman"/>
          <w:iCs/>
          <w:lang w:val="es-ES"/>
        </w:rPr>
        <w:t xml:space="preserve">. Al respecto, la Doctrina expresa: </w:t>
      </w:r>
    </w:p>
    <w:p w14:paraId="74D52F5A" w14:textId="77777777" w:rsidR="00A7153D" w:rsidRDefault="00A7153D" w:rsidP="00A7153D">
      <w:pPr>
        <w:spacing w:after="0" w:line="276" w:lineRule="auto"/>
        <w:jc w:val="both"/>
        <w:rPr>
          <w:rFonts w:ascii="Verdana" w:eastAsia="Calibri" w:hAnsi="Verdana" w:cs="Times New Roman"/>
          <w:iCs/>
          <w:lang w:val="es-ES"/>
        </w:rPr>
      </w:pPr>
    </w:p>
    <w:p w14:paraId="318697B1" w14:textId="77777777" w:rsidR="00A7153D" w:rsidRPr="006571B8" w:rsidRDefault="00A7153D" w:rsidP="00A7153D">
      <w:pPr>
        <w:spacing w:after="0" w:line="240" w:lineRule="auto"/>
        <w:ind w:left="709" w:right="709"/>
        <w:jc w:val="both"/>
        <w:rPr>
          <w:rFonts w:ascii="Verdana" w:eastAsia="Calibri" w:hAnsi="Verdana" w:cs="Times New Roman"/>
          <w:iCs/>
          <w:sz w:val="20"/>
        </w:rPr>
      </w:pPr>
      <w:r w:rsidRPr="006571B8">
        <w:rPr>
          <w:rFonts w:ascii="Verdana" w:eastAsia="Calibri" w:hAnsi="Verdana" w:cs="Times New Roman"/>
          <w:iCs/>
          <w:sz w:val="20"/>
        </w:rPr>
        <w:t xml:space="preserve">Siendo este el comportamiento de los subsidios, su naturaleza se parece bastante a la de un auxilio, lo que hace pensar que puede violarse el artículo 355 de la Constitución Política, según el cual está prohibido, con recursos del erario, conceder auxilios o donaciones a favor de particulares. En realidad, si bien </w:t>
      </w:r>
      <w:r>
        <w:rPr>
          <w:rFonts w:ascii="Verdana" w:eastAsia="Calibri" w:hAnsi="Verdana" w:cs="Times New Roman"/>
          <w:iCs/>
          <w:sz w:val="20"/>
        </w:rPr>
        <w:t>los subsidios se comportan com</w:t>
      </w:r>
      <w:r w:rsidRPr="006571B8">
        <w:rPr>
          <w:rFonts w:ascii="Verdana" w:eastAsia="Calibri" w:hAnsi="Verdana" w:cs="Times New Roman"/>
          <w:iCs/>
          <w:sz w:val="20"/>
        </w:rPr>
        <w:t>o un auxilio, debe quedar claro que hay liberalidades, como esta, que el Estado hace en favor de los particulares por mandato de la propia Constitución, pues debemos recordar que el artículo 368 dispone que con cargo a los recursos de las entidades estatales se pueden otorgar subsidios para los usuarios de menores ingresos; luego, si la Constitución lo autoriza, entonces no se viola la norma fundamental; al contrario: existe armonía con lo que mandan sus disposiciones</w:t>
      </w:r>
      <w:r>
        <w:rPr>
          <w:rStyle w:val="Refdenotaalpie"/>
          <w:rFonts w:ascii="Verdana" w:eastAsia="Calibri" w:hAnsi="Verdana" w:cs="Times New Roman"/>
          <w:iCs/>
          <w:sz w:val="20"/>
        </w:rPr>
        <w:footnoteReference w:id="17"/>
      </w:r>
      <w:r w:rsidRPr="006571B8">
        <w:rPr>
          <w:rFonts w:ascii="Verdana" w:eastAsia="Calibri" w:hAnsi="Verdana" w:cs="Times New Roman"/>
          <w:iCs/>
          <w:sz w:val="20"/>
        </w:rPr>
        <w:t xml:space="preserve">. </w:t>
      </w:r>
    </w:p>
    <w:p w14:paraId="13762EDB" w14:textId="77777777" w:rsidR="00A7153D" w:rsidRDefault="00A7153D" w:rsidP="00A7153D">
      <w:pPr>
        <w:spacing w:after="120" w:line="276" w:lineRule="auto"/>
        <w:jc w:val="both"/>
        <w:rPr>
          <w:rFonts w:ascii="Verdana" w:eastAsia="Calibri" w:hAnsi="Verdana" w:cs="Times New Roman"/>
          <w:iCs/>
        </w:rPr>
      </w:pPr>
    </w:p>
    <w:p w14:paraId="37F03AF6" w14:textId="77777777" w:rsidR="00A7153D" w:rsidRPr="003004D2" w:rsidRDefault="00A7153D" w:rsidP="00A7153D">
      <w:pPr>
        <w:spacing w:after="120" w:line="276" w:lineRule="auto"/>
        <w:jc w:val="both"/>
        <w:rPr>
          <w:rFonts w:ascii="Verdana" w:eastAsia="Calibri" w:hAnsi="Verdana" w:cs="Times New Roman"/>
          <w:iCs/>
        </w:rPr>
      </w:pPr>
      <w:r>
        <w:rPr>
          <w:rFonts w:ascii="Verdana" w:eastAsia="Calibri" w:hAnsi="Verdana" w:cs="Times New Roman"/>
          <w:iCs/>
        </w:rPr>
        <w:tab/>
        <w:t>Como manifestación del deber de otorgar subsidios en el marco del Estado Social de Derecho, se encuentra el artículo 368 constitucional prescribe: “</w:t>
      </w:r>
      <w:r w:rsidRPr="006571B8">
        <w:rPr>
          <w:rFonts w:ascii="Verdana" w:eastAsia="Calibri" w:hAnsi="Verdana" w:cs="Times New Roman"/>
          <w:bCs/>
          <w:iCs/>
        </w:rPr>
        <w:t>[…]</w:t>
      </w:r>
      <w:r>
        <w:rPr>
          <w:rFonts w:ascii="Verdana" w:eastAsia="Calibri" w:hAnsi="Verdana" w:cs="Times New Roman"/>
          <w:b/>
          <w:bCs/>
          <w:iCs/>
        </w:rPr>
        <w:t xml:space="preserve"> </w:t>
      </w:r>
      <w:r w:rsidRPr="006571B8">
        <w:rPr>
          <w:rFonts w:ascii="Verdana" w:eastAsia="Calibri" w:hAnsi="Verdana" w:cs="Times New Roman"/>
          <w:iCs/>
        </w:rPr>
        <w:t xml:space="preserve">La Nación, los departamentos, los distritos, los municipios y las entidades descentralizadas podrán conceder subsidios, en sus respectivos presupuestos, para que las personas de menores ingresos puedan pagar las tarifas de los servicios públicos domiciliarios que </w:t>
      </w:r>
      <w:r>
        <w:rPr>
          <w:rFonts w:ascii="Verdana" w:eastAsia="Calibri" w:hAnsi="Verdana" w:cs="Times New Roman"/>
          <w:iCs/>
        </w:rPr>
        <w:t>cubran sus necesidades básicas”. En tal sentido, dicho tratamiento constitucional se desarrolló en la Leyes 142 y 143 de 19</w:t>
      </w:r>
      <w:r w:rsidRPr="003004D2">
        <w:rPr>
          <w:rFonts w:ascii="Verdana" w:eastAsia="Calibri" w:hAnsi="Verdana" w:cs="Times New Roman"/>
          <w:iCs/>
        </w:rPr>
        <w:t xml:space="preserve">94. </w:t>
      </w:r>
    </w:p>
    <w:p w14:paraId="1612BA13" w14:textId="77777777" w:rsidR="00A7153D" w:rsidRPr="003004D2" w:rsidRDefault="00A7153D" w:rsidP="00A7153D">
      <w:pPr>
        <w:spacing w:after="120" w:line="276" w:lineRule="auto"/>
        <w:jc w:val="both"/>
        <w:rPr>
          <w:rFonts w:ascii="Verdana" w:eastAsia="Calibri" w:hAnsi="Verdana" w:cs="Times New Roman"/>
          <w:iCs/>
          <w:lang w:val="es-ES"/>
        </w:rPr>
      </w:pPr>
      <w:r w:rsidRPr="003004D2">
        <w:rPr>
          <w:rFonts w:ascii="Verdana" w:eastAsia="Calibri" w:hAnsi="Verdana" w:cs="Times New Roman"/>
          <w:iCs/>
        </w:rPr>
        <w:tab/>
        <w:t>Para ello, se hace una referencia especial a la Ley 142 de 1994, “</w:t>
      </w:r>
      <w:r w:rsidRPr="003004D2">
        <w:rPr>
          <w:rFonts w:ascii="Verdana" w:eastAsia="Calibri" w:hAnsi="Verdana" w:cs="Times New Roman"/>
          <w:bCs/>
          <w:iCs/>
        </w:rPr>
        <w:t>por la cual se establece el régimen de los servicios públicos domiciliarios y se dictan otras disposiciones”. Dicha Ley en su artículo 3°</w:t>
      </w:r>
      <w:r w:rsidRPr="003004D2">
        <w:rPr>
          <w:rStyle w:val="Refdenotaalpie"/>
          <w:rFonts w:ascii="Verdana" w:eastAsia="Calibri" w:hAnsi="Verdana" w:cs="Times New Roman"/>
          <w:bCs/>
          <w:iCs/>
        </w:rPr>
        <w:footnoteReference w:id="18"/>
      </w:r>
      <w:r w:rsidRPr="003004D2">
        <w:rPr>
          <w:rFonts w:ascii="Verdana" w:eastAsia="Calibri" w:hAnsi="Verdana" w:cs="Times New Roman"/>
          <w:bCs/>
          <w:iCs/>
        </w:rPr>
        <w:t xml:space="preserve"> establece que la intervención </w:t>
      </w:r>
      <w:r w:rsidRPr="003004D2">
        <w:rPr>
          <w:rFonts w:ascii="Verdana" w:eastAsia="Calibri" w:hAnsi="Verdana" w:cs="Times New Roman"/>
          <w:bCs/>
          <w:iCs/>
        </w:rPr>
        <w:lastRenderedPageBreak/>
        <w:t>estatal en los servicios públicos se ejerce a través de diversas funciones asignadas a las entidades competentes, entre ellas: el apoyo a los prestadores, la gestión de recursos, la regulación de eficiencia, cobertura, calidad y tarifas, el control y vigilancia del cumplimiento normativo, la organización de sistemas de información y asistencia técnica, la protección de recursos naturales, el otorgamiento de subsidios a personas de bajos ingresos, el estímulo a la inversión privada y el respeto al principio de neutralidad para evitar prácticas discriminatorias. Todas las decisiones deben fundarse en motivos comprobables previstos por la ley, y los prestadores quedan sujetos a la regulación de las Comisiones, al control de la Superintendencia de Servicios Públicos y a las contribuciones correspondientes.</w:t>
      </w:r>
    </w:p>
    <w:p w14:paraId="6779220C" w14:textId="77777777" w:rsidR="00A7153D" w:rsidRPr="00442203" w:rsidRDefault="00A7153D" w:rsidP="00A7153D">
      <w:pPr>
        <w:pStyle w:val="Default"/>
        <w:spacing w:line="276" w:lineRule="auto"/>
        <w:jc w:val="both"/>
        <w:rPr>
          <w:rFonts w:ascii="Verdana" w:hAnsi="Verdana"/>
          <w:sz w:val="22"/>
          <w:szCs w:val="22"/>
        </w:rPr>
      </w:pPr>
      <w:r w:rsidRPr="003004D2">
        <w:rPr>
          <w:rFonts w:ascii="Verdana" w:hAnsi="Verdana"/>
          <w:sz w:val="22"/>
          <w:szCs w:val="22"/>
        </w:rPr>
        <w:tab/>
      </w:r>
      <w:r w:rsidRPr="00442203">
        <w:rPr>
          <w:rFonts w:ascii="Verdana" w:hAnsi="Verdana"/>
          <w:sz w:val="22"/>
          <w:szCs w:val="22"/>
        </w:rPr>
        <w:t xml:space="preserve">Una de las formas de intervención estatal es la entrega de subsidios a las personas con menores ingresos. En este </w:t>
      </w:r>
      <w:r>
        <w:rPr>
          <w:rFonts w:ascii="Verdana" w:hAnsi="Verdana"/>
          <w:sz w:val="22"/>
          <w:szCs w:val="22"/>
        </w:rPr>
        <w:t>contexto</w:t>
      </w:r>
      <w:r w:rsidRPr="00442203">
        <w:rPr>
          <w:rFonts w:ascii="Verdana" w:hAnsi="Verdana"/>
          <w:sz w:val="22"/>
          <w:szCs w:val="22"/>
        </w:rPr>
        <w:t xml:space="preserve">, </w:t>
      </w:r>
      <w:r>
        <w:rPr>
          <w:rFonts w:ascii="Verdana" w:hAnsi="Verdana"/>
          <w:sz w:val="22"/>
          <w:szCs w:val="22"/>
        </w:rPr>
        <w:t>como se señaló previamente, en el</w:t>
      </w:r>
      <w:r w:rsidRPr="00442203">
        <w:rPr>
          <w:rFonts w:ascii="Verdana" w:hAnsi="Verdana"/>
          <w:sz w:val="22"/>
          <w:szCs w:val="22"/>
        </w:rPr>
        <w:t xml:space="preserve"> artículo 368, autorizó de manera potestativa —no obligatoria— a la Nación, los departamentos, los municipios y demás entidades descentralizadas para otorgar subsidios, con cargo a sus presupuestos, a lo</w:t>
      </w:r>
      <w:r>
        <w:rPr>
          <w:rFonts w:ascii="Verdana" w:hAnsi="Verdana"/>
          <w:sz w:val="22"/>
          <w:szCs w:val="22"/>
        </w:rPr>
        <w:t>s usuarios de menores ingresos. Al respecto, l</w:t>
      </w:r>
      <w:r w:rsidRPr="00442203">
        <w:rPr>
          <w:rFonts w:ascii="Verdana" w:hAnsi="Verdana"/>
          <w:sz w:val="22"/>
          <w:szCs w:val="22"/>
        </w:rPr>
        <w:t>a Ley 142 abordó el tema en su artículo</w:t>
      </w:r>
      <w:r>
        <w:rPr>
          <w:rFonts w:ascii="Verdana" w:hAnsi="Verdana"/>
          <w:sz w:val="22"/>
          <w:szCs w:val="22"/>
        </w:rPr>
        <w:t xml:space="preserve"> 99</w:t>
      </w:r>
      <w:r w:rsidRPr="00442203">
        <w:rPr>
          <w:rFonts w:ascii="Verdana" w:hAnsi="Verdana"/>
          <w:sz w:val="22"/>
          <w:szCs w:val="22"/>
        </w:rPr>
        <w:t>, imponiendo, la obligación a la Nación y a las entidades territoriales de subsidiar los servicios públicos domiciliarios.</w:t>
      </w:r>
      <w:r>
        <w:rPr>
          <w:rFonts w:ascii="Verdana" w:hAnsi="Verdana"/>
          <w:sz w:val="22"/>
          <w:szCs w:val="22"/>
        </w:rPr>
        <w:t xml:space="preserve"> Dicha norma prescribe</w:t>
      </w:r>
      <w:r w:rsidRPr="00442203">
        <w:rPr>
          <w:rFonts w:ascii="Verdana" w:hAnsi="Verdana"/>
          <w:sz w:val="22"/>
          <w:szCs w:val="22"/>
        </w:rPr>
        <w:t>:</w:t>
      </w:r>
    </w:p>
    <w:p w14:paraId="2D1C1A93" w14:textId="77777777" w:rsidR="00A7153D" w:rsidRDefault="00A7153D" w:rsidP="00A7153D">
      <w:pPr>
        <w:pStyle w:val="Default"/>
        <w:jc w:val="both"/>
        <w:rPr>
          <w:rFonts w:ascii="Verdana" w:hAnsi="Verdana"/>
          <w:sz w:val="22"/>
          <w:szCs w:val="22"/>
        </w:rPr>
      </w:pPr>
    </w:p>
    <w:p w14:paraId="2A3448AE" w14:textId="77777777" w:rsidR="00A7153D" w:rsidRPr="009C2F3C" w:rsidRDefault="00A7153D" w:rsidP="00A7153D">
      <w:pPr>
        <w:pStyle w:val="Default"/>
        <w:ind w:left="709" w:right="709"/>
        <w:jc w:val="both"/>
        <w:rPr>
          <w:rFonts w:ascii="Verdana" w:hAnsi="Verdana"/>
          <w:sz w:val="20"/>
          <w:szCs w:val="20"/>
        </w:rPr>
      </w:pPr>
      <w:r w:rsidRPr="009C2F3C">
        <w:rPr>
          <w:rFonts w:ascii="Verdana" w:hAnsi="Verdana"/>
          <w:bCs/>
          <w:sz w:val="20"/>
          <w:szCs w:val="20"/>
        </w:rPr>
        <w:t>Artículo 99. Forma de subsidiar.</w:t>
      </w:r>
      <w:r w:rsidRPr="009C2F3C">
        <w:rPr>
          <w:rFonts w:ascii="Verdana" w:hAnsi="Verdana"/>
          <w:sz w:val="20"/>
          <w:szCs w:val="20"/>
        </w:rPr>
        <w:t xml:space="preserve"> Las entidades señaladas en el artículo 368 de la Constitución Política podrán conceder subsidios en sus respectivos presupuestos </w:t>
      </w:r>
      <w:proofErr w:type="gramStart"/>
      <w:r w:rsidRPr="009C2F3C">
        <w:rPr>
          <w:rFonts w:ascii="Verdana" w:hAnsi="Verdana"/>
          <w:sz w:val="20"/>
          <w:szCs w:val="20"/>
        </w:rPr>
        <w:t>de acuerdo a</w:t>
      </w:r>
      <w:proofErr w:type="gramEnd"/>
      <w:r w:rsidRPr="009C2F3C">
        <w:rPr>
          <w:rFonts w:ascii="Verdana" w:hAnsi="Verdana"/>
          <w:sz w:val="20"/>
          <w:szCs w:val="20"/>
        </w:rPr>
        <w:t xml:space="preserve"> las siguientes reglas: </w:t>
      </w:r>
    </w:p>
    <w:p w14:paraId="32D4F56E" w14:textId="77777777" w:rsidR="00A7153D" w:rsidRPr="009C2F3C" w:rsidRDefault="00A7153D" w:rsidP="00A7153D">
      <w:pPr>
        <w:pStyle w:val="Default"/>
        <w:ind w:left="709" w:right="709"/>
        <w:jc w:val="both"/>
        <w:rPr>
          <w:rFonts w:ascii="Verdana" w:hAnsi="Verdana"/>
          <w:sz w:val="20"/>
          <w:szCs w:val="20"/>
        </w:rPr>
      </w:pPr>
      <w:r w:rsidRPr="009C2F3C">
        <w:rPr>
          <w:rFonts w:ascii="Verdana" w:hAnsi="Verdana"/>
          <w:sz w:val="20"/>
          <w:szCs w:val="20"/>
        </w:rPr>
        <w:t>99.1. Deben indicar específicamente el tipo de servicio subsidiado. </w:t>
      </w:r>
    </w:p>
    <w:p w14:paraId="2ED85BF9" w14:textId="77777777" w:rsidR="00A7153D" w:rsidRPr="009C2F3C" w:rsidRDefault="00A7153D" w:rsidP="00A7153D">
      <w:pPr>
        <w:pStyle w:val="Default"/>
        <w:ind w:left="709" w:right="709"/>
        <w:jc w:val="both"/>
        <w:rPr>
          <w:rFonts w:ascii="Verdana" w:hAnsi="Verdana"/>
          <w:sz w:val="20"/>
          <w:szCs w:val="20"/>
        </w:rPr>
      </w:pPr>
      <w:r w:rsidRPr="009C2F3C">
        <w:rPr>
          <w:rFonts w:ascii="Verdana" w:hAnsi="Verdana"/>
          <w:sz w:val="20"/>
          <w:szCs w:val="20"/>
        </w:rPr>
        <w:t>99.2. Se señalará la entidad prestadora que repartirá el subsidio. </w:t>
      </w:r>
    </w:p>
    <w:p w14:paraId="3D4D1F39" w14:textId="77777777" w:rsidR="00A7153D" w:rsidRPr="009C2F3C" w:rsidRDefault="00A7153D" w:rsidP="00A7153D">
      <w:pPr>
        <w:pStyle w:val="Default"/>
        <w:ind w:left="709" w:right="709"/>
        <w:jc w:val="both"/>
        <w:rPr>
          <w:rFonts w:ascii="Verdana" w:hAnsi="Verdana"/>
          <w:sz w:val="20"/>
          <w:szCs w:val="20"/>
        </w:rPr>
      </w:pPr>
      <w:r w:rsidRPr="009C2F3C">
        <w:rPr>
          <w:rFonts w:ascii="Verdana" w:hAnsi="Verdana"/>
          <w:sz w:val="20"/>
          <w:szCs w:val="20"/>
        </w:rPr>
        <w:t>99.3. El reparto debe hacerse entre los usuarios como un descuento en el valor de la factura que éste debe cancelar, conforme a lo dispuesto en esta Ley y en las Ordenanzas y Acuerdos según el caso. </w:t>
      </w:r>
    </w:p>
    <w:p w14:paraId="52B39749" w14:textId="77777777" w:rsidR="00A7153D" w:rsidRPr="009C2F3C" w:rsidRDefault="00A7153D" w:rsidP="00A7153D">
      <w:pPr>
        <w:pStyle w:val="Default"/>
        <w:ind w:left="709" w:right="709"/>
        <w:jc w:val="both"/>
        <w:rPr>
          <w:rFonts w:ascii="Verdana" w:hAnsi="Verdana"/>
          <w:sz w:val="20"/>
          <w:szCs w:val="20"/>
        </w:rPr>
      </w:pPr>
      <w:r w:rsidRPr="009C2F3C">
        <w:rPr>
          <w:rFonts w:ascii="Verdana" w:hAnsi="Verdana"/>
          <w:sz w:val="20"/>
          <w:szCs w:val="20"/>
        </w:rPr>
        <w:lastRenderedPageBreak/>
        <w:t xml:space="preserve">93.4. El </w:t>
      </w:r>
      <w:proofErr w:type="gramStart"/>
      <w:r w:rsidRPr="009C2F3C">
        <w:rPr>
          <w:rFonts w:ascii="Verdana" w:hAnsi="Verdana"/>
          <w:sz w:val="20"/>
          <w:szCs w:val="20"/>
        </w:rPr>
        <w:t>Presidente</w:t>
      </w:r>
      <w:proofErr w:type="gramEnd"/>
      <w:r w:rsidRPr="009C2F3C">
        <w:rPr>
          <w:rFonts w:ascii="Verdana" w:hAnsi="Verdana"/>
          <w:sz w:val="20"/>
          <w:szCs w:val="20"/>
        </w:rPr>
        <w:t xml:space="preserve"> y los gobernadores podrán suspender a los alcaldes cuando sean negligentes en la aplicación de las normas relativas al pago de los subsidios; o cuando las infrinjan de cualquier otra manera. </w:t>
      </w:r>
    </w:p>
    <w:p w14:paraId="4EBFB398" w14:textId="77777777" w:rsidR="00A7153D" w:rsidRPr="009C2F3C" w:rsidRDefault="00A7153D" w:rsidP="00A7153D">
      <w:pPr>
        <w:pStyle w:val="Default"/>
        <w:ind w:left="709" w:right="709"/>
        <w:jc w:val="both"/>
        <w:rPr>
          <w:rFonts w:ascii="Verdana" w:hAnsi="Verdana"/>
          <w:sz w:val="20"/>
          <w:szCs w:val="20"/>
        </w:rPr>
      </w:pPr>
      <w:r w:rsidRPr="009C2F3C">
        <w:rPr>
          <w:rFonts w:ascii="Verdana" w:hAnsi="Verdana"/>
          <w:sz w:val="20"/>
          <w:szCs w:val="20"/>
        </w:rPr>
        <w:t>99.5. Los subsidios no excederán, en ningún caso, del valor de los consumos básicos o de subsistencia. Los alcaldes y los concejales tomarán las medidas que a cada uno correspondan para crear en el presupuesto municipal, y ejecutar, apropiaciones para subsidiar los consumos básicos de acueducto de los usuarios de menores recursos y extender la cobertura y mejorar la calidad de los servicios de agua potable y saneamiento básico, dando prioridad a esas apropiaciones, dentro de las posibilidades del municipio, sobre otros gastos que no sean indispensables para el funcionamiento de éste. La infracción de este deber dará lugar a sanción disciplinaria. </w:t>
      </w:r>
    </w:p>
    <w:p w14:paraId="2B59B386" w14:textId="77777777" w:rsidR="00A7153D" w:rsidRPr="009C2F3C" w:rsidRDefault="00A7153D" w:rsidP="00A7153D">
      <w:pPr>
        <w:pStyle w:val="Default"/>
        <w:ind w:left="709" w:right="709"/>
        <w:jc w:val="both"/>
        <w:rPr>
          <w:rFonts w:ascii="Verdana" w:hAnsi="Verdana"/>
          <w:sz w:val="20"/>
          <w:szCs w:val="20"/>
        </w:rPr>
      </w:pPr>
      <w:r w:rsidRPr="009C2F3C">
        <w:rPr>
          <w:rFonts w:ascii="Verdana" w:hAnsi="Verdana"/>
          <w:sz w:val="20"/>
          <w:szCs w:val="20"/>
        </w:rPr>
        <w:t xml:space="preserve">99.6. La parte de la tarifa que refleje los costos de administración, operación y mantenimiento a que dé lugar el suministro será </w:t>
      </w:r>
      <w:proofErr w:type="gramStart"/>
      <w:r w:rsidRPr="009C2F3C">
        <w:rPr>
          <w:rFonts w:ascii="Verdana" w:hAnsi="Verdana"/>
          <w:sz w:val="20"/>
          <w:szCs w:val="20"/>
        </w:rPr>
        <w:t>cubierta</w:t>
      </w:r>
      <w:proofErr w:type="gramEnd"/>
      <w:r w:rsidRPr="009C2F3C">
        <w:rPr>
          <w:rFonts w:ascii="Verdana" w:hAnsi="Verdana"/>
          <w:sz w:val="20"/>
          <w:szCs w:val="20"/>
        </w:rPr>
        <w:t xml:space="preserve"> siempre por el usuario; la que tenga el propósito de recuperar el valor de las inversiones hechas para prestar el servicio podrá ser cubierta por los subsidios, y siempre que no lo sean, la empresa de servicios públicos podrá tomar todas las medidas necesarias para que los usuarios las cubran. En ningún caso el subsidio será superior al 15% del costo medio del suministro para el estrato 3, al 40% del costo medio del suministro para el estrato 2, ni superior al 50% de éste para el estrato 1. </w:t>
      </w:r>
    </w:p>
    <w:p w14:paraId="2B48E556" w14:textId="77777777" w:rsidR="00A7153D" w:rsidRPr="009C2F3C" w:rsidRDefault="00A7153D" w:rsidP="00A7153D">
      <w:pPr>
        <w:pStyle w:val="Default"/>
        <w:ind w:left="709" w:right="709"/>
        <w:jc w:val="both"/>
        <w:rPr>
          <w:rFonts w:ascii="Verdana" w:hAnsi="Verdana"/>
          <w:sz w:val="20"/>
          <w:szCs w:val="20"/>
        </w:rPr>
      </w:pPr>
      <w:r w:rsidRPr="009C2F3C">
        <w:rPr>
          <w:rFonts w:ascii="Verdana" w:hAnsi="Verdana"/>
          <w:sz w:val="20"/>
          <w:szCs w:val="20"/>
        </w:rPr>
        <w:t>99.7. Los subsidios sólo se otorgarán a los usuarios de inmuebles residenciales y a las zonas rurales de los estratos 1 y 2; las comisiones de regulación definirán las condiciones para otorgarlos al estrato 3. </w:t>
      </w:r>
    </w:p>
    <w:p w14:paraId="2692DCED" w14:textId="77777777" w:rsidR="00A7153D" w:rsidRPr="009C2F3C" w:rsidRDefault="00A7153D" w:rsidP="00A7153D">
      <w:pPr>
        <w:pStyle w:val="Default"/>
        <w:ind w:left="709" w:right="709"/>
        <w:jc w:val="both"/>
        <w:rPr>
          <w:rFonts w:ascii="Verdana" w:hAnsi="Verdana"/>
          <w:sz w:val="20"/>
          <w:szCs w:val="20"/>
        </w:rPr>
      </w:pPr>
      <w:r w:rsidRPr="009C2F3C">
        <w:rPr>
          <w:rFonts w:ascii="Verdana" w:hAnsi="Verdana"/>
          <w:sz w:val="20"/>
          <w:szCs w:val="20"/>
        </w:rPr>
        <w:t xml:space="preserve">99.8. Cuando los Concejos creen los fondos de solidaridad para subsidios y redistribución de ingresos y autoricen el pago de subsidios a través de las </w:t>
      </w:r>
      <w:proofErr w:type="gramStart"/>
      <w:r w:rsidRPr="009C2F3C">
        <w:rPr>
          <w:rFonts w:ascii="Verdana" w:hAnsi="Verdana"/>
          <w:sz w:val="20"/>
          <w:szCs w:val="20"/>
        </w:rPr>
        <w:t>empresas</w:t>
      </w:r>
      <w:proofErr w:type="gramEnd"/>
      <w:r w:rsidRPr="009C2F3C">
        <w:rPr>
          <w:rFonts w:ascii="Verdana" w:hAnsi="Verdana"/>
          <w:sz w:val="20"/>
          <w:szCs w:val="20"/>
        </w:rPr>
        <w:t xml:space="preserve"> pero con desembolsos de los recursos que manejen las tesorerías municipales, la transferencia de recursos se hará en un plazo de 30 días, contados desde la misma fecha en que se expida la factura a cargo del municipio. Para asegurar la transferencia, las empresas firmarán contratos con el municipio. </w:t>
      </w:r>
    </w:p>
    <w:p w14:paraId="6B322AEA" w14:textId="77777777" w:rsidR="00A7153D" w:rsidRPr="009C2F3C" w:rsidRDefault="00A7153D" w:rsidP="00A7153D">
      <w:pPr>
        <w:pStyle w:val="Default"/>
        <w:ind w:left="709" w:right="709"/>
        <w:jc w:val="both"/>
        <w:rPr>
          <w:rFonts w:ascii="Verdana" w:hAnsi="Verdana"/>
          <w:sz w:val="20"/>
          <w:szCs w:val="20"/>
        </w:rPr>
      </w:pPr>
      <w:r w:rsidRPr="009C2F3C">
        <w:rPr>
          <w:rFonts w:ascii="Verdana" w:hAnsi="Verdana"/>
          <w:sz w:val="20"/>
          <w:szCs w:val="20"/>
        </w:rPr>
        <w:t>99.9. Los subsidios que otorguen la Nación y los departamentos se asignarán, preferentemente, a los usuarios que residan en aquellos municipios que tengan menor capacidad para otorgar subsidios con sus propios ingresos. En consecuencia y con el fin de cumplir cabalmente con los principios de solidaridad y redistribución no existirá exoneración en el pago de los servicios de que trata esta Ley para ninguna persona natural o jurídica. </w:t>
      </w:r>
    </w:p>
    <w:p w14:paraId="7EA54366" w14:textId="77777777" w:rsidR="00A7153D" w:rsidRPr="009C2F3C" w:rsidRDefault="00A7153D" w:rsidP="00A7153D">
      <w:pPr>
        <w:pStyle w:val="Default"/>
        <w:ind w:left="709" w:right="709"/>
        <w:jc w:val="both"/>
        <w:rPr>
          <w:rFonts w:ascii="Verdana" w:hAnsi="Verdana"/>
          <w:sz w:val="20"/>
          <w:szCs w:val="20"/>
        </w:rPr>
      </w:pPr>
      <w:r w:rsidRPr="009C2F3C">
        <w:rPr>
          <w:rFonts w:ascii="Verdana" w:hAnsi="Verdana"/>
          <w:bCs/>
          <w:sz w:val="20"/>
          <w:szCs w:val="20"/>
        </w:rPr>
        <w:t>Parágrafo 1º.</w:t>
      </w:r>
      <w:r w:rsidRPr="009C2F3C">
        <w:rPr>
          <w:rFonts w:ascii="Verdana" w:hAnsi="Verdana"/>
          <w:sz w:val="20"/>
          <w:szCs w:val="20"/>
        </w:rPr>
        <w:t xml:space="preserve"> La tarifa del servicio público de electricidad para los distritos de riego construidos o administrados por el </w:t>
      </w:r>
      <w:proofErr w:type="spellStart"/>
      <w:r w:rsidRPr="009C2F3C">
        <w:rPr>
          <w:rFonts w:ascii="Verdana" w:hAnsi="Verdana"/>
          <w:sz w:val="20"/>
          <w:szCs w:val="20"/>
        </w:rPr>
        <w:t>Incora</w:t>
      </w:r>
      <w:proofErr w:type="spellEnd"/>
      <w:r w:rsidRPr="009C2F3C">
        <w:rPr>
          <w:rFonts w:ascii="Verdana" w:hAnsi="Verdana"/>
          <w:sz w:val="20"/>
          <w:szCs w:val="20"/>
        </w:rPr>
        <w:t xml:space="preserve"> y que sean menores a 50 hectáreas, se considerarán incorporados al estrato 1 para efecto de los subsidios a que haya lugar. </w:t>
      </w:r>
    </w:p>
    <w:p w14:paraId="25178B94" w14:textId="77777777" w:rsidR="00A7153D" w:rsidRDefault="00A7153D" w:rsidP="00A7153D">
      <w:pPr>
        <w:pStyle w:val="Default"/>
        <w:jc w:val="both"/>
        <w:rPr>
          <w:rFonts w:ascii="Verdana" w:hAnsi="Verdana"/>
          <w:sz w:val="22"/>
          <w:szCs w:val="22"/>
        </w:rPr>
      </w:pPr>
    </w:p>
    <w:p w14:paraId="1352796C" w14:textId="77777777" w:rsidR="00A7153D" w:rsidRDefault="00A7153D" w:rsidP="00A7153D">
      <w:pPr>
        <w:pStyle w:val="Default"/>
        <w:spacing w:line="276" w:lineRule="auto"/>
        <w:jc w:val="both"/>
        <w:rPr>
          <w:rFonts w:ascii="Verdana" w:hAnsi="Verdana"/>
          <w:sz w:val="22"/>
          <w:szCs w:val="22"/>
        </w:rPr>
      </w:pPr>
      <w:r>
        <w:rPr>
          <w:rFonts w:ascii="Verdana" w:hAnsi="Verdana"/>
          <w:sz w:val="22"/>
          <w:szCs w:val="22"/>
        </w:rPr>
        <w:lastRenderedPageBreak/>
        <w:tab/>
        <w:t>El numeral</w:t>
      </w:r>
      <w:r w:rsidRPr="00E94B76">
        <w:rPr>
          <w:rFonts w:ascii="Verdana" w:hAnsi="Verdana"/>
          <w:sz w:val="22"/>
          <w:szCs w:val="22"/>
        </w:rPr>
        <w:t xml:space="preserve"> 99.8 establece que, cuando los concejos municipales creen fondos de solidaridad para subsidios y redistribución de ingresos y autoricen que las empresas paguen dichos subsidios con recursos administrados por las tesorerías municipales, la transferencia de esos recursos debe realizarse en un plazo máximo de 30 días contados desde la fecha de expedición de la factura correspondiente al municipio. Para garantizar el cumplimiento de esta obligación, las empresas deben suscribir contratos con el municipio, lo que asegura un marco jurídico y administrativo que respalde la transferencia oportuna de los fondos destinados a los subsidios.</w:t>
      </w:r>
      <w:r>
        <w:rPr>
          <w:rFonts w:ascii="Verdana" w:hAnsi="Verdana"/>
          <w:sz w:val="22"/>
          <w:szCs w:val="22"/>
        </w:rPr>
        <w:t xml:space="preserve"> De otro lado, el artículo 11 de la Ley 1176 de 2007 dispone:</w:t>
      </w:r>
    </w:p>
    <w:p w14:paraId="5E08D0BE" w14:textId="77777777" w:rsidR="00A7153D" w:rsidRDefault="00A7153D" w:rsidP="00A7153D">
      <w:pPr>
        <w:pStyle w:val="Default"/>
        <w:spacing w:line="276" w:lineRule="auto"/>
        <w:jc w:val="both"/>
        <w:rPr>
          <w:rFonts w:ascii="Verdana" w:hAnsi="Verdana"/>
          <w:sz w:val="22"/>
          <w:szCs w:val="22"/>
        </w:rPr>
      </w:pPr>
    </w:p>
    <w:p w14:paraId="133CDED2" w14:textId="77777777" w:rsidR="00A7153D" w:rsidRPr="00AA5DB3" w:rsidRDefault="00A7153D" w:rsidP="000C7D33">
      <w:pPr>
        <w:pStyle w:val="Default"/>
        <w:ind w:left="709" w:right="709"/>
        <w:jc w:val="both"/>
        <w:rPr>
          <w:rFonts w:ascii="Verdana" w:hAnsi="Verdana"/>
          <w:sz w:val="20"/>
          <w:szCs w:val="20"/>
        </w:rPr>
      </w:pPr>
      <w:bookmarkStart w:id="2" w:name="11"/>
      <w:r w:rsidRPr="00AA5DB3">
        <w:rPr>
          <w:rFonts w:ascii="Verdana" w:hAnsi="Verdana"/>
          <w:sz w:val="20"/>
          <w:szCs w:val="20"/>
        </w:rPr>
        <w:t>ARTÍCULO 11. DESTINACIÓN DE LOS RECURSOS DE LA PARTICIPACIÓN DE AGUA POTABLE Y SANEAMIENTO BÁSICO EN LOS DISTRITOS Y MUNICIPIOS.</w:t>
      </w:r>
      <w:bookmarkEnd w:id="2"/>
      <w:r w:rsidRPr="00AA5DB3">
        <w:rPr>
          <w:rFonts w:ascii="Verdana" w:hAnsi="Verdana"/>
          <w:sz w:val="20"/>
          <w:szCs w:val="20"/>
        </w:rPr>
        <w:t xml:space="preserve"> Los recursos del Sistema General de Participaciones para agua potable y saneamiento básico que se asignen a los distritos y </w:t>
      </w:r>
      <w:proofErr w:type="gramStart"/>
      <w:r w:rsidRPr="00AA5DB3">
        <w:rPr>
          <w:rFonts w:ascii="Verdana" w:hAnsi="Verdana"/>
          <w:sz w:val="20"/>
          <w:szCs w:val="20"/>
        </w:rPr>
        <w:t>municipios,</w:t>
      </w:r>
      <w:proofErr w:type="gramEnd"/>
      <w:r w:rsidRPr="00AA5DB3">
        <w:rPr>
          <w:rFonts w:ascii="Verdana" w:hAnsi="Verdana"/>
          <w:sz w:val="20"/>
          <w:szCs w:val="20"/>
        </w:rPr>
        <w:t xml:space="preserve"> se destinarán a financiar la prestación de los servicios públicos domiciliarios de agua potable y saneamiento básico, en las siguientes actividades:</w:t>
      </w:r>
    </w:p>
    <w:p w14:paraId="213CD0F1" w14:textId="77777777" w:rsidR="00A7153D" w:rsidRPr="00AA5DB3" w:rsidRDefault="00A7153D" w:rsidP="000C7D33">
      <w:pPr>
        <w:pStyle w:val="Default"/>
        <w:ind w:left="709" w:right="709"/>
        <w:jc w:val="both"/>
        <w:rPr>
          <w:rFonts w:ascii="Verdana" w:hAnsi="Verdana"/>
          <w:sz w:val="20"/>
          <w:szCs w:val="20"/>
        </w:rPr>
      </w:pPr>
      <w:r w:rsidRPr="00AA5DB3">
        <w:rPr>
          <w:rFonts w:ascii="Verdana" w:hAnsi="Verdana"/>
          <w:sz w:val="20"/>
          <w:szCs w:val="20"/>
        </w:rPr>
        <w:t>a) Los subsidios que se otorguen a los estratos subsidiables de acuerdo con lo dispuesto en la normatividad vigente;</w:t>
      </w:r>
    </w:p>
    <w:p w14:paraId="35287F4C" w14:textId="77777777" w:rsidR="00A7153D" w:rsidRPr="00AA5DB3" w:rsidRDefault="00A7153D" w:rsidP="000C7D33">
      <w:pPr>
        <w:pStyle w:val="Default"/>
        <w:ind w:left="709" w:right="709"/>
        <w:jc w:val="both"/>
        <w:rPr>
          <w:rFonts w:ascii="Verdana" w:hAnsi="Verdana"/>
          <w:sz w:val="20"/>
          <w:szCs w:val="20"/>
        </w:rPr>
      </w:pPr>
      <w:r w:rsidRPr="00AA5DB3">
        <w:rPr>
          <w:rFonts w:ascii="Verdana" w:hAnsi="Verdana"/>
          <w:sz w:val="20"/>
          <w:szCs w:val="20"/>
        </w:rPr>
        <w:t>b) Pago del servicio de la deuda originado en el financiamiento de proyectos del sector de agua potable y saneamiento básico, mediante la pignoración de los recursos asignados y demás operaciones financieras autorizadas por la ley;</w:t>
      </w:r>
    </w:p>
    <w:p w14:paraId="6DA866F7" w14:textId="77777777" w:rsidR="00A7153D" w:rsidRPr="00AA5DB3" w:rsidRDefault="00A7153D" w:rsidP="000C7D33">
      <w:pPr>
        <w:pStyle w:val="Default"/>
        <w:ind w:left="709" w:right="709"/>
        <w:jc w:val="both"/>
        <w:rPr>
          <w:rFonts w:ascii="Verdana" w:hAnsi="Verdana"/>
          <w:sz w:val="20"/>
          <w:szCs w:val="20"/>
        </w:rPr>
      </w:pPr>
      <w:r w:rsidRPr="00AA5DB3">
        <w:rPr>
          <w:rFonts w:ascii="Verdana" w:hAnsi="Verdana"/>
          <w:sz w:val="20"/>
          <w:szCs w:val="20"/>
        </w:rPr>
        <w:t xml:space="preserve">c) </w:t>
      </w:r>
      <w:proofErr w:type="spellStart"/>
      <w:r w:rsidRPr="00AA5DB3">
        <w:rPr>
          <w:rFonts w:ascii="Verdana" w:hAnsi="Verdana"/>
          <w:sz w:val="20"/>
          <w:szCs w:val="20"/>
        </w:rPr>
        <w:t>Preinversión</w:t>
      </w:r>
      <w:proofErr w:type="spellEnd"/>
      <w:r w:rsidRPr="00AA5DB3">
        <w:rPr>
          <w:rFonts w:ascii="Verdana" w:hAnsi="Verdana"/>
          <w:sz w:val="20"/>
          <w:szCs w:val="20"/>
        </w:rPr>
        <w:t xml:space="preserve"> en diseños, estudios e interventorías para proyectos del sector de agua potable y saneamiento básico;</w:t>
      </w:r>
    </w:p>
    <w:p w14:paraId="70830232" w14:textId="77777777" w:rsidR="00A7153D" w:rsidRPr="00AA5DB3" w:rsidRDefault="00A7153D" w:rsidP="000C7D33">
      <w:pPr>
        <w:pStyle w:val="Default"/>
        <w:ind w:left="709" w:right="709"/>
        <w:jc w:val="both"/>
        <w:rPr>
          <w:rFonts w:ascii="Verdana" w:hAnsi="Verdana"/>
          <w:sz w:val="20"/>
          <w:szCs w:val="20"/>
        </w:rPr>
      </w:pPr>
      <w:r w:rsidRPr="00AA5DB3">
        <w:rPr>
          <w:rFonts w:ascii="Verdana" w:hAnsi="Verdana"/>
          <w:sz w:val="20"/>
          <w:szCs w:val="20"/>
        </w:rPr>
        <w:t>d) Formulación, implantación y acciones de fortalecimiento de esquemas organizacionales para la administración y operación de los servicios de acueducto, alcantarillado y aseo, en las zonas urbana y rural;</w:t>
      </w:r>
    </w:p>
    <w:p w14:paraId="6CF82ABA" w14:textId="77777777" w:rsidR="00A7153D" w:rsidRPr="00AA5DB3" w:rsidRDefault="00A7153D" w:rsidP="000C7D33">
      <w:pPr>
        <w:pStyle w:val="Default"/>
        <w:ind w:left="709" w:right="709"/>
        <w:jc w:val="both"/>
        <w:rPr>
          <w:rFonts w:ascii="Verdana" w:hAnsi="Verdana"/>
          <w:sz w:val="20"/>
          <w:szCs w:val="20"/>
        </w:rPr>
      </w:pPr>
      <w:r w:rsidRPr="00AA5DB3">
        <w:rPr>
          <w:rFonts w:ascii="Verdana" w:hAnsi="Verdana"/>
          <w:sz w:val="20"/>
          <w:szCs w:val="20"/>
        </w:rPr>
        <w:t>e) Construcción, ampliación, optimización y mejoramiento de los sistemas de acueducto y alcantarillado, e inversión para la prestación del servicio público de aseo;</w:t>
      </w:r>
    </w:p>
    <w:p w14:paraId="078C1770" w14:textId="77777777" w:rsidR="00A7153D" w:rsidRPr="00AA5DB3" w:rsidRDefault="00A7153D" w:rsidP="000C7D33">
      <w:pPr>
        <w:pStyle w:val="Default"/>
        <w:ind w:left="709" w:right="709"/>
        <w:jc w:val="both"/>
        <w:rPr>
          <w:rFonts w:ascii="Verdana" w:hAnsi="Verdana"/>
          <w:sz w:val="20"/>
          <w:szCs w:val="20"/>
        </w:rPr>
      </w:pPr>
      <w:r w:rsidRPr="00AA5DB3">
        <w:rPr>
          <w:rFonts w:ascii="Verdana" w:hAnsi="Verdana"/>
          <w:sz w:val="20"/>
          <w:szCs w:val="20"/>
        </w:rPr>
        <w:t xml:space="preserve">f) Programas de macro y </w:t>
      </w:r>
      <w:proofErr w:type="spellStart"/>
      <w:r w:rsidRPr="00AA5DB3">
        <w:rPr>
          <w:rFonts w:ascii="Verdana" w:hAnsi="Verdana"/>
          <w:sz w:val="20"/>
          <w:szCs w:val="20"/>
        </w:rPr>
        <w:t>micromedición</w:t>
      </w:r>
      <w:proofErr w:type="spellEnd"/>
      <w:r w:rsidRPr="00AA5DB3">
        <w:rPr>
          <w:rFonts w:ascii="Verdana" w:hAnsi="Verdana"/>
          <w:sz w:val="20"/>
          <w:szCs w:val="20"/>
        </w:rPr>
        <w:t>;</w:t>
      </w:r>
    </w:p>
    <w:p w14:paraId="246BCC87" w14:textId="77777777" w:rsidR="00A7153D" w:rsidRPr="00AA5DB3" w:rsidRDefault="00A7153D" w:rsidP="000C7D33">
      <w:pPr>
        <w:pStyle w:val="Default"/>
        <w:ind w:left="709" w:right="709"/>
        <w:jc w:val="both"/>
        <w:rPr>
          <w:rFonts w:ascii="Verdana" w:hAnsi="Verdana"/>
          <w:sz w:val="20"/>
          <w:szCs w:val="20"/>
        </w:rPr>
      </w:pPr>
      <w:r w:rsidRPr="00AA5DB3">
        <w:rPr>
          <w:rFonts w:ascii="Verdana" w:hAnsi="Verdana"/>
          <w:sz w:val="20"/>
          <w:szCs w:val="20"/>
        </w:rPr>
        <w:t>g) Programas de reducción de agua no contabilizada;</w:t>
      </w:r>
    </w:p>
    <w:p w14:paraId="56920A4B" w14:textId="77777777" w:rsidR="00A7153D" w:rsidRDefault="00A7153D" w:rsidP="00A7153D">
      <w:pPr>
        <w:pStyle w:val="Default"/>
        <w:spacing w:line="276" w:lineRule="auto"/>
        <w:jc w:val="both"/>
        <w:rPr>
          <w:rFonts w:ascii="Verdana" w:hAnsi="Verdana"/>
          <w:sz w:val="22"/>
          <w:szCs w:val="22"/>
        </w:rPr>
      </w:pPr>
    </w:p>
    <w:p w14:paraId="3BA1C260" w14:textId="77777777" w:rsidR="00A7153D" w:rsidRDefault="00A7153D" w:rsidP="00A7153D">
      <w:pPr>
        <w:pStyle w:val="Default"/>
        <w:spacing w:line="276" w:lineRule="auto"/>
        <w:jc w:val="both"/>
        <w:rPr>
          <w:rFonts w:ascii="Verdana" w:hAnsi="Verdana"/>
          <w:sz w:val="22"/>
          <w:szCs w:val="22"/>
        </w:rPr>
      </w:pPr>
      <w:r>
        <w:rPr>
          <w:rFonts w:ascii="Verdana" w:hAnsi="Verdana"/>
          <w:sz w:val="22"/>
          <w:szCs w:val="22"/>
        </w:rPr>
        <w:t xml:space="preserve"> </w:t>
      </w:r>
      <w:r>
        <w:rPr>
          <w:rFonts w:ascii="Verdana" w:hAnsi="Verdana"/>
          <w:sz w:val="22"/>
          <w:szCs w:val="22"/>
        </w:rPr>
        <w:tab/>
        <w:t xml:space="preserve">Siguiendo esta línea, el artículo 2.3.4.1.2.11 del Decreto 1077 de 2015 prescribe: </w:t>
      </w:r>
    </w:p>
    <w:p w14:paraId="47AAC2A1" w14:textId="77777777" w:rsidR="00A7153D" w:rsidRDefault="00A7153D" w:rsidP="00A7153D">
      <w:pPr>
        <w:pStyle w:val="Default"/>
      </w:pPr>
    </w:p>
    <w:p w14:paraId="7CF96796" w14:textId="77777777" w:rsidR="00A7153D" w:rsidRPr="004D5C33" w:rsidRDefault="00A7153D" w:rsidP="000C7D33">
      <w:pPr>
        <w:pStyle w:val="Default"/>
        <w:ind w:left="709" w:right="709"/>
        <w:jc w:val="both"/>
        <w:rPr>
          <w:rFonts w:ascii="Verdana" w:hAnsi="Verdana"/>
          <w:sz w:val="20"/>
          <w:szCs w:val="20"/>
        </w:rPr>
      </w:pPr>
      <w:r w:rsidRPr="004D5C33">
        <w:rPr>
          <w:rFonts w:ascii="Verdana" w:hAnsi="Verdana"/>
          <w:bCs/>
          <w:sz w:val="20"/>
          <w:szCs w:val="20"/>
        </w:rPr>
        <w:t>Artículo 2.3.4.1.2.11. </w:t>
      </w:r>
      <w:r w:rsidRPr="004D5C33">
        <w:rPr>
          <w:rFonts w:ascii="Verdana" w:hAnsi="Verdana"/>
          <w:bCs/>
          <w:i/>
          <w:iCs/>
          <w:sz w:val="20"/>
          <w:szCs w:val="20"/>
        </w:rPr>
        <w:t>Transferencias de dinero de las entidades territoriales</w:t>
      </w:r>
      <w:r w:rsidRPr="004D5C33">
        <w:rPr>
          <w:rFonts w:ascii="Verdana" w:hAnsi="Verdana"/>
          <w:i/>
          <w:iCs/>
          <w:sz w:val="20"/>
          <w:szCs w:val="20"/>
        </w:rPr>
        <w:t>. </w:t>
      </w:r>
      <w:r w:rsidRPr="004D5C33">
        <w:rPr>
          <w:rFonts w:ascii="Verdana" w:hAnsi="Verdana"/>
          <w:sz w:val="20"/>
          <w:szCs w:val="20"/>
        </w:rPr>
        <w:t xml:space="preserve">Las transferencias de dinero de las entidades territoriales a los Fondos de Solidaridad y Redistribución de Ingresos por concepto de </w:t>
      </w:r>
      <w:proofErr w:type="gramStart"/>
      <w:r w:rsidRPr="004D5C33">
        <w:rPr>
          <w:rFonts w:ascii="Verdana" w:hAnsi="Verdana"/>
          <w:sz w:val="20"/>
          <w:szCs w:val="20"/>
        </w:rPr>
        <w:t>subsidios,</w:t>
      </w:r>
      <w:proofErr w:type="gramEnd"/>
      <w:r w:rsidRPr="004D5C33">
        <w:rPr>
          <w:rFonts w:ascii="Verdana" w:hAnsi="Verdana"/>
          <w:sz w:val="20"/>
          <w:szCs w:val="20"/>
        </w:rPr>
        <w:t xml:space="preserve"> deberán ser giradas a la entidad prestadora del servicio público </w:t>
      </w:r>
      <w:r w:rsidRPr="004D5C33">
        <w:rPr>
          <w:rFonts w:ascii="Verdana" w:hAnsi="Verdana"/>
          <w:sz w:val="20"/>
          <w:szCs w:val="20"/>
        </w:rPr>
        <w:lastRenderedPageBreak/>
        <w:t>para la aplicación de los subsidios, en un plazo de treinta días, contados desde la misma fecha en que la entidad prestadora expida la factura a cargo del municipio (artículo 99.8 de la Ley 142 de 1994). </w:t>
      </w:r>
    </w:p>
    <w:p w14:paraId="0707E22D" w14:textId="77777777" w:rsidR="00A7153D" w:rsidRPr="004D5C33" w:rsidRDefault="00A7153D" w:rsidP="000C7D33">
      <w:pPr>
        <w:pStyle w:val="Default"/>
        <w:ind w:left="709" w:right="709"/>
        <w:jc w:val="both"/>
        <w:rPr>
          <w:rFonts w:ascii="Verdana" w:hAnsi="Verdana"/>
          <w:sz w:val="20"/>
          <w:szCs w:val="20"/>
        </w:rPr>
      </w:pPr>
    </w:p>
    <w:p w14:paraId="547C956A" w14:textId="77777777" w:rsidR="00A7153D" w:rsidRPr="004D5C33" w:rsidRDefault="00A7153D" w:rsidP="000C7D33">
      <w:pPr>
        <w:pStyle w:val="Default"/>
        <w:ind w:left="709" w:right="709"/>
        <w:jc w:val="both"/>
        <w:rPr>
          <w:rFonts w:ascii="Verdana" w:hAnsi="Verdana"/>
          <w:sz w:val="20"/>
          <w:szCs w:val="20"/>
        </w:rPr>
      </w:pPr>
      <w:r w:rsidRPr="004D5C33">
        <w:rPr>
          <w:rFonts w:ascii="Verdana" w:hAnsi="Verdana"/>
          <w:sz w:val="20"/>
          <w:szCs w:val="20"/>
        </w:rPr>
        <w:t>Para asegurar esta transferencia, los recursos destinados a otorgar subsidios, y que provengan de las tesorerías de las entidades territoriales, deberán ceñirse en su manejo a lo que se estipule en el contrato que para el efecto debe suscribirse entre el municipio, distrito, o departamento y las entidades encargadas de la prestación de los servicios públicos, en el que, entre otros, se establecerán los intereses de mora. </w:t>
      </w:r>
    </w:p>
    <w:p w14:paraId="4A7CDEC5" w14:textId="77777777" w:rsidR="00A7153D" w:rsidRPr="004D5C33" w:rsidRDefault="00A7153D" w:rsidP="00A7153D">
      <w:pPr>
        <w:pStyle w:val="Default"/>
        <w:ind w:left="709" w:right="709"/>
        <w:jc w:val="both"/>
        <w:rPr>
          <w:rFonts w:ascii="Verdana" w:hAnsi="Verdana"/>
          <w:sz w:val="20"/>
          <w:szCs w:val="20"/>
        </w:rPr>
      </w:pPr>
    </w:p>
    <w:p w14:paraId="337B0E8C" w14:textId="77777777" w:rsidR="00A7153D" w:rsidRDefault="00A7153D" w:rsidP="00A7153D">
      <w:pPr>
        <w:pStyle w:val="Default"/>
        <w:ind w:left="709" w:right="709"/>
        <w:jc w:val="both"/>
        <w:rPr>
          <w:rFonts w:ascii="Verdana" w:hAnsi="Verdana"/>
          <w:sz w:val="20"/>
          <w:szCs w:val="20"/>
        </w:rPr>
      </w:pPr>
      <w:r w:rsidRPr="004D5C33">
        <w:rPr>
          <w:rFonts w:ascii="Verdana" w:hAnsi="Verdana"/>
          <w:sz w:val="20"/>
          <w:szCs w:val="20"/>
        </w:rPr>
        <w:t>Los alcaldes y concejales deberán dar prioridad a las apropiaciones para los servicios de acueducto y alcantarillado, sobre otros gastos que no sean indispensables para el funcionamiento del ente territorial respectivo (artículo 99.5 de la Ley 142 de 1994). </w:t>
      </w:r>
    </w:p>
    <w:p w14:paraId="12E9E8AE" w14:textId="77777777" w:rsidR="00A7153D" w:rsidRPr="004D5C33" w:rsidRDefault="00A7153D" w:rsidP="00A7153D">
      <w:pPr>
        <w:pStyle w:val="Default"/>
        <w:ind w:left="709" w:right="709"/>
        <w:jc w:val="both"/>
        <w:rPr>
          <w:rFonts w:ascii="Verdana" w:hAnsi="Verdana"/>
          <w:sz w:val="20"/>
          <w:szCs w:val="20"/>
        </w:rPr>
      </w:pPr>
    </w:p>
    <w:p w14:paraId="32900A31" w14:textId="77777777" w:rsidR="00A7153D" w:rsidRPr="003C5FD9" w:rsidRDefault="00A7153D" w:rsidP="00A7153D">
      <w:pPr>
        <w:pStyle w:val="Default"/>
        <w:spacing w:after="120" w:line="276" w:lineRule="auto"/>
        <w:ind w:firstLine="709"/>
        <w:jc w:val="both"/>
        <w:rPr>
          <w:rFonts w:ascii="Verdana" w:hAnsi="Verdana"/>
          <w:color w:val="auto"/>
          <w:sz w:val="22"/>
          <w:szCs w:val="22"/>
        </w:rPr>
      </w:pPr>
      <w:r w:rsidRPr="003C5FD9">
        <w:rPr>
          <w:rFonts w:ascii="Verdana" w:hAnsi="Verdana"/>
          <w:color w:val="auto"/>
          <w:sz w:val="22"/>
          <w:szCs w:val="22"/>
        </w:rPr>
        <w:t xml:space="preserve">En este aspecto, se precisa que para el caso de los municipios y distritos certificados esta obligación corresponde a estas entidades territoriales, pero para los municipios o distritos descertificados, este deber está bajo la competencia de los departamentos, </w:t>
      </w:r>
      <w:r>
        <w:rPr>
          <w:rFonts w:ascii="Verdana" w:hAnsi="Verdana"/>
          <w:color w:val="auto"/>
          <w:sz w:val="22"/>
          <w:szCs w:val="22"/>
        </w:rPr>
        <w:t>con la condición de que</w:t>
      </w:r>
      <w:r w:rsidRPr="003C5FD9">
        <w:rPr>
          <w:rFonts w:ascii="Verdana" w:hAnsi="Verdana"/>
          <w:color w:val="auto"/>
          <w:sz w:val="22"/>
          <w:szCs w:val="22"/>
        </w:rPr>
        <w:t xml:space="preserve"> los recursos que garanticen la transferencia de subsidios correspondan a la fuente del SGP-APSB, conforme a lo prescrito en el artículo 2.3.5.1.2.2.14 del Decreto 1077 de 2015</w:t>
      </w:r>
      <w:r w:rsidRPr="003C5FD9">
        <w:rPr>
          <w:rStyle w:val="Refdenotaalpie"/>
          <w:rFonts w:ascii="Verdana" w:hAnsi="Verdana"/>
          <w:color w:val="auto"/>
          <w:sz w:val="22"/>
          <w:szCs w:val="22"/>
        </w:rPr>
        <w:footnoteReference w:id="19"/>
      </w:r>
    </w:p>
    <w:p w14:paraId="5AE3CF5E" w14:textId="77777777" w:rsidR="00A7153D" w:rsidRDefault="00A7153D" w:rsidP="00A7153D">
      <w:pPr>
        <w:spacing w:after="120" w:line="276" w:lineRule="auto"/>
        <w:ind w:firstLine="709"/>
        <w:jc w:val="both"/>
        <w:rPr>
          <w:rFonts w:ascii="Verdana" w:hAnsi="Verdana"/>
        </w:rPr>
      </w:pPr>
      <w:r w:rsidRPr="003C5FD9">
        <w:rPr>
          <w:rFonts w:ascii="Verdana" w:hAnsi="Verdana"/>
        </w:rPr>
        <w:lastRenderedPageBreak/>
        <w:t xml:space="preserve">En la práctica administrativa, las entidades territoriales realizan giros o transferencias de recursos provenientes del Fondo de Solidaridad y Redistribución de Ingresos, así como de otros mecanismos de subsidio, a favor de los prestadores de servicios públicos domiciliarios. Estos prestadores pueden </w:t>
      </w:r>
      <w:r>
        <w:rPr>
          <w:rFonts w:ascii="Verdana" w:hAnsi="Verdana"/>
        </w:rPr>
        <w:t>ser</w:t>
      </w:r>
      <w:r w:rsidRPr="003C5FD9">
        <w:rPr>
          <w:rFonts w:ascii="Verdana" w:hAnsi="Verdana"/>
        </w:rPr>
        <w:t xml:space="preserve"> </w:t>
      </w:r>
      <w:r>
        <w:rPr>
          <w:rFonts w:ascii="Verdana" w:hAnsi="Verdana"/>
        </w:rPr>
        <w:t xml:space="preserve">una empresa de servicios públicos domiciliarios de </w:t>
      </w:r>
      <w:r w:rsidRPr="003C5FD9">
        <w:rPr>
          <w:rFonts w:ascii="Verdana" w:hAnsi="Verdana"/>
        </w:rPr>
        <w:t>naturaleza públ</w:t>
      </w:r>
      <w:r>
        <w:rPr>
          <w:rFonts w:ascii="Verdana" w:hAnsi="Verdana"/>
        </w:rPr>
        <w:t>ica, mixta o privada -</w:t>
      </w:r>
      <w:r w:rsidRPr="003C5FD9">
        <w:rPr>
          <w:rFonts w:ascii="Verdana" w:hAnsi="Verdana"/>
        </w:rPr>
        <w:t>con o sin participación estatal</w:t>
      </w:r>
      <w:r>
        <w:rPr>
          <w:rFonts w:ascii="Verdana" w:hAnsi="Verdana"/>
        </w:rPr>
        <w:t>-</w:t>
      </w:r>
      <w:r w:rsidRPr="003C5FD9">
        <w:rPr>
          <w:rFonts w:ascii="Verdana" w:hAnsi="Verdana"/>
        </w:rPr>
        <w:t>. Para la ejecución de dichas transferencias, se emplean instrumentos jurídicos como los convenios de transferencia de recursos.</w:t>
      </w:r>
      <w:r>
        <w:rPr>
          <w:rFonts w:ascii="Verdana" w:hAnsi="Verdana"/>
        </w:rPr>
        <w:t xml:space="preserve"> </w:t>
      </w:r>
    </w:p>
    <w:p w14:paraId="7097339E" w14:textId="77777777" w:rsidR="00A7153D" w:rsidRDefault="00A7153D" w:rsidP="00A7153D">
      <w:pPr>
        <w:spacing w:after="120" w:line="276" w:lineRule="auto"/>
        <w:ind w:firstLine="709"/>
        <w:jc w:val="both"/>
        <w:rPr>
          <w:rFonts w:ascii="Verdana" w:hAnsi="Verdana"/>
        </w:rPr>
      </w:pPr>
      <w:r>
        <w:rPr>
          <w:rFonts w:ascii="Verdana" w:hAnsi="Verdana"/>
        </w:rPr>
        <w:t>En este escenario, l</w:t>
      </w:r>
      <w:r w:rsidRPr="00055945">
        <w:rPr>
          <w:rFonts w:ascii="Verdana" w:hAnsi="Verdana"/>
        </w:rPr>
        <w:t>a naturaleza de los convenios de tra</w:t>
      </w:r>
      <w:r>
        <w:rPr>
          <w:rFonts w:ascii="Verdana" w:hAnsi="Verdana"/>
        </w:rPr>
        <w:t xml:space="preserve">nsferencia de recursos depende de la naturaleza </w:t>
      </w:r>
      <w:r w:rsidRPr="00055945">
        <w:rPr>
          <w:rFonts w:ascii="Verdana" w:hAnsi="Verdana"/>
        </w:rPr>
        <w:t xml:space="preserve">jurídica de las partes que los suscriben. Cuando una entidad territorial celebra estos acuerdos con empresas de servicios públicos de carácter público, mixto o privado con participación estatal, se configura un contrato o convenio interadministrativo. Ello </w:t>
      </w:r>
      <w:r>
        <w:rPr>
          <w:rFonts w:ascii="Verdana" w:hAnsi="Verdana"/>
        </w:rPr>
        <w:t>se sustenta en que dichas empresas son catalogadas como entidades descentralizadas por servicios</w:t>
      </w:r>
      <w:r w:rsidRPr="00055945">
        <w:rPr>
          <w:rFonts w:ascii="Verdana" w:hAnsi="Verdana"/>
        </w:rPr>
        <w:t>, conforme a lo establecido en el numeral 2 del artículo 38 de la Ley 489 de 1998 y a lo reiterado por la Corte Constitucional en la Sentencia C-736 de 2008, lo que les otorga un carácter especial dentro de la estructura administrativa del Estad</w:t>
      </w:r>
      <w:r>
        <w:rPr>
          <w:rFonts w:ascii="Verdana" w:hAnsi="Verdana"/>
        </w:rPr>
        <w:t xml:space="preserve">o. </w:t>
      </w:r>
    </w:p>
    <w:p w14:paraId="73A438DE" w14:textId="77777777" w:rsidR="00A7153D" w:rsidRDefault="00A7153D" w:rsidP="00A7153D">
      <w:pPr>
        <w:spacing w:after="120" w:line="276" w:lineRule="auto"/>
        <w:ind w:firstLine="709"/>
        <w:jc w:val="both"/>
        <w:rPr>
          <w:rFonts w:ascii="Verdana" w:hAnsi="Verdana"/>
        </w:rPr>
      </w:pPr>
      <w:r>
        <w:rPr>
          <w:rFonts w:ascii="Verdana" w:hAnsi="Verdana"/>
        </w:rPr>
        <w:t xml:space="preserve">En torno a este tema, la Superintendencia de Servicios Públicos Domiciliarios ha expresado que dichos negocios jurídicos no son una modalidad tipificada en el Derecho Público y en el Derecho Privado, por lo que corresponde a la autonomía de las partes. Al respecto, señaló: “[…] estos contratos son una modalidad especial que no se encuentra tipificada en el derecho público ni en el derecho privado, </w:t>
      </w:r>
      <w:proofErr w:type="gramStart"/>
      <w:r>
        <w:rPr>
          <w:rFonts w:ascii="Verdana" w:hAnsi="Verdana"/>
        </w:rPr>
        <w:t>y</w:t>
      </w:r>
      <w:proofErr w:type="gramEnd"/>
      <w:r>
        <w:rPr>
          <w:rFonts w:ascii="Verdana" w:hAnsi="Verdana"/>
        </w:rPr>
        <w:t xml:space="preserve"> por ende, sus condiciones se encuentran sujetas a la </w:t>
      </w:r>
      <w:r>
        <w:rPr>
          <w:rFonts w:ascii="Verdana" w:hAnsi="Verdana"/>
        </w:rPr>
        <w:lastRenderedPageBreak/>
        <w:t xml:space="preserve">autonomía de la voluntad de las partes que lo suscriben, lo cual debe plasmarse en el texto contractual”. </w:t>
      </w:r>
    </w:p>
    <w:p w14:paraId="7E26A23E" w14:textId="77777777" w:rsidR="00A7153D" w:rsidRDefault="00A7153D" w:rsidP="00A7153D">
      <w:pPr>
        <w:spacing w:after="120" w:line="276" w:lineRule="auto"/>
        <w:ind w:firstLine="709"/>
        <w:jc w:val="both"/>
        <w:rPr>
          <w:rFonts w:ascii="Verdana" w:hAnsi="Verdana"/>
        </w:rPr>
      </w:pPr>
      <w:r>
        <w:rPr>
          <w:rFonts w:ascii="Verdana" w:hAnsi="Verdana"/>
        </w:rPr>
        <w:t>Ahora bien, la calidad de contrato o convenio depende del tipo de obligaciones que se adquieren por cada una de las partes de la relación contractual. Por ejemplo, l</w:t>
      </w:r>
      <w:r w:rsidRPr="00DF7C2F">
        <w:rPr>
          <w:rFonts w:ascii="Verdana" w:hAnsi="Verdana"/>
        </w:rPr>
        <w:t>os contratos</w:t>
      </w:r>
      <w:r>
        <w:rPr>
          <w:rFonts w:ascii="Verdana" w:hAnsi="Verdana"/>
        </w:rPr>
        <w:t xml:space="preserve"> interadministrativos</w:t>
      </w:r>
      <w:r w:rsidRPr="00DF7C2F">
        <w:rPr>
          <w:rFonts w:ascii="Verdana" w:hAnsi="Verdana"/>
        </w:rPr>
        <w:t xml:space="preserve"> implican obligaciones de contenido patrimonial, por lo que son onerosos y cada parte asume un gravamen en beneficio de la otra; además, las partes actúan con intereses opuestos: la entidad estatal contratante busca satisfacer el interés público, mientras que la entidad contratista</w:t>
      </w:r>
      <w:r>
        <w:rPr>
          <w:rFonts w:ascii="Verdana" w:hAnsi="Verdana"/>
        </w:rPr>
        <w:t xml:space="preserve"> </w:t>
      </w:r>
      <w:r w:rsidRPr="00DF7C2F">
        <w:rPr>
          <w:rFonts w:ascii="Verdana" w:hAnsi="Verdana"/>
        </w:rPr>
        <w:t xml:space="preserve">persigue un interés propio de carácter económico. </w:t>
      </w:r>
      <w:r>
        <w:rPr>
          <w:rFonts w:ascii="Verdana" w:hAnsi="Verdana"/>
        </w:rPr>
        <w:t>Por otro lado</w:t>
      </w:r>
      <w:r w:rsidRPr="00DF7C2F">
        <w:rPr>
          <w:rFonts w:ascii="Verdana" w:hAnsi="Verdana"/>
        </w:rPr>
        <w:t xml:space="preserve">, los convenios no tienen una finalidad lucrativa, pues su objeto es desarrollar actividades que contribuyen directamente a un fin común, de </w:t>
      </w:r>
      <w:r>
        <w:rPr>
          <w:rFonts w:ascii="Verdana" w:hAnsi="Verdana"/>
        </w:rPr>
        <w:t xml:space="preserve">tal forma que </w:t>
      </w:r>
      <w:r w:rsidRPr="00DF7C2F">
        <w:rPr>
          <w:rFonts w:ascii="Verdana" w:hAnsi="Verdana"/>
        </w:rPr>
        <w:t>las entidades involucradas actúan con intereses convergentes y cooperan para cumplir funciones administrativas o prestar servicios alineados con el interés general, sin que exista</w:t>
      </w:r>
      <w:r>
        <w:rPr>
          <w:rFonts w:ascii="Verdana" w:hAnsi="Verdana"/>
        </w:rPr>
        <w:t xml:space="preserve"> una contraprestación propiamente dicha</w:t>
      </w:r>
      <w:r w:rsidRPr="00DF7C2F">
        <w:rPr>
          <w:rFonts w:ascii="Verdana" w:hAnsi="Verdana"/>
        </w:rPr>
        <w:t>.</w:t>
      </w:r>
    </w:p>
    <w:p w14:paraId="2B2B1FA2" w14:textId="77777777" w:rsidR="00A7153D" w:rsidRDefault="00A7153D" w:rsidP="00A7153D">
      <w:pPr>
        <w:spacing w:after="0" w:line="276" w:lineRule="auto"/>
        <w:ind w:firstLine="709"/>
        <w:jc w:val="both"/>
        <w:rPr>
          <w:rFonts w:ascii="Verdana" w:hAnsi="Verdana"/>
        </w:rPr>
      </w:pPr>
      <w:r w:rsidRPr="00055945">
        <w:rPr>
          <w:rFonts w:ascii="Verdana" w:hAnsi="Verdana"/>
        </w:rPr>
        <w:t>Por el contrario, cuando las entidades territoriales suscriben convenios o contratos con empresas de servicios públicos cuyo capital es 100% privado, estos no adquieren la calidad de interadministrativos. La razón es que tales empresas no son catalogadas como entidades descentralizadas por servicios, sino como personas jurídicas de derecho privado</w:t>
      </w:r>
      <w:r>
        <w:rPr>
          <w:rFonts w:ascii="Verdana" w:hAnsi="Verdana"/>
        </w:rPr>
        <w:t xml:space="preserve"> que prestan un servicio público</w:t>
      </w:r>
      <w:r w:rsidRPr="00055945">
        <w:rPr>
          <w:rFonts w:ascii="Verdana" w:hAnsi="Verdana"/>
        </w:rPr>
        <w:t>, lo que implica</w:t>
      </w:r>
      <w:r>
        <w:rPr>
          <w:rFonts w:ascii="Verdana" w:hAnsi="Verdana"/>
        </w:rPr>
        <w:t xml:space="preserve"> que no se aluda a que la relación contractual se denomine un contrato o convenio interadministrativo, a pesar de que el objeto y las finalidades sean similares</w:t>
      </w:r>
      <w:r w:rsidRPr="00055945">
        <w:rPr>
          <w:rFonts w:ascii="Verdana" w:hAnsi="Verdana"/>
        </w:rPr>
        <w:t>.</w:t>
      </w:r>
      <w:r>
        <w:rPr>
          <w:rFonts w:ascii="Verdana" w:hAnsi="Verdana"/>
        </w:rPr>
        <w:t xml:space="preserve"> </w:t>
      </w:r>
    </w:p>
    <w:p w14:paraId="30694E1D" w14:textId="77777777" w:rsidR="00A7153D" w:rsidRDefault="00A7153D" w:rsidP="00A7153D">
      <w:pPr>
        <w:spacing w:after="0" w:line="276" w:lineRule="auto"/>
        <w:jc w:val="both"/>
        <w:rPr>
          <w:rFonts w:ascii="Verdana" w:hAnsi="Verdana"/>
        </w:rPr>
      </w:pPr>
    </w:p>
    <w:p w14:paraId="52E67438" w14:textId="77777777" w:rsidR="00A7153D" w:rsidRPr="00E2397D" w:rsidRDefault="00A7153D" w:rsidP="00A7153D">
      <w:pPr>
        <w:spacing w:after="120" w:line="276" w:lineRule="auto"/>
        <w:jc w:val="both"/>
        <w:rPr>
          <w:rFonts w:ascii="Verdana" w:eastAsia="Arial" w:hAnsi="Verdana" w:cs="Arial"/>
          <w:lang w:val="es-ES" w:eastAsia="es-ES" w:bidi="es-ES"/>
        </w:rPr>
      </w:pPr>
      <w:proofErr w:type="spellStart"/>
      <w:r>
        <w:rPr>
          <w:rFonts w:ascii="Verdana" w:hAnsi="Verdana"/>
        </w:rPr>
        <w:t>iv</w:t>
      </w:r>
      <w:proofErr w:type="spellEnd"/>
      <w:r>
        <w:rPr>
          <w:rFonts w:ascii="Verdana" w:hAnsi="Verdana"/>
        </w:rPr>
        <w:t xml:space="preserve">. </w:t>
      </w:r>
      <w:r w:rsidRPr="00E2397D">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6E055F55" w14:textId="77777777" w:rsidR="00A7153D" w:rsidRPr="00E2397D" w:rsidRDefault="00A7153D" w:rsidP="00A7153D">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w:t>
      </w:r>
      <w:r w:rsidRPr="00E2397D">
        <w:rPr>
          <w:rFonts w:ascii="Verdana" w:eastAsia="Calibri" w:hAnsi="Verdana" w:cs="Arial"/>
        </w:rPr>
        <w:lastRenderedPageBreak/>
        <w:t>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20"/>
      </w:r>
      <w:r w:rsidRPr="00E2397D">
        <w:rPr>
          <w:rFonts w:ascii="Verdana" w:eastAsia="Calibri" w:hAnsi="Verdana" w:cs="Arial"/>
        </w:rPr>
        <w:t>.</w:t>
      </w:r>
    </w:p>
    <w:p w14:paraId="5F273BA9" w14:textId="77777777" w:rsidR="00A7153D" w:rsidRDefault="00A7153D" w:rsidP="00A7153D">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r w:rsidRPr="00E2397D">
        <w:rPr>
          <w:rFonts w:ascii="Verdana" w:eastAsia="Calibri" w:hAnsi="Verdana" w:cs="Arial"/>
          <w:vertAlign w:val="superscript"/>
        </w:rPr>
        <w:footnoteReference w:id="21"/>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7F289EED" w14:textId="77777777" w:rsidR="00A7153D" w:rsidRDefault="00A7153D" w:rsidP="00A7153D">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5465F6D0" w14:textId="77777777" w:rsidR="00A7153D" w:rsidRDefault="00A7153D" w:rsidP="00A7153D">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xml:space="preserve">, depende de la regulación del inciso </w:t>
      </w:r>
      <w:r w:rsidRPr="00447D82">
        <w:rPr>
          <w:rFonts w:ascii="Verdana" w:eastAsia="Times New Roman" w:hAnsi="Verdana" w:cs="Arial"/>
          <w:bCs/>
          <w:lang w:val="es-ES" w:eastAsia="es-CO"/>
        </w:rPr>
        <w:lastRenderedPageBreak/>
        <w:t>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66BA6832" w14:textId="77777777" w:rsidR="00A7153D" w:rsidRDefault="00A7153D" w:rsidP="00A7153D">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183C2FD1" w14:textId="77777777" w:rsidR="00A7153D" w:rsidRPr="00033988" w:rsidRDefault="00A7153D" w:rsidP="00A7153D">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vigor de las prohibiciones anotadas, así como la cesión de estos,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22"/>
      </w:r>
      <w:r w:rsidRPr="00894384">
        <w:rPr>
          <w:rFonts w:ascii="Verdana" w:eastAsia="Times New Roman" w:hAnsi="Verdana" w:cs="Arial"/>
          <w:bCs/>
          <w:lang w:val="es-MX" w:eastAsia="es-CO"/>
        </w:rPr>
        <w:t xml:space="preserve">. </w:t>
      </w: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58031CBF" w14:textId="77777777" w:rsidR="00A7153D" w:rsidRPr="00E2397D" w:rsidRDefault="00A7153D" w:rsidP="00A7153D">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0A72B198" w14:textId="77777777" w:rsidR="00A7153D" w:rsidRPr="00E2397D" w:rsidRDefault="00A7153D" w:rsidP="00A7153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5" w:name="_Hlk76109421"/>
      <w:r w:rsidRPr="00E2397D">
        <w:rPr>
          <w:rFonts w:ascii="Verdana" w:eastAsia="Arial" w:hAnsi="Verdana" w:cs="Arial"/>
          <w:sz w:val="20"/>
          <w:szCs w:val="20"/>
          <w:lang w:eastAsia="es-ES" w:bidi="es-ES"/>
        </w:rPr>
        <w:t>se integran parcialmente</w:t>
      </w:r>
      <w:bookmarkEnd w:id="5"/>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w:t>
      </w:r>
      <w:r w:rsidRPr="00E2397D">
        <w:rPr>
          <w:rFonts w:ascii="Verdana" w:eastAsia="Arial" w:hAnsi="Verdana" w:cs="Arial"/>
          <w:sz w:val="20"/>
          <w:szCs w:val="20"/>
          <w:lang w:eastAsia="es-ES" w:bidi="es-ES"/>
        </w:rPr>
        <w:lastRenderedPageBreak/>
        <w:t xml:space="preserve">restricciones de los artículos 32 y 33 con sus excepciones, así como las 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23"/>
      </w:r>
    </w:p>
    <w:p w14:paraId="6D13BE67" w14:textId="77777777" w:rsidR="00A7153D" w:rsidRPr="00E2397D" w:rsidRDefault="00A7153D" w:rsidP="00A7153D">
      <w:pPr>
        <w:widowControl w:val="0"/>
        <w:autoSpaceDE w:val="0"/>
        <w:autoSpaceDN w:val="0"/>
        <w:spacing w:after="0" w:line="276" w:lineRule="auto"/>
        <w:contextualSpacing/>
        <w:rPr>
          <w:rFonts w:ascii="Verdana" w:eastAsia="Arial" w:hAnsi="Verdana" w:cs="Arial"/>
          <w:lang w:val="es-ES" w:eastAsia="es-ES" w:bidi="es-ES"/>
        </w:rPr>
      </w:pPr>
    </w:p>
    <w:p w14:paraId="297C5960" w14:textId="77777777" w:rsidR="00A7153D" w:rsidRPr="00E2397D" w:rsidRDefault="00A7153D" w:rsidP="00A7153D">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6" w:name="_Hlk77236420"/>
      <w:bookmarkStart w:id="7" w:name="_Hlk78818435"/>
      <w:bookmarkStart w:id="8"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6"/>
    </w:p>
    <w:bookmarkEnd w:id="7"/>
    <w:p w14:paraId="227D7757" w14:textId="77777777" w:rsidR="00A7153D" w:rsidRPr="00E2397D" w:rsidRDefault="00A7153D" w:rsidP="00A7153D">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8"/>
    <w:p w14:paraId="425818AD" w14:textId="77777777" w:rsidR="00A7153D" w:rsidRDefault="00A7153D" w:rsidP="00A7153D">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w:t>
      </w:r>
      <w:r w:rsidRPr="00E2397D">
        <w:rPr>
          <w:rFonts w:ascii="Verdana" w:eastAsia="Arial" w:hAnsi="Verdana" w:cs="Arial"/>
          <w:lang w:val="es-ES" w:eastAsia="es-ES" w:bidi="es-ES"/>
        </w:rPr>
        <w:lastRenderedPageBreak/>
        <w:t xml:space="preserve">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48B7770B" w14:textId="77777777" w:rsidR="00A7153D" w:rsidRDefault="00A7153D" w:rsidP="00A7153D">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 xml:space="preserve">Es importante señalar que </w:t>
      </w:r>
      <w:r w:rsidRPr="0057193B">
        <w:rPr>
          <w:rFonts w:ascii="Verdana" w:eastAsia="Times New Roman" w:hAnsi="Verdana" w:cs="Arial"/>
          <w:bCs/>
          <w:lang w:val="es-MX" w:eastAsia="x-none"/>
        </w:rPr>
        <w:t>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24"/>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r w:rsidRPr="0057193B">
        <w:rPr>
          <w:rFonts w:ascii="Verdana" w:eastAsia="Times New Roman" w:hAnsi="Verdana" w:cs="Arial"/>
          <w:bCs/>
          <w:lang w:val="es-MX" w:eastAsia="x-none"/>
        </w:rPr>
        <w:t xml:space="preserve">De lo anterior se desprende que la restricción </w:t>
      </w:r>
      <w:r>
        <w:rPr>
          <w:rFonts w:ascii="Verdana" w:eastAsia="Times New Roman" w:hAnsi="Verdana" w:cs="Arial"/>
          <w:bCs/>
          <w:lang w:val="es-MX" w:eastAsia="x-none"/>
        </w:rPr>
        <w:t xml:space="preserve">del artículo 33 </w:t>
      </w:r>
      <w:r w:rsidRPr="0057193B">
        <w:rPr>
          <w:rFonts w:ascii="Verdana" w:eastAsia="Times New Roman" w:hAnsi="Verdana" w:cs="Arial"/>
          <w:bCs/>
          <w:lang w:val="es-MX" w:eastAsia="x-none"/>
        </w:rPr>
        <w:t>aplica, sin perjuicio de las excepciones establecidas en la misma ley, para celebrar cualquier contrato de forma directa, esto es, sin que exista un proceso abierto y competitivo.</w:t>
      </w:r>
    </w:p>
    <w:p w14:paraId="415EC4CD" w14:textId="77777777" w:rsidR="00A7153D" w:rsidRDefault="00A7153D" w:rsidP="00A7153D">
      <w:pPr>
        <w:spacing w:after="120" w:line="276" w:lineRule="auto"/>
        <w:ind w:firstLine="708"/>
        <w:jc w:val="both"/>
        <w:rPr>
          <w:rFonts w:ascii="Verdana" w:eastAsia="Times New Roman" w:hAnsi="Verdana" w:cs="Times New Roman"/>
          <w:iCs/>
          <w:lang w:val="es-ES" w:eastAsia="es-ES"/>
        </w:rPr>
      </w:pPr>
      <w:r w:rsidRPr="00B2403B">
        <w:rPr>
          <w:rFonts w:ascii="Verdana" w:eastAsia="Calibri" w:hAnsi="Verdana" w:cs="Times New Roman"/>
          <w:iCs/>
        </w:rPr>
        <w:t xml:space="preserve">Las excepciones están </w:t>
      </w:r>
      <w:r>
        <w:rPr>
          <w:rFonts w:ascii="Verdana" w:eastAsia="Times New Roman" w:hAnsi="Verdana" w:cs="Arial"/>
          <w:bCs/>
          <w:lang w:val="es-MX" w:eastAsia="x-none"/>
        </w:rPr>
        <w:t>consagradas de forma expresa</w:t>
      </w:r>
      <w:r w:rsidRPr="00B2403B">
        <w:rPr>
          <w:rFonts w:ascii="Verdana" w:eastAsia="Times New Roman" w:hAnsi="Verdana" w:cs="Arial"/>
          <w:bCs/>
          <w:lang w:val="es-MX" w:eastAsia="x-none"/>
        </w:rPr>
        <w:t xml:space="preserve"> en el inciso final del citado artículo 33 de la Ley 996 de 2005 en lo referente a i) la defensa y seguridad del Estado; </w:t>
      </w:r>
      <w:proofErr w:type="spellStart"/>
      <w:r w:rsidRPr="00B2403B">
        <w:rPr>
          <w:rFonts w:ascii="Verdana" w:eastAsia="Times New Roman" w:hAnsi="Verdana" w:cs="Arial"/>
          <w:bCs/>
          <w:lang w:val="es-MX" w:eastAsia="x-none"/>
        </w:rPr>
        <w:t>ii</w:t>
      </w:r>
      <w:proofErr w:type="spellEnd"/>
      <w:r w:rsidRPr="00B2403B">
        <w:rPr>
          <w:rFonts w:ascii="Verdana" w:eastAsia="Times New Roman" w:hAnsi="Verdana" w:cs="Arial"/>
          <w:bCs/>
          <w:lang w:val="es-MX" w:eastAsia="x-none"/>
        </w:rPr>
        <w:t xml:space="preserve">) los contratos de crédito público; </w:t>
      </w:r>
      <w:proofErr w:type="spellStart"/>
      <w:r w:rsidRPr="00B2403B">
        <w:rPr>
          <w:rFonts w:ascii="Verdana" w:eastAsia="Times New Roman" w:hAnsi="Verdana" w:cs="Arial"/>
          <w:bCs/>
          <w:lang w:val="es-MX" w:eastAsia="x-none"/>
        </w:rPr>
        <w:t>iii</w:t>
      </w:r>
      <w:proofErr w:type="spellEnd"/>
      <w:r w:rsidRPr="00B2403B">
        <w:rPr>
          <w:rFonts w:ascii="Verdana" w:eastAsia="Times New Roman" w:hAnsi="Verdana" w:cs="Arial"/>
          <w:bCs/>
          <w:lang w:val="es-MX" w:eastAsia="x-none"/>
        </w:rPr>
        <w:t xml:space="preserve">) los requeridos para cubrir las emergencias educativas, sanitarias y desastres; </w:t>
      </w:r>
      <w:proofErr w:type="spellStart"/>
      <w:r w:rsidRPr="00B2403B">
        <w:rPr>
          <w:rFonts w:ascii="Verdana" w:eastAsia="Times New Roman" w:hAnsi="Verdana" w:cs="Arial"/>
          <w:bCs/>
          <w:lang w:val="es-MX" w:eastAsia="x-none"/>
        </w:rPr>
        <w:t>iv</w:t>
      </w:r>
      <w:proofErr w:type="spellEnd"/>
      <w:r w:rsidRPr="00B240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2403B">
        <w:rPr>
          <w:rFonts w:ascii="Verdana" w:eastAsia="Times New Roman" w:hAnsi="Verdana" w:cs="Arial"/>
          <w:bCs/>
          <w:lang w:val="es-MX" w:eastAsia="es-CO"/>
        </w:rPr>
        <w:t xml:space="preserve"> Así mismo, la Corte Constitucional en la Sentencia C-1153 de 2005 señaló que la expresión </w:t>
      </w:r>
      <w:r w:rsidRPr="00B2403B">
        <w:rPr>
          <w:rFonts w:ascii="Verdana" w:eastAsia="Times New Roman" w:hAnsi="Verdana" w:cs="Times New Roman"/>
          <w:i/>
          <w:iCs/>
          <w:lang w:val="es-ES" w:eastAsia="es-ES"/>
        </w:rPr>
        <w:t>“adicionalmente se exceptúan aquellos gastos inaplazables e imprescindibles que afecten el normal funci</w:t>
      </w:r>
      <w:r>
        <w:rPr>
          <w:rFonts w:ascii="Verdana" w:eastAsia="Times New Roman" w:hAnsi="Verdana" w:cs="Times New Roman"/>
          <w:i/>
          <w:iCs/>
          <w:lang w:val="es-ES" w:eastAsia="es-ES"/>
        </w:rPr>
        <w:t>onamiento de la administración</w:t>
      </w:r>
      <w:r w:rsidRPr="00B2403B">
        <w:rPr>
          <w:rFonts w:ascii="Verdana" w:eastAsia="Times New Roman" w:hAnsi="Verdana" w:cs="Times New Roman"/>
          <w:i/>
          <w:iCs/>
          <w:lang w:val="es-ES" w:eastAsia="es-ES"/>
        </w:rPr>
        <w:t>”</w:t>
      </w:r>
      <w:r>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regulada como excepción en el artículo 33</w:t>
      </w:r>
      <w:r w:rsidRPr="00B2403B">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es demasiado amplia y ambigua, pues términos como inaplazable, imprescindible y normal funcionamiento son evaluativos y sujetos a interpretaciones diversas, lo que permitiría introducir mú</w:t>
      </w:r>
      <w:r>
        <w:rPr>
          <w:rFonts w:ascii="Verdana" w:eastAsia="Times New Roman" w:hAnsi="Verdana" w:cs="Times New Roman"/>
          <w:iCs/>
          <w:lang w:val="es-ES" w:eastAsia="es-ES"/>
        </w:rPr>
        <w:t>ltiples excepciones que desfigurarían</w:t>
      </w:r>
      <w:r w:rsidRPr="00B2403B">
        <w:rPr>
          <w:rFonts w:ascii="Verdana" w:eastAsia="Times New Roman" w:hAnsi="Verdana" w:cs="Times New Roman"/>
          <w:iCs/>
          <w:lang w:val="es-ES" w:eastAsia="es-ES"/>
        </w:rPr>
        <w:t xml:space="preserve"> la prohibición original y comp</w:t>
      </w:r>
      <w:r>
        <w:rPr>
          <w:rFonts w:ascii="Verdana" w:eastAsia="Times New Roman" w:hAnsi="Verdana" w:cs="Times New Roman"/>
          <w:iCs/>
          <w:lang w:val="es-ES" w:eastAsia="es-ES"/>
        </w:rPr>
        <w:t xml:space="preserve">rometerían los fines y propósitos de </w:t>
      </w:r>
      <w:r>
        <w:rPr>
          <w:rFonts w:ascii="Verdana" w:eastAsia="Times New Roman" w:hAnsi="Verdana" w:cs="Times New Roman"/>
          <w:iCs/>
          <w:lang w:val="es-ES" w:eastAsia="es-ES"/>
        </w:rPr>
        <w:lastRenderedPageBreak/>
        <w:t>la Ley de Garantías Electorales</w:t>
      </w:r>
      <w:r w:rsidRPr="00B2403B">
        <w:rPr>
          <w:rFonts w:ascii="Verdana" w:eastAsia="Times New Roman" w:hAnsi="Verdana" w:cs="Times New Roman"/>
          <w:iCs/>
          <w:lang w:val="es-ES" w:eastAsia="es-ES"/>
        </w:rPr>
        <w:t>.</w:t>
      </w:r>
      <w:r w:rsidRPr="00B2403B">
        <w:rPr>
          <w:rFonts w:ascii="Verdana" w:eastAsia="Times New Roman" w:hAnsi="Verdana" w:cs="Times New Roman"/>
          <w:i/>
          <w:iCs/>
          <w:lang w:val="es-ES" w:eastAsia="es-ES"/>
        </w:rPr>
        <w:t xml:space="preserve"> </w:t>
      </w:r>
      <w:r w:rsidRPr="00B95F21">
        <w:rPr>
          <w:rFonts w:ascii="Verdana" w:eastAsia="Times New Roman" w:hAnsi="Verdana" w:cs="Times New Roman"/>
          <w:iCs/>
          <w:lang w:val="es-ES" w:eastAsia="es-ES"/>
        </w:rPr>
        <w:t>Por tanto, dicha expresión fue declarada inexequible, razón por la cual no es posible que las entidades argumenten razones como esta para exceptuar la restricción del artículo 33.</w:t>
      </w:r>
    </w:p>
    <w:p w14:paraId="6BB0C436" w14:textId="77777777" w:rsidR="00A7153D" w:rsidRPr="00FD66D5" w:rsidRDefault="00A7153D" w:rsidP="00A7153D">
      <w:pPr>
        <w:spacing w:after="120" w:line="276" w:lineRule="auto"/>
        <w:ind w:firstLine="709"/>
        <w:jc w:val="both"/>
        <w:rPr>
          <w:rFonts w:ascii="Verdana" w:eastAsia="Times New Roman" w:hAnsi="Verdana" w:cs="Times New Roman"/>
          <w:i/>
          <w:iCs/>
          <w:lang w:val="es-ES" w:eastAsia="es-ES"/>
        </w:rPr>
      </w:pPr>
      <w:r>
        <w:rPr>
          <w:rFonts w:ascii="Verdana" w:eastAsia="Times New Roman" w:hAnsi="Verdana" w:cs="Arial"/>
          <w:bCs/>
          <w:lang w:val="es-MX" w:eastAsia="es-CO"/>
        </w:rPr>
        <w:t>Por otro lado, el artículo 38 frente a la prohibición de celebrar convenios interadministrativos para la ejecución de recursos públicos no establece excepciones como el artículo 33, para que puedan adelantarse sin ninguna dificultad. Así mismo, el Consejo de Estado señaló que el concepto de convenio interadministrativo no es aplicable a los contratos interadministrativos, pues son instituciones totalmente diferentes</w:t>
      </w:r>
      <w:r>
        <w:rPr>
          <w:rStyle w:val="Refdenotaalpie"/>
          <w:rFonts w:ascii="Verdana" w:eastAsia="Times New Roman" w:hAnsi="Verdana" w:cs="Arial"/>
          <w:bCs/>
          <w:lang w:val="es-MX" w:eastAsia="es-CO"/>
        </w:rPr>
        <w:footnoteReference w:id="25"/>
      </w:r>
      <w:r>
        <w:rPr>
          <w:rFonts w:ascii="Verdana" w:eastAsia="Times New Roman" w:hAnsi="Verdana" w:cs="Arial"/>
          <w:bCs/>
          <w:lang w:val="es-MX" w:eastAsia="es-CO"/>
        </w:rPr>
        <w:t xml:space="preserve">. </w:t>
      </w:r>
    </w:p>
    <w:p w14:paraId="7764405A" w14:textId="77777777" w:rsidR="00A7153D" w:rsidRDefault="00A7153D" w:rsidP="00A7153D">
      <w:pPr>
        <w:spacing w:after="0" w:line="276" w:lineRule="auto"/>
        <w:ind w:firstLine="709"/>
        <w:jc w:val="both"/>
        <w:rPr>
          <w:rFonts w:ascii="Verdana" w:eastAsia="Calibri" w:hAnsi="Verdana" w:cs="Times New Roman"/>
          <w:iCs/>
        </w:rPr>
      </w:pPr>
      <w:r>
        <w:rPr>
          <w:rFonts w:ascii="Verdana" w:hAnsi="Verdana"/>
        </w:rPr>
        <w:t>Teniendo en cuenta lo expuesto, la Superintendencia de Servicios Públicos ha expresado que l</w:t>
      </w:r>
      <w:r w:rsidRPr="00916FC1">
        <w:rPr>
          <w:rFonts w:ascii="Verdana" w:eastAsia="Calibri" w:hAnsi="Verdana" w:cs="Times New Roman"/>
          <w:iCs/>
        </w:rPr>
        <w:t>a celebración de contratos o convenios para la transferencia de recursos destinados a subsidios entre los entes territoriales y los prestadores de servicios públicos constituye una obligación legal esencial</w:t>
      </w:r>
      <w:r>
        <w:rPr>
          <w:rFonts w:ascii="Verdana" w:eastAsia="Calibri" w:hAnsi="Verdana" w:cs="Times New Roman"/>
          <w:iCs/>
        </w:rPr>
        <w:t xml:space="preserve">, exceptuando de la aplicación de la Ley de Garantías. Este organismo considera que estos convenios o contratos </w:t>
      </w:r>
      <w:r w:rsidRPr="00916FC1">
        <w:rPr>
          <w:rFonts w:ascii="Verdana" w:eastAsia="Calibri" w:hAnsi="Verdana" w:cs="Times New Roman"/>
          <w:iCs/>
        </w:rPr>
        <w:t>no son opcionales, pues permiten asegurar la continuidad y eficacia en la prestación de los servicios públicos. Por ello, deben interpretarse conforme a los principios y fines superiores del régimen de servicios públicos, los cuales prevalecen sobre las restricciones de la Ley 996 de 2005.</w:t>
      </w:r>
      <w:r>
        <w:rPr>
          <w:rFonts w:ascii="Verdana" w:eastAsia="Calibri" w:hAnsi="Verdana" w:cs="Times New Roman"/>
          <w:iCs/>
        </w:rPr>
        <w:t xml:space="preserve"> En tal sentido, la Superintendencia en varios de sus conceptos expresa: </w:t>
      </w:r>
    </w:p>
    <w:p w14:paraId="5C05BCE5" w14:textId="77777777" w:rsidR="00A7153D" w:rsidRDefault="00A7153D" w:rsidP="00A7153D">
      <w:pPr>
        <w:spacing w:after="120" w:line="276" w:lineRule="auto"/>
        <w:jc w:val="both"/>
        <w:rPr>
          <w:rFonts w:ascii="Verdana" w:eastAsia="Calibri" w:hAnsi="Verdana" w:cs="Times New Roman"/>
          <w:iCs/>
        </w:rPr>
      </w:pPr>
    </w:p>
    <w:p w14:paraId="632C954D" w14:textId="77777777" w:rsidR="00A7153D" w:rsidRPr="00B30F07" w:rsidRDefault="00A7153D" w:rsidP="00A7153D">
      <w:pPr>
        <w:spacing w:after="0" w:line="240" w:lineRule="auto"/>
        <w:ind w:left="709" w:right="709"/>
        <w:jc w:val="both"/>
        <w:rPr>
          <w:rFonts w:ascii="Verdana" w:hAnsi="Verdana"/>
          <w:sz w:val="20"/>
          <w:szCs w:val="20"/>
        </w:rPr>
      </w:pPr>
      <w:r w:rsidRPr="00B30F07">
        <w:rPr>
          <w:rFonts w:ascii="Verdana" w:hAnsi="Verdana"/>
          <w:sz w:val="20"/>
          <w:szCs w:val="20"/>
        </w:rPr>
        <w:t xml:space="preserve">Esta Oficina considera que aquellos acuerdos, convenios e instrumentos necesarios para garantizar la prestación de los servicios públicos, así como los contratos que se suscriben entre la empresa y el usuario con el fin de asegurar dicha prestación, deben ser interpretados a la luz de principios y fines que son superiores a los que persigue la propia Ley 996 de 2005, tales como la esencialidad de los servicios públicos domiciliarios, que precisamente busca evitar que la interrupción de esos servicios afecte o vulnere derechos fundamentales de las personas y que se cumplan los cometidos constitucionales y legales'. </w:t>
      </w:r>
    </w:p>
    <w:p w14:paraId="40688B55" w14:textId="77777777" w:rsidR="00A7153D" w:rsidRPr="00B30F07" w:rsidRDefault="00A7153D" w:rsidP="00A7153D">
      <w:pPr>
        <w:spacing w:after="0" w:line="240" w:lineRule="auto"/>
        <w:ind w:left="709" w:right="709"/>
        <w:jc w:val="both"/>
        <w:rPr>
          <w:rFonts w:ascii="Verdana" w:hAnsi="Verdana"/>
          <w:sz w:val="20"/>
          <w:szCs w:val="20"/>
        </w:rPr>
      </w:pPr>
    </w:p>
    <w:p w14:paraId="05B605FD" w14:textId="77777777" w:rsidR="00A7153D" w:rsidRDefault="00A7153D" w:rsidP="00A7153D">
      <w:pPr>
        <w:spacing w:after="0" w:line="240" w:lineRule="auto"/>
        <w:ind w:left="709" w:right="709"/>
        <w:jc w:val="both"/>
        <w:rPr>
          <w:rFonts w:ascii="Verdana" w:hAnsi="Verdana"/>
          <w:sz w:val="20"/>
          <w:szCs w:val="20"/>
        </w:rPr>
      </w:pPr>
      <w:r w:rsidRPr="00B30F07">
        <w:rPr>
          <w:rFonts w:ascii="Verdana" w:hAnsi="Verdana"/>
          <w:sz w:val="20"/>
          <w:szCs w:val="20"/>
        </w:rPr>
        <w:t xml:space="preserve">(…) Conforme con lo señalado, la celebración de los contratos o convenios de transferencia entre los entes territoriales y los prestadores de servicios públicos constituye una obligación legal de la cual no pueden apartarse, acuerdos cuya naturaleza no se encuentra tipificada ni en el derecho </w:t>
      </w:r>
      <w:r w:rsidRPr="00B30F07">
        <w:rPr>
          <w:rFonts w:ascii="Verdana" w:hAnsi="Verdana"/>
          <w:sz w:val="20"/>
          <w:szCs w:val="20"/>
        </w:rPr>
        <w:lastRenderedPageBreak/>
        <w:t xml:space="preserve">público ni en el derecho privado, por lo que constituyen una modalidad especial de contratación. </w:t>
      </w:r>
    </w:p>
    <w:p w14:paraId="331060AD" w14:textId="77777777" w:rsidR="00A7153D" w:rsidRPr="00B30F07" w:rsidRDefault="00A7153D" w:rsidP="00A7153D">
      <w:pPr>
        <w:spacing w:after="0" w:line="240" w:lineRule="auto"/>
        <w:ind w:left="709" w:right="709"/>
        <w:jc w:val="both"/>
        <w:rPr>
          <w:rFonts w:ascii="Verdana" w:hAnsi="Verdana"/>
          <w:sz w:val="20"/>
          <w:szCs w:val="20"/>
        </w:rPr>
      </w:pPr>
    </w:p>
    <w:p w14:paraId="1659954E" w14:textId="77777777" w:rsidR="00A7153D" w:rsidRDefault="00A7153D" w:rsidP="00A7153D">
      <w:pPr>
        <w:spacing w:after="0" w:line="240" w:lineRule="auto"/>
        <w:ind w:left="709" w:right="709"/>
        <w:jc w:val="both"/>
        <w:rPr>
          <w:rFonts w:ascii="Verdana" w:hAnsi="Verdana"/>
          <w:sz w:val="20"/>
          <w:szCs w:val="20"/>
        </w:rPr>
      </w:pPr>
      <w:r w:rsidRPr="00B30F07">
        <w:rPr>
          <w:rFonts w:ascii="Verdana" w:hAnsi="Verdana"/>
          <w:sz w:val="20"/>
          <w:szCs w:val="20"/>
        </w:rPr>
        <w:t>En este sentido, y teniendo en cuenta que la exigencia de la celebración de estos contratos, convenios o acuerdos de transferencia, fue consagrada por el legislador con el propósito de realizar la transferencia de los recursos presupuestales aludidos, para subsidiar a los usuarios de menores recursos, es dable concluir, que ni los contratos de transferencia de recursos para subsidios, ni los contratos de servicios públicos domiciliarios, pueden dejar de ser celebrados, teniendo en cuenta que la esencialidad de dichos servicios tiene su sustento en normas de orden constitucional, prevalentes sobre normas de inferior jerarquía</w:t>
      </w:r>
      <w:r>
        <w:rPr>
          <w:rStyle w:val="Refdenotaalpie"/>
          <w:rFonts w:ascii="Verdana" w:hAnsi="Verdana"/>
          <w:sz w:val="20"/>
          <w:szCs w:val="20"/>
        </w:rPr>
        <w:footnoteReference w:id="26"/>
      </w:r>
      <w:r w:rsidRPr="00B30F07">
        <w:rPr>
          <w:rFonts w:ascii="Verdana" w:hAnsi="Verdana"/>
          <w:sz w:val="20"/>
          <w:szCs w:val="20"/>
        </w:rPr>
        <w:t>.</w:t>
      </w:r>
    </w:p>
    <w:p w14:paraId="05C19D9E" w14:textId="77777777" w:rsidR="00A7153D" w:rsidRPr="00B30F07" w:rsidRDefault="00A7153D" w:rsidP="00A7153D">
      <w:pPr>
        <w:spacing w:after="0" w:line="240" w:lineRule="auto"/>
        <w:ind w:left="709" w:right="709"/>
        <w:jc w:val="both"/>
        <w:rPr>
          <w:rFonts w:ascii="Verdana" w:hAnsi="Verdana"/>
          <w:sz w:val="20"/>
          <w:szCs w:val="20"/>
        </w:rPr>
      </w:pPr>
    </w:p>
    <w:p w14:paraId="6FC8666D" w14:textId="77777777" w:rsidR="00A7153D" w:rsidRPr="00E662F1" w:rsidRDefault="00A7153D" w:rsidP="00A7153D">
      <w:pPr>
        <w:spacing w:after="120" w:line="276" w:lineRule="auto"/>
        <w:ind w:firstLine="709"/>
        <w:jc w:val="both"/>
        <w:rPr>
          <w:rFonts w:ascii="Verdana" w:eastAsia="Calibri" w:hAnsi="Verdana" w:cs="Times New Roman"/>
        </w:rPr>
      </w:pPr>
      <w:r>
        <w:rPr>
          <w:rFonts w:ascii="Verdana" w:eastAsia="Calibri" w:hAnsi="Verdana" w:cs="Times New Roman"/>
          <w:iCs/>
        </w:rPr>
        <w:t>Bajo este escenario, la Superintendencia de Servicios Públicos Domiciliarios expresa que l</w:t>
      </w:r>
      <w:r w:rsidRPr="00916FC1">
        <w:rPr>
          <w:rFonts w:ascii="Verdana" w:eastAsia="Calibri" w:hAnsi="Verdana" w:cs="Times New Roman"/>
          <w:iCs/>
        </w:rPr>
        <w:t>a regulación no contempla causales que permitan a los entes territoriales abstenerse de transferir los subsidios. Por el contrario, su incumplimiento puede constituir una violación al régimen de servicios públicos. Incluso si no se ha suscrito el contrato o convenio correspondiente, esta omisión no exime a las entidades territoriales de cumplir con su deber de transferir los recursos presupuestales necesarios para garantizar el equilibrio financiero del sistema y la adecuada prestación del servicio.</w:t>
      </w:r>
      <w:r>
        <w:rPr>
          <w:rFonts w:ascii="Verdana" w:eastAsia="Calibri" w:hAnsi="Verdana" w:cs="Times New Roman"/>
          <w:iCs/>
        </w:rPr>
        <w:t xml:space="preserve"> Dicha postura de la Superintendencia de Servicios Públicos Domiciliarios no se basa en las excepciones establecidas en el artículo 33 de la Ley 996 de 2005 o en otras que contemple el ordenamiento jurídico, sino que se basa en el deber constitucional y legal de las entidades territoriales de transferir los subsidios a las empresas de servicios públicos domiciliarios. </w:t>
      </w:r>
    </w:p>
    <w:p w14:paraId="760E4DFE" w14:textId="77777777" w:rsidR="00A7153D" w:rsidRDefault="00A7153D" w:rsidP="00A7153D">
      <w:pPr>
        <w:spacing w:after="0" w:line="276" w:lineRule="auto"/>
        <w:ind w:firstLine="709"/>
        <w:jc w:val="both"/>
        <w:rPr>
          <w:rFonts w:ascii="Verdana" w:eastAsiaTheme="minorEastAsia" w:hAnsi="Verdana" w:cs="Arial"/>
          <w:lang w:eastAsia="es-CO"/>
        </w:rPr>
      </w:pPr>
      <w:r>
        <w:rPr>
          <w:rFonts w:ascii="Verdana" w:eastAsiaTheme="minorEastAsia" w:hAnsi="Verdana" w:cs="Arial"/>
          <w:lang w:eastAsia="es-CO"/>
        </w:rPr>
        <w:t xml:space="preserve">Ante estas posturas, es necesario señalar que el argumento de la Superintendencia de Servicios Públicos Domiciliarios se funda en el deber de transferir subsidios, que están contemplados en el artículo 368 constitucional, en la Ley 142 de 1994 y demás normas legales y reglamentarias. Bajo ese escenario, </w:t>
      </w:r>
      <w:r>
        <w:rPr>
          <w:rFonts w:ascii="Verdana" w:eastAsia="Arial" w:hAnsi="Verdana" w:cs="Arial"/>
          <w:lang w:val="es-ES" w:eastAsia="es-ES" w:bidi="es-ES"/>
        </w:rPr>
        <w:t>el alcance de esta obligación frente a las restricciones de la Ley de Garantías Electorales, resulta pertinente traer a colación el pronunciamiento de la Sala de Consulta y Servicio Civil del Consejo de Estado</w:t>
      </w:r>
      <w:r>
        <w:rPr>
          <w:rStyle w:val="Refdenotaalpie"/>
          <w:rFonts w:ascii="Verdana" w:eastAsia="Arial" w:hAnsi="Verdana" w:cs="Arial"/>
          <w:lang w:val="es-ES" w:eastAsia="es-ES" w:bidi="es-ES"/>
        </w:rPr>
        <w:footnoteReference w:id="27"/>
      </w:r>
      <w:r>
        <w:rPr>
          <w:rFonts w:ascii="Verdana" w:eastAsia="Arial" w:hAnsi="Verdana" w:cs="Arial"/>
          <w:lang w:val="es-ES" w:eastAsia="es-ES" w:bidi="es-ES"/>
        </w:rPr>
        <w:t xml:space="preserve">, el cual en un tema concerniente a las restricciones de la Ley de Garantías Electorales expresa que si bien </w:t>
      </w:r>
      <w:r w:rsidRPr="005B7756">
        <w:rPr>
          <w:rFonts w:ascii="Verdana" w:eastAsia="Arial" w:hAnsi="Verdana" w:cs="Arial"/>
          <w:lang w:val="es-ES" w:eastAsia="es-ES" w:bidi="es-ES"/>
        </w:rPr>
        <w:t xml:space="preserve">la seguridad social no está expresamente definida como derecho fundamental, adquiere ese carácter cuando su protección resulta necesaria para </w:t>
      </w:r>
      <w:r w:rsidRPr="005B7756">
        <w:rPr>
          <w:rFonts w:ascii="Verdana" w:eastAsia="Arial" w:hAnsi="Verdana" w:cs="Arial"/>
          <w:lang w:val="es-ES" w:eastAsia="es-ES" w:bidi="es-ES"/>
        </w:rPr>
        <w:lastRenderedPageBreak/>
        <w:t>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Pr>
          <w:rFonts w:ascii="Verdana" w:eastAsia="Times New Roman" w:hAnsi="Verdana" w:cs="Arial"/>
          <w:bCs/>
          <w:lang w:val="es-ES" w:eastAsia="es-CO"/>
        </w:rPr>
        <w:t xml:space="preserve"> En este contexto, </w:t>
      </w:r>
      <w:r w:rsidRPr="00C15179">
        <w:rPr>
          <w:rFonts w:ascii="Verdana" w:eastAsia="Times New Roman" w:hAnsi="Verdana" w:cs="Arial"/>
          <w:bCs/>
          <w:lang w:val="es-ES" w:eastAsia="es-CO"/>
        </w:rPr>
        <w:t>La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Al respecto, expresó</w:t>
      </w:r>
      <w:r>
        <w:rPr>
          <w:rFonts w:ascii="Verdana" w:eastAsia="Calibri" w:hAnsi="Verdana" w:cs="Arial"/>
          <w:lang w:val="es-MX"/>
        </w:rPr>
        <w:t>:</w:t>
      </w:r>
    </w:p>
    <w:p w14:paraId="1DD306C8" w14:textId="77777777" w:rsidR="00A7153D" w:rsidRDefault="00A7153D" w:rsidP="00A7153D">
      <w:pPr>
        <w:spacing w:after="120" w:line="276" w:lineRule="auto"/>
        <w:ind w:left="709" w:right="709"/>
        <w:jc w:val="both"/>
        <w:rPr>
          <w:rFonts w:ascii="Verdana" w:eastAsia="Calibri" w:hAnsi="Verdana" w:cs="Arial"/>
          <w:sz w:val="20"/>
          <w:szCs w:val="20"/>
        </w:rPr>
      </w:pPr>
    </w:p>
    <w:p w14:paraId="43B7E3B9" w14:textId="77777777" w:rsidR="00A7153D" w:rsidRDefault="00A7153D" w:rsidP="00A7153D">
      <w:pPr>
        <w:spacing w:after="0" w:line="240" w:lineRule="auto"/>
        <w:ind w:left="709" w:right="709"/>
        <w:jc w:val="both"/>
        <w:rPr>
          <w:rFonts w:ascii="Verdana" w:eastAsia="Times New Roman" w:hAnsi="Verdana" w:cs="Arial"/>
          <w:lang w:eastAsia="es-CO"/>
        </w:rPr>
      </w:pPr>
      <w:r w:rsidRPr="002D1225">
        <w:rPr>
          <w:rFonts w:ascii="Verdana" w:eastAsia="Calibri" w:hAnsi="Verdana" w:cs="Arial"/>
          <w:sz w:val="20"/>
          <w:szCs w:val="20"/>
        </w:rPr>
        <w:t xml:space="preserve">“[…] en la medida en que los reglamentos internos de una empresa de servicios públicos domiciliarios determinen que la adquisición de algún insumo esencial para la prestación del servicio se realice por contratación directa, y que mientras se adelanta el trámite de la licitación pública del artículo 860 del código de comercio puede verse suspendido o gravemente afectado el servicio a su cargo, para evitar esta emergencia puede acudir a la contratación directa, pues se encontraría dentro de la excepción a la prohibición por causa de la sanidad y del mantenimiento del orden público en su elemento de salubridad, esenciales a la organización del Estado. Se anota </w:t>
      </w:r>
      <w:proofErr w:type="gramStart"/>
      <w:r w:rsidRPr="002D1225">
        <w:rPr>
          <w:rFonts w:ascii="Verdana" w:eastAsia="Calibri" w:hAnsi="Verdana" w:cs="Arial"/>
          <w:sz w:val="20"/>
          <w:szCs w:val="20"/>
        </w:rPr>
        <w:t>que</w:t>
      </w:r>
      <w:proofErr w:type="gramEnd"/>
      <w:r w:rsidRPr="002D1225">
        <w:rPr>
          <w:rFonts w:ascii="Verdana" w:eastAsia="Calibri" w:hAnsi="Verdana" w:cs="Arial"/>
          <w:sz w:val="20"/>
          <w:szCs w:val="20"/>
        </w:rPr>
        <w:t xml:space="preserve"> frente a los servicios públicos domiciliarios, los usuarios tienen un derecho subjetivo a su prestación, que en veces está en conexión con los derechos fundamentales, como en el caso de los servicios del acueducto, alcantarillado, saneamiento básico, </w:t>
      </w:r>
      <w:proofErr w:type="spellStart"/>
      <w:r w:rsidRPr="002D1225">
        <w:rPr>
          <w:rFonts w:ascii="Verdana" w:eastAsia="Calibri" w:hAnsi="Verdana" w:cs="Arial"/>
          <w:sz w:val="20"/>
          <w:szCs w:val="20"/>
        </w:rPr>
        <w:t>etc</w:t>
      </w:r>
      <w:proofErr w:type="spellEnd"/>
      <w:r>
        <w:rPr>
          <w:rFonts w:ascii="Verdana" w:eastAsia="Calibri" w:hAnsi="Verdana" w:cs="Arial"/>
          <w:lang w:val="es-MX"/>
        </w:rPr>
        <w:t>”</w:t>
      </w:r>
      <w:r w:rsidRPr="0057193B">
        <w:rPr>
          <w:rFonts w:ascii="Verdana" w:eastAsia="Calibri" w:hAnsi="Verdana" w:cs="Arial"/>
          <w:vertAlign w:val="superscript"/>
          <w:lang w:val="es-MX"/>
        </w:rPr>
        <w:footnoteReference w:id="28"/>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00A80B79" w14:textId="77777777" w:rsidR="00A7153D" w:rsidRDefault="00A7153D" w:rsidP="00A7153D">
      <w:pPr>
        <w:spacing w:after="0" w:line="276" w:lineRule="auto"/>
        <w:ind w:left="709" w:right="709"/>
        <w:jc w:val="both"/>
        <w:rPr>
          <w:rFonts w:ascii="Verdana" w:eastAsia="Calibri" w:hAnsi="Verdana" w:cs="Arial"/>
          <w:sz w:val="20"/>
          <w:szCs w:val="20"/>
        </w:rPr>
      </w:pPr>
    </w:p>
    <w:p w14:paraId="49CCDD93" w14:textId="77777777" w:rsidR="00A7153D" w:rsidRPr="00C15525" w:rsidRDefault="00A7153D" w:rsidP="00A7153D">
      <w:pPr>
        <w:spacing w:after="120" w:line="276" w:lineRule="auto"/>
        <w:ind w:firstLine="709"/>
        <w:jc w:val="both"/>
        <w:rPr>
          <w:rFonts w:ascii="Verdana" w:eastAsia="Arial" w:hAnsi="Verdana" w:cs="Arial"/>
          <w:lang w:val="es-ES" w:eastAsia="es-ES" w:bidi="es-ES"/>
        </w:rPr>
      </w:pPr>
      <w:r>
        <w:rPr>
          <w:rFonts w:ascii="Verdana" w:hAnsi="Verdana" w:cs="Arial"/>
          <w:lang w:val="es-ES_tradnl"/>
        </w:rPr>
        <w:t xml:space="preserve">En otro asunto, materia de estudio, </w:t>
      </w:r>
      <w:r w:rsidRPr="00C15525">
        <w:rPr>
          <w:rFonts w:ascii="Verdana" w:eastAsia="Calibri" w:hAnsi="Verdana" w:cs="Arial"/>
          <w:color w:val="000000" w:themeColor="text1"/>
        </w:rPr>
        <w:t xml:space="preserve">es importante </w:t>
      </w:r>
      <w:r w:rsidRPr="00C15525">
        <w:rPr>
          <w:rFonts w:ascii="Verdana" w:eastAsia="Calibri" w:hAnsi="Verdana" w:cs="Arial"/>
          <w:bCs/>
          <w:color w:val="000000" w:themeColor="text1"/>
        </w:rPr>
        <w:t xml:space="preserve">tener en cuenta </w:t>
      </w:r>
      <w:r w:rsidRPr="00C15525">
        <w:rPr>
          <w:rFonts w:ascii="Verdana" w:eastAsia="Arial" w:hAnsi="Verdana" w:cs="Arial"/>
          <w:lang w:val="es-ES" w:eastAsia="es-ES" w:bidi="es-ES"/>
        </w:rPr>
        <w:t xml:space="preserve">el pronunciamiento de la Sala de Consulta y Servicio Civil del Consejo de Estado, el cual precisó, respecto del artículo 5 de la Ley 109 de 1994, que cuando excepcionalmente el contrato o convenio interadministrativo es ordenado por </w:t>
      </w:r>
      <w:r w:rsidRPr="00C15525">
        <w:rPr>
          <w:rFonts w:ascii="Verdana" w:eastAsia="Arial" w:hAnsi="Verdana" w:cs="Arial"/>
          <w:lang w:val="es-ES" w:eastAsia="es-ES" w:bidi="es-ES"/>
        </w:rPr>
        <w:lastRenderedPageBreak/>
        <w:t>una ley, su celebración no resultaría violatoria de la restricción a la contratación directa contenida en la Ley 996 de 2005:</w:t>
      </w:r>
    </w:p>
    <w:p w14:paraId="535D2838" w14:textId="77777777" w:rsidR="00A7153D" w:rsidRPr="00C15525" w:rsidRDefault="00A7153D" w:rsidP="00A7153D">
      <w:pPr>
        <w:widowControl w:val="0"/>
        <w:autoSpaceDE w:val="0"/>
        <w:autoSpaceDN w:val="0"/>
        <w:spacing w:after="0" w:line="276" w:lineRule="auto"/>
        <w:jc w:val="both"/>
        <w:rPr>
          <w:rFonts w:ascii="Verdana" w:eastAsia="Arial" w:hAnsi="Verdana" w:cs="Arial"/>
          <w:lang w:val="es-ES" w:eastAsia="es-ES" w:bidi="es-ES"/>
        </w:rPr>
      </w:pPr>
    </w:p>
    <w:p w14:paraId="37DCCD27" w14:textId="77777777" w:rsidR="00A7153D" w:rsidRPr="00C15525" w:rsidRDefault="00A7153D" w:rsidP="00A7153D">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Esta norma [artículo 5 de la Ley 109 de 1994], obliga a los “organismos” de la Rama Legislativa, esto es el Congreso de la República, a contratar con la Imprenta Nacional la publicación de la Gaceta del Congreso. Se hace notar, que este contrato regula las relaciones jurídicas entre dos órganos del Estado que desarrollan en ejercicio de sus obligaciones legales, el Congreso para cumplir el procedimiento legislativo, y la Imprenta para ejercer su función administrativa de imprimir los actos o documentos oficiales que requieran de este requisito. </w:t>
      </w:r>
    </w:p>
    <w:p w14:paraId="2CB71EB8" w14:textId="77777777" w:rsidR="00A7153D" w:rsidRPr="00C15525" w:rsidRDefault="00A7153D" w:rsidP="00A7153D">
      <w:pPr>
        <w:widowControl w:val="0"/>
        <w:autoSpaceDE w:val="0"/>
        <w:autoSpaceDN w:val="0"/>
        <w:spacing w:after="0" w:line="240" w:lineRule="auto"/>
        <w:ind w:left="709" w:right="709"/>
        <w:jc w:val="both"/>
        <w:rPr>
          <w:rFonts w:ascii="Verdana" w:hAnsi="Verdana" w:cs="Arial"/>
          <w:sz w:val="20"/>
          <w:szCs w:val="20"/>
        </w:rPr>
      </w:pPr>
    </w:p>
    <w:p w14:paraId="0822529D" w14:textId="77777777" w:rsidR="00A7153D" w:rsidRPr="00C15525" w:rsidRDefault="00A7153D" w:rsidP="00A7153D">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 claro que la ley ordena que la regulación de dicha relación interadministrativa se efectúe por el mecanismo de una convención, pero también es claro que </w:t>
      </w:r>
      <w:proofErr w:type="gramStart"/>
      <w:r w:rsidRPr="00C15525">
        <w:rPr>
          <w:rFonts w:ascii="Verdana" w:hAnsi="Verdana" w:cs="Arial"/>
          <w:sz w:val="20"/>
          <w:szCs w:val="20"/>
        </w:rPr>
        <w:t>éste</w:t>
      </w:r>
      <w:proofErr w:type="gramEnd"/>
      <w:r w:rsidRPr="00C15525">
        <w:rPr>
          <w:rFonts w:ascii="Verdana" w:hAnsi="Verdana" w:cs="Arial"/>
          <w:sz w:val="20"/>
          <w:szCs w:val="20"/>
        </w:rPr>
        <w:t xml:space="preserve"> contrato no se celebra en ejercicio de la autonomía de la voluntad ni con el fin de cumplir la misión industrial, comercial o de gestión propia de la Imprenta Nacional. En este caso, el contrato se celebra como un mero instrumento que le posibilita el desarrollo de las funciones públicas ordenadas por la ley a ambas entidades Estatales.</w:t>
      </w:r>
    </w:p>
    <w:p w14:paraId="27C7F561" w14:textId="77777777" w:rsidR="00A7153D" w:rsidRPr="00C15525" w:rsidRDefault="00A7153D" w:rsidP="00A7153D">
      <w:pPr>
        <w:widowControl w:val="0"/>
        <w:autoSpaceDE w:val="0"/>
        <w:autoSpaceDN w:val="0"/>
        <w:spacing w:after="0" w:line="240" w:lineRule="auto"/>
        <w:ind w:left="709" w:right="709"/>
        <w:jc w:val="both"/>
        <w:rPr>
          <w:rFonts w:ascii="Verdana" w:hAnsi="Verdana" w:cs="Arial"/>
          <w:sz w:val="20"/>
          <w:szCs w:val="20"/>
        </w:rPr>
      </w:pPr>
    </w:p>
    <w:p w14:paraId="3D1D4163" w14:textId="77777777" w:rsidR="00A7153D" w:rsidRPr="00C15525" w:rsidRDefault="00A7153D" w:rsidP="00A7153D">
      <w:pPr>
        <w:widowControl w:val="0"/>
        <w:autoSpaceDE w:val="0"/>
        <w:autoSpaceDN w:val="0"/>
        <w:spacing w:after="0" w:line="240" w:lineRule="auto"/>
        <w:ind w:left="709" w:right="709"/>
        <w:jc w:val="both"/>
        <w:rPr>
          <w:rFonts w:ascii="Verdana" w:hAnsi="Verdana" w:cs="Arial"/>
        </w:rPr>
      </w:pPr>
      <w:bookmarkStart w:id="9" w:name="_Hlk75761737"/>
      <w:r w:rsidRPr="00C15525">
        <w:rPr>
          <w:rFonts w:ascii="Verdana" w:hAnsi="Verdana" w:cs="Arial"/>
          <w:sz w:val="20"/>
          <w:szCs w:val="20"/>
        </w:rPr>
        <w:t>En este orden de ideas, celebrar o prorrogar el contrato entre la Cámara de Representantes y la Imprenta Nacional no puede ser violatorio de la restricción a la contratación directa contenida por ley 996 de 2005, pues las entidades públicas que lo suscriban están cumpliendo sus funciones y la orden dada por el legislador</w:t>
      </w:r>
      <w:bookmarkEnd w:id="9"/>
      <w:r w:rsidRPr="00C15525">
        <w:rPr>
          <w:rFonts w:ascii="Verdana" w:hAnsi="Verdana" w:cs="Arial"/>
          <w:sz w:val="20"/>
          <w:szCs w:val="20"/>
          <w:vertAlign w:val="superscript"/>
        </w:rPr>
        <w:footnoteReference w:id="29"/>
      </w:r>
      <w:r w:rsidRPr="00C15525">
        <w:rPr>
          <w:rFonts w:ascii="Verdana" w:hAnsi="Verdana" w:cs="Arial"/>
          <w:sz w:val="20"/>
          <w:szCs w:val="20"/>
        </w:rPr>
        <w:t xml:space="preserve">. </w:t>
      </w:r>
    </w:p>
    <w:p w14:paraId="266240D1" w14:textId="77777777" w:rsidR="00A7153D" w:rsidRPr="00C15525" w:rsidRDefault="00A7153D" w:rsidP="00A7153D">
      <w:pPr>
        <w:widowControl w:val="0"/>
        <w:autoSpaceDE w:val="0"/>
        <w:autoSpaceDN w:val="0"/>
        <w:spacing w:after="0" w:line="276" w:lineRule="auto"/>
        <w:jc w:val="both"/>
        <w:rPr>
          <w:rFonts w:ascii="Verdana" w:eastAsia="Arial" w:hAnsi="Verdana" w:cs="Arial"/>
          <w:lang w:val="es-ES" w:eastAsia="es-ES" w:bidi="es-ES"/>
        </w:rPr>
      </w:pPr>
    </w:p>
    <w:p w14:paraId="225D6134" w14:textId="77777777" w:rsidR="00A7153D" w:rsidRPr="000E03E2" w:rsidRDefault="00A7153D" w:rsidP="00A7153D">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val="es-ES" w:eastAsia="es-ES"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C15525">
        <w:rPr>
          <w:rFonts w:ascii="Verdana" w:eastAsia="Arial" w:hAnsi="Verdana" w:cs="Arial"/>
          <w:lang w:eastAsia="es-ES" w:bidi="es-ES"/>
        </w:rPr>
        <w:t xml:space="preserve">el contrato no puede ser violatorio de la restricción a la contratación directa contenida en el artículo 33 de la Ley 996 de 2005. </w:t>
      </w:r>
    </w:p>
    <w:p w14:paraId="7366C21B" w14:textId="77777777" w:rsidR="00A7153D" w:rsidRPr="006177F8" w:rsidRDefault="00A7153D" w:rsidP="00A7153D">
      <w:pPr>
        <w:spacing w:after="120" w:line="276" w:lineRule="auto"/>
        <w:ind w:firstLine="708"/>
        <w:jc w:val="both"/>
        <w:rPr>
          <w:rFonts w:ascii="Verdana" w:eastAsia="Arial" w:hAnsi="Verdana" w:cs="Arial"/>
          <w:lang w:val="es-ES" w:eastAsia="es-ES" w:bidi="es-ES"/>
        </w:rPr>
      </w:pPr>
      <w:r>
        <w:rPr>
          <w:rFonts w:ascii="Verdana" w:hAnsi="Verdana" w:cs="Arial"/>
          <w:lang w:val="es-ES_tradnl"/>
        </w:rPr>
        <w:t>También la Sala de Consulta y Servicio Civil del Consejo de Estado ha presentado supuestos de excepción a la restricción de los artículos 33 y 38 cuando l</w:t>
      </w:r>
      <w:r w:rsidRPr="006177F8">
        <w:rPr>
          <w:rFonts w:ascii="Verdana" w:hAnsi="Verdana" w:cs="Arial"/>
          <w:lang w:val="es-ES_tradnl"/>
        </w:rPr>
        <w:t>a contratación se enmarca en una providencia judicial</w:t>
      </w:r>
      <w:r w:rsidRPr="006177F8">
        <w:rPr>
          <w:rFonts w:ascii="Verdana" w:eastAsia="Arial" w:hAnsi="Verdana" w:cs="Arial"/>
          <w:lang w:val="es-ES" w:eastAsia="es-ES" w:bidi="es-ES"/>
        </w:rPr>
        <w:t xml:space="preserve">, </w:t>
      </w:r>
      <w:r>
        <w:rPr>
          <w:rFonts w:ascii="Verdana" w:eastAsia="Arial" w:hAnsi="Verdana" w:cs="Arial"/>
          <w:lang w:val="es-ES" w:eastAsia="es-ES" w:bidi="es-ES"/>
        </w:rPr>
        <w:t xml:space="preserve">pues en dicho </w:t>
      </w:r>
      <w:r>
        <w:rPr>
          <w:rFonts w:ascii="Verdana" w:eastAsia="Arial" w:hAnsi="Verdana" w:cs="Arial"/>
          <w:lang w:val="es-ES" w:eastAsia="es-ES" w:bidi="es-ES"/>
        </w:rPr>
        <w:lastRenderedPageBreak/>
        <w:t xml:space="preserve">caso debe tenerse </w:t>
      </w:r>
      <w:r w:rsidRPr="006177F8">
        <w:rPr>
          <w:rFonts w:ascii="Verdana" w:eastAsia="Arial" w:hAnsi="Verdana" w:cs="Arial"/>
          <w:lang w:val="es-ES" w:eastAsia="es-ES" w:bidi="es-ES"/>
        </w:rPr>
        <w:t>en cuenta que las decisiones judiciales tienen fuerza vinculante y cumplirse en virtud del principio de supremacía constitucional y del derecho fundamental de acceso a la administraci</w:t>
      </w:r>
      <w:r>
        <w:rPr>
          <w:rFonts w:ascii="Verdana" w:eastAsia="Arial" w:hAnsi="Verdana" w:cs="Arial"/>
          <w:lang w:val="es-ES" w:eastAsia="es-ES" w:bidi="es-ES"/>
        </w:rPr>
        <w:t xml:space="preserve">ón de justicia. La celebración de un contrato de forma directa o de un convenio interadministrativo para la ejecución de recursos públicos </w:t>
      </w:r>
      <w:r w:rsidRPr="006177F8">
        <w:rPr>
          <w:rFonts w:ascii="Verdana" w:eastAsia="Arial" w:hAnsi="Verdana" w:cs="Arial"/>
          <w:lang w:val="es-ES" w:eastAsia="es-ES" w:bidi="es-ES"/>
        </w:rPr>
        <w:t>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48318B2E" w14:textId="77777777" w:rsidR="00A7153D" w:rsidRPr="006177F8" w:rsidRDefault="00A7153D" w:rsidP="00A7153D">
      <w:pPr>
        <w:spacing w:after="0" w:line="276" w:lineRule="auto"/>
        <w:ind w:firstLine="709"/>
        <w:jc w:val="both"/>
        <w:rPr>
          <w:rFonts w:ascii="Verdana" w:eastAsia="Arial" w:hAnsi="Verdana" w:cs="Arial"/>
          <w:lang w:val="es-ES" w:eastAsia="es-ES" w:bidi="es-ES"/>
        </w:rPr>
      </w:pPr>
      <w:r w:rsidRPr="006177F8">
        <w:rPr>
          <w:rFonts w:ascii="Verdana" w:eastAsia="Arial" w:hAnsi="Verdana" w:cs="Arial"/>
          <w:lang w:val="es-ES" w:eastAsia="es-ES" w:bidi="es-ES"/>
        </w:rPr>
        <w:t xml:space="preserve">En este asunto, es importante resaltar que la Sala de Consulta y Servicio Civil del Consejo de Estado </w:t>
      </w:r>
      <w:r>
        <w:rPr>
          <w:rFonts w:ascii="Verdana" w:eastAsia="Arial" w:hAnsi="Verdana" w:cs="Arial"/>
          <w:lang w:val="es-ES" w:eastAsia="es-ES" w:bidi="es-ES"/>
        </w:rPr>
        <w:t xml:space="preserve">mediante </w:t>
      </w:r>
      <w:r w:rsidRPr="00CD734E">
        <w:rPr>
          <w:rFonts w:ascii="Verdana" w:eastAsia="Arial" w:hAnsi="Verdana" w:cs="Arial"/>
          <w:lang w:val="es-ES" w:eastAsia="es-ES" w:bidi="es-ES"/>
        </w:rPr>
        <w:t>Concepto</w:t>
      </w:r>
      <w:r>
        <w:rPr>
          <w:rFonts w:ascii="Verdana" w:eastAsia="Arial" w:hAnsi="Verdana" w:cs="Arial"/>
          <w:lang w:val="es-ES" w:eastAsia="es-ES" w:bidi="es-ES"/>
        </w:rPr>
        <w:t xml:space="preserve"> con Radicado</w:t>
      </w:r>
      <w:r w:rsidRPr="00CD734E">
        <w:rPr>
          <w:rFonts w:ascii="Verdana" w:eastAsia="Arial" w:hAnsi="Verdana" w:cs="Arial"/>
          <w:lang w:val="es-ES" w:eastAsia="es-ES" w:bidi="es-ES"/>
        </w:rPr>
        <w:t xml:space="preserve"> 1863 del 15 de noviembre de 2007 </w:t>
      </w:r>
      <w:r w:rsidRPr="006177F8">
        <w:rPr>
          <w:rFonts w:ascii="Verdana" w:eastAsia="Arial" w:hAnsi="Verdana" w:cs="Arial"/>
          <w:lang w:val="es-ES" w:eastAsia="es-ES" w:bidi="es-ES"/>
        </w:rPr>
        <w:t xml:space="preserve">se ha pronunciado en el sentido de que </w:t>
      </w:r>
      <w:bookmarkStart w:id="10" w:name="_Hlk78820889"/>
      <w:r w:rsidRPr="006177F8">
        <w:rPr>
          <w:rFonts w:ascii="Verdana" w:eastAsia="Arial" w:hAnsi="Verdana" w:cs="Arial"/>
          <w:lang w:val="es-ES" w:eastAsia="es-ES" w:bidi="es-ES"/>
        </w:rPr>
        <w:t>no se les aplica las restricciones contempladas en Ley de Garantías Electorales que deben celebrarse en virtud de un fallo judicial. Esto</w:t>
      </w:r>
      <w:r>
        <w:rPr>
          <w:rFonts w:ascii="Verdana" w:eastAsia="Arial" w:hAnsi="Verdana" w:cs="Arial"/>
          <w:lang w:val="es-ES" w:eastAsia="es-ES" w:bidi="es-ES"/>
        </w:rPr>
        <w:t>,</w:t>
      </w:r>
      <w:r w:rsidRPr="006177F8">
        <w:rPr>
          <w:rFonts w:ascii="Verdana" w:eastAsia="Arial" w:hAnsi="Verdana" w:cs="Arial"/>
          <w:lang w:val="es-ES" w:eastAsia="es-ES" w:bidi="es-ES"/>
        </w:rPr>
        <w:t xml:space="preserve">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10"/>
      <w:r w:rsidRPr="006177F8">
        <w:rPr>
          <w:rFonts w:ascii="Verdana" w:eastAsia="Arial" w:hAnsi="Verdana" w:cs="Arial"/>
          <w:vertAlign w:val="superscript"/>
          <w:lang w:val="es-ES" w:eastAsia="es-ES" w:bidi="es-ES"/>
        </w:rPr>
        <w:footnoteReference w:id="30"/>
      </w:r>
      <w:r w:rsidRPr="006177F8">
        <w:rPr>
          <w:rFonts w:ascii="Verdana" w:eastAsia="Arial" w:hAnsi="Verdana" w:cs="Arial"/>
          <w:lang w:val="es-ES" w:eastAsia="es-ES" w:bidi="es-ES"/>
        </w:rPr>
        <w:t>. Al respecto, dicho Concepto expresa:</w:t>
      </w:r>
    </w:p>
    <w:p w14:paraId="2FB549D7" w14:textId="77777777" w:rsidR="00A7153D" w:rsidRPr="006177F8" w:rsidRDefault="00A7153D" w:rsidP="00A7153D">
      <w:pPr>
        <w:spacing w:after="0" w:line="276" w:lineRule="auto"/>
        <w:ind w:firstLine="709"/>
        <w:jc w:val="both"/>
        <w:rPr>
          <w:rFonts w:ascii="Verdana" w:eastAsia="Arial" w:hAnsi="Verdana" w:cs="Arial"/>
          <w:lang w:val="es-ES" w:eastAsia="es-ES" w:bidi="es-ES"/>
        </w:rPr>
      </w:pPr>
    </w:p>
    <w:p w14:paraId="58DE86AF" w14:textId="77777777" w:rsidR="00A7153D" w:rsidRPr="006177F8" w:rsidRDefault="00A7153D" w:rsidP="00A7153D">
      <w:pPr>
        <w:spacing w:after="0" w:line="240" w:lineRule="auto"/>
        <w:ind w:left="709" w:right="709"/>
        <w:jc w:val="both"/>
        <w:rPr>
          <w:rFonts w:ascii="Verdana" w:eastAsia="Arial" w:hAnsi="Verdana" w:cs="Arial"/>
          <w:sz w:val="20"/>
          <w:lang w:eastAsia="es-ES" w:bidi="es-ES"/>
        </w:rPr>
      </w:pPr>
      <w:r>
        <w:rPr>
          <w:rFonts w:ascii="Verdana" w:eastAsia="Arial" w:hAnsi="Verdana" w:cs="Arial"/>
          <w:sz w:val="20"/>
          <w:lang w:val="es-ES" w:eastAsia="es-ES" w:bidi="es-ES"/>
        </w:rPr>
        <w:t>“</w:t>
      </w:r>
      <w:r w:rsidRPr="006177F8">
        <w:rPr>
          <w:rFonts w:ascii="Verdana" w:eastAsia="Arial" w:hAnsi="Verdana" w:cs="Arial"/>
          <w:sz w:val="20"/>
          <w:lang w:val="es-ES" w:eastAsia="es-ES" w:bidi="es-ES"/>
        </w:rPr>
        <w:t xml:space="preserve">[…] considera </w:t>
      </w:r>
      <w:r w:rsidRPr="006177F8">
        <w:rPr>
          <w:rFonts w:ascii="Verdana" w:eastAsia="Arial" w:hAnsi="Verdana" w:cs="Arial"/>
          <w:sz w:val="20"/>
          <w:lang w:eastAsia="es-ES" w:bidi="es-ES"/>
        </w:rPr>
        <w:t>la Sala que los servidores públicos del nivel nacional o territorial que en cumplimiento de una sentencia judicial o de una providencia proferida en una acción popular o de tutela, deban contratar, ejecutar obras, efectuar gastos e incluso hacer algún reintegro de personal durante los cuatro meses anteriores a las elecciones para cargos de elección popular general o de Presidente, según el caso, </w:t>
      </w:r>
      <w:r w:rsidRPr="006177F8">
        <w:rPr>
          <w:rFonts w:ascii="Verdana" w:eastAsia="Arial" w:hAnsi="Verdana" w:cs="Arial"/>
          <w:b/>
          <w:bCs/>
          <w:sz w:val="20"/>
          <w:lang w:eastAsia="es-ES" w:bidi="es-ES"/>
        </w:rPr>
        <w:t>no violan la ley de garantías electorales</w:t>
      </w:r>
      <w:r w:rsidRPr="006177F8">
        <w:rPr>
          <w:rFonts w:ascii="Verdana" w:eastAsia="Arial" w:hAnsi="Verdana" w:cs="Arial"/>
          <w:sz w:val="20"/>
          <w:lang w:eastAsia="es-ES" w:bidi="es-ES"/>
        </w:rPr>
        <w:t>, por las razones de orden constitucional y legal que se explican a continuación.</w:t>
      </w:r>
    </w:p>
    <w:p w14:paraId="6BE1CFA6" w14:textId="77777777" w:rsidR="00A7153D" w:rsidRPr="006177F8" w:rsidRDefault="00A7153D" w:rsidP="00A7153D">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Con fundamento en la autonomía del poder judicial derivada de la separación de poderes y del derecho al acceso a la administración de justicia que tienen todos los ciudadanos, las decisiones de los jueces, como ya se expuso en el acápite anterior, son de obligatorio cumplimiento para la administración y los particulares en los términos y condiciones previstos en cada providencia.</w:t>
      </w:r>
    </w:p>
    <w:p w14:paraId="50E7F89B" w14:textId="77777777" w:rsidR="00A7153D" w:rsidRPr="006177F8" w:rsidRDefault="00A7153D" w:rsidP="00A7153D">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Los actos de ejecución que la administración deba expedir o realizar para dar cabal cumplimiento a lo ordenado en las providencias judiciales, se fundamentan en decisiones desprovistas </w:t>
      </w:r>
      <w:r w:rsidRPr="006177F8">
        <w:rPr>
          <w:rFonts w:ascii="Verdana" w:eastAsia="Arial" w:hAnsi="Verdana" w:cs="Arial"/>
          <w:i/>
          <w:iCs/>
          <w:sz w:val="20"/>
          <w:lang w:eastAsia="es-ES" w:bidi="es-ES"/>
        </w:rPr>
        <w:t>per se </w:t>
      </w:r>
      <w:r w:rsidRPr="006177F8">
        <w:rPr>
          <w:rFonts w:ascii="Verdana" w:eastAsia="Arial" w:hAnsi="Verdana" w:cs="Arial"/>
          <w:sz w:val="20"/>
          <w:lang w:eastAsia="es-ES" w:bidi="es-ES"/>
        </w:rPr>
        <w:t xml:space="preserve">de intereses proselitistas, pues los funcionarios investidos de jurisdicción, al impartir justicia sólo están sometidos al imperio de la Constitución y de la ley (artículo 230 C.P.) , de manera que sus fallos no son fruto de las presiones propias de épocas </w:t>
      </w:r>
      <w:r w:rsidRPr="006177F8">
        <w:rPr>
          <w:rFonts w:ascii="Verdana" w:eastAsia="Arial" w:hAnsi="Verdana" w:cs="Arial"/>
          <w:sz w:val="20"/>
          <w:lang w:eastAsia="es-ES" w:bidi="es-ES"/>
        </w:rPr>
        <w:lastRenderedPageBreak/>
        <w:t>de campaña electoral, ni comprometen o amenazan la transparencia de la actividad administrativa tutelada en la ley de </w:t>
      </w:r>
      <w:hyperlink r:id="rId13" w:anchor="0" w:history="1">
        <w:r w:rsidRPr="006177F8">
          <w:rPr>
            <w:rStyle w:val="Hipervnculo"/>
            <w:rFonts w:ascii="Verdana" w:eastAsia="Arial" w:hAnsi="Verdana" w:cs="Arial"/>
            <w:color w:val="auto"/>
            <w:sz w:val="20"/>
            <w:u w:val="none"/>
            <w:lang w:eastAsia="es-ES" w:bidi="es-ES"/>
          </w:rPr>
          <w:t>996</w:t>
        </w:r>
      </w:hyperlink>
      <w:r w:rsidRPr="006177F8">
        <w:rPr>
          <w:rFonts w:ascii="Verdana" w:eastAsia="Arial" w:hAnsi="Verdana" w:cs="Arial"/>
          <w:sz w:val="20"/>
          <w:lang w:eastAsia="es-ES" w:bidi="es-ES"/>
        </w:rPr>
        <w:t> de 2005</w:t>
      </w:r>
    </w:p>
    <w:p w14:paraId="6E394253" w14:textId="77777777" w:rsidR="00A7153D" w:rsidRPr="006177F8" w:rsidRDefault="00A7153D" w:rsidP="00A7153D">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Por tanto, el derecho de acceso y de obtener una pronta y cumplida administración de justicia , que se concreta cuando se cumple lo ordenado en las respectivas sentencias, hacen que no sea necesario que el legislador hubiese incluido el cumplimiento de fallos judiciales como parte de las excepciones a los regímenes prohibitivos contendido en los artículos </w:t>
      </w:r>
      <w:hyperlink r:id="rId14" w:anchor="32" w:history="1">
        <w:r w:rsidRPr="006177F8">
          <w:rPr>
            <w:rStyle w:val="Hipervnculo"/>
            <w:rFonts w:ascii="Verdana" w:eastAsia="Arial" w:hAnsi="Verdana" w:cs="Arial"/>
            <w:color w:val="auto"/>
            <w:sz w:val="20"/>
            <w:u w:val="none"/>
            <w:lang w:eastAsia="es-ES" w:bidi="es-ES"/>
          </w:rPr>
          <w:t>32</w:t>
        </w:r>
      </w:hyperlink>
      <w:r w:rsidRPr="006177F8">
        <w:rPr>
          <w:rFonts w:ascii="Verdana" w:eastAsia="Arial" w:hAnsi="Verdana" w:cs="Arial"/>
          <w:sz w:val="20"/>
          <w:lang w:eastAsia="es-ES" w:bidi="es-ES"/>
        </w:rPr>
        <w:t>, </w:t>
      </w:r>
      <w:hyperlink r:id="rId15" w:anchor="33" w:history="1">
        <w:r w:rsidRPr="006177F8">
          <w:rPr>
            <w:rStyle w:val="Hipervnculo"/>
            <w:rFonts w:ascii="Verdana" w:eastAsia="Arial" w:hAnsi="Verdana" w:cs="Arial"/>
            <w:color w:val="auto"/>
            <w:sz w:val="20"/>
            <w:u w:val="none"/>
            <w:lang w:eastAsia="es-ES" w:bidi="es-ES"/>
          </w:rPr>
          <w:t>33</w:t>
        </w:r>
      </w:hyperlink>
      <w:r w:rsidRPr="006177F8">
        <w:rPr>
          <w:rFonts w:ascii="Verdana" w:eastAsia="Arial" w:hAnsi="Verdana" w:cs="Arial"/>
          <w:sz w:val="20"/>
          <w:lang w:eastAsia="es-ES" w:bidi="es-ES"/>
        </w:rPr>
        <w:t> y el parágrafo del artículo </w:t>
      </w:r>
      <w:hyperlink r:id="rId16" w:anchor="38" w:history="1">
        <w:r w:rsidRPr="006177F8">
          <w:rPr>
            <w:rStyle w:val="Hipervnculo"/>
            <w:rFonts w:ascii="Verdana" w:eastAsia="Arial" w:hAnsi="Verdana" w:cs="Arial"/>
            <w:color w:val="auto"/>
            <w:sz w:val="20"/>
            <w:u w:val="none"/>
            <w:lang w:eastAsia="es-ES" w:bidi="es-ES"/>
          </w:rPr>
          <w:t>38</w:t>
        </w:r>
      </w:hyperlink>
      <w:r w:rsidRPr="006177F8">
        <w:rPr>
          <w:rFonts w:ascii="Verdana" w:eastAsia="Arial" w:hAnsi="Verdana" w:cs="Arial"/>
          <w:sz w:val="20"/>
          <w:lang w:eastAsia="es-ES" w:bidi="es-ES"/>
        </w:rPr>
        <w:t>, todos ellos de la ley 996 de 2005, ya que la fuerza vinculante de la sentencias emana directamente de estructura del Estado y de la autonomía conferida al poder judicial</w:t>
      </w:r>
      <w:r>
        <w:rPr>
          <w:rFonts w:ascii="Verdana" w:eastAsia="Arial" w:hAnsi="Verdana" w:cs="Arial"/>
          <w:sz w:val="20"/>
          <w:lang w:eastAsia="es-ES" w:bidi="es-ES"/>
        </w:rPr>
        <w:t>”</w:t>
      </w:r>
      <w:r w:rsidRPr="006177F8">
        <w:rPr>
          <w:rFonts w:ascii="Verdana" w:eastAsia="Arial" w:hAnsi="Verdana" w:cs="Arial"/>
          <w:sz w:val="20"/>
          <w:lang w:eastAsia="es-ES" w:bidi="es-ES"/>
        </w:rPr>
        <w:t>.</w:t>
      </w:r>
      <w:r>
        <w:rPr>
          <w:rFonts w:ascii="Verdana" w:eastAsia="Arial" w:hAnsi="Verdana" w:cs="Arial"/>
          <w:sz w:val="20"/>
          <w:lang w:eastAsia="es-ES" w:bidi="es-ES"/>
        </w:rPr>
        <w:t xml:space="preserve"> (énfasis dentro del texto). </w:t>
      </w:r>
    </w:p>
    <w:p w14:paraId="25B25933" w14:textId="77777777" w:rsidR="00A7153D" w:rsidRPr="006177F8" w:rsidRDefault="00A7153D" w:rsidP="00A7153D">
      <w:pPr>
        <w:spacing w:after="120" w:line="240" w:lineRule="auto"/>
        <w:ind w:firstLine="709"/>
        <w:jc w:val="both"/>
        <w:rPr>
          <w:rFonts w:ascii="Verdana" w:eastAsia="Arial" w:hAnsi="Verdana" w:cs="Arial"/>
          <w:lang w:eastAsia="es-ES" w:bidi="es-ES"/>
        </w:rPr>
      </w:pPr>
    </w:p>
    <w:p w14:paraId="4614B47F" w14:textId="77777777" w:rsidR="00A7153D" w:rsidRDefault="00A7153D" w:rsidP="00A7153D">
      <w:pPr>
        <w:spacing w:after="120" w:line="276" w:lineRule="auto"/>
        <w:ind w:firstLine="708"/>
        <w:jc w:val="both"/>
        <w:rPr>
          <w:rFonts w:ascii="Verdana" w:hAnsi="Verdana" w:cs="Arial"/>
          <w:lang w:val="es-ES"/>
        </w:rPr>
      </w:pPr>
      <w:r>
        <w:rPr>
          <w:rFonts w:ascii="Verdana" w:hAnsi="Verdana" w:cs="Arial"/>
          <w:lang w:val="es-ES"/>
        </w:rPr>
        <w:t xml:space="preserve">El </w:t>
      </w:r>
      <w:r w:rsidRPr="006177F8">
        <w:rPr>
          <w:rFonts w:ascii="Verdana" w:hAnsi="Verdana" w:cs="Arial"/>
          <w:lang w:val="es-ES"/>
        </w:rPr>
        <w:t xml:space="preserve">razonamiento de la Sala de Consulta y Servicio Civil del Consejo de Estado establece que las decisiones judiciales no se encuentran restringidas por las limitaciones de la Ley de Garantías Electorales. En consecuencia, es posible que un juez ordene la suscripción de un contrato de manera directa, como ocurre con la contratación de un perito dentro de un proceso judicial. </w:t>
      </w:r>
      <w:r>
        <w:rPr>
          <w:rFonts w:ascii="Verdana" w:hAnsi="Verdana" w:cs="Arial"/>
          <w:lang w:val="es-ES"/>
        </w:rPr>
        <w:t>De tal manera, n</w:t>
      </w:r>
      <w:r w:rsidRPr="006177F8">
        <w:rPr>
          <w:rFonts w:ascii="Verdana" w:hAnsi="Verdana" w:cs="Arial"/>
          <w:lang w:val="es-ES"/>
        </w:rPr>
        <w:t>egar esta posibilidad significaría desconocer el principio de colaboración armónica entre poderes y, además, vulnerar el derecho fundamental de acceso a la justicia. Por ello, debe entenderse que el cumplimiento de órdenes judiciales se encuentra por fuera de los fines, límites y condiciones previstos en la Ley de Garantías Electorales, pues su naturaleza responde a la obligación constitucional de garantizar la efectividad de las decisiones judiciales y la protección de los derechos fundamentales.</w:t>
      </w:r>
    </w:p>
    <w:p w14:paraId="235D441B" w14:textId="16AB1873" w:rsidR="00A7153D" w:rsidRPr="006D07A8" w:rsidRDefault="00A7153D" w:rsidP="00A7153D">
      <w:pPr>
        <w:spacing w:after="120" w:line="276" w:lineRule="auto"/>
        <w:ind w:firstLine="708"/>
        <w:jc w:val="both"/>
        <w:rPr>
          <w:rFonts w:ascii="Verdana" w:hAnsi="Verdana" w:cs="Arial"/>
          <w:lang w:val="es-ES"/>
        </w:rPr>
      </w:pPr>
      <w:r>
        <w:rPr>
          <w:rFonts w:ascii="Verdana" w:hAnsi="Verdana" w:cs="Arial"/>
          <w:lang w:val="es-ES"/>
        </w:rPr>
        <w:t>A partir de lo expuesto en las consideraciones previas, la Agencia considera esta Agencia que, la posibilidad de suscribir contratos o convenios entre entidades territoriales y empresas de servicios públicos para la transferencia de recursos en el marco de subsidios a los servicios públicos domiciliarios, depende de que se enmarque dentro de las excepciones reguladas en el artículo 33 de la Ley 996 de 2005, sin perjuicio de lo expresado por la Sala de Consulta y Servicio Civil del Consejo que se expuso previament</w:t>
      </w:r>
      <w:r w:rsidR="00D01973">
        <w:rPr>
          <w:rFonts w:ascii="Verdana" w:hAnsi="Verdana" w:cs="Arial"/>
          <w:lang w:val="es-ES"/>
        </w:rPr>
        <w:t xml:space="preserve">e. De otra parte, </w:t>
      </w:r>
      <w:r>
        <w:rPr>
          <w:rFonts w:ascii="Verdana" w:hAnsi="Verdana" w:cs="Arial"/>
          <w:lang w:val="es-ES"/>
        </w:rPr>
        <w:t>posturas como la de la Superintendencia de Servicios Públicos acogen la posibilidad de celebrar</w:t>
      </w:r>
      <w:r>
        <w:rPr>
          <w:rFonts w:ascii="Verdana" w:eastAsia="Times New Roman" w:hAnsi="Verdana" w:cs="Arial"/>
          <w:bCs/>
          <w:lang w:val="es-ES" w:eastAsia="es-CO"/>
        </w:rPr>
        <w:t xml:space="preserve"> convenios y contratos por parte de las entidades territoriales con las empresas de servicios públicos domiciliarios en periodo preelectoral, basados en el deber de garantizar la prestación efectiva de los servicios públicos de las personas más vulnerables que tienen una estrecha relación con los derechos fundamentales.  </w:t>
      </w:r>
    </w:p>
    <w:p w14:paraId="4C0A7CBA" w14:textId="77777777" w:rsidR="00A7153D" w:rsidRDefault="00A7153D" w:rsidP="00A7153D">
      <w:pPr>
        <w:spacing w:before="120" w:after="120" w:line="276" w:lineRule="auto"/>
        <w:ind w:firstLine="708"/>
        <w:jc w:val="both"/>
        <w:rPr>
          <w:rFonts w:ascii="Verdana" w:eastAsia="Times New Roman" w:hAnsi="Verdana" w:cs="Arial"/>
          <w:bCs/>
          <w:lang w:val="es-ES" w:eastAsia="es-CO"/>
        </w:rPr>
      </w:pPr>
      <w:r>
        <w:rPr>
          <w:rFonts w:ascii="Verdana" w:eastAsiaTheme="minorEastAsia" w:hAnsi="Verdana" w:cs="Arial"/>
          <w:lang w:eastAsia="es-CO"/>
        </w:rPr>
        <w:lastRenderedPageBreak/>
        <w:t xml:space="preserve">Por último, es importante exponer la postura de la Agencia en el Concepto C-998 del 28 de agosto de 2025, en la que expresó que </w:t>
      </w:r>
      <w:r>
        <w:rPr>
          <w:rFonts w:ascii="Verdana" w:eastAsia="Times New Roman" w:hAnsi="Verdana" w:cs="Arial"/>
          <w:bCs/>
          <w:lang w:val="es-ES" w:eastAsia="es-CO"/>
        </w:rPr>
        <w:t xml:space="preserve">es procedente que se celebren contratos y/ o convenios interadministrativos para la transferencia de recursos para el subsidio de servicios públicos, previos al límite temporal fijado por la Ley de Garantías Electorales y ejecutarse en meses posteriores. Dicha postura de la Agencia </w:t>
      </w:r>
      <w:r w:rsidRPr="00FC70BE">
        <w:rPr>
          <w:rFonts w:ascii="Verdana" w:eastAsia="Times New Roman" w:hAnsi="Verdana" w:cs="Arial"/>
          <w:bCs/>
          <w:lang w:val="es-ES" w:eastAsia="es-CO"/>
        </w:rPr>
        <w:t xml:space="preserve">reconoce la validez de comprometer recursos con anterioridad al período de restricción, </w:t>
      </w:r>
      <w:r>
        <w:rPr>
          <w:rFonts w:ascii="Verdana" w:eastAsia="Times New Roman" w:hAnsi="Verdana" w:cs="Arial"/>
          <w:bCs/>
          <w:lang w:val="es-ES" w:eastAsia="es-CO"/>
        </w:rPr>
        <w:t xml:space="preserve">partiendo de la posibilidad de celebrar los convenios interadministrativos antes de la restricción del artículo 38 y su inicio de ejecución de forma posterior, lo que implica que la transferencia de recursos para el otorgamiento de subsidios podría ser posterior al período preelectoral. </w:t>
      </w:r>
      <w:r w:rsidRPr="00FC70BE">
        <w:rPr>
          <w:rFonts w:ascii="Verdana" w:eastAsia="Times New Roman" w:hAnsi="Verdana" w:cs="Arial"/>
          <w:bCs/>
          <w:lang w:val="es-ES" w:eastAsia="es-CO"/>
        </w:rPr>
        <w:t>Asimismo, la Agencia enfatizó que en estos casos debe observarse rigurosamente el marco normativo aplicable, incluyendo las reglas de planeación, ejecución presupuestal, directrices y lineamientos vigentes. De esta manera, la posibilidad de ejecutar convenios interadministrativos con posterioridad al inicio de las restricciones del artículo 38 se encuentra condicionada al cumplimiento estricto de los principios de legalidad y transparencia en la gestión de los recursos públicos.</w:t>
      </w:r>
      <w:r>
        <w:rPr>
          <w:rFonts w:ascii="Verdana" w:eastAsia="Times New Roman" w:hAnsi="Verdana" w:cs="Arial"/>
          <w:bCs/>
          <w:lang w:val="es-ES" w:eastAsia="es-CO"/>
        </w:rPr>
        <w:t xml:space="preserve"> </w:t>
      </w:r>
    </w:p>
    <w:p w14:paraId="495FB8E5" w14:textId="77777777" w:rsidR="00A7153D" w:rsidRPr="00C3378E" w:rsidRDefault="00A7153D" w:rsidP="00A7153D">
      <w:pPr>
        <w:spacing w:before="120" w:after="0" w:line="276" w:lineRule="auto"/>
        <w:jc w:val="both"/>
        <w:rPr>
          <w:rFonts w:ascii="Verdana" w:eastAsia="Times New Roman" w:hAnsi="Verdana" w:cs="Arial"/>
          <w:bCs/>
          <w:lang w:val="es-MX" w:eastAsia="es-CO"/>
        </w:rPr>
      </w:pPr>
      <w:r>
        <w:rPr>
          <w:rFonts w:ascii="Verdana" w:eastAsia="Times New Roman" w:hAnsi="Verdana" w:cs="Arial"/>
          <w:bCs/>
          <w:lang w:val="es-ES" w:eastAsia="es-CO"/>
        </w:rPr>
        <w:tab/>
        <w:t xml:space="preserve">Se reitera </w:t>
      </w:r>
      <w:r w:rsidRPr="00C3378E">
        <w:rPr>
          <w:rFonts w:ascii="Verdana" w:eastAsia="Times New Roman" w:hAnsi="Verdana" w:cs="Arial"/>
          <w:bCs/>
          <w:lang w:val="es-MX" w:eastAsia="es-CO"/>
        </w:rPr>
        <w:t xml:space="preserve">que las prórrogas, modificaciones o adiciones de los contratos suscritos antes de la entrada en vigor de las prohibiciones anotadas, así como la cesión de </w:t>
      </w:r>
      <w:proofErr w:type="gramStart"/>
      <w:r w:rsidRPr="00C3378E">
        <w:rPr>
          <w:rFonts w:ascii="Verdana" w:eastAsia="Times New Roman" w:hAnsi="Verdana" w:cs="Arial"/>
          <w:bCs/>
          <w:lang w:val="es-MX" w:eastAsia="es-CO"/>
        </w:rPr>
        <w:t>los mismos</w:t>
      </w:r>
      <w:proofErr w:type="gramEnd"/>
      <w:r w:rsidRPr="00C3378E">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C3378E">
        <w:rPr>
          <w:rFonts w:ascii="Verdana" w:eastAsia="Times New Roman" w:hAnsi="Verdana" w:cs="Arial"/>
          <w:bCs/>
          <w:vertAlign w:val="superscript"/>
          <w:lang w:val="es-MX" w:eastAsia="es-CO"/>
        </w:rPr>
        <w:footnoteReference w:id="31"/>
      </w:r>
      <w:r w:rsidRPr="00C3378E">
        <w:rPr>
          <w:rFonts w:ascii="Verdana" w:eastAsia="Times New Roman" w:hAnsi="Verdana" w:cs="Arial"/>
          <w:bCs/>
          <w:lang w:val="es-MX" w:eastAsia="es-CO"/>
        </w:rPr>
        <w:t>. Además, también es posible que contratos celebrados previamente se continúen ejecutando con normalidad.</w:t>
      </w:r>
    </w:p>
    <w:p w14:paraId="78451469" w14:textId="77777777" w:rsidR="00A7153D" w:rsidRPr="00A96668" w:rsidRDefault="00A7153D" w:rsidP="00A7153D">
      <w:pPr>
        <w:spacing w:after="0" w:line="276" w:lineRule="auto"/>
        <w:jc w:val="both"/>
        <w:rPr>
          <w:rFonts w:ascii="Verdana" w:eastAsia="Calibri" w:hAnsi="Verdana" w:cs="Times New Roman"/>
          <w:iCs/>
          <w:lang w:val="es-MX"/>
        </w:rPr>
      </w:pPr>
    </w:p>
    <w:p w14:paraId="0D2CFD94" w14:textId="77777777" w:rsidR="00A7153D" w:rsidRPr="006C0CAF" w:rsidRDefault="00A7153D" w:rsidP="00A7153D">
      <w:pPr>
        <w:spacing w:after="120" w:line="276" w:lineRule="auto"/>
        <w:jc w:val="both"/>
        <w:rPr>
          <w:rFonts w:ascii="Verdana" w:eastAsia="Times New Roman" w:hAnsi="Verdana" w:cs="Arial"/>
          <w:lang w:val="es-ES" w:eastAsia="es-ES"/>
          <w14:ligatures w14:val="standardContextual"/>
        </w:rPr>
      </w:pPr>
      <w:r>
        <w:rPr>
          <w:rFonts w:ascii="Verdana" w:eastAsia="Calibri" w:hAnsi="Verdana" w:cs="Arial"/>
          <w:color w:val="000000" w:themeColor="text1"/>
          <w:lang w:val="es-ES"/>
        </w:rPr>
        <w:t xml:space="preserve">v. </w:t>
      </w:r>
      <w:r w:rsidRPr="006C0CAF">
        <w:rPr>
          <w:rFonts w:ascii="Verdana" w:eastAsia="Times New Roman" w:hAnsi="Verdana" w:cs="Arial"/>
          <w:lang w:val="es-ES" w:eastAsia="es-ES"/>
          <w14:ligatures w14:val="standardContextual"/>
        </w:rPr>
        <w:t xml:space="preserve">Uno de los postulados más importantes de un Estado social y democrático de derecho es el principio de </w:t>
      </w:r>
      <w:r w:rsidRPr="006C0CAF">
        <w:rPr>
          <w:rFonts w:ascii="Verdana" w:eastAsia="Times New Roman" w:hAnsi="Verdana" w:cs="Arial"/>
          <w:i/>
          <w:iCs/>
          <w:lang w:val="es-ES" w:eastAsia="es-ES"/>
          <w14:ligatures w14:val="standardContextual"/>
        </w:rPr>
        <w:t>publicidad</w:t>
      </w:r>
      <w:r w:rsidRPr="006C0CAF">
        <w:rPr>
          <w:rFonts w:ascii="Verdana" w:eastAsia="Times New Roman" w:hAnsi="Verdana" w:cs="Arial"/>
          <w:lang w:val="es-ES" w:eastAsia="es-ES"/>
          <w14:ligatures w14:val="standardContextual"/>
        </w:rPr>
        <w:t>,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w:t>
      </w:r>
      <w:r w:rsidRPr="006C0CAF">
        <w:rPr>
          <w:rFonts w:ascii="Verdana" w:eastAsia="Times New Roman" w:hAnsi="Verdana" w:cs="Arial"/>
          <w:vertAlign w:val="superscript"/>
          <w:lang w:val="es-ES" w:eastAsia="es-ES"/>
          <w14:ligatures w14:val="standardContextual"/>
        </w:rPr>
        <w:footnoteReference w:id="32"/>
      </w:r>
      <w:r w:rsidRPr="006C0CAF">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w:t>
      </w:r>
      <w:r w:rsidRPr="006C0CAF">
        <w:rPr>
          <w:rFonts w:ascii="Verdana" w:eastAsia="Times New Roman" w:hAnsi="Verdana" w:cs="Arial"/>
          <w:lang w:val="es-ES" w:eastAsia="es-ES"/>
          <w14:ligatures w14:val="standardContextual"/>
        </w:rPr>
        <w:lastRenderedPageBreak/>
        <w:t xml:space="preserve">barrera para la participación ciudadana. Inspirada en esta concepción axiológica, en los Estados de derecho se pregonan la publicidad de las actuaciones de los poderes públicos. </w:t>
      </w:r>
    </w:p>
    <w:p w14:paraId="1208CCF1" w14:textId="77777777" w:rsidR="00A7153D" w:rsidRPr="006C0CAF" w:rsidRDefault="00A7153D" w:rsidP="00A7153D">
      <w:pPr>
        <w:spacing w:before="120" w:after="120" w:line="276" w:lineRule="auto"/>
        <w:ind w:firstLine="708"/>
        <w:jc w:val="both"/>
        <w:rPr>
          <w:rFonts w:ascii="Verdana" w:eastAsia="Times New Roman" w:hAnsi="Verdana" w:cs="Arial"/>
          <w:lang w:val="es-ES" w:eastAsia="es-ES"/>
          <w14:ligatures w14:val="standardContextual"/>
        </w:rPr>
      </w:pPr>
      <w:r w:rsidRPr="006C0CAF">
        <w:rPr>
          <w:rFonts w:ascii="Verdana" w:eastAsia="Times New Roman" w:hAnsi="Verdana" w:cs="Arial"/>
          <w:lang w:val="es-ES" w:eastAsia="es-ES"/>
          <w14:ligatures w14:val="standardContextual"/>
        </w:rPr>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76AAF989" w14:textId="77777777" w:rsidR="00A7153D" w:rsidRDefault="00A7153D" w:rsidP="00A7153D">
      <w:pPr>
        <w:spacing w:after="0" w:line="276" w:lineRule="auto"/>
        <w:ind w:firstLine="709"/>
        <w:jc w:val="both"/>
        <w:rPr>
          <w:rFonts w:ascii="Verdana" w:eastAsia="Times New Roman" w:hAnsi="Verdana" w:cs="Arial"/>
          <w:lang w:val="es-ES" w:eastAsia="es-ES"/>
          <w14:ligatures w14:val="standardContextual"/>
        </w:rPr>
      </w:pPr>
      <w:r w:rsidRPr="1B20DF0E">
        <w:rPr>
          <w:rFonts w:ascii="Verdana" w:eastAsia="Times New Roman" w:hAnsi="Verdana" w:cs="Arial"/>
          <w:lang w:val="es-ES" w:eastAsia="es-ES"/>
          <w14:ligatures w14:val="standardContextual"/>
        </w:rPr>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1B20DF0E">
        <w:rPr>
          <w:rFonts w:ascii="Verdana" w:eastAsia="Times New Roman" w:hAnsi="Verdana" w:cs="Arial"/>
          <w:vertAlign w:val="superscript"/>
          <w:lang w:val="es-ES" w:eastAsia="es-ES"/>
          <w14:ligatures w14:val="standardContextual"/>
        </w:rPr>
        <w:footnoteReference w:id="33"/>
      </w:r>
      <w:r w:rsidRPr="1B20DF0E">
        <w:rPr>
          <w:rFonts w:ascii="Verdana" w:eastAsia="Times New Roman" w:hAnsi="Verdana" w:cs="Arial"/>
          <w:lang w:val="es-ES" w:eastAsia="es-ES"/>
          <w14:ligatures w14:val="standardContextual"/>
        </w:rPr>
        <w:t>. El principio de transparencia en la información alude al deber de los sujetos de proporcionar y facilitar el acceso a la misma en los términos más amplios posibles, y a través de los medios y procedimientos legales. En este sentido, el artículo la Ley 1712 de 2014 establece el ámbito de ampliación, esto es, quienes son los sujetos obligados a publicar su información:</w:t>
      </w:r>
    </w:p>
    <w:p w14:paraId="1834019F" w14:textId="77777777" w:rsidR="00A7153D" w:rsidRDefault="00A7153D" w:rsidP="00A7153D">
      <w:pPr>
        <w:spacing w:after="0" w:line="276" w:lineRule="auto"/>
        <w:ind w:firstLine="709"/>
        <w:jc w:val="both"/>
        <w:rPr>
          <w:rFonts w:ascii="Verdana" w:eastAsia="Times New Roman" w:hAnsi="Verdana" w:cs="Arial"/>
          <w:lang w:val="es-ES_tradnl" w:eastAsia="es-ES_tradnl"/>
          <w14:ligatures w14:val="standardContextual"/>
        </w:rPr>
      </w:pPr>
    </w:p>
    <w:p w14:paraId="1E2EE630" w14:textId="77777777" w:rsidR="00A7153D" w:rsidRPr="003A6355" w:rsidRDefault="00A7153D" w:rsidP="00A7153D">
      <w:pPr>
        <w:spacing w:after="0" w:line="240" w:lineRule="auto"/>
        <w:ind w:left="709" w:right="709"/>
        <w:jc w:val="both"/>
        <w:rPr>
          <w:rFonts w:ascii="Verdana" w:hAnsi="Verdana" w:cs="Arial"/>
          <w:sz w:val="20"/>
          <w:szCs w:val="20"/>
          <w:lang w:eastAsia="es-ES_tradnl"/>
          <w14:ligatures w14:val="standardContextual"/>
        </w:rPr>
      </w:pPr>
      <w:bookmarkStart w:id="12" w:name="5"/>
      <w:r w:rsidRPr="003A6355">
        <w:rPr>
          <w:rFonts w:ascii="Verdana" w:hAnsi="Verdana" w:cs="Arial"/>
          <w:bCs/>
          <w:sz w:val="20"/>
          <w:szCs w:val="20"/>
          <w:lang w:eastAsia="es-ES_tradnl"/>
          <w14:ligatures w14:val="standardContextual"/>
        </w:rPr>
        <w:t>ARTÍCULO 5o. Ámbito de Aplicación</w:t>
      </w:r>
      <w:r w:rsidRPr="003A6355">
        <w:rPr>
          <w:rFonts w:ascii="Verdana" w:hAnsi="Verdana" w:cs="Arial"/>
          <w:b/>
          <w:bCs/>
          <w:sz w:val="20"/>
          <w:szCs w:val="20"/>
          <w:lang w:eastAsia="es-ES_tradnl"/>
          <w14:ligatures w14:val="standardContextual"/>
        </w:rPr>
        <w:t>.</w:t>
      </w:r>
      <w:bookmarkEnd w:id="12"/>
      <w:r w:rsidRPr="003A6355">
        <w:rPr>
          <w:rFonts w:ascii="Verdana" w:hAnsi="Verdana" w:cs="Arial"/>
          <w:sz w:val="20"/>
          <w:szCs w:val="20"/>
          <w:lang w:eastAsia="es-ES_tradnl"/>
          <w14:ligatures w14:val="standardContextual"/>
        </w:rPr>
        <w:t> &lt;Artículo corregido por el artículo </w:t>
      </w:r>
      <w:hyperlink r:id="rId17" w:anchor="1" w:history="1">
        <w:r w:rsidRPr="003A6355">
          <w:rPr>
            <w:rStyle w:val="Hipervnculo"/>
            <w:rFonts w:ascii="Verdana" w:hAnsi="Verdana" w:cs="Arial"/>
            <w:sz w:val="20"/>
            <w:szCs w:val="20"/>
            <w:lang w:eastAsia="es-ES_tradnl"/>
            <w14:ligatures w14:val="standardContextual"/>
          </w:rPr>
          <w:t>1</w:t>
        </w:r>
      </w:hyperlink>
      <w:r w:rsidRPr="003A6355">
        <w:rPr>
          <w:rFonts w:ascii="Verdana" w:hAnsi="Verdana" w:cs="Arial"/>
          <w:sz w:val="20"/>
          <w:szCs w:val="20"/>
          <w:lang w:eastAsia="es-ES_tradnl"/>
          <w14:ligatures w14:val="standardContextual"/>
        </w:rPr>
        <w:t> del Decreto 1494 de 2015. El nuevo texto es el siguiente:&gt; Las disposiciones de esta ley serán aplicables a las siguientes personas en calidad de sujetos obligados:</w:t>
      </w:r>
    </w:p>
    <w:p w14:paraId="08418679" w14:textId="77777777" w:rsidR="00A7153D" w:rsidRPr="003A6355" w:rsidRDefault="00A7153D" w:rsidP="00A7153D">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 xml:space="preserve">a) </w:t>
      </w:r>
      <w:r w:rsidRPr="003A6355">
        <w:rPr>
          <w:rFonts w:ascii="Verdana" w:eastAsia="Times New Roman" w:hAnsi="Verdana" w:cs="Arial"/>
          <w:i/>
          <w:sz w:val="20"/>
          <w:szCs w:val="20"/>
          <w:lang w:eastAsia="es-ES_tradnl"/>
          <w14:ligatures w14:val="standardContextual"/>
        </w:rPr>
        <w:t>Toda entidad pública, incluyendo las pertenecientes a todas las Ramas del Poder Público, en todos los niveles de la estructura estatal, central o descentralizada por servicios o territorialmente, en los órdenes nacional, departamental, municipal y distrital</w:t>
      </w:r>
      <w:r w:rsidRPr="003A6355">
        <w:rPr>
          <w:rFonts w:ascii="Verdana" w:eastAsia="Times New Roman" w:hAnsi="Verdana" w:cs="Arial"/>
          <w:sz w:val="20"/>
          <w:szCs w:val="20"/>
          <w:lang w:eastAsia="es-ES_tradnl"/>
          <w14:ligatures w14:val="standardContextual"/>
        </w:rPr>
        <w:t>.</w:t>
      </w:r>
    </w:p>
    <w:p w14:paraId="54D08AED" w14:textId="77777777" w:rsidR="00A7153D" w:rsidRPr="003A6355" w:rsidRDefault="00A7153D" w:rsidP="00A7153D">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b) Los órganos, organismos y entidades estatales independientes o autónomos y de control.</w:t>
      </w:r>
    </w:p>
    <w:p w14:paraId="5F6E7E10" w14:textId="77777777" w:rsidR="00A7153D" w:rsidRPr="003A6355" w:rsidRDefault="00A7153D" w:rsidP="00A7153D">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lastRenderedPageBreak/>
        <w:t>c) Las personas naturales y jurídicas, públicas o privadas, que presten función pública, que presten servicios públicos respecto de la información directamente relacionada con la prestación del servicio público.</w:t>
      </w:r>
    </w:p>
    <w:p w14:paraId="2CE70F18" w14:textId="77777777" w:rsidR="00A7153D" w:rsidRPr="003A6355" w:rsidRDefault="00A7153D" w:rsidP="00A7153D">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 xml:space="preserve">d) Cualquier persona natural, jurídica o dependencia de persona jurídica que desempeñe función pública o de </w:t>
      </w:r>
      <w:proofErr w:type="gramStart"/>
      <w:r w:rsidRPr="003A6355">
        <w:rPr>
          <w:rFonts w:ascii="Verdana" w:eastAsia="Times New Roman" w:hAnsi="Verdana" w:cs="Arial"/>
          <w:sz w:val="20"/>
          <w:szCs w:val="20"/>
          <w:lang w:eastAsia="es-ES_tradnl"/>
          <w14:ligatures w14:val="standardContextual"/>
        </w:rPr>
        <w:t>autoridad pública</w:t>
      </w:r>
      <w:proofErr w:type="gramEnd"/>
      <w:r w:rsidRPr="003A6355">
        <w:rPr>
          <w:rFonts w:ascii="Verdana" w:eastAsia="Times New Roman" w:hAnsi="Verdana" w:cs="Arial"/>
          <w:sz w:val="20"/>
          <w:szCs w:val="20"/>
          <w:lang w:eastAsia="es-ES_tradnl"/>
          <w14:ligatures w14:val="standardContextual"/>
        </w:rPr>
        <w:t>, respecto de la información directamente relacionada con el desempeño de su función.</w:t>
      </w:r>
    </w:p>
    <w:p w14:paraId="373AD90C" w14:textId="77777777" w:rsidR="00A7153D" w:rsidRPr="003A6355" w:rsidRDefault="00A7153D" w:rsidP="00A7153D">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e) Las empresas públicas creadas por ley, las empresas del Estado y sociedades en que este tenga participación.</w:t>
      </w:r>
    </w:p>
    <w:p w14:paraId="67A56637" w14:textId="77777777" w:rsidR="00A7153D" w:rsidRPr="003A6355" w:rsidRDefault="00A7153D" w:rsidP="00A7153D">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f) Los partidos o movimientos políticos y los grupos significativos de ciudadanos.</w:t>
      </w:r>
    </w:p>
    <w:p w14:paraId="4F4F4969" w14:textId="77777777" w:rsidR="00A7153D" w:rsidRPr="003A6355" w:rsidRDefault="00A7153D" w:rsidP="00A7153D">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g) Las entidades que administren instituciones parafiscales, fondos o recursos de naturaleza u origen público.</w:t>
      </w:r>
    </w:p>
    <w:p w14:paraId="2FC01D88" w14:textId="77777777" w:rsidR="00A7153D" w:rsidRPr="003A6355" w:rsidRDefault="00A7153D" w:rsidP="00A7153D">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sz w:val="20"/>
          <w:szCs w:val="20"/>
          <w:lang w:eastAsia="es-ES_tradnl"/>
          <w14:ligatures w14:val="standardContextual"/>
        </w:rPr>
        <w:t>Las personas naturales o jurídicas que reciban o intermedien fondos o beneficios públicos territoriales y nacionales y no cumplan ninguno de los otros requisitos para ser considerados sujetos obligados, solo deberán cumplir con la presente ley respecto de aquella información que se produzca en relación con fondos públicos que reciban o intermedien.</w:t>
      </w:r>
    </w:p>
    <w:p w14:paraId="7839C2D2" w14:textId="77777777" w:rsidR="00A7153D" w:rsidRPr="003A6355" w:rsidRDefault="00A7153D" w:rsidP="00A7153D">
      <w:pPr>
        <w:spacing w:after="0" w:line="240" w:lineRule="auto"/>
        <w:ind w:left="709" w:right="709"/>
        <w:jc w:val="both"/>
        <w:rPr>
          <w:rFonts w:ascii="Verdana" w:eastAsia="Times New Roman" w:hAnsi="Verdana" w:cs="Arial"/>
          <w:sz w:val="20"/>
          <w:szCs w:val="20"/>
          <w:lang w:eastAsia="es-ES_tradnl"/>
          <w14:ligatures w14:val="standardContextual"/>
        </w:rPr>
      </w:pPr>
      <w:r w:rsidRPr="003A6355">
        <w:rPr>
          <w:rFonts w:ascii="Verdana" w:eastAsia="Times New Roman" w:hAnsi="Verdana" w:cs="Arial"/>
          <w:bCs/>
          <w:sz w:val="20"/>
          <w:szCs w:val="20"/>
          <w:lang w:eastAsia="es-ES_tradnl"/>
          <w14:ligatures w14:val="standardContextual"/>
        </w:rPr>
        <w:t>PARÁGRAFO 1o</w:t>
      </w:r>
      <w:r w:rsidRPr="003A6355">
        <w:rPr>
          <w:rFonts w:ascii="Verdana" w:eastAsia="Times New Roman" w:hAnsi="Verdana" w:cs="Arial"/>
          <w:b/>
          <w:bCs/>
          <w:sz w:val="20"/>
          <w:szCs w:val="20"/>
          <w:lang w:eastAsia="es-ES_tradnl"/>
          <w14:ligatures w14:val="standardContextual"/>
        </w:rPr>
        <w:t>.</w:t>
      </w:r>
      <w:r w:rsidRPr="003A6355">
        <w:rPr>
          <w:rFonts w:ascii="Verdana" w:eastAsia="Times New Roman" w:hAnsi="Verdana" w:cs="Arial"/>
          <w:sz w:val="20"/>
          <w:szCs w:val="20"/>
          <w:lang w:eastAsia="es-ES_tradnl"/>
          <w14:ligatures w14:val="standardContextual"/>
        </w:rPr>
        <w:t> No serán sujetos obligados aquellas personas naturales o jurídicas de carácter privado que sean usuarios de información pública (énfasis fuera de texto).</w:t>
      </w:r>
    </w:p>
    <w:p w14:paraId="5AF3D904" w14:textId="77777777" w:rsidR="00A7153D" w:rsidRDefault="00A7153D" w:rsidP="00A7153D">
      <w:pPr>
        <w:spacing w:before="120" w:after="120" w:line="240" w:lineRule="auto"/>
        <w:ind w:firstLine="709"/>
        <w:jc w:val="both"/>
        <w:rPr>
          <w:rFonts w:ascii="Verdana" w:eastAsia="Times New Roman" w:hAnsi="Verdana" w:cs="Arial"/>
          <w:lang w:val="es-ES_tradnl" w:eastAsia="es-ES_tradnl"/>
          <w14:ligatures w14:val="standardContextual"/>
        </w:rPr>
      </w:pPr>
    </w:p>
    <w:p w14:paraId="57D9497D" w14:textId="77777777" w:rsidR="00A7153D" w:rsidRDefault="00A7153D" w:rsidP="00A7153D">
      <w:pPr>
        <w:spacing w:before="120" w:after="120" w:line="276" w:lineRule="auto"/>
        <w:ind w:firstLine="708"/>
        <w:jc w:val="both"/>
        <w:rPr>
          <w:rFonts w:ascii="Verdana" w:eastAsia="Times New Roman" w:hAnsi="Verdana" w:cs="Arial"/>
          <w:lang w:val="es-ES_tradnl" w:eastAsia="es-ES_tradnl"/>
          <w14:ligatures w14:val="standardContextual"/>
        </w:rPr>
      </w:pPr>
      <w:r>
        <w:rPr>
          <w:rFonts w:ascii="Verdana" w:eastAsia="Times New Roman" w:hAnsi="Verdana" w:cs="Arial"/>
          <w:lang w:val="es-ES_tradnl" w:eastAsia="es-ES_tradnl"/>
          <w14:ligatures w14:val="standardContextual"/>
        </w:rPr>
        <w:t xml:space="preserve">A partir de la lista de quienes son los sujetos obligados a publicar la información, puede inferirse que las entidades territoriales tienen la obligación de </w:t>
      </w:r>
      <w:r w:rsidRPr="002A3450">
        <w:rPr>
          <w:rFonts w:ascii="Verdana" w:eastAsia="Times New Roman" w:hAnsi="Verdana" w:cs="Arial"/>
          <w:lang w:val="es-ES_tradnl" w:eastAsia="es-ES_tradnl"/>
          <w14:ligatures w14:val="standardContextual"/>
        </w:rPr>
        <w:t>publicar la información relativa a su contratación</w:t>
      </w:r>
      <w:r>
        <w:rPr>
          <w:rFonts w:ascii="Verdana" w:eastAsia="Times New Roman" w:hAnsi="Verdana" w:cs="Arial"/>
          <w:lang w:val="es-ES_tradnl" w:eastAsia="es-ES_tradnl"/>
          <w14:ligatures w14:val="standardContextual"/>
        </w:rPr>
        <w:t xml:space="preserve">, así como las entidades descentralizadas por servicios. Esta obligación del deber de publicar fue </w:t>
      </w:r>
      <w:r w:rsidRPr="002A3450">
        <w:rPr>
          <w:rFonts w:ascii="Verdana" w:eastAsia="Times New Roman" w:hAnsi="Verdana" w:cs="Arial"/>
          <w:lang w:val="es-ES_tradnl" w:eastAsia="es-ES_tradnl"/>
          <w14:ligatures w14:val="standardContextual"/>
        </w:rPr>
        <w:t>desarrollada por el Decreto Único Reglamentario 1081 de 2015</w:t>
      </w:r>
      <w:r w:rsidRPr="002A3450">
        <w:rPr>
          <w:rFonts w:ascii="Verdana" w:eastAsia="Times New Roman" w:hAnsi="Verdana" w:cs="Arial"/>
          <w:vertAlign w:val="superscript"/>
          <w:lang w:val="es-ES_tradnl" w:eastAsia="es-ES_tradnl"/>
          <w14:ligatures w14:val="standardContextual"/>
        </w:rPr>
        <w:footnoteReference w:id="34"/>
      </w:r>
      <w:r w:rsidRPr="002A3450">
        <w:rPr>
          <w:rFonts w:ascii="Verdana" w:eastAsia="Times New Roman" w:hAnsi="Verdana" w:cs="Arial"/>
          <w:lang w:val="es-ES_tradnl" w:eastAsia="es-ES_tradnl"/>
          <w14:ligatures w14:val="standardContextual"/>
        </w:rPr>
        <w:t>, el cual dispuso que la publicación de la información contractual de los sujetos obligados, que contratan con cargo a recursos públicos, debe hacerse en el SECOP.</w:t>
      </w:r>
      <w:r>
        <w:rPr>
          <w:rFonts w:ascii="Verdana" w:eastAsia="Times New Roman" w:hAnsi="Verdana" w:cs="Arial"/>
          <w:lang w:val="es-ES_tradnl" w:eastAsia="es-ES_tradnl"/>
          <w14:ligatures w14:val="standardContextual"/>
        </w:rPr>
        <w:t xml:space="preserve"> </w:t>
      </w:r>
      <w:r w:rsidRPr="00E806EA">
        <w:rPr>
          <w:rFonts w:ascii="Verdana" w:eastAsia="Times New Roman" w:hAnsi="Verdana" w:cs="Arial"/>
          <w:lang w:val="es-ES_tradnl" w:eastAsia="es-ES_tradnl"/>
          <w14:ligatures w14:val="standardContextual"/>
        </w:rPr>
        <w:t xml:space="preserve">Asimismo, de acuerdo con el literal g) del artículo 11 de </w:t>
      </w:r>
      <w:r>
        <w:rPr>
          <w:rFonts w:ascii="Verdana" w:eastAsia="Times New Roman" w:hAnsi="Verdana" w:cs="Arial"/>
          <w:lang w:val="es-ES_tradnl" w:eastAsia="es-ES_tradnl"/>
          <w14:ligatures w14:val="standardContextual"/>
        </w:rPr>
        <w:t>la L</w:t>
      </w:r>
      <w:r w:rsidRPr="00E806EA">
        <w:rPr>
          <w:rFonts w:ascii="Verdana" w:eastAsia="Times New Roman" w:hAnsi="Verdana" w:cs="Arial"/>
          <w:lang w:val="es-ES_tradnl" w:eastAsia="es-ES_tradnl"/>
          <w14:ligatures w14:val="standardContextual"/>
        </w:rPr>
        <w:t>ey</w:t>
      </w:r>
      <w:r>
        <w:rPr>
          <w:rFonts w:ascii="Verdana" w:eastAsia="Times New Roman" w:hAnsi="Verdana" w:cs="Arial"/>
          <w:lang w:val="es-ES_tradnl" w:eastAsia="es-ES_tradnl"/>
          <w14:ligatures w14:val="standardContextual"/>
        </w:rPr>
        <w:t xml:space="preserve"> 1712 de 2014</w:t>
      </w:r>
      <w:r w:rsidRPr="00E806EA">
        <w:rPr>
          <w:rFonts w:ascii="Verdana" w:eastAsia="Times New Roman" w:hAnsi="Verdana" w:cs="Arial"/>
          <w:lang w:val="es-ES_tradnl" w:eastAsia="es-ES_tradnl"/>
          <w14:ligatures w14:val="standardContextual"/>
        </w:rPr>
        <w:t xml:space="preserve">, todos los destinatarios de la </w:t>
      </w:r>
      <w:r>
        <w:rPr>
          <w:rFonts w:ascii="Verdana" w:eastAsia="Times New Roman" w:hAnsi="Verdana" w:cs="Arial"/>
          <w:lang w:val="es-ES_tradnl" w:eastAsia="es-ES_tradnl"/>
          <w14:ligatures w14:val="standardContextual"/>
        </w:rPr>
        <w:t xml:space="preserve">Ley Estatutaria de Transparencia y Acceso a la Información Pública </w:t>
      </w:r>
      <w:r w:rsidRPr="00E806EA">
        <w:rPr>
          <w:rFonts w:ascii="Verdana" w:eastAsia="Times New Roman" w:hAnsi="Verdana" w:cs="Arial"/>
          <w:lang w:val="es-ES_tradnl" w:eastAsia="es-ES_tradnl"/>
          <w14:ligatures w14:val="standardContextual"/>
        </w:rPr>
        <w:t xml:space="preserve">deben garantizar la publicidad de “sus procedimientos, lineamientos, políticas en materia de adquisiciones y compras, así como todos los datos de </w:t>
      </w:r>
      <w:r w:rsidRPr="00E806EA">
        <w:rPr>
          <w:rFonts w:ascii="Verdana" w:eastAsia="Times New Roman" w:hAnsi="Verdana" w:cs="Arial"/>
          <w:lang w:val="es-ES_tradnl" w:eastAsia="es-ES_tradnl"/>
          <w14:ligatures w14:val="standardContextual"/>
        </w:rPr>
        <w:lastRenderedPageBreak/>
        <w:t xml:space="preserve">adjudicación y ejecución de contratos, incluidos concursos y licitaciones”, y esta información también debe estar en el SECOP. </w:t>
      </w:r>
    </w:p>
    <w:p w14:paraId="45E534D9" w14:textId="77777777" w:rsidR="00A7153D" w:rsidRDefault="00A7153D" w:rsidP="00A7153D">
      <w:pPr>
        <w:spacing w:before="120" w:after="120" w:line="276" w:lineRule="auto"/>
        <w:ind w:firstLine="709"/>
        <w:jc w:val="both"/>
        <w:rPr>
          <w:rFonts w:ascii="Verdana" w:eastAsia="Times New Roman" w:hAnsi="Verdana" w:cs="Arial"/>
          <w:lang w:val="es-ES_tradnl" w:eastAsia="es-ES_tradnl"/>
          <w14:ligatures w14:val="standardContextual"/>
        </w:rPr>
      </w:pPr>
      <w:r w:rsidRPr="00E806EA">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B300BE">
        <w:rPr>
          <w:rFonts w:ascii="Verdana" w:eastAsia="Times New Roman" w:hAnsi="Verdana" w:cs="Arial"/>
          <w:vertAlign w:val="superscript"/>
          <w:lang w:val="es-ES_tradnl" w:eastAsia="es-ES_tradnl"/>
          <w14:ligatures w14:val="standardContextual"/>
        </w:rPr>
        <w:footnoteReference w:id="35"/>
      </w:r>
      <w:r w:rsidRPr="00E806EA">
        <w:rPr>
          <w:rFonts w:ascii="Verdana" w:eastAsia="Times New Roman" w:hAnsi="Verdana" w:cs="Arial"/>
          <w:lang w:val="es-ES_tradnl" w:eastAsia="es-ES_tradnl"/>
          <w14:ligatures w14:val="standardContextual"/>
        </w:rPr>
        <w:t>.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05294D04" w14:textId="77777777" w:rsidR="00A7153D" w:rsidRDefault="00A7153D" w:rsidP="00A7153D">
      <w:pPr>
        <w:tabs>
          <w:tab w:val="left" w:pos="709"/>
        </w:tabs>
        <w:spacing w:before="120" w:after="0" w:line="276" w:lineRule="auto"/>
        <w:ind w:firstLine="709"/>
        <w:jc w:val="both"/>
        <w:rPr>
          <w:rFonts w:ascii="Verdana" w:hAnsi="Verdana" w:cs="Arial"/>
          <w:shd w:val="clear" w:color="auto" w:fill="FFFFFF"/>
        </w:rPr>
      </w:pPr>
      <w:r w:rsidRPr="00052904">
        <w:rPr>
          <w:rFonts w:ascii="Verdana" w:hAnsi="Verdana" w:cs="Arial"/>
          <w:shd w:val="clear" w:color="auto" w:fill="FFFFFF"/>
        </w:rPr>
        <w:t xml:space="preserve">La expresión </w:t>
      </w:r>
      <w:r w:rsidRPr="00052904">
        <w:rPr>
          <w:rFonts w:ascii="Verdana" w:hAnsi="Verdana" w:cs="Arial"/>
          <w:i/>
          <w:iCs/>
          <w:shd w:val="clear" w:color="auto" w:fill="FFFFFF"/>
        </w:rPr>
        <w:t xml:space="preserve">Documentos del Proceso </w:t>
      </w:r>
      <w:r w:rsidRPr="00052904">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052904">
        <w:rPr>
          <w:rFonts w:ascii="Verdana" w:hAnsi="Verdana" w:cs="Arial"/>
          <w:i/>
          <w:iCs/>
          <w:shd w:val="clear" w:color="auto" w:fill="FFFFFF"/>
        </w:rPr>
        <w:t>y cualquier otro documento expedido por la Entidad Estatal durante el Proceso de Contratación</w:t>
      </w:r>
      <w:r w:rsidRPr="00052904">
        <w:rPr>
          <w:rFonts w:ascii="Verdana" w:hAnsi="Verdana" w:cs="Arial"/>
          <w:shd w:val="clear" w:color="auto" w:fill="FFFFFF"/>
        </w:rPr>
        <w:t>”. [Énfasis fuera de texto]</w:t>
      </w:r>
      <w:r>
        <w:rPr>
          <w:rFonts w:ascii="Verdana" w:hAnsi="Verdana" w:cs="Arial"/>
          <w:shd w:val="clear" w:color="auto" w:fill="FFFFFF"/>
        </w:rPr>
        <w:t xml:space="preserve"> </w:t>
      </w:r>
      <w:r w:rsidRPr="00EF0BDA">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EF0BDA">
        <w:rPr>
          <w:rFonts w:ascii="Verdana" w:hAnsi="Verdana" w:cs="Arial"/>
          <w:i/>
          <w:iCs/>
          <w:shd w:val="clear" w:color="auto" w:fill="FFFFFF"/>
        </w:rPr>
        <w:t>Ibidem</w:t>
      </w:r>
      <w:r w:rsidRPr="00EF0BDA">
        <w:rPr>
          <w:rFonts w:ascii="Verdana" w:hAnsi="Verdana" w:cs="Arial"/>
          <w:shd w:val="clear" w:color="auto" w:fill="FFFFFF"/>
        </w:rPr>
        <w:t xml:space="preserve"> recoge en la noción de Documentos del Proceso “cualquier otro documento expedido por la Entidad Estatal durante el Proceso de Contratación”. </w:t>
      </w:r>
    </w:p>
    <w:p w14:paraId="1C7C4050" w14:textId="77777777" w:rsidR="00A7153D" w:rsidRDefault="00A7153D" w:rsidP="00A7153D">
      <w:pPr>
        <w:tabs>
          <w:tab w:val="left" w:pos="709"/>
        </w:tabs>
        <w:spacing w:before="120" w:after="0" w:line="276" w:lineRule="auto"/>
        <w:ind w:firstLine="709"/>
        <w:jc w:val="both"/>
        <w:rPr>
          <w:rFonts w:ascii="Verdana" w:hAnsi="Verdana" w:cs="Arial"/>
          <w:shd w:val="clear" w:color="auto" w:fill="FFFFFF"/>
        </w:rPr>
      </w:pPr>
      <w:r w:rsidRPr="00EF0BDA">
        <w:rPr>
          <w:rFonts w:ascii="Verdana" w:hAnsi="Verdana" w:cs="Arial"/>
          <w:shd w:val="clear" w:color="auto" w:fill="FFFFFF"/>
        </w:rPr>
        <w:t xml:space="preserve">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w:t>
      </w:r>
      <w:r>
        <w:rPr>
          <w:rFonts w:ascii="Verdana" w:hAnsi="Verdana" w:cs="Arial"/>
          <w:shd w:val="clear" w:color="auto" w:fill="FFFFFF"/>
        </w:rPr>
        <w:t xml:space="preserve">se refiere </w:t>
      </w:r>
      <w:r w:rsidRPr="00EF0BDA">
        <w:rPr>
          <w:rFonts w:ascii="Verdana" w:hAnsi="Verdana" w:cs="Arial"/>
          <w:shd w:val="clear" w:color="auto" w:fill="FFFFFF"/>
        </w:rPr>
        <w:t>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65BBF6D5" w14:textId="77777777" w:rsidR="00A7153D" w:rsidRDefault="00A7153D" w:rsidP="00A7153D">
      <w:pPr>
        <w:tabs>
          <w:tab w:val="left" w:pos="709"/>
        </w:tabs>
        <w:spacing w:before="120" w:after="120" w:line="276" w:lineRule="auto"/>
        <w:ind w:firstLine="709"/>
        <w:jc w:val="both"/>
        <w:rPr>
          <w:rFonts w:ascii="Verdana" w:hAnsi="Verdana" w:cs="Arial"/>
          <w:shd w:val="clear" w:color="auto" w:fill="FFFFFF"/>
        </w:rPr>
      </w:pPr>
      <w:r w:rsidRPr="00F14C13">
        <w:rPr>
          <w:rFonts w:ascii="Verdana" w:hAnsi="Verdana" w:cs="Arial"/>
          <w:shd w:val="clear" w:color="auto" w:fill="FFFFFF"/>
        </w:rPr>
        <w:lastRenderedPageBreak/>
        <w:t>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w:t>
      </w:r>
      <w:r>
        <w:rPr>
          <w:rFonts w:ascii="Verdana" w:hAnsi="Verdana" w:cs="Arial"/>
          <w:shd w:val="clear" w:color="auto" w:fill="FFFFFF"/>
        </w:rPr>
        <w:t xml:space="preserve"> </w:t>
      </w:r>
      <w:r w:rsidRPr="00F14C13">
        <w:rPr>
          <w:rFonts w:ascii="Verdana" w:hAnsi="Verdana" w:cs="Arial"/>
          <w:shd w:val="clear" w:color="auto" w:fill="FFFFFF"/>
        </w:rPr>
        <w:t>de ejecu</w:t>
      </w:r>
      <w:r>
        <w:rPr>
          <w:rFonts w:ascii="Verdana" w:hAnsi="Verdana" w:cs="Arial"/>
          <w:shd w:val="clear" w:color="auto" w:fill="FFFFFF"/>
        </w:rPr>
        <w:t xml:space="preserve">ción y </w:t>
      </w:r>
      <w:proofErr w:type="spellStart"/>
      <w:r>
        <w:rPr>
          <w:rFonts w:ascii="Verdana" w:hAnsi="Verdana" w:cs="Arial"/>
          <w:shd w:val="clear" w:color="auto" w:fill="FFFFFF"/>
        </w:rPr>
        <w:t>postcontractual</w:t>
      </w:r>
      <w:proofErr w:type="spellEnd"/>
      <w:r>
        <w:rPr>
          <w:rFonts w:ascii="Verdana" w:hAnsi="Verdana" w:cs="Arial"/>
          <w:shd w:val="clear" w:color="auto" w:fill="FFFFFF"/>
        </w:rPr>
        <w:t xml:space="preserve"> deberán publicarse</w:t>
      </w:r>
      <w:r w:rsidRPr="00F14C13">
        <w:rPr>
          <w:rFonts w:ascii="Verdana" w:hAnsi="Verdana" w:cs="Arial"/>
          <w:shd w:val="clear" w:color="auto" w:fill="FFFFFF"/>
        </w:rPr>
        <w:t xml:space="preserve"> en SECOP dentro de los tres (3) días siguientes a su expedición, para cumplir el deber de publicidad regulado por el artículo 2.2.1.1.1.7.1. del Decreto 1082 de 2015.</w:t>
      </w:r>
    </w:p>
    <w:p w14:paraId="76F924F0" w14:textId="77777777" w:rsidR="00A7153D" w:rsidRPr="007D65AA" w:rsidRDefault="00A7153D" w:rsidP="00A7153D">
      <w:pPr>
        <w:tabs>
          <w:tab w:val="left" w:pos="709"/>
        </w:tabs>
        <w:spacing w:before="120" w:after="120" w:line="276" w:lineRule="auto"/>
        <w:ind w:firstLine="709"/>
        <w:jc w:val="both"/>
        <w:rPr>
          <w:rFonts w:ascii="Verdana" w:hAnsi="Verdana" w:cs="Arial"/>
          <w:shd w:val="clear" w:color="auto" w:fill="FFFFFF"/>
        </w:rPr>
      </w:pPr>
      <w:r w:rsidRPr="007D65AA">
        <w:rPr>
          <w:rFonts w:ascii="Verdana" w:hAnsi="Verdana" w:cs="Arial"/>
          <w:shd w:val="clear" w:color="auto" w:fill="FFFFFF"/>
        </w:rPr>
        <w:t>Con el propósito de garantizar el cumplimiento del mencionado deber de publicidad, se le asignó a la Agencia Nacional de Contratación Pública - Colombia Compra Eficiente, la función de administrar el SECOP</w:t>
      </w:r>
      <w:r w:rsidRPr="007D65AA">
        <w:rPr>
          <w:rFonts w:ascii="Verdana" w:hAnsi="Verdana" w:cs="Arial"/>
          <w:shd w:val="clear" w:color="auto" w:fill="FFFFFF"/>
          <w:vertAlign w:val="superscript"/>
        </w:rPr>
        <w:footnoteReference w:id="36"/>
      </w:r>
      <w:r w:rsidRPr="007D65AA">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4F0B0A0A" w14:textId="77777777" w:rsidR="00A7153D" w:rsidRPr="007D65AA" w:rsidRDefault="00A7153D" w:rsidP="00A7153D">
      <w:pPr>
        <w:tabs>
          <w:tab w:val="left" w:pos="709"/>
        </w:tabs>
        <w:spacing w:before="120" w:after="120" w:line="276" w:lineRule="auto"/>
        <w:ind w:firstLine="709"/>
        <w:jc w:val="both"/>
        <w:rPr>
          <w:rFonts w:ascii="Verdana" w:hAnsi="Verdana" w:cs="Arial"/>
          <w:shd w:val="clear" w:color="auto" w:fill="FFFFFF"/>
        </w:rPr>
      </w:pPr>
      <w:r w:rsidRPr="007D65AA">
        <w:rPr>
          <w:rFonts w:ascii="Verdana" w:hAnsi="Verdana" w:cs="Arial"/>
          <w:shd w:val="clear" w:color="auto" w:fill="FFFFFF"/>
        </w:rPr>
        <w:t>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758D0F66" w14:textId="77777777" w:rsidR="00A7153D" w:rsidRDefault="00A7153D" w:rsidP="00A7153D">
      <w:pPr>
        <w:spacing w:after="120" w:line="276" w:lineRule="auto"/>
        <w:ind w:firstLine="709"/>
        <w:jc w:val="both"/>
        <w:rPr>
          <w:rFonts w:ascii="Verdana" w:eastAsia="Calibri" w:hAnsi="Verdana" w:cs="Arial"/>
          <w:lang w:val="es-ES"/>
        </w:rPr>
      </w:pPr>
      <w:r w:rsidRPr="19E8E9D4">
        <w:rPr>
          <w:rFonts w:ascii="Verdana" w:eastAsia="Calibri" w:hAnsi="Verdana" w:cs="Arial"/>
          <w:lang w:val="es-ES"/>
        </w:rPr>
        <w:t xml:space="preserve">Sin embargo, pese a que los documentos que deben publicarse en el SECOP II corresponden a los mismos que deben publicarse en el SECOP I, esto es, todos los expedidos con ocasión el proceso de contratación con excepción de los expresamente excluidos, la naturaleza transaccional del SECOP II implica que los procesos contractuales no sólo deban ser publicados mediante esta </w:t>
      </w:r>
      <w:r w:rsidRPr="19E8E9D4">
        <w:rPr>
          <w:rFonts w:ascii="Verdana" w:eastAsia="Calibri" w:hAnsi="Verdana" w:cs="Arial"/>
          <w:lang w:val="es-ES"/>
        </w:rPr>
        <w:lastRenderedPageBreak/>
        <w:t xml:space="preserve">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3F94C03B" w14:textId="77777777" w:rsidR="00A7153D" w:rsidRDefault="00A7153D" w:rsidP="00A7153D">
      <w:pPr>
        <w:tabs>
          <w:tab w:val="left" w:pos="709"/>
        </w:tabs>
        <w:spacing w:before="120" w:after="120" w:line="276" w:lineRule="auto"/>
        <w:ind w:firstLine="709"/>
        <w:jc w:val="both"/>
        <w:rPr>
          <w:rFonts w:ascii="Verdana" w:eastAsia="Calibri" w:hAnsi="Verdana" w:cs="Arial"/>
          <w:color w:val="000000"/>
        </w:rPr>
      </w:pPr>
      <w:r w:rsidRPr="00AD6B46">
        <w:rPr>
          <w:rFonts w:ascii="Verdana" w:hAnsi="Verdana" w:cs="Arial"/>
          <w:shd w:val="clear" w:color="auto" w:fill="FFFFFF"/>
        </w:rPr>
        <w:t xml:space="preserve">Conforme a lo anterior, es clara la obligatoriedad de publicar la información de la actividad contractual que se realiza con cargo a recursos públicos en el SECOP, incluidas aquellas con regímenes contractuales especiales. En tal sentido, </w:t>
      </w:r>
      <w:r w:rsidRPr="00AD6B46">
        <w:rPr>
          <w:rFonts w:ascii="Verdana" w:eastAsia="Calibri" w:hAnsi="Verdana" w:cs="Arial"/>
          <w:color w:val="000000"/>
        </w:rPr>
        <w:t xml:space="preserve">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w:t>
      </w:r>
      <w:proofErr w:type="spellStart"/>
      <w:r w:rsidRPr="00AD6B46">
        <w:rPr>
          <w:rFonts w:ascii="Verdana" w:eastAsia="Calibri" w:hAnsi="Verdana" w:cs="Arial"/>
          <w:color w:val="000000"/>
        </w:rPr>
        <w:t>post-contractual</w:t>
      </w:r>
      <w:proofErr w:type="spellEnd"/>
      <w:r w:rsidRPr="00AD6B46">
        <w:rPr>
          <w:rFonts w:ascii="Verdana" w:eastAsia="Calibri" w:hAnsi="Verdana" w:cs="Arial"/>
          <w:color w:val="000000"/>
        </w:rPr>
        <w:t>”.</w:t>
      </w:r>
    </w:p>
    <w:p w14:paraId="489F5ACB" w14:textId="77777777" w:rsidR="00A7153D" w:rsidRDefault="00A7153D" w:rsidP="00A7153D">
      <w:pPr>
        <w:tabs>
          <w:tab w:val="left" w:pos="709"/>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 xml:space="preserve">Así las cosas, existe un deber consagrado en la Ley 1712 de 2014, así como en demás leyes y reglamentos de publicar los contratos y convenios que suscriben las entidades territoriales con las empresas de servicios públicos domiciliarios para la transferencia de recursos en el marco de subsidios a las personas con menores ingresos. En este sentido, </w:t>
      </w:r>
      <w:r w:rsidRPr="00E74FDD">
        <w:rPr>
          <w:rFonts w:ascii="Verdana" w:eastAsia="Calibri" w:hAnsi="Verdana" w:cs="Arial"/>
          <w:color w:val="000000"/>
        </w:rPr>
        <w:t xml:space="preserve">La obligación de publicidad abarca no solo el contrato en sí, sino también todos los documentos y actos que integran la actividad contractual, incluyendo las </w:t>
      </w:r>
      <w:proofErr w:type="gramStart"/>
      <w:r w:rsidRPr="00E74FDD">
        <w:rPr>
          <w:rFonts w:ascii="Verdana" w:eastAsia="Calibri" w:hAnsi="Verdana" w:cs="Arial"/>
          <w:color w:val="000000"/>
        </w:rPr>
        <w:t>fases precontractual</w:t>
      </w:r>
      <w:proofErr w:type="gramEnd"/>
      <w:r w:rsidRPr="00E74FDD">
        <w:rPr>
          <w:rFonts w:ascii="Verdana" w:eastAsia="Calibri" w:hAnsi="Verdana" w:cs="Arial"/>
          <w:color w:val="000000"/>
        </w:rPr>
        <w:t xml:space="preserve">, contractual y </w:t>
      </w:r>
      <w:proofErr w:type="spellStart"/>
      <w:r w:rsidRPr="00E74FDD">
        <w:rPr>
          <w:rFonts w:ascii="Verdana" w:eastAsia="Calibri" w:hAnsi="Verdana" w:cs="Arial"/>
          <w:color w:val="000000"/>
        </w:rPr>
        <w:t>postcontractual</w:t>
      </w:r>
      <w:proofErr w:type="spellEnd"/>
      <w:r w:rsidRPr="00E74FDD">
        <w:rPr>
          <w:rFonts w:ascii="Verdana" w:eastAsia="Calibri" w:hAnsi="Verdana" w:cs="Arial"/>
          <w:color w:val="000000"/>
        </w:rPr>
        <w:t>, de modo que el proceso completo sea transparente, verificable y accesible para el control ciudadano y administrativo.</w:t>
      </w:r>
      <w:r>
        <w:rPr>
          <w:rFonts w:ascii="Verdana" w:eastAsia="Calibri" w:hAnsi="Verdana" w:cs="Arial"/>
          <w:color w:val="000000"/>
        </w:rPr>
        <w:t xml:space="preserve"> </w:t>
      </w:r>
    </w:p>
    <w:p w14:paraId="246B02E7" w14:textId="77777777" w:rsidR="00A7153D" w:rsidRPr="00AD6B46" w:rsidRDefault="00A7153D" w:rsidP="00A7153D">
      <w:pPr>
        <w:tabs>
          <w:tab w:val="left" w:pos="709"/>
        </w:tabs>
        <w:spacing w:after="0" w:line="276" w:lineRule="auto"/>
        <w:ind w:firstLine="709"/>
        <w:jc w:val="both"/>
        <w:rPr>
          <w:rFonts w:ascii="Verdana" w:eastAsia="Calibri" w:hAnsi="Verdana" w:cs="Arial"/>
          <w:color w:val="000000"/>
        </w:rPr>
      </w:pPr>
    </w:p>
    <w:bookmarkEnd w:id="1"/>
    <w:p w14:paraId="385B13A3" w14:textId="77777777" w:rsidR="00A7153D" w:rsidRPr="00B16AC6" w:rsidRDefault="00A7153D" w:rsidP="00A7153D">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vi.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 xml:space="preserve">oblemas específicos </w:t>
      </w:r>
      <w:r w:rsidRPr="00B17041">
        <w:rPr>
          <w:rFonts w:ascii="Verdana" w:hAnsi="Verdana" w:cs="Arial"/>
          <w:lang w:val="es-ES_tradnl" w:eastAsia="es-ES"/>
        </w:rPr>
        <w:t xml:space="preserve">debe ser realizado por quienes </w:t>
      </w:r>
      <w:r w:rsidRPr="00B17041">
        <w:rPr>
          <w:rFonts w:ascii="Verdana" w:hAnsi="Verdana" w:cs="Arial"/>
          <w:lang w:val="es-ES_tradnl" w:eastAsia="es-ES"/>
        </w:rPr>
        <w:lastRenderedPageBreak/>
        <w:t>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90D2524" w14:textId="77777777" w:rsidR="00A7153D" w:rsidRPr="00B17041" w:rsidRDefault="00A7153D" w:rsidP="00A7153D">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pública y la empresa de servicios públicos</w:t>
      </w:r>
      <w:r>
        <w:rPr>
          <w:rFonts w:ascii="Verdana" w:hAnsi="Verdana" w:cs="Arial"/>
          <w:lang w:val="es-ES" w:eastAsia="es-ES"/>
        </w:rPr>
        <w:t xml:space="preserve"> definirán</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8569026" w14:textId="77777777" w:rsidR="00A7153D" w:rsidRPr="00CD0DCD" w:rsidRDefault="00A7153D" w:rsidP="00A7153D">
      <w:pPr>
        <w:spacing w:after="0" w:line="276" w:lineRule="auto"/>
        <w:jc w:val="both"/>
        <w:rPr>
          <w:rFonts w:ascii="Verdana" w:eastAsia="Calibri" w:hAnsi="Verdana" w:cs="Arial"/>
          <w:lang w:val="es-ES" w:eastAsia="es-MX"/>
        </w:rPr>
      </w:pPr>
    </w:p>
    <w:p w14:paraId="1BE4D2E1" w14:textId="77777777" w:rsidR="00A7153D" w:rsidRPr="00B57A1B" w:rsidRDefault="00A7153D" w:rsidP="00A7153D">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Referencias normativas</w:t>
      </w:r>
      <w:r>
        <w:rPr>
          <w:rFonts w:ascii="Verdana" w:eastAsia="Century Gothic" w:hAnsi="Verdana" w:cs="Century Gothic"/>
          <w:b/>
          <w:bCs/>
          <w:lang w:val="es-ES"/>
        </w:rPr>
        <w:t>:</w:t>
      </w:r>
    </w:p>
    <w:p w14:paraId="347AC9BF" w14:textId="77777777" w:rsidR="00A7153D" w:rsidRPr="00B57A1B" w:rsidRDefault="00A7153D" w:rsidP="00A7153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7153D" w:rsidRPr="00B57A1B" w14:paraId="3E7BA6D5" w14:textId="77777777" w:rsidTr="00BE429B">
        <w:trPr>
          <w:trHeight w:val="487"/>
          <w:jc w:val="center"/>
        </w:trPr>
        <w:tc>
          <w:tcPr>
            <w:tcW w:w="8647" w:type="dxa"/>
          </w:tcPr>
          <w:p w14:paraId="659A6D37"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Constitución Política, artículos 365 y 368. </w:t>
            </w:r>
          </w:p>
          <w:p w14:paraId="705CC619"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Ley 80 de 1993, </w:t>
            </w:r>
            <w:r>
              <w:rPr>
                <w:rFonts w:ascii="Verdana" w:eastAsia="Arial MT" w:hAnsi="Verdana" w:cs="Arial"/>
                <w:lang w:val="es-ES" w:eastAsia="es-ES" w:bidi="es-ES"/>
              </w:rPr>
              <w:t xml:space="preserve">artículo 32, 39, 40 y 41. </w:t>
            </w:r>
          </w:p>
          <w:p w14:paraId="3228953C"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142 de 1994, artículos 3, 14, 17. 31, 32, 39, 99.  </w:t>
            </w:r>
          </w:p>
          <w:p w14:paraId="59F1E4DB"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489 de 1998, artículos 38 y 68. </w:t>
            </w:r>
          </w:p>
          <w:p w14:paraId="2FE57908"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996 de 2005, artículos 33 y 38. </w:t>
            </w:r>
          </w:p>
          <w:p w14:paraId="1160E8B9"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1150 de 2007, artículo 2, 3 y 13.  </w:t>
            </w:r>
          </w:p>
          <w:p w14:paraId="4DCCB941"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1176 de 2007, artículo 11. </w:t>
            </w:r>
          </w:p>
          <w:p w14:paraId="41EBC75B"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1712 de 2014, artículos 2, 5 y 11. </w:t>
            </w:r>
          </w:p>
          <w:p w14:paraId="0D4BD89C" w14:textId="77777777" w:rsidR="00A7153D"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2195 de 2022, artículo 53. </w:t>
            </w:r>
          </w:p>
          <w:p w14:paraId="31C19763" w14:textId="77777777" w:rsidR="00A7153D" w:rsidRPr="000F740F"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Decreto 1077 de 2015, artículos </w:t>
            </w:r>
            <w:r w:rsidRPr="00EF2AE2">
              <w:rPr>
                <w:rFonts w:ascii="Verdana" w:eastAsia="Arial MT" w:hAnsi="Verdana" w:cs="Arial"/>
                <w:bCs/>
                <w:lang w:eastAsia="es-ES" w:bidi="es-ES"/>
              </w:rPr>
              <w:t>2.3.5.1.2.2.14</w:t>
            </w:r>
            <w:r>
              <w:rPr>
                <w:rFonts w:ascii="Verdana" w:eastAsia="Arial MT" w:hAnsi="Verdana" w:cs="Arial"/>
                <w:bCs/>
                <w:lang w:eastAsia="es-ES" w:bidi="es-ES"/>
              </w:rPr>
              <w:t xml:space="preserve"> y </w:t>
            </w:r>
            <w:r w:rsidRPr="00EF2AE2">
              <w:rPr>
                <w:rFonts w:ascii="Verdana" w:eastAsia="Arial MT" w:hAnsi="Verdana" w:cs="Arial"/>
                <w:bCs/>
                <w:lang w:eastAsia="es-ES" w:bidi="es-ES"/>
              </w:rPr>
              <w:t>2.3.4.1.2.11</w:t>
            </w:r>
            <w:r>
              <w:rPr>
                <w:rFonts w:ascii="Verdana" w:eastAsia="Arial MT" w:hAnsi="Verdana" w:cs="Arial"/>
                <w:bCs/>
                <w:lang w:eastAsia="es-ES" w:bidi="es-ES"/>
              </w:rPr>
              <w:t xml:space="preserve">. </w:t>
            </w:r>
          </w:p>
          <w:p w14:paraId="6AD98C13" w14:textId="77777777" w:rsidR="00A7153D" w:rsidRPr="007B7B6A" w:rsidRDefault="00A7153D" w:rsidP="00BE429B">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bCs/>
                <w:lang w:eastAsia="es-ES" w:bidi="es-ES"/>
              </w:rPr>
              <w:t xml:space="preserve">Decreto 1081 de 2015, artículo </w:t>
            </w:r>
            <w:r w:rsidRPr="000F740F">
              <w:rPr>
                <w:rFonts w:ascii="Verdana" w:eastAsia="Arial MT" w:hAnsi="Verdana" w:cs="Arial"/>
                <w:bCs/>
                <w:lang w:eastAsia="es-ES" w:bidi="es-ES"/>
              </w:rPr>
              <w:t>2.1.1.2.1.7.</w:t>
            </w:r>
          </w:p>
          <w:p w14:paraId="36DFB04F" w14:textId="77777777" w:rsidR="00A7153D" w:rsidRPr="00B57A1B" w:rsidRDefault="00A7153D" w:rsidP="00BE429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lastRenderedPageBreak/>
              <w:t xml:space="preserve">Decreto 1082 de 2015, artículos </w:t>
            </w:r>
            <w:r w:rsidRPr="009F575B">
              <w:rPr>
                <w:rFonts w:ascii="Verdana" w:eastAsia="Arial MT" w:hAnsi="Verdana" w:cs="Arial"/>
                <w:lang w:eastAsia="es-ES" w:bidi="es-ES"/>
              </w:rPr>
              <w:t>2.2.1.1.1.7.1</w:t>
            </w:r>
            <w:r>
              <w:rPr>
                <w:rFonts w:ascii="Verdana" w:eastAsia="Arial MT" w:hAnsi="Verdana" w:cs="Arial"/>
                <w:lang w:eastAsia="es-ES" w:bidi="es-ES"/>
              </w:rPr>
              <w:t xml:space="preserve">, </w:t>
            </w:r>
            <w:r w:rsidRPr="00EF0BDA">
              <w:rPr>
                <w:rFonts w:ascii="Verdana" w:hAnsi="Verdana" w:cs="Arial"/>
                <w:shd w:val="clear" w:color="auto" w:fill="FFFFFF"/>
              </w:rPr>
              <w:t>2.2.1.1.1.3.1</w:t>
            </w:r>
            <w:r>
              <w:rPr>
                <w:rFonts w:ascii="Verdana" w:hAnsi="Verdana" w:cs="Arial"/>
                <w:shd w:val="clear" w:color="auto" w:fill="FFFFFF"/>
              </w:rPr>
              <w:t xml:space="preserve">. </w:t>
            </w:r>
          </w:p>
        </w:tc>
      </w:tr>
    </w:tbl>
    <w:p w14:paraId="28BC14F1" w14:textId="77777777" w:rsidR="00A7153D" w:rsidRPr="00B57A1B" w:rsidRDefault="00A7153D" w:rsidP="00A7153D">
      <w:pPr>
        <w:widowControl w:val="0"/>
        <w:autoSpaceDE w:val="0"/>
        <w:autoSpaceDN w:val="0"/>
        <w:spacing w:after="0" w:line="276" w:lineRule="auto"/>
        <w:jc w:val="both"/>
        <w:rPr>
          <w:rFonts w:ascii="Verdana" w:hAnsi="Verdana" w:cs="Arial"/>
        </w:rPr>
      </w:pPr>
    </w:p>
    <w:p w14:paraId="527C3A0A" w14:textId="77777777" w:rsidR="00A7153D" w:rsidRPr="00B57A1B" w:rsidRDefault="00A7153D" w:rsidP="00A7153D">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02CB7F55" w14:textId="77777777" w:rsidR="00A7153D" w:rsidRPr="00B57A1B" w:rsidRDefault="00A7153D" w:rsidP="00A7153D">
      <w:pPr>
        <w:widowControl w:val="0"/>
        <w:autoSpaceDE w:val="0"/>
        <w:autoSpaceDN w:val="0"/>
        <w:spacing w:after="0" w:line="276" w:lineRule="auto"/>
        <w:jc w:val="both"/>
        <w:rPr>
          <w:rFonts w:ascii="Verdana" w:hAnsi="Verdana" w:cs="Arial"/>
        </w:rPr>
      </w:pPr>
    </w:p>
    <w:p w14:paraId="53E0905B" w14:textId="77777777" w:rsidR="00A7153D" w:rsidRPr="007D6CC8" w:rsidRDefault="00A7153D" w:rsidP="00A7153D">
      <w:pPr>
        <w:widowControl w:val="0"/>
        <w:autoSpaceDE w:val="0"/>
        <w:autoSpaceDN w:val="0"/>
        <w:spacing w:after="0" w:line="276" w:lineRule="auto"/>
        <w:jc w:val="both"/>
        <w:rPr>
          <w:rFonts w:ascii="Verdana" w:hAnsi="Verdana" w:cs="Arial"/>
          <w:shd w:val="clear" w:color="auto" w:fill="FFFFFF"/>
        </w:rPr>
      </w:pPr>
      <w:r w:rsidRPr="00B57A1B">
        <w:rPr>
          <w:rFonts w:ascii="Verdana" w:hAnsi="Verdana" w:cs="Arial"/>
          <w:shd w:val="clear" w:color="auto" w:fill="FFFFFF"/>
        </w:rPr>
        <w:t>Esta Subdirección se ha pronunciado sobre</w:t>
      </w:r>
      <w:r>
        <w:rPr>
          <w:rFonts w:ascii="Verdana" w:hAnsi="Verdana" w:cs="Arial"/>
          <w:shd w:val="clear" w:color="auto" w:fill="FFFFFF"/>
        </w:rPr>
        <w:t xml:space="preserve"> las empresas de servicios públicos en los Conceptos C- 792 del 28 de noviembre de 2024, C- 429 del 13 de mayo de 2025, C-477 del 20 de mayo de 2025, C-1004 del 29 de agosto de 2025, C- 1012 del 4 de septiembre de 2025, C-1368 del 5 de noviembre de 2025, entre otras.</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0EE0E7" w14:textId="77777777" w:rsidR="00A7153D" w:rsidRPr="00185EE9" w:rsidRDefault="00A7153D" w:rsidP="00A7153D">
      <w:pPr>
        <w:spacing w:after="0" w:line="256" w:lineRule="auto"/>
        <w:jc w:val="both"/>
        <w:rPr>
          <w:rFonts w:ascii="Verdana" w:eastAsia="Calibri" w:hAnsi="Verdana" w:cs="Times New Roman"/>
        </w:rPr>
      </w:pPr>
      <w:hyperlink r:id="rId18"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7AD6F9B2" w14:textId="77777777" w:rsidR="00A7153D" w:rsidRPr="009037F6" w:rsidRDefault="00A7153D" w:rsidP="00A7153D">
      <w:pPr>
        <w:spacing w:after="0"/>
        <w:jc w:val="both"/>
        <w:rPr>
          <w:rFonts w:ascii="Verdana" w:hAnsi="Verdana"/>
        </w:rPr>
      </w:pPr>
    </w:p>
    <w:p w14:paraId="24362491" w14:textId="77777777" w:rsidR="00A7153D" w:rsidRPr="00231A97" w:rsidRDefault="00A7153D" w:rsidP="00A7153D">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9" w:tgtFrame="_new" w:history="1">
        <w:r w:rsidRPr="00231A97">
          <w:rPr>
            <w:rStyle w:val="Hipervnculo"/>
            <w:rFonts w:ascii="Verdana" w:eastAsia="Calibri" w:hAnsi="Verdana" w:cs="Times New Roman"/>
          </w:rPr>
          <w:t>https://formacionvirtual.colombiacompra.gov.co/mod/page/view.php?id=3718</w:t>
        </w:r>
      </w:hyperlink>
    </w:p>
    <w:p w14:paraId="4C258EBD" w14:textId="77777777" w:rsidR="00A7153D" w:rsidRPr="00231A97" w:rsidRDefault="00A7153D" w:rsidP="00A7153D">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20" w:tgtFrame="_new" w:history="1">
        <w:r w:rsidRPr="00231A97">
          <w:rPr>
            <w:rStyle w:val="Hipervnculo"/>
            <w:rFonts w:ascii="Verdana" w:eastAsia="Calibri" w:hAnsi="Verdana" w:cs="Times New Roman"/>
          </w:rPr>
          <w:t>https://www.colombiacompra.gov.co/normativa-y-relatoria/documentos-tipo</w:t>
        </w:r>
      </w:hyperlink>
    </w:p>
    <w:p w14:paraId="57E1CE1D" w14:textId="77777777" w:rsidR="00A7153D" w:rsidRPr="00231A97" w:rsidRDefault="00A7153D" w:rsidP="00A7153D">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xml:space="preserve">. En esta actualización se incorporaron orientaciones prácticas dirigidas a entidades </w:t>
      </w:r>
      <w:r w:rsidRPr="00231A97">
        <w:rPr>
          <w:rFonts w:ascii="Verdana" w:eastAsia="Calibri" w:hAnsi="Verdana" w:cs="Times New Roman"/>
        </w:rPr>
        <w:lastRenderedPageBreak/>
        <w:t>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21"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0CAD0621" w14:textId="77777777" w:rsidR="00A7153D" w:rsidRPr="009037F6" w:rsidRDefault="00A7153D" w:rsidP="00A7153D">
      <w:pPr>
        <w:spacing w:after="0" w:line="240" w:lineRule="auto"/>
        <w:jc w:val="both"/>
        <w:rPr>
          <w:rFonts w:ascii="Verdana" w:hAnsi="Verdana"/>
        </w:rPr>
      </w:pPr>
    </w:p>
    <w:p w14:paraId="64D0E06D" w14:textId="77777777" w:rsidR="00A7153D" w:rsidRPr="00116940" w:rsidRDefault="00A7153D" w:rsidP="00A7153D">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3C3E9788" w14:textId="77777777" w:rsidR="00A7153D" w:rsidRPr="00116940" w:rsidRDefault="00A7153D" w:rsidP="00A7153D">
      <w:pPr>
        <w:spacing w:after="0"/>
        <w:jc w:val="both"/>
        <w:rPr>
          <w:rFonts w:ascii="Verdana" w:hAnsi="Verdana"/>
        </w:rPr>
      </w:pPr>
    </w:p>
    <w:p w14:paraId="4847FF64" w14:textId="77777777" w:rsidR="00A7153D" w:rsidRPr="00116940" w:rsidRDefault="00A7153D" w:rsidP="00A7153D">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D1D8802" w14:textId="77777777" w:rsidR="00A7153D" w:rsidRPr="00116940" w:rsidRDefault="00A7153D" w:rsidP="00A7153D">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40F75EB0" w14:textId="77777777" w:rsidR="00A7153D" w:rsidRPr="00116940" w:rsidRDefault="00A7153D" w:rsidP="00A7153D">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22">
        <w:r w:rsidRPr="00116940">
          <w:rPr>
            <w:rStyle w:val="Hipervnculo"/>
            <w:rFonts w:ascii="Verdana" w:eastAsia="Verdana" w:hAnsi="Verdana" w:cs="Verdana"/>
            <w:lang w:val="es-MX"/>
          </w:rPr>
          <w:t>ventanilladeradicacion@colombiacompra.gov.co</w:t>
        </w:r>
      </w:hyperlink>
    </w:p>
    <w:p w14:paraId="6CF854FC" w14:textId="77777777" w:rsidR="00A7153D" w:rsidRPr="00116940" w:rsidRDefault="00A7153D" w:rsidP="00A7153D">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23">
        <w:r w:rsidRPr="00116940">
          <w:rPr>
            <w:rStyle w:val="Hipervnculo"/>
            <w:rFonts w:ascii="Verdana" w:eastAsia="Verdana" w:hAnsi="Verdana" w:cs="Verdana"/>
            <w:lang w:val="es-MX"/>
          </w:rPr>
          <w:t>https://www.colombiacompra.gov.co/pqrsd/informacion-importante-antes-de-formular-una-pqrsd</w:t>
        </w:r>
      </w:hyperlink>
    </w:p>
    <w:p w14:paraId="0DE13997" w14:textId="77777777" w:rsidR="00A7153D" w:rsidRPr="00116940" w:rsidRDefault="00A7153D" w:rsidP="00A7153D">
      <w:pPr>
        <w:spacing w:after="0" w:line="240" w:lineRule="auto"/>
        <w:ind w:left="720"/>
        <w:jc w:val="both"/>
        <w:rPr>
          <w:rFonts w:ascii="Verdana" w:hAnsi="Verdana"/>
        </w:rPr>
      </w:pPr>
    </w:p>
    <w:p w14:paraId="146B1B04" w14:textId="77777777" w:rsidR="00A7153D" w:rsidRPr="00116940" w:rsidRDefault="00A7153D" w:rsidP="00A7153D">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24"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BF83507" w14:textId="77777777" w:rsidR="00A7153D" w:rsidRPr="00116940" w:rsidRDefault="00A7153D" w:rsidP="00A7153D">
      <w:pPr>
        <w:spacing w:after="0" w:line="240" w:lineRule="auto"/>
        <w:rPr>
          <w:rFonts w:ascii="Verdana" w:hAnsi="Verdana"/>
        </w:rPr>
      </w:pPr>
    </w:p>
    <w:p w14:paraId="2C173FCF" w14:textId="77777777" w:rsidR="00A7153D" w:rsidRPr="00116940" w:rsidRDefault="00A7153D" w:rsidP="00A7153D">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2F7C231" w14:textId="77777777" w:rsidR="00A7153D" w:rsidRPr="00116940" w:rsidRDefault="00A7153D" w:rsidP="00A7153D">
      <w:pPr>
        <w:spacing w:after="0" w:line="240" w:lineRule="auto"/>
        <w:jc w:val="both"/>
        <w:rPr>
          <w:rFonts w:ascii="Verdana" w:hAnsi="Verdana"/>
        </w:rPr>
      </w:pPr>
    </w:p>
    <w:p w14:paraId="45E18B0C" w14:textId="77777777" w:rsidR="00A7153D" w:rsidRPr="00116940" w:rsidRDefault="00A7153D" w:rsidP="00A7153D">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8A01C81" w14:textId="77777777" w:rsidR="00A7153D" w:rsidRPr="00116940" w:rsidRDefault="00A7153D" w:rsidP="00A7153D">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1727634" w14:textId="77777777" w:rsidR="00A7153D" w:rsidRPr="00116940" w:rsidRDefault="00A7153D" w:rsidP="00A7153D">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F2D6DC1" w14:textId="77777777" w:rsidR="00A7153D" w:rsidRPr="00116940" w:rsidRDefault="00A7153D" w:rsidP="00A7153D">
      <w:pPr>
        <w:spacing w:after="0" w:line="240" w:lineRule="auto"/>
        <w:jc w:val="both"/>
        <w:rPr>
          <w:rFonts w:ascii="Verdana" w:hAnsi="Verdana"/>
        </w:rPr>
      </w:pPr>
    </w:p>
    <w:p w14:paraId="5CD835D1" w14:textId="77777777" w:rsidR="00A7153D" w:rsidRPr="009037F6" w:rsidRDefault="00A7153D" w:rsidP="00A7153D">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 xml:space="preserve">Este concepto tiene el alcance previsto en el artículo 28 del Código de Procedimiento Administrativo y de lo Contencioso Administrativo y las </w:t>
      </w:r>
      <w:r w:rsidRPr="009037F6">
        <w:rPr>
          <w:rFonts w:ascii="Verdana" w:eastAsia="Calibri" w:hAnsi="Verdana" w:cs="Times New Roman"/>
          <w:lang w:val="es-ES_tradnl"/>
        </w:rPr>
        <w:lastRenderedPageBreak/>
        <w:t>expresiones utilizadas con mayúscula inicial deben ser entendidas con el significado que les otorga el artículo 2.2.1.1.1.3.1 del Decreto 1082 de 2015.</w:t>
      </w:r>
    </w:p>
    <w:p w14:paraId="6D956F4F" w14:textId="77777777" w:rsidR="00A7153D" w:rsidRPr="00492C4A" w:rsidRDefault="00A7153D" w:rsidP="00A7153D">
      <w:pPr>
        <w:spacing w:after="0" w:line="256" w:lineRule="auto"/>
        <w:jc w:val="both"/>
        <w:rPr>
          <w:rFonts w:ascii="Verdana" w:eastAsia="Calibri" w:hAnsi="Verdana" w:cs="Times New Roman"/>
          <w:lang w:val="es-ES_tradnl"/>
        </w:rPr>
      </w:pPr>
    </w:p>
    <w:p w14:paraId="18DC287B" w14:textId="77777777" w:rsidR="00A7153D" w:rsidRDefault="00A7153D" w:rsidP="00A7153D">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5109B70C" w14:textId="77777777" w:rsidR="00A7153D" w:rsidRPr="002F1956" w:rsidRDefault="00A7153D" w:rsidP="00A7153D">
      <w:pPr>
        <w:spacing w:after="0" w:line="256" w:lineRule="auto"/>
        <w:jc w:val="center"/>
        <w:rPr>
          <w:rFonts w:ascii="Verdana" w:hAnsi="Verdana"/>
          <w:sz w:val="16"/>
          <w:szCs w:val="16"/>
          <w:lang w:val="en-US"/>
        </w:rPr>
      </w:pPr>
    </w:p>
    <w:p w14:paraId="7CC02252" w14:textId="17F3DFCF" w:rsidR="00A7153D" w:rsidRDefault="002A58CD" w:rsidP="00A7153D">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01DDC8DE" wp14:editId="346F96C2">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5"/>
                    <a:stretch>
                      <a:fillRect/>
                    </a:stretch>
                  </pic:blipFill>
                  <pic:spPr>
                    <a:xfrm>
                      <a:off x="0" y="0"/>
                      <a:ext cx="3312722" cy="1229722"/>
                    </a:xfrm>
                    <a:prstGeom prst="rect">
                      <a:avLst/>
                    </a:prstGeom>
                  </pic:spPr>
                </pic:pic>
              </a:graphicData>
            </a:graphic>
          </wp:inline>
        </w:drawing>
      </w:r>
    </w:p>
    <w:p w14:paraId="71F19142" w14:textId="77777777" w:rsidR="00A7153D" w:rsidRPr="00D56F8A" w:rsidRDefault="00A7153D" w:rsidP="00A7153D">
      <w:pPr>
        <w:spacing w:after="0" w:line="256" w:lineRule="auto"/>
        <w:jc w:val="center"/>
        <w:rPr>
          <w:rFonts w:ascii="Verdana" w:hAnsi="Verdana"/>
          <w:sz w:val="12"/>
          <w:szCs w:val="12"/>
        </w:rPr>
      </w:pPr>
      <w:r w:rsidRPr="00FD1DDC">
        <w:rPr>
          <w:rFonts w:ascii="Verdana" w:hAnsi="Verdana"/>
          <w:sz w:val="16"/>
          <w:szCs w:val="16"/>
        </w:rPr>
        <w:t xml:space="preserve"> </w:t>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A7153D" w:rsidRPr="00D56F8A" w14:paraId="26D6CAE9" w14:textId="77777777" w:rsidTr="00BE429B">
        <w:trPr>
          <w:trHeight w:val="409"/>
        </w:trPr>
        <w:tc>
          <w:tcPr>
            <w:tcW w:w="817" w:type="dxa"/>
            <w:tcBorders>
              <w:top w:val="nil"/>
              <w:left w:val="nil"/>
              <w:bottom w:val="nil"/>
              <w:right w:val="nil"/>
            </w:tcBorders>
            <w:vAlign w:val="center"/>
            <w:hideMark/>
          </w:tcPr>
          <w:p w14:paraId="5B5E795A" w14:textId="77777777" w:rsidR="00A7153D" w:rsidRPr="00D56F8A" w:rsidRDefault="00A7153D" w:rsidP="00BE429B">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2624C95" w14:textId="77777777" w:rsidR="00A7153D" w:rsidRPr="00D56F8A" w:rsidRDefault="00A7153D" w:rsidP="00BE429B">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José Luis Sánchez Cardona</w:t>
            </w:r>
          </w:p>
          <w:p w14:paraId="2020D6A2" w14:textId="77777777" w:rsidR="00A7153D" w:rsidRPr="00D56F8A" w:rsidRDefault="00A7153D" w:rsidP="00BE429B">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Contratista de la Subdirección de Gestión Contractual</w:t>
            </w:r>
          </w:p>
        </w:tc>
      </w:tr>
      <w:tr w:rsidR="00A7153D" w:rsidRPr="00D56F8A" w14:paraId="3A1B3ACA" w14:textId="77777777" w:rsidTr="00BE429B">
        <w:trPr>
          <w:trHeight w:val="409"/>
        </w:trPr>
        <w:tc>
          <w:tcPr>
            <w:tcW w:w="817" w:type="dxa"/>
            <w:tcBorders>
              <w:top w:val="nil"/>
              <w:left w:val="nil"/>
              <w:bottom w:val="nil"/>
              <w:right w:val="nil"/>
            </w:tcBorders>
            <w:vAlign w:val="center"/>
            <w:hideMark/>
          </w:tcPr>
          <w:p w14:paraId="1933201E" w14:textId="77777777" w:rsidR="00A7153D" w:rsidRPr="00D56F8A" w:rsidRDefault="00A7153D" w:rsidP="00BE429B">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963DFB6" w14:textId="77777777" w:rsidR="00A7153D" w:rsidRPr="00D56F8A" w:rsidRDefault="00A7153D" w:rsidP="00BE429B">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Alejandro R. Sarmiento Cantillo</w:t>
            </w:r>
          </w:p>
          <w:p w14:paraId="678A2786" w14:textId="77777777" w:rsidR="00A7153D" w:rsidRPr="00D56F8A" w:rsidRDefault="00A7153D" w:rsidP="00BE429B">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Gestor T1-15 de la Subdirección de Gestión Contractual </w:t>
            </w:r>
          </w:p>
        </w:tc>
      </w:tr>
      <w:tr w:rsidR="00A7153D" w:rsidRPr="00D56F8A" w14:paraId="61CE2F1D" w14:textId="77777777" w:rsidTr="00BE429B">
        <w:trPr>
          <w:trHeight w:val="389"/>
        </w:trPr>
        <w:tc>
          <w:tcPr>
            <w:tcW w:w="817" w:type="dxa"/>
            <w:tcBorders>
              <w:top w:val="nil"/>
              <w:left w:val="nil"/>
              <w:bottom w:val="nil"/>
              <w:right w:val="nil"/>
            </w:tcBorders>
            <w:vAlign w:val="center"/>
            <w:hideMark/>
          </w:tcPr>
          <w:p w14:paraId="41AB1B91" w14:textId="77777777" w:rsidR="00A7153D" w:rsidRPr="00D56F8A" w:rsidRDefault="00A7153D" w:rsidP="00BE429B">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C4D6EC1" w14:textId="77777777" w:rsidR="00A7153D" w:rsidRPr="00D56F8A" w:rsidRDefault="00A7153D" w:rsidP="00BE429B">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Carolina Quintero Gacharná</w:t>
            </w:r>
          </w:p>
          <w:p w14:paraId="219EBD3A" w14:textId="77777777" w:rsidR="00A7153D" w:rsidRPr="00D56F8A" w:rsidRDefault="00A7153D" w:rsidP="00BE429B">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Subdirectora de Gestión Contractual ANCP – CCE</w:t>
            </w:r>
          </w:p>
        </w:tc>
      </w:tr>
    </w:tbl>
    <w:p w14:paraId="3DF24B98" w14:textId="77777777" w:rsidR="00A7153D" w:rsidRPr="000E2B93" w:rsidRDefault="00A7153D" w:rsidP="00A7153D">
      <w:pPr>
        <w:spacing w:after="0" w:line="240" w:lineRule="auto"/>
        <w:jc w:val="both"/>
        <w:textAlignment w:val="baseline"/>
        <w:rPr>
          <w:rFonts w:ascii="Verdana" w:eastAsia="Verdana" w:hAnsi="Verdana" w:cs="Verdana"/>
          <w:lang w:eastAsia="es-CO"/>
        </w:rPr>
      </w:pPr>
    </w:p>
    <w:p w14:paraId="134ADAD1" w14:textId="3AD7977F" w:rsidR="00A7153D" w:rsidRPr="000E2B93" w:rsidRDefault="00A7153D" w:rsidP="00A7153D">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0F293BF4" w14:textId="5BC76369" w:rsidR="00127233" w:rsidRPr="00A7153D" w:rsidRDefault="00127233" w:rsidP="00A7153D"/>
    <w:sectPr w:rsidR="00127233" w:rsidRPr="00A7153D" w:rsidSect="007C0C0F">
      <w:headerReference w:type="default" r:id="rId26"/>
      <w:footerReference w:type="default" r:id="rId2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53FD0C" w14:textId="77777777" w:rsidR="00643685" w:rsidRDefault="00643685" w:rsidP="004A1847">
      <w:pPr>
        <w:spacing w:after="0" w:line="240" w:lineRule="auto"/>
      </w:pPr>
      <w:r>
        <w:separator/>
      </w:r>
    </w:p>
  </w:endnote>
  <w:endnote w:type="continuationSeparator" w:id="0">
    <w:p w14:paraId="18E60CD7" w14:textId="77777777" w:rsidR="00643685" w:rsidRDefault="0064368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Weiss">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BE429B" w:rsidRDefault="00BE429B">
    <w:pPr>
      <w:pStyle w:val="Piedepgina"/>
    </w:pPr>
  </w:p>
  <w:p w14:paraId="594D6D9F" w14:textId="08F10804" w:rsidR="00BE429B" w:rsidRPr="00174B77" w:rsidRDefault="00BE429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246CBB" w:rsidRPr="00246CBB">
      <w:rPr>
        <w:rFonts w:ascii="Verdana" w:eastAsiaTheme="minorEastAsia" w:hAnsi="Verdana"/>
        <w:b/>
        <w:bCs/>
        <w:noProof/>
        <w:sz w:val="16"/>
        <w:szCs w:val="16"/>
      </w:rPr>
      <w:t>55</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BE429B" w:rsidRDefault="00BE429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BE429B" w:rsidRPr="00E41027" w:rsidRDefault="00BE429B"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BE429B" w:rsidRDefault="00BE429B"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7A576F" w14:textId="77777777" w:rsidR="00643685" w:rsidRDefault="00643685" w:rsidP="004A1847">
      <w:pPr>
        <w:spacing w:after="0" w:line="240" w:lineRule="auto"/>
      </w:pPr>
      <w:r>
        <w:separator/>
      </w:r>
    </w:p>
  </w:footnote>
  <w:footnote w:type="continuationSeparator" w:id="0">
    <w:p w14:paraId="57013AD5" w14:textId="77777777" w:rsidR="00643685" w:rsidRDefault="00643685" w:rsidP="004A1847">
      <w:pPr>
        <w:spacing w:after="0" w:line="240" w:lineRule="auto"/>
      </w:pPr>
      <w:r>
        <w:continuationSeparator/>
      </w:r>
    </w:p>
  </w:footnote>
  <w:footnote w:id="1">
    <w:p w14:paraId="03741B72" w14:textId="77777777" w:rsidR="00BE429B" w:rsidRPr="00A30929" w:rsidRDefault="00BE429B" w:rsidP="00A7153D">
      <w:pPr>
        <w:pStyle w:val="Textonotapie"/>
        <w:ind w:firstLine="709"/>
        <w:jc w:val="both"/>
        <w:rPr>
          <w:rFonts w:ascii="Verdana" w:hAnsi="Verdana" w:cs="Arial"/>
          <w:color w:val="000000" w:themeColor="text1"/>
          <w:sz w:val="16"/>
          <w:szCs w:val="16"/>
        </w:rPr>
      </w:pPr>
      <w:r w:rsidRPr="00A30929">
        <w:rPr>
          <w:rStyle w:val="Refdenotaalpie"/>
          <w:rFonts w:ascii="Verdana" w:hAnsi="Verdana" w:cs="Arial"/>
          <w:color w:val="000000" w:themeColor="text1"/>
          <w:sz w:val="16"/>
          <w:szCs w:val="16"/>
        </w:rPr>
        <w:footnoteRef/>
      </w:r>
      <w:r w:rsidRPr="00A30929">
        <w:rPr>
          <w:rFonts w:ascii="Verdana" w:hAnsi="Verdana" w:cs="Arial"/>
          <w:color w:val="000000" w:themeColor="text1"/>
          <w:sz w:val="16"/>
          <w:szCs w:val="16"/>
        </w:rPr>
        <w:t xml:space="preserve"> Consejo </w:t>
      </w:r>
      <w:r>
        <w:rPr>
          <w:rFonts w:ascii="Verdana" w:hAnsi="Verdana" w:cs="Arial"/>
          <w:color w:val="000000" w:themeColor="text1"/>
          <w:sz w:val="16"/>
          <w:szCs w:val="16"/>
        </w:rPr>
        <w:t>d</w:t>
      </w:r>
      <w:r w:rsidRPr="00A30929">
        <w:rPr>
          <w:rFonts w:ascii="Verdana" w:hAnsi="Verdana" w:cs="Arial"/>
          <w:color w:val="000000" w:themeColor="text1"/>
          <w:sz w:val="16"/>
          <w:szCs w:val="16"/>
        </w:rPr>
        <w:t xml:space="preserve">e Estado. Sección Tercera. Subsección C. Sentencia del 13 de abril de 2011. Exp. 37423. C.P. Jaime Orlando Santofimio Gamboa. En similar sentido, puede verse: Consejo </w:t>
      </w:r>
      <w:r>
        <w:rPr>
          <w:rFonts w:ascii="Verdana" w:hAnsi="Verdana" w:cs="Arial"/>
          <w:color w:val="000000" w:themeColor="text1"/>
          <w:sz w:val="16"/>
          <w:szCs w:val="16"/>
        </w:rPr>
        <w:t>d</w:t>
      </w:r>
      <w:r w:rsidRPr="00A30929">
        <w:rPr>
          <w:rFonts w:ascii="Verdana" w:hAnsi="Verdana" w:cs="Arial"/>
          <w:color w:val="000000" w:themeColor="text1"/>
          <w:sz w:val="16"/>
          <w:szCs w:val="16"/>
        </w:rPr>
        <w:t>e Estado. Sección Tercera. Subsección B. Sentencia del 15 de noviembre de 2011. Exp. 21178. C.P. Ruth Stella Correa Palacio.</w:t>
      </w:r>
    </w:p>
  </w:footnote>
  <w:footnote w:id="2">
    <w:p w14:paraId="184D8EE7" w14:textId="77777777" w:rsidR="00BE429B" w:rsidRPr="00A30929" w:rsidRDefault="00BE429B" w:rsidP="00A7153D">
      <w:pPr>
        <w:pStyle w:val="Textonotapie"/>
        <w:ind w:firstLine="709"/>
        <w:jc w:val="both"/>
        <w:rPr>
          <w:rFonts w:ascii="Verdana" w:hAnsi="Verdana" w:cs="Arial"/>
          <w:color w:val="000000" w:themeColor="text1"/>
          <w:sz w:val="16"/>
          <w:szCs w:val="16"/>
          <w:lang w:val="es-ES"/>
        </w:rPr>
      </w:pPr>
      <w:r w:rsidRPr="00A30929">
        <w:rPr>
          <w:rStyle w:val="Refdenotaalpie"/>
          <w:rFonts w:ascii="Verdana" w:hAnsi="Verdana" w:cs="Arial"/>
          <w:color w:val="000000" w:themeColor="text1"/>
          <w:sz w:val="16"/>
          <w:szCs w:val="16"/>
        </w:rPr>
        <w:footnoteRef/>
      </w:r>
      <w:r w:rsidRPr="00A30929">
        <w:rPr>
          <w:rFonts w:ascii="Verdana" w:hAnsi="Verdana" w:cs="Arial"/>
          <w:color w:val="000000" w:themeColor="text1"/>
          <w:sz w:val="16"/>
          <w:szCs w:val="16"/>
          <w:lang w:val="pt-BR"/>
        </w:rPr>
        <w:t xml:space="preserve"> Corte Constitucional. Sentencia C-736 de 2007. </w:t>
      </w:r>
      <w:r w:rsidRPr="00A30929">
        <w:rPr>
          <w:rFonts w:ascii="Verdana" w:hAnsi="Verdana" w:cs="Arial"/>
          <w:color w:val="000000" w:themeColor="text1"/>
          <w:sz w:val="16"/>
          <w:szCs w:val="16"/>
        </w:rPr>
        <w:t>M.P. Marco Gerardo Monroy Cabra.</w:t>
      </w:r>
    </w:p>
  </w:footnote>
  <w:footnote w:id="3">
    <w:p w14:paraId="726FE704" w14:textId="77777777" w:rsidR="00BE429B" w:rsidRPr="00C45436" w:rsidRDefault="00BE429B" w:rsidP="00A7153D">
      <w:pPr>
        <w:pStyle w:val="Textonotapie"/>
        <w:ind w:firstLine="708"/>
        <w:rPr>
          <w:rFonts w:ascii="Verdana" w:hAnsi="Verdana"/>
          <w:sz w:val="16"/>
          <w:szCs w:val="16"/>
          <w:lang w:val="es-ES"/>
        </w:rPr>
      </w:pPr>
      <w:r w:rsidRPr="00C45436">
        <w:rPr>
          <w:rStyle w:val="Refdenotaalpie"/>
          <w:rFonts w:ascii="Verdana" w:hAnsi="Verdana"/>
          <w:sz w:val="16"/>
          <w:szCs w:val="16"/>
        </w:rPr>
        <w:footnoteRef/>
      </w:r>
      <w:r w:rsidRPr="00C45436">
        <w:rPr>
          <w:rFonts w:ascii="Verdana" w:hAnsi="Verdana"/>
          <w:sz w:val="16"/>
          <w:szCs w:val="16"/>
        </w:rPr>
        <w:t xml:space="preserve"> Ibídem. </w:t>
      </w:r>
    </w:p>
  </w:footnote>
  <w:footnote w:id="4">
    <w:p w14:paraId="49FE8002" w14:textId="77777777" w:rsidR="00BE429B" w:rsidRPr="005A5FD2" w:rsidRDefault="00BE429B" w:rsidP="00A7153D">
      <w:pPr>
        <w:pStyle w:val="Textonotapie"/>
        <w:ind w:firstLine="708"/>
        <w:jc w:val="both"/>
        <w:rPr>
          <w:rFonts w:ascii="Verdana" w:hAnsi="Verdana"/>
          <w:sz w:val="16"/>
          <w:szCs w:val="16"/>
          <w:lang w:val="es-CO"/>
        </w:rPr>
      </w:pPr>
      <w:r w:rsidRPr="005A5FD2">
        <w:rPr>
          <w:rStyle w:val="Refdenotaalpie"/>
          <w:rFonts w:ascii="Verdana" w:hAnsi="Verdana"/>
          <w:sz w:val="16"/>
          <w:szCs w:val="16"/>
        </w:rPr>
        <w:footnoteRef/>
      </w:r>
      <w:r w:rsidRPr="005A5FD2">
        <w:rPr>
          <w:rFonts w:ascii="Verdana" w:hAnsi="Verdana"/>
          <w:sz w:val="16"/>
          <w:szCs w:val="16"/>
        </w:rPr>
        <w:t xml:space="preserve"> </w:t>
      </w:r>
      <w:r w:rsidRPr="005A5FD2">
        <w:rPr>
          <w:rFonts w:ascii="Verdana" w:hAnsi="Verdana"/>
          <w:bCs/>
          <w:sz w:val="16"/>
          <w:szCs w:val="16"/>
          <w:lang w:val="es-CO"/>
        </w:rPr>
        <w:t>Artículo 38.</w:t>
      </w:r>
      <w:r>
        <w:rPr>
          <w:rFonts w:ascii="Verdana" w:hAnsi="Verdana"/>
          <w:bCs/>
          <w:sz w:val="16"/>
          <w:szCs w:val="16"/>
          <w:lang w:val="es-CO"/>
        </w:rPr>
        <w:t xml:space="preserve"> </w:t>
      </w:r>
      <w:r w:rsidRPr="005A5FD2">
        <w:rPr>
          <w:rFonts w:ascii="Verdana" w:hAnsi="Verdana"/>
          <w:i/>
          <w:iCs/>
          <w:sz w:val="16"/>
          <w:szCs w:val="16"/>
          <w:lang w:val="es-CO"/>
        </w:rPr>
        <w:t>Integración de la Rama Ejecutiva del Poder Público en el orden nacional. </w:t>
      </w:r>
      <w:r w:rsidRPr="005A5FD2">
        <w:rPr>
          <w:rFonts w:ascii="Verdana" w:hAnsi="Verdana"/>
          <w:sz w:val="16"/>
          <w:szCs w:val="16"/>
          <w:lang w:val="es-CO"/>
        </w:rPr>
        <w:t>La Rama Ejecutiva del Poder Público en el orden nacional, está integrada por los siguientes organismos y entidades: </w:t>
      </w:r>
    </w:p>
    <w:p w14:paraId="4381BACC"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1. Del Sector Central:  </w:t>
      </w:r>
    </w:p>
    <w:p w14:paraId="62E7F76E"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a) La Presidencia de la República; </w:t>
      </w:r>
    </w:p>
    <w:p w14:paraId="780C1033"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b) La Vicepresidencia de la República; </w:t>
      </w:r>
    </w:p>
    <w:p w14:paraId="01D65B2F"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c) Los Consejos Superiores de la administración; </w:t>
      </w:r>
    </w:p>
    <w:p w14:paraId="1774C7DC"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d) Los ministerios y departamentos administrativos; </w:t>
      </w:r>
    </w:p>
    <w:p w14:paraId="7623F5B9"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e) Las superintendencias y unidades administrativas especiales sin personería jurídica. </w:t>
      </w:r>
    </w:p>
    <w:p w14:paraId="5C96B0E4"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2. Del Sector descentralizado por servicios: </w:t>
      </w:r>
    </w:p>
    <w:p w14:paraId="1C0D103E"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a) Los establecimientos públicos; </w:t>
      </w:r>
    </w:p>
    <w:p w14:paraId="3C34E634"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b) Las empresas industriales y comerciales del Estado; </w:t>
      </w:r>
    </w:p>
    <w:p w14:paraId="54701DE6"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c) Las superintendencias y las unidades administrativas especiales con personería jurídica; </w:t>
      </w:r>
    </w:p>
    <w:p w14:paraId="6C37E58E"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d) Las empresas sociales del Estado y las empresas oficiales de servicios públicos domiciliarios; </w:t>
      </w:r>
    </w:p>
    <w:p w14:paraId="376E7318"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e) Los institutos científicos y tecnológicos; </w:t>
      </w:r>
    </w:p>
    <w:p w14:paraId="234238F6"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f) Las sociedades públicas y las sociedades de economía mixta; </w:t>
      </w:r>
    </w:p>
    <w:p w14:paraId="3E8FF5A8"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g) Las demás entidades administrativas nacionales con personería jurídica que cree, organice o autorice la ley para que formen parte de la Rama Ejecutiva del Poder Público. </w:t>
      </w:r>
    </w:p>
    <w:p w14:paraId="33D00207"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bCs/>
          <w:sz w:val="16"/>
          <w:szCs w:val="16"/>
          <w:lang w:val="es-CO"/>
        </w:rPr>
        <w:t>Parágrafo 1°.</w:t>
      </w:r>
      <w:r w:rsidRPr="005A5FD2">
        <w:rPr>
          <w:rFonts w:ascii="Verdana" w:hAnsi="Verdana"/>
          <w:sz w:val="16"/>
          <w:szCs w:val="16"/>
          <w:lang w:val="es-CO"/>
        </w:rPr>
        <w:t> Las sociedades públicas y las sociedades de economía mixta en las que el Estado posea el noventa por ciento (90%) o más de su capital social, se someten al régimen previsto para las empresas industriales y comerciales del Estado. </w:t>
      </w:r>
    </w:p>
    <w:p w14:paraId="4DEA91C5"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bCs/>
          <w:sz w:val="16"/>
          <w:szCs w:val="16"/>
          <w:lang w:val="es-CO"/>
        </w:rPr>
        <w:t>Parágrafo 2°.</w:t>
      </w:r>
      <w:r w:rsidRPr="005A5FD2">
        <w:rPr>
          <w:rFonts w:ascii="Verdana" w:hAnsi="Verdana"/>
          <w:sz w:val="16"/>
          <w:szCs w:val="16"/>
          <w:lang w:val="es-CO"/>
        </w:rPr>
        <w:t> Además de lo previsto en el literal c) del numeral 1° del presente artículo, como organismos consultivos o coordinadores, para toda la administración o parte de ella, funcionarán con carácter permanente o temporal y con representación de varias entidades estatales y, si fuere el caso, del sector privado, los que la ley determine. En el acto de constitución se indicará el Ministerio o Departamento Administrativo al cual queda</w:t>
      </w:r>
      <w:r>
        <w:rPr>
          <w:rFonts w:ascii="Verdana" w:hAnsi="Verdana"/>
          <w:sz w:val="16"/>
          <w:szCs w:val="16"/>
          <w:lang w:val="es-CO"/>
        </w:rPr>
        <w:t>ren adscritos tales organismos.</w:t>
      </w:r>
    </w:p>
  </w:footnote>
  <w:footnote w:id="5">
    <w:p w14:paraId="3AE71A7E" w14:textId="77777777" w:rsidR="00BE429B" w:rsidRPr="005A5FD2" w:rsidRDefault="00BE429B" w:rsidP="00A7153D">
      <w:pPr>
        <w:pStyle w:val="Textonotapie"/>
        <w:ind w:firstLine="708"/>
        <w:jc w:val="both"/>
        <w:rPr>
          <w:rFonts w:ascii="Verdana" w:hAnsi="Verdana"/>
          <w:sz w:val="16"/>
          <w:szCs w:val="16"/>
          <w:lang w:val="es-CO"/>
        </w:rPr>
      </w:pPr>
      <w:r w:rsidRPr="005A5FD2">
        <w:rPr>
          <w:rStyle w:val="Refdenotaalpie"/>
          <w:rFonts w:ascii="Verdana" w:hAnsi="Verdana"/>
          <w:sz w:val="16"/>
          <w:szCs w:val="16"/>
        </w:rPr>
        <w:footnoteRef/>
      </w:r>
      <w:r w:rsidRPr="005A5FD2">
        <w:rPr>
          <w:rFonts w:ascii="Verdana" w:hAnsi="Verdana"/>
          <w:sz w:val="16"/>
          <w:szCs w:val="16"/>
        </w:rPr>
        <w:t xml:space="preserve"> </w:t>
      </w:r>
      <w:r w:rsidRPr="005A5FD2">
        <w:rPr>
          <w:rFonts w:ascii="Verdana" w:hAnsi="Verdana"/>
          <w:bCs/>
          <w:sz w:val="16"/>
          <w:szCs w:val="16"/>
          <w:lang w:val="es-CO"/>
        </w:rPr>
        <w:t>Artículo 68.</w:t>
      </w:r>
      <w:r>
        <w:rPr>
          <w:rFonts w:ascii="Verdana" w:hAnsi="Verdana"/>
          <w:bCs/>
          <w:sz w:val="16"/>
          <w:szCs w:val="16"/>
          <w:lang w:val="es-CO"/>
        </w:rPr>
        <w:t xml:space="preserve"> </w:t>
      </w:r>
      <w:r w:rsidRPr="005A5FD2">
        <w:rPr>
          <w:rFonts w:ascii="Verdana" w:hAnsi="Verdana"/>
          <w:i/>
          <w:iCs/>
          <w:sz w:val="16"/>
          <w:szCs w:val="16"/>
          <w:lang w:val="es-CO"/>
        </w:rPr>
        <w:t>Entidades descentralizadas. </w:t>
      </w:r>
      <w:r w:rsidRPr="005A5FD2">
        <w:rPr>
          <w:rFonts w:ascii="Verdana" w:hAnsi="Verdana"/>
          <w:sz w:val="16"/>
          <w:szCs w:val="16"/>
          <w:lang w:val="es-CO"/>
        </w:rPr>
        <w:t>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w:t>
      </w:r>
    </w:p>
    <w:p w14:paraId="4EF02B24"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Como órganos del Estado aun cuando gozan de autonomía administrativa están sujetas al control político y a la suprema dirección del órgano de la administración al cual están adscritas. </w:t>
      </w:r>
    </w:p>
    <w:p w14:paraId="6EB3D5F9"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Las entidades descentralizadas se sujetan a las reglas señaladas en la Constitución Política, en la presente ley, en las leyes que las creen y determinen su estructura orgánica y a sus estatutos internos. </w:t>
      </w:r>
    </w:p>
    <w:p w14:paraId="04249FC1"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sz w:val="16"/>
          <w:szCs w:val="16"/>
          <w:lang w:val="es-CO"/>
        </w:rPr>
        <w:t>Los organismos y entidades descentralizados, sujetos a regímenes especiales por mandato de la Constitución Política, se someterán a las disposiciones que para ellos establezca la respectiva ley. </w:t>
      </w:r>
    </w:p>
    <w:p w14:paraId="0C1170FB"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bCs/>
          <w:sz w:val="16"/>
          <w:szCs w:val="16"/>
          <w:lang w:val="es-CO"/>
        </w:rPr>
        <w:t>Parágrafo 1°.</w:t>
      </w:r>
      <w:r w:rsidRPr="005A5FD2">
        <w:rPr>
          <w:rFonts w:ascii="Verdana" w:hAnsi="Verdana"/>
          <w:sz w:val="16"/>
          <w:szCs w:val="16"/>
          <w:lang w:val="es-CO"/>
        </w:rPr>
        <w:t> De conformidad con el inciso segundo del artículo 210 de la Constitución Política, el régimen jurídico aquí previsto para las entidades descentralizadas es aplicable a las de las entidades territoriales sin perjuicio de las competencias asignadas por la Constitución y la ley a las aut</w:t>
      </w:r>
      <w:r>
        <w:rPr>
          <w:rFonts w:ascii="Verdana" w:hAnsi="Verdana"/>
          <w:sz w:val="16"/>
          <w:szCs w:val="16"/>
          <w:lang w:val="es-CO"/>
        </w:rPr>
        <w:t>oridades del orden territorial.</w:t>
      </w:r>
    </w:p>
    <w:p w14:paraId="1427F3B3"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bCs/>
          <w:sz w:val="16"/>
          <w:szCs w:val="16"/>
          <w:lang w:val="es-CO"/>
        </w:rPr>
        <w:t>Parágrafo 2°.</w:t>
      </w:r>
      <w:r w:rsidRPr="005A5FD2">
        <w:rPr>
          <w:rFonts w:ascii="Verdana" w:hAnsi="Verdana"/>
          <w:sz w:val="16"/>
          <w:szCs w:val="16"/>
          <w:lang w:val="es-CO"/>
        </w:rPr>
        <w:t> Los organismos o entidades del Sector Descentralizado que tengan como objetivo desarrollar actividades científicas y tecnológicas, se sujetarán a la Legislación de Ciencia y Tecnología y su organización será determinada por el Gobierno Nacional. </w:t>
      </w:r>
    </w:p>
    <w:p w14:paraId="5BBCDB70" w14:textId="77777777" w:rsidR="00BE429B" w:rsidRPr="005A5FD2" w:rsidRDefault="00BE429B" w:rsidP="00A7153D">
      <w:pPr>
        <w:pStyle w:val="Textonotapie"/>
        <w:ind w:firstLine="708"/>
        <w:jc w:val="both"/>
        <w:rPr>
          <w:rFonts w:ascii="Verdana" w:hAnsi="Verdana"/>
          <w:sz w:val="16"/>
          <w:szCs w:val="16"/>
          <w:lang w:val="es-CO"/>
        </w:rPr>
      </w:pPr>
      <w:r w:rsidRPr="005A5FD2">
        <w:rPr>
          <w:rFonts w:ascii="Verdana" w:hAnsi="Verdana"/>
          <w:bCs/>
          <w:sz w:val="16"/>
          <w:szCs w:val="16"/>
          <w:lang w:val="es-CO"/>
        </w:rPr>
        <w:t>Parágrafo 3°.</w:t>
      </w:r>
      <w:r w:rsidRPr="005A5FD2">
        <w:rPr>
          <w:rFonts w:ascii="Verdana" w:hAnsi="Verdana"/>
          <w:sz w:val="16"/>
          <w:szCs w:val="16"/>
          <w:lang w:val="es-CO"/>
        </w:rPr>
        <w:t> Lo dispuesto en el presente artículo no se aplica a las corporaciones civiles sin ánimo de lucro de derecho privado, vinculadas al Ministerio del Medio Ambiente, creadas por la Ley 99 de 1993. </w:t>
      </w:r>
    </w:p>
    <w:p w14:paraId="773B477A" w14:textId="77777777" w:rsidR="00BE429B" w:rsidRPr="00C45436" w:rsidRDefault="00BE429B" w:rsidP="00A7153D">
      <w:pPr>
        <w:pStyle w:val="Textonotapie"/>
        <w:ind w:firstLine="708"/>
        <w:rPr>
          <w:rFonts w:ascii="Verdana" w:hAnsi="Verdana"/>
          <w:sz w:val="16"/>
          <w:szCs w:val="16"/>
          <w:lang w:val="es-ES"/>
        </w:rPr>
      </w:pPr>
    </w:p>
  </w:footnote>
  <w:footnote w:id="6">
    <w:p w14:paraId="383213D3" w14:textId="77777777" w:rsidR="00BE429B" w:rsidRPr="007B7B6A" w:rsidRDefault="00BE429B" w:rsidP="00A7153D">
      <w:pPr>
        <w:pStyle w:val="Textonotapie"/>
        <w:ind w:firstLine="708"/>
        <w:jc w:val="both"/>
        <w:rPr>
          <w:rFonts w:ascii="Verdana" w:hAnsi="Verdana"/>
          <w:sz w:val="16"/>
          <w:szCs w:val="16"/>
          <w:lang w:val="es-CO"/>
        </w:rPr>
      </w:pPr>
      <w:r w:rsidRPr="00C45436">
        <w:rPr>
          <w:rStyle w:val="Refdenotaalpie"/>
          <w:rFonts w:ascii="Verdana" w:hAnsi="Verdana"/>
          <w:sz w:val="16"/>
          <w:szCs w:val="16"/>
        </w:rPr>
        <w:footnoteRef/>
      </w:r>
      <w:r w:rsidRPr="00C45436">
        <w:rPr>
          <w:rFonts w:ascii="Verdana" w:hAnsi="Verdana"/>
          <w:sz w:val="16"/>
          <w:szCs w:val="16"/>
        </w:rPr>
        <w:t xml:space="preserve"> </w:t>
      </w:r>
      <w:r w:rsidRPr="007B7B6A">
        <w:rPr>
          <w:rFonts w:ascii="Verdana" w:hAnsi="Verdana"/>
          <w:sz w:val="16"/>
          <w:szCs w:val="16"/>
        </w:rPr>
        <w:t xml:space="preserve">MARÍN CORTES, Fabián Gonzalo. Los servicios semipúblicos domiciliarios. Bogotá: Temis, 2010. p. 160. Al respecto, la Doctrina también ha expresado frente a la Sentencia C-736 de 2007: </w:t>
      </w:r>
      <w:r w:rsidRPr="007B7B6A">
        <w:rPr>
          <w:rFonts w:ascii="Verdana" w:hAnsi="Verdana"/>
          <w:sz w:val="16"/>
          <w:szCs w:val="16"/>
          <w:lang w:val="es-CO"/>
        </w:rPr>
        <w:t xml:space="preserve">Por otra parte, esa misma Corporación -igualmente en cumplimiento de dicha providencia de constitucionalidad- estudió varios procesos en que hace parte una empresa de servicios públicos privada con aportes públicos (sin importar el monto), sobre la base de que se trata de una </w:t>
      </w:r>
      <w:r w:rsidRPr="007B7B6A">
        <w:rPr>
          <w:rFonts w:ascii="Verdana" w:hAnsi="Verdana"/>
          <w:i/>
          <w:iCs/>
          <w:sz w:val="16"/>
          <w:szCs w:val="16"/>
          <w:lang w:val="es-CO"/>
        </w:rPr>
        <w:t>“entidad estatal”</w:t>
      </w:r>
      <w:r w:rsidRPr="007B7B6A">
        <w:rPr>
          <w:rFonts w:ascii="Verdana" w:hAnsi="Verdana"/>
          <w:sz w:val="16"/>
          <w:szCs w:val="16"/>
          <w:lang w:val="es-CO"/>
        </w:rPr>
        <w:t>.  En esta oportunidad la Sala se limitó a obedecer el pronunciamiento de constitucionalidad.</w:t>
      </w:r>
    </w:p>
    <w:p w14:paraId="742F4CE8" w14:textId="77777777" w:rsidR="00BE429B" w:rsidRPr="007B7B6A" w:rsidRDefault="00BE429B" w:rsidP="00A7153D">
      <w:pPr>
        <w:pStyle w:val="Textonotapie"/>
        <w:ind w:firstLine="708"/>
        <w:jc w:val="both"/>
        <w:rPr>
          <w:rFonts w:ascii="Verdana" w:hAnsi="Verdana"/>
          <w:i/>
          <w:iCs/>
          <w:sz w:val="16"/>
          <w:szCs w:val="16"/>
          <w:lang w:val="es-CO"/>
        </w:rPr>
      </w:pPr>
      <w:r w:rsidRPr="007B7B6A">
        <w:rPr>
          <w:rFonts w:ascii="Verdana" w:hAnsi="Verdana"/>
          <w:sz w:val="16"/>
          <w:szCs w:val="16"/>
          <w:lang w:val="es-CO"/>
        </w:rPr>
        <w:t>Sin embargo, el Señor Consejero de Estado Mauricio Fajardo Gómez, al aclarar su voto en esta última sentencia, rectificó lo afirmado en tres providencias de la Sala</w:t>
      </w:r>
      <w:r>
        <w:rPr>
          <w:rFonts w:ascii="Verdana" w:hAnsi="Verdana"/>
          <w:sz w:val="16"/>
          <w:szCs w:val="16"/>
          <w:lang w:val="es-CO"/>
        </w:rPr>
        <w:t xml:space="preserve"> </w:t>
      </w:r>
      <w:r w:rsidRPr="007B7B6A">
        <w:rPr>
          <w:rFonts w:ascii="Verdana" w:hAnsi="Verdana"/>
          <w:sz w:val="16"/>
          <w:szCs w:val="16"/>
          <w:lang w:val="es-CO"/>
        </w:rPr>
        <w:t xml:space="preserve">con ponencia suya y manifestó que resultaba innecesario e inútil invocar ese fallo de constitucionalidad para determinar la competencia del juez administrativo, </w:t>
      </w:r>
      <w:r w:rsidRPr="007B7B6A">
        <w:rPr>
          <w:rFonts w:ascii="Verdana" w:hAnsi="Verdana"/>
          <w:i/>
          <w:iCs/>
          <w:sz w:val="16"/>
          <w:szCs w:val="16"/>
          <w:lang w:val="es-CO"/>
        </w:rPr>
        <w:t>“puesto que</w:t>
      </w:r>
      <w:r w:rsidRPr="007B7B6A">
        <w:rPr>
          <w:rFonts w:ascii="Verdana" w:hAnsi="Verdana"/>
          <w:sz w:val="16"/>
          <w:szCs w:val="16"/>
          <w:lang w:val="es-CO"/>
        </w:rPr>
        <w:t xml:space="preserve"> </w:t>
      </w:r>
      <w:r w:rsidRPr="007B7B6A">
        <w:rPr>
          <w:rFonts w:ascii="Verdana" w:hAnsi="Verdana"/>
          <w:i/>
          <w:iCs/>
          <w:sz w:val="16"/>
          <w:szCs w:val="16"/>
          <w:lang w:val="es-CO"/>
        </w:rPr>
        <w:t>las consideraciones que le sirvieron de soporte acerca</w:t>
      </w:r>
      <w:r w:rsidRPr="007B7B6A">
        <w:rPr>
          <w:rFonts w:ascii="Verdana" w:hAnsi="Verdana"/>
          <w:sz w:val="16"/>
          <w:szCs w:val="16"/>
          <w:lang w:val="es-CO"/>
        </w:rPr>
        <w:t xml:space="preserve"> </w:t>
      </w:r>
      <w:r w:rsidRPr="007B7B6A">
        <w:rPr>
          <w:rFonts w:ascii="Verdana" w:hAnsi="Verdana"/>
          <w:i/>
          <w:iCs/>
          <w:sz w:val="16"/>
          <w:szCs w:val="16"/>
          <w:lang w:val="es-CO"/>
        </w:rPr>
        <w:t>de la naturaleza jurídica de las empresas de servicios</w:t>
      </w:r>
      <w:r w:rsidRPr="007B7B6A">
        <w:rPr>
          <w:rFonts w:ascii="Verdana" w:hAnsi="Verdana"/>
          <w:sz w:val="16"/>
          <w:szCs w:val="16"/>
          <w:lang w:val="es-CO"/>
        </w:rPr>
        <w:t xml:space="preserve"> </w:t>
      </w:r>
      <w:r w:rsidRPr="007B7B6A">
        <w:rPr>
          <w:rFonts w:ascii="Verdana" w:hAnsi="Verdana"/>
          <w:i/>
          <w:iCs/>
          <w:sz w:val="16"/>
          <w:szCs w:val="16"/>
          <w:lang w:val="es-CO"/>
        </w:rPr>
        <w:t>públicos domiciliarios de carácter mixto no resultan</w:t>
      </w:r>
      <w:r w:rsidRPr="007B7B6A">
        <w:rPr>
          <w:rFonts w:ascii="Verdana" w:hAnsi="Verdana"/>
          <w:sz w:val="16"/>
          <w:szCs w:val="16"/>
          <w:lang w:val="es-CO"/>
        </w:rPr>
        <w:t xml:space="preserve"> </w:t>
      </w:r>
      <w:r w:rsidRPr="007B7B6A">
        <w:rPr>
          <w:rFonts w:ascii="Verdana" w:hAnsi="Verdana"/>
          <w:i/>
          <w:iCs/>
          <w:sz w:val="16"/>
          <w:szCs w:val="16"/>
          <w:lang w:val="es-CO"/>
        </w:rPr>
        <w:t>vinculantes y desafortunadamente no aportan claridad</w:t>
      </w:r>
      <w:r w:rsidRPr="007B7B6A">
        <w:rPr>
          <w:rFonts w:ascii="Verdana" w:hAnsi="Verdana"/>
          <w:sz w:val="16"/>
          <w:szCs w:val="16"/>
          <w:lang w:val="es-CO"/>
        </w:rPr>
        <w:t xml:space="preserve"> </w:t>
      </w:r>
      <w:r w:rsidRPr="007B7B6A">
        <w:rPr>
          <w:rFonts w:ascii="Verdana" w:hAnsi="Verdana"/>
          <w:i/>
          <w:iCs/>
          <w:sz w:val="16"/>
          <w:szCs w:val="16"/>
          <w:lang w:val="es-CO"/>
        </w:rPr>
        <w:t>en esa materia”.</w:t>
      </w:r>
    </w:p>
    <w:p w14:paraId="55A65684" w14:textId="77777777" w:rsidR="00BE429B" w:rsidRPr="007B7B6A" w:rsidRDefault="00BE429B" w:rsidP="00A7153D">
      <w:pPr>
        <w:pStyle w:val="Textonotapie"/>
        <w:ind w:firstLine="708"/>
        <w:jc w:val="both"/>
        <w:rPr>
          <w:rFonts w:ascii="Verdana" w:hAnsi="Verdana"/>
          <w:sz w:val="16"/>
          <w:szCs w:val="16"/>
          <w:lang w:val="es-CO"/>
        </w:rPr>
      </w:pPr>
      <w:r w:rsidRPr="007B7B6A">
        <w:rPr>
          <w:rFonts w:ascii="Verdana" w:hAnsi="Verdana"/>
          <w:i/>
          <w:iCs/>
          <w:sz w:val="16"/>
          <w:szCs w:val="16"/>
          <w:lang w:val="es-CO"/>
        </w:rPr>
        <w:t xml:space="preserve"> </w:t>
      </w:r>
      <w:r w:rsidRPr="007B7B6A">
        <w:rPr>
          <w:rFonts w:ascii="Verdana" w:hAnsi="Verdana"/>
          <w:sz w:val="16"/>
          <w:szCs w:val="16"/>
          <w:lang w:val="es-CO"/>
        </w:rPr>
        <w:t xml:space="preserve">La aclaración de voto subrayó, además, que el pronunciamiento de constitucionalidad no explica las razones en que se apoya para aducir la naturaleza jurídica especial delas esp. Destacó que la sentencia de constitucionalidad aparentemente se aproxima a la tesis jurisprudencial del Consejo de Estado,  </w:t>
      </w:r>
      <w:r w:rsidRPr="007B7B6A">
        <w:rPr>
          <w:rFonts w:ascii="Verdana" w:hAnsi="Verdana"/>
          <w:i/>
          <w:iCs/>
          <w:sz w:val="16"/>
          <w:szCs w:val="16"/>
          <w:lang w:val="es-CO"/>
        </w:rPr>
        <w:t>“la misma que sin fundamentación alguna calificó de</w:t>
      </w:r>
      <w:r w:rsidRPr="007B7B6A">
        <w:rPr>
          <w:rFonts w:ascii="Verdana" w:hAnsi="Verdana"/>
          <w:sz w:val="16"/>
          <w:szCs w:val="16"/>
          <w:lang w:val="es-CO"/>
        </w:rPr>
        <w:t xml:space="preserve"> </w:t>
      </w:r>
      <w:r w:rsidRPr="007B7B6A">
        <w:rPr>
          <w:rFonts w:ascii="Verdana" w:hAnsi="Verdana"/>
          <w:i/>
          <w:iCs/>
          <w:sz w:val="16"/>
          <w:szCs w:val="16"/>
          <w:lang w:val="es-CO"/>
        </w:rPr>
        <w:t>inconstitucional”</w:t>
      </w:r>
      <w:r w:rsidRPr="007B7B6A">
        <w:rPr>
          <w:rFonts w:ascii="Verdana" w:hAnsi="Verdana"/>
          <w:sz w:val="16"/>
          <w:szCs w:val="16"/>
          <w:lang w:val="es-CO"/>
        </w:rPr>
        <w:t xml:space="preserve">, al sostener y anunciar que las empresas de servicios públicos mixtas y privadas son entidades descentralizadas, sobre la base de </w:t>
      </w:r>
      <w:r w:rsidRPr="007B7B6A">
        <w:rPr>
          <w:rFonts w:ascii="Verdana" w:hAnsi="Verdana"/>
          <w:i/>
          <w:iCs/>
          <w:sz w:val="16"/>
          <w:szCs w:val="16"/>
          <w:lang w:val="es-CO"/>
        </w:rPr>
        <w:t>“un análisis eminentemente legal, que no</w:t>
      </w:r>
      <w:r w:rsidRPr="007B7B6A">
        <w:rPr>
          <w:rFonts w:ascii="Verdana" w:hAnsi="Verdana"/>
          <w:sz w:val="16"/>
          <w:szCs w:val="16"/>
          <w:lang w:val="es-CO"/>
        </w:rPr>
        <w:t xml:space="preserve"> </w:t>
      </w:r>
      <w:r w:rsidRPr="007B7B6A">
        <w:rPr>
          <w:rFonts w:ascii="Verdana" w:hAnsi="Verdana"/>
          <w:i/>
          <w:iCs/>
          <w:sz w:val="16"/>
          <w:szCs w:val="16"/>
          <w:lang w:val="es-CO"/>
        </w:rPr>
        <w:t xml:space="preserve">constitucional” </w:t>
      </w:r>
      <w:r w:rsidRPr="007B7B6A">
        <w:rPr>
          <w:rFonts w:ascii="Verdana" w:hAnsi="Verdana"/>
          <w:sz w:val="16"/>
          <w:szCs w:val="16"/>
          <w:lang w:val="es-CO"/>
        </w:rPr>
        <w:t>a partir de lo dispuesto por el artículo 38 de la Ley 489 de 1998.</w:t>
      </w:r>
    </w:p>
    <w:p w14:paraId="6951F811" w14:textId="77777777" w:rsidR="00BE429B" w:rsidRPr="007B7B6A" w:rsidRDefault="00BE429B" w:rsidP="00A7153D">
      <w:pPr>
        <w:pStyle w:val="Textonotapie"/>
        <w:ind w:firstLine="708"/>
        <w:jc w:val="both"/>
        <w:rPr>
          <w:rFonts w:ascii="Verdana" w:hAnsi="Verdana"/>
          <w:sz w:val="16"/>
          <w:szCs w:val="16"/>
          <w:lang w:val="es-CO"/>
        </w:rPr>
      </w:pPr>
      <w:r w:rsidRPr="007B7B6A">
        <w:rPr>
          <w:rFonts w:ascii="Verdana" w:hAnsi="Verdana"/>
          <w:sz w:val="16"/>
          <w:szCs w:val="16"/>
          <w:lang w:val="es-CO"/>
        </w:rPr>
        <w:t xml:space="preserve">Al concluir el Señor Magistrado Fajardo Gómez anotó que las normas acusadas </w:t>
      </w:r>
      <w:r w:rsidRPr="007B7B6A">
        <w:rPr>
          <w:rFonts w:ascii="Verdana" w:hAnsi="Verdana"/>
          <w:i/>
          <w:iCs/>
          <w:sz w:val="16"/>
          <w:szCs w:val="16"/>
          <w:lang w:val="es-CO"/>
        </w:rPr>
        <w:t>“no sufrieron alteración alguna en cuanto a su contenido</w:t>
      </w:r>
      <w:r w:rsidRPr="007B7B6A">
        <w:rPr>
          <w:rFonts w:ascii="Verdana" w:hAnsi="Verdana"/>
          <w:sz w:val="16"/>
          <w:szCs w:val="16"/>
          <w:lang w:val="es-CO"/>
        </w:rPr>
        <w:t xml:space="preserve"> </w:t>
      </w:r>
      <w:r w:rsidRPr="007B7B6A">
        <w:rPr>
          <w:rFonts w:ascii="Verdana" w:hAnsi="Verdana"/>
          <w:i/>
          <w:iCs/>
          <w:sz w:val="16"/>
          <w:szCs w:val="16"/>
          <w:lang w:val="es-CO"/>
        </w:rPr>
        <w:t>y, por tanto, seguirán rigiendo normalmente</w:t>
      </w:r>
      <w:r w:rsidRPr="007B7B6A">
        <w:rPr>
          <w:rFonts w:ascii="Verdana" w:hAnsi="Verdana"/>
          <w:sz w:val="16"/>
          <w:szCs w:val="16"/>
          <w:lang w:val="es-CO"/>
        </w:rPr>
        <w:t xml:space="preserve"> </w:t>
      </w:r>
      <w:r w:rsidRPr="007B7B6A">
        <w:rPr>
          <w:rFonts w:ascii="Verdana" w:hAnsi="Verdana"/>
          <w:i/>
          <w:iCs/>
          <w:sz w:val="16"/>
          <w:szCs w:val="16"/>
          <w:lang w:val="es-CO"/>
        </w:rPr>
        <w:t>hacia el futuro”</w:t>
      </w:r>
      <w:r w:rsidRPr="007B7B6A">
        <w:rPr>
          <w:rFonts w:ascii="Verdana" w:hAnsi="Verdana"/>
          <w:sz w:val="16"/>
          <w:szCs w:val="16"/>
          <w:lang w:val="es-CO"/>
        </w:rPr>
        <w:t xml:space="preserve">, dado que se trata de una sentencia de constitucionalidad pura y simple y que –a su juicio– todo lo demás expuesto por la Corte </w:t>
      </w:r>
      <w:r w:rsidRPr="007B7B6A">
        <w:rPr>
          <w:rFonts w:ascii="Verdana" w:hAnsi="Verdana"/>
          <w:i/>
          <w:iCs/>
          <w:sz w:val="16"/>
          <w:szCs w:val="16"/>
          <w:lang w:val="es-CO"/>
        </w:rPr>
        <w:t>“no pasa de ser un obiter dictum que</w:t>
      </w:r>
      <w:r w:rsidRPr="007B7B6A">
        <w:rPr>
          <w:rFonts w:ascii="Verdana" w:hAnsi="Verdana"/>
          <w:sz w:val="16"/>
          <w:szCs w:val="16"/>
          <w:lang w:val="es-CO"/>
        </w:rPr>
        <w:t xml:space="preserve"> </w:t>
      </w:r>
      <w:r w:rsidRPr="007B7B6A">
        <w:rPr>
          <w:rFonts w:ascii="Verdana" w:hAnsi="Verdana"/>
          <w:i/>
          <w:iCs/>
          <w:sz w:val="16"/>
          <w:szCs w:val="16"/>
          <w:lang w:val="es-CO"/>
        </w:rPr>
        <w:t>en cada caso concreto podría ser valorado por el juez</w:t>
      </w:r>
      <w:r w:rsidRPr="007B7B6A">
        <w:rPr>
          <w:rFonts w:ascii="Verdana" w:hAnsi="Verdana"/>
          <w:sz w:val="16"/>
          <w:szCs w:val="16"/>
          <w:lang w:val="es-CO"/>
        </w:rPr>
        <w:t xml:space="preserve"> </w:t>
      </w:r>
      <w:r w:rsidRPr="007B7B6A">
        <w:rPr>
          <w:rFonts w:ascii="Verdana" w:hAnsi="Verdana"/>
          <w:i/>
          <w:iCs/>
          <w:sz w:val="16"/>
          <w:szCs w:val="16"/>
          <w:lang w:val="es-CO"/>
        </w:rPr>
        <w:t>de la respectiva causa</w:t>
      </w:r>
      <w:r>
        <w:rPr>
          <w:rFonts w:ascii="Verdana" w:hAnsi="Verdana"/>
          <w:sz w:val="16"/>
          <w:szCs w:val="16"/>
          <w:lang w:val="es-CO"/>
        </w:rPr>
        <w:t>” (LUQUE, Guillermo Sánchez. ¿</w:t>
      </w:r>
      <w:r w:rsidRPr="00A14813">
        <w:rPr>
          <w:rFonts w:ascii="Verdana" w:hAnsi="Verdana"/>
          <w:sz w:val="16"/>
          <w:szCs w:val="16"/>
          <w:lang w:val="es-CO"/>
        </w:rPr>
        <w:t>Las empresas prestadoras de servicios públicos pr</w:t>
      </w:r>
      <w:r>
        <w:rPr>
          <w:rFonts w:ascii="Verdana" w:hAnsi="Verdana"/>
          <w:sz w:val="16"/>
          <w:szCs w:val="16"/>
          <w:lang w:val="es-CO"/>
        </w:rPr>
        <w:t xml:space="preserve">ivadas son entidades estatales? </w:t>
      </w:r>
      <w:r w:rsidRPr="00A14813">
        <w:rPr>
          <w:rFonts w:ascii="Verdana" w:hAnsi="Verdana"/>
          <w:sz w:val="16"/>
          <w:szCs w:val="16"/>
          <w:lang w:val="es-CO"/>
        </w:rPr>
        <w:t>A propósit</w:t>
      </w:r>
      <w:r>
        <w:rPr>
          <w:rFonts w:ascii="Verdana" w:hAnsi="Verdana"/>
          <w:sz w:val="16"/>
          <w:szCs w:val="16"/>
          <w:lang w:val="es-CO"/>
        </w:rPr>
        <w:t>o de la Sentencia C 736 de 2007</w:t>
      </w:r>
      <w:r w:rsidRPr="00A14813">
        <w:rPr>
          <w:rFonts w:ascii="Verdana" w:hAnsi="Verdana"/>
          <w:sz w:val="16"/>
          <w:szCs w:val="16"/>
          <w:lang w:val="es-CO"/>
        </w:rPr>
        <w:t>. </w:t>
      </w:r>
      <w:r w:rsidRPr="00A14813">
        <w:rPr>
          <w:rFonts w:ascii="Verdana" w:hAnsi="Verdana"/>
          <w:i/>
          <w:iCs/>
          <w:sz w:val="16"/>
          <w:szCs w:val="16"/>
          <w:lang w:val="es-CO"/>
        </w:rPr>
        <w:t>Con</w:t>
      </w:r>
      <w:r>
        <w:rPr>
          <w:rFonts w:ascii="Verdana" w:hAnsi="Verdana"/>
          <w:i/>
          <w:iCs/>
          <w:sz w:val="16"/>
          <w:szCs w:val="16"/>
          <w:lang w:val="es-CO"/>
        </w:rPr>
        <w:t>-</w:t>
      </w:r>
      <w:r w:rsidRPr="00A14813">
        <w:rPr>
          <w:rFonts w:ascii="Verdana" w:hAnsi="Verdana"/>
          <w:i/>
          <w:iCs/>
          <w:sz w:val="16"/>
          <w:szCs w:val="16"/>
          <w:lang w:val="es-CO"/>
        </w:rPr>
        <w:t>texto</w:t>
      </w:r>
      <w:r>
        <w:rPr>
          <w:rFonts w:ascii="Verdana" w:hAnsi="Verdana"/>
          <w:sz w:val="16"/>
          <w:szCs w:val="16"/>
          <w:lang w:val="es-CO"/>
        </w:rPr>
        <w:t xml:space="preserve"> Revista de Derecho y Economía, </w:t>
      </w:r>
      <w:r w:rsidRPr="00A14813">
        <w:rPr>
          <w:rFonts w:ascii="Verdana" w:hAnsi="Verdana"/>
          <w:sz w:val="16"/>
          <w:szCs w:val="16"/>
          <w:lang w:val="es-CO"/>
        </w:rPr>
        <w:t>2008.</w:t>
      </w:r>
      <w:r>
        <w:rPr>
          <w:rFonts w:ascii="Verdana" w:hAnsi="Verdana"/>
          <w:sz w:val="16"/>
          <w:szCs w:val="16"/>
          <w:lang w:val="es-CO"/>
        </w:rPr>
        <w:t xml:space="preserve"> Vol 25. p. 88)</w:t>
      </w:r>
    </w:p>
  </w:footnote>
  <w:footnote w:id="7">
    <w:p w14:paraId="08A69685" w14:textId="77777777" w:rsidR="00BE429B" w:rsidRPr="008719EC" w:rsidRDefault="00BE429B" w:rsidP="00A7153D">
      <w:pPr>
        <w:pStyle w:val="Textonotapie"/>
        <w:ind w:firstLine="708"/>
        <w:jc w:val="both"/>
        <w:rPr>
          <w:rFonts w:ascii="Verdana" w:hAnsi="Verdana"/>
          <w:sz w:val="16"/>
          <w:szCs w:val="16"/>
          <w:lang w:val="es-ES"/>
        </w:rPr>
      </w:pPr>
      <w:r w:rsidRPr="008719EC">
        <w:rPr>
          <w:rStyle w:val="Refdenotaalpie"/>
          <w:rFonts w:ascii="Verdana" w:hAnsi="Verdana"/>
          <w:sz w:val="16"/>
          <w:szCs w:val="16"/>
        </w:rPr>
        <w:footnoteRef/>
      </w:r>
      <w:r w:rsidRPr="008719EC">
        <w:rPr>
          <w:rFonts w:ascii="Verdana" w:hAnsi="Verdana"/>
          <w:sz w:val="16"/>
          <w:szCs w:val="16"/>
        </w:rPr>
        <w:t xml:space="preserve"> </w:t>
      </w:r>
      <w:r>
        <w:rPr>
          <w:rFonts w:ascii="Verdana" w:hAnsi="Verdana"/>
          <w:sz w:val="16"/>
          <w:szCs w:val="16"/>
          <w:lang w:val="es-CO"/>
        </w:rPr>
        <w:t>LUQUE, Guillermo Sánchez. ¿</w:t>
      </w:r>
      <w:r w:rsidRPr="008719EC">
        <w:rPr>
          <w:rFonts w:ascii="Verdana" w:hAnsi="Verdana"/>
          <w:sz w:val="16"/>
          <w:szCs w:val="16"/>
          <w:lang w:val="es-CO"/>
        </w:rPr>
        <w:t>Las empresas prestadoras de servicios públicos privadas son entidades estatales? A propósito de la Sentencia C 736 de 2007. </w:t>
      </w:r>
      <w:r w:rsidRPr="008719EC">
        <w:rPr>
          <w:rFonts w:ascii="Verdana" w:hAnsi="Verdana"/>
          <w:i/>
          <w:iCs/>
          <w:sz w:val="16"/>
          <w:szCs w:val="16"/>
          <w:lang w:val="es-CO"/>
        </w:rPr>
        <w:t>Con-texto</w:t>
      </w:r>
      <w:r w:rsidRPr="008719EC">
        <w:rPr>
          <w:rFonts w:ascii="Verdana" w:hAnsi="Verdana"/>
          <w:sz w:val="16"/>
          <w:szCs w:val="16"/>
          <w:lang w:val="es-CO"/>
        </w:rPr>
        <w:t xml:space="preserve"> Revista de Derecho y Economía, 2008. Vol 25. p. 87. </w:t>
      </w:r>
    </w:p>
  </w:footnote>
  <w:footnote w:id="8">
    <w:p w14:paraId="79E926D5" w14:textId="77777777" w:rsidR="00BE429B" w:rsidRPr="00485C44" w:rsidRDefault="00BE429B" w:rsidP="00A7153D">
      <w:pPr>
        <w:pStyle w:val="Textonotapie"/>
        <w:ind w:firstLine="708"/>
        <w:rPr>
          <w:rFonts w:ascii="Verdana" w:hAnsi="Verdana"/>
          <w:sz w:val="16"/>
          <w:szCs w:val="16"/>
          <w:lang w:val="es-ES"/>
        </w:rPr>
      </w:pPr>
      <w:r w:rsidRPr="00485C44">
        <w:rPr>
          <w:rStyle w:val="Refdenotaalpie"/>
          <w:rFonts w:ascii="Verdana" w:hAnsi="Verdana"/>
          <w:sz w:val="16"/>
          <w:szCs w:val="16"/>
        </w:rPr>
        <w:footnoteRef/>
      </w:r>
      <w:r w:rsidRPr="00485C44">
        <w:rPr>
          <w:rFonts w:ascii="Verdana" w:hAnsi="Verdana"/>
          <w:sz w:val="16"/>
          <w:szCs w:val="16"/>
        </w:rPr>
        <w:t xml:space="preserve"> </w:t>
      </w:r>
      <w:r w:rsidRPr="0099359D">
        <w:rPr>
          <w:rFonts w:ascii="Verdana" w:hAnsi="Verdana"/>
          <w:sz w:val="16"/>
          <w:szCs w:val="16"/>
          <w:lang w:val="es-CO"/>
        </w:rPr>
        <w:t xml:space="preserve">Corte Constitucional. Sentencia C-736 de 2007. </w:t>
      </w:r>
      <w:r w:rsidRPr="00485C44">
        <w:rPr>
          <w:rFonts w:ascii="Verdana" w:hAnsi="Verdana"/>
          <w:sz w:val="16"/>
          <w:szCs w:val="16"/>
          <w:lang w:val="es-CO"/>
        </w:rPr>
        <w:t>M.P. Marco Gerardo Monroy Cabra.</w:t>
      </w:r>
    </w:p>
  </w:footnote>
  <w:footnote w:id="9">
    <w:p w14:paraId="0083B444" w14:textId="77777777" w:rsidR="00BE429B" w:rsidRPr="005D42C1" w:rsidRDefault="00BE429B" w:rsidP="00A7153D">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57A743FB" w14:textId="77777777" w:rsidR="00BE429B" w:rsidRPr="005D42C1" w:rsidRDefault="00BE429B" w:rsidP="00A7153D">
      <w:pPr>
        <w:spacing w:after="0" w:line="240" w:lineRule="auto"/>
        <w:ind w:firstLine="709"/>
        <w:jc w:val="both"/>
        <w:rPr>
          <w:rFonts w:ascii="Verdana" w:hAnsi="Verdana" w:cs="Arial"/>
          <w:sz w:val="16"/>
          <w:szCs w:val="16"/>
        </w:rPr>
      </w:pPr>
      <w:r w:rsidRPr="005D42C1">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5D42C1">
        <w:rPr>
          <w:rFonts w:ascii="Verdana" w:hAnsi="Verdana" w:cs="Arial"/>
          <w:spacing w:val="-1"/>
          <w:sz w:val="16"/>
          <w:szCs w:val="16"/>
        </w:rPr>
        <w:t xml:space="preserve"> </w:t>
      </w:r>
      <w:r w:rsidRPr="005D42C1">
        <w:rPr>
          <w:rFonts w:ascii="Verdana" w:hAnsi="Verdana" w:cs="Arial"/>
          <w:sz w:val="16"/>
          <w:szCs w:val="16"/>
        </w:rPr>
        <w:t>Estatales”.</w:t>
      </w:r>
    </w:p>
  </w:footnote>
  <w:footnote w:id="10">
    <w:p w14:paraId="46E7E5A0" w14:textId="77777777" w:rsidR="00BE429B" w:rsidRPr="006366CF" w:rsidRDefault="00BE429B" w:rsidP="00A7153D">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5D42C1">
        <w:rPr>
          <w:rFonts w:ascii="Verdana" w:hAnsi="Verdana" w:cs="Arial"/>
          <w:spacing w:val="-6"/>
          <w:sz w:val="16"/>
          <w:szCs w:val="16"/>
        </w:rPr>
        <w:t xml:space="preserve"> </w:t>
      </w:r>
      <w:r w:rsidRPr="005D42C1">
        <w:rPr>
          <w:rFonts w:ascii="Verdana" w:hAnsi="Verdana" w:cs="Arial"/>
          <w:sz w:val="16"/>
          <w:szCs w:val="16"/>
        </w:rPr>
        <w:t>artículo”.</w:t>
      </w:r>
    </w:p>
  </w:footnote>
  <w:footnote w:id="11">
    <w:p w14:paraId="49611094" w14:textId="77777777" w:rsidR="00BE429B" w:rsidRPr="006366CF" w:rsidRDefault="00BE429B" w:rsidP="00A7153D">
      <w:pPr>
        <w:pStyle w:val="Textonotapie"/>
        <w:ind w:firstLine="708"/>
        <w:rPr>
          <w:rFonts w:ascii="Verdana" w:hAnsi="Verdana"/>
          <w:sz w:val="16"/>
          <w:szCs w:val="16"/>
        </w:rPr>
      </w:pPr>
      <w:r w:rsidRPr="006366CF">
        <w:rPr>
          <w:rStyle w:val="Refdenotaalpie"/>
          <w:rFonts w:ascii="Verdana" w:hAnsi="Verdana"/>
          <w:sz w:val="16"/>
          <w:szCs w:val="16"/>
        </w:rPr>
        <w:footnoteRef/>
      </w:r>
      <w:r w:rsidRPr="006366CF">
        <w:rPr>
          <w:rFonts w:ascii="Verdana" w:hAnsi="Verdana"/>
          <w:sz w:val="16"/>
          <w:szCs w:val="16"/>
          <w:lang w:val="pt-BR"/>
        </w:rPr>
        <w:t xml:space="preserve"> Corte Constitucional. Sentencia C-671 de 2005. </w:t>
      </w:r>
      <w:r w:rsidRPr="006366CF">
        <w:rPr>
          <w:rFonts w:ascii="Verdana" w:hAnsi="Verdana"/>
          <w:sz w:val="16"/>
          <w:szCs w:val="16"/>
        </w:rPr>
        <w:t xml:space="preserve">M.P. Álvaro Tafur Galvis. </w:t>
      </w:r>
    </w:p>
  </w:footnote>
  <w:footnote w:id="12">
    <w:p w14:paraId="2BC5D55C" w14:textId="77777777" w:rsidR="00BE429B" w:rsidRPr="006366CF" w:rsidRDefault="00BE429B" w:rsidP="00A7153D">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w:t>
      </w:r>
      <w:r w:rsidRPr="006366CF">
        <w:rPr>
          <w:rFonts w:ascii="Verdana" w:hAnsi="Verdana"/>
          <w:sz w:val="16"/>
          <w:szCs w:val="16"/>
          <w:lang w:val="es-CO"/>
        </w:rPr>
        <w:t xml:space="preserve">Consejo </w:t>
      </w:r>
      <w:r>
        <w:rPr>
          <w:rFonts w:ascii="Verdana" w:hAnsi="Verdana"/>
          <w:sz w:val="16"/>
          <w:szCs w:val="16"/>
          <w:lang w:val="es-CO"/>
        </w:rPr>
        <w:t>d</w:t>
      </w:r>
      <w:r w:rsidRPr="006366CF">
        <w:rPr>
          <w:rFonts w:ascii="Verdana" w:hAnsi="Verdana"/>
          <w:sz w:val="16"/>
          <w:szCs w:val="16"/>
          <w:lang w:val="es-CO"/>
        </w:rPr>
        <w:t xml:space="preserve">e Estado, Sala de Consulta y Servicio Civil. Concepto no. 2257 del 26 de julio de 2016, C.P. Álvaro Namén Vargas; CONSEJO DE ESTADO, Sección Tercera, Subsección A. Sentencia del 23 de junio de 2010. C.P. Mauricio Fajardo Gómez. Exp 17860; Sección Tercera. Auto del 4 de octubre de 2024. C.P. Fredy Ibarra Martínez. Exp </w:t>
      </w:r>
      <w:r w:rsidRPr="006366CF">
        <w:rPr>
          <w:rFonts w:ascii="Verdana" w:hAnsi="Verdana"/>
          <w:bCs/>
          <w:sz w:val="16"/>
          <w:szCs w:val="16"/>
        </w:rPr>
        <w:t xml:space="preserve">70313. </w:t>
      </w:r>
    </w:p>
  </w:footnote>
  <w:footnote w:id="13">
    <w:p w14:paraId="5F96EADC" w14:textId="77777777" w:rsidR="00BE429B" w:rsidRPr="006366CF" w:rsidRDefault="00BE429B" w:rsidP="00A7153D">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6366CF">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14">
    <w:p w14:paraId="3BBCDBDB" w14:textId="77777777" w:rsidR="00BE429B" w:rsidRPr="006366CF" w:rsidRDefault="00BE429B" w:rsidP="00A7153D">
      <w:pPr>
        <w:pStyle w:val="Textonotapie"/>
        <w:ind w:firstLine="708"/>
        <w:jc w:val="both"/>
        <w:rPr>
          <w:rFonts w:ascii="Verdana" w:hAnsi="Verdana"/>
          <w:sz w:val="16"/>
          <w:szCs w:val="16"/>
          <w:lang w:val="es-ES"/>
        </w:rPr>
      </w:pPr>
      <w:r w:rsidRPr="006366CF">
        <w:rPr>
          <w:rStyle w:val="Refdenotaalpie"/>
          <w:rFonts w:ascii="Verdana" w:hAnsi="Verdana"/>
          <w:sz w:val="16"/>
          <w:szCs w:val="16"/>
        </w:rPr>
        <w:footnoteRef/>
      </w:r>
      <w:r w:rsidRPr="006366CF">
        <w:rPr>
          <w:rFonts w:ascii="Verdana" w:hAnsi="Verdana"/>
          <w:sz w:val="16"/>
          <w:szCs w:val="16"/>
        </w:rPr>
        <w:t xml:space="preserve"> Consejo </w:t>
      </w:r>
      <w:r>
        <w:rPr>
          <w:rFonts w:ascii="Verdana" w:hAnsi="Verdana"/>
          <w:sz w:val="16"/>
          <w:szCs w:val="16"/>
        </w:rPr>
        <w:t>d</w:t>
      </w:r>
      <w:r w:rsidRPr="006366CF">
        <w:rPr>
          <w:rFonts w:ascii="Verdana" w:hAnsi="Verdana"/>
          <w:sz w:val="16"/>
          <w:szCs w:val="16"/>
        </w:rPr>
        <w:t>e Estado. Sección Tercera, Subsección A. Sentencia del 25 de mayo de 2025. C.P. María Adriana Marín Hernández. Exp. 70.504; CONSEJO DE ESTADO. Sección Tercera, Subsección A. Sentencia del 16 de agosto de 2022, C.P.: María Adriana Marín. Exp. 60434.</w:t>
      </w:r>
    </w:p>
  </w:footnote>
  <w:footnote w:id="15">
    <w:p w14:paraId="574B238B" w14:textId="77777777" w:rsidR="00BE429B" w:rsidRPr="00AD7D5F" w:rsidRDefault="00BE429B" w:rsidP="00A7153D">
      <w:pPr>
        <w:pStyle w:val="Textonotapie"/>
        <w:ind w:firstLine="708"/>
        <w:jc w:val="both"/>
        <w:rPr>
          <w:rFonts w:ascii="Verdana" w:hAnsi="Verdana"/>
          <w:sz w:val="16"/>
          <w:szCs w:val="16"/>
          <w:lang w:val="es-CO"/>
        </w:rPr>
      </w:pPr>
      <w:r w:rsidRPr="00AD7D5F">
        <w:rPr>
          <w:rStyle w:val="Refdenotaalpie"/>
          <w:rFonts w:ascii="Verdana" w:hAnsi="Verdana"/>
          <w:sz w:val="16"/>
          <w:szCs w:val="16"/>
        </w:rPr>
        <w:footnoteRef/>
      </w:r>
      <w:r w:rsidRPr="00AD7D5F">
        <w:rPr>
          <w:rFonts w:ascii="Verdana" w:hAnsi="Verdana"/>
          <w:sz w:val="16"/>
          <w:szCs w:val="16"/>
        </w:rPr>
        <w:t xml:space="preserve"> </w:t>
      </w:r>
      <w:r w:rsidRPr="00AD7D5F">
        <w:rPr>
          <w:rFonts w:ascii="Verdana" w:hAnsi="Verdana"/>
          <w:sz w:val="16"/>
          <w:szCs w:val="16"/>
          <w:lang w:val="es-CO"/>
        </w:rPr>
        <w:t xml:space="preserve">Consejo </w:t>
      </w:r>
      <w:r>
        <w:rPr>
          <w:rFonts w:ascii="Verdana" w:hAnsi="Verdana"/>
          <w:sz w:val="16"/>
          <w:szCs w:val="16"/>
          <w:lang w:val="es-CO"/>
        </w:rPr>
        <w:t>d</w:t>
      </w:r>
      <w:r w:rsidRPr="00AD7D5F">
        <w:rPr>
          <w:rFonts w:ascii="Verdana" w:hAnsi="Verdana"/>
          <w:sz w:val="16"/>
          <w:szCs w:val="16"/>
          <w:lang w:val="es-CO"/>
        </w:rPr>
        <w:t xml:space="preserve">e Estado. Sección Tercera, Subsección A. Sentencia del 14 de junio de 2019, C.P.: Marta Nubia Velásquez Rico. Rad.: 25000-23-37-000-2010-02552-01 (AP); Consejo </w:t>
      </w:r>
      <w:r>
        <w:rPr>
          <w:rFonts w:ascii="Verdana" w:hAnsi="Verdana"/>
          <w:sz w:val="16"/>
          <w:szCs w:val="16"/>
          <w:lang w:val="es-CO"/>
        </w:rPr>
        <w:t>d</w:t>
      </w:r>
      <w:r w:rsidRPr="00AD7D5F">
        <w:rPr>
          <w:rFonts w:ascii="Verdana" w:hAnsi="Verdana"/>
          <w:sz w:val="16"/>
          <w:szCs w:val="16"/>
          <w:lang w:val="es-CO"/>
        </w:rPr>
        <w:t>e Estado. Sección Tercera, Subsección A. Sentencia del 25 de mayo de 2025. C.P. María Adriana Marín Hernández. Exp. 70.504.</w:t>
      </w:r>
    </w:p>
  </w:footnote>
  <w:footnote w:id="16">
    <w:p w14:paraId="789F742B" w14:textId="77777777" w:rsidR="00BE429B" w:rsidRPr="003B2822" w:rsidRDefault="00BE429B" w:rsidP="00A7153D">
      <w:pPr>
        <w:pStyle w:val="Textonotapie"/>
        <w:ind w:firstLine="708"/>
        <w:jc w:val="both"/>
        <w:rPr>
          <w:rFonts w:ascii="Verdana" w:hAnsi="Verdana"/>
          <w:sz w:val="16"/>
          <w:szCs w:val="16"/>
          <w:lang w:val="es-CO"/>
        </w:rPr>
      </w:pPr>
      <w:r w:rsidRPr="003B2822">
        <w:rPr>
          <w:rStyle w:val="Refdenotaalpie"/>
          <w:rFonts w:ascii="Verdana" w:hAnsi="Verdana"/>
          <w:sz w:val="16"/>
          <w:szCs w:val="16"/>
        </w:rPr>
        <w:footnoteRef/>
      </w:r>
      <w:r w:rsidRPr="003B2822">
        <w:rPr>
          <w:rFonts w:ascii="Verdana" w:hAnsi="Verdana"/>
          <w:sz w:val="16"/>
          <w:szCs w:val="16"/>
        </w:rPr>
        <w:t xml:space="preserve"> La Corte Constitucional, al analizar el concepto, alcance y finalidad del principio de solidaridad</w:t>
      </w:r>
      <w:r>
        <w:rPr>
          <w:rFonts w:ascii="Verdana" w:hAnsi="Verdana"/>
          <w:sz w:val="16"/>
          <w:szCs w:val="16"/>
        </w:rPr>
        <w:t xml:space="preserve"> en la Constitución Política,</w:t>
      </w:r>
      <w:r w:rsidRPr="003B2822">
        <w:rPr>
          <w:rFonts w:ascii="Verdana" w:hAnsi="Verdana"/>
          <w:sz w:val="16"/>
          <w:szCs w:val="16"/>
        </w:rPr>
        <w:t xml:space="preserve"> señaló en la sentencia C-580 de 1.992: “(…) Al considerar la norma, que los servicios públicos se prestarán "en beneficio de la comunidad", entendida como un todo, se consagra allí un principio de solidaridad que, elimina la posibilidad que se establezca la prestación de los mismos, en condiciones favorables a sólo una parte del conglomerado social.  Más aún, se impone en ella, tomar en cuenta los distintos estratos sociales que participan como usuarios de los servicios públicos, según su capacidad económica, para establecer un régimen tarifario diferencial, que consulta una función redistributiva del costo de los servicios, de acuerdo con la capacidad económica del usuario del servicio, para evitar que sea igual la tarifa para los sectores más ricos de la comunidad que para los más pobres, con lo que se impide que una mayor proporción de la riqueza se concentre en pequeños segmentos de la población, mientras que las grandes mayorías asumen el mayor costo de los servicios.(…)”</w:t>
      </w:r>
    </w:p>
  </w:footnote>
  <w:footnote w:id="17">
    <w:p w14:paraId="18388C4F" w14:textId="77777777" w:rsidR="00BE429B" w:rsidRPr="00BC61F4" w:rsidRDefault="00BE429B" w:rsidP="00A7153D">
      <w:pPr>
        <w:pStyle w:val="Textonotapie"/>
        <w:ind w:firstLine="708"/>
        <w:jc w:val="both"/>
        <w:rPr>
          <w:rFonts w:ascii="Verdana" w:hAnsi="Verdana"/>
          <w:sz w:val="16"/>
          <w:szCs w:val="16"/>
          <w:lang w:val="es-ES"/>
        </w:rPr>
      </w:pPr>
      <w:r w:rsidRPr="00BC61F4">
        <w:rPr>
          <w:rStyle w:val="Refdenotaalpie"/>
          <w:rFonts w:ascii="Verdana" w:hAnsi="Verdana"/>
          <w:sz w:val="16"/>
          <w:szCs w:val="16"/>
        </w:rPr>
        <w:footnoteRef/>
      </w:r>
      <w:r w:rsidRPr="00BC61F4">
        <w:rPr>
          <w:rFonts w:ascii="Verdana" w:hAnsi="Verdana"/>
          <w:sz w:val="16"/>
          <w:szCs w:val="16"/>
        </w:rPr>
        <w:t xml:space="preserve"> MARÍN CORTÉS, Fabián Gonzalo. Los servicios semipúblicos domiciliarios. Bogotá: Temis, 2010</w:t>
      </w:r>
      <w:r>
        <w:rPr>
          <w:rFonts w:ascii="Verdana" w:hAnsi="Verdana"/>
          <w:sz w:val="16"/>
          <w:szCs w:val="16"/>
        </w:rPr>
        <w:t>.</w:t>
      </w:r>
      <w:r w:rsidRPr="00BC61F4">
        <w:rPr>
          <w:rFonts w:ascii="Verdana" w:hAnsi="Verdana"/>
          <w:sz w:val="16"/>
          <w:szCs w:val="16"/>
        </w:rPr>
        <w:t xml:space="preserve"> p. </w:t>
      </w:r>
      <w:r w:rsidRPr="00BC61F4">
        <w:rPr>
          <w:rFonts w:ascii="Verdana" w:hAnsi="Verdana"/>
          <w:sz w:val="16"/>
          <w:szCs w:val="16"/>
          <w:lang w:val="es-ES"/>
        </w:rPr>
        <w:t xml:space="preserve">483. </w:t>
      </w:r>
    </w:p>
  </w:footnote>
  <w:footnote w:id="18">
    <w:p w14:paraId="4C6B81C0" w14:textId="77777777" w:rsidR="00BE429B" w:rsidRPr="00BC61F4" w:rsidRDefault="00BE429B" w:rsidP="00A7153D">
      <w:pPr>
        <w:pStyle w:val="Textonotapie"/>
        <w:ind w:firstLine="708"/>
        <w:jc w:val="both"/>
        <w:rPr>
          <w:rFonts w:ascii="Verdana" w:hAnsi="Verdana"/>
          <w:sz w:val="16"/>
          <w:szCs w:val="16"/>
          <w:lang w:val="es-CO"/>
        </w:rPr>
      </w:pPr>
      <w:r w:rsidRPr="00BC61F4">
        <w:rPr>
          <w:rStyle w:val="Refdenotaalpie"/>
          <w:rFonts w:ascii="Verdana" w:hAnsi="Verdana"/>
          <w:sz w:val="16"/>
          <w:szCs w:val="16"/>
        </w:rPr>
        <w:footnoteRef/>
      </w:r>
      <w:r w:rsidRPr="00BC61F4">
        <w:rPr>
          <w:rFonts w:ascii="Verdana" w:hAnsi="Verdana"/>
          <w:sz w:val="16"/>
          <w:szCs w:val="16"/>
        </w:rPr>
        <w:t xml:space="preserve"> </w:t>
      </w:r>
      <w:r w:rsidRPr="00BC61F4">
        <w:rPr>
          <w:rFonts w:ascii="Verdana" w:hAnsi="Verdana"/>
          <w:bCs/>
          <w:sz w:val="16"/>
          <w:szCs w:val="16"/>
          <w:lang w:val="es-CO"/>
        </w:rPr>
        <w:t>Artículo 3°. Instrumentos de la intervención estatal.</w:t>
      </w:r>
      <w:r w:rsidRPr="00BC61F4">
        <w:rPr>
          <w:rFonts w:ascii="Verdana" w:hAnsi="Verdana"/>
          <w:sz w:val="16"/>
          <w:szCs w:val="16"/>
          <w:lang w:val="es-CO"/>
        </w:rPr>
        <w:t> Constituyen instrumentos para la intervención estatal en los servicios públicos todas las atribuciones y funciones asignadas a las entidades, autoridades y organismos de que trata esta Ley, especialmente las relativas a las siguientes materias: </w:t>
      </w:r>
    </w:p>
    <w:p w14:paraId="535D6E6D"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3.1. Promoción y apoyo a personas que presten los servicios públicos. </w:t>
      </w:r>
    </w:p>
    <w:p w14:paraId="426236F8"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3.2. Gestión y obtención de recursos para la prestación de servicios. </w:t>
      </w:r>
    </w:p>
    <w:p w14:paraId="4CE3AD19"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3.3. Regulación de la prestación de los servicios públicos teniendo en cuenta las características de cada región; fijación de metas de eficiencia, cobertura y calidad, evaluación de las mismas, y definición del régimen tarifario. </w:t>
      </w:r>
    </w:p>
    <w:p w14:paraId="55746C3A" w14:textId="77777777" w:rsidR="00BE429B" w:rsidRPr="00BC61F4" w:rsidRDefault="00BE429B" w:rsidP="00A7153D">
      <w:pPr>
        <w:pStyle w:val="Textonotapie"/>
        <w:jc w:val="both"/>
        <w:rPr>
          <w:rFonts w:ascii="Verdana" w:hAnsi="Verdana"/>
          <w:sz w:val="16"/>
          <w:szCs w:val="16"/>
          <w:lang w:val="es-CO"/>
        </w:rPr>
      </w:pPr>
      <w:r w:rsidRPr="00BC61F4">
        <w:rPr>
          <w:rFonts w:ascii="Verdana" w:hAnsi="Verdana"/>
          <w:sz w:val="16"/>
          <w:szCs w:val="16"/>
          <w:lang w:val="es-CO"/>
        </w:rPr>
        <w:t> </w:t>
      </w:r>
      <w:r w:rsidRPr="00BC61F4">
        <w:rPr>
          <w:rFonts w:ascii="Verdana" w:hAnsi="Verdana"/>
          <w:sz w:val="16"/>
          <w:szCs w:val="16"/>
          <w:lang w:val="es-CO"/>
        </w:rPr>
        <w:tab/>
        <w:t>3.4. Control y vigilancia de la observancia de las normas y de los planes y programas sobre la materia. </w:t>
      </w:r>
    </w:p>
    <w:p w14:paraId="6E68C63C"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3.5. Organización de sistemas de información, capacitación y asistencia técnica. </w:t>
      </w:r>
    </w:p>
    <w:p w14:paraId="4489CB7B"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3.6. Protección de los recursos naturales. </w:t>
      </w:r>
    </w:p>
    <w:p w14:paraId="755005DF"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3.7. Otorgamiento de subsidios a las personas de menores ingresos. </w:t>
      </w:r>
    </w:p>
    <w:p w14:paraId="19FE3433"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3.8. Estímulo a la inversión de los particulares en los servicios públicos. </w:t>
      </w:r>
    </w:p>
    <w:p w14:paraId="4825497D"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3.9. Respeto del principio de neutralidad, a fin de asegurar que no exista ninguna práctica discriminatoria en la prestación de los servicios. </w:t>
      </w:r>
    </w:p>
    <w:p w14:paraId="59812CC1" w14:textId="77777777" w:rsidR="00BE429B" w:rsidRPr="00BC61F4"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Todas las decisiones de las autoridades en materia de servicios públicos deben fundarse en los motivos que determina esta Ley; y los motivos que invoquen deben ser comprobables. </w:t>
      </w:r>
    </w:p>
    <w:p w14:paraId="4B9EDAFA" w14:textId="77777777" w:rsidR="00BE429B" w:rsidRPr="008A3E33" w:rsidRDefault="00BE429B" w:rsidP="00A7153D">
      <w:pPr>
        <w:pStyle w:val="Textonotapie"/>
        <w:ind w:firstLine="708"/>
        <w:jc w:val="both"/>
        <w:rPr>
          <w:rFonts w:ascii="Verdana" w:hAnsi="Verdana"/>
          <w:sz w:val="16"/>
          <w:szCs w:val="16"/>
          <w:lang w:val="es-CO"/>
        </w:rPr>
      </w:pPr>
      <w:r w:rsidRPr="00BC61F4">
        <w:rPr>
          <w:rFonts w:ascii="Verdana" w:hAnsi="Verdana"/>
          <w:sz w:val="16"/>
          <w:szCs w:val="16"/>
          <w:lang w:val="es-CO"/>
        </w:rPr>
        <w:t>Todos los prestadores quedarán sujetos, en lo que no sea incompatible con la Constitución o con la ley, a todo lo que esta Ley dispone para las empresas y sus administradores y, en especial, a las regulaciones</w:t>
      </w:r>
      <w:r w:rsidRPr="008A3E33">
        <w:rPr>
          <w:rFonts w:ascii="Verdana" w:hAnsi="Verdana"/>
          <w:sz w:val="16"/>
          <w:szCs w:val="16"/>
          <w:lang w:val="es-CO"/>
        </w:rPr>
        <w:t xml:space="preserve"> de las Comisiones, al control, inspección y vigilancia de la Superintendencia de Servicios Públicos, y a las contribuciones para aquéllas y ésta. </w:t>
      </w:r>
    </w:p>
    <w:p w14:paraId="2843941F" w14:textId="77777777" w:rsidR="00BE429B" w:rsidRPr="00C45436" w:rsidRDefault="00BE429B" w:rsidP="00A7153D">
      <w:pPr>
        <w:pStyle w:val="Textonotapie"/>
        <w:rPr>
          <w:rFonts w:ascii="Verdana" w:hAnsi="Verdana"/>
          <w:sz w:val="16"/>
          <w:szCs w:val="16"/>
          <w:lang w:val="es-ES"/>
        </w:rPr>
      </w:pPr>
    </w:p>
  </w:footnote>
  <w:footnote w:id="19">
    <w:p w14:paraId="439620EF" w14:textId="77777777" w:rsidR="00BE429B" w:rsidRPr="00474655" w:rsidRDefault="00BE429B" w:rsidP="00A7153D">
      <w:pPr>
        <w:pStyle w:val="Textonotapie"/>
        <w:ind w:firstLine="708"/>
        <w:jc w:val="both"/>
        <w:rPr>
          <w:rFonts w:ascii="Verdana" w:hAnsi="Verdana"/>
          <w:sz w:val="16"/>
          <w:szCs w:val="16"/>
          <w:lang w:val="es-CO"/>
        </w:rPr>
      </w:pPr>
      <w:r w:rsidRPr="00474655">
        <w:rPr>
          <w:rStyle w:val="Refdenotaalpie"/>
          <w:rFonts w:ascii="Verdana" w:hAnsi="Verdana"/>
          <w:sz w:val="16"/>
          <w:szCs w:val="16"/>
        </w:rPr>
        <w:footnoteRef/>
      </w:r>
      <w:r w:rsidRPr="00474655">
        <w:rPr>
          <w:rFonts w:ascii="Verdana" w:hAnsi="Verdana"/>
          <w:sz w:val="16"/>
          <w:szCs w:val="16"/>
        </w:rPr>
        <w:t xml:space="preserve"> </w:t>
      </w:r>
      <w:r w:rsidRPr="00474655">
        <w:rPr>
          <w:rFonts w:ascii="Verdana" w:hAnsi="Verdana"/>
          <w:bCs/>
          <w:sz w:val="16"/>
          <w:szCs w:val="16"/>
          <w:lang w:val="es-CO"/>
        </w:rPr>
        <w:t>Artículo 2.3.5.1.2.2.14. </w:t>
      </w:r>
      <w:r w:rsidRPr="00474655">
        <w:rPr>
          <w:rFonts w:ascii="Verdana" w:hAnsi="Verdana"/>
          <w:bCs/>
          <w:i/>
          <w:iCs/>
          <w:sz w:val="16"/>
          <w:szCs w:val="16"/>
          <w:lang w:val="es-CO"/>
        </w:rPr>
        <w:t>Administración de los recursos del Sistema General de Participaciones para Agua Potable y Saneamiento Básico. </w:t>
      </w:r>
      <w:r w:rsidRPr="00474655">
        <w:rPr>
          <w:rFonts w:ascii="Verdana" w:hAnsi="Verdana"/>
          <w:sz w:val="16"/>
          <w:szCs w:val="16"/>
          <w:lang w:val="es-CO"/>
        </w:rPr>
        <w:t>El departamento, en ejercicio de la competencia asignada por el artículo 5° de la Ley 1176 de 2007, administrará los recursos del Sistema General de Participaciones para Agua Potable y Saneamiento Básico asignados al municipio o distrito descertificado, a partir de la fecha en que quede ejecutoriado el acto administrativo expedido por la Superintendencia de Servicios Públicos Domiciliarios, y en tal virtud le corresponde: </w:t>
      </w:r>
    </w:p>
    <w:p w14:paraId="717A4916" w14:textId="77777777" w:rsidR="00BE429B" w:rsidRPr="00474655" w:rsidRDefault="00BE429B" w:rsidP="00A7153D">
      <w:pPr>
        <w:pStyle w:val="Textonotapie"/>
        <w:ind w:firstLine="708"/>
        <w:jc w:val="both"/>
        <w:rPr>
          <w:rFonts w:ascii="Verdana" w:hAnsi="Verdana"/>
          <w:sz w:val="16"/>
          <w:szCs w:val="16"/>
          <w:lang w:val="es-CO"/>
        </w:rPr>
      </w:pPr>
      <w:r w:rsidRPr="00474655">
        <w:rPr>
          <w:rFonts w:ascii="Verdana" w:hAnsi="Verdana"/>
          <w:sz w:val="16"/>
          <w:szCs w:val="16"/>
          <w:lang w:val="es-CO"/>
        </w:rPr>
        <w:t>1. Realizar reunión de empalme con el fin de oficializar la recepción del cierre operativo del municipio o distrito descertificado donde el departamento reciba el balance detallado de la ejecución de ingresos: apropiación y recaudo efectivo; y de la ejecución de los gastos: apropiación, compromisos, obligaciones y pagos, de los recursos correspondientes al Sistema General de Participaciones – APSB ejecutados por el municipio o distrito. El Gobernador realizará dicha reunión, dentro de los 15 días siguientes a la fecha de ejecutoria del acto de descertificación del municipio o distrito de su jurisdicción. Si por razones de fuerza mayor el gobernador no puede asistir, solo podrá delegar esta función en el Secretario de Hacienda del departamento o quien haga sus veces. </w:t>
      </w:r>
    </w:p>
    <w:p w14:paraId="7B52D024" w14:textId="77777777" w:rsidR="00BE429B" w:rsidRPr="00474655" w:rsidRDefault="00BE429B" w:rsidP="00A7153D">
      <w:pPr>
        <w:pStyle w:val="Textonotapie"/>
        <w:ind w:firstLine="708"/>
        <w:jc w:val="both"/>
        <w:rPr>
          <w:rFonts w:ascii="Verdana" w:hAnsi="Verdana"/>
          <w:sz w:val="16"/>
          <w:szCs w:val="16"/>
          <w:lang w:val="es-CO"/>
        </w:rPr>
      </w:pPr>
      <w:r w:rsidRPr="00474655">
        <w:rPr>
          <w:rFonts w:ascii="Verdana" w:hAnsi="Verdana"/>
          <w:sz w:val="16"/>
          <w:szCs w:val="16"/>
          <w:lang w:val="es-CO"/>
        </w:rPr>
        <w:t>Las cifras del cierre operativo tendrán como fecha de corte la ejecutoria del acto administrativo de la descertificación y como soporte la ejecución presupuestal de ingresos y gastos a esa fecha y las certificaciones bancarias de los saldos correspondientes. Los saldos sin ejecutar, las cuentas por pagar y las reservas presupuestales serán incorporados como rentas administradas en el presupuesto del departamento en la cuenta del municipio correspondiente. </w:t>
      </w:r>
    </w:p>
    <w:p w14:paraId="3307FEB9" w14:textId="77777777" w:rsidR="00BE429B" w:rsidRPr="00474655" w:rsidRDefault="00BE429B" w:rsidP="00A7153D">
      <w:pPr>
        <w:pStyle w:val="Textonotapie"/>
        <w:ind w:firstLine="708"/>
        <w:jc w:val="both"/>
        <w:rPr>
          <w:rFonts w:ascii="Verdana" w:hAnsi="Verdana"/>
          <w:sz w:val="16"/>
          <w:szCs w:val="16"/>
          <w:lang w:val="es-CO"/>
        </w:rPr>
      </w:pPr>
      <w:r w:rsidRPr="00474655">
        <w:rPr>
          <w:rFonts w:ascii="Verdana" w:hAnsi="Verdana"/>
          <w:sz w:val="16"/>
          <w:szCs w:val="16"/>
          <w:lang w:val="es-CO"/>
        </w:rPr>
        <w:t>2. Administrar, apropiar, incorporar, comprometer, ordenar el gasto y ejecutar los recursos asignados, los recursos de créditos y los recursos del balance del Sistema General de Participaciones para agua potable y saneamiento de los municipios y distritos descertificados, en el presupuesto del departamento y llevar contabilidad en forma independiente disponiendo de una cuenta bancaria para cada municipio o distrito, de conformidad con el plan de desarrollo del municipio o distrito descertificado. </w:t>
      </w:r>
    </w:p>
    <w:p w14:paraId="54C3CC9B" w14:textId="77777777" w:rsidR="00BE429B" w:rsidRPr="00474655" w:rsidRDefault="00BE429B" w:rsidP="00A7153D">
      <w:pPr>
        <w:pStyle w:val="Textonotapie"/>
        <w:ind w:firstLine="708"/>
        <w:jc w:val="both"/>
        <w:rPr>
          <w:rFonts w:ascii="Verdana" w:hAnsi="Verdana"/>
          <w:sz w:val="16"/>
          <w:szCs w:val="16"/>
          <w:lang w:val="es-CO"/>
        </w:rPr>
      </w:pPr>
      <w:r w:rsidRPr="00474655">
        <w:rPr>
          <w:rFonts w:ascii="Verdana" w:hAnsi="Verdana"/>
          <w:sz w:val="16"/>
          <w:szCs w:val="16"/>
          <w:lang w:val="es-CO"/>
        </w:rPr>
        <w:t>3. Presupuestar y contabilizar sin situación de fondos los recursos girados directamente a los prestadores de los servicios de acueducto, alcantarillado y aseo, a los patrimonios autónomos o a los esquemas fiduciarios constituidos para el manejo de los recursos del Sistema General de Participaciones para Agua Potable y Saneamiento Básico. </w:t>
      </w:r>
    </w:p>
    <w:p w14:paraId="768D487F" w14:textId="77777777" w:rsidR="00BE429B" w:rsidRPr="00474655" w:rsidRDefault="00BE429B" w:rsidP="00A7153D">
      <w:pPr>
        <w:pStyle w:val="Textonotapie"/>
        <w:ind w:firstLine="708"/>
        <w:jc w:val="both"/>
        <w:rPr>
          <w:rFonts w:ascii="Verdana" w:hAnsi="Verdana"/>
          <w:sz w:val="16"/>
          <w:szCs w:val="16"/>
          <w:lang w:val="es-CO"/>
        </w:rPr>
      </w:pPr>
      <w:r w:rsidRPr="00474655">
        <w:rPr>
          <w:rFonts w:ascii="Verdana" w:hAnsi="Verdana"/>
          <w:sz w:val="16"/>
          <w:szCs w:val="16"/>
          <w:lang w:val="es-CO"/>
        </w:rPr>
        <w:t>4. Suscribir los contratos que sean requeridos para asegurar la adecuada destinación de los recursos del Sistema General de Participaciones para Agua Potable y Saneamiento Básico. </w:t>
      </w:r>
    </w:p>
    <w:p w14:paraId="25232973" w14:textId="77777777" w:rsidR="00BE429B" w:rsidRPr="00474655" w:rsidRDefault="00BE429B" w:rsidP="00A7153D">
      <w:pPr>
        <w:pStyle w:val="Textonotapie"/>
        <w:ind w:firstLine="708"/>
        <w:jc w:val="both"/>
        <w:rPr>
          <w:rFonts w:ascii="Verdana" w:hAnsi="Verdana"/>
          <w:sz w:val="16"/>
          <w:szCs w:val="16"/>
          <w:lang w:val="es-CO"/>
        </w:rPr>
      </w:pPr>
      <w:r w:rsidRPr="00474655">
        <w:rPr>
          <w:rFonts w:ascii="Verdana" w:hAnsi="Verdana"/>
          <w:sz w:val="16"/>
          <w:szCs w:val="16"/>
          <w:lang w:val="es-CO"/>
        </w:rPr>
        <w:t>5. Suscribir con las personas prestadoras de los servicios públicos los contratos o convenios de que trata el artículo 2.3.4.1.2.11 del capítulo I del título IV del presente Libro o la norma que lo modifique, complemente o sustituya, para el otorgamiento de subsidios con cargo al SGP. Los contratos o convenios para la financiación de subsidios con cargo a otras fuentes diferentes al Sistema General de Participaciones serán suscritos y ejecutados por el municipio o distrito descertificado. </w:t>
      </w:r>
    </w:p>
    <w:p w14:paraId="50F9D740" w14:textId="77777777" w:rsidR="00BE429B" w:rsidRPr="00474655" w:rsidRDefault="00BE429B" w:rsidP="00A7153D">
      <w:pPr>
        <w:pStyle w:val="Textonotapie"/>
        <w:ind w:firstLine="708"/>
        <w:jc w:val="both"/>
        <w:rPr>
          <w:rFonts w:ascii="Verdana" w:hAnsi="Verdana"/>
          <w:sz w:val="16"/>
          <w:szCs w:val="16"/>
          <w:lang w:val="es-CO"/>
        </w:rPr>
      </w:pPr>
      <w:r w:rsidRPr="00474655">
        <w:rPr>
          <w:rFonts w:ascii="Verdana" w:hAnsi="Verdana"/>
          <w:sz w:val="16"/>
          <w:szCs w:val="16"/>
          <w:lang w:val="es-CO"/>
        </w:rPr>
        <w:t>6. Cumplir con los compromisos adquiridos por el municipio o distrito descertificado con anterioridad a la fecha de ejecutoria del acto administrativo expedido por la Superintendencia de Servicios Públicos Domiciliarios que impone la descertificación, que hayan sido financiados con los recursos del Sistema General de Participaciones para Agua Potable y Saneamiento Básico y cuyo objeto sea cualquiera de las actividades establecidas en el artículo 11 de la Ley 1176 de 2007. </w:t>
      </w:r>
    </w:p>
    <w:p w14:paraId="1BC38E1D" w14:textId="77777777" w:rsidR="00BE429B" w:rsidRPr="00C45436" w:rsidRDefault="00BE429B" w:rsidP="00A7153D">
      <w:pPr>
        <w:pStyle w:val="Textonotapie"/>
        <w:rPr>
          <w:rFonts w:ascii="Verdana" w:hAnsi="Verdana"/>
          <w:sz w:val="16"/>
          <w:szCs w:val="16"/>
          <w:lang w:val="es-CO"/>
        </w:rPr>
      </w:pPr>
      <w:r w:rsidRPr="00C45436">
        <w:rPr>
          <w:rFonts w:ascii="Verdana" w:hAnsi="Verdana"/>
          <w:sz w:val="16"/>
          <w:szCs w:val="16"/>
          <w:lang w:val="es-CO"/>
        </w:rPr>
        <w:t>[…]</w:t>
      </w:r>
    </w:p>
  </w:footnote>
  <w:footnote w:id="20">
    <w:p w14:paraId="382FBC89" w14:textId="77777777" w:rsidR="00BE429B" w:rsidRPr="00C45436" w:rsidRDefault="00BE429B" w:rsidP="00A7153D">
      <w:pPr>
        <w:spacing w:after="0" w:line="240" w:lineRule="auto"/>
        <w:ind w:firstLine="709"/>
        <w:jc w:val="both"/>
        <w:rPr>
          <w:rFonts w:ascii="Verdana" w:eastAsia="Times New Roman"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w:t>
      </w:r>
      <w:bookmarkStart w:id="3" w:name="33"/>
      <w:r w:rsidRPr="00C45436">
        <w:rPr>
          <w:rFonts w:ascii="Verdana" w:eastAsia="Calibri" w:hAnsi="Verdana" w:cs="Arial"/>
          <w:color w:val="000000"/>
          <w:sz w:val="16"/>
          <w:szCs w:val="16"/>
        </w:rPr>
        <w:t>“</w:t>
      </w:r>
      <w:r w:rsidRPr="00C45436">
        <w:rPr>
          <w:rFonts w:ascii="Verdana" w:eastAsia="Times New Roman" w:hAnsi="Verdana" w:cs="Arial"/>
          <w:sz w:val="16"/>
          <w:szCs w:val="16"/>
        </w:rPr>
        <w:t>Artículo 33. Restricciones a la contratación pública.</w:t>
      </w:r>
      <w:bookmarkEnd w:id="3"/>
      <w:r w:rsidRPr="00C45436">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1A60B0FC" w14:textId="77777777" w:rsidR="00BE429B" w:rsidRPr="00C45436" w:rsidRDefault="00BE429B" w:rsidP="00A7153D">
      <w:pPr>
        <w:spacing w:after="0" w:line="240" w:lineRule="auto"/>
        <w:ind w:firstLine="709"/>
        <w:jc w:val="both"/>
        <w:rPr>
          <w:rFonts w:ascii="Verdana" w:eastAsia="Times New Roman" w:hAnsi="Verdana" w:cs="Arial"/>
          <w:sz w:val="16"/>
          <w:szCs w:val="16"/>
        </w:rPr>
      </w:pPr>
      <w:r w:rsidRPr="00C45436">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45436">
        <w:rPr>
          <w:rFonts w:ascii="Verdana" w:eastAsia="Calibri" w:hAnsi="Verdana" w:cs="Arial"/>
          <w:color w:val="000000"/>
          <w:sz w:val="16"/>
          <w:szCs w:val="16"/>
        </w:rPr>
        <w:t>”</w:t>
      </w:r>
      <w:r w:rsidRPr="00C45436">
        <w:rPr>
          <w:rFonts w:ascii="Verdana" w:eastAsia="Times New Roman" w:hAnsi="Verdana" w:cs="Arial"/>
          <w:sz w:val="16"/>
          <w:szCs w:val="16"/>
        </w:rPr>
        <w:t>.</w:t>
      </w:r>
    </w:p>
  </w:footnote>
  <w:footnote w:id="21">
    <w:p w14:paraId="0A726587" w14:textId="77777777" w:rsidR="00BE429B" w:rsidRPr="00C45436" w:rsidRDefault="00BE429B" w:rsidP="00A7153D">
      <w:pPr>
        <w:pStyle w:val="NormalWeb"/>
        <w:spacing w:before="0" w:beforeAutospacing="0" w:after="0" w:afterAutospacing="0"/>
        <w:ind w:firstLine="709"/>
        <w:jc w:val="both"/>
        <w:rPr>
          <w:rFonts w:ascii="Verdana" w:hAnsi="Verdana" w:cs="Arial"/>
          <w:sz w:val="16"/>
          <w:szCs w:val="16"/>
          <w:lang w:val="es-MX"/>
        </w:rPr>
      </w:pPr>
      <w:r w:rsidRPr="00C45436">
        <w:rPr>
          <w:rStyle w:val="Refdenotaalpie"/>
          <w:rFonts w:ascii="Verdana" w:hAnsi="Verdana" w:cs="Arial"/>
          <w:sz w:val="16"/>
          <w:szCs w:val="16"/>
        </w:rPr>
        <w:footnoteRef/>
      </w:r>
      <w:r w:rsidRPr="00C45436">
        <w:rPr>
          <w:rFonts w:ascii="Verdana" w:hAnsi="Verdana" w:cs="Arial"/>
          <w:sz w:val="16"/>
          <w:szCs w:val="16"/>
        </w:rPr>
        <w:t xml:space="preserve"> </w:t>
      </w:r>
      <w:bookmarkStart w:id="4" w:name="38"/>
      <w:r w:rsidRPr="00C45436">
        <w:rPr>
          <w:rFonts w:ascii="Verdana" w:eastAsia="Calibri" w:hAnsi="Verdana" w:cs="Arial"/>
          <w:color w:val="000000"/>
          <w:sz w:val="16"/>
          <w:szCs w:val="16"/>
        </w:rPr>
        <w:t>“</w:t>
      </w:r>
      <w:r w:rsidRPr="00C45436">
        <w:rPr>
          <w:rFonts w:ascii="Verdana" w:hAnsi="Verdana" w:cs="Arial"/>
          <w:sz w:val="16"/>
          <w:szCs w:val="16"/>
          <w:lang w:val="es-MX"/>
        </w:rPr>
        <w:t>Artículo 38. Prohibiciones para los servidores públicos. A los empleados del Estado les está prohibido:</w:t>
      </w:r>
      <w:bookmarkEnd w:id="4"/>
      <w:r w:rsidRPr="00C45436">
        <w:rPr>
          <w:rFonts w:ascii="Verdana" w:hAnsi="Verdana" w:cs="Arial"/>
          <w:sz w:val="16"/>
          <w:szCs w:val="16"/>
          <w:lang w:val="es-MX"/>
        </w:rPr>
        <w:t xml:space="preserve"> […] </w:t>
      </w:r>
      <w:r w:rsidRPr="00C45436">
        <w:rPr>
          <w:rStyle w:val="baj"/>
          <w:rFonts w:ascii="Verdana" w:hAnsi="Verdana" w:cs="Arial"/>
          <w:sz w:val="16"/>
          <w:szCs w:val="16"/>
          <w:lang w:val="es-MX"/>
        </w:rPr>
        <w:t>Parágrafo.</w:t>
      </w:r>
      <w:r w:rsidRPr="00C45436">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45436">
        <w:rPr>
          <w:rFonts w:ascii="Verdana" w:eastAsia="Calibri" w:hAnsi="Verdana" w:cs="Arial"/>
          <w:color w:val="000000"/>
          <w:sz w:val="16"/>
          <w:szCs w:val="16"/>
        </w:rPr>
        <w:t>”</w:t>
      </w:r>
      <w:r w:rsidRPr="00C45436">
        <w:rPr>
          <w:rFonts w:ascii="Verdana" w:hAnsi="Verdana" w:cs="Arial"/>
          <w:sz w:val="16"/>
          <w:szCs w:val="16"/>
          <w:lang w:val="es-MX"/>
        </w:rPr>
        <w:t>.</w:t>
      </w:r>
    </w:p>
  </w:footnote>
  <w:footnote w:id="22">
    <w:p w14:paraId="61ADA570" w14:textId="77777777" w:rsidR="00BE429B" w:rsidRPr="00C45436" w:rsidRDefault="00BE429B" w:rsidP="00A7153D">
      <w:pPr>
        <w:pStyle w:val="Textonotapie"/>
        <w:ind w:firstLine="708"/>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Colombia Compra Eficiente. Circular Externa Única. Numeral 16.5. </w:t>
      </w:r>
    </w:p>
  </w:footnote>
  <w:footnote w:id="23">
    <w:p w14:paraId="5DB098C5" w14:textId="77777777" w:rsidR="00BE429B" w:rsidRPr="00C45436" w:rsidRDefault="00BE429B" w:rsidP="00A7153D">
      <w:pPr>
        <w:spacing w:after="0" w:line="240" w:lineRule="auto"/>
        <w:ind w:left="100" w:right="244" w:firstLine="608"/>
        <w:jc w:val="both"/>
        <w:rPr>
          <w:rFonts w:ascii="Verdana" w:hAnsi="Verdana" w:cs="Arial"/>
          <w:sz w:val="16"/>
          <w:szCs w:val="16"/>
          <w:lang w:val="es-ES"/>
        </w:rPr>
      </w:pPr>
      <w:r w:rsidRPr="00C45436">
        <w:rPr>
          <w:rStyle w:val="Refdenotaalpie"/>
          <w:rFonts w:ascii="Verdana" w:hAnsi="Verdana" w:cs="Arial"/>
          <w:sz w:val="16"/>
          <w:szCs w:val="16"/>
        </w:rPr>
        <w:footnoteRef/>
      </w:r>
      <w:r w:rsidRPr="00C45436">
        <w:rPr>
          <w:rFonts w:ascii="Verdana" w:hAnsi="Verdana" w:cs="Arial"/>
          <w:sz w:val="16"/>
          <w:szCs w:val="16"/>
        </w:rPr>
        <w:t xml:space="preserve"> Consejo de Estado. Sala de Consulta y Servicio Civil. Concepto del 17 de febrero de 2015. C.P. William Zambrano Cetina. Rad. 2269.</w:t>
      </w:r>
    </w:p>
  </w:footnote>
  <w:footnote w:id="24">
    <w:p w14:paraId="5AE1AAA9" w14:textId="77777777" w:rsidR="00BE429B" w:rsidRPr="00C45436" w:rsidRDefault="00BE429B" w:rsidP="00A7153D">
      <w:pPr>
        <w:pStyle w:val="Textonotapie"/>
        <w:ind w:firstLine="709"/>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Consejo de Estado. Sala de Consulta y Servicio Civil. Concepto del 08 de mayo de 2018.</w:t>
      </w:r>
      <w:r w:rsidRPr="00C45436">
        <w:rPr>
          <w:rFonts w:ascii="Verdana" w:hAnsi="Verdana" w:cs="Arial"/>
          <w:sz w:val="16"/>
          <w:szCs w:val="16"/>
          <w:lang w:val="es-CO"/>
        </w:rPr>
        <w:t xml:space="preserve"> C.P. Álvaro Namén Vargas.</w:t>
      </w:r>
      <w:r w:rsidRPr="00C45436">
        <w:rPr>
          <w:rFonts w:ascii="Verdana" w:hAnsi="Verdana" w:cs="Arial"/>
          <w:sz w:val="16"/>
          <w:szCs w:val="16"/>
        </w:rPr>
        <w:t xml:space="preserve"> Rad. 2.382.</w:t>
      </w:r>
    </w:p>
  </w:footnote>
  <w:footnote w:id="25">
    <w:p w14:paraId="1E5D0138" w14:textId="77777777" w:rsidR="00BE429B" w:rsidRPr="00C45436" w:rsidRDefault="00BE429B" w:rsidP="00A7153D">
      <w:pPr>
        <w:pStyle w:val="Textonotapie"/>
        <w:ind w:firstLine="708"/>
        <w:jc w:val="both"/>
        <w:rPr>
          <w:rFonts w:ascii="Verdana" w:hAnsi="Verdana"/>
          <w:sz w:val="16"/>
          <w:szCs w:val="16"/>
        </w:rPr>
      </w:pPr>
      <w:r w:rsidRPr="00C45436">
        <w:rPr>
          <w:rStyle w:val="Refdenotaalpie"/>
          <w:rFonts w:ascii="Verdana" w:hAnsi="Verdana"/>
          <w:sz w:val="16"/>
          <w:szCs w:val="16"/>
        </w:rPr>
        <w:footnoteRef/>
      </w:r>
      <w:r w:rsidRPr="00C45436">
        <w:rPr>
          <w:rFonts w:ascii="Verdana" w:hAnsi="Verdana"/>
          <w:sz w:val="16"/>
          <w:szCs w:val="16"/>
        </w:rPr>
        <w:t xml:space="preserve"> </w:t>
      </w:r>
      <w:r w:rsidRPr="00C45436">
        <w:rPr>
          <w:rFonts w:ascii="Verdana" w:eastAsia="Arial" w:hAnsi="Verdana" w:cs="Arial"/>
          <w:sz w:val="16"/>
          <w:szCs w:val="16"/>
          <w:lang w:eastAsia="es-ES" w:bidi="es-ES"/>
        </w:rPr>
        <w:t xml:space="preserve">Mediante sentencia del 17 de octubre de 2025, emitida por la Sección Tercera del Consejo de Estado, dentro del expediente </w:t>
      </w:r>
      <w:r w:rsidRPr="00C45436">
        <w:rPr>
          <w:rFonts w:ascii="Verdana" w:eastAsia="Times New Roman" w:hAnsi="Verdana" w:cs="Times New Roman"/>
          <w:sz w:val="16"/>
          <w:szCs w:val="16"/>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footnote>
  <w:footnote w:id="26">
    <w:p w14:paraId="7104836E" w14:textId="77777777" w:rsidR="00BE429B" w:rsidRPr="004F6BEA" w:rsidRDefault="00BE429B" w:rsidP="00A7153D">
      <w:pPr>
        <w:pStyle w:val="Textonotapie"/>
        <w:ind w:firstLine="708"/>
        <w:rPr>
          <w:rFonts w:ascii="Verdana" w:hAnsi="Verdana"/>
          <w:sz w:val="16"/>
          <w:szCs w:val="16"/>
          <w:lang w:val="es-CO"/>
        </w:rPr>
      </w:pPr>
      <w:r w:rsidRPr="004F6BEA">
        <w:rPr>
          <w:rStyle w:val="Refdenotaalpie"/>
          <w:rFonts w:ascii="Verdana" w:hAnsi="Verdana"/>
          <w:sz w:val="16"/>
          <w:szCs w:val="16"/>
        </w:rPr>
        <w:footnoteRef/>
      </w:r>
      <w:r w:rsidRPr="004F6BEA">
        <w:rPr>
          <w:rFonts w:ascii="Verdana" w:hAnsi="Verdana"/>
          <w:sz w:val="16"/>
          <w:szCs w:val="16"/>
        </w:rPr>
        <w:t xml:space="preserve"> </w:t>
      </w:r>
      <w:r>
        <w:rPr>
          <w:rFonts w:ascii="Verdana" w:hAnsi="Verdana"/>
          <w:sz w:val="16"/>
          <w:szCs w:val="16"/>
        </w:rPr>
        <w:t xml:space="preserve">Superintendencia de Servicios Públicos Domiciliarios. Conceptos C-086 de 2022 y C-194 de 2022. </w:t>
      </w:r>
    </w:p>
  </w:footnote>
  <w:footnote w:id="27">
    <w:p w14:paraId="5532F4BE" w14:textId="77777777" w:rsidR="00BE429B" w:rsidRPr="00F5052E" w:rsidRDefault="00BE429B" w:rsidP="00A7153D">
      <w:pPr>
        <w:pStyle w:val="Textonotapie"/>
        <w:ind w:firstLine="708"/>
        <w:jc w:val="both"/>
        <w:rPr>
          <w:rFonts w:ascii="Verdana" w:hAnsi="Verdana"/>
          <w:sz w:val="16"/>
          <w:szCs w:val="16"/>
          <w:lang w:val="es-CO"/>
        </w:rPr>
      </w:pPr>
      <w:r w:rsidRPr="00F5052E">
        <w:rPr>
          <w:rStyle w:val="Refdenotaalpie"/>
          <w:rFonts w:ascii="Verdana" w:hAnsi="Verdana"/>
          <w:sz w:val="16"/>
          <w:szCs w:val="16"/>
        </w:rPr>
        <w:footnoteRef/>
      </w:r>
      <w:r w:rsidRPr="00F5052E">
        <w:rPr>
          <w:rFonts w:ascii="Verdana" w:hAnsi="Verdana"/>
          <w:sz w:val="16"/>
          <w:szCs w:val="16"/>
        </w:rPr>
        <w:t xml:space="preserve"> </w:t>
      </w:r>
      <w:r w:rsidRPr="00F5052E">
        <w:rPr>
          <w:rFonts w:ascii="Verdana" w:hAnsi="Verdana"/>
          <w:sz w:val="16"/>
          <w:szCs w:val="16"/>
          <w:lang w:val="es-CO"/>
        </w:rPr>
        <w:t xml:space="preserve">Consejo de Estado, Sala de Consulta y Servicio Civil. Concepto del 6 de abril de 2006, Rad. 1736. C.P. Luis Fernando Álvarez Jaramillo. </w:t>
      </w:r>
    </w:p>
  </w:footnote>
  <w:footnote w:id="28">
    <w:p w14:paraId="1EE3F883" w14:textId="77777777" w:rsidR="00BE429B" w:rsidRPr="00C45436" w:rsidRDefault="00BE429B" w:rsidP="00A7153D">
      <w:pPr>
        <w:pStyle w:val="Textonotapie"/>
        <w:ind w:right="51" w:firstLine="709"/>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Consejo de Estado. Sala de Consulta y Servicio Civil. Concepto del 20 de febrero de 2006. Rad. 1727. C.P. Enrique José Arboleda Perdomo. </w:t>
      </w:r>
    </w:p>
  </w:footnote>
  <w:footnote w:id="29">
    <w:p w14:paraId="2AC18B1D" w14:textId="77777777" w:rsidR="00BE429B" w:rsidRPr="00C45436" w:rsidRDefault="00BE429B" w:rsidP="00A7153D">
      <w:pPr>
        <w:pStyle w:val="Textonotapie"/>
        <w:ind w:firstLine="709"/>
        <w:rPr>
          <w:rFonts w:ascii="Verdana" w:hAnsi="Verdana"/>
          <w:sz w:val="16"/>
          <w:szCs w:val="16"/>
          <w:lang w:val="es-CO"/>
        </w:rPr>
      </w:pPr>
      <w:r w:rsidRPr="00C45436">
        <w:rPr>
          <w:rStyle w:val="Refdenotaalpie"/>
          <w:rFonts w:ascii="Verdana" w:hAnsi="Verdana"/>
          <w:sz w:val="16"/>
          <w:szCs w:val="16"/>
        </w:rPr>
        <w:footnoteRef/>
      </w:r>
      <w:r w:rsidRPr="00C45436">
        <w:rPr>
          <w:rFonts w:ascii="Verdana" w:hAnsi="Verdana"/>
          <w:sz w:val="16"/>
          <w:szCs w:val="16"/>
        </w:rPr>
        <w:t xml:space="preserve"> </w:t>
      </w:r>
      <w:r w:rsidRPr="00C45436">
        <w:rPr>
          <w:rFonts w:ascii="Verdana" w:hAnsi="Verdana" w:cs="Arial"/>
          <w:sz w:val="16"/>
          <w:szCs w:val="16"/>
        </w:rPr>
        <w:t>Consejo de Estado. Sala de Consulta y Servicio Civil. Concepto de 6 de abril de 2006. Rad. 1738. C.P. Enrique José Arboleda Perdomo.</w:t>
      </w:r>
    </w:p>
  </w:footnote>
  <w:footnote w:id="30">
    <w:p w14:paraId="5E02A2FD" w14:textId="77777777" w:rsidR="00BE429B" w:rsidRPr="00C45436" w:rsidRDefault="00BE429B" w:rsidP="00A7153D">
      <w:pPr>
        <w:pStyle w:val="Textonotapie"/>
        <w:ind w:firstLine="709"/>
        <w:contextualSpacing/>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w:t>
      </w:r>
      <w:bookmarkStart w:id="11" w:name="_Hlk192533196"/>
      <w:r w:rsidRPr="00C45436">
        <w:rPr>
          <w:rFonts w:ascii="Verdana" w:hAnsi="Verdana" w:cs="Arial"/>
          <w:sz w:val="16"/>
          <w:szCs w:val="16"/>
        </w:rPr>
        <w:t>Consejo de Estado. Sala de Consulta y Servicio Civil. Concepto del 15 de noviembre de 2007. Rad. 1863. C.P.: Luis Fernando Álvarez Jaramillo.</w:t>
      </w:r>
      <w:bookmarkEnd w:id="11"/>
    </w:p>
  </w:footnote>
  <w:footnote w:id="31">
    <w:p w14:paraId="26339A61" w14:textId="77777777" w:rsidR="00BE429B" w:rsidRPr="00C45436" w:rsidRDefault="00BE429B" w:rsidP="00A7153D">
      <w:pPr>
        <w:pStyle w:val="Textonotapie"/>
        <w:ind w:firstLine="708"/>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Colombia Compra Eficiente. Circular Externa Única. Numeral 15.5.</w:t>
      </w:r>
    </w:p>
  </w:footnote>
  <w:footnote w:id="32">
    <w:p w14:paraId="24B6463E" w14:textId="77777777" w:rsidR="00BE429B" w:rsidRPr="0097307D" w:rsidRDefault="00BE429B" w:rsidP="00A7153D">
      <w:pPr>
        <w:pStyle w:val="Textonotapie"/>
        <w:tabs>
          <w:tab w:val="left" w:pos="6521"/>
        </w:tabs>
        <w:ind w:firstLine="709"/>
        <w:jc w:val="both"/>
        <w:rPr>
          <w:rFonts w:ascii="Verdana" w:hAnsi="Verdana" w:cs="Arial"/>
          <w:sz w:val="16"/>
          <w:szCs w:val="16"/>
          <w:lang w:val="es-ES"/>
        </w:rPr>
      </w:pPr>
      <w:r w:rsidRPr="0097307D">
        <w:rPr>
          <w:rStyle w:val="Refdenotaalpie"/>
          <w:rFonts w:ascii="Verdana" w:hAnsi="Verdana" w:cs="Arial"/>
          <w:sz w:val="16"/>
          <w:szCs w:val="16"/>
        </w:rPr>
        <w:footnoteRef/>
      </w:r>
      <w:r w:rsidRPr="0097307D">
        <w:rPr>
          <w:rFonts w:ascii="Verdana" w:hAnsi="Verdana" w:cs="Arial"/>
          <w:sz w:val="16"/>
          <w:szCs w:val="16"/>
        </w:rPr>
        <w:t xml:space="preserve"> </w:t>
      </w:r>
      <w:r w:rsidRPr="0097307D">
        <w:rPr>
          <w:rFonts w:ascii="Verdana" w:hAnsi="Verdana" w:cs="Arial"/>
          <w:sz w:val="16"/>
          <w:szCs w:val="16"/>
          <w:lang w:val="es-ES"/>
        </w:rPr>
        <w:t>BOBBIO, Norberto. Democracia y secreto. México: Fondo de Cultura Económica, 2013. p. 27.</w:t>
      </w:r>
    </w:p>
  </w:footnote>
  <w:footnote w:id="33">
    <w:p w14:paraId="7FB18B8A" w14:textId="77777777" w:rsidR="00BE429B" w:rsidRPr="00C45436" w:rsidRDefault="00BE429B" w:rsidP="00A7153D">
      <w:pPr>
        <w:pStyle w:val="Textonotapie"/>
        <w:tabs>
          <w:tab w:val="left" w:pos="6521"/>
        </w:tabs>
        <w:ind w:firstLine="709"/>
        <w:jc w:val="both"/>
        <w:rPr>
          <w:rFonts w:ascii="Verdana" w:hAnsi="Verdana" w:cs="Arial"/>
          <w:color w:val="000000" w:themeColor="text1"/>
          <w:sz w:val="16"/>
          <w:szCs w:val="16"/>
        </w:rPr>
      </w:pPr>
      <w:r w:rsidRPr="0097307D">
        <w:rPr>
          <w:rStyle w:val="Refdenotaalpie"/>
          <w:rFonts w:ascii="Verdana" w:hAnsi="Verdana" w:cs="Arial"/>
          <w:color w:val="000000" w:themeColor="text1"/>
          <w:sz w:val="16"/>
          <w:szCs w:val="16"/>
        </w:rPr>
        <w:footnoteRef/>
      </w:r>
      <w:r w:rsidRPr="0097307D">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footnote>
  <w:footnote w:id="34">
    <w:p w14:paraId="59433739" w14:textId="77777777" w:rsidR="00BE429B" w:rsidRPr="0097307D" w:rsidRDefault="00BE429B" w:rsidP="00A7153D">
      <w:pPr>
        <w:pStyle w:val="Textonotapie"/>
        <w:tabs>
          <w:tab w:val="left" w:pos="6521"/>
        </w:tabs>
        <w:ind w:firstLine="709"/>
        <w:jc w:val="both"/>
        <w:rPr>
          <w:rFonts w:ascii="Verdana" w:hAnsi="Verdana" w:cs="Arial"/>
          <w:color w:val="000000" w:themeColor="text1"/>
          <w:sz w:val="16"/>
          <w:szCs w:val="16"/>
        </w:rPr>
      </w:pPr>
      <w:r w:rsidRPr="0097307D">
        <w:rPr>
          <w:rFonts w:ascii="Verdana" w:eastAsia="Times New Roman" w:hAnsi="Verdana" w:cs="Arial"/>
          <w:color w:val="000000" w:themeColor="text1"/>
          <w:sz w:val="16"/>
          <w:szCs w:val="16"/>
          <w:vertAlign w:val="superscript"/>
          <w:lang w:val="es-ES" w:eastAsia="es-ES"/>
        </w:rPr>
        <w:footnoteRef/>
      </w:r>
      <w:r w:rsidRPr="0097307D">
        <w:rPr>
          <w:rFonts w:ascii="Verdana" w:eastAsia="Times New Roman" w:hAnsi="Verdana" w:cs="Arial"/>
          <w:color w:val="000000" w:themeColor="text1"/>
          <w:sz w:val="16"/>
          <w:szCs w:val="16"/>
          <w:vertAlign w:val="superscript"/>
          <w:lang w:val="es-ES" w:eastAsia="es-ES"/>
        </w:rPr>
        <w:t xml:space="preserve"> </w:t>
      </w:r>
      <w:r w:rsidRPr="0097307D">
        <w:rPr>
          <w:rFonts w:ascii="Verdana" w:eastAsia="Times New Roman" w:hAnsi="Verdana" w:cs="Arial"/>
          <w:color w:val="000000" w:themeColor="text1"/>
          <w:sz w:val="16"/>
          <w:szCs w:val="16"/>
          <w:lang w:val="es-ES" w:eastAsia="es-ES"/>
        </w:rPr>
        <w:t>«</w:t>
      </w:r>
      <w:r w:rsidRPr="0097307D">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02AA7CEC" w14:textId="77777777" w:rsidR="00BE429B" w:rsidRPr="0097307D" w:rsidRDefault="00BE429B" w:rsidP="00A7153D">
      <w:pPr>
        <w:pStyle w:val="Textonotapie"/>
        <w:tabs>
          <w:tab w:val="left" w:pos="6521"/>
        </w:tabs>
        <w:ind w:firstLine="709"/>
        <w:jc w:val="both"/>
        <w:rPr>
          <w:rFonts w:ascii="Verdana" w:eastAsia="Times New Roman" w:hAnsi="Verdana" w:cs="Arial"/>
          <w:color w:val="000000" w:themeColor="text1"/>
          <w:sz w:val="16"/>
          <w:szCs w:val="16"/>
          <w:lang w:val="es-ES" w:eastAsia="es-ES"/>
        </w:rPr>
      </w:pPr>
      <w:r w:rsidRPr="0097307D">
        <w:rPr>
          <w:rFonts w:ascii="Verdana" w:hAnsi="Verdana" w:cs="Arial"/>
          <w:color w:val="000000" w:themeColor="text1"/>
          <w:sz w:val="16"/>
          <w:szCs w:val="16"/>
        </w:rPr>
        <w:t>[…].</w:t>
      </w:r>
    </w:p>
    <w:p w14:paraId="61871CD5" w14:textId="77777777" w:rsidR="00BE429B" w:rsidRPr="0097307D" w:rsidRDefault="00BE429B" w:rsidP="00A7153D">
      <w:pPr>
        <w:pStyle w:val="Textonotapie"/>
        <w:tabs>
          <w:tab w:val="left" w:pos="6521"/>
        </w:tabs>
        <w:ind w:firstLine="709"/>
        <w:jc w:val="both"/>
        <w:rPr>
          <w:rFonts w:ascii="Verdana" w:eastAsia="Times New Roman" w:hAnsi="Verdana" w:cs="Arial"/>
          <w:color w:val="000000" w:themeColor="text1"/>
          <w:sz w:val="16"/>
          <w:szCs w:val="16"/>
          <w:lang w:val="es-ES" w:eastAsia="es-ES"/>
        </w:rPr>
      </w:pPr>
      <w:r w:rsidRPr="0097307D">
        <w:rPr>
          <w:rFonts w:ascii="Verdana" w:eastAsia="Times New Roman"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35">
    <w:p w14:paraId="176A12F1" w14:textId="77777777" w:rsidR="00BE429B" w:rsidRPr="00C45436" w:rsidRDefault="00BE429B" w:rsidP="00A7153D">
      <w:pPr>
        <w:pStyle w:val="Textonotapie"/>
        <w:tabs>
          <w:tab w:val="left" w:pos="6521"/>
        </w:tabs>
        <w:ind w:firstLine="709"/>
        <w:jc w:val="both"/>
        <w:rPr>
          <w:rFonts w:ascii="Verdana" w:hAnsi="Verdana" w:cs="Arial"/>
          <w:color w:val="000000"/>
          <w:sz w:val="16"/>
          <w:szCs w:val="16"/>
          <w:lang w:val="es-ES"/>
        </w:rPr>
      </w:pPr>
      <w:r w:rsidRPr="0097307D">
        <w:rPr>
          <w:rStyle w:val="Refdenotaalpie"/>
          <w:rFonts w:ascii="Verdana" w:hAnsi="Verdana" w:cs="Arial"/>
          <w:color w:val="000000"/>
          <w:sz w:val="16"/>
          <w:szCs w:val="16"/>
        </w:rPr>
        <w:footnoteRef/>
      </w:r>
      <w:r w:rsidRPr="0097307D">
        <w:rPr>
          <w:rFonts w:ascii="Verdana" w:hAnsi="Verdana" w:cs="Arial"/>
          <w:color w:val="000000"/>
          <w:sz w:val="16"/>
          <w:szCs w:val="16"/>
          <w:lang w:val="pt-BR"/>
        </w:rPr>
        <w:t xml:space="preserve"> C</w:t>
      </w:r>
      <w:r w:rsidRPr="0097307D">
        <w:rPr>
          <w:rFonts w:ascii="Verdana" w:eastAsia="Times New Roman" w:hAnsi="Verdana" w:cs="Arial"/>
          <w:color w:val="000000"/>
          <w:sz w:val="16"/>
          <w:szCs w:val="16"/>
          <w:lang w:val="pt-BR" w:eastAsia="es-ES"/>
        </w:rPr>
        <w:t xml:space="preserve">orte Constitucional. Sentencia C‒274 de 2013. </w:t>
      </w:r>
      <w:r w:rsidRPr="0097307D">
        <w:rPr>
          <w:rFonts w:ascii="Verdana" w:eastAsia="Times New Roman" w:hAnsi="Verdana" w:cs="Arial"/>
          <w:color w:val="000000"/>
          <w:sz w:val="16"/>
          <w:szCs w:val="16"/>
          <w:lang w:val="es-ES" w:eastAsia="es-ES"/>
        </w:rPr>
        <w:t>M.P. Mar</w:t>
      </w:r>
      <w:r w:rsidRPr="0097307D">
        <w:rPr>
          <w:rFonts w:ascii="Verdana" w:eastAsia="Times New Roman" w:hAnsi="Verdana" w:cs="Century Gothic"/>
          <w:color w:val="000000"/>
          <w:sz w:val="16"/>
          <w:szCs w:val="16"/>
          <w:lang w:val="es-ES" w:eastAsia="es-ES"/>
        </w:rPr>
        <w:t>í</w:t>
      </w:r>
      <w:r w:rsidRPr="0097307D">
        <w:rPr>
          <w:rFonts w:ascii="Verdana" w:eastAsia="Times New Roman" w:hAnsi="Verdana" w:cs="Arial"/>
          <w:color w:val="000000"/>
          <w:sz w:val="16"/>
          <w:szCs w:val="16"/>
          <w:lang w:val="es-ES" w:eastAsia="es-ES"/>
        </w:rPr>
        <w:t xml:space="preserve">a Victoria Calle Correa. </w:t>
      </w:r>
    </w:p>
  </w:footnote>
  <w:footnote w:id="36">
    <w:p w14:paraId="5B655FD2" w14:textId="77777777" w:rsidR="00BE429B" w:rsidRPr="0097307D" w:rsidRDefault="00BE429B" w:rsidP="00A7153D">
      <w:pPr>
        <w:pStyle w:val="Textonotapie"/>
        <w:tabs>
          <w:tab w:val="left" w:pos="6521"/>
        </w:tabs>
        <w:ind w:firstLine="708"/>
        <w:jc w:val="both"/>
        <w:rPr>
          <w:rFonts w:ascii="Verdana" w:hAnsi="Verdana" w:cs="Arial"/>
          <w:color w:val="000000"/>
          <w:sz w:val="16"/>
          <w:szCs w:val="16"/>
        </w:rPr>
      </w:pPr>
      <w:r w:rsidRPr="0097307D">
        <w:rPr>
          <w:rStyle w:val="Refdenotaalpie"/>
          <w:rFonts w:ascii="Verdana" w:hAnsi="Verdana" w:cs="Arial"/>
          <w:color w:val="000000"/>
          <w:sz w:val="16"/>
          <w:szCs w:val="16"/>
        </w:rPr>
        <w:footnoteRef/>
      </w:r>
      <w:r w:rsidRPr="0097307D">
        <w:rPr>
          <w:rFonts w:ascii="Verdana" w:hAnsi="Verdana" w:cs="Arial"/>
          <w:color w:val="000000"/>
          <w:sz w:val="16"/>
          <w:szCs w:val="16"/>
        </w:rPr>
        <w:t xml:space="preserve"> Decreto 4170 de 2011: “Artículo 3. Funciones: La Agencia Nacional de Contratación Pública –Colombia Compra Eficiente– ejercerá las siguientes funciones: [...]</w:t>
      </w:r>
    </w:p>
    <w:p w14:paraId="5B19E4F0" w14:textId="77777777" w:rsidR="00BE429B" w:rsidRPr="0097307D" w:rsidRDefault="00BE429B" w:rsidP="00A7153D">
      <w:pPr>
        <w:pStyle w:val="Textonotapie"/>
        <w:tabs>
          <w:tab w:val="left" w:pos="6521"/>
        </w:tabs>
        <w:ind w:firstLine="708"/>
        <w:jc w:val="both"/>
        <w:rPr>
          <w:rFonts w:ascii="Verdana" w:hAnsi="Verdana" w:cs="Arial"/>
          <w:color w:val="000000"/>
          <w:sz w:val="16"/>
          <w:szCs w:val="16"/>
        </w:rPr>
      </w:pPr>
      <w:r w:rsidRPr="0097307D">
        <w:rPr>
          <w:rFonts w:ascii="Verdana" w:hAnsi="Verdana" w:cs="Arial"/>
          <w:color w:val="000000"/>
          <w:sz w:val="16"/>
          <w:szCs w:val="16"/>
        </w:rPr>
        <w:t>8.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BE429B" w:rsidRDefault="00BE429B"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BE429B" w:rsidRDefault="00BE429B">
    <w:pPr>
      <w:pStyle w:val="Encabezado"/>
    </w:pPr>
  </w:p>
  <w:p w14:paraId="5E18350A" w14:textId="705F7B76" w:rsidR="00BE429B" w:rsidRPr="004A305D" w:rsidRDefault="00BE429B" w:rsidP="00B01B1A">
    <w:pPr>
      <w:spacing w:after="0" w:line="120" w:lineRule="auto"/>
      <w:rPr>
        <w:rFonts w:ascii="Century Gothic" w:eastAsia="Geo" w:hAnsi="Century Gothic" w:cs="Geo"/>
        <w:sz w:val="16"/>
        <w:szCs w:val="16"/>
        <w:lang w:eastAsia="es-CO"/>
      </w:rPr>
    </w:pPr>
  </w:p>
  <w:p w14:paraId="211B7F5D" w14:textId="77777777" w:rsidR="00BE429B" w:rsidRDefault="00BE429B" w:rsidP="00844AE9">
    <w:pPr>
      <w:spacing w:after="0" w:line="240" w:lineRule="auto"/>
      <w:rPr>
        <w:rFonts w:ascii="Verdana" w:hAnsi="Verdana"/>
        <w:sz w:val="24"/>
        <w:szCs w:val="24"/>
      </w:rPr>
    </w:pPr>
  </w:p>
  <w:p w14:paraId="5A0054B1" w14:textId="77777777" w:rsidR="00BE429B" w:rsidRPr="00C925AC" w:rsidRDefault="00BE429B" w:rsidP="00844AE9">
    <w:pPr>
      <w:spacing w:after="0" w:line="240" w:lineRule="auto"/>
      <w:rPr>
        <w:rFonts w:ascii="Verdana" w:hAnsi="Verdana"/>
        <w:sz w:val="24"/>
        <w:szCs w:val="24"/>
      </w:rPr>
    </w:pPr>
  </w:p>
  <w:p w14:paraId="1FD1C243" w14:textId="37C5500A" w:rsidR="00BE429B" w:rsidRPr="00C925AC" w:rsidRDefault="00BE429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10.6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02875594">
    <w:abstractNumId w:val="6"/>
  </w:num>
  <w:num w:numId="2" w16cid:durableId="153881612">
    <w:abstractNumId w:val="1"/>
  </w:num>
  <w:num w:numId="3" w16cid:durableId="1830637421">
    <w:abstractNumId w:val="4"/>
  </w:num>
  <w:num w:numId="4" w16cid:durableId="165448318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89682903">
    <w:abstractNumId w:val="1"/>
  </w:num>
  <w:num w:numId="6" w16cid:durableId="818183192">
    <w:abstractNumId w:val="13"/>
  </w:num>
  <w:num w:numId="7" w16cid:durableId="1574588187">
    <w:abstractNumId w:val="5"/>
  </w:num>
  <w:num w:numId="8" w16cid:durableId="398600639">
    <w:abstractNumId w:val="12"/>
  </w:num>
  <w:num w:numId="9" w16cid:durableId="1009212066">
    <w:abstractNumId w:val="7"/>
  </w:num>
  <w:num w:numId="10" w16cid:durableId="220751822">
    <w:abstractNumId w:val="11"/>
  </w:num>
  <w:num w:numId="11" w16cid:durableId="1248616814">
    <w:abstractNumId w:val="8"/>
  </w:num>
  <w:num w:numId="12" w16cid:durableId="113057732">
    <w:abstractNumId w:val="0"/>
  </w:num>
  <w:num w:numId="13" w16cid:durableId="853494767">
    <w:abstractNumId w:val="2"/>
  </w:num>
  <w:num w:numId="14" w16cid:durableId="1223755931">
    <w:abstractNumId w:val="14"/>
  </w:num>
  <w:num w:numId="15" w16cid:durableId="1781336602">
    <w:abstractNumId w:val="10"/>
  </w:num>
  <w:num w:numId="16" w16cid:durableId="268781047">
    <w:abstractNumId w:val="3"/>
  </w:num>
  <w:num w:numId="17" w16cid:durableId="625770216">
    <w:abstractNumId w:val="9"/>
  </w:num>
  <w:num w:numId="18" w16cid:durableId="168987195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0CF"/>
    <w:rsid w:val="00016F78"/>
    <w:rsid w:val="00046945"/>
    <w:rsid w:val="00055945"/>
    <w:rsid w:val="00061B2A"/>
    <w:rsid w:val="00082362"/>
    <w:rsid w:val="000A683E"/>
    <w:rsid w:val="000B19B9"/>
    <w:rsid w:val="000C7D33"/>
    <w:rsid w:val="000D0334"/>
    <w:rsid w:val="000D5DA7"/>
    <w:rsid w:val="000F6486"/>
    <w:rsid w:val="00116940"/>
    <w:rsid w:val="00125105"/>
    <w:rsid w:val="00127233"/>
    <w:rsid w:val="0015699B"/>
    <w:rsid w:val="001743CA"/>
    <w:rsid w:val="001A33BF"/>
    <w:rsid w:val="001E4177"/>
    <w:rsid w:val="001E449F"/>
    <w:rsid w:val="001F0B24"/>
    <w:rsid w:val="001F7DC6"/>
    <w:rsid w:val="00211230"/>
    <w:rsid w:val="0022400B"/>
    <w:rsid w:val="002421BB"/>
    <w:rsid w:val="00246CBB"/>
    <w:rsid w:val="00252059"/>
    <w:rsid w:val="0025796E"/>
    <w:rsid w:val="002707A2"/>
    <w:rsid w:val="002951A0"/>
    <w:rsid w:val="002962BC"/>
    <w:rsid w:val="002A093D"/>
    <w:rsid w:val="002A0DD0"/>
    <w:rsid w:val="002A49AC"/>
    <w:rsid w:val="002A58CD"/>
    <w:rsid w:val="002A64FD"/>
    <w:rsid w:val="002B730F"/>
    <w:rsid w:val="002C7A84"/>
    <w:rsid w:val="002E2BF8"/>
    <w:rsid w:val="002E4FD9"/>
    <w:rsid w:val="003004D2"/>
    <w:rsid w:val="0030657A"/>
    <w:rsid w:val="00322A85"/>
    <w:rsid w:val="00324168"/>
    <w:rsid w:val="00325055"/>
    <w:rsid w:val="00330834"/>
    <w:rsid w:val="003448F4"/>
    <w:rsid w:val="0036053B"/>
    <w:rsid w:val="0037015E"/>
    <w:rsid w:val="00374F5E"/>
    <w:rsid w:val="00377E3E"/>
    <w:rsid w:val="003A779E"/>
    <w:rsid w:val="003C5FD9"/>
    <w:rsid w:val="003D0F4D"/>
    <w:rsid w:val="003D5B0D"/>
    <w:rsid w:val="003E0499"/>
    <w:rsid w:val="003E4F80"/>
    <w:rsid w:val="003E6439"/>
    <w:rsid w:val="003F3941"/>
    <w:rsid w:val="00406575"/>
    <w:rsid w:val="00414C74"/>
    <w:rsid w:val="0042722E"/>
    <w:rsid w:val="00442203"/>
    <w:rsid w:val="0044528D"/>
    <w:rsid w:val="00466E39"/>
    <w:rsid w:val="00470178"/>
    <w:rsid w:val="00474655"/>
    <w:rsid w:val="004A1847"/>
    <w:rsid w:val="004A305D"/>
    <w:rsid w:val="004D5C33"/>
    <w:rsid w:val="004F21C4"/>
    <w:rsid w:val="004F685F"/>
    <w:rsid w:val="005566E8"/>
    <w:rsid w:val="00560ECB"/>
    <w:rsid w:val="00574867"/>
    <w:rsid w:val="00591460"/>
    <w:rsid w:val="005A65E0"/>
    <w:rsid w:val="005C3777"/>
    <w:rsid w:val="005C47DD"/>
    <w:rsid w:val="005C5CDC"/>
    <w:rsid w:val="005D476C"/>
    <w:rsid w:val="005E7C99"/>
    <w:rsid w:val="005F1A8F"/>
    <w:rsid w:val="00603964"/>
    <w:rsid w:val="006200BF"/>
    <w:rsid w:val="006219F8"/>
    <w:rsid w:val="006302F7"/>
    <w:rsid w:val="00643685"/>
    <w:rsid w:val="00646B9F"/>
    <w:rsid w:val="006506D8"/>
    <w:rsid w:val="006571B8"/>
    <w:rsid w:val="00665D70"/>
    <w:rsid w:val="006900D9"/>
    <w:rsid w:val="0070369F"/>
    <w:rsid w:val="00706C16"/>
    <w:rsid w:val="0071632A"/>
    <w:rsid w:val="007340C3"/>
    <w:rsid w:val="00747A86"/>
    <w:rsid w:val="0075235A"/>
    <w:rsid w:val="00756841"/>
    <w:rsid w:val="007649AB"/>
    <w:rsid w:val="00771D0C"/>
    <w:rsid w:val="007833AC"/>
    <w:rsid w:val="007A1830"/>
    <w:rsid w:val="007B268C"/>
    <w:rsid w:val="007B7171"/>
    <w:rsid w:val="007C0C0F"/>
    <w:rsid w:val="007C3DC2"/>
    <w:rsid w:val="007D1AA3"/>
    <w:rsid w:val="007E5497"/>
    <w:rsid w:val="00806F5F"/>
    <w:rsid w:val="00820278"/>
    <w:rsid w:val="008258C9"/>
    <w:rsid w:val="008316FF"/>
    <w:rsid w:val="00844AE9"/>
    <w:rsid w:val="00867F95"/>
    <w:rsid w:val="008843B6"/>
    <w:rsid w:val="008853C8"/>
    <w:rsid w:val="00891928"/>
    <w:rsid w:val="008A3E33"/>
    <w:rsid w:val="008A446D"/>
    <w:rsid w:val="008B25F1"/>
    <w:rsid w:val="008D180B"/>
    <w:rsid w:val="008F0EA7"/>
    <w:rsid w:val="00923EEF"/>
    <w:rsid w:val="009419F9"/>
    <w:rsid w:val="00945E3D"/>
    <w:rsid w:val="0095685E"/>
    <w:rsid w:val="00961B09"/>
    <w:rsid w:val="00965334"/>
    <w:rsid w:val="0097093E"/>
    <w:rsid w:val="00982C6E"/>
    <w:rsid w:val="009A0DFA"/>
    <w:rsid w:val="009B2D26"/>
    <w:rsid w:val="009C71FA"/>
    <w:rsid w:val="009C72E7"/>
    <w:rsid w:val="009C7F7E"/>
    <w:rsid w:val="009D3058"/>
    <w:rsid w:val="009D53A2"/>
    <w:rsid w:val="009F3A13"/>
    <w:rsid w:val="00A02AB0"/>
    <w:rsid w:val="00A122D3"/>
    <w:rsid w:val="00A14468"/>
    <w:rsid w:val="00A17F13"/>
    <w:rsid w:val="00A20739"/>
    <w:rsid w:val="00A23AF9"/>
    <w:rsid w:val="00A33C78"/>
    <w:rsid w:val="00A7153D"/>
    <w:rsid w:val="00A96668"/>
    <w:rsid w:val="00AB0ADB"/>
    <w:rsid w:val="00B00412"/>
    <w:rsid w:val="00B00C0E"/>
    <w:rsid w:val="00B01B1A"/>
    <w:rsid w:val="00B44A47"/>
    <w:rsid w:val="00B72CD3"/>
    <w:rsid w:val="00B72FFF"/>
    <w:rsid w:val="00B77287"/>
    <w:rsid w:val="00BC3D36"/>
    <w:rsid w:val="00BD54A6"/>
    <w:rsid w:val="00BD7F72"/>
    <w:rsid w:val="00BE429B"/>
    <w:rsid w:val="00BF7425"/>
    <w:rsid w:val="00C04FB3"/>
    <w:rsid w:val="00C11D8B"/>
    <w:rsid w:val="00C16B06"/>
    <w:rsid w:val="00C330EB"/>
    <w:rsid w:val="00C50D69"/>
    <w:rsid w:val="00C5365C"/>
    <w:rsid w:val="00C754BE"/>
    <w:rsid w:val="00C76B1C"/>
    <w:rsid w:val="00C925AC"/>
    <w:rsid w:val="00CB6357"/>
    <w:rsid w:val="00CC1B26"/>
    <w:rsid w:val="00D01973"/>
    <w:rsid w:val="00D24E1B"/>
    <w:rsid w:val="00D361FD"/>
    <w:rsid w:val="00D423A2"/>
    <w:rsid w:val="00D44E26"/>
    <w:rsid w:val="00D520D8"/>
    <w:rsid w:val="00D532F2"/>
    <w:rsid w:val="00D63AC2"/>
    <w:rsid w:val="00D7383B"/>
    <w:rsid w:val="00D7788A"/>
    <w:rsid w:val="00DA231B"/>
    <w:rsid w:val="00DC39FC"/>
    <w:rsid w:val="00DF3306"/>
    <w:rsid w:val="00DF5254"/>
    <w:rsid w:val="00E02524"/>
    <w:rsid w:val="00E16408"/>
    <w:rsid w:val="00E20894"/>
    <w:rsid w:val="00E245AB"/>
    <w:rsid w:val="00E2764C"/>
    <w:rsid w:val="00E27F2E"/>
    <w:rsid w:val="00E50AFE"/>
    <w:rsid w:val="00E75C92"/>
    <w:rsid w:val="00E771DC"/>
    <w:rsid w:val="00E8772A"/>
    <w:rsid w:val="00E90F6B"/>
    <w:rsid w:val="00E92C27"/>
    <w:rsid w:val="00E94B76"/>
    <w:rsid w:val="00EA0E3D"/>
    <w:rsid w:val="00EC38A7"/>
    <w:rsid w:val="00ED0AD9"/>
    <w:rsid w:val="00EE1AA8"/>
    <w:rsid w:val="00F23FEA"/>
    <w:rsid w:val="00F27B7B"/>
    <w:rsid w:val="00F31EDC"/>
    <w:rsid w:val="00F462B3"/>
    <w:rsid w:val="00F5664F"/>
    <w:rsid w:val="00F666C4"/>
    <w:rsid w:val="00F7501A"/>
    <w:rsid w:val="00F76AFC"/>
    <w:rsid w:val="00FA47C0"/>
    <w:rsid w:val="00FB5DD1"/>
    <w:rsid w:val="00FC2B5D"/>
    <w:rsid w:val="00FD2581"/>
    <w:rsid w:val="00FF1449"/>
    <w:rsid w:val="00FF3D97"/>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153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F3D97"/>
    <w:rPr>
      <w:rFonts w:ascii="Geomanist Light" w:hAnsi="Geomanist Light"/>
      <w:lang w:val="es-ES"/>
    </w:rPr>
  </w:style>
  <w:style w:type="character" w:customStyle="1" w:styleId="NormalWebCar">
    <w:name w:val="Normal (Web) Car"/>
    <w:link w:val="NormalWeb"/>
    <w:uiPriority w:val="99"/>
    <w:locked/>
    <w:rsid w:val="00A7153D"/>
    <w:rPr>
      <w:rFonts w:ascii="Times New Roman" w:eastAsia="Times New Roman" w:hAnsi="Times New Roman" w:cs="Times New Roman"/>
      <w:sz w:val="24"/>
      <w:szCs w:val="24"/>
      <w:lang w:eastAsia="es-CO"/>
    </w:rPr>
  </w:style>
  <w:style w:type="character" w:customStyle="1" w:styleId="baj">
    <w:name w:val="b_aj"/>
    <w:basedOn w:val="Fuentedeprrafopredeter"/>
    <w:rsid w:val="00A715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17703">
      <w:bodyDiv w:val="1"/>
      <w:marLeft w:val="0"/>
      <w:marRight w:val="0"/>
      <w:marTop w:val="0"/>
      <w:marBottom w:val="0"/>
      <w:divBdr>
        <w:top w:val="none" w:sz="0" w:space="0" w:color="auto"/>
        <w:left w:val="none" w:sz="0" w:space="0" w:color="auto"/>
        <w:bottom w:val="none" w:sz="0" w:space="0" w:color="auto"/>
        <w:right w:val="none" w:sz="0" w:space="0" w:color="auto"/>
      </w:divBdr>
    </w:div>
    <w:div w:id="362830511">
      <w:bodyDiv w:val="1"/>
      <w:marLeft w:val="0"/>
      <w:marRight w:val="0"/>
      <w:marTop w:val="0"/>
      <w:marBottom w:val="0"/>
      <w:divBdr>
        <w:top w:val="none" w:sz="0" w:space="0" w:color="auto"/>
        <w:left w:val="none" w:sz="0" w:space="0" w:color="auto"/>
        <w:bottom w:val="none" w:sz="0" w:space="0" w:color="auto"/>
        <w:right w:val="none" w:sz="0" w:space="0" w:color="auto"/>
      </w:divBdr>
    </w:div>
    <w:div w:id="364061825">
      <w:bodyDiv w:val="1"/>
      <w:marLeft w:val="0"/>
      <w:marRight w:val="0"/>
      <w:marTop w:val="0"/>
      <w:marBottom w:val="0"/>
      <w:divBdr>
        <w:top w:val="none" w:sz="0" w:space="0" w:color="auto"/>
        <w:left w:val="none" w:sz="0" w:space="0" w:color="auto"/>
        <w:bottom w:val="none" w:sz="0" w:space="0" w:color="auto"/>
        <w:right w:val="none" w:sz="0" w:space="0" w:color="auto"/>
      </w:divBdr>
    </w:div>
    <w:div w:id="55589833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94171352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18232" TargetMode="External"/><Relationship Id="rId18" Type="http://schemas.openxmlformats.org/officeDocument/2006/relationships/hyperlink" Target="https://relatoria.colombiacompra.gov.co/busqueda/conceptos"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7" Type="http://schemas.openxmlformats.org/officeDocument/2006/relationships/settings" Target="settings.xml"/><Relationship Id="rId12" Type="http://schemas.openxmlformats.org/officeDocument/2006/relationships/hyperlink" Target="mailto:nrueda266@unab.edu.co" TargetMode="External"/><Relationship Id="rId17" Type="http://schemas.openxmlformats.org/officeDocument/2006/relationships/hyperlink" Target="http://www.secretariasenado.gov.co/senado/basedoc/decreto_1494_2015.html" TargetMode="External"/><Relationship Id="rId25"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funcionpublica.gov.co/eva/gestornormativo/norma.php?i=18232" TargetMode="External"/><Relationship Id="rId20" Type="http://schemas.openxmlformats.org/officeDocument/2006/relationships/hyperlink" Target="https://www.colombiacompra.gov.co/normativa-y-relatoria/documentos-tipo"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hyperlink" Target="https://forms.office.com/r/pPHyWVs2SZ" TargetMode="External"/><Relationship Id="rId5" Type="http://schemas.openxmlformats.org/officeDocument/2006/relationships/numbering" Target="numbering.xml"/><Relationship Id="rId15" Type="http://schemas.openxmlformats.org/officeDocument/2006/relationships/hyperlink" Target="https://www.funcionpublica.gov.co/eva/gestornormativo/norma.php?i=18232" TargetMode="External"/><Relationship Id="rId23" Type="http://schemas.openxmlformats.org/officeDocument/2006/relationships/hyperlink" Target="https://www.colombiacompra.gov.co/pqrsd/informacion-importante-antes-de-formular-una-pqrsd"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acionvirtual.colombiacompra.gov.co/mod/page/view.php?id=3718"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18232" TargetMode="External"/><Relationship Id="rId22" Type="http://schemas.openxmlformats.org/officeDocument/2006/relationships/hyperlink" Target="mailto:ventanilladeradicacion@colombiacompra.gov.co" TargetMode="External"/><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3EF3F7A8-FFC3-4237-A751-42DB641566A6}">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7FC47003-92EC-4F69-A663-C1580DEA61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55</Pages>
  <Words>18897</Words>
  <Characters>105450</Characters>
  <Application>Microsoft Office Word</Application>
  <DocSecurity>0</DocSecurity>
  <Lines>1952</Lines>
  <Paragraphs>307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2026-03-05T02:15:00Z</dcterms:created>
  <dcterms:modified xsi:type="dcterms:W3CDTF">2026-03-05T15:30:00Z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