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EAAC6D" w14:textId="77777777" w:rsidR="00E25989" w:rsidRPr="00481348" w:rsidRDefault="00E25989" w:rsidP="00E25989">
      <w:pPr>
        <w:pStyle w:val="paragraph"/>
        <w:spacing w:before="0" w:beforeAutospacing="0" w:after="0" w:afterAutospacing="0"/>
        <w:jc w:val="both"/>
        <w:textAlignment w:val="baseline"/>
        <w:rPr>
          <w:rFonts w:ascii="Verdana" w:hAnsi="Verdana" w:cs="Segoe UI"/>
          <w:b/>
          <w:bCs/>
          <w:sz w:val="22"/>
          <w:szCs w:val="22"/>
        </w:rPr>
      </w:pPr>
      <w:bookmarkStart w:id="0" w:name="_Hlk143780582"/>
      <w:r w:rsidRPr="00481348">
        <w:rPr>
          <w:rStyle w:val="normaltextrun"/>
          <w:rFonts w:ascii="Verdana" w:hAnsi="Verdana" w:cs="Segoe UI"/>
          <w:b/>
          <w:bCs/>
          <w:sz w:val="22"/>
          <w:szCs w:val="22"/>
        </w:rPr>
        <w:t xml:space="preserve">CONTRATO DE PRESTACIÓN DE SERVICIOS </w:t>
      </w:r>
      <w:r w:rsidRPr="00481348">
        <w:rPr>
          <w:rStyle w:val="normaltextrun"/>
          <w:rFonts w:ascii="Verdana" w:hAnsi="Verdana" w:cs="Segoe UI"/>
          <w:b/>
          <w:bCs/>
          <w:color w:val="000000"/>
          <w:sz w:val="22"/>
          <w:szCs w:val="22"/>
        </w:rPr>
        <w:t>–</w:t>
      </w:r>
      <w:r w:rsidRPr="00481348">
        <w:rPr>
          <w:rStyle w:val="normaltextrun"/>
          <w:rFonts w:ascii="Verdana" w:hAnsi="Verdana" w:cs="Segoe UI"/>
          <w:b/>
          <w:bCs/>
          <w:sz w:val="22"/>
          <w:szCs w:val="22"/>
        </w:rPr>
        <w:t xml:space="preserve"> Concepto </w:t>
      </w:r>
      <w:r w:rsidRPr="00481348">
        <w:rPr>
          <w:rStyle w:val="normaltextrun"/>
          <w:rFonts w:ascii="Verdana" w:hAnsi="Verdana" w:cs="Segoe UI"/>
          <w:b/>
          <w:bCs/>
          <w:color w:val="000000"/>
          <w:sz w:val="22"/>
          <w:szCs w:val="22"/>
        </w:rPr>
        <w:t>– Objeto</w:t>
      </w:r>
      <w:r w:rsidRPr="00481348">
        <w:rPr>
          <w:rStyle w:val="eop"/>
          <w:rFonts w:ascii="Verdana" w:hAnsi="Verdana" w:cs="Segoe UI"/>
          <w:b/>
          <w:bCs/>
          <w:color w:val="000000"/>
          <w:sz w:val="22"/>
          <w:szCs w:val="22"/>
        </w:rPr>
        <w:t> - Idoneidad</w:t>
      </w:r>
    </w:p>
    <w:p w14:paraId="4AE59E53" w14:textId="77777777" w:rsidR="00E25989" w:rsidRPr="00481348" w:rsidRDefault="00E25989" w:rsidP="00E25989">
      <w:pPr>
        <w:pStyle w:val="paragraph"/>
        <w:spacing w:before="0" w:beforeAutospacing="0" w:after="0" w:afterAutospacing="0"/>
        <w:jc w:val="both"/>
        <w:textAlignment w:val="baseline"/>
        <w:rPr>
          <w:rFonts w:ascii="Verdana" w:hAnsi="Verdana" w:cs="Segoe UI"/>
          <w:sz w:val="22"/>
          <w:szCs w:val="22"/>
        </w:rPr>
      </w:pPr>
      <w:r w:rsidRPr="00481348">
        <w:rPr>
          <w:rStyle w:val="eop"/>
          <w:rFonts w:ascii="Verdana" w:hAnsi="Verdana" w:cs="Segoe UI"/>
          <w:sz w:val="22"/>
          <w:szCs w:val="22"/>
        </w:rPr>
        <w:t> </w:t>
      </w:r>
    </w:p>
    <w:p w14:paraId="65F7BE60" w14:textId="77777777" w:rsidR="00E25989" w:rsidRPr="00481348" w:rsidRDefault="00E25989" w:rsidP="00E25989">
      <w:pPr>
        <w:pStyle w:val="paragraph"/>
        <w:spacing w:before="0" w:beforeAutospacing="0" w:after="0" w:afterAutospacing="0"/>
        <w:jc w:val="both"/>
        <w:textAlignment w:val="baseline"/>
        <w:rPr>
          <w:rStyle w:val="normaltextrun"/>
          <w:rFonts w:ascii="Verdana" w:hAnsi="Verdana" w:cs="Segoe UI"/>
          <w:sz w:val="20"/>
          <w:szCs w:val="20"/>
        </w:rPr>
      </w:pPr>
      <w:r w:rsidRPr="00481348">
        <w:rPr>
          <w:rStyle w:val="normaltextrun"/>
          <w:rFonts w:ascii="Verdana" w:hAnsi="Verdana" w:cs="Segoe UI"/>
          <w:sz w:val="20"/>
          <w:szCs w:val="20"/>
        </w:rPr>
        <w:t>El contrato de prestación de servicios es un contrato estatal típico regulado en el artículo 32.3 de la Ley 80 de 1993. Es definido como aquel que “</w:t>
      </w:r>
      <w:r w:rsidRPr="00481348">
        <w:rPr>
          <w:rStyle w:val="normaltextrun"/>
          <w:rFonts w:ascii="Verdana" w:hAnsi="Verdana" w:cs="Segoe UI"/>
          <w:i/>
          <w:iCs/>
          <w:sz w:val="20"/>
          <w:szCs w:val="20"/>
        </w:rPr>
        <w:t>celebren las entidades estatales para desarrollar actividades relacionadas con la administración o funcionamiento de la entidad</w:t>
      </w:r>
      <w:r w:rsidRPr="00481348">
        <w:rPr>
          <w:rStyle w:val="normaltextrun"/>
          <w:rFonts w:ascii="Verdana" w:hAnsi="Verdana" w:cs="Segoe UI"/>
          <w:sz w:val="20"/>
          <w:szCs w:val="20"/>
        </w:rPr>
        <w:t>”.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 La celebración de dicho contrato debe efectuarse a través de la modalidad de contratación directa. </w:t>
      </w:r>
    </w:p>
    <w:p w14:paraId="6C4F5C1D" w14:textId="77777777" w:rsidR="00E25989" w:rsidRPr="00481348" w:rsidRDefault="00E25989" w:rsidP="00E25989">
      <w:pPr>
        <w:pStyle w:val="paragraph"/>
        <w:spacing w:before="0" w:beforeAutospacing="0" w:after="0" w:afterAutospacing="0"/>
        <w:jc w:val="both"/>
        <w:textAlignment w:val="baseline"/>
        <w:rPr>
          <w:rStyle w:val="normaltextrun"/>
          <w:rFonts w:ascii="Verdana" w:hAnsi="Verdana" w:cs="Segoe UI"/>
          <w:sz w:val="22"/>
          <w:szCs w:val="22"/>
        </w:rPr>
      </w:pPr>
    </w:p>
    <w:p w14:paraId="3B8DAC50" w14:textId="77777777" w:rsidR="00E25989" w:rsidRPr="00481348" w:rsidRDefault="00E25989" w:rsidP="00E25989">
      <w:pPr>
        <w:spacing w:after="120" w:line="240" w:lineRule="auto"/>
        <w:jc w:val="both"/>
        <w:rPr>
          <w:rFonts w:ascii="Verdana" w:hAnsi="Verdana"/>
          <w:sz w:val="20"/>
          <w:szCs w:val="20"/>
        </w:rPr>
      </w:pPr>
      <w:r w:rsidRPr="00481348">
        <w:rPr>
          <w:rFonts w:ascii="Verdana" w:hAnsi="Verdana"/>
          <w:sz w:val="20"/>
          <w:szCs w:val="20"/>
        </w:rPr>
        <w:t>El artículo 2.2.1.2.1.4.9. del Decreto 1082 de 2015, establece que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que se trate […]”. En este sentido, establece como condición para la celebración de este particular tipo de contratos que la Entidad Estatal verifique que el contratista tenga la “la idoneidad y la experiencia requerida y relacionada con el área de que se trate” el respectivo objeto contractual. De lo anterior supone que, la Entidad Estatal establezca en los estudios previos unos parámetros mínimos de idoneidad y experiencia, a partir de los cuales puedan constatar la aptitud del aspirante contratista, los cuales deberán ser adecuados y proporcionales a la naturaleza del contrato a suscribir y a su valor, de acuerdo con lo dispuesto en el numeral 1 del artículo 5 de la Ley 1150 de 2007.</w:t>
      </w:r>
    </w:p>
    <w:p w14:paraId="45184291" w14:textId="77777777" w:rsidR="00E25989" w:rsidRPr="00481348" w:rsidRDefault="00E25989" w:rsidP="00E25989">
      <w:pPr>
        <w:pStyle w:val="paragraph"/>
        <w:spacing w:before="0" w:beforeAutospacing="0" w:after="0" w:afterAutospacing="0"/>
        <w:jc w:val="both"/>
        <w:textAlignment w:val="baseline"/>
        <w:rPr>
          <w:rFonts w:ascii="Verdana" w:hAnsi="Verdana"/>
        </w:rPr>
      </w:pPr>
    </w:p>
    <w:p w14:paraId="4EBE95C8" w14:textId="77777777" w:rsidR="00E25989" w:rsidRPr="00481348" w:rsidRDefault="00E25989" w:rsidP="00E25989">
      <w:pPr>
        <w:pStyle w:val="paragraph"/>
        <w:spacing w:before="0" w:beforeAutospacing="0" w:after="0" w:afterAutospacing="0"/>
        <w:jc w:val="both"/>
        <w:textAlignment w:val="baseline"/>
        <w:rPr>
          <w:rFonts w:ascii="Verdana" w:hAnsi="Verdana"/>
          <w:b/>
          <w:bCs/>
          <w:sz w:val="22"/>
          <w:szCs w:val="22"/>
        </w:rPr>
      </w:pPr>
      <w:r w:rsidRPr="00481348">
        <w:rPr>
          <w:rFonts w:ascii="Verdana" w:hAnsi="Verdana"/>
          <w:b/>
          <w:bCs/>
          <w:sz w:val="22"/>
          <w:szCs w:val="22"/>
        </w:rPr>
        <w:t>CONTRATOS DE PRESTACIÓN DE SERVICIOS – Estudios previos – Condiciones para su ejecución</w:t>
      </w:r>
    </w:p>
    <w:p w14:paraId="00850316" w14:textId="77777777" w:rsidR="00E25989" w:rsidRPr="00481348" w:rsidRDefault="00E25989" w:rsidP="00E25989">
      <w:pPr>
        <w:pStyle w:val="paragraph"/>
        <w:spacing w:before="0" w:beforeAutospacing="0" w:after="0" w:afterAutospacing="0"/>
        <w:jc w:val="both"/>
        <w:textAlignment w:val="baseline"/>
        <w:rPr>
          <w:rFonts w:ascii="Verdana" w:hAnsi="Verdana"/>
          <w:b/>
          <w:bCs/>
          <w:sz w:val="20"/>
          <w:szCs w:val="20"/>
        </w:rPr>
      </w:pPr>
    </w:p>
    <w:p w14:paraId="09D405EA" w14:textId="77777777" w:rsidR="00E25989" w:rsidRPr="00481348" w:rsidRDefault="00E25989" w:rsidP="00E25989">
      <w:pPr>
        <w:spacing w:after="0" w:line="240" w:lineRule="auto"/>
        <w:jc w:val="both"/>
        <w:rPr>
          <w:rFonts w:ascii="Verdana" w:hAnsi="Verdana" w:cs="Arial"/>
          <w:sz w:val="20"/>
          <w:szCs w:val="20"/>
        </w:rPr>
      </w:pPr>
      <w:r w:rsidRPr="00481348">
        <w:rPr>
          <w:rFonts w:ascii="Verdana" w:hAnsi="Verdana" w:cs="Arial"/>
          <w:sz w:val="20"/>
          <w:szCs w:val="20"/>
        </w:rPr>
        <w:t xml:space="preserve">“Artículo 2.2.1.1.2.1.1. Los estudios y documentos previos son el soporte para elaborar el proyecto de pliegos, los pliegos de condiciones y el contrato. Estos deben permanecer a disposición del público durante el desarrollo del Proceso de Contratación y contener los siguientes elementos, además de los indicados para cada modalidad de selección: </w:t>
      </w:r>
    </w:p>
    <w:p w14:paraId="25F387DA" w14:textId="77777777" w:rsidR="00E25989" w:rsidRPr="00481348" w:rsidRDefault="00E25989" w:rsidP="00E25989">
      <w:pPr>
        <w:spacing w:after="0" w:line="240" w:lineRule="auto"/>
        <w:jc w:val="both"/>
        <w:rPr>
          <w:rFonts w:ascii="Verdana" w:hAnsi="Verdana" w:cs="Arial"/>
          <w:sz w:val="20"/>
          <w:szCs w:val="20"/>
        </w:rPr>
      </w:pPr>
      <w:r w:rsidRPr="00481348">
        <w:rPr>
          <w:rFonts w:ascii="Verdana" w:hAnsi="Verdana" w:cs="Arial"/>
          <w:sz w:val="20"/>
          <w:szCs w:val="20"/>
        </w:rPr>
        <w:t xml:space="preserve">La descripción de la necesidad que la Entidad Estatal pretende satisfacer con el Proceso de Contratación. </w:t>
      </w:r>
      <w:r w:rsidRPr="00481348">
        <w:rPr>
          <w:rFonts w:ascii="Arial" w:hAnsi="Arial" w:cs="Arial"/>
          <w:sz w:val="20"/>
          <w:szCs w:val="20"/>
        </w:rPr>
        <w:t>​</w:t>
      </w:r>
    </w:p>
    <w:p w14:paraId="0AAF6AC3" w14:textId="77777777" w:rsidR="00E25989" w:rsidRPr="00481348" w:rsidRDefault="00E25989" w:rsidP="00E25989">
      <w:pPr>
        <w:spacing w:after="0" w:line="240" w:lineRule="auto"/>
        <w:jc w:val="both"/>
        <w:rPr>
          <w:rFonts w:ascii="Verdana" w:hAnsi="Verdana" w:cs="Arial"/>
          <w:sz w:val="20"/>
          <w:szCs w:val="20"/>
        </w:rPr>
      </w:pPr>
    </w:p>
    <w:p w14:paraId="069F6B49" w14:textId="77777777" w:rsidR="00E25989" w:rsidRPr="00481348" w:rsidRDefault="00E25989" w:rsidP="00E25989">
      <w:pPr>
        <w:spacing w:after="0" w:line="240" w:lineRule="auto"/>
        <w:jc w:val="both"/>
        <w:rPr>
          <w:rFonts w:ascii="Verdana" w:hAnsi="Verdana" w:cs="Arial"/>
          <w:sz w:val="20"/>
          <w:szCs w:val="20"/>
        </w:rPr>
      </w:pPr>
      <w:proofErr w:type="gramStart"/>
      <w:r w:rsidRPr="00481348">
        <w:rPr>
          <w:rFonts w:ascii="Verdana" w:hAnsi="Verdana" w:cs="Arial"/>
          <w:sz w:val="20"/>
          <w:szCs w:val="20"/>
        </w:rPr>
        <w:t>El objeto a contratar</w:t>
      </w:r>
      <w:proofErr w:type="gramEnd"/>
      <w:r w:rsidRPr="00481348">
        <w:rPr>
          <w:rFonts w:ascii="Verdana" w:hAnsi="Verdana" w:cs="Arial"/>
          <w:sz w:val="20"/>
          <w:szCs w:val="20"/>
        </w:rPr>
        <w:t xml:space="preserve">, con sus especificaciones, las autorizaciones, permisos y licencias requeridos para su ejecución, y cuando el contrato incluye diseño y construcción, los documentos técnicos para el desarrollo del proyecto. </w:t>
      </w:r>
    </w:p>
    <w:p w14:paraId="2CE38056" w14:textId="77777777" w:rsidR="00E25989" w:rsidRPr="00481348" w:rsidRDefault="00E25989" w:rsidP="00E25989">
      <w:pPr>
        <w:spacing w:after="0" w:line="240" w:lineRule="auto"/>
        <w:jc w:val="both"/>
        <w:rPr>
          <w:rFonts w:ascii="Verdana" w:hAnsi="Verdana" w:cs="Arial"/>
          <w:sz w:val="20"/>
          <w:szCs w:val="20"/>
        </w:rPr>
      </w:pPr>
      <w:r w:rsidRPr="00481348">
        <w:rPr>
          <w:rFonts w:ascii="Verdana" w:hAnsi="Verdana" w:cs="Arial"/>
          <w:sz w:val="20"/>
          <w:szCs w:val="20"/>
        </w:rPr>
        <w:t xml:space="preserve">La modalidad de selección del contratista y su justificación, incluyendo los fundamentos jurídicos. </w:t>
      </w:r>
    </w:p>
    <w:p w14:paraId="2EBF36E7" w14:textId="77777777" w:rsidR="00E25989" w:rsidRPr="00481348" w:rsidRDefault="00E25989" w:rsidP="00E25989">
      <w:pPr>
        <w:spacing w:after="0" w:line="240" w:lineRule="auto"/>
        <w:jc w:val="both"/>
        <w:rPr>
          <w:rFonts w:ascii="Verdana" w:hAnsi="Verdana" w:cs="Arial"/>
          <w:sz w:val="20"/>
          <w:szCs w:val="20"/>
        </w:rPr>
      </w:pPr>
    </w:p>
    <w:p w14:paraId="78A9FAF8" w14:textId="77777777" w:rsidR="00E25989" w:rsidRPr="00481348" w:rsidRDefault="00E25989" w:rsidP="00E25989">
      <w:pPr>
        <w:spacing w:after="0" w:line="240" w:lineRule="auto"/>
        <w:jc w:val="both"/>
        <w:rPr>
          <w:rFonts w:ascii="Verdana" w:hAnsi="Verdana" w:cs="Arial"/>
          <w:sz w:val="20"/>
          <w:szCs w:val="20"/>
        </w:rPr>
      </w:pPr>
      <w:r w:rsidRPr="00481348">
        <w:rPr>
          <w:rFonts w:ascii="Verdana" w:hAnsi="Verdana" w:cs="Arial"/>
          <w:sz w:val="20"/>
          <w:szCs w:val="20"/>
        </w:rPr>
        <w:t xml:space="preserve">El valor estimado del contrato y la justificación </w:t>
      </w:r>
      <w:proofErr w:type="gramStart"/>
      <w:r w:rsidRPr="00481348">
        <w:rPr>
          <w:rFonts w:ascii="Verdana" w:hAnsi="Verdana" w:cs="Arial"/>
          <w:sz w:val="20"/>
          <w:szCs w:val="20"/>
        </w:rPr>
        <w:t>del mismo</w:t>
      </w:r>
      <w:proofErr w:type="gramEnd"/>
      <w:r w:rsidRPr="00481348">
        <w:rPr>
          <w:rFonts w:ascii="Verdana" w:hAnsi="Verdana" w:cs="Arial"/>
          <w:sz w:val="20"/>
          <w:szCs w:val="20"/>
        </w:rPr>
        <w:t xml:space="preserve">. Cuando el valor del contrato esté determinado por precios unitarios, la Entidad Estatal debe incluir la forma como los calculó y soportar sus cálculos presupuestales en la estimación de aquellos. Si el contrato </w:t>
      </w:r>
      <w:r w:rsidRPr="00481348">
        <w:rPr>
          <w:rFonts w:ascii="Verdana" w:hAnsi="Verdana" w:cs="Arial"/>
          <w:sz w:val="20"/>
          <w:szCs w:val="20"/>
        </w:rPr>
        <w:lastRenderedPageBreak/>
        <w:t xml:space="preserve">es de concesión, la Entidad Estatal no debe publicar el modelo financiero utilizado en su estructuración. Los criterios para seleccionar la oferta más favorable. El análisis de Riesgo y la forma de mitigarlo. </w:t>
      </w:r>
    </w:p>
    <w:p w14:paraId="2C0DE362" w14:textId="77777777" w:rsidR="00E25989" w:rsidRPr="00481348" w:rsidRDefault="00E25989" w:rsidP="00E25989">
      <w:pPr>
        <w:pStyle w:val="paragraph"/>
        <w:spacing w:before="0" w:beforeAutospacing="0" w:after="0" w:afterAutospacing="0"/>
        <w:textAlignment w:val="baseline"/>
        <w:rPr>
          <w:rFonts w:ascii="Verdana" w:hAnsi="Verdana"/>
          <w:sz w:val="20"/>
          <w:szCs w:val="20"/>
        </w:rPr>
      </w:pPr>
      <w:r w:rsidRPr="00481348">
        <w:rPr>
          <w:rFonts w:ascii="Verdana" w:hAnsi="Verdana" w:cs="Arial"/>
          <w:sz w:val="20"/>
          <w:szCs w:val="20"/>
        </w:rPr>
        <w:t>Las garantías que la Entidad Estatal contempla exigir en el proceso de contratación. La indicación de si el proceso de contratación está”.</w:t>
      </w:r>
    </w:p>
    <w:p w14:paraId="2BD8FC65" w14:textId="77777777" w:rsidR="00E25989" w:rsidRPr="00481348" w:rsidRDefault="00E25989" w:rsidP="00E25989">
      <w:pPr>
        <w:rPr>
          <w:rFonts w:ascii="Verdana" w:hAnsi="Verdana"/>
          <w:b/>
        </w:rPr>
      </w:pPr>
    </w:p>
    <w:p w14:paraId="3E5787B5" w14:textId="77777777" w:rsidR="00E25989" w:rsidRPr="00481348" w:rsidRDefault="00E25989" w:rsidP="00E25989">
      <w:pPr>
        <w:spacing w:after="0" w:line="240" w:lineRule="auto"/>
        <w:jc w:val="both"/>
        <w:rPr>
          <w:rFonts w:ascii="Verdana" w:hAnsi="Verdana"/>
          <w:b/>
          <w:bCs/>
        </w:rPr>
      </w:pPr>
      <w:r w:rsidRPr="00481348">
        <w:rPr>
          <w:rFonts w:ascii="Verdana" w:hAnsi="Verdana"/>
          <w:b/>
          <w:bCs/>
        </w:rPr>
        <w:t>REQUISITOS HABILITANTES ‒ Concepto</w:t>
      </w:r>
    </w:p>
    <w:p w14:paraId="3EFDFC80" w14:textId="77777777" w:rsidR="00E25989" w:rsidRPr="00481348" w:rsidRDefault="00E25989" w:rsidP="00E25989">
      <w:pPr>
        <w:spacing w:after="0" w:line="240" w:lineRule="auto"/>
        <w:jc w:val="both"/>
        <w:rPr>
          <w:rFonts w:ascii="Verdana" w:hAnsi="Verdana"/>
        </w:rPr>
      </w:pPr>
    </w:p>
    <w:p w14:paraId="30CC9ADC" w14:textId="77777777" w:rsidR="00E25989" w:rsidRPr="00481348" w:rsidRDefault="00E25989" w:rsidP="00E25989">
      <w:pPr>
        <w:spacing w:after="0" w:line="240" w:lineRule="auto"/>
        <w:jc w:val="both"/>
        <w:rPr>
          <w:rFonts w:ascii="Verdana" w:hAnsi="Verdana"/>
          <w:sz w:val="20"/>
          <w:szCs w:val="20"/>
        </w:rPr>
      </w:pPr>
      <w:r w:rsidRPr="00481348">
        <w:rPr>
          <w:rFonts w:ascii="Verdana" w:hAnsi="Verdana"/>
          <w:sz w:val="20"/>
          <w:szCs w:val="20"/>
        </w:rPr>
        <w:t>Los requisitos habilitantes constituyen los requisitos mínimos con los que deben cumplir los proponentes para poder participar en el procedimiento de selección, razón por la que los mismos no se valoran con un puntaje tendiente a determinar el orden de escogencia, sino que se analizan como criterios previos a la evaluación en sentido estricto. De esta manera, quienes no los reúnan no pueden continuar en el procedimiento de selección, es decir, incurren en causal de rechazo. Esto, sin perjuicio del derecho que tienen los oferentes de subsanar los defectos que se presenten en la prueba de tales requisitos, de conformidad con el artículo 5, parágrafos 1º al 4º, de la Ley 1150 de 2007.</w:t>
      </w:r>
    </w:p>
    <w:p w14:paraId="345DB407" w14:textId="77777777" w:rsidR="00E25989" w:rsidRPr="009D7E91" w:rsidRDefault="00E25989" w:rsidP="00E25989">
      <w:pPr>
        <w:rPr>
          <w:rFonts w:ascii="Verdana" w:hAnsi="Verdana"/>
        </w:rPr>
      </w:pPr>
    </w:p>
    <w:p w14:paraId="09D03CAC" w14:textId="77777777" w:rsidR="00E25989" w:rsidRPr="009D7E91" w:rsidRDefault="00E25989" w:rsidP="00E25989">
      <w:pPr>
        <w:rPr>
          <w:rFonts w:ascii="Verdana" w:hAnsi="Verdana"/>
          <w:lang w:val="es-ES"/>
        </w:rPr>
      </w:pPr>
    </w:p>
    <w:p w14:paraId="14B45AF1" w14:textId="77777777" w:rsidR="00E25989" w:rsidRPr="009D7E91" w:rsidRDefault="00E25989" w:rsidP="00E25989">
      <w:pPr>
        <w:rPr>
          <w:rFonts w:ascii="Verdana" w:hAnsi="Verdana"/>
          <w:lang w:val="es-ES"/>
        </w:rPr>
      </w:pPr>
    </w:p>
    <w:p w14:paraId="66119BD3" w14:textId="77777777" w:rsidR="00E25989" w:rsidRPr="009D7E91" w:rsidRDefault="00E25989" w:rsidP="00E25989">
      <w:pPr>
        <w:rPr>
          <w:rFonts w:ascii="Verdana" w:hAnsi="Verdana"/>
          <w:lang w:val="es-ES"/>
        </w:rPr>
      </w:pPr>
    </w:p>
    <w:p w14:paraId="4C93EA68" w14:textId="77777777" w:rsidR="00E25989" w:rsidRPr="009D7E91" w:rsidRDefault="00E25989" w:rsidP="00E25989">
      <w:pPr>
        <w:rPr>
          <w:rFonts w:ascii="Verdana" w:hAnsi="Verdana"/>
          <w:lang w:val="es-ES"/>
        </w:rPr>
      </w:pPr>
    </w:p>
    <w:p w14:paraId="6194822D" w14:textId="77777777" w:rsidR="00E25989" w:rsidRPr="009D7E91" w:rsidRDefault="00E25989" w:rsidP="00E25989">
      <w:pPr>
        <w:rPr>
          <w:rFonts w:ascii="Verdana" w:hAnsi="Verdana"/>
          <w:lang w:val="es-ES"/>
        </w:rPr>
      </w:pPr>
    </w:p>
    <w:p w14:paraId="1952F5DB" w14:textId="77777777" w:rsidR="00E25989" w:rsidRPr="009D7E91" w:rsidRDefault="00E25989" w:rsidP="00E25989">
      <w:pPr>
        <w:rPr>
          <w:rFonts w:ascii="Verdana" w:hAnsi="Verdana"/>
          <w:lang w:val="es-ES"/>
        </w:rPr>
      </w:pPr>
    </w:p>
    <w:p w14:paraId="1EAE8F8D" w14:textId="77777777" w:rsidR="00E25989" w:rsidRPr="009D7E91" w:rsidRDefault="00E25989" w:rsidP="00E25989">
      <w:pPr>
        <w:rPr>
          <w:rFonts w:ascii="Verdana" w:hAnsi="Verdana"/>
          <w:lang w:val="es-ES"/>
        </w:rPr>
      </w:pPr>
    </w:p>
    <w:p w14:paraId="29C5E885" w14:textId="77777777" w:rsidR="00E25989" w:rsidRPr="009D7E91" w:rsidRDefault="00E25989" w:rsidP="00E25989">
      <w:pPr>
        <w:rPr>
          <w:rFonts w:ascii="Verdana" w:hAnsi="Verdana"/>
          <w:lang w:val="es-ES"/>
        </w:rPr>
      </w:pPr>
    </w:p>
    <w:p w14:paraId="2875F70E" w14:textId="77777777" w:rsidR="00E25989" w:rsidRPr="009D7E91" w:rsidRDefault="00E25989" w:rsidP="00E25989">
      <w:pPr>
        <w:rPr>
          <w:rFonts w:ascii="Verdana" w:hAnsi="Verdana"/>
          <w:lang w:val="es-ES"/>
        </w:rPr>
      </w:pPr>
    </w:p>
    <w:p w14:paraId="5093AB87" w14:textId="77777777" w:rsidR="00E25989" w:rsidRPr="009D7E91" w:rsidRDefault="00E25989" w:rsidP="00E25989">
      <w:pPr>
        <w:rPr>
          <w:rFonts w:ascii="Verdana" w:hAnsi="Verdana"/>
          <w:lang w:val="es-ES"/>
        </w:rPr>
      </w:pPr>
    </w:p>
    <w:p w14:paraId="4C2832E8" w14:textId="77777777" w:rsidR="00E25989" w:rsidRPr="009D7E91" w:rsidRDefault="00E25989" w:rsidP="00E25989">
      <w:pPr>
        <w:rPr>
          <w:rFonts w:ascii="Verdana" w:hAnsi="Verdana"/>
          <w:lang w:val="es-ES"/>
        </w:rPr>
      </w:pPr>
    </w:p>
    <w:p w14:paraId="3D35D875" w14:textId="77777777" w:rsidR="00E25989" w:rsidRPr="009D7E91" w:rsidRDefault="00E25989" w:rsidP="00E25989">
      <w:pPr>
        <w:rPr>
          <w:rFonts w:ascii="Verdana" w:hAnsi="Verdana"/>
          <w:lang w:val="es-ES"/>
        </w:rPr>
      </w:pPr>
    </w:p>
    <w:p w14:paraId="55BDC2BD" w14:textId="77777777" w:rsidR="00E25989" w:rsidRPr="009D7E91" w:rsidRDefault="00E25989" w:rsidP="00E25989">
      <w:pPr>
        <w:rPr>
          <w:rFonts w:ascii="Verdana" w:hAnsi="Verdana"/>
          <w:lang w:val="es-ES"/>
        </w:rPr>
      </w:pPr>
    </w:p>
    <w:p w14:paraId="6BE4BC60" w14:textId="77777777" w:rsidR="00E25989" w:rsidRPr="009D7E91" w:rsidRDefault="00E25989" w:rsidP="00E25989">
      <w:pPr>
        <w:rPr>
          <w:rFonts w:ascii="Verdana" w:hAnsi="Verdana"/>
          <w:lang w:val="es-ES"/>
        </w:rPr>
      </w:pPr>
    </w:p>
    <w:p w14:paraId="7F38A095" w14:textId="77777777" w:rsidR="009D7E91" w:rsidRPr="009D7E91" w:rsidRDefault="009D7E91" w:rsidP="00E25989">
      <w:pPr>
        <w:rPr>
          <w:rFonts w:ascii="Verdana" w:hAnsi="Verdana"/>
          <w:lang w:val="es-ES"/>
        </w:rPr>
      </w:pPr>
    </w:p>
    <w:p w14:paraId="44EAC401" w14:textId="30CBF7C7" w:rsidR="000710AE" w:rsidRPr="009D7E91" w:rsidRDefault="000710AE" w:rsidP="000710AE">
      <w:pPr>
        <w:rPr>
          <w:rFonts w:ascii="Verdana" w:hAnsi="Verdana"/>
          <w:lang w:val="es-ES"/>
        </w:rPr>
      </w:pPr>
      <w:r w:rsidRPr="009D7E91">
        <w:rPr>
          <w:rFonts w:ascii="Verdana" w:hAnsi="Verdana"/>
          <w:lang w:val="es-ES"/>
        </w:rPr>
        <w:lastRenderedPageBreak/>
        <w:t xml:space="preserve">Bogotá D.C., </w:t>
      </w:r>
      <w:r w:rsidR="00D3102C">
        <w:rPr>
          <w:rFonts w:ascii="Verdana" w:eastAsia="Verdana" w:hAnsi="Verdana" w:cs="Verdana"/>
        </w:rPr>
        <w:t>5 marzo 2026</w:t>
      </w:r>
      <w:r w:rsidRPr="009D7E91">
        <w:tab/>
      </w:r>
      <w:r w:rsidRPr="009D7E91">
        <w:rPr>
          <w:rFonts w:ascii="Verdana" w:hAnsi="Verdana"/>
          <w:lang w:val="es-ES"/>
        </w:rPr>
        <w:tab/>
      </w:r>
    </w:p>
    <w:p w14:paraId="7D6E2C8E" w14:textId="2E4C4463" w:rsidR="000710AE" w:rsidRDefault="00657F09" w:rsidP="000710AE">
      <w:pPr>
        <w:spacing w:after="0"/>
        <w:rPr>
          <w:rFonts w:ascii="Verdana" w:hAnsi="Verdana"/>
          <w:lang w:val="es-ES"/>
        </w:rPr>
      </w:pPr>
      <w:r w:rsidRPr="00657F09">
        <w:rPr>
          <w:rFonts w:ascii="Verdana" w:hAnsi="Verdana"/>
          <w:b/>
          <w:bCs/>
          <w:noProof/>
        </w:rPr>
        <w:drawing>
          <wp:anchor distT="0" distB="0" distL="114300" distR="114300" simplePos="0" relativeHeight="251658240" behindDoc="1" locked="0" layoutInCell="1" allowOverlap="1" wp14:anchorId="4A8FC784" wp14:editId="6A858702">
            <wp:simplePos x="0" y="0"/>
            <wp:positionH relativeFrom="column">
              <wp:posOffset>3470512</wp:posOffset>
            </wp:positionH>
            <wp:positionV relativeFrom="paragraph">
              <wp:posOffset>130352</wp:posOffset>
            </wp:positionV>
            <wp:extent cx="2145665" cy="595630"/>
            <wp:effectExtent l="0" t="0" r="6985" b="0"/>
            <wp:wrapTight wrapText="bothSides">
              <wp:wrapPolygon edited="0">
                <wp:start x="0" y="0"/>
                <wp:lineTo x="0" y="20725"/>
                <wp:lineTo x="21479" y="20725"/>
                <wp:lineTo x="21479" y="0"/>
                <wp:lineTo x="0" y="0"/>
              </wp:wrapPolygon>
            </wp:wrapTight>
            <wp:docPr id="147227351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45665" cy="595630"/>
                    </a:xfrm>
                    <a:prstGeom prst="rect">
                      <a:avLst/>
                    </a:prstGeom>
                    <a:noFill/>
                    <a:ln>
                      <a:noFill/>
                    </a:ln>
                  </pic:spPr>
                </pic:pic>
              </a:graphicData>
            </a:graphic>
          </wp:anchor>
        </w:drawing>
      </w:r>
    </w:p>
    <w:p w14:paraId="06B04DC2" w14:textId="06B37997" w:rsidR="000710AE" w:rsidRPr="009D7E91" w:rsidRDefault="000710AE" w:rsidP="000710AE">
      <w:pPr>
        <w:spacing w:after="0"/>
        <w:rPr>
          <w:rFonts w:ascii="Verdana" w:hAnsi="Verdana"/>
          <w:lang w:val="es-ES"/>
        </w:rPr>
      </w:pPr>
      <w:r w:rsidRPr="009D7E91">
        <w:rPr>
          <w:rFonts w:ascii="Verdana" w:hAnsi="Verdana"/>
          <w:lang w:val="es-ES"/>
        </w:rPr>
        <w:t>Señora</w:t>
      </w:r>
    </w:p>
    <w:p w14:paraId="34A3BCDB" w14:textId="50562B61" w:rsidR="000710AE" w:rsidRPr="009D7E91" w:rsidRDefault="000710AE" w:rsidP="000710AE">
      <w:pPr>
        <w:spacing w:after="0" w:line="240" w:lineRule="auto"/>
        <w:jc w:val="both"/>
        <w:textAlignment w:val="baseline"/>
        <w:rPr>
          <w:rFonts w:ascii="Verdana" w:hAnsi="Verdana"/>
          <w:b/>
          <w:bCs/>
        </w:rPr>
      </w:pPr>
      <w:r w:rsidRPr="009D7E91">
        <w:rPr>
          <w:rFonts w:ascii="Verdana" w:hAnsi="Verdana"/>
          <w:b/>
          <w:bCs/>
        </w:rPr>
        <w:t>Leidy Viviana Burbano Ortega</w:t>
      </w:r>
    </w:p>
    <w:p w14:paraId="0890EBF0" w14:textId="77777777" w:rsidR="000710AE" w:rsidRPr="009D7E91" w:rsidRDefault="000710AE" w:rsidP="000710AE">
      <w:pPr>
        <w:spacing w:after="0" w:line="240" w:lineRule="auto"/>
        <w:jc w:val="both"/>
        <w:textAlignment w:val="baseline"/>
        <w:rPr>
          <w:rFonts w:ascii="Verdana" w:eastAsia="Times New Roman" w:hAnsi="Verdana" w:cs="Segoe UI"/>
          <w:lang w:val="es-ES" w:eastAsia="es-CO"/>
        </w:rPr>
      </w:pPr>
      <w:hyperlink r:id="rId11" w:history="1">
        <w:r w:rsidRPr="009D7E91">
          <w:rPr>
            <w:rStyle w:val="Hipervnculo"/>
            <w:rFonts w:ascii="Verdana" w:eastAsia="Times New Roman" w:hAnsi="Verdana" w:cs="Segoe UI"/>
            <w:lang w:val="es-ES" w:eastAsia="es-CO"/>
          </w:rPr>
          <w:t>leidyviviana7@gmail.com</w:t>
        </w:r>
      </w:hyperlink>
    </w:p>
    <w:p w14:paraId="3AB80984" w14:textId="77777777" w:rsidR="000710AE" w:rsidRPr="009D7E91" w:rsidRDefault="000710AE" w:rsidP="000710AE">
      <w:pPr>
        <w:spacing w:after="0" w:line="240" w:lineRule="auto"/>
        <w:jc w:val="both"/>
        <w:textAlignment w:val="baseline"/>
        <w:rPr>
          <w:rFonts w:ascii="Verdana" w:eastAsia="Times New Roman" w:hAnsi="Verdana" w:cs="Segoe UI"/>
          <w:lang w:val="es-ES" w:eastAsia="es-CO"/>
        </w:rPr>
      </w:pPr>
      <w:r w:rsidRPr="009D7E91">
        <w:rPr>
          <w:rFonts w:ascii="Verdana" w:eastAsia="Times New Roman" w:hAnsi="Verdana" w:cs="Segoe UI"/>
          <w:lang w:val="es-ES" w:eastAsia="es-CO"/>
        </w:rPr>
        <w:t xml:space="preserve">Ciudad </w:t>
      </w:r>
    </w:p>
    <w:p w14:paraId="4151D0B0" w14:textId="77777777" w:rsidR="000710AE" w:rsidRPr="009D7E91" w:rsidRDefault="000710AE" w:rsidP="000710AE">
      <w:pPr>
        <w:spacing w:after="0" w:line="240" w:lineRule="auto"/>
        <w:jc w:val="both"/>
        <w:textAlignment w:val="baseline"/>
        <w:rPr>
          <w:rFonts w:ascii="Verdana" w:eastAsia="Times New Roman" w:hAnsi="Verdana" w:cs="Segoe UI"/>
          <w:lang w:val="es-ES" w:eastAsia="es-CO"/>
        </w:rPr>
      </w:pPr>
    </w:p>
    <w:p w14:paraId="7ABFD191" w14:textId="77777777" w:rsidR="000710AE" w:rsidRPr="009D7E91" w:rsidRDefault="000710AE" w:rsidP="000710AE">
      <w:pPr>
        <w:spacing w:after="0" w:line="240" w:lineRule="auto"/>
        <w:ind w:left="4248"/>
        <w:jc w:val="both"/>
        <w:textAlignment w:val="baseline"/>
        <w:rPr>
          <w:rFonts w:ascii="Verdana" w:eastAsia="Times New Roman" w:hAnsi="Verdana" w:cs="Segoe UI"/>
          <w:lang w:val="es-ES" w:eastAsia="es-CO"/>
        </w:rPr>
      </w:pPr>
    </w:p>
    <w:p w14:paraId="2BD79B84" w14:textId="77777777" w:rsidR="000710AE" w:rsidRDefault="000710AE" w:rsidP="000710AE">
      <w:pPr>
        <w:spacing w:after="0" w:line="240" w:lineRule="auto"/>
        <w:jc w:val="both"/>
        <w:rPr>
          <w:rFonts w:ascii="Verdana" w:eastAsia="Calibri" w:hAnsi="Verdana" w:cs="Arial"/>
          <w:lang w:val="es-ES" w:eastAsia="es-ES_tradnl"/>
        </w:rPr>
      </w:pPr>
    </w:p>
    <w:p w14:paraId="0975E9E7" w14:textId="77777777" w:rsidR="000710AE" w:rsidRPr="00B14E89" w:rsidRDefault="000710AE" w:rsidP="000710AE">
      <w:pPr>
        <w:spacing w:after="0" w:line="240" w:lineRule="auto"/>
        <w:jc w:val="both"/>
        <w:rPr>
          <w:rFonts w:ascii="Verdana" w:eastAsia="Calibri" w:hAnsi="Verdana" w:cs="Arial"/>
          <w:b/>
          <w:bCs/>
          <w:lang w:val="es-ES" w:eastAsia="es-ES_tradnl"/>
        </w:rPr>
      </w:pPr>
      <w:r>
        <w:rPr>
          <w:rFonts w:ascii="Verdana" w:eastAsia="Calibri" w:hAnsi="Verdana" w:cs="Arial"/>
          <w:lang w:val="es-ES" w:eastAsia="es-ES_tradnl"/>
        </w:rPr>
        <w:tab/>
      </w:r>
      <w:r>
        <w:rPr>
          <w:rFonts w:ascii="Verdana" w:eastAsia="Calibri" w:hAnsi="Verdana" w:cs="Arial"/>
          <w:lang w:val="es-ES" w:eastAsia="es-ES_tradnl"/>
        </w:rPr>
        <w:tab/>
      </w:r>
      <w:r>
        <w:rPr>
          <w:rFonts w:ascii="Verdana" w:eastAsia="Calibri" w:hAnsi="Verdana" w:cs="Arial"/>
          <w:lang w:val="es-ES" w:eastAsia="es-ES_tradnl"/>
        </w:rPr>
        <w:tab/>
      </w:r>
      <w:r w:rsidRPr="00B14E89">
        <w:rPr>
          <w:rFonts w:ascii="Verdana" w:eastAsia="Calibri" w:hAnsi="Verdana" w:cs="Arial"/>
          <w:b/>
          <w:bCs/>
          <w:lang w:val="es-ES" w:eastAsia="es-ES_tradnl"/>
        </w:rPr>
        <w:t>Concepto C- 098 de 2026</w:t>
      </w:r>
    </w:p>
    <w:p w14:paraId="0B9AF952" w14:textId="77777777" w:rsidR="000710AE" w:rsidRDefault="000710AE" w:rsidP="000710AE">
      <w:pPr>
        <w:spacing w:after="0" w:line="240" w:lineRule="auto"/>
        <w:jc w:val="both"/>
        <w:rPr>
          <w:rFonts w:ascii="Verdana" w:eastAsia="Calibri" w:hAnsi="Verdana" w:cs="Arial"/>
          <w:lang w:val="es-ES" w:eastAsia="es-ES_tradnl"/>
        </w:rPr>
      </w:pPr>
    </w:p>
    <w:p w14:paraId="535B6D52" w14:textId="77777777" w:rsidR="000710AE" w:rsidRDefault="000710AE" w:rsidP="000710AE">
      <w:pPr>
        <w:spacing w:after="0" w:line="240" w:lineRule="auto"/>
        <w:jc w:val="both"/>
        <w:rPr>
          <w:rFonts w:ascii="Verdana" w:eastAsia="Calibri" w:hAnsi="Verdana" w:cs="Arial"/>
          <w:lang w:val="es-ES" w:eastAsia="es-ES_tradnl"/>
        </w:rPr>
      </w:pPr>
    </w:p>
    <w:p w14:paraId="757DB4E8" w14:textId="77777777" w:rsidR="000710AE" w:rsidRPr="00B14E89" w:rsidRDefault="000710AE" w:rsidP="000710AE">
      <w:pPr>
        <w:spacing w:after="0" w:line="240" w:lineRule="auto"/>
        <w:ind w:left="2120" w:hanging="2120"/>
        <w:jc w:val="both"/>
        <w:rPr>
          <w:rFonts w:ascii="Verdana" w:eastAsia="Calibri" w:hAnsi="Verdana" w:cs="Arial"/>
          <w:lang w:val="es-ES" w:eastAsia="es-ES_tradnl"/>
        </w:rPr>
      </w:pPr>
      <w:r w:rsidRPr="00B14E89">
        <w:rPr>
          <w:rFonts w:ascii="Verdana" w:eastAsia="Calibri" w:hAnsi="Verdana" w:cs="Arial"/>
          <w:b/>
          <w:bCs/>
          <w:lang w:val="es-ES" w:eastAsia="es-ES_tradnl"/>
        </w:rPr>
        <w:t xml:space="preserve">Temas:          </w:t>
      </w:r>
      <w:r>
        <w:rPr>
          <w:rFonts w:ascii="Verdana" w:eastAsia="Calibri" w:hAnsi="Verdana" w:cs="Arial"/>
          <w:lang w:val="es-ES" w:eastAsia="es-ES_tradnl"/>
        </w:rPr>
        <w:tab/>
      </w:r>
      <w:r w:rsidRPr="009D7E91">
        <w:rPr>
          <w:rFonts w:ascii="Verdana" w:eastAsia="Calibri" w:hAnsi="Verdana" w:cs="Arial"/>
          <w:color w:val="000000" w:themeColor="text1"/>
        </w:rPr>
        <w:t>CONTRATO DE PRESTACIÓN DE SERVICIOS ─ Régimen jurídico - Tipologías / CONTRATO DE PRESTACIÓN DE SERVICIOS PROFESIONALES – Idoneidad / TÍTULO DE IDONEIDAD – Régimen constitucional</w:t>
      </w:r>
      <w:r w:rsidRPr="00B14E89">
        <w:rPr>
          <w:rFonts w:ascii="Verdana" w:eastAsia="Calibri" w:hAnsi="Verdana" w:cs="Arial"/>
          <w:lang w:val="es-ES" w:eastAsia="es-ES_tradnl"/>
        </w:rPr>
        <w:t xml:space="preserve">        </w:t>
      </w:r>
    </w:p>
    <w:p w14:paraId="72922B7A" w14:textId="77777777" w:rsidR="000710AE" w:rsidRDefault="000710AE" w:rsidP="000710AE">
      <w:pPr>
        <w:spacing w:after="0" w:line="240" w:lineRule="auto"/>
        <w:jc w:val="both"/>
        <w:rPr>
          <w:rFonts w:ascii="Verdana" w:eastAsia="Calibri" w:hAnsi="Verdana" w:cs="Arial"/>
          <w:lang w:val="es-ES" w:eastAsia="es-ES_tradnl"/>
        </w:rPr>
      </w:pPr>
    </w:p>
    <w:p w14:paraId="6C9AE99E" w14:textId="77777777" w:rsidR="000710AE" w:rsidRDefault="000710AE" w:rsidP="000710AE">
      <w:pPr>
        <w:spacing w:after="0" w:line="240" w:lineRule="auto"/>
        <w:jc w:val="both"/>
        <w:rPr>
          <w:rFonts w:ascii="Verdana" w:eastAsia="Calibri" w:hAnsi="Verdana" w:cs="Arial"/>
          <w:lang w:val="es-ES" w:eastAsia="es-ES_tradnl"/>
        </w:rPr>
      </w:pPr>
    </w:p>
    <w:p w14:paraId="0E014DCF" w14:textId="77777777" w:rsidR="000710AE" w:rsidRDefault="000710AE" w:rsidP="000710AE">
      <w:pPr>
        <w:spacing w:after="0" w:line="240" w:lineRule="auto"/>
        <w:jc w:val="both"/>
        <w:rPr>
          <w:rFonts w:ascii="Verdana" w:eastAsia="Calibri" w:hAnsi="Verdana" w:cs="Arial"/>
          <w:lang w:val="es-ES" w:eastAsia="es-ES_tradnl"/>
        </w:rPr>
      </w:pPr>
    </w:p>
    <w:p w14:paraId="6312B7F8" w14:textId="77777777" w:rsidR="000710AE" w:rsidRDefault="000710AE" w:rsidP="000710AE">
      <w:pPr>
        <w:spacing w:after="0" w:line="240" w:lineRule="auto"/>
        <w:ind w:left="2120" w:hanging="2120"/>
        <w:jc w:val="both"/>
        <w:rPr>
          <w:rFonts w:ascii="Verdana" w:eastAsia="Calibri" w:hAnsi="Verdana" w:cs="Arial"/>
          <w:lang w:val="es-ES" w:eastAsia="es-ES_tradnl"/>
        </w:rPr>
      </w:pPr>
      <w:r w:rsidRPr="006571B6">
        <w:rPr>
          <w:rFonts w:ascii="Verdana" w:eastAsia="Calibri" w:hAnsi="Verdana" w:cs="Arial"/>
          <w:b/>
          <w:bCs/>
          <w:lang w:val="es-ES" w:eastAsia="es-ES_tradnl"/>
        </w:rPr>
        <w:t>Radicación:</w:t>
      </w:r>
      <w:r w:rsidRPr="006571B6">
        <w:rPr>
          <w:rFonts w:ascii="Verdana" w:eastAsia="Calibri" w:hAnsi="Verdana" w:cs="Arial"/>
          <w:lang w:val="es-ES" w:eastAsia="es-ES_tradnl"/>
        </w:rPr>
        <w:t xml:space="preserve"> </w:t>
      </w:r>
      <w:r>
        <w:rPr>
          <w:rFonts w:ascii="Verdana" w:eastAsia="Calibri" w:hAnsi="Verdana" w:cs="Arial"/>
          <w:lang w:val="es-ES" w:eastAsia="es-ES_tradnl"/>
        </w:rPr>
        <w:tab/>
      </w:r>
      <w:r w:rsidRPr="006571B6">
        <w:rPr>
          <w:rFonts w:ascii="Verdana" w:eastAsia="Calibri" w:hAnsi="Verdana" w:cs="Arial"/>
          <w:lang w:val="es-ES" w:eastAsia="es-ES_tradnl"/>
        </w:rPr>
        <w:t>Respuesta a consulta con radicado No.</w:t>
      </w:r>
      <w:r>
        <w:rPr>
          <w:rFonts w:ascii="Verdana" w:eastAsia="Calibri" w:hAnsi="Verdana" w:cs="Arial"/>
          <w:lang w:val="es-ES" w:eastAsia="es-ES_tradnl"/>
        </w:rPr>
        <w:t xml:space="preserve"> </w:t>
      </w:r>
      <w:r w:rsidRPr="006571B6">
        <w:rPr>
          <w:rFonts w:ascii="Verdana" w:eastAsia="Calibri" w:hAnsi="Verdana" w:cs="Arial"/>
          <w:lang w:val="es-ES" w:eastAsia="es-ES_tradnl"/>
        </w:rPr>
        <w:t>1_2026_01_26_000793</w:t>
      </w:r>
      <w:r>
        <w:rPr>
          <w:rFonts w:ascii="Verdana" w:eastAsia="Calibri" w:hAnsi="Verdana" w:cs="Arial"/>
          <w:lang w:val="es-ES" w:eastAsia="es-ES_tradnl"/>
        </w:rPr>
        <w:t>,</w:t>
      </w:r>
      <w:r w:rsidRPr="005A7DD8">
        <w:rPr>
          <w:rFonts w:ascii="Verdana" w:eastAsia="Calibri" w:hAnsi="Verdana" w:cs="Arial"/>
          <w:lang w:val="es-ES" w:eastAsia="es-ES_tradnl"/>
        </w:rPr>
        <w:t>1_2026_01_26_000825</w:t>
      </w:r>
      <w:r>
        <w:rPr>
          <w:rFonts w:ascii="Verdana" w:eastAsia="Calibri" w:hAnsi="Verdana" w:cs="Arial"/>
          <w:lang w:val="es-ES" w:eastAsia="es-ES_tradnl"/>
        </w:rPr>
        <w:t xml:space="preserve">, </w:t>
      </w:r>
      <w:r w:rsidRPr="006571B6">
        <w:rPr>
          <w:rFonts w:ascii="Verdana" w:eastAsia="Calibri" w:hAnsi="Verdana" w:cs="Arial"/>
          <w:lang w:val="es-ES" w:eastAsia="es-ES_tradnl"/>
        </w:rPr>
        <w:t>1</w:t>
      </w:r>
      <w:r w:rsidRPr="005A7DD8">
        <w:rPr>
          <w:rFonts w:ascii="Verdana" w:eastAsia="Calibri" w:hAnsi="Verdana" w:cs="Arial"/>
          <w:lang w:val="es-ES" w:eastAsia="es-ES_tradnl"/>
        </w:rPr>
        <w:t>_2026_01_26_000833</w:t>
      </w:r>
      <w:r>
        <w:rPr>
          <w:rFonts w:ascii="Verdana" w:eastAsia="Calibri" w:hAnsi="Verdana" w:cs="Arial"/>
          <w:lang w:val="es-ES" w:eastAsia="es-ES_tradnl"/>
        </w:rPr>
        <w:t xml:space="preserve">, </w:t>
      </w:r>
      <w:r w:rsidRPr="00B14E89">
        <w:rPr>
          <w:rFonts w:ascii="Verdana" w:eastAsia="Calibri" w:hAnsi="Verdana" w:cs="Arial"/>
          <w:lang w:val="es-ES" w:eastAsia="es-ES_tradnl"/>
        </w:rPr>
        <w:t>1_2026_01_26_000828</w:t>
      </w:r>
      <w:r>
        <w:rPr>
          <w:rFonts w:ascii="Verdana" w:eastAsia="Calibri" w:hAnsi="Verdana" w:cs="Arial"/>
          <w:lang w:val="es-ES" w:eastAsia="es-ES_tradnl"/>
        </w:rPr>
        <w:t xml:space="preserve"> Acumuladas</w:t>
      </w:r>
    </w:p>
    <w:p w14:paraId="602880A8" w14:textId="77777777" w:rsidR="000710AE" w:rsidRPr="009D7E91" w:rsidRDefault="000710AE" w:rsidP="000710AE">
      <w:pPr>
        <w:spacing w:after="0" w:line="240" w:lineRule="auto"/>
        <w:jc w:val="both"/>
        <w:rPr>
          <w:rFonts w:ascii="Verdana" w:eastAsia="Calibri" w:hAnsi="Verdana" w:cs="Arial"/>
          <w:lang w:val="es-ES" w:eastAsia="es-ES_tradnl"/>
        </w:rPr>
      </w:pPr>
    </w:p>
    <w:p w14:paraId="0CDC8586" w14:textId="77777777" w:rsidR="000710AE" w:rsidRDefault="000710AE" w:rsidP="000710AE">
      <w:pPr>
        <w:spacing w:after="0" w:line="276" w:lineRule="auto"/>
        <w:jc w:val="both"/>
        <w:rPr>
          <w:rFonts w:ascii="Verdana" w:eastAsia="Calibri" w:hAnsi="Verdana" w:cs="Arial"/>
          <w:lang w:val="es-ES" w:eastAsia="es-ES"/>
        </w:rPr>
      </w:pPr>
    </w:p>
    <w:p w14:paraId="02FB2D04" w14:textId="77777777" w:rsidR="000710AE" w:rsidRDefault="000710AE" w:rsidP="000710AE">
      <w:pPr>
        <w:spacing w:after="0" w:line="276" w:lineRule="auto"/>
        <w:jc w:val="both"/>
        <w:rPr>
          <w:rFonts w:ascii="Verdana" w:eastAsia="Calibri" w:hAnsi="Verdana" w:cs="Arial"/>
          <w:lang w:val="es-ES" w:eastAsia="es-ES"/>
        </w:rPr>
      </w:pPr>
    </w:p>
    <w:p w14:paraId="78FAA2EE" w14:textId="77777777" w:rsidR="000710AE" w:rsidRPr="009D7E91" w:rsidRDefault="000710AE" w:rsidP="000710AE">
      <w:pPr>
        <w:spacing w:after="0" w:line="276" w:lineRule="auto"/>
        <w:jc w:val="both"/>
        <w:rPr>
          <w:rFonts w:ascii="Verdana" w:eastAsia="Calibri" w:hAnsi="Verdana" w:cs="Arial"/>
          <w:lang w:val="es-ES" w:eastAsia="es-ES"/>
        </w:rPr>
      </w:pPr>
      <w:r w:rsidRPr="009D7E91">
        <w:rPr>
          <w:rFonts w:ascii="Verdana" w:eastAsia="Calibri" w:hAnsi="Verdana" w:cs="Arial"/>
          <w:lang w:val="es-ES" w:eastAsia="es-ES"/>
        </w:rPr>
        <w:t>Estimada señora Burbano;</w:t>
      </w:r>
    </w:p>
    <w:p w14:paraId="4249724F" w14:textId="77777777" w:rsidR="000710AE" w:rsidRPr="009D7E91" w:rsidRDefault="000710AE" w:rsidP="000710AE">
      <w:pPr>
        <w:spacing w:after="0" w:line="276" w:lineRule="auto"/>
        <w:jc w:val="both"/>
        <w:rPr>
          <w:rFonts w:ascii="Verdana" w:eastAsia="Calibri" w:hAnsi="Verdana" w:cs="Arial"/>
          <w:lang w:val="es-ES" w:eastAsia="es-ES"/>
        </w:rPr>
      </w:pPr>
    </w:p>
    <w:p w14:paraId="16B31632" w14:textId="77777777" w:rsidR="000710AE" w:rsidRPr="009D7E91" w:rsidRDefault="000710AE" w:rsidP="000710AE">
      <w:pPr>
        <w:tabs>
          <w:tab w:val="left" w:pos="3768"/>
        </w:tabs>
        <w:spacing w:after="120" w:line="276" w:lineRule="auto"/>
        <w:jc w:val="both"/>
        <w:rPr>
          <w:rFonts w:ascii="Verdana" w:eastAsia="Calibri" w:hAnsi="Verdana" w:cs="Arial"/>
          <w:lang w:val="es-ES" w:eastAsia="es-ES"/>
        </w:rPr>
      </w:pPr>
      <w:r w:rsidRPr="009D7E91">
        <w:rPr>
          <w:rFonts w:ascii="Verdana" w:eastAsia="Calibri" w:hAnsi="Verdana" w:cs="Arial"/>
          <w:lang w:val="es-ES" w:eastAsia="es-ES"/>
        </w:rPr>
        <w:t>En ejercicio de la competencia otorgada por los artículos 3, numeral 5º, y 11, numeral 8º, del Decreto Ley 4170 de 2011,</w:t>
      </w:r>
      <w:r w:rsidRPr="009D7E91">
        <w:rPr>
          <w:rFonts w:ascii="Verdana" w:eastAsia="Arial MT" w:hAnsi="Verdana" w:cs="Arial MT"/>
          <w:lang w:val="es-ES" w:eastAsia="es-ES"/>
        </w:rPr>
        <w:t xml:space="preserve"> </w:t>
      </w:r>
      <w:r w:rsidRPr="009D7E91">
        <w:rPr>
          <w:rFonts w:ascii="Verdana" w:hAnsi="Verdana" w:cs="Arial"/>
          <w:lang w:val="es-ES"/>
        </w:rPr>
        <w:t xml:space="preserve">así como lo establecido en el artículo 4 de la Resolución 1707 de 2018 expedida por esta Entidad, </w:t>
      </w:r>
      <w:r w:rsidRPr="009D7E91">
        <w:rPr>
          <w:rFonts w:ascii="Verdana" w:eastAsia="Calibri" w:hAnsi="Verdana" w:cs="Arial"/>
          <w:lang w:val="es-ES" w:eastAsia="es-ES"/>
        </w:rPr>
        <w:t>la Agencia Nacional de Contratación Pública – Colombia Compra Eficiente– responde su solicitud de consulta de fecha 26 de enero de 2026, en la cual usted manifiesta lo siguiente:</w:t>
      </w:r>
    </w:p>
    <w:p w14:paraId="6F67394E" w14:textId="77777777" w:rsidR="000710AE" w:rsidRPr="009D7E91" w:rsidRDefault="000710AE" w:rsidP="000710AE">
      <w:pPr>
        <w:tabs>
          <w:tab w:val="left" w:pos="3768"/>
        </w:tabs>
        <w:spacing w:after="120" w:line="276" w:lineRule="auto"/>
        <w:jc w:val="both"/>
        <w:rPr>
          <w:rFonts w:ascii="Verdana" w:eastAsia="Calibri" w:hAnsi="Verdana" w:cs="Arial"/>
          <w:lang w:val="es-ES" w:eastAsia="es-ES"/>
        </w:rPr>
      </w:pPr>
    </w:p>
    <w:p w14:paraId="660E4791" w14:textId="77777777" w:rsidR="000710AE" w:rsidRPr="009D7E91" w:rsidRDefault="000710AE" w:rsidP="000710AE">
      <w:pPr>
        <w:tabs>
          <w:tab w:val="left" w:pos="3768"/>
        </w:tabs>
        <w:spacing w:after="120" w:line="276" w:lineRule="auto"/>
        <w:ind w:left="851" w:right="900"/>
        <w:jc w:val="both"/>
        <w:rPr>
          <w:rFonts w:ascii="Verdana" w:eastAsia="Calibri" w:hAnsi="Verdana" w:cs="Arial"/>
          <w:i/>
          <w:iCs/>
          <w:lang w:val="es-ES" w:eastAsia="es-ES"/>
        </w:rPr>
      </w:pPr>
      <w:r w:rsidRPr="009D7E91">
        <w:rPr>
          <w:rFonts w:ascii="Verdana" w:eastAsia="Calibri" w:hAnsi="Verdana" w:cs="Arial"/>
          <w:i/>
          <w:iCs/>
          <w:lang w:eastAsia="es-ES"/>
        </w:rPr>
        <w:t xml:space="preserve"> </w:t>
      </w:r>
      <w:r w:rsidRPr="009D7E91">
        <w:rPr>
          <w:rFonts w:ascii="Verdana" w:eastAsia="Calibri" w:hAnsi="Verdana" w:cs="Arial"/>
          <w:i/>
          <w:lang w:eastAsia="es-ES"/>
        </w:rPr>
        <w:t xml:space="preserve">“[…] ¿es viable </w:t>
      </w:r>
      <w:proofErr w:type="gramStart"/>
      <w:r w:rsidRPr="009D7E91">
        <w:rPr>
          <w:rFonts w:ascii="Verdana" w:eastAsia="Calibri" w:hAnsi="Verdana" w:cs="Arial"/>
          <w:i/>
          <w:lang w:eastAsia="es-ES"/>
        </w:rPr>
        <w:t>jurídicamente y técnicamente</w:t>
      </w:r>
      <w:proofErr w:type="gramEnd"/>
      <w:r w:rsidRPr="009D7E91">
        <w:rPr>
          <w:rFonts w:ascii="Verdana" w:eastAsia="Calibri" w:hAnsi="Verdana" w:cs="Arial"/>
          <w:i/>
          <w:lang w:eastAsia="es-ES"/>
        </w:rPr>
        <w:t xml:space="preserve"> incluir en los estudios previos, específicamente en acápite de "requisitos de idoneidad" u "obligaciones de seguridad y salud en el trabajo", la obligatoriedad de presentar </w:t>
      </w:r>
      <w:proofErr w:type="gramStart"/>
      <w:r w:rsidRPr="009D7E91">
        <w:rPr>
          <w:rFonts w:ascii="Verdana" w:eastAsia="Calibri" w:hAnsi="Verdana" w:cs="Arial"/>
          <w:i/>
          <w:lang w:eastAsia="es-ES"/>
        </w:rPr>
        <w:t>el carne</w:t>
      </w:r>
      <w:proofErr w:type="gramEnd"/>
      <w:r w:rsidRPr="009D7E91">
        <w:rPr>
          <w:rFonts w:ascii="Verdana" w:eastAsia="Calibri" w:hAnsi="Verdana" w:cs="Arial"/>
          <w:i/>
          <w:lang w:eastAsia="es-ES"/>
        </w:rPr>
        <w:t xml:space="preserve"> de vacunación contra la </w:t>
      </w:r>
      <w:r w:rsidRPr="009D7E91">
        <w:rPr>
          <w:rFonts w:ascii="Verdana" w:eastAsia="Calibri" w:hAnsi="Verdana" w:cs="Arial"/>
          <w:i/>
          <w:lang w:eastAsia="es-ES"/>
        </w:rPr>
        <w:lastRenderedPageBreak/>
        <w:t>fiebre amarilla para los contratistas que ejecuten sus actividades en una zona de alto riesgo como el departamento del putumayo? […]</w:t>
      </w:r>
      <w:r w:rsidRPr="009D7E91">
        <w:rPr>
          <w:rFonts w:ascii="Verdana" w:eastAsia="Calibri" w:hAnsi="Verdana" w:cs="Arial"/>
          <w:i/>
          <w:lang w:val="es-ES" w:eastAsia="es-ES"/>
        </w:rPr>
        <w:t>”</w:t>
      </w:r>
      <w:r w:rsidRPr="009D7E91">
        <w:rPr>
          <w:rFonts w:ascii="Verdana" w:eastAsia="Calibri" w:hAnsi="Verdana" w:cs="Arial"/>
          <w:i/>
          <w:iCs/>
          <w:lang w:val="es-ES" w:eastAsia="es-ES"/>
        </w:rPr>
        <w:t xml:space="preserve"> .</w:t>
      </w:r>
    </w:p>
    <w:p w14:paraId="4CDC649C" w14:textId="77777777" w:rsidR="000710AE" w:rsidRPr="009D7E91" w:rsidRDefault="000710AE" w:rsidP="000710AE">
      <w:pPr>
        <w:tabs>
          <w:tab w:val="left" w:pos="3768"/>
        </w:tabs>
        <w:spacing w:after="120" w:line="240" w:lineRule="auto"/>
        <w:ind w:left="851" w:right="900"/>
        <w:jc w:val="both"/>
        <w:rPr>
          <w:rFonts w:ascii="Verdana" w:eastAsia="Calibri" w:hAnsi="Verdana" w:cs="Arial"/>
          <w:i/>
          <w:lang w:val="es-ES" w:eastAsia="es-ES"/>
        </w:rPr>
      </w:pPr>
    </w:p>
    <w:p w14:paraId="3E0C93D5" w14:textId="77777777" w:rsidR="000710AE" w:rsidRPr="009D7E91" w:rsidRDefault="000710AE" w:rsidP="000710AE">
      <w:pPr>
        <w:spacing w:after="120" w:line="276" w:lineRule="auto"/>
        <w:ind w:firstLine="708"/>
        <w:jc w:val="both"/>
        <w:rPr>
          <w:rFonts w:ascii="Verdana" w:eastAsia="Calibri" w:hAnsi="Verdana" w:cs="Arial"/>
          <w:lang w:val="es-ES" w:eastAsia="es-ES"/>
        </w:rPr>
      </w:pPr>
      <w:r w:rsidRPr="009D7E91">
        <w:rPr>
          <w:rFonts w:ascii="Verdana" w:eastAsia="Calibri" w:hAnsi="Verdana" w:cs="Arial"/>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14:paraId="03902015" w14:textId="77777777" w:rsidR="000710AE" w:rsidRPr="009D7E91" w:rsidRDefault="000710AE" w:rsidP="000710AE">
      <w:pPr>
        <w:spacing w:after="0" w:line="276" w:lineRule="auto"/>
        <w:ind w:firstLine="709"/>
        <w:jc w:val="both"/>
        <w:rPr>
          <w:rFonts w:ascii="Verdana" w:eastAsia="Calibri" w:hAnsi="Verdana" w:cs="Arial"/>
          <w:lang w:val="es-ES" w:eastAsia="es-ES"/>
        </w:rPr>
      </w:pPr>
      <w:r w:rsidRPr="009D7E91">
        <w:rPr>
          <w:rFonts w:ascii="Verdana" w:eastAsia="Calibri" w:hAnsi="Verdana" w:cs="Arial"/>
          <w:lang w:val="es-ES" w:eastAsia="es-ES"/>
        </w:rPr>
        <w:t>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4B2B86F7" w14:textId="77777777" w:rsidR="000710AE" w:rsidRPr="009D7E91" w:rsidRDefault="000710AE" w:rsidP="000710AE">
      <w:pPr>
        <w:spacing w:after="0" w:line="276" w:lineRule="auto"/>
        <w:ind w:firstLine="708"/>
        <w:jc w:val="both"/>
        <w:rPr>
          <w:rFonts w:ascii="Verdana" w:eastAsia="Calibri" w:hAnsi="Verdana" w:cs="Arial"/>
          <w:lang w:val="es-ES" w:eastAsia="es-ES"/>
        </w:rPr>
      </w:pPr>
    </w:p>
    <w:p w14:paraId="5FE59A8E" w14:textId="77777777" w:rsidR="000710AE" w:rsidRPr="009D7E91" w:rsidRDefault="000710AE" w:rsidP="000710AE">
      <w:pPr>
        <w:spacing w:after="0" w:line="276" w:lineRule="auto"/>
        <w:jc w:val="both"/>
        <w:rPr>
          <w:rFonts w:ascii="Verdana" w:eastAsia="Calibri" w:hAnsi="Verdana" w:cs="Arial"/>
          <w:b/>
          <w:bCs/>
          <w:lang w:val="es-ES" w:eastAsia="es-ES"/>
        </w:rPr>
      </w:pPr>
      <w:r w:rsidRPr="009D7E91">
        <w:rPr>
          <w:rFonts w:ascii="Verdana" w:eastAsia="Calibri" w:hAnsi="Verdana" w:cs="Arial"/>
          <w:b/>
          <w:bCs/>
          <w:lang w:val="es-ES" w:eastAsia="es-ES"/>
        </w:rPr>
        <w:t>1. Problemas planteados:</w:t>
      </w:r>
    </w:p>
    <w:p w14:paraId="066717D9" w14:textId="77777777" w:rsidR="000710AE" w:rsidRPr="009D7E91" w:rsidRDefault="000710AE" w:rsidP="000710AE">
      <w:pPr>
        <w:pStyle w:val="Prrafodelista"/>
        <w:spacing w:after="0" w:line="276" w:lineRule="auto"/>
        <w:ind w:left="1068"/>
        <w:jc w:val="both"/>
        <w:rPr>
          <w:rFonts w:ascii="Verdana" w:eastAsia="Calibri" w:hAnsi="Verdana" w:cs="Arial"/>
          <w:b/>
          <w:bCs/>
          <w:lang w:eastAsia="es-ES"/>
        </w:rPr>
      </w:pPr>
    </w:p>
    <w:p w14:paraId="3C0AA6A4" w14:textId="77777777" w:rsidR="000710AE" w:rsidRPr="009D7E91" w:rsidRDefault="000710AE" w:rsidP="000710AE">
      <w:pPr>
        <w:spacing w:after="0" w:line="276" w:lineRule="auto"/>
        <w:jc w:val="both"/>
        <w:textAlignment w:val="baseline"/>
        <w:rPr>
          <w:rFonts w:ascii="Verdana" w:eastAsia="Calibri" w:hAnsi="Verdana" w:cs="Arial"/>
          <w:lang w:val="es-ES" w:eastAsia="es-ES"/>
        </w:rPr>
      </w:pPr>
      <w:r w:rsidRPr="009D7E91">
        <w:rPr>
          <w:rFonts w:ascii="Verdana" w:eastAsia="Calibri" w:hAnsi="Verdana" w:cs="Arial"/>
          <w:lang w:val="es-ES" w:eastAsia="es-ES"/>
        </w:rPr>
        <w:t>De acuerdo con el contenido de su solicitud, esta Agencia resolverá el siguiente problema jurídico:</w:t>
      </w:r>
      <w:bookmarkStart w:id="1" w:name="_Hlk182581156"/>
      <w:r w:rsidRPr="009D7E91">
        <w:rPr>
          <w:rFonts w:ascii="Verdana" w:eastAsia="Calibri" w:hAnsi="Verdana" w:cs="Arial"/>
          <w:lang w:val="es-ES" w:eastAsia="es-ES"/>
        </w:rPr>
        <w:t xml:space="preserve"> En el marco de un contrato de prestación de servicios ¿En los estudios previos se puede incluir la exigencia de presentar carné de vacunación como requisito para ejecutar el contrato en una zona endémica?</w:t>
      </w:r>
    </w:p>
    <w:bookmarkEnd w:id="1"/>
    <w:p w14:paraId="7FA7AE00" w14:textId="77777777" w:rsidR="000710AE" w:rsidRPr="009D7E91" w:rsidRDefault="000710AE" w:rsidP="000710AE">
      <w:pPr>
        <w:spacing w:after="0" w:line="240" w:lineRule="auto"/>
        <w:jc w:val="both"/>
        <w:textAlignment w:val="baseline"/>
        <w:rPr>
          <w:rFonts w:ascii="Verdana" w:eastAsia="Calibri" w:hAnsi="Verdana" w:cs="Arial"/>
          <w:lang w:val="es-ES" w:eastAsia="es-ES"/>
        </w:rPr>
      </w:pPr>
    </w:p>
    <w:p w14:paraId="5ECB40B1" w14:textId="77777777" w:rsidR="000710AE" w:rsidRPr="009D7E91" w:rsidRDefault="000710AE" w:rsidP="000710AE">
      <w:pPr>
        <w:spacing w:after="0" w:line="240" w:lineRule="auto"/>
        <w:jc w:val="both"/>
        <w:textAlignment w:val="baseline"/>
        <w:rPr>
          <w:rFonts w:ascii="Verdana" w:eastAsia="Times New Roman" w:hAnsi="Verdana" w:cs="Segoe UI"/>
          <w:b/>
          <w:bCs/>
          <w:lang w:val="es-ES" w:eastAsia="es-CO"/>
        </w:rPr>
      </w:pPr>
      <w:r w:rsidRPr="009D7E91">
        <w:rPr>
          <w:rFonts w:ascii="Verdana" w:eastAsia="Times New Roman" w:hAnsi="Verdana" w:cs="Segoe UI"/>
          <w:b/>
          <w:bCs/>
          <w:lang w:val="es-ES" w:eastAsia="es-CO"/>
        </w:rPr>
        <w:t xml:space="preserve">2. Respuesta: </w:t>
      </w:r>
    </w:p>
    <w:p w14:paraId="367DA888" w14:textId="77777777" w:rsidR="000710AE" w:rsidRPr="009D7E91" w:rsidRDefault="000710AE" w:rsidP="000710AE">
      <w:pPr>
        <w:spacing w:after="0" w:line="240" w:lineRule="auto"/>
        <w:jc w:val="both"/>
        <w:textAlignment w:val="baseline"/>
        <w:rPr>
          <w:rFonts w:ascii="Verdana" w:eastAsia="Times New Roman" w:hAnsi="Verdana" w:cs="Segoe UI"/>
          <w:b/>
          <w:bCs/>
          <w:lang w:val="es-ES" w:eastAsia="es-CO"/>
        </w:rPr>
      </w:pPr>
    </w:p>
    <w:tbl>
      <w:tblPr>
        <w:tblStyle w:val="Tablaconcuadrcula"/>
        <w:tblW w:w="0" w:type="auto"/>
        <w:tblLook w:val="04A0" w:firstRow="1" w:lastRow="0" w:firstColumn="1" w:lastColumn="0" w:noHBand="0" w:noVBand="1"/>
      </w:tblPr>
      <w:tblGrid>
        <w:gridCol w:w="8828"/>
      </w:tblGrid>
      <w:tr w:rsidR="000710AE" w:rsidRPr="009D7E91" w14:paraId="0530C16B" w14:textId="77777777" w:rsidTr="00EE6664">
        <w:tc>
          <w:tcPr>
            <w:tcW w:w="8828" w:type="dxa"/>
          </w:tcPr>
          <w:p w14:paraId="0DB74845" w14:textId="77777777" w:rsidR="000710AE" w:rsidRPr="009D7E91" w:rsidRDefault="000710AE" w:rsidP="00EE6664">
            <w:pPr>
              <w:spacing w:before="120" w:after="120" w:line="276" w:lineRule="auto"/>
              <w:jc w:val="both"/>
              <w:rPr>
                <w:rFonts w:ascii="Verdana" w:hAnsi="Verdana" w:cs="Arial"/>
                <w:color w:val="000000" w:themeColor="text1"/>
              </w:rPr>
            </w:pPr>
            <w:r w:rsidRPr="009D7E91">
              <w:rPr>
                <w:rFonts w:ascii="Verdana" w:hAnsi="Verdana" w:cs="Arial"/>
                <w:color w:val="000000" w:themeColor="text1"/>
              </w:rPr>
              <w:t xml:space="preserve">De la lectura normativa que se expondrá en el presente concepto para dar alcance a su requerimiento, es posible inferir que las instituciones públicas y privadas, a través de la reglamentación derivada para la mitigación de la propagación de la fiebre amarilla en el territorio colombiano, especialmente, </w:t>
            </w:r>
            <w:r w:rsidRPr="009D7E91">
              <w:rPr>
                <w:rFonts w:ascii="Verdana" w:hAnsi="Verdana" w:cs="Arial"/>
                <w:color w:val="000000" w:themeColor="text1"/>
              </w:rPr>
              <w:lastRenderedPageBreak/>
              <w:t xml:space="preserve">en aquellas zonas consideradas como selváticas o endémicas, deben propender por acciones o medidas de prevención de carácter educativo, formativo y de vigilancia epidemiológica, y dejar por fuera aquellas que pueden atentar contra el derecho a la igualdad, el libre desarrollo de la personalidad y el derecho al trabajo, tales como la exigencia del carné de vacunación, las cuales podrían incurrir en discriminación laboral. </w:t>
            </w:r>
          </w:p>
          <w:p w14:paraId="4B5C30E5" w14:textId="77777777" w:rsidR="000710AE" w:rsidRPr="009D7E91" w:rsidRDefault="000710AE" w:rsidP="00EE6664">
            <w:pPr>
              <w:spacing w:before="120" w:after="120" w:line="276" w:lineRule="auto"/>
              <w:ind w:firstLine="708"/>
              <w:jc w:val="both"/>
              <w:rPr>
                <w:rFonts w:ascii="Verdana" w:hAnsi="Verdana" w:cs="Arial"/>
                <w:color w:val="000000" w:themeColor="text1"/>
              </w:rPr>
            </w:pPr>
            <w:r w:rsidRPr="009D7E91">
              <w:rPr>
                <w:rFonts w:ascii="Verdana" w:hAnsi="Verdana" w:cs="Arial"/>
                <w:color w:val="000000" w:themeColor="text1"/>
              </w:rPr>
              <w:t xml:space="preserve">Lo anterior, si se tiene en cuenta lo dictado por el Artículo 2.2.1.1.2.1.1. del Decreto 1082 de 2015 en relación con los estudios previos, </w:t>
            </w:r>
            <w:r w:rsidRPr="009D7E91">
              <w:rPr>
                <w:rFonts w:ascii="Verdana" w:eastAsia="Calibri" w:hAnsi="Verdana" w:cs="Arial"/>
                <w:color w:val="000000" w:themeColor="text1"/>
                <w:lang w:val="es-ES_tradnl"/>
              </w:rPr>
              <w:t>el artículo 5, numeral 1, de la Ley 1150 de 2007,</w:t>
            </w:r>
            <w:r w:rsidRPr="009D7E91">
              <w:rPr>
                <w:rFonts w:ascii="Verdana" w:hAnsi="Verdana" w:cs="Arial"/>
                <w:color w:val="000000" w:themeColor="text1"/>
              </w:rPr>
              <w:t xml:space="preserve"> la Resolución 691 del 16 de abril de 2025 expedida por el Ministerio de Salud y Protección Social, la Circular 045 del 22 de abril del 2025 expedida por el Ministerio del Trabajo, y la Sentencia T-460 de 2024 promulgada por la Corte Constitucional.</w:t>
            </w:r>
          </w:p>
          <w:p w14:paraId="2ACC9304" w14:textId="77777777" w:rsidR="000710AE" w:rsidRPr="009D7E91" w:rsidRDefault="000710AE" w:rsidP="00EE6664">
            <w:pPr>
              <w:spacing w:before="120" w:after="120" w:line="276" w:lineRule="auto"/>
              <w:ind w:firstLine="708"/>
              <w:jc w:val="both"/>
              <w:rPr>
                <w:rFonts w:ascii="Verdana" w:hAnsi="Verdana" w:cs="Arial"/>
                <w:color w:val="000000" w:themeColor="text1"/>
              </w:rPr>
            </w:pPr>
            <w:r w:rsidRPr="009D7E91">
              <w:rPr>
                <w:rFonts w:ascii="Verdana" w:hAnsi="Verdana" w:cs="Arial"/>
                <w:color w:val="000000" w:themeColor="text1"/>
              </w:rPr>
              <w:t>En todo caso, las entidades definirán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contratación pública adopten la decisión que corresponda, que sea acorde con el principio de juridicidad, sin que sea atribución de esta Agencia validar su gestión contractual.</w:t>
            </w:r>
          </w:p>
        </w:tc>
      </w:tr>
    </w:tbl>
    <w:p w14:paraId="3A78EBDB" w14:textId="77777777" w:rsidR="000710AE" w:rsidRPr="009D7E91" w:rsidRDefault="000710AE" w:rsidP="000710AE">
      <w:pPr>
        <w:spacing w:after="120" w:line="276" w:lineRule="auto"/>
        <w:jc w:val="both"/>
        <w:rPr>
          <w:rFonts w:ascii="Verdana" w:hAnsi="Verdana" w:cs="Arial"/>
          <w:color w:val="000000" w:themeColor="text1"/>
        </w:rPr>
      </w:pPr>
    </w:p>
    <w:p w14:paraId="4BFCFD0F" w14:textId="77777777" w:rsidR="000710AE" w:rsidRPr="009D7E91" w:rsidRDefault="000710AE" w:rsidP="000710AE">
      <w:pPr>
        <w:spacing w:after="120" w:line="276" w:lineRule="auto"/>
        <w:jc w:val="both"/>
        <w:rPr>
          <w:rFonts w:ascii="Verdana" w:hAnsi="Verdana"/>
          <w:b/>
          <w:bCs/>
          <w:lang w:val="es-ES"/>
        </w:rPr>
      </w:pPr>
      <w:r w:rsidRPr="009D7E91">
        <w:rPr>
          <w:rFonts w:ascii="Verdana" w:hAnsi="Verdana"/>
          <w:b/>
          <w:bCs/>
          <w:lang w:val="es-ES"/>
        </w:rPr>
        <w:t xml:space="preserve">3. Razones de la respuesta: </w:t>
      </w:r>
    </w:p>
    <w:p w14:paraId="438513BF" w14:textId="77777777" w:rsidR="000710AE" w:rsidRPr="009D7E91" w:rsidRDefault="000710AE" w:rsidP="000710AE">
      <w:pPr>
        <w:spacing w:after="0" w:line="276" w:lineRule="auto"/>
        <w:jc w:val="both"/>
        <w:rPr>
          <w:rFonts w:ascii="Verdana" w:hAnsi="Verdana"/>
          <w:b/>
          <w:bCs/>
          <w:lang w:val="es-ES"/>
        </w:rPr>
      </w:pPr>
    </w:p>
    <w:p w14:paraId="6353646B" w14:textId="77777777" w:rsidR="000710AE" w:rsidRPr="009D7E91" w:rsidRDefault="000710AE" w:rsidP="000710AE">
      <w:pPr>
        <w:spacing w:after="0" w:line="276" w:lineRule="auto"/>
        <w:jc w:val="both"/>
        <w:rPr>
          <w:rFonts w:ascii="Verdana" w:hAnsi="Verdana"/>
          <w:lang w:val="es-ES"/>
        </w:rPr>
      </w:pPr>
      <w:r w:rsidRPr="009D7E91">
        <w:rPr>
          <w:rFonts w:ascii="Verdana" w:hAnsi="Verdana"/>
          <w:lang w:val="es-ES"/>
        </w:rPr>
        <w:t>Lo anterior se sustenta en las siguientes consideraciones:</w:t>
      </w:r>
    </w:p>
    <w:p w14:paraId="11405B81" w14:textId="77777777" w:rsidR="000710AE" w:rsidRPr="009D7E91" w:rsidRDefault="000710AE" w:rsidP="000710AE">
      <w:pPr>
        <w:spacing w:after="0" w:line="276" w:lineRule="auto"/>
        <w:ind w:right="709"/>
        <w:jc w:val="both"/>
        <w:rPr>
          <w:rFonts w:ascii="Verdana" w:hAnsi="Verdana"/>
        </w:rPr>
      </w:pPr>
    </w:p>
    <w:p w14:paraId="6D03164A" w14:textId="77777777" w:rsidR="000710AE" w:rsidRPr="009D7E91" w:rsidRDefault="000710AE" w:rsidP="000710AE">
      <w:pPr>
        <w:tabs>
          <w:tab w:val="left" w:pos="0"/>
        </w:tabs>
        <w:spacing w:after="240" w:line="276" w:lineRule="auto"/>
        <w:jc w:val="both"/>
        <w:rPr>
          <w:rFonts w:ascii="Verdana" w:eastAsia="Calibri" w:hAnsi="Verdana" w:cs="Arial"/>
          <w:color w:val="000000" w:themeColor="text1"/>
          <w:lang w:val="es-ES"/>
        </w:rPr>
      </w:pPr>
      <w:r w:rsidRPr="009D7E91">
        <w:rPr>
          <w:rFonts w:ascii="Verdana" w:hAnsi="Verdana" w:cs="Arial"/>
          <w:color w:val="000000" w:themeColor="text1"/>
          <w:lang w:val="es-MX"/>
        </w:rPr>
        <w:t>El contrato de prestación de servicios es un contrato estatal típico, regulado en el numeral 3 del artículo 32 de la Ley 80 de 1993. Es definido como aquel que: “</w:t>
      </w:r>
      <w:r w:rsidRPr="009D7E91">
        <w:rPr>
          <w:rFonts w:ascii="Verdana" w:hAnsi="Verdana" w:cs="Arial"/>
          <w:i/>
          <w:iCs/>
          <w:color w:val="000000" w:themeColor="text1"/>
          <w:lang w:val="es-MX"/>
        </w:rPr>
        <w:t>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r w:rsidRPr="009D7E91">
        <w:rPr>
          <w:rFonts w:ascii="Verdana" w:hAnsi="Verdana" w:cs="Arial"/>
          <w:color w:val="000000" w:themeColor="text1"/>
          <w:lang w:val="es-MX"/>
        </w:rPr>
        <w:t>”.</w:t>
      </w:r>
      <w:r w:rsidRPr="009D7E91">
        <w:rPr>
          <w:rFonts w:ascii="Verdana" w:eastAsia="Calibri" w:hAnsi="Verdana" w:cs="Arial"/>
          <w:color w:val="000000" w:themeColor="text1"/>
          <w:lang w:val="es-ES"/>
        </w:rPr>
        <w:t xml:space="preserve"> </w:t>
      </w:r>
    </w:p>
    <w:p w14:paraId="2A7AF817" w14:textId="77777777" w:rsidR="000710AE" w:rsidRPr="009D7E91" w:rsidRDefault="000710AE" w:rsidP="000710AE">
      <w:pPr>
        <w:tabs>
          <w:tab w:val="left" w:pos="0"/>
        </w:tabs>
        <w:spacing w:after="0" w:line="276" w:lineRule="auto"/>
        <w:ind w:firstLine="708"/>
        <w:jc w:val="both"/>
        <w:rPr>
          <w:rFonts w:ascii="Verdana" w:eastAsia="Calibri" w:hAnsi="Verdana" w:cs="Arial"/>
          <w:color w:val="000000" w:themeColor="text1"/>
          <w:lang w:val="es-ES"/>
        </w:rPr>
      </w:pPr>
      <w:r w:rsidRPr="009D7E91">
        <w:rPr>
          <w:rFonts w:ascii="Verdana" w:eastAsia="Calibri" w:hAnsi="Verdana" w:cs="Arial"/>
          <w:color w:val="000000" w:themeColor="text1"/>
          <w:lang w:val="es-ES"/>
        </w:rPr>
        <w:lastRenderedPageBreak/>
        <w:t>La celebración de dicho contrato debe efectuarse a través de la modalidad de contratación directa. Así lo dispone el artículo 2, numeral 4º, literal h), de la Ley 1150 de 2007:</w:t>
      </w:r>
    </w:p>
    <w:p w14:paraId="4A8C50B6" w14:textId="77777777" w:rsidR="000710AE" w:rsidRPr="009D7E91" w:rsidRDefault="000710AE" w:rsidP="000710AE">
      <w:pPr>
        <w:spacing w:after="0" w:line="240" w:lineRule="auto"/>
        <w:ind w:right="709"/>
        <w:jc w:val="both"/>
        <w:rPr>
          <w:rFonts w:ascii="Verdana" w:eastAsia="Calibri" w:hAnsi="Verdana" w:cs="Arial"/>
          <w:color w:val="000000" w:themeColor="text1"/>
          <w:lang w:val="es-ES_tradnl"/>
        </w:rPr>
      </w:pPr>
    </w:p>
    <w:p w14:paraId="04014577" w14:textId="77777777" w:rsidR="000710AE" w:rsidRPr="009D7E91" w:rsidRDefault="000710AE" w:rsidP="000710AE">
      <w:pPr>
        <w:spacing w:after="0" w:line="240" w:lineRule="auto"/>
        <w:ind w:left="709" w:right="758"/>
        <w:jc w:val="both"/>
        <w:rPr>
          <w:rFonts w:ascii="Verdana" w:eastAsia="Calibri" w:hAnsi="Verdana" w:cs="Arial"/>
          <w:i/>
          <w:iCs/>
          <w:color w:val="000000" w:themeColor="text1"/>
          <w:sz w:val="20"/>
          <w:szCs w:val="20"/>
          <w:lang w:val="es-MX"/>
        </w:rPr>
      </w:pPr>
      <w:r w:rsidRPr="009D7E91">
        <w:rPr>
          <w:rFonts w:ascii="Verdana" w:eastAsia="Calibri" w:hAnsi="Verdana" w:cs="Arial"/>
          <w:color w:val="000000" w:themeColor="text1"/>
          <w:sz w:val="20"/>
          <w:szCs w:val="20"/>
          <w:lang w:val="es-MX"/>
        </w:rPr>
        <w:t>“</w:t>
      </w:r>
      <w:r w:rsidRPr="009D7E91">
        <w:rPr>
          <w:rFonts w:ascii="Verdana" w:eastAsia="Calibri" w:hAnsi="Verdana" w:cs="Arial"/>
          <w:i/>
          <w:iCs/>
          <w:color w:val="000000" w:themeColor="text1"/>
          <w:sz w:val="20"/>
          <w:szCs w:val="20"/>
          <w:lang w:val="es-MX"/>
        </w:rPr>
        <w:t>La escogencia del contratista se efectuará con arreglo a las modalidades de selección de licitación pública, selección abreviada, concurso de méritos y contratación directa, con base en las siguientes reglas:</w:t>
      </w:r>
    </w:p>
    <w:p w14:paraId="3FD2968F" w14:textId="77777777" w:rsidR="000710AE" w:rsidRPr="009D7E91" w:rsidRDefault="000710AE" w:rsidP="000710AE">
      <w:pPr>
        <w:spacing w:after="120" w:line="240" w:lineRule="auto"/>
        <w:ind w:left="709" w:right="760"/>
        <w:jc w:val="both"/>
        <w:rPr>
          <w:rFonts w:ascii="Verdana" w:eastAsia="Calibri" w:hAnsi="Verdana" w:cs="Arial"/>
          <w:i/>
          <w:iCs/>
          <w:color w:val="000000" w:themeColor="text1"/>
          <w:sz w:val="20"/>
          <w:szCs w:val="20"/>
          <w:lang w:val="es-MX"/>
        </w:rPr>
      </w:pPr>
      <w:r w:rsidRPr="009D7E91">
        <w:rPr>
          <w:rFonts w:ascii="Verdana" w:eastAsia="Calibri" w:hAnsi="Verdana" w:cs="Arial"/>
          <w:i/>
          <w:iCs/>
          <w:color w:val="000000" w:themeColor="text1"/>
          <w:sz w:val="20"/>
          <w:szCs w:val="20"/>
          <w:lang w:val="es-MX"/>
        </w:rPr>
        <w:t>[…]</w:t>
      </w:r>
    </w:p>
    <w:p w14:paraId="0CE6CBDC" w14:textId="77777777" w:rsidR="000710AE" w:rsidRPr="009D7E91" w:rsidRDefault="000710AE" w:rsidP="000710AE">
      <w:pPr>
        <w:spacing w:after="0" w:line="240" w:lineRule="auto"/>
        <w:ind w:left="709" w:right="758"/>
        <w:jc w:val="both"/>
        <w:rPr>
          <w:rFonts w:ascii="Verdana" w:eastAsia="Calibri" w:hAnsi="Verdana" w:cs="Arial"/>
          <w:i/>
          <w:iCs/>
          <w:color w:val="000000" w:themeColor="text1"/>
          <w:sz w:val="20"/>
          <w:szCs w:val="20"/>
          <w:lang w:val="es-MX"/>
        </w:rPr>
      </w:pPr>
      <w:r w:rsidRPr="009D7E91">
        <w:rPr>
          <w:rFonts w:ascii="Verdana" w:eastAsia="Calibri" w:hAnsi="Verdana" w:cs="Arial"/>
          <w:i/>
          <w:iCs/>
          <w:color w:val="000000" w:themeColor="text1"/>
          <w:sz w:val="20"/>
          <w:szCs w:val="20"/>
          <w:lang w:val="es-MX"/>
        </w:rPr>
        <w:t xml:space="preserve">4. Contratación directa. La modalidad de selección de contratación </w:t>
      </w:r>
      <w:proofErr w:type="gramStart"/>
      <w:r w:rsidRPr="009D7E91">
        <w:rPr>
          <w:rFonts w:ascii="Verdana" w:eastAsia="Calibri" w:hAnsi="Verdana" w:cs="Arial"/>
          <w:i/>
          <w:iCs/>
          <w:color w:val="000000" w:themeColor="text1"/>
          <w:sz w:val="20"/>
          <w:szCs w:val="20"/>
          <w:lang w:val="es-MX"/>
        </w:rPr>
        <w:t>directa,</w:t>
      </w:r>
      <w:proofErr w:type="gramEnd"/>
      <w:r w:rsidRPr="009D7E91">
        <w:rPr>
          <w:rFonts w:ascii="Verdana" w:eastAsia="Calibri" w:hAnsi="Verdana" w:cs="Arial"/>
          <w:i/>
          <w:iCs/>
          <w:color w:val="000000" w:themeColor="text1"/>
          <w:sz w:val="20"/>
          <w:szCs w:val="20"/>
          <w:lang w:val="es-MX"/>
        </w:rPr>
        <w:t xml:space="preserve"> solamente procederá en los siguientes casos:</w:t>
      </w:r>
    </w:p>
    <w:p w14:paraId="0D277D95" w14:textId="77777777" w:rsidR="000710AE" w:rsidRPr="009D7E91" w:rsidRDefault="000710AE" w:rsidP="000710AE">
      <w:pPr>
        <w:spacing w:after="120" w:line="240" w:lineRule="auto"/>
        <w:ind w:left="709" w:right="760"/>
        <w:jc w:val="both"/>
        <w:rPr>
          <w:rFonts w:ascii="Verdana" w:eastAsia="Calibri" w:hAnsi="Verdana" w:cs="Arial"/>
          <w:i/>
          <w:iCs/>
          <w:color w:val="000000" w:themeColor="text1"/>
          <w:sz w:val="20"/>
          <w:szCs w:val="20"/>
          <w:lang w:val="es-MX"/>
        </w:rPr>
      </w:pPr>
      <w:r w:rsidRPr="009D7E91">
        <w:rPr>
          <w:rFonts w:ascii="Verdana" w:eastAsia="Calibri" w:hAnsi="Verdana" w:cs="Arial"/>
          <w:i/>
          <w:iCs/>
          <w:color w:val="000000" w:themeColor="text1"/>
          <w:sz w:val="20"/>
          <w:szCs w:val="20"/>
          <w:lang w:val="es-MX"/>
        </w:rPr>
        <w:t>[…]</w:t>
      </w:r>
    </w:p>
    <w:p w14:paraId="3F097B9F" w14:textId="77777777" w:rsidR="000710AE" w:rsidRPr="009D7E91" w:rsidRDefault="000710AE" w:rsidP="000710AE">
      <w:pPr>
        <w:spacing w:after="0" w:line="240" w:lineRule="auto"/>
        <w:ind w:left="709" w:right="758"/>
        <w:jc w:val="both"/>
        <w:rPr>
          <w:rFonts w:ascii="Verdana" w:eastAsia="Calibri" w:hAnsi="Verdana" w:cs="Arial"/>
          <w:color w:val="000000" w:themeColor="text1"/>
          <w:sz w:val="20"/>
          <w:szCs w:val="20"/>
          <w:lang w:val="es-MX"/>
        </w:rPr>
      </w:pPr>
      <w:r w:rsidRPr="009D7E91">
        <w:rPr>
          <w:rFonts w:ascii="Verdana" w:eastAsia="Calibri" w:hAnsi="Verdana" w:cs="Arial"/>
          <w:i/>
          <w:iCs/>
          <w:color w:val="000000" w:themeColor="text1"/>
          <w:sz w:val="20"/>
          <w:szCs w:val="20"/>
          <w:lang w:val="es-MX"/>
        </w:rPr>
        <w:t>h) Para la prestación de servicios profesionales y de apoyo a la gestión, o para la ejecución de trabajos artísticos que sólo puedan encomendarse a determinadas personas naturales</w:t>
      </w:r>
      <w:r w:rsidRPr="009D7E91">
        <w:rPr>
          <w:rFonts w:ascii="Verdana" w:eastAsia="Calibri" w:hAnsi="Verdana" w:cs="Arial"/>
          <w:color w:val="000000" w:themeColor="text1"/>
          <w:sz w:val="20"/>
          <w:szCs w:val="20"/>
          <w:lang w:val="es-MX"/>
        </w:rPr>
        <w:t>”.</w:t>
      </w:r>
    </w:p>
    <w:p w14:paraId="69D848F8" w14:textId="77777777" w:rsidR="000710AE" w:rsidRPr="009D7E91" w:rsidRDefault="000710AE" w:rsidP="000710AE">
      <w:pPr>
        <w:tabs>
          <w:tab w:val="left" w:pos="0"/>
        </w:tabs>
        <w:spacing w:after="0" w:line="276" w:lineRule="auto"/>
        <w:jc w:val="both"/>
        <w:rPr>
          <w:rFonts w:ascii="Verdana" w:hAnsi="Verdana" w:cs="Arial"/>
          <w:noProof/>
          <w:lang w:val="es-ES_tradnl"/>
        </w:rPr>
      </w:pPr>
      <w:r w:rsidRPr="009D7E91">
        <w:rPr>
          <w:rFonts w:ascii="Verdana" w:hAnsi="Verdana" w:cs="Arial"/>
          <w:noProof/>
          <w:lang w:val="es-ES_tradnl"/>
        </w:rPr>
        <w:tab/>
      </w:r>
    </w:p>
    <w:p w14:paraId="29743381" w14:textId="77777777" w:rsidR="000710AE" w:rsidRPr="009D7E91" w:rsidRDefault="000710AE" w:rsidP="000710AE">
      <w:pPr>
        <w:tabs>
          <w:tab w:val="left" w:pos="0"/>
        </w:tabs>
        <w:spacing w:after="0" w:line="276" w:lineRule="auto"/>
        <w:jc w:val="both"/>
        <w:rPr>
          <w:rFonts w:ascii="Verdana" w:hAnsi="Verdana" w:cs="Arial"/>
          <w:noProof/>
          <w:lang w:val="es-ES_tradnl"/>
        </w:rPr>
      </w:pPr>
      <w:r w:rsidRPr="009D7E91">
        <w:rPr>
          <w:rFonts w:ascii="Verdana" w:hAnsi="Verdana" w:cs="Arial"/>
          <w:noProof/>
          <w:lang w:val="es-ES_tradnl"/>
        </w:rPr>
        <w:tab/>
        <w:t>En tal sentido, el Decreto 1082 de 2015 en el artículo 2.2.1.2.1.4.9. reglamenta la contratación directa para los contratos de servicios profesionales y de apoyo a la gestión, o para la ejecución de trabajos artísticos que solo puedan encomendarse a determinadas personas naturales, en los siguientes términos:</w:t>
      </w:r>
    </w:p>
    <w:p w14:paraId="69E8946F" w14:textId="77777777" w:rsidR="000710AE" w:rsidRPr="009D7E91" w:rsidRDefault="000710AE" w:rsidP="000710AE">
      <w:pPr>
        <w:spacing w:after="0" w:line="276" w:lineRule="auto"/>
        <w:jc w:val="both"/>
        <w:rPr>
          <w:rFonts w:ascii="Verdana" w:hAnsi="Verdana" w:cs="Arial"/>
          <w:lang w:val="es-ES"/>
        </w:rPr>
      </w:pPr>
    </w:p>
    <w:p w14:paraId="1A93457C" w14:textId="77777777" w:rsidR="000710AE" w:rsidRPr="009D7E91" w:rsidRDefault="000710AE" w:rsidP="000710AE">
      <w:pPr>
        <w:spacing w:after="0" w:line="240" w:lineRule="auto"/>
        <w:ind w:left="709" w:right="758"/>
        <w:jc w:val="both"/>
        <w:rPr>
          <w:rFonts w:ascii="Verdana" w:hAnsi="Verdana" w:cs="Arial"/>
          <w:i/>
          <w:iCs/>
          <w:sz w:val="20"/>
          <w:szCs w:val="20"/>
          <w:lang w:val="es-MX"/>
        </w:rPr>
      </w:pPr>
      <w:r w:rsidRPr="009D7E91">
        <w:rPr>
          <w:rFonts w:ascii="Verdana" w:hAnsi="Verdana" w:cs="Arial"/>
          <w:i/>
          <w:iCs/>
          <w:sz w:val="20"/>
          <w:szCs w:val="20"/>
          <w:lang w:val="es-MX"/>
        </w:rPr>
        <w:t>“Las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1EDD73C0" w14:textId="77777777" w:rsidR="000710AE" w:rsidRPr="009D7E91" w:rsidRDefault="000710AE" w:rsidP="000710AE">
      <w:pPr>
        <w:spacing w:after="0" w:line="240" w:lineRule="auto"/>
        <w:ind w:left="709" w:right="758"/>
        <w:jc w:val="both"/>
        <w:rPr>
          <w:rFonts w:ascii="Verdana" w:hAnsi="Verdana" w:cs="Arial"/>
          <w:i/>
          <w:iCs/>
          <w:sz w:val="20"/>
          <w:szCs w:val="20"/>
        </w:rPr>
      </w:pPr>
    </w:p>
    <w:p w14:paraId="30AE4E17" w14:textId="77777777" w:rsidR="000710AE" w:rsidRPr="009D7E91" w:rsidRDefault="000710AE" w:rsidP="000710AE">
      <w:pPr>
        <w:spacing w:after="0" w:line="240" w:lineRule="auto"/>
        <w:ind w:left="709" w:right="758"/>
        <w:jc w:val="both"/>
        <w:rPr>
          <w:rFonts w:ascii="Verdana" w:hAnsi="Verdana" w:cs="Arial"/>
          <w:i/>
          <w:iCs/>
          <w:sz w:val="20"/>
          <w:szCs w:val="20"/>
          <w:lang w:val="es-MX"/>
        </w:rPr>
      </w:pPr>
      <w:r w:rsidRPr="009D7E91">
        <w:rPr>
          <w:rFonts w:ascii="Verdana" w:hAnsi="Verdana" w:cs="Arial"/>
          <w:i/>
          <w:iCs/>
          <w:sz w:val="20"/>
          <w:szCs w:val="20"/>
          <w:lang w:val="es-MX"/>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29F68AD2" w14:textId="77777777" w:rsidR="000710AE" w:rsidRPr="009D7E91" w:rsidRDefault="000710AE" w:rsidP="000710AE">
      <w:pPr>
        <w:spacing w:after="0" w:line="240" w:lineRule="auto"/>
        <w:ind w:left="709" w:right="758"/>
        <w:jc w:val="both"/>
        <w:rPr>
          <w:rFonts w:ascii="Verdana" w:hAnsi="Verdana" w:cs="Arial"/>
          <w:i/>
          <w:iCs/>
          <w:sz w:val="20"/>
          <w:szCs w:val="20"/>
          <w:lang w:val="es-MX"/>
        </w:rPr>
      </w:pPr>
    </w:p>
    <w:p w14:paraId="7238522F" w14:textId="77777777" w:rsidR="000710AE" w:rsidRPr="009D7E91" w:rsidRDefault="000710AE" w:rsidP="000710AE">
      <w:pPr>
        <w:spacing w:after="0" w:line="240" w:lineRule="auto"/>
        <w:ind w:left="709" w:right="758"/>
        <w:jc w:val="both"/>
        <w:rPr>
          <w:rFonts w:ascii="Verdana" w:hAnsi="Verdana" w:cs="Arial"/>
          <w:sz w:val="20"/>
          <w:szCs w:val="20"/>
          <w:lang w:val="es-MX"/>
        </w:rPr>
      </w:pPr>
      <w:r w:rsidRPr="009D7E91">
        <w:rPr>
          <w:rFonts w:ascii="Verdana" w:hAnsi="Verdana" w:cs="Arial"/>
          <w:i/>
          <w:iCs/>
          <w:sz w:val="20"/>
          <w:szCs w:val="20"/>
          <w:lang w:val="es-MX"/>
        </w:rPr>
        <w:t>La Entidad Estatal, para la contratación de trabajos artísticos que solamente puedan en</w:t>
      </w:r>
      <w:r w:rsidRPr="009D7E91">
        <w:rPr>
          <w:rFonts w:ascii="Verdana" w:hAnsi="Verdana" w:cs="Arial"/>
          <w:i/>
          <w:iCs/>
          <w:sz w:val="20"/>
          <w:szCs w:val="20"/>
          <w:lang w:val="es-MX"/>
        </w:rPr>
        <w:softHyphen/>
        <w:t>comendarse a determinadas personas naturales, debe justificar esta situación en los estudios y documentos previos</w:t>
      </w:r>
      <w:r w:rsidRPr="009D7E91">
        <w:rPr>
          <w:rFonts w:ascii="Verdana" w:hAnsi="Verdana" w:cs="Arial"/>
          <w:sz w:val="20"/>
          <w:szCs w:val="20"/>
          <w:lang w:val="es-MX"/>
        </w:rPr>
        <w:t>”.</w:t>
      </w:r>
    </w:p>
    <w:p w14:paraId="75B5C23E" w14:textId="77777777" w:rsidR="000710AE" w:rsidRPr="009D7E91" w:rsidRDefault="000710AE" w:rsidP="000710AE">
      <w:pPr>
        <w:tabs>
          <w:tab w:val="left" w:pos="0"/>
        </w:tabs>
        <w:spacing w:after="0" w:line="276" w:lineRule="auto"/>
        <w:jc w:val="both"/>
        <w:rPr>
          <w:rFonts w:ascii="Verdana" w:hAnsi="Verdana" w:cs="Arial"/>
          <w:noProof/>
        </w:rPr>
      </w:pPr>
    </w:p>
    <w:p w14:paraId="58E9B763" w14:textId="77777777" w:rsidR="000710AE" w:rsidRPr="009D7E91" w:rsidRDefault="000710AE" w:rsidP="000710AE">
      <w:pPr>
        <w:tabs>
          <w:tab w:val="left" w:pos="0"/>
        </w:tabs>
        <w:spacing w:before="120" w:after="0" w:line="276" w:lineRule="auto"/>
        <w:jc w:val="both"/>
        <w:rPr>
          <w:rFonts w:ascii="Verdana" w:hAnsi="Verdana" w:cs="Arial"/>
          <w:color w:val="000000" w:themeColor="text1"/>
          <w:lang w:val="es-ES_tradnl"/>
        </w:rPr>
      </w:pPr>
      <w:r w:rsidRPr="009D7E91">
        <w:rPr>
          <w:rFonts w:ascii="Verdana" w:hAnsi="Verdana" w:cs="Arial"/>
          <w:color w:val="000000" w:themeColor="text1"/>
          <w:lang w:val="es-MX"/>
        </w:rPr>
        <w:tab/>
      </w:r>
      <w:r w:rsidRPr="009D7E91">
        <w:rPr>
          <w:rFonts w:ascii="Verdana" w:hAnsi="Verdana" w:cs="Arial"/>
          <w:color w:val="000000" w:themeColor="text1"/>
          <w:lang w:val="es-ES_tradnl"/>
        </w:rPr>
        <w:t xml:space="preserve">Sumado a lo anterior, resulta pertinente invocar en esta respuesta la naturaleza de los requisitos habilitantes, los cuales se conocen como aquellos </w:t>
      </w:r>
      <w:r w:rsidRPr="009D7E91">
        <w:rPr>
          <w:rFonts w:ascii="Verdana" w:hAnsi="Verdana" w:cs="Arial"/>
          <w:color w:val="000000" w:themeColor="text1"/>
          <w:lang w:val="es-ES_tradnl"/>
        </w:rPr>
        <w:lastRenderedPageBreak/>
        <w:t>requisitos mínimos con los que deben cumplir los proponentes para poder participar en el procedimiento de selección, razón por la que los mismos no se valoran con un puntaje tendiente a determinar el orden de escogencia, sino que se analizan como criterios previos a la evaluación en sentido estricto.</w:t>
      </w:r>
    </w:p>
    <w:p w14:paraId="192D3C57" w14:textId="77777777" w:rsidR="000710AE" w:rsidRPr="009D7E91" w:rsidRDefault="000710AE" w:rsidP="000710AE">
      <w:pPr>
        <w:spacing w:line="276" w:lineRule="auto"/>
        <w:ind w:firstLine="708"/>
        <w:jc w:val="both"/>
        <w:rPr>
          <w:rFonts w:ascii="Verdana" w:eastAsia="Calibri" w:hAnsi="Verdana" w:cs="Arial"/>
          <w:color w:val="000000" w:themeColor="text1"/>
          <w:lang w:val="es-ES_tradnl"/>
        </w:rPr>
      </w:pPr>
      <w:r w:rsidRPr="009D7E91">
        <w:rPr>
          <w:rFonts w:ascii="Verdana" w:eastAsia="Calibri" w:hAnsi="Verdana" w:cs="Arial"/>
          <w:color w:val="000000" w:themeColor="text1"/>
          <w:lang w:val="es-ES_tradnl"/>
        </w:rPr>
        <w:t>Conforme lo ha sostenido esta Agencia en distintos conceptos, los requisitos habilitantes establecidos en el artículo 5, numeral 1, de la Ley 1150 de 2007 son de carácter enunciativos y no taxativos. Esta interpretación legal se resume en los siguientes argumentos: Esta norma no contiene una expresión como “únicamente” o “solo”, al referirse a los requisitos habilitantes y, además, debido a que la lectura integral de las normas que regulan la contratación estatal permite concluir que existen otras condiciones que deben cumplirse para la contratación con una entidad pública, como pasa, por ejemplo, con la capacidad residual a la que se refiere el artículo 6º, parágrafo 1, de la Ley 1150 de 2007</w:t>
      </w:r>
      <w:r w:rsidRPr="009D7E91">
        <w:rPr>
          <w:rStyle w:val="Refdenotaalpie"/>
          <w:rFonts w:ascii="Verdana" w:eastAsia="Calibri" w:hAnsi="Verdana" w:cs="Arial"/>
          <w:color w:val="000000" w:themeColor="text1"/>
          <w:lang w:val="es-ES_tradnl"/>
        </w:rPr>
        <w:footnoteReference w:id="1"/>
      </w:r>
      <w:r w:rsidRPr="009D7E91">
        <w:rPr>
          <w:rFonts w:ascii="Verdana" w:eastAsia="Calibri" w:hAnsi="Verdana" w:cs="Arial"/>
          <w:color w:val="000000" w:themeColor="text1"/>
          <w:lang w:val="es-ES_tradnl"/>
        </w:rPr>
        <w:t>.</w:t>
      </w:r>
    </w:p>
    <w:p w14:paraId="7770943E" w14:textId="77777777" w:rsidR="000710AE" w:rsidRPr="009D7E91" w:rsidRDefault="000710AE" w:rsidP="000710AE">
      <w:pPr>
        <w:spacing w:line="276" w:lineRule="auto"/>
        <w:ind w:firstLine="708"/>
        <w:jc w:val="both"/>
        <w:rPr>
          <w:rFonts w:ascii="Verdana" w:eastAsia="Calibri" w:hAnsi="Verdana" w:cs="Arial"/>
          <w:color w:val="000000" w:themeColor="text1"/>
          <w:lang w:val="es-ES_tradnl"/>
        </w:rPr>
      </w:pPr>
      <w:r w:rsidRPr="009D7E91">
        <w:rPr>
          <w:rFonts w:ascii="Verdana" w:eastAsia="Calibri" w:hAnsi="Verdana" w:cs="Arial"/>
          <w:color w:val="000000" w:themeColor="text1"/>
          <w:lang w:val="es-ES_tradnl"/>
        </w:rPr>
        <w:t>Además, la intención del legislador, de la cual dan cuenta los antecedentes legislativos de la norma sub examine</w:t>
      </w:r>
      <w:r w:rsidRPr="009D7E91">
        <w:rPr>
          <w:rStyle w:val="Refdenotaalpie"/>
          <w:rFonts w:ascii="Verdana" w:eastAsia="Calibri" w:hAnsi="Verdana" w:cs="Arial"/>
          <w:color w:val="000000" w:themeColor="text1"/>
          <w:lang w:val="es-ES_tradnl"/>
        </w:rPr>
        <w:footnoteReference w:id="2"/>
      </w:r>
      <w:r w:rsidRPr="009D7E91">
        <w:rPr>
          <w:rFonts w:ascii="Verdana" w:eastAsia="Calibri" w:hAnsi="Verdana" w:cs="Arial"/>
          <w:color w:val="000000" w:themeColor="text1"/>
          <w:lang w:val="es-ES_tradnl"/>
        </w:rPr>
        <w:t>, también justifica la interpretación propuesta por esta Agencia, ya que fue hasta el cuarto debate legislativo en donde se incluyó parágrafo 2 del mismo artículo 5 de la Ley 1150 de 2007</w:t>
      </w:r>
      <w:r w:rsidRPr="009D7E91">
        <w:rPr>
          <w:rStyle w:val="Refdenotaalpie"/>
          <w:rFonts w:ascii="Verdana" w:eastAsia="Calibri" w:hAnsi="Verdana" w:cs="Arial"/>
          <w:color w:val="000000" w:themeColor="text1"/>
          <w:lang w:val="es-ES_tradnl"/>
        </w:rPr>
        <w:footnoteReference w:id="3"/>
      </w:r>
      <w:r w:rsidRPr="009D7E91">
        <w:rPr>
          <w:rFonts w:ascii="Verdana" w:eastAsia="Calibri" w:hAnsi="Verdana" w:cs="Arial"/>
          <w:color w:val="000000" w:themeColor="text1"/>
          <w:lang w:val="es-ES_tradnl"/>
        </w:rPr>
        <w:t xml:space="preserve">, lo que deja ver la necesidad que tenía el Congreso de aclarar que unos documentos no podrían ser tenidos como requisitos habilitantes, lo que asimismo evidencia el reconocimiento tácito de la existencia de otros requisitos habilitantes, distintos a los cuatro que establece el artículo 5, numeral 1, de la Ley 1150 de 2007. </w:t>
      </w:r>
    </w:p>
    <w:p w14:paraId="34F40908" w14:textId="77777777" w:rsidR="000710AE" w:rsidRPr="009D7E91" w:rsidRDefault="000710AE" w:rsidP="000710AE">
      <w:pPr>
        <w:spacing w:after="0" w:line="276" w:lineRule="auto"/>
        <w:ind w:firstLine="709"/>
        <w:jc w:val="both"/>
        <w:rPr>
          <w:rFonts w:ascii="Verdana" w:eastAsia="Calibri" w:hAnsi="Verdana" w:cs="Arial"/>
          <w:color w:val="000000" w:themeColor="text1"/>
          <w:lang w:val="es-ES_tradnl"/>
        </w:rPr>
      </w:pPr>
      <w:r w:rsidRPr="009D7E91">
        <w:rPr>
          <w:rFonts w:ascii="Verdana" w:eastAsia="Calibri" w:hAnsi="Verdana" w:cs="Arial"/>
          <w:color w:val="000000" w:themeColor="text1"/>
          <w:lang w:val="es-ES_tradnl"/>
        </w:rPr>
        <w:t>Por otra parte, en el “</w:t>
      </w:r>
      <w:r w:rsidRPr="009D7E91">
        <w:rPr>
          <w:rFonts w:ascii="Verdana" w:eastAsia="Calibri" w:hAnsi="Verdana" w:cs="Arial"/>
          <w:i/>
          <w:iCs/>
          <w:color w:val="000000" w:themeColor="text1"/>
          <w:lang w:val="es-ES_tradnl"/>
        </w:rPr>
        <w:t>Manual para determinar y verificar los requisitos habilitantes en los Procesos de Contratación</w:t>
      </w:r>
      <w:r w:rsidRPr="009D7E91">
        <w:rPr>
          <w:rFonts w:ascii="Verdana" w:eastAsia="Calibri" w:hAnsi="Verdana" w:cs="Arial"/>
          <w:color w:val="000000" w:themeColor="text1"/>
          <w:lang w:val="es-ES_tradnl"/>
        </w:rPr>
        <w:t xml:space="preserve">” expedido por esta Agencia, en el cual se determinaron los parámetros para establecer, acreditar y subsanar los </w:t>
      </w:r>
      <w:r w:rsidRPr="009D7E91">
        <w:rPr>
          <w:rFonts w:ascii="Verdana" w:eastAsia="Calibri" w:hAnsi="Verdana" w:cs="Arial"/>
          <w:color w:val="000000" w:themeColor="text1"/>
          <w:lang w:val="es-ES_tradnl"/>
        </w:rPr>
        <w:lastRenderedPageBreak/>
        <w:t>requisitos habilitantes estudiados en los párrafos precedentes, se indica que su propósito consiste en “</w:t>
      </w:r>
      <w:r w:rsidRPr="009D7E91">
        <w:rPr>
          <w:rFonts w:ascii="Verdana" w:eastAsia="Calibri" w:hAnsi="Verdana" w:cs="Arial"/>
          <w:i/>
          <w:iCs/>
          <w:color w:val="000000" w:themeColor="text1"/>
          <w:lang w:val="es-ES_tradnl"/>
        </w:rPr>
        <w:t>establecer unas condiciones mínimas para los proponentes de tal manera que la Entidad Estatal sólo evalúe las ofertas de aquellos que están en condiciones de cumplir con el objeto del Proceso de Contratación</w:t>
      </w:r>
      <w:r w:rsidRPr="009D7E91">
        <w:rPr>
          <w:rFonts w:ascii="Verdana" w:eastAsia="Calibri" w:hAnsi="Verdana" w:cs="Arial"/>
          <w:color w:val="000000" w:themeColor="text1"/>
          <w:lang w:val="es-ES_tradnl"/>
        </w:rPr>
        <w:t xml:space="preserve">”. En otras palabras, al tratarse de condiciones mínimas, significa que las entidades podrían establecer otras, según su autonomía de la voluntad, y teniendo en cuenta el objeto del contrato, los riesgos detectados en los estudios previos, el presupuesto oficial, entre otros factores. </w:t>
      </w:r>
    </w:p>
    <w:p w14:paraId="110B5126" w14:textId="77777777" w:rsidR="000710AE" w:rsidRPr="009D7E91" w:rsidRDefault="000710AE" w:rsidP="000710AE">
      <w:pPr>
        <w:widowControl w:val="0"/>
        <w:autoSpaceDE w:val="0"/>
        <w:autoSpaceDN w:val="0"/>
        <w:spacing w:line="276" w:lineRule="auto"/>
        <w:ind w:firstLine="709"/>
        <w:jc w:val="both"/>
        <w:rPr>
          <w:rFonts w:ascii="Verdana" w:eastAsia="Calibri" w:hAnsi="Verdana" w:cs="Arial"/>
          <w:color w:val="000000" w:themeColor="text1"/>
        </w:rPr>
      </w:pPr>
      <w:r w:rsidRPr="009D7E91">
        <w:rPr>
          <w:rFonts w:ascii="Verdana" w:eastAsia="Calibri" w:hAnsi="Verdana" w:cs="Arial"/>
          <w:color w:val="000000" w:themeColor="text1"/>
        </w:rPr>
        <w:t xml:space="preserve">En consecuencia, corresponde a las entidades estatales, durante la etapa de planeación del contrato estatal, estudiar y determinar los requisitos habilitantes que establecerán en los pliegos de condiciones, los cuales deben fijarse de forma adecuada y proporcional. Esto último, según se deriva de la lectura del artículo 2.2.1.1.1.6.2 del Decreto 1082 de 2015, debe hacerse de acuerdo </w:t>
      </w:r>
      <w:bookmarkStart w:id="2" w:name="_Hlk182863897"/>
      <w:r w:rsidRPr="009D7E91">
        <w:rPr>
          <w:rFonts w:ascii="Verdana" w:eastAsia="Calibri" w:hAnsi="Verdana" w:cs="Arial"/>
          <w:color w:val="000000" w:themeColor="text1"/>
        </w:rPr>
        <w:t>con la naturaleza, el valor del contrato, la forma de pago, los riesgos asociados al contrato, el plazo y la complejidad de ejecución del objeto</w:t>
      </w:r>
      <w:r w:rsidRPr="009D7E91">
        <w:rPr>
          <w:rStyle w:val="Refdenotaalpie"/>
          <w:rFonts w:ascii="Verdana" w:eastAsia="Calibri" w:hAnsi="Verdana" w:cs="Arial"/>
          <w:color w:val="000000" w:themeColor="text1"/>
        </w:rPr>
        <w:footnoteReference w:id="4"/>
      </w:r>
      <w:r w:rsidRPr="009D7E91">
        <w:rPr>
          <w:rFonts w:ascii="Verdana" w:eastAsia="Calibri" w:hAnsi="Verdana" w:cs="Arial"/>
          <w:color w:val="000000" w:themeColor="text1"/>
        </w:rPr>
        <w:t>.</w:t>
      </w:r>
      <w:bookmarkEnd w:id="2"/>
    </w:p>
    <w:p w14:paraId="7A34DF17" w14:textId="77777777" w:rsidR="000710AE" w:rsidRPr="009D7E91" w:rsidRDefault="000710AE" w:rsidP="000710AE">
      <w:pPr>
        <w:spacing w:before="120" w:after="120" w:line="276" w:lineRule="auto"/>
        <w:ind w:firstLine="708"/>
        <w:jc w:val="both"/>
        <w:rPr>
          <w:rFonts w:ascii="Verdana" w:hAnsi="Verdana" w:cs="Arial"/>
          <w:color w:val="000000" w:themeColor="text1"/>
        </w:rPr>
      </w:pPr>
      <w:r w:rsidRPr="009D7E91">
        <w:rPr>
          <w:rFonts w:ascii="Verdana" w:hAnsi="Verdana" w:cs="Arial"/>
          <w:color w:val="000000" w:themeColor="text1"/>
        </w:rPr>
        <w:t xml:space="preserve">Ahora bien, con la finalidad de aterrizar la normativa anteriormente descrita, con la situación que expone la peticionaria en su requerimiento, resulta relevante citar que la Resolución 691 del 16 de abril de 2025 expedida por el Ministerio de Salud y Protección Social, declaró la emergencia sanitaria en todo el territorio nacional por el brote causado por el virus de la fiebre amarilla hasta que haya transcurrido al menos ocho semanas epidemiológicas sin casos humanos ni epizootias, y estableció medidas sanitarias para contrarrestar la emergencia, tales como intensificación de la vacunación según el riesgo de los municipios, vacunación para viajeros procedentes de zonas de riesgo de fiebre amarilla, y el fortalecimiento de la capacidad para la vigilancia y el diagnostico. </w:t>
      </w:r>
    </w:p>
    <w:p w14:paraId="595F6FB6" w14:textId="77777777" w:rsidR="000710AE" w:rsidRPr="009D7E91" w:rsidRDefault="000710AE" w:rsidP="000710AE">
      <w:pPr>
        <w:spacing w:before="120" w:after="120" w:line="276" w:lineRule="auto"/>
        <w:ind w:firstLine="708"/>
        <w:jc w:val="both"/>
        <w:rPr>
          <w:rFonts w:ascii="Verdana" w:hAnsi="Verdana" w:cs="Arial"/>
          <w:color w:val="000000" w:themeColor="text1"/>
        </w:rPr>
      </w:pPr>
      <w:r w:rsidRPr="009D7E91">
        <w:rPr>
          <w:rFonts w:ascii="Verdana" w:hAnsi="Verdana" w:cs="Arial"/>
          <w:color w:val="000000" w:themeColor="text1"/>
        </w:rPr>
        <w:t xml:space="preserve">En este sentido, la Circular 045 del 22 de abril del 2025 expedida por el Ministerio del Trabajo, y dirigida a organismos y Entidades del sector central y descentralizado de la rama ejecutiva del orden nacional y territorial, rama legislativa, rama judicial, organización electoral, órganos de control y organismos autónomos, empleadores privados, entidades administradoras de riesgos laborales, contratantes, cuenta propia, trabajadores y trabajadoras </w:t>
      </w:r>
      <w:r w:rsidRPr="009D7E91">
        <w:rPr>
          <w:rFonts w:ascii="Verdana" w:hAnsi="Verdana" w:cs="Arial"/>
          <w:color w:val="000000" w:themeColor="text1"/>
        </w:rPr>
        <w:lastRenderedPageBreak/>
        <w:t xml:space="preserve">dependientes e independientes y población general, estipuló acciones de promoción y prevención en riesgos laborales para los y las trabajadoras ante la declaración de emergencia sanitaria por brote del virus de la fiebre amarilla, en todo el territorio nacional, y en ella incorporó directrices acerca de las responsabilidades de los empleadores públicos y privados. </w:t>
      </w:r>
    </w:p>
    <w:p w14:paraId="3D4D8AC9" w14:textId="77777777" w:rsidR="000710AE" w:rsidRPr="009D7E91" w:rsidRDefault="000710AE" w:rsidP="000710AE">
      <w:pPr>
        <w:spacing w:before="120" w:after="120" w:line="276" w:lineRule="auto"/>
        <w:ind w:firstLine="708"/>
        <w:jc w:val="both"/>
        <w:rPr>
          <w:rFonts w:ascii="Verdana" w:hAnsi="Verdana" w:cs="Arial"/>
          <w:i/>
          <w:iCs/>
          <w:color w:val="000000" w:themeColor="text1"/>
        </w:rPr>
      </w:pPr>
      <w:r w:rsidRPr="009D7E91">
        <w:rPr>
          <w:rFonts w:ascii="Verdana" w:hAnsi="Verdana" w:cs="Arial"/>
          <w:color w:val="000000" w:themeColor="text1"/>
        </w:rPr>
        <w:t>Dicho lo anterior, es importante traer a colación que, la Sala Cuarta de la Corte Constitucional en sentencia T-460 de 2024, en providencia que expone hechos de similar situación, señalo que “</w:t>
      </w:r>
      <w:r w:rsidRPr="009D7E91">
        <w:rPr>
          <w:rFonts w:ascii="Verdana" w:hAnsi="Verdana" w:cs="Arial"/>
          <w:i/>
          <w:iCs/>
          <w:color w:val="000000" w:themeColor="text1"/>
        </w:rPr>
        <w:t>la obligatoriedad de la vacunación desconoce el derecho al libre desarrollo de la personalidad, el cual faculta a los individuos a declinar o a solicitar cualquier procedimiento médico, de conformidad con su proyecto de vida y convicciones. De tal suerte, esa exigencia deviene en una interferencia externa que le impide a la persona decidir sobre su propia salud de manera autónoma”</w:t>
      </w:r>
      <w:r w:rsidRPr="009D7E91">
        <w:rPr>
          <w:rStyle w:val="Refdenotaalpie"/>
          <w:rFonts w:ascii="Verdana" w:hAnsi="Verdana" w:cs="Arial"/>
          <w:i/>
          <w:iCs/>
          <w:color w:val="000000" w:themeColor="text1"/>
        </w:rPr>
        <w:footnoteReference w:id="5"/>
      </w:r>
    </w:p>
    <w:p w14:paraId="62D2098C" w14:textId="77777777" w:rsidR="000710AE" w:rsidRPr="009D7E91" w:rsidRDefault="000710AE" w:rsidP="000710AE">
      <w:pPr>
        <w:spacing w:before="120" w:after="0" w:line="276" w:lineRule="auto"/>
        <w:jc w:val="both"/>
        <w:rPr>
          <w:rFonts w:ascii="Verdana" w:hAnsi="Verdana" w:cs="Arial"/>
          <w:color w:val="000000" w:themeColor="text1"/>
        </w:rPr>
      </w:pPr>
      <w:r w:rsidRPr="009D7E91">
        <w:rPr>
          <w:rFonts w:ascii="Verdana" w:hAnsi="Verdana" w:cs="Arial"/>
          <w:color w:val="000000" w:themeColor="text1"/>
        </w:rPr>
        <w:tab/>
        <w:t xml:space="preserve">En consideración a lo anterior, está Subdirección no estima pertinente exigir la presentación del carné de vacunación o acreditar el estado de vacunado dentro de los estudios previos como un requisito de idoneidad para poder suscribir futuros contratos, por tanto, puede considerarse una violación a derechos constitucionalmente protegidos como el derecho al libre desarrollo a la personalidad y el derecho a la igualdad. Sin embargo, en relación con el objeto de que se establezca, la entidad podrá establecer medidas sanitarias que promuevan acciones necesarias para aminorar la propagación del virus, y coadyuven también en el fomento de actividades que mitiguen la ocurrencia de los riesgos previamente identificados por la entidad en la etapa precontractual. </w:t>
      </w:r>
    </w:p>
    <w:p w14:paraId="2EC53978" w14:textId="77777777" w:rsidR="000710AE" w:rsidRPr="009D7E91" w:rsidRDefault="000710AE" w:rsidP="000710AE">
      <w:pPr>
        <w:spacing w:after="0" w:line="276" w:lineRule="auto"/>
        <w:ind w:firstLine="709"/>
        <w:jc w:val="both"/>
        <w:rPr>
          <w:rFonts w:ascii="Verdana" w:eastAsia="Times New Roman" w:hAnsi="Verdana" w:cs="Arial"/>
          <w:szCs w:val="24"/>
          <w:lang w:val="es-ES" w:eastAsia="es-ES_tradnl"/>
        </w:rPr>
      </w:pPr>
    </w:p>
    <w:p w14:paraId="5F3A82DD" w14:textId="77777777" w:rsidR="000710AE" w:rsidRPr="009D7E91" w:rsidRDefault="000710AE" w:rsidP="000710AE">
      <w:pPr>
        <w:spacing w:after="0" w:line="276" w:lineRule="auto"/>
        <w:jc w:val="both"/>
        <w:rPr>
          <w:rFonts w:ascii="Verdana" w:hAnsi="Verdana" w:cs="Arial"/>
          <w:b/>
          <w:bCs/>
        </w:rPr>
      </w:pPr>
      <w:r w:rsidRPr="009D7E91">
        <w:rPr>
          <w:rFonts w:ascii="Verdana" w:hAnsi="Verdana" w:cs="Arial"/>
          <w:b/>
          <w:bCs/>
          <w:lang w:val="es-ES"/>
        </w:rPr>
        <w:t>4. Referencias normativas, jurisprudenciales y otras fuentes:</w:t>
      </w:r>
    </w:p>
    <w:p w14:paraId="62BB430E" w14:textId="77777777" w:rsidR="000710AE" w:rsidRPr="009D7E91" w:rsidRDefault="000710AE" w:rsidP="000710AE">
      <w:pPr>
        <w:pStyle w:val="Prrafodelista"/>
        <w:spacing w:after="0" w:line="276" w:lineRule="auto"/>
        <w:ind w:left="714"/>
        <w:rPr>
          <w:rFonts w:ascii="Verdana" w:hAnsi="Verdana" w:cs="Arial"/>
        </w:rPr>
      </w:pPr>
    </w:p>
    <w:p w14:paraId="45086A12" w14:textId="77777777" w:rsidR="000710AE" w:rsidRPr="009D7E91" w:rsidRDefault="000710AE" w:rsidP="000710AE">
      <w:pPr>
        <w:pStyle w:val="Prrafodelista"/>
        <w:numPr>
          <w:ilvl w:val="0"/>
          <w:numId w:val="16"/>
        </w:numPr>
        <w:spacing w:after="120" w:line="240" w:lineRule="auto"/>
        <w:ind w:left="714" w:hanging="357"/>
        <w:contextualSpacing w:val="0"/>
        <w:rPr>
          <w:rFonts w:ascii="Verdana" w:hAnsi="Verdana" w:cs="Arial"/>
        </w:rPr>
      </w:pPr>
      <w:r w:rsidRPr="009D7E91">
        <w:rPr>
          <w:rFonts w:ascii="Verdana" w:hAnsi="Verdana" w:cs="Arial"/>
        </w:rPr>
        <w:t xml:space="preserve">Ley 80 de 1993. Artículos 25 y 32, numeral 3°. </w:t>
      </w:r>
    </w:p>
    <w:p w14:paraId="6EDA0349" w14:textId="77777777" w:rsidR="000710AE" w:rsidRPr="009D7E91" w:rsidRDefault="000710AE" w:rsidP="000710AE">
      <w:pPr>
        <w:pStyle w:val="Prrafodelista"/>
        <w:numPr>
          <w:ilvl w:val="0"/>
          <w:numId w:val="16"/>
        </w:numPr>
        <w:spacing w:after="120" w:line="240" w:lineRule="auto"/>
        <w:ind w:left="714" w:hanging="357"/>
        <w:contextualSpacing w:val="0"/>
        <w:rPr>
          <w:rFonts w:ascii="Verdana" w:hAnsi="Verdana" w:cs="Arial"/>
        </w:rPr>
      </w:pPr>
      <w:r w:rsidRPr="009D7E91">
        <w:rPr>
          <w:rFonts w:ascii="Verdana" w:hAnsi="Verdana" w:cs="Arial"/>
        </w:rPr>
        <w:t xml:space="preserve">Ley 1150 de 2007. Artículo 2, numeral 4°, literal h) </w:t>
      </w:r>
    </w:p>
    <w:p w14:paraId="3CBD040D" w14:textId="77777777" w:rsidR="000710AE" w:rsidRPr="009D7E91" w:rsidRDefault="000710AE" w:rsidP="000710AE">
      <w:pPr>
        <w:pStyle w:val="Textonotapie"/>
        <w:numPr>
          <w:ilvl w:val="0"/>
          <w:numId w:val="16"/>
        </w:numPr>
        <w:spacing w:after="120"/>
        <w:jc w:val="both"/>
        <w:rPr>
          <w:rFonts w:ascii="Verdana" w:hAnsi="Verdana" w:cs="Arial"/>
          <w:color w:val="000000" w:themeColor="text1"/>
          <w:sz w:val="22"/>
          <w:szCs w:val="22"/>
          <w:lang w:val="es-ES"/>
        </w:rPr>
      </w:pPr>
      <w:r w:rsidRPr="009D7E91">
        <w:rPr>
          <w:rFonts w:ascii="Verdana" w:hAnsi="Verdana" w:cs="Arial"/>
          <w:color w:val="000000" w:themeColor="text1"/>
          <w:sz w:val="22"/>
          <w:szCs w:val="22"/>
          <w:lang w:val="es-ES"/>
        </w:rPr>
        <w:t xml:space="preserve">Decreto 1082 de 2015. Artículo 2.2.1.2.1.4.9. </w:t>
      </w:r>
    </w:p>
    <w:p w14:paraId="3A513C5E" w14:textId="77777777" w:rsidR="000710AE" w:rsidRPr="009D7E91" w:rsidRDefault="000710AE" w:rsidP="000710AE">
      <w:pPr>
        <w:pStyle w:val="Prrafodelista"/>
        <w:numPr>
          <w:ilvl w:val="0"/>
          <w:numId w:val="16"/>
        </w:numPr>
        <w:shd w:val="clear" w:color="auto" w:fill="FFFFFF"/>
        <w:spacing w:after="120" w:line="240" w:lineRule="auto"/>
        <w:contextualSpacing w:val="0"/>
        <w:jc w:val="both"/>
        <w:rPr>
          <w:rFonts w:ascii="Verdana" w:hAnsi="Verdana" w:cs="Arial"/>
          <w:color w:val="000000" w:themeColor="text1"/>
        </w:rPr>
      </w:pPr>
      <w:r w:rsidRPr="009D7E91">
        <w:rPr>
          <w:rFonts w:ascii="Verdana" w:hAnsi="Verdana" w:cs="Arial"/>
          <w:color w:val="000000" w:themeColor="text1"/>
        </w:rPr>
        <w:t>CORTE CONSTITUCIONAL. Sentencia T – 460 del 1 de noviembre de 2024. Expediente T-9.981.627. M. P. Vladimir Fernández Andrade.</w:t>
      </w:r>
    </w:p>
    <w:p w14:paraId="5985AD3A" w14:textId="77777777" w:rsidR="000710AE" w:rsidRPr="009D7E91" w:rsidRDefault="000710AE" w:rsidP="000710AE">
      <w:pPr>
        <w:pStyle w:val="Prrafodelista"/>
        <w:numPr>
          <w:ilvl w:val="0"/>
          <w:numId w:val="16"/>
        </w:numPr>
        <w:spacing w:after="120" w:line="240" w:lineRule="auto"/>
        <w:contextualSpacing w:val="0"/>
      </w:pPr>
      <w:r w:rsidRPr="009D7E91">
        <w:rPr>
          <w:rFonts w:ascii="Verdana" w:hAnsi="Verdana"/>
        </w:rPr>
        <w:t xml:space="preserve">CORTE CONSTITUCIONAL, Sentencia T-003 del 18 de enero de 2023.  Expediente T-8.615.602. M.P. </w:t>
      </w:r>
      <w:r w:rsidRPr="009D7E91">
        <w:rPr>
          <w:rFonts w:ascii="Verdana" w:hAnsi="Verdana"/>
          <w:lang w:val="es-CO"/>
        </w:rPr>
        <w:t>José Fernando Reyes Cuartas.</w:t>
      </w:r>
    </w:p>
    <w:p w14:paraId="7853640E" w14:textId="77777777" w:rsidR="000710AE" w:rsidRPr="009D7E91" w:rsidRDefault="000710AE" w:rsidP="000710AE">
      <w:pPr>
        <w:spacing w:after="0" w:line="276" w:lineRule="auto"/>
        <w:rPr>
          <w:rFonts w:ascii="Verdana" w:hAnsi="Verdana" w:cs="Arial"/>
          <w:b/>
          <w:bCs/>
        </w:rPr>
      </w:pPr>
    </w:p>
    <w:p w14:paraId="3232730F" w14:textId="77777777" w:rsidR="000710AE" w:rsidRPr="009D7E91" w:rsidRDefault="000710AE" w:rsidP="000710AE">
      <w:pPr>
        <w:spacing w:after="0" w:line="276" w:lineRule="auto"/>
        <w:rPr>
          <w:rFonts w:ascii="Verdana" w:hAnsi="Verdana" w:cs="Arial"/>
          <w:b/>
          <w:bCs/>
          <w:lang w:val="es-ES"/>
        </w:rPr>
      </w:pPr>
      <w:r w:rsidRPr="009D7E91">
        <w:rPr>
          <w:rFonts w:ascii="Verdana" w:hAnsi="Verdana" w:cs="Arial"/>
          <w:b/>
          <w:bCs/>
          <w:lang w:val="es-ES"/>
        </w:rPr>
        <w:t>5. Doctrina de la Agencia Nacional de Contratación Pública:</w:t>
      </w:r>
    </w:p>
    <w:p w14:paraId="5474D798" w14:textId="77777777" w:rsidR="000710AE" w:rsidRPr="009D7E91" w:rsidRDefault="000710AE" w:rsidP="000710AE">
      <w:pPr>
        <w:spacing w:after="0" w:line="276" w:lineRule="auto"/>
        <w:rPr>
          <w:rFonts w:ascii="Verdana" w:hAnsi="Verdana" w:cs="Arial"/>
          <w:b/>
          <w:bCs/>
          <w:lang w:val="es-ES"/>
        </w:rPr>
      </w:pPr>
    </w:p>
    <w:p w14:paraId="217FD78F" w14:textId="77777777" w:rsidR="000710AE" w:rsidRPr="009D7E91" w:rsidRDefault="000710AE" w:rsidP="000710AE">
      <w:pPr>
        <w:spacing w:after="0" w:line="276" w:lineRule="auto"/>
        <w:ind w:firstLine="708"/>
        <w:jc w:val="both"/>
        <w:rPr>
          <w:rFonts w:ascii="Verdana" w:hAnsi="Verdana"/>
          <w:lang w:val="es-ES"/>
        </w:rPr>
      </w:pPr>
      <w:r w:rsidRPr="009D7E91">
        <w:rPr>
          <w:rFonts w:ascii="Verdana" w:hAnsi="Verdana" w:cs="Arial"/>
          <w:lang w:val="es-ES"/>
        </w:rPr>
        <w:t xml:space="preserve">Sobre el contrato de prestación de servicios profesionales, así como los requisitos para su celebración esta Agencia, se ha pronunciado esta Subdirección en los </w:t>
      </w:r>
      <w:r w:rsidRPr="009D7E91">
        <w:rPr>
          <w:rFonts w:ascii="Verdana" w:hAnsi="Verdana"/>
          <w:lang w:val="es-ES"/>
        </w:rPr>
        <w:t xml:space="preserve">conceptos C-103 del 05 de mayo de 2023, C-286 del 26 de julio de 2023, C-334 del 17 de agosto de 2023, C-443 del 31 de octubre de 2023, C-463 del 22 de noviembre de 2023, C-472 del 11 de diciembre de 2023, C-067 del 16 de mayo de 2024, C-260 del 15 de agosto de 2024, y C-757 del 4 de diciembre de 2024. Estos y otros conceptos se encuentran disponibles para consulta en el Sistema de Relatoría de la Agencia, en el cual podrán encontrar jurisprudencia del Consejo de Estado, laudos arbitrales y la normativa de la contratación concordada con la doctrina de la Subdirección de Gestión contractual a través del siguiente enlace: </w:t>
      </w:r>
      <w:hyperlink r:id="rId12" w:history="1">
        <w:r w:rsidRPr="009D7E91">
          <w:rPr>
            <w:rStyle w:val="Hipervnculo"/>
            <w:rFonts w:ascii="Verdana" w:hAnsi="Verdana"/>
            <w:lang w:val="es-ES"/>
          </w:rPr>
          <w:t>https://relatoria.colombiacompra.gov.co/</w:t>
        </w:r>
      </w:hyperlink>
      <w:r w:rsidRPr="009D7E91">
        <w:rPr>
          <w:rFonts w:ascii="Verdana" w:hAnsi="Verdana"/>
          <w:lang w:val="es-ES"/>
        </w:rPr>
        <w:t xml:space="preserve"> </w:t>
      </w:r>
    </w:p>
    <w:p w14:paraId="407D4DA9" w14:textId="77777777" w:rsidR="000710AE" w:rsidRPr="009D7E91" w:rsidRDefault="000710AE" w:rsidP="000710AE">
      <w:pPr>
        <w:spacing w:after="0" w:line="276" w:lineRule="auto"/>
        <w:jc w:val="both"/>
        <w:rPr>
          <w:rFonts w:ascii="Verdana" w:hAnsi="Verdana"/>
          <w:lang w:val="es-ES"/>
        </w:rPr>
      </w:pPr>
    </w:p>
    <w:p w14:paraId="22191587" w14:textId="77777777" w:rsidR="000710AE" w:rsidRPr="009A385A" w:rsidRDefault="000710AE" w:rsidP="000710AE">
      <w:pPr>
        <w:ind w:firstLine="708"/>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3" w:tgtFrame="_new" w:history="1">
        <w:r w:rsidRPr="009A385A">
          <w:rPr>
            <w:rStyle w:val="Hipervnculo"/>
            <w:rFonts w:ascii="Verdana" w:hAnsi="Verdana"/>
          </w:rPr>
          <w:t>https://formacionvirtual.colombiacompra.gov.co/mod/page/view.php?id=3718</w:t>
        </w:r>
      </w:hyperlink>
    </w:p>
    <w:p w14:paraId="375B9A4F" w14:textId="77777777" w:rsidR="000710AE" w:rsidRDefault="000710AE" w:rsidP="000710AE">
      <w:pPr>
        <w:ind w:firstLine="708"/>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4" w:tgtFrame="_new" w:history="1">
        <w:r w:rsidRPr="00635F16">
          <w:rPr>
            <w:rStyle w:val="Hipervnculo"/>
            <w:rFonts w:ascii="Verdana" w:hAnsi="Verdana"/>
          </w:rPr>
          <w:t>https://www.colombiacompra.gov.co/normativa-y-relatoria/documentos-tipo</w:t>
        </w:r>
      </w:hyperlink>
    </w:p>
    <w:p w14:paraId="503BA05D" w14:textId="77777777" w:rsidR="000710AE" w:rsidRPr="009A385A" w:rsidRDefault="000710AE" w:rsidP="000710AE">
      <w:pPr>
        <w:ind w:firstLine="708"/>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 xml:space="preserve">se incorporaron </w:t>
      </w:r>
      <w:r w:rsidRPr="00797327">
        <w:rPr>
          <w:rFonts w:ascii="Verdana" w:hAnsi="Verdana"/>
        </w:rPr>
        <w:lastRenderedPageBreak/>
        <w:t>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5"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1A83FD8F" w14:textId="77777777" w:rsidR="000710AE" w:rsidRPr="009D7E91" w:rsidRDefault="000710AE" w:rsidP="000710AE">
      <w:pPr>
        <w:spacing w:after="0" w:line="276" w:lineRule="auto"/>
        <w:ind w:firstLine="708"/>
        <w:jc w:val="both"/>
        <w:rPr>
          <w:rFonts w:ascii="Verdana" w:hAnsi="Verdana"/>
          <w:lang w:val="es-ES"/>
        </w:rPr>
      </w:pPr>
      <w:r w:rsidRPr="009D7E91">
        <w:rPr>
          <w:rFonts w:ascii="Verdana" w:hAnsi="Verdana"/>
          <w:lang w:val="es-ES"/>
        </w:rPr>
        <w:t xml:space="preserve">Por último, lo invitamos a seguirnos en las redes sociales en las cuales se difunde información institucional: </w:t>
      </w:r>
    </w:p>
    <w:p w14:paraId="54A30E65" w14:textId="77777777" w:rsidR="000710AE" w:rsidRPr="009D7E91" w:rsidRDefault="000710AE" w:rsidP="000710AE">
      <w:pPr>
        <w:spacing w:after="0" w:line="240" w:lineRule="auto"/>
        <w:jc w:val="both"/>
        <w:rPr>
          <w:rFonts w:ascii="Verdana" w:hAnsi="Verdana"/>
          <w:lang w:val="es-ES"/>
        </w:rPr>
      </w:pPr>
    </w:p>
    <w:p w14:paraId="0E6C226B" w14:textId="77777777" w:rsidR="000710AE" w:rsidRPr="009D7E91" w:rsidRDefault="000710AE" w:rsidP="000710AE">
      <w:pPr>
        <w:spacing w:after="0" w:line="240" w:lineRule="auto"/>
        <w:jc w:val="both"/>
        <w:rPr>
          <w:rFonts w:ascii="Verdana" w:hAnsi="Verdana"/>
          <w:lang w:val="es-ES"/>
        </w:rPr>
      </w:pPr>
      <w:r w:rsidRPr="009D7E91">
        <w:rPr>
          <w:rFonts w:ascii="Verdana" w:hAnsi="Verdana"/>
          <w:lang w:val="es-ES"/>
        </w:rPr>
        <w:t xml:space="preserve">Twitter: </w:t>
      </w:r>
      <w:r w:rsidRPr="009D7E91">
        <w:rPr>
          <w:rStyle w:val="Hipervnculo"/>
          <w:rFonts w:ascii="Verdana" w:hAnsi="Verdana"/>
          <w:color w:val="4472C4" w:themeColor="accent1"/>
          <w:lang w:val="es-ES"/>
        </w:rPr>
        <w:t>@colombiacompra</w:t>
      </w:r>
      <w:r w:rsidRPr="009D7E91">
        <w:rPr>
          <w:rFonts w:ascii="Verdana" w:hAnsi="Verdana"/>
          <w:color w:val="4472C4" w:themeColor="accent1"/>
          <w:lang w:val="es-ES"/>
        </w:rPr>
        <w:t xml:space="preserve"> </w:t>
      </w:r>
    </w:p>
    <w:p w14:paraId="657121A9" w14:textId="77777777" w:rsidR="000710AE" w:rsidRPr="009D7E91" w:rsidRDefault="000710AE" w:rsidP="000710AE">
      <w:pPr>
        <w:spacing w:after="0" w:line="240" w:lineRule="auto"/>
        <w:jc w:val="both"/>
        <w:rPr>
          <w:rFonts w:ascii="Verdana" w:hAnsi="Verdana"/>
          <w:lang w:val="es-ES"/>
        </w:rPr>
      </w:pPr>
      <w:r w:rsidRPr="009D7E91">
        <w:rPr>
          <w:rFonts w:ascii="Verdana" w:hAnsi="Verdana"/>
          <w:lang w:val="es-ES"/>
        </w:rPr>
        <w:t xml:space="preserve">Facebook: </w:t>
      </w:r>
      <w:proofErr w:type="spellStart"/>
      <w:r w:rsidRPr="009D7E91">
        <w:rPr>
          <w:rStyle w:val="Hipervnculo"/>
          <w:rFonts w:ascii="Verdana" w:hAnsi="Verdana"/>
          <w:color w:val="4472C4" w:themeColor="accent1"/>
          <w:lang w:val="es-ES"/>
        </w:rPr>
        <w:t>ColombiaCompraEficiente</w:t>
      </w:r>
      <w:proofErr w:type="spellEnd"/>
    </w:p>
    <w:p w14:paraId="4025327A" w14:textId="77777777" w:rsidR="000710AE" w:rsidRPr="009D7E91" w:rsidRDefault="000710AE" w:rsidP="000710AE">
      <w:pPr>
        <w:spacing w:after="0" w:line="240" w:lineRule="auto"/>
        <w:jc w:val="both"/>
        <w:rPr>
          <w:rFonts w:ascii="Verdana" w:hAnsi="Verdana"/>
          <w:lang w:val="es-ES"/>
        </w:rPr>
      </w:pPr>
      <w:r w:rsidRPr="009D7E91">
        <w:rPr>
          <w:rFonts w:ascii="Verdana" w:hAnsi="Verdana"/>
          <w:lang w:val="es-ES"/>
        </w:rPr>
        <w:t xml:space="preserve">LinkedIn: </w:t>
      </w:r>
      <w:r w:rsidRPr="009D7E91">
        <w:rPr>
          <w:rStyle w:val="Hipervnculo"/>
          <w:rFonts w:ascii="Verdana" w:hAnsi="Verdana"/>
          <w:color w:val="4472C4" w:themeColor="accent1"/>
          <w:lang w:val="es-ES"/>
        </w:rPr>
        <w:t>Agencia Nacional de Contratación Pública - Colombia Compra Eficiente</w:t>
      </w:r>
      <w:r w:rsidRPr="009D7E91">
        <w:rPr>
          <w:rFonts w:ascii="Verdana" w:hAnsi="Verdana"/>
          <w:color w:val="4472C4" w:themeColor="accent1"/>
          <w:lang w:val="es-ES"/>
        </w:rPr>
        <w:t xml:space="preserve"> </w:t>
      </w:r>
      <w:r w:rsidRPr="009D7E91">
        <w:rPr>
          <w:rFonts w:ascii="Verdana" w:hAnsi="Verdana"/>
          <w:lang w:val="es-ES"/>
        </w:rPr>
        <w:t xml:space="preserve">Instagram: </w:t>
      </w:r>
      <w:r w:rsidRPr="009D7E91">
        <w:rPr>
          <w:rStyle w:val="Hipervnculo"/>
          <w:rFonts w:ascii="Verdana" w:hAnsi="Verdana"/>
          <w:color w:val="4472C4" w:themeColor="accent1"/>
          <w:lang w:val="es-ES"/>
        </w:rPr>
        <w:t>@colombiacompraeficiente_cce</w:t>
      </w:r>
    </w:p>
    <w:p w14:paraId="6E0E433E" w14:textId="77777777" w:rsidR="000710AE" w:rsidRPr="009D7E91" w:rsidRDefault="000710AE" w:rsidP="000710AE">
      <w:pPr>
        <w:spacing w:after="120" w:line="276" w:lineRule="auto"/>
        <w:jc w:val="center"/>
        <w:rPr>
          <w:rFonts w:ascii="Verdana" w:hAnsi="Verdana" w:cs="Arial"/>
          <w:lang w:val="es-ES"/>
        </w:rPr>
      </w:pPr>
    </w:p>
    <w:p w14:paraId="343681F5" w14:textId="77777777" w:rsidR="000710AE" w:rsidRPr="009D7E91" w:rsidRDefault="000710AE" w:rsidP="000710AE">
      <w:pPr>
        <w:spacing w:after="120" w:line="276" w:lineRule="auto"/>
        <w:jc w:val="both"/>
        <w:rPr>
          <w:rFonts w:ascii="Verdana" w:hAnsi="Verdana" w:cs="Arial"/>
          <w:color w:val="000000" w:themeColor="text1"/>
          <w:lang w:val="es-ES"/>
        </w:rPr>
      </w:pPr>
      <w:r w:rsidRPr="009D7E91">
        <w:rPr>
          <w:rFonts w:ascii="Verdana" w:hAnsi="Verdana" w:cs="Arial"/>
          <w:color w:val="000000" w:themeColor="text1"/>
          <w:lang w:val="es-ES"/>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A246527" w14:textId="77777777" w:rsidR="000710AE" w:rsidRPr="009D7E91" w:rsidRDefault="000710AE" w:rsidP="000710AE">
      <w:pPr>
        <w:spacing w:after="0" w:line="240" w:lineRule="auto"/>
        <w:rPr>
          <w:rFonts w:ascii="Verdana" w:eastAsia="Times New Roman" w:hAnsi="Verdana" w:cs="Arial"/>
          <w:i/>
          <w:lang w:val="es-ES" w:eastAsia="es-ES"/>
        </w:rPr>
      </w:pPr>
    </w:p>
    <w:p w14:paraId="51495824" w14:textId="77777777" w:rsidR="000710AE" w:rsidRPr="009D7E91" w:rsidRDefault="000710AE" w:rsidP="000710AE">
      <w:pPr>
        <w:spacing w:after="0" w:line="240" w:lineRule="auto"/>
        <w:rPr>
          <w:rFonts w:ascii="Verdana" w:eastAsia="Times New Roman" w:hAnsi="Verdana" w:cs="Arial"/>
          <w:lang w:val="es-ES" w:eastAsia="es-CO"/>
        </w:rPr>
      </w:pPr>
      <w:r w:rsidRPr="009D7E91">
        <w:rPr>
          <w:rFonts w:ascii="Verdana" w:eastAsia="Times New Roman" w:hAnsi="Verdana" w:cs="Arial"/>
          <w:lang w:val="es-ES" w:eastAsia="es-CO"/>
        </w:rPr>
        <w:t>Atentamente,</w:t>
      </w:r>
    </w:p>
    <w:p w14:paraId="05C74828" w14:textId="77777777" w:rsidR="000710AE" w:rsidRPr="004437A0" w:rsidRDefault="000710AE" w:rsidP="000710AE">
      <w:pPr>
        <w:spacing w:after="0" w:line="240" w:lineRule="auto"/>
        <w:jc w:val="both"/>
        <w:rPr>
          <w:rFonts w:ascii="Verdana" w:eastAsia="Verdana" w:hAnsi="Verdana" w:cs="Verdana"/>
          <w:b/>
          <w:bCs/>
          <w:lang w:val="es-MX"/>
        </w:rPr>
      </w:pPr>
    </w:p>
    <w:p w14:paraId="2E1D7FC5" w14:textId="1B89896E" w:rsidR="00955C7A" w:rsidRPr="00955C7A" w:rsidRDefault="00955C7A" w:rsidP="00955C7A">
      <w:pPr>
        <w:spacing w:after="0" w:line="240" w:lineRule="auto"/>
        <w:jc w:val="center"/>
        <w:rPr>
          <w:rFonts w:ascii="Verdana" w:eastAsia="Verdana" w:hAnsi="Verdana" w:cs="Verdana"/>
          <w:b/>
          <w:bCs/>
        </w:rPr>
      </w:pPr>
      <w:r w:rsidRPr="00955C7A">
        <w:rPr>
          <w:rFonts w:ascii="Verdana" w:eastAsia="Verdana" w:hAnsi="Verdana" w:cs="Verdana"/>
          <w:b/>
          <w:bCs/>
          <w:noProof/>
        </w:rPr>
        <w:drawing>
          <wp:inline distT="0" distB="0" distL="0" distR="0" wp14:anchorId="174E3394" wp14:editId="7487DF2C">
            <wp:extent cx="3771900" cy="1400175"/>
            <wp:effectExtent l="0" t="0" r="0" b="9525"/>
            <wp:docPr id="2127598794"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71900" cy="1400175"/>
                    </a:xfrm>
                    <a:prstGeom prst="rect">
                      <a:avLst/>
                    </a:prstGeom>
                    <a:noFill/>
                    <a:ln>
                      <a:noFill/>
                    </a:ln>
                  </pic:spPr>
                </pic:pic>
              </a:graphicData>
            </a:graphic>
          </wp:inline>
        </w:drawing>
      </w:r>
    </w:p>
    <w:p w14:paraId="4927C94C" w14:textId="65808A2A" w:rsidR="000710AE" w:rsidRDefault="000710AE" w:rsidP="000710AE">
      <w:pPr>
        <w:spacing w:after="0" w:line="240" w:lineRule="auto"/>
        <w:jc w:val="center"/>
        <w:rPr>
          <w:rFonts w:ascii="Verdana" w:eastAsia="Verdana" w:hAnsi="Verdana" w:cs="Verdana"/>
          <w:b/>
          <w:bCs/>
          <w:lang w:val="es-MX"/>
        </w:rPr>
      </w:pPr>
    </w:p>
    <w:p w14:paraId="16624D3E" w14:textId="77777777" w:rsidR="000710AE" w:rsidRPr="004437A0" w:rsidRDefault="000710AE" w:rsidP="000710AE">
      <w:pPr>
        <w:spacing w:after="0" w:line="240" w:lineRule="auto"/>
        <w:jc w:val="both"/>
        <w:rPr>
          <w:rFonts w:ascii="Verdana" w:eastAsia="Verdana" w:hAnsi="Verdana" w:cs="Verdana"/>
          <w:b/>
          <w:bCs/>
          <w:lang w:val="es-MX"/>
        </w:rPr>
      </w:pPr>
    </w:p>
    <w:tbl>
      <w:tblPr>
        <w:tblW w:w="643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13"/>
        <w:gridCol w:w="5525"/>
      </w:tblGrid>
      <w:tr w:rsidR="000710AE" w:rsidRPr="004437A0" w14:paraId="79A1F8B7" w14:textId="77777777" w:rsidTr="00EE6664">
        <w:trPr>
          <w:trHeight w:val="409"/>
        </w:trPr>
        <w:tc>
          <w:tcPr>
            <w:tcW w:w="913" w:type="dxa"/>
            <w:tcBorders>
              <w:top w:val="nil"/>
              <w:left w:val="nil"/>
              <w:bottom w:val="nil"/>
              <w:right w:val="nil"/>
            </w:tcBorders>
            <w:vAlign w:val="center"/>
            <w:hideMark/>
          </w:tcPr>
          <w:p w14:paraId="5439F4D3" w14:textId="77777777" w:rsidR="000710AE" w:rsidRPr="004437A0" w:rsidRDefault="000710AE" w:rsidP="00EE6664">
            <w:pPr>
              <w:spacing w:after="0"/>
              <w:jc w:val="both"/>
              <w:rPr>
                <w:rFonts w:ascii="Verdana" w:hAnsi="Verdana" w:cs="Arial"/>
                <w:sz w:val="16"/>
                <w:szCs w:val="16"/>
                <w:lang w:val="es-ES"/>
              </w:rPr>
            </w:pPr>
            <w:r w:rsidRPr="004437A0">
              <w:rPr>
                <w:rFonts w:ascii="Verdana" w:hAnsi="Verdana" w:cs="Arial"/>
                <w:sz w:val="16"/>
                <w:szCs w:val="16"/>
                <w:lang w:val="es-ES"/>
              </w:rPr>
              <w:t>Elaboró: </w:t>
            </w:r>
          </w:p>
        </w:tc>
        <w:tc>
          <w:tcPr>
            <w:tcW w:w="5525" w:type="dxa"/>
            <w:tcBorders>
              <w:top w:val="nil"/>
              <w:left w:val="nil"/>
              <w:bottom w:val="dotted" w:sz="6" w:space="0" w:color="7F7F7F" w:themeColor="text1" w:themeTint="80"/>
              <w:right w:val="nil"/>
            </w:tcBorders>
            <w:vAlign w:val="center"/>
            <w:hideMark/>
          </w:tcPr>
          <w:p w14:paraId="4E72306C" w14:textId="77777777" w:rsidR="000710AE" w:rsidRPr="004437A0" w:rsidRDefault="000710AE" w:rsidP="00EE6664">
            <w:pPr>
              <w:spacing w:after="0"/>
              <w:jc w:val="both"/>
              <w:rPr>
                <w:rFonts w:ascii="Verdana" w:hAnsi="Verdana" w:cs="Arial"/>
                <w:sz w:val="16"/>
                <w:szCs w:val="16"/>
                <w:lang w:val="es-ES"/>
              </w:rPr>
            </w:pPr>
            <w:r w:rsidRPr="004437A0">
              <w:rPr>
                <w:rFonts w:ascii="Verdana" w:hAnsi="Verdana" w:cs="Arial"/>
                <w:sz w:val="16"/>
                <w:szCs w:val="16"/>
                <w:lang w:val="es-ES"/>
              </w:rPr>
              <w:t xml:space="preserve">Natalia Montoya Jiménez </w:t>
            </w:r>
          </w:p>
          <w:p w14:paraId="0DB87D0C" w14:textId="77777777" w:rsidR="000710AE" w:rsidRPr="004437A0" w:rsidRDefault="000710AE" w:rsidP="00EE6664">
            <w:pPr>
              <w:spacing w:after="0"/>
              <w:jc w:val="both"/>
              <w:rPr>
                <w:rFonts w:ascii="Verdana" w:hAnsi="Verdana" w:cs="Arial"/>
                <w:sz w:val="16"/>
                <w:szCs w:val="16"/>
                <w:lang w:val="es-ES"/>
              </w:rPr>
            </w:pPr>
            <w:r w:rsidRPr="004437A0">
              <w:rPr>
                <w:rFonts w:ascii="Verdana" w:hAnsi="Verdana" w:cs="Arial"/>
                <w:sz w:val="16"/>
                <w:szCs w:val="16"/>
                <w:lang w:val="es-ES"/>
              </w:rPr>
              <w:t>Gestor T1 – 15 de la Subdirección de Gestión Contractual</w:t>
            </w:r>
          </w:p>
        </w:tc>
      </w:tr>
      <w:tr w:rsidR="000710AE" w:rsidRPr="004437A0" w14:paraId="01B0AD6C" w14:textId="77777777" w:rsidTr="00EE6664">
        <w:trPr>
          <w:trHeight w:val="409"/>
        </w:trPr>
        <w:tc>
          <w:tcPr>
            <w:tcW w:w="913" w:type="dxa"/>
            <w:tcBorders>
              <w:top w:val="nil"/>
              <w:left w:val="nil"/>
              <w:right w:val="nil"/>
            </w:tcBorders>
            <w:vAlign w:val="center"/>
          </w:tcPr>
          <w:p w14:paraId="55CF8FFF" w14:textId="77777777" w:rsidR="000710AE" w:rsidRPr="004437A0" w:rsidRDefault="000710AE" w:rsidP="00EE6664">
            <w:pPr>
              <w:spacing w:after="0"/>
              <w:rPr>
                <w:rStyle w:val="normaltextrun"/>
                <w:rFonts w:ascii="Verdana" w:eastAsia="Arial" w:hAnsi="Verdana"/>
                <w:color w:val="000000" w:themeColor="text1"/>
                <w:sz w:val="16"/>
                <w:szCs w:val="16"/>
                <w:lang w:val="es-ES"/>
              </w:rPr>
            </w:pPr>
            <w:r w:rsidRPr="004437A0">
              <w:rPr>
                <w:rStyle w:val="normaltextrun"/>
                <w:rFonts w:ascii="Verdana" w:eastAsia="Arial" w:hAnsi="Verdana"/>
                <w:color w:val="000000" w:themeColor="text1"/>
                <w:sz w:val="16"/>
                <w:szCs w:val="16"/>
                <w:lang w:val="es-ES"/>
              </w:rPr>
              <w:t>Revisó</w:t>
            </w:r>
          </w:p>
        </w:tc>
        <w:tc>
          <w:tcPr>
            <w:tcW w:w="5525" w:type="dxa"/>
            <w:tcBorders>
              <w:top w:val="dotted" w:sz="6" w:space="0" w:color="7F7F7F" w:themeColor="text1" w:themeTint="80"/>
              <w:left w:val="nil"/>
              <w:bottom w:val="dotted" w:sz="6" w:space="0" w:color="7F7F7F" w:themeColor="text1" w:themeTint="80"/>
              <w:right w:val="nil"/>
            </w:tcBorders>
            <w:vAlign w:val="center"/>
          </w:tcPr>
          <w:p w14:paraId="16D40BDF" w14:textId="77777777" w:rsidR="000710AE" w:rsidRPr="004437A0" w:rsidRDefault="000710AE" w:rsidP="00EE6664">
            <w:pPr>
              <w:spacing w:after="0" w:line="240" w:lineRule="auto"/>
              <w:jc w:val="both"/>
            </w:pPr>
            <w:r w:rsidRPr="004437A0">
              <w:rPr>
                <w:rFonts w:cs="Arial"/>
                <w:lang w:val="es-ES"/>
              </w:rPr>
              <w:t>D</w:t>
            </w:r>
            <w:r w:rsidRPr="004437A0">
              <w:rPr>
                <w:rFonts w:ascii="Verdana" w:hAnsi="Verdana" w:cs="Arial"/>
                <w:sz w:val="16"/>
                <w:szCs w:val="16"/>
                <w:lang w:val="es-ES"/>
              </w:rPr>
              <w:t>iana Lucia Saavedra</w:t>
            </w:r>
          </w:p>
          <w:p w14:paraId="5FD82282" w14:textId="77777777" w:rsidR="000710AE" w:rsidRPr="004437A0" w:rsidRDefault="000710AE" w:rsidP="00EE6664">
            <w:pPr>
              <w:spacing w:after="0" w:line="240" w:lineRule="auto"/>
              <w:jc w:val="both"/>
              <w:rPr>
                <w:rStyle w:val="normaltextrun"/>
                <w:rFonts w:ascii="Verdana" w:eastAsia="Arial" w:hAnsi="Verdana"/>
                <w:color w:val="000000" w:themeColor="text1"/>
                <w:sz w:val="16"/>
                <w:szCs w:val="16"/>
                <w:lang w:val="es-ES"/>
              </w:rPr>
            </w:pPr>
            <w:r w:rsidRPr="004437A0">
              <w:rPr>
                <w:rFonts w:ascii="Verdana" w:hAnsi="Verdana" w:cs="Arial"/>
                <w:sz w:val="16"/>
                <w:szCs w:val="16"/>
                <w:lang w:val="es-ES"/>
              </w:rPr>
              <w:t>Contratista de la Subdirección</w:t>
            </w:r>
            <w:r w:rsidRPr="004437A0">
              <w:t xml:space="preserve"> de </w:t>
            </w:r>
            <w:r w:rsidRPr="004437A0">
              <w:rPr>
                <w:rFonts w:ascii="Verdana" w:hAnsi="Verdana"/>
                <w:sz w:val="16"/>
                <w:szCs w:val="16"/>
              </w:rPr>
              <w:t>Gestión Contractual</w:t>
            </w:r>
          </w:p>
        </w:tc>
      </w:tr>
      <w:tr w:rsidR="000710AE" w:rsidRPr="004437A0" w14:paraId="0C4308C2" w14:textId="77777777" w:rsidTr="00EE6664">
        <w:trPr>
          <w:trHeight w:val="389"/>
        </w:trPr>
        <w:tc>
          <w:tcPr>
            <w:tcW w:w="913" w:type="dxa"/>
            <w:tcBorders>
              <w:top w:val="nil"/>
              <w:left w:val="nil"/>
              <w:bottom w:val="nil"/>
              <w:right w:val="nil"/>
            </w:tcBorders>
            <w:vAlign w:val="center"/>
            <w:hideMark/>
          </w:tcPr>
          <w:p w14:paraId="71F9B3B1" w14:textId="77777777" w:rsidR="000710AE" w:rsidRPr="004437A0" w:rsidRDefault="000710AE" w:rsidP="00EE6664">
            <w:pPr>
              <w:spacing w:after="0"/>
              <w:jc w:val="both"/>
              <w:rPr>
                <w:rFonts w:ascii="Verdana" w:hAnsi="Verdana" w:cs="Arial"/>
                <w:sz w:val="16"/>
                <w:szCs w:val="16"/>
                <w:lang w:val="es-ES"/>
              </w:rPr>
            </w:pPr>
            <w:r w:rsidRPr="004437A0">
              <w:rPr>
                <w:rFonts w:ascii="Verdana" w:hAnsi="Verdana" w:cs="Arial"/>
                <w:sz w:val="16"/>
                <w:szCs w:val="16"/>
                <w:lang w:val="es-ES"/>
              </w:rPr>
              <w:lastRenderedPageBreak/>
              <w:t>Aprobó: </w:t>
            </w:r>
          </w:p>
        </w:tc>
        <w:tc>
          <w:tcPr>
            <w:tcW w:w="5525" w:type="dxa"/>
            <w:tcBorders>
              <w:top w:val="dotted" w:sz="6" w:space="0" w:color="7F7F7F" w:themeColor="text1" w:themeTint="80"/>
              <w:left w:val="nil"/>
              <w:bottom w:val="dotted" w:sz="6" w:space="0" w:color="7F7F7F" w:themeColor="text1" w:themeTint="80"/>
              <w:right w:val="nil"/>
            </w:tcBorders>
            <w:vAlign w:val="center"/>
            <w:hideMark/>
          </w:tcPr>
          <w:p w14:paraId="136F74A2" w14:textId="77777777" w:rsidR="000710AE" w:rsidRPr="004437A0" w:rsidRDefault="000710AE" w:rsidP="00EE6664">
            <w:pPr>
              <w:spacing w:after="0"/>
              <w:rPr>
                <w:rFonts w:ascii="Verdana" w:eastAsia="Calibri" w:hAnsi="Verdana" w:cs="Arial"/>
                <w:sz w:val="16"/>
                <w:szCs w:val="16"/>
                <w:lang w:val="es-ES" w:eastAsia="es-ES"/>
              </w:rPr>
            </w:pPr>
            <w:r w:rsidRPr="004437A0">
              <w:rPr>
                <w:rFonts w:ascii="Verdana" w:eastAsia="Calibri" w:hAnsi="Verdana" w:cs="Arial"/>
                <w:sz w:val="16"/>
                <w:szCs w:val="16"/>
                <w:lang w:val="es-ES" w:eastAsia="es-ES"/>
              </w:rPr>
              <w:t>Carolina Quintero Gacharná</w:t>
            </w:r>
          </w:p>
          <w:p w14:paraId="35DA217A" w14:textId="77777777" w:rsidR="000710AE" w:rsidRPr="004437A0" w:rsidRDefault="000710AE" w:rsidP="00EE6664">
            <w:pPr>
              <w:spacing w:after="0"/>
              <w:jc w:val="both"/>
              <w:rPr>
                <w:rFonts w:ascii="Verdana" w:hAnsi="Verdana" w:cs="Arial"/>
                <w:sz w:val="16"/>
                <w:szCs w:val="16"/>
                <w:lang w:val="es-ES"/>
              </w:rPr>
            </w:pPr>
            <w:r w:rsidRPr="004437A0">
              <w:rPr>
                <w:rFonts w:ascii="Verdana" w:hAnsi="Verdana" w:cs="Arial"/>
                <w:sz w:val="16"/>
                <w:szCs w:val="16"/>
                <w:lang w:val="es-ES"/>
              </w:rPr>
              <w:t>Subdirectora de Gestión Contractual ANCP – CCE</w:t>
            </w:r>
          </w:p>
        </w:tc>
      </w:tr>
    </w:tbl>
    <w:p w14:paraId="02B3C03D" w14:textId="77777777" w:rsidR="000710AE" w:rsidRPr="004437A0" w:rsidRDefault="000710AE" w:rsidP="000710AE">
      <w:pPr>
        <w:spacing w:after="0" w:line="240" w:lineRule="auto"/>
        <w:jc w:val="both"/>
        <w:textAlignment w:val="baseline"/>
        <w:rPr>
          <w:rFonts w:ascii="Verdana" w:eastAsia="Verdana" w:hAnsi="Verdana" w:cs="Verdana"/>
          <w:lang w:eastAsia="es-CO"/>
        </w:rPr>
      </w:pPr>
    </w:p>
    <w:p w14:paraId="69BC4D14" w14:textId="6456130C"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01E603" w14:textId="77777777" w:rsidR="001B4F58" w:rsidRDefault="001B4F58" w:rsidP="004A1847">
      <w:pPr>
        <w:spacing w:after="0" w:line="240" w:lineRule="auto"/>
      </w:pPr>
      <w:r>
        <w:separator/>
      </w:r>
    </w:p>
  </w:endnote>
  <w:endnote w:type="continuationSeparator" w:id="0">
    <w:p w14:paraId="28E23A34" w14:textId="77777777" w:rsidR="001B4F58" w:rsidRDefault="001B4F5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B0AD91" w14:textId="77777777" w:rsidR="001B4F58" w:rsidRDefault="001B4F58" w:rsidP="004A1847">
      <w:pPr>
        <w:spacing w:after="0" w:line="240" w:lineRule="auto"/>
      </w:pPr>
      <w:r>
        <w:separator/>
      </w:r>
    </w:p>
  </w:footnote>
  <w:footnote w:type="continuationSeparator" w:id="0">
    <w:p w14:paraId="1FD1ACE1" w14:textId="77777777" w:rsidR="001B4F58" w:rsidRDefault="001B4F58" w:rsidP="004A1847">
      <w:pPr>
        <w:spacing w:after="0" w:line="240" w:lineRule="auto"/>
      </w:pPr>
      <w:r>
        <w:continuationSeparator/>
      </w:r>
    </w:p>
  </w:footnote>
  <w:footnote w:id="1">
    <w:p w14:paraId="4133F180" w14:textId="77777777" w:rsidR="000710AE" w:rsidRPr="008169EB" w:rsidRDefault="000710AE" w:rsidP="000710AE">
      <w:pPr>
        <w:pStyle w:val="Textonotapie"/>
        <w:ind w:firstLine="426"/>
        <w:jc w:val="both"/>
        <w:rPr>
          <w:rFonts w:ascii="Verdana" w:hAnsi="Verdana"/>
          <w:sz w:val="16"/>
          <w:szCs w:val="16"/>
          <w:lang w:val="es-CO"/>
        </w:rPr>
      </w:pPr>
      <w:r w:rsidRPr="008169EB">
        <w:rPr>
          <w:rStyle w:val="Refdenotaalpie"/>
          <w:rFonts w:ascii="Verdana" w:hAnsi="Verdana"/>
          <w:sz w:val="16"/>
          <w:szCs w:val="16"/>
        </w:rPr>
        <w:footnoteRef/>
      </w:r>
      <w:r w:rsidRPr="008169EB">
        <w:rPr>
          <w:rFonts w:ascii="Verdana" w:hAnsi="Verdana"/>
          <w:sz w:val="16"/>
          <w:szCs w:val="16"/>
        </w:rPr>
        <w:t xml:space="preserve"> </w:t>
      </w:r>
      <w:r w:rsidRPr="008169EB">
        <w:rPr>
          <w:rFonts w:ascii="Verdana" w:hAnsi="Verdana"/>
          <w:sz w:val="16"/>
          <w:szCs w:val="16"/>
          <w:lang w:val="es-ES"/>
        </w:rPr>
        <w:t>“</w:t>
      </w:r>
      <w:r w:rsidRPr="008169EB">
        <w:rPr>
          <w:rFonts w:ascii="Verdana" w:hAnsi="Verdana"/>
          <w:sz w:val="16"/>
          <w:szCs w:val="16"/>
          <w:lang w:val="es-CO"/>
        </w:rPr>
        <w:t>Para poder participar en los procesos de selección de los contratos de obra, la capacidad residual del proponente o K de contratación deberá ser igual o superior al que la entidad haya establecido para el efecto en los pliegos de condiciones</w:t>
      </w:r>
    </w:p>
    <w:p w14:paraId="00C49904" w14:textId="77777777" w:rsidR="000710AE" w:rsidRPr="008169EB" w:rsidRDefault="000710AE" w:rsidP="000710AE">
      <w:pPr>
        <w:pStyle w:val="Textonotapie"/>
        <w:jc w:val="both"/>
        <w:rPr>
          <w:rFonts w:ascii="Verdana" w:hAnsi="Verdana"/>
          <w:sz w:val="16"/>
          <w:szCs w:val="16"/>
          <w:lang w:val="es-CO"/>
        </w:rPr>
      </w:pPr>
      <w:r w:rsidRPr="008169EB">
        <w:rPr>
          <w:rFonts w:ascii="Verdana" w:hAnsi="Verdana"/>
          <w:sz w:val="16"/>
          <w:szCs w:val="16"/>
          <w:lang w:val="es-CO"/>
        </w:rPr>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footnote>
  <w:footnote w:id="2">
    <w:p w14:paraId="112ED5F2" w14:textId="77777777" w:rsidR="000710AE" w:rsidRPr="008169EB" w:rsidRDefault="000710AE" w:rsidP="000710AE">
      <w:pPr>
        <w:ind w:firstLine="567"/>
        <w:jc w:val="both"/>
        <w:rPr>
          <w:rFonts w:ascii="Verdana" w:hAnsi="Verdana"/>
          <w:sz w:val="16"/>
          <w:szCs w:val="16"/>
          <w:lang w:val="es-MX"/>
        </w:rPr>
      </w:pPr>
      <w:r w:rsidRPr="008169EB">
        <w:rPr>
          <w:rStyle w:val="Refdenotaalpie"/>
          <w:rFonts w:ascii="Verdana" w:hAnsi="Verdana"/>
          <w:sz w:val="16"/>
          <w:szCs w:val="16"/>
        </w:rPr>
        <w:footnoteRef/>
      </w:r>
      <w:r w:rsidRPr="008169EB">
        <w:rPr>
          <w:rFonts w:ascii="Verdana" w:hAnsi="Verdana"/>
          <w:sz w:val="16"/>
          <w:szCs w:val="16"/>
        </w:rPr>
        <w:t xml:space="preserve"> </w:t>
      </w:r>
      <w:r w:rsidRPr="008169EB">
        <w:rPr>
          <w:rFonts w:ascii="Verdana" w:hAnsi="Verdana"/>
          <w:sz w:val="16"/>
          <w:szCs w:val="16"/>
          <w:lang w:val="es-MX"/>
        </w:rPr>
        <w:t xml:space="preserve">Gaceta 096 de 2007. Pág. 9. Allí se lee: “Parágrafo 2°. Nuevo. Se adiciona un parágrafo nuevo para establecer de manera concreta que las certificaciones de sistemas de gestión de calidad no serán objeto de calificación, ni podrán establecerse como documento habilitante para participar en licitaciones o concursos, con el fin de evitar la exclusión de aquellas personas o empresas principalmente en regiones apartadas que carecen de tal requisito. Dejando sin embargo a la administración la posibilidad de fijar la implementación de planes de calidad” (Cursivas propias). </w:t>
      </w:r>
    </w:p>
  </w:footnote>
  <w:footnote w:id="3">
    <w:p w14:paraId="4CD24DD3" w14:textId="77777777" w:rsidR="000710AE" w:rsidRPr="008169EB" w:rsidRDefault="000710AE" w:rsidP="000710AE">
      <w:pPr>
        <w:pStyle w:val="Textonotapie"/>
        <w:ind w:firstLine="567"/>
        <w:jc w:val="both"/>
        <w:rPr>
          <w:rFonts w:ascii="Verdana" w:hAnsi="Verdana"/>
          <w:sz w:val="16"/>
          <w:szCs w:val="16"/>
          <w:lang w:val="es-CO"/>
        </w:rPr>
      </w:pPr>
      <w:r w:rsidRPr="008169EB">
        <w:rPr>
          <w:rStyle w:val="Refdenotaalpie"/>
          <w:rFonts w:ascii="Verdana" w:hAnsi="Verdana"/>
          <w:sz w:val="16"/>
          <w:szCs w:val="16"/>
        </w:rPr>
        <w:footnoteRef/>
      </w:r>
      <w:r w:rsidRPr="008169EB">
        <w:rPr>
          <w:rFonts w:ascii="Verdana" w:hAnsi="Verdana"/>
          <w:sz w:val="16"/>
          <w:szCs w:val="16"/>
        </w:rPr>
        <w:t xml:space="preserve"> Según este parágrafo</w:t>
      </w:r>
      <w:r w:rsidRPr="008169EB">
        <w:rPr>
          <w:rFonts w:ascii="Verdana" w:hAnsi="Verdana" w:cs="Arial"/>
          <w:color w:val="000000" w:themeColor="text1"/>
          <w:sz w:val="16"/>
          <w:szCs w:val="16"/>
          <w:lang w:val="es-ES_tradnl"/>
        </w:rPr>
        <w:t xml:space="preserve"> </w:t>
      </w:r>
      <w:r w:rsidRPr="008169EB">
        <w:rPr>
          <w:rFonts w:ascii="Verdana" w:hAnsi="Verdana"/>
          <w:sz w:val="16"/>
          <w:szCs w:val="16"/>
          <w:lang w:val="es-ES_tradnl"/>
        </w:rPr>
        <w:t>las certificaciones de sistemas de gestión de calidad no serán objeto de calificación, ni podrán establecerse como documento habilitante para participar en licitaciones o concursos.</w:t>
      </w:r>
      <w:r w:rsidRPr="008169EB">
        <w:rPr>
          <w:rFonts w:ascii="Verdana" w:hAnsi="Verdana"/>
          <w:sz w:val="16"/>
          <w:szCs w:val="16"/>
        </w:rPr>
        <w:t xml:space="preserve"> </w:t>
      </w:r>
    </w:p>
  </w:footnote>
  <w:footnote w:id="4">
    <w:p w14:paraId="3B0083BD" w14:textId="77777777" w:rsidR="000710AE" w:rsidRPr="008169EB" w:rsidRDefault="000710AE" w:rsidP="000710AE">
      <w:pPr>
        <w:pStyle w:val="Textonotapie"/>
        <w:ind w:firstLine="567"/>
        <w:jc w:val="both"/>
        <w:rPr>
          <w:rFonts w:ascii="Verdana" w:hAnsi="Verdana"/>
          <w:sz w:val="16"/>
          <w:szCs w:val="16"/>
          <w:lang w:val="es-CO"/>
        </w:rPr>
      </w:pPr>
      <w:r w:rsidRPr="008169EB">
        <w:rPr>
          <w:rStyle w:val="Refdenotaalpie"/>
          <w:rFonts w:ascii="Verdana" w:hAnsi="Verdana"/>
          <w:sz w:val="16"/>
          <w:szCs w:val="16"/>
        </w:rPr>
        <w:footnoteRef/>
      </w:r>
      <w:r w:rsidRPr="008169EB">
        <w:rPr>
          <w:rFonts w:ascii="Verdana" w:hAnsi="Verdana"/>
          <w:sz w:val="16"/>
          <w:szCs w:val="16"/>
        </w:rPr>
        <w:t xml:space="preserve"> “Artículo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footnote>
  <w:footnote w:id="5">
    <w:p w14:paraId="1DCAB0FF" w14:textId="77777777" w:rsidR="000710AE" w:rsidRPr="00D60793" w:rsidRDefault="000710AE" w:rsidP="000710AE">
      <w:pPr>
        <w:pStyle w:val="Textonotapie"/>
      </w:pPr>
      <w:r>
        <w:rPr>
          <w:rStyle w:val="Refdenotaalpie"/>
        </w:rPr>
        <w:footnoteRef/>
      </w:r>
      <w:r>
        <w:t xml:space="preserve"> T-460/2024 Corte Constitucional.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75pt;height:11.7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9"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B44281A"/>
    <w:multiLevelType w:val="hybridMultilevel"/>
    <w:tmpl w:val="9830170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1"/>
  </w:num>
  <w:num w:numId="7" w16cid:durableId="1946422806">
    <w:abstractNumId w:val="4"/>
  </w:num>
  <w:num w:numId="8" w16cid:durableId="152644682">
    <w:abstractNumId w:val="10"/>
  </w:num>
  <w:num w:numId="9" w16cid:durableId="1317221377">
    <w:abstractNumId w:val="6"/>
  </w:num>
  <w:num w:numId="10" w16cid:durableId="1471245386">
    <w:abstractNumId w:val="9"/>
  </w:num>
  <w:num w:numId="11" w16cid:durableId="289172385">
    <w:abstractNumId w:val="7"/>
  </w:num>
  <w:num w:numId="12" w16cid:durableId="1470781324">
    <w:abstractNumId w:val="0"/>
  </w:num>
  <w:num w:numId="13" w16cid:durableId="1512908409">
    <w:abstractNumId w:val="2"/>
  </w:num>
  <w:num w:numId="14" w16cid:durableId="895897244">
    <w:abstractNumId w:val="12"/>
  </w:num>
  <w:num w:numId="15" w16cid:durableId="390349800">
    <w:abstractNumId w:val="8"/>
  </w:num>
  <w:num w:numId="16" w16cid:durableId="109189663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710AE"/>
    <w:rsid w:val="00082362"/>
    <w:rsid w:val="000A683E"/>
    <w:rsid w:val="000B19B9"/>
    <w:rsid w:val="000D0334"/>
    <w:rsid w:val="000D5DA7"/>
    <w:rsid w:val="000F6486"/>
    <w:rsid w:val="00116940"/>
    <w:rsid w:val="00125105"/>
    <w:rsid w:val="00127233"/>
    <w:rsid w:val="00155D72"/>
    <w:rsid w:val="0015699B"/>
    <w:rsid w:val="001A33BF"/>
    <w:rsid w:val="001B4F58"/>
    <w:rsid w:val="001D1B85"/>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37A0"/>
    <w:rsid w:val="0044528D"/>
    <w:rsid w:val="00466E39"/>
    <w:rsid w:val="00481348"/>
    <w:rsid w:val="004A1847"/>
    <w:rsid w:val="004A305D"/>
    <w:rsid w:val="004F21C4"/>
    <w:rsid w:val="004F685F"/>
    <w:rsid w:val="005566E8"/>
    <w:rsid w:val="00574867"/>
    <w:rsid w:val="00591460"/>
    <w:rsid w:val="005A65E0"/>
    <w:rsid w:val="005C3777"/>
    <w:rsid w:val="005C5CDC"/>
    <w:rsid w:val="005D476C"/>
    <w:rsid w:val="005D7F4F"/>
    <w:rsid w:val="006200BF"/>
    <w:rsid w:val="006219F8"/>
    <w:rsid w:val="006302F7"/>
    <w:rsid w:val="0064589A"/>
    <w:rsid w:val="00646B9F"/>
    <w:rsid w:val="00657F09"/>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348BB"/>
    <w:rsid w:val="00844AE9"/>
    <w:rsid w:val="00850157"/>
    <w:rsid w:val="00867F95"/>
    <w:rsid w:val="008843B6"/>
    <w:rsid w:val="00891928"/>
    <w:rsid w:val="008A446D"/>
    <w:rsid w:val="008B0B0A"/>
    <w:rsid w:val="008B25F1"/>
    <w:rsid w:val="008D180B"/>
    <w:rsid w:val="008F0EA7"/>
    <w:rsid w:val="00923EEF"/>
    <w:rsid w:val="0094076B"/>
    <w:rsid w:val="009419F9"/>
    <w:rsid w:val="00955C7A"/>
    <w:rsid w:val="0095685E"/>
    <w:rsid w:val="00961B09"/>
    <w:rsid w:val="00965334"/>
    <w:rsid w:val="0097093E"/>
    <w:rsid w:val="009A0DFA"/>
    <w:rsid w:val="009A1C6F"/>
    <w:rsid w:val="009B2D26"/>
    <w:rsid w:val="009C71FA"/>
    <w:rsid w:val="009C72E7"/>
    <w:rsid w:val="009C7F7E"/>
    <w:rsid w:val="009D3058"/>
    <w:rsid w:val="009D7E91"/>
    <w:rsid w:val="009F3A13"/>
    <w:rsid w:val="00A122D3"/>
    <w:rsid w:val="00A14468"/>
    <w:rsid w:val="00A17F13"/>
    <w:rsid w:val="00A20739"/>
    <w:rsid w:val="00A23AF9"/>
    <w:rsid w:val="00A33C78"/>
    <w:rsid w:val="00AB0ADB"/>
    <w:rsid w:val="00B00C0E"/>
    <w:rsid w:val="00B01B1A"/>
    <w:rsid w:val="00B02634"/>
    <w:rsid w:val="00B0381D"/>
    <w:rsid w:val="00B11A83"/>
    <w:rsid w:val="00B221AB"/>
    <w:rsid w:val="00B44A47"/>
    <w:rsid w:val="00B52523"/>
    <w:rsid w:val="00B72CD3"/>
    <w:rsid w:val="00B72FFF"/>
    <w:rsid w:val="00B94D4E"/>
    <w:rsid w:val="00BC3D36"/>
    <w:rsid w:val="00BD0B23"/>
    <w:rsid w:val="00BD54A6"/>
    <w:rsid w:val="00BD7F72"/>
    <w:rsid w:val="00BF7425"/>
    <w:rsid w:val="00C04FB3"/>
    <w:rsid w:val="00C11D8B"/>
    <w:rsid w:val="00C12637"/>
    <w:rsid w:val="00C15139"/>
    <w:rsid w:val="00C330EB"/>
    <w:rsid w:val="00C50D69"/>
    <w:rsid w:val="00C5365C"/>
    <w:rsid w:val="00C754BE"/>
    <w:rsid w:val="00C76B1C"/>
    <w:rsid w:val="00C925AC"/>
    <w:rsid w:val="00CB6357"/>
    <w:rsid w:val="00CC1B26"/>
    <w:rsid w:val="00D04378"/>
    <w:rsid w:val="00D21436"/>
    <w:rsid w:val="00D3102C"/>
    <w:rsid w:val="00D361FD"/>
    <w:rsid w:val="00D401B1"/>
    <w:rsid w:val="00D423A2"/>
    <w:rsid w:val="00D44E26"/>
    <w:rsid w:val="00D520D8"/>
    <w:rsid w:val="00D63AC2"/>
    <w:rsid w:val="00D7383B"/>
    <w:rsid w:val="00D7788A"/>
    <w:rsid w:val="00DA231B"/>
    <w:rsid w:val="00DC2407"/>
    <w:rsid w:val="00DC39FC"/>
    <w:rsid w:val="00DF5254"/>
    <w:rsid w:val="00E02524"/>
    <w:rsid w:val="00E16408"/>
    <w:rsid w:val="00E20894"/>
    <w:rsid w:val="00E245AB"/>
    <w:rsid w:val="00E25989"/>
    <w:rsid w:val="00E27299"/>
    <w:rsid w:val="00E2764C"/>
    <w:rsid w:val="00E27F2E"/>
    <w:rsid w:val="00E50AFE"/>
    <w:rsid w:val="00E75C92"/>
    <w:rsid w:val="00E771DC"/>
    <w:rsid w:val="00E8772A"/>
    <w:rsid w:val="00E90F6B"/>
    <w:rsid w:val="00E92C27"/>
    <w:rsid w:val="00EA0E3D"/>
    <w:rsid w:val="00EC21EE"/>
    <w:rsid w:val="00EC38A7"/>
    <w:rsid w:val="00EE1AA8"/>
    <w:rsid w:val="00F05712"/>
    <w:rsid w:val="00F23FEA"/>
    <w:rsid w:val="00F31EDC"/>
    <w:rsid w:val="00F462B3"/>
    <w:rsid w:val="00F5664F"/>
    <w:rsid w:val="00F666C4"/>
    <w:rsid w:val="00F76AFC"/>
    <w:rsid w:val="00FA47C0"/>
    <w:rsid w:val="00FB1818"/>
    <w:rsid w:val="00FB5DD1"/>
    <w:rsid w:val="00FC2B5D"/>
    <w:rsid w:val="00FD0683"/>
    <w:rsid w:val="00FE19AA"/>
    <w:rsid w:val="00FF1449"/>
    <w:rsid w:val="00FF7963"/>
    <w:rsid w:val="071B8F93"/>
    <w:rsid w:val="07C73DD1"/>
    <w:rsid w:val="09908A09"/>
    <w:rsid w:val="0B4706D9"/>
    <w:rsid w:val="0FF4CCA8"/>
    <w:rsid w:val="13CFC91B"/>
    <w:rsid w:val="19A2EC2C"/>
    <w:rsid w:val="21779BE6"/>
    <w:rsid w:val="2859CA1B"/>
    <w:rsid w:val="2EDA84D4"/>
    <w:rsid w:val="2EE1E026"/>
    <w:rsid w:val="2F52BE33"/>
    <w:rsid w:val="30821638"/>
    <w:rsid w:val="3230ECA7"/>
    <w:rsid w:val="32A4F9CF"/>
    <w:rsid w:val="356CEDFD"/>
    <w:rsid w:val="366728CE"/>
    <w:rsid w:val="3B8FA2A7"/>
    <w:rsid w:val="3C591AFD"/>
    <w:rsid w:val="4CD142B9"/>
    <w:rsid w:val="4ED6B15D"/>
    <w:rsid w:val="4F51E326"/>
    <w:rsid w:val="52C13DDF"/>
    <w:rsid w:val="5E41920C"/>
    <w:rsid w:val="69614A15"/>
    <w:rsid w:val="6F3A39EC"/>
    <w:rsid w:val="74BA017B"/>
    <w:rsid w:val="7BB183BC"/>
    <w:rsid w:val="7E847FD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E25989"/>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25989"/>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villalbapc25@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emf"/><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5E7D970B-8C18-4C80-9578-DB523676D0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16</TotalTime>
  <Pages>12</Pages>
  <Words>3366</Words>
  <Characters>19156</Characters>
  <Application>Microsoft Office Word</Application>
  <DocSecurity>0</DocSecurity>
  <Lines>407</Lines>
  <Paragraphs>95</Paragraphs>
  <ScaleCrop>false</ScaleCrop>
  <Company/>
  <LinksUpToDate>false</LinksUpToDate>
  <CharactersWithSpaces>22427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10</cp:revision>
  <cp:lastPrinted>2023-01-10T21:18:00Z</cp:lastPrinted>
  <dcterms:created xsi:type="dcterms:W3CDTF">2026-03-05T20:10:00Z</dcterms:created>
  <dcterms:modified xsi:type="dcterms:W3CDTF">2026-03-13T14:06:00Z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