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22238" w14:textId="670DBF8C"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Arial"/>
          <w:b/>
          <w:color w:val="000000"/>
          <w:lang w:eastAsia="es-CO"/>
        </w:rPr>
        <w:t xml:space="preserve">EJERCICIO PROFESIÓN DE ABOGADO </w:t>
      </w:r>
    </w:p>
    <w:p w14:paraId="1088F3BB" w14:textId="77777777" w:rsidR="003A7D28" w:rsidRDefault="003A7D28" w:rsidP="00D13842">
      <w:pPr>
        <w:spacing w:after="0" w:line="240" w:lineRule="auto"/>
        <w:jc w:val="both"/>
        <w:textAlignment w:val="baseline"/>
        <w:rPr>
          <w:rFonts w:ascii="Verdana" w:eastAsia="Times New Roman" w:hAnsi="Verdana" w:cs="Segoe UI"/>
          <w:sz w:val="20"/>
          <w:szCs w:val="20"/>
          <w:lang w:eastAsia="es-CO"/>
        </w:rPr>
      </w:pPr>
    </w:p>
    <w:p w14:paraId="2C979C3B" w14:textId="157A512D"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Segoe UI"/>
          <w:sz w:val="20"/>
          <w:szCs w:val="20"/>
          <w:lang w:eastAsia="es-CO"/>
        </w:rPr>
        <w:t>En Colombia, el ejercicio de la profesión de abogado está regulado por el Decreto 196 de 1971, el cual establece que para poder ejercer la abogacía es necesario estar inscrito en el Registro Nacional de Abogados del Consejo Superior de la Judicatura. La inscripción es el requisito fundamental para ejercer como abogado, ya que garantiza que la persona cumple con los requisitos legales establecidos, como la formación académica y la aptitud para desempeñar las funciones del abogado.</w:t>
      </w:r>
    </w:p>
    <w:p w14:paraId="4F514DC3" w14:textId="77777777"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p>
    <w:p w14:paraId="7D2112DE" w14:textId="77777777"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Segoe UI"/>
          <w:sz w:val="20"/>
          <w:szCs w:val="20"/>
          <w:lang w:eastAsia="es-CO"/>
        </w:rPr>
        <w:t>Aunque la tarjeta profesional se expide una vez se cumple con la inscripción en el registro, no es estrictamente necesaria para realizar ciertas actividades relacionadas con el ejercicio de la abogacía, como la asesoría o la elaboración de documentos jurídicos. Sin embargo, la tarjeta sí es obligatoria para representar a personas en calidad de abogado ante autoridades judiciales. Además, desde la promulgación de la Ley 1905 de 2018, los abogados que se gradúen posteriormente a dicha norma deben aprobar un Examen de Estado para obtener su tarjeta profesional.</w:t>
      </w:r>
    </w:p>
    <w:p w14:paraId="48CBCFD2"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05B08856" w14:textId="77777777" w:rsidR="0004025B" w:rsidRPr="00472251" w:rsidRDefault="0004025B" w:rsidP="0004025B">
      <w:pPr>
        <w:spacing w:after="0" w:line="240" w:lineRule="auto"/>
        <w:jc w:val="both"/>
        <w:rPr>
          <w:rFonts w:ascii="Verdana" w:eastAsia="Calibri" w:hAnsi="Verdana" w:cs="Arial"/>
          <w:b/>
          <w:color w:val="000000"/>
        </w:rPr>
      </w:pPr>
      <w:r w:rsidRPr="00472251">
        <w:rPr>
          <w:rFonts w:ascii="Verdana" w:eastAsia="Calibri" w:hAnsi="Verdana" w:cs="Arial"/>
          <w:b/>
          <w:color w:val="000000"/>
        </w:rPr>
        <w:t xml:space="preserve">CONTRATO DE PRESTACIÓN DE SERVICIOS PROFESIONALES – Idoneidad </w:t>
      </w:r>
    </w:p>
    <w:p w14:paraId="606B020D" w14:textId="77777777" w:rsidR="0004025B" w:rsidRPr="00472251" w:rsidRDefault="0004025B" w:rsidP="0004025B">
      <w:pPr>
        <w:spacing w:after="0" w:line="240" w:lineRule="auto"/>
        <w:jc w:val="both"/>
        <w:rPr>
          <w:rFonts w:ascii="Verdana" w:eastAsia="Calibri" w:hAnsi="Verdana" w:cs="Arial"/>
          <w:bCs/>
          <w:color w:val="000000"/>
        </w:rPr>
      </w:pPr>
    </w:p>
    <w:p w14:paraId="043A94C4" w14:textId="77777777" w:rsidR="0004025B" w:rsidRPr="00472251" w:rsidRDefault="0004025B" w:rsidP="0004025B">
      <w:pPr>
        <w:spacing w:after="0" w:line="240" w:lineRule="auto"/>
        <w:jc w:val="both"/>
        <w:rPr>
          <w:rFonts w:ascii="Verdana" w:eastAsia="Geomanist Light" w:hAnsi="Verdana" w:cs="Arial"/>
          <w:color w:val="000000"/>
          <w:sz w:val="20"/>
          <w:szCs w:val="20"/>
        </w:rPr>
      </w:pPr>
      <w:r w:rsidRPr="00472251">
        <w:rPr>
          <w:rFonts w:ascii="Verdana" w:eastAsia="Geomanist Light" w:hAnsi="Verdana" w:cs="Arial"/>
          <w:color w:val="000000"/>
          <w:sz w:val="20"/>
          <w:szCs w:val="20"/>
        </w:rPr>
        <w:t>El contrato de prestación de servicios profesionales es uno de los tipos contractuales consagrados en el Estatuto General de Contratación de la Administración Pública, que pueden celebrar las entidades estatales.</w:t>
      </w:r>
    </w:p>
    <w:p w14:paraId="5669CB83" w14:textId="77777777" w:rsidR="0004025B" w:rsidRPr="00472251" w:rsidRDefault="0004025B" w:rsidP="0004025B">
      <w:pPr>
        <w:spacing w:after="0" w:line="240" w:lineRule="auto"/>
        <w:jc w:val="both"/>
        <w:rPr>
          <w:rFonts w:ascii="Verdana" w:eastAsia="Geomanist Light" w:hAnsi="Verdana" w:cs="Arial"/>
          <w:color w:val="000000"/>
          <w:sz w:val="20"/>
          <w:szCs w:val="20"/>
        </w:rPr>
      </w:pPr>
    </w:p>
    <w:p w14:paraId="33B15627" w14:textId="77777777" w:rsidR="0004025B" w:rsidRPr="00472251" w:rsidRDefault="0004025B" w:rsidP="0004025B">
      <w:pPr>
        <w:spacing w:after="0" w:line="240" w:lineRule="auto"/>
        <w:jc w:val="both"/>
        <w:rPr>
          <w:rFonts w:ascii="Verdana" w:eastAsia="Geomanist Light" w:hAnsi="Verdana" w:cs="Arial"/>
          <w:color w:val="000000"/>
          <w:sz w:val="20"/>
          <w:szCs w:val="20"/>
        </w:rPr>
      </w:pPr>
      <w:r w:rsidRPr="00472251">
        <w:rPr>
          <w:rFonts w:ascii="Verdana" w:eastAsia="Geomanist Light" w:hAnsi="Verdana" w:cs="Arial"/>
          <w:color w:val="000000"/>
          <w:sz w:val="20"/>
          <w:szCs w:val="20"/>
        </w:rPr>
        <w:t>[…]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ii)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iii)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iv)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vii) para su celebración no se requiere la expedición del acto administrativo de justificación de la contratación directa; viii) admite el pacto de cláusulas excepcionales; ix) en él no es obligatoria la liquidación; x) para su celebración no se requiere inscripción en el Registro Único de Proponentes (RUP); xi) en él no son necesarias las garantías.</w:t>
      </w:r>
    </w:p>
    <w:p w14:paraId="3542EFC8" w14:textId="77777777" w:rsidR="0004025B" w:rsidRPr="00D13842" w:rsidRDefault="0004025B" w:rsidP="0004025B">
      <w:pPr>
        <w:spacing w:after="0" w:line="240" w:lineRule="auto"/>
        <w:rPr>
          <w:rFonts w:ascii="Arial" w:eastAsia="Geomanist Light" w:hAnsi="Arial" w:cs="Arial"/>
          <w:color w:val="000000" w:themeColor="text1"/>
        </w:rPr>
      </w:pPr>
    </w:p>
    <w:p w14:paraId="20104A93"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017228F9"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28ACBBE2"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3B4C297E" w14:textId="2A244B62" w:rsidR="00A52470" w:rsidRPr="00472251" w:rsidRDefault="00A52470" w:rsidP="00A52470">
      <w:pPr>
        <w:spacing w:after="0" w:line="240" w:lineRule="auto"/>
        <w:jc w:val="both"/>
        <w:textAlignment w:val="baseline"/>
        <w:rPr>
          <w:rFonts w:ascii="Verdana" w:eastAsia="Calibri" w:hAnsi="Verdana" w:cs="Arial"/>
          <w:b/>
          <w:color w:val="000000"/>
          <w:lang w:eastAsia="es-CO"/>
        </w:rPr>
      </w:pPr>
      <w:r w:rsidRPr="00472251">
        <w:rPr>
          <w:rFonts w:ascii="Verdana" w:eastAsia="Calibri" w:hAnsi="Verdana" w:cs="Arial"/>
          <w:b/>
          <w:color w:val="000000"/>
          <w:lang w:eastAsia="es-CO"/>
        </w:rPr>
        <w:t>TÍTULO DE IDONEIDAD – Régimen constitucional – Tarjeta profesional</w:t>
      </w:r>
    </w:p>
    <w:p w14:paraId="73E0A960" w14:textId="77777777" w:rsidR="00A52470" w:rsidRPr="00472251" w:rsidRDefault="00A52470" w:rsidP="00A52470">
      <w:pPr>
        <w:spacing w:after="0" w:line="240" w:lineRule="auto"/>
        <w:jc w:val="both"/>
        <w:textAlignment w:val="baseline"/>
        <w:rPr>
          <w:rFonts w:ascii="Verdana" w:eastAsia="Calibri" w:hAnsi="Verdana" w:cs="Arial"/>
          <w:b/>
          <w:color w:val="000000"/>
          <w:lang w:eastAsia="es-CO"/>
        </w:rPr>
      </w:pPr>
    </w:p>
    <w:p w14:paraId="0CCEC994" w14:textId="77777777" w:rsidR="00A52470" w:rsidRPr="00472251" w:rsidRDefault="00A52470" w:rsidP="00A52470">
      <w:pPr>
        <w:spacing w:after="0" w:line="240" w:lineRule="auto"/>
        <w:jc w:val="both"/>
        <w:textAlignment w:val="baseline"/>
        <w:rPr>
          <w:rFonts w:ascii="Verdana" w:eastAsia="Calibri" w:hAnsi="Verdana" w:cs="Arial"/>
          <w:bCs/>
          <w:color w:val="000000"/>
          <w:sz w:val="20"/>
          <w:szCs w:val="20"/>
          <w:lang w:eastAsia="es-CO"/>
        </w:rPr>
      </w:pPr>
      <w:r w:rsidRPr="00472251">
        <w:rPr>
          <w:rFonts w:ascii="Verdana" w:eastAsia="Calibri" w:hAnsi="Verdana" w:cs="Arial"/>
          <w:bCs/>
          <w:color w:val="000000"/>
          <w:sz w:val="20"/>
          <w:szCs w:val="20"/>
          <w:lang w:eastAsia="es-CO"/>
        </w:rPr>
        <w:t>En Colombia, el título de idoneidad es un reconocimiento otorgado a los profesionales que cumplen con los requisitos legales, académicos y éticos necesarios para ejercer una determinada profesión, garantizando que poseen las competencias requeridas para su ejercicio. De acuerdo con el régimen constitucional, este título asegura que los profesionales estén debidamente habilitados para desempeñar sus funciones, protegiendo los derechos de los ciudadanos. Un ejemplo clave de este título es la tarjeta profesional, la cual es exigida a ciertos profesionales, como los abogados, para acreditar su capacidad y permitirles ejercer legalmente su actividad, siendo otorgada por entidades competentes como el Consejo Superior de la Judicatura.</w:t>
      </w:r>
    </w:p>
    <w:p w14:paraId="3F06E3C7" w14:textId="77777777" w:rsidR="00A52470" w:rsidRPr="00944D45" w:rsidRDefault="00A52470" w:rsidP="00A52470">
      <w:pPr>
        <w:spacing w:after="0" w:line="240" w:lineRule="auto"/>
        <w:rPr>
          <w:rFonts w:ascii="Arial" w:eastAsia="Geomanist Light" w:hAnsi="Arial" w:cs="Arial"/>
          <w:b/>
          <w:bCs/>
          <w:color w:val="000000" w:themeColor="text1"/>
          <w:lang w:val="es-MX"/>
        </w:rPr>
      </w:pPr>
    </w:p>
    <w:p w14:paraId="539103CD" w14:textId="220793C7" w:rsidR="003A7D28" w:rsidRPr="00944D45" w:rsidRDefault="00944D45" w:rsidP="00A52470">
      <w:pPr>
        <w:spacing w:after="0" w:line="240" w:lineRule="auto"/>
        <w:rPr>
          <w:rFonts w:ascii="Arial" w:eastAsia="Geomanist Light" w:hAnsi="Arial" w:cs="Arial"/>
          <w:b/>
          <w:bCs/>
          <w:color w:val="000000" w:themeColor="text1"/>
          <w:lang w:val="es-MX"/>
        </w:rPr>
      </w:pPr>
      <w:r w:rsidRPr="00944D45">
        <w:rPr>
          <w:rFonts w:ascii="Verdana" w:eastAsia="Calibri" w:hAnsi="Verdana" w:cs="Arial"/>
          <w:b/>
          <w:bCs/>
          <w:color w:val="000000" w:themeColor="text1"/>
        </w:rPr>
        <w:t>TÍTULO DE IDONEIDAD – Régimen constitucional – Régimen jurídico -Tarjeta profesional-</w:t>
      </w:r>
      <w:r w:rsidRPr="00944D45">
        <w:rPr>
          <w:rFonts w:ascii="Verdana" w:eastAsia="Times New Roman" w:hAnsi="Verdana" w:cs="Arial"/>
          <w:b/>
          <w:bCs/>
          <w:lang w:eastAsia="es-ES_tradnl"/>
        </w:rPr>
        <w:t xml:space="preserve"> </w:t>
      </w:r>
      <w:r w:rsidRPr="00944D45">
        <w:rPr>
          <w:rFonts w:ascii="Verdana" w:hAnsi="Verdana" w:cs="Arial"/>
          <w:b/>
          <w:bCs/>
          <w:color w:val="000000" w:themeColor="text1"/>
        </w:rPr>
        <w:t xml:space="preserve">Ley 1905 de 2018 </w:t>
      </w:r>
      <w:r w:rsidRPr="00944D45">
        <w:rPr>
          <w:rFonts w:ascii="Verdana" w:eastAsia="Times New Roman" w:hAnsi="Verdana" w:cs="Arial"/>
          <w:b/>
          <w:bCs/>
          <w:lang w:eastAsia="es-ES_tradnl"/>
        </w:rPr>
        <w:t>– Ámbito de Aplicación-</w:t>
      </w:r>
      <w:r w:rsidRPr="00944D45">
        <w:rPr>
          <w:rFonts w:ascii="Verdana" w:eastAsia="Calibri" w:hAnsi="Verdana" w:cs="Arial"/>
          <w:b/>
          <w:bCs/>
          <w:szCs w:val="24"/>
          <w:lang w:val="es-ES" w:eastAsia="es-ES_tradnl"/>
        </w:rPr>
        <w:t xml:space="preserve"> Decreto 1082 de 2015 Artículo 2.2.1.2.1.4.9.</w:t>
      </w:r>
      <w:r w:rsidRPr="00944D45">
        <w:rPr>
          <w:rFonts w:ascii="Verdana" w:hAnsi="Verdana" w:cs="Arial"/>
          <w:b/>
          <w:bCs/>
          <w:color w:val="000000" w:themeColor="text1"/>
        </w:rPr>
        <w:t xml:space="preserve"> Sentencia SU128-2024 – Efectos</w:t>
      </w:r>
    </w:p>
    <w:p w14:paraId="01DD0D68" w14:textId="77777777" w:rsidR="00944D45" w:rsidRDefault="00944D45" w:rsidP="00944D45">
      <w:pPr>
        <w:spacing w:after="0" w:line="240" w:lineRule="auto"/>
        <w:rPr>
          <w:rFonts w:ascii="Arial" w:eastAsia="Geomanist Light" w:hAnsi="Arial" w:cs="Arial"/>
          <w:color w:val="000000" w:themeColor="text1"/>
        </w:rPr>
      </w:pPr>
    </w:p>
    <w:p w14:paraId="7549E5F0" w14:textId="5B485B22" w:rsidR="00944D45" w:rsidRDefault="00944D45" w:rsidP="00944D45">
      <w:pPr>
        <w:spacing w:after="0" w:line="240" w:lineRule="auto"/>
        <w:jc w:val="both"/>
        <w:rPr>
          <w:rFonts w:ascii="Verdana" w:eastAsia="Geomanist Light" w:hAnsi="Verdana" w:cs="Arial"/>
          <w:color w:val="000000" w:themeColor="text1"/>
          <w:sz w:val="20"/>
          <w:szCs w:val="20"/>
        </w:rPr>
      </w:pPr>
      <w:r w:rsidRPr="00944D45">
        <w:rPr>
          <w:rFonts w:ascii="Verdana" w:eastAsia="Geomanist Light" w:hAnsi="Verdana" w:cs="Arial"/>
          <w:color w:val="000000" w:themeColor="text1"/>
          <w:sz w:val="20"/>
          <w:szCs w:val="20"/>
        </w:rPr>
        <w:t>De conformidad con lo establecido por la Ley 1905 de 2018, la aprobación del</w:t>
      </w:r>
      <w:r w:rsidRPr="00944D45">
        <w:rPr>
          <w:rFonts w:ascii="Verdana" w:eastAsia="Geomanist Light" w:hAnsi="Verdana" w:cs="Arial"/>
          <w:i/>
          <w:iCs/>
          <w:color w:val="000000" w:themeColor="text1"/>
          <w:sz w:val="20"/>
          <w:szCs w:val="20"/>
        </w:rPr>
        <w:t> Examen de Estado</w:t>
      </w:r>
      <w:r w:rsidRPr="00944D45">
        <w:rPr>
          <w:rFonts w:ascii="Verdana" w:eastAsia="Geomanist Light" w:hAnsi="Verdana" w:cs="Arial"/>
          <w:color w:val="000000" w:themeColor="text1"/>
          <w:sz w:val="20"/>
          <w:szCs w:val="20"/>
        </w:rPr>
        <w:t> creado por dicha norma se torna en un requisito exigible para el ejercicio de la abogacía, incluso para aquellas actividades que no impliquen representación judicial. En atención a esto, para la celebración de contratos de prestación de servicios profesionales, que impliquen el ejercicio de la abogacía, con personas que hayan comenzado a estudiar derecho después de la promulgación de la referida ley–dada el 28 de junio de 2018–, además de la inscripción en el Registro Nacional de Abogados al que se refiere el Decreto 196 de 1971, también resulta necesario acreditar la aprobación del Examen de Estado creado por la Ley 1905 de 2018. Estos requisitos también podrán acreditarse mediante la presentación de la tarjeta profesional.</w:t>
      </w:r>
    </w:p>
    <w:p w14:paraId="4EA28842" w14:textId="77777777" w:rsidR="00944D45" w:rsidRPr="00944D45" w:rsidRDefault="00944D45" w:rsidP="00944D45">
      <w:pPr>
        <w:spacing w:after="0" w:line="240" w:lineRule="auto"/>
        <w:jc w:val="both"/>
        <w:rPr>
          <w:rFonts w:ascii="Verdana" w:eastAsia="Geomanist Light" w:hAnsi="Verdana" w:cs="Arial"/>
          <w:color w:val="000000" w:themeColor="text1"/>
          <w:sz w:val="20"/>
          <w:szCs w:val="20"/>
        </w:rPr>
      </w:pPr>
    </w:p>
    <w:p w14:paraId="2F071BF4" w14:textId="736EDFDA" w:rsidR="00944D45" w:rsidRPr="00944D45" w:rsidRDefault="00944D45" w:rsidP="00944D45">
      <w:pPr>
        <w:spacing w:after="0" w:line="240" w:lineRule="auto"/>
        <w:jc w:val="both"/>
        <w:rPr>
          <w:rFonts w:ascii="Verdana" w:eastAsia="Geomanist Light" w:hAnsi="Verdana" w:cs="Arial"/>
          <w:color w:val="000000" w:themeColor="text1"/>
          <w:sz w:val="20"/>
          <w:szCs w:val="20"/>
        </w:rPr>
      </w:pPr>
      <w:r w:rsidRPr="00944D45">
        <w:rPr>
          <w:rFonts w:ascii="Verdana" w:eastAsia="Geomanist Light" w:hAnsi="Verdana" w:cs="Arial"/>
          <w:color w:val="000000" w:themeColor="text1"/>
          <w:sz w:val="20"/>
          <w:szCs w:val="20"/>
        </w:rPr>
        <w:t>Sin embargo, el requisito establecido por la Ley 1905 de 2018, no resulta exigible para celebración de contratos de prestación de servicios profesionales que impliquen el ejercicio de la abogacía, con aquellas personas beneficiadas por los efectos </w:t>
      </w:r>
      <w:r w:rsidRPr="00944D45">
        <w:rPr>
          <w:rFonts w:ascii="Verdana" w:eastAsia="Geomanist Light" w:hAnsi="Verdana" w:cs="Arial"/>
          <w:i/>
          <w:iCs/>
          <w:color w:val="000000" w:themeColor="text1"/>
          <w:sz w:val="20"/>
          <w:szCs w:val="20"/>
        </w:rPr>
        <w:t>inter pares</w:t>
      </w:r>
      <w:r w:rsidRPr="00944D45">
        <w:rPr>
          <w:rFonts w:ascii="Verdana" w:eastAsia="Geomanist Light" w:hAnsi="Verdana" w:cs="Arial"/>
          <w:color w:val="000000" w:themeColor="text1"/>
          <w:sz w:val="20"/>
          <w:szCs w:val="20"/>
        </w:rPr>
        <w:t> de la orden contenida en el ordinal sexto de la Sentencia SU-128 de 18 de abril de 2024 de la Corte Constitucional. Esto significa que, la aprobación del </w:t>
      </w:r>
      <w:r w:rsidRPr="00944D45">
        <w:rPr>
          <w:rFonts w:ascii="Verdana" w:eastAsia="Geomanist Light" w:hAnsi="Verdana" w:cs="Arial"/>
          <w:i/>
          <w:iCs/>
          <w:color w:val="000000" w:themeColor="text1"/>
          <w:sz w:val="20"/>
          <w:szCs w:val="20"/>
        </w:rPr>
        <w:t>Examen de Estado</w:t>
      </w:r>
      <w:r w:rsidRPr="00944D45">
        <w:rPr>
          <w:rFonts w:ascii="Verdana" w:eastAsia="Geomanist Light" w:hAnsi="Verdana" w:cs="Arial"/>
          <w:color w:val="000000" w:themeColor="text1"/>
          <w:sz w:val="20"/>
          <w:szCs w:val="20"/>
        </w:rPr>
        <w:t> no resulta exigible a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5E430A59" w14:textId="77777777" w:rsidR="003A7D28" w:rsidRPr="003A7D28" w:rsidRDefault="003A7D28" w:rsidP="00A52470">
      <w:pPr>
        <w:spacing w:after="0" w:line="240" w:lineRule="auto"/>
        <w:rPr>
          <w:rFonts w:ascii="Arial" w:eastAsia="Geomanist Light" w:hAnsi="Arial" w:cs="Arial"/>
          <w:color w:val="000000" w:themeColor="text1"/>
        </w:rPr>
      </w:pPr>
    </w:p>
    <w:p w14:paraId="2C462D49" w14:textId="77777777" w:rsidR="00D13842" w:rsidRPr="00472251" w:rsidRDefault="00D13842" w:rsidP="00D13842">
      <w:pPr>
        <w:contextualSpacing/>
        <w:jc w:val="both"/>
        <w:rPr>
          <w:rFonts w:ascii="Verdana" w:eastAsia="Calibri" w:hAnsi="Verdana" w:cs="Arial"/>
          <w:sz w:val="20"/>
          <w:szCs w:val="20"/>
        </w:rPr>
      </w:pPr>
    </w:p>
    <w:p w14:paraId="1D8C2A69" w14:textId="77777777" w:rsidR="00944D45" w:rsidRDefault="00944D45" w:rsidP="00EC7C4A">
      <w:pPr>
        <w:spacing w:after="0" w:line="240" w:lineRule="auto"/>
        <w:rPr>
          <w:rFonts w:ascii="Arial" w:eastAsia="Geomanist Light" w:hAnsi="Arial" w:cs="Arial"/>
          <w:color w:val="000000" w:themeColor="text1"/>
          <w:lang w:val="es-MX"/>
        </w:rPr>
      </w:pPr>
    </w:p>
    <w:p w14:paraId="015739B0" w14:textId="7F8E9F8F" w:rsidR="00EC7C4A" w:rsidRPr="00C15525" w:rsidRDefault="00EC7C4A" w:rsidP="00EC7C4A">
      <w:pPr>
        <w:spacing w:after="0" w:line="240" w:lineRule="auto"/>
        <w:rPr>
          <w:rFonts w:ascii="Verdana" w:eastAsia="Geomanist Light" w:hAnsi="Verdana" w:cs="Arial"/>
          <w:color w:val="201F1E"/>
        </w:rPr>
      </w:pPr>
      <w:r w:rsidRPr="00C15525">
        <w:rPr>
          <w:rFonts w:ascii="Verdana" w:hAnsi="Verdana"/>
        </w:rPr>
        <w:lastRenderedPageBreak/>
        <w:t xml:space="preserve">Bogotá D.C., </w:t>
      </w:r>
      <w:r>
        <w:rPr>
          <w:rFonts w:ascii="Verdana" w:hAnsi="Verdana"/>
        </w:rPr>
        <w:t>0</w:t>
      </w:r>
      <w:r>
        <w:rPr>
          <w:rFonts w:ascii="Verdana" w:eastAsia="Geomanist Light" w:hAnsi="Verdana" w:cs="Arial"/>
          <w:color w:val="201F1E"/>
        </w:rPr>
        <w:t>4 de marzo de 2026</w:t>
      </w:r>
    </w:p>
    <w:p w14:paraId="0634E092" w14:textId="191EE27E" w:rsidR="00163EA3" w:rsidRDefault="00163EA3" w:rsidP="00A52470">
      <w:pPr>
        <w:spacing w:after="0" w:line="240" w:lineRule="auto"/>
        <w:rPr>
          <w:rFonts w:ascii="Arial" w:eastAsia="Geomanist Light" w:hAnsi="Arial" w:cs="Arial"/>
          <w:color w:val="201F1E"/>
          <w:lang w:val="es-MX"/>
        </w:rPr>
      </w:pPr>
    </w:p>
    <w:p w14:paraId="5753FBEC" w14:textId="50E3B53E" w:rsidR="00163EA3" w:rsidRPr="00A52470" w:rsidRDefault="00163EA3" w:rsidP="00A52470">
      <w:pPr>
        <w:spacing w:after="0" w:line="240" w:lineRule="auto"/>
        <w:rPr>
          <w:rFonts w:ascii="Arial" w:eastAsia="Geomanist Light" w:hAnsi="Arial" w:cs="Arial"/>
          <w:color w:val="201F1E"/>
          <w:lang w:val="es-MX"/>
        </w:rPr>
      </w:pPr>
      <w:r>
        <w:rPr>
          <w:rFonts w:ascii="Arial MT" w:hAnsi="Arial MT"/>
          <w:noProof/>
        </w:rPr>
        <w:drawing>
          <wp:anchor distT="0" distB="0" distL="0" distR="0" simplePos="0" relativeHeight="251658240" behindDoc="0" locked="0" layoutInCell="1" allowOverlap="1" wp14:anchorId="7DA214F3" wp14:editId="6E8CE069">
            <wp:simplePos x="0" y="0"/>
            <wp:positionH relativeFrom="page">
              <wp:posOffset>3985146</wp:posOffset>
            </wp:positionH>
            <wp:positionV relativeFrom="paragraph">
              <wp:posOffset>156219</wp:posOffset>
            </wp:positionV>
            <wp:extent cx="2713937" cy="695960"/>
            <wp:effectExtent l="0" t="0" r="0" b="889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717218" cy="696801"/>
                    </a:xfrm>
                    <a:prstGeom prst="rect">
                      <a:avLst/>
                    </a:prstGeom>
                  </pic:spPr>
                </pic:pic>
              </a:graphicData>
            </a:graphic>
            <wp14:sizeRelH relativeFrom="margin">
              <wp14:pctWidth>0</wp14:pctWidth>
            </wp14:sizeRelH>
            <wp14:sizeRelV relativeFrom="margin">
              <wp14:pctHeight>0</wp14:pctHeight>
            </wp14:sizeRelV>
          </wp:anchor>
        </w:drawing>
      </w:r>
    </w:p>
    <w:p w14:paraId="0CB75BE7" w14:textId="77777777" w:rsidR="00A52470" w:rsidRDefault="00A52470" w:rsidP="00756929">
      <w:pPr>
        <w:spacing w:after="0" w:line="240" w:lineRule="auto"/>
        <w:jc w:val="both"/>
        <w:rPr>
          <w:rFonts w:ascii="Arial" w:eastAsia="Calibri" w:hAnsi="Arial" w:cs="Arial"/>
          <w:lang w:val="es-ES" w:eastAsia="es-ES"/>
        </w:rPr>
      </w:pPr>
    </w:p>
    <w:p w14:paraId="40EACF31" w14:textId="77777777" w:rsidR="00A52470" w:rsidRDefault="00A52470" w:rsidP="00756929">
      <w:pPr>
        <w:spacing w:after="0" w:line="240" w:lineRule="auto"/>
        <w:jc w:val="both"/>
        <w:rPr>
          <w:rFonts w:ascii="Arial" w:eastAsia="Calibri" w:hAnsi="Arial" w:cs="Arial"/>
          <w:lang w:val="es-ES" w:eastAsia="es-ES"/>
        </w:rPr>
      </w:pPr>
    </w:p>
    <w:p w14:paraId="0D626B44" w14:textId="714D6363" w:rsidR="00756929" w:rsidRPr="00A52470" w:rsidRDefault="00756929" w:rsidP="00756929">
      <w:pPr>
        <w:spacing w:after="0" w:line="240" w:lineRule="auto"/>
        <w:jc w:val="both"/>
        <w:rPr>
          <w:rFonts w:ascii="Verdana" w:eastAsia="Calibri" w:hAnsi="Verdana" w:cs="Arial"/>
          <w:lang w:val="es-ES" w:eastAsia="es-ES"/>
        </w:rPr>
      </w:pPr>
      <w:r w:rsidRPr="00A52470">
        <w:rPr>
          <w:rFonts w:ascii="Verdana" w:eastAsia="Calibri" w:hAnsi="Verdana" w:cs="Arial"/>
          <w:lang w:val="es-ES" w:eastAsia="es-ES"/>
        </w:rPr>
        <w:t>Señor</w:t>
      </w:r>
    </w:p>
    <w:p w14:paraId="13B9BD30" w14:textId="77777777" w:rsidR="00756929" w:rsidRPr="00A52470" w:rsidRDefault="00756929" w:rsidP="00756929">
      <w:pPr>
        <w:spacing w:after="0" w:line="240" w:lineRule="auto"/>
        <w:jc w:val="both"/>
        <w:rPr>
          <w:rFonts w:ascii="Verdana" w:eastAsia="Calibri" w:hAnsi="Verdana" w:cs="Arial"/>
          <w:b/>
          <w:bCs/>
          <w:lang w:val="es-ES" w:eastAsia="es-ES"/>
        </w:rPr>
      </w:pPr>
      <w:r w:rsidRPr="00A52470">
        <w:rPr>
          <w:rFonts w:ascii="Verdana" w:eastAsia="Calibri" w:hAnsi="Verdana" w:cs="Arial"/>
          <w:b/>
          <w:bCs/>
          <w:lang w:val="es-ES" w:eastAsia="es-ES"/>
        </w:rPr>
        <w:t>JUAN MANUEL LLANOS ROMERO</w:t>
      </w:r>
    </w:p>
    <w:p w14:paraId="579B97BA" w14:textId="77777777" w:rsidR="00756929" w:rsidRPr="00A52470" w:rsidRDefault="00756929" w:rsidP="00756929">
      <w:pPr>
        <w:spacing w:after="0" w:line="240" w:lineRule="auto"/>
        <w:jc w:val="both"/>
        <w:rPr>
          <w:rFonts w:ascii="Verdana" w:eastAsia="Calibri" w:hAnsi="Verdana" w:cs="Arial"/>
          <w:lang w:val="es-ES" w:eastAsia="es-ES"/>
        </w:rPr>
      </w:pPr>
      <w:hyperlink r:id="rId12" w:history="1">
        <w:r w:rsidRPr="00A52470">
          <w:rPr>
            <w:rStyle w:val="Hipervnculo"/>
            <w:rFonts w:ascii="Verdana" w:eastAsia="Calibri" w:hAnsi="Verdana" w:cs="Arial"/>
            <w:color w:val="auto"/>
            <w:u w:val="none"/>
            <w:lang w:val="es-ES" w:eastAsia="es-ES"/>
          </w:rPr>
          <w:t>llanosromeroabogado@outlook.com</w:t>
        </w:r>
      </w:hyperlink>
    </w:p>
    <w:p w14:paraId="0718AABE" w14:textId="77777777" w:rsidR="00756929" w:rsidRPr="00A52470" w:rsidRDefault="00756929" w:rsidP="00756929">
      <w:pPr>
        <w:spacing w:after="0" w:line="240" w:lineRule="auto"/>
        <w:jc w:val="both"/>
        <w:rPr>
          <w:rFonts w:ascii="Verdana" w:eastAsia="Calibri" w:hAnsi="Verdana" w:cs="Arial"/>
          <w:lang w:val="es-ES" w:eastAsia="es-ES"/>
        </w:rPr>
      </w:pPr>
      <w:r w:rsidRPr="00A52470">
        <w:rPr>
          <w:rFonts w:ascii="Verdana" w:eastAsia="Calibri" w:hAnsi="Verdana" w:cs="Arial"/>
          <w:lang w:val="es-ES" w:eastAsia="es-ES"/>
        </w:rPr>
        <w:t>Ciudad</w:t>
      </w:r>
    </w:p>
    <w:p w14:paraId="585AEB47" w14:textId="77777777" w:rsidR="00756929" w:rsidRPr="00EB04B4" w:rsidRDefault="00756929" w:rsidP="00756929">
      <w:pPr>
        <w:spacing w:after="0" w:line="240" w:lineRule="auto"/>
        <w:rPr>
          <w:rFonts w:ascii="Arial" w:eastAsia="Calibri" w:hAnsi="Arial" w:cs="Arial"/>
          <w:b/>
          <w:bCs/>
          <w:color w:val="000000"/>
          <w:lang w:val="es-ES_tradnl" w:eastAsia="es-ES_tradnl"/>
        </w:rPr>
      </w:pPr>
    </w:p>
    <w:p w14:paraId="3300DBBC" w14:textId="77777777" w:rsidR="00756929" w:rsidRPr="00EB04B4" w:rsidRDefault="00756929" w:rsidP="00756929">
      <w:pPr>
        <w:spacing w:after="0" w:line="240" w:lineRule="auto"/>
        <w:rPr>
          <w:rFonts w:ascii="Arial" w:eastAsia="Calibri" w:hAnsi="Arial"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816"/>
      </w:tblGrid>
      <w:tr w:rsidR="00756929" w:rsidRPr="00FA0FBB" w14:paraId="4B825855" w14:textId="77777777" w:rsidTr="00EF7430">
        <w:trPr>
          <w:trHeight w:val="884"/>
        </w:trPr>
        <w:tc>
          <w:tcPr>
            <w:tcW w:w="2689" w:type="dxa"/>
          </w:tcPr>
          <w:p w14:paraId="42FA8613" w14:textId="77777777" w:rsidR="00756929" w:rsidRPr="00EB04B4" w:rsidRDefault="00756929">
            <w:pPr>
              <w:jc w:val="both"/>
              <w:rPr>
                <w:rFonts w:ascii="Arial" w:eastAsia="Calibri" w:hAnsi="Arial" w:cs="Arial"/>
                <w:b/>
                <w:bCs/>
                <w:lang w:val="es-ES_tradnl" w:eastAsia="es-ES_tradnl"/>
              </w:rPr>
            </w:pPr>
          </w:p>
        </w:tc>
        <w:tc>
          <w:tcPr>
            <w:tcW w:w="5816" w:type="dxa"/>
          </w:tcPr>
          <w:p w14:paraId="1FF66B62" w14:textId="77777777" w:rsidR="00756929" w:rsidRPr="00EB04B4" w:rsidRDefault="00756929">
            <w:pPr>
              <w:jc w:val="both"/>
              <w:rPr>
                <w:rFonts w:ascii="Arial" w:eastAsia="Calibri" w:hAnsi="Arial" w:cs="Arial"/>
                <w:b/>
                <w:bCs/>
                <w:lang w:val="es-ES" w:eastAsia="es-ES"/>
              </w:rPr>
            </w:pPr>
            <w:r w:rsidRPr="00EB04B4">
              <w:rPr>
                <w:rFonts w:ascii="Arial" w:eastAsia="Calibri" w:hAnsi="Arial" w:cs="Arial"/>
                <w:b/>
                <w:bCs/>
                <w:lang w:val="es-ES" w:eastAsia="es-ES"/>
              </w:rPr>
              <w:t>Concepto C- 101 del 2026</w:t>
            </w:r>
          </w:p>
        </w:tc>
      </w:tr>
      <w:tr w:rsidR="00756929" w:rsidRPr="00FA0FBB" w14:paraId="69B570BB" w14:textId="77777777" w:rsidTr="00EF7430">
        <w:trPr>
          <w:trHeight w:val="884"/>
        </w:trPr>
        <w:tc>
          <w:tcPr>
            <w:tcW w:w="2689" w:type="dxa"/>
          </w:tcPr>
          <w:p w14:paraId="62838487" w14:textId="77777777" w:rsidR="00756929" w:rsidRPr="00EB04B4" w:rsidRDefault="00756929">
            <w:pPr>
              <w:jc w:val="both"/>
              <w:rPr>
                <w:rFonts w:ascii="Arial" w:eastAsia="Calibri" w:hAnsi="Arial" w:cs="Arial"/>
                <w:lang w:val="es-ES_tradnl" w:eastAsia="es-ES_tradnl"/>
              </w:rPr>
            </w:pPr>
            <w:r w:rsidRPr="00EB04B4">
              <w:rPr>
                <w:rFonts w:ascii="Arial" w:eastAsia="Calibri" w:hAnsi="Arial" w:cs="Arial"/>
                <w:b/>
                <w:lang w:val="es-ES_tradnl" w:eastAsia="es-ES_tradnl"/>
              </w:rPr>
              <w:t>Temas:</w:t>
            </w:r>
            <w:r w:rsidRPr="00EB04B4">
              <w:rPr>
                <w:rFonts w:ascii="Arial" w:eastAsia="Calibri" w:hAnsi="Arial" w:cs="Arial"/>
                <w:lang w:val="es-ES_tradnl" w:eastAsia="es-ES_tradnl"/>
              </w:rPr>
              <w:t xml:space="preserve">             </w:t>
            </w:r>
          </w:p>
        </w:tc>
        <w:tc>
          <w:tcPr>
            <w:tcW w:w="5816" w:type="dxa"/>
          </w:tcPr>
          <w:p w14:paraId="6A800C1A" w14:textId="77777777" w:rsidR="00756929" w:rsidRPr="00EF7430" w:rsidRDefault="00756929">
            <w:pPr>
              <w:spacing w:line="276" w:lineRule="auto"/>
              <w:jc w:val="both"/>
              <w:rPr>
                <w:rFonts w:ascii="Verdana" w:eastAsia="Times New Roman" w:hAnsi="Verdana" w:cs="Arial"/>
                <w:lang w:eastAsia="es-ES_tradnl"/>
              </w:rPr>
            </w:pPr>
            <w:r w:rsidRPr="00EF7430">
              <w:rPr>
                <w:rFonts w:ascii="Verdana" w:hAnsi="Verdana" w:cs="Arial"/>
                <w:bCs/>
                <w:color w:val="000000" w:themeColor="text1"/>
              </w:rPr>
              <w:t>EJERCICIO PROFESIÓN DE ABOGADO-</w:t>
            </w:r>
            <w:r w:rsidRPr="00EF7430">
              <w:rPr>
                <w:rFonts w:ascii="Verdana" w:eastAsia="Calibri" w:hAnsi="Verdana" w:cs="Arial"/>
                <w:bCs/>
                <w:color w:val="000000" w:themeColor="text1"/>
              </w:rPr>
              <w:t xml:space="preserve"> CONTRATO DE PRESTACIÓN DE SERVICIOS PROFESIONALES – Idoneidad / TÍTULO DE IDONEIDAD – Régimen constitucional – Régimen jurídico -Tarjeta profesional-</w:t>
            </w:r>
            <w:r w:rsidRPr="00EF7430">
              <w:rPr>
                <w:rFonts w:ascii="Verdana" w:eastAsia="Times New Roman" w:hAnsi="Verdana" w:cs="Arial"/>
                <w:lang w:eastAsia="es-ES_tradnl"/>
              </w:rPr>
              <w:t xml:space="preserve"> </w:t>
            </w:r>
            <w:r w:rsidRPr="00EF7430">
              <w:rPr>
                <w:rFonts w:ascii="Verdana" w:hAnsi="Verdana" w:cs="Arial"/>
                <w:bCs/>
                <w:color w:val="000000" w:themeColor="text1"/>
              </w:rPr>
              <w:t xml:space="preserve">Ley 1905 de 2018 </w:t>
            </w:r>
            <w:r w:rsidRPr="00EF7430">
              <w:rPr>
                <w:rFonts w:ascii="Verdana" w:eastAsia="Times New Roman" w:hAnsi="Verdana" w:cs="Arial"/>
                <w:lang w:eastAsia="es-ES_tradnl"/>
              </w:rPr>
              <w:t>– Ámbito de Aplicación-</w:t>
            </w:r>
            <w:r w:rsidRPr="00EF7430">
              <w:rPr>
                <w:rFonts w:ascii="Verdana" w:eastAsia="Calibri" w:hAnsi="Verdana" w:cs="Arial"/>
                <w:szCs w:val="24"/>
                <w:lang w:val="es-ES" w:eastAsia="es-ES_tradnl"/>
              </w:rPr>
              <w:t xml:space="preserve"> Decreto 1082 de 2015 Artículo 2.2.1.2.1.4.9.</w:t>
            </w:r>
            <w:r w:rsidRPr="00EF7430">
              <w:rPr>
                <w:rFonts w:ascii="Verdana" w:hAnsi="Verdana" w:cs="Arial"/>
                <w:bCs/>
                <w:color w:val="000000" w:themeColor="text1"/>
              </w:rPr>
              <w:t xml:space="preserve"> Sentencia SU128-2024 – Efectos</w:t>
            </w:r>
          </w:p>
          <w:p w14:paraId="4D5D3236" w14:textId="77777777" w:rsidR="00756929" w:rsidRPr="00EB04B4" w:rsidRDefault="00756929">
            <w:pPr>
              <w:spacing w:line="276" w:lineRule="auto"/>
              <w:jc w:val="both"/>
              <w:rPr>
                <w:rFonts w:ascii="Arial" w:eastAsia="Times New Roman" w:hAnsi="Arial" w:cs="Arial"/>
                <w:lang w:eastAsia="es-ES"/>
              </w:rPr>
            </w:pPr>
          </w:p>
          <w:p w14:paraId="0B5C299F" w14:textId="77777777" w:rsidR="00756929" w:rsidRPr="00EB04B4" w:rsidRDefault="00756929">
            <w:pPr>
              <w:spacing w:line="276" w:lineRule="auto"/>
              <w:jc w:val="both"/>
              <w:rPr>
                <w:rFonts w:ascii="Arial" w:eastAsia="Calibri" w:hAnsi="Arial" w:cs="Arial"/>
                <w:lang w:val="es-ES" w:eastAsia="es-ES"/>
              </w:rPr>
            </w:pPr>
          </w:p>
        </w:tc>
      </w:tr>
      <w:tr w:rsidR="00756929" w:rsidRPr="00EF7430" w14:paraId="7B71CD07" w14:textId="77777777" w:rsidTr="00EF7430">
        <w:tc>
          <w:tcPr>
            <w:tcW w:w="2689" w:type="dxa"/>
          </w:tcPr>
          <w:p w14:paraId="70B2AA12" w14:textId="77777777" w:rsidR="00756929" w:rsidRPr="00EB04B4" w:rsidRDefault="00756929">
            <w:pPr>
              <w:jc w:val="both"/>
              <w:rPr>
                <w:rFonts w:ascii="Arial" w:eastAsia="Calibri" w:hAnsi="Arial" w:cs="Arial"/>
                <w:b/>
                <w:lang w:val="es-ES_tradnl" w:eastAsia="es-ES_tradnl"/>
              </w:rPr>
            </w:pPr>
            <w:r w:rsidRPr="00EB04B4">
              <w:rPr>
                <w:rFonts w:ascii="Arial" w:eastAsia="Calibri" w:hAnsi="Arial" w:cs="Arial"/>
                <w:b/>
                <w:lang w:val="es-ES_tradnl" w:eastAsia="es-ES_tradnl"/>
              </w:rPr>
              <w:t>Radicación:</w:t>
            </w:r>
            <w:r w:rsidRPr="00EB04B4">
              <w:rPr>
                <w:rFonts w:ascii="Arial" w:eastAsia="Calibri" w:hAnsi="Arial" w:cs="Arial"/>
                <w:lang w:val="es-ES_tradnl" w:eastAsia="es-ES_tradnl"/>
              </w:rPr>
              <w:t xml:space="preserve">               </w:t>
            </w:r>
          </w:p>
        </w:tc>
        <w:tc>
          <w:tcPr>
            <w:tcW w:w="5816" w:type="dxa"/>
          </w:tcPr>
          <w:p w14:paraId="11336336" w14:textId="77777777" w:rsidR="00756929" w:rsidRPr="00EF7430" w:rsidRDefault="00756929">
            <w:pPr>
              <w:jc w:val="both"/>
              <w:rPr>
                <w:rFonts w:ascii="Verdana" w:eastAsia="Calibri" w:hAnsi="Verdana" w:cs="Arial"/>
                <w:lang w:val="es-ES_tradnl" w:eastAsia="es-ES_tradnl"/>
              </w:rPr>
            </w:pPr>
            <w:r w:rsidRPr="00EF7430">
              <w:rPr>
                <w:rFonts w:ascii="Verdana" w:eastAsia="Calibri" w:hAnsi="Verdana" w:cs="Arial"/>
                <w:lang w:val="es-ES_tradnl" w:eastAsia="es-ES_tradnl"/>
              </w:rPr>
              <w:t>Respuesta a consulta con radicado No. 1</w:t>
            </w:r>
            <w:r w:rsidRPr="00EF7430">
              <w:rPr>
                <w:rFonts w:ascii="Verdana" w:hAnsi="Verdana" w:cs="Arial"/>
                <w:color w:val="000000"/>
              </w:rPr>
              <w:t>_2026_01_26_000815</w:t>
            </w:r>
          </w:p>
        </w:tc>
      </w:tr>
    </w:tbl>
    <w:p w14:paraId="57D39182" w14:textId="77777777" w:rsidR="00756929" w:rsidRPr="00EB04B4" w:rsidRDefault="00756929" w:rsidP="00756929">
      <w:pPr>
        <w:spacing w:after="0" w:line="240" w:lineRule="auto"/>
        <w:jc w:val="both"/>
        <w:rPr>
          <w:rFonts w:ascii="Arial" w:eastAsia="Calibri" w:hAnsi="Arial" w:cs="Arial"/>
          <w:color w:val="000000"/>
          <w:lang w:val="es-ES_tradnl" w:eastAsia="es-ES_tradnl"/>
        </w:rPr>
      </w:pPr>
    </w:p>
    <w:p w14:paraId="6A820DC1" w14:textId="77777777" w:rsidR="00756929" w:rsidRPr="00EB04B4" w:rsidRDefault="00756929" w:rsidP="00756929">
      <w:pPr>
        <w:spacing w:after="0" w:line="240" w:lineRule="auto"/>
        <w:jc w:val="both"/>
        <w:rPr>
          <w:rFonts w:ascii="Arial" w:eastAsia="Calibri" w:hAnsi="Arial" w:cs="Arial"/>
          <w:color w:val="000000"/>
          <w:lang w:val="es-ES_tradnl" w:eastAsia="es-ES_tradnl"/>
        </w:rPr>
      </w:pPr>
    </w:p>
    <w:p w14:paraId="1A5683AD" w14:textId="77777777" w:rsidR="00756929" w:rsidRDefault="00756929" w:rsidP="00FA0FBB">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señor: </w:t>
      </w:r>
    </w:p>
    <w:p w14:paraId="0406402B" w14:textId="77777777" w:rsidR="00756929" w:rsidRDefault="00756929" w:rsidP="00FA0FB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ED86D8F" w14:textId="77777777" w:rsidR="00756929" w:rsidRPr="00593A5F" w:rsidRDefault="00756929" w:rsidP="00FA0FB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 xml:space="preserve">En ejercicio de la competencia otorgada por los artículos 3, numeral 5º, y 11, numeral </w:t>
      </w:r>
      <w:r w:rsidRPr="00D70DB1">
        <w:rPr>
          <w:rFonts w:ascii="Verdana" w:eastAsia="Calibri" w:hAnsi="Verdana" w:cs="Arial"/>
          <w:lang w:val="es-ES" w:eastAsia="es-ES"/>
        </w:rPr>
        <w:t>8º, del Decreto Ley 4170 de 2011,</w:t>
      </w:r>
      <w:r w:rsidRPr="00D70DB1">
        <w:rPr>
          <w:rFonts w:ascii="Verdana" w:eastAsia="Arial MT" w:hAnsi="Verdana" w:cs="Arial MT"/>
          <w:lang w:val="es-ES" w:eastAsia="es-ES"/>
        </w:rPr>
        <w:t xml:space="preserve"> </w:t>
      </w:r>
      <w:r w:rsidRPr="00D70DB1">
        <w:rPr>
          <w:rFonts w:ascii="Verdana" w:hAnsi="Verdana" w:cs="Arial"/>
        </w:rPr>
        <w:t xml:space="preserve">así como lo establecido en el artículo 4 de la Resolución 1707 de 2018 expedida por esta Entidad, </w:t>
      </w:r>
      <w:r w:rsidRPr="00D70DB1">
        <w:rPr>
          <w:rFonts w:ascii="Verdana" w:eastAsia="Calibri" w:hAnsi="Verdana" w:cs="Arial"/>
          <w:lang w:val="es-ES" w:eastAsia="es-ES"/>
        </w:rPr>
        <w:t xml:space="preserve">la Agencia Nacional de Contratación Pública – Colombia Compra Eficiente– responde su solicitud de consulta de fecha 26 de enero de 2026, en la cual manifiesta lo siguiente: </w:t>
      </w:r>
    </w:p>
    <w:p w14:paraId="4FF01324" w14:textId="77777777" w:rsidR="00756929" w:rsidRPr="00272A7B" w:rsidRDefault="00756929" w:rsidP="00FA0FBB">
      <w:pPr>
        <w:pStyle w:val="Prrafodelista"/>
        <w:tabs>
          <w:tab w:val="left" w:pos="142"/>
          <w:tab w:val="left" w:pos="284"/>
        </w:tabs>
        <w:spacing w:line="276" w:lineRule="auto"/>
        <w:ind w:left="0"/>
        <w:jc w:val="both"/>
        <w:rPr>
          <w:rFonts w:ascii="Verdana" w:eastAsia="Century Gothic" w:hAnsi="Verdana" w:cs="Century Gothic"/>
          <w:b/>
          <w:bCs/>
        </w:rPr>
      </w:pPr>
    </w:p>
    <w:p w14:paraId="481B2039"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 xml:space="preserve">“Para el suscrito, la H. Corte Constitucional fue clara en acotar que la tarjeta profesional de abogado solo será necesaria para la representación de otras personas en cualquier trámite que </w:t>
      </w:r>
    </w:p>
    <w:p w14:paraId="53B003DF"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requiera abogado, entre otras, algunas actuaciones ante Notarios y Jueces de la Republica.</w:t>
      </w:r>
    </w:p>
    <w:p w14:paraId="229161B3"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p>
    <w:p w14:paraId="3E5DC1C8"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lastRenderedPageBreak/>
        <w:t>No obstante, se ha presentado un mar de dudas en las Entidades del orden departamental y  municipal, como también en las direcciones territoriales en si resulta posible la contratación  a través de la figura de contrato de prestación de servicios del recién graduado que no ha obtenido la tarjeta, en puestos donde no se ejerce la representación de la Entidad y se han ofertado para profesionales; Verbigracia, un puesto como profesional universitario en una secretaría adscrita a las Alcaldías Municipales o una asesoría profesional en la oficina de  recursos humanos.</w:t>
      </w:r>
    </w:p>
    <w:p w14:paraId="2DDFE083"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p>
    <w:p w14:paraId="00B4C6AE" w14:textId="77777777" w:rsidR="00756929"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Corolario de lo anterior, los graduandos a los que cobija la obligatoriedad de la presentación del examen de idoneidad reglado por la Ley 1905 de 2018 se encuentran en una posición de  confusión e incertidumbre frente a los alcances de la exigibilidad de la tarjeta profesional de abogados y el desconocimiento de los pronunciamientos de la Corte Constitucional por parte del personal encargado de la contratación estatal. En consecuencia, el concepto que aquí se rinda será una luz que guíe a las nuevas generaciones de abogados que están en busca de una oportunidad laboral</w:t>
      </w:r>
      <w:r w:rsidRPr="00EB04B4">
        <w:rPr>
          <w:rFonts w:ascii="Verdana" w:eastAsia="Century Gothic" w:hAnsi="Verdana" w:cs="Century Gothic"/>
          <w:i/>
          <w:iCs/>
          <w:sz w:val="20"/>
          <w:szCs w:val="20"/>
        </w:rPr>
        <w:t>.”</w:t>
      </w:r>
    </w:p>
    <w:p w14:paraId="2E401E8D" w14:textId="77777777" w:rsidR="00FA0FBB" w:rsidRPr="00FA0FBB" w:rsidRDefault="00FA0FBB" w:rsidP="00A52470">
      <w:pPr>
        <w:pStyle w:val="Prrafodelista"/>
        <w:tabs>
          <w:tab w:val="left" w:pos="142"/>
          <w:tab w:val="left" w:pos="284"/>
        </w:tabs>
        <w:spacing w:after="0" w:line="276" w:lineRule="auto"/>
        <w:ind w:left="737" w:right="737"/>
        <w:contextualSpacing w:val="0"/>
        <w:jc w:val="both"/>
        <w:rPr>
          <w:rFonts w:ascii="Verdana" w:eastAsia="Century Gothic" w:hAnsi="Verdana" w:cs="Century Gothic"/>
          <w:i/>
          <w:iCs/>
        </w:rPr>
      </w:pPr>
    </w:p>
    <w:p w14:paraId="3236A075" w14:textId="77777777" w:rsidR="00756929" w:rsidRDefault="00756929" w:rsidP="0075692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4B67887" w14:textId="77777777" w:rsidR="00756929" w:rsidRPr="00A12789" w:rsidRDefault="00756929" w:rsidP="00756929">
      <w:pPr>
        <w:spacing w:after="0" w:line="276" w:lineRule="auto"/>
        <w:ind w:firstLine="709"/>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 xml:space="preserve">el problema </w:t>
      </w:r>
      <w:r w:rsidRPr="00A12789">
        <w:rPr>
          <w:rFonts w:ascii="Verdana" w:eastAsia="Calibri" w:hAnsi="Verdana" w:cs="Arial"/>
          <w:lang w:val="es-ES" w:eastAsia="es-ES"/>
        </w:rPr>
        <w:t xml:space="preserve">jurídico de su consulta. </w:t>
      </w:r>
    </w:p>
    <w:p w14:paraId="173AB816" w14:textId="77777777" w:rsidR="00756929" w:rsidRPr="00593A5F" w:rsidRDefault="00756929" w:rsidP="00FA0FBB">
      <w:pPr>
        <w:spacing w:after="0" w:line="276" w:lineRule="auto"/>
        <w:ind w:firstLine="709"/>
        <w:jc w:val="both"/>
        <w:rPr>
          <w:rFonts w:ascii="Verdana" w:eastAsia="Calibri" w:hAnsi="Verdana" w:cs="Arial"/>
          <w:color w:val="000000"/>
          <w:lang w:val="es-ES" w:eastAsia="es-ES"/>
        </w:rPr>
      </w:pPr>
    </w:p>
    <w:p w14:paraId="42B4E88D" w14:textId="77777777" w:rsidR="00756929" w:rsidRPr="00593A5F" w:rsidRDefault="00756929" w:rsidP="00FA0FB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14A4AC8" w14:textId="77777777" w:rsidR="00756929" w:rsidRPr="00593A5F" w:rsidRDefault="00756929" w:rsidP="00FA0FBB">
      <w:pPr>
        <w:tabs>
          <w:tab w:val="left" w:pos="426"/>
        </w:tabs>
        <w:spacing w:after="0" w:line="276" w:lineRule="auto"/>
        <w:jc w:val="both"/>
        <w:rPr>
          <w:rFonts w:ascii="Verdana" w:eastAsia="Century Gothic" w:hAnsi="Verdana" w:cs="Century Gothic"/>
          <w:lang w:val="es-ES"/>
        </w:rPr>
      </w:pPr>
    </w:p>
    <w:p w14:paraId="0A23A12B" w14:textId="77777777" w:rsidR="00756929" w:rsidRPr="00593A5F" w:rsidRDefault="00756929" w:rsidP="00FA0FB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sidRPr="008A0A2E">
        <w:rPr>
          <w:rFonts w:ascii="Verdana" w:eastAsia="Century Gothic" w:hAnsi="Verdana" w:cs="Century Gothic"/>
        </w:rPr>
        <w:t>: ¿</w:t>
      </w:r>
      <w:r w:rsidRPr="008A0A2E">
        <w:rPr>
          <w:rFonts w:ascii="Verdana" w:hAnsi="Verdana"/>
        </w:rPr>
        <w:t>Resulta</w:t>
      </w:r>
      <w:r w:rsidRPr="008A0A2E">
        <w:rPr>
          <w:rFonts w:ascii="Verdana" w:eastAsia="Century Gothic" w:hAnsi="Verdana" w:cs="Century Gothic"/>
        </w:rPr>
        <w:t xml:space="preserve"> jurídicamente viable la contratación, por parte de </w:t>
      </w:r>
      <w:r w:rsidRPr="008A0A2E">
        <w:rPr>
          <w:rFonts w:ascii="Verdana" w:eastAsia="Century Gothic" w:hAnsi="Verdana" w:cs="Century Gothic"/>
        </w:rPr>
        <w:lastRenderedPageBreak/>
        <w:t>una entidad estatal, de una persona recién graduada en Derecho que aún no cuenta con tarjeta profesional, para el desempeño de funciones propias del ejercicio de la abogacía?</w:t>
      </w:r>
    </w:p>
    <w:p w14:paraId="13EA9F2D" w14:textId="77777777" w:rsidR="00756929" w:rsidRPr="00593A5F" w:rsidRDefault="00756929" w:rsidP="00FA0FBB">
      <w:pPr>
        <w:spacing w:after="0" w:line="276" w:lineRule="auto"/>
        <w:jc w:val="both"/>
        <w:rPr>
          <w:rFonts w:ascii="Verdana" w:eastAsia="Calibri" w:hAnsi="Verdana" w:cs="Arial"/>
          <w:color w:val="7030A0"/>
          <w:lang w:val="es-ES"/>
        </w:rPr>
      </w:pPr>
    </w:p>
    <w:p w14:paraId="2AE94FCD" w14:textId="77777777" w:rsidR="00756929" w:rsidRPr="00593A5F" w:rsidRDefault="00756929" w:rsidP="00FA0FB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A725C4" w14:textId="77777777" w:rsidR="00756929" w:rsidRPr="00593A5F" w:rsidRDefault="00756929" w:rsidP="00FA0FB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6929" w:rsidRPr="00593A5F" w14:paraId="6B63E136" w14:textId="77777777">
        <w:tc>
          <w:tcPr>
            <w:tcW w:w="8828" w:type="dxa"/>
          </w:tcPr>
          <w:p w14:paraId="4E60B62E" w14:textId="77777777" w:rsidR="00756929" w:rsidRPr="00472251" w:rsidRDefault="00756929" w:rsidP="00FA0FBB">
            <w:pPr>
              <w:spacing w:after="120" w:line="276" w:lineRule="auto"/>
              <w:jc w:val="both"/>
              <w:rPr>
                <w:rFonts w:ascii="Verdana" w:eastAsia="Calibri" w:hAnsi="Verdana" w:cs="Arial"/>
                <w:color w:val="000000"/>
                <w:szCs w:val="24"/>
                <w:lang w:val="es-ES" w:eastAsia="es-ES_tradnl"/>
              </w:rPr>
            </w:pPr>
            <w:r w:rsidRPr="008A0A2E">
              <w:rPr>
                <w:rFonts w:ascii="Verdana" w:eastAsia="Calibri" w:hAnsi="Verdana" w:cs="Arial"/>
              </w:rPr>
              <w:t>Con el fin de dar respuesta a la consulta,</w:t>
            </w:r>
            <w:r>
              <w:rPr>
                <w:rFonts w:ascii="Verdana" w:eastAsia="Calibri" w:hAnsi="Verdana" w:cs="Arial"/>
              </w:rPr>
              <w:t xml:space="preserve"> </w:t>
            </w:r>
            <w:r w:rsidRPr="00472251">
              <w:rPr>
                <w:rFonts w:ascii="Verdana" w:eastAsia="Calibri" w:hAnsi="Verdana" w:cs="Arial"/>
                <w:szCs w:val="24"/>
                <w:lang w:val="es-ES" w:eastAsia="es-ES_tradnl"/>
              </w:rPr>
              <w:t>en principio, las entidades estatales tienen dentro de sus obligaciones al contratar, evaluar la idoneidad de un abogado, en la medida en que deben certificar que para la ejecución de un contrato de prestación de servicios se haya verificado la idoneidad o experiencia relacionada, conforme lo indica el Decreto 1082 de 2015 en el artículo 2.2.1.2.1.4.9, con la finalidad de determinar si el futuro contratista cumple con los requisitos de ley y las competencias necesarias para el servicio</w:t>
            </w:r>
            <w:r>
              <w:rPr>
                <w:rFonts w:ascii="Verdana" w:eastAsia="Calibri" w:hAnsi="Verdana" w:cs="Arial"/>
                <w:szCs w:val="24"/>
                <w:lang w:val="es-ES" w:eastAsia="es-ES_tradnl"/>
              </w:rPr>
              <w:t xml:space="preserve"> </w:t>
            </w:r>
            <w:r w:rsidRPr="00472251">
              <w:rPr>
                <w:rFonts w:ascii="Verdana" w:eastAsia="Calibri" w:hAnsi="Verdana" w:cs="Arial"/>
                <w:szCs w:val="24"/>
                <w:lang w:val="es-ES" w:eastAsia="es-ES_tradnl"/>
              </w:rPr>
              <w:t xml:space="preserve">específico que se va a prestar. Lo anterior incluye la verificación de la formación académica, experiencia profesional o cualquier otro aspecto que sea relevante para la ejecución de las funciones a desempeñar; y para el caso concreto la presentación y aprobación del Examen de Estado establecido por la Ley 1905 de 2018, este un requisito de idoneidad salvo los casos excepcionales previstos por la Corte Constitucional en la Sentencia SU-128 de </w:t>
            </w:r>
            <w:r w:rsidRPr="00472251">
              <w:rPr>
                <w:rFonts w:ascii="Verdana" w:eastAsia="Calibri" w:hAnsi="Verdana" w:cs="Arial"/>
                <w:color w:val="000000"/>
                <w:szCs w:val="24"/>
                <w:lang w:val="es-ES" w:eastAsia="es-ES_tradnl"/>
              </w:rPr>
              <w:t>2024.</w:t>
            </w:r>
          </w:p>
          <w:p w14:paraId="6F39E4B7" w14:textId="77777777" w:rsidR="00756929" w:rsidRPr="00472251" w:rsidRDefault="00756929" w:rsidP="00EB04B4">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En consecuencia, la aprobación del Examen de Estado no resulta exigible a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fecha en la cual dicha entidad abrió las inscripciones para la primera aplicación del Examen de Estado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1B0830CD" w14:textId="77777777" w:rsidR="00756929" w:rsidRPr="00472251" w:rsidRDefault="00756929" w:rsidP="00EB04B4">
            <w:pPr>
              <w:spacing w:after="120" w:line="276" w:lineRule="auto"/>
              <w:ind w:firstLine="709"/>
              <w:jc w:val="both"/>
              <w:rPr>
                <w:rFonts w:ascii="Verdana" w:eastAsia="Calibri" w:hAnsi="Verdana" w:cs="Arial"/>
                <w:szCs w:val="24"/>
                <w:lang w:val="es-ES" w:eastAsia="es-ES_tradnl"/>
              </w:rPr>
            </w:pPr>
            <w:r w:rsidRPr="00472251">
              <w:rPr>
                <w:rFonts w:ascii="Verdana" w:eastAsia="Calibri" w:hAnsi="Verdana" w:cs="Arial"/>
                <w:color w:val="000000"/>
              </w:rPr>
              <w:t xml:space="preserve">Lo anterior en razón a que, antes del 26 de diciembre de 2023, el Consejo Superior de la Judicatura no había habilitado la inscripción para la primera prueba, lo que implica que materialmente el requisito de aprobación de dicho examen era imposible de cumplir y, por lo tanto, inexigible como un requisito de idoneidad para la celebración de contratos de prestación de </w:t>
            </w:r>
            <w:r w:rsidRPr="00472251">
              <w:rPr>
                <w:rFonts w:ascii="Verdana" w:eastAsia="Calibri" w:hAnsi="Verdana" w:cs="Arial"/>
                <w:color w:val="000000"/>
              </w:rPr>
              <w:lastRenderedPageBreak/>
              <w:t xml:space="preserve">servicios. Ahora bien, </w:t>
            </w:r>
            <w:r w:rsidRPr="00472251">
              <w:rPr>
                <w:rFonts w:ascii="Verdana" w:eastAsia="Calibri" w:hAnsi="Verdana" w:cs="Arial"/>
                <w:szCs w:val="24"/>
                <w:lang w:val="es-ES" w:eastAsia="es-ES_tradnl"/>
              </w:rPr>
              <w:t>conforme a la Ley 1905 de 2018, la aprobación del Examen de Estado creado por dicha norma se torna en un requisito exigible para el ejercicio de la abogacía, incluso para aquellas actividades que no impliquen la representación judicial.</w:t>
            </w:r>
          </w:p>
          <w:p w14:paraId="0254B855" w14:textId="104AF2AD" w:rsidR="00756929" w:rsidRDefault="00756929" w:rsidP="00EB04B4">
            <w:pPr>
              <w:spacing w:after="120" w:line="276" w:lineRule="auto"/>
              <w:ind w:firstLine="709"/>
              <w:jc w:val="both"/>
              <w:rPr>
                <w:rFonts w:ascii="Verdana" w:eastAsia="Calibri" w:hAnsi="Verdana" w:cs="Arial"/>
                <w:szCs w:val="24"/>
                <w:lang w:val="es-ES" w:eastAsia="es-ES_tradnl"/>
              </w:rPr>
            </w:pPr>
            <w:r w:rsidRPr="00472251">
              <w:rPr>
                <w:rFonts w:ascii="Verdana" w:eastAsia="Calibri" w:hAnsi="Verdana" w:cs="Arial"/>
                <w:szCs w:val="24"/>
                <w:lang w:eastAsia="es-ES_tradnl"/>
              </w:rPr>
              <w:t xml:space="preserve">Finalmente, para responder su pregunta, no es viable jurídicamente </w:t>
            </w:r>
            <w:r w:rsidRPr="00472251">
              <w:rPr>
                <w:rFonts w:ascii="Verdana" w:eastAsia="Century Gothic" w:hAnsi="Verdana" w:cs="Century Gothic"/>
              </w:rPr>
              <w:t xml:space="preserve">que una Entidad Estatal contrate bajo la modalidad de prestación de servicios a un abogado que aún no cuenta con tarjeta profesional, toda vez que, </w:t>
            </w:r>
            <w:r w:rsidRPr="00472251">
              <w:rPr>
                <w:rFonts w:ascii="Verdana" w:eastAsia="Calibri" w:hAnsi="Verdana" w:cs="Arial"/>
                <w:szCs w:val="24"/>
                <w:lang w:eastAsia="es-ES_tradnl"/>
              </w:rPr>
              <w:t>este documento es un requisito de idoneidad para celebrar contratos de prestación de servicios profesionales que impliquen el ejercicio de la abogacía. Dado que, la presentación y aprobación del Examen de Estado es uno de los requisitos previos para la expedición de la tarjeta profesional para aquellas personas que hayan iniciado sus estudios de Derecho con posterioridad a la promulgación de la ley correspondiente, es decir, el 28 de junio de 2018, solo será</w:t>
            </w:r>
            <w:r>
              <w:rPr>
                <w:rFonts w:ascii="Verdana" w:eastAsia="Calibri" w:hAnsi="Verdana" w:cs="Arial"/>
                <w:szCs w:val="24"/>
                <w:lang w:eastAsia="es-ES_tradnl"/>
              </w:rPr>
              <w:t xml:space="preserve"> </w:t>
            </w:r>
            <w:r w:rsidRPr="00472251">
              <w:rPr>
                <w:rFonts w:ascii="Verdana" w:eastAsia="Calibri" w:hAnsi="Verdana" w:cs="Arial"/>
                <w:szCs w:val="24"/>
                <w:lang w:eastAsia="es-ES_tradnl"/>
              </w:rPr>
              <w:t>jurídicamente viable no exigir la aprobación de dicho examen cuando se surta alguno de los casos excepcionales previstos anteriormente, descritos por la Corte Constitucional.</w:t>
            </w:r>
          </w:p>
          <w:p w14:paraId="5F917C8C" w14:textId="34A79D5B" w:rsidR="00756929" w:rsidRPr="00FA0FBB" w:rsidRDefault="00756929" w:rsidP="00EB04B4">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val="es-ES" w:eastAsia="es-ES_tradnl"/>
              </w:rPr>
              <w:t>Ahora bien, finalmente</w:t>
            </w:r>
            <w:r>
              <w:rPr>
                <w:rFonts w:ascii="Verdana" w:hAnsi="Verdana" w:cs="Arial"/>
                <w:color w:val="000000" w:themeColor="text1"/>
              </w:rPr>
              <w:t xml:space="preserve"> </w:t>
            </w:r>
            <w:r w:rsidRPr="00A869CE">
              <w:rPr>
                <w:rFonts w:ascii="Verdana" w:hAnsi="Verdana" w:cs="Arial"/>
                <w:color w:val="000000" w:themeColor="text1"/>
              </w:rPr>
              <w:t>si las funciones</w:t>
            </w:r>
            <w:r w:rsidRPr="00B81438">
              <w:rPr>
                <w:rFonts w:ascii="Verdana" w:eastAsia="Calibri" w:hAnsi="Verdana" w:cs="Arial"/>
                <w:color w:val="000000" w:themeColor="text1"/>
              </w:rPr>
              <w:t xml:space="preserve"> a desempeñar son meramente operativas, administrativas o de apoyo a la gestión —sin ejercicio del derecho como profesión regulada—, no se requerirá tarjeta profesional, sea definitiva o provisional. Por tanto, la validez de la contratación depende del tipo de vínculo, del contenido funcional del cargo o contrato, y de si el abogado con tarjeta provisional está o no protegido por la decisión de la Corte Constitucional.</w:t>
            </w:r>
          </w:p>
        </w:tc>
      </w:tr>
    </w:tbl>
    <w:p w14:paraId="71C3C7C7" w14:textId="77777777" w:rsidR="00756929" w:rsidRPr="00593A5F" w:rsidRDefault="00756929" w:rsidP="00FA0FBB">
      <w:pPr>
        <w:tabs>
          <w:tab w:val="left" w:pos="142"/>
          <w:tab w:val="left" w:pos="284"/>
        </w:tabs>
        <w:spacing w:after="0" w:line="276" w:lineRule="auto"/>
        <w:jc w:val="both"/>
        <w:rPr>
          <w:rFonts w:ascii="Verdana" w:eastAsia="Century Gothic" w:hAnsi="Verdana" w:cs="Century Gothic"/>
          <w:b/>
          <w:bCs/>
          <w:lang w:val="es-ES"/>
        </w:rPr>
      </w:pPr>
    </w:p>
    <w:p w14:paraId="7ED42489" w14:textId="77777777" w:rsidR="00756929" w:rsidRPr="000C0900" w:rsidRDefault="00756929" w:rsidP="00FA0FB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B8A96BA" w14:textId="77777777" w:rsidR="00756929" w:rsidRDefault="00756929" w:rsidP="00FA0FBB">
      <w:pPr>
        <w:spacing w:after="0" w:line="276" w:lineRule="auto"/>
        <w:jc w:val="both"/>
        <w:rPr>
          <w:rFonts w:ascii="Verdana" w:eastAsia="Calibri" w:hAnsi="Verdana" w:cs="Arial"/>
          <w:color w:val="000000" w:themeColor="text1"/>
          <w:lang w:val="es-ES"/>
        </w:rPr>
      </w:pPr>
    </w:p>
    <w:p w14:paraId="7EC53A41" w14:textId="77777777" w:rsidR="00756929" w:rsidRPr="00A7405A" w:rsidRDefault="00756929" w:rsidP="00756929">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6F58C3E6" w14:textId="77777777" w:rsidR="00756929" w:rsidRPr="00A7405A" w:rsidRDefault="00756929" w:rsidP="00756929">
      <w:pPr>
        <w:spacing w:after="0" w:line="240" w:lineRule="auto"/>
        <w:ind w:left="709" w:rightChars="709" w:right="1560"/>
        <w:jc w:val="both"/>
        <w:rPr>
          <w:rFonts w:ascii="Verdana" w:eastAsia="Calibri" w:hAnsi="Verdana" w:cs="Arial"/>
          <w:color w:val="000000" w:themeColor="text1"/>
          <w:sz w:val="21"/>
          <w:szCs w:val="21"/>
          <w:lang w:val="es-ES_tradnl"/>
        </w:rPr>
      </w:pPr>
    </w:p>
    <w:p w14:paraId="3B604B29" w14:textId="77777777" w:rsidR="00756929" w:rsidRPr="00A12789"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7830406E" w14:textId="77777777" w:rsidR="00756929" w:rsidRPr="00A12789" w:rsidRDefault="00756929" w:rsidP="00756929">
      <w:pPr>
        <w:spacing w:after="12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w:t>
      </w:r>
    </w:p>
    <w:p w14:paraId="6E24A24F" w14:textId="77777777" w:rsidR="00756929" w:rsidRPr="00A12789"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0E73B5B3" w14:textId="77777777" w:rsidR="00756929" w:rsidRPr="00A12789" w:rsidRDefault="00756929" w:rsidP="00756929">
      <w:pPr>
        <w:spacing w:after="12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w:t>
      </w:r>
    </w:p>
    <w:p w14:paraId="080E5764" w14:textId="77777777" w:rsidR="00756929" w:rsidRPr="00421288"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r w:rsidRPr="00421288">
        <w:rPr>
          <w:rFonts w:ascii="Verdana" w:eastAsia="Calibri" w:hAnsi="Verdana" w:cs="Arial"/>
          <w:color w:val="000000" w:themeColor="text1"/>
          <w:sz w:val="20"/>
          <w:szCs w:val="20"/>
          <w:lang w:val="es-MX"/>
        </w:rPr>
        <w:t>”.</w:t>
      </w:r>
    </w:p>
    <w:p w14:paraId="293B561F" w14:textId="77777777" w:rsidR="00756929" w:rsidRPr="00A7405A" w:rsidRDefault="00756929" w:rsidP="00756929">
      <w:pPr>
        <w:tabs>
          <w:tab w:val="left" w:pos="0"/>
        </w:tabs>
        <w:spacing w:after="0" w:line="276" w:lineRule="auto"/>
        <w:ind w:left="709" w:rightChars="709" w:right="1560"/>
        <w:jc w:val="both"/>
        <w:rPr>
          <w:rFonts w:ascii="Verdana" w:hAnsi="Verdana" w:cs="Arial"/>
          <w:noProof/>
          <w:lang w:val="es-ES_tradnl"/>
        </w:rPr>
      </w:pPr>
      <w:r w:rsidRPr="00A7405A">
        <w:rPr>
          <w:rFonts w:ascii="Verdana" w:hAnsi="Verdana" w:cs="Arial"/>
          <w:noProof/>
          <w:lang w:val="es-ES_tradnl"/>
        </w:rPr>
        <w:tab/>
      </w:r>
    </w:p>
    <w:p w14:paraId="64639EFA" w14:textId="77777777" w:rsidR="00756929" w:rsidRPr="00A7405A" w:rsidRDefault="00756929" w:rsidP="00756929">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5CD6D41B" w14:textId="77777777" w:rsidR="00756929" w:rsidRPr="00A7405A" w:rsidRDefault="00756929" w:rsidP="00756929">
      <w:pPr>
        <w:spacing w:after="0" w:line="276" w:lineRule="auto"/>
        <w:jc w:val="both"/>
        <w:rPr>
          <w:rFonts w:ascii="Verdana" w:hAnsi="Verdana" w:cs="Arial"/>
          <w:lang w:val="es-ES"/>
        </w:rPr>
      </w:pPr>
    </w:p>
    <w:p w14:paraId="3893F03E"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E744B99" w14:textId="77777777" w:rsidR="00756929" w:rsidRPr="00A7405A" w:rsidRDefault="00756929" w:rsidP="00756929">
      <w:pPr>
        <w:spacing w:after="0" w:line="240" w:lineRule="auto"/>
        <w:ind w:left="709" w:right="709"/>
        <w:jc w:val="both"/>
        <w:rPr>
          <w:rFonts w:ascii="Verdana" w:hAnsi="Verdana" w:cs="Arial"/>
          <w:sz w:val="20"/>
          <w:szCs w:val="20"/>
        </w:rPr>
      </w:pPr>
    </w:p>
    <w:p w14:paraId="6E84F496"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DA80DAF" w14:textId="77777777" w:rsidR="00756929" w:rsidRPr="00A7405A" w:rsidRDefault="00756929" w:rsidP="00756929">
      <w:pPr>
        <w:spacing w:after="0" w:line="240" w:lineRule="auto"/>
        <w:ind w:left="709" w:right="709"/>
        <w:jc w:val="both"/>
        <w:rPr>
          <w:rFonts w:ascii="Verdana" w:hAnsi="Verdana" w:cs="Arial"/>
          <w:sz w:val="20"/>
          <w:szCs w:val="20"/>
          <w:lang w:val="es-MX"/>
        </w:rPr>
      </w:pPr>
    </w:p>
    <w:p w14:paraId="3321E1B2"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35DC2B87" w14:textId="77777777" w:rsidR="00756929" w:rsidRPr="00A7405A" w:rsidRDefault="00756929" w:rsidP="00756929">
      <w:pPr>
        <w:tabs>
          <w:tab w:val="left" w:pos="0"/>
        </w:tabs>
        <w:spacing w:after="0" w:line="276" w:lineRule="auto"/>
        <w:jc w:val="both"/>
        <w:rPr>
          <w:rFonts w:ascii="Verdana" w:hAnsi="Verdana" w:cs="Arial"/>
          <w:noProof/>
          <w:sz w:val="21"/>
          <w:szCs w:val="21"/>
        </w:rPr>
      </w:pPr>
    </w:p>
    <w:p w14:paraId="5A7EA6EB" w14:textId="77777777" w:rsidR="00756929" w:rsidRPr="00A7405A" w:rsidRDefault="00756929" w:rsidP="00756929">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t xml:space="preserve">Como especies del género </w:t>
      </w:r>
      <w:r w:rsidRPr="00A7405A">
        <w:rPr>
          <w:rFonts w:ascii="Verdana" w:hAnsi="Verdana" w:cs="Arial"/>
          <w:i/>
          <w:iCs/>
          <w:color w:val="000000" w:themeColor="text1"/>
          <w:lang w:val="es-MX"/>
        </w:rPr>
        <w:t>contrato de prestación de servicios</w:t>
      </w:r>
      <w:r>
        <w:rPr>
          <w:rFonts w:ascii="Verdana" w:hAnsi="Verdana" w:cs="Arial"/>
          <w:color w:val="000000" w:themeColor="text1"/>
          <w:lang w:val="es-MX"/>
        </w:rPr>
        <w:t xml:space="preserve"> </w:t>
      </w:r>
      <w:r w:rsidRPr="00A7405A">
        <w:rPr>
          <w:rFonts w:ascii="Verdana" w:hAnsi="Verdana" w:cs="Arial"/>
          <w:color w:val="000000" w:themeColor="text1"/>
          <w:lang w:val="es-MX"/>
        </w:rPr>
        <w:t xml:space="preserve">se incluyen </w:t>
      </w:r>
      <w:r w:rsidRPr="00A7405A">
        <w:rPr>
          <w:rFonts w:ascii="Verdana" w:hAnsi="Verdana" w:cs="Arial"/>
          <w:color w:val="000000" w:themeColor="text1"/>
          <w:lang w:val="es-ES"/>
        </w:rPr>
        <w:t xml:space="preserve">los </w:t>
      </w:r>
      <w:r w:rsidRPr="00A7405A">
        <w:rPr>
          <w:rFonts w:ascii="Verdana" w:hAnsi="Verdana" w:cs="Arial"/>
          <w:i/>
          <w:color w:val="000000" w:themeColor="text1"/>
          <w:lang w:val="es-ES"/>
        </w:rPr>
        <w:t>contratos de prestación de servicios profesionales, los contratos de prestación de servicios de apoyo a la gestión</w:t>
      </w:r>
      <w:r w:rsidRPr="00A7405A">
        <w:rPr>
          <w:rFonts w:ascii="Verdana" w:hAnsi="Verdana" w:cs="Arial"/>
          <w:color w:val="000000" w:themeColor="text1"/>
          <w:lang w:val="es-ES"/>
        </w:rPr>
        <w:t xml:space="preserve"> y los </w:t>
      </w:r>
      <w:r w:rsidRPr="00A7405A">
        <w:rPr>
          <w:rFonts w:ascii="Verdana" w:hAnsi="Verdana" w:cs="Arial"/>
          <w:i/>
          <w:color w:val="000000" w:themeColor="text1"/>
          <w:lang w:val="es-ES"/>
        </w:rPr>
        <w:t xml:space="preserve">contratos de prestación de servicios artísticos que solo pueden encomendarse a determinadas personas </w:t>
      </w:r>
      <w:r w:rsidRPr="00A7405A">
        <w:rPr>
          <w:rFonts w:ascii="Verdana" w:hAnsi="Verdana" w:cs="Arial"/>
          <w:i/>
          <w:color w:val="000000" w:themeColor="text1"/>
          <w:lang w:val="es-ES"/>
        </w:rPr>
        <w:lastRenderedPageBreak/>
        <w:t>naturales</w:t>
      </w:r>
      <w:r w:rsidRPr="00A7405A">
        <w:rPr>
          <w:rFonts w:ascii="Verdana" w:hAnsi="Verdana" w:cs="Arial"/>
          <w:color w:val="000000" w:themeColor="text1"/>
          <w:vertAlign w:val="superscript"/>
          <w:lang w:val="es-ES_tradnl"/>
        </w:rPr>
        <w:footnoteReference w:id="1"/>
      </w:r>
      <w:r w:rsidRPr="00A7405A">
        <w:rPr>
          <w:rFonts w:ascii="Verdana" w:hAnsi="Verdana" w:cs="Arial"/>
          <w:color w:val="000000" w:themeColor="text1"/>
          <w:lang w:val="es-MX"/>
        </w:rPr>
        <w:t xml:space="preserve">. </w:t>
      </w:r>
      <w:r w:rsidRPr="00A7405A">
        <w:rPr>
          <w:rFonts w:ascii="Verdana" w:hAnsi="Verdana" w:cs="Arial"/>
          <w:color w:val="000000" w:themeColor="text1"/>
          <w:lang w:val="es-ES"/>
        </w:rPr>
        <w:t xml:space="preserve">La diferencia entre el contrato de prestación de servicios </w:t>
      </w:r>
      <w:r w:rsidRPr="00A7405A">
        <w:rPr>
          <w:rFonts w:ascii="Verdana" w:hAnsi="Verdana" w:cs="Arial"/>
          <w:i/>
          <w:color w:val="000000" w:themeColor="text1"/>
          <w:lang w:val="es-ES"/>
        </w:rPr>
        <w:t>profesionales</w:t>
      </w:r>
      <w:r w:rsidRPr="00A7405A">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47D66D26"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0826143D" w14:textId="77777777" w:rsidR="00756929" w:rsidRPr="00A12789" w:rsidRDefault="00756929" w:rsidP="00756929">
      <w:pPr>
        <w:spacing w:after="0" w:line="240" w:lineRule="auto"/>
        <w:ind w:left="709" w:right="709"/>
        <w:jc w:val="both"/>
        <w:rPr>
          <w:rFonts w:ascii="Verdana" w:hAnsi="Verdana" w:cs="Arial"/>
          <w:color w:val="000000" w:themeColor="text1"/>
          <w:sz w:val="20"/>
          <w:szCs w:val="20"/>
          <w:lang w:val="es-ES_tradnl"/>
        </w:rPr>
      </w:pPr>
      <w:r w:rsidRPr="00A12789">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A12789">
        <w:rPr>
          <w:rFonts w:ascii="Verdana" w:hAnsi="Verdana" w:cs="Arial"/>
          <w:color w:val="000000" w:themeColor="text1"/>
          <w:sz w:val="20"/>
          <w:szCs w:val="20"/>
          <w:vertAlign w:val="superscript"/>
          <w:lang w:val="es-ES_tradnl"/>
        </w:rPr>
        <w:footnoteReference w:id="2"/>
      </w:r>
      <w:r w:rsidRPr="00A12789">
        <w:rPr>
          <w:rFonts w:ascii="Verdana" w:hAnsi="Verdana" w:cs="Arial"/>
          <w:color w:val="000000" w:themeColor="text1"/>
          <w:sz w:val="20"/>
          <w:szCs w:val="20"/>
          <w:lang w:val="es-ES_tradnl"/>
        </w:rPr>
        <w:t>.</w:t>
      </w:r>
    </w:p>
    <w:p w14:paraId="37E31BF0"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1EB38D5F"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69433E6A"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53BE5E98" w14:textId="77777777" w:rsidR="00756929" w:rsidRPr="00A7405A" w:rsidRDefault="00756929" w:rsidP="00756929">
      <w:pPr>
        <w:spacing w:after="12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493FD13F" w14:textId="28ECD532" w:rsidR="00756929" w:rsidRPr="00A7405A" w:rsidRDefault="00756929" w:rsidP="00756929">
      <w:pPr>
        <w:spacing w:after="120" w:line="240" w:lineRule="auto"/>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r w:rsidR="00D90E32" w:rsidRPr="00A7405A">
        <w:rPr>
          <w:rFonts w:ascii="Verdana" w:hAnsi="Verdana" w:cs="Arial"/>
          <w:color w:val="000000" w:themeColor="text1"/>
          <w:sz w:val="20"/>
          <w:szCs w:val="20"/>
          <w:lang w:val="es-ES"/>
        </w:rPr>
        <w:t>se enmarca en</w:t>
      </w:r>
      <w:r w:rsidRPr="00A7405A">
        <w:rPr>
          <w:rFonts w:ascii="Verdana" w:hAnsi="Verdana" w:cs="Arial"/>
          <w:color w:val="000000" w:themeColor="text1"/>
          <w:sz w:val="20"/>
          <w:szCs w:val="20"/>
          <w:lang w:val="es-ES"/>
        </w:rPr>
        <w:t xml:space="preserve"> un saber propiamente técnico; igualmente involucra </w:t>
      </w:r>
      <w:r w:rsidRPr="00A7405A">
        <w:rPr>
          <w:rFonts w:ascii="Verdana" w:hAnsi="Verdana" w:cs="Arial"/>
          <w:color w:val="000000" w:themeColor="text1"/>
          <w:sz w:val="20"/>
          <w:szCs w:val="20"/>
          <w:lang w:val="es-ES"/>
        </w:rPr>
        <w:lastRenderedPageBreak/>
        <w:t>actividades en donde prima el esfuerzo físico o mecánico, en donde no se requiere de personal profesional.</w:t>
      </w:r>
    </w:p>
    <w:p w14:paraId="304B4A89"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53772BC8"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1DD77279" w14:textId="77777777" w:rsidR="00756929" w:rsidRPr="00A7405A" w:rsidRDefault="00756929" w:rsidP="00756929">
      <w:pPr>
        <w:spacing w:after="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w:t>
      </w:r>
      <w:r w:rsidRPr="00A7405A">
        <w:rPr>
          <w:rFonts w:ascii="Verdana" w:hAnsi="Verdana" w:cs="Arial"/>
          <w:color w:val="000000" w:themeColor="text1"/>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6D4F4520" w14:textId="77777777" w:rsidR="00756929" w:rsidRPr="00A7405A" w:rsidRDefault="00756929" w:rsidP="00756929">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otra parte, l</w:t>
      </w:r>
      <w:r w:rsidRPr="00A7405A">
        <w:rPr>
          <w:rFonts w:ascii="Verdana" w:eastAsia="Calibri" w:hAnsi="Verdana" w:cs="Arial"/>
          <w:color w:val="000000" w:themeColor="text1"/>
        </w:rPr>
        <w:t>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incompatibilidad</w:t>
      </w:r>
      <w:r w:rsidRPr="00A7405A">
        <w:rPr>
          <w:rFonts w:ascii="Verdana" w:eastAsia="Calibri" w:hAnsi="Verdana" w:cs="Arial"/>
          <w:color w:val="000000" w:themeColor="text1"/>
          <w:vertAlign w:val="superscript"/>
        </w:rPr>
        <w:footnoteReference w:id="4"/>
      </w:r>
      <w:r w:rsidRPr="00A7405A">
        <w:rPr>
          <w:rFonts w:ascii="Verdana" w:eastAsia="Calibri" w:hAnsi="Verdana" w:cs="Arial"/>
          <w:color w:val="000000" w:themeColor="text1"/>
        </w:rPr>
        <w:t xml:space="preserve">. </w:t>
      </w:r>
    </w:p>
    <w:p w14:paraId="151BCD2C" w14:textId="77777777" w:rsidR="00756929" w:rsidRPr="00A7405A" w:rsidRDefault="00756929" w:rsidP="00756929">
      <w:pPr>
        <w:spacing w:before="120"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 xml:space="preserve">En relación con la exigencia de la tarjeta profesional para celebrar el contrato de prestación de servicios, el artículo 26 de la Constitución Política indica que </w:t>
      </w:r>
      <w:r w:rsidRPr="00A7405A">
        <w:rPr>
          <w:rFonts w:ascii="Verdana" w:eastAsia="Calibri" w:hAnsi="Verdana" w:cs="Arial"/>
          <w:i/>
          <w:iCs/>
          <w:color w:val="000000" w:themeColor="text1"/>
        </w:rPr>
        <w:t>“[…] La Ley podrá exigir títulos de idoneidad. […]”.</w:t>
      </w:r>
      <w:r>
        <w:rPr>
          <w:rFonts w:ascii="Verdana" w:eastAsia="Calibri" w:hAnsi="Verdana" w:cs="Arial"/>
          <w:color w:val="000000" w:themeColor="text1"/>
        </w:rPr>
        <w:t xml:space="preserve"> Al respecto, </w:t>
      </w:r>
      <w:r w:rsidRPr="00A7405A">
        <w:rPr>
          <w:rFonts w:ascii="Verdana" w:eastAsia="Calibri" w:hAnsi="Verdana" w:cs="Arial"/>
          <w:color w:val="000000" w:themeColor="text1"/>
        </w:rPr>
        <w:t xml:space="preserve">La Corte Constitucional, en </w:t>
      </w:r>
      <w:r>
        <w:rPr>
          <w:rFonts w:ascii="Verdana" w:eastAsia="Calibri" w:hAnsi="Verdana" w:cs="Arial"/>
          <w:color w:val="000000" w:themeColor="text1"/>
        </w:rPr>
        <w:t>S</w:t>
      </w:r>
      <w:r w:rsidRPr="00A7405A">
        <w:rPr>
          <w:rFonts w:ascii="Verdana" w:eastAsia="Calibri" w:hAnsi="Verdana" w:cs="Arial"/>
          <w:color w:val="000000" w:themeColor="text1"/>
        </w:rPr>
        <w:t>entencia C–697 de 2000, explicó que la Constitución Política autorizó al legislador para exigir determinados títulos de idoneidad a quienes quieren desempeñar actividades que impliquen riesgo social, con el objetivo de demostrar la adecuada aptitud del aspirante, así</w:t>
      </w:r>
      <w:r w:rsidRPr="00A7405A">
        <w:rPr>
          <w:rFonts w:ascii="Verdana" w:eastAsia="Calibri" w:hAnsi="Verdana" w:cs="Arial"/>
          <w:color w:val="000000" w:themeColor="text1"/>
          <w:vertAlign w:val="superscript"/>
        </w:rPr>
        <w:footnoteReference w:id="5"/>
      </w:r>
      <w:r w:rsidRPr="00A7405A">
        <w:rPr>
          <w:rFonts w:ascii="Verdana" w:eastAsia="Calibri" w:hAnsi="Verdana" w:cs="Arial"/>
          <w:color w:val="000000" w:themeColor="text1"/>
        </w:rPr>
        <w:t>:</w:t>
      </w:r>
    </w:p>
    <w:p w14:paraId="669ABDDD"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“El derecho de todas las personas a escoger profesión u oficio (C.P. art. 26), es consecuencia directa del derecho al trabajo (C.P. art. 25) y al libre desarrollo de la personalidad (C.P. art. 16) y constituye, a su turno, uno de los fundamentos esenciales del principio constitucional de la libertad de empresa (C.P. art. 333). Ciertamente, la garantía del derecho fundamental consagrado en el artículo 26 de la Carta, es condición necesaria para que las personas puedan realizar su proyecto de vida en el campo laboral y empresarial, y, adicionalmente, para que encuentren la oportunidad de realizar una actividad cuya remuneración les permita satisfacer sus necesidades y las de su familia.</w:t>
      </w:r>
    </w:p>
    <w:p w14:paraId="5972BFEB"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w:t>
      </w:r>
    </w:p>
    <w:p w14:paraId="22398525"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En suma, el artículo 26 de la Carta impone al legislador la tarea de 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mecanismos de vigilancia y control del ejercicio de las 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p>
    <w:p w14:paraId="13B5B010" w14:textId="77777777" w:rsidR="00756929" w:rsidRPr="00A7405A" w:rsidRDefault="00756929" w:rsidP="00756929">
      <w:pPr>
        <w:spacing w:after="0" w:line="240" w:lineRule="auto"/>
        <w:ind w:left="709" w:right="709"/>
        <w:jc w:val="both"/>
        <w:rPr>
          <w:rFonts w:ascii="Arial" w:eastAsia="Calibri" w:hAnsi="Arial" w:cs="Arial"/>
          <w:color w:val="000000" w:themeColor="text1"/>
          <w:sz w:val="20"/>
          <w:szCs w:val="20"/>
        </w:rPr>
      </w:pPr>
    </w:p>
    <w:p w14:paraId="3C302490" w14:textId="77777777" w:rsidR="00756929" w:rsidRPr="00A7405A" w:rsidRDefault="00756929" w:rsidP="00756929">
      <w:pPr>
        <w:spacing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w:t>
      </w:r>
    </w:p>
    <w:p w14:paraId="1DF77E7C" w14:textId="77777777" w:rsidR="00756929" w:rsidRPr="00A7405A" w:rsidRDefault="00756929" w:rsidP="00756929">
      <w:pPr>
        <w:spacing w:after="120" w:line="276" w:lineRule="auto"/>
        <w:ind w:firstLine="708"/>
        <w:jc w:val="both"/>
        <w:rPr>
          <w:rFonts w:ascii="Verdana" w:hAnsi="Verdana" w:cs="Arial"/>
          <w:color w:val="000000" w:themeColor="text1"/>
        </w:rPr>
      </w:pPr>
      <w:r>
        <w:rPr>
          <w:rFonts w:ascii="Verdana" w:hAnsi="Verdana" w:cs="Arial"/>
          <w:color w:val="000000" w:themeColor="text1"/>
        </w:rPr>
        <w:t>Particularmente, e</w:t>
      </w:r>
      <w:r w:rsidRPr="00A7405A">
        <w:rPr>
          <w:rFonts w:ascii="Verdana" w:hAnsi="Verdana" w:cs="Arial"/>
          <w:color w:val="000000" w:themeColor="text1"/>
        </w:rPr>
        <w:t>l ejercicio de la profesión de abogado es regulado</w:t>
      </w:r>
      <w:r>
        <w:rPr>
          <w:rFonts w:ascii="Verdana" w:hAnsi="Verdana" w:cs="Arial"/>
          <w:color w:val="000000" w:themeColor="text1"/>
        </w:rPr>
        <w:t xml:space="preserve"> p</w:t>
      </w:r>
      <w:r w:rsidRPr="00A7405A">
        <w:rPr>
          <w:rFonts w:ascii="Verdana" w:hAnsi="Verdana" w:cs="Arial"/>
          <w:color w:val="000000" w:themeColor="text1"/>
        </w:rPr>
        <w:t xml:space="preserve">or el Decreto 196 de 1971. El artículo 1 de esta norma establece que </w:t>
      </w:r>
      <w:r w:rsidRPr="00A7405A">
        <w:rPr>
          <w:rFonts w:ascii="Verdana" w:hAnsi="Verdana" w:cs="Arial"/>
          <w:i/>
          <w:iCs/>
          <w:color w:val="000000" w:themeColor="text1"/>
        </w:rPr>
        <w:t>“La abogacía tiene como función social la de colaborar con las autoridades en la conservación y perfeccionamiento del orden jurídico del país, y en la realización de una recta y cumplida administración de justicia”</w:t>
      </w:r>
      <w:r w:rsidRPr="00A7405A">
        <w:rPr>
          <w:rFonts w:ascii="Verdana" w:hAnsi="Verdana" w:cs="Arial"/>
          <w:color w:val="000000" w:themeColor="text1"/>
        </w:rPr>
        <w:t xml:space="preserve">. De acuerdo con su artículo 4º </w:t>
      </w:r>
      <w:r w:rsidRPr="00A7405A">
        <w:rPr>
          <w:rFonts w:ascii="Verdana" w:hAnsi="Verdana" w:cs="Arial"/>
          <w:i/>
          <w:iCs/>
          <w:color w:val="000000" w:themeColor="text1"/>
        </w:rPr>
        <w:t>“Para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 […]”</w:t>
      </w:r>
      <w:r w:rsidRPr="00A7405A">
        <w:rPr>
          <w:rFonts w:ascii="Verdana" w:hAnsi="Verdana" w:cs="Arial"/>
          <w:color w:val="000000" w:themeColor="text1"/>
        </w:rPr>
        <w:t>; la inscripción como abogado se realiza ante el Consejo Superior de la Judicatura, autoridad que por expreso mandato legal tiene, entre otras, la función de llevar el registro nacional de abogados</w:t>
      </w:r>
      <w:r w:rsidRPr="00A7405A">
        <w:rPr>
          <w:rStyle w:val="Refdenotaalpie"/>
          <w:rFonts w:ascii="Verdana" w:hAnsi="Verdana" w:cs="Arial"/>
          <w:color w:val="000000" w:themeColor="text1"/>
        </w:rPr>
        <w:footnoteReference w:id="6"/>
      </w:r>
      <w:r w:rsidRPr="00A7405A">
        <w:rPr>
          <w:rFonts w:ascii="Verdana" w:hAnsi="Verdana" w:cs="Arial"/>
          <w:color w:val="000000" w:themeColor="text1"/>
        </w:rPr>
        <w:t>. Posterior a la inscripción del abogado se expide la tarjeta profesional.</w:t>
      </w:r>
    </w:p>
    <w:p w14:paraId="3ABC0A2D"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5ADF43DA"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con la expedición de la Ley 1905 de 2018 establecieron nuevas disposiciones relacionadas con el ejercicio de la profesión de abogado. En particular, esta norma crea un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cuya aprobación se constituye en un requisito para el ejercicio de la profesión de abogado. Al respecto, el primer inciso del artículo 1 de esta ley establece que </w:t>
      </w:r>
      <w:r w:rsidRPr="00A7405A">
        <w:rPr>
          <w:rFonts w:ascii="Verdana" w:hAnsi="Verdana" w:cs="Arial"/>
          <w:i/>
          <w:iCs/>
          <w:color w:val="000000" w:themeColor="text1"/>
        </w:rPr>
        <w:t xml:space="preserve">“Para ejercer la profesión de abogado, además de los requisitos exigidos en las </w:t>
      </w:r>
      <w:r w:rsidRPr="00A7405A">
        <w:rPr>
          <w:rFonts w:ascii="Verdana" w:hAnsi="Verdana" w:cs="Arial"/>
          <w:i/>
          <w:iCs/>
          <w:color w:val="000000" w:themeColor="text1"/>
        </w:rPr>
        <w:lastRenderedPageBreak/>
        <w:t>normas legales vigentes, el graduado deberá acreditar certificación de aprobación del Examen de Estado que para el efecto realice el Consejo Superior de la Judicatura […]”</w:t>
      </w:r>
      <w:r w:rsidRPr="00A7405A">
        <w:rPr>
          <w:rFonts w:ascii="Verdana" w:hAnsi="Verdana" w:cs="Arial"/>
          <w:color w:val="000000" w:themeColor="text1"/>
        </w:rPr>
        <w:t xml:space="preserve">. </w:t>
      </w:r>
      <w:r w:rsidRPr="00A7405A">
        <w:rPr>
          <w:rFonts w:ascii="Verdana" w:hAnsi="Verdana" w:cs="Arial"/>
          <w:i/>
          <w:iCs/>
          <w:color w:val="000000" w:themeColor="text1"/>
        </w:rPr>
        <w:t xml:space="preserve"> </w:t>
      </w:r>
      <w:r w:rsidRPr="00A7405A">
        <w:rPr>
          <w:rFonts w:ascii="Verdana" w:hAnsi="Verdana" w:cs="Arial"/>
          <w:color w:val="000000" w:themeColor="text1"/>
        </w:rPr>
        <w:t xml:space="preserve">De acuerdo con el segundo inciso del artículo 1, se entenderá aprobado el examen cuando el resultado supere la media del puntaje nacional de la respectiva prueba. </w:t>
      </w:r>
    </w:p>
    <w:p w14:paraId="423AE46D"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No obstante, el artículo 2 de la Ley 1905 de 2018 establece que el requisito de idoneidad creado por dicha norma para el ejercicio de la profesión de abogado aplicará a quienes inicien la carrera de derecho después de su promulgación, dada el 28 de junio de 2018.  Esto significa que, al igual que la inscripción en el Registro Nacional de Abogados a la que se refieren los artículos 4 y ss. del Decreto 196 de 1971, la aprobación del examen de Estado creado por la Ley 1905 de 2018 se constituye en un requisito legal de idoneidad requerido para el ejercicio de la abogacía. </w:t>
      </w:r>
    </w:p>
    <w:p w14:paraId="685A0874"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En atención a lo anterior, y de conformidad con lo dispuesto en el artículo 2.2.1.2.1.4.9 del Decreto 1082 de 2015, para la celebración de contratos de prestación de servicios profesionales que impliquen  el ejercicio de la abogacía, con personas que hayan iniciado estudios profesionales</w:t>
      </w:r>
      <w:r>
        <w:rPr>
          <w:rFonts w:ascii="Verdana" w:hAnsi="Verdana" w:cs="Arial"/>
          <w:color w:val="000000" w:themeColor="text1"/>
        </w:rPr>
        <w:t xml:space="preserve"> </w:t>
      </w:r>
      <w:r w:rsidRPr="00A7405A">
        <w:rPr>
          <w:rFonts w:ascii="Verdana" w:hAnsi="Verdana" w:cs="Arial"/>
          <w:color w:val="000000" w:themeColor="text1"/>
        </w:rPr>
        <w:t xml:space="preserve">de derecho con posterioridad a la promulgación de la Ley 1905 de 2018, las Entidades Estatales están llamadas a verificar la idoneidad del eventual contratista exigiendo la acreditación de la inscripción en el Registro Nacional de Abogados y la aprobación del Examen de Estado regulado por la Ley 1905 de 2018. </w:t>
      </w:r>
    </w:p>
    <w:p w14:paraId="610348B1"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Al respecto es importante considerar</w:t>
      </w:r>
      <w:r>
        <w:rPr>
          <w:rFonts w:ascii="Verdana" w:hAnsi="Verdana" w:cs="Arial"/>
          <w:color w:val="000000" w:themeColor="text1"/>
        </w:rPr>
        <w:t xml:space="preserve"> </w:t>
      </w:r>
      <w:r w:rsidRPr="00A7405A">
        <w:rPr>
          <w:rFonts w:ascii="Verdana" w:hAnsi="Verdana" w:cs="Arial"/>
          <w:color w:val="000000" w:themeColor="text1"/>
        </w:rPr>
        <w:t xml:space="preserve">que la abogacía no se limita a la representación judicial, sino que también puede involucrar, por ejemplo, actividades de asesoramiento o elaboración de documentos jurídicos. De hecho, de acuerdo con el artículo 2 del Decreto 196 de 1971, la principal misión del abogado es </w:t>
      </w:r>
      <w:r w:rsidRPr="00A7405A">
        <w:rPr>
          <w:rFonts w:ascii="Verdana" w:hAnsi="Verdana" w:cs="Arial"/>
          <w:i/>
          <w:iCs/>
          <w:color w:val="000000" w:themeColor="text1"/>
        </w:rPr>
        <w:t>“defender en justicia los derechos de la sociedad y de los particulares. También es misión suya asesorar, patrocinar y asistir a las personas en la ordenación y desenvolvimiento de sus relaciones jurídicas”</w:t>
      </w:r>
      <w:r w:rsidRPr="00A7405A">
        <w:rPr>
          <w:rFonts w:ascii="Verdana" w:hAnsi="Verdana" w:cs="Arial"/>
          <w:color w:val="000000" w:themeColor="text1"/>
        </w:rPr>
        <w:t xml:space="preserve">. </w:t>
      </w:r>
    </w:p>
    <w:p w14:paraId="5608A67C" w14:textId="77777777" w:rsidR="00756929" w:rsidRPr="00A7405A"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En ese orden, el hecho de que el objeto contractual no implique la representación judicial no </w:t>
      </w:r>
      <w:r>
        <w:rPr>
          <w:rFonts w:ascii="Verdana" w:hAnsi="Verdana" w:cs="Arial"/>
          <w:color w:val="000000" w:themeColor="text1"/>
        </w:rPr>
        <w:t>significa</w:t>
      </w:r>
      <w:r w:rsidRPr="00A7405A">
        <w:rPr>
          <w:rFonts w:ascii="Verdana" w:hAnsi="Verdana" w:cs="Arial"/>
          <w:color w:val="000000" w:themeColor="text1"/>
        </w:rPr>
        <w:t xml:space="preserve"> que la Entidad Estatal deba proceder a la celebración de los contratos con abogados si</w:t>
      </w:r>
      <w:r>
        <w:rPr>
          <w:rFonts w:ascii="Verdana" w:hAnsi="Verdana" w:cs="Arial"/>
          <w:color w:val="000000" w:themeColor="text1"/>
        </w:rPr>
        <w:t>n</w:t>
      </w:r>
      <w:r w:rsidRPr="00A7405A">
        <w:rPr>
          <w:rFonts w:ascii="Verdana" w:hAnsi="Verdana" w:cs="Arial"/>
          <w:color w:val="000000" w:themeColor="text1"/>
        </w:rPr>
        <w:t xml:space="preserve"> verificar el cumplimiento de los </w:t>
      </w:r>
      <w:r w:rsidRPr="00A7405A">
        <w:rPr>
          <w:rFonts w:ascii="Verdana" w:hAnsi="Verdana" w:cs="Arial"/>
          <w:color w:val="000000" w:themeColor="text1"/>
        </w:rPr>
        <w:lastRenderedPageBreak/>
        <w:t>requisitos establecidos en el Decreto 196 de 1971 y la Ley 1905 de 2018. Menos aun cuando, en lugar de un contrato de prestación de servicios de apoyo a la gestión u artísticos, lo que se pretende suscribir es un contrato de prestación de servicios</w:t>
      </w:r>
      <w:r>
        <w:rPr>
          <w:rFonts w:ascii="Verdana" w:hAnsi="Verdana" w:cs="Arial"/>
          <w:color w:val="000000" w:themeColor="text1"/>
        </w:rPr>
        <w:t xml:space="preserve"> profesionales</w:t>
      </w:r>
      <w:r w:rsidRPr="00A7405A">
        <w:rPr>
          <w:rFonts w:ascii="Verdana" w:hAnsi="Verdana" w:cs="Arial"/>
          <w:color w:val="000000" w:themeColor="text1"/>
        </w:rPr>
        <w:t xml:space="preserve"> que implica el ejercicio de la abogacía. </w:t>
      </w:r>
    </w:p>
    <w:p w14:paraId="24E7CA60"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Conforme a lo anterior, es necesario acreditar los requisitos antes descritos para quienes pretendan ejercer la abogacía en el marco de contratos de prestación de servicios profesionales, los cuales también pueden ser acreditados mediante la exhibición de la tarjeta profesional, en la medida en que para la expedición de este documento, también se torna indispensable la inscripción en el referido registro y la aprobación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de conformidad con lo dispuesto en los artículos 19 del Decreto 196 de 1971 y el parágrafo 2 del artículo 1 de la Ley 1905 de 2018. </w:t>
      </w:r>
    </w:p>
    <w:p w14:paraId="6B4B8ADB"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en relación con el tema de la consulta, también resulta pertinente poner de presente que, el artículo 19 del Decreto 196 de 1971, permite la expedición de tarjeta profesional provisional, para que los abogados que se inscriben en el registro puedan utilizarla para ejercer la profesión mientras que se expide el documento definitivo. En concordancia con esto, el artículo 11 transitorio del Acuerdo PSCJA24-12162 </w:t>
      </w:r>
      <w:r>
        <w:rPr>
          <w:rFonts w:ascii="Verdana" w:hAnsi="Verdana" w:cs="Arial"/>
          <w:color w:val="000000" w:themeColor="text1"/>
        </w:rPr>
        <w:t xml:space="preserve">del 9 de abril de </w:t>
      </w:r>
      <w:r w:rsidRPr="00A7405A">
        <w:rPr>
          <w:rFonts w:ascii="Verdana" w:hAnsi="Verdana" w:cs="Arial"/>
          <w:color w:val="000000" w:themeColor="text1"/>
        </w:rPr>
        <w:t xml:space="preserve">2024 expedido por el Consejo Superior de la Judicatura, contempla que, los abogados destinatarios de la Ley 1905 de 2018 podrán solicitar la expedición de tarjeta provisional con anotación de </w:t>
      </w:r>
      <w:r w:rsidRPr="00A7405A">
        <w:rPr>
          <w:rFonts w:ascii="Verdana" w:hAnsi="Verdana" w:cs="Arial"/>
          <w:i/>
          <w:iCs/>
          <w:color w:val="000000" w:themeColor="text1"/>
        </w:rPr>
        <w:t>“Provisional”</w:t>
      </w:r>
      <w:r w:rsidRPr="00A7405A">
        <w:rPr>
          <w:rFonts w:ascii="Verdana" w:hAnsi="Verdana" w:cs="Arial"/>
          <w:color w:val="000000" w:themeColor="text1"/>
        </w:rPr>
        <w:t xml:space="preserve">, </w:t>
      </w:r>
      <w:r w:rsidRPr="00A7405A">
        <w:rPr>
          <w:rFonts w:ascii="Verdana" w:hAnsi="Verdana" w:cs="Arial"/>
          <w:i/>
          <w:iCs/>
          <w:color w:val="000000" w:themeColor="text1"/>
        </w:rPr>
        <w:t>“la cual tendrán vigencia hasta la publicación final de los resultados de la prueba aplicada el 26 de mayo de 2024”</w:t>
      </w:r>
      <w:r w:rsidRPr="00A7405A">
        <w:rPr>
          <w:rFonts w:ascii="Verdana" w:hAnsi="Verdana" w:cs="Arial"/>
          <w:color w:val="000000" w:themeColor="text1"/>
        </w:rPr>
        <w:t xml:space="preserve">. </w:t>
      </w:r>
      <w:r>
        <w:rPr>
          <w:rFonts w:ascii="Verdana" w:hAnsi="Verdana" w:cs="Arial"/>
          <w:color w:val="000000" w:themeColor="text1"/>
        </w:rPr>
        <w:t>De esta manera, la expedición de esta tarjeta profesional provisional.</w:t>
      </w:r>
    </w:p>
    <w:p w14:paraId="4C1AE66C"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 todo, es importante mencionar que, la implementación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creado por la Ley 1905 de 2018 ha estado sujeta distintas dificultades, que han propiciado afectaciones al derecho fundamental a escoger libremente y ejercer profesión u oficio de los destinatarios de esta normativa, que llevaron a que la Corte Constitucional expidiera la Sentencia SU-128 de 18 de abril de 2024.  En </w:t>
      </w:r>
      <w:r>
        <w:rPr>
          <w:rFonts w:ascii="Verdana" w:hAnsi="Verdana" w:cs="Arial"/>
          <w:color w:val="000000" w:themeColor="text1"/>
        </w:rPr>
        <w:t xml:space="preserve">síntesis, en </w:t>
      </w:r>
      <w:r w:rsidRPr="00A7405A">
        <w:rPr>
          <w:rFonts w:ascii="Verdana" w:hAnsi="Verdana" w:cs="Arial"/>
          <w:color w:val="000000" w:themeColor="text1"/>
        </w:rPr>
        <w:t xml:space="preserve">esta </w:t>
      </w:r>
      <w:r>
        <w:rPr>
          <w:rFonts w:ascii="Verdana" w:hAnsi="Verdana" w:cs="Arial"/>
          <w:color w:val="000000" w:themeColor="text1"/>
        </w:rPr>
        <w:t>providencia</w:t>
      </w:r>
      <w:r w:rsidRPr="00A7405A">
        <w:rPr>
          <w:rFonts w:ascii="Verdana" w:hAnsi="Verdana" w:cs="Arial"/>
          <w:color w:val="000000" w:themeColor="text1"/>
        </w:rPr>
        <w:t xml:space="preserve">, la referida </w:t>
      </w:r>
      <w:r>
        <w:rPr>
          <w:rFonts w:ascii="Verdana" w:hAnsi="Verdana" w:cs="Arial"/>
          <w:color w:val="000000" w:themeColor="text1"/>
        </w:rPr>
        <w:t xml:space="preserve">Alta Corporación judicial </w:t>
      </w:r>
      <w:r w:rsidRPr="00A7405A">
        <w:rPr>
          <w:rFonts w:ascii="Verdana" w:hAnsi="Verdana" w:cs="Arial"/>
          <w:color w:val="000000" w:themeColor="text1"/>
        </w:rPr>
        <w:t xml:space="preserve">encontró lo siguiente: </w:t>
      </w:r>
    </w:p>
    <w:p w14:paraId="3F06A89B" w14:textId="77777777" w:rsidR="00756929" w:rsidRDefault="00756929" w:rsidP="00756929">
      <w:pPr>
        <w:spacing w:after="0" w:line="240" w:lineRule="auto"/>
        <w:ind w:left="709" w:right="709"/>
        <w:jc w:val="both"/>
        <w:rPr>
          <w:rFonts w:ascii="Verdana" w:hAnsi="Verdana" w:cs="Arial"/>
          <w:color w:val="000000" w:themeColor="text1"/>
          <w:sz w:val="20"/>
          <w:szCs w:val="20"/>
          <w:lang w:val="es-MX"/>
        </w:rPr>
      </w:pPr>
      <w:r w:rsidRPr="00A7405A">
        <w:rPr>
          <w:rFonts w:ascii="Verdana" w:hAnsi="Verdana" w:cs="Arial"/>
          <w:color w:val="000000" w:themeColor="text1"/>
          <w:sz w:val="20"/>
          <w:szCs w:val="20"/>
          <w:lang w:val="es-ES"/>
        </w:rPr>
        <w:t>“261.   </w:t>
      </w:r>
      <w:r w:rsidRPr="00A7405A">
        <w:rPr>
          <w:rFonts w:ascii="Verdana" w:hAnsi="Verdana" w:cs="Arial"/>
          <w:color w:val="000000" w:themeColor="text1"/>
          <w:sz w:val="20"/>
          <w:szCs w:val="20"/>
          <w:lang w:val="es-MX"/>
        </w:rPr>
        <w:t>La Corte observó que el Consejo Superior de la Judicatura no actuó con la debida diligencia respecto de su deber de crear e implementar el examen de Estado regulado en la Ley 1905 de 2018. La Corte puso de presente que han transcurrido casi seis años desde la promulgación de la Ley 1905 de 2018 sin que el Consejo Superior de la Judicatura haya dado efectivo cumplimiento a la obligación allí dispuesta de realizar el mencionado Examen de Estado.</w:t>
      </w:r>
    </w:p>
    <w:p w14:paraId="7D7F274F"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p>
    <w:p w14:paraId="1213FC36"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262.   </w:t>
      </w:r>
      <w:r w:rsidRPr="00A7405A">
        <w:rPr>
          <w:rFonts w:ascii="Verdana" w:hAnsi="Verdana" w:cs="Arial"/>
          <w:color w:val="000000" w:themeColor="text1"/>
          <w:sz w:val="20"/>
          <w:szCs w:val="20"/>
          <w:lang w:val="es-MX"/>
        </w:rPr>
        <w:t>La Sala también encontró que el Consejo Superior de la Judicatura, ante su propia omisión en la implementación del Examen, optó por expedirles a los graduados destinatarios de la Ley 1905 de 2018 unas tarjetas profesionales de carácter provisional, con vigencia hasta la publicación final de los resultados de la primera prueba. Para este Tribunal, el hecho de que a tales personas se les habilitara el ejercicio de la profesión de manera provisional y no definitiva, por no haber presentado un examen que aún no había sido implementado implicó (i) una extralimitación de las competencias del Consejo Superior de la Judicatura y (ii) una restricción injustificada de la libertad de ejercer la profesión, por lo demás con graves implicaciones para la seguridad jurídica, el principio de confianza legítima y el acceso de la ciudadanía a la administración de justicia</w:t>
      </w:r>
      <w:r>
        <w:rPr>
          <w:rFonts w:ascii="Verdana" w:hAnsi="Verdana" w:cs="Arial"/>
          <w:color w:val="000000" w:themeColor="text1"/>
          <w:sz w:val="20"/>
          <w:szCs w:val="20"/>
          <w:lang w:val="es-MX"/>
        </w:rPr>
        <w:t>”</w:t>
      </w:r>
      <w:r>
        <w:rPr>
          <w:rStyle w:val="Refdenotaalpie"/>
          <w:rFonts w:ascii="Verdana" w:hAnsi="Verdana" w:cs="Arial"/>
          <w:color w:val="000000" w:themeColor="text1"/>
          <w:sz w:val="20"/>
          <w:szCs w:val="20"/>
          <w:lang w:val="es-MX"/>
        </w:rPr>
        <w:footnoteReference w:id="7"/>
      </w:r>
      <w:r w:rsidRPr="00A7405A">
        <w:rPr>
          <w:rFonts w:ascii="Verdana" w:hAnsi="Verdana" w:cs="Arial"/>
          <w:color w:val="000000" w:themeColor="text1"/>
          <w:sz w:val="20"/>
          <w:szCs w:val="20"/>
          <w:lang w:val="es-MX"/>
        </w:rPr>
        <w:t>.</w:t>
      </w:r>
    </w:p>
    <w:p w14:paraId="23BF567F" w14:textId="77777777" w:rsidR="00756929" w:rsidRDefault="00756929" w:rsidP="00756929">
      <w:pPr>
        <w:spacing w:after="0" w:line="240" w:lineRule="auto"/>
        <w:ind w:right="709"/>
        <w:jc w:val="both"/>
        <w:rPr>
          <w:rFonts w:ascii="Verdana" w:hAnsi="Verdana" w:cs="Arial"/>
          <w:color w:val="000000" w:themeColor="text1"/>
          <w:sz w:val="20"/>
          <w:szCs w:val="20"/>
          <w:lang w:val="es-ES"/>
        </w:rPr>
      </w:pPr>
    </w:p>
    <w:p w14:paraId="7E66066C" w14:textId="77777777" w:rsidR="00756929" w:rsidRPr="00A7405A" w:rsidRDefault="00756929" w:rsidP="00756929">
      <w:pPr>
        <w:spacing w:after="0" w:line="276" w:lineRule="auto"/>
        <w:ind w:right="49" w:firstLine="708"/>
        <w:jc w:val="both"/>
        <w:rPr>
          <w:rFonts w:ascii="Verdana" w:hAnsi="Verdana" w:cs="Arial"/>
          <w:i/>
          <w:iCs/>
          <w:color w:val="000000" w:themeColor="text1"/>
          <w:lang w:val="es-ES"/>
        </w:rPr>
      </w:pPr>
      <w:r w:rsidRPr="00A7405A">
        <w:rPr>
          <w:rFonts w:ascii="Verdana" w:hAnsi="Verdana" w:cs="Arial"/>
          <w:color w:val="000000" w:themeColor="text1"/>
          <w:lang w:val="es-ES"/>
        </w:rPr>
        <w:t xml:space="preserve">En consideración a lo anterior, la Corte Constitucional tomó las siguientes decisiones, en el marco de esta sentencia de unificación con efectos </w:t>
      </w:r>
      <w:r w:rsidRPr="00A7405A">
        <w:rPr>
          <w:rFonts w:ascii="Verdana" w:hAnsi="Verdana" w:cs="Arial"/>
          <w:i/>
          <w:iCs/>
          <w:color w:val="000000" w:themeColor="text1"/>
          <w:lang w:val="es-ES"/>
        </w:rPr>
        <w:t xml:space="preserve">inter pares: </w:t>
      </w:r>
    </w:p>
    <w:p w14:paraId="2B115798" w14:textId="77777777" w:rsidR="00756929" w:rsidRDefault="00756929" w:rsidP="00756929">
      <w:pPr>
        <w:spacing w:after="0" w:line="240" w:lineRule="auto"/>
        <w:ind w:right="709"/>
        <w:jc w:val="both"/>
        <w:rPr>
          <w:rFonts w:ascii="Verdana" w:hAnsi="Verdana" w:cs="Arial"/>
          <w:i/>
          <w:iCs/>
          <w:color w:val="000000" w:themeColor="text1"/>
          <w:sz w:val="20"/>
          <w:szCs w:val="20"/>
          <w:lang w:val="es-ES"/>
        </w:rPr>
      </w:pPr>
    </w:p>
    <w:p w14:paraId="535A2D85"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lang w:val="es-ES"/>
        </w:rPr>
        <w:t>“</w:t>
      </w:r>
      <w:r w:rsidRPr="00A7405A">
        <w:rPr>
          <w:rFonts w:ascii="Verdana" w:hAnsi="Verdana" w:cs="Arial"/>
          <w:color w:val="000000" w:themeColor="text1"/>
          <w:sz w:val="20"/>
          <w:szCs w:val="20"/>
          <w:lang w:val="es-ES"/>
        </w:rPr>
        <w:t>263.   </w:t>
      </w:r>
      <w:r>
        <w:rPr>
          <w:rFonts w:ascii="Verdana" w:hAnsi="Verdana" w:cs="Arial"/>
          <w:color w:val="000000" w:themeColor="text1"/>
          <w:sz w:val="20"/>
          <w:szCs w:val="20"/>
          <w:lang w:val="es-MX"/>
        </w:rPr>
        <w:t>[…]</w:t>
      </w:r>
      <w:r w:rsidRPr="00A7405A">
        <w:rPr>
          <w:rFonts w:ascii="Verdana" w:hAnsi="Verdana" w:cs="Arial"/>
          <w:color w:val="000000" w:themeColor="text1"/>
          <w:sz w:val="20"/>
          <w:szCs w:val="20"/>
          <w:lang w:val="es-MX"/>
        </w:rPr>
        <w:t xml:space="preserve"> conceder el amparo invocado por los accionantes e inaplicar por inconstitucional el artículo 11 transitorio del Acuerdo PCSJA24-12162 de 9 de abril de 2024 del Consejo Superior de la Judicatura que prevé la categoría de tarjeta profesional provisional para los destinatarios de la Ley 1905 de 2018.</w:t>
      </w:r>
    </w:p>
    <w:p w14:paraId="45913636" w14:textId="77777777" w:rsidR="00756929" w:rsidRDefault="00756929" w:rsidP="00756929">
      <w:pPr>
        <w:spacing w:after="0" w:line="240" w:lineRule="auto"/>
        <w:ind w:left="709" w:right="709"/>
        <w:jc w:val="both"/>
        <w:rPr>
          <w:rFonts w:ascii="Verdana" w:hAnsi="Verdana" w:cs="Arial"/>
          <w:color w:val="000000" w:themeColor="text1"/>
          <w:sz w:val="20"/>
          <w:szCs w:val="20"/>
          <w:lang w:val="es-ES"/>
        </w:rPr>
      </w:pPr>
    </w:p>
    <w:p w14:paraId="6ED988DC" w14:textId="77777777" w:rsidR="00756929" w:rsidRPr="00A7405A" w:rsidRDefault="00756929" w:rsidP="00756929">
      <w:pPr>
        <w:spacing w:after="0" w:line="240" w:lineRule="auto"/>
        <w:ind w:left="709" w:right="709"/>
        <w:jc w:val="both"/>
        <w:rPr>
          <w:rFonts w:ascii="Verdana" w:hAnsi="Verdana" w:cs="Arial"/>
          <w:i/>
          <w:iCs/>
          <w:color w:val="000000" w:themeColor="text1"/>
          <w:sz w:val="20"/>
          <w:szCs w:val="20"/>
          <w:u w:val="single"/>
        </w:rPr>
      </w:pPr>
      <w:r w:rsidRPr="00A7405A">
        <w:rPr>
          <w:rFonts w:ascii="Verdana" w:hAnsi="Verdana" w:cs="Arial"/>
          <w:color w:val="000000" w:themeColor="text1"/>
          <w:sz w:val="20"/>
          <w:szCs w:val="20"/>
          <w:lang w:val="es-ES"/>
        </w:rPr>
        <w:t>264.   </w:t>
      </w:r>
      <w:r w:rsidRPr="00A7405A">
        <w:rPr>
          <w:rFonts w:ascii="Verdana" w:hAnsi="Verdana" w:cs="Arial"/>
          <w:color w:val="000000" w:themeColor="text1"/>
          <w:sz w:val="20"/>
          <w:szCs w:val="20"/>
          <w:lang w:val="es-MX"/>
        </w:rPr>
        <w:t xml:space="preserve">En consecuencia, la Corte ordenó al Consejo Superior de la Judicatura expedir a los accionantes la tarjeta profesional de abogado con carácter definitivo y sin la exigencia de aprobación del Examen de Estado previsto en la Ley 1905 de 2018. </w:t>
      </w:r>
      <w:r w:rsidRPr="00A7405A">
        <w:rPr>
          <w:rFonts w:ascii="Verdana" w:hAnsi="Verdana" w:cs="Arial"/>
          <w:i/>
          <w:iCs/>
          <w:color w:val="000000" w:themeColor="text1"/>
          <w:sz w:val="20"/>
          <w:szCs w:val="20"/>
          <w:u w:val="single"/>
          <w:lang w:val="es-MX"/>
        </w:rPr>
        <w:t>La Corte otorgó efectos inter pares a esta decisión, y en virtud de ellos resolvió que estas mismas órdenes deberán cumplirse frente a: (i) todas aquellas personas graduadas del pregrado en Derecho y destinatarias de la Ley 1905 de 2018 a quienes el Consejo Superior de la Judicatura hubiere expedido tarjeta profesional provisional y que presentaron la solicitud de tarjeta antes de las cero horas (0:00) del 26 de diciembre de 2023, fecha en la cual dicha entidad abrió las inscripciones para la primera aplicación del Examen de Estado,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2A64588F" w14:textId="77777777" w:rsidR="00756929" w:rsidRPr="00A7405A" w:rsidRDefault="00756929" w:rsidP="00756929">
      <w:pPr>
        <w:spacing w:after="0" w:line="240" w:lineRule="auto"/>
        <w:ind w:left="709" w:right="709" w:firstLine="709"/>
        <w:jc w:val="both"/>
        <w:rPr>
          <w:rFonts w:ascii="Verdana" w:hAnsi="Verdana" w:cs="Arial"/>
          <w:color w:val="000000" w:themeColor="text1"/>
          <w:sz w:val="20"/>
          <w:szCs w:val="20"/>
        </w:rPr>
      </w:pPr>
      <w:r w:rsidRPr="00A7405A">
        <w:rPr>
          <w:rFonts w:ascii="Verdana" w:hAnsi="Verdana" w:cs="Arial"/>
          <w:color w:val="000000" w:themeColor="text1"/>
          <w:sz w:val="20"/>
          <w:szCs w:val="20"/>
        </w:rPr>
        <w:t> </w:t>
      </w:r>
    </w:p>
    <w:p w14:paraId="66A62A82"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265.   </w:t>
      </w:r>
      <w:r w:rsidRPr="00A7405A">
        <w:rPr>
          <w:rFonts w:ascii="Verdana" w:hAnsi="Verdana" w:cs="Arial"/>
          <w:color w:val="000000" w:themeColor="text1"/>
          <w:sz w:val="20"/>
          <w:szCs w:val="20"/>
        </w:rPr>
        <w:t xml:space="preserve">La Corte también ordenó al Consejo Superior de la Judicatura que, si al 30 de mayo de 2024 no se ha llevado a cabo la aplicación de la primera prueba del Examen de Estado, deberá expedir la tarjeta </w:t>
      </w:r>
      <w:r w:rsidRPr="00A7405A">
        <w:rPr>
          <w:rFonts w:ascii="Verdana" w:hAnsi="Verdana" w:cs="Arial"/>
          <w:color w:val="000000" w:themeColor="text1"/>
          <w:sz w:val="20"/>
          <w:szCs w:val="20"/>
        </w:rPr>
        <w:lastRenderedPageBreak/>
        <w:t xml:space="preserve">profesional definitiva a todas las personas admitidas como inscritas al examen, siempre y cuando satisfagan los demás requisitos vigentes para la expedición de la tarjeta profesional. Esto, en el evento en que la no realización del examen sea atribuible a las entidades a cargo de su aplicación. </w:t>
      </w:r>
      <w:r>
        <w:rPr>
          <w:rFonts w:ascii="Verdana" w:hAnsi="Verdana" w:cs="Arial"/>
          <w:color w:val="000000" w:themeColor="text1"/>
          <w:sz w:val="20"/>
          <w:szCs w:val="20"/>
        </w:rPr>
        <w:t>[…]</w:t>
      </w:r>
      <w:r w:rsidRPr="00A7405A">
        <w:rPr>
          <w:rFonts w:ascii="Verdana" w:hAnsi="Verdana" w:cs="Arial"/>
          <w:color w:val="000000" w:themeColor="text1"/>
          <w:sz w:val="20"/>
          <w:szCs w:val="20"/>
        </w:rPr>
        <w:t>”</w:t>
      </w:r>
      <w:r>
        <w:rPr>
          <w:rStyle w:val="Refdenotaalpie"/>
          <w:rFonts w:ascii="Verdana" w:hAnsi="Verdana" w:cs="Arial"/>
          <w:color w:val="000000" w:themeColor="text1"/>
          <w:sz w:val="20"/>
          <w:szCs w:val="20"/>
        </w:rPr>
        <w:footnoteReference w:id="8"/>
      </w:r>
      <w:r w:rsidRPr="00A7405A">
        <w:rPr>
          <w:rFonts w:ascii="Verdana" w:hAnsi="Verdana" w:cs="Arial"/>
          <w:color w:val="000000" w:themeColor="text1"/>
          <w:sz w:val="20"/>
          <w:szCs w:val="20"/>
        </w:rPr>
        <w:t>.</w:t>
      </w:r>
      <w:r>
        <w:rPr>
          <w:rFonts w:ascii="Verdana" w:hAnsi="Verdana" w:cs="Arial"/>
          <w:color w:val="000000" w:themeColor="text1"/>
          <w:sz w:val="20"/>
          <w:szCs w:val="20"/>
        </w:rPr>
        <w:t xml:space="preserve"> [Énfasis fuera de texto].</w:t>
      </w:r>
    </w:p>
    <w:p w14:paraId="0FB99EC9" w14:textId="77777777" w:rsidR="00756929" w:rsidRPr="00A7405A"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De acuerdo con lo anterior, ante la falta de diligencia del Consejo Superior de la Judicatura en la implementación del </w:t>
      </w:r>
      <w:r w:rsidRPr="00A7405A">
        <w:rPr>
          <w:rFonts w:ascii="Verdana" w:hAnsi="Verdana" w:cs="Arial"/>
          <w:i/>
          <w:iCs/>
          <w:color w:val="000000" w:themeColor="text1"/>
        </w:rPr>
        <w:t xml:space="preserve">Examen del Estado </w:t>
      </w:r>
      <w:r w:rsidRPr="00A7405A">
        <w:rPr>
          <w:rFonts w:ascii="Verdana" w:hAnsi="Verdana" w:cs="Arial"/>
          <w:color w:val="000000" w:themeColor="text1"/>
        </w:rPr>
        <w:t>creado por la Ley 1905 de 2018, la Corte Constitucional no solo tomó la decisión de inaplicar el artículo 11 transitorio del Acuerdo PCSJA24-12162 de 9 de abril de 2024, sino que dispuso la expedición de la tarjeta profesional definitiva para todos aquellos destinatarios de la referida norma, que por la negligencia de la referida autoridad no han podido cumplir con el referido requisito, atribuyéndole efectos inter pares a esta decisión.</w:t>
      </w:r>
    </w:p>
    <w:p w14:paraId="5F0D4B87" w14:textId="77777777" w:rsidR="00756929"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Los efectos de esta decisión necesariamente se proyectan a la cuestión que aquí se estudia, en la medida en que, si bien como se estableció </w:t>
      </w:r>
      <w:r w:rsidRPr="00A7405A">
        <w:rPr>
          <w:rFonts w:ascii="Verdana" w:hAnsi="Verdana" w:cs="Arial"/>
          <w:i/>
          <w:iCs/>
          <w:color w:val="000000" w:themeColor="text1"/>
        </w:rPr>
        <w:t>supra,</w:t>
      </w:r>
      <w:r w:rsidRPr="00A7405A">
        <w:rPr>
          <w:rFonts w:ascii="Verdana" w:hAnsi="Verdana" w:cs="Arial"/>
          <w:color w:val="000000" w:themeColor="text1"/>
        </w:rPr>
        <w:t xml:space="preserve"> el </w:t>
      </w:r>
      <w:r>
        <w:rPr>
          <w:rFonts w:ascii="Verdana" w:hAnsi="Verdana" w:cs="Arial"/>
          <w:color w:val="000000" w:themeColor="text1"/>
        </w:rPr>
        <w:t xml:space="preserve">examen </w:t>
      </w:r>
      <w:r w:rsidRPr="00A7405A">
        <w:rPr>
          <w:rFonts w:ascii="Verdana" w:hAnsi="Verdana" w:cs="Arial"/>
          <w:color w:val="000000" w:themeColor="text1"/>
        </w:rPr>
        <w:t>establecido por la Ley 1905 de 2018 está destinado a ser un</w:t>
      </w:r>
      <w:r>
        <w:rPr>
          <w:rFonts w:ascii="Verdana" w:hAnsi="Verdana" w:cs="Arial"/>
          <w:color w:val="000000" w:themeColor="text1"/>
        </w:rPr>
        <w:t xml:space="preserve"> requisito necesario</w:t>
      </w:r>
      <w:r w:rsidRPr="00A7405A">
        <w:rPr>
          <w:rFonts w:ascii="Verdana" w:hAnsi="Verdana" w:cs="Arial"/>
          <w:color w:val="000000" w:themeColor="text1"/>
        </w:rPr>
        <w:t xml:space="preserve"> para el ejercicio de la abogacía, este deviene en inaplicable si la autoridad obligada a implementar el referido </w:t>
      </w:r>
      <w:r w:rsidRPr="00A7405A">
        <w:rPr>
          <w:rFonts w:ascii="Verdana" w:hAnsi="Verdana" w:cs="Arial"/>
          <w:i/>
          <w:iCs/>
          <w:color w:val="000000" w:themeColor="text1"/>
        </w:rPr>
        <w:t>Examen de Estado</w:t>
      </w:r>
      <w:r w:rsidRPr="00A7405A">
        <w:rPr>
          <w:rFonts w:ascii="Verdana" w:hAnsi="Verdana" w:cs="Arial"/>
          <w:color w:val="000000" w:themeColor="text1"/>
        </w:rPr>
        <w:t xml:space="preserve"> no ha permitido su cumplimiento, afectando con ello derechos fundamentales de los llamados a cumplir con la referida normativa.  </w:t>
      </w:r>
    </w:p>
    <w:p w14:paraId="1C1750F6" w14:textId="77777777" w:rsidR="00756929" w:rsidRDefault="00756929" w:rsidP="00756929">
      <w:pPr>
        <w:spacing w:before="120" w:after="0" w:line="276" w:lineRule="auto"/>
        <w:jc w:val="both"/>
        <w:rPr>
          <w:rFonts w:ascii="Verdana" w:hAnsi="Verdana" w:cs="Arial"/>
          <w:color w:val="000000" w:themeColor="text1"/>
        </w:rPr>
      </w:pPr>
      <w:r>
        <w:rPr>
          <w:rFonts w:ascii="Verdana" w:hAnsi="Verdana" w:cs="Arial"/>
          <w:color w:val="000000" w:themeColor="text1"/>
        </w:rPr>
        <w:tab/>
        <w:t xml:space="preserve">En consideración a lo anterior, está Subdirección estima que, el requisito establecido por la Ley 1905 de 2018, no resulta exigible para celebración de contratos de prestación de servicios profesionales que impliquen el ejercicio de la abogacía, con aquellas personas beneficiadas por los efectos </w:t>
      </w:r>
      <w:r w:rsidRPr="00A7405A">
        <w:rPr>
          <w:rFonts w:ascii="Verdana" w:hAnsi="Verdana" w:cs="Arial"/>
          <w:i/>
          <w:iCs/>
          <w:color w:val="000000" w:themeColor="text1"/>
        </w:rPr>
        <w:t>inter pares</w:t>
      </w:r>
      <w:r>
        <w:rPr>
          <w:rFonts w:ascii="Verdana" w:hAnsi="Verdana" w:cs="Arial"/>
          <w:color w:val="000000" w:themeColor="text1"/>
        </w:rPr>
        <w:t xml:space="preserve"> de la orden contenida en el ordinal sexto de la Sentencia SU-128 de 18 de abril de 2024 de la Corte Constitucional. En ese orden, el requisito no resulta aplicable </w:t>
      </w:r>
      <w:r w:rsidRPr="009F7081">
        <w:rPr>
          <w:rFonts w:ascii="Verdana" w:hAnsi="Verdana" w:cs="Arial"/>
          <w:color w:val="000000" w:themeColor="text1"/>
        </w:rPr>
        <w:t> </w:t>
      </w:r>
      <w:r w:rsidRPr="00A7405A">
        <w:rPr>
          <w:rFonts w:ascii="Verdana" w:hAnsi="Verdana" w:cs="Arial"/>
          <w:i/>
          <w:iCs/>
          <w:color w:val="000000" w:themeColor="text1"/>
        </w:rPr>
        <w:t>“(i)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r>
        <w:rPr>
          <w:rStyle w:val="Refdenotaalpie"/>
          <w:rFonts w:ascii="Verdana" w:hAnsi="Verdana" w:cs="Arial"/>
          <w:i/>
          <w:iCs/>
          <w:color w:val="000000" w:themeColor="text1"/>
        </w:rPr>
        <w:footnoteReference w:id="9"/>
      </w:r>
      <w:r w:rsidRPr="009F7081">
        <w:rPr>
          <w:rFonts w:ascii="Verdana" w:hAnsi="Verdana" w:cs="Arial"/>
          <w:color w:val="000000" w:themeColor="text1"/>
        </w:rPr>
        <w:t>.</w:t>
      </w:r>
    </w:p>
    <w:p w14:paraId="4589BBD1" w14:textId="77777777" w:rsidR="00756929" w:rsidRDefault="00756929" w:rsidP="00756929">
      <w:pPr>
        <w:spacing w:before="120" w:after="0" w:line="276" w:lineRule="auto"/>
        <w:jc w:val="both"/>
        <w:rPr>
          <w:rFonts w:ascii="Verdana" w:hAnsi="Verdana" w:cs="Arial"/>
          <w:color w:val="000000" w:themeColor="text1"/>
          <w:lang w:val="es-ES"/>
        </w:rPr>
      </w:pPr>
      <w:r>
        <w:rPr>
          <w:rFonts w:ascii="Verdana" w:hAnsi="Verdana" w:cs="Arial"/>
          <w:color w:val="000000" w:themeColor="text1"/>
        </w:rPr>
        <w:lastRenderedPageBreak/>
        <w:tab/>
        <w:t xml:space="preserve">Con todo, es importante mencionar que, de acuerdo con el artículo </w:t>
      </w:r>
      <w:r w:rsidRPr="00B34BAB">
        <w:rPr>
          <w:rFonts w:ascii="Verdana" w:hAnsi="Verdana" w:cs="Arial"/>
          <w:color w:val="000000" w:themeColor="text1"/>
          <w:lang w:val="es-ES"/>
        </w:rPr>
        <w:t>2.2.1.2.1.4.9</w:t>
      </w:r>
      <w:r>
        <w:rPr>
          <w:rFonts w:ascii="Verdana" w:hAnsi="Verdana" w:cs="Arial"/>
          <w:color w:val="000000" w:themeColor="text1"/>
          <w:lang w:val="es-ES"/>
        </w:rPr>
        <w:t xml:space="preserve">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si además de los documentos referidos es requerido algún otro requisito. </w:t>
      </w:r>
    </w:p>
    <w:p w14:paraId="4FF72195" w14:textId="77777777" w:rsidR="00756929" w:rsidRPr="000C0900" w:rsidRDefault="00756929" w:rsidP="00756929">
      <w:pPr>
        <w:spacing w:before="120" w:after="0" w:line="276" w:lineRule="auto"/>
        <w:jc w:val="both"/>
        <w:rPr>
          <w:rFonts w:ascii="Verdana" w:hAnsi="Verdana" w:cs="Arial"/>
          <w:color w:val="000000" w:themeColor="text1"/>
          <w:lang w:val="es-ES"/>
        </w:rPr>
      </w:pPr>
      <w:r>
        <w:rPr>
          <w:rFonts w:ascii="Verdana" w:hAnsi="Verdana" w:cs="Arial"/>
          <w:color w:val="000000" w:themeColor="text1"/>
          <w:lang w:val="es-ES"/>
        </w:rPr>
        <w:t xml:space="preserve">Finalmente, </w:t>
      </w:r>
      <w:r>
        <w:rPr>
          <w:rFonts w:ascii="Verdana" w:hAnsi="Verdana" w:cs="Arial"/>
          <w:color w:val="000000" w:themeColor="text1"/>
        </w:rPr>
        <w:t>l</w:t>
      </w:r>
      <w:r w:rsidRPr="00E91A38">
        <w:rPr>
          <w:rFonts w:ascii="Verdana" w:hAnsi="Verdana" w:cs="Arial"/>
          <w:color w:val="000000" w:themeColor="text1"/>
        </w:rPr>
        <w:t>a exigencia de la tarjeta profesional —definitiva o provisional— en los contratos de prestación de servicios con abogados dependerá del tipo de funciones a desarrollar y del vínculo jurídico con la entidad estatal. Cuando el contrato implique el ejercicio de funciones propias de la abogacía, se requerirá acreditar la habilitación legal plena, salvo que el abogado esté amparado por los efectos de la Sentencia SU-128 de 2024, caso en el cual no podrá exigirse la aprobación del examen de idoneidad como requisito. En cambio, si las actividades son meramente administrativas o de apoyo a la gestión, la tarjeta profesional no será exigible. En todo caso, la entidad contratante debe verificar que el abogado cumpla con los requisitos de ley y posea la idoneidad necesaria para la correcta ejecución del contrato.</w:t>
      </w:r>
    </w:p>
    <w:p w14:paraId="56D0371B" w14:textId="77777777" w:rsidR="00756929" w:rsidRDefault="00756929" w:rsidP="00756929">
      <w:pPr>
        <w:spacing w:after="0" w:line="276" w:lineRule="auto"/>
        <w:jc w:val="both"/>
        <w:rPr>
          <w:rFonts w:ascii="Verdana" w:eastAsia="Century Gothic" w:hAnsi="Verdana" w:cs="Century Gothic"/>
          <w:b/>
          <w:bCs/>
          <w:lang w:val="es-ES"/>
        </w:rPr>
      </w:pPr>
    </w:p>
    <w:p w14:paraId="0CDEE8D1" w14:textId="77777777" w:rsidR="00756929" w:rsidRPr="00593A5F" w:rsidRDefault="00756929" w:rsidP="00756929">
      <w:pPr>
        <w:spacing w:after="0" w:line="276" w:lineRule="auto"/>
        <w:jc w:val="both"/>
        <w:rPr>
          <w:rFonts w:ascii="Verdana" w:eastAsia="Calibri" w:hAnsi="Verdana" w:cs="Arial"/>
          <w:color w:val="7030A0"/>
          <w:lang w:val="es-ES"/>
        </w:rPr>
      </w:pPr>
    </w:p>
    <w:p w14:paraId="5E9663E1" w14:textId="77777777" w:rsidR="00756929" w:rsidRPr="00B96799" w:rsidRDefault="00756929" w:rsidP="0075692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A82934B" w14:textId="77777777" w:rsidR="00756929" w:rsidRPr="00593A5F" w:rsidRDefault="00756929" w:rsidP="00756929">
      <w:pPr>
        <w:spacing w:after="0" w:line="276" w:lineRule="auto"/>
        <w:jc w:val="both"/>
        <w:rPr>
          <w:rFonts w:ascii="Verdana" w:eastAsia="Calibri" w:hAnsi="Verdana" w:cs="Arial"/>
          <w:color w:val="7030A0"/>
          <w:lang w:val="es-ES"/>
        </w:rPr>
      </w:pPr>
    </w:p>
    <w:p w14:paraId="0E5974F2" w14:textId="77777777" w:rsidR="00756929" w:rsidRPr="00593A5F" w:rsidRDefault="00756929" w:rsidP="00756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8E83372" w14:textId="77777777" w:rsidR="00756929" w:rsidRPr="00593A5F" w:rsidRDefault="00756929" w:rsidP="0075692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6929" w:rsidRPr="00593A5F" w14:paraId="6F9C21E6" w14:textId="77777777">
        <w:trPr>
          <w:trHeight w:val="870"/>
        </w:trPr>
        <w:tc>
          <w:tcPr>
            <w:tcW w:w="8647" w:type="dxa"/>
          </w:tcPr>
          <w:p w14:paraId="1F0A537D"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Ley 80 de 1993. Artículos 25 y 32, numeral 3°. </w:t>
            </w:r>
          </w:p>
          <w:p w14:paraId="6A31A94A"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Ley 190 de 1995. Artículo 1</w:t>
            </w:r>
          </w:p>
          <w:p w14:paraId="0E3875A5"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Ley 270 de 1996. Artículo 85.</w:t>
            </w:r>
          </w:p>
          <w:p w14:paraId="2705F4CA"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Ley 1150 de 2007. Artículo 2, numeral 4°, literal h) </w:t>
            </w:r>
          </w:p>
          <w:p w14:paraId="2A8CA58D"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Ley 1905 de 2018. Artículos 1 y 2.</w:t>
            </w:r>
          </w:p>
          <w:p w14:paraId="70B7E697"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Decreto 196 de 1971. Artículos 1, 2, 4, 18 y 19. </w:t>
            </w:r>
          </w:p>
          <w:p w14:paraId="5A161CED" w14:textId="77777777" w:rsidR="00756929" w:rsidRPr="00A7405A" w:rsidRDefault="00756929" w:rsidP="00756929">
            <w:pPr>
              <w:pStyle w:val="Textonotapie"/>
              <w:numPr>
                <w:ilvl w:val="0"/>
                <w:numId w:val="17"/>
              </w:numPr>
              <w:spacing w:after="120"/>
              <w:ind w:left="7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t xml:space="preserve">El Decreto 1082 de 2015. Artículo 2.2.1.2.1.4.9. </w:t>
            </w:r>
          </w:p>
          <w:p w14:paraId="1D60837F" w14:textId="77777777" w:rsidR="00756929" w:rsidRPr="00205DD4"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CONSEJO SUPERIOR DE LA JUDICATURA. </w:t>
            </w:r>
            <w:r w:rsidRPr="007F4CB0">
              <w:rPr>
                <w:rFonts w:ascii="Verdana" w:hAnsi="Verdana" w:cs="Arial"/>
                <w:color w:val="000000" w:themeColor="text1"/>
              </w:rPr>
              <w:t>Acuerdo PSCJA24-12162 del 9 de abril de 2024.</w:t>
            </w:r>
          </w:p>
          <w:p w14:paraId="1AA158FC" w14:textId="77777777" w:rsidR="00756929" w:rsidRPr="00A7405A" w:rsidRDefault="00756929" w:rsidP="00756929">
            <w:pPr>
              <w:pStyle w:val="Textonotapie"/>
              <w:numPr>
                <w:ilvl w:val="0"/>
                <w:numId w:val="17"/>
              </w:numPr>
              <w:spacing w:after="120"/>
              <w:ind w:left="7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lastRenderedPageBreak/>
              <w:t>CONSEJO DE ESTADO. Sección Tercera. Subsección C. Sentencia de Unificación del 2 de diciembre de 2013. Exp. 41.719. C.P. Jaime Orlando Santofimio Gamboa.</w:t>
            </w:r>
          </w:p>
          <w:p w14:paraId="3ADF77B7" w14:textId="77777777" w:rsidR="00756929" w:rsidRPr="00A7405A" w:rsidRDefault="00756929" w:rsidP="00756929">
            <w:pPr>
              <w:pStyle w:val="Prrafodelista"/>
              <w:numPr>
                <w:ilvl w:val="0"/>
                <w:numId w:val="17"/>
              </w:numPr>
              <w:shd w:val="clear" w:color="auto" w:fill="FFFFFF"/>
              <w:spacing w:after="120" w:line="259" w:lineRule="auto"/>
              <w:ind w:left="720"/>
              <w:contextualSpacing w:val="0"/>
              <w:jc w:val="both"/>
              <w:rPr>
                <w:rFonts w:ascii="Verdana" w:hAnsi="Verdana" w:cs="Arial"/>
                <w:color w:val="000000" w:themeColor="text1"/>
              </w:rPr>
            </w:pPr>
            <w:r w:rsidRPr="00A7405A">
              <w:rPr>
                <w:rFonts w:ascii="Verdana" w:hAnsi="Verdana" w:cs="Arial"/>
                <w:color w:val="000000" w:themeColor="text1"/>
              </w:rPr>
              <w:t>CORTE CONSTITUCIONAL. Sentencia C – 697 del 14 de junio de 2000. Expediente D-2662. M</w:t>
            </w:r>
            <w:r>
              <w:rPr>
                <w:rFonts w:ascii="Verdana" w:hAnsi="Verdana" w:cs="Arial"/>
                <w:color w:val="000000" w:themeColor="text1"/>
              </w:rPr>
              <w:t xml:space="preserve">. </w:t>
            </w:r>
            <w:r w:rsidRPr="00A7405A">
              <w:rPr>
                <w:rFonts w:ascii="Verdana" w:hAnsi="Verdana" w:cs="Arial"/>
                <w:color w:val="000000" w:themeColor="text1"/>
              </w:rPr>
              <w:t>P</w:t>
            </w:r>
            <w:r>
              <w:rPr>
                <w:rFonts w:ascii="Verdana" w:hAnsi="Verdana" w:cs="Arial"/>
                <w:color w:val="000000" w:themeColor="text1"/>
              </w:rPr>
              <w:t>.</w:t>
            </w:r>
            <w:r w:rsidRPr="00A7405A">
              <w:rPr>
                <w:rFonts w:ascii="Verdana" w:hAnsi="Verdana" w:cs="Arial"/>
                <w:color w:val="000000" w:themeColor="text1"/>
              </w:rPr>
              <w:t xml:space="preserve"> Eduardo Cifuentes Muñoz.</w:t>
            </w:r>
          </w:p>
          <w:p w14:paraId="2A007BDA" w14:textId="77777777" w:rsidR="00756929" w:rsidRPr="000C0900" w:rsidRDefault="00756929" w:rsidP="00756929">
            <w:pPr>
              <w:pStyle w:val="Prrafodelista"/>
              <w:widowControl w:val="0"/>
              <w:numPr>
                <w:ilvl w:val="0"/>
                <w:numId w:val="17"/>
              </w:numPr>
              <w:autoSpaceDE w:val="0"/>
              <w:autoSpaceDN w:val="0"/>
              <w:spacing w:after="120" w:line="276" w:lineRule="auto"/>
              <w:jc w:val="both"/>
              <w:rPr>
                <w:rFonts w:ascii="Verdana" w:hAnsi="Verdana" w:cs="Arial"/>
              </w:rPr>
            </w:pPr>
            <w:r w:rsidRPr="00A7405A">
              <w:rPr>
                <w:rFonts w:ascii="Verdana" w:hAnsi="Verdana"/>
              </w:rPr>
              <w:t>CORTE CONSTITUCIONAL, Sentencia SU-128 del 18 de abril de 2024.  M.P. Natalia Ángel Cabo.</w:t>
            </w:r>
            <w:r>
              <w:rPr>
                <w:rFonts w:ascii="Verdana" w:hAnsi="Verdana"/>
              </w:rPr>
              <w:t xml:space="preserve"> </w:t>
            </w:r>
            <w:r w:rsidRPr="00205DD4">
              <w:rPr>
                <w:rFonts w:ascii="Verdana" w:hAnsi="Verdana" w:cs="Arial"/>
              </w:rPr>
              <w:t xml:space="preserve"> </w:t>
            </w:r>
          </w:p>
        </w:tc>
      </w:tr>
    </w:tbl>
    <w:p w14:paraId="53CD6E3D" w14:textId="77777777" w:rsidR="00756929" w:rsidRPr="00593A5F" w:rsidRDefault="00756929" w:rsidP="00756929">
      <w:pPr>
        <w:widowControl w:val="0"/>
        <w:autoSpaceDE w:val="0"/>
        <w:autoSpaceDN w:val="0"/>
        <w:spacing w:after="0" w:line="276" w:lineRule="auto"/>
        <w:jc w:val="both"/>
        <w:rPr>
          <w:rFonts w:ascii="Verdana" w:hAnsi="Verdana" w:cs="Arial"/>
        </w:rPr>
      </w:pPr>
    </w:p>
    <w:p w14:paraId="0B0AF367" w14:textId="77777777" w:rsidR="00756929" w:rsidRDefault="00756929" w:rsidP="00756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E2876B5" w14:textId="77777777" w:rsidR="00756929" w:rsidRPr="000C0900" w:rsidRDefault="00756929" w:rsidP="0075692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5ED1C0" w14:textId="77777777" w:rsidR="00756929" w:rsidRPr="000C0900" w:rsidRDefault="00756929" w:rsidP="00D90E32">
      <w:pPr>
        <w:widowControl w:val="0"/>
        <w:autoSpaceDE w:val="0"/>
        <w:autoSpaceDN w:val="0"/>
        <w:spacing w:after="0" w:line="240" w:lineRule="auto"/>
        <w:jc w:val="both"/>
        <w:rPr>
          <w:rStyle w:val="normaltextrun"/>
          <w:rFonts w:ascii="Verdana" w:eastAsia="Calibri" w:hAnsi="Verdana" w:cs="Times New Roman"/>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C-757 de 4 diciembre de 2024, C-938 de 27 de diciembre de 2024, C-010 de 14 de febrero de 2025 y C-186 de 4 de marzo de 2025.</w:t>
      </w:r>
      <w:r w:rsidRPr="000C0900">
        <w:rPr>
          <w:rFonts w:ascii="Verdana" w:eastAsia="Calibri" w:hAnsi="Verdana" w:cs="Arial"/>
          <w:shd w:val="clear" w:color="auto" w:fill="FFFFFF"/>
        </w:rPr>
        <w:t xml:space="preserve"> </w:t>
      </w:r>
      <w:r w:rsidRPr="00472251">
        <w:rPr>
          <w:rFonts w:ascii="Verdana" w:eastAsia="Calibri"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472251">
        <w:rPr>
          <w:rFonts w:ascii="Verdana" w:eastAsia="Calibri" w:hAnsi="Verdana" w:cs="Times New Roman"/>
        </w:rPr>
        <w:t xml:space="preserve">, accede a través del siguiente enlace: </w:t>
      </w:r>
      <w:hyperlink r:id="rId13" w:history="1">
        <w:r w:rsidRPr="00472251">
          <w:rPr>
            <w:rFonts w:ascii="Verdana" w:eastAsia="Calibri" w:hAnsi="Verdana" w:cs="Arial"/>
            <w:color w:val="0000FF"/>
            <w:u w:val="single"/>
            <w:shd w:val="clear" w:color="auto" w:fill="FFFFFF"/>
            <w:lang w:val="es-ES"/>
          </w:rPr>
          <w:t>https://relatoria.colombiacompra.gov.co/busqueda/conceptos</w:t>
        </w:r>
      </w:hyperlink>
      <w:r w:rsidRPr="00472251">
        <w:rPr>
          <w:rFonts w:ascii="Verdana" w:eastAsia="Calibri" w:hAnsi="Verdana" w:cs="Arial"/>
          <w:shd w:val="clear" w:color="auto" w:fill="FFFFFF"/>
        </w:rPr>
        <w:t xml:space="preserve"> </w:t>
      </w:r>
    </w:p>
    <w:p w14:paraId="1DA17DFB" w14:textId="77777777" w:rsidR="00756929" w:rsidRDefault="00756929" w:rsidP="00D90E32">
      <w:pPr>
        <w:widowControl w:val="0"/>
        <w:autoSpaceDE w:val="0"/>
        <w:autoSpaceDN w:val="0"/>
        <w:spacing w:after="0" w:line="240" w:lineRule="auto"/>
        <w:jc w:val="both"/>
        <w:rPr>
          <w:rStyle w:val="normaltextrun"/>
          <w:rFonts w:ascii="Verdana" w:hAnsi="Verdana" w:cs="Arial"/>
          <w:color w:val="FF0000"/>
          <w:shd w:val="clear" w:color="auto" w:fill="FFFFFF"/>
          <w:lang w:val="es-ES"/>
        </w:rPr>
      </w:pPr>
    </w:p>
    <w:p w14:paraId="576AC7BF" w14:textId="77777777" w:rsidR="00756929" w:rsidRDefault="00756929" w:rsidP="00D90E32">
      <w:pPr>
        <w:spacing w:after="0" w:line="240" w:lineRule="auto"/>
        <w:jc w:val="both"/>
        <w:rPr>
          <w:rFonts w:ascii="Verdana" w:hAnsi="Verdana" w:cs="Arial"/>
          <w:color w:val="000000" w:themeColor="text1"/>
          <w:u w:val="single"/>
          <w:shd w:val="clear" w:color="auto" w:fill="FFFFFF"/>
        </w:rPr>
      </w:pPr>
      <w:r w:rsidRPr="0053626B">
        <w:rPr>
          <w:rFonts w:ascii="Verdana" w:hAnsi="Verdana" w:cs="Arial"/>
          <w:color w:val="000000" w:themeColor="text1"/>
          <w:shd w:val="clear" w:color="auto" w:fill="FFFFFF"/>
        </w:rPr>
        <w:t>También le contamos que ya se encuentra disponible la </w:t>
      </w:r>
      <w:r w:rsidRPr="0053626B">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3626B">
        <w:rPr>
          <w:rFonts w:ascii="Verdana" w:hAnsi="Verdana" w:cs="Arial"/>
          <w:color w:val="000000" w:themeColor="text1"/>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53626B">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53626B">
        <w:rPr>
          <w:rFonts w:ascii="Verdana" w:hAnsi="Verdana" w:cs="Arial"/>
          <w:color w:val="000000" w:themeColor="text1"/>
          <w:u w:val="single"/>
          <w:shd w:val="clear" w:color="auto" w:fill="FFFFFF"/>
        </w:rPr>
        <w:t>"</w:t>
      </w:r>
    </w:p>
    <w:p w14:paraId="367DC1C1" w14:textId="77777777" w:rsidR="00756929" w:rsidRPr="0053626B" w:rsidRDefault="00756929" w:rsidP="00756929">
      <w:pPr>
        <w:spacing w:after="0" w:line="240" w:lineRule="auto"/>
        <w:jc w:val="both"/>
        <w:rPr>
          <w:rFonts w:ascii="Verdana" w:hAnsi="Verdana" w:cs="Arial"/>
          <w:color w:val="000000" w:themeColor="text1"/>
          <w:shd w:val="clear" w:color="auto" w:fill="FFFFFF"/>
        </w:rPr>
      </w:pPr>
    </w:p>
    <w:p w14:paraId="117EDB03"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AA4CA05" w14:textId="77777777" w:rsidR="00756929" w:rsidRDefault="00756929" w:rsidP="00756929">
      <w:pPr>
        <w:spacing w:after="0" w:line="240" w:lineRule="auto"/>
        <w:jc w:val="both"/>
        <w:rPr>
          <w:rFonts w:ascii="Verdana" w:hAnsi="Verdana"/>
        </w:rPr>
      </w:pPr>
    </w:p>
    <w:p w14:paraId="0005015D" w14:textId="77777777" w:rsidR="00EF7430" w:rsidRPr="003E2460" w:rsidRDefault="00EF7430" w:rsidP="00756929">
      <w:pPr>
        <w:spacing w:after="0" w:line="240" w:lineRule="auto"/>
        <w:jc w:val="both"/>
        <w:rPr>
          <w:rFonts w:ascii="Verdana" w:hAnsi="Verdana"/>
        </w:rPr>
      </w:pPr>
    </w:p>
    <w:p w14:paraId="2EE70A0B" w14:textId="77777777" w:rsidR="00756929" w:rsidRPr="003E2460" w:rsidRDefault="00756929" w:rsidP="00756929">
      <w:pPr>
        <w:spacing w:after="0" w:line="240" w:lineRule="auto"/>
        <w:jc w:val="both"/>
        <w:rPr>
          <w:rFonts w:ascii="Verdana" w:hAnsi="Verdana"/>
        </w:rPr>
      </w:pPr>
      <w:r w:rsidRPr="003E2460">
        <w:rPr>
          <w:rFonts w:ascii="Verdana" w:hAnsi="Verdana"/>
        </w:rPr>
        <w:lastRenderedPageBreak/>
        <w:t xml:space="preserve">Twitter: </w:t>
      </w:r>
      <w:r w:rsidRPr="00EF7430">
        <w:rPr>
          <w:rStyle w:val="Hipervnculo"/>
          <w:rFonts w:ascii="Verdana" w:hAnsi="Verdana"/>
        </w:rPr>
        <w:t>@colombiacompra</w:t>
      </w:r>
      <w:r w:rsidRPr="00EF7430">
        <w:rPr>
          <w:rFonts w:ascii="Verdana" w:hAnsi="Verdana"/>
          <w:color w:val="0000FF"/>
        </w:rPr>
        <w:t xml:space="preserve"> </w:t>
      </w:r>
    </w:p>
    <w:p w14:paraId="707914DF"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Facebook: </w:t>
      </w:r>
      <w:r w:rsidRPr="00EF7430">
        <w:rPr>
          <w:rStyle w:val="Hipervnculo"/>
          <w:rFonts w:ascii="Verdana" w:hAnsi="Verdana"/>
        </w:rPr>
        <w:t>ColombiaCompraEficiente</w:t>
      </w:r>
    </w:p>
    <w:p w14:paraId="702296C9"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w:t>
      </w:r>
      <w:r w:rsidRPr="00EF7430">
        <w:rPr>
          <w:rStyle w:val="Hipervnculo"/>
          <w:rFonts w:ascii="Verdana" w:hAnsi="Verdana"/>
        </w:rPr>
        <w:t>gencia Nacional de Contratación Pública - Colombia Compra Eficiente</w:t>
      </w:r>
      <w:r w:rsidRPr="00EF7430">
        <w:rPr>
          <w:rStyle w:val="Hipervnculo"/>
        </w:rPr>
        <w:t xml:space="preserve"> </w:t>
      </w:r>
      <w:r w:rsidRPr="003E2460">
        <w:rPr>
          <w:rFonts w:ascii="Verdana" w:hAnsi="Verdana"/>
        </w:rPr>
        <w:t xml:space="preserve">Instagram: </w:t>
      </w:r>
      <w:r w:rsidRPr="00EF7430">
        <w:rPr>
          <w:rStyle w:val="Hipervnculo"/>
          <w:rFonts w:ascii="Verdana" w:hAnsi="Verdana"/>
        </w:rPr>
        <w:t>@colombiacompraeficiente_cce</w:t>
      </w:r>
    </w:p>
    <w:p w14:paraId="79FF8CE2" w14:textId="77777777" w:rsidR="00756929" w:rsidRPr="00593A5F" w:rsidRDefault="00756929" w:rsidP="00756929">
      <w:pPr>
        <w:widowControl w:val="0"/>
        <w:autoSpaceDE w:val="0"/>
        <w:autoSpaceDN w:val="0"/>
        <w:spacing w:after="0" w:line="276" w:lineRule="auto"/>
        <w:jc w:val="both"/>
        <w:rPr>
          <w:rFonts w:ascii="Verdana" w:hAnsi="Verdana" w:cs="Arial"/>
        </w:rPr>
      </w:pPr>
    </w:p>
    <w:p w14:paraId="5BCCC1A5" w14:textId="77777777" w:rsidR="00756929" w:rsidRPr="00593A5F" w:rsidRDefault="00756929" w:rsidP="007569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92DC768" w14:textId="77777777" w:rsidR="00756929" w:rsidRPr="00593A5F" w:rsidRDefault="00756929" w:rsidP="00756929">
      <w:pPr>
        <w:widowControl w:val="0"/>
        <w:autoSpaceDE w:val="0"/>
        <w:autoSpaceDN w:val="0"/>
        <w:spacing w:after="0" w:line="276" w:lineRule="auto"/>
        <w:jc w:val="both"/>
        <w:rPr>
          <w:rFonts w:ascii="Verdana" w:hAnsi="Verdana" w:cs="Arial"/>
        </w:rPr>
      </w:pPr>
    </w:p>
    <w:p w14:paraId="4C47D345" w14:textId="77777777" w:rsidR="00756929" w:rsidRPr="00593A5F" w:rsidRDefault="00756929" w:rsidP="0075692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80ECE2" w14:textId="6879E4AF" w:rsidR="00756929" w:rsidRPr="00593A5F" w:rsidRDefault="00AD0C3A" w:rsidP="00756929">
      <w:pPr>
        <w:spacing w:line="276" w:lineRule="auto"/>
        <w:jc w:val="center"/>
        <w:rPr>
          <w:rFonts w:ascii="Verdana" w:hAnsi="Verdana" w:cs="Arial"/>
          <w:color w:val="000000"/>
          <w:lang w:val="es-ES_tradnl" w:eastAsia="es-CO"/>
        </w:rPr>
      </w:pPr>
      <w:r>
        <w:rPr>
          <w:noProof/>
        </w:rPr>
        <w:drawing>
          <wp:inline distT="0" distB="0" distL="0" distR="0" wp14:anchorId="2746F461" wp14:editId="6819E8CE">
            <wp:extent cx="3543300" cy="131531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552216" cy="1318626"/>
                    </a:xfrm>
                    <a:prstGeom prst="rect">
                      <a:avLst/>
                    </a:prstGeom>
                  </pic:spPr>
                </pic:pic>
              </a:graphicData>
            </a:graphic>
          </wp:inline>
        </w:drawing>
      </w:r>
    </w:p>
    <w:p w14:paraId="3F0C8CBE" w14:textId="77777777" w:rsidR="00756929" w:rsidRDefault="00756929" w:rsidP="00756929"/>
    <w:tbl>
      <w:tblPr>
        <w:tblW w:w="49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7"/>
        <w:gridCol w:w="4769"/>
      </w:tblGrid>
      <w:tr w:rsidR="00756929" w:rsidRPr="00884249" w14:paraId="6F1423B7" w14:textId="77777777">
        <w:trPr>
          <w:trHeight w:val="39"/>
        </w:trPr>
        <w:tc>
          <w:tcPr>
            <w:tcW w:w="762" w:type="dxa"/>
            <w:tcBorders>
              <w:top w:val="nil"/>
              <w:left w:val="nil"/>
              <w:bottom w:val="nil"/>
              <w:right w:val="nil"/>
            </w:tcBorders>
            <w:hideMark/>
          </w:tcPr>
          <w:p w14:paraId="5F802B90" w14:textId="77777777" w:rsidR="00756929" w:rsidRPr="00993C9D" w:rsidRDefault="00756929">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Elaboró:</w:t>
            </w:r>
          </w:p>
        </w:tc>
        <w:tc>
          <w:tcPr>
            <w:tcW w:w="4154" w:type="dxa"/>
            <w:tcBorders>
              <w:top w:val="dotted" w:sz="6" w:space="0" w:color="7F7F7F" w:themeColor="text1" w:themeTint="80"/>
              <w:left w:val="nil"/>
              <w:bottom w:val="dotted" w:sz="6" w:space="0" w:color="7F7F7F" w:themeColor="text1" w:themeTint="80"/>
              <w:right w:val="nil"/>
            </w:tcBorders>
            <w:hideMark/>
          </w:tcPr>
          <w:tbl>
            <w:tblPr>
              <w:tblW w:w="476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69"/>
            </w:tblGrid>
            <w:tr w:rsidR="00756929" w:rsidRPr="00993C9D" w14:paraId="435404FF" w14:textId="77777777">
              <w:trPr>
                <w:trHeight w:val="34"/>
              </w:trPr>
              <w:tc>
                <w:tcPr>
                  <w:tcW w:w="4769" w:type="dxa"/>
                  <w:tcBorders>
                    <w:top w:val="dotted" w:sz="6" w:space="0" w:color="7F7F7F"/>
                    <w:left w:val="nil"/>
                    <w:bottom w:val="dotted" w:sz="6" w:space="0" w:color="7F7F7F"/>
                    <w:right w:val="nil"/>
                  </w:tcBorders>
                  <w:vAlign w:val="center"/>
                  <w:hideMark/>
                </w:tcPr>
                <w:p w14:paraId="53142BA6" w14:textId="77777777" w:rsidR="00756929" w:rsidRPr="00993C9D" w:rsidRDefault="00756929">
                  <w:pPr>
                    <w:spacing w:after="0" w:line="240" w:lineRule="auto"/>
                    <w:textAlignment w:val="baseline"/>
                    <w:rPr>
                      <w:rFonts w:ascii="Verdana" w:eastAsia="Times New Roman" w:hAnsi="Verdana" w:cs="Arial"/>
                      <w:sz w:val="16"/>
                      <w:szCs w:val="16"/>
                      <w:lang w:val="es-MX" w:eastAsia="es-CO"/>
                    </w:rPr>
                  </w:pPr>
                  <w:r w:rsidRPr="00993C9D">
                    <w:rPr>
                      <w:rFonts w:ascii="Verdana" w:eastAsia="Times New Roman" w:hAnsi="Verdana" w:cs="Arial"/>
                      <w:sz w:val="16"/>
                      <w:szCs w:val="16"/>
                      <w:lang w:val="es-MX" w:eastAsia="es-CO"/>
                    </w:rPr>
                    <w:t>Oscar David Morelo Pedrozo</w:t>
                  </w:r>
                </w:p>
                <w:p w14:paraId="47DB4E34" w14:textId="77777777" w:rsidR="00756929" w:rsidRPr="00993C9D" w:rsidRDefault="00756929">
                  <w:pPr>
                    <w:spacing w:after="0" w:line="240" w:lineRule="auto"/>
                    <w:textAlignment w:val="baseline"/>
                    <w:rPr>
                      <w:rFonts w:ascii="Verdana" w:eastAsia="Times New Roman" w:hAnsi="Verdana" w:cs="Arial"/>
                      <w:sz w:val="16"/>
                      <w:szCs w:val="16"/>
                      <w:lang w:val="es-MX" w:eastAsia="es-CO"/>
                    </w:rPr>
                  </w:pPr>
                  <w:r w:rsidRPr="00993C9D">
                    <w:rPr>
                      <w:rFonts w:ascii="Verdana" w:eastAsia="Times New Roman" w:hAnsi="Verdana" w:cs="Arial"/>
                      <w:sz w:val="16"/>
                      <w:szCs w:val="16"/>
                      <w:lang w:val="es-MX" w:eastAsia="es-CO"/>
                    </w:rPr>
                    <w:t>Analista T2 –02 de la Subdirección de Gestión Contractual</w:t>
                  </w:r>
                </w:p>
              </w:tc>
            </w:tr>
          </w:tbl>
          <w:p w14:paraId="095077E4" w14:textId="77777777" w:rsidR="00756929" w:rsidRPr="00993C9D" w:rsidRDefault="00756929">
            <w:pPr>
              <w:pStyle w:val="Sinespaciado"/>
              <w:rPr>
                <w:rFonts w:ascii="Verdana" w:hAnsi="Verdana"/>
                <w:sz w:val="16"/>
                <w:szCs w:val="16"/>
                <w:lang w:val="es-MX" w:eastAsia="es-CO"/>
              </w:rPr>
            </w:pPr>
          </w:p>
        </w:tc>
      </w:tr>
      <w:tr w:rsidR="00756929" w:rsidRPr="00884249" w14:paraId="0E49936F" w14:textId="77777777">
        <w:trPr>
          <w:trHeight w:val="39"/>
        </w:trPr>
        <w:tc>
          <w:tcPr>
            <w:tcW w:w="762" w:type="dxa"/>
            <w:tcBorders>
              <w:top w:val="nil"/>
              <w:left w:val="nil"/>
              <w:bottom w:val="nil"/>
              <w:right w:val="nil"/>
            </w:tcBorders>
            <w:hideMark/>
          </w:tcPr>
          <w:p w14:paraId="72AB2507" w14:textId="77777777" w:rsidR="00756929" w:rsidRPr="00993C9D" w:rsidRDefault="00756929">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Revisó:</w:t>
            </w:r>
          </w:p>
        </w:tc>
        <w:tc>
          <w:tcPr>
            <w:tcW w:w="4154" w:type="dxa"/>
            <w:tcBorders>
              <w:top w:val="dotted" w:sz="6" w:space="0" w:color="7F7F7F" w:themeColor="text1" w:themeTint="80"/>
              <w:left w:val="nil"/>
              <w:bottom w:val="dotted" w:sz="6" w:space="0" w:color="7F7F7F" w:themeColor="text1" w:themeTint="80"/>
              <w:right w:val="nil"/>
            </w:tcBorders>
            <w:hideMark/>
          </w:tcPr>
          <w:p w14:paraId="2AB87FFF" w14:textId="77777777" w:rsidR="00756929" w:rsidRPr="00ED4556" w:rsidRDefault="00756929">
            <w:pPr>
              <w:pStyle w:val="Sinespaciado"/>
              <w:rPr>
                <w:rFonts w:ascii="Verdana" w:hAnsi="Verdana" w:cs="Arial"/>
                <w:sz w:val="16"/>
                <w:szCs w:val="16"/>
                <w:lang w:eastAsia="es-CO"/>
              </w:rPr>
            </w:pPr>
            <w:r w:rsidRPr="00ED4556">
              <w:rPr>
                <w:rFonts w:ascii="Verdana" w:hAnsi="Verdana" w:cs="Arial"/>
                <w:sz w:val="16"/>
                <w:szCs w:val="16"/>
                <w:lang w:eastAsia="es-CO"/>
              </w:rPr>
              <w:t>Diana Lucia Saavedra</w:t>
            </w:r>
          </w:p>
          <w:p w14:paraId="03131642" w14:textId="77777777" w:rsidR="00756929" w:rsidRPr="00993C9D" w:rsidRDefault="00756929">
            <w:pPr>
              <w:pStyle w:val="Sinespaciado"/>
              <w:rPr>
                <w:rFonts w:ascii="Verdana" w:hAnsi="Verdana"/>
                <w:sz w:val="16"/>
                <w:szCs w:val="16"/>
                <w:lang w:val="es-MX" w:eastAsia="es-CO"/>
              </w:rPr>
            </w:pPr>
            <w:r w:rsidRPr="00ED4556">
              <w:rPr>
                <w:rFonts w:ascii="Verdana" w:hAnsi="Verdana" w:cs="Arial"/>
                <w:sz w:val="16"/>
                <w:szCs w:val="16"/>
                <w:lang w:val="es-ES" w:eastAsia="es-CO"/>
              </w:rPr>
              <w:t>Contratista de la Subdirección de Gestión Contractual</w:t>
            </w:r>
          </w:p>
        </w:tc>
      </w:tr>
      <w:tr w:rsidR="00756929" w:rsidRPr="00884249" w14:paraId="398343DF" w14:textId="77777777">
        <w:trPr>
          <w:trHeight w:val="54"/>
        </w:trPr>
        <w:tc>
          <w:tcPr>
            <w:tcW w:w="762" w:type="dxa"/>
            <w:tcBorders>
              <w:top w:val="nil"/>
              <w:left w:val="nil"/>
              <w:bottom w:val="nil"/>
              <w:right w:val="nil"/>
            </w:tcBorders>
            <w:hideMark/>
          </w:tcPr>
          <w:p w14:paraId="37A9B84F" w14:textId="77777777" w:rsidR="00756929" w:rsidRPr="00993C9D" w:rsidRDefault="00756929">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Aprobó:</w:t>
            </w:r>
          </w:p>
        </w:tc>
        <w:tc>
          <w:tcPr>
            <w:tcW w:w="4154" w:type="dxa"/>
            <w:tcBorders>
              <w:top w:val="dotted" w:sz="6" w:space="0" w:color="7F7F7F" w:themeColor="text1" w:themeTint="80"/>
              <w:left w:val="nil"/>
              <w:bottom w:val="dotted" w:sz="6" w:space="0" w:color="7F7F7F" w:themeColor="text1" w:themeTint="80"/>
              <w:right w:val="nil"/>
            </w:tcBorders>
            <w:hideMark/>
          </w:tcPr>
          <w:p w14:paraId="051074E9" w14:textId="77777777" w:rsidR="00756929" w:rsidRPr="00993C9D" w:rsidRDefault="00756929">
            <w:pPr>
              <w:pStyle w:val="Sinespaciado"/>
              <w:rPr>
                <w:rFonts w:ascii="Verdana" w:hAnsi="Verdana"/>
                <w:sz w:val="16"/>
                <w:szCs w:val="16"/>
                <w:lang w:val="es-MX" w:eastAsia="es-CO"/>
              </w:rPr>
            </w:pPr>
            <w:r w:rsidRPr="00993C9D">
              <w:rPr>
                <w:rFonts w:ascii="Verdana" w:hAnsi="Verdana"/>
                <w:sz w:val="16"/>
                <w:szCs w:val="16"/>
                <w:lang w:val="es-MX" w:eastAsia="es-CO"/>
              </w:rPr>
              <w:t>Carolina Quintero Gacharná</w:t>
            </w:r>
          </w:p>
          <w:p w14:paraId="6361C9B0" w14:textId="77777777" w:rsidR="00756929" w:rsidRPr="00993C9D" w:rsidRDefault="00756929">
            <w:pPr>
              <w:pStyle w:val="Sinespaciado"/>
              <w:rPr>
                <w:rFonts w:ascii="Verdana" w:hAnsi="Verdana"/>
                <w:sz w:val="16"/>
                <w:szCs w:val="16"/>
                <w:lang w:val="es-MX" w:eastAsia="es-CO"/>
              </w:rPr>
            </w:pPr>
            <w:r w:rsidRPr="00993C9D">
              <w:rPr>
                <w:rFonts w:ascii="Verdana" w:hAnsi="Verdana"/>
                <w:sz w:val="16"/>
                <w:szCs w:val="16"/>
                <w:lang w:val="es-MX" w:eastAsia="es-CO"/>
              </w:rPr>
              <w:t>Subdirectora de Gestión Contractual ANCP – CCE</w:t>
            </w:r>
          </w:p>
        </w:tc>
      </w:tr>
    </w:tbl>
    <w:p w14:paraId="7BCFA12B" w14:textId="77777777" w:rsidR="00756929" w:rsidRPr="00871B59" w:rsidRDefault="00756929" w:rsidP="00756929"/>
    <w:p w14:paraId="6766E2AF" w14:textId="77777777" w:rsidR="00756929" w:rsidRPr="00753737" w:rsidRDefault="00756929" w:rsidP="00756929">
      <w:pPr>
        <w:spacing w:after="0"/>
        <w:rPr>
          <w:rStyle w:val="Hipervnculo"/>
          <w:rFonts w:ascii="Verdana" w:hAnsi="Verdana"/>
          <w:color w:val="auto"/>
          <w:u w:val="none"/>
        </w:rPr>
      </w:pPr>
    </w:p>
    <w:p w14:paraId="0F293BF4" w14:textId="6F0FA19D" w:rsidR="00127233" w:rsidRPr="00756929" w:rsidRDefault="00127233" w:rsidP="00756929"/>
    <w:sectPr w:rsidR="00127233" w:rsidRPr="0075692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5007D" w14:textId="77777777" w:rsidR="0029702C" w:rsidRDefault="0029702C" w:rsidP="004A1847">
      <w:pPr>
        <w:spacing w:after="0" w:line="240" w:lineRule="auto"/>
      </w:pPr>
      <w:r>
        <w:separator/>
      </w:r>
    </w:p>
  </w:endnote>
  <w:endnote w:type="continuationSeparator" w:id="0">
    <w:p w14:paraId="33061E49" w14:textId="77777777" w:rsidR="0029702C" w:rsidRDefault="0029702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2BA2D" w14:textId="77777777" w:rsidR="0029702C" w:rsidRDefault="0029702C" w:rsidP="004A1847">
      <w:pPr>
        <w:spacing w:after="0" w:line="240" w:lineRule="auto"/>
      </w:pPr>
      <w:r>
        <w:separator/>
      </w:r>
    </w:p>
  </w:footnote>
  <w:footnote w:type="continuationSeparator" w:id="0">
    <w:p w14:paraId="2EC4CDE8" w14:textId="77777777" w:rsidR="0029702C" w:rsidRDefault="0029702C" w:rsidP="004A1847">
      <w:pPr>
        <w:spacing w:after="0" w:line="240" w:lineRule="auto"/>
      </w:pPr>
      <w:r>
        <w:continuationSeparator/>
      </w:r>
    </w:p>
  </w:footnote>
  <w:footnote w:id="1">
    <w:p w14:paraId="59A966C3"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2D83462"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B5E82DF"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03CF74BD"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p>
  </w:footnote>
  <w:footnote w:id="2">
    <w:p w14:paraId="48BE3453"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43EA40CC"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p>
  </w:footnote>
  <w:footnote w:id="3">
    <w:p w14:paraId="0CC4BA7D"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723301DB"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p>
  </w:footnote>
  <w:footnote w:id="4">
    <w:p w14:paraId="29DB3475"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190 de 1995: </w:t>
      </w:r>
      <w:r>
        <w:rPr>
          <w:rFonts w:ascii="Verdana" w:hAnsi="Verdana" w:cs="Arial"/>
          <w:color w:val="000000" w:themeColor="text1"/>
          <w:sz w:val="16"/>
          <w:szCs w:val="16"/>
        </w:rPr>
        <w:t>“</w:t>
      </w:r>
      <w:r w:rsidRPr="00A7405A">
        <w:rPr>
          <w:rFonts w:ascii="Verdana" w:hAnsi="Verdana" w:cs="Arial"/>
          <w:color w:val="000000" w:themeColor="text1"/>
          <w:sz w:val="16"/>
          <w:szCs w:val="16"/>
        </w:rPr>
        <w:t>Artículo 1.</w:t>
      </w:r>
      <w:r w:rsidRPr="00A7405A">
        <w:rPr>
          <w:rFonts w:ascii="Verdana" w:hAnsi="Verdana" w:cs="Arial"/>
          <w:color w:val="000000" w:themeColor="text1"/>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597836C2"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1. Su formación académica, indicando los años de estudio cursados en los distintos niveles de educación y los títulos y certificados obtenidos.</w:t>
      </w:r>
    </w:p>
    <w:p w14:paraId="73D98A8A"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7BA4B6B5"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79023137"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4. En caso de personas jurídicas, el correspondiente certificado que acredite la representación legal.</w:t>
      </w:r>
    </w:p>
    <w:p w14:paraId="642707BC" w14:textId="77777777" w:rsidR="00756929"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w:t>
      </w:r>
      <w:r>
        <w:rPr>
          <w:rFonts w:ascii="Verdana" w:hAnsi="Verdana" w:cs="Arial"/>
          <w:color w:val="000000" w:themeColor="text1"/>
          <w:sz w:val="16"/>
          <w:szCs w:val="16"/>
          <w:lang w:val="es-CO"/>
        </w:rPr>
        <w:t>”.</w:t>
      </w:r>
    </w:p>
    <w:p w14:paraId="4860A1C5"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p>
  </w:footnote>
  <w:footnote w:id="5">
    <w:p w14:paraId="3E2AE0AD" w14:textId="77777777" w:rsidR="00756929" w:rsidRPr="00A7405A" w:rsidRDefault="00756929" w:rsidP="00756929">
      <w:pPr>
        <w:shd w:val="clear" w:color="auto" w:fill="FFFFFF"/>
        <w:spacing w:after="0"/>
        <w:ind w:firstLine="708"/>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572B8">
        <w:rPr>
          <w:rFonts w:ascii="Verdana" w:hAnsi="Verdana" w:cs="Arial"/>
          <w:color w:val="000000" w:themeColor="text1"/>
          <w:sz w:val="16"/>
          <w:szCs w:val="16"/>
        </w:rPr>
        <w:t>CORTE CONSTITUCIONAL</w:t>
      </w:r>
      <w:r w:rsidRPr="00A7405A">
        <w:rPr>
          <w:rFonts w:ascii="Verdana" w:hAnsi="Verdana" w:cs="Arial"/>
          <w:color w:val="000000" w:themeColor="text1"/>
          <w:sz w:val="16"/>
          <w:szCs w:val="16"/>
        </w:rPr>
        <w:t>. Sentencia C – 697 del 14 de junio de 2000. Expediente D-2662. Magistrado Ponente: Eduardo Cifuentes Muñoz.</w:t>
      </w:r>
    </w:p>
  </w:footnote>
  <w:footnote w:id="6">
    <w:p w14:paraId="0DFA2C16" w14:textId="77777777" w:rsidR="00756929" w:rsidRPr="00A7405A" w:rsidRDefault="00756929" w:rsidP="00756929">
      <w:pPr>
        <w:pStyle w:val="Textonotapie"/>
        <w:ind w:firstLine="709"/>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270 de 1996: “Artículo 85. Funciones administrativas. Corresponde a la Sala Administrativa del Consejo Superior de la Judicatura:</w:t>
      </w:r>
    </w:p>
    <w:p w14:paraId="5179F64C" w14:textId="77777777" w:rsidR="00756929" w:rsidRPr="00A7405A" w:rsidRDefault="00756929" w:rsidP="00756929">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w:t>
      </w:r>
    </w:p>
    <w:p w14:paraId="4EEAA530" w14:textId="77777777" w:rsidR="00756929" w:rsidRPr="00A7405A" w:rsidRDefault="00756929" w:rsidP="00756929">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20. Regular, organizar y llevar el Registro Nacional de Abogados y expedir la correspondiente Tarjeta Profesional, previa verificación de los requisitos señalados por la ley”.</w:t>
      </w:r>
    </w:p>
    <w:p w14:paraId="1AD00BA4" w14:textId="77777777" w:rsidR="00756929" w:rsidRPr="00A7405A" w:rsidRDefault="00756929" w:rsidP="00756929">
      <w:pPr>
        <w:pStyle w:val="Textonotapie"/>
        <w:ind w:firstLine="709"/>
        <w:jc w:val="both"/>
        <w:rPr>
          <w:rFonts w:ascii="Verdana" w:hAnsi="Verdana" w:cs="Arial"/>
          <w:color w:val="000000" w:themeColor="text1"/>
          <w:sz w:val="16"/>
          <w:szCs w:val="16"/>
        </w:rPr>
      </w:pPr>
    </w:p>
  </w:footnote>
  <w:footnote w:id="7">
    <w:p w14:paraId="3A5B46F4" w14:textId="77777777" w:rsidR="00756929" w:rsidRDefault="00756929" w:rsidP="00756929">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w:t>
      </w:r>
      <w:r w:rsidRPr="009A1A02">
        <w:rPr>
          <w:rFonts w:ascii="Verdana" w:hAnsi="Verdana"/>
          <w:sz w:val="16"/>
          <w:szCs w:val="16"/>
        </w:rPr>
        <w:t>CORTE CONSTITUCIONAL</w:t>
      </w:r>
      <w:r w:rsidRPr="00A7405A">
        <w:rPr>
          <w:rFonts w:ascii="Verdana" w:hAnsi="Verdana"/>
          <w:sz w:val="16"/>
          <w:szCs w:val="16"/>
        </w:rPr>
        <w:t>, Sentencia SU</w:t>
      </w:r>
      <w:r w:rsidRPr="00D96C70">
        <w:rPr>
          <w:rFonts w:ascii="Verdana" w:hAnsi="Verdana"/>
          <w:sz w:val="16"/>
          <w:szCs w:val="16"/>
        </w:rPr>
        <w:t>-</w:t>
      </w:r>
      <w:r w:rsidRPr="00A7405A">
        <w:rPr>
          <w:rFonts w:ascii="Verdana" w:hAnsi="Verdana"/>
          <w:sz w:val="16"/>
          <w:szCs w:val="16"/>
        </w:rPr>
        <w:t xml:space="preserve">128 del 18 de abril de 2024.  M.P. </w:t>
      </w:r>
      <w:r w:rsidRPr="00A7405A">
        <w:rPr>
          <w:rFonts w:ascii="Verdana" w:hAnsi="Verdana"/>
          <w:sz w:val="16"/>
          <w:szCs w:val="16"/>
          <w:lang w:val="es-CO"/>
        </w:rPr>
        <w:t>Natalia Ángel Cabo.</w:t>
      </w:r>
      <w:r w:rsidRPr="00A7405A">
        <w:rPr>
          <w:rFonts w:ascii="Verdana" w:hAnsi="Verdana"/>
          <w:sz w:val="16"/>
          <w:szCs w:val="16"/>
        </w:rPr>
        <w:t xml:space="preserve"> </w:t>
      </w:r>
    </w:p>
    <w:p w14:paraId="5ABDD734" w14:textId="77777777" w:rsidR="00756929" w:rsidRPr="00A7405A" w:rsidRDefault="00756929" w:rsidP="00756929">
      <w:pPr>
        <w:pStyle w:val="Textonotapie"/>
        <w:ind w:firstLine="708"/>
        <w:jc w:val="both"/>
        <w:rPr>
          <w:rFonts w:ascii="Verdana" w:hAnsi="Verdana"/>
          <w:sz w:val="16"/>
          <w:szCs w:val="16"/>
        </w:rPr>
      </w:pPr>
    </w:p>
  </w:footnote>
  <w:footnote w:id="8">
    <w:p w14:paraId="3FF5DA8E" w14:textId="77777777" w:rsidR="00756929" w:rsidRPr="00A7405A" w:rsidRDefault="00756929" w:rsidP="00756929">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w:t>
      </w:r>
      <w:r>
        <w:rPr>
          <w:rFonts w:ascii="Verdana" w:hAnsi="Verdana"/>
          <w:sz w:val="16"/>
          <w:szCs w:val="16"/>
        </w:rPr>
        <w:t xml:space="preserve">. </w:t>
      </w:r>
    </w:p>
  </w:footnote>
  <w:footnote w:id="9">
    <w:p w14:paraId="55CE4C4E" w14:textId="77777777" w:rsidR="00756929" w:rsidRPr="00A7405A" w:rsidRDefault="00756929" w:rsidP="00756929">
      <w:pPr>
        <w:pStyle w:val="Textonotapie"/>
        <w:ind w:firstLine="708"/>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3FA86220" w:rsidR="008A446D" w:rsidRPr="00C925AC" w:rsidRDefault="008A446D" w:rsidP="00A52470">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6B63CC2"/>
    <w:lvl w:ilvl="0" w:tplc="9438AED6">
      <w:start w:val="1"/>
      <w:numFmt w:val="bullet"/>
      <w:lvlText w:val=""/>
      <w:lvlJc w:val="left"/>
      <w:pPr>
        <w:ind w:left="786"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25B"/>
    <w:rsid w:val="00046945"/>
    <w:rsid w:val="00061B2A"/>
    <w:rsid w:val="00082362"/>
    <w:rsid w:val="000A683E"/>
    <w:rsid w:val="000B19B9"/>
    <w:rsid w:val="000C2674"/>
    <w:rsid w:val="000D0334"/>
    <w:rsid w:val="000D5DA7"/>
    <w:rsid w:val="000F6486"/>
    <w:rsid w:val="00116940"/>
    <w:rsid w:val="00125105"/>
    <w:rsid w:val="00127233"/>
    <w:rsid w:val="00132A2E"/>
    <w:rsid w:val="0015699B"/>
    <w:rsid w:val="00163EA3"/>
    <w:rsid w:val="001A33BF"/>
    <w:rsid w:val="001E4177"/>
    <w:rsid w:val="001F0B24"/>
    <w:rsid w:val="001F7DC6"/>
    <w:rsid w:val="0022400B"/>
    <w:rsid w:val="002421BB"/>
    <w:rsid w:val="00252F76"/>
    <w:rsid w:val="0025796E"/>
    <w:rsid w:val="002707A2"/>
    <w:rsid w:val="002951A0"/>
    <w:rsid w:val="002962BC"/>
    <w:rsid w:val="0029702C"/>
    <w:rsid w:val="002A093D"/>
    <w:rsid w:val="002A0DD0"/>
    <w:rsid w:val="002A49AC"/>
    <w:rsid w:val="002A64FD"/>
    <w:rsid w:val="002C7A84"/>
    <w:rsid w:val="002E2BF8"/>
    <w:rsid w:val="002E4FD9"/>
    <w:rsid w:val="0030657A"/>
    <w:rsid w:val="00322A85"/>
    <w:rsid w:val="00324168"/>
    <w:rsid w:val="00330834"/>
    <w:rsid w:val="00334AA2"/>
    <w:rsid w:val="003448F4"/>
    <w:rsid w:val="00374F5E"/>
    <w:rsid w:val="00377E3E"/>
    <w:rsid w:val="003946B5"/>
    <w:rsid w:val="003A779E"/>
    <w:rsid w:val="003A7D28"/>
    <w:rsid w:val="003D0F4D"/>
    <w:rsid w:val="003D5B0D"/>
    <w:rsid w:val="003E0499"/>
    <w:rsid w:val="003E4F80"/>
    <w:rsid w:val="003E6439"/>
    <w:rsid w:val="003E7C07"/>
    <w:rsid w:val="003F05C2"/>
    <w:rsid w:val="003F3941"/>
    <w:rsid w:val="00406575"/>
    <w:rsid w:val="00414C74"/>
    <w:rsid w:val="00422634"/>
    <w:rsid w:val="0042722E"/>
    <w:rsid w:val="00434FC3"/>
    <w:rsid w:val="004355F9"/>
    <w:rsid w:val="00437E2F"/>
    <w:rsid w:val="0044528D"/>
    <w:rsid w:val="00466E39"/>
    <w:rsid w:val="004A1847"/>
    <w:rsid w:val="004A305D"/>
    <w:rsid w:val="004D43C3"/>
    <w:rsid w:val="004F21C4"/>
    <w:rsid w:val="004F685F"/>
    <w:rsid w:val="005566E8"/>
    <w:rsid w:val="00574867"/>
    <w:rsid w:val="00591284"/>
    <w:rsid w:val="00591460"/>
    <w:rsid w:val="005A65E0"/>
    <w:rsid w:val="005C3777"/>
    <w:rsid w:val="005C5CDC"/>
    <w:rsid w:val="005D476C"/>
    <w:rsid w:val="005D6F69"/>
    <w:rsid w:val="006200BF"/>
    <w:rsid w:val="006219F8"/>
    <w:rsid w:val="006302F7"/>
    <w:rsid w:val="00646B9F"/>
    <w:rsid w:val="00665D70"/>
    <w:rsid w:val="006900D9"/>
    <w:rsid w:val="006A34D4"/>
    <w:rsid w:val="006A5F09"/>
    <w:rsid w:val="00706C16"/>
    <w:rsid w:val="007340C3"/>
    <w:rsid w:val="0075235A"/>
    <w:rsid w:val="00756841"/>
    <w:rsid w:val="00756929"/>
    <w:rsid w:val="007611A8"/>
    <w:rsid w:val="007649AB"/>
    <w:rsid w:val="00771D0C"/>
    <w:rsid w:val="007833AC"/>
    <w:rsid w:val="0078545A"/>
    <w:rsid w:val="007B268C"/>
    <w:rsid w:val="007B7171"/>
    <w:rsid w:val="007C0C0F"/>
    <w:rsid w:val="007C21D5"/>
    <w:rsid w:val="007C3DC2"/>
    <w:rsid w:val="007D3B38"/>
    <w:rsid w:val="007E5497"/>
    <w:rsid w:val="00806F5F"/>
    <w:rsid w:val="00820278"/>
    <w:rsid w:val="008258C9"/>
    <w:rsid w:val="008364AC"/>
    <w:rsid w:val="00844AE9"/>
    <w:rsid w:val="00867F95"/>
    <w:rsid w:val="00877A12"/>
    <w:rsid w:val="00882B48"/>
    <w:rsid w:val="008830B6"/>
    <w:rsid w:val="008843B6"/>
    <w:rsid w:val="00891928"/>
    <w:rsid w:val="008A446D"/>
    <w:rsid w:val="008B25F1"/>
    <w:rsid w:val="008D180B"/>
    <w:rsid w:val="008D4C82"/>
    <w:rsid w:val="008E21AD"/>
    <w:rsid w:val="008F0EA7"/>
    <w:rsid w:val="00923EEF"/>
    <w:rsid w:val="009419F9"/>
    <w:rsid w:val="0094333F"/>
    <w:rsid w:val="00944D45"/>
    <w:rsid w:val="0095685E"/>
    <w:rsid w:val="00961B09"/>
    <w:rsid w:val="00965334"/>
    <w:rsid w:val="0097093E"/>
    <w:rsid w:val="009919DA"/>
    <w:rsid w:val="009A0DFA"/>
    <w:rsid w:val="009A1C6F"/>
    <w:rsid w:val="009B2D26"/>
    <w:rsid w:val="009C5BC5"/>
    <w:rsid w:val="009C71FA"/>
    <w:rsid w:val="009C72E7"/>
    <w:rsid w:val="009C7F7E"/>
    <w:rsid w:val="009D3058"/>
    <w:rsid w:val="009E0CD2"/>
    <w:rsid w:val="009F3A13"/>
    <w:rsid w:val="00A00E8A"/>
    <w:rsid w:val="00A122D3"/>
    <w:rsid w:val="00A14468"/>
    <w:rsid w:val="00A17F13"/>
    <w:rsid w:val="00A20739"/>
    <w:rsid w:val="00A23AF9"/>
    <w:rsid w:val="00A33C78"/>
    <w:rsid w:val="00A52470"/>
    <w:rsid w:val="00A52AD3"/>
    <w:rsid w:val="00A807BA"/>
    <w:rsid w:val="00A917A5"/>
    <w:rsid w:val="00AB0ADB"/>
    <w:rsid w:val="00AD0C3A"/>
    <w:rsid w:val="00AF69B9"/>
    <w:rsid w:val="00B00C0E"/>
    <w:rsid w:val="00B01B1A"/>
    <w:rsid w:val="00B0381D"/>
    <w:rsid w:val="00B44A47"/>
    <w:rsid w:val="00B72CD3"/>
    <w:rsid w:val="00B72FFF"/>
    <w:rsid w:val="00BA7B5B"/>
    <w:rsid w:val="00BC3D36"/>
    <w:rsid w:val="00BD54A6"/>
    <w:rsid w:val="00BD7F72"/>
    <w:rsid w:val="00BF7425"/>
    <w:rsid w:val="00C04FB3"/>
    <w:rsid w:val="00C11D8B"/>
    <w:rsid w:val="00C15139"/>
    <w:rsid w:val="00C330EB"/>
    <w:rsid w:val="00C50D69"/>
    <w:rsid w:val="00C5365C"/>
    <w:rsid w:val="00C754BE"/>
    <w:rsid w:val="00C76B1C"/>
    <w:rsid w:val="00C8213C"/>
    <w:rsid w:val="00C925AC"/>
    <w:rsid w:val="00CA0F28"/>
    <w:rsid w:val="00CB6357"/>
    <w:rsid w:val="00CC1B26"/>
    <w:rsid w:val="00D06E85"/>
    <w:rsid w:val="00D13842"/>
    <w:rsid w:val="00D361FD"/>
    <w:rsid w:val="00D423A2"/>
    <w:rsid w:val="00D44E26"/>
    <w:rsid w:val="00D520D8"/>
    <w:rsid w:val="00D63AC2"/>
    <w:rsid w:val="00D7383B"/>
    <w:rsid w:val="00D7788A"/>
    <w:rsid w:val="00D90E32"/>
    <w:rsid w:val="00DA231B"/>
    <w:rsid w:val="00DB6B16"/>
    <w:rsid w:val="00DC39FC"/>
    <w:rsid w:val="00DE4536"/>
    <w:rsid w:val="00DF5254"/>
    <w:rsid w:val="00E02524"/>
    <w:rsid w:val="00E16408"/>
    <w:rsid w:val="00E20894"/>
    <w:rsid w:val="00E245AB"/>
    <w:rsid w:val="00E25FAB"/>
    <w:rsid w:val="00E2764C"/>
    <w:rsid w:val="00E27F2E"/>
    <w:rsid w:val="00E50AFE"/>
    <w:rsid w:val="00E57DDD"/>
    <w:rsid w:val="00E75C92"/>
    <w:rsid w:val="00E771DC"/>
    <w:rsid w:val="00E8772A"/>
    <w:rsid w:val="00E90F6B"/>
    <w:rsid w:val="00E92C27"/>
    <w:rsid w:val="00EA0E3D"/>
    <w:rsid w:val="00EB04B4"/>
    <w:rsid w:val="00EC38A7"/>
    <w:rsid w:val="00EC7C4A"/>
    <w:rsid w:val="00EE1AA8"/>
    <w:rsid w:val="00EF7430"/>
    <w:rsid w:val="00F23FEA"/>
    <w:rsid w:val="00F31EDC"/>
    <w:rsid w:val="00F462B3"/>
    <w:rsid w:val="00F5664F"/>
    <w:rsid w:val="00F666C4"/>
    <w:rsid w:val="00F76AFC"/>
    <w:rsid w:val="00FA0FBB"/>
    <w:rsid w:val="00FA47C0"/>
    <w:rsid w:val="00FB0207"/>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3D5EDA6-1A69-4C38-9959-B2C2821BC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D2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5692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6929"/>
    <w:rPr>
      <w:rFonts w:ascii="Geomanist Light" w:hAnsi="Geomanist Light"/>
      <w:lang w:val="es-ES"/>
    </w:rPr>
  </w:style>
  <w:style w:type="paragraph" w:styleId="Sinespaciado">
    <w:name w:val="No Spacing"/>
    <w:uiPriority w:val="1"/>
    <w:qFormat/>
    <w:rsid w:val="007569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lanosromeroabogado@outloo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9736502F-D311-4746-B16D-B3B4A7B096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E3A20A-C851-4A03-B0DE-274C69D041D4}">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107</TotalTime>
  <Pages>18</Pages>
  <Words>6352</Words>
  <Characters>34942</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41212</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8126536</vt:i4>
      </vt:variant>
      <vt:variant>
        <vt:i4>0</vt:i4>
      </vt:variant>
      <vt:variant>
        <vt:i4>0</vt:i4>
      </vt:variant>
      <vt:variant>
        <vt:i4>5</vt:i4>
      </vt:variant>
      <vt:variant>
        <vt:lpwstr>mailto:llanosromeroabogado@outlook.com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17</cp:revision>
  <cp:lastPrinted>2023-01-10T21:18:00Z</cp:lastPrinted>
  <dcterms:created xsi:type="dcterms:W3CDTF">2026-03-04T22:15:00Z</dcterms:created>
  <dcterms:modified xsi:type="dcterms:W3CDTF">2026-06-04T15:42:00Z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