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75854" w14:textId="77777777" w:rsidR="00811244" w:rsidRDefault="00811244" w:rsidP="00811244">
      <w:pPr>
        <w:spacing w:after="0" w:line="240" w:lineRule="auto"/>
        <w:jc w:val="both"/>
        <w:rPr>
          <w:rFonts w:ascii="Verdana" w:eastAsia="Calibri" w:hAnsi="Verdana" w:cs="Arial"/>
          <w:b/>
          <w:lang w:val="es-MX" w:eastAsia="es-ES"/>
        </w:rPr>
      </w:pPr>
      <w:bookmarkStart w:id="0" w:name="_Hlk143780582"/>
      <w:bookmarkStart w:id="1" w:name="_Hlk214366482"/>
      <w:bookmarkStart w:id="2" w:name="_Hlk217971057"/>
      <w:r w:rsidRPr="00811244">
        <w:rPr>
          <w:rFonts w:ascii="Verdana" w:eastAsia="Calibri" w:hAnsi="Verdana" w:cs="Arial"/>
          <w:b/>
          <w:lang w:val="es-MX" w:eastAsia="es-ES"/>
        </w:rPr>
        <w:t>CONTRATO DE PRESTACIÓN DE SERVICIOS – Características</w:t>
      </w:r>
    </w:p>
    <w:p w14:paraId="60E7E85C" w14:textId="77777777" w:rsidR="00811244" w:rsidRDefault="00811244" w:rsidP="00811244">
      <w:pPr>
        <w:spacing w:after="0" w:line="240" w:lineRule="auto"/>
        <w:jc w:val="both"/>
        <w:rPr>
          <w:rFonts w:ascii="Verdana" w:eastAsia="Calibri" w:hAnsi="Verdana" w:cs="Arial"/>
          <w:b/>
          <w:lang w:val="es-MX" w:eastAsia="es-ES"/>
        </w:rPr>
      </w:pPr>
    </w:p>
    <w:p w14:paraId="42E1A133" w14:textId="4EF2C9D2" w:rsidR="00811244" w:rsidRPr="00811244" w:rsidRDefault="00811244" w:rsidP="00811244">
      <w:pPr>
        <w:spacing w:after="0" w:line="240" w:lineRule="auto"/>
        <w:jc w:val="both"/>
        <w:rPr>
          <w:rFonts w:ascii="Verdana" w:eastAsia="Times New Roman" w:hAnsi="Verdana" w:cs="Arial"/>
          <w:color w:val="000000"/>
          <w:sz w:val="20"/>
          <w:szCs w:val="20"/>
          <w:lang w:val="es-ES"/>
        </w:rPr>
      </w:pPr>
      <w:r w:rsidRPr="00811244">
        <w:rPr>
          <w:rFonts w:ascii="Verdana" w:eastAsia="Times New Roman" w:hAnsi="Verdana" w:cs="Arial"/>
          <w:color w:val="000000"/>
          <w:sz w:val="20"/>
          <w:szCs w:val="20"/>
          <w:lang w:val="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w:t>
      </w:r>
    </w:p>
    <w:p w14:paraId="42F180EA" w14:textId="77777777" w:rsidR="00811244" w:rsidRPr="00811244" w:rsidRDefault="00811244" w:rsidP="00811244">
      <w:pPr>
        <w:spacing w:after="0" w:line="240" w:lineRule="auto"/>
        <w:jc w:val="both"/>
        <w:rPr>
          <w:rFonts w:ascii="Verdana" w:eastAsia="Times New Roman" w:hAnsi="Verdana" w:cs="Arial"/>
          <w:color w:val="000000"/>
          <w:sz w:val="20"/>
          <w:szCs w:val="20"/>
          <w:lang w:val="es-ES"/>
        </w:rPr>
      </w:pPr>
    </w:p>
    <w:p w14:paraId="750CC5E1" w14:textId="4B4FFD1E" w:rsidR="00811244" w:rsidRPr="00811244" w:rsidRDefault="00811244" w:rsidP="00811244">
      <w:pPr>
        <w:spacing w:after="0" w:line="240" w:lineRule="auto"/>
        <w:jc w:val="both"/>
        <w:rPr>
          <w:rFonts w:ascii="Verdana" w:eastAsia="Times New Roman" w:hAnsi="Verdana" w:cs="Arial"/>
          <w:color w:val="000000"/>
          <w:sz w:val="20"/>
          <w:szCs w:val="20"/>
          <w:lang w:val="es-ES"/>
        </w:rPr>
      </w:pPr>
      <w:r w:rsidRPr="00811244">
        <w:rPr>
          <w:rFonts w:ascii="Verdana" w:eastAsia="Times New Roman" w:hAnsi="Verdana" w:cs="Arial"/>
          <w:color w:val="000000"/>
          <w:sz w:val="20"/>
          <w:szCs w:val="20"/>
          <w:lang w:val="es-ES"/>
        </w:rPr>
        <w:t xml:space="preserve">[…] </w:t>
      </w:r>
    </w:p>
    <w:p w14:paraId="75EEC366" w14:textId="77777777" w:rsidR="00811244" w:rsidRPr="00811244" w:rsidRDefault="00811244" w:rsidP="00811244">
      <w:pPr>
        <w:spacing w:after="0" w:line="240" w:lineRule="auto"/>
        <w:jc w:val="both"/>
        <w:rPr>
          <w:rFonts w:ascii="Verdana" w:eastAsia="Times New Roman" w:hAnsi="Verdana" w:cs="Arial"/>
          <w:color w:val="000000"/>
          <w:sz w:val="20"/>
          <w:szCs w:val="20"/>
          <w:lang w:val="es-ES"/>
        </w:rPr>
      </w:pPr>
    </w:p>
    <w:p w14:paraId="7DC5F64E" w14:textId="0DDE1A8A" w:rsidR="00811244" w:rsidRDefault="00811244" w:rsidP="00811244">
      <w:pPr>
        <w:spacing w:after="0" w:line="240" w:lineRule="auto"/>
        <w:jc w:val="both"/>
        <w:rPr>
          <w:rFonts w:ascii="Verdana" w:eastAsia="Times New Roman" w:hAnsi="Verdana" w:cs="Arial"/>
          <w:color w:val="000000"/>
          <w:sz w:val="20"/>
          <w:szCs w:val="20"/>
          <w:lang w:val="es-ES"/>
        </w:rPr>
      </w:pPr>
      <w:r w:rsidRPr="00811244">
        <w:rPr>
          <w:rFonts w:ascii="Verdana" w:eastAsia="Times New Roman" w:hAnsi="Verdana" w:cs="Arial"/>
          <w:color w:val="000000"/>
          <w:sz w:val="20"/>
          <w:szCs w:val="20"/>
          <w:lang w:val="es-ES"/>
        </w:rPr>
        <w:t>La celebración de dicho contrato se debe efectuar a través de la modalidad de la contratación directa</w:t>
      </w:r>
      <w:r>
        <w:rPr>
          <w:rFonts w:ascii="Verdana" w:eastAsia="Times New Roman" w:hAnsi="Verdana" w:cs="Arial"/>
          <w:color w:val="000000"/>
          <w:sz w:val="20"/>
          <w:szCs w:val="20"/>
          <w:lang w:val="es-ES"/>
        </w:rPr>
        <w:t>.</w:t>
      </w:r>
    </w:p>
    <w:p w14:paraId="2D7576E3" w14:textId="77777777" w:rsidR="00811244" w:rsidRDefault="00811244" w:rsidP="00811244">
      <w:pPr>
        <w:spacing w:after="0" w:line="240" w:lineRule="auto"/>
        <w:jc w:val="both"/>
        <w:rPr>
          <w:rFonts w:ascii="Verdana" w:eastAsia="Times New Roman" w:hAnsi="Verdana" w:cs="Arial"/>
          <w:color w:val="000000"/>
          <w:sz w:val="20"/>
          <w:szCs w:val="20"/>
          <w:lang w:val="es-ES"/>
        </w:rPr>
      </w:pPr>
    </w:p>
    <w:p w14:paraId="631D317F" w14:textId="2BD26F11" w:rsidR="00811244" w:rsidRDefault="00811244" w:rsidP="00811244">
      <w:pPr>
        <w:spacing w:after="0" w:line="240" w:lineRule="auto"/>
        <w:jc w:val="both"/>
        <w:rPr>
          <w:rFonts w:ascii="Verdana" w:eastAsia="Times New Roman" w:hAnsi="Verdana" w:cs="Arial"/>
          <w:color w:val="000000"/>
          <w:sz w:val="20"/>
          <w:szCs w:val="20"/>
          <w:lang w:val="es-ES"/>
        </w:rPr>
      </w:pPr>
      <w:r>
        <w:rPr>
          <w:rFonts w:ascii="Verdana" w:eastAsia="Times New Roman" w:hAnsi="Verdana" w:cs="Arial"/>
          <w:color w:val="000000"/>
          <w:sz w:val="20"/>
          <w:szCs w:val="20"/>
          <w:lang w:val="es-ES"/>
        </w:rPr>
        <w:t xml:space="preserve">[…] </w:t>
      </w:r>
    </w:p>
    <w:p w14:paraId="389D84AB" w14:textId="77777777" w:rsidR="00811244" w:rsidRDefault="00811244" w:rsidP="00811244">
      <w:pPr>
        <w:spacing w:after="0" w:line="240" w:lineRule="auto"/>
        <w:jc w:val="both"/>
        <w:rPr>
          <w:rFonts w:ascii="Verdana" w:eastAsia="Times New Roman" w:hAnsi="Verdana" w:cs="Arial"/>
          <w:color w:val="000000"/>
          <w:sz w:val="20"/>
          <w:szCs w:val="20"/>
          <w:lang w:val="es-ES"/>
        </w:rPr>
      </w:pPr>
    </w:p>
    <w:p w14:paraId="08414B3B" w14:textId="7B8BADF5" w:rsidR="00811244" w:rsidRPr="00811244" w:rsidRDefault="00811244" w:rsidP="00811244">
      <w:pPr>
        <w:spacing w:after="0" w:line="240" w:lineRule="auto"/>
        <w:jc w:val="both"/>
        <w:rPr>
          <w:rFonts w:ascii="Verdana" w:eastAsia="Times New Roman" w:hAnsi="Verdana" w:cs="Arial"/>
          <w:color w:val="000000"/>
          <w:sz w:val="20"/>
          <w:szCs w:val="20"/>
          <w:lang w:val="es-ES_tradnl"/>
        </w:rPr>
      </w:pPr>
      <w:r>
        <w:rPr>
          <w:rFonts w:ascii="Verdana" w:eastAsia="Times New Roman" w:hAnsi="Verdana" w:cs="Arial"/>
          <w:color w:val="000000"/>
          <w:sz w:val="20"/>
          <w:szCs w:val="20"/>
          <w:lang w:val="es-ES"/>
        </w:rPr>
        <w:t xml:space="preserve">[…] </w:t>
      </w:r>
      <w:r w:rsidRPr="00811244">
        <w:rPr>
          <w:rFonts w:ascii="Verdana" w:eastAsia="Times New Roman" w:hAnsi="Verdana" w:cs="Arial"/>
          <w:color w:val="000000"/>
          <w:sz w:val="20"/>
          <w:szCs w:val="20"/>
          <w:lang w:val="es-ES_tradnl"/>
        </w:rPr>
        <w:t>es posible señalar las siguientes características del contrato de prestación de servicios:</w:t>
      </w:r>
    </w:p>
    <w:p w14:paraId="4BEFD466" w14:textId="77777777" w:rsidR="00811244" w:rsidRPr="00811244" w:rsidRDefault="00811244" w:rsidP="00811244">
      <w:pPr>
        <w:spacing w:after="0" w:line="240" w:lineRule="auto"/>
        <w:jc w:val="both"/>
        <w:rPr>
          <w:rFonts w:ascii="Verdana" w:eastAsia="Times New Roman" w:hAnsi="Verdana" w:cs="Arial"/>
          <w:color w:val="000000"/>
          <w:sz w:val="20"/>
          <w:szCs w:val="20"/>
          <w:lang w:val="es-ES_tradnl"/>
        </w:rPr>
      </w:pPr>
      <w:r w:rsidRPr="00811244">
        <w:rPr>
          <w:rFonts w:ascii="Verdana" w:eastAsia="Times New Roman" w:hAnsi="Verdana" w:cs="Arial"/>
          <w:color w:val="000000"/>
          <w:sz w:val="20"/>
          <w:szCs w:val="20"/>
          <w:lang w:val="es-ES_tradnl"/>
        </w:rPr>
        <w:t>i) Solo puede celebrarse para realizar “actividades relacionadas con la administración o funcionamiento de la entidad”, es decir, que hagan parte de su giro ordinario o quehacer cotidiano.</w:t>
      </w:r>
    </w:p>
    <w:p w14:paraId="4AB42F36" w14:textId="67341432" w:rsidR="00811244" w:rsidRPr="00811244" w:rsidRDefault="00811244" w:rsidP="00811244">
      <w:pPr>
        <w:spacing w:after="0" w:line="240" w:lineRule="auto"/>
        <w:jc w:val="both"/>
        <w:rPr>
          <w:rFonts w:ascii="Verdana" w:eastAsia="Times New Roman" w:hAnsi="Verdana" w:cs="Arial"/>
          <w:color w:val="000000"/>
          <w:sz w:val="20"/>
          <w:szCs w:val="20"/>
          <w:lang w:val="es-ES_tradnl"/>
        </w:rPr>
      </w:pPr>
      <w:proofErr w:type="spellStart"/>
      <w:r w:rsidRPr="00811244">
        <w:rPr>
          <w:rFonts w:ascii="Verdana" w:eastAsia="Times New Roman" w:hAnsi="Verdana" w:cs="Arial"/>
          <w:color w:val="000000"/>
          <w:sz w:val="20"/>
          <w:szCs w:val="20"/>
          <w:lang w:val="es-ES"/>
        </w:rPr>
        <w:t>ii</w:t>
      </w:r>
      <w:proofErr w:type="spellEnd"/>
      <w:r w:rsidRPr="00811244">
        <w:rPr>
          <w:rFonts w:ascii="Verdana" w:eastAsia="Times New Roman" w:hAnsi="Verdana" w:cs="Arial"/>
          <w:color w:val="000000"/>
          <w:sz w:val="20"/>
          <w:szCs w:val="20"/>
          <w:lang w:val="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p>
    <w:p w14:paraId="7D840281" w14:textId="4A383E15" w:rsidR="00811244" w:rsidRPr="00811244" w:rsidRDefault="00811244" w:rsidP="00811244">
      <w:pPr>
        <w:spacing w:after="0" w:line="240" w:lineRule="auto"/>
        <w:jc w:val="both"/>
        <w:rPr>
          <w:rFonts w:ascii="Verdana" w:eastAsia="Times New Roman" w:hAnsi="Verdana" w:cs="Arial"/>
          <w:color w:val="000000"/>
          <w:sz w:val="20"/>
          <w:szCs w:val="20"/>
          <w:lang w:val="es-ES_tradnl"/>
        </w:rPr>
      </w:pPr>
      <w:proofErr w:type="spellStart"/>
      <w:r w:rsidRPr="00811244">
        <w:rPr>
          <w:rFonts w:ascii="Verdana" w:eastAsia="Times New Roman" w:hAnsi="Verdana" w:cs="Arial"/>
          <w:color w:val="000000"/>
          <w:sz w:val="20"/>
          <w:szCs w:val="20"/>
          <w:lang w:val="es-ES"/>
        </w:rPr>
        <w:t>iii</w:t>
      </w:r>
      <w:proofErr w:type="spellEnd"/>
      <w:r w:rsidRPr="00811244">
        <w:rPr>
          <w:rFonts w:ascii="Verdana" w:eastAsia="Times New Roman" w:hAnsi="Verdana" w:cs="Arial"/>
          <w:color w:val="000000"/>
          <w:sz w:val="20"/>
          <w:szCs w:val="20"/>
          <w:lang w:val="es-ES"/>
        </w:rPr>
        <w:t>) Si bien se celebran para obtener la prestación personal de un servicio</w:t>
      </w:r>
      <w:r>
        <w:rPr>
          <w:rFonts w:ascii="Verdana" w:eastAsia="Times New Roman" w:hAnsi="Verdana" w:cs="Arial"/>
          <w:color w:val="000000"/>
          <w:sz w:val="20"/>
          <w:szCs w:val="20"/>
          <w:lang w:val="es-ES"/>
        </w:rPr>
        <w:t xml:space="preserve"> […].</w:t>
      </w:r>
      <w:r w:rsidRPr="00811244">
        <w:rPr>
          <w:rFonts w:ascii="Verdana" w:eastAsia="Times New Roman" w:hAnsi="Verdana" w:cs="Arial"/>
          <w:color w:val="000000"/>
          <w:sz w:val="20"/>
          <w:szCs w:val="20"/>
          <w:lang w:val="es-ES"/>
        </w:rPr>
        <w:t xml:space="preserve"> </w:t>
      </w:r>
    </w:p>
    <w:p w14:paraId="42EAAC94" w14:textId="4AB5EEED" w:rsidR="00811244" w:rsidRPr="00811244" w:rsidRDefault="00811244" w:rsidP="00811244">
      <w:pPr>
        <w:spacing w:after="0" w:line="240" w:lineRule="auto"/>
        <w:jc w:val="both"/>
        <w:rPr>
          <w:rFonts w:ascii="Verdana" w:eastAsia="Times New Roman" w:hAnsi="Verdana" w:cs="Arial"/>
          <w:color w:val="000000"/>
          <w:sz w:val="20"/>
          <w:szCs w:val="20"/>
          <w:lang w:val="es-ES_tradnl"/>
        </w:rPr>
      </w:pPr>
      <w:proofErr w:type="spellStart"/>
      <w:r w:rsidRPr="00811244">
        <w:rPr>
          <w:rFonts w:ascii="Verdana" w:eastAsia="Times New Roman" w:hAnsi="Verdana" w:cs="Arial"/>
          <w:color w:val="000000"/>
          <w:sz w:val="20"/>
          <w:szCs w:val="20"/>
          <w:lang w:val="es-ES_tradnl"/>
        </w:rPr>
        <w:t>iv</w:t>
      </w:r>
      <w:proofErr w:type="spellEnd"/>
      <w:r w:rsidRPr="00811244">
        <w:rPr>
          <w:rFonts w:ascii="Verdana" w:eastAsia="Times New Roman" w:hAnsi="Verdana" w:cs="Arial"/>
          <w:color w:val="000000"/>
          <w:sz w:val="20"/>
          <w:szCs w:val="20"/>
          <w:lang w:val="es-ES_tradnl"/>
        </w:rPr>
        <w:t>) Deben ser temporales</w:t>
      </w:r>
      <w:r>
        <w:rPr>
          <w:rFonts w:ascii="Verdana" w:eastAsia="Times New Roman" w:hAnsi="Verdana" w:cs="Arial"/>
          <w:color w:val="000000"/>
          <w:sz w:val="20"/>
          <w:szCs w:val="20"/>
          <w:lang w:val="es-ES_tradnl"/>
        </w:rPr>
        <w:t xml:space="preserve"> […]</w:t>
      </w:r>
      <w:r w:rsidRPr="00811244">
        <w:rPr>
          <w:rFonts w:ascii="Verdana" w:eastAsia="Times New Roman" w:hAnsi="Verdana" w:cs="Arial"/>
          <w:color w:val="000000"/>
          <w:sz w:val="20"/>
          <w:szCs w:val="20"/>
          <w:lang w:val="es-ES_tradnl"/>
        </w:rPr>
        <w:t xml:space="preserve">. </w:t>
      </w:r>
    </w:p>
    <w:p w14:paraId="3FEB949D" w14:textId="409BCF24" w:rsidR="00811244" w:rsidRPr="00811244" w:rsidRDefault="00811244" w:rsidP="00811244">
      <w:pPr>
        <w:spacing w:after="0" w:line="240" w:lineRule="auto"/>
        <w:ind w:right="51"/>
        <w:jc w:val="both"/>
        <w:rPr>
          <w:rFonts w:ascii="Verdana" w:eastAsia="Times New Roman" w:hAnsi="Verdana" w:cs="Arial"/>
          <w:color w:val="000000"/>
          <w:sz w:val="20"/>
          <w:szCs w:val="20"/>
          <w:lang w:val="es-ES_tradnl"/>
        </w:rPr>
      </w:pPr>
      <w:r w:rsidRPr="00811244">
        <w:rPr>
          <w:rFonts w:ascii="Verdana" w:eastAsia="Times New Roman" w:hAnsi="Verdana" w:cs="Arial"/>
          <w:color w:val="000000"/>
          <w:sz w:val="20"/>
          <w:szCs w:val="20"/>
          <w:lang w:val="es-ES"/>
        </w:rPr>
        <w:t xml:space="preserve">v) </w:t>
      </w:r>
      <w:r w:rsidRPr="00811244">
        <w:rPr>
          <w:rFonts w:ascii="Verdana" w:eastAsia="Times New Roman" w:hAnsi="Verdana" w:cs="Arial"/>
          <w:color w:val="000000"/>
          <w:sz w:val="20"/>
          <w:szCs w:val="20"/>
          <w:lang w:val="es-ES_tradnl"/>
        </w:rPr>
        <w:t>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sidRPr="00811244">
        <w:rPr>
          <w:rFonts w:ascii="Verdana" w:eastAsia="Times New Roman" w:hAnsi="Verdana" w:cs="Arial"/>
          <w:color w:val="000000"/>
          <w:sz w:val="20"/>
          <w:szCs w:val="20"/>
          <w:lang w:val="es-ES"/>
        </w:rPr>
        <w:t>.</w:t>
      </w:r>
    </w:p>
    <w:p w14:paraId="4BB125A0" w14:textId="77777777" w:rsidR="00811244" w:rsidRPr="00811244" w:rsidRDefault="00811244" w:rsidP="00811244">
      <w:pPr>
        <w:spacing w:after="0" w:line="240" w:lineRule="auto"/>
        <w:jc w:val="both"/>
        <w:rPr>
          <w:rFonts w:ascii="Verdana" w:eastAsia="Times New Roman" w:hAnsi="Verdana" w:cs="Arial"/>
          <w:color w:val="000000"/>
          <w:sz w:val="20"/>
          <w:szCs w:val="20"/>
          <w:lang w:val="es-ES_tradnl"/>
        </w:rPr>
      </w:pPr>
      <w:r w:rsidRPr="00811244">
        <w:rPr>
          <w:rFonts w:ascii="Verdana" w:eastAsia="Times New Roman" w:hAnsi="Verdana" w:cs="Arial"/>
          <w:color w:val="000000"/>
          <w:sz w:val="20"/>
          <w:szCs w:val="20"/>
          <w:lang w:val="es-ES_tradnl"/>
        </w:rPr>
        <w:t>vi) Su celebración debe realizarse a través de la modalidad de contratación directa, independientemente de la cuantía y del tipo de servicio, siempre que este no ingrese dentro del objeto del contrato de consultoría</w:t>
      </w:r>
    </w:p>
    <w:p w14:paraId="65FD35C0" w14:textId="34667823" w:rsidR="00811244" w:rsidRPr="00811244" w:rsidRDefault="00811244" w:rsidP="00811244">
      <w:pPr>
        <w:spacing w:after="0" w:line="240" w:lineRule="auto"/>
        <w:jc w:val="both"/>
        <w:rPr>
          <w:rFonts w:ascii="Verdana" w:eastAsia="Times New Roman" w:hAnsi="Verdana" w:cs="Arial"/>
          <w:color w:val="000000"/>
          <w:sz w:val="20"/>
          <w:szCs w:val="20"/>
          <w:lang w:val="es-ES_tradnl"/>
        </w:rPr>
      </w:pPr>
      <w:proofErr w:type="spellStart"/>
      <w:r w:rsidRPr="00811244">
        <w:rPr>
          <w:rFonts w:ascii="Verdana" w:eastAsia="Times New Roman" w:hAnsi="Verdana" w:cs="Arial"/>
          <w:color w:val="000000"/>
          <w:sz w:val="20"/>
          <w:szCs w:val="20"/>
          <w:lang w:val="es-ES_tradnl"/>
        </w:rPr>
        <w:t>vii</w:t>
      </w:r>
      <w:proofErr w:type="spellEnd"/>
      <w:r w:rsidRPr="00811244">
        <w:rPr>
          <w:rFonts w:ascii="Verdana" w:eastAsia="Times New Roman" w:hAnsi="Verdana" w:cs="Arial"/>
          <w:color w:val="000000"/>
          <w:sz w:val="20"/>
          <w:szCs w:val="20"/>
          <w:lang w:val="es-ES_tradnl"/>
        </w:rPr>
        <w:t xml:space="preserve">) Para su celebración no se requiere en algunos casos la expedición del acto administrativo de justificación de la contratación directa. </w:t>
      </w:r>
    </w:p>
    <w:p w14:paraId="3E0403A8" w14:textId="5A1BAB4F" w:rsidR="00811244" w:rsidRPr="00811244" w:rsidRDefault="00811244" w:rsidP="00811244">
      <w:pPr>
        <w:spacing w:after="0" w:line="240" w:lineRule="auto"/>
        <w:jc w:val="both"/>
        <w:rPr>
          <w:rFonts w:ascii="Verdana" w:eastAsia="Times New Roman" w:hAnsi="Verdana" w:cs="Arial"/>
          <w:color w:val="000000"/>
          <w:sz w:val="20"/>
          <w:szCs w:val="20"/>
          <w:lang w:val="es-ES_tradnl"/>
        </w:rPr>
      </w:pPr>
      <w:proofErr w:type="spellStart"/>
      <w:r w:rsidRPr="00811244">
        <w:rPr>
          <w:rFonts w:ascii="Verdana" w:eastAsia="Times New Roman" w:hAnsi="Verdana" w:cs="Arial"/>
          <w:color w:val="000000"/>
          <w:sz w:val="20"/>
          <w:szCs w:val="20"/>
          <w:lang w:val="es-ES_tradnl"/>
        </w:rPr>
        <w:t>viii</w:t>
      </w:r>
      <w:proofErr w:type="spellEnd"/>
      <w:r w:rsidRPr="00811244">
        <w:rPr>
          <w:rFonts w:ascii="Verdana" w:eastAsia="Times New Roman" w:hAnsi="Verdana" w:cs="Arial"/>
          <w:color w:val="000000"/>
          <w:sz w:val="20"/>
          <w:szCs w:val="20"/>
          <w:lang w:val="es-ES_tradnl"/>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p>
    <w:p w14:paraId="1DBF1497" w14:textId="77777777" w:rsidR="00811244" w:rsidRDefault="00811244" w:rsidP="00811244">
      <w:pPr>
        <w:spacing w:after="0" w:line="240" w:lineRule="auto"/>
        <w:jc w:val="both"/>
        <w:rPr>
          <w:rFonts w:ascii="Verdana" w:eastAsia="Times New Roman" w:hAnsi="Verdana" w:cs="Arial"/>
          <w:color w:val="000000"/>
          <w:sz w:val="20"/>
          <w:szCs w:val="20"/>
          <w:lang w:val="es-ES_tradnl"/>
        </w:rPr>
      </w:pPr>
      <w:proofErr w:type="spellStart"/>
      <w:r w:rsidRPr="00811244">
        <w:rPr>
          <w:rFonts w:ascii="Verdana" w:eastAsia="Times New Roman" w:hAnsi="Verdana" w:cs="Arial"/>
          <w:color w:val="000000"/>
          <w:sz w:val="20"/>
          <w:szCs w:val="20"/>
          <w:lang w:val="es-ES_tradnl"/>
        </w:rPr>
        <w:t>ix</w:t>
      </w:r>
      <w:proofErr w:type="spellEnd"/>
      <w:r w:rsidRPr="00811244">
        <w:rPr>
          <w:rFonts w:ascii="Verdana" w:eastAsia="Times New Roman" w:hAnsi="Verdana" w:cs="Arial"/>
          <w:color w:val="000000"/>
          <w:sz w:val="20"/>
          <w:szCs w:val="20"/>
          <w:lang w:val="es-ES_tradnl"/>
        </w:rPr>
        <w:t>) En algunos casos no es obligatoria la liquidación</w:t>
      </w:r>
      <w:r>
        <w:rPr>
          <w:rFonts w:ascii="Verdana" w:eastAsia="Times New Roman" w:hAnsi="Verdana" w:cs="Arial"/>
          <w:color w:val="000000"/>
          <w:sz w:val="20"/>
          <w:szCs w:val="20"/>
          <w:lang w:val="es-ES_tradnl"/>
        </w:rPr>
        <w:t xml:space="preserve"> […].</w:t>
      </w:r>
    </w:p>
    <w:p w14:paraId="0011F344" w14:textId="468597F5" w:rsidR="00811244" w:rsidRPr="00811244" w:rsidRDefault="00811244" w:rsidP="00811244">
      <w:pPr>
        <w:spacing w:after="0" w:line="240" w:lineRule="auto"/>
        <w:jc w:val="both"/>
        <w:rPr>
          <w:rFonts w:ascii="Verdana" w:eastAsia="Times New Roman" w:hAnsi="Verdana" w:cs="Arial"/>
          <w:color w:val="000000"/>
          <w:sz w:val="20"/>
          <w:szCs w:val="20"/>
          <w:lang w:val="es-ES_tradnl"/>
        </w:rPr>
      </w:pPr>
      <w:r w:rsidRPr="00811244">
        <w:rPr>
          <w:rFonts w:ascii="Verdana" w:eastAsia="Times New Roman" w:hAnsi="Verdana" w:cs="Arial"/>
          <w:color w:val="000000"/>
          <w:sz w:val="20"/>
          <w:szCs w:val="20"/>
          <w:lang w:val="es-ES_tradnl"/>
        </w:rPr>
        <w:t>x) Para su celebración no se requiere inscripción en el Registro Único de Proponentes (RUP), según lo prevé el artículo 6 de la Ley 1150 de 2007.</w:t>
      </w:r>
    </w:p>
    <w:p w14:paraId="4BAE3572" w14:textId="0E236733" w:rsidR="00811244" w:rsidRPr="00811244" w:rsidRDefault="00811244" w:rsidP="00811244">
      <w:pPr>
        <w:spacing w:after="0" w:line="240" w:lineRule="auto"/>
        <w:jc w:val="both"/>
        <w:rPr>
          <w:rFonts w:ascii="Verdana" w:eastAsia="Times New Roman" w:hAnsi="Verdana" w:cs="Arial"/>
          <w:color w:val="000000"/>
          <w:sz w:val="20"/>
          <w:szCs w:val="20"/>
          <w:lang w:val="es-ES_tradnl"/>
        </w:rPr>
      </w:pPr>
      <w:r w:rsidRPr="00811244">
        <w:rPr>
          <w:rFonts w:ascii="Verdana" w:eastAsia="Times New Roman" w:hAnsi="Verdana" w:cs="Arial"/>
          <w:color w:val="000000"/>
          <w:sz w:val="20"/>
          <w:szCs w:val="20"/>
          <w:lang w:val="es-ES_tradnl"/>
        </w:rPr>
        <w:t>xi) En ellos no son necesarias las garantías.</w:t>
      </w:r>
    </w:p>
    <w:p w14:paraId="778D7152" w14:textId="77777777" w:rsidR="00811244" w:rsidRPr="00811244" w:rsidRDefault="00811244" w:rsidP="00811244">
      <w:pPr>
        <w:spacing w:after="0" w:line="240" w:lineRule="auto"/>
        <w:jc w:val="both"/>
        <w:rPr>
          <w:rFonts w:ascii="Verdana" w:eastAsia="Times New Roman" w:hAnsi="Verdana" w:cs="Arial"/>
          <w:color w:val="000000"/>
          <w:sz w:val="20"/>
          <w:szCs w:val="20"/>
          <w:lang w:val="es-ES_tradnl"/>
        </w:rPr>
      </w:pPr>
    </w:p>
    <w:p w14:paraId="598CA01C" w14:textId="77777777" w:rsidR="00811244" w:rsidRDefault="00811244" w:rsidP="00811244">
      <w:pPr>
        <w:spacing w:after="0" w:line="240" w:lineRule="auto"/>
        <w:jc w:val="both"/>
        <w:rPr>
          <w:rFonts w:ascii="Verdana" w:eastAsia="Calibri" w:hAnsi="Verdana" w:cs="Arial"/>
          <w:bCs/>
          <w:lang w:val="es-MX" w:eastAsia="es-ES"/>
        </w:rPr>
      </w:pPr>
      <w:r w:rsidRPr="00811244">
        <w:rPr>
          <w:rFonts w:ascii="Verdana" w:eastAsia="Calibri" w:hAnsi="Verdana" w:cs="Arial"/>
          <w:b/>
          <w:lang w:val="es-MX" w:eastAsia="es-ES"/>
        </w:rPr>
        <w:lastRenderedPageBreak/>
        <w:t>ESTABILIDAD OCUPACIONAL REFORZADA DE PERSONAS EN SITUACION DE DEBILIDAD MANIFIESTA POR RAZONES DE SALUD – Corte Constitucional – Fundamento constitucional – Alcance</w:t>
      </w:r>
      <w:r>
        <w:rPr>
          <w:rFonts w:ascii="Verdana" w:eastAsia="Calibri" w:hAnsi="Verdana" w:cs="Arial"/>
          <w:bCs/>
          <w:lang w:val="es-MX" w:eastAsia="es-ES"/>
        </w:rPr>
        <w:t xml:space="preserve"> </w:t>
      </w:r>
    </w:p>
    <w:p w14:paraId="4C087E60" w14:textId="77777777" w:rsidR="00811244" w:rsidRDefault="00811244" w:rsidP="00811244">
      <w:pPr>
        <w:spacing w:after="0" w:line="240" w:lineRule="auto"/>
        <w:jc w:val="both"/>
        <w:rPr>
          <w:rFonts w:ascii="Verdana" w:eastAsia="Calibri" w:hAnsi="Verdana" w:cs="Arial"/>
          <w:b/>
          <w:lang w:val="es-MX" w:eastAsia="es-ES"/>
        </w:rPr>
      </w:pPr>
    </w:p>
    <w:p w14:paraId="376E76D6" w14:textId="7C234F6A" w:rsidR="00811244" w:rsidRPr="00811244" w:rsidRDefault="00811244" w:rsidP="00811244">
      <w:pPr>
        <w:spacing w:after="0" w:line="240" w:lineRule="auto"/>
        <w:jc w:val="both"/>
        <w:rPr>
          <w:rFonts w:ascii="Verdana" w:eastAsia="Times New Roman" w:hAnsi="Verdana" w:cs="Arial"/>
          <w:sz w:val="20"/>
          <w:szCs w:val="20"/>
          <w:lang w:val="es-ES"/>
        </w:rPr>
      </w:pPr>
      <w:r w:rsidRPr="00811244">
        <w:rPr>
          <w:rFonts w:ascii="Verdana" w:eastAsia="Times New Roman" w:hAnsi="Verdana" w:cs="Arial"/>
          <w:sz w:val="20"/>
          <w:szCs w:val="20"/>
          <w:lang w:val="es-ES"/>
        </w:rPr>
        <w:t>[…] en sentencia de unificación SU- 049 del 2 de febrero de 2017, la Sala Plena de la Corte Constitucional unificó su jurisprudencia sobre la protección de estabilidad laboral reforzada que deben tener las personas en condición de debilidad manifiesta por cuestiones de salud, con fundamento constitucional en el “</w:t>
      </w:r>
      <w:r w:rsidRPr="00811244">
        <w:rPr>
          <w:rFonts w:ascii="Verdana" w:eastAsia="Times New Roman" w:hAnsi="Verdana" w:cs="Arial"/>
          <w:i/>
          <w:iCs/>
          <w:sz w:val="20"/>
          <w:szCs w:val="20"/>
        </w:rPr>
        <w:t>derecho a “la estabilidad en el empleo” (CP art 53); en el derecho de todas las personas que “se encuentren en circunstancias de debilidad manifiesta” a ser protegidas “especialmente” con miras a promover las condiciones que hagan posible una igualdad “real y efectiva” (CP arts. 13 y 93); en que el derecho al trabajo “en todas sus modalidades” tiene especial protección del Estado y debe estar rodeado de “condiciones dignas y justas” (CP art 25); en el deber que tiene el Estado de adelantar una política de “integración social” a favor de aquellos que pueden considerarse “disminuidos físicos, sensoriales y síquicos” (CP art 47); en el derecho fundamental a gozar de un mínimo vital, entendido como la posibilidad efectiva de satisfacer necesidades humanas básicas como la alimentación, el vestido, el aseo, la vivienda, la educación y la salud (CP arts. 1, 53, 93 y 94); en el deber de todos de “obrar conforme al principio de solidaridad social” (CP arts. 1, 48 y 95)</w:t>
      </w:r>
      <w:r w:rsidRPr="00811244">
        <w:rPr>
          <w:rFonts w:ascii="Verdana" w:eastAsia="Times New Roman" w:hAnsi="Verdana" w:cs="Arial"/>
          <w:sz w:val="20"/>
          <w:szCs w:val="20"/>
          <w:lang w:val="es-ES"/>
        </w:rPr>
        <w:t>”.</w:t>
      </w:r>
    </w:p>
    <w:p w14:paraId="48C147F5" w14:textId="77777777" w:rsidR="00811244" w:rsidRPr="00811244" w:rsidRDefault="00811244" w:rsidP="00811244">
      <w:pPr>
        <w:spacing w:after="0" w:line="240" w:lineRule="auto"/>
        <w:jc w:val="both"/>
        <w:rPr>
          <w:rFonts w:ascii="Verdana" w:eastAsia="Times New Roman" w:hAnsi="Verdana" w:cs="Arial"/>
          <w:sz w:val="20"/>
          <w:szCs w:val="20"/>
          <w:lang w:val="es-ES"/>
        </w:rPr>
      </w:pPr>
    </w:p>
    <w:p w14:paraId="62E242CB" w14:textId="5C4BBFC4" w:rsidR="00811244" w:rsidRPr="00811244" w:rsidRDefault="00811244" w:rsidP="00811244">
      <w:pPr>
        <w:spacing w:after="0" w:line="240" w:lineRule="auto"/>
        <w:jc w:val="both"/>
        <w:rPr>
          <w:rFonts w:ascii="Verdana" w:eastAsia="Times New Roman" w:hAnsi="Verdana" w:cs="Arial"/>
          <w:color w:val="000000"/>
          <w:sz w:val="20"/>
          <w:szCs w:val="20"/>
          <w:lang w:val="es-ES_tradnl" w:eastAsia="es-ES_tradnl"/>
        </w:rPr>
      </w:pPr>
      <w:r w:rsidRPr="00811244">
        <w:rPr>
          <w:rFonts w:ascii="Verdana" w:eastAsia="Times New Roman" w:hAnsi="Verdana" w:cs="Arial"/>
          <w:color w:val="000000"/>
          <w:sz w:val="20"/>
          <w:szCs w:val="20"/>
          <w:lang w:val="es-ES_tradnl" w:eastAsia="es-ES_tradnl"/>
        </w:rPr>
        <w:t>En efecto, para la Corte Constitucional la protección a la estabilidad reforzada se asienta en los principios de solidaridad e integración social (Artículos 1, 43 y 95 de la CP) […].</w:t>
      </w:r>
    </w:p>
    <w:p w14:paraId="21DE691A" w14:textId="77777777" w:rsidR="00811244" w:rsidRPr="00811244" w:rsidRDefault="00811244" w:rsidP="00811244">
      <w:pPr>
        <w:spacing w:after="0" w:line="240" w:lineRule="auto"/>
        <w:jc w:val="both"/>
        <w:rPr>
          <w:rFonts w:ascii="Verdana" w:eastAsia="Times New Roman" w:hAnsi="Verdana" w:cs="Arial"/>
          <w:color w:val="000000"/>
          <w:sz w:val="20"/>
          <w:szCs w:val="20"/>
          <w:lang w:val="es-ES_tradnl" w:eastAsia="es-ES_tradnl"/>
        </w:rPr>
      </w:pPr>
    </w:p>
    <w:p w14:paraId="0BCCB74D" w14:textId="1078131C" w:rsidR="00811244" w:rsidRPr="00811244" w:rsidRDefault="00811244" w:rsidP="00811244">
      <w:pPr>
        <w:spacing w:after="0" w:line="240" w:lineRule="auto"/>
        <w:jc w:val="both"/>
        <w:rPr>
          <w:rFonts w:ascii="Verdana" w:eastAsia="Times New Roman" w:hAnsi="Verdana" w:cs="Arial"/>
          <w:color w:val="000000"/>
          <w:sz w:val="20"/>
          <w:szCs w:val="20"/>
          <w:lang w:val="es-ES_tradnl" w:eastAsia="es-ES_tradnl"/>
        </w:rPr>
      </w:pPr>
      <w:r w:rsidRPr="00811244">
        <w:rPr>
          <w:rFonts w:ascii="Verdana" w:eastAsia="Times New Roman" w:hAnsi="Verdana" w:cs="Arial"/>
          <w:color w:val="000000"/>
          <w:sz w:val="20"/>
          <w:szCs w:val="20"/>
          <w:lang w:val="es-ES_tradnl" w:eastAsia="es-ES_tradnl"/>
        </w:rPr>
        <w:t>Las personas que se encuentran en condiciones de debilidad manifiesta no son solo aquellos quienes han tenido una pérdida calificada de capacidad laboral bien sea en un grado moderado, severo o profundo, sino aquellos quienes experimentan una afectación de salud que les impide o dificulta sustancialmente el desempeño de sus funciones en las condiciones regulares.</w:t>
      </w:r>
    </w:p>
    <w:p w14:paraId="0F5D0C40" w14:textId="77777777" w:rsidR="00811244" w:rsidRPr="00811244" w:rsidRDefault="00811244" w:rsidP="00811244">
      <w:pPr>
        <w:spacing w:after="0" w:line="240" w:lineRule="auto"/>
        <w:jc w:val="both"/>
        <w:rPr>
          <w:rFonts w:ascii="Verdana" w:eastAsia="Calibri" w:hAnsi="Verdana" w:cs="Arial"/>
          <w:bCs/>
          <w:lang w:val="es-MX" w:eastAsia="es-ES"/>
        </w:rPr>
      </w:pPr>
    </w:p>
    <w:p w14:paraId="3D6C0449" w14:textId="7F3AD728" w:rsidR="00811244" w:rsidRDefault="00811244" w:rsidP="00811244">
      <w:pPr>
        <w:spacing w:after="0" w:line="240" w:lineRule="auto"/>
        <w:jc w:val="both"/>
        <w:rPr>
          <w:rFonts w:ascii="Verdana" w:eastAsia="Calibri" w:hAnsi="Verdana" w:cs="Arial"/>
          <w:bCs/>
          <w:lang w:val="es-MX" w:eastAsia="es-ES"/>
        </w:rPr>
      </w:pPr>
      <w:r w:rsidRPr="00811244">
        <w:rPr>
          <w:rFonts w:ascii="Verdana" w:eastAsia="Calibri" w:hAnsi="Verdana" w:cs="Arial"/>
          <w:b/>
          <w:lang w:val="es-MX" w:eastAsia="es-ES"/>
        </w:rPr>
        <w:t>ESTABILIDAD OCUPACIONAL REFORZADA DE PERSONAS EN SITUACION DE DEBILIDAD MANIFIESTA POR RAZONES DE SALUD – Fundamento legal – Ley 361 de 1997</w:t>
      </w:r>
      <w:r>
        <w:rPr>
          <w:rFonts w:ascii="Verdana" w:eastAsia="Calibri" w:hAnsi="Verdana" w:cs="Arial"/>
          <w:bCs/>
          <w:lang w:val="es-MX" w:eastAsia="es-ES"/>
        </w:rPr>
        <w:t xml:space="preserve"> </w:t>
      </w:r>
    </w:p>
    <w:p w14:paraId="3307F451" w14:textId="77777777" w:rsidR="00811244" w:rsidRDefault="00811244" w:rsidP="00811244">
      <w:pPr>
        <w:spacing w:after="0" w:line="240" w:lineRule="auto"/>
        <w:jc w:val="both"/>
        <w:rPr>
          <w:rFonts w:ascii="Verdana" w:eastAsia="Calibri" w:hAnsi="Verdana" w:cs="Arial"/>
          <w:bCs/>
          <w:lang w:val="es-MX" w:eastAsia="es-ES"/>
        </w:rPr>
      </w:pPr>
    </w:p>
    <w:p w14:paraId="3BF69F9B" w14:textId="77777777" w:rsidR="00811244" w:rsidRDefault="00811244" w:rsidP="00811244">
      <w:pPr>
        <w:spacing w:after="0" w:line="240" w:lineRule="auto"/>
        <w:jc w:val="both"/>
        <w:rPr>
          <w:rFonts w:ascii="Verdana" w:eastAsia="Times New Roman" w:hAnsi="Verdana" w:cs="Arial"/>
          <w:color w:val="000000"/>
          <w:sz w:val="20"/>
          <w:szCs w:val="20"/>
          <w:lang w:val="es-ES_tradnl" w:eastAsia="es-ES_tradnl"/>
        </w:rPr>
      </w:pPr>
      <w:r w:rsidRPr="00811244">
        <w:rPr>
          <w:rFonts w:ascii="Verdana" w:eastAsia="Times New Roman" w:hAnsi="Verdana" w:cs="Arial"/>
          <w:color w:val="000000"/>
          <w:sz w:val="20"/>
          <w:szCs w:val="20"/>
          <w:lang w:val="es-ES_tradnl" w:eastAsia="es-ES_tradnl"/>
        </w:rPr>
        <w:t xml:space="preserve">Por otro lado, resulta importante destacar que la expresión “estabilidad ocupacional reforzada” hace alusión no solo a las relaciones de trabajo caracterizadas por los servicios personales bajo subordinación jerárquica, sino que se extiende </w:t>
      </w:r>
      <w:r w:rsidRPr="00811244">
        <w:rPr>
          <w:rFonts w:ascii="Verdana" w:eastAsia="Times New Roman" w:hAnsi="Verdana" w:cs="Arial"/>
          <w:sz w:val="20"/>
          <w:szCs w:val="20"/>
          <w:lang w:val="es-ES"/>
        </w:rPr>
        <w:t xml:space="preserve">también a quienes tienen relaciones ocupacionales a través de un contrato de prestación de servicios. </w:t>
      </w:r>
    </w:p>
    <w:p w14:paraId="1CF789C9" w14:textId="77777777" w:rsidR="00811244" w:rsidRDefault="00811244" w:rsidP="00811244">
      <w:pPr>
        <w:spacing w:after="0" w:line="240" w:lineRule="auto"/>
        <w:jc w:val="both"/>
        <w:rPr>
          <w:rFonts w:ascii="Verdana" w:eastAsia="Times New Roman" w:hAnsi="Verdana" w:cs="Arial"/>
          <w:color w:val="000000"/>
          <w:sz w:val="20"/>
          <w:szCs w:val="20"/>
          <w:lang w:val="es-ES_tradnl" w:eastAsia="es-ES_tradnl"/>
        </w:rPr>
      </w:pPr>
    </w:p>
    <w:p w14:paraId="20CE90E9" w14:textId="5F6DB65D" w:rsidR="00811244" w:rsidRDefault="00811244" w:rsidP="00811244">
      <w:pPr>
        <w:spacing w:after="0" w:line="240" w:lineRule="auto"/>
        <w:jc w:val="both"/>
        <w:rPr>
          <w:rFonts w:ascii="Verdana" w:eastAsia="Times New Roman" w:hAnsi="Verdana" w:cs="Times New Roman"/>
          <w:sz w:val="20"/>
          <w:szCs w:val="20"/>
          <w:lang w:eastAsia="es-MX"/>
        </w:rPr>
      </w:pPr>
      <w:r w:rsidRPr="00811244">
        <w:rPr>
          <w:rFonts w:ascii="Verdana" w:eastAsia="Times New Roman" w:hAnsi="Verdana" w:cs="Times New Roman"/>
          <w:sz w:val="20"/>
          <w:szCs w:val="20"/>
          <w:lang w:eastAsia="es-MX"/>
        </w:rPr>
        <w:t xml:space="preserve">Ahora bien, en lo que respecta al tema de consulta, la </w:t>
      </w:r>
      <w:r w:rsidRPr="00811244">
        <w:rPr>
          <w:rFonts w:ascii="Verdana" w:eastAsia="Times New Roman" w:hAnsi="Verdana" w:cs="Arial"/>
          <w:i/>
          <w:iCs/>
          <w:sz w:val="20"/>
          <w:szCs w:val="20"/>
          <w:lang w:eastAsia="es-MX"/>
        </w:rPr>
        <w:t>estabilidad ocupacional reforzada de personas en situación de debilidad manifiesta por razones de salud</w:t>
      </w:r>
      <w:r w:rsidRPr="00811244">
        <w:rPr>
          <w:rFonts w:ascii="Verdana" w:eastAsia="Times New Roman" w:hAnsi="Verdana" w:cs="Times New Roman"/>
          <w:sz w:val="20"/>
          <w:szCs w:val="20"/>
          <w:lang w:eastAsia="es-MX"/>
        </w:rPr>
        <w:t xml:space="preserve">, encuentra también un sustento normativo en la Ley 361 de 1997, </w:t>
      </w:r>
      <w:r w:rsidRPr="00811244">
        <w:rPr>
          <w:rFonts w:ascii="Verdana" w:eastAsia="Times New Roman" w:hAnsi="Verdana" w:cs="Arial"/>
          <w:i/>
          <w:iCs/>
          <w:sz w:val="20"/>
          <w:szCs w:val="20"/>
          <w:lang w:eastAsia="es-MX"/>
        </w:rPr>
        <w:t xml:space="preserve">“Por la cual se establecen mecanismos de integración social de las personas en situación de discapacidad y se dictan otras disposiciones”, </w:t>
      </w:r>
      <w:r w:rsidRPr="00811244">
        <w:rPr>
          <w:rFonts w:ascii="Verdana" w:eastAsia="Times New Roman" w:hAnsi="Verdana" w:cs="Times New Roman"/>
          <w:sz w:val="20"/>
          <w:szCs w:val="20"/>
          <w:lang w:eastAsia="es-MX"/>
        </w:rPr>
        <w:t>especialmente en su artículo 26 que dispuso que en ningún caso la discapacidad de una persona podrá́ ser un motivo para terminar su contrato</w:t>
      </w:r>
      <w:r>
        <w:rPr>
          <w:rFonts w:ascii="Verdana" w:eastAsia="Times New Roman" w:hAnsi="Verdana" w:cs="Times New Roman"/>
          <w:sz w:val="20"/>
          <w:szCs w:val="20"/>
          <w:lang w:eastAsia="es-MX"/>
        </w:rPr>
        <w:t>.</w:t>
      </w:r>
    </w:p>
    <w:p w14:paraId="62FBB268" w14:textId="7884746B" w:rsidR="00811244" w:rsidRDefault="00811244" w:rsidP="00811244">
      <w:pPr>
        <w:spacing w:after="0" w:line="240" w:lineRule="auto"/>
        <w:jc w:val="both"/>
        <w:rPr>
          <w:rFonts w:ascii="Verdana" w:eastAsia="Times New Roman" w:hAnsi="Verdana" w:cs="Times New Roman"/>
          <w:sz w:val="20"/>
          <w:szCs w:val="20"/>
          <w:lang w:eastAsia="es-MX"/>
        </w:rPr>
      </w:pPr>
      <w:r>
        <w:rPr>
          <w:rFonts w:ascii="Verdana" w:eastAsia="Times New Roman" w:hAnsi="Verdana" w:cs="Times New Roman"/>
          <w:sz w:val="20"/>
          <w:szCs w:val="20"/>
          <w:lang w:eastAsia="es-MX"/>
        </w:rPr>
        <w:t xml:space="preserve">[…] </w:t>
      </w:r>
    </w:p>
    <w:p w14:paraId="37396D32" w14:textId="77777777" w:rsidR="00811244" w:rsidRDefault="00811244" w:rsidP="00811244">
      <w:pPr>
        <w:spacing w:after="0" w:line="240" w:lineRule="auto"/>
        <w:jc w:val="both"/>
        <w:rPr>
          <w:rFonts w:ascii="Verdana" w:eastAsia="Times New Roman" w:hAnsi="Verdana" w:cs="Times New Roman"/>
          <w:sz w:val="20"/>
          <w:szCs w:val="20"/>
          <w:lang w:eastAsia="es-MX"/>
        </w:rPr>
      </w:pPr>
    </w:p>
    <w:p w14:paraId="08C8FF4B" w14:textId="164C9C9C" w:rsidR="00811244" w:rsidRPr="00811244" w:rsidRDefault="00811244" w:rsidP="00811244">
      <w:pPr>
        <w:spacing w:after="0" w:line="240" w:lineRule="auto"/>
        <w:jc w:val="both"/>
        <w:rPr>
          <w:rFonts w:ascii="Verdana" w:eastAsia="Times New Roman" w:hAnsi="Verdana" w:cs="Arial"/>
          <w:color w:val="000000"/>
          <w:sz w:val="20"/>
          <w:szCs w:val="20"/>
          <w:lang w:eastAsia="es-ES_tradnl"/>
        </w:rPr>
      </w:pPr>
      <w:r w:rsidRPr="00811244">
        <w:rPr>
          <w:rFonts w:ascii="Verdana" w:eastAsia="Times New Roman" w:hAnsi="Verdana" w:cs="Arial"/>
          <w:color w:val="000000"/>
          <w:sz w:val="20"/>
          <w:szCs w:val="20"/>
          <w:lang w:eastAsia="es-ES_tradnl"/>
        </w:rPr>
        <w:t>De esta manera, a una persona en debilidad manifiesta por razones de salud no se le podrá́ terminar su contrato de prestación de servicios por razón de su discapacidad o enfermedad, salvo que medie autorización de la oficina de Trabajo, tal como lo dispone el artículo 26 de la Ley 361 de 1997, teniendo en cuenta que en dichos casos la presunción de discriminación debe ser desvirtuada por la entidad contratante.</w:t>
      </w:r>
    </w:p>
    <w:p w14:paraId="776406A2" w14:textId="77777777" w:rsidR="00811244" w:rsidRDefault="00811244" w:rsidP="00811244">
      <w:pPr>
        <w:spacing w:after="0" w:line="240" w:lineRule="auto"/>
        <w:jc w:val="both"/>
        <w:rPr>
          <w:rFonts w:ascii="Verdana" w:eastAsia="Calibri" w:hAnsi="Verdana" w:cs="Arial"/>
          <w:b/>
          <w:lang w:val="es-MX" w:eastAsia="es-ES"/>
        </w:rPr>
      </w:pPr>
    </w:p>
    <w:p w14:paraId="1A68043E" w14:textId="7CE4FA52" w:rsidR="00811244" w:rsidRDefault="00811244" w:rsidP="00811244">
      <w:pPr>
        <w:spacing w:after="0" w:line="240" w:lineRule="auto"/>
        <w:jc w:val="both"/>
        <w:rPr>
          <w:rFonts w:ascii="Verdana" w:eastAsia="Calibri" w:hAnsi="Verdana" w:cs="Arial"/>
          <w:b/>
          <w:lang w:val="es-MX" w:eastAsia="es-ES"/>
        </w:rPr>
      </w:pPr>
      <w:r w:rsidRPr="00811244">
        <w:rPr>
          <w:rFonts w:ascii="Verdana" w:eastAsia="Calibri" w:hAnsi="Verdana" w:cs="Arial"/>
          <w:b/>
          <w:lang w:val="es-MX" w:eastAsia="es-ES"/>
        </w:rPr>
        <w:t xml:space="preserve">ESTABILIDAD OCUPACIONAL REFORZADA DE PERSONAS EN SITUACION DE DEBILIDAD MANIFIESTA POR RAZONES DE SALUD – Condiciones </w:t>
      </w:r>
    </w:p>
    <w:p w14:paraId="74E695B5" w14:textId="77777777" w:rsidR="00811244" w:rsidRDefault="00811244" w:rsidP="00811244">
      <w:pPr>
        <w:spacing w:after="0" w:line="240" w:lineRule="auto"/>
        <w:jc w:val="both"/>
        <w:rPr>
          <w:rFonts w:ascii="Verdana" w:eastAsia="Calibri" w:hAnsi="Verdana" w:cs="Arial"/>
          <w:b/>
          <w:lang w:val="es-MX" w:eastAsia="es-ES"/>
        </w:rPr>
      </w:pPr>
    </w:p>
    <w:p w14:paraId="2891A928" w14:textId="77777777" w:rsidR="00811244" w:rsidRDefault="00811244" w:rsidP="00811244">
      <w:pPr>
        <w:spacing w:after="0" w:line="240" w:lineRule="auto"/>
        <w:jc w:val="both"/>
        <w:rPr>
          <w:rFonts w:ascii="Verdana" w:eastAsia="Times New Roman" w:hAnsi="Verdana" w:cs="Arial"/>
          <w:sz w:val="20"/>
          <w:szCs w:val="20"/>
          <w:lang w:eastAsia="es-MX"/>
        </w:rPr>
      </w:pPr>
      <w:r w:rsidRPr="00811244">
        <w:rPr>
          <w:rFonts w:ascii="Verdana" w:eastAsia="Times New Roman" w:hAnsi="Verdana" w:cs="Arial"/>
          <w:sz w:val="20"/>
          <w:szCs w:val="20"/>
          <w:lang w:eastAsia="es-MX"/>
        </w:rPr>
        <w:t xml:space="preserve">[…] esta Agencia ratifica lo señalado en Concepto C-135 de 2023, en donde se indica que “si la Entidad Estatal contratante conoce de la situación de debilidad manifiesta del contratista por razones de su salud y subsiste la causa del contrato, es decir, la necesidad que originó la celebración del contrato prestación de servicios sigue existiendo para la entidad estatal, no podrá́ dar por terminado el vínculo contractual, sin que medie permiso del inspector del trabajo, aun cuando se haya configurado su terminación por cumplimiento de plazo contractual. </w:t>
      </w:r>
    </w:p>
    <w:p w14:paraId="350CDAE1" w14:textId="77777777" w:rsidR="00811244" w:rsidRDefault="00811244" w:rsidP="00811244">
      <w:pPr>
        <w:spacing w:after="0" w:line="240" w:lineRule="auto"/>
        <w:jc w:val="both"/>
        <w:rPr>
          <w:rFonts w:ascii="Verdana" w:eastAsia="Times New Roman" w:hAnsi="Verdana" w:cs="Arial"/>
          <w:sz w:val="20"/>
          <w:szCs w:val="20"/>
          <w:lang w:eastAsia="es-MX"/>
        </w:rPr>
      </w:pPr>
    </w:p>
    <w:p w14:paraId="427969AE" w14:textId="771328B0" w:rsidR="00811244" w:rsidRPr="00811244" w:rsidRDefault="00811244" w:rsidP="00811244">
      <w:pPr>
        <w:spacing w:after="0" w:line="240" w:lineRule="auto"/>
        <w:jc w:val="both"/>
        <w:rPr>
          <w:rFonts w:ascii="Verdana" w:eastAsia="Times New Roman" w:hAnsi="Verdana" w:cs="Arial"/>
          <w:sz w:val="20"/>
          <w:szCs w:val="20"/>
          <w:lang w:eastAsia="es-MX"/>
        </w:rPr>
      </w:pPr>
      <w:r w:rsidRPr="00811244">
        <w:rPr>
          <w:rFonts w:ascii="Verdana" w:eastAsia="Times New Roman" w:hAnsi="Verdana" w:cs="Arial"/>
          <w:sz w:val="20"/>
          <w:szCs w:val="20"/>
          <w:lang w:eastAsia="es-MX"/>
        </w:rPr>
        <w:t xml:space="preserve">El no acatamiento de dichas directrices puede dar a lugar a que un juez ordene, previo estudio de las particularidades del caso en concreto, la procedencia de cada una de las siguientes medidas de protección: i) La renovación de la relación contractual; </w:t>
      </w:r>
      <w:proofErr w:type="spellStart"/>
      <w:r w:rsidRPr="00811244">
        <w:rPr>
          <w:rFonts w:ascii="Verdana" w:eastAsia="Times New Roman" w:hAnsi="Verdana" w:cs="Arial"/>
          <w:sz w:val="20"/>
          <w:szCs w:val="20"/>
          <w:lang w:eastAsia="es-MX"/>
        </w:rPr>
        <w:t>ii</w:t>
      </w:r>
      <w:proofErr w:type="spellEnd"/>
      <w:r w:rsidRPr="00811244">
        <w:rPr>
          <w:rFonts w:ascii="Verdana" w:eastAsia="Times New Roman" w:hAnsi="Verdana" w:cs="Arial"/>
          <w:sz w:val="20"/>
          <w:szCs w:val="20"/>
          <w:lang w:eastAsia="es-MX"/>
        </w:rPr>
        <w:t xml:space="preserve">) El pago de los honorarios dejados de percibir desde la fecha de no renovación del contrato, hasta la renovación del mismo; y, </w:t>
      </w:r>
      <w:proofErr w:type="spellStart"/>
      <w:r w:rsidRPr="00811244">
        <w:rPr>
          <w:rFonts w:ascii="Verdana" w:eastAsia="Times New Roman" w:hAnsi="Verdana" w:cs="Arial"/>
          <w:sz w:val="20"/>
          <w:szCs w:val="20"/>
          <w:lang w:eastAsia="es-MX"/>
        </w:rPr>
        <w:t>iii</w:t>
      </w:r>
      <w:proofErr w:type="spellEnd"/>
      <w:r w:rsidRPr="00811244">
        <w:rPr>
          <w:rFonts w:ascii="Verdana" w:eastAsia="Times New Roman" w:hAnsi="Verdana" w:cs="Arial"/>
          <w:sz w:val="20"/>
          <w:szCs w:val="20"/>
          <w:lang w:eastAsia="es-MX"/>
        </w:rPr>
        <w:t>) El pago por concepto de la indemnización por despido previsto en el artículo 26 de la Ley 361 de 1997”.</w:t>
      </w:r>
    </w:p>
    <w:p w14:paraId="3B2CD879" w14:textId="77777777" w:rsidR="00811244" w:rsidRPr="00811244" w:rsidRDefault="00811244" w:rsidP="00811244">
      <w:pPr>
        <w:spacing w:after="0" w:line="240" w:lineRule="auto"/>
        <w:jc w:val="both"/>
        <w:rPr>
          <w:rFonts w:ascii="Verdana" w:eastAsia="Times New Roman" w:hAnsi="Verdana" w:cs="Arial"/>
          <w:sz w:val="20"/>
          <w:szCs w:val="20"/>
          <w:lang w:eastAsia="es-MX"/>
        </w:rPr>
      </w:pPr>
    </w:p>
    <w:p w14:paraId="19BBF32C" w14:textId="77777777" w:rsidR="00811244" w:rsidRDefault="00811244" w:rsidP="00811244">
      <w:pPr>
        <w:spacing w:after="0" w:line="240" w:lineRule="auto"/>
        <w:jc w:val="both"/>
        <w:rPr>
          <w:rFonts w:ascii="Verdana" w:eastAsia="Calibri" w:hAnsi="Verdana" w:cs="Arial"/>
          <w:b/>
          <w:lang w:eastAsia="es-ES"/>
        </w:rPr>
      </w:pPr>
    </w:p>
    <w:p w14:paraId="2C8BEE3C" w14:textId="77777777" w:rsidR="00811244" w:rsidRDefault="00811244" w:rsidP="00811244">
      <w:pPr>
        <w:spacing w:after="0" w:line="240" w:lineRule="auto"/>
        <w:jc w:val="both"/>
        <w:rPr>
          <w:rFonts w:ascii="Verdana" w:eastAsia="Calibri" w:hAnsi="Verdana" w:cs="Arial"/>
          <w:b/>
          <w:lang w:eastAsia="es-ES"/>
        </w:rPr>
      </w:pPr>
    </w:p>
    <w:p w14:paraId="0928082F" w14:textId="77777777" w:rsidR="00811244" w:rsidRDefault="00811244" w:rsidP="00811244">
      <w:pPr>
        <w:spacing w:after="0" w:line="240" w:lineRule="auto"/>
        <w:jc w:val="both"/>
        <w:rPr>
          <w:rFonts w:ascii="Verdana" w:eastAsia="Calibri" w:hAnsi="Verdana" w:cs="Arial"/>
          <w:b/>
          <w:lang w:eastAsia="es-ES"/>
        </w:rPr>
      </w:pPr>
    </w:p>
    <w:p w14:paraId="18DA9E3D" w14:textId="77777777" w:rsidR="00811244" w:rsidRDefault="00811244" w:rsidP="00811244">
      <w:pPr>
        <w:spacing w:after="0" w:line="240" w:lineRule="auto"/>
        <w:jc w:val="both"/>
        <w:rPr>
          <w:rFonts w:ascii="Verdana" w:eastAsia="Calibri" w:hAnsi="Verdana" w:cs="Arial"/>
          <w:b/>
          <w:lang w:eastAsia="es-ES"/>
        </w:rPr>
      </w:pPr>
    </w:p>
    <w:p w14:paraId="7D6F9AB1" w14:textId="77777777" w:rsidR="00811244" w:rsidRDefault="00811244" w:rsidP="00811244">
      <w:pPr>
        <w:spacing w:after="0" w:line="240" w:lineRule="auto"/>
        <w:jc w:val="both"/>
        <w:rPr>
          <w:rFonts w:ascii="Verdana" w:eastAsia="Calibri" w:hAnsi="Verdana" w:cs="Arial"/>
          <w:b/>
          <w:lang w:eastAsia="es-ES"/>
        </w:rPr>
      </w:pPr>
    </w:p>
    <w:p w14:paraId="1DDFBC8B" w14:textId="77777777" w:rsidR="00811244" w:rsidRDefault="00811244" w:rsidP="00811244">
      <w:pPr>
        <w:spacing w:after="0" w:line="240" w:lineRule="auto"/>
        <w:jc w:val="both"/>
        <w:rPr>
          <w:rFonts w:ascii="Verdana" w:eastAsia="Calibri" w:hAnsi="Verdana" w:cs="Arial"/>
          <w:b/>
          <w:lang w:eastAsia="es-ES"/>
        </w:rPr>
      </w:pPr>
    </w:p>
    <w:p w14:paraId="5978CB41" w14:textId="77777777" w:rsidR="00811244" w:rsidRDefault="00811244" w:rsidP="00811244">
      <w:pPr>
        <w:spacing w:after="0" w:line="240" w:lineRule="auto"/>
        <w:jc w:val="both"/>
        <w:rPr>
          <w:rFonts w:ascii="Verdana" w:eastAsia="Calibri" w:hAnsi="Verdana" w:cs="Arial"/>
          <w:b/>
          <w:lang w:eastAsia="es-ES"/>
        </w:rPr>
      </w:pPr>
    </w:p>
    <w:p w14:paraId="3073464E" w14:textId="77777777" w:rsidR="00811244" w:rsidRDefault="00811244" w:rsidP="00811244">
      <w:pPr>
        <w:spacing w:after="0" w:line="240" w:lineRule="auto"/>
        <w:jc w:val="both"/>
        <w:rPr>
          <w:rFonts w:ascii="Verdana" w:eastAsia="Calibri" w:hAnsi="Verdana" w:cs="Arial"/>
          <w:b/>
          <w:lang w:eastAsia="es-ES"/>
        </w:rPr>
      </w:pPr>
    </w:p>
    <w:p w14:paraId="735F6DE9" w14:textId="77777777" w:rsidR="00811244" w:rsidRDefault="00811244" w:rsidP="00811244">
      <w:pPr>
        <w:spacing w:after="0" w:line="240" w:lineRule="auto"/>
        <w:jc w:val="both"/>
        <w:rPr>
          <w:rFonts w:ascii="Verdana" w:eastAsia="Calibri" w:hAnsi="Verdana" w:cs="Arial"/>
          <w:b/>
          <w:lang w:eastAsia="es-ES"/>
        </w:rPr>
      </w:pPr>
    </w:p>
    <w:p w14:paraId="71A07111" w14:textId="77777777" w:rsidR="00811244" w:rsidRDefault="00811244" w:rsidP="00811244">
      <w:pPr>
        <w:spacing w:after="0" w:line="240" w:lineRule="auto"/>
        <w:jc w:val="both"/>
        <w:rPr>
          <w:rFonts w:ascii="Verdana" w:eastAsia="Calibri" w:hAnsi="Verdana" w:cs="Arial"/>
          <w:b/>
          <w:lang w:eastAsia="es-ES"/>
        </w:rPr>
      </w:pPr>
    </w:p>
    <w:p w14:paraId="353A2F3A" w14:textId="77777777" w:rsidR="00811244" w:rsidRDefault="00811244" w:rsidP="00811244">
      <w:pPr>
        <w:spacing w:after="0" w:line="240" w:lineRule="auto"/>
        <w:jc w:val="both"/>
        <w:rPr>
          <w:rFonts w:ascii="Verdana" w:eastAsia="Calibri" w:hAnsi="Verdana" w:cs="Arial"/>
          <w:b/>
          <w:lang w:eastAsia="es-ES"/>
        </w:rPr>
      </w:pPr>
    </w:p>
    <w:p w14:paraId="76425568" w14:textId="77777777" w:rsidR="00811244" w:rsidRDefault="00811244" w:rsidP="00811244">
      <w:pPr>
        <w:spacing w:after="0" w:line="240" w:lineRule="auto"/>
        <w:jc w:val="both"/>
        <w:rPr>
          <w:rFonts w:ascii="Verdana" w:eastAsia="Calibri" w:hAnsi="Verdana" w:cs="Arial"/>
          <w:b/>
          <w:lang w:eastAsia="es-ES"/>
        </w:rPr>
      </w:pPr>
    </w:p>
    <w:p w14:paraId="6F3DE217" w14:textId="77777777" w:rsidR="00811244" w:rsidRDefault="00811244" w:rsidP="00811244">
      <w:pPr>
        <w:spacing w:after="0" w:line="240" w:lineRule="auto"/>
        <w:jc w:val="both"/>
        <w:rPr>
          <w:rFonts w:ascii="Verdana" w:eastAsia="Calibri" w:hAnsi="Verdana" w:cs="Arial"/>
          <w:b/>
          <w:lang w:eastAsia="es-ES"/>
        </w:rPr>
      </w:pPr>
    </w:p>
    <w:p w14:paraId="02AF675C" w14:textId="77777777" w:rsidR="00811244" w:rsidRDefault="00811244" w:rsidP="00811244">
      <w:pPr>
        <w:spacing w:after="0" w:line="240" w:lineRule="auto"/>
        <w:jc w:val="both"/>
        <w:rPr>
          <w:rFonts w:ascii="Verdana" w:eastAsia="Calibri" w:hAnsi="Verdana" w:cs="Arial"/>
          <w:b/>
          <w:lang w:eastAsia="es-ES"/>
        </w:rPr>
      </w:pPr>
    </w:p>
    <w:p w14:paraId="5366F1D8" w14:textId="77777777" w:rsidR="00811244" w:rsidRDefault="00811244" w:rsidP="00811244">
      <w:pPr>
        <w:spacing w:after="0" w:line="240" w:lineRule="auto"/>
        <w:jc w:val="both"/>
        <w:rPr>
          <w:rFonts w:ascii="Verdana" w:eastAsia="Calibri" w:hAnsi="Verdana" w:cs="Arial"/>
          <w:b/>
          <w:lang w:eastAsia="es-ES"/>
        </w:rPr>
      </w:pPr>
    </w:p>
    <w:p w14:paraId="7CAA2CF4" w14:textId="77777777" w:rsidR="00811244" w:rsidRDefault="00811244" w:rsidP="00811244">
      <w:pPr>
        <w:spacing w:after="0" w:line="240" w:lineRule="auto"/>
        <w:jc w:val="both"/>
        <w:rPr>
          <w:rFonts w:ascii="Verdana" w:eastAsia="Calibri" w:hAnsi="Verdana" w:cs="Arial"/>
          <w:b/>
          <w:lang w:eastAsia="es-ES"/>
        </w:rPr>
      </w:pPr>
    </w:p>
    <w:p w14:paraId="2DC9E1AF" w14:textId="77777777" w:rsidR="00811244" w:rsidRPr="00811244" w:rsidRDefault="00811244" w:rsidP="00811244">
      <w:pPr>
        <w:spacing w:after="0" w:line="240" w:lineRule="auto"/>
        <w:jc w:val="both"/>
        <w:rPr>
          <w:rFonts w:ascii="Verdana" w:eastAsia="Calibri" w:hAnsi="Verdana" w:cs="Arial"/>
          <w:b/>
          <w:lang w:eastAsia="es-ES"/>
        </w:rPr>
      </w:pPr>
    </w:p>
    <w:p w14:paraId="769DAFA3" w14:textId="77777777" w:rsidR="00811244" w:rsidRPr="00811244" w:rsidRDefault="00811244" w:rsidP="00BD57B0">
      <w:pPr>
        <w:spacing w:after="0" w:line="240" w:lineRule="auto"/>
        <w:jc w:val="both"/>
        <w:rPr>
          <w:rFonts w:ascii="Verdana" w:eastAsia="Calibri" w:hAnsi="Verdana" w:cs="Arial"/>
          <w:b/>
          <w:lang w:val="es-MX" w:eastAsia="es-ES"/>
        </w:rPr>
      </w:pPr>
    </w:p>
    <w:p w14:paraId="63A978E7" w14:textId="644B40F6" w:rsidR="00BD57B0" w:rsidRDefault="00BD57B0" w:rsidP="00BD57B0">
      <w:pPr>
        <w:spacing w:after="0" w:line="240" w:lineRule="auto"/>
        <w:jc w:val="both"/>
        <w:rPr>
          <w:rFonts w:ascii="Verdana" w:eastAsia="Calibri" w:hAnsi="Verdana" w:cs="Arial"/>
          <w:lang w:eastAsia="es-ES"/>
        </w:rPr>
      </w:pPr>
      <w:r>
        <w:rPr>
          <w:rFonts w:ascii="Verdana" w:eastAsia="Calibri" w:hAnsi="Verdana" w:cs="Arial"/>
          <w:lang w:eastAsia="es-ES"/>
        </w:rPr>
        <w:t xml:space="preserve">Bogotá D.C., </w:t>
      </w:r>
      <w:r w:rsidR="007471BC">
        <w:rPr>
          <w:rFonts w:ascii="Verdana" w:eastAsia="Calibri" w:hAnsi="Verdana" w:cs="Arial"/>
          <w:lang w:eastAsia="es-ES"/>
        </w:rPr>
        <w:t>4 de marzo de 2026</w:t>
      </w:r>
    </w:p>
    <w:p w14:paraId="33868F5B" w14:textId="3E57750B" w:rsidR="006818C2" w:rsidRDefault="006818C2" w:rsidP="006818C2">
      <w:pPr>
        <w:spacing w:after="0" w:line="240" w:lineRule="auto"/>
        <w:jc w:val="right"/>
        <w:rPr>
          <w:rFonts w:ascii="Verdana" w:eastAsia="Calibri" w:hAnsi="Verdana" w:cs="Arial"/>
          <w:lang w:eastAsia="es-ES"/>
        </w:rPr>
      </w:pPr>
      <w:r w:rsidRPr="006818C2">
        <w:rPr>
          <w:rFonts w:ascii="Verdana" w:eastAsia="Calibri" w:hAnsi="Verdana" w:cs="Arial"/>
          <w:noProof/>
          <w:lang w:eastAsia="es-ES"/>
        </w:rPr>
        <w:drawing>
          <wp:inline distT="0" distB="0" distL="0" distR="0" wp14:anchorId="3C31F85E" wp14:editId="036A78B4">
            <wp:extent cx="2225216" cy="655202"/>
            <wp:effectExtent l="0" t="0" r="3810" b="0"/>
            <wp:docPr id="3254455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445556" name=""/>
                    <pic:cNvPicPr/>
                  </pic:nvPicPr>
                  <pic:blipFill>
                    <a:blip r:embed="rId10"/>
                    <a:stretch>
                      <a:fillRect/>
                    </a:stretch>
                  </pic:blipFill>
                  <pic:spPr>
                    <a:xfrm>
                      <a:off x="0" y="0"/>
                      <a:ext cx="2243448" cy="660570"/>
                    </a:xfrm>
                    <a:prstGeom prst="rect">
                      <a:avLst/>
                    </a:prstGeom>
                  </pic:spPr>
                </pic:pic>
              </a:graphicData>
            </a:graphic>
          </wp:inline>
        </w:drawing>
      </w:r>
    </w:p>
    <w:p w14:paraId="710EE53A" w14:textId="77777777" w:rsidR="00BD57B0" w:rsidRPr="00312866" w:rsidRDefault="00BD57B0" w:rsidP="00BD57B0">
      <w:pPr>
        <w:spacing w:after="0" w:line="240" w:lineRule="auto"/>
        <w:jc w:val="both"/>
        <w:rPr>
          <w:rFonts w:ascii="Verdana" w:eastAsia="Calibri" w:hAnsi="Verdana" w:cs="Arial"/>
          <w:lang w:eastAsia="es-ES"/>
        </w:rPr>
      </w:pPr>
      <w:r w:rsidRPr="00312866">
        <w:rPr>
          <w:rFonts w:ascii="Verdana" w:eastAsia="Calibri" w:hAnsi="Verdana" w:cs="Arial"/>
          <w:lang w:eastAsia="es-ES"/>
        </w:rPr>
        <w:t>Señor</w:t>
      </w:r>
    </w:p>
    <w:p w14:paraId="637CCFFD" w14:textId="77777777" w:rsidR="00BD57B0" w:rsidRPr="00312866" w:rsidRDefault="00BD57B0" w:rsidP="00BD57B0">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Omar Eduardo Bonilla Lucumí </w:t>
      </w:r>
    </w:p>
    <w:p w14:paraId="464408BB" w14:textId="77777777" w:rsidR="00BD57B0" w:rsidRPr="00EF7D5C" w:rsidRDefault="00BD57B0" w:rsidP="00BD57B0">
      <w:pPr>
        <w:spacing w:after="0" w:line="240" w:lineRule="auto"/>
        <w:jc w:val="both"/>
        <w:rPr>
          <w:rFonts w:ascii="Verdana" w:hAnsi="Verdana"/>
          <w:b/>
          <w:bCs/>
        </w:rPr>
      </w:pPr>
      <w:hyperlink r:id="rId11" w:history="1">
        <w:r w:rsidRPr="00EF7D5C">
          <w:rPr>
            <w:rStyle w:val="Hipervnculo"/>
            <w:rFonts w:ascii="Verdana" w:hAnsi="Verdana"/>
            <w:b/>
            <w:bCs/>
          </w:rPr>
          <w:t>omaredo13@hotmail.com</w:t>
        </w:r>
      </w:hyperlink>
    </w:p>
    <w:p w14:paraId="3B0FD662" w14:textId="77777777" w:rsidR="00BD57B0" w:rsidRPr="00EF7D5C" w:rsidRDefault="00BD57B0" w:rsidP="00BD57B0">
      <w:pPr>
        <w:spacing w:after="0" w:line="240" w:lineRule="auto"/>
        <w:jc w:val="both"/>
        <w:rPr>
          <w:rFonts w:ascii="Verdana" w:hAnsi="Verdana"/>
        </w:rPr>
      </w:pPr>
      <w:r w:rsidRPr="00EF7D5C">
        <w:rPr>
          <w:rFonts w:ascii="Verdana" w:hAnsi="Verdana"/>
        </w:rPr>
        <w:t xml:space="preserve">Puerto Carreño – Vichada </w:t>
      </w:r>
    </w:p>
    <w:p w14:paraId="46123E04" w14:textId="77777777" w:rsidR="00BD57B0" w:rsidRPr="00312866" w:rsidRDefault="00BD57B0" w:rsidP="00BD57B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D57B0" w:rsidRPr="005644FE" w14:paraId="56264610" w14:textId="77777777" w:rsidTr="004432C1">
        <w:trPr>
          <w:trHeight w:val="162"/>
        </w:trPr>
        <w:tc>
          <w:tcPr>
            <w:tcW w:w="3119" w:type="dxa"/>
          </w:tcPr>
          <w:p w14:paraId="44E1EA02" w14:textId="77777777" w:rsidR="00BD57B0" w:rsidRPr="00312866" w:rsidRDefault="00BD57B0" w:rsidP="004432C1">
            <w:pPr>
              <w:jc w:val="both"/>
              <w:rPr>
                <w:rFonts w:ascii="Verdana" w:eastAsia="Calibri" w:hAnsi="Verdana" w:cs="Arial"/>
                <w:b/>
                <w:bCs/>
                <w:color w:val="7030A0"/>
                <w:lang w:eastAsia="es-ES_tradnl"/>
              </w:rPr>
            </w:pPr>
          </w:p>
        </w:tc>
        <w:tc>
          <w:tcPr>
            <w:tcW w:w="5670" w:type="dxa"/>
          </w:tcPr>
          <w:p w14:paraId="51C30338" w14:textId="77777777" w:rsidR="00BD57B0" w:rsidRDefault="00BD57B0" w:rsidP="004432C1">
            <w:pPr>
              <w:jc w:val="both"/>
              <w:rPr>
                <w:rFonts w:ascii="Verdana" w:eastAsia="Calibri" w:hAnsi="Verdana" w:cs="Arial"/>
                <w:b/>
                <w:bCs/>
                <w:lang w:eastAsia="es-ES"/>
              </w:rPr>
            </w:pPr>
            <w:r w:rsidRPr="005644FE">
              <w:rPr>
                <w:rFonts w:ascii="Verdana" w:eastAsia="Calibri" w:hAnsi="Verdana" w:cs="Arial"/>
                <w:b/>
                <w:bCs/>
                <w:lang w:eastAsia="es-ES"/>
              </w:rPr>
              <w:t xml:space="preserve">Concepto </w:t>
            </w:r>
            <w:r>
              <w:rPr>
                <w:rFonts w:ascii="Verdana" w:eastAsia="Calibri" w:hAnsi="Verdana" w:cs="Arial"/>
                <w:b/>
                <w:bCs/>
                <w:lang w:eastAsia="es-ES"/>
              </w:rPr>
              <w:t>C- 104 de 2026</w:t>
            </w:r>
          </w:p>
          <w:p w14:paraId="29DB1E4D" w14:textId="77777777" w:rsidR="00567321" w:rsidRPr="005644FE" w:rsidRDefault="00567321" w:rsidP="004432C1">
            <w:pPr>
              <w:jc w:val="both"/>
              <w:rPr>
                <w:rFonts w:ascii="Verdana" w:eastAsia="Calibri" w:hAnsi="Verdana" w:cs="Arial"/>
                <w:b/>
                <w:bCs/>
                <w:color w:val="7030A0"/>
                <w:lang w:eastAsia="es-ES"/>
              </w:rPr>
            </w:pPr>
          </w:p>
        </w:tc>
      </w:tr>
      <w:tr w:rsidR="00BD57B0" w:rsidRPr="005644FE" w14:paraId="601F8286" w14:textId="77777777" w:rsidTr="004432C1">
        <w:trPr>
          <w:trHeight w:val="884"/>
        </w:trPr>
        <w:tc>
          <w:tcPr>
            <w:tcW w:w="3119" w:type="dxa"/>
          </w:tcPr>
          <w:p w14:paraId="155AC8B4" w14:textId="77777777" w:rsidR="00BD57B0" w:rsidRPr="005644FE" w:rsidRDefault="00BD57B0" w:rsidP="004432C1">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181841F" w14:textId="77777777" w:rsidR="00BD57B0" w:rsidRDefault="00BD57B0" w:rsidP="004432C1">
            <w:pPr>
              <w:spacing w:line="276" w:lineRule="auto"/>
              <w:jc w:val="both"/>
              <w:rPr>
                <w:rFonts w:ascii="Verdana" w:eastAsia="Calibri" w:hAnsi="Verdana" w:cs="Arial"/>
                <w:bCs/>
                <w:lang w:val="es-MX" w:eastAsia="es-ES"/>
              </w:rPr>
            </w:pPr>
            <w:r w:rsidRPr="00FD14E2">
              <w:rPr>
                <w:rFonts w:ascii="Verdana" w:eastAsia="Calibri" w:hAnsi="Verdana" w:cs="Arial"/>
                <w:bCs/>
                <w:lang w:val="es-MX" w:eastAsia="es-ES"/>
              </w:rPr>
              <w:t>CONTRATO DE PRESTACIÓN DE SERVICIOS – Características / ESTABILIDAD OCUPACIONAL REFORZADA</w:t>
            </w:r>
            <w:r>
              <w:rPr>
                <w:rFonts w:ascii="Verdana" w:eastAsia="Calibri" w:hAnsi="Verdana" w:cs="Arial"/>
                <w:bCs/>
                <w:lang w:val="es-MX" w:eastAsia="es-ES"/>
              </w:rPr>
              <w:t xml:space="preserve"> </w:t>
            </w:r>
            <w:r w:rsidRPr="00FD14E2">
              <w:rPr>
                <w:rFonts w:ascii="Verdana" w:eastAsia="Calibri" w:hAnsi="Verdana" w:cs="Arial"/>
                <w:bCs/>
                <w:lang w:val="es-MX" w:eastAsia="es-ES"/>
              </w:rPr>
              <w:t xml:space="preserve">DE PERSONAS EN SITUACION DE DEBILIDAD MANIFIESTA POR RAZONES DE SALUD – Corte Constitucional – </w:t>
            </w:r>
            <w:r>
              <w:rPr>
                <w:rFonts w:ascii="Verdana" w:eastAsia="Calibri" w:hAnsi="Verdana" w:cs="Arial"/>
                <w:bCs/>
                <w:lang w:val="es-MX" w:eastAsia="es-ES"/>
              </w:rPr>
              <w:t xml:space="preserve">Fundamento constitucional – </w:t>
            </w:r>
            <w:r w:rsidRPr="00FD14E2">
              <w:rPr>
                <w:rFonts w:ascii="Verdana" w:eastAsia="Calibri" w:hAnsi="Verdana" w:cs="Arial"/>
                <w:bCs/>
                <w:lang w:val="es-MX" w:eastAsia="es-ES"/>
              </w:rPr>
              <w:t>Alcance</w:t>
            </w:r>
            <w:r>
              <w:rPr>
                <w:rFonts w:ascii="Verdana" w:eastAsia="Calibri" w:hAnsi="Verdana" w:cs="Arial"/>
                <w:bCs/>
                <w:lang w:val="es-MX" w:eastAsia="es-ES"/>
              </w:rPr>
              <w:t xml:space="preserve"> </w:t>
            </w:r>
            <w:r w:rsidRPr="00FD14E2">
              <w:rPr>
                <w:rFonts w:ascii="Verdana" w:eastAsia="Calibri" w:hAnsi="Verdana" w:cs="Arial"/>
                <w:bCs/>
                <w:lang w:val="es-MX" w:eastAsia="es-ES"/>
              </w:rPr>
              <w:t>/ ESTABILIDAD OCUPACIONAL REFORZADA DE PERSONAS EN SITUACION DE DEBILIDAD MANIFIESTA POR RAZONES DE SALUD</w:t>
            </w:r>
            <w:r>
              <w:rPr>
                <w:rFonts w:ascii="Verdana" w:eastAsia="Calibri" w:hAnsi="Verdana" w:cs="Arial"/>
                <w:bCs/>
                <w:lang w:val="es-MX" w:eastAsia="es-ES"/>
              </w:rPr>
              <w:t xml:space="preserve"> </w:t>
            </w:r>
            <w:r w:rsidRPr="00FD14E2">
              <w:rPr>
                <w:rFonts w:ascii="Verdana" w:eastAsia="Calibri" w:hAnsi="Verdana" w:cs="Arial"/>
                <w:bCs/>
                <w:lang w:val="es-MX" w:eastAsia="es-ES"/>
              </w:rPr>
              <w:t xml:space="preserve">– </w:t>
            </w:r>
            <w:r>
              <w:rPr>
                <w:rFonts w:ascii="Verdana" w:eastAsia="Calibri" w:hAnsi="Verdana" w:cs="Arial"/>
                <w:bCs/>
                <w:lang w:val="es-MX" w:eastAsia="es-ES"/>
              </w:rPr>
              <w:t xml:space="preserve">Fundamento </w:t>
            </w:r>
            <w:r w:rsidRPr="00FD14E2">
              <w:rPr>
                <w:rFonts w:ascii="Verdana" w:eastAsia="Calibri" w:hAnsi="Verdana" w:cs="Arial"/>
                <w:bCs/>
                <w:lang w:val="es-MX" w:eastAsia="es-ES"/>
              </w:rPr>
              <w:t>legal</w:t>
            </w:r>
            <w:r>
              <w:rPr>
                <w:rFonts w:ascii="Verdana" w:eastAsia="Calibri" w:hAnsi="Verdana" w:cs="Arial"/>
                <w:bCs/>
                <w:lang w:val="es-MX" w:eastAsia="es-ES"/>
              </w:rPr>
              <w:t xml:space="preserve"> – Ley 361 de 1997 - </w:t>
            </w:r>
            <w:r w:rsidRPr="00FD14E2">
              <w:rPr>
                <w:rFonts w:ascii="Verdana" w:eastAsia="Calibri" w:hAnsi="Verdana" w:cs="Arial"/>
                <w:bCs/>
                <w:lang w:val="es-MX" w:eastAsia="es-ES"/>
              </w:rPr>
              <w:t>ESTABILIDAD OCUPACIONAL REFORZADA DE PERSONAS EN SITUACION DE DEBILIDAD MANIFIESTA POR RAZONES DE SALUD</w:t>
            </w:r>
            <w:r>
              <w:rPr>
                <w:rFonts w:ascii="Verdana" w:eastAsia="Calibri" w:hAnsi="Verdana" w:cs="Arial"/>
                <w:bCs/>
                <w:lang w:val="es-MX" w:eastAsia="es-ES"/>
              </w:rPr>
              <w:t xml:space="preserve"> – Condiciones </w:t>
            </w:r>
          </w:p>
          <w:p w14:paraId="56D262A7" w14:textId="77777777" w:rsidR="00261B09" w:rsidRPr="00FD14E2" w:rsidRDefault="00261B09" w:rsidP="004432C1">
            <w:pPr>
              <w:spacing w:line="276" w:lineRule="auto"/>
              <w:jc w:val="both"/>
              <w:rPr>
                <w:rFonts w:ascii="Verdana" w:eastAsia="Calibri" w:hAnsi="Verdana" w:cs="Arial"/>
                <w:bCs/>
                <w:highlight w:val="yellow"/>
                <w:lang w:val="es-MX" w:eastAsia="es-ES"/>
              </w:rPr>
            </w:pPr>
          </w:p>
        </w:tc>
      </w:tr>
      <w:tr w:rsidR="00BD57B0" w:rsidRPr="005644FE" w14:paraId="408BB5D6" w14:textId="77777777" w:rsidTr="004432C1">
        <w:tc>
          <w:tcPr>
            <w:tcW w:w="3119" w:type="dxa"/>
          </w:tcPr>
          <w:p w14:paraId="33DF3110" w14:textId="77777777" w:rsidR="00BD57B0" w:rsidRPr="005644FE" w:rsidRDefault="00BD57B0" w:rsidP="004432C1">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469F940" w14:textId="77777777" w:rsidR="00BD57B0" w:rsidRPr="00F04657" w:rsidRDefault="00BD57B0" w:rsidP="004432C1">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EF7D5C">
              <w:rPr>
                <w:rFonts w:ascii="Verdana" w:eastAsia="Calibri" w:hAnsi="Verdana" w:cs="Arial"/>
                <w:lang w:eastAsia="es-ES_tradnl"/>
              </w:rPr>
              <w:t>1_2026_01_26_000837</w:t>
            </w:r>
          </w:p>
        </w:tc>
      </w:tr>
    </w:tbl>
    <w:p w14:paraId="4ACBA550" w14:textId="77777777" w:rsidR="00BD57B0" w:rsidRDefault="00BD57B0" w:rsidP="00BD57B0">
      <w:pPr>
        <w:spacing w:after="0" w:line="276" w:lineRule="auto"/>
        <w:jc w:val="both"/>
        <w:rPr>
          <w:rFonts w:ascii="Verdana" w:eastAsia="Calibri" w:hAnsi="Verdana" w:cs="Arial"/>
          <w:lang w:eastAsia="es-ES_tradnl"/>
        </w:rPr>
      </w:pPr>
    </w:p>
    <w:p w14:paraId="0191CE59" w14:textId="77777777" w:rsidR="00BD57B0" w:rsidRPr="005644FE" w:rsidRDefault="00BD57B0" w:rsidP="00BD57B0">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Bonilla</w:t>
      </w:r>
      <w:r w:rsidRPr="005644FE">
        <w:rPr>
          <w:rFonts w:ascii="Verdana" w:eastAsia="Calibri" w:hAnsi="Verdana" w:cs="Arial"/>
          <w:lang w:eastAsia="es-ES"/>
        </w:rPr>
        <w:t>:</w:t>
      </w:r>
    </w:p>
    <w:p w14:paraId="51A5EF78" w14:textId="77777777" w:rsidR="00BD57B0" w:rsidRPr="00E02524" w:rsidRDefault="00BD57B0" w:rsidP="00BD57B0">
      <w:pPr>
        <w:spacing w:after="0"/>
        <w:jc w:val="both"/>
        <w:rPr>
          <w:rFonts w:ascii="Verdana" w:hAnsi="Verdana"/>
          <w:lang w:val="es-MX"/>
        </w:rPr>
      </w:pPr>
    </w:p>
    <w:p w14:paraId="65E09ED7" w14:textId="5716F490" w:rsidR="00BD57B0" w:rsidRDefault="00BD57B0" w:rsidP="00BD57B0">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w:t>
      </w:r>
      <w:r w:rsidR="00A27D29">
        <w:rPr>
          <w:rFonts w:ascii="Verdana" w:hAnsi="Verdana"/>
        </w:rPr>
        <w:t>R</w:t>
      </w:r>
      <w:r w:rsidRPr="00E02524">
        <w:rPr>
          <w:rFonts w:ascii="Verdana" w:hAnsi="Verdana"/>
        </w:rPr>
        <w:t xml:space="preserve">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w:t>
      </w:r>
      <w:r>
        <w:rPr>
          <w:rFonts w:ascii="Verdana" w:eastAsia="Calibri" w:hAnsi="Verdana" w:cs="Arial"/>
          <w:lang w:eastAsia="es-ES"/>
        </w:rPr>
        <w:t xml:space="preserve">del 26 de enero de 2026, remitida previamente por el Departamento Administrativo de la Función Pública el 19 de enero de 2026 mediante radicado </w:t>
      </w:r>
      <w:r w:rsidRPr="00803AB7">
        <w:rPr>
          <w:rFonts w:ascii="Verdana" w:eastAsia="Calibri" w:hAnsi="Verdana" w:cs="Arial"/>
          <w:lang w:eastAsia="es-ES"/>
        </w:rPr>
        <w:t xml:space="preserve">20262040018381 </w:t>
      </w:r>
      <w:r w:rsidRPr="005644FE">
        <w:rPr>
          <w:rFonts w:ascii="Verdana" w:eastAsia="Calibri" w:hAnsi="Verdana" w:cs="Arial"/>
          <w:lang w:eastAsia="es-ES"/>
        </w:rPr>
        <w:t xml:space="preserve">de fecha </w:t>
      </w:r>
      <w:r>
        <w:rPr>
          <w:rFonts w:ascii="Verdana" w:eastAsia="Calibri" w:hAnsi="Verdana" w:cs="Arial"/>
          <w:lang w:eastAsia="es-ES"/>
        </w:rPr>
        <w:t>17 de diciembre</w:t>
      </w:r>
      <w:r w:rsidRPr="005644FE">
        <w:rPr>
          <w:rFonts w:ascii="Verdana" w:eastAsia="Calibri" w:hAnsi="Verdana" w:cs="Arial"/>
          <w:lang w:eastAsia="es-ES"/>
        </w:rPr>
        <w:t xml:space="preserve"> de 2025</w:t>
      </w:r>
      <w:r>
        <w:rPr>
          <w:rFonts w:ascii="Verdana" w:eastAsia="Calibri" w:hAnsi="Verdana" w:cs="Arial"/>
          <w:lang w:eastAsia="es-ES"/>
        </w:rPr>
        <w:t xml:space="preserve">, </w:t>
      </w:r>
      <w:r w:rsidRPr="005644FE">
        <w:rPr>
          <w:rFonts w:ascii="Verdana" w:eastAsia="Calibri" w:hAnsi="Verdana" w:cs="Arial"/>
          <w:lang w:eastAsia="es-ES"/>
        </w:rPr>
        <w:t>en la cual manifiesta lo siguiente:</w:t>
      </w:r>
    </w:p>
    <w:p w14:paraId="753A9803" w14:textId="77777777" w:rsidR="00BD57B0" w:rsidRDefault="00BD57B0" w:rsidP="00BD57B0">
      <w:pPr>
        <w:spacing w:after="0"/>
        <w:jc w:val="both"/>
        <w:rPr>
          <w:rFonts w:ascii="Verdana" w:hAnsi="Verdana"/>
        </w:rPr>
      </w:pPr>
      <w:r w:rsidRPr="00E02524">
        <w:rPr>
          <w:rFonts w:ascii="Verdana" w:hAnsi="Verdana"/>
        </w:rPr>
        <w:t xml:space="preserve">PETICIÓN REALIZADA </w:t>
      </w:r>
    </w:p>
    <w:p w14:paraId="63E6993C" w14:textId="77777777" w:rsidR="00BD57B0" w:rsidRPr="008E5B36" w:rsidRDefault="00BD57B0" w:rsidP="00BD57B0">
      <w:pPr>
        <w:spacing w:after="0" w:line="240" w:lineRule="auto"/>
        <w:jc w:val="both"/>
        <w:rPr>
          <w:rFonts w:ascii="Verdana" w:hAnsi="Verdana"/>
        </w:rPr>
      </w:pPr>
    </w:p>
    <w:p w14:paraId="20916D3D" w14:textId="77777777" w:rsidR="00BD57B0" w:rsidRDefault="00BD57B0" w:rsidP="007A1800">
      <w:pPr>
        <w:spacing w:after="0" w:line="240" w:lineRule="auto"/>
        <w:ind w:left="709" w:right="709"/>
        <w:jc w:val="both"/>
        <w:rPr>
          <w:rFonts w:ascii="Verdana" w:hAnsi="Verdana"/>
          <w:sz w:val="20"/>
          <w:szCs w:val="20"/>
        </w:rPr>
      </w:pPr>
      <w:r w:rsidRPr="00FC1BE4">
        <w:rPr>
          <w:rFonts w:ascii="Verdana" w:hAnsi="Verdana"/>
          <w:sz w:val="20"/>
          <w:szCs w:val="20"/>
        </w:rPr>
        <w:t xml:space="preserve">“(…) </w:t>
      </w:r>
      <w:r>
        <w:rPr>
          <w:rFonts w:ascii="Verdana" w:hAnsi="Verdana"/>
          <w:sz w:val="20"/>
          <w:szCs w:val="20"/>
        </w:rPr>
        <w:t xml:space="preserve">CUÁL EL TÉRMINO LEGAL ESTABLECIDO PARA RESPETAR EL AMPARO DE ESTABILIDAD LABORAL REFORZADA DE UN CONTRATISTA DE PRESTACIÓN DE SERVICIOS PROFESIONALES DIGANISTICADO (sic) CON CÁNCER, EN CASO DE NO EXISTIR TÉRMINO, COMO SE GENERA SU PROPORCIONALIDAD?  </w:t>
      </w:r>
    </w:p>
    <w:p w14:paraId="061879DB" w14:textId="77777777" w:rsidR="00BD57B0" w:rsidRPr="00763B14" w:rsidRDefault="00BD57B0" w:rsidP="00BD57B0">
      <w:pPr>
        <w:spacing w:after="0" w:line="240" w:lineRule="auto"/>
        <w:ind w:right="758"/>
        <w:jc w:val="both"/>
        <w:rPr>
          <w:rFonts w:ascii="Verdana" w:hAnsi="Verdana"/>
          <w:sz w:val="20"/>
          <w:szCs w:val="20"/>
        </w:rPr>
      </w:pPr>
    </w:p>
    <w:p w14:paraId="74077EFA" w14:textId="77777777" w:rsidR="00BD57B0" w:rsidRPr="00F64722" w:rsidRDefault="00BD57B0" w:rsidP="00BD57B0">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E9F3468" w14:textId="77777777" w:rsidR="00BD57B0" w:rsidRPr="00F64722" w:rsidRDefault="00BD57B0" w:rsidP="00BD57B0">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F64722">
        <w:rPr>
          <w:rFonts w:ascii="Verdana" w:eastAsia="Calibri" w:hAnsi="Verdana" w:cs="Arial"/>
          <w:lang w:eastAsia="es-ES"/>
        </w:rPr>
        <w:t xml:space="preserve">  </w:t>
      </w:r>
    </w:p>
    <w:p w14:paraId="1CAA4FBA" w14:textId="77777777" w:rsidR="00BD57B0" w:rsidRPr="00F64722" w:rsidRDefault="00BD57B0" w:rsidP="00BD57B0">
      <w:pPr>
        <w:spacing w:after="0" w:line="276" w:lineRule="auto"/>
        <w:ind w:firstLine="709"/>
        <w:jc w:val="both"/>
        <w:rPr>
          <w:rFonts w:ascii="Verdana" w:eastAsia="Calibri" w:hAnsi="Verdana" w:cs="Arial"/>
          <w:lang w:eastAsia="es-ES"/>
        </w:rPr>
      </w:pPr>
    </w:p>
    <w:p w14:paraId="4CC15328" w14:textId="77777777" w:rsidR="00BD57B0" w:rsidRPr="00F64722" w:rsidRDefault="00BD57B0" w:rsidP="00BD57B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2FA01567" w14:textId="77777777" w:rsidR="00BD57B0" w:rsidRPr="00F64722" w:rsidRDefault="00BD57B0" w:rsidP="00BD57B0">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2B61CB2A" w14:textId="5C45B357" w:rsidR="00BD57B0" w:rsidRDefault="00BD57B0" w:rsidP="00BD57B0">
      <w:pPr>
        <w:spacing w:after="0" w:line="276" w:lineRule="auto"/>
        <w:jc w:val="both"/>
        <w:rPr>
          <w:rFonts w:ascii="Verdana" w:eastAsia="Calibri" w:hAnsi="Verdana" w:cs="Arial"/>
          <w:lang w:eastAsia="es-ES"/>
        </w:rPr>
      </w:pPr>
      <w:r w:rsidRPr="00333EC2">
        <w:rPr>
          <w:rFonts w:ascii="Verdana" w:eastAsia="Calibri" w:hAnsi="Verdana" w:cs="Arial"/>
          <w:color w:val="000000"/>
          <w:lang w:eastAsia="es-ES"/>
        </w:rPr>
        <w:t xml:space="preserve">De acuerdo con el contenido de su solicitud, esta Agencia resolverá el siguiente problema jurídico: </w:t>
      </w:r>
      <w:r w:rsidRPr="00333EC2">
        <w:rPr>
          <w:rFonts w:ascii="Verdana" w:eastAsia="Century Gothic" w:hAnsi="Verdana" w:cs="Century Gothic"/>
        </w:rPr>
        <w:t>¿Cuál</w:t>
      </w:r>
      <w:r w:rsidRPr="00714FA7">
        <w:rPr>
          <w:rFonts w:ascii="Verdana" w:eastAsia="Century Gothic" w:hAnsi="Verdana" w:cs="Century Gothic"/>
        </w:rPr>
        <w:t xml:space="preserve"> es el alcance de la </w:t>
      </w:r>
      <w:r w:rsidRPr="00714FA7">
        <w:rPr>
          <w:rFonts w:ascii="Verdana" w:hAnsi="Verdana" w:cs="Arial"/>
        </w:rPr>
        <w:t xml:space="preserve">protección de estabilidad ocupacional reforzada </w:t>
      </w:r>
      <w:r w:rsidR="00B87D20">
        <w:rPr>
          <w:rFonts w:ascii="Verdana" w:hAnsi="Verdana" w:cs="Arial"/>
        </w:rPr>
        <w:t xml:space="preserve">de una persona vinculada por contrato </w:t>
      </w:r>
      <w:r w:rsidRPr="00714FA7">
        <w:rPr>
          <w:rFonts w:ascii="Verdana" w:eastAsia="Century Gothic" w:hAnsi="Verdana" w:cs="Century Gothic"/>
        </w:rPr>
        <w:t>de prestación</w:t>
      </w:r>
      <w:r w:rsidRPr="001A2DDB">
        <w:rPr>
          <w:rFonts w:ascii="Verdana" w:eastAsia="Century Gothic" w:hAnsi="Verdana" w:cs="Century Gothic"/>
        </w:rPr>
        <w:t xml:space="preserve"> de servicios </w:t>
      </w:r>
      <w:r w:rsidR="00B87D20">
        <w:rPr>
          <w:rFonts w:ascii="Verdana" w:eastAsia="Century Gothic" w:hAnsi="Verdana" w:cs="Century Gothic"/>
        </w:rPr>
        <w:t xml:space="preserve">en </w:t>
      </w:r>
      <w:r w:rsidR="00B87D20" w:rsidRPr="00D11A4A">
        <w:rPr>
          <w:rFonts w:ascii="Verdana" w:eastAsia="Times New Roman" w:hAnsi="Verdana" w:cs="Arial"/>
          <w:color w:val="000000"/>
          <w:lang w:val="es-ES"/>
        </w:rPr>
        <w:t>situación de debilidad manifiesta por razones de salud</w:t>
      </w:r>
      <w:r w:rsidRPr="00523680">
        <w:rPr>
          <w:rFonts w:ascii="Verdana" w:eastAsia="Century Gothic" w:hAnsi="Verdana" w:cs="Century Gothic"/>
        </w:rPr>
        <w:t>?</w:t>
      </w:r>
      <w:r>
        <w:rPr>
          <w:rFonts w:ascii="Verdana" w:eastAsia="Calibri" w:hAnsi="Verdana" w:cs="Arial"/>
          <w:lang w:eastAsia="es-ES"/>
        </w:rPr>
        <w:t xml:space="preserve"> </w:t>
      </w:r>
    </w:p>
    <w:p w14:paraId="5EF787BE" w14:textId="77777777" w:rsidR="00410443" w:rsidRDefault="00410443" w:rsidP="00BD57B0">
      <w:pPr>
        <w:spacing w:after="0" w:line="276" w:lineRule="auto"/>
        <w:jc w:val="both"/>
        <w:rPr>
          <w:rFonts w:ascii="Verdana" w:eastAsia="Century Gothic" w:hAnsi="Verdana" w:cs="Century Gothic"/>
          <w:b/>
          <w:bCs/>
        </w:rPr>
      </w:pPr>
    </w:p>
    <w:p w14:paraId="01CA5ABF" w14:textId="591F65E1" w:rsidR="00BD57B0" w:rsidRPr="005644FE" w:rsidRDefault="00BD57B0" w:rsidP="00410443">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tbl>
      <w:tblPr>
        <w:tblStyle w:val="Tablaconcuadrcula"/>
        <w:tblW w:w="0" w:type="auto"/>
        <w:tblLook w:val="04A0" w:firstRow="1" w:lastRow="0" w:firstColumn="1" w:lastColumn="0" w:noHBand="0" w:noVBand="1"/>
      </w:tblPr>
      <w:tblGrid>
        <w:gridCol w:w="8828"/>
      </w:tblGrid>
      <w:tr w:rsidR="00BD57B0" w:rsidRPr="005644FE" w14:paraId="260BC617" w14:textId="77777777" w:rsidTr="004432C1">
        <w:tc>
          <w:tcPr>
            <w:tcW w:w="8828" w:type="dxa"/>
          </w:tcPr>
          <w:p w14:paraId="4B07FA86" w14:textId="4AE67F1B" w:rsidR="00BD57B0" w:rsidRDefault="00BD57B0" w:rsidP="007A1800">
            <w:pPr>
              <w:spacing w:after="120" w:line="276" w:lineRule="auto"/>
              <w:jc w:val="both"/>
              <w:rPr>
                <w:rFonts w:ascii="Verdana" w:eastAsia="Times New Roman" w:hAnsi="Verdana" w:cs="Arial"/>
                <w:lang w:val="es-ES"/>
              </w:rPr>
            </w:pPr>
            <w:r>
              <w:rPr>
                <w:rFonts w:ascii="Verdana" w:eastAsia="Times New Roman" w:hAnsi="Verdana" w:cs="Arial"/>
                <w:color w:val="000000"/>
                <w:lang w:val="es-ES_tradnl" w:eastAsia="es-ES_tradnl"/>
              </w:rPr>
              <w:t xml:space="preserve">En cuanto a </w:t>
            </w:r>
            <w:r w:rsidRPr="00D11A4A">
              <w:rPr>
                <w:rFonts w:ascii="Verdana" w:eastAsia="Times New Roman" w:hAnsi="Verdana" w:cs="Arial"/>
                <w:color w:val="000000"/>
                <w:lang w:val="es-ES_tradnl" w:eastAsia="es-ES_tradnl"/>
              </w:rPr>
              <w:t xml:space="preserve">la </w:t>
            </w:r>
            <w:r w:rsidRPr="00D11A4A">
              <w:rPr>
                <w:rFonts w:ascii="Verdana" w:eastAsia="Times New Roman" w:hAnsi="Verdana" w:cs="Arial"/>
                <w:color w:val="000000"/>
                <w:lang w:val="es-ES"/>
              </w:rPr>
              <w:t>estabilidad ocupacional reforzada de personas en situación de debilidad manifiesta por razones de salud</w:t>
            </w:r>
            <w:r w:rsidR="0072364A">
              <w:rPr>
                <w:rFonts w:ascii="Verdana" w:eastAsia="Times New Roman" w:hAnsi="Verdana" w:cs="Arial"/>
                <w:color w:val="000000"/>
                <w:lang w:val="es-ES"/>
              </w:rPr>
              <w:t xml:space="preserve"> debe</w:t>
            </w:r>
            <w:r w:rsidR="00DA0EB1">
              <w:rPr>
                <w:rFonts w:ascii="Verdana" w:eastAsia="Times New Roman" w:hAnsi="Verdana" w:cs="Arial"/>
                <w:color w:val="000000"/>
                <w:lang w:val="es-ES"/>
              </w:rPr>
              <w:t xml:space="preserve"> señalarse que,</w:t>
            </w:r>
            <w:r w:rsidR="00E02C1A">
              <w:rPr>
                <w:rFonts w:ascii="Verdana" w:eastAsia="Times New Roman" w:hAnsi="Verdana" w:cs="Arial"/>
                <w:color w:val="000000"/>
                <w:lang w:val="es-ES"/>
              </w:rPr>
              <w:t xml:space="preserve"> </w:t>
            </w:r>
            <w:r w:rsidRPr="00D11A4A">
              <w:rPr>
                <w:rFonts w:ascii="Verdana" w:eastAsia="Times New Roman" w:hAnsi="Verdana" w:cs="Arial"/>
                <w:lang w:val="es-ES"/>
              </w:rPr>
              <w:t xml:space="preserve">con la expedición de la Constitución Política de 1991, el Estado colombiano reconoció su deber de brindar una protección </w:t>
            </w:r>
            <w:r w:rsidR="008926A6">
              <w:rPr>
                <w:rFonts w:ascii="Verdana" w:eastAsia="Times New Roman" w:hAnsi="Verdana" w:cs="Arial"/>
                <w:lang w:val="es-ES"/>
              </w:rPr>
              <w:t>especial</w:t>
            </w:r>
            <w:r w:rsidR="008926A6" w:rsidRPr="00D11A4A">
              <w:rPr>
                <w:rFonts w:ascii="Verdana" w:eastAsia="Times New Roman" w:hAnsi="Verdana" w:cs="Arial"/>
                <w:lang w:val="es-ES"/>
              </w:rPr>
              <w:t xml:space="preserve"> </w:t>
            </w:r>
            <w:r w:rsidRPr="00D11A4A">
              <w:rPr>
                <w:rFonts w:ascii="Verdana" w:eastAsia="Times New Roman" w:hAnsi="Verdana" w:cs="Arial"/>
                <w:lang w:val="es-ES"/>
              </w:rPr>
              <w:t xml:space="preserve">a todas las personas que se hallen en circunstancias de debilidad manifiesta y, en particular, a las personas en situación de debilidad manifiesta por razones de salud. </w:t>
            </w:r>
          </w:p>
          <w:p w14:paraId="2AA5897D" w14:textId="5AC09642" w:rsidR="00BD57B0" w:rsidRPr="00451B33" w:rsidRDefault="005648F2" w:rsidP="007A1800">
            <w:pPr>
              <w:spacing w:after="120" w:line="276" w:lineRule="auto"/>
              <w:ind w:firstLine="709"/>
              <w:jc w:val="both"/>
              <w:rPr>
                <w:rFonts w:ascii="Verdana" w:eastAsia="Times New Roman" w:hAnsi="Verdana" w:cs="Arial"/>
                <w:lang w:val="es-ES"/>
              </w:rPr>
            </w:pPr>
            <w:r>
              <w:rPr>
                <w:rFonts w:ascii="Verdana" w:eastAsia="Times New Roman" w:hAnsi="Verdana" w:cs="Arial"/>
                <w:lang w:val="es-ES"/>
              </w:rPr>
              <w:t>En esa misma línea</w:t>
            </w:r>
            <w:r w:rsidR="00BD57B0" w:rsidRPr="00255304">
              <w:rPr>
                <w:rFonts w:ascii="Verdana" w:eastAsia="Times New Roman" w:hAnsi="Verdana" w:cs="Arial"/>
                <w:lang w:val="es-ES"/>
              </w:rPr>
              <w:t xml:space="preserve">, </w:t>
            </w:r>
            <w:r>
              <w:rPr>
                <w:rFonts w:ascii="Verdana" w:eastAsia="Times New Roman" w:hAnsi="Verdana" w:cs="Arial"/>
                <w:lang w:val="es-ES"/>
              </w:rPr>
              <w:t>mediante la</w:t>
            </w:r>
            <w:r w:rsidRPr="00255304">
              <w:rPr>
                <w:rFonts w:ascii="Verdana" w:eastAsia="Times New Roman" w:hAnsi="Verdana" w:cs="Arial"/>
                <w:lang w:val="es-ES"/>
              </w:rPr>
              <w:t xml:space="preserve"> </w:t>
            </w:r>
            <w:r>
              <w:rPr>
                <w:rFonts w:ascii="Verdana" w:eastAsia="Times New Roman" w:hAnsi="Verdana" w:cs="Arial"/>
                <w:lang w:val="es-ES"/>
              </w:rPr>
              <w:t>S</w:t>
            </w:r>
            <w:r w:rsidR="00BD57B0" w:rsidRPr="00255304">
              <w:rPr>
                <w:rFonts w:ascii="Verdana" w:eastAsia="Times New Roman" w:hAnsi="Verdana" w:cs="Arial"/>
                <w:lang w:val="es-ES"/>
              </w:rPr>
              <w:t xml:space="preserve">entencia de </w:t>
            </w:r>
            <w:r>
              <w:rPr>
                <w:rFonts w:ascii="Verdana" w:eastAsia="Times New Roman" w:hAnsi="Verdana" w:cs="Arial"/>
                <w:lang w:val="es-ES"/>
              </w:rPr>
              <w:t>U</w:t>
            </w:r>
            <w:r w:rsidR="00BD57B0" w:rsidRPr="00255304">
              <w:rPr>
                <w:rFonts w:ascii="Verdana" w:eastAsia="Times New Roman" w:hAnsi="Verdana" w:cs="Arial"/>
                <w:lang w:val="es-ES"/>
              </w:rPr>
              <w:t xml:space="preserve">nificación </w:t>
            </w:r>
            <w:r w:rsidR="00BD57B0">
              <w:rPr>
                <w:rFonts w:ascii="Verdana" w:eastAsia="Times New Roman" w:hAnsi="Verdana" w:cs="Arial"/>
                <w:lang w:val="es-ES"/>
              </w:rPr>
              <w:t>SU-</w:t>
            </w:r>
            <w:r w:rsidR="00BD57B0" w:rsidRPr="00255304">
              <w:rPr>
                <w:rFonts w:ascii="Verdana" w:eastAsia="Times New Roman" w:hAnsi="Verdana" w:cs="Arial"/>
                <w:lang w:val="es-ES"/>
              </w:rPr>
              <w:t xml:space="preserve">049 del 2 de febrero de 2017, </w:t>
            </w:r>
            <w:r w:rsidR="00BD57B0">
              <w:rPr>
                <w:rFonts w:ascii="Verdana" w:eastAsia="Times New Roman" w:hAnsi="Verdana" w:cs="Arial"/>
                <w:lang w:val="es-ES"/>
              </w:rPr>
              <w:t>la</w:t>
            </w:r>
            <w:r w:rsidR="00BD57B0" w:rsidRPr="00255304">
              <w:rPr>
                <w:rFonts w:ascii="Verdana" w:eastAsia="Times New Roman" w:hAnsi="Verdana" w:cs="Arial"/>
                <w:lang w:val="es-ES"/>
              </w:rPr>
              <w:t xml:space="preserve"> Sala Plena</w:t>
            </w:r>
            <w:r w:rsidR="00BD57B0">
              <w:rPr>
                <w:rFonts w:ascii="Verdana" w:eastAsia="Times New Roman" w:hAnsi="Verdana" w:cs="Arial"/>
                <w:lang w:val="es-ES"/>
              </w:rPr>
              <w:t xml:space="preserve"> de la Corte Constitucional</w:t>
            </w:r>
            <w:r w:rsidR="00BD57B0" w:rsidRPr="00255304">
              <w:rPr>
                <w:rFonts w:ascii="Verdana" w:eastAsia="Times New Roman" w:hAnsi="Verdana" w:cs="Arial"/>
                <w:lang w:val="es-ES"/>
              </w:rPr>
              <w:t xml:space="preserve"> unificó su jurisprudencia sobre la protección de estabilidad laboral reforzada</w:t>
            </w:r>
            <w:r w:rsidR="003558EE">
              <w:rPr>
                <w:rFonts w:ascii="Verdana" w:eastAsia="Times New Roman" w:hAnsi="Verdana" w:cs="Arial"/>
                <w:lang w:val="es-ES"/>
              </w:rPr>
              <w:t xml:space="preserve">, precisando que la </w:t>
            </w:r>
            <w:r w:rsidR="00BD57B0" w:rsidRPr="00255304">
              <w:rPr>
                <w:rFonts w:ascii="Verdana" w:eastAsia="Times New Roman" w:hAnsi="Verdana" w:cs="Arial"/>
                <w:lang w:val="es-ES"/>
              </w:rPr>
              <w:t>condición de debilidad manifiesta por cuestiones de salud</w:t>
            </w:r>
            <w:r w:rsidR="000674CB">
              <w:rPr>
                <w:rFonts w:ascii="Verdana" w:eastAsia="Times New Roman" w:hAnsi="Verdana" w:cs="Arial"/>
                <w:color w:val="000000"/>
                <w:lang w:val="es-ES_tradnl" w:eastAsia="es-ES_tradnl"/>
              </w:rPr>
              <w:t xml:space="preserve"> </w:t>
            </w:r>
            <w:r w:rsidR="00BD57B0" w:rsidRPr="00D92539">
              <w:rPr>
                <w:rFonts w:ascii="Verdana" w:eastAsia="Times New Roman" w:hAnsi="Verdana" w:cs="Arial"/>
                <w:color w:val="000000"/>
                <w:lang w:val="es-ES_tradnl" w:eastAsia="es-ES_tradnl"/>
              </w:rPr>
              <w:t>no s</w:t>
            </w:r>
            <w:r w:rsidR="000674CB">
              <w:rPr>
                <w:rFonts w:ascii="Verdana" w:eastAsia="Times New Roman" w:hAnsi="Verdana" w:cs="Arial"/>
                <w:color w:val="000000"/>
                <w:lang w:val="es-ES_tradnl" w:eastAsia="es-ES_tradnl"/>
              </w:rPr>
              <w:t xml:space="preserve">e limita </w:t>
            </w:r>
            <w:r w:rsidR="00BD57B0" w:rsidRPr="00D92539">
              <w:rPr>
                <w:rFonts w:ascii="Verdana" w:eastAsia="Times New Roman" w:hAnsi="Verdana" w:cs="Arial"/>
                <w:color w:val="000000"/>
                <w:lang w:val="es-ES_tradnl" w:eastAsia="es-ES_tradnl"/>
              </w:rPr>
              <w:t xml:space="preserve"> solo a quienes han tenido una pérdida calificada de capacidad laboral bien sea en un grado moderado, severo o profundo, </w:t>
            </w:r>
            <w:r w:rsidR="000D43A5">
              <w:rPr>
                <w:rFonts w:ascii="Verdana" w:eastAsia="Times New Roman" w:hAnsi="Verdana" w:cs="Arial"/>
                <w:color w:val="000000"/>
                <w:lang w:val="es-ES_tradnl" w:eastAsia="es-ES_tradnl"/>
              </w:rPr>
              <w:t>también cobija a</w:t>
            </w:r>
            <w:r w:rsidR="000D43A5" w:rsidRPr="00D92539">
              <w:rPr>
                <w:rFonts w:ascii="Verdana" w:eastAsia="Times New Roman" w:hAnsi="Verdana" w:cs="Arial"/>
                <w:color w:val="000000"/>
                <w:lang w:val="es-ES_tradnl" w:eastAsia="es-ES_tradnl"/>
              </w:rPr>
              <w:t xml:space="preserve"> </w:t>
            </w:r>
            <w:r w:rsidR="00BD57B0" w:rsidRPr="00D92539">
              <w:rPr>
                <w:rFonts w:ascii="Verdana" w:eastAsia="Times New Roman" w:hAnsi="Verdana" w:cs="Arial"/>
                <w:color w:val="000000"/>
                <w:lang w:val="es-ES_tradnl" w:eastAsia="es-ES_tradnl"/>
              </w:rPr>
              <w:t>aquellos quienes experimentan una afectación de salud que les impide o dificulta sustancialmente el desempeño de sus funciones en las condiciones regulares</w:t>
            </w:r>
            <w:r w:rsidR="00BD57B0">
              <w:rPr>
                <w:rFonts w:ascii="Verdana" w:eastAsia="Times New Roman" w:hAnsi="Verdana" w:cs="Arial"/>
                <w:color w:val="000000"/>
                <w:lang w:val="es-ES_tradnl" w:eastAsia="es-ES_tradnl"/>
              </w:rPr>
              <w:t>.</w:t>
            </w:r>
          </w:p>
          <w:p w14:paraId="09B215A4" w14:textId="3A4A86F1" w:rsidR="00BD57B0" w:rsidRPr="00D92539" w:rsidRDefault="00BA4FEF" w:rsidP="007A1800">
            <w:pPr>
              <w:spacing w:after="120" w:line="276" w:lineRule="auto"/>
              <w:ind w:firstLine="709"/>
              <w:jc w:val="both"/>
              <w:rPr>
                <w:rFonts w:ascii="Verdana" w:eastAsia="Times New Roman" w:hAnsi="Verdana" w:cs="Arial"/>
                <w:color w:val="000000"/>
                <w:lang w:val="es-ES_tradnl" w:eastAsia="es-ES_tradnl"/>
              </w:rPr>
            </w:pPr>
            <w:r>
              <w:rPr>
                <w:rFonts w:ascii="Verdana" w:eastAsia="Times New Roman" w:hAnsi="Verdana" w:cs="Arial"/>
                <w:color w:val="000000"/>
                <w:lang w:val="es-ES_tradnl" w:eastAsia="es-ES_tradnl"/>
              </w:rPr>
              <w:t>Asimismo</w:t>
            </w:r>
            <w:r w:rsidR="00BD57B0">
              <w:rPr>
                <w:rFonts w:ascii="Verdana" w:eastAsia="Times New Roman" w:hAnsi="Verdana" w:cs="Arial"/>
                <w:color w:val="000000"/>
                <w:lang w:val="es-ES_tradnl" w:eastAsia="es-ES_tradnl"/>
              </w:rPr>
              <w:t xml:space="preserve">, resulta importante destacar que la expresión “estabilidad ocupacional reforzada” hace alusión no solo a las relaciones de trabajo caracterizadas por los servicios personales bajo subordinación jerárquica, sino que se extiende </w:t>
            </w:r>
            <w:r w:rsidR="00BD57B0">
              <w:rPr>
                <w:rFonts w:ascii="Verdana" w:eastAsia="Times New Roman" w:hAnsi="Verdana" w:cs="Arial"/>
                <w:lang w:val="es-ES"/>
              </w:rPr>
              <w:t xml:space="preserve">también a quienes tienen relaciones ocupacionales a través de un contrato de prestación de servicios. </w:t>
            </w:r>
          </w:p>
          <w:p w14:paraId="4DD3DABB" w14:textId="2D9BD5B1" w:rsidR="00BD57B0" w:rsidRDefault="00BD57B0" w:rsidP="00F7360B">
            <w:pPr>
              <w:spacing w:after="120" w:line="276" w:lineRule="auto"/>
              <w:ind w:firstLine="709"/>
              <w:jc w:val="both"/>
              <w:rPr>
                <w:rFonts w:ascii="Verdana" w:eastAsia="Times New Roman" w:hAnsi="Verdana" w:cs="Arial"/>
                <w:lang w:eastAsia="es-MX"/>
              </w:rPr>
            </w:pPr>
            <w:r>
              <w:rPr>
                <w:rFonts w:ascii="Verdana" w:eastAsia="Times New Roman" w:hAnsi="Verdana" w:cs="Times New Roman"/>
                <w:lang w:val="es-ES" w:eastAsia="es-MX"/>
              </w:rPr>
              <w:t>Desde el ámbito normativo, la</w:t>
            </w:r>
            <w:r w:rsidRPr="00D11A4A">
              <w:rPr>
                <w:rFonts w:ascii="Verdana" w:eastAsia="Times New Roman" w:hAnsi="Verdana" w:cs="Times New Roman"/>
                <w:lang w:eastAsia="es-MX"/>
              </w:rPr>
              <w:t xml:space="preserve"> Ley 361 de 1997, en su artículo 26</w:t>
            </w:r>
            <w:r w:rsidR="004E6DA0">
              <w:rPr>
                <w:rFonts w:ascii="Verdana" w:eastAsia="Times New Roman" w:hAnsi="Verdana" w:cs="Times New Roman"/>
                <w:lang w:eastAsia="es-MX"/>
              </w:rPr>
              <w:t>,</w:t>
            </w:r>
            <w:r w:rsidR="00673BF7">
              <w:rPr>
                <w:rFonts w:ascii="Verdana" w:eastAsia="Times New Roman" w:hAnsi="Verdana" w:cs="Times New Roman"/>
                <w:lang w:eastAsia="es-MX"/>
              </w:rPr>
              <w:t xml:space="preserve"> establece</w:t>
            </w:r>
            <w:r w:rsidRPr="00D11A4A">
              <w:rPr>
                <w:rFonts w:ascii="Verdana" w:eastAsia="Times New Roman" w:hAnsi="Verdana" w:cs="Times New Roman"/>
                <w:lang w:eastAsia="es-MX"/>
              </w:rPr>
              <w:t xml:space="preserve"> que</w:t>
            </w:r>
            <w:r w:rsidR="00F7360B">
              <w:rPr>
                <w:rFonts w:ascii="Verdana" w:eastAsia="Times New Roman" w:hAnsi="Verdana" w:cs="Times New Roman"/>
                <w:lang w:eastAsia="es-MX"/>
              </w:rPr>
              <w:t>,</w:t>
            </w:r>
            <w:r w:rsidRPr="00D11A4A">
              <w:rPr>
                <w:rFonts w:ascii="Verdana" w:eastAsia="Times New Roman" w:hAnsi="Verdana" w:cs="Times New Roman"/>
                <w:lang w:eastAsia="es-MX"/>
              </w:rPr>
              <w:t xml:space="preserve"> en ningún caso</w:t>
            </w:r>
            <w:r w:rsidR="00F7360B">
              <w:rPr>
                <w:rFonts w:ascii="Verdana" w:eastAsia="Times New Roman" w:hAnsi="Verdana" w:cs="Times New Roman"/>
                <w:lang w:eastAsia="es-MX"/>
              </w:rPr>
              <w:t>,</w:t>
            </w:r>
            <w:r w:rsidRPr="00D11A4A">
              <w:rPr>
                <w:rFonts w:ascii="Verdana" w:eastAsia="Times New Roman" w:hAnsi="Verdana" w:cs="Times New Roman"/>
                <w:lang w:eastAsia="es-MX"/>
              </w:rPr>
              <w:t xml:space="preserve"> la discapacidad de una persona podrá́ ser un motivo para terminar su contrato</w:t>
            </w:r>
            <w:r>
              <w:rPr>
                <w:rFonts w:ascii="Verdana" w:eastAsia="Times New Roman" w:hAnsi="Verdana" w:cs="Times New Roman"/>
                <w:lang w:eastAsia="es-MX"/>
              </w:rPr>
              <w:t>.</w:t>
            </w:r>
            <w:r w:rsidR="00F7360B">
              <w:rPr>
                <w:rFonts w:ascii="Verdana" w:hAnsi="Verdana"/>
                <w:spacing w:val="-2"/>
                <w:sz w:val="20"/>
                <w:szCs w:val="20"/>
              </w:rPr>
              <w:t xml:space="preserve"> </w:t>
            </w:r>
            <w:r>
              <w:rPr>
                <w:rFonts w:ascii="Verdana" w:eastAsia="Times New Roman" w:hAnsi="Verdana" w:cs="Arial"/>
                <w:lang w:eastAsia="es-MX"/>
              </w:rPr>
              <w:t xml:space="preserve">De acuerdo con lo anterior, la protección contenida en el artículo 26 de la Ley 361 de 1997 aplica no solo a las relaciones de carácter dependientes, sino que se extiende a los contratos de prestación de servicios propiamente dichos. </w:t>
            </w:r>
          </w:p>
          <w:p w14:paraId="537B125F" w14:textId="1E4992F9" w:rsidR="00BD57B0" w:rsidRDefault="00FD4C55" w:rsidP="0029159F">
            <w:pPr>
              <w:spacing w:after="120" w:line="276" w:lineRule="auto"/>
              <w:ind w:firstLine="709"/>
              <w:jc w:val="both"/>
              <w:rPr>
                <w:rFonts w:ascii="Verdana" w:eastAsia="Times New Roman" w:hAnsi="Verdana" w:cs="Arial"/>
                <w:lang w:eastAsia="es-MX"/>
              </w:rPr>
            </w:pPr>
            <w:r>
              <w:rPr>
                <w:rFonts w:ascii="Verdana" w:eastAsia="Times New Roman" w:hAnsi="Verdana" w:cs="Times New Roman"/>
                <w:lang w:eastAsia="es-MX"/>
              </w:rPr>
              <w:t>En consecuencia</w:t>
            </w:r>
            <w:r w:rsidR="00BD57B0" w:rsidRPr="00A91A31">
              <w:rPr>
                <w:rFonts w:ascii="Verdana" w:eastAsia="Times New Roman" w:hAnsi="Verdana" w:cs="Times New Roman"/>
                <w:lang w:eastAsia="es-MX"/>
              </w:rPr>
              <w:t>,</w:t>
            </w:r>
            <w:r w:rsidR="00BD57B0">
              <w:rPr>
                <w:rFonts w:ascii="Verdana" w:eastAsia="Times New Roman" w:hAnsi="Verdana" w:cs="Times New Roman"/>
                <w:lang w:eastAsia="es-MX"/>
              </w:rPr>
              <w:t xml:space="preserve"> a</w:t>
            </w:r>
            <w:r w:rsidR="00BD57B0" w:rsidRPr="00A91A31">
              <w:rPr>
                <w:rFonts w:ascii="Verdana" w:eastAsia="Times New Roman" w:hAnsi="Verdana" w:cs="Times New Roman"/>
                <w:lang w:eastAsia="es-MX"/>
              </w:rPr>
              <w:t xml:space="preserve"> una persona en</w:t>
            </w:r>
            <w:r w:rsidR="006E4291">
              <w:rPr>
                <w:rFonts w:ascii="Verdana" w:eastAsia="Times New Roman" w:hAnsi="Verdana" w:cs="Times New Roman"/>
                <w:lang w:eastAsia="es-MX"/>
              </w:rPr>
              <w:t xml:space="preserve"> situación de</w:t>
            </w:r>
            <w:r w:rsidR="00BD57B0" w:rsidRPr="00A91A31">
              <w:rPr>
                <w:rFonts w:ascii="Verdana" w:eastAsia="Times New Roman" w:hAnsi="Verdana" w:cs="Times New Roman"/>
                <w:lang w:eastAsia="es-MX"/>
              </w:rPr>
              <w:t xml:space="preserve"> debilidad manifiesta por razones de salud no se le podrá́ terminar su contrato de prestación de servicios por razón de su discapacidad o enfermedad, salvo que medie autorización de la oficina de Trabajo, </w:t>
            </w:r>
            <w:r w:rsidR="00BD57B0">
              <w:rPr>
                <w:rFonts w:ascii="Verdana" w:eastAsia="Times New Roman" w:hAnsi="Verdana" w:cs="Times New Roman"/>
                <w:lang w:eastAsia="es-MX"/>
              </w:rPr>
              <w:t xml:space="preserve">tal como lo dispone el artículo 26 de la Ley 361 de 1997, </w:t>
            </w:r>
            <w:r w:rsidR="00BD57B0" w:rsidRPr="00A91A31">
              <w:rPr>
                <w:rFonts w:ascii="Verdana" w:eastAsia="Times New Roman" w:hAnsi="Verdana" w:cs="Times New Roman"/>
                <w:lang w:eastAsia="es-MX"/>
              </w:rPr>
              <w:t>teniendo en cuenta que en dichos casos la presunción</w:t>
            </w:r>
            <w:r w:rsidR="00BD57B0" w:rsidRPr="00D11A4A">
              <w:rPr>
                <w:rFonts w:ascii="Verdana" w:eastAsia="Times New Roman" w:hAnsi="Verdana" w:cs="Arial"/>
                <w:lang w:eastAsia="es-MX"/>
              </w:rPr>
              <w:t xml:space="preserve"> de discriminación debe ser desvirtuada por la entidad contratante.</w:t>
            </w:r>
          </w:p>
          <w:p w14:paraId="337CA991" w14:textId="4410DB99" w:rsidR="00BD57B0" w:rsidRDefault="00BD57B0" w:rsidP="0029159F">
            <w:pPr>
              <w:spacing w:after="120" w:line="276" w:lineRule="auto"/>
              <w:ind w:firstLine="709"/>
              <w:jc w:val="both"/>
              <w:rPr>
                <w:rFonts w:ascii="Verdana" w:eastAsia="Times New Roman" w:hAnsi="Verdana" w:cs="Arial"/>
                <w:lang w:eastAsia="es-MX"/>
              </w:rPr>
            </w:pPr>
            <w:r w:rsidRPr="00D11A4A">
              <w:rPr>
                <w:rFonts w:ascii="Verdana" w:eastAsia="Times New Roman" w:hAnsi="Verdana" w:cs="Arial"/>
                <w:lang w:eastAsia="es-MX"/>
              </w:rPr>
              <w:t xml:space="preserve">En conclusión, esta Agencia ratifica lo señalado en Concepto </w:t>
            </w:r>
            <w:r w:rsidR="00BE377B">
              <w:rPr>
                <w:rFonts w:ascii="Verdana" w:eastAsia="Times New Roman" w:hAnsi="Verdana" w:cs="Arial"/>
                <w:lang w:eastAsia="es-MX"/>
              </w:rPr>
              <w:t>C-</w:t>
            </w:r>
            <w:r w:rsidRPr="00D11A4A">
              <w:rPr>
                <w:rFonts w:ascii="Verdana" w:eastAsia="Times New Roman" w:hAnsi="Verdana" w:cs="Arial"/>
                <w:lang w:eastAsia="es-MX"/>
              </w:rPr>
              <w:t xml:space="preserve">135 de 2023, en donde se indica que “si la Entidad Estatal contratante conoce de la situación de debilidad manifiesta del contratista por razones de su salud y subsiste la causa del contrato, es decir la necesidad que originó la celebración del contrato prestación de servicios sigue existiendo para la Entidad Estatal, no podrá́ dar por terminado el vínculo contractual, sin que medie permiso del inspector del trabajo, aun cuando se haya configurado su terminación por cumplimiento de plazo contractual. </w:t>
            </w:r>
          </w:p>
          <w:p w14:paraId="5081FE76" w14:textId="77777777" w:rsidR="00BD57B0" w:rsidRPr="00451B33" w:rsidRDefault="00BD57B0" w:rsidP="007A1800">
            <w:pPr>
              <w:spacing w:line="276" w:lineRule="auto"/>
              <w:ind w:firstLine="709"/>
              <w:jc w:val="both"/>
              <w:rPr>
                <w:rFonts w:ascii="Verdana" w:eastAsia="Times New Roman" w:hAnsi="Verdana" w:cs="Arial"/>
                <w:lang w:eastAsia="es-MX"/>
              </w:rPr>
            </w:pPr>
            <w:r w:rsidRPr="00D11A4A">
              <w:rPr>
                <w:rFonts w:ascii="Verdana" w:eastAsia="Times New Roman" w:hAnsi="Verdana" w:cs="Arial"/>
                <w:lang w:eastAsia="es-MX"/>
              </w:rPr>
              <w:t xml:space="preserve">El no acatamiento de dichas directrices puede dar a lugar a que un juez ordene, previo estudio de las particularidades del caso en concreto, la procedencia de cada una de las siguientes medidas de protección: i) La renovación de la relación contractual; </w:t>
            </w:r>
            <w:proofErr w:type="spellStart"/>
            <w:r w:rsidRPr="00D11A4A">
              <w:rPr>
                <w:rFonts w:ascii="Verdana" w:eastAsia="Times New Roman" w:hAnsi="Verdana" w:cs="Arial"/>
                <w:lang w:eastAsia="es-MX"/>
              </w:rPr>
              <w:t>ii</w:t>
            </w:r>
            <w:proofErr w:type="spellEnd"/>
            <w:r w:rsidRPr="00D11A4A">
              <w:rPr>
                <w:rFonts w:ascii="Verdana" w:eastAsia="Times New Roman" w:hAnsi="Verdana" w:cs="Arial"/>
                <w:lang w:eastAsia="es-MX"/>
              </w:rPr>
              <w:t xml:space="preserve">) El pago de los honorarios dejados de percibir desde la fecha de no renovación del contrato, hasta la renovación del mismo; y, </w:t>
            </w:r>
            <w:proofErr w:type="spellStart"/>
            <w:r w:rsidRPr="00D11A4A">
              <w:rPr>
                <w:rFonts w:ascii="Verdana" w:eastAsia="Times New Roman" w:hAnsi="Verdana" w:cs="Arial"/>
                <w:lang w:eastAsia="es-MX"/>
              </w:rPr>
              <w:t>iii</w:t>
            </w:r>
            <w:proofErr w:type="spellEnd"/>
            <w:r w:rsidRPr="00D11A4A">
              <w:rPr>
                <w:rFonts w:ascii="Verdana" w:eastAsia="Times New Roman" w:hAnsi="Verdana" w:cs="Arial"/>
                <w:lang w:eastAsia="es-MX"/>
              </w:rPr>
              <w:t>) El pago por concepto de la indemnización por despido previsto en el artículo 26 de la Ley 361 de 1997”.</w:t>
            </w:r>
          </w:p>
        </w:tc>
      </w:tr>
    </w:tbl>
    <w:p w14:paraId="2CBB364D" w14:textId="77777777" w:rsidR="00BD57B0" w:rsidRDefault="00BD57B0" w:rsidP="00156A77">
      <w:pPr>
        <w:tabs>
          <w:tab w:val="left" w:pos="142"/>
          <w:tab w:val="left" w:pos="284"/>
        </w:tabs>
        <w:spacing w:after="0" w:line="276" w:lineRule="auto"/>
        <w:jc w:val="both"/>
        <w:rPr>
          <w:rFonts w:ascii="Verdana" w:eastAsia="Century Gothic" w:hAnsi="Verdana" w:cs="Century Gothic"/>
          <w:b/>
          <w:bCs/>
        </w:rPr>
      </w:pPr>
    </w:p>
    <w:p w14:paraId="251EE890" w14:textId="77777777" w:rsidR="00BD57B0" w:rsidRPr="005644FE" w:rsidRDefault="00BD57B0" w:rsidP="00156A77">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2DCCA5D2" w14:textId="77777777" w:rsidR="00BD57B0" w:rsidRPr="005644FE" w:rsidRDefault="00BD57B0" w:rsidP="00156A77">
      <w:pPr>
        <w:pStyle w:val="Prrafodelista"/>
        <w:tabs>
          <w:tab w:val="left" w:pos="142"/>
          <w:tab w:val="left" w:pos="284"/>
        </w:tabs>
        <w:spacing w:after="0" w:line="240" w:lineRule="auto"/>
        <w:ind w:left="0"/>
        <w:contextualSpacing w:val="0"/>
        <w:jc w:val="both"/>
        <w:rPr>
          <w:rFonts w:ascii="Verdana" w:eastAsia="Calibri" w:hAnsi="Verdana" w:cs="Arial"/>
        </w:rPr>
      </w:pPr>
    </w:p>
    <w:p w14:paraId="1F022409" w14:textId="77777777" w:rsidR="00BD57B0" w:rsidRDefault="00BD57B0" w:rsidP="00156A77">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302D3055" w14:textId="77777777" w:rsidR="00BD57B0" w:rsidRDefault="00BD57B0" w:rsidP="00156A77">
      <w:pPr>
        <w:tabs>
          <w:tab w:val="left" w:pos="142"/>
          <w:tab w:val="left" w:pos="284"/>
          <w:tab w:val="left" w:pos="6912"/>
        </w:tabs>
        <w:spacing w:after="0" w:line="276" w:lineRule="auto"/>
        <w:jc w:val="both"/>
        <w:rPr>
          <w:rFonts w:ascii="Verdana" w:eastAsia="Calibri" w:hAnsi="Verdana" w:cs="Arial"/>
        </w:rPr>
      </w:pPr>
    </w:p>
    <w:p w14:paraId="50A3F628" w14:textId="77777777" w:rsidR="00BD57B0" w:rsidRPr="00D11A4A" w:rsidRDefault="00BD57B0" w:rsidP="007A1800">
      <w:pPr>
        <w:spacing w:after="0" w:line="276" w:lineRule="auto"/>
        <w:contextualSpacing/>
        <w:jc w:val="both"/>
        <w:rPr>
          <w:rFonts w:ascii="Verdana" w:eastAsia="Times New Roman" w:hAnsi="Verdana" w:cs="Arial"/>
          <w:color w:val="000000"/>
          <w:lang w:val="es-ES"/>
        </w:rPr>
      </w:pPr>
      <w:r w:rsidRPr="00D11A4A">
        <w:rPr>
          <w:rFonts w:ascii="Verdana" w:eastAsia="Times New Roman" w:hAnsi="Verdana" w:cs="Arial"/>
          <w:color w:val="000000"/>
          <w:lang w:val="es-ES"/>
        </w:rPr>
        <w:t xml:space="preserve">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numeral 3 del </w:t>
      </w:r>
      <w:bookmarkStart w:id="3" w:name="_Hlk176814493"/>
      <w:r w:rsidRPr="00D11A4A">
        <w:rPr>
          <w:rFonts w:ascii="Verdana" w:eastAsia="Times New Roman" w:hAnsi="Verdana" w:cs="Arial"/>
          <w:color w:val="000000"/>
          <w:lang w:val="es-ES"/>
        </w:rPr>
        <w:t xml:space="preserve">artículo 32, de la </w:t>
      </w:r>
      <w:bookmarkStart w:id="4" w:name="_Hlk176438300"/>
      <w:r w:rsidRPr="00D11A4A">
        <w:rPr>
          <w:rFonts w:ascii="Verdana" w:eastAsia="Times New Roman" w:hAnsi="Verdana" w:cs="Arial"/>
          <w:color w:val="000000"/>
          <w:lang w:val="es-ES"/>
        </w:rPr>
        <w:t>Ley 80 de 1993</w:t>
      </w:r>
      <w:bookmarkEnd w:id="3"/>
      <w:bookmarkEnd w:id="4"/>
      <w:r w:rsidRPr="00D11A4A">
        <w:rPr>
          <w:rFonts w:ascii="Verdana" w:eastAsia="Times New Roman" w:hAnsi="Verdana" w:cs="Arial"/>
          <w:color w:val="000000"/>
          <w:lang w:val="es-ES"/>
        </w:rPr>
        <w:t>, el cual establece:</w:t>
      </w:r>
    </w:p>
    <w:p w14:paraId="3D274F19" w14:textId="77777777" w:rsidR="00BD57B0" w:rsidRPr="00D11A4A" w:rsidRDefault="00BD57B0" w:rsidP="00156A77">
      <w:pPr>
        <w:spacing w:after="0" w:line="240" w:lineRule="auto"/>
        <w:jc w:val="both"/>
        <w:rPr>
          <w:rFonts w:ascii="Verdana" w:eastAsia="Times New Roman" w:hAnsi="Verdana" w:cs="Arial"/>
          <w:color w:val="000000"/>
          <w:lang w:val="es-ES_tradnl"/>
        </w:rPr>
      </w:pPr>
    </w:p>
    <w:p w14:paraId="28124182" w14:textId="77777777" w:rsidR="00BD57B0" w:rsidRPr="00007D6A" w:rsidRDefault="00BD57B0" w:rsidP="007A1800">
      <w:pPr>
        <w:spacing w:after="0" w:line="240" w:lineRule="auto"/>
        <w:ind w:left="709" w:right="709"/>
        <w:jc w:val="both"/>
        <w:rPr>
          <w:rFonts w:ascii="Verdana" w:eastAsia="Times New Roman" w:hAnsi="Verdana" w:cs="Arial"/>
          <w:color w:val="000000"/>
          <w:sz w:val="20"/>
          <w:szCs w:val="20"/>
          <w:lang w:val="es-ES_tradnl"/>
        </w:rPr>
      </w:pPr>
      <w:r w:rsidRPr="00007D6A">
        <w:rPr>
          <w:rFonts w:ascii="Verdana" w:eastAsia="Times New Roman" w:hAnsi="Verdana" w:cs="Arial"/>
          <w:color w:val="000000"/>
          <w:sz w:val="20"/>
          <w:szCs w:val="20"/>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5F67E062" w14:textId="77777777" w:rsidR="00BD57B0" w:rsidRPr="00007D6A" w:rsidRDefault="00BD57B0" w:rsidP="007A1800">
      <w:pPr>
        <w:spacing w:after="0" w:line="240" w:lineRule="auto"/>
        <w:ind w:left="709" w:right="709"/>
        <w:jc w:val="both"/>
        <w:rPr>
          <w:rFonts w:ascii="Verdana" w:eastAsia="Times New Roman" w:hAnsi="Verdana" w:cs="Arial"/>
          <w:color w:val="000000"/>
          <w:sz w:val="20"/>
          <w:szCs w:val="20"/>
          <w:lang w:val="es-ES_tradnl"/>
        </w:rPr>
      </w:pPr>
    </w:p>
    <w:p w14:paraId="2F17E65F" w14:textId="77777777" w:rsidR="00BD57B0" w:rsidRPr="00007D6A" w:rsidRDefault="00BD57B0" w:rsidP="007A1800">
      <w:pPr>
        <w:spacing w:after="0" w:line="240" w:lineRule="auto"/>
        <w:ind w:left="709" w:right="709"/>
        <w:jc w:val="both"/>
        <w:rPr>
          <w:rFonts w:ascii="Verdana" w:eastAsia="Times New Roman" w:hAnsi="Verdana" w:cs="Arial"/>
          <w:color w:val="000000"/>
          <w:sz w:val="20"/>
          <w:szCs w:val="20"/>
          <w:lang w:val="es-ES_tradnl"/>
        </w:rPr>
      </w:pPr>
      <w:r w:rsidRPr="00007D6A">
        <w:rPr>
          <w:rFonts w:ascii="Verdana" w:eastAsia="Times New Roman" w:hAnsi="Verdana" w:cs="Arial"/>
          <w:color w:val="000000"/>
          <w:sz w:val="20"/>
          <w:szCs w:val="20"/>
          <w:lang w:val="es-ES_tradnl"/>
        </w:rPr>
        <w:t>En ningún caso estos contratos generan relación laboral ni prestaciones sociales y se celebrarán por el término estrictamente indispensable”.</w:t>
      </w:r>
    </w:p>
    <w:p w14:paraId="42ED8B06" w14:textId="77777777" w:rsidR="00BD57B0" w:rsidRPr="00D11A4A" w:rsidRDefault="00BD57B0" w:rsidP="007A1800">
      <w:pPr>
        <w:tabs>
          <w:tab w:val="left" w:pos="284"/>
        </w:tabs>
        <w:spacing w:after="0" w:line="276" w:lineRule="auto"/>
        <w:jc w:val="both"/>
        <w:rPr>
          <w:rFonts w:ascii="Verdana" w:eastAsia="Times New Roman" w:hAnsi="Verdana" w:cs="Arial"/>
          <w:b/>
          <w:color w:val="000000"/>
          <w:lang w:val="es-ES_tradnl"/>
        </w:rPr>
      </w:pPr>
    </w:p>
    <w:p w14:paraId="1CEF3A7F" w14:textId="26A53163" w:rsidR="00BD57B0" w:rsidRDefault="00BD57B0" w:rsidP="006818C2">
      <w:pPr>
        <w:spacing w:after="0" w:line="276" w:lineRule="auto"/>
        <w:ind w:firstLine="709"/>
        <w:jc w:val="both"/>
        <w:rPr>
          <w:rFonts w:ascii="Verdana" w:eastAsia="Times New Roman" w:hAnsi="Verdana" w:cs="Arial"/>
          <w:color w:val="000000"/>
          <w:lang w:val="es-ES"/>
        </w:rPr>
      </w:pPr>
      <w:r w:rsidRPr="00D11A4A">
        <w:rPr>
          <w:rFonts w:ascii="Verdana" w:eastAsia="Times New Roman" w:hAnsi="Verdana" w:cs="Arial"/>
          <w:color w:val="000000"/>
          <w:lang w:val="es-ES"/>
        </w:rPr>
        <w:t xml:space="preserve">La celebración de dicho contrato se debe efectuar a través de la modalidad de la contratación directa. Así lo prevé el literal </w:t>
      </w:r>
      <w:bookmarkStart w:id="5" w:name="_Hlk176814508"/>
      <w:r w:rsidRPr="00D11A4A">
        <w:rPr>
          <w:rFonts w:ascii="Verdana" w:eastAsia="Times New Roman" w:hAnsi="Verdana" w:cs="Arial"/>
          <w:color w:val="000000"/>
          <w:lang w:val="es-ES"/>
        </w:rPr>
        <w:t xml:space="preserve">h numeral 4 del artículo 2, de </w:t>
      </w:r>
      <w:bookmarkStart w:id="6" w:name="_Hlk176438313"/>
      <w:r w:rsidRPr="00D11A4A">
        <w:rPr>
          <w:rFonts w:ascii="Verdana" w:eastAsia="Times New Roman" w:hAnsi="Verdana" w:cs="Arial"/>
          <w:color w:val="000000"/>
          <w:lang w:val="es-ES"/>
        </w:rPr>
        <w:t>la Ley 1150 de 2007</w:t>
      </w:r>
      <w:bookmarkEnd w:id="5"/>
      <w:bookmarkEnd w:id="6"/>
      <w:r w:rsidRPr="00D11A4A">
        <w:rPr>
          <w:rFonts w:ascii="Verdana" w:eastAsia="Times New Roman" w:hAnsi="Verdana" w:cs="Arial"/>
          <w:color w:val="000000"/>
          <w:lang w:val="es-ES"/>
        </w:rPr>
        <w:t>, que dispone:</w:t>
      </w:r>
    </w:p>
    <w:p w14:paraId="6A3A91DD" w14:textId="77777777" w:rsidR="00410443" w:rsidRPr="006818C2" w:rsidRDefault="00410443" w:rsidP="006818C2">
      <w:pPr>
        <w:spacing w:after="0" w:line="276" w:lineRule="auto"/>
        <w:ind w:firstLine="709"/>
        <w:jc w:val="both"/>
        <w:rPr>
          <w:rFonts w:ascii="Verdana" w:eastAsia="Times New Roman" w:hAnsi="Verdana" w:cs="Arial"/>
          <w:color w:val="000000"/>
          <w:lang w:val="es-ES"/>
        </w:rPr>
      </w:pPr>
    </w:p>
    <w:p w14:paraId="495B5774" w14:textId="6BE4FB4B" w:rsidR="00BD57B0" w:rsidRPr="00D11A4A" w:rsidRDefault="00BD57B0" w:rsidP="003F39A9">
      <w:pPr>
        <w:spacing w:after="0" w:line="240" w:lineRule="auto"/>
        <w:ind w:left="709" w:right="709"/>
        <w:jc w:val="both"/>
        <w:rPr>
          <w:rFonts w:ascii="Verdana" w:eastAsia="Times New Roman" w:hAnsi="Verdana" w:cs="Arial"/>
          <w:i/>
          <w:iCs/>
          <w:color w:val="000000"/>
          <w:sz w:val="20"/>
          <w:szCs w:val="20"/>
          <w:lang w:val="es-ES_tradnl"/>
        </w:rPr>
      </w:pPr>
      <w:r w:rsidRPr="00D11A4A">
        <w:rPr>
          <w:rFonts w:ascii="Verdana" w:eastAsia="Times New Roman" w:hAnsi="Verdana" w:cs="Arial"/>
          <w:i/>
          <w:iCs/>
          <w:color w:val="000000"/>
          <w:sz w:val="20"/>
          <w:szCs w:val="20"/>
          <w:lang w:val="es-ES_tradnl"/>
        </w:rPr>
        <w:t>“</w:t>
      </w:r>
      <w:r>
        <w:rPr>
          <w:rFonts w:ascii="Verdana" w:eastAsia="Times New Roman" w:hAnsi="Verdana" w:cs="Arial"/>
          <w:i/>
          <w:iCs/>
          <w:color w:val="000000"/>
          <w:sz w:val="20"/>
          <w:szCs w:val="20"/>
          <w:lang w:val="es-ES_tradnl"/>
        </w:rPr>
        <w:t xml:space="preserve">(…) </w:t>
      </w:r>
      <w:r w:rsidRPr="00D11A4A">
        <w:rPr>
          <w:rFonts w:ascii="Verdana" w:eastAsia="Times New Roman" w:hAnsi="Verdana" w:cs="Arial"/>
          <w:i/>
          <w:iCs/>
          <w:color w:val="000000"/>
          <w:sz w:val="20"/>
          <w:szCs w:val="20"/>
          <w:lang w:val="es-ES"/>
        </w:rPr>
        <w:t>Contratación directa. La modalidad de selección de contratación directa solamente procederá en los siguientes casos:</w:t>
      </w:r>
    </w:p>
    <w:p w14:paraId="5036DDF3" w14:textId="77777777" w:rsidR="00BD57B0" w:rsidRDefault="00BD57B0" w:rsidP="007A1800">
      <w:pPr>
        <w:spacing w:after="0" w:line="240" w:lineRule="auto"/>
        <w:ind w:left="709" w:right="709"/>
        <w:jc w:val="both"/>
        <w:rPr>
          <w:rFonts w:ascii="Verdana" w:eastAsia="Times New Roman" w:hAnsi="Verdana" w:cs="Arial"/>
          <w:i/>
          <w:iCs/>
          <w:color w:val="000000"/>
          <w:sz w:val="20"/>
          <w:szCs w:val="20"/>
          <w:lang w:val="es-ES_tradnl"/>
        </w:rPr>
      </w:pPr>
      <w:r>
        <w:rPr>
          <w:rFonts w:ascii="Verdana" w:eastAsia="Times New Roman" w:hAnsi="Verdana" w:cs="Arial"/>
          <w:i/>
          <w:iCs/>
          <w:color w:val="000000"/>
          <w:sz w:val="20"/>
          <w:szCs w:val="20"/>
          <w:lang w:val="es-ES_tradnl"/>
        </w:rPr>
        <w:t xml:space="preserve">(…) </w:t>
      </w:r>
    </w:p>
    <w:p w14:paraId="63ED80D4" w14:textId="77777777" w:rsidR="00BD57B0" w:rsidRPr="00D11A4A" w:rsidRDefault="00BD57B0" w:rsidP="007A1800">
      <w:pPr>
        <w:spacing w:after="0" w:line="240" w:lineRule="auto"/>
        <w:ind w:left="709" w:right="709"/>
        <w:jc w:val="both"/>
        <w:rPr>
          <w:rFonts w:ascii="Verdana" w:eastAsia="Times New Roman" w:hAnsi="Verdana" w:cs="Arial"/>
          <w:i/>
          <w:iCs/>
          <w:color w:val="000000"/>
          <w:sz w:val="20"/>
          <w:szCs w:val="20"/>
          <w:lang w:val="es-ES_tradnl"/>
        </w:rPr>
      </w:pPr>
    </w:p>
    <w:p w14:paraId="29741EC8" w14:textId="77777777" w:rsidR="00BD57B0" w:rsidRPr="00D11A4A" w:rsidRDefault="00BD57B0" w:rsidP="007A1800">
      <w:pPr>
        <w:spacing w:after="0" w:line="240" w:lineRule="auto"/>
        <w:ind w:left="709" w:right="709"/>
        <w:jc w:val="both"/>
        <w:rPr>
          <w:rFonts w:ascii="Verdana" w:eastAsia="Times New Roman" w:hAnsi="Verdana" w:cs="Arial"/>
          <w:i/>
          <w:iCs/>
          <w:color w:val="000000"/>
          <w:sz w:val="20"/>
          <w:szCs w:val="20"/>
          <w:lang w:val="es-ES_tradnl"/>
        </w:rPr>
      </w:pPr>
      <w:r w:rsidRPr="00D11A4A">
        <w:rPr>
          <w:rFonts w:ascii="Verdana" w:eastAsia="Times New Roman" w:hAnsi="Verdana" w:cs="Arial"/>
          <w:i/>
          <w:iCs/>
          <w:color w:val="000000"/>
          <w:sz w:val="20"/>
          <w:szCs w:val="20"/>
          <w:lang w:val="es-ES_tradnl"/>
        </w:rPr>
        <w:t>h) Para la prestación de servicios profesionales y de apoyo a la gestión, o para la ejecución de trabajos artísticos que sólo puedan encomendarse a determinadas personas naturales”.</w:t>
      </w:r>
    </w:p>
    <w:p w14:paraId="66CDA95C" w14:textId="77777777" w:rsidR="00BD57B0" w:rsidRDefault="00BD57B0" w:rsidP="00BD57B0">
      <w:pPr>
        <w:spacing w:after="0" w:line="276" w:lineRule="auto"/>
        <w:contextualSpacing/>
        <w:jc w:val="both"/>
        <w:rPr>
          <w:rFonts w:ascii="Verdana" w:eastAsia="Times New Roman" w:hAnsi="Verdana" w:cs="Arial"/>
          <w:color w:val="000000"/>
          <w:lang w:val="es-ES_tradnl"/>
        </w:rPr>
      </w:pPr>
    </w:p>
    <w:p w14:paraId="7AE70BEE" w14:textId="77777777" w:rsidR="00BD57B0" w:rsidRPr="003F7C79" w:rsidRDefault="00BD57B0" w:rsidP="007A1800">
      <w:pPr>
        <w:spacing w:after="120" w:line="276" w:lineRule="auto"/>
        <w:ind w:firstLine="709"/>
        <w:jc w:val="both"/>
        <w:rPr>
          <w:rFonts w:ascii="Verdana" w:eastAsia="Times New Roman" w:hAnsi="Verdana" w:cs="Arial"/>
          <w:color w:val="000000"/>
          <w:lang w:val="es-ES_tradnl"/>
        </w:rPr>
      </w:pPr>
      <w:r w:rsidRPr="003F7C79">
        <w:rPr>
          <w:rFonts w:ascii="Verdana" w:eastAsia="Times New Roman" w:hAnsi="Verdana" w:cs="Arial"/>
          <w:color w:val="000000"/>
          <w:lang w:val="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7ACAC532" w14:textId="77777777" w:rsidR="00BD57B0" w:rsidRPr="003F7C79" w:rsidRDefault="00BD57B0" w:rsidP="007A1800">
      <w:pPr>
        <w:spacing w:after="120" w:line="276" w:lineRule="auto"/>
        <w:ind w:firstLine="709"/>
        <w:jc w:val="both"/>
        <w:rPr>
          <w:rFonts w:ascii="Verdana" w:eastAsia="Times New Roman" w:hAnsi="Verdana" w:cs="Arial"/>
          <w:color w:val="000000"/>
          <w:lang w:val="es-ES_tradnl"/>
        </w:rPr>
      </w:pPr>
      <w:r w:rsidRPr="003F7C79">
        <w:rPr>
          <w:rFonts w:ascii="Verdana" w:eastAsia="Times New Roman" w:hAnsi="Verdana" w:cs="Arial"/>
          <w:color w:val="000000"/>
          <w:lang w:val="es-ES_tradnl"/>
        </w:rPr>
        <w:t>i) Solo puede celebrarse para realizar “actividades relacionadas con la administración o funcionamiento de la entidad”, es decir, que hagan parte de su giro ordinario o quehacer cotidiano.</w:t>
      </w:r>
    </w:p>
    <w:p w14:paraId="1034A586" w14:textId="77777777" w:rsidR="00BD57B0" w:rsidRPr="003F7C79" w:rsidRDefault="00BD57B0" w:rsidP="007A1800">
      <w:pPr>
        <w:spacing w:after="120" w:line="276" w:lineRule="auto"/>
        <w:ind w:firstLine="709"/>
        <w:jc w:val="both"/>
        <w:rPr>
          <w:rFonts w:ascii="Verdana" w:eastAsia="Times New Roman" w:hAnsi="Verdana" w:cs="Arial"/>
          <w:color w:val="000000"/>
          <w:lang w:val="es-ES_tradnl"/>
        </w:rPr>
      </w:pPr>
      <w:proofErr w:type="spellStart"/>
      <w:r w:rsidRPr="003F7C79">
        <w:rPr>
          <w:rFonts w:ascii="Verdana" w:eastAsia="Times New Roman" w:hAnsi="Verdana" w:cs="Arial"/>
          <w:color w:val="000000"/>
          <w:lang w:val="es-ES"/>
        </w:rPr>
        <w:t>ii</w:t>
      </w:r>
      <w:proofErr w:type="spellEnd"/>
      <w:r w:rsidRPr="003F7C79">
        <w:rPr>
          <w:rFonts w:ascii="Verdana" w:eastAsia="Times New Roman" w:hAnsi="Verdana" w:cs="Arial"/>
          <w:color w:val="000000"/>
          <w:lang w:val="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3F7C79">
        <w:rPr>
          <w:rFonts w:ascii="Verdana" w:eastAsia="Times New Roman" w:hAnsi="Verdana" w:cs="Arial"/>
          <w:color w:val="000000"/>
          <w:vertAlign w:val="superscript"/>
          <w:lang w:val="es-ES"/>
        </w:rPr>
        <w:footnoteReference w:id="1"/>
      </w:r>
      <w:r w:rsidRPr="003F7C79">
        <w:rPr>
          <w:rFonts w:ascii="Verdana" w:eastAsia="Times New Roman" w:hAnsi="Verdana" w:cs="Arial"/>
          <w:color w:val="000000"/>
          <w:lang w:val="es-ES"/>
        </w:rPr>
        <w:t xml:space="preserve"> </w:t>
      </w:r>
    </w:p>
    <w:p w14:paraId="040EB983" w14:textId="77777777" w:rsidR="00BD57B0" w:rsidRPr="003F7C79" w:rsidRDefault="00BD57B0" w:rsidP="007A1800">
      <w:pPr>
        <w:spacing w:after="120" w:line="276" w:lineRule="auto"/>
        <w:ind w:firstLine="709"/>
        <w:jc w:val="both"/>
        <w:rPr>
          <w:rFonts w:ascii="Verdana" w:eastAsia="Times New Roman" w:hAnsi="Verdana" w:cs="Arial"/>
          <w:color w:val="000000"/>
          <w:lang w:val="es-ES_tradnl"/>
        </w:rPr>
      </w:pPr>
      <w:proofErr w:type="spellStart"/>
      <w:r w:rsidRPr="003F7C79">
        <w:rPr>
          <w:rFonts w:ascii="Verdana" w:eastAsia="Times New Roman" w:hAnsi="Verdana" w:cs="Arial"/>
          <w:color w:val="000000"/>
          <w:lang w:val="es-ES"/>
        </w:rPr>
        <w:t>iii</w:t>
      </w:r>
      <w:proofErr w:type="spellEnd"/>
      <w:r w:rsidRPr="003F7C79">
        <w:rPr>
          <w:rFonts w:ascii="Verdana" w:eastAsia="Times New Roman" w:hAnsi="Verdana" w:cs="Arial"/>
          <w:color w:val="000000"/>
          <w:lang w:val="es-ES"/>
        </w:rPr>
        <w:t>) Si bien se celebran para obtener la prestación personal de un servicio, se diferencian del contrato de trabajo</w:t>
      </w:r>
      <w:r w:rsidRPr="003F7C79">
        <w:rPr>
          <w:rFonts w:ascii="Verdana" w:eastAsia="Times New Roman" w:hAnsi="Verdana" w:cs="Arial"/>
          <w:vertAlign w:val="superscript"/>
        </w:rPr>
        <w:footnoteReference w:id="2"/>
      </w:r>
      <w:r w:rsidRPr="003F7C79">
        <w:rPr>
          <w:rFonts w:ascii="Verdana" w:eastAsia="Times New Roman" w:hAnsi="Verdana" w:cs="Arial"/>
          <w:color w:val="000000"/>
          <w:lang w:val="es-ES"/>
        </w:rPr>
        <w:t xml:space="preserve"> en que quien celebra el contrato de prestación de servicios debe mantener autonomía e independencia en la ejecución de la labor, lo que significa que no puede existir la </w:t>
      </w:r>
      <w:r w:rsidRPr="003F7C79">
        <w:rPr>
          <w:rFonts w:ascii="Verdana" w:eastAsia="Times New Roman" w:hAnsi="Verdana" w:cs="Arial"/>
          <w:i/>
          <w:color w:val="000000"/>
          <w:lang w:val="es-ES"/>
        </w:rPr>
        <w:t>subordinación y dependencia</w:t>
      </w:r>
      <w:r w:rsidRPr="003F7C79">
        <w:rPr>
          <w:rFonts w:ascii="Verdana" w:eastAsia="Times New Roman" w:hAnsi="Verdana" w:cs="Arial"/>
          <w:color w:val="000000"/>
          <w:lang w:val="es-ES"/>
        </w:rPr>
        <w:t xml:space="preserve">, que es uno de los elementos constitutivos del vínculo laboral. </w:t>
      </w:r>
    </w:p>
    <w:p w14:paraId="43EF8472" w14:textId="77777777" w:rsidR="00BD57B0" w:rsidRPr="003F7C79" w:rsidRDefault="00BD57B0" w:rsidP="007A1800">
      <w:pPr>
        <w:spacing w:after="120" w:line="276" w:lineRule="auto"/>
        <w:ind w:firstLine="709"/>
        <w:jc w:val="both"/>
        <w:rPr>
          <w:rFonts w:ascii="Verdana" w:eastAsia="Times New Roman" w:hAnsi="Verdana" w:cs="Arial"/>
          <w:color w:val="000000"/>
          <w:lang w:val="es-ES"/>
        </w:rPr>
      </w:pPr>
      <w:r w:rsidRPr="003F7C79">
        <w:rPr>
          <w:rFonts w:ascii="Verdana" w:eastAsia="Times New Roman" w:hAnsi="Verdana" w:cs="Arial"/>
          <w:color w:val="000000"/>
          <w:lang w:val="es-ES"/>
        </w:rPr>
        <w:t xml:space="preserve">Por ello el </w:t>
      </w:r>
      <w:bookmarkStart w:id="9" w:name="_Hlk176814532"/>
      <w:r w:rsidRPr="003F7C79">
        <w:rPr>
          <w:rFonts w:ascii="Verdana" w:eastAsia="Times New Roman" w:hAnsi="Verdana" w:cs="Arial"/>
          <w:color w:val="000000"/>
          <w:lang w:val="es-ES"/>
        </w:rPr>
        <w:t xml:space="preserve">numeral 3º del artículo 32, de la Ley 80 de 1993 </w:t>
      </w:r>
      <w:bookmarkEnd w:id="9"/>
      <w:r w:rsidRPr="003F7C79">
        <w:rPr>
          <w:rFonts w:ascii="Verdana" w:eastAsia="Times New Roman" w:hAnsi="Verdana" w:cs="Arial"/>
          <w:color w:val="000000"/>
          <w:lang w:val="es-ES"/>
        </w:rPr>
        <w:t xml:space="preserve">establece que “En ningún caso estos contratos generan relación laboral ni prestaciones sociales”, inciso que debe interpretarse en el sentido de que los contratos de prestación de servicios profesionales </w:t>
      </w:r>
      <w:r w:rsidRPr="003F7C79">
        <w:rPr>
          <w:rFonts w:ascii="Verdana" w:eastAsia="Times New Roman" w:hAnsi="Verdana" w:cs="Arial"/>
          <w:i/>
          <w:color w:val="000000"/>
          <w:lang w:val="es-ES"/>
        </w:rPr>
        <w:t>no pueden</w:t>
      </w:r>
      <w:r w:rsidRPr="003F7C79">
        <w:rPr>
          <w:rFonts w:ascii="Verdana" w:eastAsia="Times New Roman" w:hAnsi="Verdana" w:cs="Arial"/>
          <w:color w:val="000000"/>
          <w:lang w:val="es-ES"/>
        </w:rPr>
        <w:t xml:space="preserve"> generar relación laboral, ni dar lugar a que las entidades estatales paguen por su cuenta los aportes al Sistema de Seguridad Social Integral del contratista. </w:t>
      </w:r>
    </w:p>
    <w:p w14:paraId="56B8E98C" w14:textId="77777777" w:rsidR="00BD57B0" w:rsidRPr="007A1800" w:rsidRDefault="00BD57B0" w:rsidP="003F7C79">
      <w:pPr>
        <w:spacing w:after="120" w:line="276" w:lineRule="auto"/>
        <w:ind w:firstLine="709"/>
        <w:jc w:val="both"/>
        <w:rPr>
          <w:rFonts w:ascii="Verdana" w:eastAsia="Times New Roman" w:hAnsi="Verdana" w:cs="Arial"/>
          <w:color w:val="000000"/>
          <w:lang w:val="es-ES_tradnl"/>
        </w:rPr>
      </w:pPr>
      <w:proofErr w:type="spellStart"/>
      <w:r w:rsidRPr="003F7C79">
        <w:rPr>
          <w:rFonts w:ascii="Verdana" w:eastAsia="Times New Roman" w:hAnsi="Verdana" w:cs="Arial"/>
          <w:color w:val="000000"/>
          <w:lang w:val="es-ES_tradnl"/>
        </w:rPr>
        <w:t>iv</w:t>
      </w:r>
      <w:proofErr w:type="spellEnd"/>
      <w:r w:rsidRPr="003F7C79">
        <w:rPr>
          <w:rFonts w:ascii="Verdana" w:eastAsia="Times New Roman" w:hAnsi="Verdana" w:cs="Arial"/>
          <w:color w:val="000000"/>
          <w:lang w:val="es-ES_tradnl"/>
        </w:rPr>
        <w:t>) Deben ser temporales. Así lo señaló la Corte Constitucional expresando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3F7C79">
        <w:rPr>
          <w:rFonts w:ascii="Verdana" w:eastAsia="Times New Roman" w:hAnsi="Verdana" w:cs="Arial"/>
          <w:vertAlign w:val="superscript"/>
        </w:rPr>
        <w:footnoteReference w:id="3"/>
      </w:r>
      <w:r w:rsidRPr="007A1800">
        <w:rPr>
          <w:rFonts w:ascii="Verdana" w:eastAsia="Times New Roman" w:hAnsi="Verdana" w:cs="Arial"/>
          <w:color w:val="000000"/>
          <w:lang w:val="es-ES_tradnl"/>
        </w:rPr>
        <w:t>.</w:t>
      </w:r>
    </w:p>
    <w:p w14:paraId="0EE47B6D" w14:textId="77777777" w:rsidR="00BD57B0" w:rsidRPr="007A1800" w:rsidRDefault="00BD57B0" w:rsidP="003F7C79">
      <w:pPr>
        <w:spacing w:after="120" w:line="276" w:lineRule="auto"/>
        <w:ind w:right="51" w:firstLine="709"/>
        <w:jc w:val="both"/>
        <w:rPr>
          <w:rFonts w:ascii="Verdana" w:eastAsia="Times New Roman" w:hAnsi="Verdana" w:cs="Arial"/>
          <w:color w:val="000000"/>
          <w:lang w:val="es-ES_tradnl"/>
        </w:rPr>
      </w:pPr>
      <w:r w:rsidRPr="003F7C79">
        <w:rPr>
          <w:rFonts w:ascii="Verdana" w:eastAsia="Times New Roman" w:hAnsi="Verdana" w:cs="Arial"/>
          <w:color w:val="000000"/>
          <w:lang w:val="es-ES"/>
        </w:rPr>
        <w:t xml:space="preserve">v) </w:t>
      </w:r>
      <w:r w:rsidRPr="003F7C79">
        <w:rPr>
          <w:rFonts w:ascii="Verdana" w:eastAsia="Times New Roman" w:hAnsi="Verdana" w:cs="Arial"/>
          <w:color w:val="000000"/>
          <w:lang w:val="es-ES_tradnl"/>
        </w:rPr>
        <w:t>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sidRPr="003F7C79">
        <w:rPr>
          <w:rFonts w:ascii="Verdana" w:eastAsia="Times New Roman" w:hAnsi="Verdana" w:cs="Arial"/>
          <w:vertAlign w:val="superscript"/>
        </w:rPr>
        <w:footnoteReference w:id="4"/>
      </w:r>
      <w:r w:rsidRPr="003F7C79">
        <w:rPr>
          <w:rFonts w:ascii="Verdana" w:eastAsia="Times New Roman" w:hAnsi="Verdana" w:cs="Arial"/>
          <w:color w:val="000000"/>
          <w:lang w:val="es-ES"/>
        </w:rPr>
        <w:t>.</w:t>
      </w:r>
    </w:p>
    <w:p w14:paraId="6E5FB6B9" w14:textId="77777777" w:rsidR="00BD57B0" w:rsidRPr="003F7C79" w:rsidRDefault="00BD57B0" w:rsidP="007A1800">
      <w:pPr>
        <w:spacing w:after="120" w:line="276" w:lineRule="auto"/>
        <w:ind w:firstLine="708"/>
        <w:jc w:val="both"/>
        <w:rPr>
          <w:rFonts w:ascii="Verdana" w:eastAsia="Times New Roman" w:hAnsi="Verdana" w:cs="Arial"/>
          <w:color w:val="000000"/>
          <w:lang w:val="es-ES_tradnl"/>
        </w:rPr>
      </w:pPr>
      <w:r w:rsidRPr="003F7C79">
        <w:rPr>
          <w:rFonts w:ascii="Verdana" w:eastAsia="Times New Roman" w:hAnsi="Verdana" w:cs="Arial"/>
          <w:color w:val="000000"/>
          <w:lang w:val="es-ES_tradnl"/>
        </w:rPr>
        <w:t>vi) Su celebración debe realizarse a través de la modalidad de contratación directa, independientemente de la cuantía y del tipo de servicio, siempre que este no ingrese dentro del objeto del contrato de consultoría</w:t>
      </w:r>
    </w:p>
    <w:p w14:paraId="1E1BA8C3" w14:textId="77777777" w:rsidR="00BD57B0" w:rsidRPr="003F7C79" w:rsidRDefault="00BD57B0" w:rsidP="007A1800">
      <w:pPr>
        <w:spacing w:after="120" w:line="276" w:lineRule="auto"/>
        <w:ind w:firstLine="708"/>
        <w:jc w:val="both"/>
        <w:rPr>
          <w:rFonts w:ascii="Verdana" w:eastAsia="Times New Roman" w:hAnsi="Verdana" w:cs="Arial"/>
          <w:color w:val="000000"/>
          <w:lang w:val="es-ES_tradnl"/>
        </w:rPr>
      </w:pPr>
      <w:proofErr w:type="spellStart"/>
      <w:r w:rsidRPr="003F7C79">
        <w:rPr>
          <w:rFonts w:ascii="Verdana" w:eastAsia="Times New Roman" w:hAnsi="Verdana" w:cs="Arial"/>
          <w:color w:val="000000"/>
          <w:lang w:val="es-ES_tradnl"/>
        </w:rPr>
        <w:t>vii</w:t>
      </w:r>
      <w:proofErr w:type="spellEnd"/>
      <w:r w:rsidRPr="003F7C79">
        <w:rPr>
          <w:rFonts w:ascii="Verdana" w:eastAsia="Times New Roman" w:hAnsi="Verdana" w:cs="Arial"/>
          <w:color w:val="000000"/>
          <w:lang w:val="es-ES_tradnl"/>
        </w:rPr>
        <w:t>) Para su celebración no se requiere en algunos casos la expedición del acto administrativo de justificación de la contratación directa</w:t>
      </w:r>
      <w:r w:rsidRPr="003F7C79">
        <w:rPr>
          <w:rFonts w:ascii="Verdana" w:eastAsia="Times New Roman" w:hAnsi="Verdana" w:cs="Arial"/>
          <w:vertAlign w:val="superscript"/>
        </w:rPr>
        <w:footnoteReference w:id="5"/>
      </w:r>
      <w:r w:rsidRPr="003F7C79">
        <w:rPr>
          <w:rFonts w:ascii="Verdana" w:eastAsia="Times New Roman" w:hAnsi="Verdana" w:cs="Arial"/>
          <w:color w:val="000000"/>
          <w:lang w:val="es-ES_tradnl"/>
        </w:rPr>
        <w:t xml:space="preserve">. </w:t>
      </w:r>
    </w:p>
    <w:p w14:paraId="1C1A1692" w14:textId="77777777" w:rsidR="00BD57B0" w:rsidRPr="003F7C79" w:rsidRDefault="00BD57B0" w:rsidP="007A1800">
      <w:pPr>
        <w:spacing w:after="120" w:line="276" w:lineRule="auto"/>
        <w:ind w:firstLine="708"/>
        <w:jc w:val="both"/>
        <w:rPr>
          <w:rFonts w:ascii="Verdana" w:eastAsia="Times New Roman" w:hAnsi="Verdana" w:cs="Arial"/>
          <w:color w:val="000000"/>
          <w:lang w:val="es-ES_tradnl"/>
        </w:rPr>
      </w:pPr>
      <w:proofErr w:type="spellStart"/>
      <w:r w:rsidRPr="003F7C79">
        <w:rPr>
          <w:rFonts w:ascii="Verdana" w:eastAsia="Times New Roman" w:hAnsi="Verdana" w:cs="Arial"/>
          <w:color w:val="000000"/>
          <w:lang w:val="es-ES_tradnl"/>
        </w:rPr>
        <w:t>viii</w:t>
      </w:r>
      <w:proofErr w:type="spellEnd"/>
      <w:r w:rsidRPr="003F7C79">
        <w:rPr>
          <w:rFonts w:ascii="Verdana" w:eastAsia="Times New Roman" w:hAnsi="Verdana" w:cs="Arial"/>
          <w:color w:val="000000"/>
          <w:lang w:val="es-ES_tradnl"/>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3F7C79">
        <w:rPr>
          <w:rFonts w:ascii="Verdana" w:eastAsia="Times New Roman" w:hAnsi="Verdana" w:cs="Arial"/>
          <w:vertAlign w:val="superscript"/>
        </w:rPr>
        <w:footnoteReference w:id="6"/>
      </w:r>
      <w:r w:rsidRPr="003F7C79">
        <w:rPr>
          <w:rFonts w:ascii="Verdana" w:eastAsia="Times New Roman" w:hAnsi="Verdana" w:cs="Arial"/>
          <w:color w:val="000000"/>
          <w:lang w:val="es-ES_tradnl"/>
        </w:rPr>
        <w:t>.</w:t>
      </w:r>
    </w:p>
    <w:p w14:paraId="2FE09E48" w14:textId="77777777" w:rsidR="00BD57B0" w:rsidRPr="003F7C79" w:rsidRDefault="00BD57B0" w:rsidP="007A1800">
      <w:pPr>
        <w:spacing w:after="120" w:line="276" w:lineRule="auto"/>
        <w:ind w:firstLine="708"/>
        <w:jc w:val="both"/>
        <w:rPr>
          <w:rFonts w:ascii="Verdana" w:eastAsia="Times New Roman" w:hAnsi="Verdana" w:cs="Arial"/>
          <w:color w:val="000000"/>
          <w:lang w:val="es-ES_tradnl"/>
        </w:rPr>
      </w:pPr>
      <w:proofErr w:type="spellStart"/>
      <w:r w:rsidRPr="003F7C79">
        <w:rPr>
          <w:rFonts w:ascii="Verdana" w:eastAsia="Times New Roman" w:hAnsi="Verdana" w:cs="Arial"/>
          <w:color w:val="000000"/>
          <w:lang w:val="es-ES_tradnl"/>
        </w:rPr>
        <w:t>ix</w:t>
      </w:r>
      <w:proofErr w:type="spellEnd"/>
      <w:r w:rsidRPr="003F7C79">
        <w:rPr>
          <w:rFonts w:ascii="Verdana" w:eastAsia="Times New Roman" w:hAnsi="Verdana" w:cs="Arial"/>
          <w:color w:val="000000"/>
          <w:lang w:val="es-ES_tradnl"/>
        </w:rPr>
        <w:t xml:space="preserve">) En algunos casos no es obligatoria la liquidación, pues así lo estableció el </w:t>
      </w:r>
      <w:bookmarkStart w:id="12" w:name="_Hlk176814631"/>
      <w:r w:rsidRPr="003F7C79">
        <w:rPr>
          <w:rFonts w:ascii="Verdana" w:eastAsia="Times New Roman" w:hAnsi="Verdana" w:cs="Arial"/>
          <w:color w:val="000000"/>
          <w:lang w:val="es-ES_tradnl"/>
        </w:rPr>
        <w:t>artículo 217 del Decreto 019 de 2012</w:t>
      </w:r>
      <w:bookmarkEnd w:id="12"/>
      <w:r w:rsidRPr="003F7C79">
        <w:rPr>
          <w:rFonts w:ascii="Verdana" w:eastAsia="Times New Roman" w:hAnsi="Verdana" w:cs="Arial"/>
          <w:color w:val="000000"/>
          <w:lang w:val="es-ES_tradnl"/>
        </w:rPr>
        <w:t>, que modificó el artículo 60 de la Ley 80 de 1993</w:t>
      </w:r>
      <w:r w:rsidRPr="003F7C79">
        <w:rPr>
          <w:rFonts w:ascii="Verdana" w:eastAsia="Times New Roman" w:hAnsi="Verdana" w:cs="Arial"/>
          <w:vertAlign w:val="superscript"/>
        </w:rPr>
        <w:footnoteReference w:id="7"/>
      </w:r>
      <w:r w:rsidRPr="003F7C79">
        <w:rPr>
          <w:rFonts w:ascii="Verdana" w:eastAsia="Times New Roman" w:hAnsi="Verdana" w:cs="Arial"/>
          <w:color w:val="000000"/>
          <w:lang w:val="es-ES_tradnl"/>
        </w:rPr>
        <w:t>, refiriéndose a los contratos de prestación de servicios profesionales y de apoyo a la gestión.</w:t>
      </w:r>
    </w:p>
    <w:p w14:paraId="5724EF52" w14:textId="77777777" w:rsidR="00BD57B0" w:rsidRPr="003F7C79" w:rsidRDefault="00BD57B0" w:rsidP="007A1800">
      <w:pPr>
        <w:spacing w:after="120" w:line="276" w:lineRule="auto"/>
        <w:ind w:firstLine="708"/>
        <w:jc w:val="both"/>
        <w:rPr>
          <w:rFonts w:ascii="Verdana" w:eastAsia="Times New Roman" w:hAnsi="Verdana" w:cs="Arial"/>
          <w:color w:val="000000"/>
          <w:lang w:val="es-ES_tradnl"/>
        </w:rPr>
      </w:pPr>
      <w:r w:rsidRPr="003F7C79">
        <w:rPr>
          <w:rFonts w:ascii="Verdana" w:eastAsia="Times New Roman" w:hAnsi="Verdana" w:cs="Arial"/>
          <w:color w:val="000000"/>
          <w:lang w:val="es-ES_tradnl"/>
        </w:rPr>
        <w:t>x) Para su celebración no se requiere inscripción en el Registro Único de Proponentes (RUP), según lo prevé el artículo 6 de la Ley 1150 de 2007</w:t>
      </w:r>
      <w:r w:rsidRPr="003F7C79">
        <w:rPr>
          <w:rFonts w:ascii="Verdana" w:eastAsia="Times New Roman" w:hAnsi="Verdana" w:cs="Arial"/>
          <w:vertAlign w:val="superscript"/>
        </w:rPr>
        <w:footnoteReference w:id="8"/>
      </w:r>
      <w:r w:rsidRPr="003F7C79">
        <w:rPr>
          <w:rFonts w:ascii="Verdana" w:eastAsia="Times New Roman" w:hAnsi="Verdana" w:cs="Arial"/>
          <w:color w:val="000000"/>
          <w:lang w:val="es-ES_tradnl"/>
        </w:rPr>
        <w:t>.</w:t>
      </w:r>
    </w:p>
    <w:p w14:paraId="3EFDFB59" w14:textId="77777777" w:rsidR="00BD57B0" w:rsidRPr="003F7C79" w:rsidRDefault="00BD57B0" w:rsidP="007A1800">
      <w:pPr>
        <w:spacing w:after="120" w:line="276" w:lineRule="auto"/>
        <w:ind w:firstLine="708"/>
        <w:jc w:val="both"/>
        <w:rPr>
          <w:rFonts w:ascii="Verdana" w:eastAsia="Times New Roman" w:hAnsi="Verdana" w:cs="Arial"/>
          <w:color w:val="000000"/>
          <w:lang w:val="es-ES_tradnl"/>
        </w:rPr>
      </w:pPr>
      <w:r w:rsidRPr="003F7C79">
        <w:rPr>
          <w:rFonts w:ascii="Verdana" w:eastAsia="Times New Roman" w:hAnsi="Verdana" w:cs="Arial"/>
          <w:color w:val="000000"/>
          <w:lang w:val="es-ES_tradnl"/>
        </w:rPr>
        <w:t>xi) En ellos no son necesarias las garantías</w:t>
      </w:r>
      <w:r w:rsidRPr="003F7C79">
        <w:rPr>
          <w:rFonts w:ascii="Verdana" w:eastAsia="Times New Roman" w:hAnsi="Verdana" w:cs="Arial"/>
          <w:vertAlign w:val="superscript"/>
        </w:rPr>
        <w:footnoteReference w:id="9"/>
      </w:r>
      <w:r w:rsidRPr="003F7C79">
        <w:rPr>
          <w:rFonts w:ascii="Verdana" w:eastAsia="Times New Roman" w:hAnsi="Verdana" w:cs="Arial"/>
          <w:color w:val="000000"/>
          <w:lang w:val="es-ES_tradnl"/>
        </w:rPr>
        <w:t>.</w:t>
      </w:r>
    </w:p>
    <w:p w14:paraId="30A06804" w14:textId="77777777" w:rsidR="00BD57B0" w:rsidRPr="003F7C79" w:rsidRDefault="00BD57B0" w:rsidP="007A1800">
      <w:pPr>
        <w:spacing w:after="120" w:line="276" w:lineRule="auto"/>
        <w:ind w:firstLine="709"/>
        <w:jc w:val="both"/>
        <w:rPr>
          <w:rFonts w:ascii="Verdana" w:eastAsia="Times New Roman" w:hAnsi="Verdana" w:cs="Arial"/>
          <w:lang w:val="es-ES"/>
        </w:rPr>
      </w:pPr>
      <w:r w:rsidRPr="003F7C79">
        <w:rPr>
          <w:rFonts w:ascii="Verdana" w:eastAsia="Times New Roman" w:hAnsi="Verdana" w:cs="Arial"/>
          <w:color w:val="000000"/>
          <w:lang w:val="es-ES_tradnl" w:eastAsia="es-ES_tradnl"/>
        </w:rPr>
        <w:t xml:space="preserve">Por </w:t>
      </w:r>
      <w:bookmarkStart w:id="13" w:name="_Hlk135923867"/>
      <w:r w:rsidRPr="003F7C79">
        <w:rPr>
          <w:rFonts w:ascii="Verdana" w:eastAsia="Times New Roman" w:hAnsi="Verdana" w:cs="Arial"/>
          <w:color w:val="000000"/>
          <w:lang w:val="es-ES_tradnl" w:eastAsia="es-ES_tradnl"/>
        </w:rPr>
        <w:t xml:space="preserve">otro lado, de acuerdo a la situación fáctica que se le presente a una entidad dependiendo del estado de salud del contratista, es dable traer a colación lo referente a la </w:t>
      </w:r>
      <w:r w:rsidRPr="003F7C79">
        <w:rPr>
          <w:rFonts w:ascii="Verdana" w:eastAsia="Times New Roman" w:hAnsi="Verdana" w:cs="Arial"/>
          <w:color w:val="000000"/>
          <w:lang w:val="es-ES"/>
        </w:rPr>
        <w:t>estabilidad ocupacional reforzada de personas en situación de debilidad manifiesta por razones de salud</w:t>
      </w:r>
      <w:bookmarkEnd w:id="13"/>
      <w:r w:rsidRPr="003F7C79">
        <w:rPr>
          <w:rFonts w:ascii="Verdana" w:eastAsia="Times New Roman" w:hAnsi="Verdana" w:cs="Arial"/>
          <w:color w:val="000000"/>
          <w:lang w:val="es-ES"/>
        </w:rPr>
        <w:t xml:space="preserve">, que </w:t>
      </w:r>
      <w:r w:rsidRPr="003F7C79">
        <w:rPr>
          <w:rFonts w:ascii="Verdana" w:eastAsia="Times New Roman" w:hAnsi="Verdana" w:cs="Arial"/>
          <w:lang w:val="es-ES"/>
        </w:rPr>
        <w:t xml:space="preserve">con la expedición de la Constitución Política de 1991, el Estado colombiano reconoció su deber de brindar una protección reforzada a todas las personas que se hallen en circunstancias de debilidad manifiesta y, en particular, a las personas en situación de debilidad manifiesta por razones de salud. </w:t>
      </w:r>
    </w:p>
    <w:p w14:paraId="1C4B9185" w14:textId="77777777" w:rsidR="00BD57B0" w:rsidRPr="003F7C79" w:rsidRDefault="00BD57B0" w:rsidP="007A1800">
      <w:pPr>
        <w:spacing w:after="120" w:line="276" w:lineRule="auto"/>
        <w:ind w:firstLine="709"/>
        <w:jc w:val="both"/>
        <w:rPr>
          <w:rFonts w:ascii="Verdana" w:eastAsia="Times New Roman" w:hAnsi="Verdana" w:cs="Arial"/>
          <w:lang w:val="es-ES"/>
        </w:rPr>
      </w:pPr>
      <w:r w:rsidRPr="003F7C79">
        <w:rPr>
          <w:rFonts w:ascii="Verdana" w:eastAsia="Times New Roman" w:hAnsi="Verdana" w:cs="Arial"/>
          <w:lang w:val="es-ES"/>
        </w:rPr>
        <w:t>En ese orden de ideas, en sentencia de unificación SU- 049 del 2 de febrero de 2017</w:t>
      </w:r>
      <w:r w:rsidRPr="003F7C79">
        <w:rPr>
          <w:rStyle w:val="Refdenotaalpie"/>
          <w:rFonts w:ascii="Verdana" w:eastAsia="Times New Roman" w:hAnsi="Verdana" w:cs="Arial"/>
          <w:lang w:val="es-ES"/>
        </w:rPr>
        <w:footnoteReference w:id="10"/>
      </w:r>
      <w:r w:rsidRPr="003F7C79">
        <w:rPr>
          <w:rFonts w:ascii="Verdana" w:eastAsia="Times New Roman" w:hAnsi="Verdana" w:cs="Arial"/>
          <w:lang w:val="es-ES"/>
        </w:rPr>
        <w:t>, la Sala Plena de la Corte Constitucional unificó su jurisprudencia sobre la protección de estabilidad laboral reforzada que deben tener las personas en condición de debilidad manifiesta por cuestiones de salud, con fundamento constitucional en el “</w:t>
      </w:r>
      <w:r w:rsidRPr="003F7C79">
        <w:rPr>
          <w:rFonts w:ascii="Verdana" w:eastAsia="Times New Roman" w:hAnsi="Verdana" w:cs="Arial"/>
          <w:i/>
          <w:iCs/>
        </w:rPr>
        <w:t>derecho a “la estabilidad en el empleo” (CP art 53); en el derecho de todas las personas que “se encuentren en circunstancias de debilidad manifiesta” a ser protegidas “especialmente” con miras a promover las condiciones que hagan posible una igualdad “real y efectiva” (CP arts. 13 y 93); en que el derecho al trabajo “en todas sus modalidades” tiene especial protección del Estado y debe estar rodeado de “condiciones dignas y justas” (CP art 25); en el deber que tiene el Estado de adelantar una política de “integración social” a favor de aquellos que pueden considerarse “disminuidos físicos, sensoriales y síquicos” (CP art 47); en el derecho fundamental a gozar de un mínimo vital, entendido como la posibilidad efectiva de satisfacer necesidades humanas básicas como la alimentación, el vestido, el aseo, la vivienda, la educación y la salud (CP arts. 1, 53, 93 y 94); en el deber de todos de “obrar conforme al principio de solidaridad social” (CP arts. 1, 48 y 95)</w:t>
      </w:r>
      <w:r w:rsidRPr="003F7C79">
        <w:rPr>
          <w:rFonts w:ascii="Verdana" w:eastAsia="Times New Roman" w:hAnsi="Verdana" w:cs="Arial"/>
          <w:lang w:val="es-ES"/>
        </w:rPr>
        <w:t>”.</w:t>
      </w:r>
    </w:p>
    <w:p w14:paraId="032FFB2A" w14:textId="77777777" w:rsidR="00BD57B0" w:rsidRPr="003F7C79" w:rsidRDefault="00BD57B0" w:rsidP="007A1800">
      <w:pPr>
        <w:spacing w:after="120" w:line="276" w:lineRule="auto"/>
        <w:ind w:firstLine="709"/>
        <w:jc w:val="both"/>
        <w:rPr>
          <w:rFonts w:ascii="Verdana" w:eastAsia="Times New Roman" w:hAnsi="Verdana" w:cs="Arial"/>
          <w:color w:val="000000"/>
          <w:lang w:val="es-ES_tradnl" w:eastAsia="es-ES_tradnl"/>
        </w:rPr>
      </w:pPr>
      <w:r w:rsidRPr="003F7C79">
        <w:rPr>
          <w:rFonts w:ascii="Verdana" w:eastAsia="Times New Roman" w:hAnsi="Verdana" w:cs="Arial"/>
          <w:color w:val="000000"/>
          <w:lang w:val="es-ES_tradnl" w:eastAsia="es-ES_tradnl"/>
        </w:rPr>
        <w:t>En efecto, para la Corte Constitucional la protección a la estabilidad reforzada se asienta en los principios de solidaridad e integración social (Artículos 1, 43 y 95 de la CP), esto es, supone asumir como propias causas en principio ajenas, cuando el titular de ellas no puede por razones objetivas ejercer su defensa y la protección individualmente de forma integral y en el mandato de no discriminación que prohíbe establecer tratamientos diferenciales injustificados entre dos personas o situaciones de hecho; y como en principio todas las personas se presumen iguales, cuando se pretende defender un trato distinto entre estas deben existir razones, constitucionalmente validas, que lo justifiquen.</w:t>
      </w:r>
    </w:p>
    <w:p w14:paraId="763CA5C5" w14:textId="77777777" w:rsidR="00BD57B0" w:rsidRPr="003F7C79" w:rsidRDefault="00BD57B0" w:rsidP="007A1800">
      <w:pPr>
        <w:spacing w:after="120" w:line="276" w:lineRule="auto"/>
        <w:ind w:firstLine="709"/>
        <w:jc w:val="both"/>
        <w:rPr>
          <w:rFonts w:ascii="Verdana" w:eastAsia="Times New Roman" w:hAnsi="Verdana" w:cs="Arial"/>
          <w:color w:val="000000"/>
          <w:lang w:val="es-ES_tradnl" w:eastAsia="es-ES_tradnl"/>
        </w:rPr>
      </w:pPr>
      <w:r w:rsidRPr="003F7C79">
        <w:rPr>
          <w:rFonts w:ascii="Verdana" w:eastAsia="Times New Roman" w:hAnsi="Verdana" w:cs="Arial"/>
          <w:color w:val="000000"/>
          <w:lang w:val="es-ES_tradnl" w:eastAsia="es-ES_tradnl"/>
        </w:rPr>
        <w:t>Las personas que se encuentran en condiciones de debilidad manifiesta no son solo aquellos quienes han tenido una pérdida calificada de capacidad laboral bien sea en un grado moderado, severo o profundo, sino aquellos quienes experimentan una afectación de salud que les impide o dificulta sustancialmente el desempeño de sus funciones en las condiciones regulares</w:t>
      </w:r>
      <w:r w:rsidRPr="007A1800">
        <w:rPr>
          <w:rFonts w:ascii="Verdana" w:hAnsi="Verdana"/>
          <w:color w:val="000000"/>
          <w:vertAlign w:val="superscript"/>
          <w:lang w:val="es-ES_tradnl" w:eastAsia="es-ES_tradnl"/>
        </w:rPr>
        <w:footnoteReference w:id="11"/>
      </w:r>
      <w:r w:rsidRPr="003F7C79">
        <w:rPr>
          <w:rFonts w:ascii="Verdana" w:eastAsia="Times New Roman" w:hAnsi="Verdana" w:cs="Arial"/>
          <w:color w:val="000000"/>
          <w:lang w:val="es-ES_tradnl" w:eastAsia="es-ES_tradnl"/>
        </w:rPr>
        <w:t>.</w:t>
      </w:r>
    </w:p>
    <w:p w14:paraId="7BC4239C" w14:textId="77777777" w:rsidR="00BD57B0" w:rsidRPr="003F7C79" w:rsidRDefault="00BD57B0" w:rsidP="007A1800">
      <w:pPr>
        <w:spacing w:after="120" w:line="276" w:lineRule="auto"/>
        <w:ind w:firstLine="709"/>
        <w:jc w:val="both"/>
        <w:rPr>
          <w:rFonts w:ascii="Verdana" w:eastAsia="Times New Roman" w:hAnsi="Verdana" w:cs="Arial"/>
          <w:color w:val="000000"/>
          <w:lang w:val="es-ES_tradnl" w:eastAsia="es-ES_tradnl"/>
        </w:rPr>
      </w:pPr>
      <w:r w:rsidRPr="003F7C79">
        <w:rPr>
          <w:rFonts w:ascii="Verdana" w:eastAsia="Times New Roman" w:hAnsi="Verdana" w:cs="Arial"/>
          <w:color w:val="000000"/>
          <w:lang w:val="es-ES_tradnl" w:eastAsia="es-ES_tradnl"/>
        </w:rPr>
        <w:t xml:space="preserve">Por otro lado, resulta importante destacar que la expresión “estabilidad ocupacional reforzada” hace alusión no solo a las relaciones de trabajo caracterizadas por los servicios personales bajo subordinación jerárquica, sino que se extiende </w:t>
      </w:r>
      <w:r w:rsidRPr="003F7C79">
        <w:rPr>
          <w:rFonts w:ascii="Verdana" w:eastAsia="Times New Roman" w:hAnsi="Verdana" w:cs="Arial"/>
          <w:lang w:val="es-ES"/>
        </w:rPr>
        <w:t xml:space="preserve">también a quienes tienen relaciones ocupacionales a través de un contrato de prestación de servicios. </w:t>
      </w:r>
    </w:p>
    <w:p w14:paraId="7356B6BF" w14:textId="77777777" w:rsidR="00BD57B0" w:rsidRDefault="00BD57B0" w:rsidP="001501D4">
      <w:pPr>
        <w:spacing w:after="0" w:line="276" w:lineRule="auto"/>
        <w:ind w:firstLine="709"/>
        <w:contextualSpacing/>
        <w:jc w:val="both"/>
        <w:rPr>
          <w:rFonts w:ascii="Verdana" w:eastAsia="Times New Roman" w:hAnsi="Verdana" w:cs="Times New Roman"/>
          <w:lang w:eastAsia="es-MX"/>
        </w:rPr>
      </w:pPr>
      <w:r w:rsidRPr="00D11A4A">
        <w:rPr>
          <w:rFonts w:ascii="Verdana" w:eastAsia="Times New Roman" w:hAnsi="Verdana" w:cs="Times New Roman"/>
          <w:lang w:eastAsia="es-MX"/>
        </w:rPr>
        <w:t xml:space="preserve">Ahora bien, en lo que respecta al tema de consulta, la </w:t>
      </w:r>
      <w:r w:rsidRPr="00D11A4A">
        <w:rPr>
          <w:rFonts w:ascii="Verdana" w:eastAsia="Times New Roman" w:hAnsi="Verdana" w:cs="Arial"/>
          <w:i/>
          <w:iCs/>
          <w:lang w:eastAsia="es-MX"/>
        </w:rPr>
        <w:t>estabilidad ocupacional reforzada de personas en situación de debilidad manifiesta por razones de salud</w:t>
      </w:r>
      <w:r w:rsidRPr="00D11A4A">
        <w:rPr>
          <w:rFonts w:ascii="Verdana" w:eastAsia="Times New Roman" w:hAnsi="Verdana" w:cs="Times New Roman"/>
          <w:lang w:eastAsia="es-MX"/>
        </w:rPr>
        <w:t>, encuentra</w:t>
      </w:r>
      <w:r>
        <w:rPr>
          <w:rFonts w:ascii="Verdana" w:eastAsia="Times New Roman" w:hAnsi="Verdana" w:cs="Times New Roman"/>
          <w:lang w:eastAsia="es-MX"/>
        </w:rPr>
        <w:t xml:space="preserve"> también un</w:t>
      </w:r>
      <w:r w:rsidRPr="00D11A4A">
        <w:rPr>
          <w:rFonts w:ascii="Verdana" w:eastAsia="Times New Roman" w:hAnsi="Verdana" w:cs="Times New Roman"/>
          <w:lang w:eastAsia="es-MX"/>
        </w:rPr>
        <w:t xml:space="preserve"> sustento </w:t>
      </w:r>
      <w:r>
        <w:rPr>
          <w:rFonts w:ascii="Verdana" w:eastAsia="Times New Roman" w:hAnsi="Verdana" w:cs="Times New Roman"/>
          <w:lang w:eastAsia="es-MX"/>
        </w:rPr>
        <w:t xml:space="preserve">normativo </w:t>
      </w:r>
      <w:r w:rsidRPr="00D11A4A">
        <w:rPr>
          <w:rFonts w:ascii="Verdana" w:eastAsia="Times New Roman" w:hAnsi="Verdana" w:cs="Times New Roman"/>
          <w:lang w:eastAsia="es-MX"/>
        </w:rPr>
        <w:t xml:space="preserve">en la Ley 361 de 1997, </w:t>
      </w:r>
      <w:r w:rsidRPr="00D11A4A">
        <w:rPr>
          <w:rFonts w:ascii="Verdana" w:eastAsia="Times New Roman" w:hAnsi="Verdana" w:cs="Arial"/>
          <w:i/>
          <w:iCs/>
          <w:lang w:eastAsia="es-MX"/>
        </w:rPr>
        <w:t xml:space="preserve">“Por la cual se establecen mecanismos de integración social de las personas en situación de discapacidad y se dictan otras disposiciones”, </w:t>
      </w:r>
      <w:r w:rsidRPr="00D11A4A">
        <w:rPr>
          <w:rFonts w:ascii="Verdana" w:eastAsia="Times New Roman" w:hAnsi="Verdana" w:cs="Times New Roman"/>
          <w:lang w:eastAsia="es-MX"/>
        </w:rPr>
        <w:t xml:space="preserve">especialmente en su artículo 26 que dispuso que en ningún caso la discapacidad de una persona podrá́ ser un motivo para terminar su contrato, en los siguientes términos: </w:t>
      </w:r>
    </w:p>
    <w:p w14:paraId="301EE480" w14:textId="77777777" w:rsidR="001501D4" w:rsidRPr="00255304" w:rsidRDefault="001501D4" w:rsidP="007A1800">
      <w:pPr>
        <w:spacing w:after="0" w:line="276" w:lineRule="auto"/>
        <w:ind w:firstLine="709"/>
        <w:contextualSpacing/>
        <w:jc w:val="both"/>
        <w:rPr>
          <w:rFonts w:ascii="Verdana" w:eastAsia="Times New Roman" w:hAnsi="Verdana" w:cs="Arial"/>
          <w:lang w:val="es-ES"/>
        </w:rPr>
      </w:pPr>
    </w:p>
    <w:p w14:paraId="60ADAAA1" w14:textId="77777777" w:rsidR="00BD57B0" w:rsidRPr="00A91A31" w:rsidRDefault="00BD57B0" w:rsidP="007A1800">
      <w:pPr>
        <w:pStyle w:val="Textoindependiente"/>
        <w:ind w:left="709" w:right="709"/>
        <w:jc w:val="both"/>
        <w:rPr>
          <w:rFonts w:ascii="Verdana" w:hAnsi="Verdana"/>
          <w:spacing w:val="-2"/>
          <w:sz w:val="20"/>
          <w:szCs w:val="20"/>
        </w:rPr>
      </w:pPr>
      <w:r w:rsidRPr="00A91A31">
        <w:rPr>
          <w:rFonts w:ascii="Verdana" w:hAnsi="Verdana"/>
          <w:sz w:val="20"/>
          <w:szCs w:val="20"/>
        </w:rPr>
        <w:t>“Artículo</w:t>
      </w:r>
      <w:r w:rsidRPr="00A91A31">
        <w:rPr>
          <w:rFonts w:ascii="Verdana" w:hAnsi="Verdana"/>
          <w:spacing w:val="-17"/>
          <w:sz w:val="20"/>
          <w:szCs w:val="20"/>
        </w:rPr>
        <w:t xml:space="preserve"> </w:t>
      </w:r>
      <w:r w:rsidRPr="00A91A31">
        <w:rPr>
          <w:rFonts w:ascii="Verdana" w:hAnsi="Verdana"/>
          <w:sz w:val="20"/>
          <w:szCs w:val="20"/>
        </w:rPr>
        <w:t>26.</w:t>
      </w:r>
      <w:r w:rsidRPr="00A91A31">
        <w:rPr>
          <w:rFonts w:ascii="Verdana" w:hAnsi="Verdana"/>
          <w:spacing w:val="-18"/>
          <w:sz w:val="20"/>
          <w:szCs w:val="20"/>
        </w:rPr>
        <w:t xml:space="preserve"> </w:t>
      </w:r>
      <w:r w:rsidRPr="00A91A31">
        <w:rPr>
          <w:rFonts w:ascii="Verdana" w:hAnsi="Verdana"/>
          <w:sz w:val="20"/>
          <w:szCs w:val="20"/>
        </w:rPr>
        <w:t>No</w:t>
      </w:r>
      <w:r w:rsidRPr="00A91A31">
        <w:rPr>
          <w:rFonts w:ascii="Verdana" w:hAnsi="Verdana"/>
          <w:spacing w:val="-19"/>
          <w:sz w:val="20"/>
          <w:szCs w:val="20"/>
        </w:rPr>
        <w:t xml:space="preserve"> </w:t>
      </w:r>
      <w:r w:rsidRPr="00A91A31">
        <w:rPr>
          <w:rFonts w:ascii="Verdana" w:hAnsi="Verdana"/>
          <w:sz w:val="20"/>
          <w:szCs w:val="20"/>
        </w:rPr>
        <w:t>discriminación</w:t>
      </w:r>
      <w:r w:rsidRPr="00A91A31">
        <w:rPr>
          <w:rFonts w:ascii="Verdana" w:hAnsi="Verdana"/>
          <w:spacing w:val="-14"/>
          <w:sz w:val="20"/>
          <w:szCs w:val="20"/>
        </w:rPr>
        <w:t xml:space="preserve"> </w:t>
      </w:r>
      <w:r w:rsidRPr="00A91A31">
        <w:rPr>
          <w:rFonts w:ascii="Verdana" w:hAnsi="Verdana"/>
          <w:sz w:val="20"/>
          <w:szCs w:val="20"/>
        </w:rPr>
        <w:t>a</w:t>
      </w:r>
      <w:r w:rsidRPr="00A91A31">
        <w:rPr>
          <w:rFonts w:ascii="Verdana" w:hAnsi="Verdana"/>
          <w:spacing w:val="-19"/>
          <w:sz w:val="20"/>
          <w:szCs w:val="20"/>
        </w:rPr>
        <w:t xml:space="preserve"> </w:t>
      </w:r>
      <w:r w:rsidRPr="00A91A31">
        <w:rPr>
          <w:rFonts w:ascii="Verdana" w:hAnsi="Verdana"/>
          <w:sz w:val="20"/>
          <w:szCs w:val="20"/>
        </w:rPr>
        <w:t>persona</w:t>
      </w:r>
      <w:r w:rsidRPr="00A91A31">
        <w:rPr>
          <w:rFonts w:ascii="Verdana" w:hAnsi="Verdana"/>
          <w:spacing w:val="-17"/>
          <w:sz w:val="20"/>
          <w:szCs w:val="20"/>
        </w:rPr>
        <w:t xml:space="preserve"> </w:t>
      </w:r>
      <w:r w:rsidRPr="00A91A31">
        <w:rPr>
          <w:rFonts w:ascii="Verdana" w:hAnsi="Verdana"/>
          <w:sz w:val="20"/>
          <w:szCs w:val="20"/>
        </w:rPr>
        <w:t>en</w:t>
      </w:r>
      <w:r w:rsidRPr="00A91A31">
        <w:rPr>
          <w:rFonts w:ascii="Verdana" w:hAnsi="Verdana"/>
          <w:spacing w:val="-19"/>
          <w:sz w:val="20"/>
          <w:szCs w:val="20"/>
        </w:rPr>
        <w:t xml:space="preserve"> </w:t>
      </w:r>
      <w:r w:rsidRPr="00A91A31">
        <w:rPr>
          <w:rFonts w:ascii="Verdana" w:hAnsi="Verdana"/>
          <w:sz w:val="20"/>
          <w:szCs w:val="20"/>
        </w:rPr>
        <w:t>situación</w:t>
      </w:r>
      <w:r w:rsidRPr="00A91A31">
        <w:rPr>
          <w:rFonts w:ascii="Verdana" w:hAnsi="Verdana"/>
          <w:spacing w:val="-16"/>
          <w:sz w:val="20"/>
          <w:szCs w:val="20"/>
        </w:rPr>
        <w:t xml:space="preserve"> </w:t>
      </w:r>
      <w:r w:rsidRPr="00A91A31">
        <w:rPr>
          <w:rFonts w:ascii="Verdana" w:hAnsi="Verdana"/>
          <w:sz w:val="20"/>
          <w:szCs w:val="20"/>
        </w:rPr>
        <w:t>de</w:t>
      </w:r>
      <w:r w:rsidRPr="00A91A31">
        <w:rPr>
          <w:rFonts w:ascii="Verdana" w:hAnsi="Verdana"/>
          <w:spacing w:val="-19"/>
          <w:sz w:val="20"/>
          <w:szCs w:val="20"/>
        </w:rPr>
        <w:t xml:space="preserve"> </w:t>
      </w:r>
      <w:r w:rsidRPr="00A91A31">
        <w:rPr>
          <w:rFonts w:ascii="Verdana" w:hAnsi="Verdana"/>
          <w:sz w:val="20"/>
          <w:szCs w:val="20"/>
        </w:rPr>
        <w:t>discapacidad.</w:t>
      </w:r>
      <w:r w:rsidRPr="00A91A31">
        <w:rPr>
          <w:rFonts w:ascii="Verdana" w:hAnsi="Verdana"/>
          <w:spacing w:val="-15"/>
          <w:sz w:val="20"/>
          <w:szCs w:val="20"/>
        </w:rPr>
        <w:t xml:space="preserve"> </w:t>
      </w:r>
      <w:r w:rsidRPr="00A91A31">
        <w:rPr>
          <w:rFonts w:ascii="Verdana" w:hAnsi="Verdana"/>
          <w:sz w:val="20"/>
          <w:szCs w:val="20"/>
        </w:rPr>
        <w:t>En ningún caso la discapacidad de una persona podrá́ ser motivo para obstaculizar</w:t>
      </w:r>
      <w:r w:rsidRPr="00A91A31">
        <w:rPr>
          <w:rFonts w:ascii="Verdana" w:hAnsi="Verdana"/>
          <w:spacing w:val="-3"/>
          <w:sz w:val="20"/>
          <w:szCs w:val="20"/>
        </w:rPr>
        <w:t xml:space="preserve"> </w:t>
      </w:r>
      <w:r w:rsidRPr="00A91A31">
        <w:rPr>
          <w:rFonts w:ascii="Verdana" w:hAnsi="Verdana"/>
          <w:sz w:val="20"/>
          <w:szCs w:val="20"/>
        </w:rPr>
        <w:t>una</w:t>
      </w:r>
      <w:r w:rsidRPr="00A91A31">
        <w:rPr>
          <w:rFonts w:ascii="Verdana" w:hAnsi="Verdana"/>
          <w:spacing w:val="-6"/>
          <w:sz w:val="20"/>
          <w:szCs w:val="20"/>
        </w:rPr>
        <w:t xml:space="preserve"> </w:t>
      </w:r>
      <w:r w:rsidRPr="00A91A31">
        <w:rPr>
          <w:rFonts w:ascii="Verdana" w:hAnsi="Verdana"/>
          <w:sz w:val="20"/>
          <w:szCs w:val="20"/>
        </w:rPr>
        <w:t>vinculación</w:t>
      </w:r>
      <w:r w:rsidRPr="00A91A31">
        <w:rPr>
          <w:rFonts w:ascii="Verdana" w:hAnsi="Verdana"/>
          <w:spacing w:val="-3"/>
          <w:sz w:val="20"/>
          <w:szCs w:val="20"/>
        </w:rPr>
        <w:t xml:space="preserve"> </w:t>
      </w:r>
      <w:r w:rsidRPr="00A91A31">
        <w:rPr>
          <w:rFonts w:ascii="Verdana" w:hAnsi="Verdana"/>
          <w:sz w:val="20"/>
          <w:szCs w:val="20"/>
        </w:rPr>
        <w:t>laboral,</w:t>
      </w:r>
      <w:r w:rsidRPr="00A91A31">
        <w:rPr>
          <w:rFonts w:ascii="Verdana" w:hAnsi="Verdana"/>
          <w:spacing w:val="-5"/>
          <w:sz w:val="20"/>
          <w:szCs w:val="20"/>
        </w:rPr>
        <w:t xml:space="preserve"> </w:t>
      </w:r>
      <w:r w:rsidRPr="00A91A31">
        <w:rPr>
          <w:rFonts w:ascii="Verdana" w:hAnsi="Verdana"/>
          <w:sz w:val="20"/>
          <w:szCs w:val="20"/>
        </w:rPr>
        <w:t>a</w:t>
      </w:r>
      <w:r w:rsidRPr="00A91A31">
        <w:rPr>
          <w:rFonts w:ascii="Verdana" w:hAnsi="Verdana"/>
          <w:spacing w:val="-7"/>
          <w:sz w:val="20"/>
          <w:szCs w:val="20"/>
        </w:rPr>
        <w:t xml:space="preserve"> </w:t>
      </w:r>
      <w:r w:rsidRPr="00A91A31">
        <w:rPr>
          <w:rFonts w:ascii="Verdana" w:hAnsi="Verdana"/>
          <w:sz w:val="20"/>
          <w:szCs w:val="20"/>
        </w:rPr>
        <w:t>menos</w:t>
      </w:r>
      <w:r w:rsidRPr="00A91A31">
        <w:rPr>
          <w:rFonts w:ascii="Verdana" w:hAnsi="Verdana"/>
          <w:spacing w:val="-6"/>
          <w:sz w:val="20"/>
          <w:szCs w:val="20"/>
        </w:rPr>
        <w:t xml:space="preserve"> </w:t>
      </w:r>
      <w:r w:rsidRPr="00A91A31">
        <w:rPr>
          <w:rFonts w:ascii="Verdana" w:hAnsi="Verdana"/>
          <w:sz w:val="20"/>
          <w:szCs w:val="20"/>
        </w:rPr>
        <w:t>que</w:t>
      </w:r>
      <w:r w:rsidRPr="00A91A31">
        <w:rPr>
          <w:rFonts w:ascii="Verdana" w:hAnsi="Verdana"/>
          <w:spacing w:val="-6"/>
          <w:sz w:val="20"/>
          <w:szCs w:val="20"/>
        </w:rPr>
        <w:t xml:space="preserve"> </w:t>
      </w:r>
      <w:r w:rsidRPr="00A91A31">
        <w:rPr>
          <w:rFonts w:ascii="Verdana" w:hAnsi="Verdana"/>
          <w:sz w:val="20"/>
          <w:szCs w:val="20"/>
        </w:rPr>
        <w:t>dicha</w:t>
      </w:r>
      <w:r w:rsidRPr="00A91A31">
        <w:rPr>
          <w:rFonts w:ascii="Verdana" w:hAnsi="Verdana"/>
          <w:spacing w:val="-5"/>
          <w:sz w:val="20"/>
          <w:szCs w:val="20"/>
        </w:rPr>
        <w:t xml:space="preserve"> </w:t>
      </w:r>
      <w:r w:rsidRPr="00A91A31">
        <w:rPr>
          <w:rFonts w:ascii="Verdana" w:hAnsi="Verdana"/>
          <w:sz w:val="20"/>
          <w:szCs w:val="20"/>
        </w:rPr>
        <w:t>discapacidad</w:t>
      </w:r>
      <w:r w:rsidRPr="00A91A31">
        <w:rPr>
          <w:rFonts w:ascii="Verdana" w:hAnsi="Verdana"/>
          <w:spacing w:val="-3"/>
          <w:sz w:val="20"/>
          <w:szCs w:val="20"/>
        </w:rPr>
        <w:t xml:space="preserve"> </w:t>
      </w:r>
      <w:r w:rsidRPr="00A91A31">
        <w:rPr>
          <w:rFonts w:ascii="Verdana" w:hAnsi="Verdana"/>
          <w:sz w:val="20"/>
          <w:szCs w:val="20"/>
        </w:rPr>
        <w:t>sea claramente</w:t>
      </w:r>
      <w:r w:rsidRPr="00A91A31">
        <w:rPr>
          <w:rFonts w:ascii="Verdana" w:hAnsi="Verdana"/>
          <w:spacing w:val="-5"/>
          <w:sz w:val="20"/>
          <w:szCs w:val="20"/>
        </w:rPr>
        <w:t xml:space="preserve"> </w:t>
      </w:r>
      <w:r w:rsidRPr="00A91A31">
        <w:rPr>
          <w:rFonts w:ascii="Verdana" w:hAnsi="Verdana"/>
          <w:sz w:val="20"/>
          <w:szCs w:val="20"/>
        </w:rPr>
        <w:t>demostrada</w:t>
      </w:r>
      <w:r w:rsidRPr="00A91A31">
        <w:rPr>
          <w:rFonts w:ascii="Verdana" w:hAnsi="Verdana"/>
          <w:spacing w:val="-5"/>
          <w:sz w:val="20"/>
          <w:szCs w:val="20"/>
        </w:rPr>
        <w:t xml:space="preserve"> </w:t>
      </w:r>
      <w:r w:rsidRPr="00A91A31">
        <w:rPr>
          <w:rFonts w:ascii="Verdana" w:hAnsi="Verdana"/>
          <w:sz w:val="20"/>
          <w:szCs w:val="20"/>
        </w:rPr>
        <w:t>como</w:t>
      </w:r>
      <w:r w:rsidRPr="00A91A31">
        <w:rPr>
          <w:rFonts w:ascii="Verdana" w:hAnsi="Verdana"/>
          <w:spacing w:val="-7"/>
          <w:sz w:val="20"/>
          <w:szCs w:val="20"/>
        </w:rPr>
        <w:t xml:space="preserve"> </w:t>
      </w:r>
      <w:r w:rsidRPr="00A91A31">
        <w:rPr>
          <w:rFonts w:ascii="Verdana" w:hAnsi="Verdana"/>
          <w:sz w:val="20"/>
          <w:szCs w:val="20"/>
        </w:rPr>
        <w:t>incompatible</w:t>
      </w:r>
      <w:r w:rsidRPr="00A91A31">
        <w:rPr>
          <w:rFonts w:ascii="Verdana" w:hAnsi="Verdana"/>
          <w:spacing w:val="-5"/>
          <w:sz w:val="20"/>
          <w:szCs w:val="20"/>
        </w:rPr>
        <w:t xml:space="preserve"> </w:t>
      </w:r>
      <w:r w:rsidRPr="00A91A31">
        <w:rPr>
          <w:rFonts w:ascii="Verdana" w:hAnsi="Verdana"/>
          <w:sz w:val="20"/>
          <w:szCs w:val="20"/>
        </w:rPr>
        <w:t>e</w:t>
      </w:r>
      <w:r w:rsidRPr="00A91A31">
        <w:rPr>
          <w:rFonts w:ascii="Verdana" w:hAnsi="Verdana"/>
          <w:spacing w:val="-8"/>
          <w:sz w:val="20"/>
          <w:szCs w:val="20"/>
        </w:rPr>
        <w:t xml:space="preserve"> </w:t>
      </w:r>
      <w:r w:rsidRPr="00A91A31">
        <w:rPr>
          <w:rFonts w:ascii="Verdana" w:hAnsi="Verdana"/>
          <w:sz w:val="20"/>
          <w:szCs w:val="20"/>
        </w:rPr>
        <w:t>insuperable</w:t>
      </w:r>
      <w:r w:rsidRPr="00A91A31">
        <w:rPr>
          <w:rFonts w:ascii="Verdana" w:hAnsi="Verdana"/>
          <w:spacing w:val="-5"/>
          <w:sz w:val="20"/>
          <w:szCs w:val="20"/>
        </w:rPr>
        <w:t xml:space="preserve"> </w:t>
      </w:r>
      <w:r w:rsidRPr="00A91A31">
        <w:rPr>
          <w:rFonts w:ascii="Verdana" w:hAnsi="Verdana"/>
          <w:sz w:val="20"/>
          <w:szCs w:val="20"/>
        </w:rPr>
        <w:t>en</w:t>
      </w:r>
      <w:r w:rsidRPr="00A91A31">
        <w:rPr>
          <w:rFonts w:ascii="Verdana" w:hAnsi="Verdana"/>
          <w:spacing w:val="-8"/>
          <w:sz w:val="20"/>
          <w:szCs w:val="20"/>
        </w:rPr>
        <w:t xml:space="preserve"> </w:t>
      </w:r>
      <w:r w:rsidRPr="00A91A31">
        <w:rPr>
          <w:rFonts w:ascii="Verdana" w:hAnsi="Verdana"/>
          <w:sz w:val="20"/>
          <w:szCs w:val="20"/>
        </w:rPr>
        <w:t>el</w:t>
      </w:r>
      <w:r w:rsidRPr="00A91A31">
        <w:rPr>
          <w:rFonts w:ascii="Verdana" w:hAnsi="Verdana"/>
          <w:spacing w:val="-8"/>
          <w:sz w:val="20"/>
          <w:szCs w:val="20"/>
        </w:rPr>
        <w:t xml:space="preserve"> </w:t>
      </w:r>
      <w:r w:rsidRPr="00A91A31">
        <w:rPr>
          <w:rFonts w:ascii="Verdana" w:hAnsi="Verdana"/>
          <w:sz w:val="20"/>
          <w:szCs w:val="20"/>
        </w:rPr>
        <w:t>cargo</w:t>
      </w:r>
      <w:r w:rsidRPr="00A91A31">
        <w:rPr>
          <w:rFonts w:ascii="Verdana" w:hAnsi="Verdana"/>
          <w:spacing w:val="-6"/>
          <w:sz w:val="20"/>
          <w:szCs w:val="20"/>
        </w:rPr>
        <w:t xml:space="preserve"> </w:t>
      </w:r>
      <w:r w:rsidRPr="00A91A31">
        <w:rPr>
          <w:rFonts w:ascii="Verdana" w:hAnsi="Verdana"/>
          <w:sz w:val="20"/>
          <w:szCs w:val="20"/>
        </w:rPr>
        <w:t>que se va a desempeñar. Así́ mismo, ninguna persona en situación de discapacidad podrá́ ser despedida o su contrato terminado por razón de su</w:t>
      </w:r>
      <w:r w:rsidRPr="00A91A31">
        <w:rPr>
          <w:rFonts w:ascii="Verdana" w:hAnsi="Verdana"/>
          <w:spacing w:val="-12"/>
          <w:sz w:val="20"/>
          <w:szCs w:val="20"/>
        </w:rPr>
        <w:t xml:space="preserve"> </w:t>
      </w:r>
      <w:r w:rsidRPr="00A91A31">
        <w:rPr>
          <w:rFonts w:ascii="Verdana" w:hAnsi="Verdana"/>
          <w:sz w:val="20"/>
          <w:szCs w:val="20"/>
        </w:rPr>
        <w:t>discapacidad,</w:t>
      </w:r>
      <w:r w:rsidRPr="00A91A31">
        <w:rPr>
          <w:rFonts w:ascii="Verdana" w:hAnsi="Verdana"/>
          <w:spacing w:val="-11"/>
          <w:sz w:val="20"/>
          <w:szCs w:val="20"/>
        </w:rPr>
        <w:t xml:space="preserve"> </w:t>
      </w:r>
      <w:r w:rsidRPr="00A91A31">
        <w:rPr>
          <w:rFonts w:ascii="Verdana" w:hAnsi="Verdana"/>
          <w:sz w:val="20"/>
          <w:szCs w:val="20"/>
        </w:rPr>
        <w:t>salvo</w:t>
      </w:r>
      <w:r w:rsidRPr="00A91A31">
        <w:rPr>
          <w:rFonts w:ascii="Verdana" w:hAnsi="Verdana"/>
          <w:spacing w:val="-12"/>
          <w:sz w:val="20"/>
          <w:szCs w:val="20"/>
        </w:rPr>
        <w:t xml:space="preserve"> </w:t>
      </w:r>
      <w:r w:rsidRPr="00A91A31">
        <w:rPr>
          <w:rFonts w:ascii="Verdana" w:hAnsi="Verdana"/>
          <w:sz w:val="20"/>
          <w:szCs w:val="20"/>
        </w:rPr>
        <w:t>que</w:t>
      </w:r>
      <w:r w:rsidRPr="00A91A31">
        <w:rPr>
          <w:rFonts w:ascii="Verdana" w:hAnsi="Verdana"/>
          <w:spacing w:val="-11"/>
          <w:sz w:val="20"/>
          <w:szCs w:val="20"/>
        </w:rPr>
        <w:t xml:space="preserve"> </w:t>
      </w:r>
      <w:r w:rsidRPr="00A91A31">
        <w:rPr>
          <w:rFonts w:ascii="Verdana" w:hAnsi="Verdana"/>
          <w:sz w:val="20"/>
          <w:szCs w:val="20"/>
        </w:rPr>
        <w:t>medie</w:t>
      </w:r>
      <w:r w:rsidRPr="00A91A31">
        <w:rPr>
          <w:rFonts w:ascii="Verdana" w:hAnsi="Verdana"/>
          <w:spacing w:val="-12"/>
          <w:sz w:val="20"/>
          <w:szCs w:val="20"/>
        </w:rPr>
        <w:t xml:space="preserve"> </w:t>
      </w:r>
      <w:r w:rsidRPr="00A91A31">
        <w:rPr>
          <w:rFonts w:ascii="Verdana" w:hAnsi="Verdana"/>
          <w:sz w:val="20"/>
          <w:szCs w:val="20"/>
        </w:rPr>
        <w:t>autorización</w:t>
      </w:r>
      <w:r w:rsidRPr="00A91A31">
        <w:rPr>
          <w:rFonts w:ascii="Verdana" w:hAnsi="Verdana"/>
          <w:spacing w:val="-11"/>
          <w:sz w:val="20"/>
          <w:szCs w:val="20"/>
        </w:rPr>
        <w:t xml:space="preserve"> </w:t>
      </w:r>
      <w:r w:rsidRPr="00A91A31">
        <w:rPr>
          <w:rFonts w:ascii="Verdana" w:hAnsi="Verdana"/>
          <w:sz w:val="20"/>
          <w:szCs w:val="20"/>
        </w:rPr>
        <w:t>de</w:t>
      </w:r>
      <w:r w:rsidRPr="00A91A31">
        <w:rPr>
          <w:rFonts w:ascii="Verdana" w:hAnsi="Verdana"/>
          <w:spacing w:val="-12"/>
          <w:sz w:val="20"/>
          <w:szCs w:val="20"/>
        </w:rPr>
        <w:t xml:space="preserve"> </w:t>
      </w:r>
      <w:r w:rsidRPr="00A91A31">
        <w:rPr>
          <w:rFonts w:ascii="Verdana" w:hAnsi="Verdana"/>
          <w:sz w:val="20"/>
          <w:szCs w:val="20"/>
        </w:rPr>
        <w:t>la</w:t>
      </w:r>
      <w:r w:rsidRPr="00A91A31">
        <w:rPr>
          <w:rFonts w:ascii="Verdana" w:hAnsi="Verdana"/>
          <w:spacing w:val="-11"/>
          <w:sz w:val="20"/>
          <w:szCs w:val="20"/>
        </w:rPr>
        <w:t xml:space="preserve"> </w:t>
      </w:r>
      <w:r w:rsidRPr="00A91A31">
        <w:rPr>
          <w:rFonts w:ascii="Verdana" w:hAnsi="Verdana"/>
          <w:sz w:val="20"/>
          <w:szCs w:val="20"/>
        </w:rPr>
        <w:t>oficina</w:t>
      </w:r>
      <w:r w:rsidRPr="00A91A31">
        <w:rPr>
          <w:rFonts w:ascii="Verdana" w:hAnsi="Verdana"/>
          <w:spacing w:val="-12"/>
          <w:sz w:val="20"/>
          <w:szCs w:val="20"/>
        </w:rPr>
        <w:t xml:space="preserve"> </w:t>
      </w:r>
      <w:r w:rsidRPr="00A91A31">
        <w:rPr>
          <w:rFonts w:ascii="Verdana" w:hAnsi="Verdana"/>
          <w:sz w:val="20"/>
          <w:szCs w:val="20"/>
        </w:rPr>
        <w:t>de</w:t>
      </w:r>
      <w:r w:rsidRPr="00A91A31">
        <w:rPr>
          <w:rFonts w:ascii="Verdana" w:hAnsi="Verdana"/>
          <w:spacing w:val="-11"/>
          <w:sz w:val="20"/>
          <w:szCs w:val="20"/>
        </w:rPr>
        <w:t xml:space="preserve"> </w:t>
      </w:r>
      <w:r w:rsidRPr="00A91A31">
        <w:rPr>
          <w:rFonts w:ascii="Verdana" w:hAnsi="Verdana"/>
          <w:spacing w:val="-2"/>
          <w:sz w:val="20"/>
          <w:szCs w:val="20"/>
        </w:rPr>
        <w:t>Trabajo.</w:t>
      </w:r>
    </w:p>
    <w:p w14:paraId="0177DC67" w14:textId="77777777" w:rsidR="00BD57B0" w:rsidRPr="00A91A31" w:rsidRDefault="00BD57B0" w:rsidP="007A1800">
      <w:pPr>
        <w:pStyle w:val="Textoindependiente"/>
        <w:ind w:left="709" w:right="709"/>
        <w:jc w:val="both"/>
        <w:rPr>
          <w:rFonts w:ascii="Verdana" w:hAnsi="Verdana"/>
          <w:spacing w:val="-2"/>
          <w:sz w:val="20"/>
          <w:szCs w:val="20"/>
        </w:rPr>
      </w:pPr>
    </w:p>
    <w:p w14:paraId="6E4EFCD5" w14:textId="77777777" w:rsidR="00BD57B0" w:rsidRDefault="00BD57B0" w:rsidP="007A1800">
      <w:pPr>
        <w:pStyle w:val="Textoindependiente"/>
        <w:ind w:left="709" w:right="709"/>
        <w:jc w:val="both"/>
        <w:rPr>
          <w:rFonts w:ascii="Verdana" w:hAnsi="Verdana"/>
          <w:sz w:val="20"/>
          <w:szCs w:val="20"/>
        </w:rPr>
      </w:pPr>
      <w:r w:rsidRPr="00A91A31">
        <w:rPr>
          <w:rFonts w:ascii="Verdana" w:hAnsi="Verdana"/>
          <w:sz w:val="20"/>
          <w:szCs w:val="20"/>
        </w:rPr>
        <w:t>No obstante, quienes fueren despedidos o su contrato terminado por razón</w:t>
      </w:r>
      <w:r w:rsidRPr="00A91A31">
        <w:rPr>
          <w:rFonts w:ascii="Verdana" w:hAnsi="Verdana"/>
          <w:spacing w:val="-3"/>
          <w:sz w:val="20"/>
          <w:szCs w:val="20"/>
        </w:rPr>
        <w:t xml:space="preserve"> </w:t>
      </w:r>
      <w:r w:rsidRPr="00A91A31">
        <w:rPr>
          <w:rFonts w:ascii="Verdana" w:hAnsi="Verdana"/>
          <w:sz w:val="20"/>
          <w:szCs w:val="20"/>
        </w:rPr>
        <w:t>de</w:t>
      </w:r>
      <w:r w:rsidRPr="00A91A31">
        <w:rPr>
          <w:rFonts w:ascii="Verdana" w:hAnsi="Verdana"/>
          <w:spacing w:val="-4"/>
          <w:sz w:val="20"/>
          <w:szCs w:val="20"/>
        </w:rPr>
        <w:t xml:space="preserve"> </w:t>
      </w:r>
      <w:r w:rsidRPr="00A91A31">
        <w:rPr>
          <w:rFonts w:ascii="Verdana" w:hAnsi="Verdana"/>
          <w:sz w:val="20"/>
          <w:szCs w:val="20"/>
        </w:rPr>
        <w:t>su</w:t>
      </w:r>
      <w:r w:rsidRPr="00A91A31">
        <w:rPr>
          <w:rFonts w:ascii="Verdana" w:hAnsi="Verdana"/>
          <w:spacing w:val="-4"/>
          <w:sz w:val="20"/>
          <w:szCs w:val="20"/>
        </w:rPr>
        <w:t xml:space="preserve"> </w:t>
      </w:r>
      <w:r w:rsidRPr="00A91A31">
        <w:rPr>
          <w:rFonts w:ascii="Verdana" w:hAnsi="Verdana"/>
          <w:sz w:val="20"/>
          <w:szCs w:val="20"/>
        </w:rPr>
        <w:t>discapacidad, sin</w:t>
      </w:r>
      <w:r w:rsidRPr="00A91A31">
        <w:rPr>
          <w:rFonts w:ascii="Verdana" w:hAnsi="Verdana"/>
          <w:spacing w:val="-3"/>
          <w:sz w:val="20"/>
          <w:szCs w:val="20"/>
        </w:rPr>
        <w:t xml:space="preserve"> </w:t>
      </w:r>
      <w:r w:rsidRPr="00A91A31">
        <w:rPr>
          <w:rFonts w:ascii="Verdana" w:hAnsi="Verdana"/>
          <w:sz w:val="20"/>
          <w:szCs w:val="20"/>
        </w:rPr>
        <w:t>el</w:t>
      </w:r>
      <w:r w:rsidRPr="00A91A31">
        <w:rPr>
          <w:rFonts w:ascii="Verdana" w:hAnsi="Verdana"/>
          <w:spacing w:val="-4"/>
          <w:sz w:val="20"/>
          <w:szCs w:val="20"/>
        </w:rPr>
        <w:t xml:space="preserve"> </w:t>
      </w:r>
      <w:r w:rsidRPr="00A91A31">
        <w:rPr>
          <w:rFonts w:ascii="Verdana" w:hAnsi="Verdana"/>
          <w:sz w:val="20"/>
          <w:szCs w:val="20"/>
        </w:rPr>
        <w:t>cumplimiento del</w:t>
      </w:r>
      <w:r w:rsidRPr="00A91A31">
        <w:rPr>
          <w:rFonts w:ascii="Verdana" w:hAnsi="Verdana"/>
          <w:spacing w:val="-4"/>
          <w:sz w:val="20"/>
          <w:szCs w:val="20"/>
        </w:rPr>
        <w:t xml:space="preserve"> </w:t>
      </w:r>
      <w:r w:rsidRPr="00A91A31">
        <w:rPr>
          <w:rFonts w:ascii="Verdana" w:hAnsi="Verdana"/>
          <w:sz w:val="20"/>
          <w:szCs w:val="20"/>
        </w:rPr>
        <w:t>requisito</w:t>
      </w:r>
      <w:r w:rsidRPr="00A91A31">
        <w:rPr>
          <w:rFonts w:ascii="Verdana" w:hAnsi="Verdana"/>
          <w:spacing w:val="-1"/>
          <w:sz w:val="20"/>
          <w:szCs w:val="20"/>
        </w:rPr>
        <w:t xml:space="preserve"> </w:t>
      </w:r>
      <w:r w:rsidRPr="00A91A31">
        <w:rPr>
          <w:rFonts w:ascii="Verdana" w:hAnsi="Verdana"/>
          <w:sz w:val="20"/>
          <w:szCs w:val="20"/>
        </w:rPr>
        <w:t>previsto</w:t>
      </w:r>
      <w:r w:rsidRPr="00A91A31">
        <w:rPr>
          <w:rFonts w:ascii="Verdana" w:hAnsi="Verdana"/>
          <w:spacing w:val="-2"/>
          <w:sz w:val="20"/>
          <w:szCs w:val="20"/>
        </w:rPr>
        <w:t xml:space="preserve"> </w:t>
      </w:r>
      <w:r w:rsidRPr="00A91A31">
        <w:rPr>
          <w:rFonts w:ascii="Verdana" w:hAnsi="Verdana"/>
          <w:sz w:val="20"/>
          <w:szCs w:val="20"/>
        </w:rPr>
        <w:t>en</w:t>
      </w:r>
      <w:r w:rsidRPr="00A91A31">
        <w:rPr>
          <w:rFonts w:ascii="Verdana" w:hAnsi="Verdana"/>
          <w:spacing w:val="-4"/>
          <w:sz w:val="20"/>
          <w:szCs w:val="20"/>
        </w:rPr>
        <w:t xml:space="preserve"> </w:t>
      </w:r>
      <w:r w:rsidRPr="00A91A31">
        <w:rPr>
          <w:rFonts w:ascii="Verdana" w:hAnsi="Verdana"/>
          <w:sz w:val="20"/>
          <w:szCs w:val="20"/>
        </w:rPr>
        <w:t>el inciso</w:t>
      </w:r>
      <w:r w:rsidRPr="00A91A31">
        <w:rPr>
          <w:rFonts w:ascii="Verdana" w:hAnsi="Verdana"/>
          <w:spacing w:val="-14"/>
          <w:sz w:val="20"/>
          <w:szCs w:val="20"/>
        </w:rPr>
        <w:t xml:space="preserve"> </w:t>
      </w:r>
      <w:r w:rsidRPr="00A91A31">
        <w:rPr>
          <w:rFonts w:ascii="Verdana" w:hAnsi="Verdana"/>
          <w:sz w:val="20"/>
          <w:szCs w:val="20"/>
        </w:rPr>
        <w:t>anterior,</w:t>
      </w:r>
      <w:r w:rsidRPr="00A91A31">
        <w:rPr>
          <w:rFonts w:ascii="Verdana" w:hAnsi="Verdana"/>
          <w:spacing w:val="-13"/>
          <w:sz w:val="20"/>
          <w:szCs w:val="20"/>
        </w:rPr>
        <w:t xml:space="preserve"> </w:t>
      </w:r>
      <w:r w:rsidRPr="00A91A31">
        <w:rPr>
          <w:rFonts w:ascii="Verdana" w:hAnsi="Verdana"/>
          <w:sz w:val="20"/>
          <w:szCs w:val="20"/>
        </w:rPr>
        <w:t>tendrán</w:t>
      </w:r>
      <w:r w:rsidRPr="00A91A31">
        <w:rPr>
          <w:rFonts w:ascii="Verdana" w:hAnsi="Verdana"/>
          <w:spacing w:val="-14"/>
          <w:sz w:val="20"/>
          <w:szCs w:val="20"/>
        </w:rPr>
        <w:t xml:space="preserve"> </w:t>
      </w:r>
      <w:r w:rsidRPr="00A91A31">
        <w:rPr>
          <w:rFonts w:ascii="Verdana" w:hAnsi="Verdana"/>
          <w:sz w:val="20"/>
          <w:szCs w:val="20"/>
        </w:rPr>
        <w:t>derecho</w:t>
      </w:r>
      <w:r w:rsidRPr="00A91A31">
        <w:rPr>
          <w:rFonts w:ascii="Verdana" w:hAnsi="Verdana"/>
          <w:spacing w:val="-14"/>
          <w:sz w:val="20"/>
          <w:szCs w:val="20"/>
        </w:rPr>
        <w:t xml:space="preserve"> </w:t>
      </w:r>
      <w:r w:rsidRPr="00A91A31">
        <w:rPr>
          <w:rFonts w:ascii="Verdana" w:hAnsi="Verdana"/>
          <w:sz w:val="20"/>
          <w:szCs w:val="20"/>
        </w:rPr>
        <w:t>a</w:t>
      </w:r>
      <w:r w:rsidRPr="00A91A31">
        <w:rPr>
          <w:rFonts w:ascii="Verdana" w:hAnsi="Verdana"/>
          <w:spacing w:val="-16"/>
          <w:sz w:val="20"/>
          <w:szCs w:val="20"/>
        </w:rPr>
        <w:t xml:space="preserve"> </w:t>
      </w:r>
      <w:r w:rsidRPr="00A91A31">
        <w:rPr>
          <w:rFonts w:ascii="Verdana" w:hAnsi="Verdana"/>
          <w:sz w:val="20"/>
          <w:szCs w:val="20"/>
        </w:rPr>
        <w:t>una</w:t>
      </w:r>
      <w:r w:rsidRPr="00A91A31">
        <w:rPr>
          <w:rFonts w:ascii="Verdana" w:hAnsi="Verdana"/>
          <w:spacing w:val="-15"/>
          <w:sz w:val="20"/>
          <w:szCs w:val="20"/>
        </w:rPr>
        <w:t xml:space="preserve"> </w:t>
      </w:r>
      <w:r w:rsidRPr="00A91A31">
        <w:rPr>
          <w:rFonts w:ascii="Verdana" w:hAnsi="Verdana"/>
          <w:sz w:val="20"/>
          <w:szCs w:val="20"/>
        </w:rPr>
        <w:t>indemnización</w:t>
      </w:r>
      <w:r w:rsidRPr="00A91A31">
        <w:rPr>
          <w:rFonts w:ascii="Verdana" w:hAnsi="Verdana"/>
          <w:spacing w:val="-12"/>
          <w:sz w:val="20"/>
          <w:szCs w:val="20"/>
        </w:rPr>
        <w:t xml:space="preserve"> </w:t>
      </w:r>
      <w:r w:rsidRPr="00A91A31">
        <w:rPr>
          <w:rFonts w:ascii="Verdana" w:hAnsi="Verdana"/>
          <w:sz w:val="20"/>
          <w:szCs w:val="20"/>
        </w:rPr>
        <w:t>equivalente</w:t>
      </w:r>
      <w:r w:rsidRPr="00A91A31">
        <w:rPr>
          <w:rFonts w:ascii="Verdana" w:hAnsi="Verdana"/>
          <w:spacing w:val="-13"/>
          <w:sz w:val="20"/>
          <w:szCs w:val="20"/>
        </w:rPr>
        <w:t xml:space="preserve"> </w:t>
      </w:r>
      <w:r w:rsidRPr="00A91A31">
        <w:rPr>
          <w:rFonts w:ascii="Verdana" w:hAnsi="Verdana"/>
          <w:sz w:val="20"/>
          <w:szCs w:val="20"/>
        </w:rPr>
        <w:t>a</w:t>
      </w:r>
      <w:r w:rsidRPr="00A91A31">
        <w:rPr>
          <w:rFonts w:ascii="Verdana" w:hAnsi="Verdana"/>
          <w:spacing w:val="-16"/>
          <w:sz w:val="20"/>
          <w:szCs w:val="20"/>
        </w:rPr>
        <w:t xml:space="preserve"> </w:t>
      </w:r>
      <w:r w:rsidRPr="00A91A31">
        <w:rPr>
          <w:rFonts w:ascii="Verdana" w:hAnsi="Verdana"/>
          <w:sz w:val="20"/>
          <w:szCs w:val="20"/>
        </w:rPr>
        <w:t>ciento ochenta días del salario, sin perjuicio de las demás prestaciones e indemnizaciones</w:t>
      </w:r>
      <w:r w:rsidRPr="00A91A31">
        <w:rPr>
          <w:rFonts w:ascii="Verdana" w:hAnsi="Verdana"/>
          <w:spacing w:val="-9"/>
          <w:sz w:val="20"/>
          <w:szCs w:val="20"/>
        </w:rPr>
        <w:t xml:space="preserve"> </w:t>
      </w:r>
      <w:r w:rsidRPr="00A91A31">
        <w:rPr>
          <w:rFonts w:ascii="Verdana" w:hAnsi="Verdana"/>
          <w:sz w:val="20"/>
          <w:szCs w:val="20"/>
        </w:rPr>
        <w:t>a</w:t>
      </w:r>
      <w:r w:rsidRPr="00A91A31">
        <w:rPr>
          <w:rFonts w:ascii="Verdana" w:hAnsi="Verdana"/>
          <w:spacing w:val="-12"/>
          <w:sz w:val="20"/>
          <w:szCs w:val="20"/>
        </w:rPr>
        <w:t xml:space="preserve"> </w:t>
      </w:r>
      <w:r w:rsidRPr="00A91A31">
        <w:rPr>
          <w:rFonts w:ascii="Verdana" w:hAnsi="Verdana"/>
          <w:sz w:val="20"/>
          <w:szCs w:val="20"/>
        </w:rPr>
        <w:t>que</w:t>
      </w:r>
      <w:r w:rsidRPr="00A91A31">
        <w:rPr>
          <w:rFonts w:ascii="Verdana" w:hAnsi="Verdana"/>
          <w:spacing w:val="-11"/>
          <w:sz w:val="20"/>
          <w:szCs w:val="20"/>
        </w:rPr>
        <w:t xml:space="preserve"> </w:t>
      </w:r>
      <w:r w:rsidRPr="00A91A31">
        <w:rPr>
          <w:rFonts w:ascii="Verdana" w:hAnsi="Verdana"/>
          <w:sz w:val="20"/>
          <w:szCs w:val="20"/>
        </w:rPr>
        <w:t>hubiere</w:t>
      </w:r>
      <w:r w:rsidRPr="00A91A31">
        <w:rPr>
          <w:rFonts w:ascii="Verdana" w:hAnsi="Verdana"/>
          <w:spacing w:val="-10"/>
          <w:sz w:val="20"/>
          <w:szCs w:val="20"/>
        </w:rPr>
        <w:t xml:space="preserve"> </w:t>
      </w:r>
      <w:r w:rsidRPr="00A91A31">
        <w:rPr>
          <w:rFonts w:ascii="Verdana" w:hAnsi="Verdana"/>
          <w:sz w:val="20"/>
          <w:szCs w:val="20"/>
        </w:rPr>
        <w:t>lugar</w:t>
      </w:r>
      <w:r w:rsidRPr="00A91A31">
        <w:rPr>
          <w:rFonts w:ascii="Verdana" w:hAnsi="Verdana"/>
          <w:spacing w:val="-11"/>
          <w:sz w:val="20"/>
          <w:szCs w:val="20"/>
        </w:rPr>
        <w:t xml:space="preserve"> </w:t>
      </w:r>
      <w:r w:rsidRPr="00A91A31">
        <w:rPr>
          <w:rFonts w:ascii="Verdana" w:hAnsi="Verdana"/>
          <w:sz w:val="20"/>
          <w:szCs w:val="20"/>
        </w:rPr>
        <w:t>de</w:t>
      </w:r>
      <w:r w:rsidRPr="00A91A31">
        <w:rPr>
          <w:rFonts w:ascii="Verdana" w:hAnsi="Verdana"/>
          <w:spacing w:val="-12"/>
          <w:sz w:val="20"/>
          <w:szCs w:val="20"/>
        </w:rPr>
        <w:t xml:space="preserve"> </w:t>
      </w:r>
      <w:r w:rsidRPr="00A91A31">
        <w:rPr>
          <w:rFonts w:ascii="Verdana" w:hAnsi="Verdana"/>
          <w:sz w:val="20"/>
          <w:szCs w:val="20"/>
        </w:rPr>
        <w:t>acuerdo</w:t>
      </w:r>
      <w:r w:rsidRPr="00A91A31">
        <w:rPr>
          <w:rFonts w:ascii="Verdana" w:hAnsi="Verdana"/>
          <w:spacing w:val="-10"/>
          <w:sz w:val="20"/>
          <w:szCs w:val="20"/>
        </w:rPr>
        <w:t xml:space="preserve"> </w:t>
      </w:r>
      <w:r w:rsidRPr="00A91A31">
        <w:rPr>
          <w:rFonts w:ascii="Verdana" w:hAnsi="Verdana"/>
          <w:sz w:val="20"/>
          <w:szCs w:val="20"/>
        </w:rPr>
        <w:t>con</w:t>
      </w:r>
      <w:r w:rsidRPr="00A91A31">
        <w:rPr>
          <w:rFonts w:ascii="Verdana" w:hAnsi="Verdana"/>
          <w:spacing w:val="-11"/>
          <w:sz w:val="20"/>
          <w:szCs w:val="20"/>
        </w:rPr>
        <w:t xml:space="preserve"> </w:t>
      </w:r>
      <w:r w:rsidRPr="00A91A31">
        <w:rPr>
          <w:rFonts w:ascii="Verdana" w:hAnsi="Verdana"/>
          <w:sz w:val="20"/>
          <w:szCs w:val="20"/>
        </w:rPr>
        <w:t>el</w:t>
      </w:r>
      <w:r w:rsidRPr="00A91A31">
        <w:rPr>
          <w:rFonts w:ascii="Verdana" w:hAnsi="Verdana"/>
          <w:spacing w:val="-12"/>
          <w:sz w:val="20"/>
          <w:szCs w:val="20"/>
        </w:rPr>
        <w:t xml:space="preserve"> </w:t>
      </w:r>
      <w:r w:rsidRPr="00A91A31">
        <w:rPr>
          <w:rFonts w:ascii="Verdana" w:hAnsi="Verdana"/>
          <w:sz w:val="20"/>
          <w:szCs w:val="20"/>
        </w:rPr>
        <w:t>Código</w:t>
      </w:r>
      <w:r w:rsidRPr="00A91A31">
        <w:rPr>
          <w:rFonts w:ascii="Verdana" w:hAnsi="Verdana"/>
          <w:spacing w:val="-11"/>
          <w:sz w:val="20"/>
          <w:szCs w:val="20"/>
        </w:rPr>
        <w:t xml:space="preserve"> </w:t>
      </w:r>
      <w:r w:rsidRPr="00A91A31">
        <w:rPr>
          <w:rFonts w:ascii="Verdana" w:hAnsi="Verdana"/>
          <w:sz w:val="20"/>
          <w:szCs w:val="20"/>
        </w:rPr>
        <w:t>Sustantivo del</w:t>
      </w:r>
      <w:r w:rsidRPr="00A91A31">
        <w:rPr>
          <w:rFonts w:ascii="Verdana" w:hAnsi="Verdana"/>
          <w:spacing w:val="-17"/>
          <w:sz w:val="20"/>
          <w:szCs w:val="20"/>
        </w:rPr>
        <w:t xml:space="preserve"> </w:t>
      </w:r>
      <w:r w:rsidRPr="00A91A31">
        <w:rPr>
          <w:rFonts w:ascii="Verdana" w:hAnsi="Verdana"/>
          <w:sz w:val="20"/>
          <w:szCs w:val="20"/>
        </w:rPr>
        <w:t>Trabajo</w:t>
      </w:r>
      <w:r w:rsidRPr="00A91A31">
        <w:rPr>
          <w:rFonts w:ascii="Verdana" w:hAnsi="Verdana"/>
          <w:spacing w:val="-16"/>
          <w:sz w:val="20"/>
          <w:szCs w:val="20"/>
        </w:rPr>
        <w:t xml:space="preserve"> </w:t>
      </w:r>
      <w:r w:rsidRPr="00A91A31">
        <w:rPr>
          <w:rFonts w:ascii="Verdana" w:hAnsi="Verdana"/>
          <w:sz w:val="20"/>
          <w:szCs w:val="20"/>
        </w:rPr>
        <w:t>y</w:t>
      </w:r>
      <w:r w:rsidRPr="00A91A31">
        <w:rPr>
          <w:rFonts w:ascii="Verdana" w:hAnsi="Verdana"/>
          <w:spacing w:val="-18"/>
          <w:sz w:val="20"/>
          <w:szCs w:val="20"/>
        </w:rPr>
        <w:t xml:space="preserve"> </w:t>
      </w:r>
      <w:r w:rsidRPr="00A91A31">
        <w:rPr>
          <w:rFonts w:ascii="Verdana" w:hAnsi="Verdana"/>
          <w:sz w:val="20"/>
          <w:szCs w:val="20"/>
        </w:rPr>
        <w:t>demás</w:t>
      </w:r>
      <w:r w:rsidRPr="00A91A31">
        <w:rPr>
          <w:rFonts w:ascii="Verdana" w:hAnsi="Verdana"/>
          <w:spacing w:val="-16"/>
          <w:sz w:val="20"/>
          <w:szCs w:val="20"/>
        </w:rPr>
        <w:t xml:space="preserve"> </w:t>
      </w:r>
      <w:r w:rsidRPr="00A91A31">
        <w:rPr>
          <w:rFonts w:ascii="Verdana" w:hAnsi="Verdana"/>
          <w:sz w:val="20"/>
          <w:szCs w:val="20"/>
        </w:rPr>
        <w:t>normas</w:t>
      </w:r>
      <w:r w:rsidRPr="00A91A31">
        <w:rPr>
          <w:rFonts w:ascii="Verdana" w:hAnsi="Verdana"/>
          <w:spacing w:val="-16"/>
          <w:sz w:val="20"/>
          <w:szCs w:val="20"/>
        </w:rPr>
        <w:t xml:space="preserve"> </w:t>
      </w:r>
      <w:r w:rsidRPr="00A91A31">
        <w:rPr>
          <w:rFonts w:ascii="Verdana" w:hAnsi="Verdana"/>
          <w:sz w:val="20"/>
          <w:szCs w:val="20"/>
        </w:rPr>
        <w:t>que</w:t>
      </w:r>
      <w:r w:rsidRPr="00A91A31">
        <w:rPr>
          <w:rFonts w:ascii="Verdana" w:hAnsi="Verdana"/>
          <w:spacing w:val="-17"/>
          <w:sz w:val="20"/>
          <w:szCs w:val="20"/>
        </w:rPr>
        <w:t xml:space="preserve"> </w:t>
      </w:r>
      <w:r w:rsidRPr="00A91A31">
        <w:rPr>
          <w:rFonts w:ascii="Verdana" w:hAnsi="Verdana"/>
          <w:sz w:val="20"/>
          <w:szCs w:val="20"/>
        </w:rPr>
        <w:t>lo</w:t>
      </w:r>
      <w:r w:rsidRPr="00A91A31">
        <w:rPr>
          <w:rFonts w:ascii="Verdana" w:hAnsi="Verdana"/>
          <w:spacing w:val="-18"/>
          <w:sz w:val="20"/>
          <w:szCs w:val="20"/>
        </w:rPr>
        <w:t xml:space="preserve"> </w:t>
      </w:r>
      <w:r w:rsidRPr="00A91A31">
        <w:rPr>
          <w:rFonts w:ascii="Verdana" w:hAnsi="Verdana"/>
          <w:sz w:val="20"/>
          <w:szCs w:val="20"/>
        </w:rPr>
        <w:t>modifiquen,</w:t>
      </w:r>
      <w:r w:rsidRPr="00A91A31">
        <w:rPr>
          <w:rFonts w:ascii="Verdana" w:hAnsi="Verdana"/>
          <w:spacing w:val="-14"/>
          <w:sz w:val="20"/>
          <w:szCs w:val="20"/>
        </w:rPr>
        <w:t xml:space="preserve"> </w:t>
      </w:r>
      <w:r w:rsidRPr="00A91A31">
        <w:rPr>
          <w:rFonts w:ascii="Verdana" w:hAnsi="Verdana"/>
          <w:sz w:val="20"/>
          <w:szCs w:val="20"/>
        </w:rPr>
        <w:t>adicionen,</w:t>
      </w:r>
      <w:r w:rsidRPr="00A91A31">
        <w:rPr>
          <w:rFonts w:ascii="Verdana" w:hAnsi="Verdana"/>
          <w:spacing w:val="-15"/>
          <w:sz w:val="20"/>
          <w:szCs w:val="20"/>
        </w:rPr>
        <w:t xml:space="preserve"> </w:t>
      </w:r>
      <w:r w:rsidRPr="00A91A31">
        <w:rPr>
          <w:rFonts w:ascii="Verdana" w:hAnsi="Verdana"/>
          <w:sz w:val="20"/>
          <w:szCs w:val="20"/>
        </w:rPr>
        <w:t>complementen o aclaren.”</w:t>
      </w:r>
    </w:p>
    <w:p w14:paraId="67467808" w14:textId="77777777" w:rsidR="00BD57B0" w:rsidRPr="00A91A31" w:rsidRDefault="00BD57B0" w:rsidP="00BD57B0">
      <w:pPr>
        <w:pStyle w:val="Textoindependiente"/>
        <w:ind w:left="709" w:right="616"/>
        <w:jc w:val="both"/>
        <w:rPr>
          <w:rFonts w:ascii="Verdana" w:hAnsi="Verdana"/>
          <w:spacing w:val="-2"/>
          <w:sz w:val="20"/>
          <w:szCs w:val="20"/>
        </w:rPr>
      </w:pPr>
    </w:p>
    <w:p w14:paraId="1577ABA4" w14:textId="381D62B2" w:rsidR="00BD57B0" w:rsidRDefault="00BD57B0" w:rsidP="00BD57B0">
      <w:pPr>
        <w:spacing w:after="120" w:line="276" w:lineRule="auto"/>
        <w:ind w:firstLine="709"/>
        <w:jc w:val="both"/>
        <w:rPr>
          <w:rFonts w:ascii="Verdana" w:eastAsia="Times New Roman" w:hAnsi="Verdana" w:cs="Arial"/>
          <w:lang w:eastAsia="es-MX"/>
        </w:rPr>
      </w:pPr>
      <w:r w:rsidRPr="00A91A31">
        <w:rPr>
          <w:rFonts w:ascii="Verdana" w:eastAsia="Times New Roman" w:hAnsi="Verdana" w:cs="Times New Roman"/>
          <w:lang w:eastAsia="es-MX"/>
        </w:rPr>
        <w:t xml:space="preserve">La aplicación de la norma ibidem en los contratos prestación de servicios tiene origen jurisprudencial, a través de sentencias de la Corte Constitucional como la sentencia </w:t>
      </w:r>
      <w:r>
        <w:rPr>
          <w:rFonts w:ascii="Verdana" w:eastAsia="Times New Roman" w:hAnsi="Verdana" w:cs="Times New Roman"/>
          <w:lang w:eastAsia="es-MX"/>
        </w:rPr>
        <w:t>T-</w:t>
      </w:r>
      <w:r w:rsidRPr="00A91A31">
        <w:rPr>
          <w:rFonts w:ascii="Verdana" w:eastAsia="Times New Roman" w:hAnsi="Verdana" w:cs="Times New Roman"/>
          <w:lang w:eastAsia="es-MX"/>
        </w:rPr>
        <w:t>1210 del 5 de diciembre de 2008</w:t>
      </w:r>
      <w:r>
        <w:rPr>
          <w:rStyle w:val="Refdenotaalpie"/>
          <w:rFonts w:ascii="Verdana" w:eastAsia="Times New Roman" w:hAnsi="Verdana" w:cs="Times New Roman"/>
          <w:lang w:eastAsia="es-MX"/>
        </w:rPr>
        <w:footnoteReference w:id="12"/>
      </w:r>
      <w:r w:rsidRPr="00A91A31">
        <w:rPr>
          <w:rFonts w:ascii="Verdana" w:eastAsia="Times New Roman" w:hAnsi="Verdana" w:cs="Times New Roman"/>
          <w:lang w:eastAsia="es-MX"/>
        </w:rPr>
        <w:t>, que previó la posibilidad que se prediquen</w:t>
      </w:r>
      <w:r w:rsidRPr="00D11A4A">
        <w:rPr>
          <w:rFonts w:ascii="Verdana" w:eastAsia="Times New Roman" w:hAnsi="Verdana" w:cs="Arial"/>
          <w:lang w:eastAsia="es-MX"/>
        </w:rPr>
        <w:t xml:space="preserve"> ciertas garantías de la relación laboral a los contratos de prestación de servicios tales como, el principio de estabilidad laboral</w:t>
      </w:r>
      <w:r w:rsidRPr="00D11A4A">
        <w:rPr>
          <w:rFonts w:ascii="Verdana" w:eastAsia="Times New Roman" w:hAnsi="Verdana" w:cs="Arial"/>
          <w:vertAlign w:val="superscript"/>
          <w:lang w:eastAsia="es-MX"/>
        </w:rPr>
        <w:footnoteReference w:id="13"/>
      </w:r>
      <w:r>
        <w:rPr>
          <w:rFonts w:ascii="Verdana" w:eastAsia="Times New Roman" w:hAnsi="Verdana" w:cs="Arial"/>
          <w:lang w:eastAsia="es-MX"/>
        </w:rPr>
        <w:t>.</w:t>
      </w:r>
    </w:p>
    <w:p w14:paraId="2B00792A" w14:textId="77777777" w:rsidR="00BD57B0" w:rsidRDefault="00BD57B0" w:rsidP="00BD57B0">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De acuerdo con lo anterior, la protección contenida en el artículo 26 de la Ley 361 de 1997 aplica no solo a las relaciones de carácter dependientes, sino que se extiende a los contratos de prestación de servicios propiamente dichos. </w:t>
      </w:r>
    </w:p>
    <w:p w14:paraId="4C34F7C7" w14:textId="77777777" w:rsidR="00BD57B0" w:rsidRDefault="00BD57B0" w:rsidP="00BD57B0">
      <w:pPr>
        <w:spacing w:after="120" w:line="276" w:lineRule="auto"/>
        <w:ind w:firstLine="709"/>
        <w:jc w:val="both"/>
        <w:rPr>
          <w:rFonts w:ascii="Verdana" w:eastAsia="Times New Roman" w:hAnsi="Verdana" w:cs="Arial"/>
          <w:lang w:eastAsia="es-MX"/>
        </w:rPr>
      </w:pPr>
      <w:r w:rsidRPr="00A91A31">
        <w:rPr>
          <w:rFonts w:ascii="Verdana" w:eastAsia="Times New Roman" w:hAnsi="Verdana" w:cs="Times New Roman"/>
          <w:lang w:eastAsia="es-MX"/>
        </w:rPr>
        <w:t>De esta manera,</w:t>
      </w:r>
      <w:r>
        <w:rPr>
          <w:rFonts w:ascii="Verdana" w:eastAsia="Times New Roman" w:hAnsi="Verdana" w:cs="Times New Roman"/>
          <w:lang w:eastAsia="es-MX"/>
        </w:rPr>
        <w:t xml:space="preserve"> a</w:t>
      </w:r>
      <w:r w:rsidRPr="00A91A31">
        <w:rPr>
          <w:rFonts w:ascii="Verdana" w:eastAsia="Times New Roman" w:hAnsi="Verdana" w:cs="Times New Roman"/>
          <w:lang w:eastAsia="es-MX"/>
        </w:rPr>
        <w:t xml:space="preserve"> una persona en debilidad manifiesta por razones de salud no se le podrá́ terminar su contrato de prestación de servicios por razón de su discapacidad o enfermedad, salvo que medie autorización de la oficina de Trabajo, </w:t>
      </w:r>
      <w:r>
        <w:rPr>
          <w:rFonts w:ascii="Verdana" w:eastAsia="Times New Roman" w:hAnsi="Verdana" w:cs="Times New Roman"/>
          <w:lang w:eastAsia="es-MX"/>
        </w:rPr>
        <w:t xml:space="preserve">tal como lo dispone el artículo 26 de la Ley 361 de 1997, </w:t>
      </w:r>
      <w:r w:rsidRPr="00A91A31">
        <w:rPr>
          <w:rFonts w:ascii="Verdana" w:eastAsia="Times New Roman" w:hAnsi="Verdana" w:cs="Times New Roman"/>
          <w:lang w:eastAsia="es-MX"/>
        </w:rPr>
        <w:t>teniendo en cuenta que en dichos casos la presunción</w:t>
      </w:r>
      <w:r w:rsidRPr="00D11A4A">
        <w:rPr>
          <w:rFonts w:ascii="Verdana" w:eastAsia="Times New Roman" w:hAnsi="Verdana" w:cs="Arial"/>
          <w:lang w:eastAsia="es-MX"/>
        </w:rPr>
        <w:t xml:space="preserve"> de discriminación debe ser desvirtuada por la entidad contratante.</w:t>
      </w:r>
    </w:p>
    <w:p w14:paraId="27127DFD" w14:textId="63C6B984" w:rsidR="00BD57B0" w:rsidRDefault="00BD57B0" w:rsidP="00BD57B0">
      <w:pPr>
        <w:spacing w:after="120" w:line="276" w:lineRule="auto"/>
        <w:ind w:firstLine="709"/>
        <w:jc w:val="both"/>
        <w:rPr>
          <w:rFonts w:ascii="Verdana" w:eastAsia="Times New Roman" w:hAnsi="Verdana" w:cs="Arial"/>
          <w:lang w:eastAsia="es-MX"/>
        </w:rPr>
      </w:pPr>
      <w:r w:rsidRPr="00D11A4A">
        <w:rPr>
          <w:rFonts w:ascii="Verdana" w:eastAsia="Times New Roman" w:hAnsi="Verdana" w:cs="Arial"/>
          <w:lang w:eastAsia="es-MX"/>
        </w:rPr>
        <w:t xml:space="preserve">En conclusión, esta Agencia ratifica lo señalado en Concepto </w:t>
      </w:r>
      <w:r w:rsidR="001F53FD">
        <w:rPr>
          <w:rFonts w:ascii="Verdana" w:eastAsia="Times New Roman" w:hAnsi="Verdana" w:cs="Arial"/>
          <w:lang w:eastAsia="es-MX"/>
        </w:rPr>
        <w:t>C-</w:t>
      </w:r>
      <w:r w:rsidRPr="00D11A4A">
        <w:rPr>
          <w:rFonts w:ascii="Verdana" w:eastAsia="Times New Roman" w:hAnsi="Verdana" w:cs="Arial"/>
          <w:lang w:eastAsia="es-MX"/>
        </w:rPr>
        <w:t>135 de 2023, en donde se indica que “si la Entidad Estatal contratante conoce de la situación de debilidad manifiesta del contratista por razones de su salud y subsiste la causa del contrato, es decir</w:t>
      </w:r>
      <w:r w:rsidR="001F53FD">
        <w:rPr>
          <w:rFonts w:ascii="Verdana" w:eastAsia="Times New Roman" w:hAnsi="Verdana" w:cs="Arial"/>
          <w:lang w:eastAsia="es-MX"/>
        </w:rPr>
        <w:t>,</w:t>
      </w:r>
      <w:r w:rsidRPr="00D11A4A">
        <w:rPr>
          <w:rFonts w:ascii="Verdana" w:eastAsia="Times New Roman" w:hAnsi="Verdana" w:cs="Arial"/>
          <w:lang w:eastAsia="es-MX"/>
        </w:rPr>
        <w:t xml:space="preserve"> la necesidad que originó la celebración del contrato prestación de servicios sigue existiendo para la </w:t>
      </w:r>
      <w:r w:rsidR="001F53FD" w:rsidRPr="00D11A4A">
        <w:rPr>
          <w:rFonts w:ascii="Verdana" w:eastAsia="Times New Roman" w:hAnsi="Verdana" w:cs="Arial"/>
          <w:lang w:eastAsia="es-MX"/>
        </w:rPr>
        <w:t>entidad estatal</w:t>
      </w:r>
      <w:r w:rsidRPr="00D11A4A">
        <w:rPr>
          <w:rFonts w:ascii="Verdana" w:eastAsia="Times New Roman" w:hAnsi="Verdana" w:cs="Arial"/>
          <w:lang w:eastAsia="es-MX"/>
        </w:rPr>
        <w:t xml:space="preserve">, no podrá́ dar por terminado el vínculo contractual, sin que medie permiso del inspector del trabajo, aun cuando se haya configurado su terminación por cumplimiento de plazo contractual. </w:t>
      </w:r>
    </w:p>
    <w:p w14:paraId="0B780D95" w14:textId="77777777" w:rsidR="00BD57B0" w:rsidRDefault="00BD57B0" w:rsidP="00BD57B0">
      <w:pPr>
        <w:spacing w:after="120" w:line="276" w:lineRule="auto"/>
        <w:ind w:firstLine="709"/>
        <w:jc w:val="both"/>
        <w:rPr>
          <w:rFonts w:ascii="Verdana" w:eastAsia="Times New Roman" w:hAnsi="Verdana" w:cs="Arial"/>
          <w:lang w:eastAsia="es-MX"/>
        </w:rPr>
      </w:pPr>
      <w:r w:rsidRPr="00D11A4A">
        <w:rPr>
          <w:rFonts w:ascii="Verdana" w:eastAsia="Times New Roman" w:hAnsi="Verdana" w:cs="Arial"/>
          <w:lang w:eastAsia="es-MX"/>
        </w:rPr>
        <w:t xml:space="preserve">El no acatamiento de dichas directrices puede dar a lugar a que un juez ordene, previo estudio de las particularidades del caso en concreto, la procedencia de cada una de las siguientes medidas de protección: i) La renovación de la relación contractual; </w:t>
      </w:r>
      <w:proofErr w:type="spellStart"/>
      <w:r w:rsidRPr="00D11A4A">
        <w:rPr>
          <w:rFonts w:ascii="Verdana" w:eastAsia="Times New Roman" w:hAnsi="Verdana" w:cs="Arial"/>
          <w:lang w:eastAsia="es-MX"/>
        </w:rPr>
        <w:t>ii</w:t>
      </w:r>
      <w:proofErr w:type="spellEnd"/>
      <w:r w:rsidRPr="00D11A4A">
        <w:rPr>
          <w:rFonts w:ascii="Verdana" w:eastAsia="Times New Roman" w:hAnsi="Verdana" w:cs="Arial"/>
          <w:lang w:eastAsia="es-MX"/>
        </w:rPr>
        <w:t xml:space="preserve">) El pago de los honorarios dejados de percibir desde la fecha de no renovación del contrato, hasta la renovación del mismo; y, </w:t>
      </w:r>
      <w:proofErr w:type="spellStart"/>
      <w:r w:rsidRPr="00D11A4A">
        <w:rPr>
          <w:rFonts w:ascii="Verdana" w:eastAsia="Times New Roman" w:hAnsi="Verdana" w:cs="Arial"/>
          <w:lang w:eastAsia="es-MX"/>
        </w:rPr>
        <w:t>iii</w:t>
      </w:r>
      <w:proofErr w:type="spellEnd"/>
      <w:r w:rsidRPr="00D11A4A">
        <w:rPr>
          <w:rFonts w:ascii="Verdana" w:eastAsia="Times New Roman" w:hAnsi="Verdana" w:cs="Arial"/>
          <w:lang w:eastAsia="es-MX"/>
        </w:rPr>
        <w:t>) El pago por concepto de la indemnización por despido previsto en el artículo 26 de la Ley 361 de 1997”.</w:t>
      </w:r>
    </w:p>
    <w:p w14:paraId="17ADC939" w14:textId="77777777" w:rsidR="00BD57B0" w:rsidRPr="009A6F9B" w:rsidRDefault="00BD57B0" w:rsidP="00BD57B0">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10D5D1D" w14:textId="77777777" w:rsidR="00BD57B0" w:rsidRPr="009A6F9B" w:rsidRDefault="00BD57B0" w:rsidP="00BD57B0">
      <w:pPr>
        <w:spacing w:after="12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074DE9B" w14:textId="2A646BF2" w:rsidR="003F39A9" w:rsidRDefault="00BD57B0" w:rsidP="006818C2">
      <w:pPr>
        <w:autoSpaceDE w:val="0"/>
        <w:autoSpaceDN w:val="0"/>
        <w:adjustRightInd w:val="0"/>
        <w:spacing w:after="0" w:line="276" w:lineRule="auto"/>
        <w:ind w:firstLine="709"/>
        <w:jc w:val="both"/>
        <w:rPr>
          <w:rFonts w:ascii="Verdana" w:hAnsi="Verdana" w:cs="Arial"/>
        </w:rPr>
      </w:pPr>
      <w:r w:rsidRPr="00EA766F">
        <w:rPr>
          <w:rFonts w:ascii="Verdana" w:eastAsia="Times New Roman" w:hAnsi="Verdana" w:cs="Arial"/>
          <w:color w:val="000000" w:themeColor="text1"/>
          <w:lang w:eastAsia="es-CO"/>
        </w:rPr>
        <w:t xml:space="preserve">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w:t>
      </w:r>
      <w:r>
        <w:rPr>
          <w:rFonts w:ascii="Verdana" w:eastAsia="Times New Roman" w:hAnsi="Verdana" w:cs="Arial"/>
          <w:color w:val="000000" w:themeColor="text1"/>
          <w:lang w:eastAsia="es-CO"/>
        </w:rPr>
        <w:t>salud,</w:t>
      </w:r>
      <w:r w:rsidRPr="00EA766F">
        <w:rPr>
          <w:rFonts w:ascii="Verdana" w:eastAsia="Times New Roman" w:hAnsi="Verdana" w:cs="Arial"/>
          <w:color w:val="000000" w:themeColor="text1"/>
          <w:lang w:eastAsia="es-CO"/>
        </w:rPr>
        <w:t xml:space="preserve"> garantizando a su vez el cumplimiento de los principios de legalidad, igualdad y buena fe que rigen la función administrativa</w:t>
      </w:r>
      <w:r>
        <w:rPr>
          <w:rFonts w:ascii="Verdana" w:hAnsi="Verdana" w:cs="Arial"/>
        </w:rPr>
        <w:t>.</w:t>
      </w:r>
    </w:p>
    <w:p w14:paraId="224A068A" w14:textId="77777777" w:rsidR="00410443" w:rsidRPr="00617EFE" w:rsidRDefault="00410443" w:rsidP="006818C2">
      <w:pPr>
        <w:autoSpaceDE w:val="0"/>
        <w:autoSpaceDN w:val="0"/>
        <w:adjustRightInd w:val="0"/>
        <w:spacing w:after="0" w:line="276" w:lineRule="auto"/>
        <w:ind w:firstLine="709"/>
        <w:jc w:val="both"/>
        <w:rPr>
          <w:rFonts w:ascii="Verdana" w:hAnsi="Verdana" w:cs="Arial"/>
        </w:rPr>
      </w:pPr>
    </w:p>
    <w:p w14:paraId="40CDB54A" w14:textId="77777777" w:rsidR="00BD57B0" w:rsidRPr="002335E6" w:rsidRDefault="00BD57B0" w:rsidP="007A1800">
      <w:pPr>
        <w:spacing w:after="0" w:line="276" w:lineRule="auto"/>
        <w:jc w:val="both"/>
        <w:rPr>
          <w:rFonts w:ascii="Verdana" w:hAnsi="Verdana" w:cs="Arial"/>
          <w:bCs/>
          <w:color w:val="000000" w:themeColor="text1"/>
        </w:rPr>
      </w:pPr>
      <w:bookmarkStart w:id="14" w:name="_Hlk204854194"/>
      <w:r w:rsidRPr="002335E6">
        <w:rPr>
          <w:rFonts w:ascii="Verdana" w:hAnsi="Verdana" w:cs="Arial"/>
          <w:b/>
          <w:color w:val="000000" w:themeColor="text1"/>
        </w:rPr>
        <w:t>4.</w:t>
      </w:r>
      <w:r w:rsidRPr="002335E6">
        <w:rPr>
          <w:rFonts w:ascii="Verdana" w:hAnsi="Verdana" w:cs="Arial"/>
          <w:bCs/>
          <w:color w:val="000000" w:themeColor="text1"/>
        </w:rPr>
        <w:t xml:space="preserve"> </w:t>
      </w:r>
      <w:r w:rsidRPr="002335E6">
        <w:rPr>
          <w:rFonts w:ascii="Verdana" w:eastAsia="Century Gothic" w:hAnsi="Verdana" w:cs="Century Gothic"/>
          <w:b/>
          <w:bCs/>
        </w:rPr>
        <w:t>Referencias normativas y jurisprudenciales:</w:t>
      </w:r>
      <w:bookmarkEnd w:id="14"/>
    </w:p>
    <w:p w14:paraId="2EB0B2B3" w14:textId="77777777" w:rsidR="00BD57B0" w:rsidRPr="002335E6" w:rsidRDefault="00BD57B0" w:rsidP="007A1800">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57B0" w:rsidRPr="002335E6" w14:paraId="546E8782" w14:textId="77777777" w:rsidTr="004432C1">
        <w:trPr>
          <w:trHeight w:val="56"/>
          <w:jc w:val="center"/>
        </w:trPr>
        <w:tc>
          <w:tcPr>
            <w:tcW w:w="8647" w:type="dxa"/>
          </w:tcPr>
          <w:p w14:paraId="5A40602C" w14:textId="77777777" w:rsidR="002335E6" w:rsidRPr="002335E6" w:rsidRDefault="002335E6" w:rsidP="007A1800">
            <w:pPr>
              <w:pStyle w:val="Prrafodelista"/>
              <w:numPr>
                <w:ilvl w:val="0"/>
                <w:numId w:val="17"/>
              </w:numPr>
              <w:spacing w:line="276" w:lineRule="auto"/>
              <w:contextualSpacing w:val="0"/>
              <w:jc w:val="both"/>
              <w:rPr>
                <w:rFonts w:ascii="Verdana" w:eastAsia="Times New Roman" w:hAnsi="Verdana" w:cs="Arial"/>
                <w:color w:val="000000" w:themeColor="text1"/>
                <w:lang w:val="es-CO" w:eastAsia="es-CO"/>
              </w:rPr>
            </w:pPr>
            <w:r w:rsidRPr="002335E6">
              <w:rPr>
                <w:rFonts w:ascii="Verdana" w:eastAsia="Times New Roman" w:hAnsi="Verdana" w:cs="Arial"/>
                <w:color w:val="000000" w:themeColor="text1"/>
                <w:lang w:val="es-CO" w:eastAsia="es-CO"/>
              </w:rPr>
              <w:t xml:space="preserve">Código Sustantivo del Trabajo. Artículo 22. </w:t>
            </w:r>
          </w:p>
          <w:p w14:paraId="4BC43632" w14:textId="77777777" w:rsidR="00BD57B0" w:rsidRPr="002335E6" w:rsidRDefault="00BD57B0" w:rsidP="007A1800">
            <w:pPr>
              <w:pStyle w:val="Prrafodelista"/>
              <w:numPr>
                <w:ilvl w:val="0"/>
                <w:numId w:val="17"/>
              </w:numPr>
              <w:spacing w:line="276" w:lineRule="auto"/>
              <w:contextualSpacing w:val="0"/>
              <w:jc w:val="both"/>
              <w:rPr>
                <w:rFonts w:ascii="Verdana" w:eastAsia="Times New Roman" w:hAnsi="Verdana" w:cs="Arial"/>
                <w:color w:val="000000" w:themeColor="text1"/>
                <w:lang w:val="es-CO" w:eastAsia="es-CO"/>
              </w:rPr>
            </w:pPr>
            <w:r w:rsidRPr="002335E6">
              <w:rPr>
                <w:rFonts w:ascii="Verdana" w:eastAsia="Times New Roman" w:hAnsi="Verdana" w:cs="Arial"/>
                <w:color w:val="000000" w:themeColor="text1"/>
                <w:lang w:val="es-CO" w:eastAsia="es-CO"/>
              </w:rPr>
              <w:t xml:space="preserve">Ley 80 de 1993. Artículos 14, 32. </w:t>
            </w:r>
          </w:p>
          <w:p w14:paraId="68EBBA47" w14:textId="77777777" w:rsidR="002335E6" w:rsidRPr="002335E6" w:rsidRDefault="002335E6" w:rsidP="007A1800">
            <w:pPr>
              <w:pStyle w:val="Prrafodelista"/>
              <w:numPr>
                <w:ilvl w:val="0"/>
                <w:numId w:val="17"/>
              </w:numPr>
              <w:spacing w:line="276" w:lineRule="auto"/>
              <w:contextualSpacing w:val="0"/>
              <w:jc w:val="both"/>
              <w:rPr>
                <w:rFonts w:ascii="Verdana" w:eastAsia="Times New Roman" w:hAnsi="Verdana" w:cs="Arial"/>
                <w:color w:val="000000" w:themeColor="text1"/>
                <w:lang w:val="es-CO" w:eastAsia="es-CO"/>
              </w:rPr>
            </w:pPr>
            <w:r w:rsidRPr="002335E6">
              <w:rPr>
                <w:rFonts w:ascii="Verdana" w:eastAsia="Times New Roman" w:hAnsi="Verdana" w:cs="Arial"/>
                <w:color w:val="000000" w:themeColor="text1"/>
                <w:lang w:val="es-CO" w:eastAsia="es-CO"/>
              </w:rPr>
              <w:t xml:space="preserve">Ley 361 de 1997. Artículo 26. </w:t>
            </w:r>
          </w:p>
          <w:p w14:paraId="41600CB5" w14:textId="77777777" w:rsidR="00BD57B0" w:rsidRPr="002335E6" w:rsidRDefault="00BD57B0" w:rsidP="007A1800">
            <w:pPr>
              <w:pStyle w:val="Prrafodelista"/>
              <w:numPr>
                <w:ilvl w:val="0"/>
                <w:numId w:val="17"/>
              </w:numPr>
              <w:spacing w:line="276" w:lineRule="auto"/>
              <w:contextualSpacing w:val="0"/>
              <w:jc w:val="both"/>
              <w:rPr>
                <w:rFonts w:ascii="Verdana" w:eastAsia="Times New Roman" w:hAnsi="Verdana" w:cs="Arial"/>
                <w:color w:val="000000" w:themeColor="text1"/>
                <w:lang w:val="es-CO" w:eastAsia="es-CO"/>
              </w:rPr>
            </w:pPr>
            <w:r w:rsidRPr="002335E6">
              <w:rPr>
                <w:rFonts w:ascii="Verdana" w:eastAsia="Times New Roman" w:hAnsi="Verdana" w:cs="Arial"/>
                <w:color w:val="000000" w:themeColor="text1"/>
                <w:lang w:val="es-CO" w:eastAsia="es-CO"/>
              </w:rPr>
              <w:t xml:space="preserve">Ley 1150 de 2007. Artículo 2 numeral 4 literal h. </w:t>
            </w:r>
          </w:p>
          <w:p w14:paraId="17E1C588" w14:textId="66B86DDD" w:rsidR="00BD57B0" w:rsidRPr="007A1800" w:rsidRDefault="00BD57B0" w:rsidP="007A1800">
            <w:pPr>
              <w:pStyle w:val="Prrafodelista"/>
              <w:numPr>
                <w:ilvl w:val="0"/>
                <w:numId w:val="17"/>
              </w:numPr>
              <w:spacing w:line="276" w:lineRule="auto"/>
              <w:contextualSpacing w:val="0"/>
              <w:jc w:val="both"/>
              <w:rPr>
                <w:rFonts w:ascii="Verdana" w:eastAsia="Times New Roman" w:hAnsi="Verdana" w:cs="Arial"/>
                <w:color w:val="000000" w:themeColor="text1"/>
                <w:lang w:eastAsia="es-CO"/>
              </w:rPr>
            </w:pPr>
            <w:r w:rsidRPr="002335E6">
              <w:rPr>
                <w:rFonts w:ascii="Verdana" w:eastAsia="Times New Roman" w:hAnsi="Verdana" w:cs="Arial"/>
                <w:color w:val="000000" w:themeColor="text1"/>
                <w:lang w:val="es-CO" w:eastAsia="es-CO"/>
              </w:rPr>
              <w:t>Decreto 1068 de 2015</w:t>
            </w:r>
            <w:r w:rsidR="002335E6" w:rsidRPr="002335E6">
              <w:rPr>
                <w:rFonts w:ascii="Verdana" w:eastAsia="Times New Roman" w:hAnsi="Verdana" w:cs="Arial"/>
                <w:color w:val="000000" w:themeColor="text1"/>
                <w:lang w:val="es-CO" w:eastAsia="es-CO"/>
              </w:rPr>
              <w:t xml:space="preserve">. </w:t>
            </w:r>
            <w:r w:rsidRPr="002335E6">
              <w:rPr>
                <w:rFonts w:ascii="Verdana" w:eastAsia="Times New Roman" w:hAnsi="Verdana" w:cs="Arial"/>
                <w:color w:val="000000" w:themeColor="text1"/>
                <w:lang w:val="es-CO" w:eastAsia="es-CO"/>
              </w:rPr>
              <w:t>Artículos 2.2.1.2.1.4.1, 2.2.1.2.1.4.9.</w:t>
            </w:r>
            <w:r w:rsidR="002335E6" w:rsidRPr="002335E6">
              <w:rPr>
                <w:rFonts w:ascii="Verdana" w:eastAsia="Times New Roman" w:hAnsi="Verdana" w:cs="Arial"/>
                <w:color w:val="000000" w:themeColor="text1"/>
                <w:lang w:val="es-CO" w:eastAsia="es-CO"/>
              </w:rPr>
              <w:t xml:space="preserve"> y</w:t>
            </w:r>
            <w:r w:rsidR="002335E6" w:rsidRPr="002335E6">
              <w:rPr>
                <w:rFonts w:ascii="Verdana" w:eastAsia="Times New Roman" w:hAnsi="Verdana" w:cs="Arial"/>
                <w:color w:val="000000" w:themeColor="text1"/>
                <w:lang w:eastAsia="es-CO"/>
              </w:rPr>
              <w:t xml:space="preserve"> </w:t>
            </w:r>
            <w:r w:rsidRPr="007A1800">
              <w:rPr>
                <w:rFonts w:ascii="Verdana" w:eastAsia="Times New Roman" w:hAnsi="Verdana" w:cs="Arial"/>
                <w:color w:val="000000" w:themeColor="text1"/>
                <w:lang w:eastAsia="es-CO"/>
              </w:rPr>
              <w:t>2.8.4.4.5.</w:t>
            </w:r>
          </w:p>
          <w:p w14:paraId="0292A096" w14:textId="40EC110E" w:rsidR="00BD57B0" w:rsidRPr="002335E6" w:rsidRDefault="002335E6" w:rsidP="007A1800">
            <w:pPr>
              <w:pStyle w:val="Prrafodelista"/>
              <w:numPr>
                <w:ilvl w:val="0"/>
                <w:numId w:val="17"/>
              </w:numPr>
              <w:spacing w:line="276" w:lineRule="auto"/>
              <w:contextualSpacing w:val="0"/>
              <w:jc w:val="both"/>
              <w:rPr>
                <w:rFonts w:ascii="Verdana" w:eastAsia="Times New Roman" w:hAnsi="Verdana" w:cs="Arial"/>
                <w:color w:val="000000" w:themeColor="text1"/>
                <w:lang w:val="es-CO" w:eastAsia="es-CO"/>
              </w:rPr>
            </w:pPr>
            <w:r w:rsidRPr="002335E6">
              <w:rPr>
                <w:rFonts w:ascii="Verdana" w:eastAsia="Aptos" w:hAnsi="Verdana" w:cs="Arial"/>
              </w:rPr>
              <w:t>Corte Constitucional sentencia T-1210 de 5 de diciembre de 2008. MP: Clara Inés Vargas Hernández.</w:t>
            </w:r>
            <w:r w:rsidR="00BD57B0" w:rsidRPr="002335E6">
              <w:rPr>
                <w:rFonts w:ascii="Verdana" w:eastAsia="Times New Roman" w:hAnsi="Verdana" w:cs="Arial"/>
                <w:color w:val="000000" w:themeColor="text1"/>
                <w:lang w:val="es-CO" w:eastAsia="es-CO"/>
              </w:rPr>
              <w:t>Corte Constitucional Sentencia C-154 de 1997, Magistrado Ponente Dr. Hernando Herrera Vergara.</w:t>
            </w:r>
          </w:p>
          <w:p w14:paraId="4E274D25" w14:textId="77777777" w:rsidR="00BD57B0" w:rsidRPr="002335E6" w:rsidRDefault="00BD57B0" w:rsidP="007A1800">
            <w:pPr>
              <w:pStyle w:val="Prrafodelista"/>
              <w:numPr>
                <w:ilvl w:val="0"/>
                <w:numId w:val="17"/>
              </w:numPr>
              <w:spacing w:line="276" w:lineRule="auto"/>
              <w:contextualSpacing w:val="0"/>
              <w:jc w:val="both"/>
              <w:rPr>
                <w:rFonts w:ascii="Verdana" w:eastAsia="Aptos" w:hAnsi="Verdana" w:cs="Arial"/>
              </w:rPr>
            </w:pPr>
            <w:r w:rsidRPr="002335E6">
              <w:rPr>
                <w:rFonts w:ascii="Verdana" w:eastAsia="Times New Roman" w:hAnsi="Verdana" w:cs="Arial"/>
                <w:color w:val="000000" w:themeColor="text1"/>
                <w:lang w:val="es-CO" w:eastAsia="es-CO"/>
              </w:rPr>
              <w:t xml:space="preserve">Corte Constitucional sentencia SU-049 de 2017: M.P: María Victoria Calle Correa. </w:t>
            </w:r>
          </w:p>
          <w:p w14:paraId="7E4266CB" w14:textId="0FDB3085" w:rsidR="00BD57B0" w:rsidRPr="007A1800" w:rsidRDefault="00BD57B0" w:rsidP="007A1800">
            <w:pPr>
              <w:pStyle w:val="Prrafodelista"/>
              <w:numPr>
                <w:ilvl w:val="0"/>
                <w:numId w:val="17"/>
              </w:numPr>
              <w:spacing w:line="276" w:lineRule="auto"/>
              <w:contextualSpacing w:val="0"/>
              <w:jc w:val="both"/>
              <w:rPr>
                <w:rFonts w:ascii="Verdana" w:eastAsia="Aptos" w:hAnsi="Verdana" w:cs="Arial"/>
              </w:rPr>
            </w:pPr>
            <w:r w:rsidRPr="002335E6">
              <w:rPr>
                <w:rFonts w:ascii="Verdana" w:eastAsia="Aptos" w:hAnsi="Verdana" w:cs="Arial"/>
              </w:rPr>
              <w:t>Corte Constitucional sentencia T-1040 de 2021. M.P: Rodrigo Escobar Gil.</w:t>
            </w:r>
          </w:p>
        </w:tc>
      </w:tr>
    </w:tbl>
    <w:p w14:paraId="2F51798B" w14:textId="77777777" w:rsidR="00BD57B0" w:rsidRPr="002335E6" w:rsidRDefault="00BD57B0" w:rsidP="002335E6">
      <w:pPr>
        <w:tabs>
          <w:tab w:val="left" w:pos="142"/>
          <w:tab w:val="left" w:pos="284"/>
          <w:tab w:val="left" w:pos="3828"/>
        </w:tabs>
        <w:spacing w:after="0" w:line="276" w:lineRule="auto"/>
        <w:jc w:val="both"/>
        <w:rPr>
          <w:rFonts w:ascii="Verdana" w:eastAsia="Century Gothic" w:hAnsi="Verdana" w:cs="Century Gothic"/>
          <w:b/>
          <w:bCs/>
        </w:rPr>
      </w:pPr>
    </w:p>
    <w:p w14:paraId="63B091E0" w14:textId="77777777" w:rsidR="00BD57B0" w:rsidRPr="002335E6" w:rsidRDefault="00BD57B0" w:rsidP="002335E6">
      <w:pPr>
        <w:tabs>
          <w:tab w:val="left" w:pos="142"/>
          <w:tab w:val="left" w:pos="284"/>
          <w:tab w:val="left" w:pos="3828"/>
        </w:tabs>
        <w:spacing w:after="0" w:line="276" w:lineRule="auto"/>
        <w:jc w:val="both"/>
        <w:rPr>
          <w:rFonts w:ascii="Verdana" w:eastAsia="Century Gothic" w:hAnsi="Verdana" w:cs="Century Gothic"/>
          <w:b/>
          <w:bCs/>
        </w:rPr>
      </w:pPr>
      <w:r w:rsidRPr="002335E6">
        <w:rPr>
          <w:rFonts w:ascii="Verdana" w:eastAsia="Century Gothic" w:hAnsi="Verdana" w:cs="Century Gothic"/>
          <w:b/>
          <w:bCs/>
        </w:rPr>
        <w:t>5. Doctrina de la Agencia Nacional de Contratación Pública:</w:t>
      </w:r>
    </w:p>
    <w:p w14:paraId="07D92A0D" w14:textId="77777777" w:rsidR="00BD57B0" w:rsidRPr="002335E6" w:rsidRDefault="00BD57B0" w:rsidP="007A1800">
      <w:pPr>
        <w:widowControl w:val="0"/>
        <w:autoSpaceDE w:val="0"/>
        <w:autoSpaceDN w:val="0"/>
        <w:spacing w:after="0" w:line="276" w:lineRule="auto"/>
        <w:jc w:val="both"/>
        <w:rPr>
          <w:rFonts w:ascii="Verdana" w:eastAsia="Aptos" w:hAnsi="Verdana" w:cs="Arial"/>
          <w:shd w:val="clear" w:color="auto" w:fill="FFFFFF"/>
          <w:lang w:val="es-ES"/>
        </w:rPr>
      </w:pPr>
    </w:p>
    <w:p w14:paraId="312EE8E0" w14:textId="77777777" w:rsidR="00BD57B0" w:rsidRPr="002335E6" w:rsidRDefault="00BD57B0" w:rsidP="007A1800">
      <w:pPr>
        <w:widowControl w:val="0"/>
        <w:autoSpaceDE w:val="0"/>
        <w:autoSpaceDN w:val="0"/>
        <w:spacing w:after="0" w:line="276" w:lineRule="auto"/>
        <w:jc w:val="both"/>
        <w:rPr>
          <w:rFonts w:ascii="Verdana" w:eastAsia="Calibri" w:hAnsi="Verdana" w:cs="Arial"/>
        </w:rPr>
      </w:pPr>
      <w:r w:rsidRPr="002335E6">
        <w:rPr>
          <w:rFonts w:ascii="Verdana" w:eastAsia="Calibri" w:hAnsi="Verdana" w:cs="Arial"/>
          <w:lang w:val="es-ES"/>
        </w:rPr>
        <w:t xml:space="preserve">La Agencia Nacional de Contratación Pública – Colombia Compra Eficiente se pronunció </w:t>
      </w:r>
      <w:r w:rsidRPr="002335E6">
        <w:rPr>
          <w:rFonts w:ascii="Verdana" w:eastAsia="Calibri" w:hAnsi="Verdana" w:cs="Arial"/>
        </w:rPr>
        <w:t xml:space="preserve">en relación con las características de los contratos de prestación de servicios en los conceptos </w:t>
      </w:r>
      <w:r w:rsidRPr="002335E6">
        <w:rPr>
          <w:rFonts w:ascii="Verdana" w:eastAsia="Calibri" w:hAnsi="Verdana" w:cs="Arial"/>
          <w:lang w:val="es-ES"/>
        </w:rPr>
        <w:t>C-1838 de 2025 del 23 de enero de 2026,</w:t>
      </w:r>
      <w:r w:rsidRPr="002335E6">
        <w:rPr>
          <w:rFonts w:ascii="Verdana" w:eastAsia="Calibri" w:hAnsi="Verdana" w:cs="Arial"/>
          <w:b/>
          <w:bCs/>
          <w:lang w:val="es-ES"/>
        </w:rPr>
        <w:t xml:space="preserve"> </w:t>
      </w:r>
      <w:r w:rsidRPr="002335E6">
        <w:rPr>
          <w:rFonts w:ascii="Verdana" w:eastAsia="Calibri" w:hAnsi="Verdana" w:cs="Arial"/>
          <w:lang w:val="es-ES"/>
        </w:rPr>
        <w:t>C-</w:t>
      </w:r>
      <w:r w:rsidRPr="002335E6">
        <w:rPr>
          <w:rFonts w:ascii="Verdana" w:eastAsia="Calibri" w:hAnsi="Verdana" w:cs="Arial"/>
        </w:rPr>
        <w:t>1841 de 2025 del 28 de enero de 2026</w:t>
      </w:r>
      <w:r w:rsidRPr="002335E6">
        <w:rPr>
          <w:rFonts w:ascii="Verdana" w:eastAsia="Calibri" w:hAnsi="Verdana" w:cs="Arial"/>
          <w:b/>
          <w:bCs/>
        </w:rPr>
        <w:t xml:space="preserve">, </w:t>
      </w:r>
      <w:r w:rsidRPr="002335E6">
        <w:rPr>
          <w:rFonts w:ascii="Verdana" w:eastAsia="Calibri" w:hAnsi="Verdana" w:cs="Arial"/>
        </w:rPr>
        <w:t xml:space="preserve">C–1764 del 30 de diciembre de 2025, entre otras. </w:t>
      </w:r>
    </w:p>
    <w:p w14:paraId="6FA89D08" w14:textId="77777777" w:rsidR="00BD57B0" w:rsidRPr="002335E6" w:rsidRDefault="00BD57B0" w:rsidP="007A1800">
      <w:pPr>
        <w:widowControl w:val="0"/>
        <w:autoSpaceDE w:val="0"/>
        <w:autoSpaceDN w:val="0"/>
        <w:spacing w:after="0" w:line="276" w:lineRule="auto"/>
        <w:jc w:val="both"/>
        <w:rPr>
          <w:rFonts w:ascii="Verdana" w:eastAsia="Calibri" w:hAnsi="Verdana" w:cs="Arial"/>
          <w:b/>
          <w:bCs/>
        </w:rPr>
      </w:pPr>
      <w:r w:rsidRPr="002335E6">
        <w:rPr>
          <w:rFonts w:ascii="Verdana" w:eastAsia="Calibri" w:hAnsi="Verdana" w:cs="Arial"/>
        </w:rPr>
        <w:t xml:space="preserve">Por su parte, respecto de la estabilidad ocupacional reforzada </w:t>
      </w:r>
      <w:r w:rsidRPr="002335E6">
        <w:rPr>
          <w:rFonts w:ascii="Verdana" w:eastAsia="Times New Roman" w:hAnsi="Verdana" w:cs="Arial"/>
          <w:color w:val="000000"/>
          <w:lang w:val="es-ES"/>
        </w:rPr>
        <w:t>de personas en situación de debilidad manifiesta por razones de salud</w:t>
      </w:r>
      <w:r w:rsidRPr="002335E6">
        <w:rPr>
          <w:rFonts w:ascii="Verdana" w:eastAsia="Calibri" w:hAnsi="Verdana" w:cs="Arial"/>
        </w:rPr>
        <w:t xml:space="preserve"> la Subdirección se ha pronunciado en los conceptos C- 006 del 14 de febrero de 2025, C-524 del 8 de octubre de 2024, C-642 del 5 de noviembre de 2024,</w:t>
      </w:r>
      <w:r w:rsidRPr="002335E6">
        <w:rPr>
          <w:rFonts w:ascii="Verdana" w:hAnsi="Verdana" w:cs="Arial"/>
          <w:shd w:val="clear" w:color="auto" w:fill="FFFFFF"/>
        </w:rPr>
        <w:t xml:space="preserve"> entre otros</w:t>
      </w:r>
      <w:r w:rsidRPr="002335E6">
        <w:rPr>
          <w:rFonts w:ascii="Verdana" w:hAnsi="Verdana"/>
        </w:rPr>
        <w:t xml:space="preserve">. </w:t>
      </w:r>
      <w:r w:rsidRPr="002335E6">
        <w:rPr>
          <w:rFonts w:ascii="Verdana" w:eastAsia="Aptos" w:hAnsi="Verdana" w:cs="Arial"/>
          <w:shd w:val="clear" w:color="auto" w:fill="FFFFFF"/>
          <w:lang w:val="es-ES"/>
        </w:rPr>
        <w:t>Estos y otros conceptos se encuentran disponibles para consulta</w:t>
      </w:r>
      <w:r w:rsidRPr="002335E6">
        <w:rPr>
          <w:rFonts w:ascii="Verdana" w:eastAsia="Calibri" w:hAnsi="Verdana" w:cs="Arial"/>
        </w:rPr>
        <w:t xml:space="preserve"> </w:t>
      </w:r>
      <w:r w:rsidRPr="002335E6">
        <w:rPr>
          <w:rFonts w:ascii="Verdana" w:hAnsi="Verdana"/>
        </w:rPr>
        <w:t>en el Sistema de relatoría de la Agencia, al cual se puede acceder a través del siguiente enlace:</w:t>
      </w:r>
      <w:r w:rsidRPr="002335E6">
        <w:rPr>
          <w:rFonts w:ascii="Verdana" w:hAnsi="Verdana" w:cs="Arial"/>
          <w:shd w:val="clear" w:color="auto" w:fill="FFFFFF"/>
        </w:rPr>
        <w:t xml:space="preserve"> </w:t>
      </w:r>
      <w:hyperlink r:id="rId12" w:history="1">
        <w:r w:rsidRPr="002335E6">
          <w:rPr>
            <w:rStyle w:val="Hipervnculo"/>
            <w:rFonts w:ascii="Verdana" w:hAnsi="Verdana" w:cs="Arial"/>
            <w:shd w:val="clear" w:color="auto" w:fill="FFFFFF"/>
          </w:rPr>
          <w:t>https://relatoria.colombiacompra.gov.co/busqueda/conceptos</w:t>
        </w:r>
      </w:hyperlink>
      <w:r w:rsidRPr="002335E6">
        <w:rPr>
          <w:rFonts w:ascii="Verdana" w:hAnsi="Verdana" w:cs="Arial"/>
          <w:shd w:val="clear" w:color="auto" w:fill="FFFFFF"/>
        </w:rPr>
        <w:t>.</w:t>
      </w:r>
      <w:r w:rsidRPr="002335E6">
        <w:rPr>
          <w:rFonts w:ascii="Verdana" w:hAnsi="Verdana" w:cs="Arial"/>
          <w:color w:val="FF0000"/>
          <w:shd w:val="clear" w:color="auto" w:fill="FFFFFF"/>
        </w:rPr>
        <w:t xml:space="preserve"> </w:t>
      </w:r>
      <w:r w:rsidRPr="002335E6">
        <w:rPr>
          <w:rFonts w:ascii="Verdana" w:hAnsi="Verdana" w:cs="Arial"/>
          <w:color w:val="000000" w:themeColor="text1"/>
          <w:shd w:val="clear" w:color="auto" w:fill="FFFFFF"/>
        </w:rPr>
        <w:t>  </w:t>
      </w:r>
    </w:p>
    <w:p w14:paraId="4CE8B13D" w14:textId="77777777" w:rsidR="007A1800" w:rsidRDefault="007A1800" w:rsidP="003F39A9">
      <w:pPr>
        <w:spacing w:after="0" w:line="240" w:lineRule="auto"/>
        <w:jc w:val="both"/>
        <w:rPr>
          <w:rFonts w:ascii="Verdana" w:hAnsi="Verdana"/>
        </w:rPr>
      </w:pPr>
    </w:p>
    <w:p w14:paraId="329D3CEF" w14:textId="2D345D36" w:rsidR="00BD57B0" w:rsidRDefault="00BD57B0" w:rsidP="007A1800">
      <w:pPr>
        <w:spacing w:after="0" w:line="276" w:lineRule="auto"/>
        <w:jc w:val="both"/>
        <w:rPr>
          <w:rFonts w:ascii="Verdana" w:hAnsi="Verdana"/>
        </w:rPr>
      </w:pPr>
      <w:r w:rsidRPr="002335E6">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7539F45" w14:textId="77777777" w:rsidR="007A1800" w:rsidRPr="002335E6" w:rsidRDefault="007A1800" w:rsidP="007A1800">
      <w:pPr>
        <w:spacing w:after="0" w:line="276" w:lineRule="auto"/>
        <w:jc w:val="both"/>
        <w:rPr>
          <w:rFonts w:ascii="Verdana" w:hAnsi="Verdana"/>
        </w:rPr>
      </w:pPr>
    </w:p>
    <w:p w14:paraId="55376E92" w14:textId="77777777" w:rsidR="00BD57B0" w:rsidRPr="002335E6" w:rsidRDefault="00BD57B0" w:rsidP="007A1800">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2335E6">
        <w:rPr>
          <w:rFonts w:ascii="Verdana" w:eastAsia="Verdana" w:hAnsi="Verdana" w:cs="Verdana"/>
          <w:lang w:val="es-MX"/>
        </w:rPr>
        <w:t xml:space="preserve">Línea nacional gratuita o servicio a la ciudadanía (Mesa de servicio): </w:t>
      </w:r>
      <w:r w:rsidRPr="002335E6">
        <w:rPr>
          <w:rStyle w:val="Hipervnculo"/>
          <w:rFonts w:ascii="Verdana" w:hAnsi="Verdana"/>
        </w:rPr>
        <w:t>01800 0520808</w:t>
      </w:r>
    </w:p>
    <w:p w14:paraId="4A99B766" w14:textId="77777777" w:rsidR="00BD57B0" w:rsidRPr="002335E6" w:rsidRDefault="00BD57B0" w:rsidP="007A1800">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2335E6">
        <w:rPr>
          <w:rFonts w:ascii="Verdana" w:eastAsia="Verdana" w:hAnsi="Verdana" w:cs="Verdana"/>
          <w:lang w:val="es-MX"/>
        </w:rPr>
        <w:t>Línea en Bogotá (Mesa de servicio):</w:t>
      </w:r>
      <w:r w:rsidRPr="002335E6">
        <w:rPr>
          <w:rStyle w:val="Hipervnculo"/>
          <w:rFonts w:ascii="Verdana" w:hAnsi="Verdana"/>
        </w:rPr>
        <w:t>+57 601 7456788</w:t>
      </w:r>
    </w:p>
    <w:p w14:paraId="061D8E2A" w14:textId="77777777" w:rsidR="00BD57B0" w:rsidRPr="002335E6" w:rsidRDefault="00BD57B0" w:rsidP="007A1800">
      <w:pPr>
        <w:pStyle w:val="Prrafodelista"/>
        <w:numPr>
          <w:ilvl w:val="0"/>
          <w:numId w:val="15"/>
        </w:numPr>
        <w:spacing w:after="0" w:line="276" w:lineRule="auto"/>
        <w:contextualSpacing w:val="0"/>
        <w:rPr>
          <w:rFonts w:ascii="Verdana" w:eastAsia="Verdana" w:hAnsi="Verdana" w:cs="Verdana"/>
          <w:color w:val="0000FF"/>
          <w:u w:val="single"/>
          <w:lang w:val="es-MX"/>
        </w:rPr>
      </w:pPr>
      <w:r w:rsidRPr="002335E6">
        <w:rPr>
          <w:rFonts w:ascii="Verdana" w:eastAsia="Verdana" w:hAnsi="Verdana" w:cs="Verdana"/>
          <w:lang w:val="es-MX"/>
        </w:rPr>
        <w:t xml:space="preserve">Correo de radicación de correspondencia: </w:t>
      </w:r>
      <w:hyperlink r:id="rId13">
        <w:r w:rsidRPr="002335E6">
          <w:rPr>
            <w:rStyle w:val="Hipervnculo"/>
            <w:rFonts w:ascii="Verdana" w:eastAsia="Verdana" w:hAnsi="Verdana" w:cs="Verdana"/>
            <w:lang w:val="es-MX"/>
          </w:rPr>
          <w:t>ventanilladeradicacion@colombiacompra.gov.co</w:t>
        </w:r>
      </w:hyperlink>
    </w:p>
    <w:p w14:paraId="36E38706" w14:textId="77777777" w:rsidR="00BD57B0" w:rsidRPr="002335E6" w:rsidRDefault="00BD57B0" w:rsidP="007A1800">
      <w:pPr>
        <w:pStyle w:val="Prrafodelista"/>
        <w:numPr>
          <w:ilvl w:val="0"/>
          <w:numId w:val="15"/>
        </w:numPr>
        <w:spacing w:after="0" w:line="276" w:lineRule="auto"/>
        <w:contextualSpacing w:val="0"/>
        <w:rPr>
          <w:rFonts w:ascii="Verdana" w:eastAsia="Verdana" w:hAnsi="Verdana" w:cs="Verdana"/>
          <w:color w:val="0000FF"/>
          <w:u w:val="single"/>
          <w:lang w:val="es-MX"/>
        </w:rPr>
      </w:pPr>
      <w:r w:rsidRPr="002335E6">
        <w:rPr>
          <w:rFonts w:ascii="Verdana" w:eastAsia="Verdana" w:hAnsi="Verdana" w:cs="Verdana"/>
        </w:rPr>
        <w:t>Formulario web para</w:t>
      </w:r>
      <w:r w:rsidRPr="002335E6">
        <w:rPr>
          <w:rFonts w:ascii="Verdana" w:eastAsia="Verdana" w:hAnsi="Verdana" w:cs="Verdana"/>
          <w:lang w:val="es"/>
        </w:rPr>
        <w:t xml:space="preserve"> PQRSD: </w:t>
      </w:r>
      <w:hyperlink r:id="rId14">
        <w:r w:rsidRPr="002335E6">
          <w:rPr>
            <w:rStyle w:val="Hipervnculo"/>
            <w:rFonts w:ascii="Verdana" w:eastAsia="Verdana" w:hAnsi="Verdana" w:cs="Verdana"/>
            <w:lang w:val="es-MX"/>
          </w:rPr>
          <w:t>https://www.colombiacompra.gov.co/pqrsd/informacion-importante-antes-de-formular-una-pqrsd</w:t>
        </w:r>
      </w:hyperlink>
    </w:p>
    <w:p w14:paraId="51BFB9A2" w14:textId="77777777" w:rsidR="00BD57B0" w:rsidRPr="002335E6" w:rsidRDefault="00BD57B0" w:rsidP="007A1800">
      <w:pPr>
        <w:spacing w:after="0" w:line="276" w:lineRule="auto"/>
        <w:jc w:val="both"/>
        <w:rPr>
          <w:rFonts w:ascii="Verdana" w:hAnsi="Verdana"/>
        </w:rPr>
      </w:pPr>
    </w:p>
    <w:p w14:paraId="43416E7E" w14:textId="77777777" w:rsidR="00BD57B0" w:rsidRPr="002335E6" w:rsidRDefault="00BD57B0" w:rsidP="007A1800">
      <w:pPr>
        <w:spacing w:after="0" w:line="276" w:lineRule="auto"/>
        <w:jc w:val="both"/>
        <w:rPr>
          <w:rFonts w:ascii="Verdana" w:hAnsi="Verdana"/>
        </w:rPr>
      </w:pPr>
      <w:r w:rsidRPr="002335E6">
        <w:rPr>
          <w:rFonts w:ascii="Verdana" w:hAnsi="Verdana"/>
        </w:rPr>
        <w:t xml:space="preserve">Evalúa el servicio que ofrece la Agencia por el canal de atención de PQRSD en el siguiente enlace: </w:t>
      </w:r>
      <w:hyperlink r:id="rId15" w:history="1">
        <w:r w:rsidRPr="002335E6">
          <w:rPr>
            <w:rStyle w:val="Hipervnculo"/>
            <w:rFonts w:ascii="Verdana" w:eastAsia="Verdana" w:hAnsi="Verdana" w:cs="Verdana"/>
            <w:lang w:val="es-MX"/>
          </w:rPr>
          <w:t>https://forms.office.com/r/pPHyWVs2SZ</w:t>
        </w:r>
      </w:hyperlink>
      <w:r w:rsidRPr="007A1800">
        <w:rPr>
          <w:rStyle w:val="Hipervnculo"/>
          <w:rFonts w:ascii="Verdana" w:eastAsia="Verdana" w:hAnsi="Verdana" w:cs="Verdana"/>
          <w:lang w:val="es-MX"/>
        </w:rPr>
        <w:t>.</w:t>
      </w:r>
      <w:r w:rsidRPr="002335E6">
        <w:rPr>
          <w:rFonts w:ascii="Verdana" w:hAnsi="Verdana"/>
        </w:rPr>
        <w:t xml:space="preserve"> ¡Ayúdanos a mejorar porque el compromiso es de todos!</w:t>
      </w:r>
    </w:p>
    <w:p w14:paraId="4038AE2B" w14:textId="77777777" w:rsidR="00BD57B0" w:rsidRPr="002335E6" w:rsidRDefault="00BD57B0" w:rsidP="007A1800">
      <w:pPr>
        <w:spacing w:after="0" w:line="276" w:lineRule="auto"/>
        <w:jc w:val="both"/>
        <w:rPr>
          <w:rFonts w:ascii="Verdana" w:hAnsi="Verdana"/>
        </w:rPr>
      </w:pPr>
      <w:r w:rsidRPr="002335E6">
        <w:rPr>
          <w:rFonts w:ascii="Verdana" w:hAnsi="Verdana"/>
        </w:rPr>
        <w:t xml:space="preserve">Por último, lo invitamos a seguirnos en las redes sociales en las cuales se difunde información institucional: </w:t>
      </w:r>
    </w:p>
    <w:p w14:paraId="597E6BA8" w14:textId="77777777" w:rsidR="00BD57B0" w:rsidRPr="002335E6" w:rsidRDefault="00BD57B0" w:rsidP="007A1800">
      <w:pPr>
        <w:spacing w:after="0" w:line="276" w:lineRule="auto"/>
        <w:jc w:val="both"/>
        <w:rPr>
          <w:rFonts w:ascii="Verdana" w:hAnsi="Verdana"/>
        </w:rPr>
      </w:pPr>
      <w:r w:rsidRPr="002335E6">
        <w:rPr>
          <w:rFonts w:ascii="Verdana" w:hAnsi="Verdana"/>
        </w:rPr>
        <w:t xml:space="preserve">Twitter: </w:t>
      </w:r>
      <w:r w:rsidRPr="002335E6">
        <w:rPr>
          <w:rStyle w:val="Hipervnculo"/>
          <w:rFonts w:ascii="Verdana" w:hAnsi="Verdana"/>
        </w:rPr>
        <w:t>@colombiacompra</w:t>
      </w:r>
      <w:r w:rsidRPr="002335E6">
        <w:rPr>
          <w:rFonts w:ascii="Verdana" w:hAnsi="Verdana"/>
        </w:rPr>
        <w:t xml:space="preserve"> </w:t>
      </w:r>
    </w:p>
    <w:p w14:paraId="61F4E32C" w14:textId="77777777" w:rsidR="00BD57B0" w:rsidRPr="002335E6" w:rsidRDefault="00BD57B0" w:rsidP="007A1800">
      <w:pPr>
        <w:spacing w:after="0" w:line="276" w:lineRule="auto"/>
        <w:jc w:val="both"/>
        <w:rPr>
          <w:rFonts w:ascii="Verdana" w:hAnsi="Verdana"/>
        </w:rPr>
      </w:pPr>
      <w:r w:rsidRPr="002335E6">
        <w:rPr>
          <w:rFonts w:ascii="Verdana" w:hAnsi="Verdana"/>
        </w:rPr>
        <w:t xml:space="preserve">Facebook: </w:t>
      </w:r>
      <w:proofErr w:type="spellStart"/>
      <w:r w:rsidRPr="002335E6">
        <w:rPr>
          <w:rStyle w:val="Hipervnculo"/>
          <w:rFonts w:ascii="Verdana" w:hAnsi="Verdana"/>
        </w:rPr>
        <w:t>ColombiaCompraEficiente</w:t>
      </w:r>
      <w:proofErr w:type="spellEnd"/>
    </w:p>
    <w:p w14:paraId="0ABBF258" w14:textId="77777777" w:rsidR="00BD57B0" w:rsidRPr="002335E6" w:rsidRDefault="00BD57B0" w:rsidP="007A1800">
      <w:pPr>
        <w:spacing w:after="0" w:line="276" w:lineRule="auto"/>
        <w:jc w:val="both"/>
        <w:rPr>
          <w:rFonts w:ascii="Verdana" w:hAnsi="Verdana"/>
        </w:rPr>
      </w:pPr>
      <w:r w:rsidRPr="002335E6">
        <w:rPr>
          <w:rFonts w:ascii="Verdana" w:hAnsi="Verdana"/>
        </w:rPr>
        <w:t xml:space="preserve">LinkedIn: </w:t>
      </w:r>
      <w:r w:rsidRPr="002335E6">
        <w:rPr>
          <w:rStyle w:val="Hipervnculo"/>
          <w:rFonts w:ascii="Verdana" w:hAnsi="Verdana"/>
        </w:rPr>
        <w:t>Agencia Nacional de Contratación Pública - Colombia Compra Eficiente</w:t>
      </w:r>
      <w:r w:rsidRPr="002335E6">
        <w:rPr>
          <w:rFonts w:ascii="Verdana" w:hAnsi="Verdana"/>
        </w:rPr>
        <w:t xml:space="preserve"> Instagram: </w:t>
      </w:r>
      <w:r w:rsidRPr="002335E6">
        <w:rPr>
          <w:rStyle w:val="Hipervnculo"/>
          <w:rFonts w:ascii="Verdana" w:hAnsi="Verdana"/>
        </w:rPr>
        <w:t>@colombiacompraeficiente_cce</w:t>
      </w:r>
    </w:p>
    <w:p w14:paraId="079DA9A9" w14:textId="77777777" w:rsidR="00BD57B0" w:rsidRPr="002335E6" w:rsidRDefault="00BD57B0" w:rsidP="007A1800">
      <w:pPr>
        <w:spacing w:after="0" w:line="276" w:lineRule="auto"/>
        <w:jc w:val="both"/>
        <w:rPr>
          <w:rFonts w:ascii="Verdana" w:hAnsi="Verdana"/>
          <w:lang w:val="es-MX"/>
        </w:rPr>
      </w:pPr>
    </w:p>
    <w:p w14:paraId="46826979" w14:textId="77777777" w:rsidR="00BD57B0" w:rsidRPr="002335E6" w:rsidRDefault="00BD57B0" w:rsidP="007A1800">
      <w:pPr>
        <w:spacing w:after="0" w:line="276" w:lineRule="auto"/>
        <w:jc w:val="both"/>
        <w:rPr>
          <w:rFonts w:ascii="Verdana" w:hAnsi="Verdana"/>
          <w:lang w:val="es-MX"/>
        </w:rPr>
      </w:pPr>
      <w:r w:rsidRPr="002335E6">
        <w:rPr>
          <w:rFonts w:ascii="Verdana" w:hAnsi="Verdana"/>
          <w:lang w:val="es-MX"/>
        </w:rPr>
        <w:t>Cordialmente,</w:t>
      </w:r>
    </w:p>
    <w:p w14:paraId="0E428878" w14:textId="21EB5C63" w:rsidR="00BD57B0" w:rsidRDefault="00811244" w:rsidP="007A1800">
      <w:pPr>
        <w:spacing w:after="0" w:line="240" w:lineRule="auto"/>
        <w:jc w:val="center"/>
        <w:rPr>
          <w:rFonts w:ascii="Verdana" w:eastAsia="Calibri" w:hAnsi="Verdana" w:cs="Times New Roman"/>
        </w:rPr>
      </w:pPr>
      <w:r w:rsidRPr="0065791A">
        <w:rPr>
          <w:rFonts w:ascii="Century Gothic" w:hAnsi="Century Gothic"/>
          <w:noProof/>
        </w:rPr>
        <w:drawing>
          <wp:inline distT="0" distB="0" distL="0" distR="0" wp14:anchorId="3E935150" wp14:editId="59058C96">
            <wp:extent cx="3446178" cy="1623682"/>
            <wp:effectExtent l="0" t="0" r="1905"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6"/>
                    <a:stretch>
                      <a:fillRect/>
                    </a:stretch>
                  </pic:blipFill>
                  <pic:spPr>
                    <a:xfrm>
                      <a:off x="0" y="0"/>
                      <a:ext cx="3533898" cy="1665012"/>
                    </a:xfrm>
                    <a:prstGeom prst="rect">
                      <a:avLst/>
                    </a:prstGeom>
                  </pic:spPr>
                </pic:pic>
              </a:graphicData>
            </a:graphic>
          </wp:inline>
        </w:drawing>
      </w:r>
    </w:p>
    <w:p w14:paraId="5B1D60BE" w14:textId="0CE9A471" w:rsidR="003F39A9" w:rsidRDefault="003F39A9" w:rsidP="007A1800">
      <w:pPr>
        <w:spacing w:after="0" w:line="240" w:lineRule="auto"/>
        <w:jc w:val="center"/>
        <w:rPr>
          <w:rFonts w:ascii="Verdana" w:eastAsia="Calibri" w:hAnsi="Verdana" w:cs="Times New Roman"/>
        </w:rPr>
      </w:pPr>
    </w:p>
    <w:p w14:paraId="7B19F431" w14:textId="77777777" w:rsidR="003F39A9" w:rsidRDefault="003F39A9" w:rsidP="007A1800">
      <w:pPr>
        <w:spacing w:after="0" w:line="240"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BD57B0" w:rsidRPr="005644FE" w14:paraId="26773A29" w14:textId="77777777" w:rsidTr="004432C1">
        <w:trPr>
          <w:trHeight w:val="315"/>
        </w:trPr>
        <w:tc>
          <w:tcPr>
            <w:tcW w:w="893" w:type="dxa"/>
            <w:vAlign w:val="center"/>
            <w:hideMark/>
          </w:tcPr>
          <w:p w14:paraId="297A2CF3" w14:textId="77777777" w:rsidR="00BD57B0" w:rsidRPr="005644FE" w:rsidRDefault="00BD57B0" w:rsidP="004432C1">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F1B3972" w14:textId="77777777" w:rsidR="00BD57B0" w:rsidRPr="005644FE" w:rsidRDefault="00BD57B0" w:rsidP="004432C1">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6277BC14" w14:textId="77777777" w:rsidR="00BD57B0" w:rsidRPr="005644FE" w:rsidRDefault="00BD57B0" w:rsidP="004432C1">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BD57B0" w:rsidRPr="005644FE" w14:paraId="76F3DD6D" w14:textId="77777777" w:rsidTr="004432C1">
        <w:trPr>
          <w:trHeight w:val="330"/>
        </w:trPr>
        <w:tc>
          <w:tcPr>
            <w:tcW w:w="893" w:type="dxa"/>
            <w:vAlign w:val="center"/>
            <w:hideMark/>
          </w:tcPr>
          <w:p w14:paraId="46FF0A24" w14:textId="77777777" w:rsidR="00BD57B0" w:rsidRPr="005644FE" w:rsidRDefault="00BD57B0" w:rsidP="004432C1">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134D95A" w14:textId="77777777" w:rsidR="00BD57B0" w:rsidRPr="0004340D" w:rsidRDefault="00BD57B0" w:rsidP="004432C1">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2383161B" w14:textId="77777777" w:rsidR="00BD57B0" w:rsidRPr="005644FE" w:rsidRDefault="00BD57B0" w:rsidP="004432C1">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BD57B0" w:rsidRPr="005644FE" w14:paraId="7DE9897B" w14:textId="77777777" w:rsidTr="004432C1">
        <w:trPr>
          <w:trHeight w:val="300"/>
        </w:trPr>
        <w:tc>
          <w:tcPr>
            <w:tcW w:w="893" w:type="dxa"/>
            <w:vAlign w:val="center"/>
          </w:tcPr>
          <w:p w14:paraId="048293B7" w14:textId="77777777" w:rsidR="00BD57B0" w:rsidRPr="005644FE" w:rsidRDefault="00BD57B0" w:rsidP="004432C1">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069835D" w14:textId="77777777" w:rsidR="00BD57B0" w:rsidRPr="005644FE" w:rsidRDefault="00BD57B0" w:rsidP="004432C1">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0AE13CE3" w14:textId="77777777" w:rsidR="00BD57B0" w:rsidRPr="005644FE" w:rsidRDefault="00BD57B0" w:rsidP="004432C1">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bookmarkEnd w:id="2"/>
    </w:tbl>
    <w:p w14:paraId="0F293BF4" w14:textId="66E117AC" w:rsidR="00127233" w:rsidRPr="0055633C" w:rsidRDefault="00127233" w:rsidP="0055633C"/>
    <w:sectPr w:rsidR="00127233" w:rsidRPr="0055633C"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24E15A" w14:textId="77777777" w:rsidR="00307BAF" w:rsidRDefault="00307BAF" w:rsidP="004A1847">
      <w:pPr>
        <w:spacing w:after="0" w:line="240" w:lineRule="auto"/>
      </w:pPr>
      <w:r>
        <w:separator/>
      </w:r>
    </w:p>
  </w:endnote>
  <w:endnote w:type="continuationSeparator" w:id="0">
    <w:p w14:paraId="5FFDEFB4" w14:textId="77777777" w:rsidR="00307BAF" w:rsidRDefault="00307BA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A0587E" w14:textId="77777777" w:rsidR="00307BAF" w:rsidRDefault="00307BAF" w:rsidP="004A1847">
      <w:pPr>
        <w:spacing w:after="0" w:line="240" w:lineRule="auto"/>
      </w:pPr>
      <w:r>
        <w:separator/>
      </w:r>
    </w:p>
  </w:footnote>
  <w:footnote w:type="continuationSeparator" w:id="0">
    <w:p w14:paraId="2B10E24C" w14:textId="77777777" w:rsidR="00307BAF" w:rsidRDefault="00307BAF" w:rsidP="004A1847">
      <w:pPr>
        <w:spacing w:after="0" w:line="240" w:lineRule="auto"/>
      </w:pPr>
      <w:r>
        <w:continuationSeparator/>
      </w:r>
    </w:p>
  </w:footnote>
  <w:footnote w:id="1">
    <w:p w14:paraId="1D7A42A6" w14:textId="77777777" w:rsidR="00BD57B0" w:rsidRPr="007A1800" w:rsidRDefault="00BD57B0" w:rsidP="00BD57B0">
      <w:pPr>
        <w:pStyle w:val="Textonotapie"/>
        <w:ind w:firstLine="709"/>
        <w:jc w:val="both"/>
        <w:rPr>
          <w:rFonts w:ascii="Verdana" w:hAnsi="Verdana" w:cs="Arial"/>
          <w:color w:val="000000"/>
          <w:sz w:val="14"/>
          <w:szCs w:val="14"/>
        </w:rPr>
      </w:pPr>
      <w:r w:rsidRPr="007A1800">
        <w:rPr>
          <w:rFonts w:ascii="Verdana" w:hAnsi="Verdana" w:cs="Arial"/>
          <w:sz w:val="14"/>
          <w:szCs w:val="14"/>
          <w:vertAlign w:val="superscript"/>
        </w:rPr>
        <w:footnoteRef/>
      </w:r>
      <w:r w:rsidRPr="007A1800">
        <w:rPr>
          <w:rFonts w:ascii="Verdana" w:hAnsi="Verdana" w:cs="Arial"/>
          <w:sz w:val="14"/>
          <w:szCs w:val="14"/>
        </w:rPr>
        <w:t xml:space="preserve"> </w:t>
      </w:r>
      <w:bookmarkStart w:id="7" w:name="_Hlk176814547"/>
      <w:r w:rsidRPr="007A1800">
        <w:rPr>
          <w:rFonts w:ascii="Verdana" w:hAnsi="Verdana" w:cs="Arial"/>
          <w:sz w:val="14"/>
          <w:szCs w:val="14"/>
        </w:rPr>
        <w:t>Decreto 1068 de 2015: “</w:t>
      </w:r>
      <w:r w:rsidRPr="007A1800">
        <w:rPr>
          <w:rFonts w:ascii="Verdana" w:hAnsi="Verdana" w:cs="Arial"/>
          <w:color w:val="000000"/>
          <w:sz w:val="14"/>
          <w:szCs w:val="14"/>
        </w:rPr>
        <w:t>Artículo 2.8.4.4.5</w:t>
      </w:r>
      <w:bookmarkEnd w:id="7"/>
      <w:r w:rsidRPr="007A1800">
        <w:rPr>
          <w:rFonts w:ascii="Verdana" w:hAnsi="Verdana" w:cs="Arial"/>
          <w:color w:val="000000"/>
          <w:sz w:val="14"/>
          <w:szCs w:val="14"/>
        </w:rPr>
        <w:t xml:space="preserve">.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765B89BB" w14:textId="77777777" w:rsidR="00BD57B0" w:rsidRPr="007A1800" w:rsidRDefault="00BD57B0" w:rsidP="00BD57B0">
      <w:pPr>
        <w:pStyle w:val="Textonotapie"/>
        <w:ind w:firstLine="709"/>
        <w:jc w:val="both"/>
        <w:rPr>
          <w:rFonts w:ascii="Verdana" w:hAnsi="Verdana" w:cs="Arial"/>
          <w:color w:val="000000"/>
          <w:sz w:val="14"/>
          <w:szCs w:val="14"/>
        </w:rPr>
      </w:pPr>
      <w:r w:rsidRPr="007A1800">
        <w:rPr>
          <w:rFonts w:ascii="Verdana" w:hAnsi="Verdana" w:cs="Arial"/>
          <w:color w:val="000000"/>
          <w:sz w:val="14"/>
          <w:szCs w:val="14"/>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30BFCA50" w14:textId="77777777" w:rsidR="00BD57B0" w:rsidRPr="007A1800" w:rsidRDefault="00BD57B0" w:rsidP="00BD57B0">
      <w:pPr>
        <w:pStyle w:val="Textonotapie"/>
        <w:ind w:firstLine="708"/>
        <w:jc w:val="both"/>
        <w:rPr>
          <w:rFonts w:ascii="Verdana" w:hAnsi="Verdana" w:cs="Arial"/>
          <w:color w:val="000000"/>
          <w:sz w:val="14"/>
          <w:szCs w:val="14"/>
        </w:rPr>
      </w:pPr>
      <w:r w:rsidRPr="007A1800">
        <w:rPr>
          <w:rFonts w:ascii="Verdana" w:hAnsi="Verdana" w:cs="Arial"/>
          <w:color w:val="000000"/>
          <w:sz w:val="14"/>
          <w:szCs w:val="14"/>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48C130CF" w14:textId="77777777" w:rsidR="00BD57B0" w:rsidRPr="007A1800" w:rsidRDefault="00BD57B0" w:rsidP="00BD57B0">
      <w:pPr>
        <w:pStyle w:val="Textonotapie"/>
        <w:ind w:firstLine="708"/>
        <w:jc w:val="both"/>
        <w:rPr>
          <w:rFonts w:ascii="Verdana" w:hAnsi="Verdana"/>
          <w:sz w:val="14"/>
          <w:szCs w:val="14"/>
        </w:rPr>
      </w:pPr>
    </w:p>
  </w:footnote>
  <w:footnote w:id="2">
    <w:p w14:paraId="367A558F"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sz w:val="14"/>
          <w:szCs w:val="14"/>
          <w:vertAlign w:val="superscript"/>
        </w:rPr>
        <w:footnoteRef/>
      </w:r>
      <w:r w:rsidRPr="007A1800">
        <w:rPr>
          <w:rFonts w:ascii="Verdana" w:hAnsi="Verdana" w:cs="Arial"/>
          <w:color w:val="000000"/>
          <w:sz w:val="14"/>
          <w:szCs w:val="14"/>
        </w:rPr>
        <w:t xml:space="preserve"> </w:t>
      </w:r>
      <w:r w:rsidRPr="007A1800">
        <w:rPr>
          <w:rFonts w:ascii="Verdana" w:hAnsi="Verdana" w:cs="Arial"/>
          <w:color w:val="000000"/>
          <w:sz w:val="14"/>
          <w:szCs w:val="14"/>
          <w:lang w:val="es-ES"/>
        </w:rPr>
        <w:t xml:space="preserve">El </w:t>
      </w:r>
      <w:bookmarkStart w:id="8" w:name="_Hlk176814562"/>
      <w:r w:rsidRPr="007A1800">
        <w:rPr>
          <w:rFonts w:ascii="Verdana" w:hAnsi="Verdana" w:cs="Arial"/>
          <w:color w:val="000000"/>
          <w:sz w:val="14"/>
          <w:szCs w:val="14"/>
          <w:lang w:val="es-ES"/>
        </w:rPr>
        <w:t xml:space="preserve">artículo 22 del Código Sustantivo del Trabajo </w:t>
      </w:r>
      <w:bookmarkEnd w:id="8"/>
      <w:r w:rsidRPr="007A1800">
        <w:rPr>
          <w:rFonts w:ascii="Verdana" w:hAnsi="Verdana" w:cs="Arial"/>
          <w:color w:val="000000"/>
          <w:sz w:val="14"/>
          <w:szCs w:val="14"/>
          <w:lang w:val="es-ES"/>
        </w:rPr>
        <w:t>establece: “1. Contrato de trabajo es aquel por el cual una persona natural se obliga a prestar un servicio personal a otra persona, natural o jurídica, bajo la continuada dependencia o subordinación de la segunda y mediante remuneración.</w:t>
      </w:r>
    </w:p>
    <w:p w14:paraId="0E31190F"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2. Quien presta el servicio se denomina trabajador, quien lo recibe y remunera, empleador, y la remuneración, cualquiera que sea su forma, salario”.</w:t>
      </w:r>
    </w:p>
    <w:p w14:paraId="0C9AFA37" w14:textId="77777777" w:rsidR="00BD57B0" w:rsidRPr="007A1800" w:rsidRDefault="00BD57B0" w:rsidP="00BD57B0">
      <w:pPr>
        <w:pStyle w:val="Textonotapie"/>
        <w:snapToGrid w:val="0"/>
        <w:ind w:firstLine="709"/>
        <w:jc w:val="both"/>
        <w:rPr>
          <w:rFonts w:ascii="Verdana" w:hAnsi="Verdana"/>
          <w:sz w:val="14"/>
          <w:szCs w:val="14"/>
        </w:rPr>
      </w:pPr>
    </w:p>
  </w:footnote>
  <w:footnote w:id="3">
    <w:p w14:paraId="307DD870"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sz w:val="14"/>
          <w:szCs w:val="14"/>
          <w:vertAlign w:val="superscript"/>
        </w:rPr>
        <w:footnoteRef/>
      </w:r>
      <w:r w:rsidRPr="007A1800">
        <w:rPr>
          <w:rFonts w:ascii="Verdana" w:hAnsi="Verdana" w:cs="Arial"/>
          <w:color w:val="000000"/>
          <w:sz w:val="14"/>
          <w:szCs w:val="14"/>
        </w:rPr>
        <w:t xml:space="preserve"> </w:t>
      </w:r>
      <w:r w:rsidRPr="007A1800">
        <w:rPr>
          <w:rFonts w:ascii="Verdana" w:hAnsi="Verdana" w:cs="Arial"/>
          <w:color w:val="000000"/>
          <w:sz w:val="14"/>
          <w:szCs w:val="14"/>
          <w:lang w:val="es-ES"/>
        </w:rPr>
        <w:t>Corte Constitucional Sentencia C-154 de 1997, Magistrado Ponente Dr. Hernando Herrera Vergara</w:t>
      </w:r>
    </w:p>
    <w:p w14:paraId="66E50CF6" w14:textId="77777777" w:rsidR="00BD57B0" w:rsidRPr="007A1800" w:rsidRDefault="00BD57B0" w:rsidP="00BD57B0">
      <w:pPr>
        <w:pStyle w:val="Textonotapie"/>
        <w:snapToGrid w:val="0"/>
        <w:ind w:firstLine="709"/>
        <w:jc w:val="both"/>
        <w:rPr>
          <w:rFonts w:ascii="Verdana" w:hAnsi="Verdana"/>
          <w:sz w:val="14"/>
          <w:szCs w:val="14"/>
        </w:rPr>
      </w:pPr>
    </w:p>
  </w:footnote>
  <w:footnote w:id="4">
    <w:p w14:paraId="7C2F361F"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sz w:val="14"/>
          <w:szCs w:val="14"/>
          <w:vertAlign w:val="superscript"/>
        </w:rPr>
        <w:footnoteRef/>
      </w:r>
      <w:r w:rsidRPr="007A1800">
        <w:rPr>
          <w:rFonts w:ascii="Verdana" w:hAnsi="Verdana" w:cs="Arial"/>
          <w:color w:val="000000"/>
          <w:sz w:val="14"/>
          <w:szCs w:val="14"/>
        </w:rPr>
        <w:t xml:space="preserve"> </w:t>
      </w:r>
      <w:bookmarkStart w:id="10" w:name="_Hlk176814586"/>
      <w:r w:rsidRPr="007A1800">
        <w:rPr>
          <w:rFonts w:ascii="Verdana" w:hAnsi="Verdana" w:cs="Arial"/>
          <w:color w:val="000000"/>
          <w:sz w:val="14"/>
          <w:szCs w:val="14"/>
          <w:lang w:val="es-ES"/>
        </w:rPr>
        <w:t xml:space="preserve">El Decreto 1082 de 2015 lo establece así: “Artículo 2.2.1.2.1.4.9. </w:t>
      </w:r>
      <w:bookmarkEnd w:id="10"/>
      <w:r w:rsidRPr="007A1800">
        <w:rPr>
          <w:rFonts w:ascii="Verdana" w:hAnsi="Verdana" w:cs="Arial"/>
          <w:color w:val="000000"/>
          <w:sz w:val="14"/>
          <w:szCs w:val="14"/>
          <w:lang w:val="es-ES"/>
        </w:rPr>
        <w:t>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A3C2DA9"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1B0838A" w14:textId="77777777" w:rsidR="00BD57B0" w:rsidRPr="007A1800" w:rsidRDefault="00BD57B0" w:rsidP="00BD57B0">
      <w:pPr>
        <w:pStyle w:val="Textonotapie"/>
        <w:snapToGrid w:val="0"/>
        <w:ind w:firstLine="709"/>
        <w:jc w:val="both"/>
        <w:rPr>
          <w:rFonts w:ascii="Verdana" w:hAnsi="Verdana"/>
          <w:sz w:val="14"/>
          <w:szCs w:val="14"/>
        </w:rPr>
      </w:pPr>
      <w:r w:rsidRPr="007A1800">
        <w:rPr>
          <w:rFonts w:ascii="Verdana" w:hAnsi="Verdana" w:cs="Arial"/>
          <w:color w:val="000000"/>
          <w:sz w:val="14"/>
          <w:szCs w:val="14"/>
          <w:lang w:val="es-ES"/>
        </w:rPr>
        <w:t>La Entidad Estatal, para la contratación de trabajos artísticos que solamente puedan en­comendarse a determinadas personas naturales, debe justificar esta situación en los estudios y documentos previos”.</w:t>
      </w:r>
    </w:p>
  </w:footnote>
  <w:footnote w:id="5">
    <w:p w14:paraId="5BB30220" w14:textId="77777777" w:rsidR="00BD57B0" w:rsidRPr="007A1800" w:rsidRDefault="00BD57B0" w:rsidP="00BD57B0">
      <w:pPr>
        <w:pStyle w:val="Textonotapie"/>
        <w:snapToGrid w:val="0"/>
        <w:ind w:firstLine="709"/>
        <w:jc w:val="both"/>
        <w:rPr>
          <w:rFonts w:ascii="Verdana" w:hAnsi="Verdana" w:cs="Arial"/>
          <w:color w:val="000000"/>
          <w:sz w:val="14"/>
          <w:szCs w:val="14"/>
        </w:rPr>
      </w:pPr>
    </w:p>
    <w:p w14:paraId="7D6559EA"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sz w:val="14"/>
          <w:szCs w:val="14"/>
          <w:vertAlign w:val="superscript"/>
        </w:rPr>
        <w:footnoteRef/>
      </w:r>
      <w:r w:rsidRPr="007A1800">
        <w:rPr>
          <w:rFonts w:ascii="Verdana" w:hAnsi="Verdana" w:cs="Arial"/>
          <w:color w:val="000000"/>
          <w:sz w:val="14"/>
          <w:szCs w:val="14"/>
        </w:rPr>
        <w:t xml:space="preserve"> </w:t>
      </w:r>
      <w:r w:rsidRPr="007A1800">
        <w:rPr>
          <w:rFonts w:ascii="Verdana" w:hAnsi="Verdana" w:cs="Arial"/>
          <w:color w:val="000000"/>
          <w:sz w:val="14"/>
          <w:szCs w:val="14"/>
          <w:lang w:val="es-ES"/>
        </w:rPr>
        <w:t xml:space="preserve">Así lo prevé el </w:t>
      </w:r>
      <w:bookmarkStart w:id="11" w:name="_Hlk176814610"/>
      <w:r w:rsidRPr="007A1800">
        <w:rPr>
          <w:rFonts w:ascii="Verdana" w:hAnsi="Verdana" w:cs="Arial"/>
          <w:color w:val="000000"/>
          <w:sz w:val="14"/>
          <w:szCs w:val="14"/>
          <w:lang w:val="es-ES"/>
        </w:rPr>
        <w:t>artículo 2.2.1.2.1.4.1. del Decreto 1082 de 2015</w:t>
      </w:r>
      <w:bookmarkEnd w:id="11"/>
      <w:r w:rsidRPr="007A1800">
        <w:rPr>
          <w:rFonts w:ascii="Verdana" w:hAnsi="Verdana" w:cs="Arial"/>
          <w:color w:val="000000"/>
          <w:sz w:val="14"/>
          <w:szCs w:val="14"/>
          <w:lang w:val="es-ES"/>
        </w:rPr>
        <w:t>: “La Entidad Estatal debe señalar en un acto administrativo la justificación para contratar bajo la modalidad de contratación directa, el cual debe contener:</w:t>
      </w:r>
    </w:p>
    <w:p w14:paraId="34377379"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1. La causal que invoca para contratar directamente.</w:t>
      </w:r>
    </w:p>
    <w:p w14:paraId="4E55C066"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2. El objeto del contrato.</w:t>
      </w:r>
    </w:p>
    <w:p w14:paraId="4AC2E1EB"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3. El presupuesto para la contratación y las condiciones que exigirá al contratista.</w:t>
      </w:r>
    </w:p>
    <w:p w14:paraId="3161DE8C"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4. El lugar en el cual los interesados pueden consultar los estudios y documentos previos.</w:t>
      </w:r>
    </w:p>
    <w:p w14:paraId="12A36319" w14:textId="77777777" w:rsidR="00BD57B0" w:rsidRPr="007A1800" w:rsidRDefault="00BD57B0" w:rsidP="00BD57B0">
      <w:pPr>
        <w:pStyle w:val="Textonotapie"/>
        <w:snapToGrid w:val="0"/>
        <w:ind w:firstLine="709"/>
        <w:jc w:val="both"/>
        <w:rPr>
          <w:rFonts w:ascii="Verdana" w:hAnsi="Verdana"/>
          <w:sz w:val="14"/>
          <w:szCs w:val="14"/>
        </w:rPr>
      </w:pPr>
      <w:r w:rsidRPr="007A1800">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6">
    <w:p w14:paraId="211D7F70" w14:textId="77777777" w:rsidR="00BD57B0" w:rsidRPr="007A1800" w:rsidRDefault="00BD57B0" w:rsidP="00BD57B0">
      <w:pPr>
        <w:pStyle w:val="Textonotapie"/>
        <w:snapToGrid w:val="0"/>
        <w:jc w:val="both"/>
        <w:rPr>
          <w:rFonts w:ascii="Verdana" w:hAnsi="Verdana" w:cs="Arial"/>
          <w:color w:val="000000"/>
          <w:sz w:val="14"/>
          <w:szCs w:val="14"/>
        </w:rPr>
      </w:pPr>
    </w:p>
    <w:p w14:paraId="03AEBEDD"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sz w:val="14"/>
          <w:szCs w:val="14"/>
          <w:vertAlign w:val="superscript"/>
        </w:rPr>
        <w:footnoteRef/>
      </w:r>
      <w:r w:rsidRPr="007A1800">
        <w:rPr>
          <w:rFonts w:ascii="Verdana" w:hAnsi="Verdana" w:cs="Arial"/>
          <w:color w:val="000000"/>
          <w:sz w:val="14"/>
          <w:szCs w:val="14"/>
        </w:rPr>
        <w:t xml:space="preserve"> </w:t>
      </w:r>
      <w:r w:rsidRPr="007A1800">
        <w:rPr>
          <w:rFonts w:ascii="Verdana" w:hAnsi="Verdana" w:cs="Arial"/>
          <w:color w:val="000000"/>
          <w:sz w:val="14"/>
          <w:szCs w:val="14"/>
          <w:lang w:val="es-ES"/>
        </w:rPr>
        <w:t>Esta norma expresa: “</w:t>
      </w:r>
      <w:r w:rsidRPr="007A1800">
        <w:rPr>
          <w:rFonts w:ascii="Verdana" w:hAnsi="Verdana" w:cs="Arial"/>
          <w:color w:val="000000"/>
          <w:sz w:val="14"/>
          <w:szCs w:val="14"/>
        </w:rPr>
        <w:t>P</w:t>
      </w:r>
      <w:r w:rsidRPr="007A1800">
        <w:rPr>
          <w:rFonts w:ascii="Verdana" w:hAnsi="Verdana" w:cs="Arial"/>
          <w:color w:val="000000"/>
          <w:sz w:val="14"/>
          <w:szCs w:val="14"/>
          <w:lang w:val="es-ES"/>
        </w:rPr>
        <w:t>ara el cumplimiento de los fines de la contratación, las entidades estatales al celebrar un contrato:</w:t>
      </w:r>
    </w:p>
    <w:p w14:paraId="61DCC939"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w:t>
      </w:r>
    </w:p>
    <w:p w14:paraId="6E207E99"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6FA5AD30"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Las entidades estatales podrán pactar estas cláusulas en los contratos de suministro y de prestación de servicios.</w:t>
      </w:r>
    </w:p>
    <w:p w14:paraId="41F20326"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color w:val="000000"/>
          <w:sz w:val="14"/>
          <w:szCs w:val="14"/>
          <w:lang w:val="es-ES"/>
        </w:rPr>
        <w:t>[…]”.</w:t>
      </w:r>
    </w:p>
    <w:p w14:paraId="7C6F9441" w14:textId="77777777" w:rsidR="00BD57B0" w:rsidRPr="007A1800" w:rsidRDefault="00BD57B0" w:rsidP="00BD57B0">
      <w:pPr>
        <w:pStyle w:val="Textonotapie"/>
        <w:snapToGrid w:val="0"/>
        <w:ind w:firstLine="709"/>
        <w:jc w:val="both"/>
        <w:rPr>
          <w:rFonts w:ascii="Verdana" w:hAnsi="Verdana"/>
          <w:sz w:val="14"/>
          <w:szCs w:val="14"/>
        </w:rPr>
      </w:pPr>
    </w:p>
  </w:footnote>
  <w:footnote w:id="7">
    <w:p w14:paraId="5F977E71"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sz w:val="14"/>
          <w:szCs w:val="14"/>
          <w:vertAlign w:val="superscript"/>
        </w:rPr>
        <w:footnoteRef/>
      </w:r>
      <w:r w:rsidRPr="007A1800">
        <w:rPr>
          <w:rFonts w:ascii="Verdana" w:hAnsi="Verdana" w:cs="Arial"/>
          <w:color w:val="000000"/>
          <w:sz w:val="14"/>
          <w:szCs w:val="14"/>
        </w:rPr>
        <w:t xml:space="preserve"> </w:t>
      </w:r>
      <w:r w:rsidRPr="007A1800">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p w14:paraId="51DAA691" w14:textId="77777777" w:rsidR="00BD57B0" w:rsidRPr="007A1800" w:rsidRDefault="00BD57B0" w:rsidP="00BD57B0">
      <w:pPr>
        <w:pStyle w:val="Textonotapie"/>
        <w:snapToGrid w:val="0"/>
        <w:ind w:firstLine="709"/>
        <w:jc w:val="both"/>
        <w:rPr>
          <w:rFonts w:ascii="Verdana" w:hAnsi="Verdana"/>
          <w:sz w:val="14"/>
          <w:szCs w:val="14"/>
        </w:rPr>
      </w:pPr>
    </w:p>
  </w:footnote>
  <w:footnote w:id="8">
    <w:p w14:paraId="4C34E9A2" w14:textId="77777777" w:rsidR="00BD57B0" w:rsidRPr="007A1800" w:rsidRDefault="00BD57B0" w:rsidP="00BD57B0">
      <w:pPr>
        <w:pStyle w:val="Textonotapie"/>
        <w:snapToGrid w:val="0"/>
        <w:ind w:firstLine="709"/>
        <w:jc w:val="both"/>
        <w:rPr>
          <w:rFonts w:ascii="Verdana" w:hAnsi="Verdana" w:cs="Arial"/>
          <w:color w:val="000000"/>
          <w:sz w:val="14"/>
          <w:szCs w:val="14"/>
        </w:rPr>
      </w:pPr>
      <w:r w:rsidRPr="007A1800">
        <w:rPr>
          <w:rFonts w:ascii="Verdana" w:hAnsi="Verdana" w:cs="Arial"/>
          <w:sz w:val="14"/>
          <w:szCs w:val="14"/>
          <w:vertAlign w:val="superscript"/>
        </w:rPr>
        <w:footnoteRef/>
      </w:r>
      <w:r w:rsidRPr="007A1800">
        <w:rPr>
          <w:rFonts w:ascii="Verdana" w:hAnsi="Verdana" w:cs="Arial"/>
          <w:color w:val="000000"/>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4F3C757" w14:textId="77777777" w:rsidR="00BD57B0" w:rsidRPr="007A1800" w:rsidRDefault="00BD57B0" w:rsidP="00BD57B0">
      <w:pPr>
        <w:pStyle w:val="Textonotapie"/>
        <w:snapToGrid w:val="0"/>
        <w:ind w:firstLine="709"/>
        <w:jc w:val="both"/>
        <w:rPr>
          <w:rFonts w:ascii="Verdana" w:hAnsi="Verdana" w:cs="Arial"/>
          <w:color w:val="000000"/>
          <w:sz w:val="14"/>
          <w:szCs w:val="14"/>
        </w:rPr>
      </w:pPr>
      <w:r w:rsidRPr="007A1800">
        <w:rPr>
          <w:rFonts w:ascii="Verdana" w:hAnsi="Verdana"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7332621" w14:textId="77777777" w:rsidR="00BD57B0" w:rsidRPr="007A1800" w:rsidRDefault="00BD57B0" w:rsidP="00BD57B0">
      <w:pPr>
        <w:pStyle w:val="Textonotapie"/>
        <w:snapToGrid w:val="0"/>
        <w:ind w:firstLine="709"/>
        <w:jc w:val="both"/>
        <w:rPr>
          <w:rFonts w:ascii="Verdana" w:hAnsi="Verdana" w:cs="Arial"/>
          <w:color w:val="000000"/>
          <w:sz w:val="14"/>
          <w:szCs w:val="14"/>
        </w:rPr>
      </w:pPr>
      <w:r w:rsidRPr="007A1800">
        <w:rPr>
          <w:rFonts w:ascii="Verdana" w:hAnsi="Verdana" w:cs="Arial"/>
          <w:color w:val="000000"/>
          <w:sz w:val="14"/>
          <w:szCs w:val="14"/>
        </w:rPr>
        <w:t>[…]”.</w:t>
      </w:r>
    </w:p>
    <w:p w14:paraId="404A8B71" w14:textId="77777777" w:rsidR="00BD57B0" w:rsidRPr="007A1800" w:rsidRDefault="00BD57B0" w:rsidP="00BD57B0">
      <w:pPr>
        <w:pStyle w:val="Textonotapie"/>
        <w:snapToGrid w:val="0"/>
        <w:ind w:firstLine="709"/>
        <w:jc w:val="both"/>
        <w:rPr>
          <w:rFonts w:ascii="Verdana" w:hAnsi="Verdana"/>
          <w:sz w:val="14"/>
          <w:szCs w:val="14"/>
        </w:rPr>
      </w:pPr>
    </w:p>
  </w:footnote>
  <w:footnote w:id="9">
    <w:p w14:paraId="06D44486" w14:textId="77777777" w:rsidR="00BD57B0" w:rsidRPr="007A1800" w:rsidRDefault="00BD57B0" w:rsidP="00BD57B0">
      <w:pPr>
        <w:pStyle w:val="Textonotapie"/>
        <w:snapToGrid w:val="0"/>
        <w:ind w:firstLine="709"/>
        <w:jc w:val="both"/>
        <w:rPr>
          <w:rFonts w:ascii="Verdana" w:hAnsi="Verdana" w:cs="Arial"/>
          <w:color w:val="000000"/>
          <w:sz w:val="14"/>
          <w:szCs w:val="14"/>
          <w:lang w:val="es-ES"/>
        </w:rPr>
      </w:pPr>
      <w:r w:rsidRPr="007A1800">
        <w:rPr>
          <w:rFonts w:ascii="Verdana" w:hAnsi="Verdana" w:cs="Arial"/>
          <w:sz w:val="14"/>
          <w:szCs w:val="14"/>
          <w:vertAlign w:val="superscript"/>
        </w:rPr>
        <w:footnoteRef/>
      </w:r>
      <w:r w:rsidRPr="007A1800">
        <w:rPr>
          <w:rFonts w:ascii="Verdana" w:hAnsi="Verdana" w:cs="Arial"/>
          <w:color w:val="000000"/>
          <w:sz w:val="14"/>
          <w:szCs w:val="14"/>
        </w:rPr>
        <w:t xml:space="preserve"> </w:t>
      </w:r>
      <w:r w:rsidRPr="007A1800">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18556D53" w14:textId="77777777" w:rsidR="00BD57B0" w:rsidRPr="007A1800" w:rsidRDefault="00BD57B0" w:rsidP="00BD57B0">
      <w:pPr>
        <w:pStyle w:val="Textonotapie"/>
        <w:snapToGrid w:val="0"/>
        <w:ind w:firstLine="709"/>
        <w:jc w:val="both"/>
        <w:rPr>
          <w:rFonts w:ascii="Verdana" w:hAnsi="Verdana"/>
          <w:sz w:val="14"/>
          <w:szCs w:val="14"/>
        </w:rPr>
      </w:pPr>
    </w:p>
  </w:footnote>
  <w:footnote w:id="10">
    <w:p w14:paraId="204FB5D0" w14:textId="77777777" w:rsidR="00BD57B0" w:rsidRPr="007A1800" w:rsidRDefault="00BD57B0" w:rsidP="00BD57B0">
      <w:pPr>
        <w:pStyle w:val="Textonotapie"/>
        <w:ind w:firstLine="709"/>
        <w:rPr>
          <w:rFonts w:ascii="Verdana" w:hAnsi="Verdana"/>
          <w:sz w:val="14"/>
          <w:szCs w:val="14"/>
          <w:vertAlign w:val="superscript"/>
        </w:rPr>
      </w:pPr>
      <w:r w:rsidRPr="007A1800">
        <w:rPr>
          <w:rStyle w:val="Refdenotaalpie"/>
          <w:rFonts w:ascii="Verdana" w:hAnsi="Verdana"/>
          <w:sz w:val="14"/>
          <w:szCs w:val="14"/>
        </w:rPr>
        <w:footnoteRef/>
      </w:r>
      <w:r w:rsidRPr="007A1800">
        <w:rPr>
          <w:rFonts w:ascii="Verdana" w:hAnsi="Verdana"/>
          <w:sz w:val="14"/>
          <w:szCs w:val="14"/>
        </w:rPr>
        <w:t xml:space="preserve"> </w:t>
      </w:r>
      <w:r w:rsidRPr="007A1800">
        <w:rPr>
          <w:rFonts w:ascii="Verdana" w:hAnsi="Verdana"/>
          <w:sz w:val="14"/>
          <w:szCs w:val="14"/>
          <w:lang w:val="es-ES"/>
        </w:rPr>
        <w:t>Corte Constitucional sentencia SU-049 de 2017: M.P: María Victoria Calle Correa.</w:t>
      </w:r>
      <w:r w:rsidRPr="007A1800">
        <w:rPr>
          <w:rFonts w:ascii="Verdana" w:hAnsi="Verdana"/>
          <w:sz w:val="14"/>
          <w:szCs w:val="14"/>
          <w:vertAlign w:val="superscript"/>
        </w:rPr>
        <w:t xml:space="preserve"> </w:t>
      </w:r>
    </w:p>
  </w:footnote>
  <w:footnote w:id="11">
    <w:p w14:paraId="2CFEA9EE" w14:textId="77777777" w:rsidR="00BD57B0" w:rsidRPr="003F39A9" w:rsidRDefault="00BD57B0" w:rsidP="00BD57B0">
      <w:pPr>
        <w:pStyle w:val="Textonotapie"/>
        <w:ind w:firstLine="709"/>
        <w:jc w:val="both"/>
        <w:rPr>
          <w:rFonts w:ascii="Verdana" w:hAnsi="Verdana"/>
          <w:sz w:val="14"/>
          <w:szCs w:val="14"/>
          <w:lang w:val="es-ES"/>
        </w:rPr>
      </w:pPr>
      <w:r w:rsidRPr="003F39A9">
        <w:rPr>
          <w:rStyle w:val="Refdenotaalpie"/>
          <w:rFonts w:ascii="Verdana" w:hAnsi="Verdana"/>
          <w:sz w:val="14"/>
          <w:szCs w:val="14"/>
        </w:rPr>
        <w:footnoteRef/>
      </w:r>
      <w:r w:rsidRPr="003F39A9">
        <w:rPr>
          <w:rFonts w:ascii="Verdana" w:hAnsi="Verdana"/>
          <w:sz w:val="14"/>
          <w:szCs w:val="14"/>
        </w:rPr>
        <w:t xml:space="preserve"> </w:t>
      </w:r>
      <w:r w:rsidRPr="003F39A9">
        <w:rPr>
          <w:rFonts w:ascii="Verdana" w:hAnsi="Verdana"/>
          <w:sz w:val="14"/>
          <w:szCs w:val="14"/>
          <w:lang w:val="es-ES"/>
        </w:rPr>
        <w:t xml:space="preserve">Corte Constitucional sentencia T-1040 de 2021. M.P: Rodrigo Escobar Gil. </w:t>
      </w:r>
    </w:p>
    <w:p w14:paraId="40C9E03C" w14:textId="77777777" w:rsidR="00BD57B0" w:rsidRPr="007A1800" w:rsidRDefault="00BD57B0" w:rsidP="00BD57B0">
      <w:pPr>
        <w:pStyle w:val="Textonotapie"/>
        <w:ind w:firstLine="709"/>
        <w:jc w:val="both"/>
        <w:rPr>
          <w:sz w:val="14"/>
          <w:szCs w:val="14"/>
          <w:lang w:val="es-ES"/>
        </w:rPr>
      </w:pPr>
    </w:p>
  </w:footnote>
  <w:footnote w:id="12">
    <w:p w14:paraId="1BAC304C" w14:textId="77777777" w:rsidR="00BD57B0" w:rsidRPr="007A1800" w:rsidRDefault="00BD57B0" w:rsidP="00BD57B0">
      <w:pPr>
        <w:pStyle w:val="Textonotapie"/>
        <w:ind w:firstLine="709"/>
        <w:jc w:val="both"/>
        <w:rPr>
          <w:rFonts w:ascii="Verdana" w:hAnsi="Verdana"/>
          <w:sz w:val="14"/>
          <w:szCs w:val="14"/>
          <w:lang w:val="es-ES"/>
        </w:rPr>
      </w:pPr>
      <w:r w:rsidRPr="007A1800">
        <w:rPr>
          <w:rStyle w:val="Refdenotaalpie"/>
          <w:rFonts w:ascii="Verdana" w:hAnsi="Verdana"/>
          <w:sz w:val="14"/>
          <w:szCs w:val="14"/>
        </w:rPr>
        <w:footnoteRef/>
      </w:r>
      <w:r w:rsidRPr="007A1800">
        <w:rPr>
          <w:rFonts w:ascii="Verdana" w:hAnsi="Verdana"/>
          <w:sz w:val="14"/>
          <w:szCs w:val="14"/>
        </w:rPr>
        <w:t xml:space="preserve"> </w:t>
      </w:r>
      <w:r w:rsidRPr="007A1800">
        <w:rPr>
          <w:rFonts w:ascii="Verdana" w:hAnsi="Verdana"/>
          <w:sz w:val="14"/>
          <w:szCs w:val="14"/>
          <w:lang w:val="es-ES"/>
        </w:rPr>
        <w:t xml:space="preserve">Corte Constitucional sentencia T-1210 de 5 de diciembre de 2008. MP: Clara Inés Vargas Hernández. </w:t>
      </w:r>
    </w:p>
    <w:p w14:paraId="37C58690" w14:textId="77777777" w:rsidR="00BD57B0" w:rsidRPr="007A1800" w:rsidRDefault="00BD57B0" w:rsidP="00BD57B0">
      <w:pPr>
        <w:pStyle w:val="Textonotapie"/>
        <w:ind w:firstLine="709"/>
        <w:jc w:val="both"/>
        <w:rPr>
          <w:rFonts w:ascii="Verdana" w:hAnsi="Verdana"/>
          <w:sz w:val="14"/>
          <w:szCs w:val="14"/>
          <w:lang w:val="es-ES"/>
        </w:rPr>
      </w:pPr>
    </w:p>
  </w:footnote>
  <w:footnote w:id="13">
    <w:p w14:paraId="2FC80992" w14:textId="77777777" w:rsidR="00BD57B0" w:rsidRPr="007A1800" w:rsidRDefault="00BD57B0" w:rsidP="00BD57B0">
      <w:pPr>
        <w:pStyle w:val="Textonotapie"/>
        <w:ind w:firstLine="709"/>
        <w:jc w:val="both"/>
        <w:rPr>
          <w:rFonts w:ascii="Verdana" w:hAnsi="Verdana"/>
          <w:sz w:val="14"/>
          <w:szCs w:val="14"/>
          <w:lang w:val="es-CO"/>
        </w:rPr>
      </w:pPr>
      <w:r w:rsidRPr="007A1800">
        <w:rPr>
          <w:rFonts w:ascii="Verdana" w:hAnsi="Verdana"/>
          <w:sz w:val="14"/>
          <w:szCs w:val="14"/>
          <w:vertAlign w:val="superscript"/>
        </w:rPr>
        <w:footnoteRef/>
      </w:r>
      <w:r w:rsidRPr="007A1800">
        <w:rPr>
          <w:rFonts w:ascii="Verdana" w:hAnsi="Verdana"/>
          <w:sz w:val="14"/>
          <w:szCs w:val="14"/>
        </w:rPr>
        <w:t xml:space="preserve"> </w:t>
      </w:r>
      <w:r w:rsidRPr="007A1800">
        <w:rPr>
          <w:rFonts w:ascii="Verdana" w:hAnsi="Verdana"/>
          <w:sz w:val="14"/>
          <w:szCs w:val="14"/>
          <w:lang w:val="es-CO"/>
        </w:rPr>
        <w:t xml:space="preserve">Corte Constitucional. Sentencia T-1210 del 2008 “Desde este panorama, puede concluirse que, aún en el seno del contrato de prestación de servicios, puede predicarse ciertas garantías de la que gozan las relaciones laborales, al cobrar importancia los principios de estabilidad laboral a ciertos sujetos y de primacía de la realidad sobre las formalidades establecidas por las partes del contrato laboral, y en los eventos en que se pueda advertir la desnaturalización del contrato de prestación de servicios”. </w:t>
      </w:r>
    </w:p>
    <w:p w14:paraId="2823F5EA" w14:textId="77777777" w:rsidR="00BD57B0" w:rsidRPr="007A1800" w:rsidRDefault="00BD57B0" w:rsidP="00BD57B0">
      <w:pPr>
        <w:pStyle w:val="Textonotapie"/>
        <w:ind w:firstLine="709"/>
        <w:jc w:val="both"/>
        <w:rPr>
          <w:rFonts w:ascii="Verdana" w:hAnsi="Verdana"/>
          <w:sz w:val="14"/>
          <w:szCs w:val="14"/>
          <w:lang w:val="es-CO"/>
        </w:rPr>
      </w:pPr>
    </w:p>
    <w:p w14:paraId="069DDD9D" w14:textId="77777777" w:rsidR="00BD57B0" w:rsidRPr="00007D6A" w:rsidRDefault="00BD57B0" w:rsidP="00BD57B0">
      <w:pPr>
        <w:pStyle w:val="Textonotapie"/>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8941967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74CB"/>
    <w:rsid w:val="00082362"/>
    <w:rsid w:val="000A250A"/>
    <w:rsid w:val="000A683E"/>
    <w:rsid w:val="000B19B9"/>
    <w:rsid w:val="000D0334"/>
    <w:rsid w:val="000D43A5"/>
    <w:rsid w:val="000D5DA7"/>
    <w:rsid w:val="000F092E"/>
    <w:rsid w:val="000F6486"/>
    <w:rsid w:val="00116940"/>
    <w:rsid w:val="00125105"/>
    <w:rsid w:val="00127233"/>
    <w:rsid w:val="00127A64"/>
    <w:rsid w:val="001501D4"/>
    <w:rsid w:val="0015699B"/>
    <w:rsid w:val="00156A77"/>
    <w:rsid w:val="001A33BF"/>
    <w:rsid w:val="001E4177"/>
    <w:rsid w:val="001E5ED2"/>
    <w:rsid w:val="001F0B24"/>
    <w:rsid w:val="001F53FD"/>
    <w:rsid w:val="001F7DC6"/>
    <w:rsid w:val="0022400B"/>
    <w:rsid w:val="002335E6"/>
    <w:rsid w:val="002421BB"/>
    <w:rsid w:val="0025796E"/>
    <w:rsid w:val="00261B09"/>
    <w:rsid w:val="002707A2"/>
    <w:rsid w:val="0029159F"/>
    <w:rsid w:val="002951A0"/>
    <w:rsid w:val="002962BC"/>
    <w:rsid w:val="002A093D"/>
    <w:rsid w:val="002A0DD0"/>
    <w:rsid w:val="002A49AC"/>
    <w:rsid w:val="002A64FD"/>
    <w:rsid w:val="002C7A84"/>
    <w:rsid w:val="002E2BF8"/>
    <w:rsid w:val="002E4FD9"/>
    <w:rsid w:val="0030657A"/>
    <w:rsid w:val="00307BAF"/>
    <w:rsid w:val="00322A85"/>
    <w:rsid w:val="00324168"/>
    <w:rsid w:val="00330834"/>
    <w:rsid w:val="003448F4"/>
    <w:rsid w:val="003558EE"/>
    <w:rsid w:val="00374F5E"/>
    <w:rsid w:val="00377E3E"/>
    <w:rsid w:val="003A779E"/>
    <w:rsid w:val="003D0F4D"/>
    <w:rsid w:val="003D5B0D"/>
    <w:rsid w:val="003E0499"/>
    <w:rsid w:val="003E4F80"/>
    <w:rsid w:val="003E6439"/>
    <w:rsid w:val="003F3941"/>
    <w:rsid w:val="003F39A9"/>
    <w:rsid w:val="003F7C79"/>
    <w:rsid w:val="00406575"/>
    <w:rsid w:val="00410443"/>
    <w:rsid w:val="00414C74"/>
    <w:rsid w:val="0042722E"/>
    <w:rsid w:val="0044528D"/>
    <w:rsid w:val="00466E39"/>
    <w:rsid w:val="004A1847"/>
    <w:rsid w:val="004A305D"/>
    <w:rsid w:val="004E6DA0"/>
    <w:rsid w:val="004F21C4"/>
    <w:rsid w:val="004F685F"/>
    <w:rsid w:val="0055633C"/>
    <w:rsid w:val="005566E8"/>
    <w:rsid w:val="005648F2"/>
    <w:rsid w:val="00567321"/>
    <w:rsid w:val="00574867"/>
    <w:rsid w:val="00591460"/>
    <w:rsid w:val="005A65E0"/>
    <w:rsid w:val="005C3777"/>
    <w:rsid w:val="005C5CDC"/>
    <w:rsid w:val="005D476C"/>
    <w:rsid w:val="006200BF"/>
    <w:rsid w:val="006219F8"/>
    <w:rsid w:val="006302F7"/>
    <w:rsid w:val="00646B9F"/>
    <w:rsid w:val="00665D70"/>
    <w:rsid w:val="00673BF7"/>
    <w:rsid w:val="00677823"/>
    <w:rsid w:val="006818C2"/>
    <w:rsid w:val="006900D9"/>
    <w:rsid w:val="006E4291"/>
    <w:rsid w:val="00706C16"/>
    <w:rsid w:val="00713D22"/>
    <w:rsid w:val="0072364A"/>
    <w:rsid w:val="007340C3"/>
    <w:rsid w:val="007471BC"/>
    <w:rsid w:val="0075235A"/>
    <w:rsid w:val="00756841"/>
    <w:rsid w:val="007649AB"/>
    <w:rsid w:val="00771D0C"/>
    <w:rsid w:val="007833AC"/>
    <w:rsid w:val="007A1800"/>
    <w:rsid w:val="007A4F49"/>
    <w:rsid w:val="007B268C"/>
    <w:rsid w:val="007B7171"/>
    <w:rsid w:val="007B7DC3"/>
    <w:rsid w:val="007C0C0F"/>
    <w:rsid w:val="007C3DC2"/>
    <w:rsid w:val="007E5497"/>
    <w:rsid w:val="007F16CB"/>
    <w:rsid w:val="00806F5F"/>
    <w:rsid w:val="00811244"/>
    <w:rsid w:val="00820278"/>
    <w:rsid w:val="008258C9"/>
    <w:rsid w:val="00835E70"/>
    <w:rsid w:val="00844AE9"/>
    <w:rsid w:val="00867F95"/>
    <w:rsid w:val="008843B6"/>
    <w:rsid w:val="00891928"/>
    <w:rsid w:val="008926A6"/>
    <w:rsid w:val="008A446D"/>
    <w:rsid w:val="008B25F1"/>
    <w:rsid w:val="008C3E86"/>
    <w:rsid w:val="008D180B"/>
    <w:rsid w:val="008F0EA7"/>
    <w:rsid w:val="00922442"/>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7D29"/>
    <w:rsid w:val="00A30762"/>
    <w:rsid w:val="00A33C78"/>
    <w:rsid w:val="00A72C80"/>
    <w:rsid w:val="00AB0ADB"/>
    <w:rsid w:val="00AF1172"/>
    <w:rsid w:val="00B00C0E"/>
    <w:rsid w:val="00B01B1A"/>
    <w:rsid w:val="00B0381D"/>
    <w:rsid w:val="00B44A47"/>
    <w:rsid w:val="00B72CD3"/>
    <w:rsid w:val="00B72FFF"/>
    <w:rsid w:val="00B87D20"/>
    <w:rsid w:val="00BA4B73"/>
    <w:rsid w:val="00BA4FEF"/>
    <w:rsid w:val="00BC3D36"/>
    <w:rsid w:val="00BD54A6"/>
    <w:rsid w:val="00BD57B0"/>
    <w:rsid w:val="00BD7F72"/>
    <w:rsid w:val="00BE377B"/>
    <w:rsid w:val="00BF7425"/>
    <w:rsid w:val="00C04FB3"/>
    <w:rsid w:val="00C11D8B"/>
    <w:rsid w:val="00C15139"/>
    <w:rsid w:val="00C27305"/>
    <w:rsid w:val="00C330EB"/>
    <w:rsid w:val="00C4059B"/>
    <w:rsid w:val="00C50D69"/>
    <w:rsid w:val="00C5365C"/>
    <w:rsid w:val="00C7152F"/>
    <w:rsid w:val="00C754BE"/>
    <w:rsid w:val="00C76B1C"/>
    <w:rsid w:val="00C925AC"/>
    <w:rsid w:val="00CB6357"/>
    <w:rsid w:val="00CC1B26"/>
    <w:rsid w:val="00D361FD"/>
    <w:rsid w:val="00D423A2"/>
    <w:rsid w:val="00D44E26"/>
    <w:rsid w:val="00D520D8"/>
    <w:rsid w:val="00D61A63"/>
    <w:rsid w:val="00D63AC2"/>
    <w:rsid w:val="00D7383B"/>
    <w:rsid w:val="00D7788A"/>
    <w:rsid w:val="00DA0EB1"/>
    <w:rsid w:val="00DA16AE"/>
    <w:rsid w:val="00DA231B"/>
    <w:rsid w:val="00DC39FC"/>
    <w:rsid w:val="00DF5254"/>
    <w:rsid w:val="00E02524"/>
    <w:rsid w:val="00E02C1A"/>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74CB"/>
    <w:rsid w:val="00F23FEA"/>
    <w:rsid w:val="00F31EDC"/>
    <w:rsid w:val="00F462B3"/>
    <w:rsid w:val="00F5664F"/>
    <w:rsid w:val="00F666C4"/>
    <w:rsid w:val="00F7360B"/>
    <w:rsid w:val="00F76AFC"/>
    <w:rsid w:val="00F87BD8"/>
    <w:rsid w:val="00FA1834"/>
    <w:rsid w:val="00FA47C0"/>
    <w:rsid w:val="00FB5DD1"/>
    <w:rsid w:val="00FC2B5D"/>
    <w:rsid w:val="00FC53BE"/>
    <w:rsid w:val="00FD47B4"/>
    <w:rsid w:val="00FD4C55"/>
    <w:rsid w:val="00FE3928"/>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D57B0"/>
    <w:rPr>
      <w:rFonts w:ascii="Geomanist Light" w:hAnsi="Geomanist Light"/>
      <w:lang w:val="es-ES"/>
    </w:rPr>
  </w:style>
  <w:style w:type="paragraph" w:customStyle="1" w:styleId="Appelnotedebasde">
    <w:name w:val="Appel note de bas de..."/>
    <w:basedOn w:val="Normal"/>
    <w:link w:val="Refdenotaalpie"/>
    <w:uiPriority w:val="99"/>
    <w:rsid w:val="00BD57B0"/>
    <w:pPr>
      <w:spacing w:line="240" w:lineRule="exact"/>
    </w:pPr>
    <w:rPr>
      <w:vertAlign w:val="superscript"/>
    </w:rPr>
  </w:style>
  <w:style w:type="paragraph" w:styleId="Textoindependiente">
    <w:name w:val="Body Text"/>
    <w:basedOn w:val="Normal"/>
    <w:link w:val="TextoindependienteCar"/>
    <w:uiPriority w:val="1"/>
    <w:qFormat/>
    <w:rsid w:val="00BD57B0"/>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BD57B0"/>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maredo13@hot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F280E89B-701D-45B3-9D06-E757C37783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16</Pages>
  <Words>4845</Words>
  <Characters>26601</Characters>
  <Application>Microsoft Office Word</Application>
  <DocSecurity>0</DocSecurity>
  <Lines>475</Lines>
  <Paragraphs>80</Paragraphs>
  <ScaleCrop>false</ScaleCrop>
  <Company/>
  <LinksUpToDate>false</LinksUpToDate>
  <CharactersWithSpaces>31366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7</cp:revision>
  <cp:lastPrinted>2023-01-10T21:18:00Z</cp:lastPrinted>
  <dcterms:created xsi:type="dcterms:W3CDTF">2026-03-04T09:28:00Z</dcterms:created>
  <dcterms:modified xsi:type="dcterms:W3CDTF">2026-03-12T16:24:00Z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