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0CB6CB" w14:textId="47F8B211" w:rsidR="00555B36" w:rsidRPr="00555B36" w:rsidRDefault="00555B36" w:rsidP="00555B36">
      <w:pPr>
        <w:jc w:val="both"/>
        <w:rPr>
          <w:rFonts w:ascii="Verdana" w:eastAsia="Geomanist Light" w:hAnsi="Verdana" w:cs="Arial"/>
          <w:b/>
          <w:bCs/>
          <w:color w:val="000000" w:themeColor="text1"/>
          <w:lang w:val="es-MX"/>
        </w:rPr>
      </w:pPr>
      <w:r w:rsidRPr="00555B36">
        <w:rPr>
          <w:rFonts w:ascii="Verdana" w:eastAsia="Calibri" w:hAnsi="Verdana" w:cs="Arial"/>
          <w:b/>
          <w:bCs/>
          <w:lang w:val="es-ES" w:eastAsia="es-ES"/>
        </w:rPr>
        <w:t xml:space="preserve">LEY DE GARANTÍAS ELECTORALES ‒ Finalidad </w:t>
      </w:r>
      <w:r w:rsidR="002C5AC4" w:rsidRPr="002C5AC4">
        <w:rPr>
          <w:rFonts w:ascii="Verdana" w:eastAsia="Calibri" w:hAnsi="Verdana" w:cs="Arial"/>
          <w:b/>
          <w:bCs/>
          <w:lang w:eastAsia="es-ES"/>
        </w:rPr>
        <w:t>–</w:t>
      </w:r>
      <w:r w:rsidRPr="00555B36">
        <w:rPr>
          <w:rFonts w:ascii="Verdana" w:eastAsia="Calibri" w:hAnsi="Verdana" w:cs="Arial"/>
          <w:b/>
          <w:bCs/>
          <w:lang w:val="es-ES" w:eastAsia="es-ES"/>
        </w:rPr>
        <w:t xml:space="preserve"> LEY DE GARANTÍAS ELECTORALES ‒ Tipos de restricciones </w:t>
      </w:r>
      <w:r w:rsidR="002C5AC4" w:rsidRPr="002C5AC4">
        <w:rPr>
          <w:rFonts w:ascii="Verdana" w:eastAsia="Calibri" w:hAnsi="Verdana" w:cs="Arial"/>
          <w:b/>
          <w:bCs/>
          <w:lang w:eastAsia="es-ES"/>
        </w:rPr>
        <w:t>–</w:t>
      </w:r>
      <w:r w:rsidRPr="00555B36">
        <w:rPr>
          <w:rFonts w:ascii="Verdana" w:eastAsia="Calibri" w:hAnsi="Verdana" w:cs="Arial"/>
          <w:b/>
          <w:bCs/>
          <w:lang w:val="es-ES" w:eastAsia="es-ES"/>
        </w:rPr>
        <w:t xml:space="preserve"> Ámbito temporal – </w:t>
      </w:r>
      <w:r w:rsidR="002C5AC4">
        <w:rPr>
          <w:rFonts w:ascii="Verdana" w:eastAsia="Calibri" w:hAnsi="Verdana" w:cs="Arial"/>
          <w:b/>
          <w:bCs/>
          <w:lang w:val="es-ES" w:eastAsia="es-ES"/>
        </w:rPr>
        <w:t>C</w:t>
      </w:r>
      <w:r w:rsidRPr="00555B36">
        <w:rPr>
          <w:rFonts w:ascii="Verdana" w:eastAsia="Calibri" w:hAnsi="Verdana" w:cs="Arial"/>
          <w:b/>
          <w:bCs/>
          <w:lang w:val="es-ES" w:eastAsia="es-ES"/>
        </w:rPr>
        <w:t>elebración</w:t>
      </w:r>
      <w:r w:rsidR="002C5AC4" w:rsidRPr="002C5AC4">
        <w:rPr>
          <w:b/>
          <w:bCs/>
        </w:rPr>
        <w:t xml:space="preserve"> </w:t>
      </w:r>
      <w:r w:rsidR="002C5AC4" w:rsidRPr="002C5AC4">
        <w:rPr>
          <w:rFonts w:ascii="Verdana" w:eastAsia="Calibri" w:hAnsi="Verdana" w:cs="Arial"/>
          <w:b/>
          <w:bCs/>
          <w:lang w:eastAsia="es-ES"/>
        </w:rPr>
        <w:t>–</w:t>
      </w:r>
      <w:r w:rsidR="002C5AC4">
        <w:rPr>
          <w:rFonts w:ascii="Verdana" w:eastAsia="Calibri" w:hAnsi="Verdana" w:cs="Arial"/>
          <w:b/>
          <w:bCs/>
          <w:lang w:eastAsia="es-ES"/>
        </w:rPr>
        <w:t xml:space="preserve"> </w:t>
      </w:r>
      <w:r w:rsidR="002C5AC4">
        <w:rPr>
          <w:rFonts w:ascii="Verdana" w:eastAsia="Calibri" w:hAnsi="Verdana" w:cs="Arial"/>
          <w:b/>
          <w:bCs/>
          <w:lang w:val="es-ES" w:eastAsia="es-ES"/>
        </w:rPr>
        <w:t>L</w:t>
      </w:r>
      <w:r w:rsidRPr="00555B36">
        <w:rPr>
          <w:rFonts w:ascii="Verdana" w:eastAsia="Calibri" w:hAnsi="Verdana" w:cs="Arial"/>
          <w:b/>
          <w:bCs/>
          <w:lang w:val="es-ES" w:eastAsia="es-ES"/>
        </w:rPr>
        <w:t>ímite</w:t>
      </w:r>
    </w:p>
    <w:p w14:paraId="3A1D85A9" w14:textId="286D9AC5" w:rsidR="00555B36" w:rsidRPr="002C5AC4" w:rsidRDefault="00555B36" w:rsidP="00555B36">
      <w:pPr>
        <w:tabs>
          <w:tab w:val="left" w:pos="426"/>
        </w:tabs>
        <w:spacing w:after="120" w:line="240" w:lineRule="auto"/>
        <w:jc w:val="both"/>
        <w:rPr>
          <w:rFonts w:ascii="Verdana" w:eastAsia="Times New Roman" w:hAnsi="Verdana" w:cs="Arial"/>
          <w:sz w:val="20"/>
          <w:szCs w:val="20"/>
          <w:lang w:eastAsia="es-CO"/>
        </w:rPr>
      </w:pPr>
      <w:r w:rsidRPr="002C5AC4">
        <w:rPr>
          <w:rFonts w:ascii="Verdana" w:eastAsia="Calibri" w:hAnsi="Verdana" w:cs="Arial"/>
          <w:sz w:val="20"/>
          <w:szCs w:val="20"/>
        </w:rPr>
        <w:t>El ordenamiento jurídico colombiano contempla previsiones claras para evitar la obtención de beneficios personales en asuntos propios de la administración pública</w:t>
      </w:r>
      <w:r w:rsidRPr="002C5AC4">
        <w:rPr>
          <w:rFonts w:ascii="Verdana" w:eastAsia="Calibri" w:hAnsi="Verdana" w:cs="Arial"/>
          <w:i/>
          <w:sz w:val="20"/>
          <w:szCs w:val="20"/>
        </w:rPr>
        <w:t xml:space="preserve">. </w:t>
      </w:r>
      <w:r w:rsidRPr="002C5AC4">
        <w:rPr>
          <w:rFonts w:ascii="Verdana" w:eastAsia="Calibri" w:hAnsi="Verdana" w:cs="Arial"/>
          <w:sz w:val="20"/>
          <w:szCs w:val="20"/>
        </w:rPr>
        <w:t xml:space="preserve">Por ejemplo, el artículo 127 de la Constitución Política establece una prohibición contractual a los servidores públicos y, en cuanto a aspectos políticos, establece restricciones a ciertos empleados del Estado, incluso en época no electoral. </w:t>
      </w:r>
    </w:p>
    <w:p w14:paraId="7DBC412E" w14:textId="608797A4" w:rsidR="00555B36" w:rsidRPr="002C5AC4" w:rsidRDefault="00555B36" w:rsidP="00555B36">
      <w:pPr>
        <w:spacing w:line="240" w:lineRule="auto"/>
        <w:jc w:val="both"/>
        <w:rPr>
          <w:rFonts w:ascii="Verdana" w:eastAsia="Times New Roman" w:hAnsi="Verdana" w:cs="Arial"/>
          <w:sz w:val="20"/>
          <w:szCs w:val="20"/>
          <w:lang w:val="es-MX" w:eastAsia="es-CO"/>
        </w:rPr>
      </w:pPr>
      <w:r w:rsidRPr="002C5AC4">
        <w:rPr>
          <w:rFonts w:ascii="Verdana" w:eastAsia="Times New Roman" w:hAnsi="Verdana" w:cs="Arial"/>
          <w:sz w:val="20"/>
          <w:szCs w:val="20"/>
          <w:lang w:eastAsia="es-CO"/>
        </w:rPr>
        <w:t>En el mismo sentido</w:t>
      </w:r>
      <w:r w:rsidRPr="002C5AC4">
        <w:rPr>
          <w:rFonts w:ascii="Verdana" w:eastAsia="Times New Roman" w:hAnsi="Verdana" w:cs="Arial"/>
          <w:sz w:val="20"/>
          <w:szCs w:val="20"/>
          <w:lang w:val="es-MX" w:eastAsia="es-CO"/>
        </w:rPr>
        <w:t>,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2C5AC4">
        <w:rPr>
          <w:rFonts w:ascii="Verdana" w:eastAsia="Calibri" w:hAnsi="Verdana" w:cs="Arial"/>
          <w:sz w:val="20"/>
          <w:szCs w:val="20"/>
          <w:lang w:val="es-ES_tradnl"/>
        </w:rPr>
        <w:t xml:space="preserve"> </w:t>
      </w:r>
      <w:r w:rsidRPr="002C5AC4">
        <w:rPr>
          <w:rFonts w:ascii="Verdana" w:eastAsia="Times New Roman" w:hAnsi="Verdana" w:cs="Arial"/>
          <w:sz w:val="20"/>
          <w:szCs w:val="20"/>
          <w:lang w:val="es-MX" w:eastAsia="es-CO"/>
        </w:rPr>
        <w:t xml:space="preserve">En armonía con lo anterior, la Corte Constitucional ha abordado la definición de la Ley de Garantías Electorales. […] </w:t>
      </w:r>
    </w:p>
    <w:p w14:paraId="2A01907B" w14:textId="549E8111" w:rsidR="00555B36" w:rsidRPr="00555B36" w:rsidRDefault="00555B36" w:rsidP="00555B36">
      <w:pPr>
        <w:spacing w:line="276" w:lineRule="auto"/>
        <w:jc w:val="both"/>
        <w:rPr>
          <w:rFonts w:ascii="Verdana" w:eastAsia="Calibri" w:hAnsi="Verdana" w:cs="Arial"/>
          <w:b/>
          <w:bCs/>
          <w:lang w:val="es-ES" w:eastAsia="es-ES"/>
        </w:rPr>
      </w:pPr>
      <w:r w:rsidRPr="00555B36">
        <w:rPr>
          <w:rFonts w:ascii="Verdana" w:eastAsia="Calibri" w:hAnsi="Verdana" w:cs="Arial"/>
          <w:b/>
          <w:bCs/>
          <w:lang w:val="es-ES" w:eastAsia="es-ES"/>
        </w:rPr>
        <w:t xml:space="preserve">LEY DE GARANTÍAS ELECTORALES – Prohibición artículo 33 – Contratación directa – Alcance </w:t>
      </w:r>
      <w:r w:rsidR="002C5AC4" w:rsidRPr="002C5AC4">
        <w:rPr>
          <w:rFonts w:ascii="Verdana" w:eastAsia="Calibri" w:hAnsi="Verdana" w:cs="Arial"/>
          <w:b/>
          <w:bCs/>
          <w:lang w:eastAsia="es-ES"/>
        </w:rPr>
        <w:t>–</w:t>
      </w:r>
      <w:r w:rsidRPr="00555B36">
        <w:rPr>
          <w:rFonts w:ascii="Verdana" w:eastAsia="Calibri" w:hAnsi="Verdana" w:cs="Arial"/>
          <w:b/>
          <w:bCs/>
          <w:lang w:val="es-ES" w:eastAsia="es-ES"/>
        </w:rPr>
        <w:t xml:space="preserve"> LEY DE GARANTÍAS ELECTORALES – procesos competitivos</w:t>
      </w:r>
    </w:p>
    <w:p w14:paraId="63A8A080" w14:textId="77777777" w:rsidR="00555B36" w:rsidRPr="002C5AC4" w:rsidRDefault="00555B36" w:rsidP="00555B36">
      <w:pPr>
        <w:spacing w:after="120" w:line="240" w:lineRule="auto"/>
        <w:jc w:val="both"/>
        <w:rPr>
          <w:rFonts w:ascii="Verdana" w:eastAsia="Calibri" w:hAnsi="Verdana" w:cs="Arial"/>
          <w:bCs/>
          <w:sz w:val="20"/>
          <w:szCs w:val="20"/>
          <w:lang w:eastAsia="es-ES_tradnl"/>
        </w:rPr>
      </w:pPr>
      <w:r w:rsidRPr="002C5AC4">
        <w:rPr>
          <w:rFonts w:ascii="Verdana" w:eastAsia="Calibri" w:hAnsi="Verdana" w:cs="Arial"/>
          <w:bCs/>
          <w:sz w:val="20"/>
          <w:szCs w:val="20"/>
          <w:lang w:eastAsia="es-ES_tradnl"/>
        </w:rPr>
        <w:t>Esta prohibición del artículo 33 incluye de forma taxativa toda aquella contratación, siempre y cuando se pretenda estructurar y/o celebrar mediante la modalidad de contratación directa. Por lo tanto, para asegurar el normal funcionamiento de las entidades públicas, es imperativo que estos contratos sean debidamente planeados y formalizados antes del 31 de enero de 2026, garantizando así la continuidad administrativa durante el periodo en que rige la restricción.</w:t>
      </w:r>
    </w:p>
    <w:p w14:paraId="57224376" w14:textId="77777777" w:rsidR="00555B36" w:rsidRPr="002C5AC4" w:rsidRDefault="00555B36" w:rsidP="00555B36">
      <w:pPr>
        <w:spacing w:after="120" w:line="240" w:lineRule="auto"/>
        <w:jc w:val="both"/>
        <w:rPr>
          <w:rFonts w:ascii="Verdana" w:eastAsia="Calibri" w:hAnsi="Verdana" w:cs="Arial"/>
          <w:bCs/>
          <w:sz w:val="20"/>
          <w:szCs w:val="20"/>
          <w:lang w:eastAsia="es-ES_tradnl"/>
        </w:rPr>
      </w:pPr>
      <w:r w:rsidRPr="002C5AC4">
        <w:rPr>
          <w:rFonts w:ascii="Verdana" w:eastAsia="Calibri" w:hAnsi="Verdana" w:cs="Arial"/>
          <w:bCs/>
          <w:sz w:val="20"/>
          <w:szCs w:val="20"/>
          <w:lang w:eastAsia="es-ES_tradnl"/>
        </w:rPr>
        <w:t>En atención a su consulta y considerando lo expuesto anteriormente, la entidad deberá hacer uso de cualquiera de las modalidades y/o procesos competitivos para la contratación del suministro y/o la prestación de servicios, de acuerdo con su necesidad. Ello, en virtud de que, como se mencionó, la contratación directa se encuentra prohibida durante este período de restricción.</w:t>
      </w:r>
    </w:p>
    <w:p w14:paraId="5882F476" w14:textId="77777777" w:rsidR="00555B36" w:rsidRPr="002C5AC4" w:rsidRDefault="00555B36" w:rsidP="00555B36">
      <w:pPr>
        <w:spacing w:after="120" w:line="240" w:lineRule="auto"/>
        <w:jc w:val="both"/>
        <w:rPr>
          <w:rFonts w:ascii="Verdana" w:eastAsia="Calibri" w:hAnsi="Verdana" w:cs="Arial"/>
          <w:bCs/>
          <w:sz w:val="20"/>
          <w:szCs w:val="20"/>
          <w:lang w:eastAsia="es-ES_tradnl"/>
        </w:rPr>
      </w:pPr>
      <w:r w:rsidRPr="002C5AC4">
        <w:rPr>
          <w:rFonts w:ascii="Verdana" w:eastAsia="Calibri" w:hAnsi="Verdana" w:cs="Arial"/>
          <w:bCs/>
          <w:sz w:val="20"/>
          <w:szCs w:val="20"/>
          <w:lang w:eastAsia="es-ES_tradnl"/>
        </w:rPr>
        <w:t>Finalmente, debe advertirse que el análisis de situaciones específicas corresponde a la propia entidad y a sus asesores, pues las afirmaciones aquí realizadas constituyen elementos de carácter general y no juicios de valor sobre casos concretos, cuya decisión final es responsabilidad de los ordenadores del gasto conforme al principio de juridicidad.</w:t>
      </w:r>
    </w:p>
    <w:p w14:paraId="0B695F95" w14:textId="77777777" w:rsidR="00555B36" w:rsidRDefault="00555B36" w:rsidP="00555B36">
      <w:pPr>
        <w:spacing w:line="240" w:lineRule="auto"/>
        <w:jc w:val="both"/>
        <w:rPr>
          <w:rFonts w:ascii="Verdana" w:eastAsia="Geomanist Light" w:hAnsi="Verdana" w:cs="Arial"/>
          <w:color w:val="000000" w:themeColor="text1"/>
          <w:lang w:val="es-MX"/>
        </w:rPr>
      </w:pPr>
    </w:p>
    <w:p w14:paraId="3105DF27" w14:textId="77777777" w:rsidR="002C5AC4" w:rsidRDefault="002C5AC4" w:rsidP="0002413A">
      <w:pPr>
        <w:rPr>
          <w:rFonts w:ascii="Verdana" w:eastAsia="Geomanist Light" w:hAnsi="Verdana" w:cs="Arial"/>
          <w:color w:val="000000" w:themeColor="text1"/>
          <w:lang w:val="es-MX"/>
        </w:rPr>
      </w:pPr>
    </w:p>
    <w:p w14:paraId="6977B6EF" w14:textId="77777777" w:rsidR="002C5AC4" w:rsidRDefault="002C5AC4" w:rsidP="0002413A">
      <w:pPr>
        <w:rPr>
          <w:rFonts w:ascii="Verdana" w:eastAsia="Geomanist Light" w:hAnsi="Verdana" w:cs="Arial"/>
          <w:color w:val="000000" w:themeColor="text1"/>
          <w:lang w:val="es-MX"/>
        </w:rPr>
      </w:pPr>
    </w:p>
    <w:p w14:paraId="62504668" w14:textId="7397F3C1" w:rsidR="0002413A" w:rsidRPr="00E959BB" w:rsidRDefault="0002413A" w:rsidP="0002413A">
      <w:pPr>
        <w:rPr>
          <w:rFonts w:ascii="Verdana" w:eastAsia="Geomanist Light" w:hAnsi="Verdana" w:cs="Arial"/>
          <w:color w:val="201F1E"/>
          <w:lang w:val="es-MX"/>
        </w:rPr>
      </w:pPr>
      <w:r w:rsidRPr="00E959BB">
        <w:rPr>
          <w:rFonts w:ascii="Verdana" w:eastAsia="Geomanist Light" w:hAnsi="Verdana" w:cs="Arial"/>
          <w:color w:val="000000" w:themeColor="text1"/>
          <w:lang w:val="es-MX"/>
        </w:rPr>
        <w:lastRenderedPageBreak/>
        <w:t>Bogotá D.C., </w:t>
      </w:r>
      <w:r w:rsidR="00555B36">
        <w:rPr>
          <w:rFonts w:ascii="Verdana" w:eastAsia="Geomanist Light" w:hAnsi="Verdana" w:cs="Arial"/>
          <w:color w:val="201F1E"/>
          <w:lang w:val="es-MX"/>
        </w:rPr>
        <w:t>05</w:t>
      </w:r>
      <w:r w:rsidRPr="00E959BB">
        <w:rPr>
          <w:rFonts w:ascii="Verdana" w:eastAsia="Geomanist Light" w:hAnsi="Verdana" w:cs="Arial"/>
          <w:color w:val="201F1E"/>
          <w:lang w:val="es-MX"/>
        </w:rPr>
        <w:t xml:space="preserve"> de </w:t>
      </w:r>
      <w:r w:rsidR="00555B36">
        <w:rPr>
          <w:rFonts w:ascii="Verdana" w:eastAsia="Geomanist Light" w:hAnsi="Verdana" w:cs="Arial"/>
          <w:color w:val="201F1E"/>
          <w:lang w:val="es-MX"/>
        </w:rPr>
        <w:t>marzo</w:t>
      </w:r>
      <w:r w:rsidRPr="00E959BB">
        <w:rPr>
          <w:rFonts w:ascii="Verdana" w:eastAsia="Geomanist Light" w:hAnsi="Verdana" w:cs="Arial"/>
          <w:color w:val="201F1E"/>
          <w:lang w:val="es-MX"/>
        </w:rPr>
        <w:t xml:space="preserve"> de </w:t>
      </w:r>
      <w:r w:rsidR="00555B36">
        <w:rPr>
          <w:rFonts w:ascii="Verdana" w:eastAsia="Geomanist Light" w:hAnsi="Verdana" w:cs="Arial"/>
          <w:color w:val="201F1E"/>
          <w:lang w:val="es-MX"/>
        </w:rPr>
        <w:t>2026</w:t>
      </w:r>
    </w:p>
    <w:p w14:paraId="24879C34" w14:textId="1183D9FF" w:rsidR="0066632B" w:rsidRPr="0002413A" w:rsidRDefault="0066632B" w:rsidP="00555B36">
      <w:pPr>
        <w:spacing w:after="0" w:line="240" w:lineRule="auto"/>
        <w:ind w:left="4248"/>
        <w:jc w:val="both"/>
        <w:rPr>
          <w:rFonts w:ascii="Verdana" w:eastAsia="Calibri" w:hAnsi="Verdana" w:cs="Arial"/>
          <w:color w:val="000000"/>
          <w:lang w:val="es-MX"/>
        </w:rPr>
      </w:pPr>
    </w:p>
    <w:p w14:paraId="11931394" w14:textId="4014FA34" w:rsidR="008464C7" w:rsidRDefault="008464C7" w:rsidP="008464C7">
      <w:pPr>
        <w:spacing w:after="0" w:line="240" w:lineRule="auto"/>
        <w:jc w:val="right"/>
        <w:rPr>
          <w:rFonts w:ascii="Verdana" w:eastAsia="Calibri" w:hAnsi="Verdana" w:cs="Arial"/>
          <w:color w:val="000000"/>
          <w:lang w:val="es-ES"/>
        </w:rPr>
      </w:pPr>
    </w:p>
    <w:p w14:paraId="2F6FCC98" w14:textId="0A4EC3C3" w:rsidR="0066632B" w:rsidRPr="003D2754" w:rsidRDefault="002C5AC4" w:rsidP="0066632B">
      <w:pPr>
        <w:spacing w:after="0" w:line="240" w:lineRule="auto"/>
        <w:jc w:val="both"/>
        <w:rPr>
          <w:rFonts w:ascii="Verdana" w:eastAsia="Calibri" w:hAnsi="Verdana" w:cs="Arial"/>
          <w:lang w:eastAsia="es-ES"/>
        </w:rPr>
      </w:pPr>
      <w:r w:rsidRPr="00555B36">
        <w:rPr>
          <w:rFonts w:ascii="Verdana" w:eastAsia="Calibri" w:hAnsi="Verdana" w:cs="Arial"/>
          <w:noProof/>
          <w:color w:val="000000"/>
          <w:lang w:val="es-MX"/>
        </w:rPr>
        <w:drawing>
          <wp:anchor distT="0" distB="0" distL="114300" distR="114300" simplePos="0" relativeHeight="251658240" behindDoc="0" locked="0" layoutInCell="1" allowOverlap="1" wp14:anchorId="64A1A9F8" wp14:editId="020D91A3">
            <wp:simplePos x="0" y="0"/>
            <wp:positionH relativeFrom="column">
              <wp:posOffset>3034665</wp:posOffset>
            </wp:positionH>
            <wp:positionV relativeFrom="paragraph">
              <wp:posOffset>7620</wp:posOffset>
            </wp:positionV>
            <wp:extent cx="2679700" cy="937260"/>
            <wp:effectExtent l="0" t="0" r="6350" b="0"/>
            <wp:wrapSquare wrapText="bothSides"/>
            <wp:docPr id="100942298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9422984" name=""/>
                    <pic:cNvPicPr/>
                  </pic:nvPicPr>
                  <pic:blipFill>
                    <a:blip r:embed="rId10">
                      <a:extLst>
                        <a:ext uri="{28A0092B-C50C-407E-A947-70E740481C1C}">
                          <a14:useLocalDpi xmlns:a14="http://schemas.microsoft.com/office/drawing/2010/main" val="0"/>
                        </a:ext>
                      </a:extLst>
                    </a:blip>
                    <a:stretch>
                      <a:fillRect/>
                    </a:stretch>
                  </pic:blipFill>
                  <pic:spPr>
                    <a:xfrm>
                      <a:off x="0" y="0"/>
                      <a:ext cx="2679700" cy="937260"/>
                    </a:xfrm>
                    <a:prstGeom prst="rect">
                      <a:avLst/>
                    </a:prstGeom>
                  </pic:spPr>
                </pic:pic>
              </a:graphicData>
            </a:graphic>
            <wp14:sizeRelH relativeFrom="margin">
              <wp14:pctWidth>0</wp14:pctWidth>
            </wp14:sizeRelH>
            <wp14:sizeRelV relativeFrom="margin">
              <wp14:pctHeight>0</wp14:pctHeight>
            </wp14:sizeRelV>
          </wp:anchor>
        </w:drawing>
      </w:r>
      <w:r w:rsidR="0002413A" w:rsidRPr="003D2754">
        <w:rPr>
          <w:rFonts w:ascii="Verdana" w:eastAsia="Calibri" w:hAnsi="Verdana" w:cs="Arial"/>
          <w:lang w:eastAsia="es-ES"/>
        </w:rPr>
        <w:t>Doctor</w:t>
      </w:r>
    </w:p>
    <w:p w14:paraId="6F08B1F8" w14:textId="14CA36AA" w:rsidR="0066632B" w:rsidRPr="003D2754" w:rsidRDefault="0002413A" w:rsidP="0066632B">
      <w:pPr>
        <w:spacing w:after="0" w:line="240" w:lineRule="auto"/>
        <w:rPr>
          <w:rFonts w:ascii="Verdana" w:eastAsia="Calibri" w:hAnsi="Verdana" w:cs="Arial"/>
          <w:b/>
          <w:lang w:eastAsia="es-ES"/>
        </w:rPr>
      </w:pPr>
      <w:r w:rsidRPr="003D2754">
        <w:rPr>
          <w:rFonts w:ascii="Verdana" w:eastAsia="Calibri" w:hAnsi="Verdana" w:cs="Arial"/>
          <w:b/>
          <w:lang w:eastAsia="es-ES"/>
        </w:rPr>
        <w:t>Christian Javier Andrade</w:t>
      </w:r>
      <w:r w:rsidR="003D2754" w:rsidRPr="003D2754">
        <w:rPr>
          <w:rFonts w:ascii="Verdana" w:eastAsia="Calibri" w:hAnsi="Verdana" w:cs="Arial"/>
          <w:b/>
          <w:lang w:eastAsia="es-ES"/>
        </w:rPr>
        <w:t xml:space="preserve"> So</w:t>
      </w:r>
      <w:r w:rsidR="003D2754">
        <w:rPr>
          <w:rFonts w:ascii="Verdana" w:eastAsia="Calibri" w:hAnsi="Verdana" w:cs="Arial"/>
          <w:b/>
          <w:lang w:eastAsia="es-ES"/>
        </w:rPr>
        <w:t>riano</w:t>
      </w:r>
    </w:p>
    <w:p w14:paraId="11209515" w14:textId="0A69C148" w:rsidR="0002413A" w:rsidRPr="003D2754" w:rsidRDefault="0002413A" w:rsidP="0066632B">
      <w:pPr>
        <w:spacing w:after="0" w:line="240" w:lineRule="auto"/>
        <w:rPr>
          <w:rFonts w:ascii="Verdana" w:eastAsia="Calibri" w:hAnsi="Verdana" w:cs="Arial"/>
          <w:bCs/>
          <w:lang w:eastAsia="es-ES"/>
        </w:rPr>
      </w:pPr>
      <w:r w:rsidRPr="003D2754">
        <w:rPr>
          <w:rFonts w:ascii="Verdana" w:eastAsia="Calibri" w:hAnsi="Verdana" w:cs="Arial"/>
          <w:bCs/>
          <w:lang w:eastAsia="es-ES"/>
        </w:rPr>
        <w:t>Personer</w:t>
      </w:r>
      <w:r w:rsidR="003D2754">
        <w:rPr>
          <w:rFonts w:ascii="Verdana" w:eastAsia="Calibri" w:hAnsi="Verdana" w:cs="Arial"/>
          <w:bCs/>
          <w:lang w:eastAsia="es-ES"/>
        </w:rPr>
        <w:t>o</w:t>
      </w:r>
      <w:r w:rsidRPr="003D2754">
        <w:rPr>
          <w:rFonts w:ascii="Verdana" w:eastAsia="Calibri" w:hAnsi="Verdana" w:cs="Arial"/>
          <w:bCs/>
          <w:lang w:eastAsia="es-ES"/>
        </w:rPr>
        <w:t xml:space="preserve"> Municipal de Baraya-Huila</w:t>
      </w:r>
    </w:p>
    <w:p w14:paraId="3BA058C3" w14:textId="4F5D42C8" w:rsidR="0066632B" w:rsidRPr="0002413A" w:rsidRDefault="003D2754" w:rsidP="0066632B">
      <w:pPr>
        <w:spacing w:after="0" w:line="240" w:lineRule="auto"/>
        <w:rPr>
          <w:rFonts w:ascii="Verdana" w:eastAsia="Calibri" w:hAnsi="Verdana" w:cs="Arial"/>
          <w:lang w:eastAsia="es-ES"/>
        </w:rPr>
      </w:pPr>
      <w:hyperlink r:id="rId11" w:history="1">
        <w:r w:rsidRPr="00904C6E">
          <w:rPr>
            <w:rStyle w:val="Hipervnculo"/>
            <w:rFonts w:ascii="Verdana" w:hAnsi="Verdana"/>
          </w:rPr>
          <w:t>personeriabaraya@baraya-huila.gov.co</w:t>
        </w:r>
      </w:hyperlink>
      <w:r>
        <w:rPr>
          <w:rFonts w:ascii="Verdana" w:hAnsi="Verdana"/>
        </w:rPr>
        <w:t xml:space="preserve">; </w:t>
      </w:r>
      <w:r w:rsidR="0066632B" w:rsidRPr="0002413A">
        <w:rPr>
          <w:rFonts w:ascii="Verdana" w:eastAsia="Calibri" w:hAnsi="Verdana" w:cs="Arial"/>
          <w:lang w:eastAsia="es-ES"/>
        </w:rPr>
        <w:t xml:space="preserve">  </w:t>
      </w:r>
    </w:p>
    <w:p w14:paraId="117A1506" w14:textId="2E618B3C" w:rsidR="0066632B" w:rsidRDefault="003D2754" w:rsidP="0066632B">
      <w:pPr>
        <w:spacing w:after="0" w:line="240" w:lineRule="auto"/>
        <w:rPr>
          <w:rFonts w:ascii="Verdana" w:eastAsia="Calibri" w:hAnsi="Verdana" w:cs="Arial"/>
          <w:lang w:val="es-ES" w:eastAsia="es-ES"/>
        </w:rPr>
      </w:pPr>
      <w:r>
        <w:rPr>
          <w:rFonts w:ascii="Verdana" w:eastAsia="Calibri" w:hAnsi="Verdana" w:cs="Arial"/>
          <w:lang w:val="es-ES" w:eastAsia="es-ES"/>
        </w:rPr>
        <w:t>Baraya-Huila</w:t>
      </w:r>
    </w:p>
    <w:p w14:paraId="1385350A" w14:textId="687D9E99" w:rsidR="0066632B" w:rsidRPr="00593A5F" w:rsidRDefault="0066632B" w:rsidP="0066632B">
      <w:pPr>
        <w:spacing w:after="0" w:line="240" w:lineRule="auto"/>
        <w:rPr>
          <w:rFonts w:ascii="Verdana" w:eastAsia="Calibri" w:hAnsi="Verdana" w:cs="Arial"/>
          <w:b/>
          <w:bCs/>
          <w:color w:val="000000"/>
          <w:lang w:val="es-ES_tradnl" w:eastAsia="es-ES_tradnl"/>
        </w:rPr>
      </w:pPr>
    </w:p>
    <w:p w14:paraId="78507A66" w14:textId="77777777" w:rsidR="0066632B" w:rsidRPr="00593A5F" w:rsidRDefault="0066632B" w:rsidP="0066632B">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66632B" w:rsidRPr="00593A5F" w14:paraId="2293B12E" w14:textId="77777777" w:rsidTr="00024F5A">
        <w:trPr>
          <w:trHeight w:val="884"/>
        </w:trPr>
        <w:tc>
          <w:tcPr>
            <w:tcW w:w="2689" w:type="dxa"/>
          </w:tcPr>
          <w:p w14:paraId="42749CFB" w14:textId="77777777" w:rsidR="0066632B" w:rsidRPr="00C00976" w:rsidRDefault="0066632B" w:rsidP="00024F5A">
            <w:pPr>
              <w:jc w:val="both"/>
              <w:rPr>
                <w:rFonts w:ascii="Verdana" w:eastAsia="Calibri" w:hAnsi="Verdana" w:cs="Arial"/>
                <w:b/>
                <w:bCs/>
                <w:color w:val="7030A0"/>
                <w:lang w:val="es-ES_tradnl" w:eastAsia="es-ES_tradnl"/>
              </w:rPr>
            </w:pPr>
          </w:p>
        </w:tc>
        <w:tc>
          <w:tcPr>
            <w:tcW w:w="6100" w:type="dxa"/>
          </w:tcPr>
          <w:p w14:paraId="0EB721AD" w14:textId="2A38D933" w:rsidR="0066632B" w:rsidRPr="00C00976" w:rsidRDefault="0066632B" w:rsidP="00024F5A">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Concepto C–</w:t>
            </w:r>
            <w:r w:rsidR="0002413A">
              <w:rPr>
                <w:rFonts w:ascii="Verdana" w:eastAsia="Calibri" w:hAnsi="Verdana" w:cs="Arial"/>
                <w:b/>
                <w:bCs/>
                <w:lang w:val="es-ES" w:eastAsia="es-ES"/>
              </w:rPr>
              <w:t>105</w:t>
            </w:r>
            <w:r>
              <w:rPr>
                <w:rFonts w:ascii="Verdana" w:eastAsia="Calibri" w:hAnsi="Verdana" w:cs="Arial"/>
                <w:b/>
                <w:bCs/>
                <w:lang w:val="es-ES" w:eastAsia="es-ES"/>
              </w:rPr>
              <w:t xml:space="preserve"> </w:t>
            </w:r>
            <w:r w:rsidRPr="008E6AD9">
              <w:rPr>
                <w:rFonts w:ascii="Verdana" w:eastAsia="Calibri" w:hAnsi="Verdana" w:cs="Arial"/>
                <w:b/>
                <w:bCs/>
                <w:lang w:val="es-ES" w:eastAsia="es-ES"/>
              </w:rPr>
              <w:t>de 202</w:t>
            </w:r>
            <w:r>
              <w:rPr>
                <w:rFonts w:ascii="Verdana" w:eastAsia="Calibri" w:hAnsi="Verdana" w:cs="Arial"/>
                <w:b/>
                <w:bCs/>
                <w:lang w:val="es-ES" w:eastAsia="es-ES"/>
              </w:rPr>
              <w:t>6</w:t>
            </w:r>
          </w:p>
        </w:tc>
      </w:tr>
      <w:tr w:rsidR="0066632B" w:rsidRPr="00593A5F" w14:paraId="3783153F" w14:textId="77777777" w:rsidTr="00024F5A">
        <w:trPr>
          <w:trHeight w:val="884"/>
        </w:trPr>
        <w:tc>
          <w:tcPr>
            <w:tcW w:w="2689" w:type="dxa"/>
          </w:tcPr>
          <w:p w14:paraId="1701088E" w14:textId="77777777" w:rsidR="0066632B" w:rsidRPr="00593A5F" w:rsidRDefault="0066632B" w:rsidP="00024F5A">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1DB1F712" w14:textId="2BD08BFA" w:rsidR="0066632B" w:rsidRPr="00A11406" w:rsidRDefault="0066632B" w:rsidP="00024F5A">
            <w:pPr>
              <w:spacing w:line="276" w:lineRule="auto"/>
              <w:jc w:val="both"/>
              <w:rPr>
                <w:rFonts w:ascii="Verdana" w:eastAsia="Calibri" w:hAnsi="Verdana" w:cs="Arial"/>
                <w:lang w:val="es-ES" w:eastAsia="es-ES"/>
              </w:rPr>
            </w:pPr>
            <w:r w:rsidRPr="00784FB9">
              <w:rPr>
                <w:rFonts w:ascii="Verdana" w:eastAsia="Calibri" w:hAnsi="Verdana" w:cs="Arial"/>
                <w:lang w:val="es-ES" w:eastAsia="es-ES"/>
              </w:rPr>
              <w:t xml:space="preserve">LEY DE GARANTÍAS ELECTORALES ‒ Finalidad / LEY DE GARANTÍAS ELECTORALES ‒ Tipos de restricciones ‒ Ámbito temporal – celebración- límite / LEY DE GARANTÍAS ELECTORALES – Prohibición artículo 33 – Contratación directa – Alcance / LEY DE GARANTÍAS ELECTORALES – </w:t>
            </w:r>
            <w:r w:rsidR="00784FB9" w:rsidRPr="00784FB9">
              <w:rPr>
                <w:rFonts w:ascii="Verdana" w:eastAsia="Calibri" w:hAnsi="Verdana" w:cs="Arial"/>
                <w:lang w:val="es-ES" w:eastAsia="es-ES"/>
              </w:rPr>
              <w:t>procesos competitivos</w:t>
            </w:r>
          </w:p>
          <w:p w14:paraId="4F602BF4" w14:textId="77777777" w:rsidR="0066632B" w:rsidRPr="00593A5F" w:rsidRDefault="0066632B" w:rsidP="00024F5A">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66632B" w:rsidRPr="008E6AD9" w14:paraId="6552B2D6" w14:textId="77777777" w:rsidTr="00024F5A">
        <w:tc>
          <w:tcPr>
            <w:tcW w:w="2689" w:type="dxa"/>
          </w:tcPr>
          <w:p w14:paraId="3AD2D10D" w14:textId="77777777" w:rsidR="0066632B" w:rsidRPr="008E6AD9" w:rsidRDefault="0066632B" w:rsidP="00024F5A">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44AABE48" w14:textId="7F14F384" w:rsidR="0066632B" w:rsidRPr="00B92340" w:rsidRDefault="0066632B" w:rsidP="00024F5A">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w:t>
            </w:r>
            <w:r>
              <w:rPr>
                <w:rFonts w:ascii="Verdana" w:eastAsia="Calibri" w:hAnsi="Verdana" w:cs="Arial"/>
                <w:lang w:val="es-ES_tradnl" w:eastAsia="es-ES_tradnl"/>
              </w:rPr>
              <w:t xml:space="preserve"> </w:t>
            </w:r>
            <w:r w:rsidRPr="008E6AD9">
              <w:rPr>
                <w:rFonts w:ascii="Verdana" w:eastAsia="Calibri" w:hAnsi="Verdana" w:cs="Arial"/>
                <w:lang w:val="es-ES_tradnl" w:eastAsia="es-ES_tradnl"/>
              </w:rPr>
              <w:t>No.</w:t>
            </w:r>
            <w:r>
              <w:rPr>
                <w:rFonts w:ascii="Verdana" w:eastAsia="Calibri" w:hAnsi="Verdana" w:cs="Arial"/>
                <w:lang w:val="es-ES_tradnl" w:eastAsia="es-ES_tradnl"/>
              </w:rPr>
              <w:t xml:space="preserve"> </w:t>
            </w:r>
            <w:r w:rsidR="003D2754" w:rsidRPr="003D2754">
              <w:rPr>
                <w:rFonts w:ascii="Verdana" w:eastAsia="Calibri" w:hAnsi="Verdana" w:cs="Arial"/>
                <w:lang w:val="es-ES_tradnl" w:eastAsia="es-ES_tradnl"/>
              </w:rPr>
              <w:t>1_2026_01_27_000844</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30A39E0D" w14:textId="77777777" w:rsidR="0066632B" w:rsidRPr="00593A5F" w:rsidRDefault="0066632B" w:rsidP="0066632B">
      <w:pPr>
        <w:spacing w:after="0" w:line="240" w:lineRule="auto"/>
        <w:jc w:val="both"/>
        <w:rPr>
          <w:rFonts w:ascii="Verdana" w:eastAsia="Calibri" w:hAnsi="Verdana" w:cs="Arial"/>
          <w:color w:val="000000"/>
          <w:lang w:val="es-ES_tradnl" w:eastAsia="es-ES_tradnl"/>
        </w:rPr>
      </w:pPr>
    </w:p>
    <w:p w14:paraId="0FF31831" w14:textId="77777777" w:rsidR="0066632B" w:rsidRPr="00593A5F" w:rsidRDefault="0066632B" w:rsidP="0066632B">
      <w:pPr>
        <w:spacing w:after="0" w:line="240" w:lineRule="auto"/>
        <w:jc w:val="both"/>
        <w:rPr>
          <w:rFonts w:ascii="Verdana" w:eastAsia="Calibri" w:hAnsi="Verdana" w:cs="Arial"/>
          <w:color w:val="000000"/>
          <w:lang w:val="es-ES_tradnl" w:eastAsia="es-ES_tradnl"/>
        </w:rPr>
      </w:pPr>
    </w:p>
    <w:p w14:paraId="7BF3BD81" w14:textId="7CBFDCF9" w:rsidR="0066632B" w:rsidRPr="008E6AD9" w:rsidRDefault="0066632B" w:rsidP="0066632B">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sidR="003D2754">
        <w:rPr>
          <w:rFonts w:ascii="Verdana" w:eastAsia="Calibri" w:hAnsi="Verdana" w:cs="Arial"/>
          <w:lang w:val="es-ES" w:eastAsia="es-ES"/>
        </w:rPr>
        <w:t>o</w:t>
      </w:r>
      <w:r w:rsidRPr="008E6AD9">
        <w:rPr>
          <w:rFonts w:ascii="Verdana" w:eastAsia="Calibri" w:hAnsi="Verdana" w:cs="Arial"/>
          <w:lang w:val="es-ES" w:eastAsia="es-ES"/>
        </w:rPr>
        <w:t xml:space="preserve"> </w:t>
      </w:r>
      <w:r w:rsidR="003D2754">
        <w:rPr>
          <w:rFonts w:ascii="Verdana" w:eastAsia="Calibri" w:hAnsi="Verdana" w:cs="Arial"/>
          <w:lang w:val="es-ES" w:eastAsia="es-ES"/>
        </w:rPr>
        <w:t>Doctor</w:t>
      </w:r>
      <w:r>
        <w:rPr>
          <w:rFonts w:ascii="Verdana" w:eastAsia="Calibri" w:hAnsi="Verdana" w:cs="Arial"/>
          <w:lang w:val="es-ES" w:eastAsia="es-ES"/>
        </w:rPr>
        <w:t xml:space="preserve"> </w:t>
      </w:r>
      <w:r w:rsidR="003D2754">
        <w:rPr>
          <w:rFonts w:ascii="Verdana" w:eastAsia="Calibri" w:hAnsi="Verdana" w:cs="Arial"/>
          <w:lang w:val="es-ES" w:eastAsia="es-ES"/>
        </w:rPr>
        <w:t>Andrade</w:t>
      </w:r>
      <w:r w:rsidRPr="008E6AD9">
        <w:rPr>
          <w:rFonts w:ascii="Verdana" w:eastAsia="Calibri" w:hAnsi="Verdana" w:cs="Arial"/>
          <w:lang w:val="es-ES" w:eastAsia="es-ES"/>
        </w:rPr>
        <w:t xml:space="preserve">: </w:t>
      </w:r>
    </w:p>
    <w:p w14:paraId="50B9F66C" w14:textId="77777777" w:rsidR="0066632B" w:rsidRDefault="0066632B" w:rsidP="0066632B">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7C13443E" w14:textId="2915ED15" w:rsidR="0066632B" w:rsidRDefault="003D2754" w:rsidP="0066632B">
      <w:pPr>
        <w:pStyle w:val="Prrafodelista"/>
        <w:tabs>
          <w:tab w:val="left" w:pos="142"/>
          <w:tab w:val="left" w:pos="284"/>
        </w:tabs>
        <w:spacing w:after="0" w:line="276" w:lineRule="auto"/>
        <w:ind w:left="0"/>
        <w:jc w:val="both"/>
        <w:rPr>
          <w:rFonts w:ascii="Verdana" w:eastAsia="Calibri" w:hAnsi="Verdana" w:cs="Arial"/>
        </w:rPr>
      </w:pPr>
      <w:r w:rsidRPr="00E959BB">
        <w:rPr>
          <w:rFonts w:ascii="Verdana" w:eastAsia="Calibri" w:hAnsi="Verdana" w:cs="Arial"/>
        </w:rPr>
        <w:t xml:space="preserve">En ejercicio de la competencia otorgada por los artículos 3, numeral 5º, y 11, numeral 8º, del Decreto Ley 4170 de 2011, así como lo establecido en la Resolución </w:t>
      </w:r>
      <w:r w:rsidRPr="00E959BB">
        <w:rPr>
          <w:rFonts w:ascii="Verdana" w:hAnsi="Verdana" w:cs="Arial"/>
        </w:rPr>
        <w:t xml:space="preserve">469 de 2025 </w:t>
      </w:r>
      <w:r w:rsidRPr="00E959BB">
        <w:rPr>
          <w:rFonts w:ascii="Verdana" w:eastAsia="Calibri" w:hAnsi="Verdana" w:cs="Arial"/>
        </w:rPr>
        <w:t xml:space="preserve">expedida por esta Entidad, la Agencia Nacional de Contratación Pública – Colombia Compra Eficiente– responde su solicitud de consulta de fecha </w:t>
      </w:r>
      <w:r>
        <w:rPr>
          <w:rFonts w:ascii="Verdana" w:eastAsia="Calibri" w:hAnsi="Verdana" w:cs="Arial"/>
        </w:rPr>
        <w:t>27</w:t>
      </w:r>
      <w:r w:rsidRPr="00E959BB">
        <w:rPr>
          <w:rFonts w:ascii="Verdana" w:eastAsia="Calibri" w:hAnsi="Verdana" w:cs="Arial"/>
        </w:rPr>
        <w:t xml:space="preserve"> de enero de 2026, en la cual manifiesta lo siguiente</w:t>
      </w:r>
      <w:r>
        <w:rPr>
          <w:rFonts w:ascii="Verdana" w:eastAsia="Calibri" w:hAnsi="Verdana" w:cs="Arial"/>
        </w:rPr>
        <w:t xml:space="preserve">: </w:t>
      </w:r>
    </w:p>
    <w:p w14:paraId="449DA1E5" w14:textId="77777777" w:rsidR="003D2754" w:rsidRPr="00272A7B" w:rsidRDefault="003D2754" w:rsidP="0066632B">
      <w:pPr>
        <w:pStyle w:val="Prrafodelista"/>
        <w:tabs>
          <w:tab w:val="left" w:pos="142"/>
          <w:tab w:val="left" w:pos="284"/>
        </w:tabs>
        <w:spacing w:after="0" w:line="276" w:lineRule="auto"/>
        <w:ind w:left="0"/>
        <w:jc w:val="both"/>
        <w:rPr>
          <w:rFonts w:ascii="Verdana" w:eastAsia="Century Gothic" w:hAnsi="Verdana" w:cs="Century Gothic"/>
          <w:b/>
          <w:bCs/>
        </w:rPr>
      </w:pPr>
    </w:p>
    <w:p w14:paraId="77099088" w14:textId="3AC4AE5C" w:rsidR="003D2754" w:rsidRPr="003D2754" w:rsidRDefault="003D2754" w:rsidP="003D2754">
      <w:pPr>
        <w:spacing w:after="120" w:line="240" w:lineRule="auto"/>
        <w:ind w:left="709" w:right="709"/>
        <w:jc w:val="both"/>
        <w:rPr>
          <w:rFonts w:ascii="Verdana" w:eastAsia="Century Gothic" w:hAnsi="Verdana" w:cs="Century Gothic"/>
          <w:sz w:val="20"/>
          <w:szCs w:val="20"/>
        </w:rPr>
      </w:pPr>
      <w:r>
        <w:rPr>
          <w:rFonts w:ascii="Verdana" w:eastAsia="Century Gothic" w:hAnsi="Verdana" w:cs="Century Gothic"/>
          <w:sz w:val="20"/>
          <w:szCs w:val="20"/>
          <w:lang w:val="es-ES"/>
        </w:rPr>
        <w:t>“</w:t>
      </w:r>
      <w:r w:rsidRPr="003D2754">
        <w:rPr>
          <w:rFonts w:ascii="Verdana" w:eastAsia="Century Gothic" w:hAnsi="Verdana" w:cs="Century Gothic"/>
          <w:sz w:val="20"/>
          <w:szCs w:val="20"/>
        </w:rPr>
        <w:t xml:space="preserve">La Personería Municipal de Baraya (Huila) es una entidad que, por su naturaleza y tamaño, realiza un número reducido de contratos, aproximadamente cinco (5) contratos en total durante el año. </w:t>
      </w:r>
    </w:p>
    <w:p w14:paraId="44FA96EF" w14:textId="77777777" w:rsidR="003D2754" w:rsidRPr="003D2754" w:rsidRDefault="003D2754" w:rsidP="003D2754">
      <w:pPr>
        <w:spacing w:after="120" w:line="240" w:lineRule="auto"/>
        <w:ind w:left="709" w:right="709"/>
        <w:jc w:val="both"/>
        <w:rPr>
          <w:rFonts w:ascii="Verdana" w:eastAsia="Century Gothic" w:hAnsi="Verdana" w:cs="Century Gothic"/>
          <w:sz w:val="20"/>
          <w:szCs w:val="20"/>
        </w:rPr>
      </w:pPr>
      <w:r w:rsidRPr="003D2754">
        <w:rPr>
          <w:rFonts w:ascii="Verdana" w:eastAsia="Century Gothic" w:hAnsi="Verdana" w:cs="Century Gothic"/>
          <w:sz w:val="20"/>
          <w:szCs w:val="20"/>
        </w:rPr>
        <w:t xml:space="preserve">En este sentido, quisiera confirmar si, para la vigencia actual y específicamente durante el mes de febrero, la Personería Municipal se encuentra obligada a abstenerse de celebrar nuevos contratos en virtud </w:t>
      </w:r>
      <w:r w:rsidRPr="003D2754">
        <w:rPr>
          <w:rFonts w:ascii="Verdana" w:eastAsia="Century Gothic" w:hAnsi="Verdana" w:cs="Century Gothic"/>
          <w:sz w:val="20"/>
          <w:szCs w:val="20"/>
        </w:rPr>
        <w:lastRenderedPageBreak/>
        <w:t xml:space="preserve">de la Ley de Garantías, o si es posible adelantar algunos procesos contractuales necesarios para el funcionamiento de la entidad. </w:t>
      </w:r>
    </w:p>
    <w:p w14:paraId="5C7D2D75" w14:textId="77777777" w:rsidR="003D2754" w:rsidRPr="003D2754" w:rsidRDefault="003D2754" w:rsidP="003D2754">
      <w:pPr>
        <w:spacing w:after="120" w:line="240" w:lineRule="auto"/>
        <w:ind w:left="709" w:right="709"/>
        <w:jc w:val="both"/>
        <w:rPr>
          <w:rFonts w:ascii="Verdana" w:eastAsia="Century Gothic" w:hAnsi="Verdana" w:cs="Century Gothic"/>
          <w:sz w:val="20"/>
          <w:szCs w:val="20"/>
        </w:rPr>
      </w:pPr>
      <w:r w:rsidRPr="003D2754">
        <w:rPr>
          <w:rFonts w:ascii="Verdana" w:eastAsia="Century Gothic" w:hAnsi="Verdana" w:cs="Century Gothic"/>
          <w:sz w:val="20"/>
          <w:szCs w:val="20"/>
        </w:rPr>
        <w:t xml:space="preserve">En particular, se tiene previsto celebrar: </w:t>
      </w:r>
    </w:p>
    <w:p w14:paraId="16D5E044" w14:textId="77777777" w:rsidR="003D2754" w:rsidRDefault="003D2754" w:rsidP="003D2754">
      <w:pPr>
        <w:pStyle w:val="Prrafodelista"/>
        <w:numPr>
          <w:ilvl w:val="0"/>
          <w:numId w:val="18"/>
        </w:numPr>
        <w:spacing w:after="120" w:line="240" w:lineRule="auto"/>
        <w:ind w:right="709"/>
        <w:jc w:val="both"/>
        <w:rPr>
          <w:rFonts w:ascii="Verdana" w:eastAsia="Century Gothic" w:hAnsi="Verdana" w:cs="Century Gothic"/>
          <w:sz w:val="20"/>
          <w:szCs w:val="20"/>
        </w:rPr>
      </w:pPr>
      <w:r w:rsidRPr="003D2754">
        <w:rPr>
          <w:rFonts w:ascii="Verdana" w:eastAsia="Century Gothic" w:hAnsi="Verdana" w:cs="Century Gothic"/>
          <w:sz w:val="20"/>
          <w:szCs w:val="20"/>
        </w:rPr>
        <w:t xml:space="preserve">Un contrato de suministro para el funcionamiento de la oficina. </w:t>
      </w:r>
    </w:p>
    <w:p w14:paraId="158F755B" w14:textId="60181476" w:rsidR="003D2754" w:rsidRPr="003D2754" w:rsidRDefault="003D2754" w:rsidP="003D2754">
      <w:pPr>
        <w:pStyle w:val="Prrafodelista"/>
        <w:numPr>
          <w:ilvl w:val="0"/>
          <w:numId w:val="18"/>
        </w:numPr>
        <w:spacing w:after="120" w:line="240" w:lineRule="auto"/>
        <w:ind w:right="709"/>
        <w:jc w:val="both"/>
        <w:rPr>
          <w:rFonts w:ascii="Verdana" w:eastAsia="Century Gothic" w:hAnsi="Verdana" w:cs="Century Gothic"/>
          <w:sz w:val="20"/>
          <w:szCs w:val="20"/>
        </w:rPr>
      </w:pPr>
      <w:r w:rsidRPr="003D2754">
        <w:rPr>
          <w:rFonts w:ascii="Verdana" w:eastAsia="Century Gothic" w:hAnsi="Verdana" w:cs="Century Gothic"/>
          <w:sz w:val="20"/>
          <w:szCs w:val="20"/>
        </w:rPr>
        <w:t xml:space="preserve">Un contrato de apoyo jurídico para la Personería Municipal </w:t>
      </w:r>
    </w:p>
    <w:p w14:paraId="20F7DA08" w14:textId="77777777" w:rsidR="0066632B" w:rsidRPr="008E6AD9" w:rsidRDefault="0066632B" w:rsidP="0066632B">
      <w:pPr>
        <w:pStyle w:val="Prrafodelista"/>
        <w:tabs>
          <w:tab w:val="left" w:pos="142"/>
          <w:tab w:val="left" w:pos="284"/>
        </w:tabs>
        <w:spacing w:after="0" w:line="276" w:lineRule="auto"/>
        <w:ind w:left="0"/>
        <w:jc w:val="both"/>
        <w:rPr>
          <w:rFonts w:ascii="Verdana" w:eastAsia="Century Gothic" w:hAnsi="Verdana" w:cs="Century Gothic"/>
          <w:b/>
          <w:bCs/>
        </w:rPr>
      </w:pPr>
    </w:p>
    <w:p w14:paraId="5F742B30" w14:textId="77777777" w:rsidR="0066632B" w:rsidRPr="00A652FF" w:rsidRDefault="0066632B" w:rsidP="0066632B">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06A9B8D1" w14:textId="77777777" w:rsidR="0066632B" w:rsidRPr="00423BE7" w:rsidRDefault="0066632B" w:rsidP="0066632B">
      <w:pPr>
        <w:spacing w:after="0" w:line="276" w:lineRule="auto"/>
        <w:ind w:firstLine="708"/>
        <w:jc w:val="both"/>
        <w:rPr>
          <w:rFonts w:ascii="Verdana" w:eastAsia="Calibri" w:hAnsi="Verdana" w:cs="Arial"/>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sidRPr="000B43B3">
        <w:rPr>
          <w:rFonts w:ascii="Verdana" w:eastAsia="Calibri" w:hAnsi="Verdana" w:cs="Arial"/>
          <w:lang w:val="es-ES" w:eastAsia="es-ES"/>
        </w:rPr>
        <w:t xml:space="preserve"> </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3823DE60" w14:textId="77777777" w:rsidR="0066632B" w:rsidRPr="00593A5F" w:rsidRDefault="0066632B" w:rsidP="0066632B">
      <w:pPr>
        <w:spacing w:after="0" w:line="276" w:lineRule="auto"/>
        <w:ind w:firstLine="709"/>
        <w:jc w:val="both"/>
        <w:rPr>
          <w:rFonts w:ascii="Verdana" w:eastAsia="Calibri" w:hAnsi="Verdana" w:cs="Arial"/>
          <w:color w:val="000000"/>
          <w:lang w:val="es-ES" w:eastAsia="es-ES"/>
        </w:rPr>
      </w:pPr>
    </w:p>
    <w:p w14:paraId="5316E868" w14:textId="77777777" w:rsidR="0066632B" w:rsidRPr="00593A5F" w:rsidRDefault="0066632B" w:rsidP="0066632B">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30DECE53" w14:textId="77777777" w:rsidR="0066632B" w:rsidRPr="00593A5F" w:rsidRDefault="0066632B" w:rsidP="0066632B">
      <w:pPr>
        <w:tabs>
          <w:tab w:val="left" w:pos="426"/>
        </w:tabs>
        <w:spacing w:after="0" w:line="276" w:lineRule="auto"/>
        <w:jc w:val="both"/>
        <w:rPr>
          <w:rFonts w:ascii="Verdana" w:eastAsia="Century Gothic" w:hAnsi="Verdana" w:cs="Century Gothic"/>
          <w:lang w:val="es-ES"/>
        </w:rPr>
      </w:pPr>
    </w:p>
    <w:p w14:paraId="6E9E193F" w14:textId="62A0E0CE" w:rsidR="0066632B" w:rsidRPr="00593A5F" w:rsidRDefault="0066632B" w:rsidP="0066632B">
      <w:pPr>
        <w:spacing w:after="0" w:line="276" w:lineRule="auto"/>
        <w:jc w:val="both"/>
        <w:rPr>
          <w:rFonts w:ascii="Verdana" w:eastAsia="Century Gothic" w:hAnsi="Verdana" w:cs="Century Gothic"/>
        </w:rPr>
      </w:pPr>
      <w:r w:rsidRPr="00EF1386">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r w:rsidRPr="00784FB9">
        <w:rPr>
          <w:rFonts w:ascii="Verdana" w:eastAsia="Century Gothic" w:hAnsi="Verdana" w:cs="Century Gothic"/>
        </w:rPr>
        <w:t xml:space="preserve">¿cuál en el ámbito de aplicación </w:t>
      </w:r>
      <w:r w:rsidR="00784FB9" w:rsidRPr="00784FB9">
        <w:rPr>
          <w:rFonts w:ascii="Verdana" w:eastAsia="Century Gothic" w:hAnsi="Verdana" w:cs="Century Gothic"/>
        </w:rPr>
        <w:t>a la</w:t>
      </w:r>
      <w:r w:rsidRPr="00784FB9">
        <w:rPr>
          <w:rFonts w:ascii="Verdana" w:eastAsia="Century Gothic" w:hAnsi="Verdana" w:cs="Century Gothic"/>
        </w:rPr>
        <w:t xml:space="preserve"> prohibición del artículo 33 de la Ley de Garantías en relación con </w:t>
      </w:r>
      <w:r w:rsidR="00784FB9" w:rsidRPr="00784FB9">
        <w:rPr>
          <w:rFonts w:ascii="Verdana" w:eastAsia="Century Gothic" w:hAnsi="Verdana" w:cs="Century Gothic"/>
        </w:rPr>
        <w:t>la actividad contractual de las entidades?</w:t>
      </w:r>
    </w:p>
    <w:p w14:paraId="423B7096" w14:textId="77777777" w:rsidR="0066632B" w:rsidRPr="004B140F" w:rsidRDefault="0066632B" w:rsidP="0066632B">
      <w:pPr>
        <w:spacing w:after="0" w:line="276" w:lineRule="auto"/>
        <w:jc w:val="both"/>
        <w:rPr>
          <w:rFonts w:ascii="Verdana" w:eastAsia="Calibri" w:hAnsi="Verdana" w:cs="Arial"/>
          <w:color w:val="7030A0"/>
        </w:rPr>
      </w:pPr>
    </w:p>
    <w:p w14:paraId="7D5AF724" w14:textId="77777777" w:rsidR="0066632B" w:rsidRPr="00593A5F" w:rsidRDefault="0066632B" w:rsidP="0066632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25C81950" w14:textId="77777777" w:rsidR="0066632B" w:rsidRPr="00593A5F" w:rsidRDefault="0066632B" w:rsidP="0066632B">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6632B" w:rsidRPr="00593A5F" w14:paraId="6576E0EA" w14:textId="77777777" w:rsidTr="00024F5A">
        <w:trPr>
          <w:jc w:val="center"/>
        </w:trPr>
        <w:tc>
          <w:tcPr>
            <w:tcW w:w="8828" w:type="dxa"/>
          </w:tcPr>
          <w:p w14:paraId="098C3372" w14:textId="77777777" w:rsidR="00753D32" w:rsidRPr="009F2739" w:rsidRDefault="00753D32" w:rsidP="00753D32">
            <w:pPr>
              <w:spacing w:after="120" w:line="276" w:lineRule="auto"/>
              <w:ind w:firstLine="709"/>
              <w:jc w:val="both"/>
              <w:rPr>
                <w:rFonts w:ascii="Verdana" w:eastAsia="Calibri" w:hAnsi="Verdana" w:cs="Arial"/>
                <w:bCs/>
                <w:lang w:eastAsia="es-ES_tradnl"/>
              </w:rPr>
            </w:pPr>
            <w:bookmarkStart w:id="0" w:name="_Hlk171694685"/>
            <w:r w:rsidRPr="009F2739">
              <w:rPr>
                <w:rFonts w:ascii="Verdana" w:eastAsia="Calibri" w:hAnsi="Verdana" w:cs="Arial"/>
                <w:bCs/>
                <w:lang w:eastAsia="es-ES_tradnl"/>
              </w:rPr>
              <w:t xml:space="preserve">De manera preliminar, resulta pertinente indicar que la Ley de Garantías Electorales (Ley 996 de 2005) establece restricciones en la contratación pública con el fin de asegurar la transparencia y la equidad del proceso </w:t>
            </w:r>
            <w:r w:rsidRPr="009F2739">
              <w:rPr>
                <w:rFonts w:ascii="Verdana" w:eastAsia="Calibri" w:hAnsi="Verdana" w:cs="Arial"/>
                <w:bCs/>
                <w:lang w:eastAsia="es-ES_tradnl"/>
              </w:rPr>
              <w:lastRenderedPageBreak/>
              <w:t xml:space="preserve">electoral. Específicamente, para las elecciones presidenciales, las restricciones a aplicar son las del artículo 33, el cual dispone que, dentro de los cuatro (4) meses anteriores a la elección presidencial —es decir, desde el 31 de enero de 2026— y hasta el momento de la elección del </w:t>
            </w:r>
            <w:proofErr w:type="gramStart"/>
            <w:r w:rsidRPr="009F2739">
              <w:rPr>
                <w:rFonts w:ascii="Verdana" w:eastAsia="Calibri" w:hAnsi="Verdana" w:cs="Arial"/>
                <w:bCs/>
                <w:lang w:eastAsia="es-ES_tradnl"/>
              </w:rPr>
              <w:t>Presidente</w:t>
            </w:r>
            <w:proofErr w:type="gramEnd"/>
            <w:r w:rsidRPr="009F2739">
              <w:rPr>
                <w:rFonts w:ascii="Verdana" w:eastAsia="Calibri" w:hAnsi="Verdana" w:cs="Arial"/>
                <w:bCs/>
                <w:lang w:eastAsia="es-ES_tradnl"/>
              </w:rPr>
              <w:t xml:space="preserve"> de la República, queda prohibida la contratación directa por parte de todos los entes del Estado.</w:t>
            </w:r>
          </w:p>
          <w:p w14:paraId="629E4985" w14:textId="77777777" w:rsidR="00753D32" w:rsidRDefault="00753D32" w:rsidP="00753D32">
            <w:pPr>
              <w:spacing w:after="120" w:line="276" w:lineRule="auto"/>
              <w:ind w:firstLine="709"/>
              <w:jc w:val="both"/>
              <w:rPr>
                <w:rFonts w:ascii="Verdana" w:eastAsia="Calibri" w:hAnsi="Verdana" w:cs="Arial"/>
                <w:bCs/>
                <w:lang w:eastAsia="es-ES_tradnl"/>
              </w:rPr>
            </w:pPr>
            <w:r w:rsidRPr="009F2739">
              <w:rPr>
                <w:rFonts w:ascii="Verdana" w:eastAsia="Calibri" w:hAnsi="Verdana" w:cs="Arial"/>
                <w:bCs/>
                <w:lang w:eastAsia="es-ES_tradnl"/>
              </w:rPr>
              <w:t xml:space="preserve">Esta prohibición del artículo 33 incluye de forma taxativa </w:t>
            </w:r>
            <w:r>
              <w:rPr>
                <w:rFonts w:ascii="Verdana" w:eastAsia="Calibri" w:hAnsi="Verdana" w:cs="Arial"/>
                <w:bCs/>
                <w:lang w:eastAsia="es-ES_tradnl"/>
              </w:rPr>
              <w:t>toda aquella contratación</w:t>
            </w:r>
            <w:r w:rsidRPr="009F2739">
              <w:rPr>
                <w:rFonts w:ascii="Verdana" w:eastAsia="Calibri" w:hAnsi="Verdana" w:cs="Arial"/>
                <w:bCs/>
                <w:lang w:eastAsia="es-ES_tradnl"/>
              </w:rPr>
              <w:t xml:space="preserve">, siempre </w:t>
            </w:r>
            <w:r>
              <w:rPr>
                <w:rFonts w:ascii="Verdana" w:eastAsia="Calibri" w:hAnsi="Verdana" w:cs="Arial"/>
                <w:bCs/>
                <w:lang w:eastAsia="es-ES_tradnl"/>
              </w:rPr>
              <w:t>y cuando se</w:t>
            </w:r>
            <w:r w:rsidRPr="009F2739">
              <w:rPr>
                <w:rFonts w:ascii="Verdana" w:eastAsia="Calibri" w:hAnsi="Verdana" w:cs="Arial"/>
                <w:bCs/>
                <w:lang w:eastAsia="es-ES_tradnl"/>
              </w:rPr>
              <w:t xml:space="preserve"> pretenda</w:t>
            </w:r>
            <w:r>
              <w:rPr>
                <w:rFonts w:ascii="Verdana" w:eastAsia="Calibri" w:hAnsi="Verdana" w:cs="Arial"/>
                <w:bCs/>
                <w:lang w:eastAsia="es-ES_tradnl"/>
              </w:rPr>
              <w:t xml:space="preserve"> estructurar y/o</w:t>
            </w:r>
            <w:r w:rsidRPr="009F2739">
              <w:rPr>
                <w:rFonts w:ascii="Verdana" w:eastAsia="Calibri" w:hAnsi="Verdana" w:cs="Arial"/>
                <w:bCs/>
                <w:lang w:eastAsia="es-ES_tradnl"/>
              </w:rPr>
              <w:t xml:space="preserve"> celebrar mediante la modalidad de contratación directa. Por lo tanto, para asegurar el normal funcionamiento de las entidad</w:t>
            </w:r>
            <w:r>
              <w:rPr>
                <w:rFonts w:ascii="Verdana" w:eastAsia="Calibri" w:hAnsi="Verdana" w:cs="Arial"/>
                <w:bCs/>
                <w:lang w:eastAsia="es-ES_tradnl"/>
              </w:rPr>
              <w:t>es</w:t>
            </w:r>
            <w:r w:rsidRPr="009F2739">
              <w:rPr>
                <w:rFonts w:ascii="Verdana" w:eastAsia="Calibri" w:hAnsi="Verdana" w:cs="Arial"/>
                <w:bCs/>
                <w:lang w:eastAsia="es-ES_tradnl"/>
              </w:rPr>
              <w:t xml:space="preserve"> pública</w:t>
            </w:r>
            <w:r>
              <w:rPr>
                <w:rFonts w:ascii="Verdana" w:eastAsia="Calibri" w:hAnsi="Verdana" w:cs="Arial"/>
                <w:bCs/>
                <w:lang w:eastAsia="es-ES_tradnl"/>
              </w:rPr>
              <w:t>s</w:t>
            </w:r>
            <w:r w:rsidRPr="009F2739">
              <w:rPr>
                <w:rFonts w:ascii="Verdana" w:eastAsia="Calibri" w:hAnsi="Verdana" w:cs="Arial"/>
                <w:bCs/>
                <w:lang w:eastAsia="es-ES_tradnl"/>
              </w:rPr>
              <w:t>, es imperativo que estos contratos sean debidamente planeados y formalizados antes del 31 de enero de 2026, garantizando así la continuidad administrativa durante el periodo en que rige la restricción.</w:t>
            </w:r>
          </w:p>
          <w:p w14:paraId="6D775A7D" w14:textId="77777777" w:rsidR="00753D32" w:rsidRDefault="00753D32" w:rsidP="00753D32">
            <w:pPr>
              <w:spacing w:after="120" w:line="276" w:lineRule="auto"/>
              <w:ind w:firstLine="709"/>
              <w:jc w:val="both"/>
              <w:rPr>
                <w:rFonts w:ascii="Verdana" w:eastAsia="Calibri" w:hAnsi="Verdana" w:cs="Arial"/>
                <w:bCs/>
                <w:lang w:eastAsia="es-ES_tradnl"/>
              </w:rPr>
            </w:pPr>
            <w:r w:rsidRPr="00D0480D">
              <w:rPr>
                <w:rFonts w:ascii="Verdana" w:eastAsia="Calibri" w:hAnsi="Verdana" w:cs="Arial"/>
                <w:bCs/>
                <w:lang w:eastAsia="es-ES_tradnl"/>
              </w:rPr>
              <w:t>En atención a su consulta y considerando lo expuesto anteriormente, la entidad deberá hacer uso de cualquiera de las modalidades y/o procesos competitivos para la contratación del suministro y/o la prestación de servicios, de acuerdo con su necesidad. Ello, en virtud de que, como se mencionó, la contratación directa se encuentra prohibida durante este período de restricción.</w:t>
            </w:r>
          </w:p>
          <w:p w14:paraId="16D77230" w14:textId="77777777" w:rsidR="00753D32" w:rsidRPr="009F2739" w:rsidRDefault="00753D32" w:rsidP="00753D32">
            <w:pPr>
              <w:spacing w:after="120" w:line="276" w:lineRule="auto"/>
              <w:ind w:firstLine="709"/>
              <w:jc w:val="both"/>
              <w:rPr>
                <w:rFonts w:ascii="Verdana" w:eastAsia="Calibri" w:hAnsi="Verdana" w:cs="Arial"/>
                <w:bCs/>
                <w:lang w:eastAsia="es-ES_tradnl"/>
              </w:rPr>
            </w:pPr>
            <w:r w:rsidRPr="009F2739">
              <w:rPr>
                <w:rFonts w:ascii="Verdana" w:eastAsia="Calibri" w:hAnsi="Verdana" w:cs="Arial"/>
                <w:bCs/>
                <w:lang w:eastAsia="es-ES_tradnl"/>
              </w:rPr>
              <w:t>Finalmente, debe advertirse que el análisis de situaciones específicas corresponde a la propia entidad y a sus asesores, pues las afirmaciones aquí realizadas constituyen elementos de carácter general y no juicios de valor sobre casos concretos, cuya decisión final es responsabilidad de los ordenadores del gasto conforme al principio de juridicidad.</w:t>
            </w:r>
          </w:p>
          <w:p w14:paraId="624449D1" w14:textId="77777777" w:rsidR="00753D32" w:rsidRDefault="00753D32" w:rsidP="00753D32">
            <w:pPr>
              <w:spacing w:after="120" w:line="276" w:lineRule="auto"/>
              <w:ind w:firstLine="709"/>
              <w:jc w:val="both"/>
              <w:rPr>
                <w:rFonts w:ascii="Verdana" w:eastAsia="Calibri" w:hAnsi="Verdana" w:cs="Times New Roman"/>
                <w:lang w:val="es-ES"/>
              </w:rPr>
            </w:pPr>
            <w:r>
              <w:rPr>
                <w:rFonts w:ascii="Verdana" w:eastAsia="Calibri" w:hAnsi="Verdana" w:cs="Arial"/>
                <w:bCs/>
                <w:lang w:eastAsia="es-ES_tradnl"/>
              </w:rPr>
              <w:t xml:space="preserve"> </w:t>
            </w:r>
            <w:r>
              <w:rPr>
                <w:rFonts w:ascii="Verdana" w:eastAsia="Calibri" w:hAnsi="Verdana" w:cs="Times New Roman"/>
                <w:lang w:val="es-ES"/>
              </w:rPr>
              <w:t xml:space="preserve">De esta manera, </w:t>
            </w:r>
            <w:r w:rsidRPr="00B00396">
              <w:rPr>
                <w:rFonts w:ascii="Verdana" w:eastAsia="Calibri" w:hAnsi="Verdana" w:cs="Times New Roman"/>
                <w:lang w:val="es-ES"/>
              </w:rPr>
              <w:t xml:space="preserve">el análisis para </w:t>
            </w:r>
            <w:r w:rsidRPr="00DB4737">
              <w:rPr>
                <w:rFonts w:ascii="Verdana" w:eastAsia="Calibri" w:hAnsi="Verdana" w:cs="Times New Roman"/>
                <w:lang w:val="es-ES"/>
              </w:rPr>
              <w:t xml:space="preserve">resolver problemas específicos en torno </w:t>
            </w:r>
            <w:r>
              <w:rPr>
                <w:rFonts w:ascii="Verdana" w:eastAsia="Calibri" w:hAnsi="Verdana" w:cs="Times New Roman"/>
                <w:lang w:val="es-ES"/>
              </w:rPr>
              <w:t>a los procesos de contratación</w:t>
            </w:r>
            <w:r w:rsidRPr="002B5057">
              <w:rPr>
                <w:rFonts w:ascii="Verdana" w:eastAsia="Calibri" w:hAnsi="Verdana" w:cs="Times New Roman"/>
                <w:lang w:val="es-ES"/>
              </w:rPr>
              <w:t xml:space="preserve"> debe ser realizado por quienes tengan interés en ello.</w:t>
            </w:r>
            <w:r w:rsidRPr="00B00396">
              <w:rPr>
                <w:rFonts w:ascii="Verdana" w:eastAsia="Calibri" w:hAnsi="Verdana" w:cs="Times New Roman"/>
                <w:lang w:val="es-ES"/>
              </w:rPr>
              <w:t xml:space="preserve"> De esta forma, las afirmaciones aquí realizadas</w:t>
            </w:r>
            <w:r w:rsidRPr="00DB4737">
              <w:rPr>
                <w:rFonts w:ascii="Verdana" w:eastAsia="Calibri" w:hAnsi="Verdana" w:cs="Times New Roman"/>
                <w:lang w:val="es-ES"/>
              </w:rPr>
              <w:t xml:space="preserve">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3B20695D" w14:textId="70D0C179" w:rsidR="0066632B" w:rsidRPr="001941FD" w:rsidRDefault="00753D32" w:rsidP="00753D32">
            <w:pPr>
              <w:spacing w:line="276" w:lineRule="auto"/>
              <w:ind w:right="51" w:firstLine="737"/>
              <w:jc w:val="both"/>
              <w:rPr>
                <w:rFonts w:ascii="Verdana" w:eastAsia="Calibri" w:hAnsi="Verdana" w:cs="Arial"/>
                <w:bCs/>
                <w:color w:val="000000" w:themeColor="text1"/>
              </w:rPr>
            </w:pPr>
            <w:r w:rsidRPr="00DB4737">
              <w:rPr>
                <w:rFonts w:ascii="Verdana" w:eastAsia="Calibri" w:hAnsi="Verdana" w:cs="Times New Roman"/>
                <w:lang w:val="es-ES"/>
              </w:rPr>
              <w:t xml:space="preserve">En ese sentido, al tratarse de un análisis que debe realizarse en un procedimiento contractual específico, esta Agencia no puede definir un criterio universal y absoluto por vía consultiva, sino que brinda elementos de carácter </w:t>
            </w:r>
            <w:r w:rsidRPr="00DB4737">
              <w:rPr>
                <w:rFonts w:ascii="Verdana" w:eastAsia="Calibri" w:hAnsi="Verdana" w:cs="Times New Roman"/>
                <w:lang w:val="es-ES"/>
              </w:rPr>
              <w:lastRenderedPageBreak/>
              <w:t xml:space="preserve">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w:t>
            </w:r>
            <w:proofErr w:type="gramStart"/>
            <w:r w:rsidRPr="00DB4737">
              <w:rPr>
                <w:rFonts w:ascii="Verdana" w:eastAsia="Calibri" w:hAnsi="Verdana" w:cs="Times New Roman"/>
                <w:lang w:val="es-ES"/>
              </w:rPr>
              <w:t>actuaciones</w:t>
            </w:r>
            <w:r>
              <w:rPr>
                <w:rFonts w:ascii="Verdana" w:eastAsia="Calibri" w:hAnsi="Verdana" w:cs="Times New Roman"/>
                <w:lang w:val="es-ES"/>
              </w:rPr>
              <w:t>.</w:t>
            </w:r>
            <w:r w:rsidR="0066632B" w:rsidRPr="00D10E3B">
              <w:rPr>
                <w:rStyle w:val="s15"/>
                <w:rFonts w:ascii="Verdana" w:hAnsi="Verdana"/>
                <w:color w:val="000000"/>
              </w:rPr>
              <w:t>actuaciones</w:t>
            </w:r>
            <w:proofErr w:type="gramEnd"/>
            <w:r w:rsidR="0066632B" w:rsidRPr="00D10E3B">
              <w:rPr>
                <w:rStyle w:val="s15"/>
                <w:rFonts w:ascii="Verdana" w:hAnsi="Verdana"/>
                <w:color w:val="000000"/>
              </w:rPr>
              <w:t>.</w:t>
            </w:r>
          </w:p>
        </w:tc>
      </w:tr>
    </w:tbl>
    <w:p w14:paraId="1C9F5078" w14:textId="77777777" w:rsidR="0066632B" w:rsidRPr="00593A5F" w:rsidRDefault="0066632B" w:rsidP="0066632B">
      <w:pPr>
        <w:tabs>
          <w:tab w:val="left" w:pos="142"/>
          <w:tab w:val="left" w:pos="284"/>
        </w:tabs>
        <w:spacing w:after="0" w:line="276" w:lineRule="auto"/>
        <w:jc w:val="both"/>
        <w:rPr>
          <w:rFonts w:ascii="Verdana" w:eastAsia="Century Gothic" w:hAnsi="Verdana" w:cs="Century Gothic"/>
          <w:b/>
          <w:bCs/>
          <w:lang w:val="es-ES"/>
        </w:rPr>
      </w:pPr>
    </w:p>
    <w:bookmarkEnd w:id="0"/>
    <w:p w14:paraId="26DECECE" w14:textId="77777777" w:rsidR="0066632B" w:rsidRPr="00593A5F" w:rsidRDefault="0066632B" w:rsidP="0066632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4CB08C0D" w14:textId="77777777" w:rsidR="0066632B" w:rsidRPr="00593A5F" w:rsidRDefault="0066632B" w:rsidP="0066632B">
      <w:pPr>
        <w:spacing w:after="0" w:line="276" w:lineRule="auto"/>
        <w:jc w:val="both"/>
        <w:rPr>
          <w:rFonts w:ascii="Verdana" w:eastAsia="Calibri" w:hAnsi="Verdana" w:cs="Arial"/>
          <w:color w:val="7030A0"/>
          <w:lang w:val="es-ES"/>
        </w:rPr>
      </w:pPr>
    </w:p>
    <w:p w14:paraId="2BF9B90C" w14:textId="77777777" w:rsidR="0066632B" w:rsidRDefault="0066632B" w:rsidP="0066632B">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263CD189" w14:textId="77777777" w:rsidR="0066632B" w:rsidRDefault="0066632B" w:rsidP="0066632B">
      <w:pPr>
        <w:spacing w:after="0" w:line="276" w:lineRule="auto"/>
        <w:jc w:val="both"/>
        <w:rPr>
          <w:rFonts w:ascii="Verdana" w:eastAsia="Calibri" w:hAnsi="Verdana" w:cs="Arial"/>
          <w:lang w:val="es-ES"/>
        </w:rPr>
      </w:pPr>
    </w:p>
    <w:p w14:paraId="063F35E3" w14:textId="77777777" w:rsidR="0066632B" w:rsidRPr="002D6B43" w:rsidRDefault="0066632B" w:rsidP="0066632B">
      <w:pPr>
        <w:tabs>
          <w:tab w:val="left" w:pos="426"/>
        </w:tabs>
        <w:spacing w:after="120" w:line="276" w:lineRule="auto"/>
        <w:jc w:val="both"/>
        <w:rPr>
          <w:rFonts w:ascii="Verdana" w:eastAsia="Times New Roman" w:hAnsi="Verdana" w:cs="Arial"/>
          <w:lang w:eastAsia="es-CO"/>
        </w:rPr>
      </w:pPr>
      <w:r w:rsidRPr="002D6B43">
        <w:rPr>
          <w:rFonts w:ascii="Verdana" w:eastAsia="Calibri" w:hAnsi="Verdana" w:cs="Arial"/>
        </w:rPr>
        <w:t>i. El ordenamiento jurídico colombiano contempla previsiones claras para evitar la obtención de beneficios personales en asuntos propios de la administración pública</w:t>
      </w:r>
      <w:r w:rsidRPr="002D6B43">
        <w:rPr>
          <w:rFonts w:ascii="Verdana" w:eastAsia="Calibri" w:hAnsi="Verdana" w:cs="Arial"/>
          <w:i/>
        </w:rPr>
        <w:t xml:space="preserve">. </w:t>
      </w:r>
      <w:r w:rsidRPr="002D6B43">
        <w:rPr>
          <w:rFonts w:ascii="Verdana" w:eastAsia="Calibri" w:hAnsi="Verdana" w:cs="Arial"/>
        </w:rPr>
        <w:t>Por ejemplo, el artículo 127 de la Constitución Política establece una prohibición contractual a los servidores públicos y, en cuanto a aspectos políticos, establece restricciones a ciertos empleados del Estado, incluso en época no electoral</w:t>
      </w:r>
      <w:r w:rsidRPr="001924B7">
        <w:rPr>
          <w:rFonts w:ascii="Verdana" w:hAnsi="Verdana"/>
          <w:vertAlign w:val="superscript"/>
        </w:rPr>
        <w:footnoteReference w:id="2"/>
      </w:r>
      <w:r w:rsidRPr="002D6B43">
        <w:rPr>
          <w:rFonts w:ascii="Verdana" w:eastAsia="Calibri" w:hAnsi="Verdana" w:cs="Arial"/>
        </w:rPr>
        <w:t xml:space="preserve">. </w:t>
      </w:r>
    </w:p>
    <w:p w14:paraId="4202F305" w14:textId="77777777" w:rsidR="0066632B" w:rsidRPr="006B14B5" w:rsidRDefault="0066632B" w:rsidP="0066632B">
      <w:pPr>
        <w:tabs>
          <w:tab w:val="left" w:pos="426"/>
        </w:tabs>
        <w:spacing w:after="0" w:line="276" w:lineRule="auto"/>
        <w:ind w:firstLine="709"/>
        <w:jc w:val="both"/>
        <w:rPr>
          <w:rFonts w:ascii="Verdana" w:eastAsia="Calibri" w:hAnsi="Verdana" w:cs="Arial"/>
          <w:lang w:val="es-ES_tradnl"/>
        </w:rPr>
      </w:pPr>
      <w:r w:rsidRPr="00E2397D">
        <w:rPr>
          <w:rFonts w:ascii="Verdana" w:eastAsia="Times New Roman" w:hAnsi="Verdana" w:cs="Arial"/>
          <w:lang w:eastAsia="es-CO"/>
        </w:rPr>
        <w:t>En el mismo sentido</w:t>
      </w:r>
      <w:r w:rsidRPr="00E2397D">
        <w:rPr>
          <w:rFonts w:ascii="Verdana" w:eastAsia="Times New Roman" w:hAnsi="Verdana" w:cs="Arial"/>
          <w:lang w:val="es-MX" w:eastAsia="es-CO"/>
        </w:rPr>
        <w:t xml:space="preserve">, </w:t>
      </w:r>
      <w:bookmarkStart w:id="1" w:name="_Hlk99576829"/>
      <w:r w:rsidRPr="00E2397D">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3"/>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bookmarkEnd w:id="1"/>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0631F171" w14:textId="77777777" w:rsidR="0066632B" w:rsidRPr="00E2397D" w:rsidRDefault="0066632B" w:rsidP="0066632B">
      <w:pPr>
        <w:spacing w:after="0" w:line="276" w:lineRule="auto"/>
        <w:ind w:right="709"/>
        <w:contextualSpacing/>
        <w:jc w:val="both"/>
        <w:rPr>
          <w:rFonts w:ascii="Verdana" w:eastAsia="Times New Roman" w:hAnsi="Verdana" w:cs="Arial"/>
          <w:lang w:val="es-ES" w:eastAsia="es-CO"/>
        </w:rPr>
      </w:pPr>
    </w:p>
    <w:p w14:paraId="450841BC" w14:textId="77777777" w:rsidR="0066632B" w:rsidRPr="00E2397D" w:rsidRDefault="0066632B" w:rsidP="0066632B">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lastRenderedPageBreak/>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68CEA049" w14:textId="77777777" w:rsidR="0066632B" w:rsidRDefault="0066632B" w:rsidP="0066632B">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59E80C4D" w14:textId="77777777" w:rsidR="0066632B" w:rsidRPr="000B35C5" w:rsidRDefault="0066632B" w:rsidP="0066632B">
      <w:pPr>
        <w:spacing w:after="0" w:line="240" w:lineRule="auto"/>
        <w:ind w:left="709" w:right="709"/>
        <w:contextualSpacing/>
        <w:jc w:val="both"/>
        <w:rPr>
          <w:rFonts w:ascii="Verdana" w:eastAsia="Times New Roman" w:hAnsi="Verdana" w:cs="Arial"/>
          <w:sz w:val="12"/>
          <w:szCs w:val="12"/>
          <w:lang w:val="es-MX" w:eastAsia="es-CO"/>
        </w:rPr>
      </w:pPr>
    </w:p>
    <w:p w14:paraId="362CC283" w14:textId="77777777" w:rsidR="0066632B" w:rsidRPr="00E2397D" w:rsidRDefault="0066632B" w:rsidP="0066632B">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4"/>
      </w:r>
    </w:p>
    <w:p w14:paraId="6E2EDB93" w14:textId="77777777" w:rsidR="0066632B" w:rsidRPr="00E2397D" w:rsidRDefault="0066632B" w:rsidP="0066632B">
      <w:pPr>
        <w:spacing w:after="0" w:line="276" w:lineRule="auto"/>
        <w:ind w:firstLine="709"/>
        <w:jc w:val="both"/>
        <w:rPr>
          <w:rFonts w:ascii="Verdana" w:eastAsia="Times New Roman" w:hAnsi="Verdana" w:cs="Arial"/>
          <w:lang w:val="es-MX" w:eastAsia="es-CO"/>
        </w:rPr>
      </w:pPr>
      <w:bookmarkStart w:id="2" w:name="_Hlk78818186"/>
    </w:p>
    <w:p w14:paraId="16AA9B41" w14:textId="77777777" w:rsidR="0066632B" w:rsidRPr="00E2397D" w:rsidRDefault="0066632B" w:rsidP="0066632B">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w:t>
      </w:r>
      <w:bookmarkEnd w:id="2"/>
      <w:r w:rsidRPr="00E2397D">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2A12C20A" w14:textId="77777777" w:rsidR="0066632B" w:rsidRPr="00886C02" w:rsidRDefault="0066632B" w:rsidP="0066632B">
      <w:pPr>
        <w:spacing w:after="0" w:line="276" w:lineRule="auto"/>
        <w:ind w:firstLine="709"/>
        <w:jc w:val="both"/>
        <w:rPr>
          <w:rFonts w:ascii="Verdana" w:eastAsia="Times New Roman" w:hAnsi="Verdana" w:cs="Arial"/>
          <w:lang w:val="es-MX" w:eastAsia="es-CO"/>
        </w:rPr>
      </w:pPr>
    </w:p>
    <w:p w14:paraId="2CAAC0AB" w14:textId="77777777" w:rsidR="0066632B" w:rsidRPr="00E2397D" w:rsidRDefault="0066632B" w:rsidP="0066632B">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2DAE1B17" w14:textId="77777777" w:rsidR="0066632B" w:rsidRPr="000B35C5" w:rsidRDefault="0066632B" w:rsidP="0066632B">
      <w:pPr>
        <w:spacing w:after="0" w:line="240" w:lineRule="auto"/>
        <w:ind w:right="709"/>
        <w:contextualSpacing/>
        <w:jc w:val="both"/>
        <w:rPr>
          <w:rFonts w:ascii="Verdana" w:eastAsia="Times New Roman" w:hAnsi="Verdana" w:cs="Arial"/>
          <w:sz w:val="12"/>
          <w:szCs w:val="12"/>
          <w:lang w:val="es-MX" w:eastAsia="es-CO"/>
        </w:rPr>
      </w:pPr>
    </w:p>
    <w:p w14:paraId="0B521953" w14:textId="77777777" w:rsidR="0066632B" w:rsidRPr="00E2397D" w:rsidRDefault="0066632B" w:rsidP="0066632B">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lastRenderedPageBreak/>
        <w:t>La jurisprudencia de la Corte Constitucional</w:t>
      </w:r>
      <w:r w:rsidRPr="00E2397D">
        <w:rPr>
          <w:rFonts w:ascii="Verdana" w:eastAsia="Times New Roman" w:hAnsi="Verdana" w:cs="Arial"/>
          <w:sz w:val="20"/>
          <w:szCs w:val="20"/>
          <w:vertAlign w:val="superscript"/>
          <w:lang w:val="es-MX" w:eastAsia="es-CO"/>
        </w:rPr>
        <w:footnoteReference w:id="5"/>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6"/>
      </w:r>
      <w:r w:rsidRPr="00E2397D">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7"/>
      </w:r>
      <w:r w:rsidRPr="00E2397D">
        <w:rPr>
          <w:rFonts w:ascii="Verdana" w:eastAsia="Times New Roman" w:hAnsi="Verdana" w:cs="Arial"/>
          <w:sz w:val="20"/>
          <w:szCs w:val="20"/>
          <w:lang w:val="es-MX" w:eastAsia="es-CO"/>
        </w:rPr>
        <w:t>.</w:t>
      </w:r>
    </w:p>
    <w:p w14:paraId="67A24211" w14:textId="77777777" w:rsidR="0066632B" w:rsidRPr="00E2397D" w:rsidRDefault="0066632B" w:rsidP="0066632B">
      <w:pPr>
        <w:spacing w:after="0" w:line="276" w:lineRule="auto"/>
        <w:jc w:val="both"/>
        <w:rPr>
          <w:rFonts w:ascii="Verdana" w:eastAsia="Calibri" w:hAnsi="Verdana" w:cs="Arial"/>
          <w:bCs/>
          <w:lang w:val="es-ES_tradnl"/>
        </w:rPr>
      </w:pPr>
    </w:p>
    <w:p w14:paraId="56CD79DD" w14:textId="77777777" w:rsidR="0066632B" w:rsidRDefault="0066632B" w:rsidP="0066632B">
      <w:pPr>
        <w:spacing w:after="0" w:line="276" w:lineRule="auto"/>
        <w:ind w:firstLine="709"/>
        <w:jc w:val="both"/>
        <w:rPr>
          <w:rFonts w:ascii="Verdana" w:eastAsia="Arial" w:hAnsi="Verdana" w:cs="Arial"/>
          <w:lang w:val="es-ES" w:eastAsia="es-ES" w:bidi="es-ES"/>
        </w:rPr>
      </w:pPr>
      <w:r w:rsidRPr="00E2397D">
        <w:rPr>
          <w:rFonts w:ascii="Verdana" w:eastAsia="Times New Roman" w:hAnsi="Verdana" w:cs="Arial"/>
          <w:lang w:val="es-MX" w:eastAsia="es-CO"/>
        </w:rPr>
        <w:t>De</w:t>
      </w:r>
      <w:r w:rsidRPr="00E2397D">
        <w:rPr>
          <w:rFonts w:ascii="Verdana" w:eastAsia="Arial" w:hAnsi="Verdana" w:cs="Arial"/>
          <w:lang w:val="es-ES" w:eastAsia="es-ES" w:bidi="es-ES"/>
        </w:rPr>
        <w:t xml:space="preserve"> conformidad con lo anterior, </w:t>
      </w:r>
      <w:bookmarkStart w:id="3" w:name="_Hlk77236098"/>
      <w:bookmarkStart w:id="4" w:name="_Hlk100679383"/>
      <w:r w:rsidRPr="00E2397D">
        <w:rPr>
          <w:rFonts w:ascii="Verdana" w:eastAsia="Arial" w:hAnsi="Verdana" w:cs="Arial"/>
          <w:lang w:val="es-ES" w:eastAsia="es-ES" w:bidi="es-ES"/>
        </w:rPr>
        <w:t>la L</w:t>
      </w:r>
      <w:r>
        <w:rPr>
          <w:rFonts w:ascii="Verdana" w:eastAsia="Arial" w:hAnsi="Verdana" w:cs="Arial"/>
          <w:lang w:val="es-ES" w:eastAsia="es-ES" w:bidi="es-ES"/>
        </w:rPr>
        <w:t>ey de Garantías Electorales estableció</w:t>
      </w:r>
      <w:r w:rsidRPr="00E2397D">
        <w:rPr>
          <w:rFonts w:ascii="Verdana" w:eastAsia="Arial" w:hAnsi="Verdana" w:cs="Arial"/>
          <w:lang w:val="es-ES" w:eastAsia="es-ES" w:bidi="es-ES"/>
        </w:rPr>
        <w:t xml:space="preserve">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23C8FE82" w14:textId="77777777" w:rsidR="0066632B" w:rsidRPr="00E2397D" w:rsidRDefault="0066632B" w:rsidP="0066632B">
      <w:pPr>
        <w:spacing w:after="0" w:line="276" w:lineRule="auto"/>
        <w:ind w:firstLine="709"/>
        <w:jc w:val="both"/>
        <w:rPr>
          <w:rFonts w:ascii="Verdana" w:eastAsia="Arial" w:hAnsi="Verdana" w:cs="Arial"/>
          <w:lang w:val="es-ES" w:eastAsia="es-ES" w:bidi="es-ES"/>
        </w:rPr>
      </w:pPr>
    </w:p>
    <w:p w14:paraId="70D8984A" w14:textId="77777777" w:rsidR="0066632B" w:rsidRPr="00E2397D" w:rsidRDefault="0066632B" w:rsidP="0066632B">
      <w:pPr>
        <w:spacing w:after="120" w:line="276" w:lineRule="auto"/>
        <w:jc w:val="both"/>
        <w:rPr>
          <w:rFonts w:ascii="Verdana" w:eastAsia="Arial" w:hAnsi="Verdana" w:cs="Arial"/>
          <w:lang w:val="es-ES" w:eastAsia="es-ES" w:bidi="es-ES"/>
        </w:rPr>
      </w:pPr>
      <w:proofErr w:type="spellStart"/>
      <w:r w:rsidRPr="00E2397D">
        <w:rPr>
          <w:rFonts w:ascii="Verdana" w:eastAsia="Arial" w:hAnsi="Verdana" w:cs="Arial"/>
          <w:lang w:val="es-ES" w:eastAsia="es-ES" w:bidi="es-ES"/>
        </w:rPr>
        <w:t>ii</w:t>
      </w:r>
      <w:proofErr w:type="spellEnd"/>
      <w:r w:rsidRPr="00E2397D">
        <w:rPr>
          <w:rFonts w:ascii="Verdana" w:eastAsia="Arial" w:hAnsi="Verdana" w:cs="Arial"/>
          <w:lang w:val="es-ES" w:eastAsia="es-ES" w:bidi="es-ES"/>
        </w:rPr>
        <w:t>. 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3"/>
    </w:p>
    <w:p w14:paraId="405751A2" w14:textId="77777777" w:rsidR="0066632B" w:rsidRPr="00E2397D" w:rsidRDefault="0066632B" w:rsidP="0066632B">
      <w:pPr>
        <w:spacing w:after="120" w:line="276" w:lineRule="auto"/>
        <w:ind w:firstLine="708"/>
        <w:jc w:val="both"/>
        <w:rPr>
          <w:rFonts w:ascii="Verdana" w:eastAsia="Calibri" w:hAnsi="Verdana" w:cs="Arial"/>
        </w:rPr>
      </w:pPr>
      <w:r w:rsidRPr="00E2397D">
        <w:rPr>
          <w:rFonts w:ascii="Verdana" w:eastAsia="Calibri" w:hAnsi="Verdana" w:cs="Arial"/>
        </w:rPr>
        <w:t xml:space="preserve">Por un lado, el </w:t>
      </w:r>
      <w:r w:rsidRPr="00E2397D">
        <w:rPr>
          <w:rFonts w:ascii="Verdana" w:eastAsia="Calibri" w:hAnsi="Verdana" w:cs="Arial"/>
          <w:i/>
          <w:iCs/>
        </w:rPr>
        <w:t>artículo 33 de la Ley 996 de 2005</w:t>
      </w:r>
      <w:r w:rsidRPr="00E2397D">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w:t>
      </w:r>
      <w:r w:rsidRPr="00E2397D">
        <w:rPr>
          <w:rFonts w:ascii="Verdana" w:eastAsia="Calibri" w:hAnsi="Verdana" w:cs="Arial"/>
        </w:rPr>
        <w:lastRenderedPageBreak/>
        <w:t>acciones terroristas, desastres naturales o casos de fuerza mayor, y los que deban realizar las entidades sanitarias y hospitalarias”</w:t>
      </w:r>
      <w:r w:rsidRPr="00E2397D">
        <w:rPr>
          <w:rFonts w:ascii="Verdana" w:eastAsia="Calibri" w:hAnsi="Verdana" w:cs="Arial"/>
          <w:vertAlign w:val="superscript"/>
        </w:rPr>
        <w:footnoteReference w:id="8"/>
      </w:r>
      <w:r w:rsidRPr="00E2397D">
        <w:rPr>
          <w:rFonts w:ascii="Verdana" w:eastAsia="Calibri" w:hAnsi="Verdana" w:cs="Arial"/>
        </w:rPr>
        <w:t>.</w:t>
      </w:r>
    </w:p>
    <w:p w14:paraId="70E38C57" w14:textId="77777777" w:rsidR="0066632B" w:rsidRDefault="0066632B" w:rsidP="0066632B">
      <w:pPr>
        <w:widowControl w:val="0"/>
        <w:autoSpaceDE w:val="0"/>
        <w:autoSpaceDN w:val="0"/>
        <w:spacing w:after="120" w:line="276" w:lineRule="auto"/>
        <w:ind w:right="113" w:firstLine="709"/>
        <w:jc w:val="both"/>
        <w:rPr>
          <w:rFonts w:ascii="Verdana" w:eastAsia="Arial" w:hAnsi="Verdana" w:cs="Arial"/>
          <w:lang w:val="es-ES" w:eastAsia="es-ES" w:bidi="es-ES"/>
        </w:rPr>
      </w:pPr>
      <w:r w:rsidRPr="00E2397D">
        <w:rPr>
          <w:rFonts w:ascii="Verdana" w:eastAsia="Calibri" w:hAnsi="Verdana" w:cs="Arial"/>
        </w:rPr>
        <w:t xml:space="preserve">Por otro lado, </w:t>
      </w:r>
      <w:r w:rsidRPr="00E2397D">
        <w:rPr>
          <w:rFonts w:ascii="Verdana" w:eastAsia="Calibri" w:hAnsi="Verdana" w:cs="Arial"/>
          <w:i/>
          <w:iCs/>
        </w:rPr>
        <w:t>el parágrafo del artículo 38 de la Ley 996 de 2005</w:t>
      </w:r>
      <w:r w:rsidRPr="00E2397D">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2397D">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2397D">
        <w:rPr>
          <w:rFonts w:ascii="Verdana" w:eastAsia="Calibri" w:hAnsi="Verdana" w:cs="Arial"/>
        </w:rPr>
        <w:t>”</w:t>
      </w:r>
      <w:bookmarkEnd w:id="4"/>
      <w:r w:rsidRPr="00E2397D">
        <w:rPr>
          <w:rFonts w:ascii="Verdana" w:eastAsia="Calibri" w:hAnsi="Verdana" w:cs="Arial"/>
          <w:vertAlign w:val="superscript"/>
        </w:rPr>
        <w:footnoteReference w:id="9"/>
      </w:r>
      <w:r w:rsidRPr="00E2397D">
        <w:rPr>
          <w:rFonts w:ascii="Verdana" w:eastAsia="Calibri" w:hAnsi="Verdana" w:cs="Arial"/>
          <w:lang w:val="es-MX"/>
        </w:rPr>
        <w:t>.</w:t>
      </w:r>
      <w:r w:rsidRPr="00E2397D">
        <w:rPr>
          <w:rFonts w:ascii="Verdana" w:eastAsia="Arial" w:hAnsi="Verdana" w:cs="Arial"/>
          <w:lang w:val="es-ES" w:eastAsia="es-ES" w:bidi="es-ES"/>
        </w:rPr>
        <w:t xml:space="preserve"> </w:t>
      </w:r>
    </w:p>
    <w:p w14:paraId="648BD34C" w14:textId="77777777" w:rsidR="0066632B" w:rsidRDefault="0066632B" w:rsidP="0066632B">
      <w:pPr>
        <w:spacing w:after="120" w:line="276" w:lineRule="auto"/>
        <w:ind w:firstLine="708"/>
        <w:jc w:val="both"/>
        <w:rPr>
          <w:rFonts w:ascii="Verdana" w:eastAsia="Times New Roman" w:hAnsi="Verdana" w:cs="Arial"/>
          <w:bCs/>
          <w:lang w:eastAsia="es-CO"/>
        </w:rPr>
      </w:pPr>
      <w:r>
        <w:rPr>
          <w:rFonts w:ascii="Verdana" w:eastAsia="Times New Roman" w:hAnsi="Verdana" w:cs="Arial"/>
          <w:bCs/>
          <w:lang w:val="es-MX" w:eastAsia="es-CO"/>
        </w:rPr>
        <w:t>Para entender el momento de aplicación de estas restricciones, es preciso señalar que el vocablo “celebrar” es definido por el Diccionario Panhispánico del Español Jurídico como:</w:t>
      </w:r>
      <w:r w:rsidRPr="00116894">
        <w:rPr>
          <w:rFonts w:ascii="Verdana" w:eastAsia="Times New Roman" w:hAnsi="Verdana" w:cs="Arial"/>
          <w:bCs/>
          <w:lang w:val="es-MX" w:eastAsia="es-CO"/>
        </w:rPr>
        <w:t xml:space="preserve"> “</w:t>
      </w:r>
      <w:r w:rsidRPr="00116894">
        <w:rPr>
          <w:rFonts w:ascii="Verdana" w:eastAsia="Times New Roman" w:hAnsi="Verdana" w:cs="Arial"/>
          <w:bCs/>
          <w:lang w:eastAsia="es-CO"/>
        </w:rPr>
        <w:t>1. </w:t>
      </w:r>
      <w:r w:rsidRPr="00116894">
        <w:rPr>
          <w:rFonts w:ascii="Verdana" w:eastAsia="Times New Roman" w:hAnsi="Verdana" w:cs="Arial"/>
          <w:bCs/>
          <w:i/>
          <w:iCs/>
          <w:lang w:eastAsia="es-CO"/>
        </w:rPr>
        <w:t>Gral.</w:t>
      </w:r>
      <w:r>
        <w:rPr>
          <w:rFonts w:ascii="Verdana" w:eastAsia="Times New Roman" w:hAnsi="Verdana" w:cs="Arial"/>
          <w:bCs/>
          <w:lang w:eastAsia="es-CO"/>
        </w:rPr>
        <w:t xml:space="preserve"> </w:t>
      </w:r>
      <w:r w:rsidRPr="00116894">
        <w:rPr>
          <w:rFonts w:ascii="Verdana" w:eastAsia="Times New Roman" w:hAnsi="Verdana" w:cs="Arial"/>
          <w:bCs/>
          <w:lang w:eastAsia="es-CO"/>
        </w:rPr>
        <w:t>Otorgar o firmar un contrato. 2</w:t>
      </w:r>
      <w:r>
        <w:rPr>
          <w:rFonts w:ascii="Verdana" w:eastAsia="Times New Roman" w:hAnsi="Verdana" w:cs="Arial"/>
          <w:bCs/>
          <w:lang w:eastAsia="es-CO"/>
        </w:rPr>
        <w:t xml:space="preserve">. </w:t>
      </w:r>
      <w:proofErr w:type="spellStart"/>
      <w:r w:rsidRPr="00116894">
        <w:rPr>
          <w:rFonts w:ascii="Verdana" w:eastAsia="Times New Roman" w:hAnsi="Verdana" w:cs="Arial"/>
          <w:bCs/>
          <w:i/>
          <w:iCs/>
          <w:lang w:eastAsia="es-CO"/>
        </w:rPr>
        <w:t>Proc</w:t>
      </w:r>
      <w:proofErr w:type="spellEnd"/>
      <w:r w:rsidRPr="00116894">
        <w:rPr>
          <w:rFonts w:ascii="Verdana" w:eastAsia="Times New Roman" w:hAnsi="Verdana" w:cs="Arial"/>
          <w:bCs/>
          <w:i/>
          <w:iCs/>
          <w:lang w:eastAsia="es-CO"/>
        </w:rPr>
        <w:t>.</w:t>
      </w:r>
      <w:r>
        <w:rPr>
          <w:rFonts w:ascii="Verdana" w:eastAsia="Times New Roman" w:hAnsi="Verdana" w:cs="Arial"/>
          <w:bCs/>
          <w:lang w:eastAsia="es-CO"/>
        </w:rPr>
        <w:t xml:space="preserve"> </w:t>
      </w:r>
      <w:r w:rsidRPr="00116894">
        <w:rPr>
          <w:rFonts w:ascii="Verdana" w:eastAsia="Times New Roman" w:hAnsi="Verdana" w:cs="Arial"/>
          <w:bCs/>
          <w:lang w:eastAsia="es-CO"/>
        </w:rPr>
        <w:t>Realizar los actos procesa</w:t>
      </w:r>
      <w:r>
        <w:rPr>
          <w:rFonts w:ascii="Verdana" w:eastAsia="Times New Roman" w:hAnsi="Verdana" w:cs="Arial"/>
          <w:bCs/>
          <w:lang w:eastAsia="es-CO"/>
        </w:rPr>
        <w:t xml:space="preserve">les propios de un juicio o vista”. Dentro de las dos definiciones, la que se acerca a la expresión “celebrar” en el contexto de la Ley de Garantías Electorales es la primera, esto es, al perfeccionamiento del contrato. </w:t>
      </w:r>
    </w:p>
    <w:p w14:paraId="633607D0" w14:textId="77777777" w:rsidR="0066632B" w:rsidRDefault="0066632B" w:rsidP="0066632B">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447D82">
        <w:rPr>
          <w:rFonts w:ascii="Verdana" w:eastAsia="Times New Roman" w:hAnsi="Verdana" w:cs="Arial"/>
          <w:bCs/>
          <w:lang w:val="es-ES" w:eastAsia="es-CO"/>
        </w:rPr>
        <w:t xml:space="preserve">la existencia de los contratos estatales, es decir, la producción de efectos jurídicos en los términos del artículo 1501 </w:t>
      </w:r>
      <w:r w:rsidRPr="00447D82">
        <w:rPr>
          <w:rFonts w:ascii="Verdana" w:eastAsia="Times New Roman" w:hAnsi="Verdana" w:cs="Arial"/>
          <w:bCs/>
          <w:i/>
          <w:lang w:val="es-ES" w:eastAsia="es-CO"/>
        </w:rPr>
        <w:t>ib</w:t>
      </w:r>
      <w:r>
        <w:rPr>
          <w:rFonts w:ascii="Verdana" w:eastAsia="Times New Roman" w:hAnsi="Verdana" w:cs="Arial"/>
          <w:bCs/>
          <w:i/>
          <w:lang w:val="es-ES" w:eastAsia="es-CO"/>
        </w:rPr>
        <w:t>i</w:t>
      </w:r>
      <w:r w:rsidRPr="00447D82">
        <w:rPr>
          <w:rFonts w:ascii="Verdana" w:eastAsia="Times New Roman" w:hAnsi="Verdana" w:cs="Arial"/>
          <w:bCs/>
          <w:i/>
          <w:lang w:val="es-ES" w:eastAsia="es-CO"/>
        </w:rPr>
        <w:t>dem</w:t>
      </w:r>
      <w:r w:rsidRPr="00447D82">
        <w:rPr>
          <w:rFonts w:ascii="Verdana" w:eastAsia="Times New Roman" w:hAnsi="Verdana" w:cs="Arial"/>
          <w:bCs/>
          <w:lang w:val="es-ES" w:eastAsia="es-CO"/>
        </w:rPr>
        <w:t>, depende de la regulación del inciso primero d</w:t>
      </w:r>
      <w:r>
        <w:rPr>
          <w:rFonts w:ascii="Verdana" w:eastAsia="Times New Roman" w:hAnsi="Verdana" w:cs="Arial"/>
          <w:bCs/>
          <w:lang w:val="es-ES" w:eastAsia="es-CO"/>
        </w:rPr>
        <w:t>e los artículos 39 y 41 de la Ley 80 de 1993</w:t>
      </w:r>
      <w:r w:rsidRPr="00447D82">
        <w:rPr>
          <w:rFonts w:ascii="Verdana" w:eastAsia="Times New Roman" w:hAnsi="Verdana" w:cs="Arial"/>
          <w:bCs/>
          <w:lang w:val="es-ES" w:eastAsia="es-CO"/>
        </w:rPr>
        <w:t xml:space="preserve">. Por un lado, “Los contratos que celebren las entidades estatales constarán por escrito y no requerirán ser </w:t>
      </w:r>
      <w:r w:rsidRPr="00447D82">
        <w:rPr>
          <w:rFonts w:ascii="Verdana" w:eastAsia="Times New Roman" w:hAnsi="Verdana" w:cs="Arial"/>
          <w:bCs/>
          <w:lang w:val="es-ES" w:eastAsia="es-CO"/>
        </w:rPr>
        <w:lastRenderedPageBreak/>
        <w:t>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r>
        <w:rPr>
          <w:rFonts w:ascii="Verdana" w:eastAsia="Times New Roman" w:hAnsi="Verdana" w:cs="Arial"/>
          <w:bCs/>
          <w:lang w:val="es-ES" w:eastAsia="es-CO"/>
        </w:rPr>
        <w:t xml:space="preserve"> </w:t>
      </w:r>
    </w:p>
    <w:p w14:paraId="2AD6A469" w14:textId="77777777" w:rsidR="0066632B" w:rsidRDefault="0066632B" w:rsidP="0066632B">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076E0E90" w14:textId="77777777" w:rsidR="0066632B" w:rsidRPr="00894384" w:rsidRDefault="0066632B" w:rsidP="0066632B">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Asimismo, </w:t>
      </w:r>
      <w:r>
        <w:rPr>
          <w:rFonts w:ascii="Verdana" w:eastAsia="Times New Roman" w:hAnsi="Verdana" w:cs="Arial"/>
          <w:bCs/>
          <w:lang w:val="es-MX" w:eastAsia="es-CO"/>
        </w:rPr>
        <w:t>c</w:t>
      </w:r>
      <w:r w:rsidRPr="00894384">
        <w:rPr>
          <w:rFonts w:ascii="Verdana" w:eastAsia="Times New Roman" w:hAnsi="Verdana" w:cs="Arial"/>
          <w:bCs/>
          <w:lang w:val="es-MX" w:eastAsia="es-CO"/>
        </w:rPr>
        <w:t xml:space="preserve">omo en otras oportunidades lo ha manifestado esta Agencia, las prórrogas, modificaciones o adiciones de los contratos suscritos antes de la </w:t>
      </w:r>
      <w:proofErr w:type="gramStart"/>
      <w:r w:rsidRPr="00894384">
        <w:rPr>
          <w:rFonts w:ascii="Verdana" w:eastAsia="Times New Roman" w:hAnsi="Verdana" w:cs="Arial"/>
          <w:bCs/>
          <w:lang w:val="es-MX" w:eastAsia="es-CO"/>
        </w:rPr>
        <w:t>entrada en vigencia</w:t>
      </w:r>
      <w:proofErr w:type="gramEnd"/>
      <w:r w:rsidRPr="00894384">
        <w:rPr>
          <w:rFonts w:ascii="Verdana" w:eastAsia="Times New Roman" w:hAnsi="Verdana" w:cs="Arial"/>
          <w:bCs/>
          <w:lang w:val="es-MX" w:eastAsia="es-CO"/>
        </w:rPr>
        <w:t xml:space="preserve"> de las prohibiciones anotadas, así como la cesión de </w:t>
      </w:r>
      <w:proofErr w:type="gramStart"/>
      <w:r w:rsidRPr="00894384">
        <w:rPr>
          <w:rFonts w:ascii="Verdana" w:eastAsia="Times New Roman" w:hAnsi="Verdana" w:cs="Arial"/>
          <w:bCs/>
          <w:lang w:val="es-MX" w:eastAsia="es-CO"/>
        </w:rPr>
        <w:t>los mismos</w:t>
      </w:r>
      <w:proofErr w:type="gramEnd"/>
      <w:r w:rsidRPr="00894384">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r w:rsidRPr="00894384">
        <w:rPr>
          <w:rFonts w:ascii="Verdana" w:eastAsia="Times New Roman" w:hAnsi="Verdana" w:cs="Arial"/>
          <w:bCs/>
          <w:vertAlign w:val="superscript"/>
          <w:lang w:val="es-MX" w:eastAsia="es-CO"/>
        </w:rPr>
        <w:footnoteReference w:id="10"/>
      </w:r>
      <w:r w:rsidRPr="00894384">
        <w:rPr>
          <w:rFonts w:ascii="Verdana" w:eastAsia="Times New Roman" w:hAnsi="Verdana" w:cs="Arial"/>
          <w:bCs/>
          <w:lang w:val="es-MX" w:eastAsia="es-CO"/>
        </w:rPr>
        <w:t xml:space="preserve">. </w:t>
      </w:r>
    </w:p>
    <w:p w14:paraId="2431698E" w14:textId="77777777" w:rsidR="0066632B" w:rsidRPr="00E2397D" w:rsidRDefault="0066632B" w:rsidP="0066632B">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E2397D">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w:t>
      </w:r>
      <w:r>
        <w:rPr>
          <w:rFonts w:ascii="Verdana" w:eastAsia="Arial" w:hAnsi="Verdana" w:cs="Arial"/>
          <w:lang w:val="es-ES" w:eastAsia="es-ES" w:bidi="es-ES"/>
        </w:rPr>
        <w:t>era</w:t>
      </w:r>
      <w:r w:rsidRPr="00E2397D">
        <w:rPr>
          <w:rFonts w:ascii="Verdana" w:eastAsia="Arial" w:hAnsi="Verdana" w:cs="Arial"/>
          <w:lang w:val="es-ES" w:eastAsia="es-ES" w:bidi="es-ES"/>
        </w:rPr>
        <w:t>:</w:t>
      </w:r>
    </w:p>
    <w:p w14:paraId="16AB2BC1" w14:textId="77777777" w:rsidR="0066632B" w:rsidRPr="00E2397D" w:rsidRDefault="0066632B" w:rsidP="0066632B">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3FBA434F" w14:textId="77777777" w:rsidR="0066632B" w:rsidRPr="00E2397D" w:rsidRDefault="0066632B" w:rsidP="0066632B">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E2397D">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7" w:name="_Hlk76109421"/>
      <w:r w:rsidRPr="00E2397D">
        <w:rPr>
          <w:rFonts w:ascii="Verdana" w:eastAsia="Arial" w:hAnsi="Verdana" w:cs="Arial"/>
          <w:sz w:val="20"/>
          <w:szCs w:val="20"/>
          <w:lang w:eastAsia="es-ES" w:bidi="es-ES"/>
        </w:rPr>
        <w:t>se integran parcialmente</w:t>
      </w:r>
      <w:bookmarkEnd w:id="7"/>
      <w:r w:rsidRPr="00E2397D">
        <w:rPr>
          <w:rFonts w:ascii="Verdana" w:eastAsia="Arial" w:hAnsi="Verdana" w:cs="Arial"/>
          <w:sz w:val="20"/>
          <w:szCs w:val="20"/>
          <w:lang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w:t>
      </w:r>
      <w:r w:rsidRPr="00E2397D">
        <w:rPr>
          <w:rFonts w:ascii="Verdana" w:eastAsia="Arial" w:hAnsi="Verdana" w:cs="Arial"/>
          <w:sz w:val="20"/>
          <w:szCs w:val="20"/>
          <w:lang w:eastAsia="es-ES" w:bidi="es-ES"/>
        </w:rPr>
        <w:lastRenderedPageBreak/>
        <w:t>excluyendo las correspondientes a Presidente de la República, a las autoridades territoriales allí mencionadas sólo se aplican las restricciones contenidas en el parágrafo del artículo 38”.</w:t>
      </w:r>
      <w:r w:rsidRPr="00E2397D">
        <w:rPr>
          <w:rFonts w:ascii="Verdana" w:eastAsia="Arial" w:hAnsi="Verdana" w:cs="Arial"/>
          <w:sz w:val="20"/>
          <w:szCs w:val="20"/>
          <w:vertAlign w:val="superscript"/>
          <w:lang w:eastAsia="es-ES" w:bidi="es-ES"/>
        </w:rPr>
        <w:footnoteReference w:id="11"/>
      </w:r>
    </w:p>
    <w:p w14:paraId="67B51061" w14:textId="77777777" w:rsidR="0066632B" w:rsidRPr="00E2397D" w:rsidRDefault="0066632B" w:rsidP="0066632B">
      <w:pPr>
        <w:widowControl w:val="0"/>
        <w:autoSpaceDE w:val="0"/>
        <w:autoSpaceDN w:val="0"/>
        <w:spacing w:after="0" w:line="276" w:lineRule="auto"/>
        <w:contextualSpacing/>
        <w:rPr>
          <w:rFonts w:ascii="Verdana" w:eastAsia="Arial" w:hAnsi="Verdana" w:cs="Arial"/>
          <w:lang w:val="es-ES" w:eastAsia="es-ES" w:bidi="es-ES"/>
        </w:rPr>
      </w:pPr>
    </w:p>
    <w:p w14:paraId="28423B8C" w14:textId="77777777" w:rsidR="0066632B" w:rsidRPr="00E2397D" w:rsidRDefault="0066632B" w:rsidP="0066632B">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De conformidad con lo anterior, </w:t>
      </w:r>
      <w:bookmarkStart w:id="8" w:name="_Hlk77236420"/>
      <w:bookmarkStart w:id="9" w:name="_Hlk78818435"/>
      <w:bookmarkStart w:id="10" w:name="_Hlk75780333"/>
      <w:r w:rsidRPr="00E2397D">
        <w:rPr>
          <w:rFonts w:ascii="Verdana" w:eastAsia="Arial" w:hAnsi="Verdana" w:cs="Arial"/>
          <w:lang w:val="es-ES" w:eastAsia="es-ES" w:bidi="es-ES"/>
        </w:rPr>
        <w:t xml:space="preserve">la Ley 996 de 2005 establece dos (2) tipos de restricciones en materia de contratación, las cuales coinciden parcialmente. </w:t>
      </w:r>
      <w:r w:rsidRPr="00E2397D">
        <w:rPr>
          <w:rFonts w:ascii="Verdana" w:eastAsia="Arial" w:hAnsi="Verdana" w:cs="Arial"/>
          <w:i/>
          <w:lang w:val="es-ES" w:eastAsia="es-ES" w:bidi="es-ES"/>
        </w:rPr>
        <w:t>En primer lugar</w:t>
      </w:r>
      <w:r w:rsidRPr="00E2397D">
        <w:rPr>
          <w:rFonts w:ascii="Verdana" w:eastAsia="Arial" w:hAnsi="Verdana" w:cs="Arial"/>
          <w:lang w:val="es-ES" w:eastAsia="es-ES" w:bidi="es-ES"/>
        </w:rPr>
        <w:t xml:space="preserve">, la del artículo 33 que </w:t>
      </w:r>
      <w:r>
        <w:rPr>
          <w:rFonts w:ascii="Verdana" w:eastAsia="Arial" w:hAnsi="Verdana" w:cs="Arial"/>
          <w:lang w:val="es-ES" w:eastAsia="es-ES" w:bidi="es-ES"/>
        </w:rPr>
        <w:t xml:space="preserve">aplica </w:t>
      </w:r>
      <w:r w:rsidRPr="00E2397D">
        <w:rPr>
          <w:rFonts w:ascii="Verdana" w:eastAsia="Arial" w:hAnsi="Verdana" w:cs="Arial"/>
          <w:lang w:val="es-ES" w:eastAsia="es-ES" w:bidi="es-ES"/>
        </w:rPr>
        <w:t xml:space="preserve">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E2397D">
        <w:rPr>
          <w:rFonts w:ascii="Verdana" w:eastAsia="Arial" w:hAnsi="Verdana" w:cs="Arial"/>
          <w:i/>
          <w:lang w:val="es-ES" w:eastAsia="es-ES" w:bidi="es-ES"/>
        </w:rPr>
        <w:t>En segundo lugar</w:t>
      </w:r>
      <w:r w:rsidRPr="00E2397D">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8"/>
    </w:p>
    <w:bookmarkEnd w:id="9"/>
    <w:p w14:paraId="0FF32954" w14:textId="77777777" w:rsidR="0066632B" w:rsidRPr="00E2397D" w:rsidRDefault="0066632B" w:rsidP="0066632B">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Ambas restricciones no son excluyentes, lo que permite concluir que</w:t>
      </w:r>
      <w:r>
        <w:rPr>
          <w:rFonts w:ascii="Verdana" w:eastAsia="Arial" w:hAnsi="Verdana" w:cs="Arial"/>
          <w:lang w:val="es-ES" w:eastAsia="es-ES" w:bidi="es-ES"/>
        </w:rPr>
        <w:t>,</w:t>
      </w:r>
      <w:r w:rsidRPr="00E2397D">
        <w:rPr>
          <w:rFonts w:ascii="Verdana" w:eastAsia="Arial" w:hAnsi="Verdana" w:cs="Arial"/>
          <w:lang w:val="es-ES" w:eastAsia="es-ES" w:bidi="es-ES"/>
        </w:rPr>
        <w:t xml:space="preserve"> en el período preelectoral para elección de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0"/>
    <w:p w14:paraId="7E852938" w14:textId="77777777" w:rsidR="0066632B" w:rsidRDefault="0066632B" w:rsidP="0066632B">
      <w:pPr>
        <w:spacing w:after="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w:t>
      </w:r>
      <w:r w:rsidRPr="00E2397D">
        <w:rPr>
          <w:rFonts w:ascii="Verdana" w:eastAsia="Arial" w:hAnsi="Verdana" w:cs="Arial"/>
          <w:lang w:val="es-ES" w:eastAsia="es-ES" w:bidi="es-ES"/>
        </w:rPr>
        <w:lastRenderedPageBreak/>
        <w:t xml:space="preserve">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 </w:t>
      </w:r>
    </w:p>
    <w:p w14:paraId="558B41E7" w14:textId="77777777" w:rsidR="0066632B" w:rsidRPr="00E2397D" w:rsidRDefault="0066632B" w:rsidP="0066632B">
      <w:pPr>
        <w:spacing w:after="0" w:line="276" w:lineRule="auto"/>
        <w:ind w:firstLine="708"/>
        <w:jc w:val="both"/>
        <w:rPr>
          <w:rFonts w:ascii="Verdana" w:eastAsia="Arial" w:hAnsi="Verdana" w:cs="Arial"/>
          <w:lang w:val="es-ES" w:eastAsia="es-ES" w:bidi="es-ES"/>
        </w:rPr>
      </w:pPr>
      <w:r w:rsidRPr="00E2397D">
        <w:rPr>
          <w:rFonts w:ascii="Verdana" w:eastAsia="Arial" w:hAnsi="Verdana" w:cs="Arial"/>
          <w:lang w:val="es-ES" w:eastAsia="es-ES" w:bidi="es-ES"/>
        </w:rPr>
        <w:t xml:space="preserve"> </w:t>
      </w:r>
      <w:bookmarkStart w:id="11" w:name="_Hlk78820161"/>
    </w:p>
    <w:p w14:paraId="5A6C1ECC" w14:textId="77777777" w:rsidR="0066632B" w:rsidRPr="0057193B" w:rsidRDefault="0066632B" w:rsidP="0066632B">
      <w:pPr>
        <w:spacing w:after="0" w:line="276" w:lineRule="auto"/>
        <w:jc w:val="both"/>
        <w:rPr>
          <w:rFonts w:ascii="Verdana" w:eastAsia="Times New Roman" w:hAnsi="Verdana" w:cs="Arial"/>
          <w:bCs/>
          <w:lang w:val="es-MX" w:eastAsia="es-CO"/>
        </w:rPr>
      </w:pPr>
      <w:proofErr w:type="spellStart"/>
      <w:r>
        <w:rPr>
          <w:rFonts w:ascii="Verdana" w:eastAsia="Arial" w:hAnsi="Verdana" w:cs="Arial"/>
          <w:lang w:val="es-ES" w:eastAsia="es-ES" w:bidi="es-ES"/>
        </w:rPr>
        <w:t>iii</w:t>
      </w:r>
      <w:proofErr w:type="spellEnd"/>
      <w:r>
        <w:rPr>
          <w:rFonts w:ascii="Verdana" w:eastAsia="Arial" w:hAnsi="Verdana" w:cs="Arial"/>
          <w:lang w:val="es-ES" w:eastAsia="es-ES" w:bidi="es-ES"/>
        </w:rPr>
        <w:t>.</w:t>
      </w:r>
      <w:r w:rsidRPr="0057193B">
        <w:rPr>
          <w:rFonts w:ascii="Verdana" w:eastAsia="Arial" w:hAnsi="Verdana" w:cs="Arial"/>
          <w:lang w:val="es-ES" w:eastAsia="es-ES" w:bidi="es-ES"/>
        </w:rPr>
        <w:t xml:space="preserve"> </w:t>
      </w:r>
      <w:r w:rsidRPr="0057193B">
        <w:rPr>
          <w:rFonts w:ascii="Verdana" w:eastAsia="Times New Roman" w:hAnsi="Verdana" w:cs="Arial"/>
          <w:bCs/>
          <w:lang w:val="es-MX" w:eastAsia="x-none"/>
        </w:rPr>
        <w:t xml:space="preserve">El ámbito material de la prohibición contenida en el artículo 33 de la ley 996 de 2005 está delimitado por la expresión </w:t>
      </w:r>
      <w:r>
        <w:rPr>
          <w:rFonts w:ascii="Verdana" w:eastAsia="Calibri" w:hAnsi="Verdana" w:cs="Arial"/>
          <w:bCs/>
          <w:sz w:val="20"/>
          <w:szCs w:val="20"/>
          <w:lang w:val="es-MX"/>
        </w:rPr>
        <w:t>“</w:t>
      </w:r>
      <w:r w:rsidRPr="0057193B">
        <w:rPr>
          <w:rFonts w:ascii="Verdana" w:eastAsia="Times New Roman" w:hAnsi="Verdana" w:cs="Arial"/>
          <w:bCs/>
          <w:lang w:val="es-MX" w:eastAsia="x-none"/>
        </w:rPr>
        <w:t>queda prohibida la contratación directa</w:t>
      </w:r>
      <w:r>
        <w:rPr>
          <w:rFonts w:ascii="Verdana" w:eastAsia="Calibri" w:hAnsi="Verdana" w:cs="Arial"/>
          <w:sz w:val="20"/>
          <w:szCs w:val="20"/>
          <w:lang w:val="es-MX"/>
        </w:rPr>
        <w:t>”</w:t>
      </w:r>
      <w:r w:rsidRPr="0057193B">
        <w:rPr>
          <w:rFonts w:ascii="Verdana" w:eastAsia="Times New Roman" w:hAnsi="Verdana" w:cs="Arial"/>
          <w:bCs/>
          <w:lang w:val="es-MX" w:eastAsia="x-none"/>
        </w:rPr>
        <w:t xml:space="preserve">. </w:t>
      </w:r>
      <w:r w:rsidRPr="0057193B">
        <w:rPr>
          <w:rFonts w:ascii="Verdana" w:eastAsia="Times New Roman" w:hAnsi="Verdana" w:cs="Arial"/>
          <w:lang w:val="es-MX" w:eastAsia="es-CO"/>
        </w:rPr>
        <w:t xml:space="preserve"> A propósito de </w:t>
      </w:r>
      <w:r w:rsidRPr="0057193B">
        <w:rPr>
          <w:rFonts w:ascii="Verdana" w:eastAsia="Times New Roman" w:hAnsi="Verdana" w:cs="Arial"/>
          <w:lang w:eastAsia="es-CO"/>
        </w:rPr>
        <w:t>esta restricción de la Ley de Garantías Electorales, la Sala de Consulta y Servicio Civil del Consejo de Estado ha considerado que:</w:t>
      </w:r>
    </w:p>
    <w:p w14:paraId="00E656D3" w14:textId="77777777" w:rsidR="0066632B" w:rsidRPr="00D631B0" w:rsidRDefault="0066632B" w:rsidP="0066632B">
      <w:pPr>
        <w:spacing w:after="0" w:line="276" w:lineRule="auto"/>
        <w:ind w:left="708" w:right="709"/>
        <w:jc w:val="both"/>
        <w:rPr>
          <w:rFonts w:ascii="Verdana" w:eastAsia="Calibri" w:hAnsi="Verdana" w:cs="Arial"/>
          <w:lang w:val="es-MX"/>
        </w:rPr>
      </w:pPr>
    </w:p>
    <w:p w14:paraId="1F9D808C" w14:textId="77777777" w:rsidR="0066632B" w:rsidRPr="00BB5022" w:rsidRDefault="0066632B" w:rsidP="0066632B">
      <w:pPr>
        <w:spacing w:after="120" w:line="240" w:lineRule="auto"/>
        <w:ind w:left="709" w:right="709"/>
        <w:jc w:val="both"/>
        <w:rPr>
          <w:rFonts w:ascii="Verdana" w:eastAsia="Calibri" w:hAnsi="Verdana" w:cs="Arial"/>
          <w:sz w:val="20"/>
          <w:szCs w:val="20"/>
          <w:lang w:val="es-MX"/>
        </w:rPr>
      </w:pPr>
      <w:r>
        <w:rPr>
          <w:rFonts w:ascii="Verdana" w:eastAsia="Calibri" w:hAnsi="Verdana" w:cs="Arial"/>
          <w:sz w:val="20"/>
          <w:szCs w:val="20"/>
          <w:lang w:val="es-MX"/>
        </w:rPr>
        <w:t>“</w:t>
      </w:r>
      <w:r w:rsidRPr="00BB5022">
        <w:rPr>
          <w:rFonts w:ascii="Verdana" w:eastAsia="Calibri" w:hAnsi="Verdana" w:cs="Arial"/>
          <w:sz w:val="20"/>
          <w:szCs w:val="20"/>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BB5022">
        <w:rPr>
          <w:rFonts w:ascii="Verdana" w:eastAsia="Times New Roman" w:hAnsi="Verdana" w:cs="Arial"/>
          <w:sz w:val="20"/>
          <w:szCs w:val="20"/>
          <w:vertAlign w:val="superscript"/>
          <w:lang w:eastAsia="es-CO"/>
        </w:rPr>
        <w:footnoteReference w:id="12"/>
      </w:r>
      <w:r w:rsidRPr="00BB5022">
        <w:rPr>
          <w:rFonts w:ascii="Verdana" w:eastAsia="Calibri" w:hAnsi="Verdana" w:cs="Arial"/>
          <w:sz w:val="20"/>
          <w:szCs w:val="20"/>
          <w:lang w:val="es-MX"/>
        </w:rPr>
        <w:t>.</w:t>
      </w:r>
    </w:p>
    <w:p w14:paraId="78592E8F" w14:textId="77777777" w:rsidR="0066632B" w:rsidRPr="00BB5022" w:rsidRDefault="0066632B" w:rsidP="0066632B">
      <w:pPr>
        <w:spacing w:after="0" w:line="240" w:lineRule="auto"/>
        <w:ind w:left="708" w:right="709"/>
        <w:jc w:val="both"/>
        <w:rPr>
          <w:rFonts w:ascii="Verdana" w:eastAsia="Calibri" w:hAnsi="Verdana" w:cs="Arial"/>
          <w:sz w:val="20"/>
          <w:szCs w:val="20"/>
          <w:lang w:val="es-MX"/>
        </w:rPr>
      </w:pPr>
      <w:r w:rsidRPr="00BB5022">
        <w:rPr>
          <w:rFonts w:ascii="Verdana" w:eastAsia="Calibri" w:hAnsi="Verdana" w:cs="Arial"/>
          <w:sz w:val="20"/>
          <w:szCs w:val="20"/>
          <w:lang w:val="es-MX"/>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BB5022">
        <w:rPr>
          <w:rFonts w:ascii="Verdana" w:eastAsia="Times New Roman" w:hAnsi="Verdana" w:cs="Arial"/>
          <w:sz w:val="20"/>
          <w:szCs w:val="20"/>
          <w:vertAlign w:val="superscript"/>
          <w:lang w:val="es-MX"/>
        </w:rPr>
        <w:footnoteReference w:id="13"/>
      </w:r>
      <w:r w:rsidRPr="00BB5022">
        <w:rPr>
          <w:rFonts w:ascii="Verdana" w:eastAsia="Times New Roman" w:hAnsi="Verdana" w:cs="Arial"/>
          <w:sz w:val="20"/>
          <w:szCs w:val="20"/>
          <w:vertAlign w:val="superscript"/>
          <w:lang w:val="es-MX"/>
        </w:rPr>
        <w:t>.</w:t>
      </w:r>
      <w:r w:rsidRPr="00BB5022">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Pr>
          <w:rFonts w:ascii="Verdana" w:eastAsia="Calibri" w:hAnsi="Verdana" w:cs="Arial"/>
          <w:sz w:val="20"/>
          <w:szCs w:val="20"/>
          <w:lang w:val="es-MX"/>
        </w:rPr>
        <w:t>”</w:t>
      </w:r>
      <w:r w:rsidRPr="00BB5022">
        <w:rPr>
          <w:rFonts w:ascii="Verdana" w:eastAsia="Times New Roman" w:hAnsi="Verdana" w:cs="Arial"/>
          <w:sz w:val="20"/>
          <w:szCs w:val="20"/>
          <w:vertAlign w:val="superscript"/>
          <w:lang w:eastAsia="es-CO"/>
        </w:rPr>
        <w:footnoteReference w:id="14"/>
      </w:r>
      <w:r w:rsidRPr="00BB5022">
        <w:rPr>
          <w:rFonts w:ascii="Verdana" w:eastAsia="Calibri" w:hAnsi="Verdana" w:cs="Arial"/>
          <w:sz w:val="20"/>
          <w:szCs w:val="20"/>
          <w:lang w:val="es-MX"/>
        </w:rPr>
        <w:t>.</w:t>
      </w:r>
    </w:p>
    <w:p w14:paraId="105C1608" w14:textId="77777777" w:rsidR="0066632B" w:rsidRPr="0057193B" w:rsidRDefault="0066632B" w:rsidP="0066632B">
      <w:pPr>
        <w:shd w:val="clear" w:color="auto" w:fill="FFFFFF"/>
        <w:spacing w:after="0" w:line="276" w:lineRule="auto"/>
        <w:ind w:firstLine="709"/>
        <w:jc w:val="both"/>
        <w:rPr>
          <w:rFonts w:ascii="Verdana" w:eastAsia="Times New Roman" w:hAnsi="Verdana" w:cs="Arial"/>
          <w:lang w:eastAsia="x-none"/>
        </w:rPr>
      </w:pPr>
    </w:p>
    <w:p w14:paraId="37C5E62E" w14:textId="77777777" w:rsidR="0066632B" w:rsidRPr="0057193B" w:rsidRDefault="0066632B" w:rsidP="0066632B">
      <w:pPr>
        <w:spacing w:after="120" w:line="276" w:lineRule="auto"/>
        <w:ind w:firstLine="708"/>
        <w:jc w:val="both"/>
        <w:rPr>
          <w:rFonts w:ascii="Verdana" w:eastAsia="Times New Roman" w:hAnsi="Verdana" w:cs="Arial"/>
          <w:bCs/>
          <w:lang w:eastAsia="x-none"/>
        </w:rPr>
      </w:pPr>
      <w:r w:rsidRPr="0057193B">
        <w:rPr>
          <w:rFonts w:ascii="Verdana" w:eastAsia="Times New Roman" w:hAnsi="Verdana" w:cs="Arial"/>
          <w:lang w:eastAsia="x-none"/>
        </w:rPr>
        <w:t xml:space="preserve">De acuerdo con el citado concepto, la prohibición del artículo 33 de la Ley de Garantías Electorales se refiere a </w:t>
      </w:r>
      <w:r>
        <w:rPr>
          <w:rFonts w:ascii="Verdana" w:eastAsia="Times New Roman" w:hAnsi="Verdana" w:cs="Arial"/>
          <w:sz w:val="19"/>
          <w:szCs w:val="19"/>
          <w:lang w:eastAsia="en-GB"/>
        </w:rPr>
        <w:t>“</w:t>
      </w:r>
      <w:r w:rsidRPr="0057193B">
        <w:rPr>
          <w:rFonts w:ascii="Verdana" w:eastAsia="Times New Roman" w:hAnsi="Verdana" w:cs="Arial"/>
          <w:lang w:eastAsia="x-none"/>
        </w:rPr>
        <w:t>cualquier sistema que no implique convocatoria pública y posibilidad de pluralidad de oferentes</w:t>
      </w:r>
      <w:r>
        <w:rPr>
          <w:rFonts w:ascii="Verdana" w:eastAsia="Times New Roman" w:hAnsi="Verdana" w:cs="Arial"/>
          <w:lang w:eastAsia="en-GB"/>
        </w:rPr>
        <w:t>”</w:t>
      </w:r>
      <w:r w:rsidRPr="0057193B">
        <w:rPr>
          <w:rFonts w:ascii="Verdana" w:eastAsia="Times New Roman" w:hAnsi="Verdana" w:cs="Arial"/>
          <w:lang w:eastAsia="x-none"/>
        </w:rPr>
        <w:t xml:space="preserve">, por lo que excluye </w:t>
      </w:r>
      <w:r w:rsidRPr="0057193B">
        <w:rPr>
          <w:rFonts w:ascii="Verdana" w:eastAsia="Times New Roman" w:hAnsi="Verdana" w:cs="Arial"/>
          <w:lang w:eastAsia="x-none"/>
        </w:rPr>
        <w:lastRenderedPageBreak/>
        <w:t xml:space="preserve">las demás modalidades de contratación previstas en la Ley 1150 de 2007, es decir, la licitación pública, la selección abreviada, el concurso de méritos </w:t>
      </w:r>
      <w:r w:rsidRPr="0057193B">
        <w:rPr>
          <w:rFonts w:ascii="Verdana" w:eastAsia="Times New Roman" w:hAnsi="Verdana" w:cs="Arial"/>
          <w:lang w:val="es-ES_tradnl" w:eastAsia="x-none"/>
        </w:rPr>
        <w:t>y la mínima cuantía</w:t>
      </w:r>
      <w:r w:rsidRPr="0057193B" w:rsidDel="00A85D9F">
        <w:rPr>
          <w:rFonts w:ascii="Verdana" w:eastAsia="Times New Roman" w:hAnsi="Verdana" w:cs="Arial"/>
          <w:lang w:eastAsia="x-none"/>
        </w:rPr>
        <w:t xml:space="preserve"> </w:t>
      </w:r>
      <w:r w:rsidRPr="0057193B">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sidRPr="0057193B">
        <w:rPr>
          <w:rFonts w:ascii="Verdana" w:eastAsia="Times New Roman" w:hAnsi="Verdana" w:cs="Arial"/>
          <w:vertAlign w:val="superscript"/>
          <w:lang w:val="en-GB" w:eastAsia="x-none"/>
        </w:rPr>
        <w:footnoteReference w:id="15"/>
      </w:r>
      <w:r w:rsidRPr="0057193B">
        <w:rPr>
          <w:rFonts w:ascii="Verdana" w:eastAsia="Times New Roman" w:hAnsi="Verdana" w:cs="Arial"/>
          <w:lang w:eastAsia="x-none"/>
        </w:rPr>
        <w:t xml:space="preserve"> y sistematizó las causales de contratación directa</w:t>
      </w:r>
      <w:r w:rsidRPr="0057193B">
        <w:rPr>
          <w:rFonts w:ascii="Verdana" w:eastAsia="Times New Roman" w:hAnsi="Verdana" w:cs="Arial"/>
          <w:vertAlign w:val="superscript"/>
          <w:lang w:val="en-GB" w:eastAsia="x-none"/>
        </w:rPr>
        <w:footnoteReference w:id="16"/>
      </w:r>
      <w:r w:rsidRPr="0057193B">
        <w:rPr>
          <w:rFonts w:ascii="Verdana" w:eastAsia="Times New Roman" w:hAnsi="Verdana" w:cs="Arial"/>
          <w:lang w:eastAsia="x-none"/>
        </w:rPr>
        <w:t xml:space="preserve">, </w:t>
      </w:r>
      <w:r w:rsidRPr="0057193B">
        <w:rPr>
          <w:rFonts w:ascii="Verdana" w:eastAsia="Calibri" w:hAnsi="Verdana" w:cs="Arial"/>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3E1C522C" w14:textId="77777777" w:rsidR="0066632B" w:rsidRPr="0057193B" w:rsidRDefault="0066632B" w:rsidP="0066632B">
      <w:pPr>
        <w:spacing w:after="120" w:line="276" w:lineRule="auto"/>
        <w:ind w:firstLine="708"/>
        <w:jc w:val="both"/>
        <w:rPr>
          <w:rFonts w:ascii="Verdana" w:eastAsia="Times New Roman" w:hAnsi="Verdana" w:cs="Arial"/>
          <w:lang w:val="es-MX" w:eastAsia="x-none"/>
        </w:rPr>
      </w:pPr>
      <w:r w:rsidRPr="0057193B">
        <w:rPr>
          <w:rFonts w:ascii="Verdana" w:eastAsia="Times New Roman" w:hAnsi="Verdana" w:cs="Arial"/>
          <w:lang w:eastAsia="x-none"/>
        </w:rPr>
        <w:t xml:space="preserve">De esta forma, con fundamento en la evolución de la normativa sobre la contratación pública, se ha depurado la noción de </w:t>
      </w:r>
      <w:r>
        <w:rPr>
          <w:rFonts w:ascii="Verdana" w:eastAsia="Times New Roman" w:hAnsi="Verdana" w:cs="Arial"/>
          <w:sz w:val="19"/>
          <w:szCs w:val="19"/>
          <w:lang w:eastAsia="en-GB"/>
        </w:rPr>
        <w:t>“</w:t>
      </w:r>
      <w:r w:rsidRPr="0057193B">
        <w:rPr>
          <w:rFonts w:ascii="Verdana" w:eastAsia="Times New Roman" w:hAnsi="Verdana" w:cs="Arial"/>
          <w:lang w:eastAsia="x-none"/>
        </w:rPr>
        <w:t>contratación directa</w:t>
      </w:r>
      <w:r>
        <w:rPr>
          <w:rFonts w:ascii="Verdana" w:eastAsia="Times New Roman" w:hAnsi="Verdana" w:cs="Arial"/>
          <w:lang w:eastAsia="en-GB"/>
        </w:rPr>
        <w:t>”</w:t>
      </w:r>
      <w:r w:rsidRPr="0057193B">
        <w:rPr>
          <w:rFonts w:ascii="Verdana" w:eastAsia="Times New Roman" w:hAnsi="Verdana" w:cs="Arial"/>
          <w:lang w:eastAsia="x-none"/>
        </w:rPr>
        <w:t xml:space="preserve">, precisando el Consejo de Estado –en el concepto citado– que, </w:t>
      </w:r>
      <w:r>
        <w:rPr>
          <w:rFonts w:ascii="Verdana" w:eastAsia="Times New Roman" w:hAnsi="Verdana" w:cs="Arial"/>
          <w:lang w:eastAsia="x-none"/>
        </w:rPr>
        <w:t>“</w:t>
      </w:r>
      <w:r w:rsidRPr="0057193B">
        <w:rPr>
          <w:rFonts w:ascii="Verdana" w:eastAsia="Times New Roman" w:hAnsi="Verdana" w:cs="Arial"/>
          <w:lang w:eastAsia="x-none"/>
        </w:rPr>
        <w:t>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57193B">
        <w:rPr>
          <w:rFonts w:ascii="Verdana" w:eastAsia="Times New Roman" w:hAnsi="Verdana" w:cs="Arial"/>
          <w:vertAlign w:val="superscript"/>
          <w:lang w:val="en-GB" w:eastAsia="x-none"/>
        </w:rPr>
        <w:footnoteReference w:id="17"/>
      </w:r>
      <w:r w:rsidRPr="0057193B">
        <w:rPr>
          <w:rFonts w:ascii="Verdana" w:eastAsia="Times New Roman" w:hAnsi="Verdana" w:cs="Arial"/>
          <w:lang w:eastAsia="x-none"/>
        </w:rPr>
        <w:t>, han establecido sistemas de contratación que implican convocatoria pública y participación de varios oferentes</w:t>
      </w:r>
      <w:r>
        <w:rPr>
          <w:rFonts w:ascii="Verdana" w:eastAsia="Times New Roman" w:hAnsi="Verdana" w:cs="Arial"/>
          <w:lang w:eastAsia="en-GB"/>
        </w:rPr>
        <w:t>”</w:t>
      </w:r>
      <w:r w:rsidRPr="0057193B">
        <w:rPr>
          <w:rFonts w:ascii="Verdana" w:eastAsia="Times New Roman" w:hAnsi="Verdana" w:cs="Arial"/>
          <w:lang w:eastAsia="x-none"/>
        </w:rPr>
        <w:t xml:space="preserve">. </w:t>
      </w:r>
    </w:p>
    <w:p w14:paraId="5F892532" w14:textId="77777777" w:rsidR="0066632B" w:rsidRPr="0057193B" w:rsidRDefault="0066632B" w:rsidP="0066632B">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x-none"/>
        </w:rPr>
        <w:t>E</w:t>
      </w:r>
      <w:r w:rsidRPr="0057193B">
        <w:rPr>
          <w:rFonts w:ascii="Verdana" w:eastAsia="Times New Roman" w:hAnsi="Verdana" w:cs="Arial"/>
          <w:lang w:eastAsia="x-none"/>
        </w:rPr>
        <w:t xml:space="preserv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w:t>
      </w:r>
      <w:r>
        <w:rPr>
          <w:rFonts w:ascii="Verdana" w:eastAsia="Times New Roman" w:hAnsi="Verdana" w:cs="Arial"/>
          <w:lang w:eastAsia="x-none"/>
        </w:rPr>
        <w:t>“</w:t>
      </w:r>
      <w:r w:rsidRPr="0057193B">
        <w:rPr>
          <w:rFonts w:ascii="Verdana" w:eastAsia="Times New Roman" w:hAnsi="Verdana" w:cs="Arial"/>
          <w:lang w:eastAsia="x-none"/>
        </w:rPr>
        <w:t>contratación directa</w:t>
      </w:r>
      <w:r>
        <w:rPr>
          <w:rFonts w:ascii="Verdana" w:eastAsia="Times New Roman" w:hAnsi="Verdana" w:cs="Arial"/>
          <w:lang w:eastAsia="x-none"/>
        </w:rPr>
        <w:t>”</w:t>
      </w:r>
      <w:r w:rsidRPr="0057193B">
        <w:rPr>
          <w:rFonts w:ascii="Verdana" w:eastAsia="Times New Roman" w:hAnsi="Verdana" w:cs="Arial"/>
          <w:lang w:eastAsia="x-none"/>
        </w:rPr>
        <w:t>, es que la convocatoria para inscribirse en forma previa se haga de manera pública, y que se permita la participación de una pluralidad de oferentes</w:t>
      </w:r>
      <w:r w:rsidRPr="0057193B">
        <w:rPr>
          <w:rFonts w:ascii="Verdana" w:eastAsia="Times New Roman" w:hAnsi="Verdana" w:cs="Arial"/>
          <w:vertAlign w:val="superscript"/>
          <w:lang w:eastAsia="x-none"/>
        </w:rPr>
        <w:footnoteReference w:id="18"/>
      </w:r>
      <w:r w:rsidRPr="0057193B">
        <w:rPr>
          <w:rFonts w:ascii="Verdana" w:eastAsia="Times New Roman" w:hAnsi="Verdana" w:cs="Arial"/>
          <w:lang w:eastAsia="x-none"/>
        </w:rPr>
        <w:t xml:space="preserve">. </w:t>
      </w:r>
    </w:p>
    <w:p w14:paraId="2B64C662" w14:textId="77777777" w:rsidR="0066632B" w:rsidRPr="0057193B" w:rsidRDefault="0066632B" w:rsidP="0066632B">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es-CO"/>
        </w:rPr>
        <w:lastRenderedPageBreak/>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Pr>
          <w:rFonts w:ascii="Verdana" w:eastAsia="Times New Roman" w:hAnsi="Verdana" w:cs="Arial"/>
          <w:bCs/>
          <w:lang w:val="es-MX" w:eastAsia="es-CO"/>
        </w:rPr>
        <w:t>“</w:t>
      </w:r>
      <w:r w:rsidRPr="0057193B">
        <w:rPr>
          <w:rFonts w:ascii="Verdana" w:eastAsia="Times New Roman" w:hAnsi="Verdana" w:cs="Arial"/>
          <w:bCs/>
          <w:lang w:val="es-MX" w:eastAsia="es-CO"/>
        </w:rPr>
        <w:t>contratación directa</w:t>
      </w:r>
      <w:r>
        <w:rPr>
          <w:rFonts w:ascii="Verdana" w:eastAsia="Times New Roman" w:hAnsi="Verdana" w:cs="Arial"/>
          <w:bCs/>
          <w:lang w:val="es-MX" w:eastAsia="es-CO"/>
        </w:rPr>
        <w:t>”</w:t>
      </w:r>
      <w:r w:rsidRPr="0057193B">
        <w:rPr>
          <w:rFonts w:ascii="Verdana" w:eastAsia="Times New Roman" w:hAnsi="Verdana" w:cs="Arial"/>
          <w:bCs/>
          <w:lang w:val="es-MX" w:eastAsia="es-CO"/>
        </w:rPr>
        <w:t>.</w:t>
      </w:r>
    </w:p>
    <w:p w14:paraId="541B6190" w14:textId="77777777" w:rsidR="0066632B" w:rsidRPr="0057193B" w:rsidRDefault="0066632B" w:rsidP="0066632B">
      <w:pPr>
        <w:spacing w:after="120" w:line="276" w:lineRule="auto"/>
        <w:ind w:firstLine="708"/>
        <w:jc w:val="both"/>
        <w:rPr>
          <w:rFonts w:ascii="Verdana" w:eastAsia="Times New Roman" w:hAnsi="Verdana" w:cs="Arial"/>
          <w:bCs/>
          <w:lang w:val="es-MX" w:eastAsia="x-none"/>
        </w:rPr>
      </w:pPr>
      <w:r w:rsidRPr="0057193B">
        <w:rPr>
          <w:rFonts w:ascii="Verdana" w:eastAsia="Times New Roman" w:hAnsi="Verdana" w:cs="Arial"/>
          <w:bCs/>
          <w:lang w:val="es-MX" w:eastAsia="x-none"/>
        </w:rPr>
        <w:t xml:space="preserve"> Así las cosas, ha de entenderse que, para los efectos de la Ley de Garantías Electorales y, en particular, para la prohibición o restricción tempora</w:t>
      </w:r>
      <w:r>
        <w:rPr>
          <w:rFonts w:ascii="Verdana" w:eastAsia="Times New Roman" w:hAnsi="Verdana" w:cs="Arial"/>
          <w:bCs/>
          <w:lang w:val="es-MX" w:eastAsia="x-none"/>
        </w:rPr>
        <w:t>l contenida en su artículo 33, “contratación directa”</w:t>
      </w:r>
      <w:r w:rsidRPr="0057193B">
        <w:rPr>
          <w:rFonts w:ascii="Verdana" w:eastAsia="Times New Roman" w:hAnsi="Verdana" w:cs="Arial"/>
          <w:bCs/>
          <w:lang w:val="es-MX" w:eastAsia="x-none"/>
        </w:rPr>
        <w:t xml:space="preserve"> es cualquier sistema de selección o procedimiento de contratación utilizado por las entidades estatales que no incluya la convocatoria pública en alguna de sus etapas, ni permita la participación de una pluralidad de oferentes</w:t>
      </w:r>
      <w:r w:rsidRPr="0057193B">
        <w:rPr>
          <w:rFonts w:ascii="Verdana" w:eastAsia="Times New Roman" w:hAnsi="Verdana" w:cs="Arial"/>
          <w:vertAlign w:val="superscript"/>
          <w:lang w:eastAsia="x-none"/>
        </w:rPr>
        <w:footnoteReference w:id="19"/>
      </w:r>
      <w:r w:rsidRPr="0057193B">
        <w:rPr>
          <w:rFonts w:ascii="Verdana" w:eastAsia="Times New Roman" w:hAnsi="Verdana" w:cs="Arial"/>
          <w:bCs/>
          <w:lang w:val="es-MX" w:eastAsia="x-none"/>
        </w:rPr>
        <w:t>.</w:t>
      </w:r>
      <w:r w:rsidRPr="0057193B">
        <w:rPr>
          <w:rFonts w:ascii="Verdana" w:eastAsia="Times New Roman" w:hAnsi="Verdana" w:cs="Arial"/>
          <w:vertAlign w:val="superscript"/>
          <w:lang w:eastAsia="x-none"/>
        </w:rPr>
        <w:t xml:space="preserve"> </w:t>
      </w:r>
    </w:p>
    <w:p w14:paraId="397AA17D" w14:textId="77777777" w:rsidR="0066632B" w:rsidRPr="0057193B" w:rsidRDefault="0066632B" w:rsidP="0066632B">
      <w:pPr>
        <w:spacing w:after="120" w:line="276" w:lineRule="auto"/>
        <w:ind w:firstLine="708"/>
        <w:jc w:val="both"/>
        <w:rPr>
          <w:rFonts w:ascii="Verdana" w:eastAsia="Times New Roman" w:hAnsi="Verdana" w:cs="Arial"/>
          <w:lang w:eastAsia="x-none"/>
        </w:rPr>
      </w:pPr>
      <w:r w:rsidRPr="0057193B">
        <w:rPr>
          <w:rFonts w:ascii="Verdana" w:eastAsia="Times New Roman"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57193B">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bookmarkEnd w:id="11"/>
    <w:p w14:paraId="71EAF836" w14:textId="77777777" w:rsidR="0066632B" w:rsidRDefault="0066632B" w:rsidP="0066632B">
      <w:pPr>
        <w:pStyle w:val="paragraph"/>
        <w:shd w:val="clear" w:color="auto" w:fill="FFFFFF"/>
        <w:spacing w:before="0" w:beforeAutospacing="0" w:after="0" w:afterAutospacing="0" w:line="276" w:lineRule="auto"/>
        <w:ind w:firstLine="708"/>
        <w:jc w:val="both"/>
        <w:textAlignment w:val="baseline"/>
        <w:rPr>
          <w:rFonts w:ascii="Verdana" w:eastAsia="Calibri" w:hAnsi="Verdana" w:cs="Arial"/>
          <w:sz w:val="22"/>
          <w:szCs w:val="22"/>
          <w:lang w:val="es-ES"/>
        </w:rPr>
      </w:pPr>
    </w:p>
    <w:p w14:paraId="5E411DE9" w14:textId="77689119" w:rsidR="0066632B" w:rsidRPr="00F4158D" w:rsidRDefault="0066632B" w:rsidP="00753D32">
      <w:pPr>
        <w:pStyle w:val="paragraph"/>
        <w:shd w:val="clear" w:color="auto" w:fill="FFFFFF"/>
        <w:spacing w:before="0" w:beforeAutospacing="0" w:after="120" w:afterAutospacing="0" w:line="276" w:lineRule="auto"/>
        <w:ind w:firstLine="708"/>
        <w:jc w:val="both"/>
        <w:textAlignment w:val="baseline"/>
        <w:rPr>
          <w:rFonts w:ascii="Verdana" w:eastAsia="Calibri" w:hAnsi="Verdana" w:cs="Arial"/>
          <w:bCs/>
          <w:color w:val="000000" w:themeColor="text1"/>
          <w:sz w:val="22"/>
          <w:szCs w:val="22"/>
        </w:rPr>
      </w:pPr>
      <w:r w:rsidRPr="00F4158D">
        <w:rPr>
          <w:rFonts w:ascii="Verdana" w:eastAsia="Calibri" w:hAnsi="Verdana" w:cs="Arial"/>
          <w:bCs/>
          <w:color w:val="000000" w:themeColor="text1"/>
          <w:sz w:val="22"/>
          <w:szCs w:val="22"/>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w:t>
      </w:r>
      <w:r w:rsidRPr="00F4158D">
        <w:rPr>
          <w:rFonts w:ascii="Verdana" w:eastAsia="Calibri" w:hAnsi="Verdana" w:cs="Arial"/>
          <w:bCs/>
          <w:color w:val="000000" w:themeColor="text1"/>
          <w:sz w:val="22"/>
          <w:szCs w:val="22"/>
        </w:rPr>
        <w:lastRenderedPageBreak/>
        <w:t>correspondiente y, en caso de conflicto, a las autoridades judiciales, fiscales y disciplinarias.</w:t>
      </w:r>
    </w:p>
    <w:p w14:paraId="03255BE0" w14:textId="77777777" w:rsidR="0066632B" w:rsidRPr="00F4158D" w:rsidRDefault="0066632B" w:rsidP="0066632B">
      <w:pPr>
        <w:spacing w:after="0" w:line="276" w:lineRule="auto"/>
        <w:ind w:firstLine="708"/>
        <w:jc w:val="both"/>
        <w:rPr>
          <w:rFonts w:ascii="Verdana" w:hAnsi="Verdana" w:cs="Arial"/>
          <w:color w:val="000000" w:themeColor="text1"/>
        </w:rPr>
      </w:pPr>
      <w:r w:rsidRPr="00F4158D">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4B4246E3" w14:textId="77777777" w:rsidR="0066632B" w:rsidRPr="00F4158D" w:rsidRDefault="0066632B" w:rsidP="0066632B">
      <w:pPr>
        <w:spacing w:after="0" w:line="276" w:lineRule="auto"/>
        <w:jc w:val="both"/>
        <w:rPr>
          <w:rFonts w:ascii="Verdana" w:eastAsia="Calibri" w:hAnsi="Verdana" w:cs="Arial"/>
          <w:bCs/>
          <w:color w:val="000000" w:themeColor="text1"/>
        </w:rPr>
      </w:pPr>
      <w:r w:rsidRPr="00F4158D">
        <w:rPr>
          <w:rFonts w:ascii="Verdana" w:eastAsia="Calibri" w:hAnsi="Verdana" w:cs="Arial"/>
          <w:bCs/>
          <w:color w:val="000000" w:themeColor="text1"/>
        </w:rPr>
        <w:t xml:space="preserve"> </w:t>
      </w:r>
    </w:p>
    <w:p w14:paraId="48A65A3E" w14:textId="77777777" w:rsidR="0066632B" w:rsidRPr="00593A5F" w:rsidRDefault="0066632B" w:rsidP="0066632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30E0DCF5" w14:textId="77777777" w:rsidR="0066632B" w:rsidRPr="00593A5F" w:rsidRDefault="0066632B" w:rsidP="0066632B">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6632B" w:rsidRPr="002407CE" w14:paraId="0996EAFF" w14:textId="77777777" w:rsidTr="00024F5A">
        <w:trPr>
          <w:trHeight w:val="870"/>
          <w:jc w:val="center"/>
        </w:trPr>
        <w:tc>
          <w:tcPr>
            <w:tcW w:w="8647" w:type="dxa"/>
          </w:tcPr>
          <w:p w14:paraId="3D897414" w14:textId="77777777" w:rsidR="0066632B" w:rsidRDefault="0066632B" w:rsidP="00024F5A">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Constitución Política de 1991, artículos 127 y 197.</w:t>
            </w:r>
          </w:p>
          <w:p w14:paraId="1EECA543" w14:textId="1A0A936C" w:rsidR="0066632B" w:rsidRPr="00287DE9" w:rsidRDefault="0066632B" w:rsidP="00322900">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artículos 39 y 41.</w:t>
            </w:r>
          </w:p>
          <w:p w14:paraId="778CC418" w14:textId="77777777" w:rsidR="0066632B" w:rsidRDefault="0066632B" w:rsidP="00024F5A">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996 de 2005, artículos 33 y 38.</w:t>
            </w:r>
          </w:p>
          <w:p w14:paraId="6E4BB4DE" w14:textId="77777777" w:rsidR="0066632B" w:rsidRDefault="0066632B" w:rsidP="00024F5A">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 2.</w:t>
            </w:r>
          </w:p>
          <w:p w14:paraId="1F6BE758" w14:textId="77777777" w:rsidR="0066632B" w:rsidRPr="003630EB" w:rsidRDefault="0066632B" w:rsidP="00024F5A">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hAnsi="Verdana" w:cs="Arial"/>
              </w:rPr>
              <w:t>Código Civil, artículo 1501.</w:t>
            </w:r>
          </w:p>
        </w:tc>
      </w:tr>
    </w:tbl>
    <w:p w14:paraId="7DC1EBCF" w14:textId="77777777" w:rsidR="0066632B" w:rsidRPr="002407CE" w:rsidRDefault="0066632B" w:rsidP="0066632B">
      <w:pPr>
        <w:widowControl w:val="0"/>
        <w:autoSpaceDE w:val="0"/>
        <w:autoSpaceDN w:val="0"/>
        <w:spacing w:after="0" w:line="276" w:lineRule="auto"/>
        <w:jc w:val="both"/>
        <w:rPr>
          <w:rFonts w:ascii="Verdana" w:hAnsi="Verdana" w:cs="Arial"/>
        </w:rPr>
      </w:pPr>
    </w:p>
    <w:p w14:paraId="138066BA" w14:textId="77777777" w:rsidR="0066632B" w:rsidRPr="00593A5F" w:rsidRDefault="0066632B" w:rsidP="0066632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3FF1B115" w14:textId="77777777" w:rsidR="0066632B" w:rsidRPr="00593A5F" w:rsidRDefault="0066632B" w:rsidP="0066632B">
      <w:pPr>
        <w:widowControl w:val="0"/>
        <w:autoSpaceDE w:val="0"/>
        <w:autoSpaceDN w:val="0"/>
        <w:spacing w:after="0" w:line="276" w:lineRule="auto"/>
        <w:jc w:val="both"/>
        <w:rPr>
          <w:rFonts w:ascii="Verdana" w:hAnsi="Verdana" w:cs="Arial"/>
        </w:rPr>
      </w:pPr>
    </w:p>
    <w:p w14:paraId="36233F5B" w14:textId="575CFA08" w:rsidR="0066632B" w:rsidRPr="00ED0098" w:rsidRDefault="0066632B" w:rsidP="0066632B">
      <w:pPr>
        <w:widowControl w:val="0"/>
        <w:autoSpaceDE w:val="0"/>
        <w:autoSpaceDN w:val="0"/>
        <w:spacing w:after="0" w:line="276" w:lineRule="auto"/>
        <w:jc w:val="both"/>
        <w:rPr>
          <w:rStyle w:val="normaltextrun"/>
          <w:rFonts w:ascii="Verdana" w:hAnsi="Verdana" w:cs="Arial"/>
          <w:shd w:val="clear" w:color="auto" w:fill="FFFFFF"/>
        </w:rPr>
      </w:pPr>
      <w:r w:rsidRPr="00177E85">
        <w:rPr>
          <w:rFonts w:ascii="Verdana" w:hAnsi="Verdana" w:cs="Arial"/>
          <w:shd w:val="clear" w:color="auto" w:fill="FFFFFF"/>
        </w:rPr>
        <w:t xml:space="preserve">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w:t>
      </w:r>
      <w:r w:rsidRPr="00177E85">
        <w:rPr>
          <w:rFonts w:ascii="Verdana" w:hAnsi="Verdana" w:cs="Arial"/>
          <w:shd w:val="clear" w:color="auto" w:fill="FFFFFF"/>
        </w:rPr>
        <w:lastRenderedPageBreak/>
        <w:t xml:space="preserve">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w:t>
      </w:r>
      <w:r>
        <w:rPr>
          <w:rFonts w:ascii="Verdana" w:hAnsi="Verdana" w:cs="Arial"/>
          <w:shd w:val="clear" w:color="auto" w:fill="FFFFFF"/>
        </w:rPr>
        <w:t xml:space="preserve">C-1343 del 20 de octubre de 2025, C-1350 del 1˚ de octubre de 2025, C-1512 del 27 de octubre de 2025, C-1488 del 30 de octubre de 2025, C-1596 del 6 de noviembre de 2025, </w:t>
      </w:r>
      <w:r w:rsidRPr="00177E85">
        <w:rPr>
          <w:rFonts w:ascii="Verdana" w:hAnsi="Verdana" w:cs="Arial"/>
          <w:shd w:val="clear" w:color="auto" w:fill="FFFFFF"/>
        </w:rPr>
        <w:t>entre otros</w:t>
      </w:r>
      <w:r>
        <w:rPr>
          <w:rStyle w:val="normaltextrun"/>
          <w:rFonts w:ascii="Verdana" w:hAnsi="Verdana" w:cs="Arial"/>
          <w:shd w:val="clear" w:color="auto" w:fill="FFFFFF"/>
          <w:lang w:val="es-ES_tradnl"/>
        </w:rPr>
        <w:t>.</w:t>
      </w:r>
      <w:r>
        <w:rPr>
          <w:rFonts w:ascii="Verdana" w:hAnsi="Verdana" w:cs="Arial"/>
          <w:shd w:val="clear" w:color="auto" w:fill="FFFFFF"/>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01425FE7" w14:textId="77777777" w:rsidR="0066632B" w:rsidRPr="00096788" w:rsidRDefault="0066632B" w:rsidP="0066632B">
      <w:pPr>
        <w:widowControl w:val="0"/>
        <w:autoSpaceDE w:val="0"/>
        <w:autoSpaceDN w:val="0"/>
        <w:spacing w:after="0" w:line="276" w:lineRule="auto"/>
        <w:jc w:val="both"/>
        <w:rPr>
          <w:rFonts w:ascii="Verdana" w:hAnsi="Verdana" w:cs="Arial"/>
          <w:color w:val="000000" w:themeColor="text1"/>
          <w:shd w:val="clear" w:color="auto" w:fill="FFFFFF"/>
        </w:rPr>
      </w:pPr>
    </w:p>
    <w:p w14:paraId="6A65CC39" w14:textId="77777777" w:rsidR="0066632B" w:rsidRDefault="0066632B" w:rsidP="0066632B">
      <w:pPr>
        <w:shd w:val="clear" w:color="auto" w:fill="FFFFFF"/>
        <w:spacing w:after="0" w:line="276" w:lineRule="auto"/>
        <w:jc w:val="both"/>
        <w:rPr>
          <w:rFonts w:ascii="Verdana" w:hAnsi="Verdana"/>
          <w:color w:val="000000"/>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sidRPr="00032009">
        <w:rPr>
          <w:rFonts w:ascii="Verdana" w:hAnsi="Verdana"/>
          <w:color w:val="000000"/>
          <w:u w:val="single"/>
        </w:rPr>
        <w:t>"</w:t>
      </w:r>
      <w:r>
        <w:rPr>
          <w:rFonts w:ascii="Verdana" w:hAnsi="Verdana"/>
          <w:color w:val="000000"/>
          <w:u w:val="single"/>
        </w:rPr>
        <w:t>.</w:t>
      </w:r>
    </w:p>
    <w:p w14:paraId="5E58A676" w14:textId="77777777" w:rsidR="0066632B" w:rsidRDefault="0066632B" w:rsidP="0066632B">
      <w:pPr>
        <w:shd w:val="clear" w:color="auto" w:fill="FFFFFF"/>
        <w:spacing w:after="0" w:line="276" w:lineRule="auto"/>
        <w:jc w:val="both"/>
        <w:rPr>
          <w:rFonts w:ascii="Verdana" w:hAnsi="Verdana"/>
          <w:color w:val="000000"/>
          <w:u w:val="single"/>
        </w:rPr>
      </w:pPr>
    </w:p>
    <w:p w14:paraId="09F6D68F" w14:textId="77777777" w:rsidR="0066632B" w:rsidRPr="0038088D" w:rsidRDefault="0066632B" w:rsidP="0066632B">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w:t>
      </w:r>
      <w:r w:rsidRPr="0038088D">
        <w:rPr>
          <w:rFonts w:ascii="Verdana" w:hAnsi="Verdana"/>
        </w:rPr>
        <w:t xml:space="preserve">atención: </w:t>
      </w:r>
    </w:p>
    <w:p w14:paraId="5D91EFAF" w14:textId="77777777" w:rsidR="0066632B" w:rsidRPr="0038088D" w:rsidRDefault="0066632B" w:rsidP="0066632B">
      <w:pPr>
        <w:spacing w:after="0"/>
        <w:jc w:val="both"/>
        <w:rPr>
          <w:rFonts w:ascii="Verdana" w:hAnsi="Verdana"/>
        </w:rPr>
      </w:pPr>
    </w:p>
    <w:p w14:paraId="42A4EE35" w14:textId="77777777" w:rsidR="0066632B" w:rsidRPr="0038088D" w:rsidRDefault="0066632B" w:rsidP="0066632B">
      <w:pPr>
        <w:pStyle w:val="Prrafodelista"/>
        <w:numPr>
          <w:ilvl w:val="0"/>
          <w:numId w:val="15"/>
        </w:numPr>
        <w:spacing w:after="0" w:line="240" w:lineRule="auto"/>
        <w:jc w:val="both"/>
        <w:rPr>
          <w:rFonts w:ascii="Verdana" w:eastAsia="Verdana" w:hAnsi="Verdana" w:cs="Verdana"/>
          <w:color w:val="4472C4" w:themeColor="accent1"/>
          <w:u w:val="single"/>
        </w:rPr>
      </w:pPr>
      <w:r w:rsidRPr="0038088D">
        <w:rPr>
          <w:rFonts w:ascii="Verdana" w:eastAsia="Verdana" w:hAnsi="Verdana" w:cs="Verdana"/>
        </w:rPr>
        <w:t xml:space="preserve">Línea nacional gratuita o servicio a la ciudadanía (Mesa de servicio): </w:t>
      </w:r>
      <w:r w:rsidRPr="0038088D">
        <w:rPr>
          <w:rStyle w:val="Hipervnculo"/>
          <w:rFonts w:ascii="Verdana" w:hAnsi="Verdana"/>
        </w:rPr>
        <w:t>01800 0520808</w:t>
      </w:r>
    </w:p>
    <w:p w14:paraId="4C5334BB" w14:textId="77777777" w:rsidR="0066632B" w:rsidRPr="0038088D" w:rsidRDefault="0066632B" w:rsidP="0066632B">
      <w:pPr>
        <w:pStyle w:val="Prrafodelista"/>
        <w:numPr>
          <w:ilvl w:val="0"/>
          <w:numId w:val="15"/>
        </w:numPr>
        <w:spacing w:after="0"/>
        <w:rPr>
          <w:rFonts w:ascii="Verdana" w:eastAsia="Verdana" w:hAnsi="Verdana" w:cs="Verdana"/>
          <w:color w:val="4472C4" w:themeColor="accent1"/>
          <w:u w:val="single"/>
        </w:rPr>
      </w:pPr>
      <w:r w:rsidRPr="0038088D">
        <w:rPr>
          <w:rFonts w:ascii="Verdana" w:eastAsia="Verdana" w:hAnsi="Verdana" w:cs="Verdana"/>
        </w:rPr>
        <w:t>Línea en Bogotá (Mesa de servicio):</w:t>
      </w:r>
      <w:r w:rsidRPr="0038088D">
        <w:rPr>
          <w:rStyle w:val="Hipervnculo"/>
          <w:rFonts w:ascii="Verdana" w:hAnsi="Verdana"/>
        </w:rPr>
        <w:t>+57 601 7456788</w:t>
      </w:r>
    </w:p>
    <w:p w14:paraId="2F1ABCBB" w14:textId="77777777" w:rsidR="0066632B" w:rsidRPr="0038088D" w:rsidRDefault="0066632B" w:rsidP="0066632B">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 xml:space="preserve">Correo de radicación de correspondencia: </w:t>
      </w:r>
      <w:hyperlink r:id="rId14">
        <w:r w:rsidRPr="0038088D">
          <w:rPr>
            <w:rStyle w:val="Hipervnculo"/>
            <w:rFonts w:ascii="Verdana" w:eastAsia="Verdana" w:hAnsi="Verdana" w:cs="Verdana"/>
          </w:rPr>
          <w:t>ventanilladeradicacion@colombiacompra.gov.co</w:t>
        </w:r>
      </w:hyperlink>
    </w:p>
    <w:p w14:paraId="2FC720C2" w14:textId="77777777" w:rsidR="0066632B" w:rsidRPr="0038088D" w:rsidRDefault="0066632B" w:rsidP="0066632B">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lastRenderedPageBreak/>
        <w:t>Formulario web para</w:t>
      </w:r>
      <w:r w:rsidRPr="0038088D">
        <w:rPr>
          <w:rFonts w:ascii="Verdana" w:eastAsia="Verdana" w:hAnsi="Verdana" w:cs="Verdana"/>
          <w:lang w:val="es"/>
        </w:rPr>
        <w:t xml:space="preserve"> PQRSD: </w:t>
      </w:r>
      <w:hyperlink r:id="rId15">
        <w:r w:rsidRPr="0038088D">
          <w:rPr>
            <w:rStyle w:val="Hipervnculo"/>
            <w:rFonts w:ascii="Verdana" w:eastAsia="Verdana" w:hAnsi="Verdana" w:cs="Verdana"/>
          </w:rPr>
          <w:t>https://www.colombiacompra.gov.co/pqrsd/informacion-importante-antes-de-formular-una-pqrsd</w:t>
        </w:r>
      </w:hyperlink>
    </w:p>
    <w:p w14:paraId="05408F9E" w14:textId="77777777" w:rsidR="0066632B" w:rsidRPr="0038088D" w:rsidRDefault="0066632B" w:rsidP="0066632B">
      <w:pPr>
        <w:spacing w:after="0" w:line="240" w:lineRule="auto"/>
        <w:ind w:left="720"/>
        <w:jc w:val="both"/>
        <w:rPr>
          <w:rFonts w:ascii="Verdana" w:hAnsi="Verdana"/>
        </w:rPr>
      </w:pPr>
    </w:p>
    <w:p w14:paraId="18D24B69" w14:textId="77777777" w:rsidR="0066632B" w:rsidRPr="0038088D" w:rsidRDefault="0066632B" w:rsidP="0066632B">
      <w:pPr>
        <w:spacing w:after="0" w:line="240" w:lineRule="auto"/>
        <w:rPr>
          <w:rFonts w:ascii="Verdana" w:hAnsi="Verdana"/>
        </w:rPr>
      </w:pPr>
      <w:r w:rsidRPr="0038088D">
        <w:rPr>
          <w:rFonts w:ascii="Verdana" w:hAnsi="Verdana"/>
        </w:rPr>
        <w:t>Evalúa el servicio que ofrece la Agencia por el canal de atención de PQRSD en el siguiente enlace :</w:t>
      </w:r>
      <w:hyperlink r:id="rId16" w:tgtFrame="_blank" w:tooltip="https://forms.office.com/r/pphywvs2sz" w:history="1">
        <w:r w:rsidRPr="0038088D">
          <w:rPr>
            <w:rStyle w:val="Hipervnculo"/>
            <w:rFonts w:ascii="Verdana" w:hAnsi="Verdana"/>
          </w:rPr>
          <w:t>https://forms.office.com/r/pPHyWVs2SZ</w:t>
        </w:r>
      </w:hyperlink>
      <w:r w:rsidRPr="0038088D">
        <w:rPr>
          <w:rFonts w:ascii="Verdana" w:hAnsi="Verdana"/>
        </w:rPr>
        <w:t xml:space="preserve"> .¡Ayúdanos a mejorar porque el compromiso es de todos!</w:t>
      </w:r>
    </w:p>
    <w:p w14:paraId="56A3B8A9" w14:textId="77777777" w:rsidR="0066632B" w:rsidRPr="0038088D" w:rsidRDefault="0066632B" w:rsidP="0066632B">
      <w:pPr>
        <w:spacing w:after="0" w:line="240" w:lineRule="auto"/>
        <w:rPr>
          <w:rFonts w:ascii="Verdana" w:hAnsi="Verdana"/>
        </w:rPr>
      </w:pPr>
    </w:p>
    <w:p w14:paraId="61F00A1A" w14:textId="77777777" w:rsidR="0066632B" w:rsidRPr="0038088D" w:rsidRDefault="0066632B" w:rsidP="0066632B">
      <w:pPr>
        <w:spacing w:after="0" w:line="240" w:lineRule="auto"/>
        <w:jc w:val="both"/>
        <w:rPr>
          <w:rFonts w:ascii="Verdana" w:hAnsi="Verdana"/>
        </w:rPr>
      </w:pPr>
      <w:r w:rsidRPr="0038088D">
        <w:rPr>
          <w:rFonts w:ascii="Verdana" w:hAnsi="Verdana"/>
        </w:rPr>
        <w:t xml:space="preserve">Por último, lo invitamos a seguirnos en las redes sociales en las cuales se difunde información institucional: </w:t>
      </w:r>
    </w:p>
    <w:p w14:paraId="50C07810" w14:textId="77777777" w:rsidR="0066632B" w:rsidRPr="00116940" w:rsidRDefault="0066632B" w:rsidP="0066632B">
      <w:pPr>
        <w:spacing w:after="0" w:line="240" w:lineRule="auto"/>
        <w:jc w:val="both"/>
        <w:rPr>
          <w:rFonts w:ascii="Verdana" w:hAnsi="Verdana"/>
        </w:rPr>
      </w:pPr>
    </w:p>
    <w:p w14:paraId="02CAD7E1" w14:textId="77777777" w:rsidR="0066632B" w:rsidRPr="00116940" w:rsidRDefault="0066632B" w:rsidP="0066632B">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3AC892F4" w14:textId="77777777" w:rsidR="0066632B" w:rsidRPr="00116940" w:rsidRDefault="0066632B" w:rsidP="0066632B">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3BBA67AB" w14:textId="77777777" w:rsidR="0066632B" w:rsidRPr="00E22E6E" w:rsidRDefault="0066632B" w:rsidP="0066632B">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7927F178" w14:textId="77777777" w:rsidR="0066632B" w:rsidRPr="009C4035" w:rsidRDefault="0066632B" w:rsidP="0066632B">
      <w:pPr>
        <w:shd w:val="clear" w:color="auto" w:fill="FFFFFF"/>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0C678D72" w14:textId="77777777" w:rsidR="0066632B" w:rsidRPr="00593A5F" w:rsidRDefault="0066632B" w:rsidP="0066632B">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r>
        <w:rPr>
          <w:rFonts w:ascii="Verdana" w:hAnsi="Verdana" w:cs="Arial"/>
          <w:lang w:val="es-ES_tradnl"/>
        </w:rPr>
        <w:t xml:space="preserve"> </w:t>
      </w:r>
    </w:p>
    <w:p w14:paraId="7BAA03D6" w14:textId="77777777" w:rsidR="0066632B" w:rsidRPr="00593A5F" w:rsidRDefault="0066632B" w:rsidP="0066632B">
      <w:pPr>
        <w:widowControl w:val="0"/>
        <w:autoSpaceDE w:val="0"/>
        <w:autoSpaceDN w:val="0"/>
        <w:spacing w:after="0" w:line="276" w:lineRule="auto"/>
        <w:jc w:val="both"/>
        <w:rPr>
          <w:rFonts w:ascii="Verdana" w:hAnsi="Verdana" w:cs="Arial"/>
        </w:rPr>
      </w:pPr>
    </w:p>
    <w:p w14:paraId="44621623" w14:textId="77777777" w:rsidR="0066632B" w:rsidRPr="00593A5F" w:rsidRDefault="0066632B" w:rsidP="0066632B">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01F81E0D" w14:textId="4580FAAE" w:rsidR="0066632B" w:rsidRPr="00593A5F" w:rsidRDefault="00555B36" w:rsidP="0066632B">
      <w:pPr>
        <w:spacing w:line="276" w:lineRule="auto"/>
        <w:jc w:val="center"/>
        <w:rPr>
          <w:rFonts w:ascii="Verdana" w:hAnsi="Verdana" w:cs="Arial"/>
          <w:color w:val="000000"/>
          <w:lang w:val="es-ES_tradnl" w:eastAsia="es-CO"/>
        </w:rPr>
      </w:pPr>
      <w:r w:rsidRPr="002C3AD6">
        <w:rPr>
          <w:rFonts w:ascii="Century Gothic" w:hAnsi="Century Gothic"/>
          <w:noProof/>
        </w:rPr>
        <w:drawing>
          <wp:inline distT="0" distB="0" distL="0" distR="0" wp14:anchorId="001DC0ED" wp14:editId="107F042A">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6632B" w:rsidRPr="00593A5F" w14:paraId="0FF873D4" w14:textId="77777777" w:rsidTr="00024F5A">
        <w:trPr>
          <w:trHeight w:val="315"/>
        </w:trPr>
        <w:tc>
          <w:tcPr>
            <w:tcW w:w="893" w:type="dxa"/>
            <w:vAlign w:val="center"/>
            <w:hideMark/>
          </w:tcPr>
          <w:p w14:paraId="26A58A54" w14:textId="77777777" w:rsidR="0066632B" w:rsidRPr="003751C7" w:rsidRDefault="0066632B" w:rsidP="00024F5A">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7B8756F" w14:textId="5BCABE56" w:rsidR="0066632B" w:rsidRPr="00254A7A" w:rsidRDefault="00784FB9" w:rsidP="00024F5A">
            <w:pPr>
              <w:contextualSpacing/>
              <w:rPr>
                <w:rStyle w:val="normaltextrun"/>
                <w:rFonts w:ascii="Verdana" w:hAnsi="Verdana"/>
                <w:sz w:val="16"/>
                <w:szCs w:val="16"/>
              </w:rPr>
            </w:pPr>
            <w:r>
              <w:rPr>
                <w:rStyle w:val="normaltextrun"/>
                <w:rFonts w:ascii="Verdana" w:hAnsi="Verdana"/>
                <w:sz w:val="16"/>
                <w:szCs w:val="16"/>
              </w:rPr>
              <w:t>Richard Andrés Montenegro Siefken</w:t>
            </w:r>
          </w:p>
          <w:p w14:paraId="3A7E07A7" w14:textId="77777777" w:rsidR="0066632B" w:rsidRPr="00254A7A" w:rsidRDefault="0066632B" w:rsidP="00024F5A">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66632B" w:rsidRPr="00593A5F" w14:paraId="5E62C3CA" w14:textId="77777777" w:rsidTr="00024F5A">
        <w:trPr>
          <w:trHeight w:val="330"/>
        </w:trPr>
        <w:tc>
          <w:tcPr>
            <w:tcW w:w="893" w:type="dxa"/>
            <w:vAlign w:val="center"/>
            <w:hideMark/>
          </w:tcPr>
          <w:p w14:paraId="49803D8B" w14:textId="77777777" w:rsidR="0066632B" w:rsidRPr="003751C7" w:rsidRDefault="0066632B" w:rsidP="00024F5A">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7C5D9CE" w14:textId="1399714E" w:rsidR="0066632B" w:rsidRPr="001B6B73" w:rsidRDefault="00784FB9" w:rsidP="00024F5A">
            <w:pPr>
              <w:pStyle w:val="paragraph"/>
              <w:spacing w:after="0"/>
              <w:contextualSpacing/>
              <w:textAlignment w:val="baseline"/>
              <w:rPr>
                <w:rStyle w:val="normaltextrun"/>
                <w:rFonts w:ascii="Verdana" w:hAnsi="Verdana" w:cs="Arial"/>
                <w:sz w:val="16"/>
                <w:szCs w:val="16"/>
                <w:lang w:val="es-ES_tradnl"/>
              </w:rPr>
            </w:pPr>
            <w:r>
              <w:rPr>
                <w:rStyle w:val="normaltextrun"/>
                <w:rFonts w:ascii="Verdana" w:hAnsi="Verdana" w:cs="Arial"/>
                <w:sz w:val="16"/>
                <w:szCs w:val="16"/>
                <w:lang w:val="es-ES_tradnl"/>
              </w:rPr>
              <w:t>Diana Lucia Saavedra Castañeda</w:t>
            </w:r>
          </w:p>
          <w:p w14:paraId="5C41ABA5" w14:textId="4CA33896" w:rsidR="0066632B" w:rsidRPr="00254A7A" w:rsidRDefault="00784FB9" w:rsidP="00024F5A">
            <w:pPr>
              <w:pStyle w:val="paragraph"/>
              <w:spacing w:before="0" w:beforeAutospacing="0" w:after="0" w:afterAutospacing="0"/>
              <w:contextualSpacing/>
              <w:textAlignment w:val="baseline"/>
              <w:rPr>
                <w:rFonts w:ascii="Verdana" w:hAnsi="Verdana" w:cs="Segoe UI"/>
                <w:sz w:val="16"/>
                <w:szCs w:val="16"/>
              </w:rPr>
            </w:pPr>
            <w:r>
              <w:rPr>
                <w:rStyle w:val="normaltextrun"/>
                <w:rFonts w:ascii="Verdana" w:hAnsi="Verdana" w:cs="Arial"/>
                <w:sz w:val="16"/>
                <w:szCs w:val="16"/>
                <w:lang w:val="es-ES_tradnl"/>
              </w:rPr>
              <w:t>Contratista</w:t>
            </w:r>
            <w:r w:rsidR="0066632B" w:rsidRPr="001B6B73">
              <w:rPr>
                <w:rStyle w:val="normaltextrun"/>
                <w:rFonts w:ascii="Verdana" w:hAnsi="Verdana" w:cs="Arial"/>
                <w:sz w:val="16"/>
                <w:szCs w:val="16"/>
                <w:lang w:val="es-ES_tradnl"/>
              </w:rPr>
              <w:t xml:space="preserve"> de la Subdirección de Gestión Contractual</w:t>
            </w:r>
          </w:p>
        </w:tc>
      </w:tr>
      <w:tr w:rsidR="0066632B" w:rsidRPr="00593A5F" w14:paraId="4275B4BE" w14:textId="77777777" w:rsidTr="00024F5A">
        <w:trPr>
          <w:trHeight w:val="300"/>
        </w:trPr>
        <w:tc>
          <w:tcPr>
            <w:tcW w:w="893" w:type="dxa"/>
            <w:vAlign w:val="center"/>
          </w:tcPr>
          <w:p w14:paraId="0DFDF6F9" w14:textId="77777777" w:rsidR="0066632B" w:rsidRPr="003751C7" w:rsidRDefault="0066632B" w:rsidP="00024F5A">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2F87915" w14:textId="77777777" w:rsidR="0066632B" w:rsidRPr="003751C7" w:rsidRDefault="0066632B" w:rsidP="00024F5A">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714A1788" w14:textId="77777777" w:rsidR="0066632B" w:rsidRPr="003751C7" w:rsidRDefault="0066632B" w:rsidP="00024F5A">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38A3ABEC" w14:textId="77777777" w:rsidR="0066632B" w:rsidRPr="00543BFE" w:rsidRDefault="0066632B" w:rsidP="0066632B"/>
    <w:p w14:paraId="7A0760D6" w14:textId="77777777" w:rsidR="0066632B" w:rsidRPr="00B36323" w:rsidRDefault="0066632B" w:rsidP="0066632B"/>
    <w:p w14:paraId="0F293BF4" w14:textId="629CEA27" w:rsidR="00127233" w:rsidRPr="00C7365F" w:rsidRDefault="00127233" w:rsidP="00C7365F"/>
    <w:sectPr w:rsidR="00127233" w:rsidRPr="00C7365F"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8889D4" w14:textId="77777777" w:rsidR="000831C4" w:rsidRDefault="000831C4" w:rsidP="004A1847">
      <w:pPr>
        <w:spacing w:after="0" w:line="240" w:lineRule="auto"/>
      </w:pPr>
      <w:r>
        <w:separator/>
      </w:r>
    </w:p>
  </w:endnote>
  <w:endnote w:type="continuationSeparator" w:id="0">
    <w:p w14:paraId="13BBF15E" w14:textId="77777777" w:rsidR="000831C4" w:rsidRDefault="000831C4" w:rsidP="004A1847">
      <w:pPr>
        <w:spacing w:after="0" w:line="240" w:lineRule="auto"/>
      </w:pPr>
      <w:r>
        <w:continuationSeparator/>
      </w:r>
    </w:p>
  </w:endnote>
  <w:endnote w:type="continuationNotice" w:id="1">
    <w:p w14:paraId="7C7246F3" w14:textId="77777777" w:rsidR="000831C4" w:rsidRDefault="000831C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Arial"/>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Pr="00287DE9" w:rsidRDefault="356CEDFD" w:rsidP="356CEDFD">
    <w:pPr>
      <w:pBdr>
        <w:top w:val="nil"/>
        <w:left w:val="nil"/>
        <w:bottom w:val="nil"/>
        <w:right w:val="nil"/>
        <w:between w:val="nil"/>
      </w:pBdr>
      <w:tabs>
        <w:tab w:val="center" w:pos="4419"/>
        <w:tab w:val="right" w:pos="8838"/>
        <w:tab w:val="center" w:pos="5400"/>
      </w:tabs>
      <w:spacing w:after="0"/>
      <w:jc w:val="right"/>
      <w:rPr>
        <w:lang w:val="pt-BR"/>
      </w:rPr>
    </w:pPr>
    <w:r w:rsidRPr="00287DE9">
      <w:rPr>
        <w:rFonts w:ascii="Century Gothic" w:eastAsia="Geo" w:hAnsi="Century Gothic" w:cs="Geo"/>
        <w:b/>
        <w:color w:val="000000" w:themeColor="text1"/>
        <w:sz w:val="16"/>
        <w:szCs w:val="16"/>
        <w:lang w:val="pt-BR" w:eastAsia="es-CO"/>
      </w:rPr>
      <w:t xml:space="preserve">Código: </w:t>
    </w:r>
    <w:r w:rsidRPr="00287DE9">
      <w:rPr>
        <w:rFonts w:ascii="Century Gothic" w:eastAsia="Geo" w:hAnsi="Century Gothic" w:cs="Geo"/>
        <w:color w:val="000000" w:themeColor="text1"/>
        <w:sz w:val="16"/>
        <w:szCs w:val="16"/>
        <w:lang w:val="pt-BR" w:eastAsia="es-CO"/>
      </w:rPr>
      <w:t xml:space="preserve">CCE-REC-FM-17 </w:t>
    </w:r>
    <w:r w:rsidRPr="00287DE9">
      <w:rPr>
        <w:rFonts w:ascii="Century Gothic" w:eastAsia="Geo" w:hAnsi="Century Gothic" w:cs="Geo"/>
        <w:b/>
        <w:color w:val="000000" w:themeColor="text1"/>
        <w:sz w:val="16"/>
        <w:szCs w:val="16"/>
        <w:lang w:val="pt-BR" w:eastAsia="es-CO"/>
      </w:rPr>
      <w:t>V</w:t>
    </w:r>
    <w:r w:rsidRPr="00287DE9">
      <w:rPr>
        <w:rFonts w:ascii="Century Gothic" w:eastAsia="Arial Nova" w:hAnsi="Century Gothic" w:cs="Arial Nova"/>
        <w:b/>
        <w:color w:val="000000" w:themeColor="text1"/>
        <w:sz w:val="16"/>
        <w:szCs w:val="16"/>
        <w:lang w:val="pt-BR" w:eastAsia="es-CO"/>
      </w:rPr>
      <w:t xml:space="preserve">: </w:t>
    </w:r>
    <w:r w:rsidRPr="00287DE9">
      <w:rPr>
        <w:rFonts w:ascii="Century Gothic" w:eastAsia="Geo" w:hAnsi="Century Gothic" w:cs="Geo"/>
        <w:sz w:val="16"/>
        <w:szCs w:val="16"/>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03E007" w14:textId="77777777" w:rsidR="000831C4" w:rsidRDefault="000831C4" w:rsidP="004A1847">
      <w:pPr>
        <w:spacing w:after="0" w:line="240" w:lineRule="auto"/>
      </w:pPr>
      <w:r>
        <w:separator/>
      </w:r>
    </w:p>
  </w:footnote>
  <w:footnote w:type="continuationSeparator" w:id="0">
    <w:p w14:paraId="4F26DEB8" w14:textId="77777777" w:rsidR="000831C4" w:rsidRDefault="000831C4" w:rsidP="004A1847">
      <w:pPr>
        <w:spacing w:after="0" w:line="240" w:lineRule="auto"/>
      </w:pPr>
      <w:r>
        <w:continuationSeparator/>
      </w:r>
    </w:p>
  </w:footnote>
  <w:footnote w:type="continuationNotice" w:id="1">
    <w:p w14:paraId="73A74577" w14:textId="77777777" w:rsidR="000831C4" w:rsidRDefault="000831C4">
      <w:pPr>
        <w:spacing w:after="0" w:line="240" w:lineRule="auto"/>
      </w:pPr>
    </w:p>
  </w:footnote>
  <w:footnote w:id="2">
    <w:p w14:paraId="76F7901E" w14:textId="77777777" w:rsidR="0066632B" w:rsidRPr="004B35AC" w:rsidRDefault="0066632B" w:rsidP="0066632B">
      <w:pPr>
        <w:pStyle w:val="Textonotapie"/>
        <w:ind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1260CD28" w14:textId="77777777" w:rsidR="0066632B" w:rsidRPr="004B35AC" w:rsidRDefault="0066632B" w:rsidP="0066632B">
      <w:pPr>
        <w:pStyle w:val="Textonotapie"/>
        <w:ind w:firstLine="709"/>
        <w:jc w:val="both"/>
        <w:rPr>
          <w:rFonts w:ascii="Verdana" w:hAnsi="Verdana" w:cs="Arial"/>
          <w:sz w:val="16"/>
          <w:szCs w:val="16"/>
        </w:rPr>
      </w:pPr>
      <w:r w:rsidRPr="004B35AC">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3">
    <w:p w14:paraId="26AB2D8E" w14:textId="77777777" w:rsidR="0066632B" w:rsidRPr="004B35AC" w:rsidRDefault="0066632B" w:rsidP="0066632B">
      <w:pPr>
        <w:pStyle w:val="Textonotapie"/>
        <w:ind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Gaceta del Congreso de la República No. 71 del 2005.</w:t>
      </w:r>
    </w:p>
  </w:footnote>
  <w:footnote w:id="4">
    <w:p w14:paraId="0FFF7901" w14:textId="77777777" w:rsidR="0066632B" w:rsidRPr="004B35AC" w:rsidRDefault="0066632B" w:rsidP="0066632B">
      <w:pPr>
        <w:pStyle w:val="Textonotapie"/>
        <w:ind w:firstLine="709"/>
        <w:jc w:val="both"/>
        <w:rPr>
          <w:rFonts w:ascii="Verdana" w:hAnsi="Verdana" w:cs="Arial"/>
          <w:sz w:val="16"/>
          <w:szCs w:val="16"/>
          <w:lang w:val="pt-BR"/>
        </w:rPr>
      </w:pPr>
      <w:r w:rsidRPr="004B35AC">
        <w:rPr>
          <w:rStyle w:val="Refdenotaalpie"/>
          <w:rFonts w:ascii="Verdana" w:hAnsi="Verdana" w:cs="Arial"/>
          <w:sz w:val="16"/>
          <w:szCs w:val="16"/>
        </w:rPr>
        <w:footnoteRef/>
      </w:r>
      <w:r w:rsidRPr="004B35AC">
        <w:rPr>
          <w:rFonts w:ascii="Verdana" w:hAnsi="Verdana" w:cs="Arial"/>
          <w:sz w:val="16"/>
          <w:szCs w:val="16"/>
          <w:lang w:val="pt-BR"/>
        </w:rPr>
        <w:t xml:space="preserve"> Corte Constitucional, Sentencia C- 1153 de 2005, M.P. Marco Gerardo Monroy Cabra.</w:t>
      </w:r>
    </w:p>
  </w:footnote>
  <w:footnote w:id="5">
    <w:p w14:paraId="56D1DBBA" w14:textId="77777777" w:rsidR="0066632B" w:rsidRPr="004B35AC" w:rsidRDefault="0066632B" w:rsidP="0066632B">
      <w:pPr>
        <w:pStyle w:val="Textonotapie"/>
        <w:ind w:firstLine="709"/>
        <w:jc w:val="both"/>
        <w:rPr>
          <w:rFonts w:ascii="Verdana" w:hAnsi="Verdana" w:cs="Arial"/>
          <w:sz w:val="16"/>
          <w:szCs w:val="16"/>
          <w:lang w:val="pt-BR"/>
        </w:rPr>
      </w:pPr>
      <w:r w:rsidRPr="004B35AC">
        <w:rPr>
          <w:rStyle w:val="Refdenotaalpie"/>
          <w:rFonts w:ascii="Verdana" w:hAnsi="Verdana" w:cs="Arial"/>
          <w:sz w:val="16"/>
          <w:szCs w:val="16"/>
        </w:rPr>
        <w:footnoteRef/>
      </w:r>
      <w:r w:rsidRPr="004B35AC">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6">
    <w:p w14:paraId="4BE74988" w14:textId="77777777" w:rsidR="0066632B" w:rsidRPr="004B35AC" w:rsidRDefault="0066632B" w:rsidP="0066632B">
      <w:pPr>
        <w:pStyle w:val="Textonotapie"/>
        <w:ind w:firstLine="709"/>
        <w:jc w:val="both"/>
        <w:rPr>
          <w:rFonts w:ascii="Verdana" w:hAnsi="Verdana" w:cs="Arial"/>
          <w:sz w:val="16"/>
          <w:szCs w:val="16"/>
          <w:lang w:val="es-CO"/>
        </w:rPr>
      </w:pPr>
      <w:r w:rsidRPr="004B35AC">
        <w:rPr>
          <w:rStyle w:val="Refdenotaalpie"/>
          <w:rFonts w:ascii="Verdana" w:hAnsi="Verdana" w:cs="Arial"/>
          <w:sz w:val="16"/>
          <w:szCs w:val="16"/>
        </w:rPr>
        <w:footnoteRef/>
      </w:r>
      <w:r w:rsidRPr="004B35AC">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02FCD3E1" w14:textId="77777777" w:rsidR="0066632B" w:rsidRPr="004B35AC" w:rsidRDefault="0066632B" w:rsidP="0066632B">
      <w:pPr>
        <w:pStyle w:val="Textonotapie"/>
        <w:ind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de fecha 24 de julio de 2013, radicado 2166, C. P. Álvaro Namén Vargas.  </w:t>
      </w:r>
    </w:p>
  </w:footnote>
  <w:footnote w:id="8">
    <w:p w14:paraId="385920AD" w14:textId="77777777" w:rsidR="0066632B" w:rsidRPr="004B35AC" w:rsidRDefault="0066632B" w:rsidP="0066632B">
      <w:pPr>
        <w:spacing w:after="0" w:line="240" w:lineRule="auto"/>
        <w:ind w:firstLine="709"/>
        <w:jc w:val="both"/>
        <w:rPr>
          <w:rFonts w:ascii="Verdana" w:eastAsia="Times New Roman"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w:t>
      </w:r>
      <w:bookmarkStart w:id="5" w:name="33"/>
      <w:r w:rsidRPr="004B35AC">
        <w:rPr>
          <w:rFonts w:ascii="Verdana" w:eastAsia="Calibri" w:hAnsi="Verdana" w:cs="Arial"/>
          <w:color w:val="000000"/>
          <w:sz w:val="16"/>
          <w:szCs w:val="16"/>
        </w:rPr>
        <w:t>“</w:t>
      </w:r>
      <w:r w:rsidRPr="004B35AC">
        <w:rPr>
          <w:rFonts w:ascii="Verdana" w:eastAsia="Times New Roman" w:hAnsi="Verdana" w:cs="Arial"/>
          <w:sz w:val="16"/>
          <w:szCs w:val="16"/>
        </w:rPr>
        <w:t>Artículo 33. Restricciones a la contratación pública.</w:t>
      </w:r>
      <w:bookmarkEnd w:id="5"/>
      <w:r w:rsidRPr="004B35AC">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4E4760B2" w14:textId="77777777" w:rsidR="0066632B" w:rsidRPr="004B35AC" w:rsidRDefault="0066632B" w:rsidP="0066632B">
      <w:pPr>
        <w:spacing w:after="0" w:line="240" w:lineRule="auto"/>
        <w:ind w:firstLine="709"/>
        <w:jc w:val="both"/>
        <w:rPr>
          <w:rFonts w:ascii="Verdana" w:eastAsia="Times New Roman" w:hAnsi="Verdana" w:cs="Arial"/>
          <w:sz w:val="16"/>
          <w:szCs w:val="16"/>
        </w:rPr>
      </w:pPr>
      <w:r w:rsidRPr="004B35AC">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4B35AC">
        <w:rPr>
          <w:rFonts w:ascii="Verdana" w:eastAsia="Calibri" w:hAnsi="Verdana" w:cs="Arial"/>
          <w:color w:val="000000"/>
          <w:sz w:val="16"/>
          <w:szCs w:val="16"/>
        </w:rPr>
        <w:t>”</w:t>
      </w:r>
      <w:r w:rsidRPr="004B35AC">
        <w:rPr>
          <w:rFonts w:ascii="Verdana" w:eastAsia="Times New Roman" w:hAnsi="Verdana" w:cs="Arial"/>
          <w:sz w:val="16"/>
          <w:szCs w:val="16"/>
        </w:rPr>
        <w:t>.</w:t>
      </w:r>
    </w:p>
  </w:footnote>
  <w:footnote w:id="9">
    <w:p w14:paraId="235560F6" w14:textId="77777777" w:rsidR="0066632B" w:rsidRPr="004B35AC" w:rsidRDefault="0066632B" w:rsidP="0066632B">
      <w:pPr>
        <w:pStyle w:val="NormalWeb"/>
        <w:spacing w:before="0" w:beforeAutospacing="0" w:after="0" w:afterAutospacing="0"/>
        <w:ind w:firstLine="709"/>
        <w:jc w:val="both"/>
        <w:rPr>
          <w:rFonts w:ascii="Verdana" w:hAnsi="Verdana" w:cs="Arial"/>
          <w:sz w:val="16"/>
          <w:szCs w:val="16"/>
          <w:lang w:val="es-MX"/>
        </w:rPr>
      </w:pPr>
      <w:r w:rsidRPr="004B35AC">
        <w:rPr>
          <w:rStyle w:val="Refdenotaalpie"/>
          <w:rFonts w:ascii="Verdana" w:hAnsi="Verdana" w:cs="Arial"/>
          <w:sz w:val="16"/>
          <w:szCs w:val="16"/>
        </w:rPr>
        <w:footnoteRef/>
      </w:r>
      <w:r w:rsidRPr="004B35AC">
        <w:rPr>
          <w:rFonts w:ascii="Verdana" w:hAnsi="Verdana" w:cs="Arial"/>
          <w:sz w:val="16"/>
          <w:szCs w:val="16"/>
        </w:rPr>
        <w:t xml:space="preserve"> </w:t>
      </w:r>
      <w:bookmarkStart w:id="6" w:name="38"/>
      <w:r w:rsidRPr="004B35AC">
        <w:rPr>
          <w:rFonts w:ascii="Verdana" w:eastAsia="Calibri" w:hAnsi="Verdana" w:cs="Arial"/>
          <w:color w:val="000000"/>
          <w:sz w:val="16"/>
          <w:szCs w:val="16"/>
        </w:rPr>
        <w:t>“</w:t>
      </w:r>
      <w:r w:rsidRPr="004B35AC">
        <w:rPr>
          <w:rFonts w:ascii="Verdana" w:hAnsi="Verdana" w:cs="Arial"/>
          <w:sz w:val="16"/>
          <w:szCs w:val="16"/>
          <w:lang w:val="es-MX"/>
        </w:rPr>
        <w:t>Artículo 38. Prohibiciones para los servidores públicos. A los empleados del Estado les está prohibido:</w:t>
      </w:r>
      <w:bookmarkEnd w:id="6"/>
      <w:r w:rsidRPr="004B35AC">
        <w:rPr>
          <w:rFonts w:ascii="Verdana" w:hAnsi="Verdana" w:cs="Arial"/>
          <w:sz w:val="16"/>
          <w:szCs w:val="16"/>
          <w:lang w:val="es-MX"/>
        </w:rPr>
        <w:t xml:space="preserve"> […]</w:t>
      </w:r>
    </w:p>
    <w:p w14:paraId="1D757E1C" w14:textId="77777777" w:rsidR="0066632B" w:rsidRPr="004B35AC" w:rsidRDefault="0066632B" w:rsidP="0066632B">
      <w:pPr>
        <w:pStyle w:val="NormalWeb"/>
        <w:spacing w:before="0" w:beforeAutospacing="0" w:after="0" w:afterAutospacing="0"/>
        <w:ind w:firstLine="709"/>
        <w:jc w:val="both"/>
        <w:rPr>
          <w:rFonts w:ascii="Verdana" w:hAnsi="Verdana" w:cs="Arial"/>
          <w:sz w:val="16"/>
          <w:szCs w:val="16"/>
          <w:lang w:val="es-MX"/>
        </w:rPr>
      </w:pPr>
      <w:r w:rsidRPr="004B35AC">
        <w:rPr>
          <w:rStyle w:val="baj"/>
          <w:rFonts w:ascii="Verdana" w:hAnsi="Verdana" w:cs="Arial"/>
          <w:sz w:val="16"/>
          <w:szCs w:val="16"/>
          <w:lang w:val="es-MX"/>
        </w:rPr>
        <w:t>Parágrafo.</w:t>
      </w:r>
      <w:r w:rsidRPr="004B35AC">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4B35AC">
        <w:rPr>
          <w:rFonts w:ascii="Verdana" w:eastAsia="Calibri" w:hAnsi="Verdana" w:cs="Arial"/>
          <w:color w:val="000000"/>
          <w:sz w:val="16"/>
          <w:szCs w:val="16"/>
        </w:rPr>
        <w:t>”</w:t>
      </w:r>
      <w:r w:rsidRPr="004B35AC">
        <w:rPr>
          <w:rFonts w:ascii="Verdana" w:hAnsi="Verdana" w:cs="Arial"/>
          <w:sz w:val="16"/>
          <w:szCs w:val="16"/>
          <w:lang w:val="es-MX"/>
        </w:rPr>
        <w:t>.</w:t>
      </w:r>
    </w:p>
  </w:footnote>
  <w:footnote w:id="10">
    <w:p w14:paraId="3F73A940" w14:textId="77777777" w:rsidR="0066632B" w:rsidRPr="004B35AC" w:rsidRDefault="0066632B" w:rsidP="0066632B">
      <w:pPr>
        <w:pStyle w:val="Textonotapie"/>
        <w:ind w:firstLine="708"/>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Colombia Compra Eficiente. Circular Externa Única. Numeral 16.5. </w:t>
      </w:r>
    </w:p>
  </w:footnote>
  <w:footnote w:id="11">
    <w:p w14:paraId="5330D51D" w14:textId="77777777" w:rsidR="0066632B" w:rsidRPr="004B35AC" w:rsidRDefault="0066632B" w:rsidP="0066632B">
      <w:pPr>
        <w:spacing w:after="0" w:line="240" w:lineRule="auto"/>
        <w:ind w:left="100" w:right="244" w:firstLine="608"/>
        <w:jc w:val="both"/>
        <w:rPr>
          <w:rFonts w:ascii="Verdana" w:hAnsi="Verdana" w:cs="Arial"/>
          <w:sz w:val="16"/>
          <w:szCs w:val="16"/>
          <w:lang w:val="es-ES"/>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2">
    <w:p w14:paraId="136CA3B6" w14:textId="77777777" w:rsidR="0066632B" w:rsidRPr="004B35AC" w:rsidRDefault="0066632B" w:rsidP="0066632B">
      <w:pPr>
        <w:pStyle w:val="Textonotapie"/>
        <w:ind w:right="51"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w:t>
      </w:r>
      <w:r w:rsidRPr="004B35AC">
        <w:rPr>
          <w:rFonts w:ascii="Verdana" w:hAnsi="Verdana" w:cs="Arial"/>
          <w:sz w:val="16"/>
          <w:szCs w:val="16"/>
          <w:lang w:val="es-ES"/>
        </w:rPr>
        <w:t xml:space="preserve">[25] </w:t>
      </w:r>
      <w:r w:rsidRPr="004B35AC">
        <w:rPr>
          <w:rFonts w:ascii="Verdana" w:hAnsi="Verdana" w:cs="Arial"/>
          <w:sz w:val="16"/>
          <w:szCs w:val="16"/>
        </w:rPr>
        <w:t>Cfr. Consejo de Estado. Sección Tercera. Sentencia de 3 de diciembre de 2007. Radicados: 24.715, 25.206, 25.409, 24.524, 27.834, 25.410, 26.105, 28.244, 31.447 -acumulados-“.</w:t>
      </w:r>
    </w:p>
  </w:footnote>
  <w:footnote w:id="13">
    <w:p w14:paraId="49D13F5B" w14:textId="77777777" w:rsidR="0066632B" w:rsidRPr="004B35AC" w:rsidRDefault="0066632B" w:rsidP="0066632B">
      <w:pPr>
        <w:pStyle w:val="Textonotapie"/>
        <w:ind w:right="51"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w:t>
      </w:r>
      <w:r w:rsidRPr="004B35AC">
        <w:rPr>
          <w:rFonts w:ascii="Verdana" w:hAnsi="Verdana" w:cs="Arial"/>
          <w:sz w:val="16"/>
          <w:szCs w:val="16"/>
          <w:lang w:val="es-ES"/>
        </w:rPr>
        <w:t xml:space="preserve">[26] </w:t>
      </w:r>
      <w:r w:rsidRPr="004B35AC">
        <w:rPr>
          <w:rFonts w:ascii="Verdana" w:hAnsi="Verdana" w:cs="Arial"/>
          <w:sz w:val="16"/>
          <w:szCs w:val="16"/>
        </w:rPr>
        <w:t>Al respecto ver el concepto 1712 de 2 de febrero de 2006. Consejo de Estado Sala de Consulta y Servicio Civil”.</w:t>
      </w:r>
    </w:p>
  </w:footnote>
  <w:footnote w:id="14">
    <w:p w14:paraId="7B784F69" w14:textId="77777777" w:rsidR="0066632B" w:rsidRPr="004B35AC" w:rsidRDefault="0066632B" w:rsidP="0066632B">
      <w:pPr>
        <w:pStyle w:val="Textonotapie"/>
        <w:ind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5">
    <w:p w14:paraId="518B68AD" w14:textId="77777777" w:rsidR="0066632B" w:rsidRPr="004B35AC" w:rsidRDefault="0066632B" w:rsidP="0066632B">
      <w:pPr>
        <w:pStyle w:val="Textonotapie"/>
        <w:ind w:firstLine="709"/>
        <w:jc w:val="both"/>
        <w:rPr>
          <w:rFonts w:ascii="Verdana" w:hAnsi="Verdana" w:cs="Arial"/>
          <w:sz w:val="16"/>
          <w:szCs w:val="16"/>
          <w:lang w:val="es-ES"/>
        </w:rPr>
      </w:pPr>
      <w:r w:rsidRPr="004B35AC">
        <w:rPr>
          <w:rStyle w:val="Refdenotaalpie"/>
          <w:rFonts w:ascii="Verdana" w:hAnsi="Verdana" w:cs="Arial"/>
          <w:sz w:val="16"/>
          <w:szCs w:val="16"/>
        </w:rPr>
        <w:footnoteRef/>
      </w:r>
      <w:r w:rsidRPr="004B35AC">
        <w:rPr>
          <w:rFonts w:ascii="Verdana" w:hAnsi="Verdana" w:cs="Arial"/>
          <w:sz w:val="16"/>
          <w:szCs w:val="16"/>
        </w:rPr>
        <w:t xml:space="preserve"> </w:t>
      </w:r>
      <w:r w:rsidRPr="004B35AC">
        <w:rPr>
          <w:rFonts w:ascii="Verdana" w:hAnsi="Verdana" w:cs="Arial"/>
          <w:sz w:val="16"/>
          <w:szCs w:val="16"/>
          <w:lang w:val="es-ES"/>
        </w:rPr>
        <w:t xml:space="preserve">Artículo 2. </w:t>
      </w:r>
    </w:p>
  </w:footnote>
  <w:footnote w:id="16">
    <w:p w14:paraId="6C3BA683" w14:textId="77777777" w:rsidR="0066632B" w:rsidRPr="004B35AC" w:rsidRDefault="0066632B" w:rsidP="0066632B">
      <w:pPr>
        <w:pStyle w:val="Textonotapie"/>
        <w:ind w:firstLine="709"/>
        <w:jc w:val="both"/>
        <w:rPr>
          <w:rFonts w:ascii="Verdana" w:hAnsi="Verdana" w:cs="Arial"/>
          <w:sz w:val="16"/>
          <w:szCs w:val="16"/>
          <w:lang w:val="es-ES"/>
        </w:rPr>
      </w:pPr>
      <w:r w:rsidRPr="004B35AC">
        <w:rPr>
          <w:rStyle w:val="Refdenotaalpie"/>
          <w:rFonts w:ascii="Verdana" w:hAnsi="Verdana" w:cs="Arial"/>
          <w:sz w:val="16"/>
          <w:szCs w:val="16"/>
        </w:rPr>
        <w:footnoteRef/>
      </w:r>
      <w:r w:rsidRPr="004B35AC">
        <w:rPr>
          <w:rFonts w:ascii="Verdana" w:hAnsi="Verdana" w:cs="Arial"/>
          <w:sz w:val="16"/>
          <w:szCs w:val="16"/>
        </w:rPr>
        <w:t xml:space="preserve"> </w:t>
      </w:r>
      <w:r w:rsidRPr="004B35AC">
        <w:rPr>
          <w:rFonts w:ascii="Verdana" w:hAnsi="Verdana" w:cs="Arial"/>
          <w:i/>
          <w:sz w:val="16"/>
          <w:szCs w:val="16"/>
          <w:lang w:val="es-ES"/>
        </w:rPr>
        <w:t>Ídem</w:t>
      </w:r>
      <w:r w:rsidRPr="004B35AC">
        <w:rPr>
          <w:rFonts w:ascii="Verdana" w:hAnsi="Verdana" w:cs="Arial"/>
          <w:sz w:val="16"/>
          <w:szCs w:val="16"/>
          <w:lang w:val="es-ES"/>
        </w:rPr>
        <w:t>.</w:t>
      </w:r>
    </w:p>
  </w:footnote>
  <w:footnote w:id="17">
    <w:p w14:paraId="476FDE7C" w14:textId="77777777" w:rsidR="0066632B" w:rsidRPr="004B35AC" w:rsidRDefault="0066632B" w:rsidP="0066632B">
      <w:pPr>
        <w:pStyle w:val="Textonotapie"/>
        <w:ind w:firstLine="709"/>
        <w:jc w:val="both"/>
        <w:rPr>
          <w:rFonts w:ascii="Verdana" w:hAnsi="Verdana" w:cs="Arial"/>
          <w:sz w:val="16"/>
          <w:szCs w:val="16"/>
          <w:lang w:val="es-ES"/>
        </w:rPr>
      </w:pPr>
      <w:r w:rsidRPr="004B35AC">
        <w:rPr>
          <w:rStyle w:val="Refdenotaalpie"/>
          <w:rFonts w:ascii="Verdana" w:hAnsi="Verdana" w:cs="Arial"/>
          <w:sz w:val="16"/>
          <w:szCs w:val="16"/>
        </w:rPr>
        <w:footnoteRef/>
      </w:r>
      <w:r w:rsidRPr="004B35AC">
        <w:rPr>
          <w:rStyle w:val="Refdenotaalpie"/>
          <w:rFonts w:ascii="Verdana" w:hAnsi="Verdana" w:cs="Arial"/>
          <w:sz w:val="16"/>
          <w:szCs w:val="16"/>
        </w:rPr>
        <w:t xml:space="preserve"> </w:t>
      </w:r>
      <w:r w:rsidRPr="004B35AC">
        <w:rPr>
          <w:rFonts w:ascii="Verdana" w:hAnsi="Verdana" w:cs="Arial"/>
          <w:sz w:val="16"/>
          <w:szCs w:val="16"/>
          <w:lang w:val="es-ES"/>
        </w:rPr>
        <w:t xml:space="preserve">“[…] A este respecto, cabe recordar que el artículo 860 del Código de Comercio regula la licitación en el derecho privado”. </w:t>
      </w:r>
    </w:p>
  </w:footnote>
  <w:footnote w:id="18">
    <w:p w14:paraId="29B70E4B" w14:textId="77777777" w:rsidR="0066632B" w:rsidRPr="004B35AC" w:rsidRDefault="0066632B" w:rsidP="0066632B">
      <w:pPr>
        <w:shd w:val="clear" w:color="auto" w:fill="FFFFFF"/>
        <w:spacing w:after="0" w:line="240" w:lineRule="auto"/>
        <w:ind w:firstLine="709"/>
        <w:jc w:val="both"/>
        <w:rPr>
          <w:rFonts w:ascii="Verdana" w:hAnsi="Verdana" w:cs="Arial"/>
          <w:sz w:val="16"/>
          <w:szCs w:val="16"/>
          <w:lang w:val="es-ES"/>
        </w:rPr>
      </w:pPr>
      <w:r w:rsidRPr="004B35AC">
        <w:rPr>
          <w:rStyle w:val="Refdenotaalpie"/>
          <w:rFonts w:ascii="Verdana" w:hAnsi="Verdana" w:cs="Arial"/>
          <w:sz w:val="16"/>
          <w:szCs w:val="16"/>
        </w:rPr>
        <w:footnoteRef/>
      </w:r>
      <w:r w:rsidRPr="004B35AC">
        <w:rPr>
          <w:rStyle w:val="Refdenotaalpie"/>
          <w:rFonts w:ascii="Verdana" w:hAnsi="Verdana" w:cs="Arial"/>
          <w:sz w:val="16"/>
          <w:szCs w:val="16"/>
        </w:rPr>
        <w:t xml:space="preserve"> </w:t>
      </w:r>
      <w:r w:rsidRPr="004B35AC">
        <w:rPr>
          <w:rFonts w:ascii="Verdana" w:hAnsi="Verdana" w:cs="Arial"/>
          <w:sz w:val="16"/>
          <w:szCs w:val="16"/>
          <w:lang w:val="es-ES"/>
        </w:rPr>
        <w:t>Consejo de Estado. Sala de Consulta y Servicio Civil, Concepto de 8 de mayo de 2018. Radicación Número: 11001-03-06-000-2018-00095-00(2382). C.P. Álvaro Namén Vargas.</w:t>
      </w:r>
    </w:p>
  </w:footnote>
  <w:footnote w:id="19">
    <w:p w14:paraId="6EAC2584" w14:textId="77777777" w:rsidR="0066632B" w:rsidRPr="004B35AC" w:rsidRDefault="0066632B" w:rsidP="0066632B">
      <w:pPr>
        <w:pStyle w:val="Textonotapie"/>
        <w:ind w:firstLine="709"/>
        <w:jc w:val="both"/>
        <w:rPr>
          <w:rFonts w:ascii="Verdana" w:hAnsi="Verdana" w:cs="Arial"/>
          <w:sz w:val="16"/>
          <w:szCs w:val="16"/>
        </w:rPr>
      </w:pPr>
      <w:r w:rsidRPr="004B35AC">
        <w:rPr>
          <w:rStyle w:val="Refdenotaalpie"/>
          <w:rFonts w:ascii="Verdana" w:hAnsi="Verdana" w:cs="Arial"/>
          <w:sz w:val="16"/>
          <w:szCs w:val="16"/>
        </w:rPr>
        <w:footnoteRef/>
      </w:r>
      <w:r w:rsidRPr="004B35AC">
        <w:rPr>
          <w:rFonts w:ascii="Verdana" w:hAnsi="Verdana" w:cs="Arial"/>
          <w:sz w:val="16"/>
          <w:szCs w:val="16"/>
        </w:rPr>
        <w:t xml:space="preserve"> Consejo de Estado. Sala de Consulta y Servicio Civil. Concepto del 08 de mayo de 2018. Exp. 2.382. C.P. Álvaro Namén Vargas.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EF1063D"/>
    <w:multiLevelType w:val="hybridMultilevel"/>
    <w:tmpl w:val="1D629D68"/>
    <w:lvl w:ilvl="0" w:tplc="240A0001">
      <w:start w:val="1"/>
      <w:numFmt w:val="bullet"/>
      <w:lvlText w:val=""/>
      <w:lvlJc w:val="left"/>
      <w:pPr>
        <w:ind w:left="1429" w:hanging="360"/>
      </w:pPr>
      <w:rPr>
        <w:rFonts w:ascii="Symbol" w:hAnsi="Symbol"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1330140246">
    <w:abstractNumId w:val="0"/>
  </w:num>
  <w:num w:numId="17" w16cid:durableId="679089576">
    <w:abstractNumId w:val="10"/>
  </w:num>
  <w:num w:numId="18" w16cid:durableId="11069211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413A"/>
    <w:rsid w:val="00046945"/>
    <w:rsid w:val="00053DA3"/>
    <w:rsid w:val="00061B2A"/>
    <w:rsid w:val="00082362"/>
    <w:rsid w:val="000831C4"/>
    <w:rsid w:val="0009693B"/>
    <w:rsid w:val="000A683E"/>
    <w:rsid w:val="000B19B9"/>
    <w:rsid w:val="000D0334"/>
    <w:rsid w:val="000D5DA7"/>
    <w:rsid w:val="000D7CDE"/>
    <w:rsid w:val="000F3D86"/>
    <w:rsid w:val="000F6486"/>
    <w:rsid w:val="00116940"/>
    <w:rsid w:val="00125105"/>
    <w:rsid w:val="00127233"/>
    <w:rsid w:val="0015699B"/>
    <w:rsid w:val="001A33BF"/>
    <w:rsid w:val="001E4177"/>
    <w:rsid w:val="001E62F7"/>
    <w:rsid w:val="001F0B24"/>
    <w:rsid w:val="001F7DC6"/>
    <w:rsid w:val="0022400B"/>
    <w:rsid w:val="002421BB"/>
    <w:rsid w:val="0025796E"/>
    <w:rsid w:val="00265BCE"/>
    <w:rsid w:val="002707A2"/>
    <w:rsid w:val="00287DE9"/>
    <w:rsid w:val="002951A0"/>
    <w:rsid w:val="002962BC"/>
    <w:rsid w:val="002A093D"/>
    <w:rsid w:val="002A0DD0"/>
    <w:rsid w:val="002A49AC"/>
    <w:rsid w:val="002A64FD"/>
    <w:rsid w:val="002C5AC4"/>
    <w:rsid w:val="002C7A84"/>
    <w:rsid w:val="002E2BF8"/>
    <w:rsid w:val="002E4FD9"/>
    <w:rsid w:val="002F2410"/>
    <w:rsid w:val="0030657A"/>
    <w:rsid w:val="00322900"/>
    <w:rsid w:val="00322A85"/>
    <w:rsid w:val="00324168"/>
    <w:rsid w:val="00330834"/>
    <w:rsid w:val="003448F4"/>
    <w:rsid w:val="00374F5E"/>
    <w:rsid w:val="00377E3E"/>
    <w:rsid w:val="003A779E"/>
    <w:rsid w:val="003D0F4D"/>
    <w:rsid w:val="003D2754"/>
    <w:rsid w:val="003D5B0D"/>
    <w:rsid w:val="003E0499"/>
    <w:rsid w:val="003E4F80"/>
    <w:rsid w:val="003E6439"/>
    <w:rsid w:val="003F3941"/>
    <w:rsid w:val="00406575"/>
    <w:rsid w:val="00414C74"/>
    <w:rsid w:val="00421B46"/>
    <w:rsid w:val="0042722E"/>
    <w:rsid w:val="0044528D"/>
    <w:rsid w:val="00446ED2"/>
    <w:rsid w:val="00466E39"/>
    <w:rsid w:val="004732FA"/>
    <w:rsid w:val="004A1847"/>
    <w:rsid w:val="004A305D"/>
    <w:rsid w:val="004F21C4"/>
    <w:rsid w:val="004F685F"/>
    <w:rsid w:val="00555B36"/>
    <w:rsid w:val="005566E8"/>
    <w:rsid w:val="00574867"/>
    <w:rsid w:val="005829BE"/>
    <w:rsid w:val="00591460"/>
    <w:rsid w:val="005A65E0"/>
    <w:rsid w:val="005C3777"/>
    <w:rsid w:val="005C5CDC"/>
    <w:rsid w:val="005D476C"/>
    <w:rsid w:val="005E11FF"/>
    <w:rsid w:val="00617993"/>
    <w:rsid w:val="006200BF"/>
    <w:rsid w:val="006219F8"/>
    <w:rsid w:val="006302F7"/>
    <w:rsid w:val="00646B9F"/>
    <w:rsid w:val="00665D70"/>
    <w:rsid w:val="0066632B"/>
    <w:rsid w:val="006815DE"/>
    <w:rsid w:val="006900D9"/>
    <w:rsid w:val="00704681"/>
    <w:rsid w:val="00706C16"/>
    <w:rsid w:val="007340C3"/>
    <w:rsid w:val="0075235A"/>
    <w:rsid w:val="00753D32"/>
    <w:rsid w:val="00756841"/>
    <w:rsid w:val="007649AB"/>
    <w:rsid w:val="00771D0C"/>
    <w:rsid w:val="007833AC"/>
    <w:rsid w:val="00784FB9"/>
    <w:rsid w:val="007B268C"/>
    <w:rsid w:val="007B7171"/>
    <w:rsid w:val="007C0C0F"/>
    <w:rsid w:val="007C3DC2"/>
    <w:rsid w:val="007E5497"/>
    <w:rsid w:val="00806F5F"/>
    <w:rsid w:val="00820278"/>
    <w:rsid w:val="008258C9"/>
    <w:rsid w:val="00844AE9"/>
    <w:rsid w:val="008464C7"/>
    <w:rsid w:val="00867F95"/>
    <w:rsid w:val="008843B6"/>
    <w:rsid w:val="00891928"/>
    <w:rsid w:val="008A446D"/>
    <w:rsid w:val="008A4CD2"/>
    <w:rsid w:val="008B25F1"/>
    <w:rsid w:val="008B76C4"/>
    <w:rsid w:val="008D180B"/>
    <w:rsid w:val="008F0EA7"/>
    <w:rsid w:val="00923EEF"/>
    <w:rsid w:val="009419F9"/>
    <w:rsid w:val="0095685E"/>
    <w:rsid w:val="00961B09"/>
    <w:rsid w:val="00965334"/>
    <w:rsid w:val="0097093E"/>
    <w:rsid w:val="009A0DFA"/>
    <w:rsid w:val="009A1C6F"/>
    <w:rsid w:val="009B2D26"/>
    <w:rsid w:val="009B7BF7"/>
    <w:rsid w:val="009C71FA"/>
    <w:rsid w:val="009C72E7"/>
    <w:rsid w:val="009C7F7E"/>
    <w:rsid w:val="009D3058"/>
    <w:rsid w:val="009F3A13"/>
    <w:rsid w:val="00A03512"/>
    <w:rsid w:val="00A122D3"/>
    <w:rsid w:val="00A14468"/>
    <w:rsid w:val="00A17F13"/>
    <w:rsid w:val="00A20739"/>
    <w:rsid w:val="00A23AF9"/>
    <w:rsid w:val="00A33C78"/>
    <w:rsid w:val="00A505D5"/>
    <w:rsid w:val="00A90B10"/>
    <w:rsid w:val="00AB0ADB"/>
    <w:rsid w:val="00AB11B5"/>
    <w:rsid w:val="00AC60FC"/>
    <w:rsid w:val="00B00C0E"/>
    <w:rsid w:val="00B01B1A"/>
    <w:rsid w:val="00B0381D"/>
    <w:rsid w:val="00B355D2"/>
    <w:rsid w:val="00B44A47"/>
    <w:rsid w:val="00B72CD3"/>
    <w:rsid w:val="00B72FFF"/>
    <w:rsid w:val="00BA3F2C"/>
    <w:rsid w:val="00BC3D36"/>
    <w:rsid w:val="00BD54A6"/>
    <w:rsid w:val="00BD7F72"/>
    <w:rsid w:val="00BF7425"/>
    <w:rsid w:val="00C04FB3"/>
    <w:rsid w:val="00C05864"/>
    <w:rsid w:val="00C11D8B"/>
    <w:rsid w:val="00C13F22"/>
    <w:rsid w:val="00C15139"/>
    <w:rsid w:val="00C330EB"/>
    <w:rsid w:val="00C50D69"/>
    <w:rsid w:val="00C5365C"/>
    <w:rsid w:val="00C7365F"/>
    <w:rsid w:val="00C754BE"/>
    <w:rsid w:val="00C76B1C"/>
    <w:rsid w:val="00C925AC"/>
    <w:rsid w:val="00CB6357"/>
    <w:rsid w:val="00CC1B26"/>
    <w:rsid w:val="00CE78D6"/>
    <w:rsid w:val="00D1324F"/>
    <w:rsid w:val="00D361FD"/>
    <w:rsid w:val="00D423A2"/>
    <w:rsid w:val="00D44E26"/>
    <w:rsid w:val="00D520D8"/>
    <w:rsid w:val="00D63AC2"/>
    <w:rsid w:val="00D7383B"/>
    <w:rsid w:val="00D7788A"/>
    <w:rsid w:val="00D872E9"/>
    <w:rsid w:val="00DA231B"/>
    <w:rsid w:val="00DA4B58"/>
    <w:rsid w:val="00DC39FC"/>
    <w:rsid w:val="00DF22AE"/>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EE28A2"/>
    <w:rsid w:val="00EE5C5B"/>
    <w:rsid w:val="00F23FEA"/>
    <w:rsid w:val="00F31EDC"/>
    <w:rsid w:val="00F462B3"/>
    <w:rsid w:val="00F51124"/>
    <w:rsid w:val="00F5664F"/>
    <w:rsid w:val="00F666C4"/>
    <w:rsid w:val="00F76AFC"/>
    <w:rsid w:val="00FA47C0"/>
    <w:rsid w:val="00FB5DD1"/>
    <w:rsid w:val="00FC0A6A"/>
    <w:rsid w:val="00FC2B5D"/>
    <w:rsid w:val="00FF1449"/>
    <w:rsid w:val="00FF7963"/>
    <w:rsid w:val="071B8F93"/>
    <w:rsid w:val="09908A09"/>
    <w:rsid w:val="0FF4CCA8"/>
    <w:rsid w:val="13CFC91B"/>
    <w:rsid w:val="19A2EC2C"/>
    <w:rsid w:val="2859CA1B"/>
    <w:rsid w:val="32A4F9CF"/>
    <w:rsid w:val="356CEDFD"/>
    <w:rsid w:val="69614A15"/>
    <w:rsid w:val="77CE43B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66632B"/>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66632B"/>
    <w:rPr>
      <w:rFonts w:ascii="Geomanist Light" w:hAnsi="Geomanist Light"/>
      <w:lang w:val="es-ES"/>
    </w:rPr>
  </w:style>
  <w:style w:type="character" w:customStyle="1" w:styleId="s15">
    <w:name w:val="s15"/>
    <w:basedOn w:val="Fuentedeprrafopredeter"/>
    <w:rsid w:val="0066632B"/>
  </w:style>
  <w:style w:type="character" w:customStyle="1" w:styleId="NormalWebCar">
    <w:name w:val="Normal (Web) Car"/>
    <w:link w:val="NormalWeb"/>
    <w:uiPriority w:val="99"/>
    <w:locked/>
    <w:rsid w:val="0066632B"/>
    <w:rPr>
      <w:rFonts w:ascii="Times New Roman" w:eastAsia="Times New Roman" w:hAnsi="Times New Roman" w:cs="Times New Roman"/>
      <w:sz w:val="24"/>
      <w:szCs w:val="24"/>
      <w:lang w:eastAsia="es-CO"/>
    </w:rPr>
  </w:style>
  <w:style w:type="character" w:customStyle="1" w:styleId="baj">
    <w:name w:val="b_aj"/>
    <w:basedOn w:val="Fuentedeprrafopredeter"/>
    <w:rsid w:val="006663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94706631">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ersoneriabaraya@baraya-huila.gov.co" TargetMode="External"/><Relationship Id="rId5" Type="http://schemas.openxmlformats.org/officeDocument/2006/relationships/styles" Target="styles.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ventanilladeradicacion@colombiacompra.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4287774D-63F9-4A9F-8FCE-F197ED1CAD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12</TotalTime>
  <Pages>16</Pages>
  <Words>5314</Words>
  <Characters>29230</Characters>
  <Application>Microsoft Office Word</Application>
  <DocSecurity>0</DocSecurity>
  <Lines>243</Lines>
  <Paragraphs>68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3</cp:revision>
  <cp:lastPrinted>2023-01-10T21:18:00Z</cp:lastPrinted>
  <dcterms:created xsi:type="dcterms:W3CDTF">2026-03-10T14:15:00Z</dcterms:created>
  <dcterms:modified xsi:type="dcterms:W3CDTF">2026-03-10T18:13:00Z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