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7F0E5" w14:textId="77777777" w:rsidR="001B6299" w:rsidRDefault="001B6299" w:rsidP="001B6299">
      <w:pPr>
        <w:jc w:val="both"/>
        <w:rPr>
          <w:rFonts w:ascii="Verdana" w:eastAsia="Calibri" w:hAnsi="Verdana" w:cs="Arial"/>
          <w:b/>
          <w:bCs/>
          <w:lang w:val="es-ES" w:eastAsia="es-ES"/>
        </w:rPr>
      </w:pPr>
      <w:r w:rsidRPr="00931900">
        <w:rPr>
          <w:rFonts w:ascii="Verdana" w:eastAsia="Calibri" w:hAnsi="Verdana" w:cs="Arial"/>
          <w:b/>
          <w:bCs/>
          <w:lang w:val="es-ES" w:eastAsia="es-ES"/>
        </w:rPr>
        <w:t xml:space="preserve">LEY DE GARANTÍAS ELECTORALES – Finalidad </w:t>
      </w:r>
    </w:p>
    <w:p w14:paraId="66618AAF"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Times New Roman" w:hAnsi="Verdana" w:cs="Arial"/>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sz w:val="20"/>
          <w:szCs w:val="20"/>
          <w:lang w:eastAsia="es-CO"/>
        </w:rPr>
        <w:t>.</w:t>
      </w:r>
    </w:p>
    <w:p w14:paraId="47124167" w14:textId="77777777" w:rsidR="001B6299" w:rsidRDefault="001B6299" w:rsidP="001B6299">
      <w:pPr>
        <w:spacing w:after="0" w:line="240" w:lineRule="auto"/>
        <w:jc w:val="both"/>
        <w:rPr>
          <w:rFonts w:ascii="Verdana" w:eastAsia="Calibri" w:hAnsi="Verdana" w:cs="Arial"/>
          <w:b/>
          <w:bCs/>
          <w:lang w:val="es-ES" w:eastAsia="es-ES"/>
        </w:rPr>
      </w:pPr>
    </w:p>
    <w:p w14:paraId="2263E07D"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Calibri" w:hAnsi="Verdana" w:cs="Arial"/>
          <w:b/>
          <w:bCs/>
          <w:lang w:val="es-ES" w:eastAsia="es-ES"/>
        </w:rPr>
        <w:t xml:space="preserve">LEY DE GARANTÍAS ELECTORALES ‒ Restricciones ‒ Contratación ‒ Tipos de elección </w:t>
      </w:r>
    </w:p>
    <w:p w14:paraId="6CA7ED9B" w14:textId="77777777" w:rsidR="001B6299" w:rsidRDefault="001B6299" w:rsidP="001B6299">
      <w:pPr>
        <w:spacing w:after="0" w:line="240" w:lineRule="auto"/>
        <w:jc w:val="both"/>
        <w:rPr>
          <w:rFonts w:ascii="Verdana" w:eastAsia="Arial" w:hAnsi="Verdana" w:cs="Arial"/>
          <w:sz w:val="20"/>
          <w:szCs w:val="20"/>
          <w:lang w:eastAsia="es-ES" w:bidi="es-ES"/>
        </w:rPr>
      </w:pPr>
    </w:p>
    <w:p w14:paraId="0153371E" w14:textId="77777777" w:rsidR="001B6299" w:rsidRDefault="001B6299" w:rsidP="001B6299">
      <w:pPr>
        <w:spacing w:after="0" w:line="240" w:lineRule="auto"/>
        <w:jc w:val="both"/>
        <w:rPr>
          <w:rFonts w:ascii="Verdana" w:eastAsia="Times New Roman" w:hAnsi="Verdana" w:cs="Arial"/>
          <w:sz w:val="20"/>
          <w:szCs w:val="20"/>
          <w:lang w:eastAsia="es-CO"/>
        </w:rPr>
      </w:pPr>
      <w:r>
        <w:rPr>
          <w:rFonts w:ascii="Verdana" w:eastAsia="Arial" w:hAnsi="Verdana" w:cs="Arial"/>
          <w:sz w:val="20"/>
          <w:szCs w:val="20"/>
          <w:lang w:eastAsia="es-ES" w:bidi="es-ES"/>
        </w:rPr>
        <w:t xml:space="preserve">[…] </w:t>
      </w:r>
      <w:r w:rsidRPr="0023010E">
        <w:rPr>
          <w:rFonts w:ascii="Verdana" w:eastAsia="Arial" w:hAnsi="Verdana" w:cs="Arial"/>
          <w:sz w:val="20"/>
          <w:szCs w:val="20"/>
          <w:lang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0762B46" w14:textId="77777777" w:rsidR="001B6299" w:rsidRDefault="001B6299" w:rsidP="001B6299">
      <w:pPr>
        <w:spacing w:after="0" w:line="240" w:lineRule="auto"/>
        <w:jc w:val="both"/>
        <w:rPr>
          <w:rFonts w:ascii="Verdana" w:eastAsia="Arial" w:hAnsi="Verdana" w:cs="Arial"/>
          <w:sz w:val="20"/>
          <w:szCs w:val="20"/>
          <w:lang w:eastAsia="es-ES" w:bidi="es-ES"/>
        </w:rPr>
      </w:pPr>
    </w:p>
    <w:p w14:paraId="0067112C"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Arial" w:hAnsi="Verdana" w:cs="Arial"/>
          <w:sz w:val="20"/>
          <w:szCs w:val="20"/>
          <w:lang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0D0A83DA" w14:textId="77777777" w:rsidR="001B6299" w:rsidRDefault="001B6299" w:rsidP="001B6299">
      <w:pPr>
        <w:spacing w:after="0" w:line="240" w:lineRule="auto"/>
        <w:jc w:val="both"/>
        <w:rPr>
          <w:rFonts w:ascii="Verdana" w:eastAsia="Calibri" w:hAnsi="Verdana" w:cs="Arial"/>
          <w:sz w:val="20"/>
          <w:szCs w:val="20"/>
        </w:rPr>
      </w:pPr>
    </w:p>
    <w:p w14:paraId="677104E2"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Calibri" w:hAnsi="Verdana" w:cs="Arial"/>
          <w:sz w:val="20"/>
          <w:szCs w:val="20"/>
        </w:rPr>
        <w:t xml:space="preserve">Por un lado, el </w:t>
      </w:r>
      <w:r w:rsidRPr="0023010E">
        <w:rPr>
          <w:rFonts w:ascii="Verdana" w:eastAsia="Calibri" w:hAnsi="Verdana" w:cs="Arial"/>
          <w:i/>
          <w:iCs/>
          <w:sz w:val="20"/>
          <w:szCs w:val="20"/>
        </w:rPr>
        <w:t xml:space="preserve">artículo 33 </w:t>
      </w:r>
      <w:r w:rsidRPr="0023010E">
        <w:rPr>
          <w:rFonts w:ascii="Verdana" w:eastAsia="Calibri" w:hAnsi="Verdana" w:cs="Arial"/>
          <w:sz w:val="20"/>
          <w:szCs w:val="20"/>
        </w:rPr>
        <w:t xml:space="preserve">de la Ley 996 de 2005 prohíbe “(…) la </w:t>
      </w:r>
      <w:r w:rsidRPr="0023010E">
        <w:rPr>
          <w:rFonts w:ascii="Verdana" w:eastAsia="Calibri" w:hAnsi="Verdana" w:cs="Arial"/>
          <w:b/>
          <w:bCs/>
          <w:sz w:val="20"/>
          <w:szCs w:val="20"/>
          <w:u w:val="single"/>
        </w:rPr>
        <w:t>contratación directa</w:t>
      </w:r>
      <w:r w:rsidRPr="0023010E">
        <w:rPr>
          <w:rFonts w:ascii="Verdana" w:eastAsia="Calibri" w:hAnsi="Verdana" w:cs="Arial"/>
          <w:sz w:val="20"/>
          <w:szCs w:val="20"/>
        </w:rPr>
        <w:t xml:space="preserve"> por parte de </w:t>
      </w:r>
      <w:r w:rsidRPr="0023010E">
        <w:rPr>
          <w:rFonts w:ascii="Verdana" w:eastAsia="Calibri" w:hAnsi="Verdana" w:cs="Arial"/>
          <w:i/>
          <w:iCs/>
          <w:sz w:val="20"/>
          <w:szCs w:val="20"/>
        </w:rPr>
        <w:t>todos los entes del Estado</w:t>
      </w:r>
      <w:r w:rsidRPr="0023010E">
        <w:rPr>
          <w:rFonts w:ascii="Verdana" w:eastAsia="Calibri" w:hAnsi="Verdana" w:cs="Arial"/>
          <w:sz w:val="20"/>
          <w:szCs w:val="20"/>
        </w:rPr>
        <w:t xml:space="preserve">” durante los cuatro (4) meses anteriores a las </w:t>
      </w:r>
      <w:r w:rsidRPr="0023010E">
        <w:rPr>
          <w:rFonts w:ascii="Verdana" w:eastAsia="Calibri" w:hAnsi="Verdana" w:cs="Arial"/>
          <w:i/>
          <w:iCs/>
          <w:sz w:val="20"/>
          <w:szCs w:val="20"/>
        </w:rPr>
        <w:t>elecciones presidenciales</w:t>
      </w:r>
      <w:r w:rsidRPr="0023010E">
        <w:rPr>
          <w:rFonts w:ascii="Verdana" w:eastAsia="Calibri" w:hAnsi="Verdana" w:cs="Arial"/>
          <w:sz w:val="20"/>
          <w:szCs w:val="20"/>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5D52D47" w14:textId="77777777" w:rsidR="001B6299" w:rsidRDefault="001B6299" w:rsidP="001B6299">
      <w:pPr>
        <w:spacing w:after="0" w:line="240" w:lineRule="auto"/>
        <w:jc w:val="both"/>
        <w:rPr>
          <w:rFonts w:ascii="Verdana" w:eastAsia="Calibri" w:hAnsi="Verdana" w:cs="Arial"/>
          <w:sz w:val="20"/>
          <w:szCs w:val="20"/>
        </w:rPr>
      </w:pPr>
    </w:p>
    <w:p w14:paraId="0E36EFE3"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Calibri" w:hAnsi="Verdana" w:cs="Arial"/>
          <w:sz w:val="20"/>
          <w:szCs w:val="20"/>
        </w:rPr>
        <w:t xml:space="preserve">Por otro lado, </w:t>
      </w:r>
      <w:r w:rsidRPr="0023010E">
        <w:rPr>
          <w:rFonts w:ascii="Verdana" w:eastAsia="Calibri" w:hAnsi="Verdana" w:cs="Arial"/>
          <w:b/>
          <w:bCs/>
          <w:i/>
          <w:iCs/>
          <w:sz w:val="20"/>
          <w:szCs w:val="20"/>
          <w:u w:val="single"/>
        </w:rPr>
        <w:t>el parágrafo del artículo 38</w:t>
      </w:r>
      <w:r w:rsidRPr="0023010E">
        <w:rPr>
          <w:rFonts w:ascii="Verdana" w:eastAsia="Calibri" w:hAnsi="Verdana" w:cs="Arial"/>
          <w:i/>
          <w:iCs/>
          <w:sz w:val="20"/>
          <w:szCs w:val="20"/>
        </w:rPr>
        <w:t xml:space="preserve"> </w:t>
      </w:r>
      <w:r w:rsidRPr="0023010E">
        <w:rPr>
          <w:rFonts w:ascii="Verdana" w:eastAsia="Calibri" w:hAnsi="Verdana" w:cs="Arial"/>
          <w:sz w:val="20"/>
          <w:szCs w:val="20"/>
        </w:rPr>
        <w:t>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3010E">
        <w:rPr>
          <w:rFonts w:ascii="Verdana" w:eastAsia="Arial" w:hAnsi="Verdana" w:cs="Arial"/>
          <w:sz w:val="20"/>
          <w:szCs w:val="20"/>
          <w:lang w:eastAsia="es-ES" w:bidi="es-ES"/>
        </w:rPr>
        <w:t xml:space="preserve"> </w:t>
      </w:r>
    </w:p>
    <w:p w14:paraId="6C9D8AF0" w14:textId="77777777" w:rsidR="001B6299" w:rsidRDefault="001B6299" w:rsidP="001B6299">
      <w:pPr>
        <w:spacing w:after="0" w:line="240" w:lineRule="auto"/>
        <w:jc w:val="both"/>
        <w:rPr>
          <w:rFonts w:ascii="Verdana" w:eastAsia="Calibri" w:hAnsi="Verdana" w:cs="Arial"/>
          <w:b/>
          <w:bCs/>
          <w:lang w:val="es-ES" w:eastAsia="es-ES"/>
        </w:rPr>
      </w:pPr>
    </w:p>
    <w:p w14:paraId="72E81138" w14:textId="772A5C5E" w:rsidR="001B6299" w:rsidRDefault="001B6299" w:rsidP="001B6299">
      <w:pPr>
        <w:jc w:val="both"/>
        <w:rPr>
          <w:rFonts w:ascii="Verdana" w:eastAsia="Times New Roman" w:hAnsi="Verdana" w:cs="Arial"/>
          <w:sz w:val="20"/>
          <w:szCs w:val="20"/>
          <w:lang w:val="es-ES" w:eastAsia="es-CO"/>
        </w:rPr>
      </w:pPr>
      <w:r w:rsidRPr="0023010E">
        <w:rPr>
          <w:rFonts w:ascii="Verdana" w:eastAsia="Calibri" w:hAnsi="Verdana" w:cs="Arial"/>
          <w:b/>
          <w:bCs/>
          <w:lang w:val="es-ES" w:eastAsia="es-ES"/>
        </w:rPr>
        <w:t xml:space="preserve">LEY DE GARANTÍAS ELECTORALES ‒ Artículo 33 ‒ Ámbito material – Contratación directa </w:t>
      </w:r>
      <w:r w:rsidR="00426B5D" w:rsidRPr="00426B5D">
        <w:rPr>
          <w:rFonts w:ascii="Verdana" w:eastAsia="Calibri" w:hAnsi="Verdana" w:cs="Arial"/>
          <w:b/>
          <w:bCs/>
          <w:lang w:val="es-ES" w:eastAsia="es-ES"/>
        </w:rPr>
        <w:t>–</w:t>
      </w:r>
      <w:r w:rsidRPr="0023010E">
        <w:rPr>
          <w:rFonts w:ascii="Verdana" w:eastAsia="Calibri" w:hAnsi="Verdana" w:cs="Arial"/>
          <w:b/>
          <w:bCs/>
          <w:lang w:val="es-ES" w:eastAsia="es-ES"/>
        </w:rPr>
        <w:t xml:space="preserve"> Alcance </w:t>
      </w:r>
    </w:p>
    <w:p w14:paraId="4BE9913F" w14:textId="77777777" w:rsidR="001B6299" w:rsidRDefault="001B6299" w:rsidP="001B6299">
      <w:pPr>
        <w:spacing w:after="0" w:line="240" w:lineRule="auto"/>
        <w:jc w:val="both"/>
        <w:rPr>
          <w:rFonts w:ascii="Verdana" w:eastAsia="Times New Roman" w:hAnsi="Verdana" w:cs="Arial"/>
          <w:sz w:val="20"/>
          <w:szCs w:val="20"/>
          <w:lang w:eastAsia="es-CO"/>
        </w:rPr>
      </w:pPr>
      <w:r w:rsidRPr="0023010E">
        <w:rPr>
          <w:rFonts w:ascii="Verdana" w:eastAsia="Arial" w:hAnsi="Verdana" w:cs="Arial"/>
          <w:sz w:val="20"/>
          <w:szCs w:val="20"/>
          <w:lang w:eastAsia="es-ES" w:bidi="es-ES"/>
        </w:rPr>
        <w:lastRenderedPageBreak/>
        <w:t xml:space="preserve">Ahora bien, </w:t>
      </w:r>
      <w:r w:rsidRPr="0023010E">
        <w:rPr>
          <w:rFonts w:ascii="Verdana" w:eastAsia="Calibri" w:hAnsi="Verdana" w:cs="Arial"/>
          <w:sz w:val="20"/>
          <w:szCs w:val="20"/>
          <w:lang w:eastAsia="es-ES" w:bidi="es-ES"/>
        </w:rPr>
        <w:t xml:space="preserve">es necesario precisar el alcance de la prohibición </w:t>
      </w:r>
      <w:r w:rsidRPr="0023010E">
        <w:rPr>
          <w:rFonts w:ascii="Verdana" w:eastAsia="Arial" w:hAnsi="Verdana" w:cs="Arial"/>
          <w:sz w:val="20"/>
          <w:szCs w:val="20"/>
          <w:lang w:eastAsia="es-ES" w:bidi="es-ES"/>
        </w:rPr>
        <w:t>establecida en e</w:t>
      </w:r>
      <w:r w:rsidRPr="0023010E">
        <w:rPr>
          <w:rFonts w:ascii="Verdana" w:eastAsia="Calibri" w:hAnsi="Verdana" w:cs="Arial"/>
          <w:sz w:val="20"/>
          <w:szCs w:val="20"/>
        </w:rPr>
        <w:t xml:space="preserve">l </w:t>
      </w:r>
      <w:r w:rsidRPr="0023010E">
        <w:rPr>
          <w:rFonts w:ascii="Verdana" w:eastAsia="Times New Roman" w:hAnsi="Verdana" w:cs="Arial"/>
          <w:sz w:val="20"/>
          <w:szCs w:val="20"/>
        </w:rPr>
        <w:t xml:space="preserve">artículo 33 de la Ley 996 de 2005. El ámbito material de esta prohibición está delimitado por la expresión </w:t>
      </w:r>
      <w:r w:rsidRPr="0023010E">
        <w:rPr>
          <w:rFonts w:ascii="Verdana" w:eastAsia="Calibri" w:hAnsi="Verdana" w:cs="Arial"/>
          <w:bCs/>
          <w:sz w:val="20"/>
          <w:szCs w:val="20"/>
        </w:rPr>
        <w:t>“</w:t>
      </w:r>
      <w:r w:rsidRPr="0023010E">
        <w:rPr>
          <w:rFonts w:ascii="Verdana" w:eastAsia="Times New Roman" w:hAnsi="Verdana" w:cs="Arial"/>
          <w:sz w:val="20"/>
          <w:szCs w:val="20"/>
        </w:rPr>
        <w:t>queda prohibida la contratación directa</w:t>
      </w:r>
      <w:r w:rsidRPr="0023010E">
        <w:rPr>
          <w:rFonts w:ascii="Verdana" w:eastAsia="Calibri" w:hAnsi="Verdana" w:cs="Arial"/>
          <w:sz w:val="20"/>
          <w:szCs w:val="20"/>
        </w:rPr>
        <w:t>”</w:t>
      </w:r>
      <w:r w:rsidRPr="0023010E">
        <w:rPr>
          <w:rFonts w:ascii="Verdana" w:eastAsia="Times New Roman" w:hAnsi="Verdana" w:cs="Arial"/>
          <w:sz w:val="20"/>
          <w:szCs w:val="20"/>
        </w:rPr>
        <w:t>.</w:t>
      </w:r>
    </w:p>
    <w:p w14:paraId="5A75FA1F" w14:textId="77777777" w:rsidR="001B6299" w:rsidRDefault="001B6299" w:rsidP="001B6299">
      <w:pPr>
        <w:jc w:val="both"/>
        <w:rPr>
          <w:rFonts w:ascii="Verdana" w:eastAsia="Times New Roman" w:hAnsi="Verdana" w:cs="Arial"/>
          <w:sz w:val="20"/>
          <w:szCs w:val="20"/>
        </w:rPr>
      </w:pPr>
    </w:p>
    <w:p w14:paraId="7B09681A" w14:textId="77777777" w:rsidR="001B6299" w:rsidRDefault="001B6299" w:rsidP="001B6299">
      <w:pPr>
        <w:jc w:val="both"/>
        <w:rPr>
          <w:rFonts w:ascii="Verdana" w:eastAsia="Times New Roman" w:hAnsi="Verdana" w:cs="Arial"/>
          <w:sz w:val="20"/>
          <w:szCs w:val="20"/>
        </w:rPr>
      </w:pPr>
      <w:r w:rsidRPr="001F7F40">
        <w:rPr>
          <w:rFonts w:ascii="Verdana" w:eastAsia="Times New Roman" w:hAnsi="Verdana" w:cs="Arial"/>
          <w:sz w:val="20"/>
          <w:szCs w:val="20"/>
        </w:rPr>
        <w:t>[…</w:t>
      </w:r>
      <w:r>
        <w:rPr>
          <w:rFonts w:ascii="Verdana" w:eastAsia="Times New Roman" w:hAnsi="Verdana" w:cs="Arial"/>
          <w:sz w:val="20"/>
          <w:szCs w:val="20"/>
        </w:rPr>
        <w:t>]</w:t>
      </w:r>
    </w:p>
    <w:p w14:paraId="32EB9C6A" w14:textId="77777777" w:rsidR="001B6299" w:rsidRDefault="001B6299" w:rsidP="001B6299">
      <w:pPr>
        <w:jc w:val="both"/>
        <w:rPr>
          <w:rFonts w:ascii="Verdana" w:eastAsia="Times New Roman" w:hAnsi="Verdana" w:cs="Arial"/>
          <w:sz w:val="20"/>
          <w:szCs w:val="20"/>
        </w:rPr>
      </w:pPr>
      <w:r w:rsidRPr="001F7F40">
        <w:rPr>
          <w:rFonts w:ascii="Verdana" w:eastAsia="Times New Roman" w:hAnsi="Verdana" w:cs="Arial"/>
          <w:sz w:val="20"/>
          <w:szCs w:val="20"/>
          <w:lang w:eastAsia="x-none"/>
        </w:rPr>
        <w:t xml:space="preserve">De acuerdo con este concepto, la prohibición del artículo 33 de la Ley de Garantías Electorales se refiere a </w:t>
      </w:r>
      <w:r w:rsidRPr="001F7F40">
        <w:rPr>
          <w:rFonts w:ascii="Verdana" w:eastAsia="Times New Roman" w:hAnsi="Verdana" w:cs="Arial"/>
          <w:sz w:val="20"/>
          <w:szCs w:val="20"/>
          <w:lang w:eastAsia="en-GB"/>
        </w:rPr>
        <w:t>“</w:t>
      </w:r>
      <w:r w:rsidRPr="001F7F40">
        <w:rPr>
          <w:rFonts w:ascii="Verdana" w:eastAsia="Times New Roman" w:hAnsi="Verdana" w:cs="Arial"/>
          <w:sz w:val="20"/>
          <w:szCs w:val="20"/>
          <w:lang w:eastAsia="x-none"/>
        </w:rPr>
        <w:t>cualquier sistema que no implique convocatoria pública y posibilidad de pluralidad de oferentes</w:t>
      </w:r>
      <w:r w:rsidRPr="001F7F40">
        <w:rPr>
          <w:rFonts w:ascii="Verdana" w:eastAsia="Times New Roman" w:hAnsi="Verdana" w:cs="Arial"/>
          <w:sz w:val="20"/>
          <w:szCs w:val="20"/>
          <w:lang w:eastAsia="en-GB"/>
        </w:rPr>
        <w:t>”</w:t>
      </w:r>
      <w:r w:rsidRPr="001F7F40">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1F7F40">
        <w:rPr>
          <w:rFonts w:ascii="Verdana" w:eastAsia="Times New Roman" w:hAnsi="Verdana" w:cs="Arial"/>
          <w:sz w:val="20"/>
          <w:szCs w:val="20"/>
        </w:rPr>
        <w:t>y la mínima cuantía</w:t>
      </w:r>
      <w:r w:rsidRPr="001F7F40" w:rsidDel="00A85D9F">
        <w:rPr>
          <w:rFonts w:ascii="Verdana" w:eastAsia="Times New Roman" w:hAnsi="Verdana" w:cs="Arial"/>
          <w:sz w:val="20"/>
          <w:szCs w:val="20"/>
          <w:lang w:eastAsia="x-none"/>
        </w:rPr>
        <w:t xml:space="preserve"> </w:t>
      </w:r>
      <w:r w:rsidRPr="001F7F40">
        <w:rPr>
          <w:rFonts w:ascii="Verdana" w:eastAsia="Times New Roman" w:hAnsi="Verdana" w:cs="Arial"/>
          <w:sz w:val="20"/>
          <w:szCs w:val="20"/>
        </w:rPr>
        <w:t xml:space="preserve">u otros previstos en normas especiales. </w:t>
      </w:r>
      <w:r w:rsidRPr="001F7F40">
        <w:rPr>
          <w:rFonts w:ascii="Verdana" w:eastAsia="Times New Roman" w:hAnsi="Verdana" w:cs="Arial"/>
          <w:sz w:val="20"/>
          <w:szCs w:val="20"/>
          <w:lang w:eastAsia="x-none"/>
        </w:rPr>
        <w:t xml:space="preserve">Esta posición es congruente con la expedición de la Ley 1150 de 2007 que, entre otras reformas, introdujo la selección abreviada, rediseñó el concurso de méritos y sistematizó las causales de contratación directa, </w:t>
      </w:r>
      <w:r w:rsidRPr="001F7F40">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13DC68CD" w14:textId="77777777" w:rsidR="001B6299" w:rsidRDefault="001B6299" w:rsidP="001B6299">
      <w:pPr>
        <w:jc w:val="both"/>
        <w:rPr>
          <w:rFonts w:ascii="Verdana" w:eastAsia="Times New Roman" w:hAnsi="Verdana" w:cs="Arial"/>
          <w:sz w:val="20"/>
          <w:szCs w:val="20"/>
        </w:rPr>
      </w:pPr>
      <w:r w:rsidRPr="001F7F40">
        <w:rPr>
          <w:rFonts w:ascii="Verdana" w:eastAsia="Times New Roman" w:hAnsi="Verdana" w:cs="Arial"/>
          <w:bCs/>
          <w:sz w:val="20"/>
          <w:szCs w:val="20"/>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1F7F40">
        <w:rPr>
          <w:rFonts w:ascii="Verdana" w:eastAsia="Times New Roman" w:hAnsi="Verdana" w:cs="Arial"/>
          <w:bCs/>
          <w:i/>
          <w:iCs/>
          <w:sz w:val="20"/>
          <w:szCs w:val="20"/>
          <w:lang w:eastAsia="es-CO"/>
        </w:rPr>
        <w:t>, sino también frente a las entidades que tengan un régimen especial de contratación</w:t>
      </w:r>
      <w:r w:rsidRPr="001F7F40">
        <w:rPr>
          <w:rFonts w:ascii="Verdana" w:eastAsia="Times New Roman" w:hAnsi="Verdana" w:cs="Arial"/>
          <w:bCs/>
          <w:sz w:val="20"/>
          <w:szCs w:val="20"/>
          <w:lang w:eastAsia="es-CO"/>
        </w:rPr>
        <w:t xml:space="preserve">. No obstante, también se observa que luego de la expedición de Ley 1150 de 2007, el Consejo de Estado comenzó a delimitar con mayor precisión el término de “contratación directa”. </w:t>
      </w:r>
      <w:r w:rsidRPr="001F7F40">
        <w:rPr>
          <w:rFonts w:ascii="Verdana" w:eastAsia="Times New Roman" w:hAnsi="Verdana" w:cs="Arial"/>
          <w:sz w:val="20"/>
          <w:szCs w:val="20"/>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sz w:val="20"/>
          <w:szCs w:val="20"/>
        </w:rPr>
        <w:t>.</w:t>
      </w:r>
    </w:p>
    <w:p w14:paraId="09AD2F3B" w14:textId="77777777" w:rsidR="001B6299" w:rsidRDefault="001B6299" w:rsidP="001B6299">
      <w:pPr>
        <w:jc w:val="both"/>
        <w:rPr>
          <w:rFonts w:ascii="Verdana" w:eastAsia="Times New Roman" w:hAnsi="Verdana" w:cs="Arial"/>
          <w:sz w:val="20"/>
          <w:szCs w:val="20"/>
        </w:rPr>
      </w:pPr>
      <w:r w:rsidRPr="001B3396">
        <w:rPr>
          <w:rFonts w:ascii="Verdana" w:eastAsia="Calibri" w:hAnsi="Verdana" w:cs="Arial"/>
          <w:sz w:val="20"/>
          <w:szCs w:val="20"/>
          <w:lang w:eastAsia="es-ES"/>
        </w:rPr>
        <w:t>[…]</w:t>
      </w:r>
    </w:p>
    <w:p w14:paraId="53F9AB19" w14:textId="77777777" w:rsidR="001B6299" w:rsidRDefault="001B6299" w:rsidP="001B6299">
      <w:pPr>
        <w:jc w:val="both"/>
        <w:rPr>
          <w:rFonts w:ascii="Verdana" w:eastAsia="Times New Roman" w:hAnsi="Verdana" w:cs="Arial"/>
          <w:sz w:val="20"/>
          <w:szCs w:val="20"/>
        </w:rPr>
      </w:pPr>
      <w:r w:rsidRPr="001B3396">
        <w:rPr>
          <w:rFonts w:ascii="Verdana" w:eastAsia="Times New Roman" w:hAnsi="Verdana" w:cs="Arial"/>
          <w:sz w:val="20"/>
          <w:szCs w:val="20"/>
          <w:lang w:eastAsia="es-CO"/>
        </w:rPr>
        <w:t xml:space="preserve">Con respecto a los </w:t>
      </w:r>
      <w:r w:rsidRPr="001B3396">
        <w:rPr>
          <w:rFonts w:ascii="Verdana" w:eastAsia="Times New Roman" w:hAnsi="Verdana" w:cs="Arial"/>
          <w:i/>
          <w:iCs/>
          <w:sz w:val="20"/>
          <w:szCs w:val="20"/>
          <w:lang w:eastAsia="es-CO"/>
        </w:rPr>
        <w:t>sujetos</w:t>
      </w:r>
      <w:r w:rsidRPr="001B3396">
        <w:rPr>
          <w:rFonts w:ascii="Verdana" w:eastAsia="Times New Roman" w:hAnsi="Verdana" w:cs="Arial"/>
          <w:sz w:val="20"/>
          <w:szCs w:val="20"/>
          <w:lang w:eastAsia="es-CO"/>
        </w:rPr>
        <w:t xml:space="preserve"> que se encuentran enmarcados en la prohibición del artículo 33, </w:t>
      </w:r>
      <w:r w:rsidRPr="001B3396">
        <w:rPr>
          <w:rFonts w:ascii="Verdana" w:eastAsia="Times New Roman" w:hAnsi="Verdana" w:cs="Arial"/>
          <w:sz w:val="20"/>
          <w:szCs w:val="20"/>
        </w:rPr>
        <w:t>la Ley 996 de 2005 señala expresamente que son “</w:t>
      </w:r>
      <w:r w:rsidRPr="001B3396">
        <w:rPr>
          <w:rFonts w:ascii="Verdana" w:eastAsia="Times New Roman" w:hAnsi="Verdana" w:cs="Arial"/>
          <w:i/>
          <w:iCs/>
          <w:sz w:val="20"/>
          <w:szCs w:val="20"/>
          <w:u w:val="single"/>
        </w:rPr>
        <w:t>todos</w:t>
      </w:r>
      <w:r w:rsidRPr="001B3396">
        <w:rPr>
          <w:rFonts w:ascii="Verdana" w:eastAsia="Times New Roman" w:hAnsi="Verdana" w:cs="Arial"/>
          <w:i/>
          <w:iCs/>
          <w:sz w:val="20"/>
          <w:szCs w:val="20"/>
        </w:rPr>
        <w:t xml:space="preserve"> los entes del Estado</w:t>
      </w:r>
      <w:r w:rsidRPr="001B3396">
        <w:rPr>
          <w:rFonts w:ascii="Verdana" w:eastAsia="Times New Roman" w:hAnsi="Verdana" w:cs="Arial"/>
          <w:sz w:val="20"/>
          <w:szCs w:val="20"/>
        </w:rPr>
        <w:t>”</w:t>
      </w:r>
      <w:r>
        <w:rPr>
          <w:rFonts w:ascii="Verdana" w:eastAsia="Times New Roman" w:hAnsi="Verdana" w:cs="Arial"/>
          <w:sz w:val="20"/>
          <w:szCs w:val="20"/>
        </w:rPr>
        <w:t>.</w:t>
      </w:r>
    </w:p>
    <w:p w14:paraId="2C25AE8E" w14:textId="77777777" w:rsidR="001B6299" w:rsidRDefault="001B6299" w:rsidP="001B6299">
      <w:pPr>
        <w:jc w:val="both"/>
        <w:rPr>
          <w:rFonts w:ascii="Verdana" w:eastAsia="Times New Roman" w:hAnsi="Verdana" w:cs="Arial"/>
          <w:sz w:val="20"/>
          <w:szCs w:val="20"/>
        </w:rPr>
      </w:pPr>
      <w:r>
        <w:rPr>
          <w:rFonts w:ascii="Verdana" w:eastAsia="Times New Roman" w:hAnsi="Verdana" w:cs="Arial"/>
          <w:sz w:val="20"/>
          <w:szCs w:val="20"/>
        </w:rPr>
        <w:t xml:space="preserve">[…] </w:t>
      </w:r>
    </w:p>
    <w:p w14:paraId="3CA65A93" w14:textId="77777777" w:rsidR="001B6299" w:rsidRPr="00E9780C" w:rsidRDefault="001B6299" w:rsidP="001B6299">
      <w:pPr>
        <w:spacing w:after="0" w:line="240" w:lineRule="auto"/>
        <w:jc w:val="both"/>
        <w:rPr>
          <w:rFonts w:ascii="Verdana" w:eastAsia="Times New Roman" w:hAnsi="Verdana" w:cs="Arial"/>
          <w:sz w:val="20"/>
          <w:szCs w:val="20"/>
        </w:rPr>
      </w:pPr>
      <w:r w:rsidRPr="001B3396">
        <w:rPr>
          <w:rFonts w:ascii="Verdana" w:hAnsi="Verdana" w:cs="Arial"/>
          <w:bCs/>
          <w:sz w:val="20"/>
          <w:szCs w:val="20"/>
          <w:lang w:eastAsia="x-none"/>
        </w:rPr>
        <w:t>[…] tal como lo ha sostenido el Consejo de Estado, el vocablo “todos” utilizado por el legislador comprende</w:t>
      </w:r>
      <w:r w:rsidRPr="001B3396">
        <w:rPr>
          <w:rFonts w:ascii="Verdana" w:hAnsi="Verdana"/>
          <w:sz w:val="20"/>
          <w:szCs w:val="20"/>
        </w:rPr>
        <w:t xml:space="preserve"> </w:t>
      </w:r>
      <w:r w:rsidRPr="001B3396">
        <w:rPr>
          <w:rFonts w:ascii="Verdana" w:hAnsi="Verdana" w:cs="Arial"/>
          <w:bCs/>
          <w:sz w:val="20"/>
          <w:szCs w:val="20"/>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sz w:val="20"/>
          <w:szCs w:val="20"/>
          <w:lang w:eastAsia="x-none"/>
        </w:rPr>
        <w:t>.</w:t>
      </w:r>
    </w:p>
    <w:p w14:paraId="54ED7CD6" w14:textId="77777777" w:rsidR="001B6299" w:rsidRPr="001B3396" w:rsidRDefault="001B6299" w:rsidP="001B6299">
      <w:pPr>
        <w:spacing w:after="0" w:line="240" w:lineRule="auto"/>
        <w:jc w:val="both"/>
        <w:rPr>
          <w:rFonts w:ascii="Verdana" w:eastAsia="Times New Roman" w:hAnsi="Verdana" w:cs="Arial"/>
          <w:sz w:val="20"/>
          <w:szCs w:val="20"/>
          <w:lang w:eastAsia="es-CO"/>
        </w:rPr>
      </w:pPr>
    </w:p>
    <w:p w14:paraId="35DB09DD" w14:textId="77777777" w:rsidR="001B6299" w:rsidRDefault="001B6299" w:rsidP="001B6299">
      <w:pPr>
        <w:jc w:val="both"/>
        <w:rPr>
          <w:rFonts w:ascii="Verdana" w:eastAsia="Calibri" w:hAnsi="Verdana" w:cs="Arial"/>
          <w:b/>
          <w:bCs/>
          <w:lang w:val="es-ES" w:eastAsia="es-ES"/>
        </w:rPr>
      </w:pPr>
      <w:r w:rsidRPr="001B3396">
        <w:rPr>
          <w:rFonts w:ascii="Verdana" w:eastAsia="Calibri" w:hAnsi="Verdana" w:cs="Arial"/>
          <w:b/>
          <w:bCs/>
          <w:lang w:val="es-ES" w:eastAsia="es-ES"/>
        </w:rPr>
        <w:t xml:space="preserve">LEY DE GARANTÍAS ELECTORALES – Artículo 38 – Alcance </w:t>
      </w:r>
    </w:p>
    <w:p w14:paraId="2F16413F" w14:textId="77777777" w:rsidR="001B6299" w:rsidRDefault="001B6299" w:rsidP="001B6299">
      <w:pPr>
        <w:spacing w:after="0" w:line="240" w:lineRule="auto"/>
        <w:jc w:val="both"/>
        <w:rPr>
          <w:rFonts w:ascii="Verdana" w:eastAsia="Times New Roman" w:hAnsi="Verdana" w:cs="Arial"/>
          <w:sz w:val="20"/>
          <w:szCs w:val="20"/>
          <w:lang w:val="es-MX" w:eastAsia="x-none"/>
        </w:rPr>
      </w:pPr>
      <w:r w:rsidRPr="001B3396">
        <w:rPr>
          <w:rFonts w:ascii="Verdana" w:eastAsia="Calibri" w:hAnsi="Verdana" w:cs="Arial"/>
          <w:sz w:val="20"/>
          <w:szCs w:val="20"/>
        </w:rPr>
        <w:lastRenderedPageBreak/>
        <w:t xml:space="preserve">La citada norma dispone: “[l]os Gobernadores, </w:t>
      </w:r>
      <w:proofErr w:type="gramStart"/>
      <w:r w:rsidRPr="001B3396">
        <w:rPr>
          <w:rFonts w:ascii="Verdana" w:eastAsia="Calibri" w:hAnsi="Verdana" w:cs="Arial"/>
          <w:sz w:val="20"/>
          <w:szCs w:val="20"/>
        </w:rPr>
        <w:t>Alcaldes</w:t>
      </w:r>
      <w:proofErr w:type="gramEnd"/>
      <w:r w:rsidRPr="001B3396">
        <w:rPr>
          <w:rFonts w:ascii="Verdana" w:eastAsia="Calibri" w:hAnsi="Verdana" w:cs="Arial"/>
          <w:sz w:val="20"/>
          <w:szCs w:val="20"/>
        </w:rPr>
        <w:t xml:space="preserve"> Municipales y/o Distritales, </w:t>
      </w:r>
      <w:proofErr w:type="gramStart"/>
      <w:r w:rsidRPr="001B3396">
        <w:rPr>
          <w:rFonts w:ascii="Verdana" w:eastAsia="Calibri" w:hAnsi="Verdana" w:cs="Arial"/>
          <w:sz w:val="20"/>
          <w:szCs w:val="20"/>
        </w:rPr>
        <w:t>Secretarios</w:t>
      </w:r>
      <w:proofErr w:type="gramEnd"/>
      <w:r w:rsidRPr="001B3396">
        <w:rPr>
          <w:rFonts w:ascii="Verdana" w:eastAsia="Calibri" w:hAnsi="Verdana" w:cs="Arial"/>
          <w:sz w:val="20"/>
          <w:szCs w:val="20"/>
        </w:rPr>
        <w:t xml:space="preserve">, Gerentes y directores de Entidades Descentralizadas del orden Municipal, Departamental o Distrital, dentro de los cuatro (4) meses anteriores a las elecciones, no podrán celebrar </w:t>
      </w:r>
      <w:r w:rsidRPr="001B3396">
        <w:rPr>
          <w:rFonts w:ascii="Verdana" w:eastAsia="Calibri" w:hAnsi="Verdana" w:cs="Arial"/>
          <w:i/>
          <w:iCs/>
          <w:sz w:val="20"/>
          <w:szCs w:val="20"/>
        </w:rPr>
        <w:t>convenios interadministrativos</w:t>
      </w:r>
      <w:r w:rsidRPr="001B3396">
        <w:rPr>
          <w:rFonts w:ascii="Verdana" w:eastAsia="Calibri" w:hAnsi="Verdana" w:cs="Arial"/>
          <w:sz w:val="20"/>
          <w:szCs w:val="20"/>
        </w:rPr>
        <w:t xml:space="preserve"> para la ejecución de recursos públicos”.</w:t>
      </w:r>
      <w:r w:rsidRPr="001B3396">
        <w:rPr>
          <w:rFonts w:ascii="Verdana" w:eastAsia="Times New Roman" w:hAnsi="Verdana" w:cs="Arial"/>
          <w:sz w:val="20"/>
          <w:szCs w:val="20"/>
          <w:lang w:val="es-MX" w:eastAsia="x-none"/>
        </w:rPr>
        <w:t xml:space="preserve"> </w:t>
      </w:r>
    </w:p>
    <w:p w14:paraId="03D1DF30" w14:textId="77777777" w:rsidR="001B6299" w:rsidRDefault="001B6299" w:rsidP="001B6299">
      <w:pPr>
        <w:spacing w:after="0" w:line="240" w:lineRule="auto"/>
        <w:jc w:val="both"/>
        <w:rPr>
          <w:rFonts w:ascii="Verdana" w:eastAsia="Times New Roman" w:hAnsi="Verdana" w:cs="Arial"/>
          <w:sz w:val="20"/>
          <w:szCs w:val="20"/>
          <w:lang w:val="es-MX" w:eastAsia="x-none"/>
        </w:rPr>
      </w:pPr>
    </w:p>
    <w:p w14:paraId="256BEAFD" w14:textId="77777777" w:rsidR="001B6299" w:rsidRPr="001B3396" w:rsidRDefault="001B6299" w:rsidP="001B6299">
      <w:pPr>
        <w:spacing w:after="0" w:line="240" w:lineRule="auto"/>
        <w:jc w:val="both"/>
        <w:rPr>
          <w:rFonts w:ascii="Verdana" w:eastAsia="Times New Roman" w:hAnsi="Verdana" w:cs="Arial"/>
          <w:sz w:val="20"/>
          <w:szCs w:val="20"/>
          <w:lang w:eastAsia="x-none"/>
        </w:rPr>
      </w:pPr>
      <w:r w:rsidRPr="001B3396">
        <w:rPr>
          <w:rFonts w:ascii="Verdana" w:eastAsia="Times New Roman" w:hAnsi="Verdana" w:cs="Arial"/>
          <w:sz w:val="20"/>
          <w:szCs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1B3396">
        <w:rPr>
          <w:rFonts w:ascii="Verdana" w:eastAsia="Arial" w:hAnsi="Verdana" w:cs="Arial"/>
          <w:sz w:val="20"/>
          <w:szCs w:val="20"/>
          <w:lang w:val="es-ES" w:eastAsia="es-ES" w:bidi="es-ES"/>
        </w:rPr>
        <w:t>e</w:t>
      </w:r>
      <w:r w:rsidRPr="001B3396">
        <w:rPr>
          <w:rFonts w:ascii="Verdana" w:eastAsia="Calibri" w:hAnsi="Verdana" w:cs="Arial"/>
          <w:sz w:val="20"/>
          <w:szCs w:val="20"/>
        </w:rPr>
        <w:t xml:space="preserve">l parágrafo del artículo 38 cobija tanto a los convenios como a los contratos interadministrativos. Esta tesis se fundamenta en que </w:t>
      </w:r>
      <w:r w:rsidRPr="001B3396">
        <w:rPr>
          <w:rFonts w:ascii="Verdana" w:eastAsia="Calibri" w:hAnsi="Verdana" w:cs="Arial"/>
          <w:sz w:val="20"/>
          <w:szCs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3822A861" w14:textId="77777777" w:rsidR="001B6299" w:rsidRPr="001B3396" w:rsidRDefault="001B6299" w:rsidP="001B6299">
      <w:pPr>
        <w:spacing w:after="0" w:line="240" w:lineRule="auto"/>
        <w:jc w:val="both"/>
        <w:rPr>
          <w:rFonts w:ascii="Verdana" w:eastAsia="Times New Roman" w:hAnsi="Verdana" w:cs="Arial"/>
          <w:sz w:val="20"/>
          <w:szCs w:val="20"/>
          <w:lang w:eastAsia="x-none"/>
        </w:rPr>
      </w:pPr>
    </w:p>
    <w:p w14:paraId="24A25B1F" w14:textId="77777777" w:rsidR="001B6299" w:rsidRPr="001B3396" w:rsidRDefault="001B6299" w:rsidP="001B6299">
      <w:pPr>
        <w:spacing w:after="0" w:line="240" w:lineRule="auto"/>
        <w:jc w:val="both"/>
        <w:rPr>
          <w:rFonts w:ascii="Verdana" w:eastAsia="Times New Roman" w:hAnsi="Verdana" w:cs="Arial"/>
          <w:sz w:val="20"/>
          <w:szCs w:val="20"/>
          <w:lang w:val="es-ES" w:eastAsia="x-none"/>
        </w:rPr>
      </w:pPr>
      <w:r w:rsidRPr="001B3396">
        <w:rPr>
          <w:rFonts w:ascii="Verdana" w:eastAsia="Calibri" w:hAnsi="Verdana" w:cs="Arial"/>
          <w:sz w:val="20"/>
          <w:szCs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1B3396">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038E6B7D" w14:textId="77777777" w:rsidR="001B6299" w:rsidRDefault="001B6299" w:rsidP="001B6299">
      <w:pPr>
        <w:spacing w:after="0" w:line="240" w:lineRule="auto"/>
        <w:jc w:val="both"/>
        <w:rPr>
          <w:rFonts w:ascii="Verdana" w:eastAsia="Times New Roman" w:hAnsi="Verdana" w:cs="Arial"/>
          <w:sz w:val="20"/>
          <w:szCs w:val="20"/>
          <w:lang w:val="es-ES" w:eastAsia="x-none"/>
        </w:rPr>
      </w:pPr>
    </w:p>
    <w:p w14:paraId="09BE48DF" w14:textId="77777777" w:rsidR="001B6299" w:rsidRDefault="001B6299" w:rsidP="001B6299">
      <w:pPr>
        <w:spacing w:after="0" w:line="240" w:lineRule="auto"/>
        <w:jc w:val="both"/>
        <w:rPr>
          <w:rFonts w:ascii="Verdana" w:eastAsia="Times New Roman" w:hAnsi="Verdana" w:cs="Arial"/>
          <w:b/>
          <w:bCs/>
          <w:sz w:val="20"/>
          <w:szCs w:val="20"/>
          <w:lang w:val="es-ES" w:eastAsia="x-none"/>
        </w:rPr>
      </w:pPr>
      <w:r w:rsidRPr="001B3396">
        <w:rPr>
          <w:rFonts w:ascii="Verdana" w:eastAsia="Calibri" w:hAnsi="Verdana" w:cs="Arial"/>
          <w:b/>
          <w:bCs/>
          <w:lang w:val="es-ES" w:eastAsia="es-ES"/>
        </w:rPr>
        <w:t xml:space="preserve">LEY DE GARANTÍAS ELECTORALES – Aplicación a convenios interadministrativos </w:t>
      </w:r>
    </w:p>
    <w:p w14:paraId="63FE37CD" w14:textId="77777777" w:rsidR="001B6299" w:rsidRDefault="001B6299" w:rsidP="001B6299">
      <w:pPr>
        <w:spacing w:after="0" w:line="240" w:lineRule="auto"/>
        <w:jc w:val="both"/>
        <w:rPr>
          <w:rFonts w:ascii="Verdana" w:eastAsia="Times New Roman" w:hAnsi="Verdana" w:cs="Arial"/>
          <w:b/>
          <w:bCs/>
          <w:sz w:val="20"/>
          <w:szCs w:val="20"/>
          <w:lang w:val="es-ES" w:eastAsia="x-none"/>
        </w:rPr>
      </w:pPr>
    </w:p>
    <w:p w14:paraId="2AAF946E" w14:textId="77777777" w:rsidR="001B6299" w:rsidRPr="00FD5089" w:rsidRDefault="001B6299" w:rsidP="001B6299">
      <w:pPr>
        <w:spacing w:after="0" w:line="240" w:lineRule="auto"/>
        <w:jc w:val="both"/>
        <w:rPr>
          <w:rFonts w:ascii="Verdana" w:eastAsia="Times New Roman" w:hAnsi="Verdana" w:cs="Arial"/>
          <w:b/>
          <w:bCs/>
          <w:sz w:val="20"/>
          <w:szCs w:val="20"/>
          <w:lang w:val="es-MX" w:eastAsia="x-none"/>
        </w:rPr>
      </w:pPr>
      <w:r w:rsidRPr="00FD5089">
        <w:rPr>
          <w:rFonts w:ascii="Verdana" w:eastAsia="Arial" w:hAnsi="Verdana" w:cs="Arial"/>
          <w:sz w:val="20"/>
          <w:szCs w:val="20"/>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FD5089">
        <w:rPr>
          <w:rFonts w:ascii="Verdana" w:eastAsia="Arial" w:hAnsi="Verdana" w:cs="Arial"/>
          <w:sz w:val="20"/>
          <w:szCs w:val="20"/>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2CDE1B73" w14:textId="77777777" w:rsidR="001B6299" w:rsidRPr="00FD5089" w:rsidRDefault="001B6299" w:rsidP="001B6299">
      <w:pPr>
        <w:spacing w:after="0" w:line="240" w:lineRule="auto"/>
        <w:jc w:val="both"/>
        <w:rPr>
          <w:rFonts w:ascii="Verdana" w:eastAsia="Times New Roman" w:hAnsi="Verdana" w:cs="Arial"/>
          <w:b/>
          <w:bCs/>
          <w:sz w:val="20"/>
          <w:szCs w:val="20"/>
          <w:lang w:val="es-MX" w:eastAsia="x-none"/>
        </w:rPr>
      </w:pPr>
    </w:p>
    <w:p w14:paraId="5FCFDC4C" w14:textId="77777777" w:rsidR="001B6299" w:rsidRDefault="001B6299" w:rsidP="001B6299">
      <w:pPr>
        <w:spacing w:after="0" w:line="240" w:lineRule="auto"/>
        <w:jc w:val="both"/>
        <w:rPr>
          <w:rFonts w:ascii="Verdana" w:eastAsia="Times New Roman" w:hAnsi="Verdana" w:cs="Arial"/>
          <w:sz w:val="20"/>
          <w:szCs w:val="20"/>
          <w:lang w:val="es-MX" w:eastAsia="x-none"/>
        </w:rPr>
      </w:pPr>
      <w:r w:rsidRPr="00FD5089">
        <w:rPr>
          <w:rFonts w:ascii="Verdana" w:eastAsia="Times New Roman" w:hAnsi="Verdana" w:cs="Arial"/>
          <w:sz w:val="20"/>
          <w:szCs w:val="20"/>
          <w:lang w:val="es-MX" w:eastAsia="x-none"/>
        </w:rPr>
        <w:t>[…]</w:t>
      </w:r>
    </w:p>
    <w:p w14:paraId="4443416D" w14:textId="77777777" w:rsidR="001B6299" w:rsidRDefault="001B6299" w:rsidP="001B6299">
      <w:pPr>
        <w:spacing w:after="0" w:line="240" w:lineRule="auto"/>
        <w:jc w:val="both"/>
        <w:rPr>
          <w:rFonts w:ascii="Verdana" w:eastAsia="Times New Roman" w:hAnsi="Verdana" w:cs="Arial"/>
          <w:sz w:val="20"/>
          <w:szCs w:val="20"/>
          <w:lang w:val="es-MX" w:eastAsia="x-none"/>
        </w:rPr>
      </w:pPr>
    </w:p>
    <w:p w14:paraId="6331C910" w14:textId="77777777" w:rsidR="001B6299" w:rsidRPr="00FD5089" w:rsidRDefault="001B6299" w:rsidP="001B6299">
      <w:pPr>
        <w:spacing w:after="0" w:line="240" w:lineRule="auto"/>
        <w:jc w:val="both"/>
        <w:rPr>
          <w:rFonts w:ascii="Verdana" w:eastAsia="Times New Roman" w:hAnsi="Verdana" w:cs="Arial"/>
          <w:sz w:val="20"/>
          <w:szCs w:val="20"/>
          <w:lang w:val="es-MX" w:eastAsia="x-none"/>
        </w:rPr>
      </w:pPr>
      <w:r w:rsidRPr="00FD5089">
        <w:rPr>
          <w:rFonts w:ascii="Verdana" w:eastAsia="Arial" w:hAnsi="Verdana" w:cs="Arial"/>
          <w:sz w:val="20"/>
          <w:szCs w:val="20"/>
          <w:lang w:val="es-MX" w:eastAsia="es-ES" w:bidi="es-ES"/>
        </w:rPr>
        <w:t>De esta manera, s</w:t>
      </w:r>
      <w:proofErr w:type="spellStart"/>
      <w:r w:rsidRPr="00FD5089">
        <w:rPr>
          <w:rFonts w:ascii="Verdana" w:eastAsia="Times New Roman" w:hAnsi="Verdana" w:cs="Arial"/>
          <w:sz w:val="20"/>
          <w:szCs w:val="20"/>
          <w:lang w:eastAsia="es-CO"/>
        </w:rPr>
        <w:t>e</w:t>
      </w:r>
      <w:proofErr w:type="spellEnd"/>
      <w:r w:rsidRPr="00FD5089">
        <w:rPr>
          <w:rFonts w:ascii="Verdana" w:eastAsia="Times New Roman" w:hAnsi="Verdana" w:cs="Arial"/>
          <w:sz w:val="20"/>
          <w:szCs w:val="20"/>
          <w:lang w:eastAsia="es-CO"/>
        </w:rPr>
        <w:t xml:space="preserve"> observa entonces que </w:t>
      </w:r>
      <w:r w:rsidRPr="00FD5089">
        <w:rPr>
          <w:rFonts w:ascii="Verdana" w:eastAsia="Times New Roman" w:hAnsi="Verdana" w:cs="Arial"/>
          <w:sz w:val="20"/>
          <w:szCs w:val="20"/>
          <w:lang w:val="es-MX" w:eastAsia="es-CO"/>
        </w:rPr>
        <w:t xml:space="preserve">el parágrafo del artículo 38 de la Ley 996 de 2005 prohíbe a los </w:t>
      </w:r>
      <w:proofErr w:type="gramStart"/>
      <w:r w:rsidRPr="00FD5089">
        <w:rPr>
          <w:rFonts w:ascii="Verdana" w:eastAsia="Times New Roman" w:hAnsi="Verdana" w:cs="Arial"/>
          <w:sz w:val="20"/>
          <w:szCs w:val="20"/>
          <w:lang w:val="es-MX" w:eastAsia="es-CO"/>
        </w:rPr>
        <w:t>Alcaldes</w:t>
      </w:r>
      <w:proofErr w:type="gramEnd"/>
      <w:r w:rsidRPr="00FD5089">
        <w:rPr>
          <w:rFonts w:ascii="Verdana" w:eastAsia="Times New Roman" w:hAnsi="Verdana" w:cs="Arial"/>
          <w:sz w:val="20"/>
          <w:szCs w:val="20"/>
          <w:lang w:val="es-MX" w:eastAsia="es-CO"/>
        </w:rPr>
        <w:t xml:space="preserve">, Gobernadores, </w:t>
      </w:r>
      <w:proofErr w:type="gramStart"/>
      <w:r w:rsidRPr="00FD5089">
        <w:rPr>
          <w:rFonts w:ascii="Verdana" w:eastAsia="Times New Roman" w:hAnsi="Verdana" w:cs="Arial"/>
          <w:sz w:val="20"/>
          <w:szCs w:val="20"/>
          <w:lang w:val="es-MX" w:eastAsia="es-CO"/>
        </w:rPr>
        <w:t>Secretarios</w:t>
      </w:r>
      <w:proofErr w:type="gramEnd"/>
      <w:r w:rsidRPr="00FD5089">
        <w:rPr>
          <w:rFonts w:ascii="Verdana" w:eastAsia="Times New Roman" w:hAnsi="Verdana" w:cs="Arial"/>
          <w:sz w:val="20"/>
          <w:szCs w:val="20"/>
          <w:lang w:val="es-MX" w:eastAsia="es-CO"/>
        </w:rPr>
        <w:t xml:space="preserve">, Gerentes y </w:t>
      </w:r>
      <w:proofErr w:type="gramStart"/>
      <w:r w:rsidRPr="00FD5089">
        <w:rPr>
          <w:rFonts w:ascii="Verdana" w:eastAsia="Times New Roman" w:hAnsi="Verdana" w:cs="Arial"/>
          <w:sz w:val="20"/>
          <w:szCs w:val="20"/>
          <w:lang w:val="es-MX" w:eastAsia="es-CO"/>
        </w:rPr>
        <w:t>Directores</w:t>
      </w:r>
      <w:proofErr w:type="gramEnd"/>
      <w:r w:rsidRPr="00FD5089">
        <w:rPr>
          <w:rFonts w:ascii="Verdana" w:eastAsia="Times New Roman" w:hAnsi="Verdana" w:cs="Arial"/>
          <w:sz w:val="20"/>
          <w:szCs w:val="20"/>
          <w:lang w:val="es-MX" w:eastAsia="es-CO"/>
        </w:rPr>
        <w:t xml:space="preserve"> de las entidades del orden municipal, departamental o distrital celebrar </w:t>
      </w:r>
      <w:r w:rsidRPr="00FD5089">
        <w:rPr>
          <w:rFonts w:ascii="Verdana" w:eastAsia="Times New Roman" w:hAnsi="Verdana" w:cs="Arial"/>
          <w:i/>
          <w:iCs/>
          <w:sz w:val="20"/>
          <w:szCs w:val="20"/>
          <w:lang w:val="es-MX" w:eastAsia="es-CO"/>
        </w:rPr>
        <w:t>convenios interadministrativos</w:t>
      </w:r>
      <w:r w:rsidRPr="00FD5089">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w:t>
      </w:r>
      <w:r w:rsidRPr="00FD5089">
        <w:rPr>
          <w:rFonts w:ascii="Verdana" w:eastAsia="Times New Roman" w:hAnsi="Verdana" w:cs="Arial"/>
          <w:sz w:val="20"/>
          <w:szCs w:val="20"/>
          <w:lang w:val="es-MX" w:eastAsia="es-CO"/>
        </w:rPr>
        <w:lastRenderedPageBreak/>
        <w:t xml:space="preserve">parágrafo </w:t>
      </w:r>
      <w:r w:rsidRPr="00FD5089">
        <w:rPr>
          <w:rFonts w:ascii="Verdana" w:eastAsia="Times New Roman" w:hAnsi="Verdana" w:cs="Arial"/>
          <w:i/>
          <w:sz w:val="20"/>
          <w:szCs w:val="20"/>
          <w:lang w:val="es-MX" w:eastAsia="es-CO"/>
        </w:rPr>
        <w:t>ibidem</w:t>
      </w:r>
      <w:r w:rsidRPr="00FD5089">
        <w:rPr>
          <w:rFonts w:ascii="Verdana" w:eastAsia="Times New Roman" w:hAnsi="Verdana" w:cs="Arial"/>
          <w:sz w:val="20"/>
          <w:szCs w:val="20"/>
          <w:lang w:val="es-MX" w:eastAsia="es-CO"/>
        </w:rPr>
        <w:t xml:space="preserve">, no podrá celebrar tales </w:t>
      </w:r>
      <w:r w:rsidRPr="00FD5089">
        <w:rPr>
          <w:rFonts w:ascii="Verdana" w:eastAsia="Times New Roman" w:hAnsi="Verdana" w:cs="Arial"/>
          <w:i/>
          <w:iCs/>
          <w:sz w:val="20"/>
          <w:szCs w:val="20"/>
          <w:lang w:val="es-MX" w:eastAsia="es-CO"/>
        </w:rPr>
        <w:t>convenios</w:t>
      </w:r>
      <w:r w:rsidRPr="00FD5089">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07FB5C2F" w14:textId="77777777" w:rsidR="001B6299" w:rsidRPr="001B3396" w:rsidRDefault="001B6299" w:rsidP="001B6299">
      <w:pPr>
        <w:jc w:val="both"/>
        <w:rPr>
          <w:rFonts w:ascii="Verdana" w:eastAsia="Calibri" w:hAnsi="Verdana" w:cs="Arial"/>
          <w:lang w:eastAsia="es-ES"/>
        </w:rPr>
      </w:pPr>
    </w:p>
    <w:p w14:paraId="510C23BB" w14:textId="29173322" w:rsidR="001B6299" w:rsidRPr="00FD5089" w:rsidRDefault="001B6299" w:rsidP="001B6299">
      <w:pPr>
        <w:spacing w:after="0" w:line="240" w:lineRule="auto"/>
        <w:jc w:val="both"/>
        <w:rPr>
          <w:rFonts w:ascii="Verdana" w:hAnsi="Verdana" w:cs="Arial"/>
          <w:b/>
          <w:bCs/>
          <w:color w:val="000000" w:themeColor="text1"/>
        </w:rPr>
      </w:pPr>
      <w:r w:rsidRPr="00FD5089">
        <w:rPr>
          <w:rFonts w:ascii="Verdana" w:eastAsia="Calibri" w:hAnsi="Verdana" w:cs="Arial"/>
          <w:b/>
          <w:bCs/>
          <w:lang w:val="es-ES" w:eastAsia="es-ES"/>
        </w:rPr>
        <w:t xml:space="preserve">LEY DE GARANTÍAS ELECTORALES – Excepción </w:t>
      </w:r>
      <w:r w:rsidR="00426B5D" w:rsidRPr="00426B5D">
        <w:rPr>
          <w:rFonts w:ascii="Verdana" w:eastAsia="Calibri" w:hAnsi="Verdana" w:cs="Arial"/>
          <w:b/>
          <w:bCs/>
          <w:lang w:val="es-ES" w:eastAsia="es-ES"/>
        </w:rPr>
        <w:t>–</w:t>
      </w:r>
      <w:r w:rsidRPr="00FD5089">
        <w:rPr>
          <w:rFonts w:ascii="Verdana" w:eastAsia="Calibri" w:hAnsi="Verdana" w:cs="Arial"/>
          <w:b/>
          <w:bCs/>
          <w:lang w:val="es-ES" w:eastAsia="es-ES"/>
        </w:rPr>
        <w:t xml:space="preserve"> Contratación </w:t>
      </w:r>
      <w:r w:rsidRPr="00FD5089">
        <w:rPr>
          <w:rFonts w:ascii="Verdana" w:hAnsi="Verdana" w:cs="Arial"/>
          <w:b/>
          <w:bCs/>
          <w:color w:val="000000" w:themeColor="text1"/>
        </w:rPr>
        <w:t xml:space="preserve">por parte de entidades sanitarias y hospitalarias </w:t>
      </w:r>
    </w:p>
    <w:p w14:paraId="59C3A0A9" w14:textId="77777777" w:rsidR="001B6299" w:rsidRDefault="001B6299" w:rsidP="001B6299">
      <w:pPr>
        <w:tabs>
          <w:tab w:val="left" w:pos="426"/>
        </w:tabs>
        <w:spacing w:after="0" w:line="240" w:lineRule="auto"/>
        <w:jc w:val="both"/>
        <w:rPr>
          <w:rFonts w:ascii="Verdana" w:hAnsi="Verdana" w:cs="Arial"/>
          <w:bCs/>
          <w:color w:val="000000" w:themeColor="text1"/>
        </w:rPr>
      </w:pPr>
    </w:p>
    <w:p w14:paraId="40F76A88" w14:textId="77777777" w:rsidR="001B6299" w:rsidRPr="00FD5089" w:rsidRDefault="001B6299" w:rsidP="001B6299">
      <w:pPr>
        <w:tabs>
          <w:tab w:val="left" w:pos="426"/>
        </w:tabs>
        <w:spacing w:after="0" w:line="240" w:lineRule="auto"/>
        <w:jc w:val="both"/>
        <w:rPr>
          <w:rFonts w:ascii="Verdana" w:hAnsi="Verdana" w:cs="Arial"/>
          <w:bCs/>
          <w:color w:val="000000" w:themeColor="text1"/>
          <w:sz w:val="20"/>
          <w:szCs w:val="20"/>
        </w:rPr>
      </w:pPr>
      <w:r w:rsidRPr="00FD5089">
        <w:rPr>
          <w:rFonts w:ascii="Verdana" w:hAnsi="Verdana" w:cs="Arial"/>
          <w:bCs/>
          <w:color w:val="000000" w:themeColor="text1"/>
          <w:sz w:val="20"/>
          <w:szCs w:val="20"/>
        </w:rPr>
        <w:t xml:space="preserve">[…] es pertinente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EBEB5E6" w14:textId="77777777" w:rsidR="001B6299" w:rsidRPr="00FD5089" w:rsidRDefault="001B6299" w:rsidP="001B6299">
      <w:pPr>
        <w:tabs>
          <w:tab w:val="left" w:pos="426"/>
        </w:tabs>
        <w:spacing w:after="0" w:line="240" w:lineRule="auto"/>
        <w:jc w:val="both"/>
        <w:rPr>
          <w:rFonts w:ascii="Verdana" w:hAnsi="Verdana" w:cs="Arial"/>
          <w:bCs/>
          <w:color w:val="000000" w:themeColor="text1"/>
          <w:sz w:val="20"/>
          <w:szCs w:val="20"/>
        </w:rPr>
      </w:pPr>
    </w:p>
    <w:p w14:paraId="2555383C" w14:textId="77777777" w:rsidR="001B6299" w:rsidRDefault="001B6299" w:rsidP="001B6299">
      <w:pPr>
        <w:tabs>
          <w:tab w:val="left" w:pos="426"/>
        </w:tabs>
        <w:spacing w:after="0" w:line="240" w:lineRule="auto"/>
        <w:jc w:val="both"/>
        <w:rPr>
          <w:rFonts w:ascii="Verdana" w:hAnsi="Verdana" w:cs="Arial"/>
          <w:color w:val="000000" w:themeColor="text1"/>
        </w:rPr>
      </w:pPr>
      <w:r w:rsidRPr="00FD5089">
        <w:rPr>
          <w:rFonts w:ascii="Verdana" w:hAnsi="Verdana" w:cs="Arial"/>
          <w:color w:val="000000" w:themeColor="text1"/>
          <w:sz w:val="20"/>
          <w:szCs w:val="20"/>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w:t>
      </w:r>
      <w:r w:rsidRPr="00FF007A">
        <w:rPr>
          <w:rFonts w:ascii="Verdana" w:hAnsi="Verdana" w:cs="Arial"/>
          <w:color w:val="000000" w:themeColor="text1"/>
        </w:rPr>
        <w:t xml:space="preserve">. </w:t>
      </w:r>
    </w:p>
    <w:p w14:paraId="515B1D0E" w14:textId="77777777" w:rsidR="001B6299" w:rsidRDefault="001B6299" w:rsidP="001B6299">
      <w:pPr>
        <w:tabs>
          <w:tab w:val="left" w:pos="426"/>
        </w:tabs>
        <w:spacing w:after="0" w:line="240" w:lineRule="auto"/>
        <w:jc w:val="both"/>
        <w:rPr>
          <w:rFonts w:ascii="Verdana" w:hAnsi="Verdana" w:cs="Arial"/>
          <w:color w:val="000000" w:themeColor="text1"/>
        </w:rPr>
      </w:pPr>
    </w:p>
    <w:p w14:paraId="2F7671F6" w14:textId="77777777" w:rsidR="001B6299" w:rsidRPr="00E9780C" w:rsidRDefault="001B6299" w:rsidP="001B6299">
      <w:pPr>
        <w:tabs>
          <w:tab w:val="left" w:pos="426"/>
        </w:tabs>
        <w:spacing w:after="0" w:line="240" w:lineRule="auto"/>
        <w:jc w:val="both"/>
        <w:rPr>
          <w:rFonts w:ascii="Verdana" w:hAnsi="Verdana" w:cs="Arial"/>
          <w:color w:val="000000" w:themeColor="text1"/>
        </w:rPr>
      </w:pPr>
      <w:r w:rsidRPr="00E9780C">
        <w:rPr>
          <w:rFonts w:ascii="Verdana" w:eastAsia="Arial" w:hAnsi="Verdana" w:cs="Arial"/>
          <w:bCs/>
          <w:color w:val="000000" w:themeColor="text1"/>
          <w:sz w:val="20"/>
          <w:szCs w:val="20"/>
        </w:rPr>
        <w:t xml:space="preserve">De otro lado, el artículo 2.8.8.1.1.3 del Decreto 780 de 2016, “Por medio del cual se expide el Decreto Único Reglamentario del Sector Salud y Protección Social”, definió a las </w:t>
      </w:r>
      <w:r w:rsidRPr="00E9780C">
        <w:rPr>
          <w:rFonts w:ascii="Verdana" w:eastAsia="Arial" w:hAnsi="Verdana" w:cs="Arial"/>
          <w:bCs/>
          <w:i/>
          <w:iCs/>
          <w:color w:val="000000" w:themeColor="text1"/>
          <w:sz w:val="20"/>
          <w:szCs w:val="20"/>
        </w:rPr>
        <w:t>entidades sanitarias</w:t>
      </w:r>
      <w:r w:rsidRPr="00E9780C">
        <w:rPr>
          <w:rFonts w:ascii="Verdana" w:eastAsia="Arial" w:hAnsi="Verdana" w:cs="Arial"/>
          <w:bCs/>
          <w:color w:val="000000" w:themeColor="text1"/>
          <w:sz w:val="20"/>
          <w:szCs w:val="20"/>
        </w:rPr>
        <w:t xml:space="preserve"> como las “Entidades del Estado que prestan servicios sanitarios o de sanidad con el propósito de preservar la salud humana y la salud pública”. El artículo citado también define las </w:t>
      </w:r>
      <w:r w:rsidRPr="00E9780C">
        <w:rPr>
          <w:rFonts w:ascii="Verdana" w:eastAsia="Arial" w:hAnsi="Verdana" w:cs="Arial"/>
          <w:bCs/>
          <w:i/>
          <w:iCs/>
          <w:color w:val="000000" w:themeColor="text1"/>
          <w:sz w:val="20"/>
          <w:szCs w:val="20"/>
        </w:rPr>
        <w:t>autoridades sanitarias</w:t>
      </w:r>
      <w:r w:rsidRPr="00E9780C">
        <w:rPr>
          <w:rFonts w:ascii="Verdana" w:eastAsia="Arial" w:hAnsi="Verdana" w:cs="Arial"/>
          <w:bCs/>
          <w:color w:val="000000" w:themeColor="text1"/>
          <w:sz w:val="20"/>
          <w:szCs w:val="20"/>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6DFEB5F8" w14:textId="77777777" w:rsidR="001B6299" w:rsidRPr="00FD5089" w:rsidRDefault="001B6299" w:rsidP="001B6299">
      <w:pPr>
        <w:tabs>
          <w:tab w:val="left" w:pos="426"/>
        </w:tabs>
        <w:spacing w:after="0" w:line="240" w:lineRule="auto"/>
        <w:jc w:val="both"/>
        <w:rPr>
          <w:rFonts w:ascii="Verdana" w:hAnsi="Verdana" w:cs="Arial"/>
          <w:bCs/>
          <w:color w:val="000000" w:themeColor="text1"/>
        </w:rPr>
      </w:pPr>
    </w:p>
    <w:p w14:paraId="58CB6250" w14:textId="77777777" w:rsidR="001611D3" w:rsidRDefault="001611D3" w:rsidP="003C2C84">
      <w:pPr>
        <w:spacing w:after="0" w:line="240" w:lineRule="auto"/>
        <w:rPr>
          <w:rFonts w:ascii="Verdana" w:hAnsi="Verdana"/>
        </w:rPr>
      </w:pPr>
    </w:p>
    <w:p w14:paraId="1F062AF9" w14:textId="77777777" w:rsidR="001611D3" w:rsidRDefault="001611D3" w:rsidP="003C2C84">
      <w:pPr>
        <w:spacing w:after="0" w:line="240" w:lineRule="auto"/>
        <w:rPr>
          <w:rFonts w:ascii="Verdana" w:hAnsi="Verdana"/>
        </w:rPr>
      </w:pPr>
    </w:p>
    <w:p w14:paraId="607C60DD" w14:textId="08956E32" w:rsidR="00854997" w:rsidRPr="00854997" w:rsidRDefault="00854997" w:rsidP="00FF4E35">
      <w:pPr>
        <w:spacing w:after="0" w:line="240" w:lineRule="auto"/>
        <w:rPr>
          <w:rFonts w:ascii="Verdana" w:eastAsia="Calibri" w:hAnsi="Verdana" w:cs="Arial"/>
          <w:lang w:eastAsia="es-ES_tradnl"/>
        </w:rPr>
      </w:pPr>
      <w:r w:rsidRPr="00854997">
        <w:rPr>
          <w:rFonts w:ascii="Verdana" w:eastAsia="Calibri" w:hAnsi="Verdana" w:cs="Arial"/>
          <w:lang w:eastAsia="es-ES_tradnl"/>
        </w:rPr>
        <w:lastRenderedPageBreak/>
        <w:t xml:space="preserve">Bogotá D.C., 04 de </w:t>
      </w:r>
      <w:proofErr w:type="gramStart"/>
      <w:r w:rsidRPr="00854997">
        <w:rPr>
          <w:rFonts w:ascii="Verdana" w:eastAsia="Calibri" w:hAnsi="Verdana" w:cs="Arial"/>
          <w:lang w:eastAsia="es-ES_tradnl"/>
        </w:rPr>
        <w:t>Marzo</w:t>
      </w:r>
      <w:proofErr w:type="gramEnd"/>
      <w:r w:rsidRPr="00854997">
        <w:rPr>
          <w:rFonts w:ascii="Verdana" w:eastAsia="Calibri" w:hAnsi="Verdana" w:cs="Arial"/>
          <w:lang w:eastAsia="es-ES_tradnl"/>
        </w:rPr>
        <w:t xml:space="preserve"> de 2026 </w:t>
      </w:r>
    </w:p>
    <w:p w14:paraId="2020DF3C" w14:textId="67B12278" w:rsidR="00FF4E35" w:rsidRDefault="00426B5D" w:rsidP="00FF4E35">
      <w:pPr>
        <w:spacing w:after="0" w:line="240" w:lineRule="auto"/>
        <w:rPr>
          <w:rFonts w:ascii="Verdana" w:eastAsia="Calibri" w:hAnsi="Verdana" w:cs="Arial"/>
          <w:b/>
          <w:bCs/>
          <w:lang w:eastAsia="es-ES_tradnl"/>
        </w:rPr>
      </w:pPr>
      <w:r w:rsidRPr="00BC4DDA">
        <w:rPr>
          <w:rFonts w:ascii="Verdana" w:eastAsia="Calibri" w:hAnsi="Verdana" w:cs="Arial"/>
          <w:b/>
          <w:bCs/>
          <w:noProof/>
          <w:lang w:eastAsia="es-ES_tradnl"/>
        </w:rPr>
        <w:drawing>
          <wp:anchor distT="0" distB="0" distL="114300" distR="114300" simplePos="0" relativeHeight="251658240" behindDoc="1" locked="0" layoutInCell="1" allowOverlap="1" wp14:anchorId="69105414" wp14:editId="12B8841E">
            <wp:simplePos x="0" y="0"/>
            <wp:positionH relativeFrom="margin">
              <wp:align>right</wp:align>
            </wp:positionH>
            <wp:positionV relativeFrom="paragraph">
              <wp:posOffset>6350</wp:posOffset>
            </wp:positionV>
            <wp:extent cx="2835275" cy="850265"/>
            <wp:effectExtent l="0" t="0" r="3175" b="6985"/>
            <wp:wrapSquare wrapText="bothSides"/>
            <wp:docPr id="169571236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712361"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0340" cy="852309"/>
                    </a:xfrm>
                    <a:prstGeom prst="rect">
                      <a:avLst/>
                    </a:prstGeom>
                  </pic:spPr>
                </pic:pic>
              </a:graphicData>
            </a:graphic>
            <wp14:sizeRelH relativeFrom="page">
              <wp14:pctWidth>0</wp14:pctWidth>
            </wp14:sizeRelH>
            <wp14:sizeRelV relativeFrom="page">
              <wp14:pctHeight>0</wp14:pctHeight>
            </wp14:sizeRelV>
          </wp:anchor>
        </w:drawing>
      </w:r>
    </w:p>
    <w:p w14:paraId="2820D086" w14:textId="58709270" w:rsidR="00FF4E35" w:rsidRDefault="00FF4E35" w:rsidP="00FF4E35">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460753A8" w14:textId="6B8C1EAC" w:rsidR="007211E4" w:rsidRDefault="00BD1BAB" w:rsidP="00FF4E35">
      <w:pPr>
        <w:spacing w:after="0" w:line="240" w:lineRule="auto"/>
        <w:rPr>
          <w:rFonts w:ascii="Verdana" w:eastAsia="Calibri" w:hAnsi="Verdana" w:cs="Arial"/>
          <w:b/>
          <w:bCs/>
          <w:lang w:eastAsia="es-ES_tradnl"/>
        </w:rPr>
      </w:pPr>
      <w:r>
        <w:rPr>
          <w:rFonts w:ascii="Verdana" w:eastAsia="Calibri" w:hAnsi="Verdana" w:cs="Arial"/>
          <w:b/>
          <w:bCs/>
          <w:lang w:eastAsia="es-ES_tradnl"/>
        </w:rPr>
        <w:t>José Luis Velásquez Soacha</w:t>
      </w:r>
    </w:p>
    <w:p w14:paraId="41A3C176" w14:textId="26F15FA5" w:rsidR="001611D3" w:rsidRDefault="00BD1BAB" w:rsidP="00FF4E35">
      <w:pPr>
        <w:spacing w:after="0" w:line="240" w:lineRule="auto"/>
        <w:rPr>
          <w:rFonts w:ascii="Verdana" w:eastAsia="Calibri" w:hAnsi="Verdana" w:cs="Arial"/>
          <w:lang w:eastAsia="es-ES_tradnl"/>
        </w:rPr>
      </w:pPr>
      <w:r>
        <w:rPr>
          <w:rFonts w:ascii="Verdana" w:eastAsia="Calibri" w:hAnsi="Verdana" w:cs="Arial"/>
          <w:lang w:eastAsia="es-ES_tradnl"/>
        </w:rPr>
        <w:t>Jvelasquez1978</w:t>
      </w:r>
      <w:r w:rsidR="001611D3">
        <w:rPr>
          <w:rFonts w:ascii="Verdana" w:eastAsia="Calibri" w:hAnsi="Verdana" w:cs="Arial"/>
          <w:lang w:eastAsia="es-ES_tradnl"/>
        </w:rPr>
        <w:t>@gmail.com</w:t>
      </w:r>
    </w:p>
    <w:p w14:paraId="6F61DBEB" w14:textId="77143DBC" w:rsidR="00197C13" w:rsidRPr="007211E4" w:rsidRDefault="00BD1BAB" w:rsidP="00FF4E35">
      <w:pPr>
        <w:spacing w:after="0" w:line="240" w:lineRule="auto"/>
        <w:rPr>
          <w:rFonts w:ascii="Verdana" w:eastAsia="Calibri" w:hAnsi="Verdana" w:cs="Arial"/>
          <w:lang w:eastAsia="es-ES_tradnl"/>
        </w:rPr>
      </w:pPr>
      <w:r>
        <w:rPr>
          <w:rFonts w:ascii="Verdana" w:eastAsia="Calibri" w:hAnsi="Verdana" w:cs="Arial"/>
          <w:lang w:eastAsia="es-ES_tradnl"/>
        </w:rPr>
        <w:t>Acacías</w:t>
      </w:r>
      <w:r w:rsidR="001611D3">
        <w:rPr>
          <w:rFonts w:ascii="Verdana" w:eastAsia="Calibri" w:hAnsi="Verdana" w:cs="Arial"/>
          <w:lang w:eastAsia="es-ES_tradnl"/>
        </w:rPr>
        <w:t>, Meta</w:t>
      </w:r>
    </w:p>
    <w:p w14:paraId="3C355D50" w14:textId="27791772" w:rsidR="003E19D8" w:rsidRPr="00514983" w:rsidRDefault="003E19D8" w:rsidP="00FF4E35">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4E35" w:rsidRPr="00960F72" w14:paraId="49E15DF8" w14:textId="77777777" w:rsidTr="00054434">
        <w:trPr>
          <w:trHeight w:val="190"/>
        </w:trPr>
        <w:tc>
          <w:tcPr>
            <w:tcW w:w="2689" w:type="dxa"/>
          </w:tcPr>
          <w:p w14:paraId="7432C989" w14:textId="77777777" w:rsidR="00FF4E35" w:rsidRPr="00960F72" w:rsidRDefault="00FF4E35" w:rsidP="00054434">
            <w:pPr>
              <w:jc w:val="both"/>
              <w:rPr>
                <w:rFonts w:ascii="Verdana" w:eastAsia="Calibri" w:hAnsi="Verdana" w:cs="Arial"/>
                <w:b/>
                <w:bCs/>
                <w:lang w:eastAsia="es-ES_tradnl"/>
              </w:rPr>
            </w:pPr>
          </w:p>
        </w:tc>
        <w:tc>
          <w:tcPr>
            <w:tcW w:w="6100" w:type="dxa"/>
          </w:tcPr>
          <w:p w14:paraId="5B6A7D4F" w14:textId="37682047" w:rsidR="00FF4E35" w:rsidRPr="00976629" w:rsidRDefault="00FF4E35" w:rsidP="00054434">
            <w:pPr>
              <w:jc w:val="both"/>
              <w:rPr>
                <w:rFonts w:ascii="Verdana" w:eastAsia="Calibri" w:hAnsi="Verdana" w:cs="Arial"/>
                <w:b/>
                <w:bCs/>
                <w:lang w:eastAsia="es-ES"/>
              </w:rPr>
            </w:pPr>
            <w:r w:rsidRPr="00976629">
              <w:rPr>
                <w:rFonts w:ascii="Verdana" w:eastAsia="Calibri" w:hAnsi="Verdana" w:cs="Arial"/>
                <w:b/>
                <w:bCs/>
                <w:lang w:eastAsia="es-ES"/>
              </w:rPr>
              <w:t>Concepto C</w:t>
            </w:r>
            <w:r w:rsidR="00E83B4A" w:rsidRPr="00976629">
              <w:rPr>
                <w:rFonts w:ascii="Verdana" w:eastAsia="Calibri" w:hAnsi="Verdana" w:cs="Arial"/>
                <w:b/>
                <w:bCs/>
                <w:lang w:eastAsia="es-ES"/>
              </w:rPr>
              <w:t>-108</w:t>
            </w:r>
            <w:r w:rsidR="001611D3" w:rsidRPr="00976629">
              <w:rPr>
                <w:rFonts w:ascii="Verdana" w:eastAsia="Calibri" w:hAnsi="Verdana" w:cs="Arial"/>
                <w:b/>
                <w:bCs/>
                <w:lang w:eastAsia="es-ES"/>
              </w:rPr>
              <w:t xml:space="preserve"> </w:t>
            </w:r>
            <w:r w:rsidRPr="00976629">
              <w:rPr>
                <w:rFonts w:ascii="Verdana" w:eastAsia="Calibri" w:hAnsi="Verdana" w:cs="Arial"/>
                <w:b/>
                <w:bCs/>
                <w:lang w:eastAsia="es-ES"/>
              </w:rPr>
              <w:t>de 202</w:t>
            </w:r>
            <w:r w:rsidR="001611D3" w:rsidRPr="00976629">
              <w:rPr>
                <w:rFonts w:ascii="Verdana" w:eastAsia="Calibri" w:hAnsi="Verdana" w:cs="Arial"/>
                <w:b/>
                <w:bCs/>
                <w:lang w:eastAsia="es-ES"/>
              </w:rPr>
              <w:t>6</w:t>
            </w:r>
          </w:p>
          <w:p w14:paraId="1F56394F" w14:textId="77777777" w:rsidR="00FF4E35" w:rsidRPr="00976629" w:rsidRDefault="00FF4E35" w:rsidP="00054434">
            <w:pPr>
              <w:jc w:val="both"/>
              <w:rPr>
                <w:rFonts w:ascii="Verdana" w:eastAsia="Calibri" w:hAnsi="Verdana" w:cs="Arial"/>
                <w:b/>
                <w:bCs/>
                <w:lang w:eastAsia="es-ES"/>
              </w:rPr>
            </w:pPr>
          </w:p>
        </w:tc>
      </w:tr>
      <w:tr w:rsidR="00FF4E35" w:rsidRPr="00960F72" w14:paraId="69FDC217" w14:textId="77777777" w:rsidTr="00054434">
        <w:trPr>
          <w:trHeight w:val="884"/>
        </w:trPr>
        <w:tc>
          <w:tcPr>
            <w:tcW w:w="2689" w:type="dxa"/>
          </w:tcPr>
          <w:p w14:paraId="65DEDDDD" w14:textId="77777777" w:rsidR="00FF4E35" w:rsidRPr="00960F72" w:rsidRDefault="00FF4E35" w:rsidP="00054434">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6216F936" w14:textId="70420416" w:rsidR="00976629" w:rsidRDefault="00976629" w:rsidP="00976629">
            <w:pPr>
              <w:jc w:val="both"/>
              <w:rPr>
                <w:rFonts w:ascii="Verdana" w:eastAsia="Calibri" w:hAnsi="Verdana" w:cs="Arial"/>
                <w:lang w:val="es-ES" w:eastAsia="es-ES"/>
              </w:rPr>
            </w:pPr>
            <w:r w:rsidRPr="00D437AC">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Contratación directa - Alcance</w:t>
            </w:r>
            <w:r w:rsidRPr="00D437AC">
              <w:rPr>
                <w:rFonts w:ascii="Verdana" w:eastAsia="Calibri" w:hAnsi="Verdana" w:cs="Arial"/>
                <w:lang w:val="es-ES" w:eastAsia="es-ES"/>
              </w:rPr>
              <w:t xml:space="preserve"> </w:t>
            </w:r>
            <w:r>
              <w:rPr>
                <w:rFonts w:ascii="Verdana" w:hAnsi="Verdana" w:cs="Arial"/>
                <w:bCs/>
                <w:color w:val="000000" w:themeColor="text1"/>
              </w:rPr>
              <w:t>/</w:t>
            </w:r>
            <w:r>
              <w:rPr>
                <w:rFonts w:ascii="Verdana" w:eastAsia="Calibri" w:hAnsi="Verdana" w:cs="Arial"/>
                <w:lang w:val="es-ES" w:eastAsia="es-ES"/>
              </w:rPr>
              <w:t xml:space="preserve"> </w:t>
            </w:r>
            <w:r w:rsidRPr="00D437AC">
              <w:rPr>
                <w:rFonts w:ascii="Verdana" w:eastAsia="Calibri" w:hAnsi="Verdana" w:cs="Arial"/>
                <w:lang w:val="es-ES" w:eastAsia="es-ES"/>
              </w:rPr>
              <w:t>LEY DE GARANTÍAS ELECTORALES –</w:t>
            </w:r>
            <w:r>
              <w:rPr>
                <w:rFonts w:ascii="Verdana" w:eastAsia="Calibri" w:hAnsi="Verdana" w:cs="Arial"/>
                <w:lang w:val="es-ES" w:eastAsia="es-ES"/>
              </w:rPr>
              <w:t xml:space="preserve"> Artículo 38 – Alcance / LEY DE GARANTÍAS ELECTORALES – Aplicación a convenios interadministrativos / LEY DE GARANTÍAS ELECTORALES – </w:t>
            </w:r>
            <w:r w:rsidR="00426B5D">
              <w:rPr>
                <w:rFonts w:ascii="Verdana" w:eastAsia="Calibri" w:hAnsi="Verdana" w:cs="Arial"/>
                <w:lang w:val="es-ES" w:eastAsia="es-ES"/>
              </w:rPr>
              <w:t xml:space="preserve">Excepción - </w:t>
            </w:r>
            <w:r>
              <w:rPr>
                <w:rFonts w:ascii="Verdana" w:eastAsia="Calibri" w:hAnsi="Verdana" w:cs="Arial"/>
                <w:lang w:val="es-ES" w:eastAsia="es-ES"/>
              </w:rPr>
              <w:t xml:space="preserve">Contratación </w:t>
            </w:r>
            <w:r w:rsidRPr="00FF007A">
              <w:rPr>
                <w:rFonts w:ascii="Verdana" w:hAnsi="Verdana" w:cs="Arial"/>
                <w:bCs/>
                <w:color w:val="000000" w:themeColor="text1"/>
              </w:rPr>
              <w:t>por parte de entidades sanitarias y hospitalaria</w:t>
            </w:r>
            <w:r>
              <w:rPr>
                <w:rFonts w:ascii="Verdana" w:hAnsi="Verdana" w:cs="Arial"/>
                <w:bCs/>
                <w:color w:val="000000" w:themeColor="text1"/>
              </w:rPr>
              <w:t>.</w:t>
            </w:r>
          </w:p>
          <w:p w14:paraId="3A8A62D1" w14:textId="1EC0CCA7" w:rsidR="00FD01ED" w:rsidRPr="001F1B6C" w:rsidRDefault="00FD01ED" w:rsidP="00FD01ED">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FF4E35" w:rsidRPr="00960F72" w14:paraId="3993DE7E" w14:textId="77777777" w:rsidTr="00054434">
        <w:tc>
          <w:tcPr>
            <w:tcW w:w="2689" w:type="dxa"/>
          </w:tcPr>
          <w:p w14:paraId="470BE836" w14:textId="0C65D01F" w:rsidR="00FF4E35" w:rsidRPr="00960F72" w:rsidRDefault="00FF4E35" w:rsidP="00054434">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2ED84320" w14:textId="457164F9" w:rsidR="00FF4E35" w:rsidRPr="00426B5D" w:rsidRDefault="00FF4E35" w:rsidP="00054434">
            <w:pPr>
              <w:jc w:val="both"/>
              <w:rPr>
                <w:rFonts w:ascii="Verdana" w:eastAsia="Calibri" w:hAnsi="Verdana" w:cs="Arial"/>
                <w:lang w:eastAsia="es-ES_tradnl"/>
              </w:rPr>
            </w:pPr>
            <w:r w:rsidRPr="00426B5D">
              <w:rPr>
                <w:rFonts w:ascii="Verdana" w:eastAsia="Calibri" w:hAnsi="Verdana" w:cs="Arial"/>
                <w:lang w:eastAsia="es-ES_tradnl"/>
              </w:rPr>
              <w:t>Respuesta a consulta con radicado No.</w:t>
            </w:r>
            <w:r w:rsidR="003C2C84" w:rsidRPr="00426B5D">
              <w:rPr>
                <w:rFonts w:ascii="Verdana" w:hAnsi="Verdana" w:cs="Segoe UI"/>
                <w:shd w:val="clear" w:color="auto" w:fill="FFFFFF"/>
              </w:rPr>
              <w:t xml:space="preserve"> </w:t>
            </w:r>
            <w:r w:rsidR="00BD1BAB" w:rsidRPr="00426B5D">
              <w:rPr>
                <w:rFonts w:ascii="Verdana" w:hAnsi="Verdana" w:cs="Segoe UI"/>
                <w:shd w:val="clear" w:color="auto" w:fill="FFFFFF"/>
              </w:rPr>
              <w:t>1_2026_01_27_000904</w:t>
            </w:r>
          </w:p>
        </w:tc>
      </w:tr>
    </w:tbl>
    <w:p w14:paraId="78CB66A1" w14:textId="77777777" w:rsidR="00FF4E35" w:rsidRPr="00960F72" w:rsidRDefault="00FF4E35" w:rsidP="00FF4E35">
      <w:pPr>
        <w:spacing w:after="0" w:line="240" w:lineRule="auto"/>
        <w:jc w:val="both"/>
        <w:rPr>
          <w:rFonts w:ascii="Verdana" w:eastAsia="Calibri" w:hAnsi="Verdana" w:cs="Arial"/>
          <w:lang w:eastAsia="es-ES_tradnl"/>
        </w:rPr>
      </w:pPr>
    </w:p>
    <w:p w14:paraId="2E2D2D0B" w14:textId="7F1E6111" w:rsidR="00FF4E35" w:rsidRPr="00960F72" w:rsidRDefault="00FF4E35" w:rsidP="00FF4E35">
      <w:pPr>
        <w:spacing w:after="0" w:line="276" w:lineRule="auto"/>
        <w:jc w:val="both"/>
        <w:rPr>
          <w:rFonts w:ascii="Verdana" w:eastAsia="Calibri" w:hAnsi="Verdana" w:cs="Arial"/>
          <w:lang w:eastAsia="es-ES"/>
        </w:rPr>
      </w:pPr>
      <w:r>
        <w:rPr>
          <w:rFonts w:ascii="Verdana" w:eastAsia="Calibri" w:hAnsi="Verdana" w:cs="Arial"/>
          <w:lang w:eastAsia="es-ES"/>
        </w:rPr>
        <w:t>Estimad</w:t>
      </w:r>
      <w:r w:rsidR="00D52F90">
        <w:rPr>
          <w:rFonts w:ascii="Verdana" w:eastAsia="Calibri" w:hAnsi="Verdana" w:cs="Arial"/>
          <w:lang w:eastAsia="es-ES"/>
        </w:rPr>
        <w:t>o</w:t>
      </w:r>
      <w:r w:rsidR="007211E4">
        <w:rPr>
          <w:rFonts w:ascii="Verdana" w:eastAsia="Calibri" w:hAnsi="Verdana" w:cs="Arial"/>
          <w:lang w:eastAsia="es-ES"/>
        </w:rPr>
        <w:t xml:space="preserve"> </w:t>
      </w:r>
      <w:r w:rsidR="003C2C84">
        <w:rPr>
          <w:rFonts w:ascii="Verdana" w:eastAsia="Calibri" w:hAnsi="Verdana" w:cs="Arial"/>
          <w:lang w:eastAsia="es-ES"/>
        </w:rPr>
        <w:t xml:space="preserve">señor </w:t>
      </w:r>
      <w:r w:rsidR="00F26926">
        <w:rPr>
          <w:rFonts w:ascii="Verdana" w:eastAsia="Calibri" w:hAnsi="Verdana" w:cs="Arial"/>
          <w:lang w:eastAsia="es-ES"/>
        </w:rPr>
        <w:t>Velásquez</w:t>
      </w:r>
      <w:r>
        <w:rPr>
          <w:rFonts w:ascii="Verdana" w:eastAsia="Calibri" w:hAnsi="Verdana" w:cs="Arial"/>
          <w:lang w:eastAsia="es-ES"/>
        </w:rPr>
        <w:t>:</w:t>
      </w:r>
    </w:p>
    <w:p w14:paraId="1625D0E5" w14:textId="77777777" w:rsidR="00FF4E35" w:rsidRPr="00960F72" w:rsidRDefault="00FF4E35" w:rsidP="00FF4E35">
      <w:pPr>
        <w:tabs>
          <w:tab w:val="left" w:pos="3768"/>
        </w:tabs>
        <w:spacing w:after="0" w:line="276" w:lineRule="auto"/>
        <w:jc w:val="both"/>
        <w:rPr>
          <w:rFonts w:ascii="Verdana" w:eastAsia="Calibri" w:hAnsi="Verdana" w:cs="Arial"/>
          <w:lang w:eastAsia="es-ES"/>
        </w:rPr>
      </w:pPr>
    </w:p>
    <w:p w14:paraId="43CBA91F" w14:textId="5AF1D51F" w:rsidR="00FF4E35" w:rsidRPr="00960F72" w:rsidRDefault="00FF4E35" w:rsidP="00FF4E3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la Agencia Nacional de Contratación Pública – Colombia Compra Eficiente–</w:t>
      </w:r>
      <w:r w:rsidR="000F485C" w:rsidRPr="00960F72">
        <w:rPr>
          <w:rFonts w:ascii="Verdana" w:eastAsia="Calibri" w:hAnsi="Verdana" w:cs="Arial"/>
          <w:lang w:eastAsia="es-ES"/>
        </w:rPr>
        <w:t xml:space="preserve"> responde su solicitud de consulta de fecha del </w:t>
      </w:r>
      <w:r w:rsidR="001611D3">
        <w:rPr>
          <w:rFonts w:ascii="Verdana" w:eastAsia="Calibri" w:hAnsi="Verdana" w:cs="Arial"/>
          <w:lang w:eastAsia="es-ES"/>
        </w:rPr>
        <w:t>2</w:t>
      </w:r>
      <w:r w:rsidR="00F26926">
        <w:rPr>
          <w:rFonts w:ascii="Verdana" w:eastAsia="Calibri" w:hAnsi="Verdana" w:cs="Arial"/>
          <w:lang w:eastAsia="es-ES"/>
        </w:rPr>
        <w:t>7</w:t>
      </w:r>
      <w:r w:rsidR="000F485C">
        <w:rPr>
          <w:rFonts w:ascii="Verdana" w:eastAsia="Calibri" w:hAnsi="Verdana" w:cs="Arial"/>
          <w:lang w:eastAsia="es-ES"/>
        </w:rPr>
        <w:t xml:space="preserve"> </w:t>
      </w:r>
      <w:r w:rsidR="000F485C" w:rsidRPr="00960F72">
        <w:rPr>
          <w:rFonts w:ascii="Verdana" w:eastAsia="Calibri" w:hAnsi="Verdana" w:cs="Arial"/>
          <w:lang w:eastAsia="es-ES"/>
        </w:rPr>
        <w:t xml:space="preserve">de </w:t>
      </w:r>
      <w:r w:rsidR="001611D3">
        <w:rPr>
          <w:rFonts w:ascii="Verdana" w:eastAsia="Calibri" w:hAnsi="Verdana" w:cs="Arial"/>
          <w:lang w:eastAsia="es-ES"/>
        </w:rPr>
        <w:t>enero</w:t>
      </w:r>
      <w:r w:rsidR="000F485C" w:rsidRPr="00960F72">
        <w:rPr>
          <w:rFonts w:ascii="Verdana" w:eastAsia="Calibri" w:hAnsi="Verdana" w:cs="Arial"/>
          <w:lang w:eastAsia="es-ES"/>
        </w:rPr>
        <w:t xml:space="preserve"> de 202</w:t>
      </w:r>
      <w:r w:rsidR="001611D3">
        <w:rPr>
          <w:rFonts w:ascii="Verdana" w:eastAsia="Calibri" w:hAnsi="Verdana" w:cs="Arial"/>
          <w:lang w:eastAsia="es-ES"/>
        </w:rPr>
        <w:t>6</w:t>
      </w:r>
      <w:r w:rsidR="000F485C" w:rsidRPr="00960F72">
        <w:rPr>
          <w:rFonts w:ascii="Verdana" w:eastAsia="Calibri" w:hAnsi="Verdana" w:cs="Arial"/>
          <w:lang w:eastAsia="es-ES"/>
        </w:rPr>
        <w:t xml:space="preserve">, en la cual manifiesta lo siguiente: </w:t>
      </w:r>
    </w:p>
    <w:p w14:paraId="7723F27C" w14:textId="77777777" w:rsidR="00FF4E35" w:rsidRPr="00960F72" w:rsidRDefault="00FF4E35" w:rsidP="00FF4E35">
      <w:pPr>
        <w:spacing w:after="0" w:line="276" w:lineRule="auto"/>
        <w:jc w:val="both"/>
        <w:rPr>
          <w:rFonts w:ascii="Verdana" w:eastAsia="Calibri" w:hAnsi="Verdana" w:cs="Arial"/>
          <w:lang w:eastAsia="es-ES"/>
        </w:rPr>
      </w:pPr>
    </w:p>
    <w:p w14:paraId="7BEE9FDD" w14:textId="6B2E6DA0" w:rsidR="00F26926" w:rsidRDefault="00F26926" w:rsidP="000F1827">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F26926">
        <w:rPr>
          <w:rFonts w:ascii="Verdana" w:eastAsia="Calibri" w:hAnsi="Verdana" w:cs="Arial"/>
          <w:sz w:val="20"/>
          <w:szCs w:val="20"/>
          <w:lang w:eastAsia="es-ES"/>
        </w:rPr>
        <w:t xml:space="preserve">1- </w:t>
      </w:r>
      <w:proofErr w:type="gramStart"/>
      <w:r w:rsidRPr="00F26926">
        <w:rPr>
          <w:rFonts w:ascii="Verdana" w:eastAsia="Calibri" w:hAnsi="Verdana" w:cs="Arial"/>
          <w:sz w:val="20"/>
          <w:szCs w:val="20"/>
          <w:lang w:eastAsia="es-ES"/>
        </w:rPr>
        <w:t>Para efectos del entendimiento del alcance de la excepción prevista en el</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segundo párrafo del art. 33 de la ley 996 de 2005 (ley de garantías electorales), las</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Empresas Sociales del Estado definidas en el artículo 194 de la ley 100 de 1993, se</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asimilan o se entienden que forman parte de las "entidades sanitarias y</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hospitalarias"?</w:t>
      </w:r>
      <w:proofErr w:type="gramEnd"/>
    </w:p>
    <w:p w14:paraId="78EADDBD" w14:textId="77777777" w:rsidR="000F1827" w:rsidRPr="00F26926" w:rsidRDefault="000F1827" w:rsidP="000F1827">
      <w:pPr>
        <w:spacing w:after="0" w:line="276" w:lineRule="auto"/>
        <w:ind w:left="709" w:right="709"/>
        <w:jc w:val="both"/>
        <w:rPr>
          <w:rFonts w:ascii="Verdana" w:eastAsia="Calibri" w:hAnsi="Verdana" w:cs="Arial"/>
          <w:sz w:val="20"/>
          <w:szCs w:val="20"/>
          <w:lang w:eastAsia="es-ES"/>
        </w:rPr>
      </w:pPr>
    </w:p>
    <w:p w14:paraId="162414BA" w14:textId="5496D77A" w:rsidR="000F485C" w:rsidRPr="003C2C84" w:rsidRDefault="00F26926" w:rsidP="000F1827">
      <w:pPr>
        <w:spacing w:after="0" w:line="276" w:lineRule="auto"/>
        <w:ind w:left="709" w:right="709"/>
        <w:jc w:val="both"/>
        <w:rPr>
          <w:rFonts w:ascii="Verdana" w:eastAsia="Calibri" w:hAnsi="Verdana" w:cs="Arial"/>
          <w:sz w:val="20"/>
          <w:szCs w:val="20"/>
          <w:lang w:eastAsia="es-ES"/>
        </w:rPr>
      </w:pPr>
      <w:r w:rsidRPr="00F26926">
        <w:rPr>
          <w:rFonts w:ascii="Verdana" w:eastAsia="Calibri" w:hAnsi="Verdana" w:cs="Arial"/>
          <w:sz w:val="20"/>
          <w:szCs w:val="20"/>
          <w:lang w:eastAsia="es-ES"/>
        </w:rPr>
        <w:t xml:space="preserve">2 - </w:t>
      </w:r>
      <w:proofErr w:type="gramStart"/>
      <w:r w:rsidRPr="00F26926">
        <w:rPr>
          <w:rFonts w:ascii="Verdana" w:eastAsia="Calibri" w:hAnsi="Verdana" w:cs="Arial"/>
          <w:sz w:val="20"/>
          <w:szCs w:val="20"/>
          <w:lang w:eastAsia="es-ES"/>
        </w:rPr>
        <w:t>Bajo qué consideraciones normativas se incluyó a las Empresas Sociales del</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Estado (definidas en el artículo 194 de la ley 100 de 1993), dentro de las entidades</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 xml:space="preserve">sujetas a las prohibiciones previstas en el primer </w:t>
      </w:r>
      <w:r w:rsidRPr="00F26926">
        <w:rPr>
          <w:rFonts w:ascii="Verdana" w:eastAsia="Calibri" w:hAnsi="Verdana" w:cs="Arial"/>
          <w:sz w:val="20"/>
          <w:szCs w:val="20"/>
          <w:lang w:eastAsia="es-ES"/>
        </w:rPr>
        <w:lastRenderedPageBreak/>
        <w:t>párrafo del art. 33 de la ley 996 de</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2005, como se indica expresamente en la página 2-3 de la circular externa única</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006 del 25 de septiembre de 2025, la cual tiene por asunto la "aplicación de las</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prohibiciones establecida</w:t>
      </w:r>
      <w:r w:rsidR="000F1827">
        <w:rPr>
          <w:rFonts w:ascii="Verdana" w:eastAsia="Calibri" w:hAnsi="Verdana" w:cs="Arial"/>
          <w:sz w:val="20"/>
          <w:szCs w:val="20"/>
          <w:lang w:eastAsia="es-ES"/>
        </w:rPr>
        <w:t xml:space="preserve"> </w:t>
      </w:r>
      <w:r w:rsidRPr="00F26926">
        <w:rPr>
          <w:rFonts w:ascii="Verdana" w:eastAsia="Calibri" w:hAnsi="Verdana" w:cs="Arial"/>
          <w:sz w:val="20"/>
          <w:szCs w:val="20"/>
          <w:lang w:eastAsia="es-ES"/>
        </w:rPr>
        <w:t>en la norma precitada?</w:t>
      </w:r>
      <w:proofErr w:type="gramEnd"/>
      <w:r w:rsidR="003C2C84">
        <w:rPr>
          <w:rFonts w:ascii="Verdana" w:eastAsia="Calibri" w:hAnsi="Verdana" w:cs="Arial"/>
          <w:sz w:val="20"/>
          <w:szCs w:val="20"/>
          <w:lang w:eastAsia="es-ES"/>
        </w:rPr>
        <w:t>”</w:t>
      </w:r>
    </w:p>
    <w:p w14:paraId="7C100784" w14:textId="77777777" w:rsidR="00FF4E35" w:rsidRPr="00755387" w:rsidRDefault="00FF4E35" w:rsidP="001F1B6C">
      <w:pPr>
        <w:spacing w:after="0" w:line="276" w:lineRule="auto"/>
        <w:ind w:right="709"/>
        <w:jc w:val="both"/>
        <w:rPr>
          <w:rFonts w:ascii="Verdana" w:eastAsia="Calibri" w:hAnsi="Verdana" w:cs="Arial"/>
          <w:lang w:eastAsia="es-ES"/>
        </w:rPr>
      </w:pPr>
    </w:p>
    <w:p w14:paraId="0DFD3B2F" w14:textId="77777777" w:rsidR="00FF4E35" w:rsidRPr="00960F72" w:rsidRDefault="00FF4E35" w:rsidP="00FF4E35">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6D420AA" w14:textId="77777777" w:rsidR="00FF4E35" w:rsidRPr="00960F72" w:rsidRDefault="00FF4E35" w:rsidP="00FF4E35">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786CC341" w14:textId="77777777" w:rsidR="00B76769" w:rsidRPr="00960F72" w:rsidRDefault="00B76769" w:rsidP="00DA4587">
      <w:pPr>
        <w:spacing w:after="0" w:line="276" w:lineRule="auto"/>
        <w:jc w:val="both"/>
        <w:rPr>
          <w:rFonts w:ascii="Verdana" w:eastAsia="Calibri" w:hAnsi="Verdana" w:cs="Arial"/>
          <w:lang w:eastAsia="es-ES"/>
        </w:rPr>
      </w:pPr>
    </w:p>
    <w:p w14:paraId="3DF14463" w14:textId="77777777" w:rsidR="00FF4E35" w:rsidRPr="00960F72"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D9647A" w14:textId="77777777" w:rsidR="00FF4E35" w:rsidRPr="00960F72" w:rsidRDefault="00FF4E35" w:rsidP="00FF4E35">
      <w:pPr>
        <w:tabs>
          <w:tab w:val="left" w:pos="426"/>
        </w:tabs>
        <w:spacing w:after="0" w:line="276" w:lineRule="auto"/>
        <w:jc w:val="both"/>
        <w:rPr>
          <w:rFonts w:ascii="Verdana" w:eastAsia="Century Gothic" w:hAnsi="Verdana" w:cs="Century Gothic"/>
        </w:rPr>
      </w:pPr>
    </w:p>
    <w:p w14:paraId="0DF08659" w14:textId="4BF50413" w:rsidR="00FF4E35" w:rsidRDefault="00FF4E35" w:rsidP="00FF4E35">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DA4587" w:rsidRPr="00DA4587">
        <w:rPr>
          <w:rFonts w:ascii="Verdana" w:eastAsia="Century Gothic" w:hAnsi="Verdana" w:cs="Century Gothic"/>
        </w:rPr>
        <w:t>¿</w:t>
      </w:r>
      <w:r w:rsidR="00F17666">
        <w:t>E</w:t>
      </w:r>
      <w:r w:rsidR="000F1827" w:rsidRPr="000F1827">
        <w:rPr>
          <w:rFonts w:ascii="Verdana" w:eastAsia="Century Gothic" w:hAnsi="Verdana" w:cs="Century Gothic"/>
        </w:rPr>
        <w:t>s jurídicamente procedente asimilar a las Empresas Sociales del Estado, definidas en el artículo 194 de la Ley 100 de 1993, a las “entidades sanitarias y hospitalarias” para efectos de la excepción prevista en el segundo párrafo del artículo 33 de la Ley 996 de 2005</w:t>
      </w:r>
      <w:r w:rsidR="00DA4587" w:rsidRPr="00DA4587">
        <w:rPr>
          <w:rFonts w:ascii="Verdana" w:eastAsia="Century Gothic" w:hAnsi="Verdana" w:cs="Century Gothic"/>
        </w:rPr>
        <w:t>?</w:t>
      </w:r>
    </w:p>
    <w:p w14:paraId="7EA4A816" w14:textId="77777777" w:rsidR="00FF4E35" w:rsidRPr="00960F72" w:rsidRDefault="00FF4E35" w:rsidP="00FF4E35">
      <w:pPr>
        <w:spacing w:after="0" w:line="276" w:lineRule="auto"/>
        <w:jc w:val="both"/>
        <w:rPr>
          <w:rFonts w:ascii="Verdana" w:eastAsia="Century Gothic" w:hAnsi="Verdana" w:cs="Century Gothic"/>
        </w:rPr>
      </w:pPr>
    </w:p>
    <w:p w14:paraId="01A94701" w14:textId="3C424E73" w:rsidR="00AB6D32" w:rsidRDefault="00FF4E35" w:rsidP="00AB6D3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FB056C5" w14:textId="77777777" w:rsidR="00976629" w:rsidRPr="00976629" w:rsidRDefault="00976629" w:rsidP="00976629">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E35" w:rsidRPr="00960F72" w14:paraId="3B88F257" w14:textId="77777777" w:rsidTr="00054434">
        <w:tc>
          <w:tcPr>
            <w:tcW w:w="8828" w:type="dxa"/>
          </w:tcPr>
          <w:p w14:paraId="2F233B84" w14:textId="45860413" w:rsidR="00DB4977" w:rsidRPr="00DB4977" w:rsidRDefault="00DB4977" w:rsidP="00DB4977">
            <w:pPr>
              <w:spacing w:after="120" w:line="276" w:lineRule="auto"/>
              <w:contextualSpacing/>
              <w:jc w:val="both"/>
              <w:rPr>
                <w:rFonts w:ascii="Verdana" w:eastAsia="Calibri" w:hAnsi="Verdana" w:cs="Arial"/>
              </w:rPr>
            </w:pPr>
            <w:r>
              <w:rPr>
                <w:rFonts w:ascii="Verdana" w:eastAsia="Calibri" w:hAnsi="Verdana" w:cs="Arial"/>
              </w:rPr>
              <w:t xml:space="preserve"> </w:t>
            </w:r>
            <w:r w:rsidRPr="00DB4977">
              <w:rPr>
                <w:rFonts w:ascii="Verdana" w:eastAsia="Calibri" w:hAnsi="Verdana" w:cs="Arial"/>
              </w:rPr>
              <w:t xml:space="preserve">Para determinar si las Empresas Sociales del Estado (ESE) se enmarcan en la excepción a la prohibición de contratación directa del artículo 33 de la Ley 996 </w:t>
            </w:r>
            <w:r w:rsidRPr="00DB4977">
              <w:rPr>
                <w:rFonts w:ascii="Verdana" w:eastAsia="Calibri" w:hAnsi="Verdana" w:cs="Arial"/>
              </w:rPr>
              <w:lastRenderedPageBreak/>
              <w:t>de 2005, es fundamental analizar tanto la naturaleza jurídica y misional de estas entidades como la estructura normativa de la Ley de Garantías, que establece una regla general de prohibición y unas excepciones taxativas.</w:t>
            </w:r>
            <w:r w:rsidR="00976629">
              <w:rPr>
                <w:rFonts w:ascii="Verdana" w:eastAsia="Calibri" w:hAnsi="Verdana" w:cs="Arial"/>
              </w:rPr>
              <w:t xml:space="preserve"> </w:t>
            </w:r>
            <w:r w:rsidRPr="00DB4977">
              <w:rPr>
                <w:rFonts w:ascii="Verdana" w:eastAsia="Calibri" w:hAnsi="Verdana" w:cs="Arial"/>
              </w:rPr>
              <w:t>La Ley 100 de 1993, al crear las Empresas Sociales del Estado, buscó unificar el modelo a través del cual las entidades públicas prestan directamente servicios de salud</w:t>
            </w:r>
            <w:r>
              <w:rPr>
                <w:rFonts w:ascii="Verdana" w:eastAsia="Calibri" w:hAnsi="Verdana" w:cs="Arial"/>
              </w:rPr>
              <w:t xml:space="preserve"> </w:t>
            </w:r>
            <w:proofErr w:type="gramStart"/>
            <w:r>
              <w:rPr>
                <w:rFonts w:ascii="Verdana" w:eastAsia="Calibri" w:hAnsi="Verdana" w:cs="Arial"/>
              </w:rPr>
              <w:t xml:space="preserve">y </w:t>
            </w:r>
            <w:r w:rsidRPr="00DB4977">
              <w:rPr>
                <w:rFonts w:ascii="Verdana" w:eastAsia="Calibri" w:hAnsi="Verdana" w:cs="Arial"/>
              </w:rPr>
              <w:t xml:space="preserve"> </w:t>
            </w:r>
            <w:r>
              <w:rPr>
                <w:rFonts w:ascii="Verdana" w:eastAsia="Calibri" w:hAnsi="Verdana" w:cs="Arial"/>
              </w:rPr>
              <w:t>d</w:t>
            </w:r>
            <w:r w:rsidRPr="00DB4977">
              <w:rPr>
                <w:rFonts w:ascii="Verdana" w:eastAsia="Calibri" w:hAnsi="Verdana" w:cs="Arial"/>
              </w:rPr>
              <w:t>efinió</w:t>
            </w:r>
            <w:proofErr w:type="gramEnd"/>
            <w:r w:rsidRPr="00DB4977">
              <w:rPr>
                <w:rFonts w:ascii="Verdana" w:eastAsia="Calibri" w:hAnsi="Verdana" w:cs="Arial"/>
              </w:rPr>
              <w:t xml:space="preserve"> a las ESE como una categoría especial de entidad pública descentralizada, cuyo objeto principal es la prestación de servicios de salud y atención hospitalaria.</w:t>
            </w:r>
            <w:r w:rsidR="00976629">
              <w:rPr>
                <w:rFonts w:ascii="Verdana" w:eastAsia="Calibri" w:hAnsi="Verdana" w:cs="Arial"/>
              </w:rPr>
              <w:t xml:space="preserve"> </w:t>
            </w:r>
            <w:r w:rsidRPr="00DB4977">
              <w:rPr>
                <w:rFonts w:ascii="Verdana" w:eastAsia="Calibri" w:hAnsi="Verdana" w:cs="Arial"/>
              </w:rPr>
              <w:t xml:space="preserve">La intención del legislador fue, por tanto, que las ESE fueran las principales entidades encargadas de esta labor dentro de la estructura de la administración pública. En atención a este objeto misional, las ESE se enmarcan material y funcionalmente dentro del concepto de "entidades sanitarias y hospitalarias". </w:t>
            </w:r>
          </w:p>
          <w:p w14:paraId="75AF1117" w14:textId="77777777" w:rsidR="00DB4977" w:rsidRPr="00DB4977" w:rsidRDefault="00DB4977" w:rsidP="00DB4977">
            <w:pPr>
              <w:spacing w:after="120" w:line="276" w:lineRule="auto"/>
              <w:contextualSpacing/>
              <w:jc w:val="both"/>
              <w:rPr>
                <w:rFonts w:ascii="Verdana" w:eastAsia="Calibri" w:hAnsi="Verdana" w:cs="Arial"/>
              </w:rPr>
            </w:pPr>
          </w:p>
          <w:p w14:paraId="582F9867" w14:textId="7A7634D4" w:rsidR="00DB4977" w:rsidRDefault="00DB4977" w:rsidP="00DB4977">
            <w:pPr>
              <w:spacing w:after="120" w:line="276" w:lineRule="auto"/>
              <w:contextualSpacing/>
              <w:jc w:val="both"/>
              <w:rPr>
                <w:rFonts w:ascii="Verdana" w:eastAsia="Calibri" w:hAnsi="Verdana" w:cs="Arial"/>
              </w:rPr>
            </w:pPr>
            <w:r>
              <w:rPr>
                <w:rFonts w:ascii="Verdana" w:eastAsia="Calibri" w:hAnsi="Verdana" w:cs="Arial"/>
              </w:rPr>
              <w:t xml:space="preserve">     </w:t>
            </w:r>
            <w:r w:rsidRPr="00DB4977">
              <w:rPr>
                <w:rFonts w:ascii="Verdana" w:eastAsia="Calibri" w:hAnsi="Verdana" w:cs="Arial"/>
              </w:rPr>
              <w:t>En consecuencia, para efectos de la aplicación de la excepción</w:t>
            </w:r>
            <w:r>
              <w:rPr>
                <w:rFonts w:ascii="Verdana" w:eastAsia="Calibri" w:hAnsi="Verdana" w:cs="Arial"/>
              </w:rPr>
              <w:t xml:space="preserve"> dada en el artículo 33 de la Ley 996 de 2005</w:t>
            </w:r>
            <w:r w:rsidRPr="00DB4977">
              <w:rPr>
                <w:rFonts w:ascii="Verdana" w:eastAsia="Calibri" w:hAnsi="Verdana" w:cs="Arial"/>
              </w:rPr>
              <w:t>, las ESE se entienden comprendidas dentro de la categoría de "entidades sanitarias y hospitalarias".</w:t>
            </w:r>
          </w:p>
          <w:p w14:paraId="1C648441" w14:textId="77777777" w:rsidR="00976629" w:rsidRDefault="00976629" w:rsidP="00DB4977">
            <w:pPr>
              <w:spacing w:after="120" w:line="276" w:lineRule="auto"/>
              <w:contextualSpacing/>
              <w:jc w:val="both"/>
              <w:rPr>
                <w:rFonts w:ascii="Verdana" w:eastAsia="Calibri" w:hAnsi="Verdana" w:cs="Arial"/>
              </w:rPr>
            </w:pPr>
          </w:p>
          <w:p w14:paraId="5264360F" w14:textId="17E38E15" w:rsidR="00976629" w:rsidRPr="00FF007A" w:rsidRDefault="00976629" w:rsidP="00976629">
            <w:pPr>
              <w:spacing w:after="120" w:line="276" w:lineRule="auto"/>
              <w:jc w:val="both"/>
              <w:rPr>
                <w:rFonts w:ascii="Verdana" w:eastAsia="Arial" w:hAnsi="Verdana" w:cs="Arial"/>
                <w:lang w:eastAsia="es-ES" w:bidi="es-ES"/>
              </w:rPr>
            </w:pPr>
            <w:r>
              <w:rPr>
                <w:rFonts w:ascii="Verdana" w:eastAsia="Arial" w:hAnsi="Verdana" w:cs="Arial"/>
                <w:lang w:eastAsia="es-ES" w:bidi="es-ES"/>
              </w:rPr>
              <w:t xml:space="preserve">      L</w:t>
            </w:r>
            <w:r w:rsidRPr="00FF007A">
              <w:rPr>
                <w:rFonts w:ascii="Verdana" w:eastAsia="Arial" w:hAnsi="Verdana" w:cs="Arial"/>
                <w:lang w:eastAsia="es-ES" w:bidi="es-ES"/>
              </w:rPr>
              <w:t>a Ley de Garantías se dirigen a dos (2) tipos de campañas electorales diferenciadas</w:t>
            </w:r>
            <w:r>
              <w:rPr>
                <w:rFonts w:ascii="Verdana" w:eastAsia="Arial" w:hAnsi="Verdana" w:cs="Arial"/>
                <w:lang w:eastAsia="es-ES" w:bidi="es-ES"/>
              </w:rPr>
              <w:t xml:space="preserve">: i) </w:t>
            </w:r>
            <w:r w:rsidRPr="00FF007A">
              <w:rPr>
                <w:rFonts w:ascii="Verdana" w:eastAsia="Arial" w:hAnsi="Verdana" w:cs="Arial"/>
                <w:lang w:eastAsia="es-ES" w:bidi="es-ES"/>
              </w:rPr>
              <w:t>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eastAsia="es-ES" w:bidi="es-ES"/>
              </w:rPr>
              <w:t xml:space="preserve">;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97AAEAB" w14:textId="77777777" w:rsidR="00976629" w:rsidRDefault="00976629" w:rsidP="0097662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w:t>
            </w:r>
            <w:r w:rsidRPr="00FF007A">
              <w:rPr>
                <w:rFonts w:ascii="Verdana" w:eastAsia="Arial" w:hAnsi="Verdana" w:cs="Arial"/>
                <w:lang w:eastAsia="es-ES" w:bidi="es-ES"/>
              </w:rPr>
              <w:lastRenderedPageBreak/>
              <w:t xml:space="preserve">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228BD26E" w14:textId="77777777" w:rsidR="00976629" w:rsidRDefault="00976629" w:rsidP="00976629">
            <w:pPr>
              <w:spacing w:after="120" w:line="276" w:lineRule="auto"/>
              <w:ind w:firstLine="709"/>
              <w:jc w:val="both"/>
              <w:rPr>
                <w:rFonts w:ascii="Verdana" w:eastAsia="Times New Roman" w:hAnsi="Verdana" w:cs="Arial"/>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6914868C" w14:textId="77777777" w:rsidR="00976629" w:rsidRPr="00E2397D" w:rsidRDefault="00976629" w:rsidP="00976629">
            <w:pPr>
              <w:spacing w:after="120" w:line="276" w:lineRule="auto"/>
              <w:ind w:firstLine="709"/>
              <w:jc w:val="both"/>
              <w:rPr>
                <w:rFonts w:ascii="Verdana" w:eastAsia="Calibri" w:hAnsi="Verdana" w:cs="Arial"/>
                <w:lang w:bidi="es-ES"/>
              </w:rPr>
            </w:pPr>
            <w:r>
              <w:rPr>
                <w:rFonts w:ascii="Verdana" w:eastAsia="Times New Roman" w:hAnsi="Verdana" w:cs="Arial"/>
                <w:bCs/>
                <w:lang w:eastAsia="x-none"/>
              </w:rPr>
              <w:t xml:space="preserve">En cuanto a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w:t>
            </w:r>
            <w:r>
              <w:rPr>
                <w:rFonts w:ascii="Verdana" w:eastAsia="Calibri" w:hAnsi="Verdana" w:cs="Arial"/>
              </w:rPr>
              <w:t xml:space="preserve">, </w:t>
            </w:r>
            <w:r w:rsidRPr="00E2397D">
              <w:rPr>
                <w:rFonts w:ascii="Verdana" w:eastAsia="Times New Roman" w:hAnsi="Verdana" w:cs="Arial"/>
                <w:lang w:val="es-MX" w:eastAsia="x-none"/>
              </w:rPr>
              <w:t xml:space="preserve">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37A98BA" w14:textId="77777777" w:rsidR="00976629" w:rsidRDefault="00976629" w:rsidP="00976629">
            <w:pPr>
              <w:tabs>
                <w:tab w:val="left" w:pos="426"/>
              </w:tabs>
              <w:spacing w:before="120" w:line="276" w:lineRule="auto"/>
              <w:ind w:firstLine="709"/>
              <w:jc w:val="both"/>
              <w:rPr>
                <w:rFonts w:ascii="Verdana" w:hAnsi="Verdana" w:cs="Arial"/>
                <w:bCs/>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Ahora bien,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w:t>
            </w:r>
            <w:r w:rsidRPr="00FF007A">
              <w:rPr>
                <w:rFonts w:ascii="Verdana" w:hAnsi="Verdana" w:cs="Arial"/>
                <w:bCs/>
                <w:color w:val="000000" w:themeColor="text1"/>
              </w:rPr>
              <w:lastRenderedPageBreak/>
              <w:t xml:space="preserve">descentralizada, con personería jurídica, patrimonio propio y autonomía administrativa, creadas por la Ley o por las asambleas o concejos, según el caso, sometidas al régimen jurídico previsto en este capítulo”. </w:t>
            </w:r>
          </w:p>
          <w:p w14:paraId="2141F8AE" w14:textId="77777777" w:rsidR="00976629" w:rsidRDefault="00976629" w:rsidP="0097662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7AEDEE45" w14:textId="77777777" w:rsidR="00976629" w:rsidRDefault="00976629" w:rsidP="0097662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0F781B80" w14:textId="45AB5545" w:rsidR="00DB4977" w:rsidRPr="00976629" w:rsidRDefault="00976629" w:rsidP="0097662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3DFF0662" w14:textId="7D81BFCA" w:rsidR="00DB4977" w:rsidRPr="00976629" w:rsidRDefault="00DB4977" w:rsidP="00DB4977">
            <w:pPr>
              <w:spacing w:after="120" w:line="276" w:lineRule="auto"/>
              <w:contextualSpacing/>
              <w:jc w:val="both"/>
              <w:rPr>
                <w:rFonts w:ascii="Verdana" w:eastAsia="Calibri" w:hAnsi="Verdana" w:cs="Arial"/>
              </w:rPr>
            </w:pPr>
            <w:r>
              <w:rPr>
                <w:rFonts w:ascii="Verdana" w:eastAsia="Calibri" w:hAnsi="Verdana" w:cs="Arial"/>
              </w:rPr>
              <w:t xml:space="preserve">   </w:t>
            </w:r>
            <w:r w:rsidR="00976629">
              <w:rPr>
                <w:rFonts w:ascii="Verdana" w:eastAsia="Calibri" w:hAnsi="Verdana" w:cs="Arial"/>
              </w:rPr>
              <w:t>Finalmente es preciso indicar que l</w:t>
            </w:r>
            <w:r w:rsidRPr="00976629">
              <w:rPr>
                <w:rFonts w:ascii="Verdana" w:eastAsia="Calibri" w:hAnsi="Verdana" w:cs="Arial"/>
              </w:rPr>
              <w:t xml:space="preserve">a mención de las ESE en la Circular Externa 006 de 2025 tiene un propósito aclaratorio: reafirmar que su condición </w:t>
            </w:r>
            <w:r w:rsidRPr="00976629">
              <w:rPr>
                <w:rFonts w:ascii="Verdana" w:eastAsia="Calibri" w:hAnsi="Verdana" w:cs="Arial"/>
              </w:rPr>
              <w:lastRenderedPageBreak/>
              <w:t xml:space="preserve">de entidad descentralizada con un régimen contractual de derecho privado no las excluye de la restricción general. </w:t>
            </w:r>
          </w:p>
          <w:p w14:paraId="068F1E45" w14:textId="4174EEF5" w:rsidR="00D7355C" w:rsidRPr="00D54C9D" w:rsidRDefault="00D7355C" w:rsidP="00976629">
            <w:pPr>
              <w:spacing w:after="120" w:line="276" w:lineRule="auto"/>
              <w:contextualSpacing/>
              <w:jc w:val="both"/>
              <w:rPr>
                <w:rFonts w:ascii="Verdana" w:eastAsia="Calibri" w:hAnsi="Verdana" w:cs="Arial"/>
              </w:rPr>
            </w:pPr>
          </w:p>
        </w:tc>
      </w:tr>
    </w:tbl>
    <w:p w14:paraId="0FC5D311" w14:textId="77777777" w:rsidR="00FF4E35" w:rsidRPr="00960F72" w:rsidRDefault="00FF4E35" w:rsidP="00FF4E35">
      <w:pPr>
        <w:tabs>
          <w:tab w:val="left" w:pos="142"/>
          <w:tab w:val="left" w:pos="284"/>
        </w:tabs>
        <w:spacing w:after="0" w:line="276" w:lineRule="auto"/>
        <w:jc w:val="both"/>
        <w:rPr>
          <w:rFonts w:ascii="Verdana" w:eastAsia="Century Gothic" w:hAnsi="Verdana" w:cs="Century Gothic"/>
          <w:b/>
          <w:bCs/>
        </w:rPr>
      </w:pPr>
    </w:p>
    <w:p w14:paraId="333EF663" w14:textId="77777777" w:rsidR="00FF4E35"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A57C864" w14:textId="77777777" w:rsidR="007211E4" w:rsidRDefault="007211E4" w:rsidP="007211E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0A832D2" w14:textId="77777777" w:rsidR="00976629" w:rsidRPr="00FF007A" w:rsidRDefault="00976629" w:rsidP="00976629">
      <w:pPr>
        <w:tabs>
          <w:tab w:val="left" w:pos="426"/>
        </w:tabs>
        <w:spacing w:after="120" w:line="276" w:lineRule="auto"/>
        <w:jc w:val="both"/>
        <w:rPr>
          <w:rFonts w:ascii="Verdana" w:eastAsia="Times New Roman" w:hAnsi="Verdana" w:cs="Arial"/>
          <w:lang w:eastAsia="es-CO"/>
        </w:rPr>
      </w:pPr>
      <w:bookmarkStart w:id="0" w:name="_Hlk209416551"/>
      <w:r w:rsidRPr="00FF007A">
        <w:rPr>
          <w:rFonts w:ascii="Verdana" w:eastAsia="Calibri" w:hAnsi="Verdana" w:cs="Arial"/>
          <w:color w:val="000000" w:themeColor="text1"/>
        </w:rPr>
        <w:t>i)</w:t>
      </w:r>
      <w:r w:rsidRPr="00FF007A">
        <w:rPr>
          <w:rFonts w:ascii="Verdana" w:eastAsia="Verdana" w:hAnsi="Verdana" w:cs="Verdana"/>
        </w:rPr>
        <w:t xml:space="preserve"> </w:t>
      </w:r>
      <w:r w:rsidRPr="00FF007A">
        <w:rPr>
          <w:rFonts w:ascii="Verdana" w:eastAsia="Calibri" w:hAnsi="Verdana" w:cs="Arial"/>
        </w:rPr>
        <w:t>El ordenamiento jurídico colombiano contempla medidas para evitar la obtención de beneficios personales en asuntos propios de la administración pública</w:t>
      </w:r>
      <w:r w:rsidRPr="00FF007A">
        <w:rPr>
          <w:rFonts w:ascii="Verdana" w:eastAsia="Calibri" w:hAnsi="Verdana" w:cs="Arial"/>
          <w:i/>
        </w:rPr>
        <w:t xml:space="preserve">. </w:t>
      </w:r>
      <w:r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Pr="00FF007A">
        <w:rPr>
          <w:rFonts w:ascii="Verdana" w:hAnsi="Verdana"/>
          <w:vertAlign w:val="superscript"/>
        </w:rPr>
        <w:footnoteReference w:id="2"/>
      </w:r>
      <w:r w:rsidRPr="00FF007A">
        <w:rPr>
          <w:rFonts w:ascii="Verdana" w:eastAsia="Calibri" w:hAnsi="Verdana" w:cs="Arial"/>
        </w:rPr>
        <w:t xml:space="preserve">. </w:t>
      </w:r>
    </w:p>
    <w:p w14:paraId="3FB281C0" w14:textId="77777777" w:rsidR="00976629" w:rsidRPr="00FF007A" w:rsidRDefault="00976629" w:rsidP="00976629">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3"/>
      </w:r>
      <w:r w:rsidRPr="00FF007A">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3E2865F6" w14:textId="77777777" w:rsidR="00976629" w:rsidRPr="00D452F6" w:rsidRDefault="00976629" w:rsidP="00976629">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armonía con lo anterior, la Corte Constitucional ha abordado la definición de la Ley de Garantías Electorales. De esta manera, explica que tiene como propósito:</w:t>
      </w:r>
    </w:p>
    <w:p w14:paraId="2EDC6596" w14:textId="77777777" w:rsidR="00976629" w:rsidRPr="00FF007A" w:rsidRDefault="00976629" w:rsidP="00976629">
      <w:pPr>
        <w:spacing w:after="0" w:line="240" w:lineRule="auto"/>
        <w:ind w:left="709" w:right="616"/>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w:t>
      </w:r>
      <w:r>
        <w:rPr>
          <w:rFonts w:ascii="Verdana" w:eastAsia="Times New Roman" w:hAnsi="Verdana" w:cs="Arial"/>
          <w:sz w:val="20"/>
          <w:szCs w:val="20"/>
          <w:lang w:eastAsia="es-CO"/>
        </w:rPr>
        <w:t>(…)</w:t>
      </w:r>
      <w:r w:rsidRPr="00FF007A">
        <w:rPr>
          <w:rFonts w:ascii="Verdana" w:eastAsia="Times New Roman" w:hAnsi="Verdana" w:cs="Arial"/>
          <w:sz w:val="20"/>
          <w:szCs w:val="20"/>
          <w:lang w:eastAsia="es-CO"/>
        </w:rPr>
        <w:t xml:space="preserve"> la definición de reglas claras que permitan acceder a los canales de expresión democrática de manera efectiva e igualitaria. El objetivo de una ley de garantías es definir esas reglas.</w:t>
      </w:r>
    </w:p>
    <w:p w14:paraId="5831EF73" w14:textId="77777777" w:rsidR="00976629" w:rsidRDefault="00976629" w:rsidP="00976629">
      <w:pPr>
        <w:spacing w:after="0" w:line="240" w:lineRule="auto"/>
        <w:ind w:left="709" w:right="616"/>
        <w:contextualSpacing/>
        <w:jc w:val="both"/>
        <w:rPr>
          <w:rFonts w:ascii="Verdana" w:eastAsia="Times New Roman" w:hAnsi="Verdana" w:cs="Arial"/>
          <w:sz w:val="20"/>
          <w:szCs w:val="20"/>
          <w:lang w:eastAsia="es-CO"/>
        </w:rPr>
      </w:pPr>
    </w:p>
    <w:p w14:paraId="0EBC0551" w14:textId="77777777" w:rsidR="00976629" w:rsidRPr="00FF007A" w:rsidRDefault="00976629" w:rsidP="00976629">
      <w:pPr>
        <w:spacing w:after="0" w:line="240" w:lineRule="auto"/>
        <w:ind w:left="709" w:right="616"/>
        <w:contextualSpacing/>
        <w:jc w:val="both"/>
        <w:rPr>
          <w:rFonts w:ascii="Verdana" w:eastAsia="Times New Roman" w:hAnsi="Verdana" w:cs="Arial"/>
          <w:sz w:val="20"/>
          <w:szCs w:val="20"/>
          <w:lang w:eastAsia="es-CO"/>
        </w:rPr>
      </w:pPr>
      <w:r>
        <w:rPr>
          <w:rFonts w:ascii="Verdana" w:eastAsia="Times New Roman" w:hAnsi="Verdana" w:cs="Arial"/>
          <w:sz w:val="20"/>
          <w:szCs w:val="20"/>
          <w:lang w:eastAsia="es-CO"/>
        </w:rPr>
        <w:t>(…)</w:t>
      </w:r>
    </w:p>
    <w:p w14:paraId="5E24B589" w14:textId="77777777" w:rsidR="00976629" w:rsidRPr="00FF007A" w:rsidRDefault="00976629" w:rsidP="00976629">
      <w:pPr>
        <w:spacing w:after="0" w:line="240" w:lineRule="auto"/>
        <w:ind w:left="709" w:right="616"/>
        <w:contextualSpacing/>
        <w:jc w:val="both"/>
        <w:rPr>
          <w:rFonts w:ascii="Verdana" w:eastAsia="Times New Roman" w:hAnsi="Verdana" w:cs="Arial"/>
          <w:sz w:val="20"/>
          <w:szCs w:val="20"/>
          <w:lang w:eastAsia="es-CO"/>
        </w:rPr>
      </w:pPr>
    </w:p>
    <w:p w14:paraId="4155430E" w14:textId="77777777" w:rsidR="00976629" w:rsidRDefault="00976629" w:rsidP="00976629">
      <w:pPr>
        <w:spacing w:after="0" w:line="240" w:lineRule="auto"/>
        <w:ind w:left="709" w:right="616"/>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F007A">
        <w:rPr>
          <w:rFonts w:ascii="Verdana" w:eastAsia="Calibri" w:hAnsi="Verdana" w:cs="Arial"/>
          <w:sz w:val="20"/>
          <w:szCs w:val="20"/>
          <w:vertAlign w:val="superscript"/>
        </w:rPr>
        <w:footnoteReference w:id="4"/>
      </w:r>
      <w:r w:rsidRPr="00FF007A">
        <w:rPr>
          <w:rFonts w:ascii="Verdana" w:eastAsia="Times New Roman" w:hAnsi="Verdana" w:cs="Arial"/>
          <w:sz w:val="20"/>
          <w:szCs w:val="20"/>
          <w:lang w:eastAsia="es-CO"/>
        </w:rPr>
        <w:t>.</w:t>
      </w:r>
    </w:p>
    <w:p w14:paraId="7EFA3458" w14:textId="77777777" w:rsidR="00976629" w:rsidRPr="002D1CF4" w:rsidRDefault="00976629" w:rsidP="00976629">
      <w:pPr>
        <w:spacing w:after="0" w:line="240" w:lineRule="auto"/>
        <w:ind w:left="709" w:right="616"/>
        <w:contextualSpacing/>
        <w:jc w:val="both"/>
        <w:rPr>
          <w:rFonts w:ascii="Verdana" w:eastAsia="Times New Roman" w:hAnsi="Verdana" w:cs="Arial"/>
          <w:sz w:val="20"/>
          <w:szCs w:val="20"/>
          <w:lang w:eastAsia="es-CO"/>
        </w:rPr>
      </w:pPr>
    </w:p>
    <w:p w14:paraId="5FB70004" w14:textId="77777777" w:rsidR="00976629" w:rsidRPr="00FF007A" w:rsidRDefault="00976629" w:rsidP="00976629">
      <w:pPr>
        <w:spacing w:after="12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A887099" w14:textId="77777777" w:rsidR="00976629" w:rsidRDefault="00976629" w:rsidP="00976629">
      <w:pPr>
        <w:spacing w:after="0" w:line="240" w:lineRule="auto"/>
        <w:ind w:left="709" w:right="616"/>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F007A">
        <w:rPr>
          <w:rFonts w:ascii="Verdana" w:eastAsia="Times New Roman" w:hAnsi="Verdana" w:cs="Arial"/>
          <w:sz w:val="20"/>
          <w:szCs w:val="20"/>
          <w:lang w:eastAsia="es-CO"/>
        </w:rPr>
        <w:t>legis</w:t>
      </w:r>
      <w:proofErr w:type="spellEnd"/>
      <w:r w:rsidRPr="00FF007A">
        <w:rPr>
          <w:rFonts w:ascii="Verdana" w:eastAsia="Times New Roman" w:hAnsi="Verdana" w:cs="Arial"/>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F545A93" w14:textId="77777777" w:rsidR="00976629" w:rsidRPr="00284345" w:rsidRDefault="00976629" w:rsidP="00976629">
      <w:pPr>
        <w:spacing w:after="0" w:line="240" w:lineRule="auto"/>
        <w:ind w:left="709" w:right="616"/>
        <w:jc w:val="both"/>
        <w:rPr>
          <w:rFonts w:ascii="Verdana" w:eastAsia="Times New Roman" w:hAnsi="Verdana" w:cs="Arial"/>
          <w:sz w:val="20"/>
          <w:szCs w:val="20"/>
          <w:lang w:eastAsia="es-CO"/>
        </w:rPr>
      </w:pPr>
    </w:p>
    <w:p w14:paraId="52238DB2" w14:textId="77777777" w:rsidR="00976629" w:rsidRPr="00FF007A" w:rsidRDefault="00976629" w:rsidP="00976629">
      <w:pPr>
        <w:spacing w:after="0" w:line="240" w:lineRule="auto"/>
        <w:ind w:left="709" w:right="616"/>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La jurisprudencia de la Corte Constitucional</w:t>
      </w:r>
      <w:r w:rsidRPr="00FF007A">
        <w:rPr>
          <w:rFonts w:ascii="Verdana" w:eastAsia="Times New Roman" w:hAnsi="Verdana" w:cs="Arial"/>
          <w:sz w:val="20"/>
          <w:szCs w:val="20"/>
          <w:vertAlign w:val="superscript"/>
          <w:lang w:eastAsia="es-CO"/>
        </w:rPr>
        <w:footnoteReference w:id="5"/>
      </w:r>
      <w:r w:rsidRPr="00FF007A">
        <w:rPr>
          <w:rFonts w:ascii="Verdana" w:eastAsia="Times New Roman" w:hAnsi="Verdana" w:cs="Arial"/>
          <w:sz w:val="20"/>
          <w:szCs w:val="20"/>
          <w:lang w:eastAsia="es-CO"/>
        </w:rPr>
        <w:t> y del Consejo de Estado</w:t>
      </w:r>
      <w:r w:rsidRPr="00FF007A">
        <w:rPr>
          <w:rFonts w:ascii="Verdana" w:eastAsia="Times New Roman" w:hAnsi="Verdana" w:cs="Arial"/>
          <w:sz w:val="20"/>
          <w:szCs w:val="20"/>
          <w:vertAlign w:val="superscript"/>
          <w:lang w:eastAsia="es-CO"/>
        </w:rPr>
        <w:footnoteReference w:id="6"/>
      </w:r>
      <w:r w:rsidRPr="00FF007A">
        <w:rPr>
          <w:rFonts w:ascii="Verdana" w:eastAsia="Times New Roman" w:hAnsi="Verdana" w:cs="Arial"/>
          <w:sz w:val="20"/>
          <w:szCs w:val="20"/>
          <w:lang w:eastAsia="es-CO"/>
        </w:rPr>
        <w:t xml:space="preserve">, coinciden en que las normas que establecen prohibiciones deben estar de </w:t>
      </w:r>
      <w:r w:rsidRPr="00FF007A">
        <w:rPr>
          <w:rFonts w:ascii="Verdana" w:eastAsia="Times New Roman" w:hAnsi="Verdana" w:cs="Arial"/>
          <w:sz w:val="20"/>
          <w:szCs w:val="20"/>
          <w:lang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F007A">
        <w:rPr>
          <w:rFonts w:ascii="Verdana" w:eastAsia="Times New Roman" w:hAnsi="Verdana" w:cs="Arial"/>
          <w:sz w:val="20"/>
          <w:szCs w:val="20"/>
          <w:vertAlign w:val="superscript"/>
          <w:lang w:eastAsia="es-CO"/>
        </w:rPr>
        <w:footnoteReference w:id="7"/>
      </w:r>
      <w:r w:rsidRPr="00FF007A">
        <w:rPr>
          <w:rFonts w:ascii="Verdana" w:eastAsia="Times New Roman" w:hAnsi="Verdana" w:cs="Arial"/>
          <w:sz w:val="20"/>
          <w:szCs w:val="20"/>
          <w:lang w:eastAsia="es-CO"/>
        </w:rPr>
        <w:t>.</w:t>
      </w:r>
    </w:p>
    <w:p w14:paraId="38FFCCC4" w14:textId="77777777" w:rsidR="00976629" w:rsidRPr="00FF007A" w:rsidRDefault="00976629" w:rsidP="00976629">
      <w:pPr>
        <w:spacing w:after="0" w:line="276" w:lineRule="auto"/>
        <w:jc w:val="both"/>
        <w:rPr>
          <w:rFonts w:ascii="Verdana" w:eastAsia="Calibri" w:hAnsi="Verdana" w:cs="Arial"/>
          <w:bCs/>
        </w:rPr>
      </w:pPr>
    </w:p>
    <w:p w14:paraId="485F52A5" w14:textId="77777777" w:rsidR="00976629" w:rsidRDefault="00976629" w:rsidP="00976629">
      <w:pPr>
        <w:spacing w:after="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BF25CCF" w14:textId="77777777" w:rsidR="00976629" w:rsidRPr="00FF007A" w:rsidRDefault="00976629" w:rsidP="00976629">
      <w:pPr>
        <w:spacing w:after="0" w:line="240" w:lineRule="auto"/>
        <w:ind w:firstLine="709"/>
        <w:jc w:val="both"/>
        <w:rPr>
          <w:rFonts w:ascii="Verdana" w:eastAsia="Arial" w:hAnsi="Verdana" w:cs="Arial"/>
          <w:lang w:eastAsia="es-ES" w:bidi="es-ES"/>
        </w:rPr>
      </w:pPr>
    </w:p>
    <w:p w14:paraId="6BDF3502" w14:textId="77777777" w:rsidR="00976629" w:rsidRPr="00FF007A" w:rsidRDefault="00976629" w:rsidP="0097662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6D017653" w14:textId="77777777" w:rsidR="00976629" w:rsidRPr="00FF007A" w:rsidRDefault="00976629" w:rsidP="00976629">
      <w:pPr>
        <w:spacing w:after="120" w:line="276" w:lineRule="auto"/>
        <w:ind w:firstLine="708"/>
        <w:jc w:val="both"/>
        <w:rPr>
          <w:rFonts w:ascii="Verdana" w:eastAsia="Calibri" w:hAnsi="Verdana" w:cs="Arial"/>
        </w:rPr>
      </w:pPr>
      <w:r w:rsidRPr="00FF007A">
        <w:rPr>
          <w:rFonts w:ascii="Verdana" w:eastAsia="Calibri" w:hAnsi="Verdana" w:cs="Arial"/>
        </w:rPr>
        <w:t xml:space="preserve">Por un lado, 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w:t>
      </w:r>
      <w:r w:rsidRPr="00CE006F">
        <w:rPr>
          <w:rFonts w:ascii="Verdana" w:eastAsia="Calibri" w:hAnsi="Verdana" w:cs="Arial"/>
          <w:b/>
          <w:bCs/>
          <w:u w:val="single"/>
        </w:rPr>
        <w:t>contratación directa</w:t>
      </w:r>
      <w:r w:rsidRPr="00FF007A">
        <w:rPr>
          <w:rFonts w:ascii="Verdana" w:eastAsia="Calibri" w:hAnsi="Verdana" w:cs="Arial"/>
        </w:rPr>
        <w:t xml:space="preserve">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w:t>
      </w:r>
      <w:r>
        <w:rPr>
          <w:rFonts w:ascii="Verdana" w:eastAsia="Calibri" w:hAnsi="Verdana" w:cs="Arial"/>
        </w:rPr>
        <w:t>(…)</w:t>
      </w:r>
      <w:r w:rsidRPr="00FF007A">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vertAlign w:val="superscript"/>
        </w:rPr>
        <w:footnoteReference w:id="8"/>
      </w:r>
      <w:r w:rsidRPr="00FF007A">
        <w:rPr>
          <w:rFonts w:ascii="Verdana" w:eastAsia="Calibri" w:hAnsi="Verdana" w:cs="Arial"/>
        </w:rPr>
        <w:t>.</w:t>
      </w:r>
    </w:p>
    <w:p w14:paraId="6C253DDE" w14:textId="77777777" w:rsidR="00976629" w:rsidRPr="00FF007A" w:rsidRDefault="00976629" w:rsidP="00976629">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lastRenderedPageBreak/>
        <w:t xml:space="preserve">Por otro lado, </w:t>
      </w:r>
      <w:r w:rsidRPr="00CE006F">
        <w:rPr>
          <w:rFonts w:ascii="Verdana" w:eastAsia="Calibri" w:hAnsi="Verdana" w:cs="Arial"/>
          <w:b/>
          <w:bCs/>
          <w:i/>
          <w:iCs/>
          <w:u w:val="single"/>
        </w:rPr>
        <w:t>el parágrafo del artículo 38</w:t>
      </w:r>
      <w:r w:rsidRPr="00FF007A">
        <w:rPr>
          <w:rFonts w:ascii="Verdana" w:eastAsia="Calibri" w:hAnsi="Verdana" w:cs="Arial"/>
          <w:i/>
          <w:iCs/>
        </w:rPr>
        <w:t xml:space="preserve"> </w:t>
      </w:r>
      <w:r w:rsidRPr="00FF007A">
        <w:rPr>
          <w:rFonts w:ascii="Verdana" w:eastAsia="Calibri" w:hAnsi="Verdana" w:cs="Arial"/>
        </w:rPr>
        <w:t xml:space="preserve">de la Ley 996 de 2005 prevé una restricción, aplicable respecto </w:t>
      </w:r>
      <w:r w:rsidRPr="00CE006F">
        <w:rPr>
          <w:rFonts w:ascii="Verdana" w:eastAsia="Calibri" w:hAnsi="Verdana" w:cs="Arial"/>
        </w:rPr>
        <w:t>de 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9"/>
      </w:r>
      <w:r w:rsidRPr="00FF007A">
        <w:rPr>
          <w:rFonts w:ascii="Verdana" w:eastAsia="Calibri" w:hAnsi="Verdana" w:cs="Arial"/>
        </w:rPr>
        <w:t>.</w:t>
      </w:r>
      <w:r w:rsidRPr="00FF007A">
        <w:rPr>
          <w:rFonts w:ascii="Verdana" w:eastAsia="Arial" w:hAnsi="Verdana" w:cs="Arial"/>
          <w:lang w:eastAsia="es-ES" w:bidi="es-ES"/>
        </w:rPr>
        <w:t xml:space="preserve"> </w:t>
      </w:r>
    </w:p>
    <w:p w14:paraId="6BC36741" w14:textId="77777777" w:rsidR="00976629" w:rsidRPr="00FF007A" w:rsidRDefault="00976629" w:rsidP="00976629">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FF007A">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señala:</w:t>
      </w:r>
    </w:p>
    <w:p w14:paraId="425D2153" w14:textId="77777777" w:rsidR="00976629" w:rsidRDefault="00976629" w:rsidP="00976629">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9D4389C" w14:textId="77777777" w:rsidR="00976629" w:rsidRPr="00FF007A" w:rsidRDefault="00976629" w:rsidP="00976629">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FF007A">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F007A">
        <w:rPr>
          <w:rFonts w:ascii="Verdana" w:eastAsia="Arial" w:hAnsi="Verdana" w:cs="Arial"/>
          <w:sz w:val="20"/>
          <w:szCs w:val="20"/>
          <w:lang w:eastAsia="es-ES" w:bidi="es-ES"/>
        </w:rPr>
        <w:t>Presidente</w:t>
      </w:r>
      <w:proofErr w:type="gramEnd"/>
      <w:r w:rsidRPr="00FF007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FF007A">
        <w:rPr>
          <w:rFonts w:ascii="Verdana" w:eastAsia="Arial" w:hAnsi="Verdana" w:cs="Arial"/>
          <w:sz w:val="20"/>
          <w:szCs w:val="20"/>
          <w:vertAlign w:val="superscript"/>
          <w:lang w:eastAsia="es-ES" w:bidi="es-ES"/>
        </w:rPr>
        <w:footnoteReference w:id="10"/>
      </w:r>
      <w:r w:rsidRPr="00FF007A">
        <w:rPr>
          <w:rFonts w:ascii="Verdana" w:eastAsia="Arial" w:hAnsi="Verdana" w:cs="Arial"/>
          <w:sz w:val="20"/>
          <w:szCs w:val="20"/>
          <w:lang w:eastAsia="es-ES" w:bidi="es-ES"/>
        </w:rPr>
        <w:t>.</w:t>
      </w:r>
    </w:p>
    <w:p w14:paraId="2D8C68C7" w14:textId="77777777" w:rsidR="00976629" w:rsidRPr="00FF007A" w:rsidRDefault="00976629" w:rsidP="00976629">
      <w:pPr>
        <w:widowControl w:val="0"/>
        <w:autoSpaceDE w:val="0"/>
        <w:autoSpaceDN w:val="0"/>
        <w:spacing w:after="0" w:line="276" w:lineRule="auto"/>
        <w:contextualSpacing/>
        <w:rPr>
          <w:rFonts w:ascii="Verdana" w:eastAsia="Arial" w:hAnsi="Verdana" w:cs="Arial"/>
          <w:lang w:eastAsia="es-ES" w:bidi="es-ES"/>
        </w:rPr>
      </w:pPr>
    </w:p>
    <w:p w14:paraId="7E9C654B" w14:textId="77777777" w:rsidR="00976629" w:rsidRPr="00FF007A" w:rsidRDefault="00976629" w:rsidP="0097662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lastRenderedPageBreak/>
        <w:t xml:space="preserve">De conformidad con lo anterior, la Ley 996 de 2005 establece dos (2) tipos de restricciones en materia de contratación, las cuales coinciden parcialmente. </w:t>
      </w:r>
    </w:p>
    <w:p w14:paraId="50E6E7A1" w14:textId="77777777" w:rsidR="00976629" w:rsidRPr="00FF007A" w:rsidRDefault="00976629" w:rsidP="00976629">
      <w:pPr>
        <w:spacing w:after="120" w:line="276" w:lineRule="auto"/>
        <w:ind w:firstLine="709"/>
        <w:jc w:val="both"/>
        <w:rPr>
          <w:rFonts w:ascii="Verdana" w:eastAsia="Arial" w:hAnsi="Verdana" w:cs="Arial"/>
          <w:lang w:eastAsia="es-ES" w:bidi="es-ES"/>
        </w:rPr>
      </w:pPr>
      <w:r w:rsidRPr="002D1CF4">
        <w:rPr>
          <w:rFonts w:ascii="Verdana" w:eastAsia="Arial" w:hAnsi="Verdana" w:cs="Arial"/>
          <w:i/>
          <w:lang w:eastAsia="es-ES" w:bidi="es-ES"/>
        </w:rPr>
        <w:t>En primer lugar</w:t>
      </w:r>
      <w:r w:rsidRPr="00FF007A">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4550EF38" w14:textId="77777777" w:rsidR="00976629" w:rsidRPr="00FF007A" w:rsidRDefault="00976629" w:rsidP="00976629">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segundo lugar</w:t>
      </w:r>
      <w:r w:rsidRPr="00FF007A">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CF6081E" w14:textId="77777777" w:rsidR="00976629" w:rsidRPr="00FF007A" w:rsidRDefault="00976629" w:rsidP="0097662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15A23966" w14:textId="77777777" w:rsidR="00976629" w:rsidRPr="00FF007A" w:rsidRDefault="00976629" w:rsidP="00976629">
      <w:pPr>
        <w:spacing w:after="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 Corte Constitucional, en la Sentencia C-1153 del 11 de noviembre de 2005, señaló que, para que la garantía sea plena, era necesario que la prohibición se aplicara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o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y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que no haya ejercido la presidencia o que la haya </w:t>
      </w:r>
      <w:r w:rsidRPr="00FF007A">
        <w:rPr>
          <w:rFonts w:ascii="Verdana" w:eastAsia="Arial" w:hAnsi="Verdana" w:cs="Arial"/>
          <w:lang w:eastAsia="es-ES" w:bidi="es-ES"/>
        </w:rPr>
        <w:lastRenderedPageBreak/>
        <w:t xml:space="preserve">ejercido por un tiempo inferior a tres (3) meses durante el respectivo cuatrienio, en forma continua o discontinua, conforme al artículo 197 de la Constitución Política. </w:t>
      </w:r>
    </w:p>
    <w:p w14:paraId="0B80B102" w14:textId="77777777" w:rsidR="00976629" w:rsidRPr="00FF007A" w:rsidRDefault="00976629" w:rsidP="00976629">
      <w:pPr>
        <w:spacing w:after="120" w:line="276" w:lineRule="auto"/>
        <w:ind w:firstLine="709"/>
        <w:jc w:val="both"/>
        <w:rPr>
          <w:rFonts w:ascii="Verdana" w:eastAsia="Times New Roman" w:hAnsi="Verdana" w:cs="Arial"/>
          <w:bCs/>
          <w:lang w:eastAsia="es-CO"/>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631360FB" w14:textId="77777777" w:rsidR="00976629" w:rsidRPr="005F28C0" w:rsidRDefault="00976629" w:rsidP="00976629">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w:t>
      </w:r>
      <w:proofErr w:type="gramStart"/>
      <w:r w:rsidRPr="00FF007A">
        <w:rPr>
          <w:rFonts w:ascii="Verdana" w:eastAsia="Calibri" w:hAnsi="Verdana" w:cs="Arial"/>
          <w:sz w:val="20"/>
          <w:szCs w:val="20"/>
        </w:rPr>
        <w:t>que</w:t>
      </w:r>
      <w:proofErr w:type="gramEnd"/>
      <w:r w:rsidRPr="00FF007A">
        <w:rPr>
          <w:rFonts w:ascii="Verdana" w:eastAsia="Calibri" w:hAnsi="Verdana" w:cs="Arial"/>
          <w:sz w:val="20"/>
          <w:szCs w:val="20"/>
        </w:rPr>
        <w:t xml:space="preserv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1"/>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2"/>
      </w:r>
      <w:r w:rsidRPr="00FF007A">
        <w:rPr>
          <w:rFonts w:ascii="Verdana" w:eastAsia="Calibri" w:hAnsi="Verdana" w:cs="Arial"/>
          <w:sz w:val="20"/>
          <w:szCs w:val="20"/>
        </w:rPr>
        <w:t>.</w:t>
      </w:r>
    </w:p>
    <w:p w14:paraId="797C736B" w14:textId="77777777" w:rsidR="00976629" w:rsidRDefault="00976629" w:rsidP="00976629">
      <w:pPr>
        <w:spacing w:after="0" w:line="240" w:lineRule="auto"/>
        <w:ind w:firstLine="709"/>
        <w:jc w:val="both"/>
        <w:rPr>
          <w:rFonts w:ascii="Verdana" w:eastAsia="Times New Roman" w:hAnsi="Verdana" w:cs="Arial"/>
          <w:lang w:eastAsia="x-none"/>
        </w:rPr>
      </w:pPr>
    </w:p>
    <w:p w14:paraId="3664C1D7" w14:textId="77777777" w:rsidR="00976629" w:rsidRPr="00FF007A" w:rsidRDefault="00976629" w:rsidP="00976629">
      <w:pPr>
        <w:spacing w:after="120" w:line="276" w:lineRule="auto"/>
        <w:ind w:firstLine="708"/>
        <w:jc w:val="both"/>
        <w:rPr>
          <w:rFonts w:ascii="Verdana" w:eastAsia="Times New Roman" w:hAnsi="Verdana" w:cs="Arial"/>
          <w:bCs/>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F007A">
        <w:rPr>
          <w:rFonts w:ascii="Verdana" w:eastAsia="Times New Roman" w:hAnsi="Verdana" w:cs="Arial"/>
          <w:vertAlign w:val="superscript"/>
          <w:lang w:eastAsia="x-none"/>
        </w:rPr>
        <w:footnoteReference w:id="13"/>
      </w:r>
      <w:r w:rsidRPr="00FF007A">
        <w:rPr>
          <w:rFonts w:ascii="Verdana" w:eastAsia="Times New Roman" w:hAnsi="Verdana" w:cs="Arial"/>
          <w:lang w:eastAsia="x-none"/>
        </w:rPr>
        <w:t xml:space="preserve"> y sistematizó las causales de contratación directa</w:t>
      </w:r>
      <w:r w:rsidRPr="00FF007A">
        <w:rPr>
          <w:rFonts w:ascii="Verdana" w:eastAsia="Times New Roman" w:hAnsi="Verdana" w:cs="Arial"/>
          <w:vertAlign w:val="superscript"/>
          <w:lang w:eastAsia="x-none"/>
        </w:rPr>
        <w:footnoteReference w:id="14"/>
      </w:r>
      <w:r w:rsidRPr="00FF007A">
        <w:rPr>
          <w:rFonts w:ascii="Verdana" w:eastAsia="Times New Roman" w:hAnsi="Verdana" w:cs="Arial"/>
          <w:lang w:eastAsia="x-none"/>
        </w:rPr>
        <w:t xml:space="preserve">, </w:t>
      </w:r>
      <w:r w:rsidRPr="00FF007A">
        <w:rPr>
          <w:rFonts w:ascii="Verdana" w:eastAsia="Calibri" w:hAnsi="Verdana" w:cs="Arial"/>
          <w:lang w:eastAsia="x-none"/>
        </w:rPr>
        <w:t xml:space="preserve">además lo es con la posterior creación de la modalidad de mínima cuantía establecida actualmente en el numeral 5 del </w:t>
      </w:r>
      <w:r w:rsidRPr="00FF007A">
        <w:rPr>
          <w:rFonts w:ascii="Verdana" w:eastAsia="Calibri" w:hAnsi="Verdana" w:cs="Arial"/>
          <w:lang w:eastAsia="x-none"/>
        </w:rPr>
        <w:lastRenderedPageBreak/>
        <w:t>artículo 2 de la Ley 1150 de 2007, de acuerdo con las modificaciones realizadas por leyes posteriores.</w:t>
      </w:r>
    </w:p>
    <w:p w14:paraId="526D1338" w14:textId="77777777" w:rsidR="00976629" w:rsidRPr="00FF007A" w:rsidRDefault="00976629" w:rsidP="00976629">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5"/>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3D873B70" w14:textId="77777777" w:rsidR="00976629" w:rsidRDefault="00976629" w:rsidP="00976629">
      <w:pPr>
        <w:spacing w:after="0" w:line="276" w:lineRule="auto"/>
        <w:ind w:firstLine="708"/>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bookmarkStart w:id="1" w:name="_Hlk77237094"/>
    </w:p>
    <w:p w14:paraId="08000757" w14:textId="77777777" w:rsidR="00976629" w:rsidRDefault="00976629" w:rsidP="00976629">
      <w:pPr>
        <w:spacing w:after="0" w:line="240" w:lineRule="auto"/>
        <w:ind w:firstLine="709"/>
        <w:jc w:val="both"/>
        <w:rPr>
          <w:rFonts w:ascii="Verdana" w:eastAsia="Times New Roman" w:hAnsi="Verdana" w:cs="Arial"/>
        </w:rPr>
      </w:pPr>
    </w:p>
    <w:p w14:paraId="04264B4F" w14:textId="77777777" w:rsidR="00976629" w:rsidRPr="00284345" w:rsidRDefault="00976629" w:rsidP="00976629">
      <w:pPr>
        <w:spacing w:after="0" w:line="276" w:lineRule="auto"/>
        <w:ind w:firstLine="708"/>
        <w:jc w:val="both"/>
        <w:rPr>
          <w:rFonts w:ascii="Verdana" w:eastAsia="Times New Roman" w:hAnsi="Verdana" w:cs="Arial"/>
        </w:rPr>
      </w:pPr>
      <w:r w:rsidRPr="00771792">
        <w:rPr>
          <w:rFonts w:ascii="Verdana" w:eastAsia="Times New Roman" w:hAnsi="Verdana" w:cs="Arial"/>
        </w:rPr>
        <w:t xml:space="preserve">Como en otras oportunidades lo ha manifestado esta Agencia, las prórrogas, modificaciones o adiciones de los contratos suscritos antes de la </w:t>
      </w:r>
      <w:proofErr w:type="gramStart"/>
      <w:r w:rsidRPr="00771792">
        <w:rPr>
          <w:rFonts w:ascii="Verdana" w:eastAsia="Times New Roman" w:hAnsi="Verdana" w:cs="Arial"/>
        </w:rPr>
        <w:t>entrada en vigencia</w:t>
      </w:r>
      <w:proofErr w:type="gramEnd"/>
      <w:r w:rsidRPr="00771792">
        <w:rPr>
          <w:rFonts w:ascii="Verdana" w:eastAsia="Times New Roman" w:hAnsi="Verdana" w:cs="Arial"/>
        </w:rPr>
        <w:t xml:space="preserve"> de las prohibiciones anotadas, así como la cesión de </w:t>
      </w:r>
      <w:proofErr w:type="gramStart"/>
      <w:r w:rsidRPr="00771792">
        <w:rPr>
          <w:rFonts w:ascii="Verdana" w:eastAsia="Times New Roman" w:hAnsi="Verdana" w:cs="Arial"/>
        </w:rPr>
        <w:t>los mismos</w:t>
      </w:r>
      <w:proofErr w:type="gramEnd"/>
      <w:r w:rsidRPr="00771792">
        <w:rPr>
          <w:rFonts w:ascii="Verdana" w:eastAsia="Times New Roman" w:hAnsi="Verdana" w:cs="Arial"/>
        </w:rPr>
        <w:t>, pueden tener lugar en el período de aplicación de la Ley de Garantías Electorales, sin que ello haga nugatoria la restricción de la contratación directa y siempre que</w:t>
      </w:r>
      <w:r w:rsidRPr="00F10E52">
        <w:rPr>
          <w:rFonts w:ascii="Verdana" w:eastAsia="Times New Roman" w:hAnsi="Verdana" w:cs="Arial"/>
          <w:bCs/>
          <w:lang w:eastAsia="es-CO"/>
        </w:rPr>
        <w:t xml:space="preserve"> cumplan los principios de planeación, transparencia y responsabilidad.</w:t>
      </w:r>
      <w:bookmarkEnd w:id="1"/>
    </w:p>
    <w:p w14:paraId="4C23B9BD" w14:textId="77777777" w:rsidR="00976629" w:rsidRPr="00FF007A" w:rsidRDefault="00976629" w:rsidP="00976629">
      <w:pPr>
        <w:spacing w:after="0" w:line="276" w:lineRule="auto"/>
        <w:ind w:firstLine="709"/>
        <w:jc w:val="both"/>
        <w:rPr>
          <w:rFonts w:ascii="Verdana" w:eastAsia="Times New Roman" w:hAnsi="Verdana" w:cs="Arial"/>
        </w:rPr>
      </w:pPr>
      <w:r w:rsidRPr="00FF007A">
        <w:rPr>
          <w:rFonts w:ascii="Verdana" w:eastAsia="Times New Roman" w:hAnsi="Verdana" w:cs="Arial"/>
          <w:bCs/>
          <w:lang w:eastAsia="es-CO"/>
        </w:rPr>
        <w:t xml:space="preserve">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 xml:space="preserve">la Ley 996 de 2005 señala expresamente que son </w:t>
      </w:r>
      <w:r w:rsidRPr="00FF007A">
        <w:rPr>
          <w:rFonts w:ascii="Verdana" w:eastAsia="Times New Roman" w:hAnsi="Verdana" w:cs="Arial"/>
        </w:rPr>
        <w:lastRenderedPageBreak/>
        <w:t>“</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11996FAA" w14:textId="77777777" w:rsidR="00976629" w:rsidRPr="00FF007A" w:rsidRDefault="00976629" w:rsidP="00976629">
      <w:pPr>
        <w:spacing w:after="0" w:line="276" w:lineRule="auto"/>
        <w:ind w:firstLine="708"/>
        <w:jc w:val="both"/>
        <w:rPr>
          <w:rFonts w:ascii="Verdana" w:eastAsia="Times New Roman" w:hAnsi="Verdana" w:cs="Arial"/>
        </w:rPr>
      </w:pPr>
    </w:p>
    <w:p w14:paraId="465D84BB" w14:textId="77777777" w:rsidR="00976629" w:rsidRPr="00FF007A" w:rsidRDefault="00976629" w:rsidP="00976629">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6"/>
      </w:r>
      <w:r w:rsidRPr="00FF007A">
        <w:rPr>
          <w:rFonts w:ascii="Verdana" w:eastAsia="Times New Roman" w:hAnsi="Verdana" w:cs="Arial"/>
          <w:bCs/>
          <w:sz w:val="20"/>
          <w:szCs w:val="20"/>
          <w:lang w:eastAsia="es-CO"/>
        </w:rPr>
        <w:t>.</w:t>
      </w:r>
    </w:p>
    <w:p w14:paraId="0CB9C7B6" w14:textId="77777777" w:rsidR="00976629" w:rsidRPr="00FF007A" w:rsidRDefault="00976629" w:rsidP="00976629">
      <w:pPr>
        <w:spacing w:before="240" w:line="276" w:lineRule="auto"/>
        <w:ind w:firstLine="708"/>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7"/>
      </w:r>
      <w:r w:rsidRPr="00FF007A">
        <w:rPr>
          <w:rFonts w:ascii="Verdana" w:hAnsi="Verdana" w:cs="Arial"/>
          <w:bCs/>
          <w:sz w:val="20"/>
          <w:szCs w:val="20"/>
          <w:lang w:eastAsia="x-none"/>
        </w:rPr>
        <w:t>.</w:t>
      </w:r>
    </w:p>
    <w:p w14:paraId="4E2F596C" w14:textId="77777777" w:rsidR="00976629" w:rsidRPr="00FF007A" w:rsidRDefault="00976629" w:rsidP="00976629">
      <w:pPr>
        <w:spacing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w:t>
      </w:r>
      <w:r w:rsidRPr="00FF007A">
        <w:rPr>
          <w:rFonts w:ascii="Verdana" w:eastAsia="Arial" w:hAnsi="Verdana" w:cs="Arial"/>
          <w:color w:val="000000" w:themeColor="text1"/>
        </w:rPr>
        <w:lastRenderedPageBreak/>
        <w:t>electorales, se puede presentar tanto en la contratación regulada por la Ley 80 de 1993 como en la regida por el derecho privado o normas especiales.</w:t>
      </w:r>
    </w:p>
    <w:p w14:paraId="098668F1" w14:textId="77777777" w:rsidR="00976629" w:rsidRPr="00FF007A" w:rsidRDefault="00976629" w:rsidP="00976629">
      <w:pPr>
        <w:spacing w:before="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04749DD3" w14:textId="77777777" w:rsidR="00976629" w:rsidRPr="00FF007A" w:rsidRDefault="00976629" w:rsidP="0097662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08D76AF1" w14:textId="77777777" w:rsidR="00976629" w:rsidRPr="00FF007A" w:rsidRDefault="00976629" w:rsidP="0097662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w:t>
      </w:r>
      <w:proofErr w:type="spellEnd"/>
      <w:r w:rsidRPr="00FF007A">
        <w:rPr>
          <w:rFonts w:ascii="Verdana" w:hAnsi="Verdana" w:cs="Arial"/>
          <w:bCs/>
          <w:color w:val="000000" w:themeColor="text1"/>
        </w:rPr>
        <w:t>) Los contratos de crédito público;</w:t>
      </w:r>
    </w:p>
    <w:p w14:paraId="4B2E575F" w14:textId="77777777" w:rsidR="00976629" w:rsidRPr="00FF007A" w:rsidRDefault="00976629" w:rsidP="0097662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iii</w:t>
      </w:r>
      <w:proofErr w:type="spellEnd"/>
      <w:r w:rsidRPr="00FF007A">
        <w:rPr>
          <w:rFonts w:ascii="Verdana" w:hAnsi="Verdana" w:cs="Arial"/>
          <w:bCs/>
          <w:color w:val="000000" w:themeColor="text1"/>
        </w:rPr>
        <w:t xml:space="preserve">) Los contratos requeridos para cubrir las emergencias educativas, sanitarias y desastres; </w:t>
      </w:r>
    </w:p>
    <w:p w14:paraId="4BDABDB7" w14:textId="77777777" w:rsidR="00976629" w:rsidRPr="00FF007A" w:rsidRDefault="00976629" w:rsidP="0097662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iv</w:t>
      </w:r>
      <w:proofErr w:type="spellEnd"/>
      <w:r w:rsidRPr="00FF007A">
        <w:rPr>
          <w:rFonts w:ascii="Verdana" w:hAnsi="Verdana" w:cs="Arial"/>
          <w:bCs/>
          <w:color w:val="000000" w:themeColor="text1"/>
        </w:rPr>
        <w:t>) La contratación para la reconstrucción de vías, puentes, carreteras, infraestructura energética y de comunicaciones, en caso de que hayan sido objeto de atentados, acciones terroristas, desastres naturales o casos de fuerza mayor y;</w:t>
      </w:r>
    </w:p>
    <w:p w14:paraId="21ACE608" w14:textId="77777777" w:rsidR="00976629" w:rsidRPr="00FF007A" w:rsidRDefault="00976629" w:rsidP="0097662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01017E80" w14:textId="77777777" w:rsidR="00976629" w:rsidRPr="00FF007A" w:rsidRDefault="00976629" w:rsidP="00976629">
      <w:pPr>
        <w:spacing w:before="24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8"/>
      </w:r>
      <w:r w:rsidRPr="00FF007A">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15EB3D1" w14:textId="77777777" w:rsidR="00976629" w:rsidRPr="00FF007A" w:rsidRDefault="00976629" w:rsidP="00976629">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19251F10" w14:textId="77777777" w:rsidR="00976629" w:rsidRPr="00FF007A" w:rsidRDefault="00976629" w:rsidP="00976629">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19"/>
      </w:r>
      <w:r w:rsidRPr="00FF007A">
        <w:rPr>
          <w:rFonts w:ascii="Verdana" w:hAnsi="Verdana" w:cs="Arial"/>
          <w:color w:val="000000" w:themeColor="text1"/>
          <w:sz w:val="20"/>
          <w:szCs w:val="20"/>
          <w:lang w:eastAsia="es-CO"/>
        </w:rPr>
        <w:t xml:space="preserve">”. </w:t>
      </w:r>
    </w:p>
    <w:p w14:paraId="40256864" w14:textId="77777777" w:rsidR="00976629" w:rsidRPr="00FF007A" w:rsidRDefault="00976629" w:rsidP="00976629">
      <w:pPr>
        <w:tabs>
          <w:tab w:val="left" w:pos="426"/>
        </w:tabs>
        <w:spacing w:before="120" w:after="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76228FAA" w14:textId="77777777" w:rsidR="00976629" w:rsidRPr="00FF007A" w:rsidRDefault="00976629" w:rsidP="00976629">
      <w:pPr>
        <w:tabs>
          <w:tab w:val="left" w:pos="426"/>
        </w:tabs>
        <w:spacing w:after="0" w:line="240" w:lineRule="auto"/>
        <w:ind w:firstLine="709"/>
        <w:jc w:val="both"/>
        <w:rPr>
          <w:rFonts w:ascii="Verdana" w:hAnsi="Verdana" w:cs="Arial"/>
          <w:color w:val="000000" w:themeColor="text1"/>
        </w:rPr>
      </w:pPr>
    </w:p>
    <w:p w14:paraId="26EE7248" w14:textId="77777777" w:rsidR="00976629" w:rsidRPr="00FF007A" w:rsidRDefault="00976629" w:rsidP="00976629">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24A30202" w14:textId="77777777" w:rsidR="00976629" w:rsidRDefault="00976629" w:rsidP="00976629">
      <w:pPr>
        <w:spacing w:after="0" w:line="240" w:lineRule="auto"/>
        <w:ind w:left="709" w:right="709"/>
        <w:jc w:val="both"/>
        <w:rPr>
          <w:rFonts w:ascii="Verdana" w:hAnsi="Verdana" w:cs="Arial"/>
          <w:color w:val="000000" w:themeColor="text1"/>
          <w:sz w:val="20"/>
          <w:szCs w:val="20"/>
          <w:shd w:val="clear" w:color="auto" w:fill="FFFFFF"/>
        </w:rPr>
      </w:pPr>
    </w:p>
    <w:p w14:paraId="1C90D601" w14:textId="77777777" w:rsidR="00976629" w:rsidRPr="00FF007A" w:rsidRDefault="00976629" w:rsidP="0097662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7B6E9E94" w14:textId="77777777" w:rsidR="00976629" w:rsidRDefault="00976629" w:rsidP="00976629">
      <w:pPr>
        <w:spacing w:after="0" w:line="240" w:lineRule="auto"/>
        <w:ind w:left="709" w:right="709"/>
        <w:jc w:val="both"/>
        <w:rPr>
          <w:rFonts w:ascii="Verdana" w:hAnsi="Verdana" w:cs="Arial"/>
          <w:color w:val="000000" w:themeColor="text1"/>
          <w:sz w:val="20"/>
          <w:szCs w:val="20"/>
          <w:shd w:val="clear" w:color="auto" w:fill="FFFFFF"/>
        </w:rPr>
      </w:pPr>
    </w:p>
    <w:p w14:paraId="5DC69923" w14:textId="77777777" w:rsidR="00976629" w:rsidRPr="00FF007A" w:rsidRDefault="00976629" w:rsidP="0097662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26EDB9D8" w14:textId="77777777" w:rsidR="00976629" w:rsidRDefault="00976629" w:rsidP="00976629">
      <w:pPr>
        <w:spacing w:after="0" w:line="240" w:lineRule="auto"/>
        <w:ind w:left="709" w:right="709"/>
        <w:jc w:val="both"/>
        <w:rPr>
          <w:rFonts w:ascii="Verdana" w:hAnsi="Verdana" w:cs="Arial"/>
          <w:color w:val="000000" w:themeColor="text1"/>
          <w:sz w:val="20"/>
          <w:szCs w:val="20"/>
          <w:shd w:val="clear" w:color="auto" w:fill="FFFFFF"/>
        </w:rPr>
      </w:pPr>
    </w:p>
    <w:p w14:paraId="08FF5D0D" w14:textId="77777777" w:rsidR="00976629" w:rsidRPr="00FF007A" w:rsidRDefault="00976629" w:rsidP="0097662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20"/>
      </w:r>
      <w:r w:rsidRPr="00FF007A">
        <w:rPr>
          <w:rFonts w:ascii="Verdana" w:hAnsi="Verdana" w:cs="Arial"/>
          <w:color w:val="000000" w:themeColor="text1"/>
          <w:sz w:val="20"/>
          <w:szCs w:val="20"/>
          <w:shd w:val="clear" w:color="auto" w:fill="FFFFFF"/>
        </w:rPr>
        <w:t>.</w:t>
      </w:r>
    </w:p>
    <w:p w14:paraId="47A17D6F" w14:textId="77777777" w:rsidR="00976629" w:rsidRPr="00FF007A" w:rsidRDefault="00976629" w:rsidP="00976629">
      <w:pPr>
        <w:spacing w:after="0" w:line="240" w:lineRule="auto"/>
        <w:ind w:left="709" w:right="709"/>
        <w:jc w:val="both"/>
        <w:rPr>
          <w:rFonts w:ascii="Verdana" w:hAnsi="Verdana" w:cs="Arial"/>
          <w:color w:val="000000" w:themeColor="text1"/>
          <w:sz w:val="20"/>
          <w:szCs w:val="20"/>
          <w:shd w:val="clear" w:color="auto" w:fill="FFFFFF"/>
        </w:rPr>
      </w:pPr>
    </w:p>
    <w:p w14:paraId="1955F0A1" w14:textId="77777777" w:rsidR="00976629" w:rsidRDefault="00976629" w:rsidP="00976629">
      <w:pPr>
        <w:tabs>
          <w:tab w:val="left" w:pos="426"/>
        </w:tabs>
        <w:spacing w:line="276" w:lineRule="auto"/>
        <w:ind w:firstLine="709"/>
        <w:jc w:val="both"/>
        <w:rPr>
          <w:rFonts w:ascii="Verdana" w:hAnsi="Verdana" w:cs="Arial"/>
          <w:bCs/>
          <w:color w:val="000000" w:themeColor="text1"/>
        </w:rPr>
      </w:pPr>
      <w:r w:rsidRPr="00FF007A">
        <w:rPr>
          <w:rFonts w:ascii="Verdana" w:hAnsi="Verdana" w:cs="Arial"/>
          <w:bCs/>
          <w:color w:val="000000" w:themeColor="text1"/>
        </w:rPr>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0FD1A25" w14:textId="77777777" w:rsidR="00976629" w:rsidRPr="00E2397D" w:rsidRDefault="00976629" w:rsidP="00976629">
      <w:pPr>
        <w:spacing w:after="120" w:line="276" w:lineRule="auto"/>
        <w:ind w:firstLine="708"/>
        <w:jc w:val="both"/>
        <w:rPr>
          <w:rFonts w:ascii="Verdana" w:eastAsia="Times New Roman" w:hAnsi="Verdana" w:cs="Arial"/>
          <w:lang w:val="es-MX" w:eastAsia="x-none"/>
        </w:rPr>
      </w:pPr>
      <w:r>
        <w:rPr>
          <w:rFonts w:ascii="Verdana" w:eastAsia="Times New Roman" w:hAnsi="Verdana" w:cs="Arial"/>
          <w:bCs/>
          <w:lang w:eastAsia="x-none"/>
        </w:rPr>
        <w:lastRenderedPageBreak/>
        <w:t xml:space="preserve">En segundo lugar, </w:t>
      </w:r>
      <w:r w:rsidRPr="00E2397D">
        <w:rPr>
          <w:rFonts w:ascii="Verdana" w:eastAsia="Calibri" w:hAnsi="Verdana" w:cs="Arial"/>
          <w:lang w:eastAsia="es-ES" w:bidi="es-ES"/>
        </w:rPr>
        <w:t xml:space="preserve">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w:t>
      </w:r>
      <w:proofErr w:type="gramStart"/>
      <w:r w:rsidRPr="00E2397D">
        <w:rPr>
          <w:rFonts w:ascii="Verdana" w:eastAsia="Calibri" w:hAnsi="Verdana" w:cs="Arial"/>
        </w:rPr>
        <w:t>Alcaldes</w:t>
      </w:r>
      <w:proofErr w:type="gramEnd"/>
      <w:r w:rsidRPr="00E2397D">
        <w:rPr>
          <w:rFonts w:ascii="Verdana" w:eastAsia="Calibri" w:hAnsi="Verdana" w:cs="Arial"/>
        </w:rPr>
        <w:t xml:space="preserve"> Municipales y/o Distritales, </w:t>
      </w:r>
      <w:proofErr w:type="gramStart"/>
      <w:r w:rsidRPr="00E2397D">
        <w:rPr>
          <w:rFonts w:ascii="Verdana" w:eastAsia="Calibri" w:hAnsi="Verdana" w:cs="Arial"/>
        </w:rPr>
        <w:t>Secretarios</w:t>
      </w:r>
      <w:proofErr w:type="gramEnd"/>
      <w:r w:rsidRPr="00E2397D">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w:t>
      </w:r>
      <w:r>
        <w:rPr>
          <w:rFonts w:ascii="Verdana" w:eastAsia="Times New Roman" w:hAnsi="Verdana" w:cs="Arial"/>
          <w:lang w:val="es-MX" w:eastAsia="x-none"/>
        </w:rPr>
        <w:t>(</w:t>
      </w:r>
      <w:r w:rsidRPr="00E2397D">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58E0C61F" w14:textId="77777777" w:rsidR="00976629" w:rsidRPr="00E2397D" w:rsidRDefault="00976629" w:rsidP="00976629">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421D7472" w14:textId="77777777" w:rsidR="00976629" w:rsidRPr="00E2397D" w:rsidRDefault="00976629" w:rsidP="00976629">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1"/>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2"/>
      </w:r>
      <w:r w:rsidRPr="00E2397D">
        <w:rPr>
          <w:rFonts w:ascii="Verdana" w:eastAsia="Arial" w:hAnsi="Verdana" w:cs="Arial"/>
          <w:lang w:val="es-ES" w:eastAsia="es-ES" w:bidi="es-ES"/>
        </w:rPr>
        <w:t>.</w:t>
      </w:r>
    </w:p>
    <w:p w14:paraId="7F090371" w14:textId="77777777" w:rsidR="00976629" w:rsidRPr="00E2397D" w:rsidRDefault="00976629" w:rsidP="00976629">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lastRenderedPageBreak/>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17D5F193" w14:textId="77777777" w:rsidR="00976629" w:rsidRPr="00E2397D" w:rsidRDefault="00976629" w:rsidP="00976629">
      <w:pPr>
        <w:widowControl w:val="0"/>
        <w:autoSpaceDE w:val="0"/>
        <w:autoSpaceDN w:val="0"/>
        <w:spacing w:after="0" w:line="240" w:lineRule="auto"/>
        <w:contextualSpacing/>
        <w:jc w:val="both"/>
        <w:rPr>
          <w:rFonts w:ascii="Verdana" w:eastAsia="Arial" w:hAnsi="Verdana" w:cs="Arial"/>
          <w:lang w:val="es-ES" w:eastAsia="es-ES" w:bidi="es-ES"/>
        </w:rPr>
      </w:pPr>
    </w:p>
    <w:p w14:paraId="05A1610F" w14:textId="77777777" w:rsidR="00976629" w:rsidRPr="00E2397D" w:rsidRDefault="00976629" w:rsidP="00976629">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1B1528F6" w14:textId="77777777" w:rsidR="00976629" w:rsidRPr="00E2397D" w:rsidRDefault="00976629" w:rsidP="00976629">
      <w:pPr>
        <w:spacing w:after="0" w:line="240" w:lineRule="auto"/>
        <w:ind w:left="709" w:right="616"/>
        <w:jc w:val="both"/>
        <w:rPr>
          <w:rFonts w:ascii="Verdana" w:eastAsia="Calibri" w:hAnsi="Verdana" w:cs="Arial"/>
          <w:sz w:val="20"/>
          <w:szCs w:val="20"/>
          <w:lang w:val="es-MX"/>
        </w:rPr>
      </w:pPr>
    </w:p>
    <w:p w14:paraId="15D114CD" w14:textId="77777777" w:rsidR="00976629" w:rsidRPr="00E2397D" w:rsidRDefault="00976629" w:rsidP="00976629">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1117AF21" w14:textId="77777777" w:rsidR="00976629" w:rsidRPr="00E2397D" w:rsidRDefault="00976629" w:rsidP="00976629">
      <w:pPr>
        <w:spacing w:after="0" w:line="240" w:lineRule="auto"/>
        <w:ind w:left="709" w:right="616"/>
        <w:jc w:val="both"/>
        <w:rPr>
          <w:rFonts w:ascii="Verdana" w:eastAsia="Calibri" w:hAnsi="Verdana" w:cs="Arial"/>
          <w:sz w:val="20"/>
          <w:szCs w:val="20"/>
          <w:lang w:val="es-MX"/>
        </w:rPr>
      </w:pPr>
    </w:p>
    <w:p w14:paraId="54A6305F" w14:textId="77777777" w:rsidR="00976629" w:rsidRPr="00E2397D" w:rsidRDefault="00976629" w:rsidP="00976629">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MX"/>
        </w:rPr>
        <w:t xml:space="preserve">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w:t>
      </w:r>
      <w:r w:rsidRPr="00E2397D">
        <w:rPr>
          <w:rFonts w:ascii="Verdana" w:eastAsia="Calibri" w:hAnsi="Verdana" w:cs="Arial"/>
          <w:sz w:val="20"/>
          <w:szCs w:val="20"/>
          <w:lang w:val="es-MX"/>
        </w:rPr>
        <w:lastRenderedPageBreak/>
        <w:t>para efectos de la Ley de Garantías tienen la misma connotación y propósito”.</w:t>
      </w:r>
    </w:p>
    <w:p w14:paraId="069A8CE0" w14:textId="77777777" w:rsidR="00976629" w:rsidRPr="00E2397D" w:rsidRDefault="00976629" w:rsidP="00976629">
      <w:pPr>
        <w:widowControl w:val="0"/>
        <w:autoSpaceDE w:val="0"/>
        <w:autoSpaceDN w:val="0"/>
        <w:spacing w:after="0" w:line="276" w:lineRule="auto"/>
        <w:contextualSpacing/>
        <w:jc w:val="both"/>
        <w:rPr>
          <w:rFonts w:ascii="Verdana" w:eastAsia="Arial" w:hAnsi="Verdana" w:cs="Arial"/>
          <w:lang w:val="es-ES" w:eastAsia="es-ES" w:bidi="es-ES"/>
        </w:rPr>
      </w:pPr>
    </w:p>
    <w:p w14:paraId="721B111D" w14:textId="77777777" w:rsidR="00976629" w:rsidRPr="00E2397D" w:rsidRDefault="00976629" w:rsidP="00976629">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136C7807" w14:textId="77777777" w:rsidR="00976629" w:rsidRDefault="00976629" w:rsidP="00976629">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3"/>
      </w:r>
      <w:r w:rsidRPr="00E2397D">
        <w:rPr>
          <w:rFonts w:ascii="Verdana" w:hAnsi="Verdana"/>
        </w:rPr>
        <w:t>:</w:t>
      </w:r>
      <w:r w:rsidRPr="00E2397D">
        <w:t xml:space="preserve"> </w:t>
      </w:r>
    </w:p>
    <w:p w14:paraId="43456D00" w14:textId="77777777" w:rsidR="00976629" w:rsidRPr="00E2397D" w:rsidRDefault="00976629" w:rsidP="00976629">
      <w:pPr>
        <w:spacing w:after="0" w:line="240" w:lineRule="auto"/>
        <w:ind w:firstLine="709"/>
        <w:jc w:val="both"/>
      </w:pPr>
    </w:p>
    <w:p w14:paraId="59736547" w14:textId="77777777" w:rsidR="00976629" w:rsidRPr="00E2397D" w:rsidRDefault="00976629" w:rsidP="00976629">
      <w:pPr>
        <w:spacing w:after="0" w:line="240" w:lineRule="auto"/>
        <w:ind w:left="709" w:right="616"/>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B012B30" w14:textId="77777777" w:rsidR="00976629" w:rsidRPr="00E2397D" w:rsidRDefault="00976629" w:rsidP="00976629">
      <w:pPr>
        <w:spacing w:after="0" w:line="240" w:lineRule="auto"/>
        <w:ind w:left="709" w:right="616"/>
        <w:jc w:val="both"/>
        <w:rPr>
          <w:rFonts w:ascii="Verdana" w:eastAsia="Calibri" w:hAnsi="Verdana" w:cs="Arial"/>
          <w:sz w:val="20"/>
          <w:szCs w:val="20"/>
        </w:rPr>
      </w:pPr>
    </w:p>
    <w:p w14:paraId="36E29479" w14:textId="77777777" w:rsidR="00976629" w:rsidRPr="00E2397D" w:rsidRDefault="00976629" w:rsidP="00976629">
      <w:pPr>
        <w:spacing w:after="0" w:line="240" w:lineRule="auto"/>
        <w:ind w:left="709" w:right="616"/>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D66BD1A" w14:textId="77777777" w:rsidR="00976629" w:rsidRPr="00E2397D" w:rsidRDefault="00976629" w:rsidP="00976629">
      <w:pPr>
        <w:spacing w:after="0" w:line="240" w:lineRule="auto"/>
        <w:ind w:left="709" w:right="709"/>
        <w:jc w:val="both"/>
        <w:rPr>
          <w:rFonts w:ascii="Verdana" w:hAnsi="Verdana"/>
        </w:rPr>
      </w:pPr>
    </w:p>
    <w:p w14:paraId="59714B70" w14:textId="77777777" w:rsidR="00976629" w:rsidRPr="00E2397D" w:rsidRDefault="00976629" w:rsidP="00976629">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w:t>
      </w:r>
      <w:r w:rsidRPr="00E2397D">
        <w:rPr>
          <w:rFonts w:ascii="Verdana" w:eastAsia="Arial" w:hAnsi="Verdana" w:cs="Arial"/>
          <w:lang w:eastAsia="es-ES" w:bidi="es-ES"/>
        </w:rPr>
        <w:lastRenderedPageBreak/>
        <w:t xml:space="preserve">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A67DBFB" w14:textId="77777777" w:rsidR="00976629" w:rsidRPr="00E2397D" w:rsidRDefault="00976629" w:rsidP="00976629">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2D6F1349" w14:textId="77777777" w:rsidR="00976629" w:rsidRPr="00E2397D" w:rsidRDefault="00976629" w:rsidP="00976629">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w:t>
      </w:r>
      <w:r>
        <w:rPr>
          <w:rFonts w:ascii="Verdana" w:eastAsia="Calibri" w:hAnsi="Verdana" w:cs="Arial"/>
        </w:rPr>
        <w:t>con</w:t>
      </w:r>
      <w:r w:rsidRPr="00E2397D">
        <w:rPr>
          <w:rFonts w:ascii="Verdana" w:eastAsia="Calibri" w:hAnsi="Verdana" w:cs="Arial"/>
        </w:rPr>
        <w:t xml:space="preserve">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1943AEF7" w14:textId="77777777" w:rsidR="00976629" w:rsidRPr="0054435B" w:rsidRDefault="00976629" w:rsidP="00976629">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549BEC3B" w14:textId="77777777" w:rsidR="00976629" w:rsidRPr="00FF007A" w:rsidRDefault="00976629" w:rsidP="00976629">
      <w:pPr>
        <w:tabs>
          <w:tab w:val="left" w:pos="426"/>
        </w:tabs>
        <w:spacing w:before="120" w:line="276" w:lineRule="auto"/>
        <w:ind w:firstLine="709"/>
        <w:jc w:val="both"/>
        <w:rPr>
          <w:rFonts w:ascii="Verdana" w:hAnsi="Verdana" w:cs="Arial"/>
          <w:bCs/>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Ahora bien,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7CC27D9B" w14:textId="77777777" w:rsidR="00976629" w:rsidRPr="00FF007A" w:rsidRDefault="00976629" w:rsidP="0097662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24"/>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5"/>
      </w:r>
      <w:r w:rsidRPr="00FF007A">
        <w:rPr>
          <w:rFonts w:ascii="Verdana" w:hAnsi="Verdana" w:cs="Arial"/>
          <w:color w:val="000000" w:themeColor="text1"/>
        </w:rPr>
        <w:t xml:space="preserve"> estableció el deber de reestructurar y transformar en Empresas Sociales del Estado a las entidades descentralizadas que, al momento </w:t>
      </w:r>
      <w:r w:rsidRPr="00FF007A">
        <w:rPr>
          <w:rFonts w:ascii="Verdana" w:hAnsi="Verdana" w:cs="Arial"/>
          <w:color w:val="000000" w:themeColor="text1"/>
        </w:rPr>
        <w:lastRenderedPageBreak/>
        <w:t xml:space="preserve">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4C598BE8" w14:textId="77777777" w:rsidR="00976629" w:rsidRPr="00FF007A" w:rsidRDefault="00976629" w:rsidP="0097662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6"/>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22593300" w14:textId="77777777" w:rsidR="00976629" w:rsidRPr="00FF007A" w:rsidRDefault="00976629" w:rsidP="00976629">
      <w:pPr>
        <w:spacing w:before="120"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27"/>
      </w:r>
      <w:r w:rsidRPr="00FF007A">
        <w:rPr>
          <w:rFonts w:ascii="Verdana" w:eastAsia="Arial" w:hAnsi="Verdana" w:cs="Arial"/>
          <w:bCs/>
          <w:color w:val="000000" w:themeColor="text1"/>
        </w:rPr>
        <w:t xml:space="preserve">.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w:t>
      </w:r>
      <w:r w:rsidRPr="00FF007A">
        <w:rPr>
          <w:rFonts w:ascii="Verdana" w:eastAsia="Arial" w:hAnsi="Verdana" w:cs="Arial"/>
          <w:bCs/>
          <w:color w:val="000000" w:themeColor="text1"/>
        </w:rPr>
        <w:lastRenderedPageBreak/>
        <w:t>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28"/>
      </w:r>
      <w:r w:rsidRPr="00FF007A">
        <w:rPr>
          <w:rFonts w:ascii="Verdana" w:eastAsia="Arial" w:hAnsi="Verdana" w:cs="Arial"/>
          <w:bCs/>
          <w:color w:val="000000" w:themeColor="text1"/>
        </w:rPr>
        <w:t xml:space="preserve">. </w:t>
      </w:r>
    </w:p>
    <w:p w14:paraId="53065A2B" w14:textId="77777777" w:rsidR="00976629" w:rsidRPr="00FF007A" w:rsidRDefault="00976629" w:rsidP="00976629">
      <w:pPr>
        <w:spacing w:after="0" w:line="240" w:lineRule="auto"/>
        <w:ind w:firstLine="709"/>
        <w:jc w:val="both"/>
        <w:rPr>
          <w:rFonts w:ascii="Verdana" w:eastAsia="Calibri" w:hAnsi="Verdana" w:cs="Arial"/>
          <w:bCs/>
        </w:rPr>
      </w:pPr>
    </w:p>
    <w:p w14:paraId="30A235C1" w14:textId="3CF12987" w:rsidR="00976629" w:rsidRPr="00FF007A" w:rsidRDefault="00976629" w:rsidP="004252CC">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29"/>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30"/>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w:t>
      </w:r>
      <w:r w:rsidRPr="00FF007A">
        <w:rPr>
          <w:rFonts w:ascii="Verdana" w:eastAsia="Arial" w:hAnsi="Verdana" w:cs="Arial"/>
          <w:bCs/>
          <w:color w:val="000000" w:themeColor="text1"/>
        </w:rPr>
        <w:lastRenderedPageBreak/>
        <w:t>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59F4FF62" w14:textId="4233CC8B" w:rsidR="00976629" w:rsidRDefault="00976629" w:rsidP="00976629">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w:t>
      </w:r>
      <w:r w:rsidR="004252CC">
        <w:rPr>
          <w:rFonts w:ascii="Verdana" w:eastAsia="Times New Roman" w:hAnsi="Verdana" w:cs="Arial"/>
          <w:bCs/>
          <w:lang w:eastAsia="es-CO"/>
        </w:rPr>
        <w:t>r</w:t>
      </w:r>
      <w:r w:rsidRPr="00FF007A">
        <w:rPr>
          <w:rFonts w:ascii="Verdana" w:eastAsia="Times New Roman" w:hAnsi="Verdana" w:cs="Arial"/>
          <w:bCs/>
          <w:lang w:eastAsia="es-CO"/>
        </w:rPr>
        <w:t xml:space="preserve">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31"/>
      </w:r>
      <w:r w:rsidRPr="00FF007A">
        <w:rPr>
          <w:rFonts w:ascii="Verdana" w:eastAsia="Arial" w:hAnsi="Verdana" w:cs="Arial"/>
          <w:bCs/>
          <w:color w:val="000000" w:themeColor="text1"/>
        </w:rPr>
        <w:t xml:space="preserve">. Lo anterior, considerando que esta prohibición no fijó excepción alguna para su aplicación. </w:t>
      </w:r>
    </w:p>
    <w:p w14:paraId="26F63D60" w14:textId="77777777" w:rsidR="00976629" w:rsidRDefault="00976629" w:rsidP="0097662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4F9D5F7F" w14:textId="77777777" w:rsidR="00976629" w:rsidRPr="00B73655" w:rsidRDefault="00976629" w:rsidP="0097662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w:t>
      </w:r>
      <w:r w:rsidRPr="00FF007A">
        <w:rPr>
          <w:rFonts w:ascii="Verdana" w:hAnsi="Verdana" w:cs="Arial"/>
          <w:lang w:eastAsia="es-CO"/>
        </w:rPr>
        <w:lastRenderedPageBreak/>
        <w:t>contratación interadministrativa, es decir, aquellas que no se encuentren restringidas por el artículo 33 o el parágrafo del artículo 38 de la Ley 996 de 2005.</w:t>
      </w:r>
    </w:p>
    <w:p w14:paraId="636559E2" w14:textId="77777777" w:rsidR="00976629" w:rsidRPr="005F4C77" w:rsidRDefault="00976629" w:rsidP="00976629">
      <w:pPr>
        <w:spacing w:after="120" w:line="276" w:lineRule="auto"/>
        <w:ind w:firstLine="708"/>
        <w:jc w:val="both"/>
        <w:rPr>
          <w:rFonts w:ascii="Verdana" w:eastAsia="Times New Roman" w:hAnsi="Verdana" w:cs="Arial"/>
          <w:bCs/>
          <w:lang w:eastAsia="es-CO"/>
        </w:rPr>
      </w:pPr>
      <w:r w:rsidRPr="00FF007A">
        <w:rPr>
          <w:rFonts w:ascii="Verdana" w:eastAsia="Arial" w:hAnsi="Verdana" w:cs="Arial"/>
          <w:color w:val="000000" w:themeColor="text1"/>
        </w:rPr>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End w:id="0"/>
    </w:p>
    <w:p w14:paraId="42362FA2" w14:textId="77777777" w:rsidR="00976629" w:rsidRDefault="00976629" w:rsidP="00976629">
      <w:pPr>
        <w:tabs>
          <w:tab w:val="left" w:pos="142"/>
          <w:tab w:val="left" w:pos="284"/>
        </w:tabs>
        <w:spacing w:after="0" w:line="240" w:lineRule="auto"/>
        <w:rPr>
          <w:rFonts w:ascii="Verdana" w:eastAsia="Century Gothic" w:hAnsi="Verdana" w:cs="Century Gothic"/>
          <w:b/>
          <w:bCs/>
        </w:rPr>
      </w:pPr>
      <w:bookmarkStart w:id="4" w:name="_Hlk204854194"/>
      <w:r w:rsidRPr="00FF007A">
        <w:rPr>
          <w:rFonts w:ascii="Verdana" w:eastAsia="Century Gothic" w:hAnsi="Verdana" w:cs="Century Gothic"/>
          <w:b/>
          <w:bCs/>
        </w:rPr>
        <w:t>4. Referencias normativas:</w:t>
      </w:r>
      <w:bookmarkEnd w:id="4"/>
    </w:p>
    <w:p w14:paraId="33CE2F59" w14:textId="77777777" w:rsidR="00976629" w:rsidRPr="00861D2F" w:rsidRDefault="00976629" w:rsidP="00976629">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76629" w:rsidRPr="00FF007A" w14:paraId="354AD710" w14:textId="77777777" w:rsidTr="002D4FA2">
        <w:trPr>
          <w:trHeight w:val="1288"/>
          <w:jc w:val="center"/>
        </w:trPr>
        <w:tc>
          <w:tcPr>
            <w:tcW w:w="8647" w:type="dxa"/>
          </w:tcPr>
          <w:p w14:paraId="07FB267A" w14:textId="77777777" w:rsidR="00976629" w:rsidRPr="00D437AC"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Constitución Política</w:t>
            </w:r>
            <w:r>
              <w:rPr>
                <w:rFonts w:ascii="Verdana" w:eastAsia="Arial MT" w:hAnsi="Verdana" w:cs="Arial"/>
                <w:lang w:eastAsia="es-ES" w:bidi="es-ES"/>
              </w:rPr>
              <w:t>. A</w:t>
            </w:r>
            <w:r w:rsidRPr="00D437AC">
              <w:rPr>
                <w:rFonts w:ascii="Verdana" w:eastAsia="Arial MT" w:hAnsi="Verdana" w:cs="Arial"/>
                <w:lang w:eastAsia="es-ES" w:bidi="es-ES"/>
              </w:rPr>
              <w:t>rtículo 127.</w:t>
            </w:r>
          </w:p>
          <w:p w14:paraId="48FFD230" w14:textId="77777777" w:rsidR="00976629" w:rsidRPr="00D437AC" w:rsidRDefault="00976629" w:rsidP="00976629">
            <w:pPr>
              <w:pStyle w:val="Prrafodelista"/>
              <w:numPr>
                <w:ilvl w:val="0"/>
                <w:numId w:val="22"/>
              </w:numPr>
              <w:spacing w:line="276" w:lineRule="auto"/>
              <w:jc w:val="both"/>
              <w:rPr>
                <w:rFonts w:ascii="Verdana" w:hAnsi="Verdana" w:cs="Arial"/>
                <w:lang w:val="es-CO"/>
              </w:rPr>
            </w:pPr>
            <w:r w:rsidRPr="00D437AC">
              <w:rPr>
                <w:rFonts w:ascii="Verdana" w:hAnsi="Verdana" w:cs="Arial"/>
                <w:lang w:val="es-CO"/>
              </w:rPr>
              <w:t>Ley 80 de 1993</w:t>
            </w:r>
            <w:r>
              <w:rPr>
                <w:rFonts w:ascii="Verdana" w:hAnsi="Verdana" w:cs="Arial"/>
                <w:lang w:val="es-CO"/>
              </w:rPr>
              <w:t>. A</w:t>
            </w:r>
            <w:r w:rsidRPr="00D437AC">
              <w:rPr>
                <w:rFonts w:ascii="Verdana" w:hAnsi="Verdana" w:cs="Arial"/>
                <w:lang w:val="es-CO"/>
              </w:rPr>
              <w:t>rtículos 30 y 32.</w:t>
            </w:r>
          </w:p>
          <w:p w14:paraId="192F5A4D" w14:textId="77777777" w:rsidR="00976629" w:rsidRPr="00D437AC" w:rsidRDefault="00976629" w:rsidP="00976629">
            <w:pPr>
              <w:pStyle w:val="Prrafodelista"/>
              <w:numPr>
                <w:ilvl w:val="0"/>
                <w:numId w:val="22"/>
              </w:numPr>
              <w:spacing w:line="276" w:lineRule="auto"/>
              <w:jc w:val="both"/>
              <w:rPr>
                <w:rFonts w:ascii="Verdana" w:hAnsi="Verdana" w:cs="Arial"/>
                <w:lang w:val="es-CO"/>
              </w:rPr>
            </w:pPr>
            <w:r w:rsidRPr="00D437AC">
              <w:rPr>
                <w:rFonts w:ascii="Verdana" w:hAnsi="Verdana" w:cs="Arial"/>
                <w:color w:val="000000" w:themeColor="text1"/>
                <w:lang w:val="es-CO"/>
              </w:rPr>
              <w:t>Ley 100 de 1993</w:t>
            </w:r>
            <w:r>
              <w:rPr>
                <w:rFonts w:ascii="Verdana" w:hAnsi="Verdana" w:cs="Arial"/>
                <w:color w:val="000000" w:themeColor="text1"/>
                <w:lang w:val="es-CO"/>
              </w:rPr>
              <w:t>. A</w:t>
            </w:r>
            <w:r w:rsidRPr="00D437AC">
              <w:rPr>
                <w:rFonts w:ascii="Verdana" w:hAnsi="Verdana" w:cs="Arial"/>
                <w:color w:val="000000" w:themeColor="text1"/>
                <w:lang w:val="es-CO"/>
              </w:rPr>
              <w:t xml:space="preserve">rtículos </w:t>
            </w:r>
            <w:r>
              <w:rPr>
                <w:rFonts w:ascii="Verdana" w:hAnsi="Verdana" w:cs="Arial"/>
                <w:color w:val="000000" w:themeColor="text1"/>
                <w:lang w:val="es-CO"/>
              </w:rPr>
              <w:t>1</w:t>
            </w:r>
            <w:r w:rsidRPr="00D437AC">
              <w:rPr>
                <w:rFonts w:ascii="Verdana" w:hAnsi="Verdana" w:cs="Arial"/>
                <w:color w:val="000000" w:themeColor="text1"/>
                <w:lang w:val="es-CO"/>
              </w:rPr>
              <w:t>94 y 197.</w:t>
            </w:r>
          </w:p>
          <w:p w14:paraId="48A7EDCD" w14:textId="77777777" w:rsidR="00976629" w:rsidRPr="00D437AC"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bCs/>
                <w:lang w:eastAsia="es-ES" w:bidi="es-ES"/>
              </w:rPr>
              <w:t>Ley 996 de 2005</w:t>
            </w:r>
            <w:r>
              <w:rPr>
                <w:rFonts w:ascii="Verdana" w:eastAsia="Arial MT" w:hAnsi="Verdana" w:cs="Arial"/>
                <w:bCs/>
                <w:lang w:eastAsia="es-ES" w:bidi="es-ES"/>
              </w:rPr>
              <w:t>. Artículos</w:t>
            </w:r>
            <w:r w:rsidRPr="00D437AC">
              <w:rPr>
                <w:rFonts w:ascii="Verdana" w:eastAsia="Arial MT" w:hAnsi="Verdana" w:cs="Arial"/>
                <w:bCs/>
                <w:lang w:eastAsia="es-ES" w:bidi="es-ES"/>
              </w:rPr>
              <w:t xml:space="preserve"> 33 y 38.</w:t>
            </w:r>
          </w:p>
          <w:p w14:paraId="6D5AA34B" w14:textId="77777777" w:rsidR="00976629" w:rsidRPr="00D437AC" w:rsidRDefault="00976629" w:rsidP="00976629">
            <w:pPr>
              <w:pStyle w:val="Prrafodelista"/>
              <w:widowControl w:val="0"/>
              <w:numPr>
                <w:ilvl w:val="0"/>
                <w:numId w:val="22"/>
              </w:numPr>
              <w:autoSpaceDE w:val="0"/>
              <w:autoSpaceDN w:val="0"/>
              <w:spacing w:line="276" w:lineRule="auto"/>
              <w:jc w:val="both"/>
              <w:rPr>
                <w:rFonts w:ascii="Verdana" w:hAnsi="Verdana" w:cs="Arial"/>
                <w:lang w:val="es-CO"/>
              </w:rPr>
            </w:pPr>
            <w:r w:rsidRPr="00D437AC">
              <w:rPr>
                <w:rFonts w:ascii="Verdana" w:eastAsia="Arial" w:hAnsi="Verdana" w:cs="Arial"/>
                <w:bCs/>
                <w:color w:val="000000" w:themeColor="text1"/>
                <w:lang w:val="es-CO"/>
              </w:rPr>
              <w:t>Decreto 780 de 2016</w:t>
            </w:r>
            <w:r>
              <w:rPr>
                <w:rFonts w:ascii="Verdana" w:eastAsia="Arial" w:hAnsi="Verdana" w:cs="Arial"/>
                <w:bCs/>
                <w:color w:val="000000" w:themeColor="text1"/>
                <w:lang w:val="es-CO"/>
              </w:rPr>
              <w:t>. A</w:t>
            </w:r>
            <w:r w:rsidRPr="00D437AC">
              <w:rPr>
                <w:rFonts w:ascii="Verdana" w:eastAsia="Arial" w:hAnsi="Verdana" w:cs="Arial"/>
                <w:bCs/>
                <w:color w:val="000000" w:themeColor="text1"/>
                <w:lang w:val="es-CO"/>
              </w:rPr>
              <w:t>rtículos 2.8.8.1.4.2, 2.8.8.1.1.3.</w:t>
            </w:r>
          </w:p>
          <w:p w14:paraId="49375B92" w14:textId="77777777" w:rsidR="00976629" w:rsidRPr="00D437AC"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D437AC">
              <w:rPr>
                <w:rFonts w:ascii="Verdana" w:eastAsia="Times New Roman" w:hAnsi="Verdana" w:cs="Times New Roman"/>
                <w:lang w:eastAsia="es-MX"/>
              </w:rPr>
              <w:t>Ley 1150 de 2007</w:t>
            </w:r>
            <w:r>
              <w:rPr>
                <w:rFonts w:ascii="Verdana" w:eastAsia="Times New Roman" w:hAnsi="Verdana" w:cs="Times New Roman"/>
                <w:lang w:eastAsia="es-MX"/>
              </w:rPr>
              <w:t>. A</w:t>
            </w:r>
            <w:r w:rsidRPr="00D437AC">
              <w:rPr>
                <w:rFonts w:ascii="Verdana" w:eastAsia="Arial MT" w:hAnsi="Verdana" w:cs="Arial"/>
                <w:lang w:eastAsia="es-ES" w:bidi="es-ES"/>
              </w:rPr>
              <w:t>rtículo</w:t>
            </w:r>
            <w:r>
              <w:rPr>
                <w:rFonts w:ascii="Verdana" w:eastAsia="Arial MT" w:hAnsi="Verdana" w:cs="Arial"/>
                <w:lang w:eastAsia="es-ES" w:bidi="es-ES"/>
              </w:rPr>
              <w:t>s</w:t>
            </w:r>
            <w:r w:rsidRPr="00D437AC">
              <w:rPr>
                <w:rFonts w:ascii="Verdana" w:eastAsia="Arial MT" w:hAnsi="Verdana" w:cs="Arial"/>
                <w:lang w:eastAsia="es-ES" w:bidi="es-ES"/>
              </w:rPr>
              <w:t xml:space="preserve"> 2, numeral 4. </w:t>
            </w:r>
          </w:p>
          <w:p w14:paraId="6BC0DC75" w14:textId="77777777" w:rsidR="00976629" w:rsidRPr="00D437AC"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Decreto 1082 de 2015</w:t>
            </w:r>
            <w:r>
              <w:rPr>
                <w:rFonts w:ascii="Verdana" w:eastAsia="Arial MT" w:hAnsi="Verdana" w:cs="Arial"/>
                <w:lang w:eastAsia="es-ES" w:bidi="es-ES"/>
              </w:rPr>
              <w:t>. A</w:t>
            </w:r>
            <w:r w:rsidRPr="00D437AC">
              <w:rPr>
                <w:rFonts w:ascii="Verdana" w:eastAsia="Arial MT" w:hAnsi="Verdana" w:cs="Arial"/>
                <w:lang w:eastAsia="es-ES" w:bidi="es-ES"/>
              </w:rPr>
              <w:t>rtículo 2.2.1.2.1.4.4.</w:t>
            </w:r>
          </w:p>
          <w:p w14:paraId="60D66E56" w14:textId="77777777" w:rsidR="00976629"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Resolución 1597 de 2025. Artículo</w:t>
            </w:r>
            <w:r>
              <w:rPr>
                <w:rFonts w:ascii="Verdana" w:eastAsia="Arial MT" w:hAnsi="Verdana" w:cs="Arial"/>
                <w:lang w:eastAsia="es-ES" w:bidi="es-ES"/>
              </w:rPr>
              <w:t>s</w:t>
            </w:r>
            <w:r w:rsidRPr="00D437AC">
              <w:rPr>
                <w:rFonts w:ascii="Verdana" w:eastAsia="Arial MT" w:hAnsi="Verdana" w:cs="Arial"/>
                <w:lang w:eastAsia="es-ES" w:bidi="es-ES"/>
              </w:rPr>
              <w:t xml:space="preserve"> 10 y 12. </w:t>
            </w:r>
          </w:p>
          <w:p w14:paraId="1D53C092"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w:hAnsi="Verdana" w:cs="Arial"/>
                <w:bCs/>
                <w:color w:val="000000" w:themeColor="text1"/>
              </w:rPr>
              <w:t xml:space="preserve">Resolución 04 del 12 de enero de 2018. </w:t>
            </w:r>
          </w:p>
          <w:p w14:paraId="310F6706"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36F01DAF"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34AF8782"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4CEE6443"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Concepto del 02 </w:t>
            </w:r>
            <w:r w:rsidRPr="00A04FD5">
              <w:rPr>
                <w:rFonts w:ascii="Verdana" w:eastAsia="Arial MT" w:hAnsi="Verdana" w:cs="Arial"/>
                <w:lang w:eastAsia="es-ES" w:bidi="es-ES"/>
              </w:rPr>
              <w:lastRenderedPageBreak/>
              <w:t>de septiembre de 2013. Rad. 11001-03-06-000-2013-00412-00 (2168). C.P. Álvaro Namén Vargas.</w:t>
            </w:r>
          </w:p>
          <w:p w14:paraId="7089369A"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Concepto del 08 de mayo de 2018. </w:t>
            </w:r>
            <w:proofErr w:type="spellStart"/>
            <w:r w:rsidRPr="00A04FD5">
              <w:rPr>
                <w:rFonts w:ascii="Verdana" w:eastAsia="Arial MT" w:hAnsi="Verdana" w:cs="Arial"/>
                <w:lang w:eastAsia="es-ES" w:bidi="es-ES"/>
              </w:rPr>
              <w:t>Exp</w:t>
            </w:r>
            <w:proofErr w:type="spellEnd"/>
            <w:r w:rsidRPr="00A04FD5">
              <w:rPr>
                <w:rFonts w:ascii="Verdana" w:eastAsia="Arial MT" w:hAnsi="Verdana" w:cs="Arial"/>
                <w:lang w:eastAsia="es-ES" w:bidi="es-ES"/>
              </w:rPr>
              <w:t>. 2.382. C.P. Álvaro Namén Vargas.</w:t>
            </w:r>
          </w:p>
          <w:p w14:paraId="5B00B119"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4496EF5D"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6D69901C"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lo Contencioso Administrativo. Sección Tercera. Auto del 4 de octubre de 2024. </w:t>
            </w:r>
            <w:proofErr w:type="spellStart"/>
            <w:r w:rsidRPr="00A04FD5">
              <w:rPr>
                <w:rFonts w:ascii="Verdana" w:eastAsia="Arial MT" w:hAnsi="Verdana" w:cs="Arial"/>
                <w:lang w:eastAsia="es-ES" w:bidi="es-ES"/>
              </w:rPr>
              <w:t>Exp</w:t>
            </w:r>
            <w:proofErr w:type="spellEnd"/>
            <w:r w:rsidRPr="00A04FD5">
              <w:rPr>
                <w:rFonts w:ascii="Verdana" w:eastAsia="Arial MT" w:hAnsi="Verdana" w:cs="Arial"/>
                <w:lang w:eastAsia="es-ES" w:bidi="es-ES"/>
              </w:rPr>
              <w:t>. 70.313. C.P: Fredy Ibarra Martínez.</w:t>
            </w:r>
          </w:p>
          <w:p w14:paraId="05CA6D66" w14:textId="77777777" w:rsidR="00976629" w:rsidRPr="00A04FD5" w:rsidRDefault="00976629" w:rsidP="00976629">
            <w:pPr>
              <w:widowControl w:val="0"/>
              <w:numPr>
                <w:ilvl w:val="0"/>
                <w:numId w:val="22"/>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12 de junio de 2018. Radicación Interna: 11001</w:t>
            </w:r>
            <w:r w:rsidRPr="00D437AC">
              <w:rPr>
                <w:rFonts w:ascii="Verdana" w:eastAsia="Arial MT" w:hAnsi="Verdana" w:cs="Arial"/>
                <w:lang w:eastAsia="es-ES" w:bidi="es-ES"/>
              </w:rPr>
              <w:t>-03-06-000-2018-0043-00. (</w:t>
            </w:r>
            <w:r w:rsidRPr="00A04FD5">
              <w:rPr>
                <w:rFonts w:ascii="Verdana" w:eastAsia="Arial MT" w:hAnsi="Verdana" w:cs="Arial"/>
                <w:lang w:eastAsia="es-ES" w:bidi="es-ES"/>
              </w:rPr>
              <w:t>2371). Consejero Ponente: Oscar Darío Amaya Navas.</w:t>
            </w:r>
          </w:p>
          <w:p w14:paraId="41D392D5"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Corte Constitucional. Sentencia C-1153 de 2005 M.P. Marco Gerardo Monroy Cabra.</w:t>
            </w:r>
          </w:p>
          <w:p w14:paraId="6CB4D8BB"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C-233 de 4 de abril de 2002. M.P: Álvaro Tafur Galvis. </w:t>
            </w:r>
          </w:p>
          <w:p w14:paraId="70EB7897"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C-551 de 9 de julio de 2003. M.P: Eduardo Montealegre Lynett. </w:t>
            </w:r>
          </w:p>
          <w:p w14:paraId="147E2009"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C-652 de 5 de agosto de 2003. M.P: Jaime Córdoba Triviño. </w:t>
            </w:r>
          </w:p>
          <w:p w14:paraId="459FB164"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C-353 de 20 de mayo de 2009. M.P: Jorge Iván Palacio </w:t>
            </w:r>
            <w:proofErr w:type="spellStart"/>
            <w:r w:rsidRPr="00A04FD5">
              <w:rPr>
                <w:rFonts w:ascii="Verdana" w:eastAsia="Arial MT" w:hAnsi="Verdana" w:cs="Arial"/>
                <w:lang w:val="es-CO" w:eastAsia="es-ES" w:bidi="es-ES"/>
              </w:rPr>
              <w:t>Palacio</w:t>
            </w:r>
            <w:proofErr w:type="spellEnd"/>
            <w:r w:rsidRPr="00A04FD5">
              <w:rPr>
                <w:rFonts w:ascii="Verdana" w:eastAsia="Arial MT" w:hAnsi="Verdana" w:cs="Arial"/>
                <w:lang w:val="es-CO" w:eastAsia="es-ES" w:bidi="es-ES"/>
              </w:rPr>
              <w:t xml:space="preserve">. </w:t>
            </w:r>
          </w:p>
          <w:p w14:paraId="1A65250B" w14:textId="77777777" w:rsidR="00976629" w:rsidRPr="00A04FD5" w:rsidRDefault="00976629" w:rsidP="00976629">
            <w:pPr>
              <w:pStyle w:val="Prrafodelista"/>
              <w:numPr>
                <w:ilvl w:val="0"/>
                <w:numId w:val="22"/>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Corte Constitucional. Sentencia C-541 de 30 de junio de 2010, M.P: Gabriel Eduardo Mendoza Martelo.</w:t>
            </w:r>
          </w:p>
        </w:tc>
      </w:tr>
    </w:tbl>
    <w:p w14:paraId="13293FE8" w14:textId="77777777" w:rsidR="00976629" w:rsidRPr="00FF007A" w:rsidRDefault="00976629" w:rsidP="00976629">
      <w:pPr>
        <w:widowControl w:val="0"/>
        <w:autoSpaceDE w:val="0"/>
        <w:autoSpaceDN w:val="0"/>
        <w:spacing w:after="0" w:line="276" w:lineRule="auto"/>
        <w:jc w:val="both"/>
        <w:rPr>
          <w:rFonts w:ascii="Verdana" w:hAnsi="Verdana" w:cs="Arial"/>
        </w:rPr>
      </w:pPr>
    </w:p>
    <w:p w14:paraId="30855883" w14:textId="77777777" w:rsidR="00976629" w:rsidRPr="00FF007A" w:rsidRDefault="00976629" w:rsidP="00976629">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06A15A08" w14:textId="77777777" w:rsidR="00976629" w:rsidRDefault="00976629" w:rsidP="00976629">
      <w:pPr>
        <w:widowControl w:val="0"/>
        <w:autoSpaceDE w:val="0"/>
        <w:autoSpaceDN w:val="0"/>
        <w:spacing w:after="0" w:line="276" w:lineRule="auto"/>
        <w:jc w:val="both"/>
        <w:rPr>
          <w:rFonts w:ascii="Verdana" w:hAnsi="Verdana" w:cs="Arial"/>
          <w:shd w:val="clear" w:color="auto" w:fill="FFFFFF"/>
          <w:lang w:val="es-ES"/>
        </w:rPr>
      </w:pPr>
    </w:p>
    <w:p w14:paraId="7707A079" w14:textId="50658037" w:rsidR="00976629" w:rsidRPr="004252CC" w:rsidRDefault="00976629" w:rsidP="00976629">
      <w:pPr>
        <w:widowControl w:val="0"/>
        <w:autoSpaceDE w:val="0"/>
        <w:autoSpaceDN w:val="0"/>
        <w:spacing w:after="0" w:line="276" w:lineRule="auto"/>
        <w:jc w:val="both"/>
        <w:rPr>
          <w:rFonts w:ascii="Verdana" w:hAnsi="Verdana" w:cs="Arial"/>
        </w:rPr>
      </w:pPr>
      <w:r w:rsidRPr="00FF007A">
        <w:rPr>
          <w:rFonts w:ascii="Verdana" w:eastAsia="Calibri" w:hAnsi="Verdana" w:cs="Arial"/>
        </w:rPr>
        <w:t xml:space="preserve">La Agencia Nacional de Contratación Pública – Colombia Compra Eficiente se ha referido </w:t>
      </w:r>
      <w:r w:rsidRPr="00FF007A">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w:t>
      </w:r>
      <w:r w:rsidRPr="00FF007A">
        <w:rPr>
          <w:rFonts w:ascii="Verdana" w:hAnsi="Verdana" w:cs="Arial"/>
          <w:shd w:val="clear" w:color="auto" w:fill="FFFFFF"/>
        </w:rPr>
        <w:lastRenderedPageBreak/>
        <w:t>de 2021, C-456 del 3 de septiembre, C-481 del 9 de septiembre de 2021, C- 528 del 27 de septiembre de 2021, C-550 del 5 de octubre de 2021</w:t>
      </w:r>
      <w:r>
        <w:rPr>
          <w:rFonts w:ascii="Verdana" w:hAnsi="Verdana" w:cs="Arial"/>
          <w:shd w:val="clear" w:color="auto" w:fill="FFFFFF"/>
        </w:rPr>
        <w:t xml:space="preserve">, </w:t>
      </w:r>
      <w:r w:rsidRPr="00FF007A">
        <w:rPr>
          <w:rFonts w:ascii="Verdana" w:hAnsi="Verdana" w:cs="Arial"/>
          <w:shd w:val="clear" w:color="auto" w:fill="FFFFFF"/>
        </w:rPr>
        <w:t>C-523 del 10 de octubre de 2021, C-606 del 28 de octubre de 2021</w:t>
      </w:r>
      <w:r>
        <w:rPr>
          <w:rFonts w:ascii="Verdana" w:hAnsi="Verdana" w:cs="Arial"/>
          <w:shd w:val="clear" w:color="auto" w:fill="FFFFFF"/>
        </w:rPr>
        <w:t>,</w:t>
      </w:r>
      <w:r w:rsidRPr="00FF007A">
        <w:rPr>
          <w:rFonts w:ascii="Verdana" w:hAnsi="Verdana" w:cs="Arial"/>
          <w:shd w:val="clear" w:color="auto" w:fill="FFFFFF"/>
        </w:rPr>
        <w:t xml:space="preserve"> C-614 del 2 de noviembre de 2021, C-636 del 16 de noviembre de 2021, </w:t>
      </w:r>
      <w:r>
        <w:rPr>
          <w:rFonts w:ascii="Verdana" w:hAnsi="Verdana" w:cs="Arial"/>
          <w:shd w:val="clear" w:color="auto" w:fill="FFFFFF"/>
        </w:rPr>
        <w:t>C-</w:t>
      </w:r>
      <w:r w:rsidRPr="00FF007A">
        <w:rPr>
          <w:rFonts w:ascii="Verdana" w:hAnsi="Verdana" w:cs="Arial"/>
          <w:shd w:val="clear" w:color="auto" w:fill="FFFFFF"/>
        </w:rPr>
        <w:t xml:space="preserve">681 del 7 de diciembre de 2021, C-686 del 21 de diciembre de 2021, C-697 del 3 de enero de 2022, C-180 del 21 de marzo de 2025, C-317 del 25 de abril de 2025, C-510 del 4 de junio de 2025, C -635 del 27 de junio de 2025, C–750 de 17 de julio 2025, </w:t>
      </w:r>
      <w:r>
        <w:rPr>
          <w:rFonts w:ascii="Verdana" w:hAnsi="Verdana" w:cs="Arial"/>
          <w:shd w:val="clear" w:color="auto" w:fill="FFFFFF"/>
        </w:rPr>
        <w:t xml:space="preserve">C-868 del 12 de agosto de 2025, </w:t>
      </w:r>
      <w:r w:rsidRPr="00FF007A">
        <w:rPr>
          <w:rFonts w:ascii="Verdana" w:hAnsi="Verdana" w:cs="Arial"/>
          <w:shd w:val="clear" w:color="auto" w:fill="FFFFFF"/>
        </w:rPr>
        <w:t>entre otros. Sobre la aplicación de esta ley y la contratación del PIC se refirió en los conceptos C‒044 del 04 de marzo de 2022, C‒158 del 04 de abril de 2022</w:t>
      </w:r>
      <w:r>
        <w:rPr>
          <w:rFonts w:ascii="Verdana" w:hAnsi="Verdana" w:cs="Arial"/>
          <w:shd w:val="clear" w:color="auto" w:fill="FFFFFF"/>
        </w:rPr>
        <w:t xml:space="preserve">, </w:t>
      </w:r>
      <w:r w:rsidRPr="00FF007A">
        <w:rPr>
          <w:rFonts w:ascii="Verdana" w:hAnsi="Verdana" w:cs="Arial"/>
          <w:shd w:val="clear" w:color="auto" w:fill="FFFFFF"/>
        </w:rPr>
        <w:t>C‒364 del 20 de mayo de 2022</w:t>
      </w:r>
      <w:r w:rsidRPr="00FF007A">
        <w:rPr>
          <w:rFonts w:ascii="Verdana" w:hAnsi="Verdana" w:cs="Arial"/>
        </w:rPr>
        <w:t>,</w:t>
      </w:r>
      <w:r>
        <w:rPr>
          <w:rFonts w:ascii="Verdana" w:hAnsi="Verdana" w:cs="Arial"/>
        </w:rPr>
        <w:t xml:space="preserve"> C-979 de 25 de agosto de 2025,</w:t>
      </w:r>
      <w:r w:rsidRPr="00FF007A">
        <w:rPr>
          <w:rFonts w:ascii="Verdana" w:hAnsi="Verdana" w:cs="Arial"/>
        </w:rPr>
        <w:t xml:space="preserve"> </w:t>
      </w:r>
      <w:r>
        <w:rPr>
          <w:rFonts w:ascii="Verdana" w:hAnsi="Verdana" w:cs="Arial"/>
        </w:rPr>
        <w:t>C-1124 del 16 de septiembre de 2025</w:t>
      </w:r>
      <w:r w:rsidR="004252CC">
        <w:rPr>
          <w:rFonts w:ascii="Verdana" w:hAnsi="Verdana" w:cs="Arial"/>
        </w:rPr>
        <w:t>. C-1401 de 2025</w:t>
      </w:r>
      <w:r>
        <w:rPr>
          <w:rFonts w:ascii="Verdana" w:hAnsi="Verdana" w:cs="Arial"/>
        </w:rPr>
        <w:t xml:space="preserve">, </w:t>
      </w:r>
      <w:r w:rsidRPr="009F635A">
        <w:rPr>
          <w:rFonts w:ascii="Verdana" w:hAnsi="Verdana" w:cs="Arial"/>
          <w:shd w:val="clear" w:color="auto" w:fill="FFFFFF"/>
          <w:lang w:val="es-ES"/>
        </w:rPr>
        <w:t>entre otros</w:t>
      </w:r>
      <w:r w:rsidRPr="009F635A">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14:paraId="7AA42B4E" w14:textId="77777777" w:rsidR="00976629" w:rsidRDefault="00976629" w:rsidP="00976629">
      <w:pPr>
        <w:widowControl w:val="0"/>
        <w:autoSpaceDE w:val="0"/>
        <w:autoSpaceDN w:val="0"/>
        <w:spacing w:after="0" w:line="276" w:lineRule="auto"/>
        <w:jc w:val="both"/>
        <w:rPr>
          <w:rFonts w:ascii="Verdana" w:hAnsi="Verdana" w:cs="Arial"/>
          <w:color w:val="000000" w:themeColor="text1"/>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77905074" w14:textId="77777777" w:rsidR="00976629" w:rsidRDefault="00976629" w:rsidP="00976629">
      <w:pPr>
        <w:widowControl w:val="0"/>
        <w:autoSpaceDE w:val="0"/>
        <w:autoSpaceDN w:val="0"/>
        <w:spacing w:after="0" w:line="276" w:lineRule="auto"/>
        <w:jc w:val="both"/>
        <w:rPr>
          <w:rFonts w:ascii="Verdana" w:hAnsi="Verdana" w:cs="Arial"/>
          <w:color w:val="000000" w:themeColor="text1"/>
          <w:shd w:val="clear" w:color="auto" w:fill="FFFFFF"/>
        </w:rPr>
      </w:pPr>
    </w:p>
    <w:p w14:paraId="7A83C33F" w14:textId="77777777" w:rsidR="00976629" w:rsidRPr="009A385A" w:rsidRDefault="00976629" w:rsidP="00976629">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2BE62E64" w14:textId="77777777" w:rsidR="00976629" w:rsidRDefault="00976629" w:rsidP="00976629">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071E382A" w14:textId="1A21B508" w:rsidR="00976629" w:rsidRDefault="00976629" w:rsidP="00976629">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 xml:space="preserve">Guía para la comprensión e implementación de los </w:t>
      </w:r>
      <w:r w:rsidRPr="009A385A">
        <w:rPr>
          <w:rFonts w:ascii="Verdana" w:hAnsi="Verdana"/>
          <w:b/>
          <w:bCs/>
        </w:rPr>
        <w:lastRenderedPageBreak/>
        <w:t>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D5D5B3B" w14:textId="77777777" w:rsidR="00976629" w:rsidRPr="00FF007A" w:rsidRDefault="00976629" w:rsidP="00976629">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0BEEEA5" w14:textId="77777777" w:rsidR="001611D3" w:rsidRPr="00FF26FC" w:rsidRDefault="001611D3" w:rsidP="001611D3">
      <w:pPr>
        <w:widowControl w:val="0"/>
        <w:autoSpaceDE w:val="0"/>
        <w:autoSpaceDN w:val="0"/>
        <w:spacing w:after="0" w:line="276" w:lineRule="auto"/>
        <w:jc w:val="both"/>
        <w:rPr>
          <w:rFonts w:ascii="Verdana" w:hAnsi="Verdana" w:cs="Arial"/>
          <w:lang w:val="es-ES_tradnl"/>
        </w:rPr>
      </w:pPr>
      <w:r w:rsidRPr="00FF26FC">
        <w:rPr>
          <w:rFonts w:ascii="Verdana" w:hAnsi="Verdana" w:cs="Arial"/>
        </w:rPr>
        <w:t xml:space="preserve">Este concepto tiene el alcance previsto en el artículo 28 del Código de Procedimiento Administrativo y de lo Contencioso Administrativo </w:t>
      </w:r>
      <w:r w:rsidRPr="00FF26FC">
        <w:rPr>
          <w:rFonts w:ascii="Verdana" w:hAnsi="Verdana" w:cs="Arial"/>
          <w:lang w:val="es-ES_tradnl"/>
        </w:rPr>
        <w:t>y las expresiones aquí utilizadas con mayúscula inicial deben ser entendidas con el significado que les otorga el artículo 2.2.1.1.1.3.1. del Decreto 1082 de 2015.</w:t>
      </w:r>
    </w:p>
    <w:p w14:paraId="67D611B9" w14:textId="77777777" w:rsidR="001611D3" w:rsidRPr="00FF26FC" w:rsidRDefault="001611D3" w:rsidP="001611D3">
      <w:pPr>
        <w:widowControl w:val="0"/>
        <w:autoSpaceDE w:val="0"/>
        <w:autoSpaceDN w:val="0"/>
        <w:spacing w:after="0" w:line="276" w:lineRule="auto"/>
        <w:jc w:val="both"/>
        <w:rPr>
          <w:rFonts w:ascii="Verdana" w:hAnsi="Verdana" w:cs="Arial"/>
        </w:rPr>
      </w:pPr>
    </w:p>
    <w:p w14:paraId="1A72C1B2" w14:textId="77777777" w:rsidR="001611D3" w:rsidRPr="00FF26FC" w:rsidRDefault="001611D3" w:rsidP="001611D3">
      <w:pPr>
        <w:spacing w:after="0" w:line="276" w:lineRule="auto"/>
        <w:rPr>
          <w:rFonts w:ascii="Verdana" w:hAnsi="Verdana" w:cs="Arial"/>
          <w:lang w:eastAsia="es-CO"/>
        </w:rPr>
      </w:pPr>
      <w:r w:rsidRPr="00FF26FC">
        <w:rPr>
          <w:rFonts w:ascii="Verdana" w:eastAsia="Times New Roman" w:hAnsi="Verdana" w:cs="Arial"/>
          <w:lang w:eastAsia="es-CO"/>
        </w:rPr>
        <w:t>Atentamente,</w:t>
      </w:r>
      <w:r w:rsidRPr="00FF26FC">
        <w:rPr>
          <w:rFonts w:ascii="Verdana" w:hAnsi="Verdana" w:cs="Arial"/>
          <w:lang w:eastAsia="es-CO"/>
        </w:rPr>
        <w:t xml:space="preserve"> </w:t>
      </w:r>
    </w:p>
    <w:p w14:paraId="48059430" w14:textId="3F7D9B30" w:rsidR="001611D3" w:rsidRPr="001611D3" w:rsidRDefault="001611D3" w:rsidP="001611D3">
      <w:pPr>
        <w:tabs>
          <w:tab w:val="left" w:pos="142"/>
          <w:tab w:val="left" w:pos="284"/>
        </w:tabs>
        <w:spacing w:after="0" w:line="276" w:lineRule="auto"/>
        <w:jc w:val="both"/>
        <w:rPr>
          <w:rFonts w:ascii="Verdana" w:eastAsia="Century Gothic" w:hAnsi="Verdana" w:cs="Century Gothic"/>
          <w:b/>
          <w:bCs/>
        </w:rPr>
      </w:pPr>
    </w:p>
    <w:p w14:paraId="2C8913D6" w14:textId="163AF4EC" w:rsidR="00FF4E35" w:rsidRDefault="00BC4DDA" w:rsidP="00FF4E35">
      <w:pPr>
        <w:spacing w:after="0" w:line="276" w:lineRule="auto"/>
        <w:jc w:val="center"/>
        <w:rPr>
          <w:rFonts w:ascii="Verdana" w:hAnsi="Verdana"/>
          <w:lang w:val="es-ES_tradnl"/>
        </w:rPr>
      </w:pPr>
      <w:r>
        <w:rPr>
          <w:rFonts w:ascii="Verdana" w:hAnsi="Verdana"/>
          <w:noProof/>
          <w:lang w:val="es-ES_tradnl"/>
        </w:rPr>
        <w:drawing>
          <wp:inline distT="0" distB="0" distL="0" distR="0" wp14:anchorId="6ED2C1CC" wp14:editId="1DE9E8B0">
            <wp:extent cx="3639058" cy="1343212"/>
            <wp:effectExtent l="0" t="0" r="0" b="0"/>
            <wp:docPr id="46862358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623584"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E35" w:rsidRPr="00D53651" w14:paraId="6D4D1759" w14:textId="77777777" w:rsidTr="00054434">
        <w:trPr>
          <w:trHeight w:val="315"/>
        </w:trPr>
        <w:tc>
          <w:tcPr>
            <w:tcW w:w="893" w:type="dxa"/>
            <w:vAlign w:val="center"/>
            <w:hideMark/>
          </w:tcPr>
          <w:p w14:paraId="21CAD50E"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D5C4B88"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Gloria Elizabeth Arango Builes</w:t>
            </w:r>
          </w:p>
          <w:p w14:paraId="58CA8B41"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FF4E35" w:rsidRPr="00D53651" w14:paraId="74E33B9B" w14:textId="77777777" w:rsidTr="00054434">
        <w:trPr>
          <w:trHeight w:val="330"/>
        </w:trPr>
        <w:tc>
          <w:tcPr>
            <w:tcW w:w="893" w:type="dxa"/>
            <w:vAlign w:val="center"/>
            <w:hideMark/>
          </w:tcPr>
          <w:p w14:paraId="4185B043"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0C7C8CA" w14:textId="4B55A3C8" w:rsidR="00FF4E35" w:rsidRPr="00D53651" w:rsidRDefault="00E83B4A" w:rsidP="00054434">
            <w:pPr>
              <w:spacing w:line="276" w:lineRule="auto"/>
              <w:jc w:val="both"/>
              <w:rPr>
                <w:rFonts w:ascii="Verdana" w:hAnsi="Verdana"/>
                <w:sz w:val="16"/>
                <w:szCs w:val="16"/>
              </w:rPr>
            </w:pPr>
            <w:r>
              <w:rPr>
                <w:rFonts w:ascii="Verdana" w:hAnsi="Verdana"/>
                <w:sz w:val="16"/>
                <w:szCs w:val="16"/>
              </w:rPr>
              <w:t xml:space="preserve">Alejandro Sarmiento Cantillo </w:t>
            </w:r>
          </w:p>
          <w:p w14:paraId="4B6ECE0A" w14:textId="2B4ADFC8" w:rsidR="00FF4E35" w:rsidRPr="00D53651" w:rsidRDefault="00E83B4A" w:rsidP="00054434">
            <w:pPr>
              <w:spacing w:line="276" w:lineRule="auto"/>
              <w:jc w:val="both"/>
              <w:rPr>
                <w:rFonts w:ascii="Verdana" w:hAnsi="Verdana"/>
                <w:sz w:val="16"/>
                <w:szCs w:val="16"/>
              </w:rPr>
            </w:pPr>
            <w:r w:rsidRPr="00E83B4A">
              <w:rPr>
                <w:rFonts w:ascii="Verdana" w:hAnsi="Verdana"/>
                <w:sz w:val="16"/>
                <w:szCs w:val="16"/>
                <w:lang w:val="es-ES"/>
              </w:rPr>
              <w:t>Gestor T1 ‒ 15 de la Subdirección de Gestión Contractual</w:t>
            </w:r>
            <w:r w:rsidRPr="00E83B4A">
              <w:rPr>
                <w:rFonts w:ascii="Verdana" w:hAnsi="Verdana"/>
                <w:sz w:val="16"/>
                <w:szCs w:val="16"/>
              </w:rPr>
              <w:t> </w:t>
            </w:r>
          </w:p>
        </w:tc>
      </w:tr>
      <w:tr w:rsidR="00FF4E35" w:rsidRPr="00D53651" w14:paraId="2B500943" w14:textId="77777777" w:rsidTr="00054434">
        <w:trPr>
          <w:trHeight w:val="300"/>
        </w:trPr>
        <w:tc>
          <w:tcPr>
            <w:tcW w:w="893" w:type="dxa"/>
            <w:vAlign w:val="center"/>
            <w:hideMark/>
          </w:tcPr>
          <w:p w14:paraId="4C72B1AD"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7172A2A"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EB971CF"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801AF1" w14:textId="77777777" w:rsidR="00FF4E35" w:rsidRPr="000931E9" w:rsidRDefault="00FF4E35" w:rsidP="00FF4E35"/>
    <w:sectPr w:rsidR="00FF4E35" w:rsidRPr="000931E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4BA9C" w14:textId="77777777" w:rsidR="00AF4E1B" w:rsidRDefault="00AF4E1B" w:rsidP="004A1847">
      <w:pPr>
        <w:spacing w:after="0" w:line="240" w:lineRule="auto"/>
      </w:pPr>
      <w:r>
        <w:separator/>
      </w:r>
    </w:p>
  </w:endnote>
  <w:endnote w:type="continuationSeparator" w:id="0">
    <w:p w14:paraId="3ECABE1F" w14:textId="77777777" w:rsidR="00AF4E1B" w:rsidRDefault="00AF4E1B" w:rsidP="004A1847">
      <w:pPr>
        <w:spacing w:after="0" w:line="240" w:lineRule="auto"/>
      </w:pPr>
      <w:r>
        <w:continuationSeparator/>
      </w:r>
    </w:p>
  </w:endnote>
  <w:endnote w:type="continuationNotice" w:id="1">
    <w:p w14:paraId="450EBB63" w14:textId="77777777" w:rsidR="00AF4E1B" w:rsidRDefault="00AF4E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0323F" w14:textId="77777777" w:rsidR="00AF4E1B" w:rsidRDefault="00AF4E1B" w:rsidP="004A1847">
      <w:pPr>
        <w:spacing w:after="0" w:line="240" w:lineRule="auto"/>
      </w:pPr>
      <w:r>
        <w:separator/>
      </w:r>
    </w:p>
  </w:footnote>
  <w:footnote w:type="continuationSeparator" w:id="0">
    <w:p w14:paraId="1D102506" w14:textId="77777777" w:rsidR="00AF4E1B" w:rsidRDefault="00AF4E1B" w:rsidP="004A1847">
      <w:pPr>
        <w:spacing w:after="0" w:line="240" w:lineRule="auto"/>
      </w:pPr>
      <w:r>
        <w:continuationSeparator/>
      </w:r>
    </w:p>
  </w:footnote>
  <w:footnote w:type="continuationNotice" w:id="1">
    <w:p w14:paraId="4C549A7F" w14:textId="77777777" w:rsidR="00AF4E1B" w:rsidRDefault="00AF4E1B">
      <w:pPr>
        <w:spacing w:after="0" w:line="240" w:lineRule="auto"/>
      </w:pPr>
    </w:p>
  </w:footnote>
  <w:footnote w:id="2">
    <w:p w14:paraId="7181B435" w14:textId="77777777" w:rsidR="00976629" w:rsidRPr="00FF007A"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7EB43ED" w14:textId="77777777" w:rsidR="00976629" w:rsidRPr="00FF007A" w:rsidRDefault="00976629" w:rsidP="00976629">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37999984"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3">
    <w:p w14:paraId="1AA31C32" w14:textId="77777777" w:rsidR="00976629" w:rsidRPr="00FF007A"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p w14:paraId="7E7D6953"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4">
    <w:p w14:paraId="2C3E9A14" w14:textId="77777777" w:rsidR="00976629"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Corte Constitucional</w:t>
      </w:r>
      <w:r>
        <w:rPr>
          <w:rFonts w:ascii="Verdana" w:hAnsi="Verdana" w:cs="Arial"/>
          <w:sz w:val="16"/>
          <w:szCs w:val="16"/>
          <w:lang w:val="es-CO"/>
        </w:rPr>
        <w:t>.</w:t>
      </w:r>
      <w:r w:rsidRPr="00FF007A">
        <w:rPr>
          <w:rFonts w:ascii="Verdana" w:hAnsi="Verdana" w:cs="Arial"/>
          <w:sz w:val="16"/>
          <w:szCs w:val="16"/>
          <w:lang w:val="es-CO"/>
        </w:rPr>
        <w:t xml:space="preserve"> Sentencia C- 1153 de 2005</w:t>
      </w:r>
      <w:r>
        <w:rPr>
          <w:rFonts w:ascii="Verdana" w:hAnsi="Verdana" w:cs="Arial"/>
          <w:sz w:val="16"/>
          <w:szCs w:val="16"/>
          <w:lang w:val="es-CO"/>
        </w:rPr>
        <w:t>.</w:t>
      </w:r>
      <w:r w:rsidRPr="00FF007A">
        <w:rPr>
          <w:rFonts w:ascii="Verdana" w:hAnsi="Verdana" w:cs="Arial"/>
          <w:sz w:val="16"/>
          <w:szCs w:val="16"/>
          <w:lang w:val="es-CO"/>
        </w:rPr>
        <w:t xml:space="preserve"> M.P</w:t>
      </w:r>
      <w:r>
        <w:rPr>
          <w:rFonts w:ascii="Verdana" w:hAnsi="Verdana" w:cs="Arial"/>
          <w:sz w:val="16"/>
          <w:szCs w:val="16"/>
          <w:lang w:val="es-CO"/>
        </w:rPr>
        <w:t>:</w:t>
      </w:r>
      <w:r w:rsidRPr="00FF007A">
        <w:rPr>
          <w:rFonts w:ascii="Verdana" w:hAnsi="Verdana" w:cs="Arial"/>
          <w:sz w:val="16"/>
          <w:szCs w:val="16"/>
          <w:lang w:val="es-CO"/>
        </w:rPr>
        <w:t xml:space="preserve"> Marco Gerardo Monroy Cabra.</w:t>
      </w:r>
    </w:p>
    <w:p w14:paraId="78A9ADBB"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5">
    <w:p w14:paraId="207ACF2E" w14:textId="77777777" w:rsidR="00976629" w:rsidRPr="00FF007A" w:rsidRDefault="00976629" w:rsidP="00976629">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Corte Constitucional. Sentencias: C-233 de 4 de abril de 2002, M.P: Álvaro Tafur Galvis. C-551 de 9 de julio de 2003. M.P: Eduardo Montealegre 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w:t>
      </w:r>
      <w:proofErr w:type="spellStart"/>
      <w:r w:rsidRPr="00F3158D">
        <w:rPr>
          <w:rFonts w:ascii="Verdana" w:hAnsi="Verdana" w:cs="Arial"/>
          <w:sz w:val="16"/>
          <w:szCs w:val="16"/>
          <w:lang w:val="es-CO"/>
        </w:rPr>
        <w:t>Palacio</w:t>
      </w:r>
      <w:proofErr w:type="spellEnd"/>
      <w:r w:rsidRPr="00F3158D">
        <w:rPr>
          <w:rFonts w:ascii="Verdana" w:hAnsi="Verdana" w:cs="Arial"/>
          <w:sz w:val="16"/>
          <w:szCs w:val="16"/>
          <w:lang w:val="es-CO"/>
        </w:rPr>
        <w:t>. C-541 de 30 de junio de 2010, M.P: Gabriel Eduardo Mendoza Martelo.</w:t>
      </w:r>
    </w:p>
    <w:p w14:paraId="226ACF16"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6">
    <w:p w14:paraId="76973B62" w14:textId="77777777" w:rsidR="00976629" w:rsidRPr="00FF007A"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22CE07E1"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7">
    <w:p w14:paraId="5510FE28" w14:textId="77777777" w:rsidR="00976629"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  </w:t>
      </w:r>
    </w:p>
    <w:p w14:paraId="07F31FF3"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8">
    <w:p w14:paraId="151D5178" w14:textId="77777777" w:rsidR="00976629" w:rsidRPr="00FF007A" w:rsidRDefault="00976629" w:rsidP="00976629">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0CB382B" w14:textId="77777777" w:rsidR="00976629" w:rsidRPr="00FF007A" w:rsidRDefault="00976629" w:rsidP="00976629">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p w14:paraId="2F369FB7" w14:textId="77777777" w:rsidR="00976629" w:rsidRPr="00FF007A" w:rsidRDefault="00976629" w:rsidP="00976629">
      <w:pPr>
        <w:spacing w:after="0" w:line="240" w:lineRule="auto"/>
        <w:ind w:firstLine="709"/>
        <w:contextualSpacing/>
        <w:jc w:val="both"/>
        <w:rPr>
          <w:rFonts w:ascii="Verdana" w:eastAsia="Times New Roman" w:hAnsi="Verdana" w:cs="Arial"/>
          <w:sz w:val="16"/>
          <w:szCs w:val="16"/>
        </w:rPr>
      </w:pPr>
    </w:p>
  </w:footnote>
  <w:footnote w:id="9">
    <w:p w14:paraId="5D99FE01" w14:textId="77777777" w:rsidR="00976629" w:rsidRPr="00FF007A" w:rsidRDefault="00976629" w:rsidP="00976629">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77B253FC" w14:textId="77777777" w:rsidR="00976629" w:rsidRDefault="00976629" w:rsidP="00976629">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p w14:paraId="0F4CF2C5" w14:textId="77777777" w:rsidR="00976629" w:rsidRPr="00FF007A" w:rsidRDefault="00976629" w:rsidP="00976629">
      <w:pPr>
        <w:pStyle w:val="NormalWeb"/>
        <w:spacing w:before="0" w:beforeAutospacing="0" w:after="0" w:afterAutospacing="0"/>
        <w:ind w:firstLine="709"/>
        <w:contextualSpacing/>
        <w:jc w:val="both"/>
        <w:rPr>
          <w:rFonts w:ascii="Verdana" w:hAnsi="Verdana" w:cs="Arial"/>
          <w:sz w:val="16"/>
          <w:szCs w:val="16"/>
        </w:rPr>
      </w:pPr>
    </w:p>
  </w:footnote>
  <w:footnote w:id="10">
    <w:p w14:paraId="160A2BBD" w14:textId="77777777" w:rsidR="00976629" w:rsidRPr="00FF007A" w:rsidRDefault="00976629" w:rsidP="00976629">
      <w:pPr>
        <w:spacing w:after="0" w:line="240" w:lineRule="auto"/>
        <w:ind w:left="100" w:right="244"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Consejo de Estado. Sala de Consulta y Servicio Civil. Concepto del 17 de febrero de 2015. Radicación No. 11001-03-06-000-2015-00164-00 (2269) C.P: William Zambrano Cetina.</w:t>
      </w:r>
    </w:p>
  </w:footnote>
  <w:footnote w:id="11">
    <w:p w14:paraId="1F3C9FAB" w14:textId="77777777" w:rsidR="00976629" w:rsidRPr="00FF007A" w:rsidRDefault="00976629" w:rsidP="00976629">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“[26] Al respecto ver el concepto 1712 de 2 de febrero de 2006. Consejo de Estado Sala de Consulta y Servicio Civil”.</w:t>
      </w:r>
    </w:p>
    <w:p w14:paraId="73C62AD3" w14:textId="77777777" w:rsidR="00976629" w:rsidRPr="00FF007A" w:rsidRDefault="00976629" w:rsidP="00976629">
      <w:pPr>
        <w:pStyle w:val="Textonotapie"/>
        <w:ind w:right="51" w:firstLine="709"/>
        <w:contextualSpacing/>
        <w:jc w:val="both"/>
        <w:rPr>
          <w:rFonts w:ascii="Verdana" w:hAnsi="Verdana" w:cs="Arial"/>
          <w:sz w:val="16"/>
          <w:szCs w:val="16"/>
          <w:lang w:val="es-CO"/>
        </w:rPr>
      </w:pPr>
    </w:p>
  </w:footnote>
  <w:footnote w:id="12">
    <w:p w14:paraId="1465DA57" w14:textId="77777777" w:rsidR="00976629"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Concepto del 2 de septiembre de 2013. Radicación número: 11001-03-06-000-2013-00412-00 (2168). Consejero Ponente: Álvaro Namén Vargas.</w:t>
      </w:r>
    </w:p>
    <w:p w14:paraId="2275EE7C"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13">
    <w:p w14:paraId="214ACB56" w14:textId="77777777" w:rsidR="00976629"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Artículo 2. </w:t>
      </w:r>
    </w:p>
    <w:p w14:paraId="4D67763C"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14">
    <w:p w14:paraId="152FCD64" w14:textId="77777777" w:rsidR="00976629" w:rsidRDefault="00976629" w:rsidP="0097662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FF007A">
        <w:rPr>
          <w:rFonts w:ascii="Verdana" w:hAnsi="Verdana" w:cs="Arial"/>
          <w:i/>
          <w:sz w:val="16"/>
          <w:szCs w:val="16"/>
          <w:lang w:val="es-CO"/>
        </w:rPr>
        <w:t>Ídem</w:t>
      </w:r>
      <w:r w:rsidRPr="00FF007A">
        <w:rPr>
          <w:rFonts w:ascii="Verdana" w:hAnsi="Verdana" w:cs="Arial"/>
          <w:sz w:val="16"/>
          <w:szCs w:val="16"/>
          <w:lang w:val="es-CO"/>
        </w:rPr>
        <w:t>.</w:t>
      </w:r>
    </w:p>
    <w:p w14:paraId="65E736E3" w14:textId="77777777" w:rsidR="00976629" w:rsidRPr="00FF007A" w:rsidRDefault="00976629" w:rsidP="00976629">
      <w:pPr>
        <w:pStyle w:val="Textonotapie"/>
        <w:ind w:firstLine="709"/>
        <w:contextualSpacing/>
        <w:jc w:val="both"/>
        <w:rPr>
          <w:rFonts w:ascii="Verdana" w:hAnsi="Verdana" w:cs="Arial"/>
          <w:sz w:val="16"/>
          <w:szCs w:val="16"/>
          <w:lang w:val="es-CO"/>
        </w:rPr>
      </w:pPr>
    </w:p>
  </w:footnote>
  <w:footnote w:id="15">
    <w:p w14:paraId="7231A031" w14:textId="77777777" w:rsidR="00976629" w:rsidRPr="00F3158D" w:rsidRDefault="00976629" w:rsidP="00976629">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Consejo de Estado. Sala de Consulta y Servicio Civil. Concepto del 08 de mayo de 2018. </w:t>
      </w:r>
      <w:proofErr w:type="spellStart"/>
      <w:r w:rsidRPr="00F3158D">
        <w:rPr>
          <w:rFonts w:ascii="Verdana" w:hAnsi="Verdana" w:cs="Arial"/>
          <w:sz w:val="16"/>
          <w:szCs w:val="16"/>
          <w:lang w:val="es-CO"/>
        </w:rPr>
        <w:t>Exp</w:t>
      </w:r>
      <w:proofErr w:type="spellEnd"/>
      <w:r w:rsidRPr="00F3158D">
        <w:rPr>
          <w:rFonts w:ascii="Verdana" w:hAnsi="Verdana" w:cs="Arial"/>
          <w:sz w:val="16"/>
          <w:szCs w:val="16"/>
          <w:lang w:val="es-CO"/>
        </w:rPr>
        <w:t>. 2.382. C.P. Álvaro Namén Vargas.</w:t>
      </w:r>
    </w:p>
    <w:p w14:paraId="74DB700F" w14:textId="77777777" w:rsidR="00976629" w:rsidRPr="00F3158D" w:rsidRDefault="00976629" w:rsidP="00976629">
      <w:pPr>
        <w:pStyle w:val="Textonotapie"/>
        <w:ind w:firstLine="709"/>
        <w:contextualSpacing/>
        <w:jc w:val="both"/>
        <w:rPr>
          <w:rFonts w:ascii="Verdana" w:hAnsi="Verdana" w:cs="Arial"/>
          <w:sz w:val="16"/>
          <w:szCs w:val="16"/>
          <w:lang w:val="es-CO"/>
        </w:rPr>
      </w:pPr>
    </w:p>
  </w:footnote>
  <w:footnote w:id="16">
    <w:p w14:paraId="2166DDD2" w14:textId="77777777" w:rsidR="00976629" w:rsidRDefault="00976629" w:rsidP="00976629">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02588A33" w14:textId="77777777" w:rsidR="00976629" w:rsidRPr="005F4C77" w:rsidRDefault="00976629" w:rsidP="00976629">
      <w:pPr>
        <w:pStyle w:val="Textonotapie"/>
        <w:ind w:firstLine="708"/>
        <w:contextualSpacing/>
        <w:jc w:val="both"/>
        <w:rPr>
          <w:rFonts w:ascii="Verdana" w:eastAsia="Calibri" w:hAnsi="Verdana" w:cs="Arial"/>
          <w:sz w:val="16"/>
          <w:szCs w:val="16"/>
          <w:lang w:val="es-CO"/>
        </w:rPr>
      </w:pPr>
    </w:p>
  </w:footnote>
  <w:footnote w:id="17">
    <w:p w14:paraId="19BA6FE4" w14:textId="77777777" w:rsidR="00976629" w:rsidRPr="00FF007A" w:rsidRDefault="00976629" w:rsidP="0097662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Consejo de Estado. Sala de Consulta y Servicio Civil. Concepto de 20 de febrero de 2006. Radicación Número: 11001-03-06-000-2006-00026-00(1727). </w:t>
      </w:r>
      <w:r>
        <w:rPr>
          <w:rFonts w:ascii="Verdana" w:hAnsi="Verdana" w:cs="Arial"/>
          <w:color w:val="000000" w:themeColor="text1"/>
          <w:sz w:val="16"/>
          <w:szCs w:val="16"/>
        </w:rPr>
        <w:t>C.P:</w:t>
      </w:r>
      <w:r w:rsidRPr="00FF007A">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20633B80"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Corte Constitucional. Sentencia C-1153 de 2005 M.P</w:t>
      </w:r>
      <w:r>
        <w:rPr>
          <w:rFonts w:ascii="Verdana" w:hAnsi="Verdana" w:cs="Arial"/>
          <w:color w:val="000000" w:themeColor="text1"/>
          <w:sz w:val="16"/>
          <w:szCs w:val="16"/>
          <w:lang w:val="es-CO"/>
        </w:rPr>
        <w:t>:</w:t>
      </w:r>
      <w:r w:rsidRPr="00FF007A">
        <w:rPr>
          <w:rFonts w:ascii="Verdana" w:hAnsi="Verdana" w:cs="Arial"/>
          <w:color w:val="000000" w:themeColor="text1"/>
          <w:sz w:val="16"/>
          <w:szCs w:val="16"/>
          <w:lang w:val="es-CO"/>
        </w:rPr>
        <w:t xml:space="preserve"> Marco Gerardo Monroy Cabra. </w:t>
      </w:r>
    </w:p>
    <w:p w14:paraId="19EE546D"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p>
  </w:footnote>
  <w:footnote w:id="19">
    <w:p w14:paraId="6729928B" w14:textId="77777777" w:rsidR="00976629" w:rsidRDefault="00976629" w:rsidP="0097662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18 de febrero 2010.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11001-03-06-000-2010-00006-00 (1985). C.P. Enrique José Arboleda Perdomo.</w:t>
      </w:r>
    </w:p>
    <w:p w14:paraId="40E7BA22"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p>
  </w:footnote>
  <w:footnote w:id="20">
    <w:p w14:paraId="14DC89D0"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02 de septiembre de 2013.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11001-03-06-000-2013-00412-00 (2168). C.P. Álvaro Namén Vargas.</w:t>
      </w:r>
    </w:p>
    <w:p w14:paraId="6B9FB3C5"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p>
  </w:footnote>
  <w:footnote w:id="21">
    <w:p w14:paraId="68C08A25" w14:textId="77777777" w:rsidR="00976629" w:rsidRDefault="00976629" w:rsidP="00976629">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Es lo que sucede, por ejemplo, con el Decreto 092 de 2017, que en su desarrollo hace referencia tanto a los “contratos” como a los “convenios”. </w:t>
      </w:r>
    </w:p>
    <w:p w14:paraId="3D8097C4" w14:textId="77777777" w:rsidR="00976629" w:rsidRPr="0069134B" w:rsidRDefault="00976629" w:rsidP="00976629">
      <w:pPr>
        <w:pStyle w:val="Textonotapie"/>
        <w:ind w:firstLine="709"/>
        <w:jc w:val="both"/>
        <w:rPr>
          <w:rFonts w:ascii="Verdana" w:hAnsi="Verdana" w:cs="Arial"/>
          <w:sz w:val="16"/>
          <w:szCs w:val="16"/>
        </w:rPr>
      </w:pPr>
    </w:p>
  </w:footnote>
  <w:footnote w:id="22">
    <w:p w14:paraId="094B0A61" w14:textId="77777777" w:rsidR="00976629" w:rsidRDefault="00976629" w:rsidP="00976629">
      <w:pPr>
        <w:pStyle w:val="Textonotapie"/>
        <w:ind w:firstLine="709"/>
        <w:jc w:val="both"/>
        <w:rPr>
          <w:rFonts w:ascii="Verdana" w:hAnsi="Verdana" w:cs="Arial"/>
          <w:sz w:val="16"/>
          <w:szCs w:val="16"/>
          <w:lang w:val="pt-BR"/>
        </w:rPr>
      </w:pPr>
      <w:r w:rsidRPr="0069134B">
        <w:rPr>
          <w:rStyle w:val="Refdenotaalpie"/>
          <w:rFonts w:ascii="Verdana" w:hAnsi="Verdana" w:cs="Arial"/>
          <w:sz w:val="16"/>
          <w:szCs w:val="16"/>
        </w:rPr>
        <w:footnoteRef/>
      </w:r>
      <w:r w:rsidRPr="0069134B">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69134B">
        <w:rPr>
          <w:rFonts w:ascii="Verdana" w:hAnsi="Verdana" w:cs="Arial"/>
          <w:sz w:val="16"/>
          <w:szCs w:val="16"/>
          <w:lang w:val="pt-BR"/>
        </w:rPr>
        <w:t>(Corte Constitucional. Sentencia C-671 de 2015. M.P. Alberto Rojas Ríos).</w:t>
      </w:r>
    </w:p>
    <w:p w14:paraId="1ED9EC5A" w14:textId="77777777" w:rsidR="00976629" w:rsidRPr="0069134B" w:rsidRDefault="00976629" w:rsidP="00976629">
      <w:pPr>
        <w:pStyle w:val="Textonotapie"/>
        <w:ind w:firstLine="709"/>
        <w:jc w:val="both"/>
        <w:rPr>
          <w:rFonts w:ascii="Verdana" w:hAnsi="Verdana" w:cs="Arial"/>
          <w:sz w:val="16"/>
          <w:szCs w:val="16"/>
          <w:lang w:val="pt-BR"/>
        </w:rPr>
      </w:pPr>
    </w:p>
  </w:footnote>
  <w:footnote w:id="23">
    <w:p w14:paraId="294D0C9E" w14:textId="77777777" w:rsidR="00976629" w:rsidRDefault="00976629" w:rsidP="00976629">
      <w:pPr>
        <w:pStyle w:val="Textonotapie"/>
        <w:ind w:firstLine="709"/>
        <w:jc w:val="both"/>
        <w:rPr>
          <w:rFonts w:ascii="Verdana" w:hAnsi="Verdana" w:cs="Arial"/>
          <w:sz w:val="16"/>
          <w:szCs w:val="16"/>
          <w:lang w:val="es-CO"/>
        </w:rPr>
      </w:pPr>
      <w:r w:rsidRPr="0069134B">
        <w:rPr>
          <w:rStyle w:val="Refdenotaalpie"/>
          <w:rFonts w:ascii="Verdana" w:hAnsi="Verdana"/>
          <w:sz w:val="16"/>
          <w:szCs w:val="16"/>
        </w:rPr>
        <w:footnoteRef/>
      </w:r>
      <w:r w:rsidRPr="0069134B">
        <w:rPr>
          <w:rFonts w:ascii="Verdana" w:hAnsi="Verdana"/>
          <w:sz w:val="16"/>
          <w:szCs w:val="16"/>
          <w:lang w:val="es-CO"/>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Sala de lo Contencioso Administrativo. </w:t>
      </w:r>
      <w:r w:rsidRPr="0069134B">
        <w:rPr>
          <w:rFonts w:ascii="Verdana" w:hAnsi="Verdana" w:cs="Arial"/>
          <w:sz w:val="16"/>
          <w:szCs w:val="16"/>
          <w:lang w:val="es-CO"/>
        </w:rPr>
        <w:t xml:space="preserve">Sección Tercera. Auto del 4 de octubre de 2024. </w:t>
      </w:r>
      <w:proofErr w:type="spellStart"/>
      <w:r w:rsidRPr="0069134B">
        <w:rPr>
          <w:rFonts w:ascii="Verdana" w:hAnsi="Verdana" w:cs="Arial"/>
          <w:sz w:val="16"/>
          <w:szCs w:val="16"/>
          <w:lang w:val="es-CO"/>
        </w:rPr>
        <w:t>Exp</w:t>
      </w:r>
      <w:proofErr w:type="spellEnd"/>
      <w:r w:rsidRPr="0069134B">
        <w:rPr>
          <w:rFonts w:ascii="Verdana" w:hAnsi="Verdana" w:cs="Arial"/>
          <w:sz w:val="16"/>
          <w:szCs w:val="16"/>
          <w:lang w:val="es-CO"/>
        </w:rPr>
        <w:t>. 70.313. C.P: Fredy Ibarra Martínez</w:t>
      </w:r>
      <w:r>
        <w:rPr>
          <w:rFonts w:ascii="Verdana" w:hAnsi="Verdana" w:cs="Arial"/>
          <w:sz w:val="16"/>
          <w:szCs w:val="16"/>
          <w:lang w:val="es-CO"/>
        </w:rPr>
        <w:t>.</w:t>
      </w:r>
    </w:p>
    <w:p w14:paraId="0BE9CDA9" w14:textId="77777777" w:rsidR="00976629" w:rsidRPr="0069134B" w:rsidRDefault="00976629" w:rsidP="00976629">
      <w:pPr>
        <w:pStyle w:val="Textonotapie"/>
        <w:ind w:firstLine="709"/>
        <w:jc w:val="both"/>
        <w:rPr>
          <w:rFonts w:ascii="Verdana" w:hAnsi="Verdana"/>
          <w:sz w:val="16"/>
          <w:szCs w:val="16"/>
          <w:lang w:val="es-CO"/>
        </w:rPr>
      </w:pPr>
    </w:p>
  </w:footnote>
  <w:footnote w:id="24">
    <w:p w14:paraId="23839214" w14:textId="77777777" w:rsidR="00976629" w:rsidRPr="00BB5A14" w:rsidRDefault="00976629" w:rsidP="00976629">
      <w:pPr>
        <w:pStyle w:val="Textonotapie"/>
        <w:ind w:firstLine="709"/>
        <w:jc w:val="both"/>
        <w:rPr>
          <w:rFonts w:ascii="Verdana" w:hAnsi="Verdana"/>
          <w:sz w:val="16"/>
          <w:szCs w:val="16"/>
          <w:lang w:val="es-CO"/>
        </w:rPr>
      </w:pPr>
      <w:r w:rsidRPr="00BB5A14">
        <w:rPr>
          <w:rStyle w:val="Refdenotaalpie"/>
          <w:rFonts w:ascii="Verdana" w:hAnsi="Verdana"/>
          <w:sz w:val="16"/>
          <w:szCs w:val="16"/>
        </w:rPr>
        <w:footnoteRef/>
      </w:r>
      <w:r w:rsidRPr="00BB5A14">
        <w:rPr>
          <w:rFonts w:ascii="Verdana" w:hAnsi="Verdana"/>
          <w:sz w:val="16"/>
          <w:szCs w:val="16"/>
        </w:rPr>
        <w:t xml:space="preserve"> </w:t>
      </w:r>
      <w:r w:rsidRPr="00BB5A14">
        <w:rPr>
          <w:rFonts w:ascii="Verdana" w:hAnsi="Verdana"/>
          <w:sz w:val="16"/>
          <w:szCs w:val="16"/>
          <w:lang w:val="es-ES"/>
        </w:rPr>
        <w:t xml:space="preserve">Ley 100 de 1993. </w:t>
      </w:r>
      <w:r w:rsidRPr="00BB5A14">
        <w:rPr>
          <w:rFonts w:ascii="Verdana" w:hAnsi="Verdana"/>
          <w:b/>
          <w:bCs/>
          <w:sz w:val="16"/>
          <w:szCs w:val="16"/>
          <w:lang w:val="es-CO"/>
        </w:rPr>
        <w:t>ARTÍCULO</w:t>
      </w:r>
      <w:bookmarkStart w:id="2" w:name="194"/>
      <w:bookmarkEnd w:id="2"/>
      <w:r w:rsidRPr="00BB5A14">
        <w:rPr>
          <w:rFonts w:ascii="Verdana" w:hAnsi="Verdana"/>
          <w:b/>
          <w:bCs/>
          <w:sz w:val="16"/>
          <w:szCs w:val="16"/>
          <w:lang w:val="es-CO"/>
        </w:rPr>
        <w:t> 194.</w:t>
      </w:r>
      <w:r w:rsidRPr="00BB5A14">
        <w:rPr>
          <w:rFonts w:ascii="Verdana" w:hAnsi="Verdana"/>
          <w:sz w:val="16"/>
          <w:szCs w:val="16"/>
          <w:lang w:val="es-CO"/>
        </w:rPr>
        <w:t>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3" w:name="LPHit237"/>
      <w:bookmarkEnd w:id="3"/>
      <w:r w:rsidRPr="00BB5A14">
        <w:rPr>
          <w:rFonts w:ascii="Verdana" w:hAnsi="Verdana"/>
          <w:sz w:val="16"/>
          <w:szCs w:val="16"/>
          <w:lang w:val="es-CO"/>
        </w:rPr>
        <w:t> Ley o por las asambleas o concejos, según el caso, sometidas al régimen jurídico previsto en este capítulo.</w:t>
      </w:r>
    </w:p>
    <w:p w14:paraId="0987E043" w14:textId="77777777" w:rsidR="00976629" w:rsidRPr="00687FD6" w:rsidRDefault="00976629" w:rsidP="00976629">
      <w:pPr>
        <w:pStyle w:val="Textonotapie"/>
        <w:ind w:firstLine="709"/>
        <w:jc w:val="both"/>
        <w:rPr>
          <w:rFonts w:ascii="Verdana" w:hAnsi="Verdana"/>
          <w:sz w:val="14"/>
          <w:szCs w:val="14"/>
          <w:lang w:val="es-ES"/>
        </w:rPr>
      </w:pPr>
    </w:p>
  </w:footnote>
  <w:footnote w:id="25">
    <w:p w14:paraId="3CB31965" w14:textId="77777777" w:rsidR="00976629" w:rsidRDefault="00976629" w:rsidP="0097662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3DE2143A"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p>
  </w:footnote>
  <w:footnote w:id="26">
    <w:p w14:paraId="252EDB6D" w14:textId="77777777" w:rsidR="00976629" w:rsidRDefault="00976629" w:rsidP="0097662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proofErr w:type="spellStart"/>
      <w:r w:rsidRPr="00FF007A">
        <w:rPr>
          <w:rFonts w:ascii="Verdana" w:hAnsi="Verdana" w:cs="Arial"/>
          <w:color w:val="000000" w:themeColor="text1"/>
          <w:sz w:val="16"/>
          <w:szCs w:val="16"/>
          <w:lang w:val="es-CO"/>
        </w:rPr>
        <w:t>Sivigila</w:t>
      </w:r>
      <w:proofErr w:type="spellEnd"/>
      <w:r w:rsidRPr="00FF007A">
        <w:rPr>
          <w:rFonts w:ascii="Verdana" w:hAnsi="Verdana" w:cs="Arial"/>
          <w:color w:val="000000" w:themeColor="text1"/>
          <w:sz w:val="16"/>
          <w:szCs w:val="16"/>
          <w:lang w:val="es-CO"/>
        </w:rPr>
        <w:t xml:space="preserve">, el Ministerio de Salud y Protección Social; el Instituto Nacional de Salud (INS); el Instituto Nacional de Vigilancia de Medicamentos y Alimentos (Invima), las Direcciones Territoriales de Salud, </w:t>
      </w:r>
      <w:r w:rsidRPr="00FF007A">
        <w:rPr>
          <w:rFonts w:ascii="Verdana" w:hAnsi="Verdana" w:cs="Arial"/>
          <w:i/>
          <w:iCs/>
          <w:color w:val="000000" w:themeColor="text1"/>
          <w:sz w:val="16"/>
          <w:szCs w:val="16"/>
          <w:lang w:val="es-CO"/>
        </w:rPr>
        <w:t>y todas aquellas entidades que de acuerdo con la ley ejerzan funciones de vigilancia y control sanitario</w:t>
      </w:r>
      <w:r w:rsidRPr="00FF007A">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1A49CB9" w14:textId="77777777" w:rsidR="00976629" w:rsidRPr="00FF007A" w:rsidRDefault="00976629" w:rsidP="00976629">
      <w:pPr>
        <w:pStyle w:val="Textonotapie"/>
        <w:ind w:firstLine="708"/>
        <w:contextualSpacing/>
        <w:jc w:val="both"/>
        <w:rPr>
          <w:rFonts w:ascii="Verdana" w:hAnsi="Verdana" w:cs="Arial"/>
          <w:color w:val="000000" w:themeColor="text1"/>
          <w:sz w:val="16"/>
          <w:szCs w:val="16"/>
          <w:lang w:val="es-CO"/>
        </w:rPr>
      </w:pPr>
    </w:p>
  </w:footnote>
  <w:footnote w:id="27">
    <w:p w14:paraId="731D1A8E" w14:textId="77777777" w:rsidR="00976629" w:rsidRPr="00FF007A" w:rsidRDefault="00976629" w:rsidP="00976629">
      <w:pPr>
        <w:pStyle w:val="Textonotapie"/>
        <w:ind w:firstLine="708"/>
        <w:contextualSpacing/>
        <w:jc w:val="both"/>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C</w:t>
      </w:r>
      <w:r>
        <w:rPr>
          <w:rFonts w:ascii="Verdana" w:hAnsi="Verdana"/>
          <w:sz w:val="16"/>
          <w:szCs w:val="16"/>
          <w:lang w:val="es-CO"/>
        </w:rPr>
        <w:t>onsejo de Estado</w:t>
      </w:r>
      <w:r w:rsidRPr="00FF007A">
        <w:rPr>
          <w:rFonts w:ascii="Verdana" w:hAnsi="Verdana"/>
          <w:sz w:val="16"/>
          <w:szCs w:val="16"/>
          <w:lang w:val="es-CO"/>
        </w:rPr>
        <w:t>. Sala de Consulta y Servicio Civil.</w:t>
      </w:r>
      <w:r>
        <w:rPr>
          <w:rFonts w:ascii="Verdana" w:hAnsi="Verdana"/>
          <w:sz w:val="16"/>
          <w:szCs w:val="16"/>
          <w:lang w:val="es-CO"/>
        </w:rPr>
        <w:t xml:space="preserve"> </w:t>
      </w:r>
      <w:r w:rsidRPr="00FF007A">
        <w:rPr>
          <w:rFonts w:ascii="Verdana" w:hAnsi="Verdana"/>
          <w:sz w:val="16"/>
          <w:szCs w:val="16"/>
          <w:lang w:val="es-CO"/>
        </w:rPr>
        <w:t>Concepto del 12 de junio de</w:t>
      </w:r>
      <w:r>
        <w:rPr>
          <w:rFonts w:ascii="Verdana" w:hAnsi="Verdana"/>
          <w:sz w:val="16"/>
          <w:szCs w:val="16"/>
          <w:lang w:val="es-CO"/>
        </w:rPr>
        <w:t xml:space="preserve"> </w:t>
      </w:r>
      <w:r w:rsidRPr="00FF007A">
        <w:rPr>
          <w:rFonts w:ascii="Verdana" w:hAnsi="Verdana"/>
          <w:sz w:val="16"/>
          <w:szCs w:val="16"/>
          <w:lang w:val="es-CO"/>
        </w:rPr>
        <w:t>2018.</w:t>
      </w:r>
      <w:r>
        <w:rPr>
          <w:rFonts w:ascii="Verdana" w:hAnsi="Verdana"/>
          <w:sz w:val="16"/>
          <w:szCs w:val="16"/>
          <w:lang w:val="es-CO"/>
        </w:rPr>
        <w:t xml:space="preserve"> </w:t>
      </w:r>
      <w:r w:rsidRPr="00FF007A">
        <w:rPr>
          <w:rFonts w:ascii="Verdana" w:hAnsi="Verdana"/>
          <w:sz w:val="16"/>
          <w:szCs w:val="16"/>
          <w:lang w:val="es-CO"/>
        </w:rPr>
        <w:t xml:space="preserve">Radicación: 11001-03-06-000-2018-0043-00. </w:t>
      </w:r>
      <w:r>
        <w:rPr>
          <w:rFonts w:ascii="Verdana" w:hAnsi="Verdana"/>
          <w:sz w:val="16"/>
          <w:szCs w:val="16"/>
          <w:lang w:val="es-CO"/>
        </w:rPr>
        <w:t>(</w:t>
      </w:r>
      <w:r w:rsidRPr="00FF007A">
        <w:rPr>
          <w:rFonts w:ascii="Verdana" w:hAnsi="Verdana"/>
          <w:sz w:val="16"/>
          <w:szCs w:val="16"/>
          <w:lang w:val="es-CO"/>
        </w:rPr>
        <w:t>2371</w:t>
      </w:r>
      <w:r>
        <w:rPr>
          <w:rFonts w:ascii="Verdana" w:hAnsi="Verdana"/>
          <w:sz w:val="16"/>
          <w:szCs w:val="16"/>
          <w:lang w:val="es-CO"/>
        </w:rPr>
        <w:t>)</w:t>
      </w:r>
      <w:r w:rsidRPr="00FF007A">
        <w:rPr>
          <w:rFonts w:ascii="Verdana" w:hAnsi="Verdana"/>
          <w:sz w:val="16"/>
          <w:szCs w:val="16"/>
          <w:lang w:val="es-CO"/>
        </w:rPr>
        <w:t>. Consejero Ponente: Oscar Darío Amaya Navas</w:t>
      </w:r>
      <w:r>
        <w:rPr>
          <w:rFonts w:ascii="Verdana" w:hAnsi="Verdana"/>
          <w:sz w:val="16"/>
          <w:szCs w:val="16"/>
          <w:lang w:val="es-CO"/>
        </w:rPr>
        <w:t>.</w:t>
      </w:r>
      <w:r w:rsidRPr="00FF007A">
        <w:rPr>
          <w:rFonts w:ascii="Verdana" w:hAnsi="Verdana"/>
          <w:sz w:val="16"/>
          <w:szCs w:val="16"/>
          <w:lang w:val="es-CO"/>
        </w:rPr>
        <w:t xml:space="preserve"> </w:t>
      </w:r>
    </w:p>
    <w:p w14:paraId="3E90A003" w14:textId="77777777" w:rsidR="00976629" w:rsidRPr="00FF007A" w:rsidRDefault="00976629" w:rsidP="00976629">
      <w:pPr>
        <w:pStyle w:val="Textonotapie"/>
        <w:contextualSpacing/>
        <w:jc w:val="both"/>
        <w:rPr>
          <w:rFonts w:ascii="Verdana" w:hAnsi="Verdana"/>
          <w:sz w:val="16"/>
          <w:szCs w:val="16"/>
          <w:lang w:val="es-CO"/>
        </w:rPr>
      </w:pPr>
    </w:p>
  </w:footnote>
  <w:footnote w:id="28">
    <w:p w14:paraId="4D57789E" w14:textId="77777777" w:rsidR="00976629" w:rsidRDefault="00976629" w:rsidP="0097662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Ibidem</w:t>
      </w:r>
      <w:r>
        <w:rPr>
          <w:rFonts w:ascii="Verdana" w:hAnsi="Verdana"/>
          <w:sz w:val="16"/>
          <w:szCs w:val="16"/>
          <w:lang w:val="es-CO"/>
        </w:rPr>
        <w:t>.</w:t>
      </w:r>
    </w:p>
    <w:p w14:paraId="2FBB23F6" w14:textId="77777777" w:rsidR="00976629" w:rsidRPr="00FF007A" w:rsidRDefault="00976629" w:rsidP="00976629">
      <w:pPr>
        <w:pStyle w:val="Textonotapie"/>
        <w:ind w:firstLine="708"/>
        <w:contextualSpacing/>
        <w:rPr>
          <w:rFonts w:ascii="Verdana" w:hAnsi="Verdana"/>
          <w:sz w:val="16"/>
          <w:szCs w:val="16"/>
          <w:lang w:val="es-CO"/>
        </w:rPr>
      </w:pPr>
    </w:p>
  </w:footnote>
  <w:footnote w:id="29">
    <w:p w14:paraId="395F50AF" w14:textId="77777777" w:rsidR="00976629" w:rsidRPr="008A6D54" w:rsidRDefault="00976629" w:rsidP="00976629">
      <w:pPr>
        <w:pStyle w:val="Textonotapie"/>
        <w:ind w:firstLine="709"/>
        <w:jc w:val="both"/>
        <w:rPr>
          <w:rFonts w:ascii="Verdana" w:hAnsi="Verdana"/>
          <w:color w:val="000000" w:themeColor="text1"/>
          <w:sz w:val="16"/>
          <w:szCs w:val="16"/>
          <w:lang w:val="es-CO"/>
        </w:rPr>
      </w:pPr>
      <w:r w:rsidRPr="008A6D54">
        <w:rPr>
          <w:rStyle w:val="Refdenotaalpie"/>
          <w:rFonts w:ascii="Verdana" w:hAnsi="Verdana"/>
          <w:color w:val="000000" w:themeColor="text1"/>
          <w:sz w:val="16"/>
          <w:szCs w:val="16"/>
        </w:rPr>
        <w:footnoteRef/>
      </w:r>
      <w:r w:rsidRPr="008A6D54">
        <w:rPr>
          <w:rFonts w:ascii="Verdana" w:hAnsi="Verdana"/>
          <w:color w:val="000000" w:themeColor="text1"/>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color w:val="000000" w:themeColor="text1"/>
          <w:sz w:val="16"/>
          <w:szCs w:val="16"/>
          <w:lang w:val="es-CO"/>
        </w:rPr>
        <w:t>Artículo</w:t>
      </w:r>
      <w:r w:rsidRPr="008A6D54">
        <w:rPr>
          <w:rFonts w:ascii="Verdana" w:hAnsi="Verdana"/>
          <w:color w:val="000000" w:themeColor="text1"/>
          <w:sz w:val="16"/>
          <w:szCs w:val="16"/>
          <w:lang w:val="es-CO"/>
        </w:rPr>
        <w:t> </w:t>
      </w:r>
      <w:r w:rsidRPr="008A6D54">
        <w:rPr>
          <w:rFonts w:ascii="Verdana" w:hAnsi="Verdana"/>
          <w:b/>
          <w:bCs/>
          <w:color w:val="000000" w:themeColor="text1"/>
          <w:sz w:val="16"/>
          <w:szCs w:val="16"/>
          <w:lang w:val="es-CO"/>
        </w:rPr>
        <w:t>10. </w:t>
      </w:r>
      <w:r w:rsidRPr="008A6D54">
        <w:rPr>
          <w:rFonts w:ascii="Verdana" w:hAnsi="Verdana"/>
          <w:b/>
          <w:bCs/>
          <w:i/>
          <w:iCs/>
          <w:color w:val="000000" w:themeColor="text1"/>
          <w:sz w:val="16"/>
          <w:szCs w:val="16"/>
          <w:lang w:val="es-CO"/>
        </w:rPr>
        <w:t>Definición</w:t>
      </w:r>
      <w:r w:rsidRPr="008A6D54">
        <w:rPr>
          <w:rFonts w:ascii="Verdana" w:hAnsi="Verdana"/>
          <w:b/>
          <w:bCs/>
          <w:color w:val="000000" w:themeColor="text1"/>
          <w:sz w:val="16"/>
          <w:szCs w:val="16"/>
          <w:lang w:val="es-CO"/>
        </w:rPr>
        <w:t>.</w:t>
      </w:r>
      <w:r w:rsidRPr="008A6D54">
        <w:rPr>
          <w:rFonts w:ascii="Verdana" w:hAnsi="Verdana"/>
          <w:color w:val="000000" w:themeColor="text1"/>
          <w:sz w:val="16"/>
          <w:szCs w:val="16"/>
          <w:lang w:val="es-CO"/>
        </w:rPr>
        <w:t xml:space="preserve"> Conjunto de intervenciones, procedimientos o actividades de carácter gratuito, dirigidas a la población y materializadas a través de los entornos de vida cotidiana en función de las características, necesidades y potencialidades de salud en cada territorio y </w:t>
      </w:r>
      <w:proofErr w:type="spellStart"/>
      <w:r w:rsidRPr="008A6D54">
        <w:rPr>
          <w:rFonts w:ascii="Verdana" w:hAnsi="Verdana"/>
          <w:color w:val="000000" w:themeColor="text1"/>
          <w:sz w:val="16"/>
          <w:szCs w:val="16"/>
          <w:lang w:val="es-CO"/>
        </w:rPr>
        <w:t>microterritorio</w:t>
      </w:r>
      <w:proofErr w:type="spellEnd"/>
      <w:r w:rsidRPr="008A6D54">
        <w:rPr>
          <w:rFonts w:ascii="Verdana" w:hAnsi="Verdana"/>
          <w:color w:val="000000" w:themeColor="text1"/>
          <w:sz w:val="16"/>
          <w:szCs w:val="16"/>
          <w:lang w:val="es-CO"/>
        </w:rPr>
        <w:t>.</w:t>
      </w:r>
    </w:p>
    <w:p w14:paraId="18A72BE2" w14:textId="77777777" w:rsidR="00976629" w:rsidRPr="008A6D54" w:rsidRDefault="00976629" w:rsidP="00976629">
      <w:pPr>
        <w:pStyle w:val="Textonotapie"/>
        <w:ind w:firstLine="709"/>
        <w:jc w:val="both"/>
        <w:rPr>
          <w:rFonts w:ascii="Verdana" w:hAnsi="Verdana"/>
          <w:color w:val="000000" w:themeColor="text1"/>
          <w:sz w:val="16"/>
          <w:szCs w:val="16"/>
          <w:lang w:val="es-CO"/>
        </w:rPr>
      </w:pPr>
      <w:r w:rsidRPr="008A6D54">
        <w:rPr>
          <w:rFonts w:ascii="Verdana" w:hAnsi="Verdana"/>
          <w:b/>
          <w:bCs/>
          <w:color w:val="000000" w:themeColor="text1"/>
          <w:sz w:val="16"/>
          <w:szCs w:val="16"/>
          <w:lang w:val="es-CO"/>
        </w:rPr>
        <w:t>Parágrafo.</w:t>
      </w:r>
      <w:r w:rsidRPr="008A6D54">
        <w:rPr>
          <w:rFonts w:ascii="Verdana" w:hAnsi="Verdana"/>
          <w:color w:val="000000" w:themeColor="text1"/>
          <w:sz w:val="16"/>
          <w:szCs w:val="16"/>
          <w:lang w:val="es-CO"/>
        </w:rPr>
        <w:t> Las intervenciones colectivas corresponden a las señaladas en el numeral 3.2 del Capítulo 3 del Anexo I </w:t>
      </w:r>
      <w:r w:rsidRPr="008A6D54">
        <w:rPr>
          <w:rFonts w:ascii="Verdana" w:hAnsi="Verdana"/>
          <w:i/>
          <w:iCs/>
          <w:color w:val="000000" w:themeColor="text1"/>
          <w:sz w:val="16"/>
          <w:szCs w:val="16"/>
          <w:lang w:val="es-CO"/>
        </w:rPr>
        <w:t>“LINEAMIENTO TÉCNICO Y OPERATIVO RUTA INTEGRAL DE ATENCIÓN PARA LA PROMOCIÓN Y MANTENIMIENTO DE LA SALUD”</w:t>
      </w:r>
      <w:r w:rsidRPr="008A6D54">
        <w:rPr>
          <w:rFonts w:ascii="Verdana" w:hAnsi="Verdana"/>
          <w:color w:val="000000" w:themeColor="text1"/>
          <w:sz w:val="16"/>
          <w:szCs w:val="16"/>
          <w:lang w:val="es-CO"/>
        </w:rPr>
        <w:t> de la Resolución </w:t>
      </w:r>
      <w:hyperlink r:id="rId1" w:history="1">
        <w:r w:rsidRPr="008A6D54">
          <w:rPr>
            <w:rStyle w:val="Hipervnculo"/>
            <w:rFonts w:ascii="Verdana" w:hAnsi="Verdana"/>
            <w:color w:val="000000" w:themeColor="text1"/>
            <w:sz w:val="16"/>
            <w:szCs w:val="16"/>
            <w:lang w:val="es-CO"/>
          </w:rPr>
          <w:t>3280</w:t>
        </w:r>
      </w:hyperlink>
      <w:r w:rsidRPr="008A6D54">
        <w:rPr>
          <w:rFonts w:ascii="Verdana" w:hAnsi="Verdana"/>
          <w:color w:val="000000" w:themeColor="text1"/>
          <w:sz w:val="16"/>
          <w:szCs w:val="16"/>
          <w:lang w:val="es-CO"/>
        </w:rPr>
        <w:t> de 2018 o la norma que la modifique o sustituya.</w:t>
      </w:r>
    </w:p>
    <w:p w14:paraId="604B3C90" w14:textId="77777777" w:rsidR="00976629" w:rsidRPr="008A6D54" w:rsidRDefault="00976629" w:rsidP="00976629">
      <w:pPr>
        <w:pStyle w:val="Textonotapie"/>
        <w:rPr>
          <w:lang w:val="es-ES"/>
        </w:rPr>
      </w:pPr>
    </w:p>
  </w:footnote>
  <w:footnote w:id="30">
    <w:p w14:paraId="415F5ABF" w14:textId="77777777" w:rsidR="00976629" w:rsidRPr="008A6D54" w:rsidRDefault="00976629" w:rsidP="00976629">
      <w:pPr>
        <w:pStyle w:val="Textonotapie"/>
        <w:ind w:firstLine="709"/>
        <w:jc w:val="both"/>
        <w:rPr>
          <w:rFonts w:ascii="Verdana" w:hAnsi="Verdana"/>
          <w:sz w:val="16"/>
          <w:szCs w:val="16"/>
          <w:lang w:val="es-CO"/>
        </w:rPr>
      </w:pPr>
      <w:r w:rsidRPr="008A6D54">
        <w:rPr>
          <w:rStyle w:val="Refdenotaalpie"/>
          <w:rFonts w:ascii="Verdana" w:hAnsi="Verdana"/>
          <w:sz w:val="16"/>
          <w:szCs w:val="16"/>
        </w:rPr>
        <w:footnoteRef/>
      </w:r>
      <w:r w:rsidRPr="008A6D54">
        <w:rPr>
          <w:rFonts w:ascii="Verdana" w:hAnsi="Verdana"/>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sz w:val="16"/>
          <w:szCs w:val="16"/>
          <w:lang w:val="es-CO"/>
        </w:rPr>
        <w:t>Artículo</w:t>
      </w:r>
      <w:r w:rsidRPr="008A6D54">
        <w:rPr>
          <w:rFonts w:ascii="Verdana" w:hAnsi="Verdana"/>
          <w:sz w:val="16"/>
          <w:szCs w:val="16"/>
          <w:lang w:val="es-CO"/>
        </w:rPr>
        <w:t> </w:t>
      </w:r>
      <w:r w:rsidRPr="008A6D54">
        <w:rPr>
          <w:rFonts w:ascii="Verdana" w:hAnsi="Verdana"/>
          <w:b/>
          <w:bCs/>
          <w:sz w:val="16"/>
          <w:szCs w:val="16"/>
          <w:lang w:val="es-CO"/>
        </w:rPr>
        <w:t>12. </w:t>
      </w:r>
      <w:r w:rsidRPr="008A6D54">
        <w:rPr>
          <w:rFonts w:ascii="Verdana" w:hAnsi="Verdana"/>
          <w:b/>
          <w:bCs/>
          <w:i/>
          <w:iCs/>
          <w:sz w:val="16"/>
          <w:szCs w:val="16"/>
          <w:lang w:val="es-CO"/>
        </w:rPr>
        <w:t>Implementación del Plan de Salud Pública de Intervenciones Colectivas.</w:t>
      </w:r>
      <w:r w:rsidRPr="008A6D54">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02292396"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7F46EEEE"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5F491E91"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1326860F"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47F197B5"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A6D54">
        <w:rPr>
          <w:rFonts w:ascii="Verdana" w:hAnsi="Verdana"/>
          <w:color w:val="000000" w:themeColor="text1"/>
          <w:sz w:val="16"/>
          <w:szCs w:val="16"/>
          <w:lang w:val="es-CO"/>
        </w:rPr>
        <w:t>número </w:t>
      </w:r>
      <w:hyperlink r:id="rId2" w:history="1">
        <w:r w:rsidRPr="008A6D54">
          <w:rPr>
            <w:rStyle w:val="Hipervnculo"/>
            <w:rFonts w:ascii="Verdana" w:hAnsi="Verdana"/>
            <w:color w:val="000000" w:themeColor="text1"/>
            <w:sz w:val="16"/>
            <w:szCs w:val="16"/>
            <w:lang w:val="es-CO"/>
          </w:rPr>
          <w:t>1751</w:t>
        </w:r>
      </w:hyperlink>
      <w:r w:rsidRPr="008A6D54">
        <w:rPr>
          <w:rFonts w:ascii="Verdana" w:hAnsi="Verdana"/>
          <w:color w:val="000000" w:themeColor="text1"/>
          <w:sz w:val="16"/>
          <w:szCs w:val="16"/>
          <w:lang w:val="es-CO"/>
        </w:rPr>
        <w:t> de 2</w:t>
      </w:r>
      <w:r w:rsidRPr="008A6D54">
        <w:rPr>
          <w:rFonts w:ascii="Verdana" w:hAnsi="Verdana"/>
          <w:sz w:val="16"/>
          <w:szCs w:val="16"/>
          <w:lang w:val="es-CO"/>
        </w:rPr>
        <w:t>015 o la norma que la modifique, asegurando la ejecución de la totalidad de recursos asignados.</w:t>
      </w:r>
    </w:p>
    <w:p w14:paraId="1A55E5AE"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6C58FF67"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2D4AFF4A"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313090E0"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2F32B6CB"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479B6648"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2FAFBE82"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042C5FB7"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8A6D54">
        <w:rPr>
          <w:rFonts w:ascii="Verdana" w:hAnsi="Verdana"/>
          <w:color w:val="000000" w:themeColor="text1"/>
          <w:sz w:val="16"/>
          <w:szCs w:val="16"/>
          <w:lang w:val="es-CO"/>
        </w:rPr>
        <w:t>número </w:t>
      </w:r>
      <w:hyperlink r:id="rId3" w:history="1">
        <w:r w:rsidRPr="008A6D54">
          <w:rPr>
            <w:rStyle w:val="Hipervnculo"/>
            <w:rFonts w:ascii="Verdana" w:hAnsi="Verdana"/>
            <w:color w:val="000000" w:themeColor="text1"/>
            <w:sz w:val="16"/>
            <w:szCs w:val="16"/>
            <w:lang w:val="es-CO"/>
          </w:rPr>
          <w:t>441</w:t>
        </w:r>
      </w:hyperlink>
      <w:r w:rsidRPr="008A6D54">
        <w:rPr>
          <w:rFonts w:ascii="Verdana" w:hAnsi="Verdana"/>
          <w:color w:val="000000" w:themeColor="text1"/>
          <w:sz w:val="16"/>
          <w:szCs w:val="16"/>
          <w:lang w:val="es-CO"/>
        </w:rPr>
        <w:t> de 20</w:t>
      </w:r>
      <w:r w:rsidRPr="008A6D54">
        <w:rPr>
          <w:rFonts w:ascii="Verdana" w:hAnsi="Verdana"/>
          <w:sz w:val="16"/>
          <w:szCs w:val="16"/>
          <w:lang w:val="es-CO"/>
        </w:rPr>
        <w:t>22 y Resolución número 2336 de 2023 o las normas que lo modifiquen o deroguen. </w:t>
      </w:r>
    </w:p>
    <w:p w14:paraId="3560A4D5"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57A03F71"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39AEB781"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7EC2A773" w14:textId="77777777" w:rsidR="00976629" w:rsidRPr="008A6D54" w:rsidRDefault="00976629" w:rsidP="00976629">
      <w:pPr>
        <w:pStyle w:val="Textonotapie"/>
        <w:ind w:firstLine="709"/>
        <w:jc w:val="both"/>
        <w:rPr>
          <w:rFonts w:ascii="Verdana" w:hAnsi="Verdana"/>
          <w:sz w:val="16"/>
          <w:szCs w:val="16"/>
          <w:lang w:val="es-CO"/>
        </w:rPr>
      </w:pPr>
      <w:r w:rsidRPr="008A6D54">
        <w:rPr>
          <w:rFonts w:ascii="Verdana" w:hAnsi="Verdana"/>
          <w:b/>
          <w:bCs/>
          <w:sz w:val="16"/>
          <w:szCs w:val="16"/>
          <w:lang w:val="es-CO"/>
        </w:rPr>
        <w:t>Parágrafo.</w:t>
      </w:r>
      <w:r w:rsidRPr="008A6D54">
        <w:rPr>
          <w:rFonts w:ascii="Verdana" w:hAnsi="Verdana"/>
          <w:sz w:val="16"/>
          <w:szCs w:val="16"/>
          <w:lang w:val="es-CO"/>
        </w:rPr>
        <w:t> Este Ministerio reglamentará las condiciones que deben cumplir las organizaciones de base comunitaria, sin ánimo de lucro, para el desarrollo de las actividades de abordaje comunitario.</w:t>
      </w:r>
    </w:p>
    <w:p w14:paraId="0C9EF3F2" w14:textId="77777777" w:rsidR="00976629" w:rsidRPr="008A6D54" w:rsidRDefault="00976629" w:rsidP="00976629">
      <w:pPr>
        <w:pStyle w:val="Textonotapie"/>
        <w:rPr>
          <w:lang w:val="es-ES"/>
        </w:rPr>
      </w:pPr>
    </w:p>
  </w:footnote>
  <w:footnote w:id="31">
    <w:p w14:paraId="64CD5630" w14:textId="77777777" w:rsidR="00976629" w:rsidRPr="00FF007A" w:rsidRDefault="00976629" w:rsidP="0097662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r w:rsidRPr="00FF007A">
        <w:rPr>
          <w:rFonts w:ascii="Verdana" w:hAnsi="Verdana" w:cs="Arial"/>
          <w:sz w:val="16"/>
          <w:szCs w:val="16"/>
          <w:lang w:val="es-CO"/>
        </w:rPr>
        <w:t>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3"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34D3366"/>
    <w:multiLevelType w:val="hybridMultilevel"/>
    <w:tmpl w:val="05EEE7A0"/>
    <w:lvl w:ilvl="0" w:tplc="0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7"/>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5"/>
  </w:num>
  <w:num w:numId="14" w16cid:durableId="895897244">
    <w:abstractNumId w:val="19"/>
  </w:num>
  <w:num w:numId="15" w16cid:durableId="390349800">
    <w:abstractNumId w:val="15"/>
  </w:num>
  <w:num w:numId="16" w16cid:durableId="341274352">
    <w:abstractNumId w:val="0"/>
  </w:num>
  <w:num w:numId="17" w16cid:durableId="153255849">
    <w:abstractNumId w:val="13"/>
  </w:num>
  <w:num w:numId="18" w16cid:durableId="484509577">
    <w:abstractNumId w:val="12"/>
  </w:num>
  <w:num w:numId="19" w16cid:durableId="679089576">
    <w:abstractNumId w:val="11"/>
  </w:num>
  <w:num w:numId="20" w16cid:durableId="1290623316">
    <w:abstractNumId w:val="4"/>
  </w:num>
  <w:num w:numId="21" w16cid:durableId="1312443995">
    <w:abstractNumId w:val="14"/>
  </w:num>
  <w:num w:numId="22"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BF3"/>
    <w:rsid w:val="00040FB5"/>
    <w:rsid w:val="00046945"/>
    <w:rsid w:val="00060136"/>
    <w:rsid w:val="00061B2A"/>
    <w:rsid w:val="00066881"/>
    <w:rsid w:val="000751C3"/>
    <w:rsid w:val="00082362"/>
    <w:rsid w:val="000A683E"/>
    <w:rsid w:val="000B19B9"/>
    <w:rsid w:val="000B3A84"/>
    <w:rsid w:val="000D0334"/>
    <w:rsid w:val="000D5DA7"/>
    <w:rsid w:val="000F1827"/>
    <w:rsid w:val="000F485C"/>
    <w:rsid w:val="000F6486"/>
    <w:rsid w:val="00116940"/>
    <w:rsid w:val="00125105"/>
    <w:rsid w:val="00127233"/>
    <w:rsid w:val="0013359B"/>
    <w:rsid w:val="00153F68"/>
    <w:rsid w:val="0015699B"/>
    <w:rsid w:val="001611D3"/>
    <w:rsid w:val="0017121C"/>
    <w:rsid w:val="00197C13"/>
    <w:rsid w:val="001A33BF"/>
    <w:rsid w:val="001B6299"/>
    <w:rsid w:val="001E3C78"/>
    <w:rsid w:val="001E4177"/>
    <w:rsid w:val="001F0B24"/>
    <w:rsid w:val="001F1B6C"/>
    <w:rsid w:val="001F7DC6"/>
    <w:rsid w:val="0021455D"/>
    <w:rsid w:val="0022400B"/>
    <w:rsid w:val="00227A6C"/>
    <w:rsid w:val="002421BB"/>
    <w:rsid w:val="0025796E"/>
    <w:rsid w:val="002707A2"/>
    <w:rsid w:val="00273B1E"/>
    <w:rsid w:val="002951A0"/>
    <w:rsid w:val="002962BC"/>
    <w:rsid w:val="002A093D"/>
    <w:rsid w:val="002A0DD0"/>
    <w:rsid w:val="002A21EE"/>
    <w:rsid w:val="002A49AC"/>
    <w:rsid w:val="002A64FD"/>
    <w:rsid w:val="002B21B6"/>
    <w:rsid w:val="002C03D5"/>
    <w:rsid w:val="002C1DA9"/>
    <w:rsid w:val="002C7A84"/>
    <w:rsid w:val="002E2BF8"/>
    <w:rsid w:val="002E4FD9"/>
    <w:rsid w:val="002F455A"/>
    <w:rsid w:val="0030657A"/>
    <w:rsid w:val="00317145"/>
    <w:rsid w:val="00322A85"/>
    <w:rsid w:val="00324168"/>
    <w:rsid w:val="00330834"/>
    <w:rsid w:val="003448F4"/>
    <w:rsid w:val="00374F5E"/>
    <w:rsid w:val="00377E3E"/>
    <w:rsid w:val="003A0A74"/>
    <w:rsid w:val="003A779E"/>
    <w:rsid w:val="003C2C84"/>
    <w:rsid w:val="003C60B7"/>
    <w:rsid w:val="003D0F4D"/>
    <w:rsid w:val="003D5B0D"/>
    <w:rsid w:val="003E0499"/>
    <w:rsid w:val="003E19D8"/>
    <w:rsid w:val="003E4F80"/>
    <w:rsid w:val="003E6439"/>
    <w:rsid w:val="003F3941"/>
    <w:rsid w:val="00406575"/>
    <w:rsid w:val="00414C74"/>
    <w:rsid w:val="004252CC"/>
    <w:rsid w:val="00426B5D"/>
    <w:rsid w:val="0042722E"/>
    <w:rsid w:val="0044528D"/>
    <w:rsid w:val="0045379B"/>
    <w:rsid w:val="00466E39"/>
    <w:rsid w:val="004A1847"/>
    <w:rsid w:val="004A305D"/>
    <w:rsid w:val="004C2278"/>
    <w:rsid w:val="004E2672"/>
    <w:rsid w:val="004F21C4"/>
    <w:rsid w:val="004F36B1"/>
    <w:rsid w:val="004F685F"/>
    <w:rsid w:val="00517498"/>
    <w:rsid w:val="00520658"/>
    <w:rsid w:val="005566E8"/>
    <w:rsid w:val="00566F47"/>
    <w:rsid w:val="00574867"/>
    <w:rsid w:val="00591460"/>
    <w:rsid w:val="005A1A6D"/>
    <w:rsid w:val="005A65E0"/>
    <w:rsid w:val="005B5E22"/>
    <w:rsid w:val="005C3777"/>
    <w:rsid w:val="005C5CDC"/>
    <w:rsid w:val="005D476C"/>
    <w:rsid w:val="005E4EC4"/>
    <w:rsid w:val="005F44A9"/>
    <w:rsid w:val="005F59D3"/>
    <w:rsid w:val="00601929"/>
    <w:rsid w:val="006200BF"/>
    <w:rsid w:val="006219F8"/>
    <w:rsid w:val="006302F7"/>
    <w:rsid w:val="00634EC8"/>
    <w:rsid w:val="0063753D"/>
    <w:rsid w:val="00646B9F"/>
    <w:rsid w:val="006573A8"/>
    <w:rsid w:val="00665D70"/>
    <w:rsid w:val="006800C6"/>
    <w:rsid w:val="006900D9"/>
    <w:rsid w:val="006D495A"/>
    <w:rsid w:val="006E3691"/>
    <w:rsid w:val="00706C16"/>
    <w:rsid w:val="007211E4"/>
    <w:rsid w:val="007340C3"/>
    <w:rsid w:val="00745719"/>
    <w:rsid w:val="0075235A"/>
    <w:rsid w:val="00756841"/>
    <w:rsid w:val="007649AB"/>
    <w:rsid w:val="00771D0C"/>
    <w:rsid w:val="00774B21"/>
    <w:rsid w:val="007833AC"/>
    <w:rsid w:val="00797CFC"/>
    <w:rsid w:val="007A2AE8"/>
    <w:rsid w:val="007B268C"/>
    <w:rsid w:val="007B7171"/>
    <w:rsid w:val="007C0C0F"/>
    <w:rsid w:val="007C1427"/>
    <w:rsid w:val="007C3DC2"/>
    <w:rsid w:val="007E5497"/>
    <w:rsid w:val="00806F5F"/>
    <w:rsid w:val="00820278"/>
    <w:rsid w:val="008258C9"/>
    <w:rsid w:val="0083205F"/>
    <w:rsid w:val="00844AE9"/>
    <w:rsid w:val="00854997"/>
    <w:rsid w:val="00867F95"/>
    <w:rsid w:val="008843B6"/>
    <w:rsid w:val="00891928"/>
    <w:rsid w:val="00891C24"/>
    <w:rsid w:val="00897BAA"/>
    <w:rsid w:val="008A446D"/>
    <w:rsid w:val="008B25F1"/>
    <w:rsid w:val="008D180B"/>
    <w:rsid w:val="008E6AC9"/>
    <w:rsid w:val="008F0EA7"/>
    <w:rsid w:val="0092291E"/>
    <w:rsid w:val="00923EEF"/>
    <w:rsid w:val="009379B5"/>
    <w:rsid w:val="009419F9"/>
    <w:rsid w:val="0095685E"/>
    <w:rsid w:val="00961B09"/>
    <w:rsid w:val="00965334"/>
    <w:rsid w:val="0097093E"/>
    <w:rsid w:val="00976629"/>
    <w:rsid w:val="009A0DFA"/>
    <w:rsid w:val="009A18F9"/>
    <w:rsid w:val="009A1C6F"/>
    <w:rsid w:val="009B2D26"/>
    <w:rsid w:val="009C71FA"/>
    <w:rsid w:val="009C72E7"/>
    <w:rsid w:val="009C7F7E"/>
    <w:rsid w:val="009D3058"/>
    <w:rsid w:val="009F0808"/>
    <w:rsid w:val="009F3A13"/>
    <w:rsid w:val="009F6069"/>
    <w:rsid w:val="00A122D3"/>
    <w:rsid w:val="00A14468"/>
    <w:rsid w:val="00A17F13"/>
    <w:rsid w:val="00A20739"/>
    <w:rsid w:val="00A23AF9"/>
    <w:rsid w:val="00A25DBD"/>
    <w:rsid w:val="00A33C78"/>
    <w:rsid w:val="00A3517F"/>
    <w:rsid w:val="00A420B1"/>
    <w:rsid w:val="00A9046E"/>
    <w:rsid w:val="00AB0ADB"/>
    <w:rsid w:val="00AB31F6"/>
    <w:rsid w:val="00AB504F"/>
    <w:rsid w:val="00AB6D32"/>
    <w:rsid w:val="00AF4E1B"/>
    <w:rsid w:val="00B00C0E"/>
    <w:rsid w:val="00B01B1A"/>
    <w:rsid w:val="00B0381D"/>
    <w:rsid w:val="00B175EE"/>
    <w:rsid w:val="00B270C8"/>
    <w:rsid w:val="00B42BFE"/>
    <w:rsid w:val="00B44544"/>
    <w:rsid w:val="00B44A47"/>
    <w:rsid w:val="00B61460"/>
    <w:rsid w:val="00B72CD3"/>
    <w:rsid w:val="00B72FFF"/>
    <w:rsid w:val="00B76769"/>
    <w:rsid w:val="00B95BC2"/>
    <w:rsid w:val="00BC3AE6"/>
    <w:rsid w:val="00BC3D36"/>
    <w:rsid w:val="00BC4DDA"/>
    <w:rsid w:val="00BC701A"/>
    <w:rsid w:val="00BD1BAB"/>
    <w:rsid w:val="00BD54A6"/>
    <w:rsid w:val="00BD7F72"/>
    <w:rsid w:val="00BF7425"/>
    <w:rsid w:val="00C004C2"/>
    <w:rsid w:val="00C04FB3"/>
    <w:rsid w:val="00C11D8B"/>
    <w:rsid w:val="00C15139"/>
    <w:rsid w:val="00C330EB"/>
    <w:rsid w:val="00C50D69"/>
    <w:rsid w:val="00C5365C"/>
    <w:rsid w:val="00C638AE"/>
    <w:rsid w:val="00C705A6"/>
    <w:rsid w:val="00C754BE"/>
    <w:rsid w:val="00C76B1C"/>
    <w:rsid w:val="00C925AC"/>
    <w:rsid w:val="00CB3620"/>
    <w:rsid w:val="00CB6357"/>
    <w:rsid w:val="00CC1B26"/>
    <w:rsid w:val="00CD60B2"/>
    <w:rsid w:val="00CF334A"/>
    <w:rsid w:val="00D12791"/>
    <w:rsid w:val="00D361FD"/>
    <w:rsid w:val="00D423A2"/>
    <w:rsid w:val="00D44E26"/>
    <w:rsid w:val="00D520D8"/>
    <w:rsid w:val="00D52F90"/>
    <w:rsid w:val="00D54C9D"/>
    <w:rsid w:val="00D63AC2"/>
    <w:rsid w:val="00D7355C"/>
    <w:rsid w:val="00D7383B"/>
    <w:rsid w:val="00D7788A"/>
    <w:rsid w:val="00DA231B"/>
    <w:rsid w:val="00DA4587"/>
    <w:rsid w:val="00DB4977"/>
    <w:rsid w:val="00DC39FC"/>
    <w:rsid w:val="00DE063B"/>
    <w:rsid w:val="00DE1DE5"/>
    <w:rsid w:val="00DF5254"/>
    <w:rsid w:val="00E01B03"/>
    <w:rsid w:val="00E02524"/>
    <w:rsid w:val="00E16408"/>
    <w:rsid w:val="00E20894"/>
    <w:rsid w:val="00E245AB"/>
    <w:rsid w:val="00E2764C"/>
    <w:rsid w:val="00E27F2E"/>
    <w:rsid w:val="00E50AFE"/>
    <w:rsid w:val="00E75C92"/>
    <w:rsid w:val="00E771DC"/>
    <w:rsid w:val="00E819B4"/>
    <w:rsid w:val="00E83B4A"/>
    <w:rsid w:val="00E84CB2"/>
    <w:rsid w:val="00E8772A"/>
    <w:rsid w:val="00E90F6B"/>
    <w:rsid w:val="00E92C27"/>
    <w:rsid w:val="00EA0E3D"/>
    <w:rsid w:val="00EB5DC2"/>
    <w:rsid w:val="00EB66F0"/>
    <w:rsid w:val="00EC38A7"/>
    <w:rsid w:val="00EE1AA8"/>
    <w:rsid w:val="00F00543"/>
    <w:rsid w:val="00F035B6"/>
    <w:rsid w:val="00F17666"/>
    <w:rsid w:val="00F23FEA"/>
    <w:rsid w:val="00F26926"/>
    <w:rsid w:val="00F31EDC"/>
    <w:rsid w:val="00F367C0"/>
    <w:rsid w:val="00F462B3"/>
    <w:rsid w:val="00F5664F"/>
    <w:rsid w:val="00F666C4"/>
    <w:rsid w:val="00F76AFC"/>
    <w:rsid w:val="00FA47C0"/>
    <w:rsid w:val="00FB5DD1"/>
    <w:rsid w:val="00FC2B5D"/>
    <w:rsid w:val="00FD01ED"/>
    <w:rsid w:val="00FE6859"/>
    <w:rsid w:val="00FF1449"/>
    <w:rsid w:val="00FF4E3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E3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4E35"/>
    <w:rPr>
      <w:rFonts w:ascii="Geomanist Light" w:hAnsi="Geomanist Light"/>
      <w:lang w:val="es-ES"/>
    </w:rPr>
  </w:style>
  <w:style w:type="character" w:customStyle="1" w:styleId="NormalWebCar">
    <w:name w:val="Normal (Web) Car"/>
    <w:link w:val="NormalWeb"/>
    <w:uiPriority w:val="99"/>
    <w:locked/>
    <w:rsid w:val="00FF4E35"/>
    <w:rPr>
      <w:rFonts w:ascii="Times New Roman" w:eastAsia="Times New Roman" w:hAnsi="Times New Roman" w:cs="Times New Roman"/>
      <w:sz w:val="24"/>
      <w:szCs w:val="24"/>
      <w:lang w:eastAsia="es-CO"/>
    </w:rPr>
  </w:style>
  <w:style w:type="character" w:customStyle="1" w:styleId="baj">
    <w:name w:val="b_aj"/>
    <w:basedOn w:val="Fuentedeprrafopredeter"/>
    <w:rsid w:val="00FF4E35"/>
  </w:style>
  <w:style w:type="paragraph" w:styleId="Sinespaciado">
    <w:name w:val="No Spacing"/>
    <w:aliases w:val="No Indent"/>
    <w:uiPriority w:val="3"/>
    <w:qFormat/>
    <w:rsid w:val="00AB6D32"/>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675114">
      <w:bodyDiv w:val="1"/>
      <w:marLeft w:val="0"/>
      <w:marRight w:val="0"/>
      <w:marTop w:val="0"/>
      <w:marBottom w:val="0"/>
      <w:divBdr>
        <w:top w:val="none" w:sz="0" w:space="0" w:color="auto"/>
        <w:left w:val="none" w:sz="0" w:space="0" w:color="auto"/>
        <w:bottom w:val="none" w:sz="0" w:space="0" w:color="auto"/>
        <w:right w:val="none" w:sz="0" w:space="0" w:color="auto"/>
      </w:divBdr>
    </w:div>
    <w:div w:id="291404421">
      <w:bodyDiv w:val="1"/>
      <w:marLeft w:val="0"/>
      <w:marRight w:val="0"/>
      <w:marTop w:val="0"/>
      <w:marBottom w:val="0"/>
      <w:divBdr>
        <w:top w:val="none" w:sz="0" w:space="0" w:color="auto"/>
        <w:left w:val="none" w:sz="0" w:space="0" w:color="auto"/>
        <w:bottom w:val="none" w:sz="0" w:space="0" w:color="auto"/>
        <w:right w:val="none" w:sz="0" w:space="0" w:color="auto"/>
      </w:divBdr>
    </w:div>
    <w:div w:id="411007504">
      <w:bodyDiv w:val="1"/>
      <w:marLeft w:val="0"/>
      <w:marRight w:val="0"/>
      <w:marTop w:val="0"/>
      <w:marBottom w:val="0"/>
      <w:divBdr>
        <w:top w:val="none" w:sz="0" w:space="0" w:color="auto"/>
        <w:left w:val="none" w:sz="0" w:space="0" w:color="auto"/>
        <w:bottom w:val="none" w:sz="0" w:space="0" w:color="auto"/>
        <w:right w:val="none" w:sz="0" w:space="0" w:color="auto"/>
      </w:divBdr>
      <w:divsChild>
        <w:div w:id="1528712882">
          <w:marLeft w:val="0"/>
          <w:marRight w:val="0"/>
          <w:marTop w:val="0"/>
          <w:marBottom w:val="0"/>
          <w:divBdr>
            <w:top w:val="none" w:sz="0" w:space="0" w:color="auto"/>
            <w:left w:val="none" w:sz="0" w:space="0" w:color="auto"/>
            <w:bottom w:val="none" w:sz="0" w:space="0" w:color="auto"/>
            <w:right w:val="none" w:sz="0" w:space="0" w:color="auto"/>
          </w:divBdr>
          <w:divsChild>
            <w:div w:id="1478230500">
              <w:marLeft w:val="0"/>
              <w:marRight w:val="0"/>
              <w:marTop w:val="0"/>
              <w:marBottom w:val="0"/>
              <w:divBdr>
                <w:top w:val="none" w:sz="0" w:space="0" w:color="auto"/>
                <w:left w:val="none" w:sz="0" w:space="0" w:color="auto"/>
                <w:bottom w:val="none" w:sz="0" w:space="0" w:color="auto"/>
                <w:right w:val="none" w:sz="0" w:space="0" w:color="auto"/>
              </w:divBdr>
              <w:divsChild>
                <w:div w:id="1003627349">
                  <w:blockQuote w:val="1"/>
                  <w:marLeft w:val="0"/>
                  <w:marRight w:val="0"/>
                  <w:marTop w:val="240"/>
                  <w:marBottom w:val="240"/>
                  <w:divBdr>
                    <w:top w:val="single" w:sz="2" w:space="0" w:color="auto"/>
                    <w:left w:val="single" w:sz="18" w:space="18" w:color="CDD2D6"/>
                    <w:bottom w:val="single" w:sz="2" w:space="0" w:color="auto"/>
                    <w:right w:val="single" w:sz="2" w:space="18" w:color="auto"/>
                  </w:divBdr>
                </w:div>
              </w:divsChild>
            </w:div>
            <w:div w:id="1416631033">
              <w:marLeft w:val="0"/>
              <w:marRight w:val="0"/>
              <w:marTop w:val="0"/>
              <w:marBottom w:val="0"/>
              <w:divBdr>
                <w:top w:val="none" w:sz="0" w:space="0" w:color="auto"/>
                <w:left w:val="none" w:sz="0" w:space="0" w:color="auto"/>
                <w:bottom w:val="none" w:sz="0" w:space="0" w:color="auto"/>
                <w:right w:val="none" w:sz="0" w:space="0" w:color="auto"/>
              </w:divBdr>
              <w:divsChild>
                <w:div w:id="23874341">
                  <w:marLeft w:val="0"/>
                  <w:marRight w:val="0"/>
                  <w:marTop w:val="0"/>
                  <w:marBottom w:val="120"/>
                  <w:divBdr>
                    <w:top w:val="none" w:sz="0" w:space="0" w:color="auto"/>
                    <w:left w:val="none" w:sz="0" w:space="0" w:color="auto"/>
                    <w:bottom w:val="none" w:sz="0" w:space="0" w:color="auto"/>
                    <w:right w:val="none" w:sz="0" w:space="0" w:color="auto"/>
                  </w:divBdr>
                </w:div>
                <w:div w:id="174058880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537161737">
      <w:bodyDiv w:val="1"/>
      <w:marLeft w:val="0"/>
      <w:marRight w:val="0"/>
      <w:marTop w:val="0"/>
      <w:marBottom w:val="0"/>
      <w:divBdr>
        <w:top w:val="none" w:sz="0" w:space="0" w:color="auto"/>
        <w:left w:val="none" w:sz="0" w:space="0" w:color="auto"/>
        <w:bottom w:val="none" w:sz="0" w:space="0" w:color="auto"/>
        <w:right w:val="none" w:sz="0" w:space="0" w:color="auto"/>
      </w:divBdr>
      <w:divsChild>
        <w:div w:id="1325429001">
          <w:marLeft w:val="0"/>
          <w:marRight w:val="0"/>
          <w:marTop w:val="0"/>
          <w:marBottom w:val="0"/>
          <w:divBdr>
            <w:top w:val="none" w:sz="0" w:space="0" w:color="auto"/>
            <w:left w:val="none" w:sz="0" w:space="0" w:color="auto"/>
            <w:bottom w:val="none" w:sz="0" w:space="0" w:color="auto"/>
            <w:right w:val="none" w:sz="0" w:space="0" w:color="auto"/>
          </w:divBdr>
        </w:div>
      </w:divsChild>
    </w:div>
    <w:div w:id="553584947">
      <w:bodyDiv w:val="1"/>
      <w:marLeft w:val="0"/>
      <w:marRight w:val="0"/>
      <w:marTop w:val="0"/>
      <w:marBottom w:val="0"/>
      <w:divBdr>
        <w:top w:val="none" w:sz="0" w:space="0" w:color="auto"/>
        <w:left w:val="none" w:sz="0" w:space="0" w:color="auto"/>
        <w:bottom w:val="none" w:sz="0" w:space="0" w:color="auto"/>
        <w:right w:val="none" w:sz="0" w:space="0" w:color="auto"/>
      </w:divBdr>
    </w:div>
    <w:div w:id="566572503">
      <w:bodyDiv w:val="1"/>
      <w:marLeft w:val="0"/>
      <w:marRight w:val="0"/>
      <w:marTop w:val="0"/>
      <w:marBottom w:val="0"/>
      <w:divBdr>
        <w:top w:val="none" w:sz="0" w:space="0" w:color="auto"/>
        <w:left w:val="none" w:sz="0" w:space="0" w:color="auto"/>
        <w:bottom w:val="none" w:sz="0" w:space="0" w:color="auto"/>
        <w:right w:val="none" w:sz="0" w:space="0" w:color="auto"/>
      </w:divBdr>
    </w:div>
    <w:div w:id="60365897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45547496">
      <w:bodyDiv w:val="1"/>
      <w:marLeft w:val="0"/>
      <w:marRight w:val="0"/>
      <w:marTop w:val="0"/>
      <w:marBottom w:val="0"/>
      <w:divBdr>
        <w:top w:val="none" w:sz="0" w:space="0" w:color="auto"/>
        <w:left w:val="none" w:sz="0" w:space="0" w:color="auto"/>
        <w:bottom w:val="none" w:sz="0" w:space="0" w:color="auto"/>
        <w:right w:val="none" w:sz="0" w:space="0" w:color="auto"/>
      </w:divBdr>
    </w:div>
    <w:div w:id="697194718">
      <w:bodyDiv w:val="1"/>
      <w:marLeft w:val="0"/>
      <w:marRight w:val="0"/>
      <w:marTop w:val="0"/>
      <w:marBottom w:val="0"/>
      <w:divBdr>
        <w:top w:val="none" w:sz="0" w:space="0" w:color="auto"/>
        <w:left w:val="none" w:sz="0" w:space="0" w:color="auto"/>
        <w:bottom w:val="none" w:sz="0" w:space="0" w:color="auto"/>
        <w:right w:val="none" w:sz="0" w:space="0" w:color="auto"/>
      </w:divBdr>
    </w:div>
    <w:div w:id="744104346">
      <w:bodyDiv w:val="1"/>
      <w:marLeft w:val="0"/>
      <w:marRight w:val="0"/>
      <w:marTop w:val="0"/>
      <w:marBottom w:val="0"/>
      <w:divBdr>
        <w:top w:val="none" w:sz="0" w:space="0" w:color="auto"/>
        <w:left w:val="none" w:sz="0" w:space="0" w:color="auto"/>
        <w:bottom w:val="none" w:sz="0" w:space="0" w:color="auto"/>
        <w:right w:val="none" w:sz="0" w:space="0" w:color="auto"/>
      </w:divBdr>
      <w:divsChild>
        <w:div w:id="1402824018">
          <w:marLeft w:val="0"/>
          <w:marRight w:val="0"/>
          <w:marTop w:val="0"/>
          <w:marBottom w:val="0"/>
          <w:divBdr>
            <w:top w:val="none" w:sz="0" w:space="0" w:color="auto"/>
            <w:left w:val="none" w:sz="0" w:space="0" w:color="auto"/>
            <w:bottom w:val="none" w:sz="0" w:space="0" w:color="auto"/>
            <w:right w:val="none" w:sz="0" w:space="0" w:color="auto"/>
          </w:divBdr>
        </w:div>
        <w:div w:id="546180269">
          <w:marLeft w:val="0"/>
          <w:marRight w:val="0"/>
          <w:marTop w:val="0"/>
          <w:marBottom w:val="0"/>
          <w:divBdr>
            <w:top w:val="none" w:sz="0" w:space="0" w:color="auto"/>
            <w:left w:val="none" w:sz="0" w:space="0" w:color="auto"/>
            <w:bottom w:val="none" w:sz="0" w:space="0" w:color="auto"/>
            <w:right w:val="none" w:sz="0" w:space="0" w:color="auto"/>
          </w:divBdr>
        </w:div>
        <w:div w:id="1358118126">
          <w:marLeft w:val="0"/>
          <w:marRight w:val="0"/>
          <w:marTop w:val="0"/>
          <w:marBottom w:val="0"/>
          <w:divBdr>
            <w:top w:val="none" w:sz="0" w:space="0" w:color="auto"/>
            <w:left w:val="none" w:sz="0" w:space="0" w:color="auto"/>
            <w:bottom w:val="none" w:sz="0" w:space="0" w:color="auto"/>
            <w:right w:val="none" w:sz="0" w:space="0" w:color="auto"/>
          </w:divBdr>
        </w:div>
        <w:div w:id="380323632">
          <w:marLeft w:val="0"/>
          <w:marRight w:val="0"/>
          <w:marTop w:val="0"/>
          <w:marBottom w:val="0"/>
          <w:divBdr>
            <w:top w:val="none" w:sz="0" w:space="0" w:color="auto"/>
            <w:left w:val="none" w:sz="0" w:space="0" w:color="auto"/>
            <w:bottom w:val="none" w:sz="0" w:space="0" w:color="auto"/>
            <w:right w:val="none" w:sz="0" w:space="0" w:color="auto"/>
          </w:divBdr>
        </w:div>
        <w:div w:id="341591431">
          <w:marLeft w:val="0"/>
          <w:marRight w:val="0"/>
          <w:marTop w:val="0"/>
          <w:marBottom w:val="0"/>
          <w:divBdr>
            <w:top w:val="none" w:sz="0" w:space="0" w:color="auto"/>
            <w:left w:val="none" w:sz="0" w:space="0" w:color="auto"/>
            <w:bottom w:val="none" w:sz="0" w:space="0" w:color="auto"/>
            <w:right w:val="none" w:sz="0" w:space="0" w:color="auto"/>
          </w:divBdr>
        </w:div>
        <w:div w:id="1857767620">
          <w:blockQuote w:val="1"/>
          <w:marLeft w:val="720"/>
          <w:marRight w:val="720"/>
          <w:marTop w:val="100"/>
          <w:marBottom w:val="100"/>
          <w:divBdr>
            <w:top w:val="single" w:sz="2" w:space="0" w:color="auto"/>
            <w:left w:val="single" w:sz="18" w:space="0" w:color="auto"/>
            <w:bottom w:val="single" w:sz="2" w:space="0" w:color="auto"/>
            <w:right w:val="single" w:sz="2" w:space="0" w:color="auto"/>
          </w:divBdr>
          <w:divsChild>
            <w:div w:id="1618834211">
              <w:marLeft w:val="0"/>
              <w:marRight w:val="0"/>
              <w:marTop w:val="0"/>
              <w:marBottom w:val="0"/>
              <w:divBdr>
                <w:top w:val="none" w:sz="0" w:space="0" w:color="auto"/>
                <w:left w:val="none" w:sz="0" w:space="0" w:color="auto"/>
                <w:bottom w:val="none" w:sz="0" w:space="0" w:color="auto"/>
                <w:right w:val="none" w:sz="0" w:space="0" w:color="auto"/>
              </w:divBdr>
            </w:div>
            <w:div w:id="737049482">
              <w:marLeft w:val="0"/>
              <w:marRight w:val="0"/>
              <w:marTop w:val="0"/>
              <w:marBottom w:val="0"/>
              <w:divBdr>
                <w:top w:val="none" w:sz="0" w:space="0" w:color="auto"/>
                <w:left w:val="none" w:sz="0" w:space="0" w:color="auto"/>
                <w:bottom w:val="none" w:sz="0" w:space="0" w:color="auto"/>
                <w:right w:val="none" w:sz="0" w:space="0" w:color="auto"/>
              </w:divBdr>
            </w:div>
            <w:div w:id="2133745263">
              <w:marLeft w:val="0"/>
              <w:marRight w:val="0"/>
              <w:marTop w:val="0"/>
              <w:marBottom w:val="0"/>
              <w:divBdr>
                <w:top w:val="none" w:sz="0" w:space="0" w:color="auto"/>
                <w:left w:val="none" w:sz="0" w:space="0" w:color="auto"/>
                <w:bottom w:val="none" w:sz="0" w:space="0" w:color="auto"/>
                <w:right w:val="none" w:sz="0" w:space="0" w:color="auto"/>
              </w:divBdr>
            </w:div>
          </w:divsChild>
        </w:div>
        <w:div w:id="513417527">
          <w:marLeft w:val="0"/>
          <w:marRight w:val="0"/>
          <w:marTop w:val="0"/>
          <w:marBottom w:val="0"/>
          <w:divBdr>
            <w:top w:val="none" w:sz="0" w:space="0" w:color="auto"/>
            <w:left w:val="none" w:sz="0" w:space="0" w:color="auto"/>
            <w:bottom w:val="none" w:sz="0" w:space="0" w:color="auto"/>
            <w:right w:val="none" w:sz="0" w:space="0" w:color="auto"/>
          </w:divBdr>
        </w:div>
        <w:div w:id="1037121801">
          <w:marLeft w:val="0"/>
          <w:marRight w:val="0"/>
          <w:marTop w:val="0"/>
          <w:marBottom w:val="0"/>
          <w:divBdr>
            <w:top w:val="none" w:sz="0" w:space="0" w:color="auto"/>
            <w:left w:val="none" w:sz="0" w:space="0" w:color="auto"/>
            <w:bottom w:val="none" w:sz="0" w:space="0" w:color="auto"/>
            <w:right w:val="none" w:sz="0" w:space="0" w:color="auto"/>
          </w:divBdr>
        </w:div>
        <w:div w:id="519785000">
          <w:marLeft w:val="0"/>
          <w:marRight w:val="0"/>
          <w:marTop w:val="0"/>
          <w:marBottom w:val="0"/>
          <w:divBdr>
            <w:top w:val="none" w:sz="0" w:space="0" w:color="auto"/>
            <w:left w:val="none" w:sz="0" w:space="0" w:color="auto"/>
            <w:bottom w:val="none" w:sz="0" w:space="0" w:color="auto"/>
            <w:right w:val="none" w:sz="0" w:space="0" w:color="auto"/>
          </w:divBdr>
        </w:div>
        <w:div w:id="148790464">
          <w:marLeft w:val="0"/>
          <w:marRight w:val="0"/>
          <w:marTop w:val="0"/>
          <w:marBottom w:val="0"/>
          <w:divBdr>
            <w:top w:val="none" w:sz="0" w:space="0" w:color="auto"/>
            <w:left w:val="none" w:sz="0" w:space="0" w:color="auto"/>
            <w:bottom w:val="none" w:sz="0" w:space="0" w:color="auto"/>
            <w:right w:val="none" w:sz="0" w:space="0" w:color="auto"/>
          </w:divBdr>
        </w:div>
        <w:div w:id="1485197526">
          <w:marLeft w:val="0"/>
          <w:marRight w:val="0"/>
          <w:marTop w:val="0"/>
          <w:marBottom w:val="0"/>
          <w:divBdr>
            <w:top w:val="none" w:sz="0" w:space="0" w:color="auto"/>
            <w:left w:val="none" w:sz="0" w:space="0" w:color="auto"/>
            <w:bottom w:val="none" w:sz="0" w:space="0" w:color="auto"/>
            <w:right w:val="none" w:sz="0" w:space="0" w:color="auto"/>
          </w:divBdr>
        </w:div>
        <w:div w:id="1374844824">
          <w:marLeft w:val="0"/>
          <w:marRight w:val="0"/>
          <w:marTop w:val="0"/>
          <w:marBottom w:val="0"/>
          <w:divBdr>
            <w:top w:val="none" w:sz="0" w:space="0" w:color="auto"/>
            <w:left w:val="none" w:sz="0" w:space="0" w:color="auto"/>
            <w:bottom w:val="none" w:sz="0" w:space="0" w:color="auto"/>
            <w:right w:val="none" w:sz="0" w:space="0" w:color="auto"/>
          </w:divBdr>
        </w:div>
        <w:div w:id="899900935">
          <w:marLeft w:val="0"/>
          <w:marRight w:val="0"/>
          <w:marTop w:val="0"/>
          <w:marBottom w:val="0"/>
          <w:divBdr>
            <w:top w:val="none" w:sz="0" w:space="0" w:color="auto"/>
            <w:left w:val="none" w:sz="0" w:space="0" w:color="auto"/>
            <w:bottom w:val="none" w:sz="0" w:space="0" w:color="auto"/>
            <w:right w:val="none" w:sz="0" w:space="0" w:color="auto"/>
          </w:divBdr>
        </w:div>
        <w:div w:id="1259749039">
          <w:marLeft w:val="0"/>
          <w:marRight w:val="0"/>
          <w:marTop w:val="0"/>
          <w:marBottom w:val="0"/>
          <w:divBdr>
            <w:top w:val="none" w:sz="0" w:space="0" w:color="auto"/>
            <w:left w:val="none" w:sz="0" w:space="0" w:color="auto"/>
            <w:bottom w:val="none" w:sz="0" w:space="0" w:color="auto"/>
            <w:right w:val="none" w:sz="0" w:space="0" w:color="auto"/>
          </w:divBdr>
        </w:div>
        <w:div w:id="1651053831">
          <w:marLeft w:val="0"/>
          <w:marRight w:val="0"/>
          <w:marTop w:val="0"/>
          <w:marBottom w:val="0"/>
          <w:divBdr>
            <w:top w:val="none" w:sz="0" w:space="0" w:color="auto"/>
            <w:left w:val="none" w:sz="0" w:space="0" w:color="auto"/>
            <w:bottom w:val="none" w:sz="0" w:space="0" w:color="auto"/>
            <w:right w:val="none" w:sz="0" w:space="0" w:color="auto"/>
          </w:divBdr>
        </w:div>
        <w:div w:id="1196697428">
          <w:marLeft w:val="0"/>
          <w:marRight w:val="0"/>
          <w:marTop w:val="0"/>
          <w:marBottom w:val="0"/>
          <w:divBdr>
            <w:top w:val="none" w:sz="0" w:space="0" w:color="auto"/>
            <w:left w:val="none" w:sz="0" w:space="0" w:color="auto"/>
            <w:bottom w:val="none" w:sz="0" w:space="0" w:color="auto"/>
            <w:right w:val="none" w:sz="0" w:space="0" w:color="auto"/>
          </w:divBdr>
        </w:div>
        <w:div w:id="1254700703">
          <w:marLeft w:val="0"/>
          <w:marRight w:val="0"/>
          <w:marTop w:val="0"/>
          <w:marBottom w:val="0"/>
          <w:divBdr>
            <w:top w:val="none" w:sz="0" w:space="0" w:color="auto"/>
            <w:left w:val="none" w:sz="0" w:space="0" w:color="auto"/>
            <w:bottom w:val="none" w:sz="0" w:space="0" w:color="auto"/>
            <w:right w:val="none" w:sz="0" w:space="0" w:color="auto"/>
          </w:divBdr>
        </w:div>
        <w:div w:id="2056077782">
          <w:marLeft w:val="0"/>
          <w:marRight w:val="0"/>
          <w:marTop w:val="0"/>
          <w:marBottom w:val="0"/>
          <w:divBdr>
            <w:top w:val="none" w:sz="0" w:space="0" w:color="auto"/>
            <w:left w:val="none" w:sz="0" w:space="0" w:color="auto"/>
            <w:bottom w:val="none" w:sz="0" w:space="0" w:color="auto"/>
            <w:right w:val="none" w:sz="0" w:space="0" w:color="auto"/>
          </w:divBdr>
        </w:div>
        <w:div w:id="1525092252">
          <w:marLeft w:val="0"/>
          <w:marRight w:val="0"/>
          <w:marTop w:val="0"/>
          <w:marBottom w:val="0"/>
          <w:divBdr>
            <w:top w:val="none" w:sz="0" w:space="0" w:color="auto"/>
            <w:left w:val="none" w:sz="0" w:space="0" w:color="auto"/>
            <w:bottom w:val="none" w:sz="0" w:space="0" w:color="auto"/>
            <w:right w:val="none" w:sz="0" w:space="0" w:color="auto"/>
          </w:divBdr>
        </w:div>
        <w:div w:id="1764183555">
          <w:marLeft w:val="0"/>
          <w:marRight w:val="0"/>
          <w:marTop w:val="0"/>
          <w:marBottom w:val="0"/>
          <w:divBdr>
            <w:top w:val="none" w:sz="0" w:space="0" w:color="auto"/>
            <w:left w:val="none" w:sz="0" w:space="0" w:color="auto"/>
            <w:bottom w:val="none" w:sz="0" w:space="0" w:color="auto"/>
            <w:right w:val="none" w:sz="0" w:space="0" w:color="auto"/>
          </w:divBdr>
        </w:div>
        <w:div w:id="1655599949">
          <w:marLeft w:val="0"/>
          <w:marRight w:val="0"/>
          <w:marTop w:val="0"/>
          <w:marBottom w:val="0"/>
          <w:divBdr>
            <w:top w:val="none" w:sz="0" w:space="0" w:color="auto"/>
            <w:left w:val="none" w:sz="0" w:space="0" w:color="auto"/>
            <w:bottom w:val="none" w:sz="0" w:space="0" w:color="auto"/>
            <w:right w:val="none" w:sz="0" w:space="0" w:color="auto"/>
          </w:divBdr>
        </w:div>
        <w:div w:id="2101025943">
          <w:marLeft w:val="0"/>
          <w:marRight w:val="0"/>
          <w:marTop w:val="0"/>
          <w:marBottom w:val="0"/>
          <w:divBdr>
            <w:top w:val="none" w:sz="0" w:space="0" w:color="auto"/>
            <w:left w:val="none" w:sz="0" w:space="0" w:color="auto"/>
            <w:bottom w:val="none" w:sz="0" w:space="0" w:color="auto"/>
            <w:right w:val="none" w:sz="0" w:space="0" w:color="auto"/>
          </w:divBdr>
        </w:div>
        <w:div w:id="1533809470">
          <w:marLeft w:val="0"/>
          <w:marRight w:val="0"/>
          <w:marTop w:val="0"/>
          <w:marBottom w:val="0"/>
          <w:divBdr>
            <w:top w:val="none" w:sz="0" w:space="0" w:color="auto"/>
            <w:left w:val="none" w:sz="0" w:space="0" w:color="auto"/>
            <w:bottom w:val="none" w:sz="0" w:space="0" w:color="auto"/>
            <w:right w:val="none" w:sz="0" w:space="0" w:color="auto"/>
          </w:divBdr>
        </w:div>
        <w:div w:id="825437752">
          <w:marLeft w:val="0"/>
          <w:marRight w:val="0"/>
          <w:marTop w:val="0"/>
          <w:marBottom w:val="0"/>
          <w:divBdr>
            <w:top w:val="none" w:sz="0" w:space="0" w:color="auto"/>
            <w:left w:val="none" w:sz="0" w:space="0" w:color="auto"/>
            <w:bottom w:val="none" w:sz="0" w:space="0" w:color="auto"/>
            <w:right w:val="none" w:sz="0" w:space="0" w:color="auto"/>
          </w:divBdr>
        </w:div>
        <w:div w:id="654182220">
          <w:marLeft w:val="0"/>
          <w:marRight w:val="0"/>
          <w:marTop w:val="0"/>
          <w:marBottom w:val="0"/>
          <w:divBdr>
            <w:top w:val="none" w:sz="0" w:space="0" w:color="auto"/>
            <w:left w:val="none" w:sz="0" w:space="0" w:color="auto"/>
            <w:bottom w:val="none" w:sz="0" w:space="0" w:color="auto"/>
            <w:right w:val="none" w:sz="0" w:space="0" w:color="auto"/>
          </w:divBdr>
        </w:div>
        <w:div w:id="1813326354">
          <w:marLeft w:val="0"/>
          <w:marRight w:val="0"/>
          <w:marTop w:val="0"/>
          <w:marBottom w:val="0"/>
          <w:divBdr>
            <w:top w:val="none" w:sz="0" w:space="0" w:color="auto"/>
            <w:left w:val="none" w:sz="0" w:space="0" w:color="auto"/>
            <w:bottom w:val="none" w:sz="0" w:space="0" w:color="auto"/>
            <w:right w:val="none" w:sz="0" w:space="0" w:color="auto"/>
          </w:divBdr>
        </w:div>
        <w:div w:id="298414971">
          <w:marLeft w:val="0"/>
          <w:marRight w:val="0"/>
          <w:marTop w:val="0"/>
          <w:marBottom w:val="0"/>
          <w:divBdr>
            <w:top w:val="none" w:sz="0" w:space="0" w:color="auto"/>
            <w:left w:val="none" w:sz="0" w:space="0" w:color="auto"/>
            <w:bottom w:val="none" w:sz="0" w:space="0" w:color="auto"/>
            <w:right w:val="none" w:sz="0" w:space="0" w:color="auto"/>
          </w:divBdr>
        </w:div>
        <w:div w:id="638920591">
          <w:marLeft w:val="0"/>
          <w:marRight w:val="0"/>
          <w:marTop w:val="0"/>
          <w:marBottom w:val="0"/>
          <w:divBdr>
            <w:top w:val="none" w:sz="0" w:space="0" w:color="auto"/>
            <w:left w:val="none" w:sz="0" w:space="0" w:color="auto"/>
            <w:bottom w:val="none" w:sz="0" w:space="0" w:color="auto"/>
            <w:right w:val="none" w:sz="0" w:space="0" w:color="auto"/>
          </w:divBdr>
        </w:div>
        <w:div w:id="661201270">
          <w:marLeft w:val="0"/>
          <w:marRight w:val="0"/>
          <w:marTop w:val="0"/>
          <w:marBottom w:val="0"/>
          <w:divBdr>
            <w:top w:val="none" w:sz="0" w:space="0" w:color="auto"/>
            <w:left w:val="none" w:sz="0" w:space="0" w:color="auto"/>
            <w:bottom w:val="none" w:sz="0" w:space="0" w:color="auto"/>
            <w:right w:val="none" w:sz="0" w:space="0" w:color="auto"/>
          </w:divBdr>
        </w:div>
        <w:div w:id="1327585302">
          <w:marLeft w:val="0"/>
          <w:marRight w:val="0"/>
          <w:marTop w:val="0"/>
          <w:marBottom w:val="0"/>
          <w:divBdr>
            <w:top w:val="none" w:sz="0" w:space="0" w:color="auto"/>
            <w:left w:val="none" w:sz="0" w:space="0" w:color="auto"/>
            <w:bottom w:val="none" w:sz="0" w:space="0" w:color="auto"/>
            <w:right w:val="none" w:sz="0" w:space="0" w:color="auto"/>
          </w:divBdr>
        </w:div>
        <w:div w:id="1828596419">
          <w:marLeft w:val="0"/>
          <w:marRight w:val="0"/>
          <w:marTop w:val="0"/>
          <w:marBottom w:val="0"/>
          <w:divBdr>
            <w:top w:val="none" w:sz="0" w:space="0" w:color="auto"/>
            <w:left w:val="none" w:sz="0" w:space="0" w:color="auto"/>
            <w:bottom w:val="none" w:sz="0" w:space="0" w:color="auto"/>
            <w:right w:val="none" w:sz="0" w:space="0" w:color="auto"/>
          </w:divBdr>
        </w:div>
        <w:div w:id="157811441">
          <w:marLeft w:val="0"/>
          <w:marRight w:val="0"/>
          <w:marTop w:val="0"/>
          <w:marBottom w:val="0"/>
          <w:divBdr>
            <w:top w:val="none" w:sz="0" w:space="0" w:color="auto"/>
            <w:left w:val="none" w:sz="0" w:space="0" w:color="auto"/>
            <w:bottom w:val="none" w:sz="0" w:space="0" w:color="auto"/>
            <w:right w:val="none" w:sz="0" w:space="0" w:color="auto"/>
          </w:divBdr>
        </w:div>
        <w:div w:id="1635745672">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7872011">
      <w:bodyDiv w:val="1"/>
      <w:marLeft w:val="0"/>
      <w:marRight w:val="0"/>
      <w:marTop w:val="0"/>
      <w:marBottom w:val="0"/>
      <w:divBdr>
        <w:top w:val="none" w:sz="0" w:space="0" w:color="auto"/>
        <w:left w:val="none" w:sz="0" w:space="0" w:color="auto"/>
        <w:bottom w:val="none" w:sz="0" w:space="0" w:color="auto"/>
        <w:right w:val="none" w:sz="0" w:space="0" w:color="auto"/>
      </w:divBdr>
    </w:div>
    <w:div w:id="789544103">
      <w:bodyDiv w:val="1"/>
      <w:marLeft w:val="0"/>
      <w:marRight w:val="0"/>
      <w:marTop w:val="0"/>
      <w:marBottom w:val="0"/>
      <w:divBdr>
        <w:top w:val="none" w:sz="0" w:space="0" w:color="auto"/>
        <w:left w:val="none" w:sz="0" w:space="0" w:color="auto"/>
        <w:bottom w:val="none" w:sz="0" w:space="0" w:color="auto"/>
        <w:right w:val="none" w:sz="0" w:space="0" w:color="auto"/>
      </w:divBdr>
    </w:div>
    <w:div w:id="800148887">
      <w:bodyDiv w:val="1"/>
      <w:marLeft w:val="0"/>
      <w:marRight w:val="0"/>
      <w:marTop w:val="0"/>
      <w:marBottom w:val="0"/>
      <w:divBdr>
        <w:top w:val="none" w:sz="0" w:space="0" w:color="auto"/>
        <w:left w:val="none" w:sz="0" w:space="0" w:color="auto"/>
        <w:bottom w:val="none" w:sz="0" w:space="0" w:color="auto"/>
        <w:right w:val="none" w:sz="0" w:space="0" w:color="auto"/>
      </w:divBdr>
    </w:div>
    <w:div w:id="925262889">
      <w:bodyDiv w:val="1"/>
      <w:marLeft w:val="0"/>
      <w:marRight w:val="0"/>
      <w:marTop w:val="0"/>
      <w:marBottom w:val="0"/>
      <w:divBdr>
        <w:top w:val="none" w:sz="0" w:space="0" w:color="auto"/>
        <w:left w:val="none" w:sz="0" w:space="0" w:color="auto"/>
        <w:bottom w:val="none" w:sz="0" w:space="0" w:color="auto"/>
        <w:right w:val="none" w:sz="0" w:space="0" w:color="auto"/>
      </w:divBdr>
    </w:div>
    <w:div w:id="957300418">
      <w:bodyDiv w:val="1"/>
      <w:marLeft w:val="0"/>
      <w:marRight w:val="0"/>
      <w:marTop w:val="0"/>
      <w:marBottom w:val="0"/>
      <w:divBdr>
        <w:top w:val="none" w:sz="0" w:space="0" w:color="auto"/>
        <w:left w:val="none" w:sz="0" w:space="0" w:color="auto"/>
        <w:bottom w:val="none" w:sz="0" w:space="0" w:color="auto"/>
        <w:right w:val="none" w:sz="0" w:space="0" w:color="auto"/>
      </w:divBdr>
    </w:div>
    <w:div w:id="1013991757">
      <w:bodyDiv w:val="1"/>
      <w:marLeft w:val="0"/>
      <w:marRight w:val="0"/>
      <w:marTop w:val="0"/>
      <w:marBottom w:val="0"/>
      <w:divBdr>
        <w:top w:val="none" w:sz="0" w:space="0" w:color="auto"/>
        <w:left w:val="none" w:sz="0" w:space="0" w:color="auto"/>
        <w:bottom w:val="none" w:sz="0" w:space="0" w:color="auto"/>
        <w:right w:val="none" w:sz="0" w:space="0" w:color="auto"/>
      </w:divBdr>
    </w:div>
    <w:div w:id="102217282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25332494">
      <w:bodyDiv w:val="1"/>
      <w:marLeft w:val="0"/>
      <w:marRight w:val="0"/>
      <w:marTop w:val="0"/>
      <w:marBottom w:val="0"/>
      <w:divBdr>
        <w:top w:val="none" w:sz="0" w:space="0" w:color="auto"/>
        <w:left w:val="none" w:sz="0" w:space="0" w:color="auto"/>
        <w:bottom w:val="none" w:sz="0" w:space="0" w:color="auto"/>
        <w:right w:val="none" w:sz="0" w:space="0" w:color="auto"/>
      </w:divBdr>
      <w:divsChild>
        <w:div w:id="1634019423">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0795291">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07859741">
      <w:bodyDiv w:val="1"/>
      <w:marLeft w:val="0"/>
      <w:marRight w:val="0"/>
      <w:marTop w:val="0"/>
      <w:marBottom w:val="0"/>
      <w:divBdr>
        <w:top w:val="none" w:sz="0" w:space="0" w:color="auto"/>
        <w:left w:val="none" w:sz="0" w:space="0" w:color="auto"/>
        <w:bottom w:val="none" w:sz="0" w:space="0" w:color="auto"/>
        <w:right w:val="none" w:sz="0" w:space="0" w:color="auto"/>
      </w:divBdr>
    </w:div>
    <w:div w:id="1365904640">
      <w:bodyDiv w:val="1"/>
      <w:marLeft w:val="0"/>
      <w:marRight w:val="0"/>
      <w:marTop w:val="0"/>
      <w:marBottom w:val="0"/>
      <w:divBdr>
        <w:top w:val="none" w:sz="0" w:space="0" w:color="auto"/>
        <w:left w:val="none" w:sz="0" w:space="0" w:color="auto"/>
        <w:bottom w:val="none" w:sz="0" w:space="0" w:color="auto"/>
        <w:right w:val="none" w:sz="0" w:space="0" w:color="auto"/>
      </w:divBdr>
      <w:divsChild>
        <w:div w:id="375933252">
          <w:marLeft w:val="0"/>
          <w:marRight w:val="0"/>
          <w:marTop w:val="0"/>
          <w:marBottom w:val="0"/>
          <w:divBdr>
            <w:top w:val="none" w:sz="0" w:space="0" w:color="auto"/>
            <w:left w:val="none" w:sz="0" w:space="0" w:color="auto"/>
            <w:bottom w:val="none" w:sz="0" w:space="0" w:color="auto"/>
            <w:right w:val="none" w:sz="0" w:space="0" w:color="auto"/>
          </w:divBdr>
          <w:divsChild>
            <w:div w:id="908344247">
              <w:marLeft w:val="0"/>
              <w:marRight w:val="0"/>
              <w:marTop w:val="0"/>
              <w:marBottom w:val="0"/>
              <w:divBdr>
                <w:top w:val="none" w:sz="0" w:space="0" w:color="auto"/>
                <w:left w:val="none" w:sz="0" w:space="0" w:color="auto"/>
                <w:bottom w:val="none" w:sz="0" w:space="0" w:color="auto"/>
                <w:right w:val="none" w:sz="0" w:space="0" w:color="auto"/>
              </w:divBdr>
              <w:divsChild>
                <w:div w:id="2110004848">
                  <w:blockQuote w:val="1"/>
                  <w:marLeft w:val="0"/>
                  <w:marRight w:val="0"/>
                  <w:marTop w:val="240"/>
                  <w:marBottom w:val="240"/>
                  <w:divBdr>
                    <w:top w:val="single" w:sz="2" w:space="0" w:color="auto"/>
                    <w:left w:val="single" w:sz="18" w:space="18" w:color="CDD2D6"/>
                    <w:bottom w:val="single" w:sz="2" w:space="0" w:color="auto"/>
                    <w:right w:val="single" w:sz="2" w:space="18" w:color="auto"/>
                  </w:divBdr>
                </w:div>
              </w:divsChild>
            </w:div>
            <w:div w:id="2000961034">
              <w:marLeft w:val="0"/>
              <w:marRight w:val="0"/>
              <w:marTop w:val="0"/>
              <w:marBottom w:val="0"/>
              <w:divBdr>
                <w:top w:val="none" w:sz="0" w:space="0" w:color="auto"/>
                <w:left w:val="none" w:sz="0" w:space="0" w:color="auto"/>
                <w:bottom w:val="none" w:sz="0" w:space="0" w:color="auto"/>
                <w:right w:val="none" w:sz="0" w:space="0" w:color="auto"/>
              </w:divBdr>
              <w:divsChild>
                <w:div w:id="2083792993">
                  <w:marLeft w:val="0"/>
                  <w:marRight w:val="0"/>
                  <w:marTop w:val="0"/>
                  <w:marBottom w:val="120"/>
                  <w:divBdr>
                    <w:top w:val="none" w:sz="0" w:space="0" w:color="auto"/>
                    <w:left w:val="none" w:sz="0" w:space="0" w:color="auto"/>
                    <w:bottom w:val="none" w:sz="0" w:space="0" w:color="auto"/>
                    <w:right w:val="none" w:sz="0" w:space="0" w:color="auto"/>
                  </w:divBdr>
                </w:div>
                <w:div w:id="8442839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488861115">
      <w:bodyDiv w:val="1"/>
      <w:marLeft w:val="0"/>
      <w:marRight w:val="0"/>
      <w:marTop w:val="0"/>
      <w:marBottom w:val="0"/>
      <w:divBdr>
        <w:top w:val="none" w:sz="0" w:space="0" w:color="auto"/>
        <w:left w:val="none" w:sz="0" w:space="0" w:color="auto"/>
        <w:bottom w:val="none" w:sz="0" w:space="0" w:color="auto"/>
        <w:right w:val="none" w:sz="0" w:space="0" w:color="auto"/>
      </w:divBdr>
    </w:div>
    <w:div w:id="1561408021">
      <w:bodyDiv w:val="1"/>
      <w:marLeft w:val="0"/>
      <w:marRight w:val="0"/>
      <w:marTop w:val="0"/>
      <w:marBottom w:val="0"/>
      <w:divBdr>
        <w:top w:val="none" w:sz="0" w:space="0" w:color="auto"/>
        <w:left w:val="none" w:sz="0" w:space="0" w:color="auto"/>
        <w:bottom w:val="none" w:sz="0" w:space="0" w:color="auto"/>
        <w:right w:val="none" w:sz="0" w:space="0" w:color="auto"/>
      </w:divBdr>
    </w:div>
    <w:div w:id="1695492555">
      <w:bodyDiv w:val="1"/>
      <w:marLeft w:val="0"/>
      <w:marRight w:val="0"/>
      <w:marTop w:val="0"/>
      <w:marBottom w:val="0"/>
      <w:divBdr>
        <w:top w:val="none" w:sz="0" w:space="0" w:color="auto"/>
        <w:left w:val="none" w:sz="0" w:space="0" w:color="auto"/>
        <w:bottom w:val="none" w:sz="0" w:space="0" w:color="auto"/>
        <w:right w:val="none" w:sz="0" w:space="0" w:color="auto"/>
      </w:divBdr>
    </w:div>
    <w:div w:id="1906447131">
      <w:bodyDiv w:val="1"/>
      <w:marLeft w:val="0"/>
      <w:marRight w:val="0"/>
      <w:marTop w:val="0"/>
      <w:marBottom w:val="0"/>
      <w:divBdr>
        <w:top w:val="none" w:sz="0" w:space="0" w:color="auto"/>
        <w:left w:val="none" w:sz="0" w:space="0" w:color="auto"/>
        <w:bottom w:val="none" w:sz="0" w:space="0" w:color="auto"/>
        <w:right w:val="none" w:sz="0" w:space="0" w:color="auto"/>
      </w:divBdr>
    </w:div>
    <w:div w:id="1909996684">
      <w:bodyDiv w:val="1"/>
      <w:marLeft w:val="0"/>
      <w:marRight w:val="0"/>
      <w:marTop w:val="0"/>
      <w:marBottom w:val="0"/>
      <w:divBdr>
        <w:top w:val="none" w:sz="0" w:space="0" w:color="auto"/>
        <w:left w:val="none" w:sz="0" w:space="0" w:color="auto"/>
        <w:bottom w:val="none" w:sz="0" w:space="0" w:color="auto"/>
        <w:right w:val="none" w:sz="0" w:space="0" w:color="auto"/>
      </w:divBdr>
    </w:div>
    <w:div w:id="1923031059">
      <w:bodyDiv w:val="1"/>
      <w:marLeft w:val="0"/>
      <w:marRight w:val="0"/>
      <w:marTop w:val="0"/>
      <w:marBottom w:val="0"/>
      <w:divBdr>
        <w:top w:val="none" w:sz="0" w:space="0" w:color="auto"/>
        <w:left w:val="none" w:sz="0" w:space="0" w:color="auto"/>
        <w:bottom w:val="none" w:sz="0" w:space="0" w:color="auto"/>
        <w:right w:val="none" w:sz="0" w:space="0" w:color="auto"/>
      </w:divBdr>
      <w:divsChild>
        <w:div w:id="286476635">
          <w:marLeft w:val="0"/>
          <w:marRight w:val="0"/>
          <w:marTop w:val="0"/>
          <w:marBottom w:val="0"/>
          <w:divBdr>
            <w:top w:val="none" w:sz="0" w:space="0" w:color="auto"/>
            <w:left w:val="none" w:sz="0" w:space="0" w:color="auto"/>
            <w:bottom w:val="none" w:sz="0" w:space="0" w:color="auto"/>
            <w:right w:val="none" w:sz="0" w:space="0" w:color="auto"/>
          </w:divBdr>
        </w:div>
        <w:div w:id="1398093093">
          <w:marLeft w:val="0"/>
          <w:marRight w:val="0"/>
          <w:marTop w:val="0"/>
          <w:marBottom w:val="0"/>
          <w:divBdr>
            <w:top w:val="none" w:sz="0" w:space="0" w:color="auto"/>
            <w:left w:val="none" w:sz="0" w:space="0" w:color="auto"/>
            <w:bottom w:val="none" w:sz="0" w:space="0" w:color="auto"/>
            <w:right w:val="none" w:sz="0" w:space="0" w:color="auto"/>
          </w:divBdr>
        </w:div>
        <w:div w:id="1890800187">
          <w:marLeft w:val="0"/>
          <w:marRight w:val="0"/>
          <w:marTop w:val="0"/>
          <w:marBottom w:val="0"/>
          <w:divBdr>
            <w:top w:val="none" w:sz="0" w:space="0" w:color="auto"/>
            <w:left w:val="none" w:sz="0" w:space="0" w:color="auto"/>
            <w:bottom w:val="none" w:sz="0" w:space="0" w:color="auto"/>
            <w:right w:val="none" w:sz="0" w:space="0" w:color="auto"/>
          </w:divBdr>
        </w:div>
        <w:div w:id="995764555">
          <w:marLeft w:val="0"/>
          <w:marRight w:val="0"/>
          <w:marTop w:val="0"/>
          <w:marBottom w:val="0"/>
          <w:divBdr>
            <w:top w:val="none" w:sz="0" w:space="0" w:color="auto"/>
            <w:left w:val="none" w:sz="0" w:space="0" w:color="auto"/>
            <w:bottom w:val="none" w:sz="0" w:space="0" w:color="auto"/>
            <w:right w:val="none" w:sz="0" w:space="0" w:color="auto"/>
          </w:divBdr>
        </w:div>
        <w:div w:id="1090928515">
          <w:marLeft w:val="0"/>
          <w:marRight w:val="0"/>
          <w:marTop w:val="0"/>
          <w:marBottom w:val="0"/>
          <w:divBdr>
            <w:top w:val="none" w:sz="0" w:space="0" w:color="auto"/>
            <w:left w:val="none" w:sz="0" w:space="0" w:color="auto"/>
            <w:bottom w:val="none" w:sz="0" w:space="0" w:color="auto"/>
            <w:right w:val="none" w:sz="0" w:space="0" w:color="auto"/>
          </w:divBdr>
        </w:div>
        <w:div w:id="1086461430">
          <w:blockQuote w:val="1"/>
          <w:marLeft w:val="720"/>
          <w:marRight w:val="720"/>
          <w:marTop w:val="100"/>
          <w:marBottom w:val="100"/>
          <w:divBdr>
            <w:top w:val="single" w:sz="2" w:space="0" w:color="auto"/>
            <w:left w:val="single" w:sz="18" w:space="0" w:color="auto"/>
            <w:bottom w:val="single" w:sz="2" w:space="0" w:color="auto"/>
            <w:right w:val="single" w:sz="2" w:space="0" w:color="auto"/>
          </w:divBdr>
          <w:divsChild>
            <w:div w:id="380248729">
              <w:marLeft w:val="0"/>
              <w:marRight w:val="0"/>
              <w:marTop w:val="0"/>
              <w:marBottom w:val="0"/>
              <w:divBdr>
                <w:top w:val="none" w:sz="0" w:space="0" w:color="auto"/>
                <w:left w:val="none" w:sz="0" w:space="0" w:color="auto"/>
                <w:bottom w:val="none" w:sz="0" w:space="0" w:color="auto"/>
                <w:right w:val="none" w:sz="0" w:space="0" w:color="auto"/>
              </w:divBdr>
            </w:div>
            <w:div w:id="1809009801">
              <w:marLeft w:val="0"/>
              <w:marRight w:val="0"/>
              <w:marTop w:val="0"/>
              <w:marBottom w:val="0"/>
              <w:divBdr>
                <w:top w:val="none" w:sz="0" w:space="0" w:color="auto"/>
                <w:left w:val="none" w:sz="0" w:space="0" w:color="auto"/>
                <w:bottom w:val="none" w:sz="0" w:space="0" w:color="auto"/>
                <w:right w:val="none" w:sz="0" w:space="0" w:color="auto"/>
              </w:divBdr>
            </w:div>
            <w:div w:id="901988742">
              <w:marLeft w:val="0"/>
              <w:marRight w:val="0"/>
              <w:marTop w:val="0"/>
              <w:marBottom w:val="0"/>
              <w:divBdr>
                <w:top w:val="none" w:sz="0" w:space="0" w:color="auto"/>
                <w:left w:val="none" w:sz="0" w:space="0" w:color="auto"/>
                <w:bottom w:val="none" w:sz="0" w:space="0" w:color="auto"/>
                <w:right w:val="none" w:sz="0" w:space="0" w:color="auto"/>
              </w:divBdr>
            </w:div>
          </w:divsChild>
        </w:div>
        <w:div w:id="2071532692">
          <w:marLeft w:val="0"/>
          <w:marRight w:val="0"/>
          <w:marTop w:val="0"/>
          <w:marBottom w:val="0"/>
          <w:divBdr>
            <w:top w:val="none" w:sz="0" w:space="0" w:color="auto"/>
            <w:left w:val="none" w:sz="0" w:space="0" w:color="auto"/>
            <w:bottom w:val="none" w:sz="0" w:space="0" w:color="auto"/>
            <w:right w:val="none" w:sz="0" w:space="0" w:color="auto"/>
          </w:divBdr>
        </w:div>
        <w:div w:id="1891186355">
          <w:marLeft w:val="0"/>
          <w:marRight w:val="0"/>
          <w:marTop w:val="0"/>
          <w:marBottom w:val="0"/>
          <w:divBdr>
            <w:top w:val="none" w:sz="0" w:space="0" w:color="auto"/>
            <w:left w:val="none" w:sz="0" w:space="0" w:color="auto"/>
            <w:bottom w:val="none" w:sz="0" w:space="0" w:color="auto"/>
            <w:right w:val="none" w:sz="0" w:space="0" w:color="auto"/>
          </w:divBdr>
        </w:div>
        <w:div w:id="332491643">
          <w:marLeft w:val="0"/>
          <w:marRight w:val="0"/>
          <w:marTop w:val="0"/>
          <w:marBottom w:val="0"/>
          <w:divBdr>
            <w:top w:val="none" w:sz="0" w:space="0" w:color="auto"/>
            <w:left w:val="none" w:sz="0" w:space="0" w:color="auto"/>
            <w:bottom w:val="none" w:sz="0" w:space="0" w:color="auto"/>
            <w:right w:val="none" w:sz="0" w:space="0" w:color="auto"/>
          </w:divBdr>
        </w:div>
        <w:div w:id="1987929735">
          <w:marLeft w:val="0"/>
          <w:marRight w:val="0"/>
          <w:marTop w:val="0"/>
          <w:marBottom w:val="0"/>
          <w:divBdr>
            <w:top w:val="none" w:sz="0" w:space="0" w:color="auto"/>
            <w:left w:val="none" w:sz="0" w:space="0" w:color="auto"/>
            <w:bottom w:val="none" w:sz="0" w:space="0" w:color="auto"/>
            <w:right w:val="none" w:sz="0" w:space="0" w:color="auto"/>
          </w:divBdr>
        </w:div>
        <w:div w:id="1602757964">
          <w:marLeft w:val="0"/>
          <w:marRight w:val="0"/>
          <w:marTop w:val="0"/>
          <w:marBottom w:val="0"/>
          <w:divBdr>
            <w:top w:val="none" w:sz="0" w:space="0" w:color="auto"/>
            <w:left w:val="none" w:sz="0" w:space="0" w:color="auto"/>
            <w:bottom w:val="none" w:sz="0" w:space="0" w:color="auto"/>
            <w:right w:val="none" w:sz="0" w:space="0" w:color="auto"/>
          </w:divBdr>
        </w:div>
        <w:div w:id="1630697876">
          <w:marLeft w:val="0"/>
          <w:marRight w:val="0"/>
          <w:marTop w:val="0"/>
          <w:marBottom w:val="0"/>
          <w:divBdr>
            <w:top w:val="none" w:sz="0" w:space="0" w:color="auto"/>
            <w:left w:val="none" w:sz="0" w:space="0" w:color="auto"/>
            <w:bottom w:val="none" w:sz="0" w:space="0" w:color="auto"/>
            <w:right w:val="none" w:sz="0" w:space="0" w:color="auto"/>
          </w:divBdr>
        </w:div>
        <w:div w:id="1604990389">
          <w:marLeft w:val="0"/>
          <w:marRight w:val="0"/>
          <w:marTop w:val="0"/>
          <w:marBottom w:val="0"/>
          <w:divBdr>
            <w:top w:val="none" w:sz="0" w:space="0" w:color="auto"/>
            <w:left w:val="none" w:sz="0" w:space="0" w:color="auto"/>
            <w:bottom w:val="none" w:sz="0" w:space="0" w:color="auto"/>
            <w:right w:val="none" w:sz="0" w:space="0" w:color="auto"/>
          </w:divBdr>
        </w:div>
        <w:div w:id="1928146761">
          <w:marLeft w:val="0"/>
          <w:marRight w:val="0"/>
          <w:marTop w:val="0"/>
          <w:marBottom w:val="0"/>
          <w:divBdr>
            <w:top w:val="none" w:sz="0" w:space="0" w:color="auto"/>
            <w:left w:val="none" w:sz="0" w:space="0" w:color="auto"/>
            <w:bottom w:val="none" w:sz="0" w:space="0" w:color="auto"/>
            <w:right w:val="none" w:sz="0" w:space="0" w:color="auto"/>
          </w:divBdr>
        </w:div>
        <w:div w:id="165050288">
          <w:marLeft w:val="0"/>
          <w:marRight w:val="0"/>
          <w:marTop w:val="0"/>
          <w:marBottom w:val="0"/>
          <w:divBdr>
            <w:top w:val="none" w:sz="0" w:space="0" w:color="auto"/>
            <w:left w:val="none" w:sz="0" w:space="0" w:color="auto"/>
            <w:bottom w:val="none" w:sz="0" w:space="0" w:color="auto"/>
            <w:right w:val="none" w:sz="0" w:space="0" w:color="auto"/>
          </w:divBdr>
        </w:div>
        <w:div w:id="1504737885">
          <w:marLeft w:val="0"/>
          <w:marRight w:val="0"/>
          <w:marTop w:val="0"/>
          <w:marBottom w:val="0"/>
          <w:divBdr>
            <w:top w:val="none" w:sz="0" w:space="0" w:color="auto"/>
            <w:left w:val="none" w:sz="0" w:space="0" w:color="auto"/>
            <w:bottom w:val="none" w:sz="0" w:space="0" w:color="auto"/>
            <w:right w:val="none" w:sz="0" w:space="0" w:color="auto"/>
          </w:divBdr>
        </w:div>
        <w:div w:id="1934240023">
          <w:marLeft w:val="0"/>
          <w:marRight w:val="0"/>
          <w:marTop w:val="0"/>
          <w:marBottom w:val="0"/>
          <w:divBdr>
            <w:top w:val="none" w:sz="0" w:space="0" w:color="auto"/>
            <w:left w:val="none" w:sz="0" w:space="0" w:color="auto"/>
            <w:bottom w:val="none" w:sz="0" w:space="0" w:color="auto"/>
            <w:right w:val="none" w:sz="0" w:space="0" w:color="auto"/>
          </w:divBdr>
        </w:div>
        <w:div w:id="2112578237">
          <w:marLeft w:val="0"/>
          <w:marRight w:val="0"/>
          <w:marTop w:val="0"/>
          <w:marBottom w:val="0"/>
          <w:divBdr>
            <w:top w:val="none" w:sz="0" w:space="0" w:color="auto"/>
            <w:left w:val="none" w:sz="0" w:space="0" w:color="auto"/>
            <w:bottom w:val="none" w:sz="0" w:space="0" w:color="auto"/>
            <w:right w:val="none" w:sz="0" w:space="0" w:color="auto"/>
          </w:divBdr>
        </w:div>
        <w:div w:id="23680490">
          <w:marLeft w:val="0"/>
          <w:marRight w:val="0"/>
          <w:marTop w:val="0"/>
          <w:marBottom w:val="0"/>
          <w:divBdr>
            <w:top w:val="none" w:sz="0" w:space="0" w:color="auto"/>
            <w:left w:val="none" w:sz="0" w:space="0" w:color="auto"/>
            <w:bottom w:val="none" w:sz="0" w:space="0" w:color="auto"/>
            <w:right w:val="none" w:sz="0" w:space="0" w:color="auto"/>
          </w:divBdr>
        </w:div>
        <w:div w:id="300379834">
          <w:marLeft w:val="0"/>
          <w:marRight w:val="0"/>
          <w:marTop w:val="0"/>
          <w:marBottom w:val="0"/>
          <w:divBdr>
            <w:top w:val="none" w:sz="0" w:space="0" w:color="auto"/>
            <w:left w:val="none" w:sz="0" w:space="0" w:color="auto"/>
            <w:bottom w:val="none" w:sz="0" w:space="0" w:color="auto"/>
            <w:right w:val="none" w:sz="0" w:space="0" w:color="auto"/>
          </w:divBdr>
        </w:div>
        <w:div w:id="243538198">
          <w:marLeft w:val="0"/>
          <w:marRight w:val="0"/>
          <w:marTop w:val="0"/>
          <w:marBottom w:val="0"/>
          <w:divBdr>
            <w:top w:val="none" w:sz="0" w:space="0" w:color="auto"/>
            <w:left w:val="none" w:sz="0" w:space="0" w:color="auto"/>
            <w:bottom w:val="none" w:sz="0" w:space="0" w:color="auto"/>
            <w:right w:val="none" w:sz="0" w:space="0" w:color="auto"/>
          </w:divBdr>
        </w:div>
        <w:div w:id="2082553795">
          <w:marLeft w:val="0"/>
          <w:marRight w:val="0"/>
          <w:marTop w:val="0"/>
          <w:marBottom w:val="0"/>
          <w:divBdr>
            <w:top w:val="none" w:sz="0" w:space="0" w:color="auto"/>
            <w:left w:val="none" w:sz="0" w:space="0" w:color="auto"/>
            <w:bottom w:val="none" w:sz="0" w:space="0" w:color="auto"/>
            <w:right w:val="none" w:sz="0" w:space="0" w:color="auto"/>
          </w:divBdr>
        </w:div>
        <w:div w:id="614479940">
          <w:marLeft w:val="0"/>
          <w:marRight w:val="0"/>
          <w:marTop w:val="0"/>
          <w:marBottom w:val="0"/>
          <w:divBdr>
            <w:top w:val="none" w:sz="0" w:space="0" w:color="auto"/>
            <w:left w:val="none" w:sz="0" w:space="0" w:color="auto"/>
            <w:bottom w:val="none" w:sz="0" w:space="0" w:color="auto"/>
            <w:right w:val="none" w:sz="0" w:space="0" w:color="auto"/>
          </w:divBdr>
        </w:div>
        <w:div w:id="559948841">
          <w:marLeft w:val="0"/>
          <w:marRight w:val="0"/>
          <w:marTop w:val="0"/>
          <w:marBottom w:val="0"/>
          <w:divBdr>
            <w:top w:val="none" w:sz="0" w:space="0" w:color="auto"/>
            <w:left w:val="none" w:sz="0" w:space="0" w:color="auto"/>
            <w:bottom w:val="none" w:sz="0" w:space="0" w:color="auto"/>
            <w:right w:val="none" w:sz="0" w:space="0" w:color="auto"/>
          </w:divBdr>
        </w:div>
        <w:div w:id="1336803543">
          <w:marLeft w:val="0"/>
          <w:marRight w:val="0"/>
          <w:marTop w:val="0"/>
          <w:marBottom w:val="0"/>
          <w:divBdr>
            <w:top w:val="none" w:sz="0" w:space="0" w:color="auto"/>
            <w:left w:val="none" w:sz="0" w:space="0" w:color="auto"/>
            <w:bottom w:val="none" w:sz="0" w:space="0" w:color="auto"/>
            <w:right w:val="none" w:sz="0" w:space="0" w:color="auto"/>
          </w:divBdr>
        </w:div>
        <w:div w:id="1220677486">
          <w:marLeft w:val="0"/>
          <w:marRight w:val="0"/>
          <w:marTop w:val="0"/>
          <w:marBottom w:val="0"/>
          <w:divBdr>
            <w:top w:val="none" w:sz="0" w:space="0" w:color="auto"/>
            <w:left w:val="none" w:sz="0" w:space="0" w:color="auto"/>
            <w:bottom w:val="none" w:sz="0" w:space="0" w:color="auto"/>
            <w:right w:val="none" w:sz="0" w:space="0" w:color="auto"/>
          </w:divBdr>
        </w:div>
        <w:div w:id="237054340">
          <w:marLeft w:val="0"/>
          <w:marRight w:val="0"/>
          <w:marTop w:val="0"/>
          <w:marBottom w:val="0"/>
          <w:divBdr>
            <w:top w:val="none" w:sz="0" w:space="0" w:color="auto"/>
            <w:left w:val="none" w:sz="0" w:space="0" w:color="auto"/>
            <w:bottom w:val="none" w:sz="0" w:space="0" w:color="auto"/>
            <w:right w:val="none" w:sz="0" w:space="0" w:color="auto"/>
          </w:divBdr>
        </w:div>
        <w:div w:id="733548112">
          <w:marLeft w:val="0"/>
          <w:marRight w:val="0"/>
          <w:marTop w:val="0"/>
          <w:marBottom w:val="0"/>
          <w:divBdr>
            <w:top w:val="none" w:sz="0" w:space="0" w:color="auto"/>
            <w:left w:val="none" w:sz="0" w:space="0" w:color="auto"/>
            <w:bottom w:val="none" w:sz="0" w:space="0" w:color="auto"/>
            <w:right w:val="none" w:sz="0" w:space="0" w:color="auto"/>
          </w:divBdr>
        </w:div>
        <w:div w:id="416945238">
          <w:marLeft w:val="0"/>
          <w:marRight w:val="0"/>
          <w:marTop w:val="0"/>
          <w:marBottom w:val="0"/>
          <w:divBdr>
            <w:top w:val="none" w:sz="0" w:space="0" w:color="auto"/>
            <w:left w:val="none" w:sz="0" w:space="0" w:color="auto"/>
            <w:bottom w:val="none" w:sz="0" w:space="0" w:color="auto"/>
            <w:right w:val="none" w:sz="0" w:space="0" w:color="auto"/>
          </w:divBdr>
        </w:div>
        <w:div w:id="1167864205">
          <w:marLeft w:val="0"/>
          <w:marRight w:val="0"/>
          <w:marTop w:val="0"/>
          <w:marBottom w:val="0"/>
          <w:divBdr>
            <w:top w:val="none" w:sz="0" w:space="0" w:color="auto"/>
            <w:left w:val="none" w:sz="0" w:space="0" w:color="auto"/>
            <w:bottom w:val="none" w:sz="0" w:space="0" w:color="auto"/>
            <w:right w:val="none" w:sz="0" w:space="0" w:color="auto"/>
          </w:divBdr>
        </w:div>
        <w:div w:id="291324908">
          <w:marLeft w:val="0"/>
          <w:marRight w:val="0"/>
          <w:marTop w:val="0"/>
          <w:marBottom w:val="0"/>
          <w:divBdr>
            <w:top w:val="none" w:sz="0" w:space="0" w:color="auto"/>
            <w:left w:val="none" w:sz="0" w:space="0" w:color="auto"/>
            <w:bottom w:val="none" w:sz="0" w:space="0" w:color="auto"/>
            <w:right w:val="none" w:sz="0" w:space="0" w:color="auto"/>
          </w:divBdr>
        </w:div>
        <w:div w:id="1279217646">
          <w:marLeft w:val="0"/>
          <w:marRight w:val="0"/>
          <w:marTop w:val="0"/>
          <w:marBottom w:val="0"/>
          <w:divBdr>
            <w:top w:val="none" w:sz="0" w:space="0" w:color="auto"/>
            <w:left w:val="none" w:sz="0" w:space="0" w:color="auto"/>
            <w:bottom w:val="none" w:sz="0" w:space="0" w:color="auto"/>
            <w:right w:val="none" w:sz="0" w:space="0" w:color="auto"/>
          </w:divBdr>
        </w:div>
        <w:div w:id="1822504733">
          <w:marLeft w:val="0"/>
          <w:marRight w:val="0"/>
          <w:marTop w:val="0"/>
          <w:marBottom w:val="0"/>
          <w:divBdr>
            <w:top w:val="none" w:sz="0" w:space="0" w:color="auto"/>
            <w:left w:val="none" w:sz="0" w:space="0" w:color="auto"/>
            <w:bottom w:val="none" w:sz="0" w:space="0" w:color="auto"/>
            <w:right w:val="none" w:sz="0" w:space="0" w:color="auto"/>
          </w:divBdr>
        </w:div>
      </w:divsChild>
    </w:div>
    <w:div w:id="1994479013">
      <w:bodyDiv w:val="1"/>
      <w:marLeft w:val="0"/>
      <w:marRight w:val="0"/>
      <w:marTop w:val="0"/>
      <w:marBottom w:val="0"/>
      <w:divBdr>
        <w:top w:val="none" w:sz="0" w:space="0" w:color="auto"/>
        <w:left w:val="none" w:sz="0" w:space="0" w:color="auto"/>
        <w:bottom w:val="none" w:sz="0" w:space="0" w:color="auto"/>
        <w:right w:val="none" w:sz="0" w:space="0" w:color="auto"/>
      </w:divBdr>
    </w:div>
    <w:div w:id="2066292000">
      <w:bodyDiv w:val="1"/>
      <w:marLeft w:val="0"/>
      <w:marRight w:val="0"/>
      <w:marTop w:val="0"/>
      <w:marBottom w:val="0"/>
      <w:divBdr>
        <w:top w:val="none" w:sz="0" w:space="0" w:color="auto"/>
        <w:left w:val="none" w:sz="0" w:space="0" w:color="auto"/>
        <w:bottom w:val="none" w:sz="0" w:space="0" w:color="auto"/>
        <w:right w:val="none" w:sz="0" w:space="0" w:color="auto"/>
      </w:divBdr>
    </w:div>
    <w:div w:id="2097021287">
      <w:bodyDiv w:val="1"/>
      <w:marLeft w:val="0"/>
      <w:marRight w:val="0"/>
      <w:marTop w:val="0"/>
      <w:marBottom w:val="0"/>
      <w:divBdr>
        <w:top w:val="none" w:sz="0" w:space="0" w:color="auto"/>
        <w:left w:val="none" w:sz="0" w:space="0" w:color="auto"/>
        <w:bottom w:val="none" w:sz="0" w:space="0" w:color="auto"/>
        <w:right w:val="none" w:sz="0" w:space="0" w:color="auto"/>
      </w:divBdr>
      <w:divsChild>
        <w:div w:id="1480197183">
          <w:marLeft w:val="0"/>
          <w:marRight w:val="0"/>
          <w:marTop w:val="0"/>
          <w:marBottom w:val="0"/>
          <w:divBdr>
            <w:top w:val="none" w:sz="0" w:space="0" w:color="auto"/>
            <w:left w:val="none" w:sz="0" w:space="0" w:color="auto"/>
            <w:bottom w:val="none" w:sz="0" w:space="0" w:color="auto"/>
            <w:right w:val="none" w:sz="0" w:space="0" w:color="auto"/>
          </w:divBdr>
          <w:divsChild>
            <w:div w:id="1919825367">
              <w:marLeft w:val="0"/>
              <w:marRight w:val="0"/>
              <w:marTop w:val="0"/>
              <w:marBottom w:val="0"/>
              <w:divBdr>
                <w:top w:val="none" w:sz="0" w:space="0" w:color="auto"/>
                <w:left w:val="none" w:sz="0" w:space="0" w:color="auto"/>
                <w:bottom w:val="none" w:sz="0" w:space="0" w:color="auto"/>
                <w:right w:val="none" w:sz="0" w:space="0" w:color="auto"/>
              </w:divBdr>
              <w:divsChild>
                <w:div w:id="1020356120">
                  <w:blockQuote w:val="1"/>
                  <w:marLeft w:val="0"/>
                  <w:marRight w:val="0"/>
                  <w:marTop w:val="240"/>
                  <w:marBottom w:val="240"/>
                  <w:divBdr>
                    <w:top w:val="single" w:sz="2" w:space="0" w:color="auto"/>
                    <w:left w:val="single" w:sz="18" w:space="18" w:color="CDD2D6"/>
                    <w:bottom w:val="single" w:sz="2" w:space="0" w:color="auto"/>
                    <w:right w:val="single" w:sz="2" w:space="18" w:color="auto"/>
                  </w:divBdr>
                </w:div>
              </w:divsChild>
            </w:div>
            <w:div w:id="1943028309">
              <w:marLeft w:val="0"/>
              <w:marRight w:val="0"/>
              <w:marTop w:val="0"/>
              <w:marBottom w:val="0"/>
              <w:divBdr>
                <w:top w:val="none" w:sz="0" w:space="0" w:color="auto"/>
                <w:left w:val="none" w:sz="0" w:space="0" w:color="auto"/>
                <w:bottom w:val="none" w:sz="0" w:space="0" w:color="auto"/>
                <w:right w:val="none" w:sz="0" w:space="0" w:color="auto"/>
              </w:divBdr>
              <w:divsChild>
                <w:div w:id="508368482">
                  <w:marLeft w:val="0"/>
                  <w:marRight w:val="0"/>
                  <w:marTop w:val="0"/>
                  <w:marBottom w:val="120"/>
                  <w:divBdr>
                    <w:top w:val="none" w:sz="0" w:space="0" w:color="auto"/>
                    <w:left w:val="none" w:sz="0" w:space="0" w:color="auto"/>
                    <w:bottom w:val="none" w:sz="0" w:space="0" w:color="auto"/>
                    <w:right w:val="none" w:sz="0" w:space="0" w:color="auto"/>
                  </w:divBdr>
                </w:div>
                <w:div w:id="179254890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119593828">
      <w:bodyDiv w:val="1"/>
      <w:marLeft w:val="0"/>
      <w:marRight w:val="0"/>
      <w:marTop w:val="0"/>
      <w:marBottom w:val="0"/>
      <w:divBdr>
        <w:top w:val="none" w:sz="0" w:space="0" w:color="auto"/>
        <w:left w:val="none" w:sz="0" w:space="0" w:color="auto"/>
        <w:bottom w:val="none" w:sz="0" w:space="0" w:color="auto"/>
        <w:right w:val="none" w:sz="0" w:space="0" w:color="auto"/>
      </w:divBdr>
      <w:divsChild>
        <w:div w:id="1157916482">
          <w:marLeft w:val="0"/>
          <w:marRight w:val="0"/>
          <w:marTop w:val="0"/>
          <w:marBottom w:val="0"/>
          <w:divBdr>
            <w:top w:val="none" w:sz="0" w:space="0" w:color="auto"/>
            <w:left w:val="none" w:sz="0" w:space="0" w:color="auto"/>
            <w:bottom w:val="none" w:sz="0" w:space="0" w:color="auto"/>
            <w:right w:val="none" w:sz="0" w:space="0" w:color="auto"/>
          </w:divBdr>
          <w:divsChild>
            <w:div w:id="1081222980">
              <w:marLeft w:val="0"/>
              <w:marRight w:val="0"/>
              <w:marTop w:val="0"/>
              <w:marBottom w:val="0"/>
              <w:divBdr>
                <w:top w:val="none" w:sz="0" w:space="0" w:color="auto"/>
                <w:left w:val="none" w:sz="0" w:space="0" w:color="auto"/>
                <w:bottom w:val="none" w:sz="0" w:space="0" w:color="auto"/>
                <w:right w:val="none" w:sz="0" w:space="0" w:color="auto"/>
              </w:divBdr>
              <w:divsChild>
                <w:div w:id="1615870442">
                  <w:blockQuote w:val="1"/>
                  <w:marLeft w:val="0"/>
                  <w:marRight w:val="0"/>
                  <w:marTop w:val="240"/>
                  <w:marBottom w:val="240"/>
                  <w:divBdr>
                    <w:top w:val="single" w:sz="2" w:space="0" w:color="auto"/>
                    <w:left w:val="single" w:sz="18" w:space="18" w:color="CDD2D6"/>
                    <w:bottom w:val="single" w:sz="2" w:space="0" w:color="auto"/>
                    <w:right w:val="single" w:sz="2" w:space="18" w:color="auto"/>
                  </w:divBdr>
                </w:div>
              </w:divsChild>
            </w:div>
            <w:div w:id="1375228295">
              <w:marLeft w:val="0"/>
              <w:marRight w:val="0"/>
              <w:marTop w:val="0"/>
              <w:marBottom w:val="0"/>
              <w:divBdr>
                <w:top w:val="none" w:sz="0" w:space="0" w:color="auto"/>
                <w:left w:val="none" w:sz="0" w:space="0" w:color="auto"/>
                <w:bottom w:val="none" w:sz="0" w:space="0" w:color="auto"/>
                <w:right w:val="none" w:sz="0" w:space="0" w:color="auto"/>
              </w:divBdr>
              <w:divsChild>
                <w:div w:id="1919249812">
                  <w:marLeft w:val="0"/>
                  <w:marRight w:val="0"/>
                  <w:marTop w:val="0"/>
                  <w:marBottom w:val="120"/>
                  <w:divBdr>
                    <w:top w:val="none" w:sz="0" w:space="0" w:color="auto"/>
                    <w:left w:val="none" w:sz="0" w:space="0" w:color="auto"/>
                    <w:bottom w:val="none" w:sz="0" w:space="0" w:color="auto"/>
                    <w:right w:val="none" w:sz="0" w:space="0" w:color="auto"/>
                  </w:divBdr>
                </w:div>
                <w:div w:id="55439569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12233984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2B4AF9E-41FA-4125-AC0F-7AF2512D17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92419F5C-6194-493C-99DA-EFB3786D941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33</TotalTime>
  <Pages>32</Pages>
  <Words>10662</Words>
  <Characters>58003</Characters>
  <Application>Microsoft Office Word</Application>
  <DocSecurity>0</DocSecurity>
  <Lines>1054</Lines>
  <Paragraphs>204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2026-03-03T23:03:00Z</dcterms:created>
  <dcterms:modified xsi:type="dcterms:W3CDTF">2026-03-04T21:29:00Z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