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7B2099" w14:textId="77777777" w:rsidR="00E9603D" w:rsidRDefault="00E9603D" w:rsidP="00E9603D">
      <w:pPr>
        <w:tabs>
          <w:tab w:val="left" w:pos="709"/>
        </w:tabs>
        <w:spacing w:after="0" w:line="240" w:lineRule="auto"/>
        <w:rPr>
          <w:rFonts w:ascii="Verdana" w:eastAsia="Geomanist Light" w:hAnsi="Verdana" w:cs="Arial"/>
        </w:rPr>
      </w:pPr>
    </w:p>
    <w:p w14:paraId="02D96C2A" w14:textId="77777777" w:rsidR="00E9603D" w:rsidRPr="00F8082B" w:rsidRDefault="00E9603D" w:rsidP="00E9603D">
      <w:pPr>
        <w:spacing w:after="0" w:line="240" w:lineRule="auto"/>
        <w:jc w:val="both"/>
        <w:rPr>
          <w:rFonts w:ascii="Verdana" w:eastAsia="Calibri" w:hAnsi="Verdana" w:cs="Arial"/>
          <w:b/>
          <w:bCs/>
          <w:lang w:val="es-ES" w:eastAsia="es-ES"/>
        </w:rPr>
      </w:pPr>
      <w:r w:rsidRPr="00F8082B">
        <w:rPr>
          <w:rFonts w:ascii="Verdana" w:eastAsia="Calibri" w:hAnsi="Verdana" w:cs="Arial"/>
          <w:b/>
          <w:bCs/>
          <w:lang w:val="es-ES" w:eastAsia="es-ES"/>
        </w:rPr>
        <w:t>CONSTITUCIÓN DE GARANTÍAS – Obligación</w:t>
      </w:r>
    </w:p>
    <w:p w14:paraId="6A17363C" w14:textId="77777777" w:rsidR="00E9603D" w:rsidRPr="00F50B9E" w:rsidRDefault="00E9603D" w:rsidP="00E9603D">
      <w:pPr>
        <w:spacing w:after="0" w:line="240" w:lineRule="auto"/>
        <w:jc w:val="both"/>
        <w:rPr>
          <w:rFonts w:ascii="Verdana" w:eastAsia="Calibri" w:hAnsi="Verdana" w:cs="Arial"/>
          <w:lang w:val="es-ES" w:eastAsia="es-ES"/>
        </w:rPr>
      </w:pPr>
    </w:p>
    <w:p w14:paraId="178897BC" w14:textId="77777777" w:rsidR="00E9603D" w:rsidRPr="00F8082B" w:rsidRDefault="00E9603D" w:rsidP="00E9603D">
      <w:pPr>
        <w:spacing w:after="0" w:line="240" w:lineRule="auto"/>
        <w:jc w:val="both"/>
        <w:rPr>
          <w:rFonts w:ascii="Verdana" w:eastAsia="Calibri" w:hAnsi="Verdana" w:cs="Arial"/>
          <w:sz w:val="20"/>
          <w:szCs w:val="20"/>
          <w:lang w:val="es-ES" w:eastAsia="es-ES"/>
        </w:rPr>
      </w:pPr>
      <w:r w:rsidRPr="00F8082B">
        <w:rPr>
          <w:rFonts w:ascii="Verdana" w:eastAsia="Calibri" w:hAnsi="Verdana" w:cs="Arial"/>
          <w:color w:val="000000"/>
          <w:sz w:val="20"/>
          <w:szCs w:val="20"/>
          <w:lang w:val="es-ES_tradnl"/>
        </w:rPr>
        <w:t>De acuerdo con el Estatuto General de Contratación de la Administración Pública, p</w:t>
      </w:r>
      <w:r w:rsidRPr="00F8082B">
        <w:rPr>
          <w:rFonts w:ascii="Verdana" w:eastAsia="Calibri" w:hAnsi="Verdana" w:cs="Arial"/>
          <w:color w:val="000000" w:themeColor="text1"/>
          <w:sz w:val="20"/>
          <w:szCs w:val="20"/>
          <w:lang w:val="es-ES_tradnl"/>
        </w:rPr>
        <w:t xml:space="preserve">or regla general, </w:t>
      </w:r>
      <w:r w:rsidRPr="00F8082B">
        <w:rPr>
          <w:rFonts w:ascii="Verdana" w:eastAsia="Calibri" w:hAnsi="Verdana" w:cs="Arial"/>
          <w:color w:val="000000" w:themeColor="text1"/>
          <w:sz w:val="20"/>
          <w:szCs w:val="20"/>
          <w:lang w:val="es-ES"/>
        </w:rPr>
        <w:t>para seleccionar los contratistas y para ejecutar los contratos se requiere la constitución de garantías</w:t>
      </w:r>
      <w:r w:rsidRPr="00F8082B">
        <w:rPr>
          <w:rFonts w:ascii="Verdana" w:eastAsia="Calibri" w:hAnsi="Verdana" w:cs="Arial"/>
          <w:color w:val="000000" w:themeColor="text1"/>
          <w:sz w:val="20"/>
          <w:szCs w:val="20"/>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6E31BC0B" w14:textId="77777777" w:rsidR="00E9603D" w:rsidRPr="00F50B9E" w:rsidRDefault="00E9603D" w:rsidP="00E9603D">
      <w:pPr>
        <w:spacing w:after="0" w:line="240" w:lineRule="auto"/>
        <w:jc w:val="both"/>
        <w:rPr>
          <w:rFonts w:ascii="Verdana" w:eastAsia="Calibri" w:hAnsi="Verdana" w:cs="Arial"/>
          <w:lang w:val="es-ES" w:eastAsia="es-ES"/>
        </w:rPr>
      </w:pPr>
    </w:p>
    <w:p w14:paraId="0507ED68" w14:textId="77777777" w:rsidR="00E9603D" w:rsidRPr="002A7E55" w:rsidRDefault="00E9603D" w:rsidP="00E9603D">
      <w:pPr>
        <w:pStyle w:val="Textoindependiente"/>
        <w:tabs>
          <w:tab w:val="left" w:pos="2949"/>
          <w:tab w:val="left" w:pos="4967"/>
          <w:tab w:val="left" w:pos="5543"/>
          <w:tab w:val="left" w:pos="7128"/>
          <w:tab w:val="left" w:pos="7535"/>
          <w:tab w:val="left" w:pos="8950"/>
        </w:tabs>
        <w:spacing w:line="276" w:lineRule="auto"/>
        <w:ind w:right="49"/>
        <w:jc w:val="both"/>
        <w:rPr>
          <w:b/>
          <w:bCs/>
        </w:rPr>
      </w:pPr>
      <w:r w:rsidRPr="002A7E55">
        <w:rPr>
          <w:b/>
          <w:bCs/>
        </w:rPr>
        <w:t>EJECUCIÓN</w:t>
      </w:r>
      <w:r w:rsidRPr="002A7E55">
        <w:rPr>
          <w:b/>
          <w:bCs/>
          <w:spacing w:val="36"/>
        </w:rPr>
        <w:t xml:space="preserve"> </w:t>
      </w:r>
      <w:r w:rsidRPr="002A7E55">
        <w:rPr>
          <w:b/>
          <w:bCs/>
        </w:rPr>
        <w:t>DEL</w:t>
      </w:r>
      <w:r w:rsidRPr="002A7E55">
        <w:rPr>
          <w:b/>
          <w:bCs/>
          <w:spacing w:val="36"/>
        </w:rPr>
        <w:t xml:space="preserve"> </w:t>
      </w:r>
      <w:r w:rsidRPr="002A7E55">
        <w:rPr>
          <w:b/>
          <w:bCs/>
        </w:rPr>
        <w:t>CONTRATO</w:t>
      </w:r>
      <w:r w:rsidRPr="002A7E55">
        <w:rPr>
          <w:b/>
          <w:bCs/>
          <w:spacing w:val="36"/>
        </w:rPr>
        <w:t xml:space="preserve"> </w:t>
      </w:r>
      <w:r w:rsidRPr="002A7E55">
        <w:rPr>
          <w:b/>
          <w:bCs/>
        </w:rPr>
        <w:t>ESTATAL</w:t>
      </w:r>
      <w:r w:rsidRPr="002A7E55">
        <w:rPr>
          <w:b/>
          <w:bCs/>
          <w:spacing w:val="36"/>
        </w:rPr>
        <w:t xml:space="preserve"> </w:t>
      </w:r>
      <w:r w:rsidRPr="002A7E55">
        <w:rPr>
          <w:b/>
          <w:bCs/>
        </w:rPr>
        <w:t>–</w:t>
      </w:r>
      <w:r w:rsidRPr="002A7E55">
        <w:rPr>
          <w:b/>
          <w:bCs/>
          <w:spacing w:val="35"/>
        </w:rPr>
        <w:t xml:space="preserve"> </w:t>
      </w:r>
      <w:r w:rsidRPr="002A7E55">
        <w:rPr>
          <w:b/>
          <w:bCs/>
        </w:rPr>
        <w:t>Requisitos</w:t>
      </w:r>
      <w:r w:rsidRPr="002A7E55">
        <w:rPr>
          <w:b/>
          <w:bCs/>
          <w:spacing w:val="36"/>
        </w:rPr>
        <w:t xml:space="preserve"> </w:t>
      </w:r>
      <w:r w:rsidRPr="002A7E55">
        <w:rPr>
          <w:b/>
          <w:bCs/>
          <w:spacing w:val="-10"/>
        </w:rPr>
        <w:t>–</w:t>
      </w:r>
      <w:r w:rsidRPr="002A7E55">
        <w:rPr>
          <w:b/>
          <w:bCs/>
        </w:rPr>
        <w:t xml:space="preserve"> Artículo</w:t>
      </w:r>
      <w:r w:rsidRPr="002A7E55">
        <w:rPr>
          <w:b/>
          <w:bCs/>
          <w:spacing w:val="33"/>
        </w:rPr>
        <w:t xml:space="preserve"> </w:t>
      </w:r>
      <w:r w:rsidRPr="002A7E55">
        <w:rPr>
          <w:b/>
          <w:bCs/>
        </w:rPr>
        <w:t>41</w:t>
      </w:r>
      <w:r w:rsidRPr="002A7E55">
        <w:rPr>
          <w:b/>
          <w:bCs/>
          <w:spacing w:val="30"/>
        </w:rPr>
        <w:t xml:space="preserve"> </w:t>
      </w:r>
      <w:r w:rsidRPr="002A7E55">
        <w:rPr>
          <w:b/>
          <w:bCs/>
        </w:rPr>
        <w:t>de</w:t>
      </w:r>
      <w:r w:rsidRPr="002A7E55">
        <w:rPr>
          <w:b/>
          <w:bCs/>
          <w:spacing w:val="30"/>
        </w:rPr>
        <w:t xml:space="preserve"> </w:t>
      </w:r>
      <w:r w:rsidRPr="002A7E55">
        <w:rPr>
          <w:b/>
          <w:bCs/>
        </w:rPr>
        <w:t>la</w:t>
      </w:r>
      <w:r w:rsidRPr="002A7E55">
        <w:rPr>
          <w:b/>
          <w:bCs/>
          <w:spacing w:val="30"/>
        </w:rPr>
        <w:t xml:space="preserve"> </w:t>
      </w:r>
      <w:r w:rsidRPr="002A7E55">
        <w:rPr>
          <w:b/>
          <w:bCs/>
        </w:rPr>
        <w:t>Ley 80</w:t>
      </w:r>
      <w:r w:rsidRPr="002A7E55">
        <w:rPr>
          <w:b/>
          <w:bCs/>
          <w:spacing w:val="30"/>
        </w:rPr>
        <w:t xml:space="preserve"> </w:t>
      </w:r>
      <w:r w:rsidRPr="002A7E55">
        <w:rPr>
          <w:b/>
          <w:bCs/>
        </w:rPr>
        <w:t>de</w:t>
      </w:r>
      <w:r w:rsidRPr="002A7E55">
        <w:rPr>
          <w:b/>
          <w:bCs/>
          <w:spacing w:val="30"/>
        </w:rPr>
        <w:t xml:space="preserve"> </w:t>
      </w:r>
      <w:r w:rsidRPr="002A7E55">
        <w:rPr>
          <w:b/>
          <w:bCs/>
        </w:rPr>
        <w:t>1993</w:t>
      </w:r>
      <w:r w:rsidRPr="002A7E55">
        <w:rPr>
          <w:b/>
          <w:bCs/>
          <w:spacing w:val="31"/>
        </w:rPr>
        <w:t xml:space="preserve"> </w:t>
      </w:r>
    </w:p>
    <w:p w14:paraId="1C2B688E" w14:textId="77777777" w:rsidR="00E9603D" w:rsidRPr="001B7320" w:rsidRDefault="00E9603D" w:rsidP="00E9603D">
      <w:pPr>
        <w:pStyle w:val="Textoindependiente"/>
        <w:spacing w:before="160"/>
        <w:ind w:right="49"/>
        <w:jc w:val="both"/>
        <w:rPr>
          <w:rFonts w:eastAsia="Calibri" w:cs="Arial"/>
          <w:color w:val="000000" w:themeColor="text1"/>
          <w:sz w:val="20"/>
          <w:szCs w:val="20"/>
        </w:rPr>
      </w:pPr>
      <w:r w:rsidRPr="40A6738A">
        <w:rPr>
          <w:rFonts w:eastAsia="Calibri" w:cs="Arial"/>
          <w:color w:val="000000" w:themeColor="text1"/>
          <w:sz w:val="20"/>
          <w:szCs w:val="20"/>
        </w:rPr>
        <w:t>Los anteriores y otros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p>
    <w:p w14:paraId="4856C4C9" w14:textId="77777777" w:rsidR="00E9603D" w:rsidRDefault="00E9603D" w:rsidP="00E9603D">
      <w:pPr>
        <w:spacing w:after="0" w:line="240" w:lineRule="auto"/>
        <w:contextualSpacing/>
        <w:jc w:val="both"/>
        <w:rPr>
          <w:rFonts w:ascii="Verdana" w:eastAsia="Times New Roman" w:hAnsi="Verdana" w:cs="Times New Roman"/>
          <w:b/>
          <w:bCs/>
          <w:lang w:eastAsia="es-ES_tradnl"/>
        </w:rPr>
      </w:pPr>
    </w:p>
    <w:p w14:paraId="43C82B83" w14:textId="77777777" w:rsidR="00E9603D" w:rsidRPr="00F50B9E" w:rsidRDefault="00E9603D" w:rsidP="00E9603D">
      <w:pPr>
        <w:spacing w:after="0" w:line="240" w:lineRule="auto"/>
        <w:contextualSpacing/>
        <w:jc w:val="both"/>
        <w:rPr>
          <w:rFonts w:ascii="Verdana" w:eastAsia="Times New Roman" w:hAnsi="Verdana" w:cs="Times New Roman"/>
          <w:b/>
          <w:bCs/>
          <w:lang w:eastAsia="es-ES_tradnl"/>
        </w:rPr>
      </w:pPr>
      <w:r w:rsidRPr="00F50B9E">
        <w:rPr>
          <w:rFonts w:ascii="Verdana" w:eastAsia="Times New Roman" w:hAnsi="Verdana" w:cs="Times New Roman"/>
          <w:b/>
          <w:bCs/>
          <w:lang w:eastAsia="es-ES_tradnl"/>
        </w:rPr>
        <w:t>PRINCIPIO DE INDIVISIBILIDAD DE LA GARANTÍA – Noción – Alcance</w:t>
      </w:r>
    </w:p>
    <w:p w14:paraId="713A07EB" w14:textId="77777777" w:rsidR="00E9603D" w:rsidRPr="00F50B9E" w:rsidRDefault="00E9603D" w:rsidP="00E9603D">
      <w:pPr>
        <w:spacing w:after="0" w:line="240" w:lineRule="auto"/>
        <w:contextualSpacing/>
        <w:jc w:val="both"/>
        <w:rPr>
          <w:rFonts w:ascii="Verdana" w:eastAsia="Times New Roman" w:hAnsi="Verdana" w:cs="Times New Roman"/>
          <w:b/>
          <w:bCs/>
          <w:lang w:eastAsia="es-ES_tradnl"/>
        </w:rPr>
      </w:pPr>
    </w:p>
    <w:p w14:paraId="5A4EBF93" w14:textId="77777777" w:rsidR="00E9603D" w:rsidRPr="00F50B9E" w:rsidRDefault="00E9603D" w:rsidP="00E9603D">
      <w:pPr>
        <w:spacing w:after="0" w:line="240" w:lineRule="auto"/>
        <w:contextualSpacing/>
        <w:jc w:val="both"/>
        <w:rPr>
          <w:rFonts w:ascii="Verdana" w:eastAsia="Times New Roman" w:hAnsi="Verdana" w:cs="Times New Roman"/>
          <w:sz w:val="20"/>
          <w:szCs w:val="20"/>
          <w:lang w:eastAsia="es-ES_tradnl"/>
        </w:rPr>
      </w:pPr>
      <w:r w:rsidRPr="00F50B9E">
        <w:rPr>
          <w:rFonts w:ascii="Verdana" w:eastAsia="Times New Roman" w:hAnsi="Verdana" w:cs="Times New Roman"/>
          <w:sz w:val="20"/>
          <w:szCs w:val="20"/>
          <w:lang w:eastAsia="es-ES_tradnl"/>
        </w:rPr>
        <w:t xml:space="preserve">[…] </w:t>
      </w:r>
      <w:r w:rsidRPr="00F50B9E">
        <w:rPr>
          <w:rFonts w:ascii="Verdana" w:eastAsia="Times New Roman" w:hAnsi="Verdana" w:cs="Arial"/>
          <w:sz w:val="20"/>
          <w:szCs w:val="20"/>
          <w:lang w:eastAsia="es-ES_tradnl"/>
        </w:rPr>
        <w:t>por regla general, un contrato estatal debe estar amparado mediante una sola garantía, sin perjuicio de algunas excepciones, como la que se deriva de la norma analizada. En efecto, en los contratos cuyo plazo de ejecución sea mayor a cinco (5) años se podrá dividir la garantía, tal como lo prevé el Decreto 1082 de 2015: “La garantía de cobertura del Riesgo es indivisible. Sin embargo, en los contratos con un plazo mayor a cinco (5) años las garantías pueden cubrir los Riesgos de la Etapa del Contrato o del Periodo Contractual, de acuerdo con lo previsto en el contrato”.</w:t>
      </w:r>
    </w:p>
    <w:p w14:paraId="1A185853" w14:textId="77777777" w:rsidR="00E9603D" w:rsidRPr="00F50B9E" w:rsidRDefault="00E9603D" w:rsidP="00E9603D">
      <w:pPr>
        <w:spacing w:after="0" w:line="240" w:lineRule="auto"/>
        <w:contextualSpacing/>
        <w:jc w:val="both"/>
        <w:rPr>
          <w:rFonts w:ascii="Verdana" w:eastAsia="Times New Roman" w:hAnsi="Verdana" w:cs="Times New Roman"/>
          <w:lang w:eastAsia="es-ES_tradnl"/>
        </w:rPr>
      </w:pPr>
    </w:p>
    <w:p w14:paraId="33012D89" w14:textId="77777777" w:rsidR="00E9603D" w:rsidRPr="00F50B9E" w:rsidRDefault="00E9603D" w:rsidP="00E9603D">
      <w:pPr>
        <w:spacing w:after="0" w:line="240" w:lineRule="auto"/>
        <w:contextualSpacing/>
        <w:jc w:val="both"/>
        <w:rPr>
          <w:rFonts w:ascii="Verdana" w:eastAsia="Times New Roman" w:hAnsi="Verdana" w:cs="Times New Roman"/>
          <w:b/>
          <w:bCs/>
          <w:lang w:eastAsia="es-ES_tradnl"/>
        </w:rPr>
      </w:pPr>
      <w:r w:rsidRPr="00F50B9E">
        <w:rPr>
          <w:rFonts w:ascii="Verdana" w:eastAsia="Times New Roman" w:hAnsi="Verdana" w:cs="Times New Roman"/>
          <w:b/>
          <w:bCs/>
          <w:lang w:eastAsia="es-ES_tradnl"/>
        </w:rPr>
        <w:t xml:space="preserve">PRINCIPIO DE INDIVISIBILIDAD DE LA GARANTÍA – Requisitos – Pliego de condiciones </w:t>
      </w:r>
    </w:p>
    <w:p w14:paraId="4F3CC240" w14:textId="77777777" w:rsidR="00E9603D" w:rsidRPr="00F50B9E" w:rsidRDefault="00E9603D" w:rsidP="00E9603D">
      <w:pPr>
        <w:spacing w:after="0" w:line="240" w:lineRule="auto"/>
        <w:jc w:val="both"/>
        <w:rPr>
          <w:rFonts w:ascii="Verdana" w:eastAsia="Times New Roman" w:hAnsi="Verdana" w:cs="Arial"/>
          <w:lang w:eastAsia="es-ES_tradnl"/>
        </w:rPr>
      </w:pPr>
    </w:p>
    <w:p w14:paraId="68F4F726" w14:textId="77777777" w:rsidR="00E9603D" w:rsidRPr="00F50B9E" w:rsidRDefault="00E9603D" w:rsidP="00E9603D">
      <w:pPr>
        <w:spacing w:after="0" w:line="240" w:lineRule="auto"/>
        <w:jc w:val="both"/>
        <w:rPr>
          <w:rFonts w:ascii="Verdana" w:eastAsia="Times New Roman" w:hAnsi="Verdana" w:cs="Arial"/>
          <w:sz w:val="20"/>
          <w:szCs w:val="20"/>
          <w:lang w:eastAsia="es-ES_tradnl"/>
        </w:rPr>
      </w:pPr>
      <w:r w:rsidRPr="00F50B9E">
        <w:rPr>
          <w:rFonts w:ascii="Verdana" w:eastAsia="Times New Roman" w:hAnsi="Verdana" w:cs="Arial"/>
          <w:sz w:val="20"/>
          <w:szCs w:val="20"/>
          <w:lang w:eastAsia="es-ES_tradnl"/>
        </w:rPr>
        <w:t xml:space="preserve">Conforme a lo anterior, si la Entidad Estatal celebra un contrato cuyo plazo de ejecución es mayor a cinco (5) años, puede pactar en el contrato que las garantías cubran los riegos de cada </w:t>
      </w:r>
      <w:r w:rsidRPr="00F50B9E">
        <w:rPr>
          <w:rFonts w:ascii="Verdana" w:eastAsia="Times New Roman" w:hAnsi="Verdana" w:cs="Arial"/>
          <w:i/>
          <w:iCs/>
          <w:sz w:val="20"/>
          <w:szCs w:val="20"/>
          <w:lang w:eastAsia="es-ES_tradnl"/>
        </w:rPr>
        <w:t>etapa del contrato</w:t>
      </w:r>
      <w:r w:rsidRPr="00F50B9E">
        <w:rPr>
          <w:rFonts w:ascii="Verdana" w:eastAsia="Times New Roman" w:hAnsi="Verdana" w:cs="Arial"/>
          <w:sz w:val="20"/>
          <w:szCs w:val="20"/>
          <w:lang w:eastAsia="es-ES_tradnl"/>
        </w:rPr>
        <w:t xml:space="preserve">, </w:t>
      </w:r>
      <w:r w:rsidRPr="00F50B9E">
        <w:rPr>
          <w:rFonts w:ascii="Verdana" w:eastAsia="Times New Roman" w:hAnsi="Verdana" w:cs="Arial"/>
          <w:i/>
          <w:iCs/>
          <w:sz w:val="20"/>
          <w:szCs w:val="20"/>
          <w:lang w:eastAsia="es-ES_tradnl"/>
        </w:rPr>
        <w:t xml:space="preserve">periodo contractual o unidad </w:t>
      </w:r>
      <w:r w:rsidRPr="00F50B9E">
        <w:rPr>
          <w:rFonts w:ascii="Verdana" w:eastAsia="Times New Roman" w:hAnsi="Verdana" w:cs="Arial"/>
          <w:sz w:val="20"/>
          <w:szCs w:val="20"/>
          <w:lang w:eastAsia="es-ES_tradnl"/>
        </w:rPr>
        <w:t xml:space="preserve">funcional, caso en el cual el pliego de condiciones regulará las garantías teniendo en cuenta lo siguiente: i) se identificará la garantía que ampara los riesgos para cada etapa del contrato o periodo contractual, pero, además, la vigencia que rige para cada uno –que en todo caso no puede ser menor al plazo de ejecución definido para cada etapa del contrato o periodo </w:t>
      </w:r>
      <w:r w:rsidRPr="00F50B9E">
        <w:rPr>
          <w:rFonts w:ascii="Verdana" w:eastAsia="Times New Roman" w:hAnsi="Verdana" w:cs="Arial"/>
          <w:sz w:val="20"/>
          <w:szCs w:val="20"/>
          <w:lang w:eastAsia="es-ES_tradnl"/>
        </w:rPr>
        <w:lastRenderedPageBreak/>
        <w:t xml:space="preserve">contractual–, y </w:t>
      </w:r>
      <w:proofErr w:type="spellStart"/>
      <w:r w:rsidRPr="00F50B9E">
        <w:rPr>
          <w:rFonts w:ascii="Verdana" w:eastAsia="Times New Roman" w:hAnsi="Verdana" w:cs="Arial"/>
          <w:sz w:val="20"/>
          <w:szCs w:val="20"/>
          <w:lang w:eastAsia="es-ES_tradnl"/>
        </w:rPr>
        <w:t>ii</w:t>
      </w:r>
      <w:proofErr w:type="spellEnd"/>
      <w:r w:rsidRPr="00F50B9E">
        <w:rPr>
          <w:rFonts w:ascii="Verdana" w:eastAsia="Times New Roman" w:hAnsi="Verdana" w:cs="Arial"/>
          <w:sz w:val="20"/>
          <w:szCs w:val="20"/>
          <w:lang w:eastAsia="es-ES_tradnl"/>
        </w:rPr>
        <w:t xml:space="preserve">) el monto de los amparos se calculará tomando el valor de las obligaciones del contratista para cada etapa del contrato o periodo contractual, y además, regirán las reglas de suficiencia definidas en los artículos 2.2.1.2.3.1.9. al 2.2.1.2.3.1.17. del Decreto 1082 de 2015. </w:t>
      </w:r>
    </w:p>
    <w:p w14:paraId="18BA6E35" w14:textId="77777777" w:rsidR="00E9603D" w:rsidRPr="00F50B9E" w:rsidRDefault="00E9603D" w:rsidP="00E9603D">
      <w:pPr>
        <w:spacing w:after="0" w:line="240" w:lineRule="auto"/>
        <w:contextualSpacing/>
        <w:jc w:val="both"/>
        <w:rPr>
          <w:rFonts w:ascii="Verdana" w:eastAsia="Times New Roman" w:hAnsi="Verdana" w:cs="Times New Roman"/>
          <w:lang w:eastAsia="es-ES_tradnl"/>
        </w:rPr>
      </w:pPr>
    </w:p>
    <w:p w14:paraId="7BF3F414"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285AEAED"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9F72DEE"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EDE4434"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7E1D44A0"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51009C31"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3FFB060"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18A60EA5"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D0FF538"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50110118"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E296F94"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29EDE858"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77A2F409"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5645634C"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02A0A56"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46515500"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1465754"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AED1E9D"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0024C21"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5F24855D"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553C7F25"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61200C9"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2470BF4"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2810B32E"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31CBF1AD"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32C55793"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1C179F67"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45506699"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2A53480B"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2FC6F44"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0F51F47"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2BBB942F"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22AA97BE"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6CD9B3B0"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0D27C83D"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1E6EB906" w14:textId="77777777" w:rsidR="00E9603D" w:rsidRDefault="00E9603D" w:rsidP="00E9603D">
      <w:pPr>
        <w:tabs>
          <w:tab w:val="left" w:pos="709"/>
        </w:tabs>
        <w:spacing w:after="0" w:line="240" w:lineRule="auto"/>
        <w:rPr>
          <w:rFonts w:ascii="Verdana" w:eastAsia="Times New Roman" w:hAnsi="Verdana" w:cs="Times New Roman"/>
          <w:b/>
          <w:bCs/>
          <w:lang w:eastAsia="es-ES_tradnl"/>
        </w:rPr>
      </w:pPr>
    </w:p>
    <w:p w14:paraId="1E9011DC" w14:textId="3C2367F3" w:rsidR="00E9603D" w:rsidRDefault="00E9603D" w:rsidP="00E9603D">
      <w:pPr>
        <w:tabs>
          <w:tab w:val="left" w:pos="709"/>
        </w:tabs>
        <w:spacing w:after="0" w:line="240" w:lineRule="auto"/>
        <w:rPr>
          <w:rFonts w:ascii="Verdana" w:eastAsia="Geomanist Light" w:hAnsi="Verdana" w:cs="Arial"/>
        </w:rPr>
      </w:pPr>
    </w:p>
    <w:p w14:paraId="5C815697" w14:textId="79FEA2CB" w:rsidR="004B1E0D" w:rsidRPr="00E9603D" w:rsidRDefault="00E9603D" w:rsidP="004B1E0D">
      <w:pPr>
        <w:spacing w:after="0" w:line="240" w:lineRule="auto"/>
        <w:rPr>
          <w:rFonts w:ascii="Verdana" w:eastAsia="Calibri" w:hAnsi="Verdana" w:cs="Arial"/>
          <w:lang w:eastAsia="es-ES"/>
        </w:rPr>
      </w:pPr>
      <w:r w:rsidRPr="00E9603D">
        <w:rPr>
          <w:rFonts w:ascii="Verdana" w:eastAsia="Calibri" w:hAnsi="Verdana" w:cs="Arial"/>
          <w:lang w:eastAsia="es-ES"/>
        </w:rPr>
        <w:lastRenderedPageBreak/>
        <w:t xml:space="preserve">Bogotá D.C., 09 de </w:t>
      </w:r>
      <w:proofErr w:type="gramStart"/>
      <w:r w:rsidRPr="00E9603D">
        <w:rPr>
          <w:rFonts w:ascii="Verdana" w:eastAsia="Calibri" w:hAnsi="Verdana" w:cs="Arial"/>
          <w:lang w:eastAsia="es-ES"/>
        </w:rPr>
        <w:t>Marzo</w:t>
      </w:r>
      <w:proofErr w:type="gramEnd"/>
      <w:r w:rsidRPr="00E9603D">
        <w:rPr>
          <w:rFonts w:ascii="Verdana" w:eastAsia="Calibri" w:hAnsi="Verdana" w:cs="Arial"/>
          <w:lang w:eastAsia="es-ES"/>
        </w:rPr>
        <w:t xml:space="preserve"> de 2026</w:t>
      </w:r>
      <w:r w:rsidRPr="00E9603D">
        <w:rPr>
          <w:rFonts w:ascii="Verdana" w:eastAsia="Geomanist Light" w:hAnsi="Verdana" w:cs="Arial"/>
        </w:rPr>
        <w:drawing>
          <wp:anchor distT="0" distB="0" distL="114300" distR="114300" simplePos="0" relativeHeight="251658240" behindDoc="1" locked="0" layoutInCell="1" allowOverlap="1" wp14:anchorId="64672BE0" wp14:editId="2B82ED6A">
            <wp:simplePos x="0" y="0"/>
            <wp:positionH relativeFrom="column">
              <wp:posOffset>4169043</wp:posOffset>
            </wp:positionH>
            <wp:positionV relativeFrom="paragraph">
              <wp:posOffset>113465</wp:posOffset>
            </wp:positionV>
            <wp:extent cx="2109470" cy="678815"/>
            <wp:effectExtent l="0" t="0" r="5080" b="6985"/>
            <wp:wrapTight wrapText="bothSides">
              <wp:wrapPolygon edited="0">
                <wp:start x="0" y="0"/>
                <wp:lineTo x="0" y="21216"/>
                <wp:lineTo x="21457" y="21216"/>
                <wp:lineTo x="21457" y="0"/>
                <wp:lineTo x="0" y="0"/>
              </wp:wrapPolygon>
            </wp:wrapTight>
            <wp:docPr id="8611252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2529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09470" cy="678815"/>
                    </a:xfrm>
                    <a:prstGeom prst="rect">
                      <a:avLst/>
                    </a:prstGeom>
                  </pic:spPr>
                </pic:pic>
              </a:graphicData>
            </a:graphic>
            <wp14:sizeRelH relativeFrom="page">
              <wp14:pctWidth>0</wp14:pctWidth>
            </wp14:sizeRelH>
            <wp14:sizeRelV relativeFrom="page">
              <wp14:pctHeight>0</wp14:pctHeight>
            </wp14:sizeRelV>
          </wp:anchor>
        </w:drawing>
      </w:r>
    </w:p>
    <w:p w14:paraId="68E3C1AF" w14:textId="7DF2A8EF" w:rsidR="004B1E0D" w:rsidRPr="00D257C1" w:rsidRDefault="004B1E0D" w:rsidP="004B1E0D">
      <w:pPr>
        <w:spacing w:after="0" w:line="240" w:lineRule="auto"/>
        <w:rPr>
          <w:rFonts w:ascii="Verdana" w:eastAsia="Calibri" w:hAnsi="Verdana" w:cs="Arial"/>
          <w:b/>
          <w:bCs/>
          <w:lang w:eastAsia="es-ES_tradnl"/>
        </w:rPr>
      </w:pPr>
    </w:p>
    <w:p w14:paraId="048A46D2" w14:textId="29DCADAB" w:rsidR="004B1E0D" w:rsidRPr="00D257C1" w:rsidRDefault="004B1E0D" w:rsidP="004B1E0D">
      <w:pPr>
        <w:spacing w:after="0" w:line="240" w:lineRule="auto"/>
        <w:rPr>
          <w:rFonts w:ascii="Verdana" w:eastAsia="Calibri" w:hAnsi="Verdana" w:cs="Arial"/>
          <w:lang w:eastAsia="es-ES_tradnl"/>
        </w:rPr>
      </w:pPr>
      <w:r w:rsidRPr="00D257C1">
        <w:rPr>
          <w:rFonts w:ascii="Verdana" w:eastAsia="Calibri" w:hAnsi="Verdana" w:cs="Arial"/>
          <w:lang w:eastAsia="es-ES_tradnl"/>
        </w:rPr>
        <w:t>Señor</w:t>
      </w:r>
    </w:p>
    <w:p w14:paraId="47CB9D83" w14:textId="5E15486B" w:rsidR="004B1E0D" w:rsidRPr="00D257C1" w:rsidRDefault="004B1E0D" w:rsidP="004B1E0D">
      <w:pPr>
        <w:spacing w:after="0" w:line="240" w:lineRule="auto"/>
        <w:rPr>
          <w:rFonts w:ascii="Verdana" w:eastAsia="Calibri" w:hAnsi="Verdana" w:cs="Arial"/>
          <w:b/>
          <w:bCs/>
          <w:lang w:eastAsia="es-ES_tradnl"/>
        </w:rPr>
      </w:pPr>
      <w:r w:rsidRPr="00D257C1">
        <w:rPr>
          <w:rFonts w:ascii="Verdana" w:eastAsia="Calibri" w:hAnsi="Verdana" w:cs="Arial"/>
          <w:b/>
          <w:bCs/>
          <w:lang w:eastAsia="es-ES_tradnl"/>
        </w:rPr>
        <w:t>Andrés Felipe Guzmán Rojas</w:t>
      </w:r>
    </w:p>
    <w:p w14:paraId="69667F68" w14:textId="51B83B71" w:rsidR="004B1E0D" w:rsidRPr="00D257C1" w:rsidRDefault="004B1E0D" w:rsidP="004B1E0D">
      <w:pPr>
        <w:spacing w:after="0" w:line="240" w:lineRule="auto"/>
        <w:rPr>
          <w:rFonts w:ascii="Verdana" w:eastAsia="Calibri" w:hAnsi="Verdana" w:cs="Arial"/>
          <w:lang w:eastAsia="es-ES_tradnl"/>
        </w:rPr>
      </w:pPr>
      <w:r w:rsidRPr="00D257C1">
        <w:rPr>
          <w:rFonts w:ascii="Verdana" w:eastAsia="Calibri" w:hAnsi="Verdana" w:cs="Arial"/>
          <w:lang w:eastAsia="es-ES_tradnl"/>
        </w:rPr>
        <w:t>andresabog@outlook.com</w:t>
      </w:r>
    </w:p>
    <w:p w14:paraId="1C32AA4D" w14:textId="63C0C2ED" w:rsidR="004B1E0D" w:rsidRPr="00D257C1" w:rsidRDefault="004B1E0D" w:rsidP="004B1E0D">
      <w:pPr>
        <w:spacing w:after="0" w:line="240" w:lineRule="auto"/>
        <w:rPr>
          <w:rFonts w:ascii="Verdana" w:eastAsia="Calibri" w:hAnsi="Verdana" w:cs="Arial"/>
          <w:lang w:eastAsia="es-ES_tradnl"/>
        </w:rPr>
      </w:pPr>
      <w:r w:rsidRPr="00D257C1">
        <w:rPr>
          <w:rFonts w:ascii="Verdana" w:eastAsia="Calibri" w:hAnsi="Verdana" w:cs="Arial"/>
          <w:lang w:eastAsia="es-ES_tradnl"/>
        </w:rPr>
        <w:t>Bogotá, Cundinamarca</w:t>
      </w:r>
    </w:p>
    <w:p w14:paraId="5EBC0691" w14:textId="77777777" w:rsidR="004B1E0D" w:rsidRPr="00D257C1" w:rsidRDefault="004B1E0D" w:rsidP="004B1E0D">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B1E0D" w:rsidRPr="00D257C1" w14:paraId="01270CA5" w14:textId="77777777" w:rsidTr="0052628D">
        <w:trPr>
          <w:trHeight w:val="190"/>
        </w:trPr>
        <w:tc>
          <w:tcPr>
            <w:tcW w:w="2689" w:type="dxa"/>
          </w:tcPr>
          <w:p w14:paraId="6E54C429" w14:textId="77777777" w:rsidR="004B1E0D" w:rsidRPr="00D257C1" w:rsidRDefault="004B1E0D" w:rsidP="0052628D">
            <w:pPr>
              <w:jc w:val="both"/>
              <w:rPr>
                <w:rFonts w:ascii="Verdana" w:eastAsia="Calibri" w:hAnsi="Verdana" w:cs="Arial"/>
                <w:b/>
                <w:bCs/>
                <w:lang w:eastAsia="es-ES_tradnl"/>
              </w:rPr>
            </w:pPr>
          </w:p>
        </w:tc>
        <w:tc>
          <w:tcPr>
            <w:tcW w:w="6100" w:type="dxa"/>
          </w:tcPr>
          <w:p w14:paraId="44F650C8" w14:textId="77777777" w:rsidR="004B1E0D" w:rsidRPr="00D257C1" w:rsidRDefault="004B1E0D" w:rsidP="0052628D">
            <w:pPr>
              <w:jc w:val="both"/>
              <w:rPr>
                <w:rFonts w:ascii="Verdana" w:eastAsia="Calibri" w:hAnsi="Verdana" w:cs="Arial"/>
                <w:b/>
                <w:bCs/>
                <w:lang w:eastAsia="es-ES"/>
              </w:rPr>
            </w:pPr>
            <w:r w:rsidRPr="00D257C1">
              <w:rPr>
                <w:rFonts w:ascii="Verdana" w:eastAsia="Calibri" w:hAnsi="Verdana" w:cs="Arial"/>
                <w:b/>
                <w:bCs/>
                <w:lang w:eastAsia="es-ES"/>
              </w:rPr>
              <w:t>Concepto C- 117 de 2026</w:t>
            </w:r>
          </w:p>
          <w:p w14:paraId="3885D41C" w14:textId="77777777" w:rsidR="004B1E0D" w:rsidRPr="00D257C1" w:rsidRDefault="004B1E0D" w:rsidP="0052628D">
            <w:pPr>
              <w:jc w:val="both"/>
              <w:rPr>
                <w:rFonts w:ascii="Verdana" w:eastAsia="Calibri" w:hAnsi="Verdana" w:cs="Arial"/>
                <w:b/>
                <w:bCs/>
                <w:lang w:eastAsia="es-ES"/>
              </w:rPr>
            </w:pPr>
          </w:p>
        </w:tc>
      </w:tr>
      <w:tr w:rsidR="004B1E0D" w:rsidRPr="00D257C1" w14:paraId="69FB86C1" w14:textId="77777777" w:rsidTr="0052628D">
        <w:trPr>
          <w:trHeight w:val="884"/>
        </w:trPr>
        <w:tc>
          <w:tcPr>
            <w:tcW w:w="2689" w:type="dxa"/>
          </w:tcPr>
          <w:p w14:paraId="521CBA95" w14:textId="77777777" w:rsidR="004B1E0D" w:rsidRPr="00D257C1" w:rsidRDefault="004B1E0D" w:rsidP="0052628D">
            <w:pPr>
              <w:jc w:val="both"/>
              <w:rPr>
                <w:rFonts w:ascii="Verdana" w:eastAsia="Calibri" w:hAnsi="Verdana" w:cs="Arial"/>
                <w:lang w:eastAsia="es-ES_tradnl"/>
              </w:rPr>
            </w:pPr>
            <w:r w:rsidRPr="00D257C1">
              <w:rPr>
                <w:rFonts w:ascii="Verdana" w:eastAsia="Calibri" w:hAnsi="Verdana" w:cs="Arial"/>
                <w:b/>
                <w:lang w:eastAsia="es-ES_tradnl"/>
              </w:rPr>
              <w:t>Tema:</w:t>
            </w:r>
            <w:r w:rsidRPr="00D257C1">
              <w:rPr>
                <w:rFonts w:ascii="Verdana" w:eastAsia="Calibri" w:hAnsi="Verdana" w:cs="Arial"/>
                <w:lang w:eastAsia="es-ES_tradnl"/>
              </w:rPr>
              <w:t xml:space="preserve">                   </w:t>
            </w:r>
          </w:p>
        </w:tc>
        <w:tc>
          <w:tcPr>
            <w:tcW w:w="6100" w:type="dxa"/>
          </w:tcPr>
          <w:p w14:paraId="332EB927" w14:textId="77777777" w:rsidR="004B1E0D" w:rsidRPr="004325DF" w:rsidDel="004677FB" w:rsidRDefault="004B1E0D" w:rsidP="0052628D">
            <w:pPr>
              <w:jc w:val="both"/>
              <w:rPr>
                <w:rFonts w:ascii="Verdana" w:eastAsia="Calibri" w:hAnsi="Verdana" w:cs="Arial"/>
                <w:lang w:val="es-ES" w:eastAsia="es-ES"/>
              </w:rPr>
            </w:pPr>
            <w:r w:rsidRPr="564E59A4">
              <w:rPr>
                <w:rFonts w:ascii="Verdana" w:eastAsia="Calibri" w:hAnsi="Verdana"/>
                <w:lang w:eastAsia="es-ES"/>
              </w:rPr>
              <w:t>CONSTITUCIÓN DE GARANTÍAS – Obligación /</w:t>
            </w:r>
            <w:r w:rsidRPr="00D257C1">
              <w:rPr>
                <w:rFonts w:ascii="Verdana" w:hAnsi="Verdana"/>
                <w:b/>
                <w:bCs/>
              </w:rPr>
              <w:t xml:space="preserve"> </w:t>
            </w:r>
            <w:r w:rsidRPr="564E59A4">
              <w:rPr>
                <w:rFonts w:ascii="Verdana" w:eastAsia="Times New Roman" w:hAnsi="Verdana"/>
                <w:lang w:eastAsia="es-ES"/>
              </w:rPr>
              <w:t xml:space="preserve">PRINCIPIO DE INDIVISIBILIDAD DE LA GARANTÍA – Noción – Alcance / PRINCIPIO DE INDIVISIBILIDAD DE LA GARANTÍA – Requisitos – Pliego de condiciones </w:t>
            </w:r>
          </w:p>
          <w:p w14:paraId="2281D600" w14:textId="77777777" w:rsidR="004B1E0D" w:rsidRPr="00D257C1" w:rsidRDefault="004B1E0D" w:rsidP="0052628D">
            <w:pPr>
              <w:jc w:val="both"/>
              <w:rPr>
                <w:rFonts w:ascii="Verdana" w:eastAsia="Calibri" w:hAnsi="Verdana" w:cs="Arial"/>
                <w:lang w:val="es-ES" w:eastAsia="es-ES"/>
              </w:rPr>
            </w:pPr>
            <w:r w:rsidRPr="564E59A4">
              <w:rPr>
                <w:rFonts w:ascii="Verdana" w:eastAsia="Calibri" w:hAnsi="Verdana" w:cs="Arial"/>
                <w:lang w:val="es-ES" w:eastAsia="es-ES"/>
              </w:rPr>
              <w:t xml:space="preserve">      </w:t>
            </w:r>
          </w:p>
        </w:tc>
      </w:tr>
      <w:tr w:rsidR="004B1E0D" w:rsidRPr="00D257C1" w14:paraId="40F4BCA5" w14:textId="77777777" w:rsidTr="0052628D">
        <w:tc>
          <w:tcPr>
            <w:tcW w:w="2689" w:type="dxa"/>
          </w:tcPr>
          <w:p w14:paraId="716D8243" w14:textId="77777777" w:rsidR="004B1E0D" w:rsidRPr="00D257C1" w:rsidRDefault="004B1E0D" w:rsidP="0052628D">
            <w:pPr>
              <w:jc w:val="both"/>
              <w:rPr>
                <w:rFonts w:ascii="Verdana" w:eastAsia="Calibri" w:hAnsi="Verdana" w:cs="Arial"/>
                <w:b/>
                <w:lang w:eastAsia="es-ES_tradnl"/>
              </w:rPr>
            </w:pPr>
            <w:r w:rsidRPr="00D257C1">
              <w:rPr>
                <w:rFonts w:ascii="Verdana" w:eastAsia="Calibri" w:hAnsi="Verdana" w:cs="Arial"/>
                <w:b/>
                <w:lang w:eastAsia="es-ES_tradnl"/>
              </w:rPr>
              <w:t>Radicación:</w:t>
            </w:r>
            <w:r w:rsidRPr="00D257C1">
              <w:rPr>
                <w:rFonts w:ascii="Verdana" w:eastAsia="Calibri" w:hAnsi="Verdana" w:cs="Arial"/>
                <w:lang w:eastAsia="es-ES_tradnl"/>
              </w:rPr>
              <w:t xml:space="preserve">               </w:t>
            </w:r>
          </w:p>
        </w:tc>
        <w:tc>
          <w:tcPr>
            <w:tcW w:w="6100" w:type="dxa"/>
          </w:tcPr>
          <w:p w14:paraId="112B309D" w14:textId="77777777" w:rsidR="004B1E0D" w:rsidRPr="00D257C1" w:rsidRDefault="004B1E0D" w:rsidP="0052628D">
            <w:pPr>
              <w:jc w:val="both"/>
              <w:rPr>
                <w:rFonts w:ascii="Verdana" w:eastAsia="Calibri" w:hAnsi="Verdana" w:cs="Arial"/>
                <w:lang w:eastAsia="es-ES_tradnl"/>
              </w:rPr>
            </w:pPr>
            <w:r w:rsidRPr="00D257C1">
              <w:rPr>
                <w:rFonts w:ascii="Verdana" w:eastAsia="Calibri" w:hAnsi="Verdana" w:cs="Arial"/>
                <w:lang w:eastAsia="es-ES_tradnl"/>
              </w:rPr>
              <w:t>Respuesta a consulta con radicado No.</w:t>
            </w:r>
            <w:r w:rsidRPr="00D257C1">
              <w:rPr>
                <w:rFonts w:ascii="Verdana" w:hAnsi="Verdana" w:cs="Segoe UI"/>
                <w:color w:val="2B2B2B"/>
                <w:shd w:val="clear" w:color="auto" w:fill="FFFFFF"/>
              </w:rPr>
              <w:t xml:space="preserve"> 1_2026_01_29_001048</w:t>
            </w:r>
          </w:p>
        </w:tc>
      </w:tr>
    </w:tbl>
    <w:p w14:paraId="1D892246" w14:textId="77777777" w:rsidR="00E9603D" w:rsidRPr="00D257C1" w:rsidRDefault="00E9603D" w:rsidP="004B1E0D">
      <w:pPr>
        <w:spacing w:after="0" w:line="240" w:lineRule="auto"/>
        <w:jc w:val="both"/>
        <w:rPr>
          <w:rFonts w:ascii="Verdana" w:eastAsia="Calibri" w:hAnsi="Verdana" w:cs="Arial"/>
          <w:lang w:eastAsia="es-ES_tradnl"/>
        </w:rPr>
      </w:pPr>
    </w:p>
    <w:p w14:paraId="0C47B93B" w14:textId="77777777" w:rsidR="004B1E0D" w:rsidRPr="00960F72" w:rsidRDefault="004B1E0D" w:rsidP="004B1E0D">
      <w:pPr>
        <w:spacing w:after="0" w:line="276" w:lineRule="auto"/>
        <w:jc w:val="both"/>
        <w:rPr>
          <w:rFonts w:ascii="Verdana" w:eastAsia="Calibri" w:hAnsi="Verdana" w:cs="Arial"/>
          <w:lang w:eastAsia="es-ES"/>
        </w:rPr>
      </w:pPr>
      <w:r>
        <w:rPr>
          <w:rFonts w:ascii="Verdana" w:eastAsia="Calibri" w:hAnsi="Verdana" w:cs="Arial"/>
          <w:lang w:eastAsia="es-ES"/>
        </w:rPr>
        <w:t>Estimado señor Guzmán:</w:t>
      </w:r>
    </w:p>
    <w:p w14:paraId="3699D018" w14:textId="77777777" w:rsidR="004B1E0D" w:rsidRPr="00960F72" w:rsidRDefault="004B1E0D" w:rsidP="004B1E0D">
      <w:pPr>
        <w:tabs>
          <w:tab w:val="left" w:pos="3768"/>
        </w:tabs>
        <w:spacing w:after="0" w:line="276" w:lineRule="auto"/>
        <w:jc w:val="both"/>
        <w:rPr>
          <w:rFonts w:ascii="Verdana" w:eastAsia="Calibri" w:hAnsi="Verdana" w:cs="Arial"/>
          <w:lang w:eastAsia="es-ES"/>
        </w:rPr>
      </w:pPr>
    </w:p>
    <w:p w14:paraId="45D10362" w14:textId="77777777" w:rsidR="004B1E0D" w:rsidRPr="00960F72" w:rsidRDefault="004B1E0D" w:rsidP="004B1E0D">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29 </w:t>
      </w:r>
      <w:r w:rsidRPr="00960F72">
        <w:rPr>
          <w:rFonts w:ascii="Verdana" w:eastAsia="Calibri" w:hAnsi="Verdana" w:cs="Arial"/>
          <w:lang w:eastAsia="es-ES"/>
        </w:rPr>
        <w:t xml:space="preserve">de </w:t>
      </w:r>
      <w:r>
        <w:rPr>
          <w:rFonts w:ascii="Verdana" w:eastAsia="Calibri" w:hAnsi="Verdana" w:cs="Arial"/>
          <w:lang w:eastAsia="es-ES"/>
        </w:rPr>
        <w:t>enero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7E7B9832" w14:textId="77777777" w:rsidR="004B1E0D" w:rsidRPr="00960F72" w:rsidRDefault="004B1E0D" w:rsidP="004B1E0D">
      <w:pPr>
        <w:spacing w:after="0" w:line="276" w:lineRule="auto"/>
        <w:jc w:val="both"/>
        <w:rPr>
          <w:rFonts w:ascii="Verdana" w:eastAsia="Calibri" w:hAnsi="Verdana" w:cs="Arial"/>
          <w:lang w:eastAsia="es-ES"/>
        </w:rPr>
      </w:pPr>
    </w:p>
    <w:p w14:paraId="668AAEF2" w14:textId="77777777" w:rsidR="004B1E0D" w:rsidRDefault="004B1E0D" w:rsidP="004B1E0D">
      <w:pPr>
        <w:spacing w:after="0" w:line="240" w:lineRule="auto"/>
        <w:ind w:left="709" w:right="709"/>
        <w:jc w:val="both"/>
        <w:rPr>
          <w:rFonts w:ascii="Verdana" w:eastAsia="Calibri" w:hAnsi="Verdana" w:cs="Arial"/>
          <w:sz w:val="20"/>
          <w:szCs w:val="20"/>
          <w:lang w:eastAsia="es-ES"/>
        </w:rPr>
      </w:pPr>
      <w:r w:rsidRPr="564E59A4">
        <w:rPr>
          <w:rFonts w:ascii="Verdana" w:eastAsia="Calibri" w:hAnsi="Verdana" w:cs="Arial"/>
          <w:sz w:val="20"/>
          <w:szCs w:val="20"/>
          <w:lang w:eastAsia="es-ES"/>
        </w:rPr>
        <w:t xml:space="preserve">“La garantía de cumplimiento en un proceso de contratación estatal puede ser dividida en </w:t>
      </w:r>
      <w:proofErr w:type="gramStart"/>
      <w:r w:rsidRPr="564E59A4">
        <w:rPr>
          <w:rFonts w:ascii="Verdana" w:eastAsia="Calibri" w:hAnsi="Verdana" w:cs="Arial"/>
          <w:sz w:val="20"/>
          <w:szCs w:val="20"/>
          <w:lang w:eastAsia="es-ES"/>
        </w:rPr>
        <w:t>cada un Una garantía</w:t>
      </w:r>
      <w:proofErr w:type="gramEnd"/>
      <w:r w:rsidRPr="564E59A4">
        <w:rPr>
          <w:rFonts w:ascii="Verdana" w:eastAsia="Calibri" w:hAnsi="Verdana" w:cs="Arial"/>
          <w:sz w:val="20"/>
          <w:szCs w:val="20"/>
          <w:lang w:eastAsia="es-ES"/>
        </w:rPr>
        <w:t xml:space="preserve"> de cumplimiento cubre, entre otras, el cumplimiento, el pago de salarios, calidad del artículo 2.2.1.2.3.1.3 del Decreto 1082 de 2015 usa la palabra “riesgos” que puede no dar la claridad”. </w:t>
      </w:r>
    </w:p>
    <w:p w14:paraId="7166729F" w14:textId="77777777" w:rsidR="004B1E0D" w:rsidRPr="00755387" w:rsidRDefault="004B1E0D" w:rsidP="004B1E0D">
      <w:pPr>
        <w:spacing w:after="0" w:line="276" w:lineRule="auto"/>
        <w:ind w:right="709"/>
        <w:jc w:val="both"/>
        <w:rPr>
          <w:rFonts w:ascii="Verdana" w:eastAsia="Calibri" w:hAnsi="Verdana" w:cs="Arial"/>
          <w:lang w:eastAsia="es-ES"/>
        </w:rPr>
      </w:pPr>
    </w:p>
    <w:p w14:paraId="02482F82" w14:textId="77777777" w:rsidR="004B1E0D" w:rsidRPr="00960F72" w:rsidRDefault="004B1E0D" w:rsidP="004B1E0D">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w:t>
      </w:r>
      <w:r w:rsidRPr="00960F72">
        <w:rPr>
          <w:rFonts w:ascii="Verdana" w:eastAsia="Calibri" w:hAnsi="Verdana" w:cs="Arial"/>
          <w:lang w:eastAsia="es-ES"/>
        </w:rPr>
        <w:lastRenderedPageBreak/>
        <w:t xml:space="preserve">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26533784" w14:textId="77777777" w:rsidR="004B1E0D" w:rsidRDefault="004B1E0D" w:rsidP="004B1E0D">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618579A7" w14:textId="77777777" w:rsidR="004B1E0D" w:rsidRPr="00960F72" w:rsidRDefault="004B1E0D" w:rsidP="004B1E0D">
      <w:pPr>
        <w:spacing w:after="0" w:line="276" w:lineRule="auto"/>
        <w:ind w:firstLine="709"/>
        <w:jc w:val="both"/>
        <w:rPr>
          <w:rFonts w:ascii="Verdana" w:eastAsia="Calibri" w:hAnsi="Verdana" w:cs="Arial"/>
          <w:lang w:eastAsia="es-ES"/>
        </w:rPr>
      </w:pPr>
    </w:p>
    <w:p w14:paraId="5898DD13" w14:textId="77777777" w:rsidR="004B1E0D" w:rsidRPr="00960F72" w:rsidRDefault="004B1E0D" w:rsidP="004B1E0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Problema planteado:</w:t>
      </w:r>
    </w:p>
    <w:p w14:paraId="7B6600D5" w14:textId="77777777" w:rsidR="004B1E0D" w:rsidRPr="00960F72" w:rsidRDefault="004B1E0D" w:rsidP="004B1E0D">
      <w:pPr>
        <w:tabs>
          <w:tab w:val="left" w:pos="426"/>
        </w:tabs>
        <w:spacing w:after="0" w:line="276" w:lineRule="auto"/>
        <w:jc w:val="both"/>
        <w:rPr>
          <w:rFonts w:ascii="Verdana" w:eastAsia="Century Gothic" w:hAnsi="Verdana" w:cs="Century Gothic"/>
        </w:rPr>
      </w:pPr>
    </w:p>
    <w:p w14:paraId="133AF0E7" w14:textId="77777777" w:rsidR="004B1E0D" w:rsidRPr="007211E4" w:rsidRDefault="004B1E0D" w:rsidP="004B1E0D">
      <w:pPr>
        <w:spacing w:after="0" w:line="276" w:lineRule="auto"/>
        <w:jc w:val="both"/>
        <w:rPr>
          <w:rFonts w:ascii="Verdana" w:eastAsia="Century Gothic" w:hAnsi="Verdana" w:cs="Century Gothic"/>
          <w:color w:val="000000" w:themeColor="text1"/>
        </w:rPr>
      </w:pPr>
      <w:r w:rsidRPr="564E59A4">
        <w:rPr>
          <w:rFonts w:ascii="Verdana" w:eastAsia="Century Gothic" w:hAnsi="Verdana" w:cs="Century Gothic"/>
        </w:rPr>
        <w:t>De acuerdo con el contenido de su solicitud, esta Agencia resolverá el siguiente problema jurídico: ¿Es jurídicamente viable, en un proceso de contratación, dividir la garantía de cumplimiento en varias garantías por cada uno de los amparos que se requieren para cubrir los riesgos identificados?</w:t>
      </w:r>
    </w:p>
    <w:p w14:paraId="57389BC4" w14:textId="77777777" w:rsidR="004B1E0D" w:rsidRPr="00960F72" w:rsidRDefault="004B1E0D" w:rsidP="004B1E0D">
      <w:pPr>
        <w:spacing w:after="0" w:line="276" w:lineRule="auto"/>
        <w:jc w:val="both"/>
        <w:rPr>
          <w:rFonts w:ascii="Verdana" w:eastAsia="Century Gothic" w:hAnsi="Verdana" w:cs="Century Gothic"/>
        </w:rPr>
      </w:pPr>
    </w:p>
    <w:p w14:paraId="31BCA3D7" w14:textId="77777777" w:rsidR="004B1E0D" w:rsidRDefault="004B1E0D" w:rsidP="004B1E0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Respuesta:</w:t>
      </w:r>
    </w:p>
    <w:p w14:paraId="2CE64FB1" w14:textId="77777777" w:rsidR="004B1E0D" w:rsidRPr="00027E7B" w:rsidRDefault="004B1E0D" w:rsidP="004B1E0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B1E0D" w:rsidRPr="00960F72" w14:paraId="2C9A55C8" w14:textId="77777777" w:rsidTr="0052628D">
        <w:tc>
          <w:tcPr>
            <w:tcW w:w="8828" w:type="dxa"/>
          </w:tcPr>
          <w:p w14:paraId="1A8BF1F3" w14:textId="77777777" w:rsidR="004B1E0D" w:rsidRDefault="004B1E0D" w:rsidP="0052628D">
            <w:pPr>
              <w:spacing w:after="120" w:line="276" w:lineRule="auto"/>
              <w:jc w:val="both"/>
              <w:rPr>
                <w:rFonts w:ascii="Verdana" w:hAnsi="Verdana" w:cs="Arial"/>
                <w:color w:val="000000" w:themeColor="text1"/>
                <w:lang w:val="es-MX"/>
              </w:rPr>
            </w:pPr>
            <w:r w:rsidRPr="564E59A4">
              <w:rPr>
                <w:rFonts w:ascii="Verdana" w:hAnsi="Verdana" w:cs="Arial"/>
                <w:color w:val="000000" w:themeColor="text1"/>
                <w:lang w:val="es-ES"/>
              </w:rPr>
              <w:t>L</w:t>
            </w:r>
            <w:r w:rsidRPr="564E59A4">
              <w:rPr>
                <w:rFonts w:ascii="Verdana" w:eastAsia="Calibri" w:hAnsi="Verdana" w:cs="Arial"/>
                <w:color w:val="000000" w:themeColor="text1"/>
                <w:lang w:val="es-ES"/>
              </w:rPr>
              <w:t xml:space="preserve">a </w:t>
            </w:r>
            <w:r w:rsidRPr="564E59A4">
              <w:rPr>
                <w:rFonts w:ascii="Verdana" w:eastAsia="Calibri" w:hAnsi="Verdana" w:cs="Arial"/>
                <w:i/>
                <w:iCs/>
                <w:color w:val="000000" w:themeColor="text1"/>
                <w:lang w:val="es-ES"/>
              </w:rPr>
              <w:t>garantía única de cumplimiento</w:t>
            </w:r>
            <w:r w:rsidRPr="564E59A4">
              <w:rPr>
                <w:rFonts w:ascii="Verdana" w:eastAsia="Calibri" w:hAnsi="Verdana" w:cs="Arial"/>
                <w:color w:val="000000" w:themeColor="text1"/>
                <w:lang w:val="es-ES"/>
              </w:rPr>
              <w:t xml:space="preserve"> ampara los perjuicios que le pueda generar a la entidad el incumplimiento de las obligaciones derivadas del contrato por conductas que le sean atribuibles. </w:t>
            </w:r>
            <w:r w:rsidRPr="564E59A4">
              <w:rPr>
                <w:rFonts w:ascii="Verdana" w:hAnsi="Verdana" w:cs="Arial"/>
                <w:color w:val="000000" w:themeColor="text1"/>
                <w:lang w:val="es-ES"/>
              </w:rPr>
              <w:t xml:space="preserve">Para estos efectos es única, ya que “[…] La prioridad […] es que no haya garantías separadas para los diferentes riesgos, aunque existan varias garantías para diferentes proporciones del interés asegurado […]”.   </w:t>
            </w:r>
          </w:p>
          <w:p w14:paraId="05CDB70C" w14:textId="77777777" w:rsidR="004B1E0D" w:rsidRDefault="004B1E0D" w:rsidP="0052628D">
            <w:pPr>
              <w:spacing w:after="120" w:line="276" w:lineRule="auto"/>
              <w:ind w:firstLine="708"/>
              <w:jc w:val="both"/>
              <w:rPr>
                <w:rFonts w:ascii="Verdana" w:eastAsia="Times New Roman" w:hAnsi="Verdana" w:cs="Arial"/>
                <w:color w:val="000000" w:themeColor="text1"/>
                <w:lang w:eastAsia="es-CO"/>
              </w:rPr>
            </w:pPr>
            <w:r w:rsidRPr="564E59A4">
              <w:rPr>
                <w:rFonts w:ascii="Verdana" w:hAnsi="Verdana" w:cs="Arial"/>
                <w:color w:val="000000" w:themeColor="text1"/>
                <w:lang w:val="es-MX"/>
              </w:rPr>
              <w:t xml:space="preserve">El artículo 2.2.1.3.1.7 del Decreto 1082 de 2015 prescribe que la garantía de cumplimiento debe cubrir los siguientes amparos: i) el buen manejo y correcta inversión del anticipo; </w:t>
            </w:r>
            <w:proofErr w:type="spellStart"/>
            <w:r w:rsidRPr="564E59A4">
              <w:rPr>
                <w:rFonts w:ascii="Verdana" w:hAnsi="Verdana" w:cs="Arial"/>
                <w:color w:val="000000" w:themeColor="text1"/>
                <w:lang w:val="es-MX"/>
              </w:rPr>
              <w:t>ii</w:t>
            </w:r>
            <w:proofErr w:type="spellEnd"/>
            <w:r w:rsidRPr="564E59A4">
              <w:rPr>
                <w:rFonts w:ascii="Verdana" w:hAnsi="Verdana" w:cs="Arial"/>
                <w:color w:val="000000" w:themeColor="text1"/>
                <w:lang w:val="es-MX"/>
              </w:rPr>
              <w:t xml:space="preserve">) la devolución del pago anticipado; </w:t>
            </w:r>
            <w:proofErr w:type="spellStart"/>
            <w:r w:rsidRPr="564E59A4">
              <w:rPr>
                <w:rFonts w:ascii="Verdana" w:hAnsi="Verdana" w:cs="Arial"/>
                <w:color w:val="000000" w:themeColor="text1"/>
                <w:lang w:val="es-MX"/>
              </w:rPr>
              <w:t>iii</w:t>
            </w:r>
            <w:proofErr w:type="spellEnd"/>
            <w:r w:rsidRPr="564E59A4">
              <w:rPr>
                <w:rFonts w:ascii="Verdana" w:hAnsi="Verdana" w:cs="Arial"/>
                <w:color w:val="000000" w:themeColor="text1"/>
                <w:lang w:val="es-MX"/>
              </w:rPr>
              <w:t xml:space="preserve">) cumplimiento del contrato; </w:t>
            </w:r>
            <w:proofErr w:type="spellStart"/>
            <w:r w:rsidRPr="564E59A4">
              <w:rPr>
                <w:rFonts w:ascii="Verdana" w:hAnsi="Verdana" w:cs="Arial"/>
                <w:color w:val="000000" w:themeColor="text1"/>
                <w:lang w:val="es-MX"/>
              </w:rPr>
              <w:t>iv</w:t>
            </w:r>
            <w:proofErr w:type="spellEnd"/>
            <w:r w:rsidRPr="564E59A4">
              <w:rPr>
                <w:rFonts w:ascii="Verdana" w:hAnsi="Verdana" w:cs="Arial"/>
                <w:color w:val="000000" w:themeColor="text1"/>
                <w:lang w:val="es-MX"/>
              </w:rPr>
              <w:t xml:space="preserve">) pago de salarios, prestaciones sociales legales e indemnizaciones laborales; v) estabilidad y calidad de la obra; vi) </w:t>
            </w:r>
            <w:r w:rsidRPr="564E59A4">
              <w:rPr>
                <w:rFonts w:ascii="Verdana" w:hAnsi="Verdana" w:cs="Arial"/>
                <w:color w:val="000000" w:themeColor="text1"/>
                <w:lang w:eastAsia="es-CO"/>
              </w:rPr>
              <w:t xml:space="preserve">calidad del servicio; </w:t>
            </w:r>
            <w:proofErr w:type="spellStart"/>
            <w:r w:rsidRPr="564E59A4">
              <w:rPr>
                <w:rFonts w:ascii="Verdana" w:hAnsi="Verdana" w:cs="Arial"/>
                <w:color w:val="000000" w:themeColor="text1"/>
                <w:lang w:eastAsia="es-CO"/>
              </w:rPr>
              <w:t>vii</w:t>
            </w:r>
            <w:proofErr w:type="spellEnd"/>
            <w:r w:rsidRPr="564E59A4">
              <w:rPr>
                <w:rFonts w:ascii="Verdana" w:hAnsi="Verdana" w:cs="Arial"/>
                <w:color w:val="000000" w:themeColor="text1"/>
                <w:lang w:eastAsia="es-CO"/>
              </w:rPr>
              <w:t xml:space="preserve">) calidad y correcto funcionamiento de los bienes; y </w:t>
            </w:r>
            <w:proofErr w:type="spellStart"/>
            <w:r w:rsidRPr="564E59A4">
              <w:rPr>
                <w:rFonts w:ascii="Verdana" w:hAnsi="Verdana" w:cs="Arial"/>
                <w:color w:val="000000" w:themeColor="text1"/>
                <w:lang w:eastAsia="es-CO"/>
              </w:rPr>
              <w:t>viii</w:t>
            </w:r>
            <w:proofErr w:type="spellEnd"/>
            <w:r w:rsidRPr="564E59A4">
              <w:rPr>
                <w:rFonts w:ascii="Verdana" w:hAnsi="Verdana" w:cs="Arial"/>
                <w:color w:val="000000" w:themeColor="text1"/>
                <w:lang w:eastAsia="es-CO"/>
              </w:rPr>
              <w:t>) los demás incumplimientos de las obligaciones que la entidad estatal considere deben ser amparados</w:t>
            </w:r>
            <w:r w:rsidRPr="564E59A4">
              <w:rPr>
                <w:rFonts w:ascii="Verdana" w:eastAsia="Times New Roman" w:hAnsi="Verdana" w:cs="Arial"/>
                <w:color w:val="000000" w:themeColor="text1"/>
                <w:lang w:eastAsia="es-CO"/>
              </w:rPr>
              <w:t xml:space="preserve">. Esto, además de la póliza de responsabilidad civil extracontractual que es procedente en los contratos de obra, así como en </w:t>
            </w:r>
            <w:r w:rsidRPr="564E59A4">
              <w:rPr>
                <w:rFonts w:ascii="Verdana" w:eastAsia="Times New Roman" w:hAnsi="Verdana" w:cs="Arial"/>
                <w:color w:val="000000" w:themeColor="text1"/>
                <w:lang w:eastAsia="es-CO"/>
              </w:rPr>
              <w:lastRenderedPageBreak/>
              <w:t>aquellos en que por su objeto o naturaleza se considere necesario con ocasión de los riesgos previstos en el negocio, de acuerdo con el artículo 2.2.1.2.3.1.8</w:t>
            </w:r>
            <w:r w:rsidRPr="564E59A4">
              <w:rPr>
                <w:rFonts w:ascii="Verdana" w:eastAsia="Times New Roman" w:hAnsi="Verdana" w:cs="Arial"/>
                <w:i/>
                <w:iCs/>
                <w:color w:val="000000" w:themeColor="text1"/>
                <w:lang w:eastAsia="es-CO"/>
              </w:rPr>
              <w:t xml:space="preserve"> </w:t>
            </w:r>
            <w:r w:rsidRPr="564E59A4">
              <w:rPr>
                <w:rFonts w:ascii="Verdana" w:eastAsia="Times New Roman" w:hAnsi="Verdana" w:cs="Arial"/>
                <w:color w:val="000000" w:themeColor="text1"/>
                <w:lang w:eastAsia="es-CO"/>
              </w:rPr>
              <w:t>del Decreto 1082 de 2015.</w:t>
            </w:r>
          </w:p>
          <w:p w14:paraId="3FF3EA93" w14:textId="77777777" w:rsidR="004B1E0D" w:rsidRPr="00F50B9E" w:rsidRDefault="004B1E0D" w:rsidP="0052628D">
            <w:pPr>
              <w:spacing w:after="120" w:line="276" w:lineRule="auto"/>
              <w:ind w:firstLine="705"/>
              <w:jc w:val="both"/>
              <w:rPr>
                <w:rFonts w:ascii="Verdana" w:eastAsia="Times New Roman" w:hAnsi="Verdana" w:cs="Arial"/>
                <w:lang w:eastAsia="es-ES"/>
              </w:rPr>
            </w:pPr>
            <w:r w:rsidRPr="564E59A4">
              <w:rPr>
                <w:rFonts w:ascii="Verdana" w:eastAsia="Times New Roman" w:hAnsi="Verdana" w:cs="Arial"/>
                <w:color w:val="000000" w:themeColor="text1"/>
                <w:lang w:eastAsia="es-CO"/>
              </w:rPr>
              <w:t xml:space="preserve">De acuerdo con </w:t>
            </w:r>
            <w:r w:rsidRPr="564E59A4">
              <w:rPr>
                <w:rFonts w:ascii="Verdana" w:eastAsia="Times New Roman" w:hAnsi="Verdana" w:cs="Arial"/>
                <w:lang w:eastAsia="es-ES"/>
              </w:rPr>
              <w:t xml:space="preserve">el artículo 2.2.1.2.3.1.3 del Decreto 1082 de 2015, que regula la </w:t>
            </w:r>
            <w:r w:rsidRPr="564E59A4">
              <w:rPr>
                <w:rFonts w:ascii="Verdana" w:eastAsia="Times New Roman" w:hAnsi="Verdana" w:cs="Arial"/>
                <w:i/>
                <w:iCs/>
                <w:lang w:eastAsia="es-ES"/>
              </w:rPr>
              <w:t>indivisibilidad</w:t>
            </w:r>
            <w:r w:rsidRPr="564E59A4">
              <w:rPr>
                <w:rFonts w:ascii="Verdana" w:eastAsia="Times New Roman" w:hAnsi="Verdana" w:cs="Arial"/>
                <w:lang w:eastAsia="es-ES"/>
              </w:rPr>
              <w:t xml:space="preserve"> de la garantía, por regla general, un contrato estatal debe estar amparado mediante una sola garantía, salvo lo previsto en la misma norma en relación con los contratos cuyo plazo de ejecución sea mayor a cinco (5) años, frente a los cuales se podrá dividir la garantía, que prevé lo siguiente: “La garantía de cobertura del Riesgo es indivisible. Sin embargo, en los contratos con un plazo mayor a cinco (5) años las garantías pueden cubrir los Riesgos de la Etapa del Contrato o del Periodo Contractual, de acuerdo con lo previsto en el contrato”. </w:t>
            </w:r>
          </w:p>
          <w:p w14:paraId="0B7AF17B" w14:textId="77777777" w:rsidR="004B1E0D" w:rsidRDefault="004B1E0D" w:rsidP="0052628D">
            <w:pPr>
              <w:spacing w:after="120" w:line="276" w:lineRule="auto"/>
              <w:ind w:firstLine="708"/>
              <w:jc w:val="both"/>
              <w:rPr>
                <w:rFonts w:ascii="Verdana" w:hAnsi="Verdana" w:cs="Arial"/>
                <w:color w:val="000000"/>
              </w:rPr>
            </w:pPr>
            <w:r w:rsidRPr="564E59A4">
              <w:rPr>
                <w:rFonts w:ascii="Verdana" w:eastAsia="Times New Roman" w:hAnsi="Verdana" w:cs="Arial"/>
                <w:color w:val="000000" w:themeColor="text1"/>
                <w:lang w:eastAsia="es-CO"/>
              </w:rPr>
              <w:t xml:space="preserve">Como se observa, la garantía de cumplimiento es única y está compuesta por diferentes amparos que respaldan los riesgos frente a la totalidad del objeto contractual. De esta forma, la entidad exige la constitución una garantía de cumplimiento, con los amparos necesarios, cuya suficiencia y valor respalda la totalidad del objeto contractual. Ahora bien, </w:t>
            </w:r>
            <w:r w:rsidRPr="564E59A4">
              <w:rPr>
                <w:rStyle w:val="normaltextrun"/>
                <w:rFonts w:ascii="Verdana" w:hAnsi="Verdana" w:cs="Arial"/>
                <w:color w:val="000000" w:themeColor="text1"/>
              </w:rPr>
              <w:t xml:space="preserve">las reglas que permiten en casos específicos la “división” de garantías están relacionadas con contratos cuyo plazo es superior a cinco (5) años y que buscan cubrir los riesgos asociados a </w:t>
            </w:r>
            <w:r w:rsidRPr="564E59A4">
              <w:rPr>
                <w:rFonts w:ascii="Verdana" w:hAnsi="Verdana" w:cs="Arial"/>
                <w:color w:val="000000" w:themeColor="text1"/>
              </w:rPr>
              <w:t xml:space="preserve">cada etapa del contrato o cada periodo contractual. En efecto, esto es distinto al supuesto mencionado en la consulta, el cual se refiere a la división de la garantía por cada amparo necesario para cubrir los riesgos identificados. </w:t>
            </w:r>
          </w:p>
          <w:p w14:paraId="068EBAA1" w14:textId="77777777" w:rsidR="004B1E0D" w:rsidRPr="00EB66F0" w:rsidRDefault="004B1E0D" w:rsidP="0052628D">
            <w:pPr>
              <w:spacing w:line="276" w:lineRule="auto"/>
              <w:ind w:firstLine="709"/>
              <w:jc w:val="both"/>
              <w:rPr>
                <w:rFonts w:ascii="Verdana" w:hAnsi="Verdana" w:cs="Arial"/>
                <w:lang w:eastAsia="es-ES"/>
              </w:rPr>
            </w:pPr>
            <w:r w:rsidRPr="564E59A4">
              <w:rPr>
                <w:rFonts w:ascii="Verdana" w:eastAsia="Calibri" w:hAnsi="Verdana" w:cs="Times New Roman"/>
              </w:rPr>
              <w:t>De lo expuesto, se concluye que</w:t>
            </w:r>
            <w:r w:rsidRPr="564E59A4">
              <w:rPr>
                <w:rFonts w:ascii="Verdana" w:hAnsi="Verdana" w:cs="Arial"/>
                <w:lang w:eastAsia="es-ES"/>
              </w:rPr>
              <w:t>, el carácter indivisible de la garantía de cobertura del riesgo significa que no es jurídicamente admisible fraccionar la garantía de cumplimiento en amparos separados para cada riesgo dentro de un mismo período contractual. La indivisibilidad exige que la garantía cubra de manera integral todos los riesgos exigidos para el contrato, sin desagregarlos en pólizas o amparos independientes. Solo de manera excepcional, cuando el contrato esté estructurado en etapas, períodos contractuales o unidades funcionales claramente diferenciadas, es posible exigir garantías separadas por cada una de ellas, siempre que cada garantía cubra la totalidad de los riesgos propios de la etapa correspondiente, sin subdividirlos internamente y respetando las reglas de vigencia y suficiencia previstas en el Decreto 1082 de 2015.</w:t>
            </w:r>
          </w:p>
        </w:tc>
      </w:tr>
    </w:tbl>
    <w:p w14:paraId="37D9A256" w14:textId="77777777" w:rsidR="004B1E0D" w:rsidRPr="00960F72" w:rsidRDefault="004B1E0D" w:rsidP="004B1E0D">
      <w:pPr>
        <w:tabs>
          <w:tab w:val="left" w:pos="142"/>
          <w:tab w:val="left" w:pos="284"/>
        </w:tabs>
        <w:spacing w:after="0" w:line="276" w:lineRule="auto"/>
        <w:jc w:val="both"/>
        <w:rPr>
          <w:rFonts w:ascii="Verdana" w:eastAsia="Century Gothic" w:hAnsi="Verdana" w:cs="Century Gothic"/>
          <w:b/>
          <w:bCs/>
        </w:rPr>
      </w:pPr>
    </w:p>
    <w:p w14:paraId="33359E6D" w14:textId="77777777" w:rsidR="004B1E0D" w:rsidRDefault="004B1E0D" w:rsidP="004B1E0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Razones de la respuesta:</w:t>
      </w:r>
    </w:p>
    <w:p w14:paraId="2B0B85A1" w14:textId="77777777" w:rsidR="004B1E0D" w:rsidRDefault="004B1E0D" w:rsidP="004B1E0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41236A5" w14:textId="77777777" w:rsidR="004B1E0D" w:rsidRDefault="004B1E0D" w:rsidP="004B1E0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9C74AE1" w14:textId="77777777" w:rsidR="004B1E0D" w:rsidRPr="000C6D8F" w:rsidRDefault="004B1E0D" w:rsidP="004B1E0D">
      <w:pPr>
        <w:spacing w:after="0" w:line="276" w:lineRule="auto"/>
        <w:jc w:val="both"/>
        <w:rPr>
          <w:rFonts w:ascii="Verdana" w:eastAsia="Calibri" w:hAnsi="Verdana" w:cs="Arial"/>
          <w:lang w:val="es-ES"/>
        </w:rPr>
      </w:pPr>
    </w:p>
    <w:p w14:paraId="6D908C27" w14:textId="77777777" w:rsidR="004B1E0D" w:rsidRPr="00C31767" w:rsidRDefault="004B1E0D" w:rsidP="004B1E0D">
      <w:pPr>
        <w:spacing w:after="0" w:line="276" w:lineRule="auto"/>
        <w:jc w:val="both"/>
        <w:rPr>
          <w:rFonts w:ascii="Verdana" w:eastAsia="Calibri" w:hAnsi="Verdana" w:cs="Arial"/>
          <w:color w:val="000000" w:themeColor="text1"/>
          <w:lang w:val="es-ES"/>
        </w:rPr>
      </w:pPr>
      <w:r w:rsidRPr="564E59A4">
        <w:rPr>
          <w:rFonts w:ascii="Verdana" w:eastAsia="Calibri" w:hAnsi="Verdana" w:cs="Arial"/>
          <w:color w:val="000000" w:themeColor="text1"/>
          <w:lang w:val="es-ES"/>
        </w:rPr>
        <w:t>El Estatuto General de Contratación de la Administración Pública – en adelante EGCAP-, por regla general, exige para seleccionar los contratistas y para ejecutar los contratos la constitución de garantías.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5D5D9C18" w14:textId="77777777" w:rsidR="004B1E0D" w:rsidRPr="00C31767" w:rsidRDefault="004B1E0D" w:rsidP="004B1E0D">
      <w:pPr>
        <w:spacing w:after="0" w:line="276" w:lineRule="auto"/>
        <w:ind w:firstLine="708"/>
        <w:jc w:val="both"/>
        <w:rPr>
          <w:rFonts w:ascii="Verdana" w:hAnsi="Verdana" w:cs="Arial"/>
          <w:color w:val="000000" w:themeColor="text1"/>
          <w:lang w:eastAsia="es-CO"/>
        </w:rPr>
      </w:pPr>
    </w:p>
    <w:p w14:paraId="6B3A1C28" w14:textId="77777777" w:rsidR="004B1E0D" w:rsidRDefault="004B1E0D" w:rsidP="004B1E0D">
      <w:pPr>
        <w:spacing w:after="0" w:line="240" w:lineRule="auto"/>
        <w:ind w:left="709" w:right="709"/>
        <w:jc w:val="both"/>
        <w:rPr>
          <w:rFonts w:ascii="Verdana" w:hAnsi="Verdana" w:cs="Arial"/>
          <w:color w:val="000000" w:themeColor="text1"/>
          <w:sz w:val="20"/>
          <w:szCs w:val="20"/>
          <w:lang w:eastAsia="es-CO"/>
        </w:rPr>
      </w:pPr>
      <w:r w:rsidRPr="564E59A4">
        <w:rPr>
          <w:rFonts w:ascii="Verdana" w:hAnsi="Verdana" w:cs="Arial"/>
          <w:color w:val="000000" w:themeColor="text1"/>
          <w:sz w:val="20"/>
          <w:szCs w:val="20"/>
          <w:lang w:eastAsia="es-CO"/>
        </w:rPr>
        <w:t>“Artículo 7. Los contratistas prestarán garantía única para el cumplimiento de las obligaciones surgidas del contrato. Los proponentes prestarán garantía de seriedad de los ofrecimientos hechos. </w:t>
      </w:r>
    </w:p>
    <w:p w14:paraId="2F5729C3" w14:textId="77777777" w:rsidR="004B1E0D" w:rsidRPr="004325DF" w:rsidRDefault="004B1E0D" w:rsidP="004B1E0D">
      <w:pPr>
        <w:spacing w:after="0" w:line="240" w:lineRule="auto"/>
        <w:ind w:left="709" w:right="709"/>
        <w:jc w:val="both"/>
        <w:rPr>
          <w:rFonts w:ascii="Verdana" w:hAnsi="Verdana" w:cs="Arial"/>
          <w:color w:val="000000" w:themeColor="text1"/>
          <w:sz w:val="20"/>
          <w:szCs w:val="20"/>
          <w:lang w:eastAsia="es-CO"/>
        </w:rPr>
      </w:pPr>
    </w:p>
    <w:p w14:paraId="3DE9E1CD" w14:textId="77777777" w:rsidR="004B1E0D" w:rsidRDefault="004B1E0D" w:rsidP="004B1E0D">
      <w:pPr>
        <w:spacing w:after="0" w:line="240" w:lineRule="auto"/>
        <w:ind w:left="709" w:right="709"/>
        <w:jc w:val="both"/>
        <w:rPr>
          <w:rFonts w:ascii="Verdana" w:hAnsi="Verdana" w:cs="Arial"/>
          <w:color w:val="000000" w:themeColor="text1"/>
          <w:sz w:val="20"/>
          <w:szCs w:val="20"/>
          <w:lang w:eastAsia="es-CO"/>
        </w:rPr>
      </w:pPr>
      <w:r w:rsidRPr="564E59A4">
        <w:rPr>
          <w:rFonts w:ascii="Verdana" w:hAnsi="Verdana" w:cs="Arial"/>
          <w:color w:val="000000" w:themeColor="text1"/>
          <w:sz w:val="20"/>
          <w:szCs w:val="20"/>
          <w:lang w:eastAsia="es-CO"/>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508845A5" w14:textId="77777777" w:rsidR="004B1E0D" w:rsidRPr="004325DF" w:rsidRDefault="004B1E0D" w:rsidP="004B1E0D">
      <w:pPr>
        <w:spacing w:after="0" w:line="240" w:lineRule="auto"/>
        <w:ind w:left="709" w:right="709"/>
        <w:jc w:val="both"/>
        <w:rPr>
          <w:rFonts w:ascii="Verdana" w:hAnsi="Verdana" w:cs="Arial"/>
          <w:color w:val="000000" w:themeColor="text1"/>
          <w:sz w:val="20"/>
          <w:szCs w:val="20"/>
          <w:lang w:eastAsia="es-CO"/>
        </w:rPr>
      </w:pPr>
    </w:p>
    <w:p w14:paraId="16E4B26C" w14:textId="77777777" w:rsidR="004B1E0D" w:rsidRDefault="004B1E0D" w:rsidP="004B1E0D">
      <w:pPr>
        <w:spacing w:after="0" w:line="240" w:lineRule="auto"/>
        <w:ind w:left="709" w:right="709"/>
        <w:jc w:val="both"/>
        <w:rPr>
          <w:rFonts w:ascii="Verdana" w:hAnsi="Verdana" w:cs="Arial"/>
          <w:color w:val="000000" w:themeColor="text1"/>
          <w:sz w:val="20"/>
          <w:szCs w:val="20"/>
          <w:lang w:eastAsia="es-CO"/>
        </w:rPr>
      </w:pPr>
      <w:r w:rsidRPr="564E59A4">
        <w:rPr>
          <w:rFonts w:ascii="Verdana" w:hAnsi="Verdana" w:cs="Arial"/>
          <w:color w:val="000000" w:themeColor="text1"/>
          <w:sz w:val="20"/>
          <w:szCs w:val="20"/>
          <w:lang w:eastAsia="es-CO"/>
        </w:rPr>
        <w:t xml:space="preserve">El Gobierno Nacional señalará los criterios que seguirán las entidades para la exigencia de garantías, las clases y niveles de amparo de los riesgos de los contratos, así como los casos en </w:t>
      </w:r>
      <w:proofErr w:type="gramStart"/>
      <w:r w:rsidRPr="564E59A4">
        <w:rPr>
          <w:rFonts w:ascii="Verdana" w:hAnsi="Verdana" w:cs="Arial"/>
          <w:color w:val="000000" w:themeColor="text1"/>
          <w:sz w:val="20"/>
          <w:szCs w:val="20"/>
          <w:lang w:eastAsia="es-CO"/>
        </w:rPr>
        <w:t>que</w:t>
      </w:r>
      <w:proofErr w:type="gramEnd"/>
      <w:r w:rsidRPr="564E59A4">
        <w:rPr>
          <w:rFonts w:ascii="Verdana" w:hAnsi="Verdana" w:cs="Arial"/>
          <w:color w:val="000000" w:themeColor="text1"/>
          <w:sz w:val="20"/>
          <w:szCs w:val="20"/>
          <w:lang w:eastAsia="es-CO"/>
        </w:rPr>
        <w:t xml:space="preserve"> por las características y complejidad del contrato a celebrar, la garantía pueda ser dividida teniendo en cuenta las etapas o riesgos relativos a la ejecución del respectivo contrato. </w:t>
      </w:r>
    </w:p>
    <w:p w14:paraId="5E9D86CA" w14:textId="77777777" w:rsidR="004B1E0D" w:rsidRPr="004325DF" w:rsidRDefault="004B1E0D" w:rsidP="004B1E0D">
      <w:pPr>
        <w:spacing w:after="0" w:line="240" w:lineRule="auto"/>
        <w:ind w:left="709" w:right="709"/>
        <w:jc w:val="both"/>
        <w:rPr>
          <w:rFonts w:ascii="Verdana" w:hAnsi="Verdana" w:cs="Arial"/>
          <w:color w:val="000000" w:themeColor="text1"/>
          <w:sz w:val="20"/>
          <w:szCs w:val="20"/>
          <w:lang w:eastAsia="es-CO"/>
        </w:rPr>
      </w:pPr>
    </w:p>
    <w:p w14:paraId="5C48DE01" w14:textId="77777777" w:rsidR="004B1E0D" w:rsidRDefault="004B1E0D" w:rsidP="004B1E0D">
      <w:pPr>
        <w:spacing w:after="0" w:line="240" w:lineRule="auto"/>
        <w:ind w:left="709" w:right="709"/>
        <w:jc w:val="both"/>
        <w:rPr>
          <w:rFonts w:ascii="Verdana" w:hAnsi="Verdana" w:cs="Arial"/>
          <w:color w:val="000000" w:themeColor="text1"/>
          <w:sz w:val="20"/>
          <w:szCs w:val="20"/>
          <w:lang w:eastAsia="es-CO"/>
        </w:rPr>
      </w:pPr>
      <w:r w:rsidRPr="564E59A4">
        <w:rPr>
          <w:rFonts w:ascii="Verdana" w:hAnsi="Verdana" w:cs="Arial"/>
          <w:color w:val="000000" w:themeColor="text1"/>
          <w:sz w:val="20"/>
          <w:szCs w:val="20"/>
          <w:lang w:eastAsia="es-CO"/>
        </w:rPr>
        <w:t>El acaecimiento del siniestro que amparan las garantías será comunicado por la entidad pública al respectivo asegurador mediante la notificación del acto administrativo que así lo declare. </w:t>
      </w:r>
    </w:p>
    <w:p w14:paraId="7279B868" w14:textId="77777777" w:rsidR="004B1E0D" w:rsidRPr="004325DF" w:rsidRDefault="004B1E0D" w:rsidP="004B1E0D">
      <w:pPr>
        <w:spacing w:after="0" w:line="240" w:lineRule="auto"/>
        <w:ind w:left="709" w:right="709"/>
        <w:jc w:val="both"/>
        <w:rPr>
          <w:rFonts w:ascii="Verdana" w:hAnsi="Verdana" w:cs="Arial"/>
          <w:color w:val="000000" w:themeColor="text1"/>
          <w:sz w:val="20"/>
          <w:szCs w:val="20"/>
          <w:lang w:eastAsia="es-CO"/>
        </w:rPr>
      </w:pPr>
    </w:p>
    <w:p w14:paraId="42A46B23" w14:textId="77777777" w:rsidR="004B1E0D" w:rsidRPr="004325DF" w:rsidRDefault="004B1E0D" w:rsidP="004B1E0D">
      <w:pPr>
        <w:spacing w:after="0" w:line="240" w:lineRule="auto"/>
        <w:ind w:left="709" w:right="709"/>
        <w:jc w:val="both"/>
        <w:rPr>
          <w:rFonts w:ascii="Verdana" w:hAnsi="Verdana" w:cs="Arial"/>
          <w:color w:val="000000" w:themeColor="text1"/>
          <w:sz w:val="20"/>
          <w:szCs w:val="20"/>
          <w:lang w:eastAsia="es-CO"/>
        </w:rPr>
      </w:pPr>
      <w:r w:rsidRPr="564E59A4">
        <w:rPr>
          <w:rFonts w:ascii="Verdana" w:hAnsi="Verdana" w:cs="Arial"/>
          <w:color w:val="000000" w:themeColor="text1"/>
          <w:sz w:val="20"/>
          <w:szCs w:val="20"/>
          <w:lang w:eastAsia="es-CO"/>
        </w:rPr>
        <w:t xml:space="preserve">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w:t>
      </w:r>
      <w:r w:rsidRPr="564E59A4">
        <w:rPr>
          <w:rFonts w:ascii="Verdana" w:hAnsi="Verdana" w:cs="Arial"/>
          <w:color w:val="000000" w:themeColor="text1"/>
          <w:sz w:val="20"/>
          <w:szCs w:val="20"/>
          <w:lang w:eastAsia="es-CO"/>
        </w:rPr>
        <w:lastRenderedPageBreak/>
        <w:t>atendiendo a la naturaleza del objeto del contrato y a la forma de pago, así como en los demás que señale el reglamento”.</w:t>
      </w:r>
    </w:p>
    <w:p w14:paraId="38AEF335" w14:textId="77777777" w:rsidR="004B1E0D" w:rsidRPr="00C31767" w:rsidRDefault="004B1E0D" w:rsidP="004B1E0D">
      <w:pPr>
        <w:spacing w:after="0" w:line="276" w:lineRule="auto"/>
        <w:ind w:left="709" w:right="709"/>
        <w:jc w:val="both"/>
        <w:rPr>
          <w:rFonts w:ascii="Verdana" w:hAnsi="Verdana" w:cs="Arial"/>
          <w:color w:val="000000" w:themeColor="text1"/>
          <w:lang w:eastAsia="es-CO"/>
        </w:rPr>
      </w:pPr>
    </w:p>
    <w:p w14:paraId="2AB51BC3" w14:textId="77777777" w:rsidR="004B1E0D" w:rsidRPr="00C31767" w:rsidRDefault="004B1E0D" w:rsidP="004B1E0D">
      <w:pPr>
        <w:spacing w:after="120" w:line="276" w:lineRule="auto"/>
        <w:ind w:firstLine="708"/>
        <w:jc w:val="both"/>
        <w:rPr>
          <w:rFonts w:ascii="Verdana" w:hAnsi="Verdana" w:cs="Arial"/>
          <w:color w:val="000000" w:themeColor="text1"/>
          <w:lang w:val="es-MX"/>
        </w:rPr>
      </w:pPr>
      <w:r w:rsidRPr="564E59A4">
        <w:rPr>
          <w:rFonts w:ascii="Verdana" w:hAnsi="Verdana" w:cs="Arial"/>
          <w:color w:val="000000" w:themeColor="text1"/>
          <w:lang w:val="es-MX"/>
        </w:rPr>
        <w:t xml:space="preserve">Las condiciones en las que debe cumplirse esta obligación fueron reglamentadas por el Decreto 1082 de 2015, el cual en sus artículos 2.2.1.2.3.1.1. al 2.2.1.2.3.1.19, se refiere a asuntos como las clases de garantías permitidas, </w:t>
      </w:r>
      <w:r w:rsidRPr="564E59A4">
        <w:rPr>
          <w:rFonts w:ascii="Verdana" w:hAnsi="Verdana" w:cs="Arial"/>
          <w:i/>
          <w:iCs/>
          <w:color w:val="000000" w:themeColor="text1"/>
          <w:lang w:val="es-MX"/>
        </w:rPr>
        <w:t>su indivisibilidad</w:t>
      </w:r>
      <w:r w:rsidRPr="564E59A4">
        <w:rPr>
          <w:rFonts w:ascii="Verdana" w:hAnsi="Verdana" w:cs="Arial"/>
          <w:color w:val="000000" w:themeColor="text1"/>
          <w:lang w:val="es-MX"/>
        </w:rPr>
        <w:t xml:space="preserve">, los diferentes riesgos que deben ser objeto de garantía, la vigencia y valores mínimos que deben cubrir los amparos, entre otros aspectos que deben cumplir las garantías constituidas por los contratistas ya sea a través de pólizas de seguro, garantías bancarías o patrimonios autónomos. </w:t>
      </w:r>
    </w:p>
    <w:p w14:paraId="00F6C3B6" w14:textId="77777777" w:rsidR="004B1E0D" w:rsidRDefault="004B1E0D" w:rsidP="004B1E0D">
      <w:pPr>
        <w:spacing w:after="120" w:line="276" w:lineRule="auto"/>
        <w:ind w:firstLine="708"/>
        <w:jc w:val="both"/>
        <w:rPr>
          <w:rFonts w:ascii="Verdana" w:hAnsi="Verdana" w:cs="Arial"/>
          <w:color w:val="000000" w:themeColor="text1"/>
          <w:lang w:val="es-MX"/>
        </w:rPr>
      </w:pPr>
      <w:r w:rsidRPr="564E59A4">
        <w:rPr>
          <w:rFonts w:ascii="Verdana" w:hAnsi="Verdana" w:cs="Arial"/>
          <w:color w:val="000000" w:themeColor="text1"/>
          <w:lang w:val="es-MX"/>
        </w:rPr>
        <w:t xml:space="preserve">Teniendo en cuenta el objeto de la consulta, es preciso señalar que, el artículo 2.2.1.2.3.1.3 del Decreto 1082 de 2015 establece que </w:t>
      </w:r>
      <w:proofErr w:type="gramStart"/>
      <w:r w:rsidRPr="564E59A4">
        <w:rPr>
          <w:rFonts w:ascii="Verdana" w:hAnsi="Verdana" w:cs="Arial"/>
          <w:color w:val="000000" w:themeColor="text1"/>
          <w:lang w:val="es-MX"/>
        </w:rPr>
        <w:t>“ La</w:t>
      </w:r>
      <w:proofErr w:type="gramEnd"/>
      <w:r w:rsidRPr="564E59A4">
        <w:rPr>
          <w:rFonts w:ascii="Verdana" w:hAnsi="Verdana" w:cs="Arial"/>
          <w:color w:val="000000" w:themeColor="text1"/>
          <w:lang w:val="es-MX"/>
        </w:rPr>
        <w:t xml:space="preserve"> garantía de cobertura del Riesgo es indivisible”. Además, consagra la obligación de los contratantes de establecer en los pliegos de condiciones las garantías exigidas para cada etapa del contrato o periodo contractual o cada unidad funcional </w:t>
      </w:r>
      <w:r w:rsidRPr="564E59A4">
        <w:rPr>
          <w:rFonts w:ascii="Verdana" w:hAnsi="Verdana" w:cs="Arial"/>
          <w:color w:val="000000" w:themeColor="text1"/>
        </w:rPr>
        <w:t>en el caso de las Asociaciones Público-Privadas</w:t>
      </w:r>
      <w:r w:rsidRPr="564E59A4">
        <w:rPr>
          <w:rFonts w:ascii="Verdana" w:hAnsi="Verdana" w:cs="Arial"/>
          <w:color w:val="000000" w:themeColor="text1"/>
          <w:lang w:val="es-MX"/>
        </w:rPr>
        <w:t xml:space="preserve">. </w:t>
      </w:r>
    </w:p>
    <w:p w14:paraId="15BED59E" w14:textId="77777777" w:rsidR="004B1E0D" w:rsidRDefault="004B1E0D" w:rsidP="004B1E0D">
      <w:pPr>
        <w:spacing w:after="120" w:line="276" w:lineRule="auto"/>
        <w:ind w:firstLine="708"/>
        <w:jc w:val="both"/>
        <w:rPr>
          <w:rFonts w:ascii="Verdana" w:hAnsi="Verdana" w:cs="Arial"/>
          <w:color w:val="000000" w:themeColor="text1"/>
          <w:lang w:val="es-MX"/>
        </w:rPr>
      </w:pPr>
      <w:r w:rsidRPr="00FE5A24">
        <w:rPr>
          <w:rFonts w:ascii="Verdana" w:hAnsi="Verdana" w:cs="Arial"/>
          <w:color w:val="000000" w:themeColor="text1"/>
          <w:lang w:val="es-ES"/>
        </w:rPr>
        <w:t xml:space="preserve">En particular, mediante </w:t>
      </w:r>
      <w:r w:rsidRPr="00FE5A24">
        <w:rPr>
          <w:rFonts w:ascii="Verdana" w:eastAsia="Calibri" w:hAnsi="Verdana" w:cs="Arial"/>
          <w:color w:val="000000" w:themeColor="text1"/>
          <w:lang w:val="es-ES"/>
        </w:rPr>
        <w:t xml:space="preserve">la </w:t>
      </w:r>
      <w:r w:rsidRPr="564E59A4">
        <w:rPr>
          <w:rFonts w:ascii="Verdana" w:eastAsia="Calibri" w:hAnsi="Verdana" w:cs="Arial"/>
          <w:i/>
          <w:iCs/>
          <w:color w:val="000000" w:themeColor="text1"/>
          <w:lang w:val="es-ES"/>
        </w:rPr>
        <w:t>garantía única de cumplimiento</w:t>
      </w:r>
      <w:r w:rsidRPr="00FE5A24">
        <w:rPr>
          <w:rFonts w:ascii="Verdana" w:eastAsia="Calibri" w:hAnsi="Verdana" w:cs="Arial"/>
          <w:color w:val="000000" w:themeColor="text1"/>
          <w:lang w:val="es-ES"/>
        </w:rPr>
        <w:t xml:space="preserve"> el contratista debe amparar los perjuicios que le pueda generar a la entidad el incumplimiento de las obligaciones derivadas del contrato por conductas que le sean atribuibles</w:t>
      </w:r>
      <w:r w:rsidRPr="00FE5A24">
        <w:rPr>
          <w:rStyle w:val="Refdenotaalpie"/>
          <w:rFonts w:ascii="Verdana" w:eastAsia="Calibri" w:hAnsi="Verdana" w:cs="Arial"/>
          <w:color w:val="000000" w:themeColor="text1"/>
        </w:rPr>
        <w:footnoteReference w:id="1"/>
      </w:r>
      <w:r w:rsidRPr="00FE5A24">
        <w:rPr>
          <w:rFonts w:ascii="Verdana" w:eastAsia="Calibri" w:hAnsi="Verdana" w:cs="Arial"/>
          <w:color w:val="000000" w:themeColor="text1"/>
          <w:lang w:val="es-ES"/>
        </w:rPr>
        <w:t xml:space="preserve">. </w:t>
      </w:r>
      <w:r w:rsidRPr="564E59A4">
        <w:rPr>
          <w:rFonts w:ascii="Verdana"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FE5A24">
        <w:rPr>
          <w:rStyle w:val="Refdenotaalpie"/>
          <w:rFonts w:ascii="Verdana" w:hAnsi="Verdana" w:cs="Arial"/>
          <w:color w:val="000000" w:themeColor="text1"/>
          <w:lang w:val="es-ES_tradnl"/>
        </w:rPr>
        <w:footnoteReference w:id="2"/>
      </w:r>
      <w:r w:rsidRPr="564E59A4">
        <w:rPr>
          <w:rFonts w:ascii="Verdana" w:hAnsi="Verdana" w:cs="Arial"/>
          <w:color w:val="000000" w:themeColor="text1"/>
          <w:lang w:val="es-ES"/>
        </w:rPr>
        <w:t xml:space="preserve">.   </w:t>
      </w:r>
    </w:p>
    <w:p w14:paraId="5515C03A" w14:textId="77777777" w:rsidR="004B1E0D" w:rsidRDefault="004B1E0D" w:rsidP="004B1E0D">
      <w:pPr>
        <w:spacing w:after="120" w:line="276" w:lineRule="auto"/>
        <w:ind w:firstLine="708"/>
        <w:jc w:val="both"/>
        <w:rPr>
          <w:rFonts w:ascii="Verdana" w:eastAsia="Times New Roman" w:hAnsi="Verdana" w:cs="Arial"/>
          <w:color w:val="000000" w:themeColor="text1"/>
          <w:lang w:eastAsia="es-CO"/>
        </w:rPr>
      </w:pPr>
      <w:r>
        <w:rPr>
          <w:rFonts w:ascii="Verdana" w:hAnsi="Verdana" w:cs="Arial"/>
          <w:color w:val="000000" w:themeColor="text1"/>
          <w:lang w:val="es-MX"/>
        </w:rPr>
        <w:t>E</w:t>
      </w:r>
      <w:r w:rsidRPr="00C31767">
        <w:rPr>
          <w:rFonts w:ascii="Verdana" w:hAnsi="Verdana" w:cs="Arial"/>
          <w:color w:val="000000" w:themeColor="text1"/>
          <w:lang w:val="es-MX"/>
        </w:rPr>
        <w:t>l artículo 2.2.1.3.1.7</w:t>
      </w:r>
      <w:r>
        <w:rPr>
          <w:rFonts w:ascii="Verdana" w:hAnsi="Verdana" w:cs="Arial"/>
          <w:color w:val="000000" w:themeColor="text1"/>
          <w:lang w:val="es-MX"/>
        </w:rPr>
        <w:t xml:space="preserve"> del Decreto 1082 de 2015</w:t>
      </w:r>
      <w:r w:rsidRPr="00C31767">
        <w:rPr>
          <w:rFonts w:ascii="Verdana" w:hAnsi="Verdana" w:cs="Arial"/>
          <w:color w:val="000000" w:themeColor="text1"/>
          <w:lang w:val="es-MX"/>
        </w:rPr>
        <w:t xml:space="preserve"> prescribe que la garantía de cumplimiento debe cubrir</w:t>
      </w:r>
      <w:r>
        <w:rPr>
          <w:rFonts w:ascii="Verdana" w:hAnsi="Verdana" w:cs="Arial"/>
          <w:color w:val="000000" w:themeColor="text1"/>
          <w:lang w:val="es-MX"/>
        </w:rPr>
        <w:t xml:space="preserve"> los siguientes amparos</w:t>
      </w:r>
      <w:r w:rsidRPr="00C31767">
        <w:rPr>
          <w:rFonts w:ascii="Verdana" w:hAnsi="Verdana" w:cs="Arial"/>
          <w:color w:val="000000" w:themeColor="text1"/>
          <w:lang w:val="es-MX"/>
        </w:rPr>
        <w:t xml:space="preserve">: i) el buen manejo y correcta inversión del anticipo; </w:t>
      </w:r>
      <w:proofErr w:type="spellStart"/>
      <w:r w:rsidRPr="00C31767">
        <w:rPr>
          <w:rFonts w:ascii="Verdana" w:hAnsi="Verdana" w:cs="Arial"/>
          <w:color w:val="000000" w:themeColor="text1"/>
          <w:lang w:val="es-MX"/>
        </w:rPr>
        <w:t>ii</w:t>
      </w:r>
      <w:proofErr w:type="spellEnd"/>
      <w:r w:rsidRPr="00C31767">
        <w:rPr>
          <w:rFonts w:ascii="Verdana" w:hAnsi="Verdana" w:cs="Arial"/>
          <w:color w:val="000000" w:themeColor="text1"/>
          <w:lang w:val="es-MX"/>
        </w:rPr>
        <w:t xml:space="preserve">) la devolución del pago anticipado; </w:t>
      </w:r>
      <w:proofErr w:type="spellStart"/>
      <w:r w:rsidRPr="00C31767">
        <w:rPr>
          <w:rFonts w:ascii="Verdana" w:hAnsi="Verdana" w:cs="Arial"/>
          <w:color w:val="000000" w:themeColor="text1"/>
          <w:lang w:val="es-MX"/>
        </w:rPr>
        <w:t>iii</w:t>
      </w:r>
      <w:proofErr w:type="spellEnd"/>
      <w:r w:rsidRPr="00C31767">
        <w:rPr>
          <w:rFonts w:ascii="Verdana" w:hAnsi="Verdana" w:cs="Arial"/>
          <w:color w:val="000000" w:themeColor="text1"/>
          <w:lang w:val="es-MX"/>
        </w:rPr>
        <w:t xml:space="preserve">) cumplimiento del contrato; </w:t>
      </w:r>
      <w:proofErr w:type="spellStart"/>
      <w:r w:rsidRPr="00C31767">
        <w:rPr>
          <w:rFonts w:ascii="Verdana" w:hAnsi="Verdana" w:cs="Arial"/>
          <w:color w:val="000000" w:themeColor="text1"/>
          <w:lang w:val="es-MX"/>
        </w:rPr>
        <w:t>iv</w:t>
      </w:r>
      <w:proofErr w:type="spellEnd"/>
      <w:r w:rsidRPr="00C31767">
        <w:rPr>
          <w:rFonts w:ascii="Verdana" w:hAnsi="Verdana" w:cs="Arial"/>
          <w:color w:val="000000" w:themeColor="text1"/>
          <w:lang w:val="es-MX"/>
        </w:rPr>
        <w:t xml:space="preserve">) pago de salarios, prestaciones sociales legales e </w:t>
      </w:r>
      <w:r w:rsidRPr="00C31767">
        <w:rPr>
          <w:rFonts w:ascii="Verdana" w:hAnsi="Verdana" w:cs="Arial"/>
          <w:color w:val="000000" w:themeColor="text1"/>
          <w:lang w:val="es-MX"/>
        </w:rPr>
        <w:lastRenderedPageBreak/>
        <w:t xml:space="preserve">indemnizaciones laborales; v) estabilidad y calidad de la obra; vi) </w:t>
      </w:r>
      <w:r w:rsidRPr="00C31767">
        <w:rPr>
          <w:rFonts w:ascii="Verdana" w:hAnsi="Verdana" w:cs="Arial"/>
          <w:color w:val="000000" w:themeColor="text1"/>
          <w:lang w:eastAsia="es-CO"/>
        </w:rPr>
        <w:t xml:space="preserve">calidad del servicio; </w:t>
      </w:r>
      <w:proofErr w:type="spellStart"/>
      <w:r w:rsidRPr="00C31767">
        <w:rPr>
          <w:rFonts w:ascii="Verdana" w:hAnsi="Verdana" w:cs="Arial"/>
          <w:color w:val="000000" w:themeColor="text1"/>
          <w:lang w:eastAsia="es-CO"/>
        </w:rPr>
        <w:t>vii</w:t>
      </w:r>
      <w:proofErr w:type="spellEnd"/>
      <w:r w:rsidRPr="00C31767">
        <w:rPr>
          <w:rFonts w:ascii="Verdana" w:hAnsi="Verdana" w:cs="Arial"/>
          <w:color w:val="000000" w:themeColor="text1"/>
          <w:lang w:eastAsia="es-CO"/>
        </w:rPr>
        <w:t xml:space="preserve">) calidad y correcto funcionamiento de los bienes; y </w:t>
      </w:r>
      <w:proofErr w:type="spellStart"/>
      <w:r w:rsidRPr="00C31767">
        <w:rPr>
          <w:rFonts w:ascii="Verdana" w:hAnsi="Verdana" w:cs="Arial"/>
          <w:color w:val="000000" w:themeColor="text1"/>
          <w:lang w:eastAsia="es-CO"/>
        </w:rPr>
        <w:t>viii</w:t>
      </w:r>
      <w:proofErr w:type="spellEnd"/>
      <w:r w:rsidRPr="00C31767">
        <w:rPr>
          <w:rFonts w:ascii="Verdana" w:hAnsi="Verdana" w:cs="Arial"/>
          <w:color w:val="000000" w:themeColor="text1"/>
          <w:lang w:eastAsia="es-CO"/>
        </w:rPr>
        <w:t>) los demás incumplimientos de las obligaciones que la entidad estatal considere deben ser amparados</w:t>
      </w:r>
      <w:r w:rsidRPr="00FE5A24">
        <w:rPr>
          <w:rStyle w:val="Refdenotaalpie"/>
          <w:rFonts w:ascii="Verdana" w:eastAsia="Times New Roman" w:hAnsi="Verdana" w:cs="Arial"/>
          <w:color w:val="000000" w:themeColor="text1"/>
          <w:lang w:eastAsia="es-CO"/>
        </w:rPr>
        <w:footnoteReference w:id="3"/>
      </w:r>
      <w:r w:rsidRPr="00FE5A24">
        <w:rPr>
          <w:rFonts w:ascii="Verdana" w:eastAsia="Times New Roman" w:hAnsi="Verdana" w:cs="Arial"/>
          <w:color w:val="000000" w:themeColor="text1"/>
          <w:lang w:eastAsia="es-CO"/>
        </w:rPr>
        <w:t>. Esto, además de la póliza de responsabilidad civil extracontractual que es procedente en los contratos de obra, así como en aquellos en que por su objeto o naturaleza se considere necesario con ocasión de los riesgos previstos en el negocio, de acuerdo con el artículo 2.2.1.2.3.1.8</w:t>
      </w:r>
      <w:r w:rsidRPr="564E59A4">
        <w:rPr>
          <w:rFonts w:ascii="Verdana" w:eastAsia="Times New Roman" w:hAnsi="Verdana" w:cs="Arial"/>
          <w:i/>
          <w:iCs/>
          <w:color w:val="000000" w:themeColor="text1"/>
          <w:lang w:eastAsia="es-CO"/>
        </w:rPr>
        <w:t xml:space="preserve"> </w:t>
      </w:r>
      <w:r w:rsidRPr="00FE5A24">
        <w:rPr>
          <w:rFonts w:ascii="Verdana" w:eastAsia="Times New Roman" w:hAnsi="Verdana" w:cs="Arial"/>
          <w:color w:val="000000" w:themeColor="text1"/>
          <w:lang w:eastAsia="es-CO"/>
        </w:rPr>
        <w:t>del Decreto 1082 de 2015.</w:t>
      </w:r>
    </w:p>
    <w:p w14:paraId="3E7C4E65" w14:textId="77777777" w:rsidR="004B1E0D" w:rsidRDefault="004B1E0D" w:rsidP="004B1E0D">
      <w:pPr>
        <w:spacing w:after="120" w:line="276" w:lineRule="auto"/>
        <w:ind w:firstLine="708"/>
        <w:jc w:val="both"/>
        <w:rPr>
          <w:rFonts w:ascii="Verdana" w:eastAsia="Times New Roman" w:hAnsi="Verdana" w:cs="Arial"/>
          <w:color w:val="000000" w:themeColor="text1"/>
          <w:lang w:eastAsia="es-CO"/>
        </w:rPr>
      </w:pPr>
      <w:r w:rsidRPr="564E59A4">
        <w:rPr>
          <w:rFonts w:ascii="Verdana" w:eastAsia="Times New Roman" w:hAnsi="Verdana" w:cs="Arial"/>
          <w:color w:val="000000" w:themeColor="text1"/>
          <w:lang w:eastAsia="es-CO"/>
        </w:rPr>
        <w:t>Como se observa, la garantía de cumplimiento es única y está compuesta por diferentes amparos que respaldan los riesgos frente a la totalidad del objeto contractual. De esta forma, la entidad exige la constitución de diferentes amparos cuya suficiencia y valor respalda la totalidad del objeto contractual, de modo que no resulta adecuado dividir la suficiencia del amparo según las actividades a ejecutar.</w:t>
      </w:r>
    </w:p>
    <w:p w14:paraId="41D84844" w14:textId="77777777" w:rsidR="004B1E0D" w:rsidRPr="00C31767" w:rsidRDefault="004B1E0D" w:rsidP="004B1E0D">
      <w:pPr>
        <w:spacing w:after="120" w:line="276" w:lineRule="auto"/>
        <w:ind w:firstLine="708"/>
        <w:jc w:val="both"/>
        <w:rPr>
          <w:rFonts w:ascii="Verdana" w:hAnsi="Verdana" w:cs="Arial"/>
          <w:color w:val="000000" w:themeColor="text1"/>
          <w:lang w:eastAsia="es-CO"/>
        </w:rPr>
      </w:pPr>
      <w:r w:rsidRPr="00C31767">
        <w:rPr>
          <w:rFonts w:ascii="Verdana" w:hAnsi="Verdana" w:cs="Arial"/>
          <w:color w:val="000000" w:themeColor="text1"/>
          <w:lang w:eastAsia="es-CO"/>
        </w:rPr>
        <w:t xml:space="preserve">Por su parte, el artículo 2.2.1.2.3.1.12 regula la suficiencia del amparo de cumplimiento, al determinar que esta debe tener una vigencia mínima hasta la </w:t>
      </w:r>
      <w:r w:rsidRPr="00C31767">
        <w:rPr>
          <w:rFonts w:ascii="Verdana" w:hAnsi="Verdana" w:cs="Arial"/>
          <w:color w:val="000000" w:themeColor="text1"/>
          <w:lang w:eastAsia="es-CO"/>
        </w:rPr>
        <w:lastRenderedPageBreak/>
        <w:t>liquidación del contrato y un valor de por lo menos el diez por ciento (10%) del total del contrato, siempre que este sea inferior a un millón (1.000.000) de S.M.M.L.V., estableciendo otros mínimos para el valor de las pólizas en contratos con montos superiores</w:t>
      </w:r>
      <w:r w:rsidRPr="00C31767">
        <w:rPr>
          <w:rFonts w:ascii="Verdana" w:hAnsi="Verdana" w:cs="Arial"/>
          <w:color w:val="000000" w:themeColor="text1"/>
          <w:vertAlign w:val="superscript"/>
          <w:lang w:eastAsia="es-CO"/>
        </w:rPr>
        <w:footnoteReference w:id="4"/>
      </w:r>
      <w:r w:rsidRPr="00C31767">
        <w:rPr>
          <w:rFonts w:ascii="Verdana" w:hAnsi="Verdana" w:cs="Arial"/>
          <w:color w:val="000000" w:themeColor="text1"/>
          <w:lang w:eastAsia="es-CO"/>
        </w:rPr>
        <w:t xml:space="preserve">.   </w:t>
      </w:r>
    </w:p>
    <w:p w14:paraId="21592ECC" w14:textId="77777777" w:rsidR="004B1E0D" w:rsidRPr="00C31767" w:rsidRDefault="004B1E0D" w:rsidP="004B1E0D">
      <w:pPr>
        <w:spacing w:after="120" w:line="276" w:lineRule="auto"/>
        <w:ind w:firstLine="708"/>
        <w:jc w:val="both"/>
        <w:rPr>
          <w:rFonts w:ascii="Verdana" w:hAnsi="Verdana" w:cs="Arial"/>
          <w:color w:val="000000" w:themeColor="text1"/>
        </w:rPr>
      </w:pPr>
      <w:r w:rsidRPr="564E59A4">
        <w:rPr>
          <w:rFonts w:ascii="Verdana" w:hAnsi="Verdana" w:cs="Arial"/>
          <w:color w:val="000000" w:themeColor="text1"/>
          <w:lang w:val="es-MX"/>
        </w:rPr>
        <w:t>Los anteriores y otros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564E59A4">
        <w:rPr>
          <w:rFonts w:ascii="Verdana" w:hAnsi="Verdana" w:cs="Arial"/>
          <w:color w:val="000000" w:themeColor="text1"/>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r w:rsidRPr="564E59A4">
        <w:rPr>
          <w:rFonts w:ascii="Verdana" w:eastAsia="Calibri" w:hAnsi="Verdana" w:cs="Arial"/>
        </w:rPr>
        <w:t xml:space="preserve">. </w:t>
      </w:r>
    </w:p>
    <w:p w14:paraId="756516A2" w14:textId="77777777" w:rsidR="004B1E0D" w:rsidRPr="00C31767" w:rsidRDefault="004B1E0D" w:rsidP="004B1E0D">
      <w:pPr>
        <w:spacing w:after="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w:t>
      </w:r>
      <w:bookmarkStart w:id="3" w:name="_Hlk173079147"/>
      <w:r w:rsidRPr="00C31767">
        <w:rPr>
          <w:rFonts w:ascii="Verdana" w:eastAsia="Calibri" w:hAnsi="Verdana" w:cs="Arial"/>
          <w:color w:val="000000"/>
          <w:lang w:eastAsia="en-GB"/>
        </w:rPr>
        <w:t xml:space="preserve">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5"/>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564E59A4">
        <w:rPr>
          <w:rFonts w:ascii="Verdana" w:hAnsi="Verdana" w:cs="Arial"/>
          <w:color w:val="000000" w:themeColor="text1"/>
          <w:lang w:val="es-ES"/>
        </w:rPr>
        <w:t xml:space="preserve">a aprobación de las garantías pactadas en el contrato, la entidad debe realizar la respectiva verificación de los amparos </w:t>
      </w:r>
      <w:r w:rsidRPr="564E59A4">
        <w:rPr>
          <w:rFonts w:ascii="Verdana" w:hAnsi="Verdana" w:cs="Arial"/>
          <w:color w:val="000000" w:themeColor="text1"/>
          <w:lang w:val="es-ES"/>
        </w:rPr>
        <w:lastRenderedPageBreak/>
        <w:t>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42222C7A" w14:textId="77777777" w:rsidR="004B1E0D" w:rsidRDefault="004B1E0D" w:rsidP="004B1E0D">
      <w:pPr>
        <w:spacing w:after="0" w:line="276" w:lineRule="auto"/>
        <w:ind w:firstLine="709"/>
        <w:jc w:val="both"/>
        <w:rPr>
          <w:rFonts w:ascii="Verdana" w:hAnsi="Verdana" w:cs="Arial"/>
          <w:color w:val="000000" w:themeColor="text1"/>
          <w:lang w:val="es-ES"/>
        </w:rPr>
      </w:pPr>
      <w:r w:rsidRPr="65AD1BB5">
        <w:rPr>
          <w:rFonts w:ascii="Verdana" w:hAnsi="Verdana" w:cs="Arial"/>
          <w:color w:val="000000" w:themeColor="text1"/>
          <w:lang w:val="es-ES"/>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C31767">
        <w:rPr>
          <w:rStyle w:val="Refdenotaalpie"/>
          <w:rFonts w:ascii="Verdana" w:eastAsia="Calibri" w:hAnsi="Verdana" w:cs="Arial"/>
        </w:rPr>
        <w:footnoteReference w:id="6"/>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65AD1BB5">
        <w:rPr>
          <w:rFonts w:ascii="Verdana" w:hAnsi="Verdana" w:cs="Arial"/>
          <w:color w:val="000000" w:themeColor="text1"/>
          <w:lang w:val="es-ES"/>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2007, </w:t>
      </w:r>
      <w:r w:rsidRPr="65AD1BB5">
        <w:rPr>
          <w:rFonts w:ascii="Verdana" w:hAnsi="Verdana" w:cs="Arial"/>
          <w:color w:val="000000" w:themeColor="text1"/>
          <w:lang w:val="es-ES"/>
        </w:rPr>
        <w:t xml:space="preserve">y entonces el contrato podrá ejecutarse, siempre que se cumplan los demás requisitos establece el artículo 41 de la Ley 80 de 1993, para efectos de </w:t>
      </w:r>
      <w:r w:rsidRPr="00620CDA">
        <w:rPr>
          <w:rFonts w:ascii="Verdana" w:hAnsi="Verdana" w:cs="Arial"/>
          <w:color w:val="000000" w:themeColor="text1"/>
          <w:lang w:val="es-ES"/>
        </w:rPr>
        <w:t xml:space="preserve">su posterior liquidación. </w:t>
      </w:r>
    </w:p>
    <w:p w14:paraId="34112641" w14:textId="77777777" w:rsidR="004B1E0D" w:rsidRDefault="004B1E0D" w:rsidP="004B1E0D">
      <w:pPr>
        <w:spacing w:after="0" w:line="276" w:lineRule="auto"/>
        <w:ind w:firstLine="709"/>
        <w:jc w:val="both"/>
        <w:rPr>
          <w:rFonts w:ascii="Verdana" w:hAnsi="Verdana" w:cs="Arial"/>
          <w:color w:val="000000" w:themeColor="text1"/>
          <w:lang w:val="es-ES"/>
        </w:rPr>
      </w:pPr>
    </w:p>
    <w:bookmarkEnd w:id="3"/>
    <w:p w14:paraId="10F54E9A" w14:textId="77777777" w:rsidR="004B1E0D" w:rsidRPr="00F50B9E" w:rsidRDefault="004B1E0D" w:rsidP="004B1E0D">
      <w:pPr>
        <w:spacing w:after="120" w:line="276" w:lineRule="auto"/>
        <w:jc w:val="both"/>
        <w:rPr>
          <w:rFonts w:ascii="Verdana" w:eastAsia="Times New Roman" w:hAnsi="Verdana" w:cs="Arial"/>
          <w:lang w:eastAsia="es-ES"/>
        </w:rPr>
      </w:pPr>
      <w:proofErr w:type="spellStart"/>
      <w:r w:rsidRPr="564E59A4">
        <w:rPr>
          <w:rFonts w:ascii="Verdana" w:eastAsia="Times New Roman" w:hAnsi="Verdana" w:cs="Arial"/>
          <w:lang w:eastAsia="es-ES"/>
        </w:rPr>
        <w:t>ii</w:t>
      </w:r>
      <w:proofErr w:type="spellEnd"/>
      <w:r w:rsidRPr="564E59A4">
        <w:rPr>
          <w:rFonts w:ascii="Verdana" w:eastAsia="Times New Roman" w:hAnsi="Verdana" w:cs="Arial"/>
          <w:lang w:eastAsia="es-ES"/>
        </w:rPr>
        <w:t xml:space="preserve">. Explicado el contexto general de las garantías en la contratación estatal, a continuación, se analizará lo previsto en el artículo 2.2.1.2.3.1.3 del Decreto 1082 de 2015, que regula la </w:t>
      </w:r>
      <w:r w:rsidRPr="564E59A4">
        <w:rPr>
          <w:rFonts w:ascii="Verdana" w:eastAsia="Times New Roman" w:hAnsi="Verdana" w:cs="Arial"/>
          <w:i/>
          <w:iCs/>
          <w:lang w:eastAsia="es-ES"/>
        </w:rPr>
        <w:t>indivisibilidad</w:t>
      </w:r>
      <w:r w:rsidRPr="564E59A4">
        <w:rPr>
          <w:rFonts w:ascii="Verdana" w:eastAsia="Times New Roman" w:hAnsi="Verdana" w:cs="Arial"/>
          <w:lang w:eastAsia="es-ES"/>
        </w:rPr>
        <w:t xml:space="preserve"> de la garantía. En relación con esta exigencia es importante mencionar que, por regla general, un contrato estatal debe estar amparado mediante una sola garantía, sin perjuicio de algunas excepciones, como la que se deriva de la norma analizada, en relación con los contratos cuyo plazo de ejecución sea mayor a cinco (5) años, frente a los cuales se podrá dividir la garantía. Así lo prevé el Decreto 1082 de 2015: “La garantía de cobertura del Riesgo es indivisible. Sin embargo, en los contratos con un plazo mayor a cinco (5) años las garantías pueden cubrir los Riesgos de la Etapa del Contrato o del Periodo Contractual, de acuerdo con lo previsto en el contrato”. </w:t>
      </w:r>
    </w:p>
    <w:p w14:paraId="2DD52C42" w14:textId="77777777" w:rsidR="004B1E0D" w:rsidRPr="005069C9" w:rsidRDefault="004B1E0D" w:rsidP="004B1E0D">
      <w:pPr>
        <w:spacing w:after="120" w:line="276" w:lineRule="auto"/>
        <w:ind w:firstLine="709"/>
        <w:jc w:val="both"/>
        <w:rPr>
          <w:rFonts w:ascii="Verdana" w:eastAsia="Times New Roman" w:hAnsi="Verdana" w:cs="Arial"/>
          <w:lang w:eastAsia="es-ES"/>
        </w:rPr>
      </w:pPr>
      <w:r w:rsidRPr="564E59A4">
        <w:rPr>
          <w:rFonts w:ascii="Verdana" w:eastAsia="Times New Roman" w:hAnsi="Verdana" w:cs="Arial"/>
          <w:lang w:eastAsia="es-ES"/>
        </w:rPr>
        <w:t xml:space="preserve">Ahora bien, para aquellos contratos con un plazo mayor a cinco (5) años, el artículo 2.2.1.2.3.1.3 del Decreto 1082 de 2015 establece que la Entidad </w:t>
      </w:r>
      <w:r w:rsidRPr="564E59A4">
        <w:rPr>
          <w:rFonts w:ascii="Verdana" w:eastAsia="Times New Roman" w:hAnsi="Verdana" w:cs="Arial"/>
          <w:lang w:eastAsia="es-ES"/>
        </w:rPr>
        <w:lastRenderedPageBreak/>
        <w:t>Estatal, en el pliego de condiciones, debe indicar las garantías que exige en cada etapa del contrato o periodo contractual, de acuerdo con las siguientes reglas</w:t>
      </w:r>
      <w:r w:rsidRPr="564E59A4">
        <w:rPr>
          <w:rFonts w:ascii="Verdana" w:eastAsia="Times New Roman" w:hAnsi="Verdana" w:cs="Arial"/>
          <w:vertAlign w:val="superscript"/>
          <w:lang w:eastAsia="es-ES"/>
        </w:rPr>
        <w:footnoteReference w:id="7"/>
      </w:r>
      <w:r w:rsidRPr="564E59A4">
        <w:rPr>
          <w:rFonts w:ascii="Verdana" w:eastAsia="Times New Roman" w:hAnsi="Verdana" w:cs="Arial"/>
          <w:lang w:eastAsia="es-ES"/>
        </w:rPr>
        <w:t xml:space="preserve">: </w:t>
      </w:r>
    </w:p>
    <w:p w14:paraId="660FB04C" w14:textId="77777777" w:rsidR="004B1E0D" w:rsidRPr="005069C9" w:rsidRDefault="004B1E0D" w:rsidP="004B1E0D">
      <w:pPr>
        <w:spacing w:after="120" w:line="276" w:lineRule="auto"/>
        <w:ind w:firstLine="709"/>
        <w:jc w:val="both"/>
        <w:rPr>
          <w:rFonts w:ascii="Verdana" w:eastAsia="Times New Roman" w:hAnsi="Verdana" w:cs="Arial"/>
          <w:lang w:eastAsia="es-ES_tradnl"/>
        </w:rPr>
      </w:pPr>
      <w:r w:rsidRPr="005069C9">
        <w:rPr>
          <w:rFonts w:ascii="Verdana" w:eastAsia="Times New Roman" w:hAnsi="Verdana" w:cs="Arial"/>
          <w:lang w:eastAsia="es-ES_tradnl"/>
        </w:rPr>
        <w:t xml:space="preserve">i) La entidad estatal solicitará una garantía independiente para cada etapa del contrato o cada periodo contractual o cada unidad funcional en el caso de las Asociaciones Público-Privadas, cuya vigencia debe ser por lo menos la misma establecida para la etapa del contrato o periodo contractual respectivo. </w:t>
      </w:r>
    </w:p>
    <w:p w14:paraId="02EB4907" w14:textId="77777777" w:rsidR="004B1E0D" w:rsidRPr="005069C9" w:rsidRDefault="004B1E0D" w:rsidP="004B1E0D">
      <w:pPr>
        <w:spacing w:after="120" w:line="276" w:lineRule="auto"/>
        <w:ind w:firstLine="709"/>
        <w:jc w:val="both"/>
        <w:rPr>
          <w:rFonts w:ascii="Verdana" w:eastAsia="Times New Roman" w:hAnsi="Verdana" w:cs="Arial"/>
          <w:lang w:eastAsia="es-ES_tradnl"/>
        </w:rPr>
      </w:pPr>
      <w:proofErr w:type="spellStart"/>
      <w:r w:rsidRPr="005069C9">
        <w:rPr>
          <w:rFonts w:ascii="Verdana" w:eastAsia="Times New Roman" w:hAnsi="Verdana" w:cs="Arial"/>
          <w:lang w:eastAsia="es-ES_tradnl"/>
        </w:rPr>
        <w:t>ii</w:t>
      </w:r>
      <w:proofErr w:type="spellEnd"/>
      <w:r w:rsidRPr="005069C9">
        <w:rPr>
          <w:rFonts w:ascii="Verdana" w:eastAsia="Times New Roman" w:hAnsi="Verdana" w:cs="Arial"/>
          <w:lang w:eastAsia="es-ES_tradnl"/>
        </w:rPr>
        <w:t xml:space="preserve">)  La entidad calculará el valor asegurado para cada etapa del contrato, periodo contractual o unidad funcional, tomando el valor de las obligaciones del contratista para cada etapa del contrato, periodo contractual o unidad funcional y de acuerdo con las reglas de suficiencia que establece el Decreto 1082 de 2015 frente a los diferentes amparos de las garantías. </w:t>
      </w:r>
    </w:p>
    <w:p w14:paraId="175D36DC" w14:textId="77777777" w:rsidR="004B1E0D" w:rsidRDefault="004B1E0D" w:rsidP="004B1E0D">
      <w:pPr>
        <w:spacing w:after="120" w:line="276" w:lineRule="auto"/>
        <w:ind w:firstLine="709"/>
        <w:jc w:val="both"/>
        <w:rPr>
          <w:rFonts w:ascii="Verdana" w:eastAsia="Times New Roman" w:hAnsi="Verdana" w:cs="Arial"/>
          <w:lang w:eastAsia="es-ES"/>
        </w:rPr>
      </w:pPr>
      <w:r w:rsidRPr="564E59A4">
        <w:rPr>
          <w:rFonts w:ascii="Verdana" w:eastAsia="Times New Roman" w:hAnsi="Verdana" w:cs="Arial"/>
          <w:lang w:eastAsia="es-ES"/>
        </w:rPr>
        <w:t xml:space="preserve">Conforme a lo anterior, si la entidad estatal celebra un contrato cuyo plazo de ejecución es mayor a cinco (5) años, puede pactar en el contrato que las garantías cubran los riegos de cada </w:t>
      </w:r>
      <w:r w:rsidRPr="564E59A4">
        <w:rPr>
          <w:rFonts w:ascii="Verdana" w:eastAsia="Times New Roman" w:hAnsi="Verdana" w:cs="Arial"/>
          <w:i/>
          <w:iCs/>
          <w:lang w:eastAsia="es-ES"/>
        </w:rPr>
        <w:t>etapa del contrato</w:t>
      </w:r>
      <w:r w:rsidRPr="564E59A4">
        <w:rPr>
          <w:rFonts w:ascii="Verdana" w:eastAsia="Times New Roman" w:hAnsi="Verdana" w:cs="Arial"/>
          <w:lang w:eastAsia="es-ES"/>
        </w:rPr>
        <w:t xml:space="preserve">, </w:t>
      </w:r>
      <w:r w:rsidRPr="564E59A4">
        <w:rPr>
          <w:rFonts w:ascii="Verdana" w:eastAsia="Times New Roman" w:hAnsi="Verdana" w:cs="Arial"/>
          <w:i/>
          <w:iCs/>
          <w:lang w:eastAsia="es-ES"/>
        </w:rPr>
        <w:t xml:space="preserve">periodo contractual o unidad </w:t>
      </w:r>
      <w:r w:rsidRPr="564E59A4">
        <w:rPr>
          <w:rFonts w:ascii="Verdana" w:eastAsia="Times New Roman" w:hAnsi="Verdana" w:cs="Arial"/>
          <w:lang w:eastAsia="es-ES"/>
        </w:rPr>
        <w:t xml:space="preserve">funcional, caso en el cual el pliego de condiciones regulará las garantías teniendo en cuenta lo siguiente: i) se identificará la garantía que ampara los riesgos para cada etapa del contrato o periodo contractual, pero, además, la vigencia que rige para cada uno –que en todo caso no puede ser menor al plazo de ejecución definido para cada etapa del contrato o periodo contractual–, y </w:t>
      </w:r>
      <w:proofErr w:type="spellStart"/>
      <w:r w:rsidRPr="564E59A4">
        <w:rPr>
          <w:rFonts w:ascii="Verdana" w:eastAsia="Times New Roman" w:hAnsi="Verdana" w:cs="Arial"/>
          <w:lang w:eastAsia="es-ES"/>
        </w:rPr>
        <w:t>ii</w:t>
      </w:r>
      <w:proofErr w:type="spellEnd"/>
      <w:r w:rsidRPr="564E59A4">
        <w:rPr>
          <w:rFonts w:ascii="Verdana" w:eastAsia="Times New Roman" w:hAnsi="Verdana" w:cs="Arial"/>
          <w:lang w:eastAsia="es-ES"/>
        </w:rPr>
        <w:t xml:space="preserve">) el monto de los amparos se calculará tomando el valor de las obligaciones del contratista para cada etapa del contrato o periodo contractual, y además, regirán las reglas de suficiencia definidas en los artículos 2.2.1.2.3.1.9. al 2.2.1.2.3.1.17. del Decreto 1082 de 2015. </w:t>
      </w:r>
    </w:p>
    <w:p w14:paraId="6E0E5AEE" w14:textId="77777777" w:rsidR="004B1E0D" w:rsidRDefault="004B1E0D" w:rsidP="004B1E0D">
      <w:pPr>
        <w:spacing w:before="120" w:after="120" w:line="276" w:lineRule="auto"/>
        <w:ind w:firstLine="705"/>
        <w:jc w:val="both"/>
        <w:rPr>
          <w:rStyle w:val="normaltextrun"/>
          <w:rFonts w:ascii="Verdana" w:hAnsi="Verdana" w:cs="Arial"/>
          <w:color w:val="000000"/>
        </w:rPr>
      </w:pPr>
      <w:r w:rsidRPr="005938A0">
        <w:rPr>
          <w:rStyle w:val="normaltextrun"/>
          <w:rFonts w:ascii="Verdana" w:hAnsi="Verdana" w:cs="Arial"/>
          <w:color w:val="000000"/>
        </w:rPr>
        <w:t xml:space="preserve">Ahora bien, el contratista está obligado a obtener una nueva garantía que ampare el cumplimiento de sus obligaciones para la etapa del contrato o periodo </w:t>
      </w:r>
      <w:r w:rsidRPr="005938A0">
        <w:rPr>
          <w:rStyle w:val="normaltextrun"/>
          <w:rFonts w:ascii="Verdana" w:hAnsi="Verdana" w:cs="Arial"/>
          <w:color w:val="000000"/>
        </w:rPr>
        <w:lastRenderedPageBreak/>
        <w:t>contractual siguiente</w:t>
      </w:r>
      <w:r w:rsidRPr="005938A0">
        <w:rPr>
          <w:rStyle w:val="Refdenotaalpie"/>
          <w:rFonts w:ascii="Verdana" w:hAnsi="Verdana" w:cs="Arial"/>
          <w:color w:val="000000"/>
        </w:rPr>
        <w:footnoteReference w:id="8"/>
      </w:r>
      <w:r w:rsidRPr="005938A0">
        <w:rPr>
          <w:rStyle w:val="normaltextrun"/>
          <w:rFonts w:ascii="Verdana" w:hAnsi="Verdana" w:cs="Arial"/>
          <w:color w:val="000000"/>
        </w:rPr>
        <w:t>. Esto significa que antes del vencimiento de la etapa del contrato que se está ejecutando, el contratista debe contar con la nueva garantía para amparar los riesgos de la siguiente etapa.</w:t>
      </w:r>
    </w:p>
    <w:p w14:paraId="37C35878" w14:textId="77777777" w:rsidR="004B1E0D" w:rsidRDefault="004B1E0D" w:rsidP="004B1E0D">
      <w:pPr>
        <w:spacing w:before="120" w:after="120" w:line="276" w:lineRule="auto"/>
        <w:ind w:firstLine="705"/>
        <w:jc w:val="both"/>
        <w:rPr>
          <w:rFonts w:ascii="Verdana" w:hAnsi="Verdana" w:cs="Arial"/>
          <w:color w:val="000000"/>
        </w:rPr>
      </w:pPr>
      <w:r w:rsidRPr="564E59A4">
        <w:rPr>
          <w:rStyle w:val="normaltextrun"/>
          <w:rFonts w:ascii="Verdana" w:hAnsi="Verdana" w:cs="Arial"/>
          <w:color w:val="000000" w:themeColor="text1"/>
        </w:rPr>
        <w:t xml:space="preserve">Como se observa las reglas que permiten en casos específicos la “división” de garantías están relacionadas con contratos cuyo plazo es superior a cinco años y que buscan cubrir los riesgos asociados a </w:t>
      </w:r>
      <w:r w:rsidRPr="564E59A4">
        <w:rPr>
          <w:rFonts w:ascii="Verdana" w:hAnsi="Verdana" w:cs="Arial"/>
          <w:color w:val="000000" w:themeColor="text1"/>
        </w:rPr>
        <w:t xml:space="preserve">cada Etapa del Contrato o cada Periodo Contractual. En efecto, esto es distinto al supuesto mencionado en la consulta, el cual se refiere a la división de la garantía por cada amparo necesario para cubrir los riesgos identificados. </w:t>
      </w:r>
    </w:p>
    <w:p w14:paraId="5C25BEBF" w14:textId="77777777" w:rsidR="004B1E0D" w:rsidRPr="00B166F9" w:rsidRDefault="004B1E0D" w:rsidP="004B1E0D">
      <w:pPr>
        <w:spacing w:after="120" w:line="276" w:lineRule="auto"/>
        <w:ind w:firstLine="357"/>
        <w:jc w:val="both"/>
        <w:rPr>
          <w:rFonts w:ascii="Verdana" w:hAnsi="Verdana" w:cs="Arial"/>
          <w:lang w:eastAsia="es-ES"/>
        </w:rPr>
      </w:pPr>
      <w:bookmarkStart w:id="4" w:name="_Hlk94774859"/>
      <w:bookmarkEnd w:id="4"/>
      <w:r w:rsidRPr="564E59A4">
        <w:rPr>
          <w:rFonts w:ascii="Verdana" w:eastAsia="Calibri" w:hAnsi="Verdana" w:cs="Times New Roman"/>
        </w:rPr>
        <w:t>Así las cosas</w:t>
      </w:r>
      <w:r w:rsidRPr="564E59A4">
        <w:rPr>
          <w:rFonts w:ascii="Verdana" w:hAnsi="Verdana" w:cs="Arial"/>
          <w:lang w:eastAsia="es-ES"/>
        </w:rPr>
        <w:t>, el carácter indivisible de la garantía de cobertura del riesgo significa que no es jurídicamente admisible fraccionar la garantía de cumplimiento en amparos separados para cada riesgo dentro de un mismo período contractual. La indivisibilidad exige que la garantía cubra de manera integral todos los riesgos exigidos para el contrato, sin desagregarlos en pólizas o amparos independientes. Solo de manera excepcional, cuando el contrato esté estructurado en etapas, períodos contractuales o unidades funcionales claramente diferenciadas, es posible exigir garantías separadas por cada una de ellas, siempre que cada garantía cubra la totalidad de los riesgos propios de la etapa correspondiente, sin subdividirlos internamente y respetando las reglas de vigencia y suficiencia previstas en el Decreto 1082 de 2015.</w:t>
      </w:r>
    </w:p>
    <w:p w14:paraId="2F138658" w14:textId="77777777" w:rsidR="004B1E0D" w:rsidRDefault="004B1E0D" w:rsidP="004B1E0D">
      <w:pPr>
        <w:spacing w:after="0" w:line="276" w:lineRule="auto"/>
        <w:ind w:firstLine="360"/>
        <w:contextualSpacing/>
        <w:jc w:val="both"/>
        <w:rPr>
          <w:rFonts w:ascii="Verdana" w:eastAsia="Calibri" w:hAnsi="Verdana" w:cs="Times New Roman"/>
        </w:rPr>
      </w:pPr>
      <w:r w:rsidRPr="564E59A4">
        <w:rPr>
          <w:rFonts w:ascii="Verdana" w:hAnsi="Verdana" w:cs="Arial"/>
          <w:lang w:eastAsia="es-ES"/>
        </w:rPr>
        <w:t>En este marco normativo, la verificación y aprobación de las garantías por parte de la entidad estatal constituye una actuación de carácter técnico y jurídico, orientada a garantizar que la cobertura del riesgo sea integral, suficiente y conforme a la ley y al reglamento, en protección del interés general y de los principios que rigen la contratación estatal</w:t>
      </w:r>
    </w:p>
    <w:p w14:paraId="1B15B975" w14:textId="77777777" w:rsidR="004B1E0D" w:rsidRPr="008149B2" w:rsidRDefault="004B1E0D" w:rsidP="004B1E0D">
      <w:pPr>
        <w:spacing w:after="0" w:line="276" w:lineRule="auto"/>
        <w:ind w:firstLine="360"/>
        <w:jc w:val="both"/>
        <w:rPr>
          <w:rFonts w:ascii="Verdana" w:hAnsi="Verdana" w:cs="Arial"/>
          <w:lang w:eastAsia="es-ES"/>
        </w:rPr>
      </w:pPr>
      <w:r w:rsidRPr="564E59A4">
        <w:rPr>
          <w:rFonts w:ascii="Verdana" w:eastAsia="Calibri" w:hAnsi="Verdana" w:cs="Times New Roman"/>
          <w:lang w:val="es-ES"/>
        </w:rPr>
        <w:t xml:space="preserve">     </w:t>
      </w:r>
    </w:p>
    <w:p w14:paraId="2B788F07" w14:textId="77777777" w:rsidR="004B1E0D" w:rsidRPr="008149B2" w:rsidRDefault="004B1E0D" w:rsidP="004B1E0D">
      <w:pPr>
        <w:spacing w:after="0" w:line="276" w:lineRule="auto"/>
        <w:jc w:val="both"/>
        <w:rPr>
          <w:rFonts w:ascii="Verdana" w:eastAsia="Century Gothic" w:hAnsi="Verdana" w:cs="Century Gothic"/>
          <w:b/>
          <w:bCs/>
        </w:rPr>
      </w:pPr>
      <w:r w:rsidRPr="564E59A4">
        <w:rPr>
          <w:rFonts w:ascii="Verdana" w:eastAsia="Century Gothic" w:hAnsi="Verdana" w:cs="Century Gothic"/>
          <w:b/>
          <w:bCs/>
        </w:rPr>
        <w:lastRenderedPageBreak/>
        <w:t>4. Referencias normativas, jurisprudenciales y otras fuentes:</w:t>
      </w:r>
    </w:p>
    <w:p w14:paraId="4B13CAFF" w14:textId="77777777" w:rsidR="004B1E0D" w:rsidRPr="008149B2" w:rsidRDefault="004B1E0D" w:rsidP="004B1E0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B1E0D" w:rsidRPr="008149B2" w14:paraId="7C9DAEDB" w14:textId="77777777" w:rsidTr="0052628D">
        <w:trPr>
          <w:trHeight w:val="870"/>
        </w:trPr>
        <w:tc>
          <w:tcPr>
            <w:tcW w:w="8647" w:type="dxa"/>
          </w:tcPr>
          <w:p w14:paraId="515F6F1A" w14:textId="77777777" w:rsidR="004B1E0D" w:rsidRPr="008149B2" w:rsidRDefault="004B1E0D" w:rsidP="004B1E0D">
            <w:pPr>
              <w:pStyle w:val="Prrafodelista"/>
              <w:widowControl w:val="0"/>
              <w:numPr>
                <w:ilvl w:val="0"/>
                <w:numId w:val="2"/>
              </w:numPr>
              <w:autoSpaceDE w:val="0"/>
              <w:autoSpaceDN w:val="0"/>
              <w:spacing w:line="276" w:lineRule="auto"/>
              <w:contextualSpacing w:val="0"/>
              <w:jc w:val="both"/>
              <w:rPr>
                <w:rFonts w:ascii="Verdana" w:hAnsi="Verdana" w:cs="Arial"/>
              </w:rPr>
            </w:pPr>
            <w:r w:rsidRPr="564E59A4">
              <w:rPr>
                <w:rFonts w:ascii="Verdana" w:hAnsi="Verdana" w:cs="Arial"/>
              </w:rPr>
              <w:t xml:space="preserve">Ley 1150 de 2007, artículo 7. </w:t>
            </w:r>
          </w:p>
          <w:p w14:paraId="553629D0" w14:textId="77777777" w:rsidR="004B1E0D" w:rsidRPr="008149B2" w:rsidRDefault="004B1E0D" w:rsidP="004B1E0D">
            <w:pPr>
              <w:pStyle w:val="Prrafodelista"/>
              <w:widowControl w:val="0"/>
              <w:numPr>
                <w:ilvl w:val="0"/>
                <w:numId w:val="2"/>
              </w:numPr>
              <w:autoSpaceDE w:val="0"/>
              <w:autoSpaceDN w:val="0"/>
              <w:spacing w:line="276" w:lineRule="auto"/>
              <w:contextualSpacing w:val="0"/>
              <w:jc w:val="both"/>
              <w:rPr>
                <w:rFonts w:ascii="Verdana" w:hAnsi="Verdana" w:cs="Arial"/>
              </w:rPr>
            </w:pPr>
            <w:r w:rsidRPr="564E59A4">
              <w:rPr>
                <w:rFonts w:ascii="Verdana" w:hAnsi="Verdana" w:cs="Arial"/>
              </w:rPr>
              <w:t>Ley 80 de 1993, artículo 41.</w:t>
            </w:r>
          </w:p>
          <w:p w14:paraId="19EEE396" w14:textId="77777777" w:rsidR="004B1E0D" w:rsidRPr="008149B2" w:rsidRDefault="004B1E0D" w:rsidP="004B1E0D">
            <w:pPr>
              <w:pStyle w:val="Prrafodelista"/>
              <w:widowControl w:val="0"/>
              <w:numPr>
                <w:ilvl w:val="0"/>
                <w:numId w:val="2"/>
              </w:numPr>
              <w:autoSpaceDE w:val="0"/>
              <w:autoSpaceDN w:val="0"/>
              <w:spacing w:line="276" w:lineRule="auto"/>
              <w:contextualSpacing w:val="0"/>
              <w:jc w:val="both"/>
              <w:rPr>
                <w:rFonts w:ascii="Verdana" w:hAnsi="Verdana" w:cs="Arial"/>
              </w:rPr>
            </w:pPr>
            <w:r w:rsidRPr="564E59A4">
              <w:rPr>
                <w:rFonts w:ascii="Verdana" w:hAnsi="Verdana" w:cs="Arial"/>
              </w:rPr>
              <w:t xml:space="preserve">Decreto 1082 de 2015, artículos 2.2.1.2.3.1.1 al 2.2.1.2.3.1.19.  </w:t>
            </w:r>
          </w:p>
        </w:tc>
      </w:tr>
    </w:tbl>
    <w:p w14:paraId="4849FEB2" w14:textId="77777777" w:rsidR="004B1E0D" w:rsidRPr="008149B2" w:rsidRDefault="004B1E0D" w:rsidP="004B1E0D">
      <w:pPr>
        <w:widowControl w:val="0"/>
        <w:tabs>
          <w:tab w:val="left" w:pos="142"/>
          <w:tab w:val="left" w:pos="284"/>
        </w:tabs>
        <w:autoSpaceDE w:val="0"/>
        <w:autoSpaceDN w:val="0"/>
        <w:spacing w:after="0" w:line="276" w:lineRule="auto"/>
        <w:ind w:left="142"/>
        <w:jc w:val="both"/>
        <w:rPr>
          <w:rFonts w:ascii="Verdana" w:eastAsia="Century Gothic" w:hAnsi="Verdana" w:cs="Century Gothic"/>
          <w:b/>
          <w:bCs/>
        </w:rPr>
      </w:pPr>
    </w:p>
    <w:p w14:paraId="59BCC54F" w14:textId="77777777" w:rsidR="004B1E0D" w:rsidRPr="008149B2" w:rsidRDefault="004B1E0D" w:rsidP="004B1E0D">
      <w:pPr>
        <w:spacing w:after="0" w:line="276" w:lineRule="auto"/>
        <w:jc w:val="both"/>
        <w:rPr>
          <w:rFonts w:ascii="Verdana" w:eastAsia="Century Gothic" w:hAnsi="Verdana" w:cs="Century Gothic"/>
          <w:b/>
          <w:bCs/>
        </w:rPr>
      </w:pPr>
      <w:r w:rsidRPr="564E59A4">
        <w:rPr>
          <w:rFonts w:ascii="Verdana" w:eastAsia="Century Gothic" w:hAnsi="Verdana" w:cs="Century Gothic"/>
          <w:b/>
          <w:bCs/>
        </w:rPr>
        <w:t>5. Doctrina de la Agencia Nacional de Contratación Pública:</w:t>
      </w:r>
    </w:p>
    <w:p w14:paraId="39EA4EF3" w14:textId="77777777" w:rsidR="004B1E0D" w:rsidRPr="008149B2" w:rsidRDefault="004B1E0D" w:rsidP="004B1E0D">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6CE3A5A7" w14:textId="77777777" w:rsidR="004B1E0D" w:rsidRPr="008149B2" w:rsidRDefault="004B1E0D" w:rsidP="004B1E0D">
      <w:pPr>
        <w:widowControl w:val="0"/>
        <w:autoSpaceDE w:val="0"/>
        <w:autoSpaceDN w:val="0"/>
        <w:spacing w:after="0" w:line="276" w:lineRule="auto"/>
        <w:jc w:val="both"/>
        <w:rPr>
          <w:rFonts w:ascii="Verdana" w:eastAsia="Calibri" w:hAnsi="Verdana" w:cs="Times New Roman"/>
        </w:rPr>
      </w:pPr>
      <w:r w:rsidRPr="008149B2">
        <w:rPr>
          <w:rStyle w:val="normaltextrun"/>
          <w:rFonts w:ascii="Verdana" w:hAnsi="Verdana" w:cs="Arial"/>
          <w:shd w:val="clear" w:color="auto" w:fill="FFFFFF"/>
          <w:lang w:val="es-ES"/>
        </w:rPr>
        <w:t>Esta Subdirección se ha pronunciado sobre el régimen de garantías en los Conceptos</w:t>
      </w:r>
      <w:r w:rsidRPr="008149B2">
        <w:rPr>
          <w:rStyle w:val="normaltextrun"/>
          <w:rFonts w:ascii="Verdana" w:hAnsi="Verdana" w:cs="Calibri"/>
          <w:shd w:val="clear" w:color="auto" w:fill="FFFFFF"/>
        </w:rPr>
        <w:t xml:space="preserve"> </w:t>
      </w:r>
      <w:r w:rsidRPr="008149B2">
        <w:rPr>
          <w:rStyle w:val="normaltextrun"/>
          <w:rFonts w:ascii="Verdana" w:hAnsi="Verdana" w:cs="Arial"/>
          <w:shd w:val="clear" w:color="auto" w:fill="FFFFFF"/>
          <w:lang w:val="es-ES"/>
        </w:rPr>
        <w:t xml:space="preserve">C-080 del 8 de abril de 2021, C-525 del 27 de septiembre de 2021, C- 567 del 08 de octubre del 2021, C-036 del 28 de febrero del 2022, C-126 de 25 de marzo de 2022, C-583 del 19 de octubre de 2022, C-584 del 26 de septiembre de 2022, C-845 del 7 de diciembre de 2022, C-036 del 31 de marzo de 2023, C-801 del 12 de diciembre de 2024 y </w:t>
      </w:r>
      <w:r w:rsidRPr="008149B2">
        <w:rPr>
          <w:rFonts w:ascii="Verdana" w:hAnsi="Verdana" w:cs="Arial"/>
          <w:shd w:val="clear" w:color="auto" w:fill="FFFFFF"/>
        </w:rPr>
        <w:t>C-857 del 6 de agosto de 2025</w:t>
      </w:r>
      <w:r w:rsidRPr="008149B2">
        <w:rPr>
          <w:rFonts w:ascii="Verdana" w:eastAsia="Aptos" w:hAnsi="Verdana" w:cs="Arial"/>
          <w:shd w:val="clear" w:color="auto" w:fill="FFFFFF"/>
          <w:lang w:val="es-ES"/>
        </w:rPr>
        <w:t xml:space="preserve">. </w:t>
      </w:r>
      <w:r w:rsidRPr="008149B2">
        <w:rPr>
          <w:rStyle w:val="normaltextrun"/>
          <w:rFonts w:ascii="Verdana" w:hAnsi="Verdana"/>
          <w:shd w:val="clear" w:color="auto" w:fill="FFFFFF"/>
          <w:lang w:val="es-ES"/>
        </w:rPr>
        <w:t xml:space="preserve">Así mismo, se refirió a la invisibilidad de la garantía en </w:t>
      </w:r>
      <w:r w:rsidRPr="008149B2">
        <w:rPr>
          <w:rStyle w:val="normaltextrun"/>
          <w:rFonts w:ascii="Verdana" w:hAnsi="Verdana" w:cs="Arial"/>
          <w:shd w:val="clear" w:color="auto" w:fill="FFFFFF"/>
          <w:lang w:val="es-ES"/>
        </w:rPr>
        <w:t>el concepto C-036 de 28 de febrero de 2022 y C-069 del 27 de mayo de 2024, estos se encuentran disponibles para consulta en el Sistema de Relatoría de la Agencia, en el cual también podrás encontrar</w:t>
      </w:r>
      <w:r w:rsidRPr="008149B2">
        <w:rPr>
          <w:rFonts w:ascii="Verdana" w:eastAsia="Calibri" w:hAnsi="Verdana" w:cs="Times New Roman"/>
        </w:rPr>
        <w:t xml:space="preserve"> jurisprudencia del Consejo de Estado, laudos arbitrales y la normativa de la contratación concordada con la doctrina de la Subdirección de Gestión Contractual, accede a través del siguiente enlace:</w:t>
      </w:r>
    </w:p>
    <w:p w14:paraId="7456EEA7" w14:textId="77777777" w:rsidR="004B1E0D" w:rsidRPr="008149B2" w:rsidRDefault="00000000" w:rsidP="004B1E0D">
      <w:pPr>
        <w:widowControl w:val="0"/>
        <w:autoSpaceDE w:val="0"/>
        <w:autoSpaceDN w:val="0"/>
        <w:spacing w:after="0" w:line="276" w:lineRule="auto"/>
        <w:jc w:val="both"/>
        <w:rPr>
          <w:rStyle w:val="normaltextrun"/>
          <w:rFonts w:ascii="Verdana" w:eastAsia="Calibri" w:hAnsi="Verdana" w:cs="Arial"/>
          <w:lang w:val="es-ES_tradnl" w:eastAsia="en-GB"/>
        </w:rPr>
      </w:pPr>
      <w:hyperlink r:id="rId8" w:history="1">
        <w:r w:rsidR="004B1E0D" w:rsidRPr="008149B2">
          <w:rPr>
            <w:rStyle w:val="Hipervnculo"/>
            <w:rFonts w:ascii="Verdana" w:eastAsia="Calibri" w:hAnsi="Verdana" w:cs="Times New Roman"/>
            <w:lang w:val="es-ES"/>
          </w:rPr>
          <w:t>https://relatoria.colombiacompra.gov.co/busqueda/conceptos</w:t>
        </w:r>
      </w:hyperlink>
      <w:r w:rsidR="004B1E0D" w:rsidRPr="008149B2">
        <w:rPr>
          <w:rFonts w:ascii="Verdana" w:eastAsia="Calibri" w:hAnsi="Verdana" w:cs="Times New Roman"/>
        </w:rPr>
        <w:t>.</w:t>
      </w:r>
    </w:p>
    <w:p w14:paraId="460E6797" w14:textId="77777777" w:rsidR="004B1E0D" w:rsidRPr="008149B2" w:rsidRDefault="004B1E0D" w:rsidP="004B1E0D">
      <w:pPr>
        <w:widowControl w:val="0"/>
        <w:autoSpaceDE w:val="0"/>
        <w:autoSpaceDN w:val="0"/>
        <w:spacing w:after="0" w:line="276" w:lineRule="auto"/>
        <w:jc w:val="both"/>
        <w:rPr>
          <w:rFonts w:ascii="Verdana" w:hAnsi="Verdana" w:cs="Arial"/>
          <w:color w:val="FF0000"/>
          <w:shd w:val="clear" w:color="auto" w:fill="FFFFFF"/>
          <w:lang w:val="es-MX"/>
        </w:rPr>
      </w:pPr>
    </w:p>
    <w:p w14:paraId="31A8ED7D" w14:textId="77777777" w:rsidR="004B1E0D" w:rsidRPr="009A385A" w:rsidRDefault="004B1E0D" w:rsidP="004B1E0D">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9" w:tgtFrame="_new" w:history="1">
        <w:r w:rsidRPr="009A385A">
          <w:rPr>
            <w:rStyle w:val="Hipervnculo"/>
            <w:rFonts w:ascii="Verdana" w:hAnsi="Verdana"/>
          </w:rPr>
          <w:t>https://formacionvirtual.colombiacompra.gov.co/mod/page/view.php?id=3718</w:t>
        </w:r>
      </w:hyperlink>
    </w:p>
    <w:p w14:paraId="38ABA1E3" w14:textId="77777777" w:rsidR="004B1E0D" w:rsidRDefault="004B1E0D" w:rsidP="004B1E0D">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xml:space="preserve">, promoviendo procesos más </w:t>
      </w:r>
      <w:r w:rsidRPr="00635F16">
        <w:rPr>
          <w:rFonts w:ascii="Verdana" w:hAnsi="Verdana"/>
        </w:rPr>
        <w:lastRenderedPageBreak/>
        <w:t>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0" w:tgtFrame="_new" w:history="1">
        <w:r w:rsidRPr="00635F16">
          <w:rPr>
            <w:rStyle w:val="Hipervnculo"/>
            <w:rFonts w:ascii="Verdana" w:hAnsi="Verdana"/>
          </w:rPr>
          <w:t>https://www.colombiacompra.gov.co/normativa-y-relatoria/documentos-tipo</w:t>
        </w:r>
      </w:hyperlink>
    </w:p>
    <w:p w14:paraId="2B6E5443" w14:textId="77777777" w:rsidR="004B1E0D" w:rsidRDefault="004B1E0D" w:rsidP="004B1E0D">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1"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2A35D2A" w14:textId="77777777" w:rsidR="004B1E0D" w:rsidRPr="00FF007A" w:rsidRDefault="004B1E0D" w:rsidP="004B1E0D">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039F166" w14:textId="77777777" w:rsidR="004B1E0D" w:rsidRPr="008149B2" w:rsidRDefault="004B1E0D" w:rsidP="004B1E0D">
      <w:pPr>
        <w:widowControl w:val="0"/>
        <w:autoSpaceDE w:val="0"/>
        <w:autoSpaceDN w:val="0"/>
        <w:spacing w:after="0" w:line="276" w:lineRule="auto"/>
        <w:jc w:val="both"/>
        <w:rPr>
          <w:rFonts w:ascii="Verdana" w:hAnsi="Verdana" w:cs="Arial"/>
        </w:rPr>
      </w:pPr>
      <w:r w:rsidRPr="00FF26FC">
        <w:rPr>
          <w:rFonts w:ascii="Verdana" w:hAnsi="Verdana" w:cs="Arial"/>
        </w:rPr>
        <w:t xml:space="preserve">Este concepto tiene el alcance previsto en el artículo 28 del Código de Procedimiento Administrativo y de lo Contencioso Administrativo </w:t>
      </w:r>
      <w:r w:rsidRPr="00FF26FC">
        <w:rPr>
          <w:rFonts w:ascii="Verdana" w:hAnsi="Verdana" w:cs="Arial"/>
          <w:lang w:val="es-ES_tradnl"/>
        </w:rPr>
        <w:t>y las expresiones aquí utilizadas con mayúscula inicial deben ser entendidas con el</w:t>
      </w:r>
    </w:p>
    <w:p w14:paraId="19EE8111" w14:textId="77777777" w:rsidR="004B1E0D" w:rsidRPr="008149B2" w:rsidRDefault="004B1E0D" w:rsidP="004B1E0D">
      <w:pPr>
        <w:spacing w:after="0" w:line="276" w:lineRule="auto"/>
        <w:rPr>
          <w:rFonts w:ascii="Verdana" w:hAnsi="Verdana" w:cs="Arial"/>
          <w:lang w:eastAsia="es-CO"/>
        </w:rPr>
      </w:pPr>
      <w:r w:rsidRPr="564E59A4">
        <w:rPr>
          <w:rFonts w:ascii="Verdana" w:eastAsia="Times New Roman" w:hAnsi="Verdana" w:cs="Arial"/>
          <w:lang w:eastAsia="es-CO"/>
        </w:rPr>
        <w:t>Atentamente,</w:t>
      </w:r>
      <w:r w:rsidRPr="564E59A4">
        <w:rPr>
          <w:rFonts w:ascii="Verdana" w:hAnsi="Verdana" w:cs="Arial"/>
          <w:lang w:eastAsia="es-CO"/>
        </w:rPr>
        <w:t xml:space="preserve"> </w:t>
      </w:r>
    </w:p>
    <w:p w14:paraId="6DDA26B0" w14:textId="4429046D" w:rsidR="004B1E0D" w:rsidRDefault="00E9603D" w:rsidP="004B1E0D">
      <w:pPr>
        <w:spacing w:after="0" w:line="276" w:lineRule="auto"/>
        <w:jc w:val="center"/>
        <w:rPr>
          <w:rFonts w:ascii="Verdana" w:hAnsi="Verdana"/>
          <w:lang w:val="es-ES_tradnl"/>
        </w:rPr>
      </w:pPr>
      <w:r>
        <w:rPr>
          <w:rFonts w:ascii="Verdana" w:hAnsi="Verdana"/>
          <w:noProof/>
          <w:lang w:val="es-ES_tradnl"/>
          <w14:ligatures w14:val="standardContextual"/>
        </w:rPr>
        <w:drawing>
          <wp:inline distT="0" distB="0" distL="0" distR="0" wp14:anchorId="749B95CC" wp14:editId="6E7577D4">
            <wp:extent cx="2987842" cy="1102841"/>
            <wp:effectExtent l="0" t="0" r="3175" b="2540"/>
            <wp:docPr id="104909046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090467"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995179" cy="110554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B1E0D" w:rsidRPr="00D53651" w14:paraId="197D9FA3" w14:textId="77777777" w:rsidTr="0052628D">
        <w:trPr>
          <w:trHeight w:val="315"/>
        </w:trPr>
        <w:tc>
          <w:tcPr>
            <w:tcW w:w="893" w:type="dxa"/>
            <w:vAlign w:val="center"/>
            <w:hideMark/>
          </w:tcPr>
          <w:p w14:paraId="650B3302" w14:textId="77777777" w:rsidR="004B1E0D" w:rsidRPr="00D53651" w:rsidRDefault="004B1E0D" w:rsidP="0052628D">
            <w:pPr>
              <w:jc w:val="both"/>
              <w:rPr>
                <w:rFonts w:ascii="Verdana" w:hAnsi="Verdana"/>
                <w:sz w:val="16"/>
                <w:szCs w:val="16"/>
              </w:rPr>
            </w:pPr>
            <w:r w:rsidRPr="3712694A">
              <w:rPr>
                <w:rFonts w:ascii="Verdana" w:hAnsi="Verdana"/>
                <w:sz w:val="16"/>
                <w:szCs w:val="16"/>
              </w:rPr>
              <w:t>Elaboró:</w:t>
            </w:r>
          </w:p>
        </w:tc>
        <w:tc>
          <w:tcPr>
            <w:tcW w:w="5628" w:type="dxa"/>
            <w:tcBorders>
              <w:top w:val="nil"/>
              <w:left w:val="nil"/>
              <w:bottom w:val="dotted" w:sz="4" w:space="0" w:color="7F7F7F" w:themeColor="text1" w:themeTint="80"/>
              <w:right w:val="nil"/>
            </w:tcBorders>
            <w:vAlign w:val="center"/>
            <w:hideMark/>
          </w:tcPr>
          <w:p w14:paraId="79B0C457" w14:textId="77777777" w:rsidR="004B1E0D" w:rsidRPr="00D53651" w:rsidRDefault="004B1E0D" w:rsidP="0052628D">
            <w:pPr>
              <w:jc w:val="both"/>
              <w:rPr>
                <w:rFonts w:ascii="Verdana" w:hAnsi="Verdana"/>
                <w:sz w:val="16"/>
                <w:szCs w:val="16"/>
              </w:rPr>
            </w:pPr>
            <w:r w:rsidRPr="564E59A4">
              <w:rPr>
                <w:rFonts w:ascii="Verdana" w:hAnsi="Verdana"/>
                <w:sz w:val="16"/>
                <w:szCs w:val="16"/>
              </w:rPr>
              <w:t>Gloria Elizabeth Arango Builes</w:t>
            </w:r>
          </w:p>
          <w:p w14:paraId="0D693E09" w14:textId="77777777" w:rsidR="004B1E0D" w:rsidRPr="00D53651" w:rsidRDefault="004B1E0D" w:rsidP="0052628D">
            <w:pPr>
              <w:jc w:val="both"/>
              <w:rPr>
                <w:rFonts w:ascii="Verdana" w:hAnsi="Verdana"/>
                <w:sz w:val="16"/>
                <w:szCs w:val="16"/>
              </w:rPr>
            </w:pPr>
            <w:r w:rsidRPr="564E59A4">
              <w:rPr>
                <w:rFonts w:ascii="Verdana" w:hAnsi="Verdana"/>
                <w:sz w:val="16"/>
                <w:szCs w:val="16"/>
              </w:rPr>
              <w:t>Contratista de la Subdirección de Gestión Contractual</w:t>
            </w:r>
          </w:p>
        </w:tc>
      </w:tr>
      <w:tr w:rsidR="004B1E0D" w:rsidRPr="00D53651" w14:paraId="0954A91A" w14:textId="77777777" w:rsidTr="0052628D">
        <w:trPr>
          <w:trHeight w:val="330"/>
        </w:trPr>
        <w:tc>
          <w:tcPr>
            <w:tcW w:w="893" w:type="dxa"/>
            <w:vAlign w:val="center"/>
            <w:hideMark/>
          </w:tcPr>
          <w:p w14:paraId="0361E4D2" w14:textId="77777777" w:rsidR="004B1E0D" w:rsidRPr="00D53651" w:rsidRDefault="004B1E0D" w:rsidP="0052628D">
            <w:pPr>
              <w:jc w:val="both"/>
              <w:rPr>
                <w:rFonts w:ascii="Verdana" w:hAnsi="Verdana"/>
                <w:sz w:val="16"/>
                <w:szCs w:val="16"/>
              </w:rPr>
            </w:pPr>
            <w:r w:rsidRPr="564E59A4">
              <w:rPr>
                <w:rFonts w:ascii="Verdana" w:hAnsi="Verdana"/>
                <w:sz w:val="16"/>
                <w:szCs w:val="16"/>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93ED08" w14:textId="77777777" w:rsidR="004B1E0D" w:rsidRPr="00D53651" w:rsidRDefault="004B1E0D" w:rsidP="0052628D">
            <w:pPr>
              <w:jc w:val="both"/>
              <w:rPr>
                <w:rFonts w:ascii="Verdana" w:hAnsi="Verdana"/>
                <w:sz w:val="16"/>
                <w:szCs w:val="16"/>
              </w:rPr>
            </w:pPr>
            <w:r w:rsidRPr="564E59A4">
              <w:rPr>
                <w:rFonts w:ascii="Verdana" w:hAnsi="Verdana"/>
                <w:sz w:val="16"/>
                <w:szCs w:val="16"/>
              </w:rPr>
              <w:t>Diana Lucía Saavedra Castañeda</w:t>
            </w:r>
          </w:p>
          <w:p w14:paraId="0EF93436" w14:textId="77777777" w:rsidR="004B1E0D" w:rsidRPr="00D53651" w:rsidRDefault="004B1E0D" w:rsidP="0052628D">
            <w:pPr>
              <w:jc w:val="both"/>
              <w:rPr>
                <w:rFonts w:ascii="Verdana" w:hAnsi="Verdana"/>
                <w:sz w:val="16"/>
                <w:szCs w:val="16"/>
              </w:rPr>
            </w:pPr>
            <w:r w:rsidRPr="564E59A4">
              <w:rPr>
                <w:rFonts w:ascii="Verdana" w:hAnsi="Verdana"/>
                <w:sz w:val="16"/>
                <w:szCs w:val="16"/>
              </w:rPr>
              <w:t>Contratista de la Subdirección de Gestión Contractual </w:t>
            </w:r>
          </w:p>
        </w:tc>
      </w:tr>
      <w:tr w:rsidR="004B1E0D" w:rsidRPr="00D53651" w14:paraId="6DA69BC5" w14:textId="77777777" w:rsidTr="0052628D">
        <w:trPr>
          <w:trHeight w:val="300"/>
        </w:trPr>
        <w:tc>
          <w:tcPr>
            <w:tcW w:w="893" w:type="dxa"/>
            <w:vAlign w:val="center"/>
            <w:hideMark/>
          </w:tcPr>
          <w:p w14:paraId="0FE807BD" w14:textId="77777777" w:rsidR="004B1E0D" w:rsidRPr="00D53651" w:rsidRDefault="004B1E0D" w:rsidP="0052628D">
            <w:pPr>
              <w:jc w:val="both"/>
              <w:rPr>
                <w:rFonts w:ascii="Verdana" w:hAnsi="Verdana"/>
                <w:sz w:val="16"/>
                <w:szCs w:val="16"/>
              </w:rPr>
            </w:pPr>
            <w:r w:rsidRPr="564E59A4">
              <w:rPr>
                <w:rFonts w:ascii="Verdana" w:hAnsi="Verdana"/>
                <w:sz w:val="16"/>
                <w:szCs w:val="16"/>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7DA777" w14:textId="77777777" w:rsidR="004B1E0D" w:rsidRPr="00D53651" w:rsidRDefault="004B1E0D" w:rsidP="0052628D">
            <w:pPr>
              <w:jc w:val="both"/>
              <w:rPr>
                <w:rFonts w:ascii="Verdana" w:hAnsi="Verdana"/>
                <w:sz w:val="16"/>
                <w:szCs w:val="16"/>
                <w:lang w:val="pt-BR"/>
              </w:rPr>
            </w:pPr>
            <w:r w:rsidRPr="564E59A4">
              <w:rPr>
                <w:rFonts w:ascii="Verdana" w:hAnsi="Verdana"/>
                <w:sz w:val="16"/>
                <w:szCs w:val="16"/>
                <w:lang w:val="pt-BR"/>
              </w:rPr>
              <w:t xml:space="preserve">Carolina Quintero </w:t>
            </w:r>
            <w:proofErr w:type="spellStart"/>
            <w:r w:rsidRPr="564E59A4">
              <w:rPr>
                <w:rFonts w:ascii="Verdana" w:hAnsi="Verdana"/>
                <w:sz w:val="16"/>
                <w:szCs w:val="16"/>
                <w:lang w:val="pt-BR"/>
              </w:rPr>
              <w:t>Gacharná</w:t>
            </w:r>
            <w:proofErr w:type="spellEnd"/>
          </w:p>
          <w:p w14:paraId="168E56DA" w14:textId="77777777" w:rsidR="004B1E0D" w:rsidRPr="00D53651" w:rsidRDefault="004B1E0D" w:rsidP="0052628D">
            <w:pPr>
              <w:jc w:val="both"/>
              <w:rPr>
                <w:rFonts w:ascii="Verdana" w:hAnsi="Verdana"/>
                <w:sz w:val="16"/>
                <w:szCs w:val="16"/>
                <w:lang w:val="pt-BR"/>
              </w:rPr>
            </w:pPr>
            <w:r w:rsidRPr="564E59A4">
              <w:rPr>
                <w:rFonts w:ascii="Verdana" w:hAnsi="Verdana"/>
                <w:sz w:val="16"/>
                <w:szCs w:val="16"/>
              </w:rPr>
              <w:t>Subdirectora</w:t>
            </w:r>
            <w:r w:rsidRPr="564E59A4">
              <w:rPr>
                <w:rFonts w:ascii="Verdana" w:hAnsi="Verdana"/>
                <w:sz w:val="16"/>
                <w:szCs w:val="16"/>
                <w:lang w:val="pt-BR"/>
              </w:rPr>
              <w:t xml:space="preserve"> de Gestión Contratual ANCP – CCE</w:t>
            </w:r>
          </w:p>
        </w:tc>
      </w:tr>
    </w:tbl>
    <w:p w14:paraId="7E08C1EC" w14:textId="77777777" w:rsidR="004B1E0D" w:rsidRPr="00CD1FD9" w:rsidRDefault="004B1E0D" w:rsidP="004B1E0D"/>
    <w:p w14:paraId="1C6F5CAB" w14:textId="1BAFC84C" w:rsidR="004B1E0D" w:rsidRDefault="004B1E0D" w:rsidP="004B1E0D"/>
    <w:sectPr w:rsidR="004B1E0D" w:rsidSect="004B1E0D">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0A12D9" w14:textId="77777777" w:rsidR="001F36C1" w:rsidRDefault="001F36C1" w:rsidP="004B1E0D">
      <w:pPr>
        <w:spacing w:after="0" w:line="240" w:lineRule="auto"/>
      </w:pPr>
      <w:r>
        <w:separator/>
      </w:r>
    </w:p>
  </w:endnote>
  <w:endnote w:type="continuationSeparator" w:id="0">
    <w:p w14:paraId="35DACEC2" w14:textId="77777777" w:rsidR="001F36C1" w:rsidRDefault="001F36C1" w:rsidP="004B1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8FF90" w14:textId="77777777" w:rsidR="00C67F5B" w:rsidRDefault="00C67F5B">
    <w:pPr>
      <w:pStyle w:val="Piedepgina"/>
    </w:pPr>
  </w:p>
  <w:p w14:paraId="0520F86E" w14:textId="77777777" w:rsidR="00C67F5B"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CE74184" w14:textId="77777777" w:rsidR="00C67F5B"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EC94F94" w14:textId="77777777" w:rsidR="00C67F5B"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FEA672" w14:textId="77777777" w:rsidR="00C67F5B" w:rsidRDefault="00000000"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695903" w14:textId="77777777" w:rsidR="001F36C1" w:rsidRDefault="001F36C1" w:rsidP="004B1E0D">
      <w:pPr>
        <w:spacing w:after="0" w:line="240" w:lineRule="auto"/>
      </w:pPr>
      <w:r>
        <w:separator/>
      </w:r>
    </w:p>
  </w:footnote>
  <w:footnote w:type="continuationSeparator" w:id="0">
    <w:p w14:paraId="615CA640" w14:textId="77777777" w:rsidR="001F36C1" w:rsidRDefault="001F36C1" w:rsidP="004B1E0D">
      <w:pPr>
        <w:spacing w:after="0" w:line="240" w:lineRule="auto"/>
      </w:pPr>
      <w:r>
        <w:continuationSeparator/>
      </w:r>
    </w:p>
  </w:footnote>
  <w:footnote w:id="1">
    <w:p w14:paraId="15BA788C" w14:textId="77777777" w:rsidR="004B1E0D" w:rsidRDefault="004B1E0D" w:rsidP="004B1E0D">
      <w:pPr>
        <w:pStyle w:val="Textonotapie"/>
        <w:ind w:firstLine="708"/>
        <w:contextualSpacing/>
        <w:jc w:val="both"/>
        <w:rPr>
          <w:rFonts w:ascii="Verdana" w:hAnsi="Verdana" w:cs="Arial"/>
          <w:sz w:val="16"/>
          <w:szCs w:val="16"/>
        </w:rPr>
      </w:pPr>
      <w:r w:rsidRPr="00145609">
        <w:rPr>
          <w:rStyle w:val="Refdenotaalpie"/>
          <w:rFonts w:ascii="Verdana" w:hAnsi="Verdana" w:cs="Arial"/>
          <w:sz w:val="16"/>
          <w:szCs w:val="16"/>
        </w:rPr>
        <w:footnoteRef/>
      </w:r>
      <w:r w:rsidRPr="00145609">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p w14:paraId="2DAF44B0" w14:textId="77777777" w:rsidR="004B1E0D" w:rsidRPr="00145609" w:rsidRDefault="004B1E0D" w:rsidP="004B1E0D">
      <w:pPr>
        <w:pStyle w:val="Textonotapie"/>
        <w:ind w:firstLine="708"/>
        <w:contextualSpacing/>
        <w:jc w:val="both"/>
        <w:rPr>
          <w:rFonts w:ascii="Verdana" w:hAnsi="Verdana" w:cs="Arial"/>
          <w:sz w:val="16"/>
          <w:szCs w:val="16"/>
        </w:rPr>
      </w:pPr>
    </w:p>
  </w:footnote>
  <w:footnote w:id="2">
    <w:p w14:paraId="37EAE5C3" w14:textId="77777777" w:rsidR="004B1E0D" w:rsidRDefault="004B1E0D" w:rsidP="004B1E0D">
      <w:pPr>
        <w:pStyle w:val="Textonotapie"/>
        <w:ind w:firstLine="709"/>
        <w:contextualSpacing/>
        <w:jc w:val="both"/>
        <w:rPr>
          <w:rFonts w:ascii="Verdana" w:hAnsi="Verdana" w:cs="Arial"/>
          <w:color w:val="000000" w:themeColor="text1"/>
          <w:sz w:val="16"/>
          <w:szCs w:val="16"/>
        </w:rPr>
      </w:pPr>
      <w:r w:rsidRPr="00145609">
        <w:rPr>
          <w:rStyle w:val="Refdenotaalpie"/>
          <w:rFonts w:ascii="Verdana" w:hAnsi="Verdana" w:cs="Arial"/>
          <w:color w:val="000000" w:themeColor="text1"/>
          <w:sz w:val="16"/>
          <w:szCs w:val="16"/>
        </w:rPr>
        <w:footnoteRef/>
      </w:r>
      <w:r w:rsidRPr="00145609">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p w14:paraId="497D2ACD" w14:textId="77777777" w:rsidR="004B1E0D" w:rsidRPr="00145609" w:rsidRDefault="004B1E0D" w:rsidP="004B1E0D">
      <w:pPr>
        <w:pStyle w:val="Textonotapie"/>
        <w:ind w:firstLine="709"/>
        <w:contextualSpacing/>
        <w:jc w:val="both"/>
        <w:rPr>
          <w:rFonts w:ascii="Verdana" w:hAnsi="Verdana" w:cs="Arial"/>
          <w:color w:val="000000" w:themeColor="text1"/>
          <w:sz w:val="16"/>
          <w:szCs w:val="16"/>
        </w:rPr>
      </w:pPr>
    </w:p>
  </w:footnote>
  <w:footnote w:id="3">
    <w:p w14:paraId="61DFE6D1"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00145609">
        <w:rPr>
          <w:rStyle w:val="Refdenotaalpie"/>
          <w:rFonts w:ascii="Verdana" w:hAnsi="Verdana" w:cs="Arial"/>
          <w:color w:val="000000" w:themeColor="text1"/>
          <w:sz w:val="16"/>
          <w:szCs w:val="16"/>
        </w:rPr>
        <w:footnoteRef/>
      </w:r>
      <w:r w:rsidRPr="00145609">
        <w:rPr>
          <w:rFonts w:ascii="Verdana" w:hAnsi="Verdana" w:cs="Arial"/>
          <w:color w:val="000000" w:themeColor="text1"/>
          <w:sz w:val="16"/>
          <w:szCs w:val="16"/>
        </w:rPr>
        <w:t xml:space="preserve"> </w:t>
      </w:r>
      <w:r w:rsidRPr="00145609">
        <w:rPr>
          <w:rFonts w:ascii="Verdana" w:hAnsi="Verdana" w:cs="Arial"/>
          <w:color w:val="000000" w:themeColor="text1"/>
          <w:sz w:val="16"/>
          <w:szCs w:val="16"/>
          <w:lang w:val="es-CO"/>
        </w:rPr>
        <w:t xml:space="preserve">“Artículo </w:t>
      </w:r>
      <w:bookmarkStart w:id="0" w:name="_Hlk67919994"/>
      <w:r w:rsidRPr="00145609">
        <w:rPr>
          <w:rFonts w:ascii="Verdana" w:hAnsi="Verdana" w:cs="Arial"/>
          <w:color w:val="000000" w:themeColor="text1"/>
          <w:sz w:val="16"/>
          <w:szCs w:val="16"/>
          <w:lang w:val="es-CO"/>
        </w:rPr>
        <w:t>2.2.1.2.3.1.7</w:t>
      </w:r>
      <w:bookmarkEnd w:id="0"/>
      <w:r w:rsidRPr="00145609">
        <w:rPr>
          <w:rFonts w:ascii="Verdana" w:hAnsi="Verdana" w:cs="Arial"/>
          <w:color w:val="000000" w:themeColor="text1"/>
          <w:sz w:val="16"/>
          <w:szCs w:val="16"/>
          <w:lang w:val="es-CO"/>
        </w:rPr>
        <w:t xml:space="preserve">. Garantía de cumplimiento. La garantía de cumplimiento del contrato debe cubrir: </w:t>
      </w:r>
    </w:p>
    <w:p w14:paraId="65A6D2CA" w14:textId="77777777" w:rsidR="004B1E0D" w:rsidRPr="00145609" w:rsidRDefault="004B1E0D" w:rsidP="004B1E0D">
      <w:pPr>
        <w:pStyle w:val="Textonotapie"/>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  </w:t>
      </w:r>
      <w:r>
        <w:tab/>
      </w:r>
      <w:r w:rsidRPr="564E59A4">
        <w:rPr>
          <w:rFonts w:ascii="Verdana" w:hAnsi="Verdana" w:cs="Arial"/>
          <w:color w:val="000000" w:themeColor="text1"/>
          <w:sz w:val="16"/>
          <w:szCs w:val="16"/>
          <w:lang w:val="es-CO"/>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4BF17AAE"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09FC4340"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3. Cumplimiento del contrato. Este amparo cubre a la Entidad Estatal de los perjuicios derivados de: </w:t>
      </w:r>
    </w:p>
    <w:p w14:paraId="2DACA027" w14:textId="77777777" w:rsidR="004B1E0D" w:rsidRPr="00145609" w:rsidRDefault="004B1E0D" w:rsidP="004B1E0D">
      <w:pPr>
        <w:pStyle w:val="Textonotapie"/>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  </w:t>
      </w:r>
      <w:r>
        <w:tab/>
      </w:r>
      <w:r w:rsidRPr="564E59A4">
        <w:rPr>
          <w:rFonts w:ascii="Verdana" w:hAnsi="Verdana" w:cs="Arial"/>
          <w:color w:val="000000" w:themeColor="text1"/>
          <w:sz w:val="16"/>
          <w:szCs w:val="16"/>
          <w:lang w:val="es-CO"/>
        </w:rPr>
        <w:t xml:space="preserve">3.1. </w:t>
      </w:r>
      <w:bookmarkStart w:id="1" w:name="_Hlk67920056"/>
      <w:r w:rsidRPr="564E59A4">
        <w:rPr>
          <w:rFonts w:ascii="Verdana" w:hAnsi="Verdana" w:cs="Arial"/>
          <w:color w:val="000000" w:themeColor="text1"/>
          <w:sz w:val="16"/>
          <w:szCs w:val="16"/>
          <w:lang w:val="es-CO"/>
        </w:rPr>
        <w:t xml:space="preserve">El incumplimiento total o parcial del contrato, cuando el incumplimiento es imputable al contratista; </w:t>
      </w:r>
    </w:p>
    <w:p w14:paraId="5288D0F5" w14:textId="77777777" w:rsidR="004B1E0D" w:rsidRPr="00145609" w:rsidRDefault="004B1E0D" w:rsidP="004B1E0D">
      <w:pPr>
        <w:pStyle w:val="Textonotapie"/>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  </w:t>
      </w:r>
      <w:r>
        <w:tab/>
      </w:r>
      <w:r w:rsidRPr="564E59A4">
        <w:rPr>
          <w:rFonts w:ascii="Verdana" w:hAnsi="Verdana" w:cs="Arial"/>
          <w:color w:val="000000" w:themeColor="text1"/>
          <w:sz w:val="16"/>
          <w:szCs w:val="16"/>
          <w:lang w:val="es-CO"/>
        </w:rPr>
        <w:t xml:space="preserve">3.2. El cumplimiento tardío o defectuoso del contrato, cuando el incumplimiento es imputable al contratista; </w:t>
      </w:r>
    </w:p>
    <w:p w14:paraId="65C52A35"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1"/>
    <w:p w14:paraId="57F11FF9"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3.4. El pago del valor de las multas y de la cláusula penal pecuniaria. </w:t>
      </w:r>
    </w:p>
    <w:p w14:paraId="586482CD"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22FAC92B"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0A04302B"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5DB8A847"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101C90A6"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32E5F683"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r w:rsidRPr="564E59A4">
        <w:rPr>
          <w:rFonts w:ascii="Verdana" w:hAnsi="Verdana" w:cs="Arial"/>
          <w:color w:val="000000" w:themeColor="text1"/>
          <w:sz w:val="16"/>
          <w:szCs w:val="16"/>
          <w:lang w:val="es-CO"/>
        </w:rPr>
        <w:t xml:space="preserve">8. </w:t>
      </w:r>
      <w:bookmarkStart w:id="2" w:name="_Hlk143267015"/>
      <w:r w:rsidRPr="564E59A4">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2"/>
      <w:r w:rsidRPr="564E59A4">
        <w:rPr>
          <w:rFonts w:ascii="Verdana" w:hAnsi="Verdana" w:cs="Arial"/>
          <w:color w:val="000000" w:themeColor="text1"/>
          <w:sz w:val="16"/>
          <w:szCs w:val="16"/>
          <w:lang w:val="es-CO"/>
        </w:rPr>
        <w:t>”.</w:t>
      </w:r>
    </w:p>
    <w:p w14:paraId="3B2EE0FF" w14:textId="77777777" w:rsidR="004B1E0D" w:rsidRPr="00145609" w:rsidRDefault="004B1E0D" w:rsidP="004B1E0D">
      <w:pPr>
        <w:pStyle w:val="Textonotapie"/>
        <w:ind w:firstLine="708"/>
        <w:contextualSpacing/>
        <w:jc w:val="both"/>
        <w:rPr>
          <w:rFonts w:ascii="Verdana" w:hAnsi="Verdana" w:cs="Arial"/>
          <w:color w:val="000000" w:themeColor="text1"/>
          <w:sz w:val="16"/>
          <w:szCs w:val="16"/>
          <w:lang w:val="es-CO"/>
        </w:rPr>
      </w:pPr>
    </w:p>
  </w:footnote>
  <w:footnote w:id="4">
    <w:p w14:paraId="107A7593" w14:textId="77777777" w:rsidR="004B1E0D" w:rsidRPr="00AC4B25" w:rsidRDefault="004B1E0D" w:rsidP="004B1E0D">
      <w:pPr>
        <w:pStyle w:val="Textonotapie"/>
        <w:ind w:firstLine="708"/>
        <w:contextualSpacing/>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“Artículo 2.2.1.2.3.1.12. Suficiencia de la garantía de cumplimiento. 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 </w:t>
      </w:r>
    </w:p>
    <w:p w14:paraId="44FD4133" w14:textId="77777777" w:rsidR="004B1E0D" w:rsidRPr="00AC4B25" w:rsidRDefault="004B1E0D" w:rsidP="004B1E0D">
      <w:pPr>
        <w:pStyle w:val="Textonotapie"/>
        <w:ind w:firstLine="708"/>
        <w:contextualSpacing/>
        <w:jc w:val="both"/>
        <w:rPr>
          <w:rFonts w:ascii="Verdana" w:hAnsi="Verdana" w:cs="Arial"/>
          <w:sz w:val="16"/>
          <w:szCs w:val="16"/>
        </w:rPr>
      </w:pPr>
      <w:r w:rsidRPr="564E59A4">
        <w:rPr>
          <w:rFonts w:ascii="Verdana" w:hAnsi="Verdana" w:cs="Arial"/>
          <w:sz w:val="16"/>
          <w:szCs w:val="16"/>
        </w:rPr>
        <w:t xml:space="preserve">1. Si el valor del contrato es superior a un millón (1.000.000) de smmlv y hasta cinco millones (5.000.000) de smmlv, la Entidad Estatal puede aceptar garantías que cubran al menos el dos punto cinco por ciento (2,5%) del valor del contrato. </w:t>
      </w:r>
    </w:p>
    <w:p w14:paraId="42BB0F3A" w14:textId="77777777" w:rsidR="004B1E0D" w:rsidRPr="00AC4B25" w:rsidRDefault="004B1E0D" w:rsidP="004B1E0D">
      <w:pPr>
        <w:pStyle w:val="Textonotapie"/>
        <w:ind w:firstLine="708"/>
        <w:contextualSpacing/>
        <w:jc w:val="both"/>
        <w:rPr>
          <w:rFonts w:ascii="Verdana" w:hAnsi="Verdana" w:cs="Arial"/>
          <w:sz w:val="16"/>
          <w:szCs w:val="16"/>
        </w:rPr>
      </w:pPr>
      <w:r w:rsidRPr="564E59A4">
        <w:rPr>
          <w:rFonts w:ascii="Verdana" w:hAnsi="Verdana" w:cs="Arial"/>
          <w:sz w:val="16"/>
          <w:szCs w:val="16"/>
        </w:rPr>
        <w:t xml:space="preserve">2. Si el valor del contrato es superior a cinco millones (5.000.000) de smmlv y hasta diez millones (10.000.000) de smmlv, la Entidad Estatal puede aceptar garantías que cubran al menos el uno por ciento (1%) del valor del contrato. </w:t>
      </w:r>
    </w:p>
    <w:p w14:paraId="1D440BC6" w14:textId="77777777" w:rsidR="004B1E0D" w:rsidRPr="00AC4B25" w:rsidRDefault="004B1E0D" w:rsidP="004B1E0D">
      <w:pPr>
        <w:pStyle w:val="Textonotapie"/>
        <w:ind w:firstLine="708"/>
        <w:contextualSpacing/>
        <w:jc w:val="both"/>
        <w:rPr>
          <w:rFonts w:ascii="Verdana" w:hAnsi="Verdana" w:cs="Arial"/>
          <w:sz w:val="16"/>
          <w:szCs w:val="16"/>
        </w:rPr>
      </w:pPr>
      <w:r w:rsidRPr="564E59A4">
        <w:rPr>
          <w:rFonts w:ascii="Verdana" w:hAnsi="Verdana" w:cs="Arial"/>
          <w:sz w:val="16"/>
          <w:szCs w:val="16"/>
        </w:rPr>
        <w:t>3. Si el valor del contrato es superior a diez millones (10.000.000) de smmlv, la Entidad Estatal puede aceptar garantías que cubran al menos el cero punto cinco por ciento (0,5%) del valor del contrato.</w:t>
      </w:r>
    </w:p>
    <w:p w14:paraId="56846D64" w14:textId="77777777" w:rsidR="004B1E0D" w:rsidRDefault="004B1E0D" w:rsidP="004B1E0D">
      <w:pPr>
        <w:pStyle w:val="Textonotapie"/>
        <w:ind w:firstLine="708"/>
        <w:contextualSpacing/>
        <w:jc w:val="both"/>
        <w:rPr>
          <w:rFonts w:ascii="Verdana" w:hAnsi="Verdana" w:cs="Arial"/>
          <w:sz w:val="16"/>
          <w:szCs w:val="16"/>
        </w:rPr>
      </w:pPr>
      <w:r w:rsidRPr="564E59A4">
        <w:rPr>
          <w:rFonts w:ascii="Verdana" w:hAnsi="Verdana" w:cs="Arial"/>
          <w:sz w:val="16"/>
          <w:szCs w:val="16"/>
        </w:rPr>
        <w:t>4. Colombia Compra Eficiente debe determinar el valor de la garantía única de cumplimiento del Acuerdo Marco de Precios de acuerdo con el objeto, el valor, la naturaleza y las obligaciones contenidas en este”.</w:t>
      </w:r>
    </w:p>
    <w:p w14:paraId="31657397" w14:textId="77777777" w:rsidR="004B1E0D" w:rsidRPr="00AC4B25" w:rsidRDefault="004B1E0D" w:rsidP="004B1E0D">
      <w:pPr>
        <w:pStyle w:val="Textonotapie"/>
        <w:ind w:firstLine="708"/>
        <w:contextualSpacing/>
        <w:jc w:val="both"/>
        <w:rPr>
          <w:rFonts w:ascii="Verdana" w:hAnsi="Verdana" w:cs="Arial"/>
          <w:sz w:val="16"/>
          <w:szCs w:val="16"/>
          <w:lang w:val="es-CO"/>
        </w:rPr>
      </w:pPr>
    </w:p>
  </w:footnote>
  <w:footnote w:id="5">
    <w:p w14:paraId="1C102EAA" w14:textId="77777777" w:rsidR="004B1E0D" w:rsidRDefault="004B1E0D" w:rsidP="004B1E0D">
      <w:pPr>
        <w:pStyle w:val="Textonotapie"/>
        <w:ind w:firstLine="709"/>
        <w:contextualSpacing/>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Tercera, Subsección A. Sentencia del 14 de junio del 2019. Radicación número: 11001 03 26 000 2009 00047 00 (36860)</w:t>
      </w:r>
      <w:r w:rsidRPr="564E59A4">
        <w:rPr>
          <w:rFonts w:ascii="Verdana" w:hAnsi="Verdana" w:cs="Arial"/>
          <w:sz w:val="16"/>
          <w:szCs w:val="16"/>
          <w:lang w:val="es-CO"/>
        </w:rPr>
        <w:t xml:space="preserve">. </w:t>
      </w:r>
      <w:r w:rsidRPr="00AC4B25">
        <w:rPr>
          <w:rFonts w:ascii="Verdana" w:hAnsi="Verdana" w:cs="Arial"/>
          <w:sz w:val="16"/>
          <w:szCs w:val="16"/>
        </w:rPr>
        <w:t>C.P: Carlos Alberto Zambrano Barrera.</w:t>
      </w:r>
    </w:p>
    <w:p w14:paraId="33DAFC30" w14:textId="77777777" w:rsidR="004B1E0D" w:rsidRPr="00AC4B25" w:rsidRDefault="004B1E0D" w:rsidP="004B1E0D">
      <w:pPr>
        <w:pStyle w:val="Textonotapie"/>
        <w:ind w:firstLine="709"/>
        <w:contextualSpacing/>
        <w:jc w:val="both"/>
        <w:rPr>
          <w:rFonts w:ascii="Verdana" w:hAnsi="Verdana" w:cs="Arial"/>
          <w:sz w:val="16"/>
          <w:szCs w:val="16"/>
        </w:rPr>
      </w:pPr>
    </w:p>
  </w:footnote>
  <w:footnote w:id="6">
    <w:p w14:paraId="73097B67" w14:textId="77777777" w:rsidR="004B1E0D" w:rsidRDefault="004B1E0D" w:rsidP="004B1E0D">
      <w:pPr>
        <w:pStyle w:val="Textonotapie"/>
        <w:ind w:firstLine="709"/>
        <w:contextualSpacing/>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Segunda, Subsección A. Sentencia del 25 de enero del 2018. Radicación número: </w:t>
      </w:r>
      <w:r w:rsidRPr="564E59A4">
        <w:rPr>
          <w:rFonts w:ascii="Verdana" w:hAnsi="Verdana" w:cs="Arial"/>
          <w:sz w:val="16"/>
          <w:szCs w:val="16"/>
          <w:lang w:val="es-CO"/>
        </w:rPr>
        <w:t>11001-03-25-000-2011-00489-00(1924-11).</w:t>
      </w:r>
      <w:r w:rsidRPr="564E59A4">
        <w:rPr>
          <w:rFonts w:ascii="Verdana" w:hAnsi="Verdana" w:cs="Arial"/>
          <w:b/>
          <w:bCs/>
          <w:sz w:val="16"/>
          <w:szCs w:val="16"/>
          <w:lang w:val="es-CO"/>
        </w:rPr>
        <w:t xml:space="preserve"> </w:t>
      </w:r>
      <w:r w:rsidRPr="00AC4B25">
        <w:rPr>
          <w:rFonts w:ascii="Verdana" w:hAnsi="Verdana" w:cs="Arial"/>
          <w:sz w:val="16"/>
          <w:szCs w:val="16"/>
        </w:rPr>
        <w:t>C.P: Gabriel Valbuena Hernández.</w:t>
      </w:r>
    </w:p>
    <w:p w14:paraId="4DD00093" w14:textId="77777777" w:rsidR="004B1E0D" w:rsidRPr="00AC4B25" w:rsidRDefault="004B1E0D" w:rsidP="004B1E0D">
      <w:pPr>
        <w:pStyle w:val="Textonotapie"/>
        <w:ind w:firstLine="709"/>
        <w:contextualSpacing/>
        <w:jc w:val="both"/>
        <w:rPr>
          <w:rFonts w:ascii="Verdana" w:hAnsi="Verdana" w:cs="Arial"/>
          <w:sz w:val="16"/>
          <w:szCs w:val="16"/>
          <w:lang w:val="es-CO"/>
        </w:rPr>
      </w:pPr>
    </w:p>
  </w:footnote>
  <w:footnote w:id="7">
    <w:p w14:paraId="3FB2DF72" w14:textId="77777777" w:rsidR="004B1E0D" w:rsidRPr="0089717A" w:rsidRDefault="004B1E0D" w:rsidP="004B1E0D">
      <w:pPr>
        <w:pStyle w:val="Textonotapie"/>
        <w:ind w:firstLine="708"/>
        <w:contextualSpacing/>
        <w:rPr>
          <w:rFonts w:ascii="Verdana" w:hAnsi="Verdana" w:cs="Arial"/>
          <w:sz w:val="16"/>
          <w:szCs w:val="16"/>
        </w:rPr>
      </w:pPr>
      <w:r w:rsidRPr="0089717A">
        <w:rPr>
          <w:rStyle w:val="Refdenotaalpie"/>
          <w:rFonts w:ascii="Verdana" w:hAnsi="Verdana"/>
          <w:sz w:val="16"/>
          <w:szCs w:val="16"/>
        </w:rPr>
        <w:footnoteRef/>
      </w:r>
      <w:r w:rsidRPr="0089717A">
        <w:rPr>
          <w:rFonts w:ascii="Verdana" w:hAnsi="Verdana"/>
          <w:sz w:val="16"/>
          <w:szCs w:val="16"/>
        </w:rPr>
        <w:t xml:space="preserve"> </w:t>
      </w:r>
      <w:r w:rsidRPr="0089717A">
        <w:rPr>
          <w:rFonts w:ascii="Verdana" w:hAnsi="Verdana" w:cs="Arial"/>
          <w:sz w:val="16"/>
          <w:szCs w:val="16"/>
        </w:rPr>
        <w:t>“Artículo 2.2.1.2.3.1.3. Indivisibilidad de la garantía.</w:t>
      </w:r>
    </w:p>
    <w:p w14:paraId="4C32DC4C" w14:textId="77777777" w:rsidR="004B1E0D" w:rsidRPr="0089717A" w:rsidRDefault="004B1E0D" w:rsidP="004B1E0D">
      <w:pPr>
        <w:pStyle w:val="Textonotapie"/>
        <w:ind w:firstLine="708"/>
        <w:contextualSpacing/>
        <w:rPr>
          <w:rFonts w:ascii="Verdana" w:hAnsi="Verdana" w:cs="Arial"/>
          <w:sz w:val="16"/>
          <w:szCs w:val="16"/>
        </w:rPr>
      </w:pPr>
      <w:r w:rsidRPr="0089717A">
        <w:rPr>
          <w:rFonts w:ascii="Verdana" w:hAnsi="Verdana" w:cs="Arial"/>
          <w:sz w:val="16"/>
          <w:szCs w:val="16"/>
        </w:rPr>
        <w:t xml:space="preserve"> […]</w:t>
      </w:r>
    </w:p>
    <w:p w14:paraId="563A3F2D" w14:textId="77777777" w:rsidR="004B1E0D" w:rsidRPr="0089717A" w:rsidRDefault="004B1E0D" w:rsidP="004B1E0D">
      <w:pPr>
        <w:pStyle w:val="NormalWeb"/>
        <w:shd w:val="clear" w:color="auto" w:fill="FFFFFF" w:themeFill="background1"/>
        <w:spacing w:before="0" w:beforeAutospacing="0" w:after="0" w:afterAutospacing="0"/>
        <w:contextualSpacing/>
        <w:jc w:val="both"/>
        <w:rPr>
          <w:rFonts w:ascii="Verdana" w:hAnsi="Verdana" w:cs="Arial"/>
          <w:sz w:val="16"/>
          <w:szCs w:val="16"/>
        </w:rPr>
      </w:pPr>
      <w:r w:rsidRPr="0089717A">
        <w:rPr>
          <w:rFonts w:ascii="Verdana" w:hAnsi="Verdana" w:cs="Arial"/>
          <w:sz w:val="16"/>
          <w:szCs w:val="16"/>
        </w:rPr>
        <w:tab/>
        <w:t>En consecuencia, la Entidad Estatal en los pliegos de condiciones para la Contratación debe indicar las garantías que exige en cada Etapa del Contrato o cada Periodo Contractual así:</w:t>
      </w:r>
    </w:p>
    <w:p w14:paraId="13968CF3" w14:textId="77777777" w:rsidR="004B1E0D" w:rsidRPr="0089717A" w:rsidRDefault="004B1E0D" w:rsidP="004B1E0D">
      <w:pPr>
        <w:shd w:val="clear" w:color="auto" w:fill="FFFFFF"/>
        <w:spacing w:after="0" w:line="240" w:lineRule="auto"/>
        <w:ind w:firstLine="708"/>
        <w:contextualSpacing/>
        <w:jc w:val="both"/>
        <w:rPr>
          <w:rFonts w:ascii="Verdana" w:eastAsia="Times New Roman" w:hAnsi="Verdana" w:cs="Arial"/>
          <w:sz w:val="16"/>
          <w:szCs w:val="16"/>
          <w:lang w:eastAsia="es-CO"/>
        </w:rPr>
      </w:pPr>
      <w:r w:rsidRPr="0089717A">
        <w:rPr>
          <w:rFonts w:ascii="Verdana" w:eastAsia="Times New Roman" w:hAnsi="Verdana" w:cs="Arial"/>
          <w:sz w:val="16"/>
          <w:szCs w:val="16"/>
          <w:lang w:eastAsia="es-CO"/>
        </w:rPr>
        <w:t>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w:t>
      </w:r>
    </w:p>
    <w:p w14:paraId="11A9F376" w14:textId="77777777" w:rsidR="004B1E0D" w:rsidRPr="0089717A" w:rsidRDefault="004B1E0D" w:rsidP="004B1E0D">
      <w:pPr>
        <w:shd w:val="clear" w:color="auto" w:fill="FFFFFF"/>
        <w:spacing w:after="0" w:line="240" w:lineRule="auto"/>
        <w:ind w:firstLine="708"/>
        <w:contextualSpacing/>
        <w:jc w:val="both"/>
        <w:rPr>
          <w:rFonts w:ascii="Verdana" w:eastAsia="Times New Roman" w:hAnsi="Verdana" w:cs="Arial"/>
          <w:sz w:val="16"/>
          <w:szCs w:val="16"/>
          <w:lang w:eastAsia="es-CO"/>
        </w:rPr>
      </w:pPr>
      <w:r w:rsidRPr="0089717A">
        <w:rPr>
          <w:rFonts w:ascii="Verdana" w:eastAsia="Times New Roman" w:hAnsi="Verdana" w:cs="Arial"/>
          <w:sz w:val="16"/>
          <w:szCs w:val="16"/>
          <w:lang w:eastAsia="es-CO"/>
        </w:rPr>
        <w:t>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r w:rsidRPr="0089717A">
        <w:rPr>
          <w:rFonts w:ascii="Verdana" w:hAnsi="Verdana" w:cs="Arial"/>
          <w:sz w:val="16"/>
          <w:szCs w:val="16"/>
          <w:lang w:eastAsia="es-CO"/>
        </w:rPr>
        <w:t>”.</w:t>
      </w:r>
    </w:p>
    <w:p w14:paraId="3FEDBDA6" w14:textId="77777777" w:rsidR="004B1E0D" w:rsidRPr="0089717A" w:rsidRDefault="004B1E0D" w:rsidP="004B1E0D">
      <w:pPr>
        <w:pStyle w:val="Textonotapie"/>
        <w:contextualSpacing/>
        <w:rPr>
          <w:rFonts w:ascii="Verdana" w:hAnsi="Verdana"/>
          <w:sz w:val="16"/>
          <w:szCs w:val="16"/>
          <w:lang w:val="es-CO"/>
        </w:rPr>
      </w:pPr>
    </w:p>
  </w:footnote>
  <w:footnote w:id="8">
    <w:p w14:paraId="1E916398" w14:textId="77777777" w:rsidR="004B1E0D" w:rsidRPr="00145609" w:rsidRDefault="004B1E0D" w:rsidP="004B1E0D">
      <w:pPr>
        <w:pStyle w:val="Textonotapie"/>
        <w:ind w:firstLine="708"/>
        <w:contextualSpacing/>
        <w:rPr>
          <w:rFonts w:ascii="Verdana" w:hAnsi="Verdana" w:cs="Arial"/>
          <w:sz w:val="16"/>
          <w:szCs w:val="16"/>
        </w:rPr>
      </w:pPr>
      <w:r w:rsidRPr="00145609">
        <w:rPr>
          <w:rStyle w:val="Refdenotaalpie"/>
          <w:rFonts w:ascii="Verdana" w:hAnsi="Verdana"/>
          <w:sz w:val="16"/>
          <w:szCs w:val="16"/>
        </w:rPr>
        <w:footnoteRef/>
      </w:r>
      <w:r w:rsidRPr="00145609">
        <w:rPr>
          <w:rFonts w:ascii="Verdana" w:hAnsi="Verdana"/>
          <w:sz w:val="16"/>
          <w:szCs w:val="16"/>
        </w:rPr>
        <w:t xml:space="preserve"> </w:t>
      </w:r>
      <w:r>
        <w:rPr>
          <w:rFonts w:ascii="Verdana" w:hAnsi="Verdana"/>
          <w:sz w:val="16"/>
          <w:szCs w:val="16"/>
        </w:rPr>
        <w:t>“</w:t>
      </w:r>
      <w:r w:rsidRPr="00145609">
        <w:rPr>
          <w:rFonts w:ascii="Verdana" w:hAnsi="Verdana" w:cs="Arial"/>
          <w:sz w:val="16"/>
          <w:szCs w:val="16"/>
        </w:rPr>
        <w:t xml:space="preserve">ARTÍCULO 2.2.1.2.3.1.3. Indivisibilidad de la garantía. </w:t>
      </w:r>
    </w:p>
    <w:p w14:paraId="4AA69356" w14:textId="77777777" w:rsidR="004B1E0D" w:rsidRPr="00145609" w:rsidRDefault="004B1E0D" w:rsidP="004B1E0D">
      <w:pPr>
        <w:pStyle w:val="Textonotapie"/>
        <w:ind w:firstLine="708"/>
        <w:contextualSpacing/>
        <w:rPr>
          <w:rFonts w:ascii="Verdana" w:hAnsi="Verdana" w:cs="Arial"/>
          <w:sz w:val="16"/>
          <w:szCs w:val="16"/>
        </w:rPr>
      </w:pPr>
      <w:r w:rsidRPr="564E59A4">
        <w:rPr>
          <w:rFonts w:ascii="Verdana" w:hAnsi="Verdana" w:cs="Arial"/>
          <w:sz w:val="16"/>
          <w:szCs w:val="16"/>
        </w:rPr>
        <w:t>[…]</w:t>
      </w:r>
    </w:p>
    <w:p w14:paraId="736F3144" w14:textId="77777777" w:rsidR="004B1E0D" w:rsidRPr="00145609" w:rsidRDefault="004B1E0D" w:rsidP="004B1E0D">
      <w:pPr>
        <w:pStyle w:val="Textonotapie"/>
        <w:ind w:firstLine="708"/>
        <w:contextualSpacing/>
        <w:jc w:val="both"/>
        <w:rPr>
          <w:rFonts w:ascii="Verdana" w:hAnsi="Verdana" w:cs="Arial"/>
          <w:sz w:val="16"/>
          <w:szCs w:val="16"/>
        </w:rPr>
      </w:pPr>
      <w:r w:rsidRPr="564E59A4">
        <w:rPr>
          <w:rFonts w:ascii="Verdana" w:hAnsi="Verdana" w:cs="Arial"/>
          <w:sz w:val="16"/>
          <w:szCs w:val="16"/>
        </w:rPr>
        <w:t>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w:t>
      </w:r>
    </w:p>
    <w:p w14:paraId="0BC1F48B" w14:textId="77777777" w:rsidR="004B1E0D" w:rsidRDefault="004B1E0D" w:rsidP="004B1E0D">
      <w:pPr>
        <w:pStyle w:val="Textonotapie"/>
        <w:ind w:firstLine="708"/>
        <w:contextualSpacing/>
        <w:jc w:val="both"/>
        <w:rPr>
          <w:rFonts w:ascii="Verdana" w:hAnsi="Verdana" w:cs="Arial"/>
          <w:sz w:val="16"/>
          <w:szCs w:val="16"/>
          <w:shd w:val="clear" w:color="auto" w:fill="FFFFFF"/>
        </w:rPr>
      </w:pPr>
      <w:r w:rsidRPr="00145609">
        <w:rPr>
          <w:rFonts w:ascii="Verdana" w:hAnsi="Verdana" w:cs="Arial"/>
          <w:sz w:val="16"/>
          <w:szCs w:val="16"/>
          <w:shd w:val="clear" w:color="auto" w:fill="FFFFFF"/>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r>
        <w:rPr>
          <w:rFonts w:ascii="Verdana" w:hAnsi="Verdana" w:cs="Arial"/>
          <w:sz w:val="16"/>
          <w:szCs w:val="16"/>
          <w:shd w:val="clear" w:color="auto" w:fill="FFFFFF"/>
        </w:rPr>
        <w:t>”</w:t>
      </w:r>
      <w:r w:rsidRPr="00145609">
        <w:rPr>
          <w:rFonts w:ascii="Verdana" w:hAnsi="Verdana" w:cs="Arial"/>
          <w:sz w:val="16"/>
          <w:szCs w:val="16"/>
          <w:shd w:val="clear" w:color="auto" w:fill="FFFFFF"/>
        </w:rPr>
        <w:t>.</w:t>
      </w:r>
    </w:p>
    <w:p w14:paraId="2ACF2F45" w14:textId="77777777" w:rsidR="004B1E0D" w:rsidRPr="00145609" w:rsidRDefault="004B1E0D" w:rsidP="004B1E0D">
      <w:pPr>
        <w:pStyle w:val="Textonotapie"/>
        <w:ind w:firstLine="708"/>
        <w:contextualSpacing/>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553B70" w14:textId="77777777" w:rsidR="00C67F5B" w:rsidRDefault="0000000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1413B10" wp14:editId="5E83920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885FFBD" wp14:editId="47B0F6C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5D61B92" w14:textId="77777777" w:rsidR="00C67F5B" w:rsidRDefault="00C67F5B">
    <w:pPr>
      <w:pStyle w:val="Encabezado"/>
    </w:pPr>
  </w:p>
  <w:p w14:paraId="01EC6864" w14:textId="77777777" w:rsidR="00C67F5B" w:rsidRPr="004A305D" w:rsidRDefault="00C67F5B" w:rsidP="00B01B1A">
    <w:pPr>
      <w:spacing w:after="0" w:line="120" w:lineRule="auto"/>
      <w:rPr>
        <w:rFonts w:ascii="Century Gothic" w:eastAsia="Geo" w:hAnsi="Century Gothic" w:cs="Geo"/>
        <w:sz w:val="16"/>
        <w:szCs w:val="16"/>
        <w:lang w:eastAsia="es-CO"/>
      </w:rPr>
    </w:pPr>
  </w:p>
  <w:p w14:paraId="656D6838" w14:textId="77777777" w:rsidR="00C67F5B" w:rsidRDefault="00C67F5B" w:rsidP="00844AE9">
    <w:pPr>
      <w:spacing w:after="0" w:line="240" w:lineRule="auto"/>
      <w:rPr>
        <w:rFonts w:ascii="Verdana" w:hAnsi="Verdana"/>
        <w:sz w:val="24"/>
        <w:szCs w:val="24"/>
      </w:rPr>
    </w:pPr>
  </w:p>
  <w:p w14:paraId="31440669" w14:textId="77777777" w:rsidR="00C67F5B" w:rsidRPr="00C925AC" w:rsidRDefault="00C67F5B" w:rsidP="00844AE9">
    <w:pPr>
      <w:spacing w:after="0" w:line="240" w:lineRule="auto"/>
      <w:rPr>
        <w:rFonts w:ascii="Verdana" w:hAnsi="Verdana"/>
        <w:sz w:val="24"/>
        <w:szCs w:val="24"/>
      </w:rPr>
    </w:pPr>
  </w:p>
  <w:p w14:paraId="19B6C15D" w14:textId="77777777" w:rsidR="00C67F5B" w:rsidRPr="00C925AC" w:rsidRDefault="0000000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E0D"/>
    <w:rsid w:val="0005023B"/>
    <w:rsid w:val="001F36C1"/>
    <w:rsid w:val="004B1E0D"/>
    <w:rsid w:val="00A34543"/>
    <w:rsid w:val="00C67F5B"/>
    <w:rsid w:val="00CA1FC8"/>
    <w:rsid w:val="00E960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6FCA9"/>
  <w15:chartTrackingRefBased/>
  <w15:docId w15:val="{546308A9-670C-47F0-8A50-BF65D1182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E0D"/>
    <w:pPr>
      <w:spacing w:line="259" w:lineRule="auto"/>
    </w:pPr>
    <w:rPr>
      <w:kern w:val="0"/>
      <w:sz w:val="22"/>
      <w:szCs w:val="22"/>
      <w14:ligatures w14:val="none"/>
    </w:rPr>
  </w:style>
  <w:style w:type="paragraph" w:styleId="Ttulo1">
    <w:name w:val="heading 1"/>
    <w:basedOn w:val="Normal"/>
    <w:next w:val="Normal"/>
    <w:link w:val="Ttulo1Car"/>
    <w:uiPriority w:val="9"/>
    <w:qFormat/>
    <w:rsid w:val="004B1E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B1E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B1E0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B1E0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B1E0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B1E0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B1E0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B1E0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B1E0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1E0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B1E0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B1E0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B1E0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B1E0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B1E0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B1E0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B1E0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B1E0D"/>
    <w:rPr>
      <w:rFonts w:eastAsiaTheme="majorEastAsia" w:cstheme="majorBidi"/>
      <w:color w:val="272727" w:themeColor="text1" w:themeTint="D8"/>
    </w:rPr>
  </w:style>
  <w:style w:type="paragraph" w:styleId="Ttulo">
    <w:name w:val="Title"/>
    <w:basedOn w:val="Normal"/>
    <w:next w:val="Normal"/>
    <w:link w:val="TtuloCar"/>
    <w:uiPriority w:val="10"/>
    <w:qFormat/>
    <w:rsid w:val="004B1E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B1E0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B1E0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B1E0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B1E0D"/>
    <w:pPr>
      <w:spacing w:before="160"/>
      <w:jc w:val="center"/>
    </w:pPr>
    <w:rPr>
      <w:i/>
      <w:iCs/>
      <w:color w:val="404040" w:themeColor="text1" w:themeTint="BF"/>
    </w:rPr>
  </w:style>
  <w:style w:type="character" w:customStyle="1" w:styleId="CitaCar">
    <w:name w:val="Cita Car"/>
    <w:basedOn w:val="Fuentedeprrafopredeter"/>
    <w:link w:val="Cita"/>
    <w:uiPriority w:val="29"/>
    <w:rsid w:val="004B1E0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4B1E0D"/>
    <w:pPr>
      <w:ind w:left="720"/>
      <w:contextualSpacing/>
    </w:pPr>
  </w:style>
  <w:style w:type="character" w:styleId="nfasisintenso">
    <w:name w:val="Intense Emphasis"/>
    <w:basedOn w:val="Fuentedeprrafopredeter"/>
    <w:uiPriority w:val="21"/>
    <w:qFormat/>
    <w:rsid w:val="004B1E0D"/>
    <w:rPr>
      <w:i/>
      <w:iCs/>
      <w:color w:val="0F4761" w:themeColor="accent1" w:themeShade="BF"/>
    </w:rPr>
  </w:style>
  <w:style w:type="paragraph" w:styleId="Citadestacada">
    <w:name w:val="Intense Quote"/>
    <w:basedOn w:val="Normal"/>
    <w:next w:val="Normal"/>
    <w:link w:val="CitadestacadaCar"/>
    <w:uiPriority w:val="30"/>
    <w:qFormat/>
    <w:rsid w:val="004B1E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B1E0D"/>
    <w:rPr>
      <w:i/>
      <w:iCs/>
      <w:color w:val="0F4761" w:themeColor="accent1" w:themeShade="BF"/>
    </w:rPr>
  </w:style>
  <w:style w:type="character" w:styleId="Referenciaintensa">
    <w:name w:val="Intense Reference"/>
    <w:basedOn w:val="Fuentedeprrafopredeter"/>
    <w:uiPriority w:val="32"/>
    <w:qFormat/>
    <w:rsid w:val="004B1E0D"/>
    <w:rPr>
      <w:b/>
      <w:bCs/>
      <w:smallCaps/>
      <w:color w:val="0F4761" w:themeColor="accent1" w:themeShade="BF"/>
      <w:spacing w:val="5"/>
    </w:rPr>
  </w:style>
  <w:style w:type="character" w:styleId="Hipervnculo">
    <w:name w:val="Hyperlink"/>
    <w:basedOn w:val="Fuentedeprrafopredeter"/>
    <w:uiPriority w:val="99"/>
    <w:unhideWhenUsed/>
    <w:rsid w:val="004B1E0D"/>
    <w:rPr>
      <w:color w:val="0000FF"/>
      <w:u w:val="single"/>
    </w:rPr>
  </w:style>
  <w:style w:type="paragraph" w:styleId="Encabezado">
    <w:name w:val="header"/>
    <w:basedOn w:val="Normal"/>
    <w:link w:val="EncabezadoCar"/>
    <w:uiPriority w:val="99"/>
    <w:unhideWhenUsed/>
    <w:rsid w:val="004B1E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1E0D"/>
    <w:rPr>
      <w:kern w:val="0"/>
      <w:sz w:val="22"/>
      <w:szCs w:val="22"/>
      <w14:ligatures w14:val="none"/>
    </w:rPr>
  </w:style>
  <w:style w:type="paragraph" w:styleId="Piedepgina">
    <w:name w:val="footer"/>
    <w:basedOn w:val="Normal"/>
    <w:link w:val="PiedepginaCar"/>
    <w:uiPriority w:val="99"/>
    <w:unhideWhenUsed/>
    <w:rsid w:val="004B1E0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1E0D"/>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B1E0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B1E0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B1E0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B1E0D"/>
    <w:rPr>
      <w:vertAlign w:val="superscript"/>
    </w:rPr>
  </w:style>
  <w:style w:type="character" w:customStyle="1" w:styleId="normaltextrun">
    <w:name w:val="normaltextrun"/>
    <w:basedOn w:val="Fuentedeprrafopredeter"/>
    <w:rsid w:val="004B1E0D"/>
  </w:style>
  <w:style w:type="table" w:styleId="Tablaconcuadrcula">
    <w:name w:val="Table Grid"/>
    <w:basedOn w:val="Tablanormal"/>
    <w:uiPriority w:val="39"/>
    <w:qFormat/>
    <w:rsid w:val="004B1E0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4B1E0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B1E0D"/>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1E0D"/>
  </w:style>
  <w:style w:type="character" w:customStyle="1" w:styleId="NormalWebCar">
    <w:name w:val="Normal (Web) Car"/>
    <w:link w:val="NormalWeb"/>
    <w:uiPriority w:val="99"/>
    <w:locked/>
    <w:rsid w:val="004B1E0D"/>
    <w:rPr>
      <w:rFonts w:ascii="Times New Roman" w:eastAsia="Times New Roman" w:hAnsi="Times New Roman" w:cs="Times New Roman"/>
      <w:kern w:val="0"/>
      <w:lang w:eastAsia="es-CO"/>
      <w14:ligatures w14:val="none"/>
    </w:rPr>
  </w:style>
  <w:style w:type="paragraph" w:styleId="Textoindependiente">
    <w:name w:val="Body Text"/>
    <w:basedOn w:val="Normal"/>
    <w:link w:val="TextoindependienteCar"/>
    <w:uiPriority w:val="1"/>
    <w:qFormat/>
    <w:rsid w:val="00E9603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E9603D"/>
    <w:rPr>
      <w:rFonts w:ascii="Verdana" w:eastAsia="Verdana" w:hAnsi="Verdana" w:cs="Verdana"/>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colombiacompra.gov.co/normativa-y-relatoria/documentos-tipo"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formacionvirtual.colombiacompra.gov.co/mod/page/view.php?id=3718"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057A076-F866-4333-A4D6-54AFA04FDBF5}"/>
</file>

<file path=customXml/itemProps2.xml><?xml version="1.0" encoding="utf-8"?>
<ds:datastoreItem xmlns:ds="http://schemas.openxmlformats.org/officeDocument/2006/customXml" ds:itemID="{675673E5-433A-4111-81AF-61FF2E012164}"/>
</file>

<file path=customXml/itemProps3.xml><?xml version="1.0" encoding="utf-8"?>
<ds:datastoreItem xmlns:ds="http://schemas.openxmlformats.org/officeDocument/2006/customXml" ds:itemID="{F7BE0C99-8403-48F4-AB11-96FEF830E71E}"/>
</file>

<file path=docProps/app.xml><?xml version="1.0" encoding="utf-8"?>
<Properties xmlns="http://schemas.openxmlformats.org/officeDocument/2006/extended-properties" xmlns:vt="http://schemas.openxmlformats.org/officeDocument/2006/docPropsVTypes">
  <Template>Normal</Template>
  <TotalTime>5</TotalTime>
  <Pages>15</Pages>
  <Words>4158</Words>
  <Characters>22872</Characters>
  <Application>Microsoft Office Word</Application>
  <DocSecurity>0</DocSecurity>
  <Lines>190</Lines>
  <Paragraphs>53</Paragraphs>
  <ScaleCrop>false</ScaleCrop>
  <Company/>
  <LinksUpToDate>false</LinksUpToDate>
  <CharactersWithSpaces>26977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Elizabeth Arango Builes</dc:creator>
  <cp:keywords/>
  <dc:description/>
  <cp:lastModifiedBy>Gloria Elizabeth Arango Builes</cp:lastModifiedBy>
  <cp:revision>2</cp:revision>
  <dcterms:created xsi:type="dcterms:W3CDTF">2026-03-16T17:57:00Z</dcterms:created>
  <dcterms:modified xsi:type="dcterms:W3CDTF">2026-03-16T17:57:00Z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