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14509" w14:textId="77777777" w:rsidR="00027FE4" w:rsidRPr="00682C93" w:rsidRDefault="00027FE4" w:rsidP="00027FE4">
      <w:pPr>
        <w:spacing w:after="0" w:line="240" w:lineRule="auto"/>
        <w:jc w:val="both"/>
        <w:rPr>
          <w:rFonts w:ascii="Verdana" w:hAnsi="Verdana" w:cs="Arial"/>
          <w:b/>
          <w:lang w:val="es-MX" w:eastAsia="es-ES_tradnl"/>
        </w:rPr>
      </w:pPr>
      <w:bookmarkStart w:id="0" w:name="_Hlk143780582"/>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1AF24DB4" w14:textId="77777777" w:rsidR="00027FE4" w:rsidRDefault="00027FE4" w:rsidP="00027FE4">
      <w:pPr>
        <w:spacing w:after="0" w:line="240" w:lineRule="auto"/>
        <w:jc w:val="both"/>
        <w:rPr>
          <w:rFonts w:ascii="Verdana" w:hAnsi="Verdana" w:cs="Arial"/>
          <w:b/>
          <w:lang w:val="es-MX" w:eastAsia="es-ES_tradnl"/>
        </w:rPr>
      </w:pPr>
    </w:p>
    <w:p w14:paraId="5C9BA74A" w14:textId="77777777" w:rsidR="00027FE4" w:rsidRDefault="00027FE4" w:rsidP="00027FE4">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5A6DA4DD" w14:textId="77777777" w:rsidR="00027FE4" w:rsidRPr="00682C93" w:rsidRDefault="00027FE4" w:rsidP="00027FE4">
      <w:pPr>
        <w:spacing w:after="0" w:line="240" w:lineRule="auto"/>
        <w:jc w:val="both"/>
        <w:rPr>
          <w:rFonts w:ascii="Verdana" w:hAnsi="Verdana" w:cs="Arial"/>
          <w:b/>
          <w:sz w:val="20"/>
          <w:lang w:val="es-MX" w:eastAsia="es-ES_tradnl"/>
        </w:rPr>
      </w:pPr>
    </w:p>
    <w:p w14:paraId="3B5A8A1A" w14:textId="768E9769" w:rsidR="00027FE4" w:rsidRPr="00682C93" w:rsidRDefault="00027FE4" w:rsidP="00027FE4">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w:t>
      </w:r>
      <w:r w:rsidR="00483816">
        <w:rPr>
          <w:rFonts w:ascii="Verdana" w:hAnsi="Verdana" w:cs="Arial"/>
          <w:b/>
          <w:lang w:val="es-MX" w:eastAsia="es-ES_tradnl"/>
        </w:rPr>
        <w:t>C</w:t>
      </w:r>
      <w:r w:rsidRPr="00682C93">
        <w:rPr>
          <w:rFonts w:ascii="Verdana" w:hAnsi="Verdana" w:cs="Arial"/>
          <w:b/>
          <w:lang w:val="es-MX" w:eastAsia="es-ES_tradnl"/>
        </w:rPr>
        <w:t>elebración</w:t>
      </w:r>
      <w:r w:rsidR="00483816">
        <w:rPr>
          <w:rFonts w:ascii="Verdana" w:hAnsi="Verdana" w:cs="Arial"/>
          <w:b/>
          <w:lang w:val="es-MX" w:eastAsia="es-ES_tradnl"/>
        </w:rPr>
        <w:t xml:space="preserve"> </w:t>
      </w:r>
      <w:r w:rsidR="00483816" w:rsidRPr="00483816">
        <w:rPr>
          <w:rFonts w:ascii="Verdana" w:hAnsi="Verdana" w:cs="Arial"/>
          <w:b/>
          <w:bCs/>
          <w:lang w:val="es-ES" w:eastAsia="es-ES_tradnl"/>
        </w:rPr>
        <w:t>–</w:t>
      </w:r>
      <w:r w:rsidRPr="00682C93">
        <w:rPr>
          <w:rFonts w:ascii="Verdana" w:hAnsi="Verdana" w:cs="Arial"/>
          <w:b/>
          <w:lang w:val="es-MX" w:eastAsia="es-ES_tradnl"/>
        </w:rPr>
        <w:t xml:space="preserve"> </w:t>
      </w:r>
      <w:r w:rsidR="00483816">
        <w:rPr>
          <w:rFonts w:ascii="Verdana" w:hAnsi="Verdana" w:cs="Arial"/>
          <w:b/>
          <w:lang w:val="es-MX" w:eastAsia="es-ES_tradnl"/>
        </w:rPr>
        <w:t>L</w:t>
      </w:r>
      <w:r w:rsidRPr="00682C93">
        <w:rPr>
          <w:rFonts w:ascii="Verdana" w:hAnsi="Verdana" w:cs="Arial"/>
          <w:b/>
          <w:lang w:val="es-MX" w:eastAsia="es-ES_tradnl"/>
        </w:rPr>
        <w:t>ímite</w:t>
      </w:r>
    </w:p>
    <w:p w14:paraId="1B70DCCB" w14:textId="77777777" w:rsidR="00027FE4" w:rsidRDefault="00027FE4" w:rsidP="00027FE4">
      <w:pPr>
        <w:spacing w:after="0" w:line="240" w:lineRule="auto"/>
        <w:jc w:val="both"/>
        <w:rPr>
          <w:rFonts w:ascii="Verdana" w:hAnsi="Verdana" w:cs="Arial"/>
          <w:b/>
          <w:lang w:val="es-MX" w:eastAsia="es-ES_tradnl"/>
        </w:rPr>
      </w:pPr>
    </w:p>
    <w:p w14:paraId="53D306F3" w14:textId="77777777" w:rsidR="00027FE4" w:rsidRPr="00E41F23" w:rsidRDefault="00027FE4" w:rsidP="00027FE4">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1BE82C0" w14:textId="77777777" w:rsidR="00027FE4" w:rsidRPr="00E41F23" w:rsidRDefault="00027FE4" w:rsidP="00027FE4">
      <w:pPr>
        <w:spacing w:after="0" w:line="240" w:lineRule="auto"/>
        <w:jc w:val="both"/>
        <w:rPr>
          <w:rFonts w:ascii="Verdana" w:eastAsia="Calibri" w:hAnsi="Verdana" w:cs="Arial"/>
          <w:sz w:val="20"/>
        </w:rPr>
      </w:pPr>
    </w:p>
    <w:p w14:paraId="64AADDDC" w14:textId="77777777" w:rsidR="00027FE4" w:rsidRDefault="00027FE4" w:rsidP="00027FE4">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0A0E2029" w14:textId="77777777" w:rsidR="00027FE4" w:rsidRPr="00E41F23" w:rsidRDefault="00027FE4" w:rsidP="00027FE4">
      <w:pPr>
        <w:widowControl w:val="0"/>
        <w:autoSpaceDE w:val="0"/>
        <w:autoSpaceDN w:val="0"/>
        <w:spacing w:after="0" w:line="240" w:lineRule="auto"/>
        <w:ind w:right="113"/>
        <w:jc w:val="both"/>
        <w:rPr>
          <w:rFonts w:ascii="Verdana" w:eastAsia="Arial" w:hAnsi="Verdana" w:cs="Arial"/>
          <w:sz w:val="20"/>
          <w:lang w:val="es-ES" w:eastAsia="es-ES" w:bidi="es-ES"/>
        </w:rPr>
      </w:pPr>
    </w:p>
    <w:p w14:paraId="5AF47333" w14:textId="77777777" w:rsidR="00027FE4" w:rsidRPr="00E41F23" w:rsidRDefault="00027FE4" w:rsidP="00027FE4">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proofErr w:type="spellStart"/>
      <w:r w:rsidRPr="00E41F23">
        <w:rPr>
          <w:rFonts w:ascii="Verdana" w:eastAsia="Times New Roman" w:hAnsi="Verdana" w:cs="Arial"/>
          <w:bCs/>
          <w:i/>
          <w:sz w:val="20"/>
          <w:lang w:val="es-ES" w:eastAsia="es-CO"/>
        </w:rPr>
        <w:t>ibídem</w:t>
      </w:r>
      <w:proofErr w:type="spellEnd"/>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6EF44F1B" w14:textId="77777777" w:rsidR="00027FE4" w:rsidRPr="003F2A9C" w:rsidRDefault="00027FE4" w:rsidP="00027FE4">
      <w:pPr>
        <w:spacing w:after="0" w:line="240" w:lineRule="auto"/>
        <w:jc w:val="both"/>
        <w:rPr>
          <w:rFonts w:ascii="Verdana" w:hAnsi="Verdana" w:cs="Arial"/>
          <w:b/>
          <w:sz w:val="20"/>
          <w:lang w:val="es-MX" w:eastAsia="es-ES_tradnl"/>
        </w:rPr>
      </w:pPr>
    </w:p>
    <w:p w14:paraId="2D8BA802" w14:textId="77777777" w:rsidR="00027FE4" w:rsidRPr="00682C93" w:rsidRDefault="00027FE4" w:rsidP="00027FE4">
      <w:pPr>
        <w:spacing w:after="0" w:line="240" w:lineRule="auto"/>
        <w:jc w:val="both"/>
        <w:rPr>
          <w:rFonts w:ascii="Verdana" w:hAnsi="Verdana" w:cs="Arial"/>
          <w:b/>
          <w:lang w:val="es-MX" w:eastAsia="es-ES_tradnl"/>
        </w:rPr>
      </w:pPr>
      <w:r w:rsidRPr="00682C93">
        <w:rPr>
          <w:rFonts w:ascii="Verdana" w:hAnsi="Verdana" w:cs="Arial"/>
          <w:b/>
          <w:lang w:val="es-MX" w:eastAsia="es-ES_tradnl"/>
        </w:rPr>
        <w:lastRenderedPageBreak/>
        <w:t xml:space="preserve">LEY DE GARANTÍAS ELECTORALES – Prohibición artículo 33 – Contratación directa – Alcance </w:t>
      </w:r>
    </w:p>
    <w:p w14:paraId="61B92F77" w14:textId="77777777" w:rsidR="00027FE4" w:rsidRDefault="00027FE4" w:rsidP="00027FE4">
      <w:pPr>
        <w:spacing w:after="0" w:line="240" w:lineRule="auto"/>
        <w:jc w:val="both"/>
        <w:rPr>
          <w:rFonts w:ascii="Verdana" w:hAnsi="Verdana" w:cs="Arial"/>
          <w:b/>
          <w:lang w:val="es-MX" w:eastAsia="es-ES_tradnl"/>
        </w:rPr>
      </w:pPr>
    </w:p>
    <w:p w14:paraId="185EC0CC" w14:textId="77777777" w:rsidR="00027FE4" w:rsidRPr="00E41F23" w:rsidRDefault="00027FE4" w:rsidP="00027FE4">
      <w:pPr>
        <w:spacing w:after="0" w:line="240" w:lineRule="auto"/>
        <w:jc w:val="both"/>
        <w:rPr>
          <w:rFonts w:ascii="Verdana" w:eastAsia="Times New Roman" w:hAnsi="Verdana" w:cs="Arial"/>
          <w:bCs/>
          <w:sz w:val="20"/>
          <w:lang w:eastAsia="x-none"/>
        </w:rPr>
      </w:pPr>
      <w:r w:rsidRPr="00E41F23">
        <w:rPr>
          <w:rFonts w:ascii="Verdana" w:eastAsia="Times New Roman" w:hAnsi="Verdana" w:cs="Arial"/>
          <w:sz w:val="20"/>
          <w:lang w:eastAsia="x-none"/>
        </w:rPr>
        <w:t xml:space="preserve">De acuerdo con el citado concepto, la prohibición del artículo 33 de la Ley de Garantías Electorales se refiere a </w:t>
      </w:r>
      <w:r w:rsidRPr="00E41F23">
        <w:rPr>
          <w:rFonts w:ascii="Verdana" w:eastAsia="Times New Roman" w:hAnsi="Verdana" w:cs="Arial"/>
          <w:sz w:val="18"/>
          <w:szCs w:val="19"/>
          <w:lang w:eastAsia="en-GB"/>
        </w:rPr>
        <w:t>“</w:t>
      </w:r>
      <w:r w:rsidRPr="00E41F23">
        <w:rPr>
          <w:rFonts w:ascii="Verdana" w:eastAsia="Times New Roman" w:hAnsi="Verdana" w:cs="Arial"/>
          <w:sz w:val="20"/>
          <w:lang w:eastAsia="x-none"/>
        </w:rPr>
        <w:t>cualquier sistema que no implique convocatoria pública y posibilidad de pluralidad de oferentes</w:t>
      </w:r>
      <w:r w:rsidRPr="00E41F23">
        <w:rPr>
          <w:rFonts w:ascii="Verdana" w:eastAsia="Times New Roman" w:hAnsi="Verdana" w:cs="Arial"/>
          <w:sz w:val="20"/>
          <w:lang w:eastAsia="en-GB"/>
        </w:rPr>
        <w:t>”</w:t>
      </w:r>
      <w:r w:rsidRPr="00E41F23">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E41F23">
        <w:rPr>
          <w:rFonts w:ascii="Verdana" w:eastAsia="Times New Roman" w:hAnsi="Verdana" w:cs="Arial"/>
          <w:sz w:val="20"/>
          <w:lang w:val="es-ES_tradnl" w:eastAsia="x-none"/>
        </w:rPr>
        <w:t>y la mínima cuantía</w:t>
      </w:r>
      <w:r w:rsidRPr="00E41F23" w:rsidDel="00A85D9F">
        <w:rPr>
          <w:rFonts w:ascii="Verdana" w:eastAsia="Times New Roman" w:hAnsi="Verdana" w:cs="Arial"/>
          <w:sz w:val="20"/>
          <w:lang w:eastAsia="x-none"/>
        </w:rPr>
        <w:t xml:space="preserve"> </w:t>
      </w:r>
      <w:r w:rsidRPr="00E41F23">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E41F23">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0617206A" w14:textId="77777777" w:rsidR="00027FE4" w:rsidRPr="00E41F23" w:rsidRDefault="00027FE4" w:rsidP="00027FE4">
      <w:pPr>
        <w:spacing w:after="0" w:line="240" w:lineRule="auto"/>
        <w:jc w:val="both"/>
        <w:rPr>
          <w:rFonts w:ascii="Verdana" w:hAnsi="Verdana" w:cs="Arial"/>
          <w:b/>
          <w:lang w:eastAsia="es-ES_tradnl"/>
        </w:rPr>
      </w:pPr>
    </w:p>
    <w:p w14:paraId="40432EDE" w14:textId="77777777" w:rsidR="00027FE4" w:rsidRPr="00682C93" w:rsidRDefault="00027FE4" w:rsidP="00027FE4">
      <w:pPr>
        <w:spacing w:after="0" w:line="240" w:lineRule="auto"/>
        <w:jc w:val="both"/>
        <w:rPr>
          <w:rFonts w:ascii="Verdana" w:hAnsi="Verdana" w:cs="Arial"/>
          <w:b/>
          <w:lang w:val="es-MX" w:eastAsia="es-ES_tradnl"/>
        </w:rPr>
      </w:pPr>
      <w:r w:rsidRPr="00682C93">
        <w:rPr>
          <w:rFonts w:ascii="Verdana" w:hAnsi="Verdana" w:cs="Arial"/>
          <w:b/>
          <w:lang w:val="es-MX" w:eastAsia="es-ES_tradnl"/>
        </w:rPr>
        <w:t>LEY DE GARANTÍAS ELECTORALES – Excepciones</w:t>
      </w:r>
    </w:p>
    <w:p w14:paraId="6C69C281" w14:textId="77777777" w:rsidR="00027FE4" w:rsidRPr="00E41F23" w:rsidRDefault="00027FE4" w:rsidP="00027FE4">
      <w:pPr>
        <w:spacing w:after="0" w:line="240" w:lineRule="auto"/>
        <w:jc w:val="both"/>
        <w:rPr>
          <w:rFonts w:ascii="Verdana" w:hAnsi="Verdana" w:cs="Arial"/>
          <w:b/>
          <w:sz w:val="20"/>
          <w:lang w:val="es-MX" w:eastAsia="es-ES_tradnl"/>
        </w:rPr>
      </w:pPr>
    </w:p>
    <w:p w14:paraId="3057B01F" w14:textId="77777777" w:rsidR="00027FE4" w:rsidRPr="00E41F23" w:rsidRDefault="00027FE4" w:rsidP="00027FE4">
      <w:pPr>
        <w:spacing w:after="0" w:line="240" w:lineRule="auto"/>
        <w:jc w:val="both"/>
        <w:rPr>
          <w:rFonts w:ascii="Verdana" w:eastAsia="Times New Roman" w:hAnsi="Verdana" w:cs="Arial"/>
          <w:bCs/>
          <w:sz w:val="20"/>
          <w:lang w:val="es-MX" w:eastAsia="es-CO"/>
        </w:rPr>
      </w:pPr>
      <w:r w:rsidRPr="00E41F23">
        <w:rPr>
          <w:rFonts w:ascii="Verdana" w:eastAsia="Times New Roman" w:hAnsi="Verdana" w:cs="Arial"/>
          <w:bCs/>
          <w:sz w:val="20"/>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E41F23">
        <w:rPr>
          <w:rFonts w:ascii="Verdana" w:eastAsia="Times New Roman" w:hAnsi="Verdana" w:cs="Arial"/>
          <w:bCs/>
          <w:sz w:val="20"/>
          <w:lang w:val="es-MX" w:eastAsia="x-none"/>
        </w:rPr>
        <w:t>ii</w:t>
      </w:r>
      <w:proofErr w:type="spellEnd"/>
      <w:r w:rsidRPr="00E41F23">
        <w:rPr>
          <w:rFonts w:ascii="Verdana" w:eastAsia="Times New Roman" w:hAnsi="Verdana" w:cs="Arial"/>
          <w:bCs/>
          <w:sz w:val="20"/>
          <w:lang w:val="es-MX" w:eastAsia="x-none"/>
        </w:rPr>
        <w:t xml:space="preserve">) los contratos de crédito público; </w:t>
      </w:r>
      <w:proofErr w:type="spellStart"/>
      <w:r w:rsidRPr="00E41F23">
        <w:rPr>
          <w:rFonts w:ascii="Verdana" w:eastAsia="Times New Roman" w:hAnsi="Verdana" w:cs="Arial"/>
          <w:bCs/>
          <w:sz w:val="20"/>
          <w:lang w:val="es-MX" w:eastAsia="x-none"/>
        </w:rPr>
        <w:t>iii</w:t>
      </w:r>
      <w:proofErr w:type="spellEnd"/>
      <w:r w:rsidRPr="00E41F23">
        <w:rPr>
          <w:rFonts w:ascii="Verdana" w:eastAsia="Times New Roman" w:hAnsi="Verdana" w:cs="Arial"/>
          <w:bCs/>
          <w:sz w:val="20"/>
          <w:lang w:val="es-MX" w:eastAsia="x-none"/>
        </w:rPr>
        <w:t xml:space="preserve">) los requeridos para cubrir las emergencias educativas, sanitarias y desastres; </w:t>
      </w:r>
      <w:proofErr w:type="spellStart"/>
      <w:r w:rsidRPr="00E41F23">
        <w:rPr>
          <w:rFonts w:ascii="Verdana" w:eastAsia="Times New Roman" w:hAnsi="Verdana" w:cs="Arial"/>
          <w:bCs/>
          <w:sz w:val="20"/>
          <w:lang w:val="es-MX" w:eastAsia="x-none"/>
        </w:rPr>
        <w:t>iv</w:t>
      </w:r>
      <w:proofErr w:type="spellEnd"/>
      <w:r w:rsidRPr="00E41F23">
        <w:rPr>
          <w:rFonts w:ascii="Verdana" w:eastAsia="Times New Roman" w:hAnsi="Verdana" w:cs="Arial"/>
          <w:bCs/>
          <w:sz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41F23">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F0C6669" w14:textId="77777777" w:rsidR="00027FE4" w:rsidRPr="00682C93" w:rsidRDefault="00027FE4" w:rsidP="00027FE4">
      <w:pPr>
        <w:spacing w:after="0" w:line="240" w:lineRule="auto"/>
        <w:jc w:val="both"/>
        <w:rPr>
          <w:rFonts w:ascii="Verdana" w:hAnsi="Verdana" w:cs="Arial"/>
          <w:b/>
          <w:lang w:val="es-MX" w:eastAsia="es-ES_tradnl"/>
        </w:rPr>
      </w:pPr>
    </w:p>
    <w:p w14:paraId="09C1991F" w14:textId="57538AC2" w:rsidR="00027FE4" w:rsidRPr="00682C93" w:rsidRDefault="00027FE4" w:rsidP="00027FE4">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 Prohibición del artículo 33 – Destinatarios </w:t>
      </w:r>
    </w:p>
    <w:p w14:paraId="631BFEF8" w14:textId="77777777" w:rsidR="00027FE4" w:rsidRDefault="00027FE4" w:rsidP="00027FE4">
      <w:pPr>
        <w:spacing w:after="0" w:line="240" w:lineRule="auto"/>
        <w:rPr>
          <w:rFonts w:ascii="Verdana" w:hAnsi="Verdana" w:cs="Arial"/>
          <w:lang w:val="es-MX" w:eastAsia="es-ES_tradnl"/>
        </w:rPr>
      </w:pPr>
    </w:p>
    <w:p w14:paraId="44115F96" w14:textId="77777777" w:rsidR="00027FE4" w:rsidRDefault="00027FE4" w:rsidP="00027FE4">
      <w:pPr>
        <w:spacing w:after="0" w:line="240" w:lineRule="auto"/>
        <w:jc w:val="both"/>
        <w:rPr>
          <w:rFonts w:ascii="Verdana" w:eastAsia="Calibri" w:hAnsi="Verdana" w:cs="Arial"/>
          <w:sz w:val="20"/>
          <w:lang w:val="es-MX"/>
        </w:rPr>
      </w:pPr>
      <w:r w:rsidRPr="00E41F23">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E41F23">
        <w:rPr>
          <w:rFonts w:ascii="Verdana" w:eastAsia="Times New Roman" w:hAnsi="Verdana" w:cs="Arial"/>
          <w:bCs/>
          <w:sz w:val="20"/>
          <w:lang w:val="es-MX" w:eastAsia="x-none"/>
        </w:rPr>
        <w:t>establecimientos de crédito, las sociedades de servicios financieros y las entidades aseguradoras</w:t>
      </w:r>
      <w:r w:rsidRPr="00E41F23">
        <w:rPr>
          <w:rFonts w:ascii="Verdana" w:eastAsia="Calibri" w:hAnsi="Verdana" w:cs="Arial"/>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E41F23">
        <w:rPr>
          <w:rFonts w:ascii="Verdana" w:eastAsia="Calibri" w:hAnsi="Verdana" w:cs="Arial"/>
          <w:sz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sz w:val="20"/>
          <w:lang w:val="es-MX"/>
        </w:rPr>
        <w:t>.</w:t>
      </w:r>
    </w:p>
    <w:p w14:paraId="698CE21E" w14:textId="77777777" w:rsidR="00027FE4" w:rsidRDefault="00027FE4" w:rsidP="00027FE4">
      <w:pPr>
        <w:spacing w:after="0"/>
        <w:rPr>
          <w:rFonts w:ascii="Verdana" w:hAnsi="Verdana"/>
          <w:lang w:val="es-MX"/>
        </w:rPr>
      </w:pPr>
    </w:p>
    <w:p w14:paraId="5CCB96ED" w14:textId="77777777" w:rsidR="00027FE4" w:rsidRPr="00B45051" w:rsidRDefault="00027FE4" w:rsidP="00027FE4">
      <w:pPr>
        <w:spacing w:after="0" w:line="240" w:lineRule="auto"/>
        <w:jc w:val="both"/>
        <w:rPr>
          <w:rFonts w:ascii="Verdana" w:hAnsi="Verdana"/>
          <w:b/>
          <w:lang w:val="es-MX"/>
        </w:rPr>
      </w:pPr>
      <w:r w:rsidRPr="00B45051">
        <w:rPr>
          <w:rFonts w:ascii="Verdana" w:hAnsi="Verdana"/>
          <w:b/>
          <w:lang w:val="es-MX"/>
        </w:rPr>
        <w:t xml:space="preserve">LEY DE GARANTÍAS ELECTORALES – Contratos y convenios interadministrativos – Criterio orgánico </w:t>
      </w:r>
    </w:p>
    <w:p w14:paraId="0969EFDF" w14:textId="77777777" w:rsidR="00027FE4" w:rsidRPr="007F019B" w:rsidRDefault="00027FE4" w:rsidP="00027FE4">
      <w:pPr>
        <w:spacing w:after="0" w:line="240" w:lineRule="auto"/>
        <w:jc w:val="both"/>
        <w:rPr>
          <w:rFonts w:ascii="Verdana" w:hAnsi="Verdana"/>
          <w:sz w:val="20"/>
          <w:lang w:val="es-MX"/>
        </w:rPr>
      </w:pPr>
    </w:p>
    <w:p w14:paraId="4023F575" w14:textId="77777777" w:rsidR="00027FE4" w:rsidRDefault="00027FE4" w:rsidP="00027FE4">
      <w:pPr>
        <w:spacing w:after="0" w:line="240" w:lineRule="auto"/>
        <w:jc w:val="both"/>
        <w:rPr>
          <w:rFonts w:ascii="Verdana" w:hAnsi="Verdana"/>
          <w:sz w:val="20"/>
          <w:lang w:val="es-MX"/>
        </w:rPr>
      </w:pPr>
      <w:r w:rsidRPr="007F019B">
        <w:rPr>
          <w:rFonts w:ascii="Verdana" w:hAnsi="Verdana"/>
          <w:sz w:val="20"/>
          <w:lang w:val="es-ES"/>
        </w:rPr>
        <w:t xml:space="preserve">Ahora bien, respecto del alcance del parágrafo </w:t>
      </w:r>
      <w:r w:rsidRPr="007F019B">
        <w:rPr>
          <w:rFonts w:ascii="Verdana" w:hAnsi="Verdana"/>
          <w:sz w:val="20"/>
        </w:rPr>
        <w:t xml:space="preserve">del artículo 38 de la Ley 996 de 2005, esta prohibición dispone en primera medida que: “[l]os Gobernadores, </w:t>
      </w:r>
      <w:proofErr w:type="gramStart"/>
      <w:r w:rsidRPr="007F019B">
        <w:rPr>
          <w:rFonts w:ascii="Verdana" w:hAnsi="Verdana"/>
          <w:sz w:val="20"/>
        </w:rPr>
        <w:t>Alcaldes</w:t>
      </w:r>
      <w:proofErr w:type="gramEnd"/>
      <w:r w:rsidRPr="007F019B">
        <w:rPr>
          <w:rFonts w:ascii="Verdana" w:hAnsi="Verdana"/>
          <w:sz w:val="20"/>
        </w:rPr>
        <w:t xml:space="preserve"> Municipales y/o Distritales, </w:t>
      </w:r>
      <w:proofErr w:type="gramStart"/>
      <w:r w:rsidRPr="007F019B">
        <w:rPr>
          <w:rFonts w:ascii="Verdana" w:hAnsi="Verdana"/>
          <w:sz w:val="20"/>
        </w:rPr>
        <w:t>Secretarios</w:t>
      </w:r>
      <w:proofErr w:type="gramEnd"/>
      <w:r w:rsidRPr="007F019B">
        <w:rPr>
          <w:rFonts w:ascii="Verdana" w:hAnsi="Verdana"/>
          <w:sz w:val="20"/>
        </w:rPr>
        <w:t xml:space="preserve">, Gerentes y directores de Entidades Descentralizadas del orden Municipal, Departamental o Distrital, dentro de los cuatro (4) meses anteriores a las elecciones, no podrán celebrar </w:t>
      </w:r>
      <w:r w:rsidRPr="007F019B">
        <w:rPr>
          <w:rFonts w:ascii="Verdana" w:hAnsi="Verdana"/>
          <w:i/>
          <w:iCs/>
          <w:sz w:val="20"/>
        </w:rPr>
        <w:t>convenios interadministrativos</w:t>
      </w:r>
      <w:r w:rsidRPr="007F019B">
        <w:rPr>
          <w:rFonts w:ascii="Verdana" w:hAnsi="Verdana"/>
          <w:sz w:val="20"/>
        </w:rPr>
        <w:t xml:space="preserve"> </w:t>
      </w:r>
      <w:r w:rsidRPr="007F019B">
        <w:rPr>
          <w:rFonts w:ascii="Verdana" w:hAnsi="Verdana"/>
          <w:i/>
          <w:iCs/>
          <w:sz w:val="20"/>
        </w:rPr>
        <w:t>para la ejecución de recursos públicos</w:t>
      </w:r>
      <w:r w:rsidRPr="007F019B">
        <w:rPr>
          <w:rFonts w:ascii="Verdana" w:hAnsi="Verdana"/>
          <w:sz w:val="20"/>
        </w:rPr>
        <w:t>”.</w:t>
      </w:r>
      <w:r w:rsidRPr="007F019B">
        <w:rPr>
          <w:rFonts w:ascii="Verdana" w:hAnsi="Verdana"/>
          <w:sz w:val="20"/>
          <w:lang w:val="es-MX"/>
        </w:rPr>
        <w:t xml:space="preserve"> [Énfasis fuera del texto original]</w:t>
      </w:r>
    </w:p>
    <w:p w14:paraId="3E8C733A" w14:textId="77777777" w:rsidR="00027FE4" w:rsidRPr="007F019B" w:rsidRDefault="00027FE4" w:rsidP="00027FE4">
      <w:pPr>
        <w:spacing w:after="0" w:line="240" w:lineRule="auto"/>
        <w:jc w:val="both"/>
        <w:rPr>
          <w:rFonts w:ascii="Verdana" w:hAnsi="Verdana"/>
          <w:sz w:val="20"/>
          <w:lang w:val="es-ES"/>
        </w:rPr>
      </w:pPr>
    </w:p>
    <w:p w14:paraId="2D2D5D3A" w14:textId="77777777" w:rsidR="00027FE4" w:rsidRDefault="00027FE4" w:rsidP="00027FE4">
      <w:pPr>
        <w:spacing w:after="0" w:line="240" w:lineRule="auto"/>
        <w:jc w:val="both"/>
        <w:rPr>
          <w:rFonts w:ascii="Verdana" w:hAnsi="Verdana"/>
          <w:sz w:val="20"/>
        </w:rPr>
      </w:pPr>
      <w:r w:rsidRPr="007F019B">
        <w:rPr>
          <w:rFonts w:ascii="Verdana" w:hAnsi="Verdana"/>
          <w:sz w:val="20"/>
          <w:lang w:val="es-ES"/>
        </w:rPr>
        <w:t xml:space="preserve">Para tales efectos, debe precisarse que los contratos o convenios interadministrativos están determinados por un criterio orgánico, pues es necesario que los extremos de la relación contractual sean entidades públicas, </w:t>
      </w:r>
      <w:r w:rsidRPr="007F019B">
        <w:rPr>
          <w:rFonts w:ascii="Verdana" w:hAnsi="Verdana"/>
          <w:sz w:val="20"/>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405E35CA" w14:textId="77777777" w:rsidR="00027FE4" w:rsidRPr="007F019B" w:rsidRDefault="00027FE4" w:rsidP="00027FE4">
      <w:pPr>
        <w:spacing w:after="0" w:line="240" w:lineRule="auto"/>
        <w:jc w:val="both"/>
        <w:rPr>
          <w:rFonts w:ascii="Verdana" w:hAnsi="Verdana"/>
          <w:sz w:val="20"/>
        </w:rPr>
      </w:pPr>
    </w:p>
    <w:p w14:paraId="7942574D" w14:textId="77777777" w:rsidR="00027FE4" w:rsidRPr="007F019B" w:rsidRDefault="00027FE4" w:rsidP="00027FE4">
      <w:pPr>
        <w:spacing w:after="0" w:line="240" w:lineRule="auto"/>
        <w:jc w:val="both"/>
        <w:rPr>
          <w:rFonts w:ascii="Verdana" w:hAnsi="Verdana"/>
          <w:sz w:val="20"/>
          <w:lang w:val="es-ES_tradnl"/>
        </w:rPr>
      </w:pPr>
      <w:r w:rsidRPr="007F019B">
        <w:rPr>
          <w:rFonts w:ascii="Verdana" w:hAnsi="Verdana"/>
          <w:sz w:val="20"/>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011C2BC6" w14:textId="77777777" w:rsidR="00027FE4" w:rsidRPr="007F019B" w:rsidRDefault="00027FE4" w:rsidP="00027FE4">
      <w:pPr>
        <w:spacing w:after="0" w:line="240" w:lineRule="auto"/>
        <w:jc w:val="both"/>
        <w:rPr>
          <w:rFonts w:ascii="Verdana" w:hAnsi="Verdana"/>
          <w:b/>
          <w:lang w:val="es-ES_tradnl"/>
        </w:rPr>
      </w:pPr>
    </w:p>
    <w:p w14:paraId="30C7F5B7" w14:textId="174F8011" w:rsidR="00027FE4" w:rsidRPr="00B45051" w:rsidRDefault="00027FE4" w:rsidP="00027FE4">
      <w:pPr>
        <w:spacing w:after="0" w:line="240" w:lineRule="auto"/>
        <w:jc w:val="both"/>
        <w:rPr>
          <w:rFonts w:ascii="Verdana" w:hAnsi="Verdana"/>
          <w:b/>
          <w:lang w:val="es-MX"/>
        </w:rPr>
      </w:pPr>
      <w:r w:rsidRPr="00B45051">
        <w:rPr>
          <w:rFonts w:ascii="Verdana" w:hAnsi="Verdana"/>
          <w:b/>
          <w:lang w:val="es-MX"/>
        </w:rPr>
        <w:t xml:space="preserve">LEY DE GARANTÍAS ELECTORALES </w:t>
      </w:r>
      <w:r w:rsidR="00483816" w:rsidRPr="00483816">
        <w:rPr>
          <w:rFonts w:ascii="Verdana" w:hAnsi="Verdana"/>
          <w:b/>
          <w:bCs/>
          <w:lang w:val="es-ES"/>
        </w:rPr>
        <w:t>–</w:t>
      </w:r>
      <w:r w:rsidR="00483816">
        <w:rPr>
          <w:rFonts w:ascii="Verdana" w:hAnsi="Verdana"/>
          <w:b/>
          <w:lang w:val="es-MX"/>
        </w:rPr>
        <w:t xml:space="preserve"> </w:t>
      </w:r>
      <w:r w:rsidRPr="00B45051">
        <w:rPr>
          <w:rFonts w:ascii="Verdana" w:hAnsi="Verdana"/>
          <w:b/>
          <w:lang w:val="es-MX"/>
        </w:rPr>
        <w:t>Restricción</w:t>
      </w:r>
      <w:r w:rsidR="00483816">
        <w:rPr>
          <w:rFonts w:ascii="Verdana" w:hAnsi="Verdana"/>
          <w:b/>
          <w:lang w:val="es-MX"/>
        </w:rPr>
        <w:t xml:space="preserve"> </w:t>
      </w:r>
      <w:r w:rsidR="00483816" w:rsidRPr="00483816">
        <w:rPr>
          <w:rFonts w:ascii="Verdana" w:hAnsi="Verdana"/>
          <w:b/>
          <w:bCs/>
          <w:lang w:val="es-ES"/>
        </w:rPr>
        <w:t>–</w:t>
      </w:r>
      <w:r w:rsidRPr="00B45051">
        <w:rPr>
          <w:rFonts w:ascii="Verdana" w:hAnsi="Verdana"/>
          <w:b/>
          <w:lang w:val="es-MX"/>
        </w:rPr>
        <w:t xml:space="preserve"> Convenios interadministrativos – Postura del Consejo de Estado </w:t>
      </w:r>
    </w:p>
    <w:p w14:paraId="022A3C76" w14:textId="77777777" w:rsidR="00027FE4" w:rsidRDefault="00027FE4" w:rsidP="00027FE4">
      <w:pPr>
        <w:spacing w:after="0" w:line="240" w:lineRule="auto"/>
        <w:jc w:val="both"/>
        <w:rPr>
          <w:rFonts w:ascii="Verdana" w:hAnsi="Verdana"/>
          <w:b/>
          <w:lang w:val="es-MX"/>
        </w:rPr>
      </w:pPr>
    </w:p>
    <w:p w14:paraId="295E24B7" w14:textId="77777777" w:rsidR="00027FE4" w:rsidRDefault="00027FE4" w:rsidP="00027FE4">
      <w:pPr>
        <w:spacing w:after="0" w:line="240" w:lineRule="auto"/>
        <w:jc w:val="both"/>
        <w:rPr>
          <w:rFonts w:ascii="Verdana" w:hAnsi="Verdana"/>
          <w:i/>
          <w:iCs/>
          <w:sz w:val="20"/>
        </w:rPr>
      </w:pPr>
      <w:r w:rsidRPr="007F019B">
        <w:rPr>
          <w:rFonts w:ascii="Verdana" w:hAnsi="Verdana"/>
          <w:sz w:val="20"/>
          <w:lang w:val="es-MX"/>
        </w:rPr>
        <w:t xml:space="preserve">De conformidad con los argumentos de dicha providencia, se parte de la distinción entre los conceptos </w:t>
      </w:r>
      <w:r w:rsidRPr="007F019B">
        <w:rPr>
          <w:rFonts w:ascii="Verdana" w:hAnsi="Verdana"/>
          <w:sz w:val="20"/>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7F019B">
        <w:rPr>
          <w:rFonts w:ascii="Verdana" w:hAnsi="Verdana"/>
          <w:i/>
          <w:iCs/>
          <w:sz w:val="20"/>
        </w:rPr>
        <w:t xml:space="preserve">“si el legislador no diferenció al establecer la prohibición o la restricción, mal haría el reglamento en aplicar un efecto expansivo o extensivo para incluir una categoría no cobijada con la limitación, (…)”. </w:t>
      </w:r>
      <w:r w:rsidRPr="007F019B">
        <w:rPr>
          <w:rFonts w:ascii="Verdana" w:hAnsi="Verdana"/>
          <w:sz w:val="20"/>
        </w:rPr>
        <w:t xml:space="preserve">Por tal motivo, para efectos de decretar la medida de suspensión provisional de los apartes señalados del numeral 16.2 de la Circular Externa Única, argumentó que </w:t>
      </w:r>
      <w:r w:rsidRPr="007F019B">
        <w:rPr>
          <w:rFonts w:ascii="Verdana" w:hAnsi="Verdana"/>
          <w:i/>
          <w:iCs/>
          <w:sz w:val="20"/>
        </w:rPr>
        <w:t xml:space="preserve">“con independencia del propósito loable o plausible de la disposición ya que, procura que no se usen los recursos estatales para incidir o afectar la contienda electoral, no cabe duda de que la entidad demandada incorporó en la </w:t>
      </w:r>
      <w:r w:rsidRPr="007F019B">
        <w:rPr>
          <w:rFonts w:ascii="Verdana" w:hAnsi="Verdana"/>
          <w:i/>
          <w:iCs/>
          <w:sz w:val="20"/>
        </w:rPr>
        <w:lastRenderedPageBreak/>
        <w:t>prohibición una categoría que no quedó comprendida expresa e inequívocamente en la ley</w:t>
      </w:r>
      <w:r w:rsidRPr="007F019B">
        <w:rPr>
          <w:rFonts w:ascii="Verdana" w:hAnsi="Verdana"/>
          <w:sz w:val="20"/>
        </w:rPr>
        <w:t>”</w:t>
      </w:r>
      <w:r w:rsidRPr="007F019B">
        <w:rPr>
          <w:rFonts w:ascii="Verdana" w:hAnsi="Verdana"/>
          <w:i/>
          <w:iCs/>
          <w:sz w:val="20"/>
        </w:rPr>
        <w:t>.</w:t>
      </w:r>
    </w:p>
    <w:p w14:paraId="1BB35844" w14:textId="77777777" w:rsidR="00027FE4" w:rsidRPr="007F019B" w:rsidRDefault="00027FE4" w:rsidP="00027FE4">
      <w:pPr>
        <w:spacing w:after="0" w:line="240" w:lineRule="auto"/>
        <w:jc w:val="both"/>
        <w:rPr>
          <w:rFonts w:ascii="Verdana" w:hAnsi="Verdana"/>
          <w:i/>
          <w:iCs/>
          <w:sz w:val="20"/>
        </w:rPr>
      </w:pPr>
      <w:r w:rsidRPr="007F019B">
        <w:rPr>
          <w:rFonts w:ascii="Verdana" w:hAnsi="Verdana"/>
          <w:i/>
          <w:iCs/>
          <w:sz w:val="20"/>
        </w:rPr>
        <w:t xml:space="preserve"> </w:t>
      </w:r>
    </w:p>
    <w:p w14:paraId="4A4DD805" w14:textId="77777777" w:rsidR="00027FE4" w:rsidRDefault="00027FE4" w:rsidP="00027FE4">
      <w:pPr>
        <w:spacing w:after="0" w:line="240" w:lineRule="auto"/>
        <w:jc w:val="both"/>
        <w:rPr>
          <w:rFonts w:ascii="Verdana" w:hAnsi="Verdana"/>
          <w:sz w:val="20"/>
        </w:rPr>
      </w:pPr>
      <w:r w:rsidRPr="007F019B">
        <w:rPr>
          <w:rFonts w:ascii="Verdana" w:hAnsi="Verdana"/>
          <w:sz w:val="20"/>
        </w:rPr>
        <w:t>De igual manera, mediante auto del 6 de noviembre de 2025, el Consejo de Estado, Subsección A de la Sección Tercera, decretó</w:t>
      </w:r>
      <w:r w:rsidRPr="007F019B">
        <w:rPr>
          <w:rFonts w:ascii="Verdana" w:hAnsi="Verdana"/>
          <w:bCs/>
          <w:sz w:val="20"/>
        </w:rPr>
        <w:t xml:space="preserve"> </w:t>
      </w:r>
      <w:r w:rsidRPr="007F019B">
        <w:rPr>
          <w:rFonts w:ascii="Verdana" w:hAnsi="Verdana"/>
          <w:sz w:val="20"/>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w:t>
      </w:r>
      <w:proofErr w:type="spellStart"/>
      <w:r w:rsidRPr="007F019B">
        <w:rPr>
          <w:rFonts w:ascii="Verdana" w:hAnsi="Verdana"/>
          <w:sz w:val="20"/>
        </w:rPr>
        <w:t>legis</w:t>
      </w:r>
      <w:proofErr w:type="spellEnd"/>
      <w:r w:rsidRPr="007F019B">
        <w:rPr>
          <w:rFonts w:ascii="Verdana" w:hAnsi="Verdana"/>
          <w:sz w:val="20"/>
        </w:rPr>
        <w:t xml:space="preserve"> o iuris y la interpretación extensiva y reiteró los argumentos sobre la diferencia entre contratos y convenios interadministrativos. </w:t>
      </w:r>
    </w:p>
    <w:p w14:paraId="27651990" w14:textId="77777777" w:rsidR="00027FE4" w:rsidRPr="007F019B" w:rsidRDefault="00027FE4" w:rsidP="00027FE4">
      <w:pPr>
        <w:spacing w:after="0" w:line="240" w:lineRule="auto"/>
        <w:jc w:val="both"/>
        <w:rPr>
          <w:rFonts w:ascii="Verdana" w:hAnsi="Verdana"/>
          <w:sz w:val="20"/>
        </w:rPr>
      </w:pPr>
    </w:p>
    <w:p w14:paraId="6C926E18" w14:textId="77777777" w:rsidR="00027FE4" w:rsidRPr="007F019B" w:rsidRDefault="00027FE4" w:rsidP="00027FE4">
      <w:pPr>
        <w:spacing w:after="0" w:line="240" w:lineRule="auto"/>
        <w:jc w:val="both"/>
        <w:rPr>
          <w:rFonts w:ascii="Verdana" w:hAnsi="Verdana"/>
          <w:sz w:val="20"/>
        </w:rPr>
      </w:pPr>
      <w:r w:rsidRPr="007F019B">
        <w:rPr>
          <w:rFonts w:ascii="Verdana" w:hAnsi="Verdana"/>
          <w:sz w:val="20"/>
        </w:rPr>
        <w:t xml:space="preserve">Finalmente, mediante sentencia del 17 de octubre de 2025, emitida por la Sección Tercera del Consejo de Estado, dentro del expediente 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6D3BE514" w14:textId="60875C14" w:rsidR="00027FE4" w:rsidRDefault="00027FE4" w:rsidP="00EF6139">
      <w:pPr>
        <w:spacing w:after="0" w:line="240" w:lineRule="auto"/>
        <w:rPr>
          <w:rFonts w:ascii="Verdana" w:hAnsi="Verdana"/>
        </w:rPr>
      </w:pPr>
    </w:p>
    <w:p w14:paraId="13CF54CA" w14:textId="6BC49403" w:rsidR="00027FE4" w:rsidRPr="00027FE4" w:rsidRDefault="00027FE4" w:rsidP="00027FE4">
      <w:pPr>
        <w:spacing w:after="0" w:line="240" w:lineRule="auto"/>
        <w:jc w:val="both"/>
        <w:rPr>
          <w:rFonts w:ascii="Verdana" w:hAnsi="Verdana"/>
          <w:b/>
        </w:rPr>
      </w:pPr>
      <w:r w:rsidRPr="00027FE4">
        <w:rPr>
          <w:rFonts w:ascii="Verdana" w:hAnsi="Verdana"/>
          <w:b/>
        </w:rPr>
        <w:t>ENAJENACIÓN VOLUNTARIA – Objeto – Aplicación – Ley de Garantías Electorales – Restricción</w:t>
      </w:r>
      <w:r w:rsidR="00483816">
        <w:rPr>
          <w:rFonts w:ascii="Verdana" w:hAnsi="Verdana"/>
          <w:b/>
        </w:rPr>
        <w:t xml:space="preserve"> </w:t>
      </w:r>
      <w:r w:rsidR="00483816" w:rsidRPr="00483816">
        <w:rPr>
          <w:rFonts w:ascii="Verdana" w:hAnsi="Verdana"/>
          <w:b/>
          <w:bCs/>
          <w:lang w:val="es-ES"/>
        </w:rPr>
        <w:t>–</w:t>
      </w:r>
      <w:r w:rsidRPr="00027FE4">
        <w:rPr>
          <w:rFonts w:ascii="Verdana" w:hAnsi="Verdana"/>
          <w:b/>
        </w:rPr>
        <w:t xml:space="preserve"> Contratación Directa </w:t>
      </w:r>
    </w:p>
    <w:p w14:paraId="5C0C6017" w14:textId="77777777" w:rsidR="00027FE4" w:rsidRPr="00027FE4" w:rsidRDefault="00027FE4" w:rsidP="00027FE4">
      <w:pPr>
        <w:spacing w:after="0" w:line="240" w:lineRule="auto"/>
        <w:jc w:val="both"/>
        <w:rPr>
          <w:rFonts w:ascii="Verdana" w:hAnsi="Verdana"/>
          <w:sz w:val="20"/>
        </w:rPr>
      </w:pPr>
    </w:p>
    <w:p w14:paraId="2D5FD7D3" w14:textId="77777777" w:rsidR="00027FE4" w:rsidRPr="00027FE4" w:rsidRDefault="00027FE4" w:rsidP="00027FE4">
      <w:pPr>
        <w:spacing w:after="0" w:line="240" w:lineRule="auto"/>
        <w:jc w:val="both"/>
        <w:rPr>
          <w:rFonts w:ascii="Verdana" w:hAnsi="Verdana"/>
          <w:sz w:val="20"/>
        </w:rPr>
      </w:pPr>
      <w:r w:rsidRPr="00027FE4">
        <w:rPr>
          <w:rFonts w:ascii="Verdana" w:hAnsi="Verdana"/>
          <w:sz w:val="20"/>
        </w:rPr>
        <w:t xml:space="preserve">En virtud de lo expuesto, la adquisición de los predios que se realice por enajenación voluntaria está sometida a un régimen especial de contratación. Sin embargo, como se explicó antes, esta culmina con la suscripción de un contrato de promesa de compraventa o de compraventa entre la entidad y la persona, con lo cual se trata de un procedimiento de contratación estatal no competitivo que está restringido por la prohibición establecida en el artículo 33 de la Ley 996 de 2005. </w:t>
      </w:r>
      <w:r w:rsidRPr="00027FE4">
        <w:rPr>
          <w:rFonts w:ascii="Verdana" w:hAnsi="Verdana"/>
          <w:bCs/>
          <w:sz w:val="20"/>
        </w:rPr>
        <w:t xml:space="preserve">En tal sentido, se reitera que la restricción del artículo 33 de la Ley 996 de 2005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 Esto, sin perjuicio de las excepciones a la prohibición establecidas en el inciso segundo del mismo artículo 33, como son: i) la defensa y seguridad del Estado; </w:t>
      </w:r>
      <w:proofErr w:type="spellStart"/>
      <w:r w:rsidRPr="00027FE4">
        <w:rPr>
          <w:rFonts w:ascii="Verdana" w:hAnsi="Verdana"/>
          <w:bCs/>
          <w:sz w:val="20"/>
        </w:rPr>
        <w:t>ii</w:t>
      </w:r>
      <w:proofErr w:type="spellEnd"/>
      <w:r w:rsidRPr="00027FE4">
        <w:rPr>
          <w:rFonts w:ascii="Verdana" w:hAnsi="Verdana"/>
          <w:bCs/>
          <w:sz w:val="20"/>
        </w:rPr>
        <w:t xml:space="preserve">) los contratos de crédito público; </w:t>
      </w:r>
      <w:proofErr w:type="spellStart"/>
      <w:r w:rsidRPr="00027FE4">
        <w:rPr>
          <w:rFonts w:ascii="Verdana" w:hAnsi="Verdana"/>
          <w:bCs/>
          <w:sz w:val="20"/>
        </w:rPr>
        <w:t>iii</w:t>
      </w:r>
      <w:proofErr w:type="spellEnd"/>
      <w:r w:rsidRPr="00027FE4">
        <w:rPr>
          <w:rFonts w:ascii="Verdana" w:hAnsi="Verdana"/>
          <w:bCs/>
          <w:sz w:val="20"/>
        </w:rPr>
        <w:t xml:space="preserve">) los requeridos para cubrir las emergencias educativas, sanitarias y desastres; </w:t>
      </w:r>
      <w:proofErr w:type="spellStart"/>
      <w:r w:rsidRPr="00027FE4">
        <w:rPr>
          <w:rFonts w:ascii="Verdana" w:hAnsi="Verdana"/>
          <w:bCs/>
          <w:sz w:val="20"/>
        </w:rPr>
        <w:t>iv</w:t>
      </w:r>
      <w:proofErr w:type="spellEnd"/>
      <w:r w:rsidRPr="00027FE4">
        <w:rPr>
          <w:rFonts w:ascii="Verdana" w:hAnsi="Verdana"/>
          <w:bCs/>
          <w:sz w:val="20"/>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w:t>
      </w:r>
      <w:r w:rsidRPr="00027FE4">
        <w:rPr>
          <w:rFonts w:ascii="Verdana" w:hAnsi="Verdana"/>
          <w:bCs/>
          <w:sz w:val="20"/>
        </w:rPr>
        <w:lastRenderedPageBreak/>
        <w:t>se enmarcan en alguna de las mencionadas excepciones, de manera que se le permita realizar la contratación que necesite en forma directa.</w:t>
      </w:r>
    </w:p>
    <w:p w14:paraId="462CA860" w14:textId="77777777" w:rsidR="00027FE4" w:rsidRPr="00027FE4" w:rsidRDefault="00027FE4" w:rsidP="00027FE4">
      <w:pPr>
        <w:spacing w:after="0" w:line="240" w:lineRule="auto"/>
        <w:jc w:val="both"/>
        <w:rPr>
          <w:rFonts w:ascii="Verdana" w:hAnsi="Verdana"/>
          <w:b/>
        </w:rPr>
      </w:pPr>
    </w:p>
    <w:p w14:paraId="04FCDA0D" w14:textId="7A703055" w:rsidR="00027FE4" w:rsidRPr="00027FE4" w:rsidRDefault="00027FE4" w:rsidP="00027FE4">
      <w:pPr>
        <w:spacing w:after="0" w:line="240" w:lineRule="auto"/>
        <w:jc w:val="both"/>
        <w:rPr>
          <w:rFonts w:ascii="Verdana" w:hAnsi="Verdana"/>
          <w:b/>
        </w:rPr>
      </w:pPr>
      <w:r w:rsidRPr="00027FE4">
        <w:rPr>
          <w:rFonts w:ascii="Verdana" w:hAnsi="Verdana"/>
          <w:b/>
        </w:rPr>
        <w:t xml:space="preserve">EXPROPIACIÓN ADMINISTRATIVA – Procedencia – Ley de Garantías Electorales – Finalidades </w:t>
      </w:r>
      <w:r w:rsidR="00483816" w:rsidRPr="00483816">
        <w:rPr>
          <w:rFonts w:ascii="Verdana" w:hAnsi="Verdana"/>
          <w:b/>
          <w:bCs/>
          <w:lang w:val="es-ES"/>
        </w:rPr>
        <w:t>–</w:t>
      </w:r>
      <w:r w:rsidRPr="00027FE4">
        <w:rPr>
          <w:rFonts w:ascii="Verdana" w:hAnsi="Verdana"/>
          <w:b/>
        </w:rPr>
        <w:t xml:space="preserve"> Condiciones </w:t>
      </w:r>
    </w:p>
    <w:p w14:paraId="5DD2D30F" w14:textId="77777777" w:rsidR="00027FE4" w:rsidRPr="0037512C" w:rsidRDefault="00027FE4" w:rsidP="0037512C">
      <w:pPr>
        <w:spacing w:after="0" w:line="240" w:lineRule="auto"/>
        <w:jc w:val="both"/>
        <w:rPr>
          <w:rFonts w:ascii="Verdana" w:hAnsi="Verdana"/>
        </w:rPr>
      </w:pPr>
    </w:p>
    <w:p w14:paraId="6FEA431A" w14:textId="12957E90" w:rsidR="0037512C" w:rsidRPr="00483816" w:rsidRDefault="0037512C" w:rsidP="0037512C">
      <w:pPr>
        <w:spacing w:after="0" w:line="240" w:lineRule="auto"/>
        <w:jc w:val="both"/>
        <w:rPr>
          <w:rFonts w:ascii="Verdana" w:hAnsi="Verdana"/>
          <w:sz w:val="20"/>
          <w:szCs w:val="20"/>
        </w:rPr>
      </w:pPr>
      <w:r w:rsidRPr="00483816">
        <w:rPr>
          <w:rFonts w:ascii="Verdana" w:hAnsi="Verdana"/>
          <w:sz w:val="20"/>
          <w:szCs w:val="20"/>
        </w:rPr>
        <w:t xml:space="preserve">En contraste, cuando la adquisición de un bien se realiza mediante el procedimiento de expropiación administrativa, no se configura la celebración de un contrato, pues se trata de un acto administrativo sustentado en motivos de utilidad pública o interés social y en condiciones de urgencia previamente definidas por la ley. En este escenario, la transferencia de la propiedad se produce por decisión administrativa y no por acuerdo de voluntades, lo que implica que no se materializan las prohibiciones de contratación previstas en los artículos 33 y 38 de la Ley de Garantías Electorales. En consecuencia, la expropiación administrativa se mantiene como un mecanismo válido y procedente incluso durante el período de restricciones electorales, dado que su naturaleza jurídica la excluye de las limitaciones aplicables a los contratos estatales. </w:t>
      </w:r>
    </w:p>
    <w:p w14:paraId="0C2520C0" w14:textId="77777777" w:rsidR="0037512C" w:rsidRPr="00483816" w:rsidRDefault="0037512C" w:rsidP="0037512C">
      <w:pPr>
        <w:spacing w:after="0" w:line="240" w:lineRule="auto"/>
        <w:jc w:val="both"/>
        <w:rPr>
          <w:rFonts w:ascii="Verdana" w:hAnsi="Verdana"/>
          <w:sz w:val="20"/>
          <w:szCs w:val="20"/>
        </w:rPr>
      </w:pPr>
    </w:p>
    <w:p w14:paraId="091D3F33" w14:textId="641D14E2" w:rsidR="0037512C" w:rsidRPr="00483816" w:rsidRDefault="0037512C" w:rsidP="0037512C">
      <w:pPr>
        <w:spacing w:after="0" w:line="240" w:lineRule="auto"/>
        <w:jc w:val="both"/>
        <w:rPr>
          <w:rFonts w:ascii="Verdana" w:hAnsi="Verdana"/>
          <w:bCs/>
          <w:sz w:val="20"/>
          <w:szCs w:val="20"/>
        </w:rPr>
      </w:pPr>
      <w:r w:rsidRPr="00483816">
        <w:rPr>
          <w:rFonts w:ascii="Verdana" w:hAnsi="Verdana"/>
          <w:bCs/>
          <w:sz w:val="20"/>
          <w:szCs w:val="20"/>
        </w:rPr>
        <w:t>En torno a la expropiación administrativa, es importante señalar que el artículo 63 de la Ley 388 de 1997 establece que existen motivos de utilidad pública o de interés social para expropiar por vía administrativa terrenos e inmuebles cuando la autoridad competente determine condiciones especiales de urgencia, siempre que la finalidad corresponda a las señaladas en las literales a), b), c), d), e), h), j), k), l) y m) del artículo 58 de la misma ley. Asimismo, se considera motivo de utilidad pública la expropiación administrativa cuando el adquirente en pública subasta incumpla la función social de la propiedad respecto de los bienes objeto del procedimiento previsto en el capítulo VI de la ley.</w:t>
      </w:r>
    </w:p>
    <w:p w14:paraId="2791ECE2" w14:textId="77777777" w:rsidR="00027FE4" w:rsidRPr="00027FE4" w:rsidRDefault="00027FE4" w:rsidP="00027FE4">
      <w:pPr>
        <w:spacing w:after="0" w:line="240" w:lineRule="auto"/>
        <w:jc w:val="both"/>
        <w:rPr>
          <w:rFonts w:ascii="Verdana" w:hAnsi="Verdana"/>
          <w:b/>
        </w:rPr>
      </w:pPr>
    </w:p>
    <w:p w14:paraId="13D4BA59" w14:textId="77777777" w:rsidR="00027FE4" w:rsidRPr="00027FE4" w:rsidRDefault="00027FE4" w:rsidP="00027FE4">
      <w:pPr>
        <w:spacing w:after="0" w:line="240" w:lineRule="auto"/>
        <w:jc w:val="both"/>
        <w:rPr>
          <w:rFonts w:ascii="Verdana" w:hAnsi="Verdana"/>
          <w:b/>
        </w:rPr>
      </w:pPr>
      <w:r w:rsidRPr="00027FE4">
        <w:rPr>
          <w:rFonts w:ascii="Verdana" w:hAnsi="Verdana"/>
          <w:b/>
        </w:rPr>
        <w:t>LEY DE GARANTÍAS ELECTORALES – Excepciones – Procedencia Urgencia Manifiesta</w:t>
      </w:r>
    </w:p>
    <w:p w14:paraId="7E6B8BDB" w14:textId="77777777" w:rsidR="00027FE4" w:rsidRPr="00027FE4" w:rsidRDefault="00027FE4" w:rsidP="00027FE4">
      <w:pPr>
        <w:spacing w:after="0" w:line="240" w:lineRule="auto"/>
        <w:jc w:val="both"/>
        <w:rPr>
          <w:rFonts w:ascii="Verdana" w:hAnsi="Verdana"/>
          <w:b/>
        </w:rPr>
      </w:pPr>
    </w:p>
    <w:p w14:paraId="47663310" w14:textId="77777777" w:rsidR="0037512C" w:rsidRPr="0037512C" w:rsidRDefault="0037512C" w:rsidP="0037512C">
      <w:pPr>
        <w:spacing w:after="0" w:line="240" w:lineRule="auto"/>
        <w:jc w:val="both"/>
        <w:rPr>
          <w:rFonts w:ascii="Verdana" w:hAnsi="Verdana"/>
          <w:sz w:val="20"/>
          <w:lang w:val="es-ES"/>
        </w:rPr>
      </w:pPr>
      <w:r w:rsidRPr="0037512C">
        <w:rPr>
          <w:rFonts w:ascii="Verdana" w:hAnsi="Verdana"/>
          <w:sz w:val="20"/>
          <w:lang w:val="es-ES"/>
        </w:rPr>
        <w:t>Por lo tanto, con fundamento en la declaratoria de urgencia manifiesta es posible adelantar la contratación de forma directa, al encontrarse amparada en las excepciones que dispone el artículo 33 de la Ley 996 de 2005. Es decir, con la declaratoria de urgencia manifiesta se garantiza que, en situaciones de emergencia, las autoridades puedan actuar con celeridad y eficacia para atender necesidades inmediatas, sin que ello implique una vulneración de las excepciones dispuestas en el artículo 33 de la Ley 996 de 2005. En este sentido, la urgencia manifiesta permite que los contratos se celebren de manera directa, como puede ser la adquisición de bienes inmuebles, siempre que se justifique adecuadamente la situación que impide seguir el procedimiento regular. Esto, sin perjuicio de los requisitos y condiciones establecidas en el ordenamiento jurídico para su declaratoria.</w:t>
      </w:r>
    </w:p>
    <w:p w14:paraId="0C868366" w14:textId="77777777" w:rsidR="00027FE4" w:rsidRPr="0037512C" w:rsidRDefault="00027FE4" w:rsidP="00027FE4">
      <w:pPr>
        <w:spacing w:after="0" w:line="240" w:lineRule="auto"/>
        <w:jc w:val="both"/>
        <w:rPr>
          <w:rFonts w:ascii="Verdana" w:hAnsi="Verdana"/>
          <w:b/>
          <w:lang w:val="es-ES"/>
        </w:rPr>
      </w:pPr>
    </w:p>
    <w:p w14:paraId="43E450A5" w14:textId="05AE35D0" w:rsidR="00027FE4" w:rsidRPr="00027FE4" w:rsidRDefault="00027FE4" w:rsidP="00027FE4">
      <w:pPr>
        <w:spacing w:after="0" w:line="240" w:lineRule="auto"/>
        <w:jc w:val="both"/>
        <w:rPr>
          <w:rFonts w:ascii="Verdana" w:hAnsi="Verdana"/>
          <w:b/>
        </w:rPr>
      </w:pPr>
      <w:r w:rsidRPr="00027FE4">
        <w:rPr>
          <w:rFonts w:ascii="Verdana" w:hAnsi="Verdana"/>
          <w:b/>
        </w:rPr>
        <w:t>LEY DE GARANTÍAS ELECTORALES – Urgencia Manifiesta – Improcedencia – Artículo 38</w:t>
      </w:r>
    </w:p>
    <w:p w14:paraId="0AF8F2F8" w14:textId="77777777" w:rsidR="00027FE4" w:rsidRDefault="00027FE4" w:rsidP="00EF6139">
      <w:pPr>
        <w:spacing w:after="0" w:line="240" w:lineRule="auto"/>
        <w:rPr>
          <w:rFonts w:ascii="Verdana" w:hAnsi="Verdana"/>
        </w:rPr>
      </w:pPr>
    </w:p>
    <w:p w14:paraId="7C547E32" w14:textId="77777777" w:rsidR="00027FE4" w:rsidRPr="00027FE4" w:rsidRDefault="00027FE4" w:rsidP="00027FE4">
      <w:pPr>
        <w:spacing w:after="0" w:line="240" w:lineRule="auto"/>
        <w:jc w:val="both"/>
        <w:rPr>
          <w:rFonts w:ascii="Verdana" w:hAnsi="Verdana"/>
          <w:sz w:val="20"/>
          <w:lang w:val="es-ES"/>
        </w:rPr>
      </w:pPr>
      <w:r w:rsidRPr="00027FE4">
        <w:rPr>
          <w:rFonts w:ascii="Verdana" w:hAnsi="Verdana"/>
          <w:sz w:val="20"/>
          <w:lang w:val="es-ES_tradnl"/>
        </w:rPr>
        <w:lastRenderedPageBreak/>
        <w:t xml:space="preserve">Sin embargo, no podrá suscribirse en el marco de la declaratoria de urgencia manifiesta convenios interadministrativos para la ejecución de recursos públicos con </w:t>
      </w:r>
      <w:r w:rsidRPr="00027FE4">
        <w:rPr>
          <w:rFonts w:ascii="Verdana" w:hAnsi="Verdana"/>
          <w:sz w:val="20"/>
        </w:rPr>
        <w:t xml:space="preserve">alcaldes municipales y/o distritales, secretarios, gerentes y directores de entidades descentralizadas del orden municipal, departamental o distrital. Esto se debe a la prohibición contenida en el parágrafo único del artículo 38 de la Ley 996 de 2005, la cual </w:t>
      </w:r>
      <w:r w:rsidRPr="00027FE4">
        <w:rPr>
          <w:rFonts w:ascii="Verdana" w:hAnsi="Verdana"/>
          <w:sz w:val="20"/>
          <w:lang w:val="es-ES"/>
        </w:rPr>
        <w:t xml:space="preserve">dispone que no podrán celebrarse convenios interadministrativos con alcaldes municipales y/o distritales, así como con secretarios, gerentes y directores de entidades descentralizadas del orden territorial. Esta prohibición busca evitar que, bajo la institución de la urgencia manifiesta, se canalicen recursos públicos hacia actores políticos locales en un contexto que podría prestarse para favorecer intereses particulares o electorales. Así mismo, dicho artículo no contempla excepciones, lo que significa que la prohibición es absoluta y aplicable en cualquier circunstancia. De esta manera, se garantiza que la contratación directa derivada de la urgencia manifiesta se limite a atender necesidades inmediatas y legítimas, sin abrir la posibilidad de suscribir convenios interadministrativos para la ejecución de recursos públicos. </w:t>
      </w:r>
    </w:p>
    <w:p w14:paraId="32704CB4" w14:textId="77777777" w:rsidR="00027FE4" w:rsidRPr="00027FE4" w:rsidRDefault="00027FE4" w:rsidP="00EF6139">
      <w:pPr>
        <w:spacing w:after="0" w:line="240" w:lineRule="auto"/>
        <w:rPr>
          <w:rFonts w:ascii="Verdana" w:hAnsi="Verdana"/>
          <w:lang w:val="es-ES"/>
        </w:rPr>
      </w:pPr>
    </w:p>
    <w:p w14:paraId="25BC20F0" w14:textId="77777777" w:rsidR="00027FE4" w:rsidRDefault="00027FE4" w:rsidP="00EF6139">
      <w:pPr>
        <w:spacing w:after="0" w:line="240" w:lineRule="auto"/>
        <w:rPr>
          <w:rFonts w:ascii="Verdana" w:hAnsi="Verdana"/>
        </w:rPr>
      </w:pPr>
    </w:p>
    <w:p w14:paraId="5DDBED19" w14:textId="77777777" w:rsidR="00027FE4" w:rsidRDefault="00027FE4" w:rsidP="00EF6139">
      <w:pPr>
        <w:spacing w:after="0" w:line="240" w:lineRule="auto"/>
        <w:rPr>
          <w:rFonts w:ascii="Verdana" w:hAnsi="Verdana"/>
        </w:rPr>
      </w:pPr>
    </w:p>
    <w:p w14:paraId="4AC099D7" w14:textId="77777777" w:rsidR="00027FE4" w:rsidRDefault="00027FE4" w:rsidP="00EF6139">
      <w:pPr>
        <w:spacing w:after="0" w:line="240" w:lineRule="auto"/>
        <w:rPr>
          <w:rFonts w:ascii="Verdana" w:hAnsi="Verdana"/>
        </w:rPr>
      </w:pPr>
    </w:p>
    <w:p w14:paraId="3BE078D2" w14:textId="77777777" w:rsidR="00027FE4" w:rsidRDefault="00027FE4" w:rsidP="00EF6139">
      <w:pPr>
        <w:spacing w:after="0" w:line="240" w:lineRule="auto"/>
        <w:rPr>
          <w:rFonts w:ascii="Verdana" w:hAnsi="Verdana"/>
        </w:rPr>
      </w:pPr>
    </w:p>
    <w:p w14:paraId="02986F2A" w14:textId="77777777" w:rsidR="00027FE4" w:rsidRDefault="00027FE4" w:rsidP="00EF6139">
      <w:pPr>
        <w:spacing w:after="0" w:line="240" w:lineRule="auto"/>
        <w:rPr>
          <w:rFonts w:ascii="Verdana" w:hAnsi="Verdana"/>
        </w:rPr>
      </w:pPr>
    </w:p>
    <w:p w14:paraId="4B0EA488" w14:textId="078A454D" w:rsidR="00027FE4" w:rsidRDefault="00027FE4" w:rsidP="00EF6139">
      <w:pPr>
        <w:spacing w:after="0" w:line="240" w:lineRule="auto"/>
        <w:rPr>
          <w:rFonts w:ascii="Verdana" w:hAnsi="Verdana"/>
        </w:rPr>
      </w:pPr>
    </w:p>
    <w:p w14:paraId="5E91503F" w14:textId="284E2CB4" w:rsidR="0037512C" w:rsidRDefault="0037512C" w:rsidP="00EF6139">
      <w:pPr>
        <w:spacing w:after="0" w:line="240" w:lineRule="auto"/>
        <w:rPr>
          <w:rFonts w:ascii="Verdana" w:hAnsi="Verdana"/>
        </w:rPr>
      </w:pPr>
    </w:p>
    <w:p w14:paraId="5A15CEEE" w14:textId="71123714" w:rsidR="0037512C" w:rsidRDefault="0037512C" w:rsidP="00EF6139">
      <w:pPr>
        <w:spacing w:after="0" w:line="240" w:lineRule="auto"/>
        <w:rPr>
          <w:rFonts w:ascii="Verdana" w:hAnsi="Verdana"/>
        </w:rPr>
      </w:pPr>
    </w:p>
    <w:p w14:paraId="62D7FBAA" w14:textId="66CE4135" w:rsidR="0037512C" w:rsidRDefault="0037512C" w:rsidP="00EF6139">
      <w:pPr>
        <w:spacing w:after="0" w:line="240" w:lineRule="auto"/>
        <w:rPr>
          <w:rFonts w:ascii="Verdana" w:hAnsi="Verdana"/>
        </w:rPr>
      </w:pPr>
    </w:p>
    <w:p w14:paraId="11A87A4E" w14:textId="3B5075C2" w:rsidR="0037512C" w:rsidRDefault="0037512C" w:rsidP="00EF6139">
      <w:pPr>
        <w:spacing w:after="0" w:line="240" w:lineRule="auto"/>
        <w:rPr>
          <w:rFonts w:ascii="Verdana" w:hAnsi="Verdana"/>
        </w:rPr>
      </w:pPr>
    </w:p>
    <w:p w14:paraId="18C259D6" w14:textId="467024AE" w:rsidR="0037512C" w:rsidRDefault="0037512C" w:rsidP="00EF6139">
      <w:pPr>
        <w:spacing w:after="0" w:line="240" w:lineRule="auto"/>
        <w:rPr>
          <w:rFonts w:ascii="Verdana" w:hAnsi="Verdana"/>
        </w:rPr>
      </w:pPr>
    </w:p>
    <w:p w14:paraId="573C0B8A" w14:textId="442602FD" w:rsidR="0037512C" w:rsidRDefault="0037512C" w:rsidP="00EF6139">
      <w:pPr>
        <w:spacing w:after="0" w:line="240" w:lineRule="auto"/>
        <w:rPr>
          <w:rFonts w:ascii="Verdana" w:hAnsi="Verdana"/>
        </w:rPr>
      </w:pPr>
    </w:p>
    <w:p w14:paraId="014D6BC5" w14:textId="24FB411F" w:rsidR="0037512C" w:rsidRDefault="0037512C" w:rsidP="00EF6139">
      <w:pPr>
        <w:spacing w:after="0" w:line="240" w:lineRule="auto"/>
        <w:rPr>
          <w:rFonts w:ascii="Verdana" w:hAnsi="Verdana"/>
        </w:rPr>
      </w:pPr>
    </w:p>
    <w:p w14:paraId="55FE0552" w14:textId="64C566F6" w:rsidR="0037512C" w:rsidRDefault="0037512C" w:rsidP="00EF6139">
      <w:pPr>
        <w:spacing w:after="0" w:line="240" w:lineRule="auto"/>
        <w:rPr>
          <w:rFonts w:ascii="Verdana" w:hAnsi="Verdana"/>
        </w:rPr>
      </w:pPr>
    </w:p>
    <w:p w14:paraId="040BE73A" w14:textId="1216002D" w:rsidR="0037512C" w:rsidRDefault="0037512C" w:rsidP="00EF6139">
      <w:pPr>
        <w:spacing w:after="0" w:line="240" w:lineRule="auto"/>
        <w:rPr>
          <w:rFonts w:ascii="Verdana" w:hAnsi="Verdana"/>
        </w:rPr>
      </w:pPr>
    </w:p>
    <w:p w14:paraId="71116828" w14:textId="024DAADE" w:rsidR="0037512C" w:rsidRDefault="0037512C" w:rsidP="00EF6139">
      <w:pPr>
        <w:spacing w:after="0" w:line="240" w:lineRule="auto"/>
        <w:rPr>
          <w:rFonts w:ascii="Verdana" w:hAnsi="Verdana"/>
        </w:rPr>
      </w:pPr>
    </w:p>
    <w:p w14:paraId="78A0BFAA" w14:textId="62D84996" w:rsidR="0037512C" w:rsidRDefault="0037512C" w:rsidP="00EF6139">
      <w:pPr>
        <w:spacing w:after="0" w:line="240" w:lineRule="auto"/>
        <w:rPr>
          <w:rFonts w:ascii="Verdana" w:hAnsi="Verdana"/>
        </w:rPr>
      </w:pPr>
    </w:p>
    <w:p w14:paraId="1E8BEED7" w14:textId="45745440" w:rsidR="0037512C" w:rsidRDefault="0037512C" w:rsidP="00EF6139">
      <w:pPr>
        <w:spacing w:after="0" w:line="240" w:lineRule="auto"/>
        <w:rPr>
          <w:rFonts w:ascii="Verdana" w:hAnsi="Verdana"/>
        </w:rPr>
      </w:pPr>
    </w:p>
    <w:p w14:paraId="1AD0E2A9" w14:textId="08AE00A1" w:rsidR="0037512C" w:rsidRDefault="0037512C" w:rsidP="00EF6139">
      <w:pPr>
        <w:spacing w:after="0" w:line="240" w:lineRule="auto"/>
        <w:rPr>
          <w:rFonts w:ascii="Verdana" w:hAnsi="Verdana"/>
        </w:rPr>
      </w:pPr>
    </w:p>
    <w:p w14:paraId="165AE367" w14:textId="6DA86210" w:rsidR="0037512C" w:rsidRDefault="0037512C" w:rsidP="00EF6139">
      <w:pPr>
        <w:spacing w:after="0" w:line="240" w:lineRule="auto"/>
        <w:rPr>
          <w:rFonts w:ascii="Verdana" w:hAnsi="Verdana"/>
        </w:rPr>
      </w:pPr>
    </w:p>
    <w:p w14:paraId="6FC6E989" w14:textId="5625D9B1" w:rsidR="0037512C" w:rsidRDefault="0037512C" w:rsidP="00EF6139">
      <w:pPr>
        <w:spacing w:after="0" w:line="240" w:lineRule="auto"/>
        <w:rPr>
          <w:rFonts w:ascii="Verdana" w:hAnsi="Verdana"/>
        </w:rPr>
      </w:pPr>
    </w:p>
    <w:p w14:paraId="051D3D03" w14:textId="5E066CE9" w:rsidR="0037512C" w:rsidRDefault="0037512C" w:rsidP="00EF6139">
      <w:pPr>
        <w:spacing w:after="0" w:line="240" w:lineRule="auto"/>
        <w:rPr>
          <w:rFonts w:ascii="Verdana" w:hAnsi="Verdana"/>
        </w:rPr>
      </w:pPr>
    </w:p>
    <w:p w14:paraId="378D1098" w14:textId="77777777" w:rsidR="0037512C" w:rsidRDefault="0037512C" w:rsidP="00EF6139">
      <w:pPr>
        <w:spacing w:after="0" w:line="240" w:lineRule="auto"/>
        <w:rPr>
          <w:rFonts w:ascii="Verdana" w:hAnsi="Verdana"/>
        </w:rPr>
      </w:pPr>
    </w:p>
    <w:p w14:paraId="5C91F7EC" w14:textId="5CA71F65" w:rsidR="00EF6139" w:rsidRPr="00380CA4" w:rsidRDefault="0037512C" w:rsidP="00EF6139">
      <w:pPr>
        <w:spacing w:after="0" w:line="240" w:lineRule="auto"/>
        <w:rPr>
          <w:rFonts w:ascii="Verdana" w:hAnsi="Verdana"/>
        </w:rPr>
      </w:pPr>
      <w:r w:rsidRPr="0037512C">
        <w:rPr>
          <w:rFonts w:ascii="Verdana" w:hAnsi="Verdana"/>
          <w:noProof/>
          <w:lang w:val="en-US"/>
        </w:rPr>
        <w:lastRenderedPageBreak/>
        <w:drawing>
          <wp:anchor distT="0" distB="0" distL="114300" distR="114300" simplePos="0" relativeHeight="251658240" behindDoc="0" locked="0" layoutInCell="1" allowOverlap="1" wp14:anchorId="6567AC82" wp14:editId="1E3BB7D2">
            <wp:simplePos x="0" y="0"/>
            <wp:positionH relativeFrom="column">
              <wp:posOffset>3039745</wp:posOffset>
            </wp:positionH>
            <wp:positionV relativeFrom="paragraph">
              <wp:posOffset>165100</wp:posOffset>
            </wp:positionV>
            <wp:extent cx="2658110" cy="733425"/>
            <wp:effectExtent l="0" t="0" r="889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58110" cy="733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F6139" w:rsidRPr="0024624F">
        <w:rPr>
          <w:rFonts w:ascii="Verdana" w:hAnsi="Verdana"/>
        </w:rPr>
        <w:t xml:space="preserve">Bogotá D.C., </w:t>
      </w:r>
      <w:r w:rsidR="00027FE4">
        <w:rPr>
          <w:rFonts w:ascii="Verdana" w:hAnsi="Verdana"/>
        </w:rPr>
        <w:t>4 de marzo de 2026</w:t>
      </w:r>
      <w:r w:rsidR="00EF6139">
        <w:rPr>
          <w:rFonts w:ascii="Verdana" w:hAnsi="Verdana"/>
        </w:rPr>
        <w:tab/>
      </w:r>
    </w:p>
    <w:p w14:paraId="66E10DFF" w14:textId="08B9D82E" w:rsidR="00EF6139" w:rsidRPr="00380CA4" w:rsidRDefault="00EF6139" w:rsidP="00EF6139">
      <w:pPr>
        <w:spacing w:after="0" w:line="240" w:lineRule="auto"/>
        <w:rPr>
          <w:rFonts w:ascii="Verdana" w:hAnsi="Verdana"/>
        </w:rPr>
      </w:pPr>
    </w:p>
    <w:p w14:paraId="62E2D3BD" w14:textId="77777777" w:rsidR="00EF6139" w:rsidRPr="00380CA4" w:rsidRDefault="00EF6139" w:rsidP="00EF6139">
      <w:pPr>
        <w:spacing w:after="0" w:line="240" w:lineRule="auto"/>
        <w:rPr>
          <w:rFonts w:ascii="Verdana" w:hAnsi="Verdana"/>
        </w:rPr>
      </w:pPr>
    </w:p>
    <w:p w14:paraId="32E1ED47" w14:textId="77777777" w:rsidR="00EF6139" w:rsidRPr="00380CA4" w:rsidRDefault="00EF6139" w:rsidP="00EF6139">
      <w:pPr>
        <w:spacing w:after="0" w:line="240" w:lineRule="auto"/>
        <w:rPr>
          <w:rFonts w:ascii="Verdana" w:eastAsia="Calibri" w:hAnsi="Verdana" w:cs="Times New Roman"/>
        </w:rPr>
      </w:pPr>
      <w:r w:rsidRPr="00380CA4">
        <w:rPr>
          <w:rFonts w:ascii="Verdana" w:eastAsia="Calibri" w:hAnsi="Verdana" w:cs="Times New Roman"/>
        </w:rPr>
        <w:t>Señor</w:t>
      </w:r>
    </w:p>
    <w:p w14:paraId="20587AB0" w14:textId="77777777" w:rsidR="00EF6139" w:rsidRPr="00380CA4" w:rsidRDefault="00EF6139" w:rsidP="00EF6139">
      <w:pPr>
        <w:spacing w:after="0" w:line="240" w:lineRule="auto"/>
        <w:rPr>
          <w:rFonts w:ascii="Verdana" w:eastAsia="Calibri" w:hAnsi="Verdana" w:cs="Times New Roman"/>
          <w:b/>
        </w:rPr>
      </w:pPr>
      <w:r w:rsidRPr="00380CA4">
        <w:rPr>
          <w:rFonts w:ascii="Verdana" w:eastAsia="Calibri" w:hAnsi="Verdana" w:cs="Times New Roman"/>
          <w:b/>
        </w:rPr>
        <w:t>Juan Pablo Vargas Gutiérrez</w:t>
      </w:r>
    </w:p>
    <w:p w14:paraId="7D6766C2" w14:textId="77777777" w:rsidR="00EF6139" w:rsidRPr="00380CA4" w:rsidRDefault="00EF6139" w:rsidP="00EF6139">
      <w:pPr>
        <w:spacing w:after="0" w:line="240" w:lineRule="auto"/>
        <w:rPr>
          <w:rFonts w:ascii="Verdana" w:eastAsia="Calibri" w:hAnsi="Verdana" w:cs="Times New Roman"/>
        </w:rPr>
      </w:pPr>
      <w:hyperlink r:id="rId12" w:history="1">
        <w:r w:rsidRPr="00380CA4">
          <w:rPr>
            <w:rStyle w:val="Hipervnculo"/>
            <w:rFonts w:ascii="Verdana" w:eastAsia="Calibri" w:hAnsi="Verdana" w:cs="Times New Roman"/>
          </w:rPr>
          <w:t>juanvar17@gmail.com</w:t>
        </w:r>
      </w:hyperlink>
    </w:p>
    <w:p w14:paraId="02DE22DB" w14:textId="77777777" w:rsidR="00EF6139" w:rsidRPr="00380CA4" w:rsidRDefault="00EF6139" w:rsidP="00EF6139">
      <w:pPr>
        <w:spacing w:after="0" w:line="240" w:lineRule="auto"/>
        <w:rPr>
          <w:rFonts w:ascii="Verdana" w:eastAsia="Calibri" w:hAnsi="Verdana" w:cs="Times New Roman"/>
        </w:rPr>
      </w:pPr>
      <w:r w:rsidRPr="00380CA4">
        <w:rPr>
          <w:rFonts w:ascii="Verdana" w:eastAsia="Calibri" w:hAnsi="Verdana" w:cs="Times New Roman"/>
        </w:rPr>
        <w:t>Bogotá D.C.</w:t>
      </w:r>
    </w:p>
    <w:p w14:paraId="1EEBE122" w14:textId="77777777" w:rsidR="00EF6139" w:rsidRPr="00380CA4" w:rsidRDefault="00EF6139" w:rsidP="00EF6139">
      <w:pPr>
        <w:spacing w:after="0" w:line="240" w:lineRule="auto"/>
        <w:rPr>
          <w:rFonts w:ascii="Verdana" w:eastAsia="Calibri" w:hAnsi="Verdana" w:cs="Times New Roman"/>
        </w:rPr>
      </w:pPr>
    </w:p>
    <w:p w14:paraId="5A28AA52" w14:textId="77777777" w:rsidR="00EF6139" w:rsidRPr="00380CA4" w:rsidRDefault="00EF6139" w:rsidP="00EF6139">
      <w:pPr>
        <w:spacing w:after="0" w:line="240" w:lineRule="auto"/>
        <w:rPr>
          <w:rFonts w:ascii="Verdana" w:eastAsia="Calibri" w:hAnsi="Verdana" w:cs="Times New Roman"/>
        </w:rPr>
      </w:pPr>
    </w:p>
    <w:p w14:paraId="651AFBE1" w14:textId="77777777" w:rsidR="00EF6139" w:rsidRPr="00380CA4" w:rsidRDefault="00EF6139" w:rsidP="00EF6139">
      <w:pPr>
        <w:spacing w:after="0" w:line="240" w:lineRule="auto"/>
        <w:rPr>
          <w:rFonts w:ascii="Verdana" w:eastAsia="Calibri" w:hAnsi="Verdana" w:cs="Times New Roman"/>
          <w:b/>
          <w:bCs/>
        </w:rPr>
      </w:pPr>
      <w:r w:rsidRPr="00380CA4">
        <w:rPr>
          <w:rFonts w:ascii="Verdana" w:eastAsia="Calibri" w:hAnsi="Verdana" w:cs="Times New Roman"/>
          <w:b/>
          <w:bCs/>
        </w:rPr>
        <w:t xml:space="preserve">                                    Concepto C- 118 de 2026</w:t>
      </w:r>
    </w:p>
    <w:p w14:paraId="573DDCC0" w14:textId="77777777" w:rsidR="00EF6139" w:rsidRPr="00380CA4" w:rsidRDefault="00EF6139" w:rsidP="00EF6139">
      <w:pPr>
        <w:spacing w:after="0" w:line="256" w:lineRule="auto"/>
        <w:rPr>
          <w:rFonts w:ascii="Verdana" w:eastAsia="Calibri" w:hAnsi="Verdana" w:cs="Times New Roman"/>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EF6139" w:rsidRPr="00380CA4" w14:paraId="2AF94637" w14:textId="77777777" w:rsidTr="00F33237">
        <w:trPr>
          <w:trHeight w:val="645"/>
        </w:trPr>
        <w:tc>
          <w:tcPr>
            <w:tcW w:w="2685" w:type="dxa"/>
            <w:hideMark/>
          </w:tcPr>
          <w:p w14:paraId="7B4A8ECF" w14:textId="77777777" w:rsidR="00EF6139" w:rsidRPr="00380CA4" w:rsidRDefault="00EF6139" w:rsidP="00F33237">
            <w:pPr>
              <w:spacing w:line="256" w:lineRule="auto"/>
              <w:rPr>
                <w:rFonts w:ascii="Verdana" w:hAnsi="Verdana"/>
                <w:b/>
                <w:bCs/>
              </w:rPr>
            </w:pPr>
            <w:r w:rsidRPr="00380CA4">
              <w:rPr>
                <w:rFonts w:ascii="Verdana" w:hAnsi="Verdana"/>
                <w:b/>
                <w:bCs/>
              </w:rPr>
              <w:t xml:space="preserve">Temas:                   </w:t>
            </w:r>
          </w:p>
        </w:tc>
        <w:tc>
          <w:tcPr>
            <w:tcW w:w="6241" w:type="dxa"/>
            <w:hideMark/>
          </w:tcPr>
          <w:p w14:paraId="76558BF7" w14:textId="77777777" w:rsidR="00EF6139" w:rsidRPr="00380CA4" w:rsidRDefault="00EF6139" w:rsidP="00F33237">
            <w:pPr>
              <w:spacing w:line="276" w:lineRule="auto"/>
              <w:jc w:val="both"/>
              <w:rPr>
                <w:rFonts w:ascii="Verdana" w:hAnsi="Verdana" w:cs="Arial"/>
                <w:lang w:eastAsia="es-ES"/>
              </w:rPr>
            </w:pPr>
            <w:r w:rsidRPr="00380CA4">
              <w:rPr>
                <w:rFonts w:ascii="Verdana" w:hAnsi="Verdana" w:cs="Arial"/>
                <w:lang w:eastAsia="es-ES_tradnl"/>
              </w:rPr>
              <w:t xml:space="preserve">LEY DE GARANTÍAS ELECTORALES </w:t>
            </w:r>
            <w:r w:rsidRPr="00380CA4">
              <w:rPr>
                <w:rFonts w:ascii="Verdana" w:hAnsi="Verdana" w:cs="Arial"/>
                <w:bCs/>
                <w:lang w:eastAsia="es-ES_tradnl"/>
              </w:rPr>
              <w:t>‒</w:t>
            </w:r>
            <w:r w:rsidRPr="00380CA4">
              <w:rPr>
                <w:rFonts w:ascii="Verdana" w:hAnsi="Verdana" w:cs="Arial"/>
                <w:lang w:eastAsia="es-ES_tradnl"/>
              </w:rPr>
              <w:t xml:space="preserve"> Finalidad / LEY DE GARANTÍAS ELECTORALES </w:t>
            </w:r>
            <w:r w:rsidRPr="00380CA4">
              <w:rPr>
                <w:rFonts w:ascii="Verdana" w:hAnsi="Verdana" w:cs="Arial"/>
                <w:bCs/>
                <w:lang w:eastAsia="es-ES_tradnl"/>
              </w:rPr>
              <w:t>‒</w:t>
            </w:r>
            <w:r w:rsidRPr="00380CA4">
              <w:rPr>
                <w:rFonts w:ascii="Verdana" w:hAnsi="Verdana" w:cs="Arial"/>
                <w:lang w:eastAsia="es-ES_tradnl"/>
              </w:rPr>
              <w:t xml:space="preserve"> Tipos de restricciones </w:t>
            </w:r>
            <w:r w:rsidRPr="00380CA4">
              <w:rPr>
                <w:rFonts w:ascii="Verdana" w:hAnsi="Verdana" w:cs="Arial"/>
                <w:bCs/>
                <w:lang w:eastAsia="es-ES_tradnl"/>
              </w:rPr>
              <w:t>‒</w:t>
            </w:r>
            <w:r w:rsidRPr="00380CA4">
              <w:rPr>
                <w:rFonts w:ascii="Verdana" w:hAnsi="Verdana" w:cs="Arial"/>
                <w:lang w:eastAsia="es-ES_tradnl"/>
              </w:rPr>
              <w:t xml:space="preserve"> Ámbito temporal – celebración- límite / LEY DE GARANTÍAS ELECTORALES – Prohibición artículo 33 – Contratación directa – Alcance / LEY DE GARANTÍAS ELECTORALES – Excepciones / LEY DE GARANTÍAS ELECTORALES – Prohibición del artículo 33 – Destinatarios / LEY DE GARANTÍAS ELECTORALES – Contratos y convenios interadministrativos – Criterio orgánico / LEY DE GARANTÍAS ELECTORALES –Restricción- Convenios interadministrativos – Postura del Consejo de Estado / ENAJENACIÓN VOLUNTARIA – Objeto – Aplicación – Ley de Garantías Electorales – Restricción- Contratación Directa / EXPROPIACIÓN ADMINISTRATIVA – Procedencia –</w:t>
            </w:r>
            <w:r>
              <w:rPr>
                <w:rFonts w:ascii="Verdana" w:hAnsi="Verdana" w:cs="Arial"/>
                <w:lang w:eastAsia="es-ES_tradnl"/>
              </w:rPr>
              <w:t xml:space="preserve"> </w:t>
            </w:r>
            <w:r w:rsidRPr="00380CA4">
              <w:rPr>
                <w:rFonts w:ascii="Verdana" w:hAnsi="Verdana" w:cs="Arial"/>
                <w:lang w:eastAsia="es-ES_tradnl"/>
              </w:rPr>
              <w:t>Ley de Garantías Electorales – Finalidad</w:t>
            </w:r>
            <w:r>
              <w:rPr>
                <w:rFonts w:ascii="Verdana" w:hAnsi="Verdana" w:cs="Arial"/>
                <w:lang w:eastAsia="es-ES_tradnl"/>
              </w:rPr>
              <w:t xml:space="preserve">es - Condiciones / LEY DE GARANTÍAS ELECTORALES – Excepciones – Procedencia Urgencia Manifiesta / LEY DE GARANTÍAS ELECTORALES – Urgencia Manifiesta – Improcedencia – Artículo 38. </w:t>
            </w:r>
          </w:p>
        </w:tc>
        <w:tc>
          <w:tcPr>
            <w:tcW w:w="6237" w:type="dxa"/>
          </w:tcPr>
          <w:p w14:paraId="4AE76ACE" w14:textId="77777777" w:rsidR="00EF6139" w:rsidRPr="00380CA4" w:rsidRDefault="00EF6139" w:rsidP="00F33237">
            <w:pPr>
              <w:spacing w:line="256" w:lineRule="auto"/>
              <w:rPr>
                <w:rFonts w:ascii="Verdana" w:hAnsi="Verdana"/>
              </w:rPr>
            </w:pPr>
          </w:p>
        </w:tc>
      </w:tr>
      <w:tr w:rsidR="00EF6139" w:rsidRPr="00380CA4" w14:paraId="3F51E017" w14:textId="77777777" w:rsidTr="00F33237">
        <w:tc>
          <w:tcPr>
            <w:tcW w:w="2685" w:type="dxa"/>
          </w:tcPr>
          <w:p w14:paraId="38077C9B" w14:textId="77777777" w:rsidR="00EF6139" w:rsidRPr="00380CA4" w:rsidRDefault="00EF6139" w:rsidP="00F33237">
            <w:pPr>
              <w:rPr>
                <w:rFonts w:ascii="Verdana" w:hAnsi="Verdana"/>
                <w:b/>
                <w:bCs/>
              </w:rPr>
            </w:pPr>
          </w:p>
          <w:p w14:paraId="12440ADF" w14:textId="77777777" w:rsidR="00EF6139" w:rsidRPr="00380CA4" w:rsidRDefault="00EF6139" w:rsidP="00F33237">
            <w:pPr>
              <w:rPr>
                <w:rFonts w:ascii="Verdana" w:hAnsi="Verdana"/>
                <w:b/>
                <w:bCs/>
              </w:rPr>
            </w:pPr>
            <w:r w:rsidRPr="00380CA4">
              <w:rPr>
                <w:rFonts w:ascii="Verdana" w:hAnsi="Verdana"/>
                <w:b/>
                <w:bCs/>
              </w:rPr>
              <w:t xml:space="preserve">Radicación:               </w:t>
            </w:r>
          </w:p>
        </w:tc>
        <w:tc>
          <w:tcPr>
            <w:tcW w:w="6241" w:type="dxa"/>
          </w:tcPr>
          <w:p w14:paraId="5761C834" w14:textId="77777777" w:rsidR="00EF6139" w:rsidRPr="00380CA4" w:rsidRDefault="00EF6139" w:rsidP="00F33237">
            <w:pPr>
              <w:jc w:val="both"/>
              <w:rPr>
                <w:rFonts w:ascii="Verdana" w:hAnsi="Verdana"/>
              </w:rPr>
            </w:pPr>
          </w:p>
          <w:p w14:paraId="5D4A5FC3" w14:textId="77777777" w:rsidR="00EF6139" w:rsidRPr="00380CA4" w:rsidRDefault="00EF6139" w:rsidP="00F33237">
            <w:pPr>
              <w:jc w:val="both"/>
              <w:rPr>
                <w:rFonts w:ascii="Verdana" w:hAnsi="Verdana"/>
              </w:rPr>
            </w:pPr>
            <w:r w:rsidRPr="00380CA4">
              <w:rPr>
                <w:rFonts w:ascii="Verdana" w:hAnsi="Verdana"/>
              </w:rPr>
              <w:t>Respuesta a consulta con radicado No. 1_2026_01_29_001039</w:t>
            </w:r>
          </w:p>
          <w:p w14:paraId="094892C3" w14:textId="77777777" w:rsidR="00EF6139" w:rsidRPr="00380CA4" w:rsidRDefault="00EF6139" w:rsidP="00F33237">
            <w:pPr>
              <w:jc w:val="both"/>
              <w:rPr>
                <w:rFonts w:ascii="Verdana" w:hAnsi="Verdana"/>
              </w:rPr>
            </w:pPr>
          </w:p>
          <w:p w14:paraId="4032EAED" w14:textId="77777777" w:rsidR="00EF6139" w:rsidRPr="00380CA4" w:rsidRDefault="00EF6139" w:rsidP="00F33237">
            <w:pPr>
              <w:jc w:val="both"/>
              <w:rPr>
                <w:rFonts w:ascii="Verdana" w:hAnsi="Verdana"/>
              </w:rPr>
            </w:pPr>
          </w:p>
        </w:tc>
        <w:tc>
          <w:tcPr>
            <w:tcW w:w="6237" w:type="dxa"/>
          </w:tcPr>
          <w:p w14:paraId="7C6B66C0" w14:textId="77777777" w:rsidR="00EF6139" w:rsidRPr="00380CA4" w:rsidRDefault="00EF6139" w:rsidP="00F33237">
            <w:pPr>
              <w:spacing w:line="256" w:lineRule="auto"/>
              <w:rPr>
                <w:rFonts w:ascii="Verdana" w:hAnsi="Verdana"/>
              </w:rPr>
            </w:pPr>
          </w:p>
        </w:tc>
      </w:tr>
    </w:tbl>
    <w:p w14:paraId="430EB470" w14:textId="77777777" w:rsidR="00EF6139" w:rsidRPr="00380CA4" w:rsidRDefault="00EF6139" w:rsidP="00EF6139">
      <w:pPr>
        <w:spacing w:after="0" w:line="256" w:lineRule="auto"/>
        <w:rPr>
          <w:rFonts w:ascii="Verdana" w:eastAsia="Calibri" w:hAnsi="Verdana" w:cs="Times New Roman"/>
        </w:rPr>
      </w:pPr>
      <w:r w:rsidRPr="00380CA4">
        <w:rPr>
          <w:rFonts w:ascii="Verdana" w:eastAsia="Calibri" w:hAnsi="Verdana" w:cs="Times New Roman"/>
        </w:rPr>
        <w:t xml:space="preserve">Estimado Señor Vargas: </w:t>
      </w:r>
    </w:p>
    <w:p w14:paraId="262CFD9D" w14:textId="77777777" w:rsidR="00EF6139" w:rsidRPr="00380CA4" w:rsidRDefault="00EF6139" w:rsidP="00EF6139">
      <w:pPr>
        <w:spacing w:after="0" w:line="256" w:lineRule="auto"/>
        <w:rPr>
          <w:rFonts w:ascii="Verdana" w:eastAsia="Calibri" w:hAnsi="Verdana" w:cs="Times New Roman"/>
        </w:rPr>
      </w:pPr>
    </w:p>
    <w:p w14:paraId="270A2A1B" w14:textId="77777777" w:rsidR="00EF6139" w:rsidRPr="00380CA4" w:rsidRDefault="00EF6139" w:rsidP="00EF6139">
      <w:pPr>
        <w:spacing w:after="120" w:line="276" w:lineRule="auto"/>
        <w:jc w:val="both"/>
        <w:rPr>
          <w:rFonts w:ascii="Verdana" w:eastAsia="Calibri" w:hAnsi="Verdana" w:cs="Times New Roman"/>
        </w:rPr>
      </w:pPr>
      <w:r w:rsidRPr="00380CA4">
        <w:rPr>
          <w:rFonts w:ascii="Verdana" w:eastAsia="Calibri" w:hAnsi="Verdana" w:cs="Arial"/>
          <w:bCs/>
          <w:color w:val="000000" w:themeColor="text1"/>
          <w:lang w:eastAsia="es-ES" w:bidi="es-ES"/>
        </w:rPr>
        <w:lastRenderedPageBreak/>
        <w:t xml:space="preserve">En ejercicio de la competencia otorgada por los artículos 3, numeral 5º, y 11, numeral 8º, del Decreto Ley 4170 de 2011, </w:t>
      </w:r>
      <w:r w:rsidRPr="00380CA4">
        <w:rPr>
          <w:rFonts w:ascii="Verdana" w:eastAsia="Calibri" w:hAnsi="Verdana" w:cs="Arial"/>
          <w:bCs/>
          <w:color w:val="000000" w:themeColor="text1"/>
          <w:lang w:eastAsia="es-ES"/>
        </w:rPr>
        <w:t xml:space="preserve">así como lo establecido por la Resolución 469 de 2025 expedida por esta Entidad, </w:t>
      </w:r>
      <w:r w:rsidRPr="00380CA4">
        <w:rPr>
          <w:rFonts w:ascii="Verdana" w:eastAsia="Calibri" w:hAnsi="Verdana" w:cs="Arial"/>
          <w:bCs/>
          <w:color w:val="000000" w:themeColor="text1"/>
          <w:lang w:eastAsia="es-ES" w:bidi="es-ES"/>
        </w:rPr>
        <w:t xml:space="preserve">la Agencia Nacional de Contratación Pública – Colombia Compra Eficiente– responde la solicitud de consulta </w:t>
      </w:r>
      <w:r w:rsidRPr="00380CA4">
        <w:rPr>
          <w:rFonts w:ascii="Verdana" w:eastAsia="Calibri" w:hAnsi="Verdana" w:cs="Times New Roman"/>
        </w:rPr>
        <w:t xml:space="preserve">presentada el 29 de enero de 2026, en la cual manifiesta: </w:t>
      </w:r>
      <w:r w:rsidRPr="00380CA4">
        <w:rPr>
          <w:rFonts w:ascii="Verdana" w:eastAsia="Calibri" w:hAnsi="Verdana" w:cs="Times New Roman"/>
          <w:iCs/>
        </w:rPr>
        <w:t>“¿Es procedente, en el marco de la Ley de Garantías, que las entidades</w:t>
      </w:r>
      <w:r w:rsidRPr="00380CA4">
        <w:rPr>
          <w:rFonts w:ascii="Verdana" w:eastAsia="Calibri" w:hAnsi="Verdana" w:cs="Times New Roman"/>
        </w:rPr>
        <w:t xml:space="preserve"> </w:t>
      </w:r>
      <w:r w:rsidRPr="00380CA4">
        <w:rPr>
          <w:rFonts w:ascii="Verdana" w:eastAsia="Calibri" w:hAnsi="Verdana" w:cs="Times New Roman"/>
          <w:iCs/>
        </w:rPr>
        <w:t>o autoridades competentes adelanten la adquisición de predios por motivos de utilidad pública y bajo la declaratoria de urgencia manifiesta, destinados a la prestación de servicios públicos no domiciliarios, a través de los procesos de enajenación voluntaria o expropiación?”</w:t>
      </w:r>
    </w:p>
    <w:p w14:paraId="4BFE1EE1" w14:textId="77777777" w:rsidR="00EF6139" w:rsidRPr="00380CA4" w:rsidRDefault="00EF6139" w:rsidP="00EF6139">
      <w:pPr>
        <w:spacing w:after="120" w:line="276" w:lineRule="auto"/>
        <w:ind w:firstLine="709"/>
        <w:jc w:val="both"/>
        <w:rPr>
          <w:rFonts w:ascii="Verdana" w:eastAsia="Calibri" w:hAnsi="Verdana" w:cs="Times New Roman"/>
        </w:rPr>
      </w:pPr>
      <w:r w:rsidRPr="00380CA4">
        <w:rPr>
          <w:rFonts w:ascii="Verdana" w:eastAsia="Calibri" w:hAnsi="Verdana" w:cs="Times New Roman"/>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6EF38C1B" w14:textId="77777777" w:rsidR="00EF6139" w:rsidRPr="00380CA4" w:rsidRDefault="00EF6139" w:rsidP="00EF6139">
      <w:pPr>
        <w:spacing w:after="0" w:line="276" w:lineRule="auto"/>
        <w:ind w:firstLine="708"/>
        <w:jc w:val="both"/>
        <w:rPr>
          <w:rFonts w:ascii="Verdana" w:eastAsia="Calibri" w:hAnsi="Verdana" w:cs="Times New Roman"/>
        </w:rPr>
      </w:pPr>
      <w:r w:rsidRPr="00380CA4">
        <w:rPr>
          <w:rFonts w:ascii="Verdana" w:eastAsia="Calibri" w:hAnsi="Verdana" w:cs="Times New Roman"/>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w:t>
      </w:r>
      <w:r>
        <w:rPr>
          <w:rFonts w:ascii="Verdana" w:eastAsia="Calibri" w:hAnsi="Verdana" w:cs="Times New Roman"/>
        </w:rPr>
        <w:t xml:space="preserve">s generales relacionadas con los problemas jurídicos </w:t>
      </w:r>
      <w:r w:rsidRPr="00380CA4">
        <w:rPr>
          <w:rFonts w:ascii="Verdana" w:eastAsia="Calibri" w:hAnsi="Verdana" w:cs="Times New Roman"/>
        </w:rPr>
        <w:t xml:space="preserve">de su consulta. </w:t>
      </w:r>
    </w:p>
    <w:p w14:paraId="1052D701" w14:textId="77777777" w:rsidR="00EF6139" w:rsidRPr="00380CA4" w:rsidRDefault="00EF6139" w:rsidP="00EF6139">
      <w:pPr>
        <w:spacing w:after="0" w:line="276" w:lineRule="auto"/>
        <w:rPr>
          <w:rFonts w:ascii="Verdana" w:eastAsia="Calibri" w:hAnsi="Verdana" w:cs="Times New Roman"/>
        </w:rPr>
      </w:pPr>
    </w:p>
    <w:p w14:paraId="550F0A1E" w14:textId="77777777" w:rsidR="00EF6139" w:rsidRPr="00380CA4" w:rsidRDefault="00EF6139" w:rsidP="00EF6139">
      <w:pPr>
        <w:numPr>
          <w:ilvl w:val="0"/>
          <w:numId w:val="21"/>
        </w:numPr>
        <w:spacing w:after="0" w:line="276" w:lineRule="auto"/>
        <w:contextualSpacing/>
        <w:rPr>
          <w:rFonts w:ascii="Verdana" w:eastAsia="Calibri" w:hAnsi="Verdana" w:cs="Times New Roman"/>
          <w:b/>
          <w:bCs/>
        </w:rPr>
      </w:pPr>
      <w:r w:rsidRPr="00380CA4">
        <w:rPr>
          <w:rFonts w:ascii="Verdana" w:eastAsia="Calibri" w:hAnsi="Verdana" w:cs="Times New Roman"/>
          <w:b/>
          <w:bCs/>
        </w:rPr>
        <w:t>Problema planteado:</w:t>
      </w:r>
    </w:p>
    <w:p w14:paraId="3D04090D" w14:textId="77777777" w:rsidR="00EF6139" w:rsidRPr="00380CA4" w:rsidRDefault="00EF6139" w:rsidP="00EF6139">
      <w:pPr>
        <w:spacing w:after="0" w:line="276" w:lineRule="auto"/>
        <w:rPr>
          <w:rFonts w:ascii="Verdana" w:eastAsia="Calibri" w:hAnsi="Verdana" w:cs="Times New Roman"/>
        </w:rPr>
      </w:pPr>
    </w:p>
    <w:p w14:paraId="5EDBFDA1" w14:textId="77777777" w:rsidR="00EF6139" w:rsidRPr="00380CA4" w:rsidRDefault="00EF6139" w:rsidP="00EF6139">
      <w:pPr>
        <w:spacing w:after="0" w:line="276" w:lineRule="auto"/>
        <w:jc w:val="both"/>
        <w:rPr>
          <w:rFonts w:ascii="Verdana" w:eastAsia="Calibri" w:hAnsi="Verdana" w:cs="Times New Roman"/>
          <w:iCs/>
        </w:rPr>
      </w:pPr>
      <w:r w:rsidRPr="00380CA4">
        <w:rPr>
          <w:rFonts w:ascii="Verdana" w:eastAsia="Calibri" w:hAnsi="Verdana" w:cs="Times New Roman"/>
        </w:rPr>
        <w:t>De</w:t>
      </w:r>
      <w:r>
        <w:rPr>
          <w:rFonts w:ascii="Verdana" w:eastAsia="Calibri" w:hAnsi="Verdana" w:cs="Times New Roman"/>
        </w:rPr>
        <w:t xml:space="preserve"> acuerdo con el contenido de su solicitud</w:t>
      </w:r>
      <w:r w:rsidRPr="00380CA4">
        <w:rPr>
          <w:rFonts w:ascii="Verdana" w:eastAsia="Calibri" w:hAnsi="Verdana" w:cs="Times New Roman"/>
        </w:rPr>
        <w:t xml:space="preserve">, esta Agencia procede a resolver </w:t>
      </w:r>
      <w:r>
        <w:rPr>
          <w:rFonts w:ascii="Verdana" w:eastAsia="Calibri" w:hAnsi="Verdana" w:cs="Times New Roman"/>
        </w:rPr>
        <w:t xml:space="preserve">los siguientes problemas </w:t>
      </w:r>
      <w:r w:rsidRPr="00380CA4">
        <w:rPr>
          <w:rFonts w:ascii="Verdana" w:eastAsia="Calibri" w:hAnsi="Verdana" w:cs="Times New Roman"/>
        </w:rPr>
        <w:t>jurídico</w:t>
      </w:r>
      <w:r>
        <w:rPr>
          <w:rFonts w:ascii="Verdana" w:eastAsia="Calibri" w:hAnsi="Verdana" w:cs="Times New Roman"/>
        </w:rPr>
        <w:t>s</w:t>
      </w:r>
      <w:r w:rsidRPr="00380CA4">
        <w:rPr>
          <w:rFonts w:ascii="Verdana" w:eastAsia="Calibri" w:hAnsi="Verdana" w:cs="Times New Roman"/>
        </w:rPr>
        <w:t>:</w:t>
      </w:r>
      <w:r w:rsidRPr="00380CA4">
        <w:rPr>
          <w:rFonts w:ascii="Verdana" w:eastAsia="Calibri" w:hAnsi="Verdana" w:cs="Times New Roman"/>
          <w:iCs/>
        </w:rPr>
        <w:t xml:space="preserve"> </w:t>
      </w:r>
      <w:r>
        <w:rPr>
          <w:rFonts w:ascii="Verdana" w:eastAsia="Calibri" w:hAnsi="Verdana" w:cs="Times New Roman"/>
          <w:iCs/>
        </w:rPr>
        <w:t xml:space="preserve">i) </w:t>
      </w:r>
      <w:r w:rsidRPr="00380CA4">
        <w:rPr>
          <w:rFonts w:ascii="Verdana" w:eastAsia="Calibri" w:hAnsi="Verdana" w:cs="Times New Roman"/>
          <w:iCs/>
        </w:rPr>
        <w:t xml:space="preserve">¿Resulta procedente, en el marco de las </w:t>
      </w:r>
      <w:r w:rsidRPr="00380CA4">
        <w:rPr>
          <w:rFonts w:ascii="Verdana" w:eastAsia="Calibri" w:hAnsi="Verdana" w:cs="Times New Roman"/>
          <w:iCs/>
        </w:rPr>
        <w:lastRenderedPageBreak/>
        <w:t>restricciones impuestas por la Ley de Garantías Electorales, que las entidades estatales adelanten procesos de adquisición de predios —ya sea mediante enajenación voluntaria o expropiación</w:t>
      </w:r>
      <w:r>
        <w:rPr>
          <w:rFonts w:ascii="Verdana" w:eastAsia="Calibri" w:hAnsi="Verdana" w:cs="Times New Roman"/>
          <w:iCs/>
        </w:rPr>
        <w:t xml:space="preserve"> administrativa</w:t>
      </w:r>
      <w:r w:rsidRPr="00380CA4">
        <w:rPr>
          <w:rFonts w:ascii="Verdana" w:eastAsia="Calibri" w:hAnsi="Verdana" w:cs="Times New Roman"/>
          <w:iCs/>
        </w:rPr>
        <w:t>—?</w:t>
      </w:r>
      <w:r>
        <w:rPr>
          <w:rFonts w:ascii="Verdana" w:eastAsia="Calibri" w:hAnsi="Verdana" w:cs="Times New Roman"/>
          <w:iCs/>
        </w:rPr>
        <w:t xml:space="preserve">; </w:t>
      </w:r>
      <w:proofErr w:type="spellStart"/>
      <w:r>
        <w:rPr>
          <w:rFonts w:ascii="Verdana" w:eastAsia="Calibri" w:hAnsi="Verdana" w:cs="Times New Roman"/>
          <w:iCs/>
        </w:rPr>
        <w:t>ii</w:t>
      </w:r>
      <w:proofErr w:type="spellEnd"/>
      <w:r>
        <w:rPr>
          <w:rFonts w:ascii="Verdana" w:eastAsia="Calibri" w:hAnsi="Verdana" w:cs="Times New Roman"/>
          <w:iCs/>
        </w:rPr>
        <w:t>) ¿Es procedente, en el marco de las restricciones de la Ley de Garantías Electorales, que las entidades adelanten la adquisición de predios mediante la declaratoria de urgencia manifiesta?</w:t>
      </w:r>
    </w:p>
    <w:p w14:paraId="389DF563" w14:textId="77777777" w:rsidR="00EF6139" w:rsidRPr="00380CA4" w:rsidRDefault="00EF6139" w:rsidP="00EF6139">
      <w:pPr>
        <w:spacing w:after="0" w:line="276" w:lineRule="auto"/>
        <w:jc w:val="both"/>
        <w:rPr>
          <w:rFonts w:ascii="Verdana" w:eastAsia="Calibri" w:hAnsi="Verdana" w:cs="Times New Roman"/>
          <w:i/>
          <w:iCs/>
        </w:rPr>
      </w:pPr>
    </w:p>
    <w:p w14:paraId="1EDBA006" w14:textId="77777777" w:rsidR="00EF6139" w:rsidRPr="00380CA4" w:rsidRDefault="00EF6139" w:rsidP="00EF6139">
      <w:pPr>
        <w:numPr>
          <w:ilvl w:val="0"/>
          <w:numId w:val="21"/>
        </w:numPr>
        <w:spacing w:after="0" w:line="276" w:lineRule="auto"/>
        <w:contextualSpacing/>
        <w:rPr>
          <w:rFonts w:ascii="Verdana" w:eastAsia="Calibri" w:hAnsi="Verdana" w:cs="Times New Roman"/>
          <w:b/>
          <w:bCs/>
        </w:rPr>
      </w:pPr>
      <w:r w:rsidRPr="00380CA4">
        <w:rPr>
          <w:rFonts w:ascii="Verdana" w:eastAsia="Calibri" w:hAnsi="Verdana" w:cs="Times New Roman"/>
          <w:b/>
          <w:bCs/>
        </w:rPr>
        <w:t>Respuesta:</w:t>
      </w:r>
    </w:p>
    <w:p w14:paraId="6A96BD79" w14:textId="77777777" w:rsidR="00EF6139" w:rsidRPr="00380CA4" w:rsidRDefault="00EF6139" w:rsidP="00EF6139">
      <w:pPr>
        <w:spacing w:after="0" w:line="276" w:lineRule="auto"/>
        <w:rPr>
          <w:rFonts w:ascii="Verdana" w:eastAsia="Calibri" w:hAnsi="Verdana" w:cs="Times New Roman"/>
          <w:b/>
          <w:bC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EF6139" w:rsidRPr="00380CA4" w14:paraId="01819B27" w14:textId="77777777" w:rsidTr="00F33237">
        <w:trPr>
          <w:trHeight w:val="345"/>
          <w:jc w:val="center"/>
        </w:trPr>
        <w:tc>
          <w:tcPr>
            <w:tcW w:w="8784" w:type="dxa"/>
            <w:tcBorders>
              <w:bottom w:val="single" w:sz="4" w:space="0" w:color="auto"/>
            </w:tcBorders>
          </w:tcPr>
          <w:p w14:paraId="33EFCD1C" w14:textId="77777777" w:rsidR="00EF6139" w:rsidRDefault="00EF6139" w:rsidP="00F33237">
            <w:pPr>
              <w:tabs>
                <w:tab w:val="left" w:pos="426"/>
              </w:tabs>
              <w:spacing w:line="276" w:lineRule="auto"/>
              <w:jc w:val="both"/>
              <w:rPr>
                <w:rFonts w:ascii="Verdana" w:eastAsia="Calibri" w:hAnsi="Verdana" w:cs="Times New Roman"/>
              </w:rPr>
            </w:pPr>
            <w:r>
              <w:rPr>
                <w:rFonts w:ascii="Verdana" w:eastAsia="Calibri" w:hAnsi="Verdana" w:cs="Times New Roman"/>
              </w:rPr>
              <w:t>En torno a los problemas jurídicos, objeto de consulta, se expresa:</w:t>
            </w:r>
          </w:p>
          <w:p w14:paraId="119C7235" w14:textId="77777777" w:rsidR="00EF6139" w:rsidRDefault="00EF6139" w:rsidP="00F33237">
            <w:pPr>
              <w:tabs>
                <w:tab w:val="left" w:pos="426"/>
              </w:tabs>
              <w:spacing w:line="276" w:lineRule="auto"/>
              <w:jc w:val="both"/>
              <w:rPr>
                <w:rFonts w:ascii="Verdana" w:eastAsia="Calibri" w:hAnsi="Verdana" w:cs="Times New Roman"/>
              </w:rPr>
            </w:pPr>
          </w:p>
          <w:p w14:paraId="39D61639" w14:textId="77777777" w:rsidR="00EF6139" w:rsidRPr="00380CA4" w:rsidRDefault="00EF6139" w:rsidP="00F33237">
            <w:pPr>
              <w:tabs>
                <w:tab w:val="left" w:pos="426"/>
              </w:tabs>
              <w:spacing w:after="120" w:line="276" w:lineRule="auto"/>
              <w:jc w:val="both"/>
              <w:rPr>
                <w:rFonts w:ascii="Verdana" w:eastAsia="Times New Roman" w:hAnsi="Verdana" w:cs="Arial"/>
                <w:lang w:eastAsia="es-ES_tradnl"/>
              </w:rPr>
            </w:pPr>
            <w:r>
              <w:rPr>
                <w:rFonts w:ascii="Verdana" w:eastAsia="Calibri" w:hAnsi="Verdana" w:cs="Times New Roman"/>
              </w:rPr>
              <w:t xml:space="preserve">i. </w:t>
            </w:r>
            <w:r w:rsidRPr="00380CA4">
              <w:rPr>
                <w:rFonts w:ascii="Verdana" w:eastAsia="Calibri" w:hAnsi="Verdana" w:cs="Times New Roman"/>
              </w:rPr>
              <w:t xml:space="preserve">En cuanto al </w:t>
            </w:r>
            <w:r>
              <w:rPr>
                <w:rFonts w:ascii="Verdana" w:eastAsia="Calibri" w:hAnsi="Verdana" w:cs="Times New Roman"/>
              </w:rPr>
              <w:t xml:space="preserve">primer </w:t>
            </w:r>
            <w:r w:rsidRPr="00380CA4">
              <w:rPr>
                <w:rFonts w:ascii="Verdana" w:eastAsia="Calibri" w:hAnsi="Verdana" w:cs="Times New Roman"/>
              </w:rPr>
              <w:t xml:space="preserve">problema jurídico, objeto de consulta, </w:t>
            </w:r>
            <w:r w:rsidRPr="00380CA4">
              <w:rPr>
                <w:rFonts w:ascii="Verdana" w:eastAsia="Times New Roman" w:hAnsi="Verdana" w:cs="Arial"/>
                <w:lang w:eastAsia="es-ES_tradnl"/>
              </w:rPr>
              <w:t xml:space="preserve">se precisa que la adquisición de los predios que se realice por enajenación voluntaria está sometida a un régimen especial de contratación. Sin embargo, como se explicó en las razones de la respuesta, esta culmina con la suscripción de un contrato de promesa de compraventa o de compraventa entre la entidad y la persona, con lo cual se trata de un procedimiento de contratación estatal no competitivo que está restringido por la prohibición del artículo 33 de la Ley 996 de 2005. </w:t>
            </w:r>
          </w:p>
          <w:p w14:paraId="651F60AC" w14:textId="77777777" w:rsidR="00EF6139" w:rsidRPr="00380CA4" w:rsidRDefault="00EF6139" w:rsidP="00F33237">
            <w:pPr>
              <w:tabs>
                <w:tab w:val="left" w:pos="426"/>
              </w:tabs>
              <w:spacing w:after="120" w:line="276" w:lineRule="auto"/>
              <w:jc w:val="both"/>
              <w:rPr>
                <w:rFonts w:ascii="Verdana" w:eastAsia="Times New Roman" w:hAnsi="Verdana" w:cs="Arial"/>
                <w:bCs/>
                <w:lang w:eastAsia="es-ES_tradnl"/>
              </w:rPr>
            </w:pPr>
            <w:r w:rsidRPr="00380CA4">
              <w:rPr>
                <w:rFonts w:ascii="Verdana" w:eastAsia="Times New Roman" w:hAnsi="Verdana" w:cs="Arial"/>
                <w:lang w:eastAsia="es-ES_tradnl"/>
              </w:rPr>
              <w:tab/>
            </w:r>
            <w:r w:rsidRPr="00380CA4">
              <w:rPr>
                <w:rFonts w:ascii="Verdana" w:eastAsia="Times New Roman" w:hAnsi="Verdana" w:cs="Arial"/>
                <w:lang w:eastAsia="es-ES_tradnl"/>
              </w:rPr>
              <w:tab/>
            </w:r>
            <w:r w:rsidRPr="00380CA4">
              <w:rPr>
                <w:rFonts w:ascii="Verdana" w:eastAsia="Times New Roman" w:hAnsi="Verdana" w:cs="Arial"/>
                <w:bCs/>
                <w:lang w:eastAsia="es-ES_tradnl"/>
              </w:rPr>
              <w:t xml:space="preserve">En tal sentido, se reitera que la restricción del artículo 33 de la Ley 996 de 2005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 Esto, sin perjuicio de las excepciones a la prohibición establecidas en el inciso segundo del mismo artículo 33, como son: i) la defensa y seguridad del Estado; </w:t>
            </w:r>
            <w:proofErr w:type="spellStart"/>
            <w:r w:rsidRPr="00380CA4">
              <w:rPr>
                <w:rFonts w:ascii="Verdana" w:eastAsia="Times New Roman" w:hAnsi="Verdana" w:cs="Arial"/>
                <w:bCs/>
                <w:lang w:eastAsia="es-ES_tradnl"/>
              </w:rPr>
              <w:t>ii</w:t>
            </w:r>
            <w:proofErr w:type="spellEnd"/>
            <w:r w:rsidRPr="00380CA4">
              <w:rPr>
                <w:rFonts w:ascii="Verdana" w:eastAsia="Times New Roman" w:hAnsi="Verdana" w:cs="Arial"/>
                <w:bCs/>
                <w:lang w:eastAsia="es-ES_tradnl"/>
              </w:rPr>
              <w:t xml:space="preserve">) los contratos de crédito público; </w:t>
            </w:r>
            <w:proofErr w:type="spellStart"/>
            <w:r w:rsidRPr="00380CA4">
              <w:rPr>
                <w:rFonts w:ascii="Verdana" w:eastAsia="Times New Roman" w:hAnsi="Verdana" w:cs="Arial"/>
                <w:bCs/>
                <w:lang w:eastAsia="es-ES_tradnl"/>
              </w:rPr>
              <w:t>iii</w:t>
            </w:r>
            <w:proofErr w:type="spellEnd"/>
            <w:r w:rsidRPr="00380CA4">
              <w:rPr>
                <w:rFonts w:ascii="Verdana" w:eastAsia="Times New Roman" w:hAnsi="Verdana" w:cs="Arial"/>
                <w:bCs/>
                <w:lang w:eastAsia="es-ES_tradnl"/>
              </w:rPr>
              <w:t xml:space="preserve">) los requeridos para cubrir las emergencias educativas, sanitarias y desastres; </w:t>
            </w:r>
            <w:proofErr w:type="spellStart"/>
            <w:r w:rsidRPr="00380CA4">
              <w:rPr>
                <w:rFonts w:ascii="Verdana" w:eastAsia="Times New Roman" w:hAnsi="Verdana" w:cs="Arial"/>
                <w:bCs/>
                <w:lang w:eastAsia="es-ES_tradnl"/>
              </w:rPr>
              <w:t>iv</w:t>
            </w:r>
            <w:proofErr w:type="spellEnd"/>
            <w:r w:rsidRPr="00380CA4">
              <w:rPr>
                <w:rFonts w:ascii="Verdana" w:eastAsia="Times New Roman" w:hAnsi="Verdana" w:cs="Arial"/>
                <w:bCs/>
                <w:lang w:eastAsia="es-ES_tradnl"/>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w:t>
            </w:r>
            <w:r w:rsidRPr="00380CA4">
              <w:rPr>
                <w:rFonts w:ascii="Verdana" w:eastAsia="Times New Roman" w:hAnsi="Verdana" w:cs="Arial"/>
                <w:bCs/>
                <w:lang w:eastAsia="es-ES_tradnl"/>
              </w:rPr>
              <w:lastRenderedPageBreak/>
              <w:t>excepciones, de manera que se le permita realizar</w:t>
            </w:r>
            <w:r>
              <w:rPr>
                <w:rFonts w:ascii="Verdana" w:eastAsia="Times New Roman" w:hAnsi="Verdana" w:cs="Arial"/>
                <w:bCs/>
                <w:lang w:eastAsia="es-ES_tradnl"/>
              </w:rPr>
              <w:t xml:space="preserve"> la contratación que necesite de</w:t>
            </w:r>
            <w:r w:rsidRPr="00380CA4">
              <w:rPr>
                <w:rFonts w:ascii="Verdana" w:eastAsia="Times New Roman" w:hAnsi="Verdana" w:cs="Arial"/>
                <w:bCs/>
                <w:lang w:eastAsia="es-ES_tradnl"/>
              </w:rPr>
              <w:t xml:space="preserve"> forma directa.</w:t>
            </w:r>
          </w:p>
          <w:p w14:paraId="7FCC89C3" w14:textId="77777777" w:rsidR="00EF6139" w:rsidRPr="00380CA4" w:rsidRDefault="00EF6139" w:rsidP="00F33237">
            <w:pPr>
              <w:tabs>
                <w:tab w:val="left" w:pos="426"/>
              </w:tabs>
              <w:spacing w:after="120" w:line="276" w:lineRule="auto"/>
              <w:jc w:val="both"/>
              <w:rPr>
                <w:rFonts w:ascii="Verdana" w:eastAsia="Times New Roman" w:hAnsi="Verdana" w:cs="Arial"/>
                <w:lang w:eastAsia="es-ES_tradnl"/>
              </w:rPr>
            </w:pPr>
            <w:r w:rsidRPr="00380CA4">
              <w:rPr>
                <w:rFonts w:ascii="Verdana" w:eastAsia="Times New Roman" w:hAnsi="Verdana" w:cs="Arial"/>
                <w:lang w:eastAsia="es-ES_tradnl"/>
              </w:rPr>
              <w:tab/>
            </w:r>
            <w:r w:rsidRPr="00380CA4">
              <w:rPr>
                <w:rFonts w:ascii="Verdana" w:eastAsia="Times New Roman" w:hAnsi="Verdana" w:cs="Arial"/>
                <w:lang w:eastAsia="es-ES_tradnl"/>
              </w:rPr>
              <w:tab/>
              <w:t xml:space="preserve">De igual forma, debe precisarse que la compraventa de inmuebles no corresponde a un convenio interadministrativo ni a una forma de asociación entre entidades públicas, por lo que no se enmarca en la prohibición del parágrafo del artículo 38 de la Ley 996 de 2005, salvo que el proceso de adquisición predial sea instrumentado mediante la celebración de convenios interadministrativos que impliquen la ejecución de recursos públicos, caso en el cual sí aplica la citada prohibición. </w:t>
            </w:r>
          </w:p>
          <w:p w14:paraId="64CDF187" w14:textId="77777777" w:rsidR="00EF6139" w:rsidRPr="00C04BE5" w:rsidRDefault="00EF6139" w:rsidP="00F33237">
            <w:pPr>
              <w:tabs>
                <w:tab w:val="left" w:pos="426"/>
              </w:tabs>
              <w:spacing w:line="276" w:lineRule="auto"/>
              <w:jc w:val="both"/>
              <w:rPr>
                <w:rFonts w:ascii="Verdana" w:eastAsia="Times New Roman" w:hAnsi="Verdana" w:cs="Arial"/>
                <w:lang w:eastAsia="es-ES_tradnl"/>
              </w:rPr>
            </w:pPr>
            <w:r w:rsidRPr="00380CA4">
              <w:rPr>
                <w:rFonts w:ascii="Verdana" w:eastAsia="Times New Roman" w:hAnsi="Verdana" w:cs="Arial"/>
                <w:lang w:eastAsia="es-ES_tradnl"/>
              </w:rPr>
              <w:tab/>
            </w:r>
            <w:r w:rsidRPr="00380CA4">
              <w:rPr>
                <w:rFonts w:ascii="Verdana" w:eastAsia="Times New Roman" w:hAnsi="Verdana" w:cs="Arial"/>
                <w:lang w:eastAsia="es-ES_tradnl"/>
              </w:rPr>
              <w:tab/>
              <w:t xml:space="preserve">En contraste, cuando la adquisición de un bien se realiza mediante el procedimiento de expropiación administrativa, no se configura la celebración de un contrato, pues se trata de un acto administrativo sustentado en motivos de utilidad pública o interés social y en condiciones de urgencia previamente definidas por la ley. En este escenario, la transferencia de la propiedad se produce por decisión administrativa y no por acuerdo de voluntades, lo que implica que no se materializan las prohibiciones de contratación previstas en los artículos 33 y 38 de la Ley de Garantías Electorales. </w:t>
            </w:r>
            <w:r w:rsidRPr="00380CA4">
              <w:rPr>
                <w:rFonts w:ascii="Verdana" w:eastAsia="Times New Roman" w:hAnsi="Verdana" w:cs="Arial"/>
                <w:bCs/>
                <w:lang w:eastAsia="x-none"/>
              </w:rPr>
              <w:t>De esta manera, es procedente en el período de Ley de Garantías Electorales el uso de la expropiación administrativa por utilidad pública o por interés social, sujetándose a las condiciones y los criterios para la declaratoria de urgencia prescritas en los artículos 63 y 64 de la Ley 388 de 1997, así como las finalidades enunciadas en los literales a), b), c), d), e), h), j), k), l) y m) del artículo 58 de la misma ley.</w:t>
            </w:r>
            <w:r w:rsidRPr="00380CA4">
              <w:rPr>
                <w:rFonts w:ascii="Verdana" w:hAnsi="Verdana"/>
              </w:rPr>
              <w:t xml:space="preserve"> En esta línea</w:t>
            </w:r>
            <w:r w:rsidRPr="00380CA4">
              <w:rPr>
                <w:rFonts w:ascii="Verdana" w:eastAsia="Times New Roman" w:hAnsi="Verdana" w:cs="Arial"/>
                <w:bCs/>
                <w:lang w:eastAsia="x-none"/>
              </w:rPr>
              <w:t>, se garantiza que el uso del instrumento expropiatorio se ajuste a los objetivos de ordenamiento territorial y desarrollo urbano previstos por la normativa, incluso dentro del período de restricciones electorales.</w:t>
            </w:r>
          </w:p>
          <w:p w14:paraId="4BB7B344" w14:textId="77777777" w:rsidR="00EF6139" w:rsidRDefault="00EF6139" w:rsidP="00F33237">
            <w:pPr>
              <w:spacing w:after="120" w:line="276" w:lineRule="auto"/>
              <w:jc w:val="both"/>
              <w:rPr>
                <w:rFonts w:ascii="Verdana" w:eastAsia="Calibri" w:hAnsi="Verdana" w:cs="Arial"/>
              </w:rPr>
            </w:pPr>
          </w:p>
          <w:p w14:paraId="61650EC5" w14:textId="77777777" w:rsidR="00EF6139" w:rsidRPr="0004207F" w:rsidRDefault="00EF6139" w:rsidP="00F33237">
            <w:pPr>
              <w:shd w:val="clear" w:color="auto" w:fill="FFFFFF"/>
              <w:spacing w:after="120" w:line="276" w:lineRule="auto"/>
              <w:jc w:val="both"/>
              <w:rPr>
                <w:rFonts w:ascii="Verdana" w:eastAsia="Calibri" w:hAnsi="Verdana" w:cs="Arial"/>
              </w:rPr>
            </w:pPr>
            <w:proofErr w:type="spellStart"/>
            <w:r>
              <w:rPr>
                <w:rFonts w:ascii="Verdana" w:eastAsia="Calibri" w:hAnsi="Verdana" w:cs="Arial"/>
              </w:rPr>
              <w:t>ii</w:t>
            </w:r>
            <w:proofErr w:type="spellEnd"/>
            <w:r>
              <w:rPr>
                <w:rFonts w:ascii="Verdana" w:eastAsia="Calibri" w:hAnsi="Verdana" w:cs="Arial"/>
              </w:rPr>
              <w:t xml:space="preserve">. En torno al segundo problema jurídico, se señala que </w:t>
            </w:r>
            <w:r w:rsidRPr="0004207F">
              <w:rPr>
                <w:rFonts w:ascii="Verdana" w:hAnsi="Verdana" w:cs="Arial"/>
                <w:bCs/>
                <w:lang w:val="es-ES_tradnl"/>
              </w:rPr>
              <w:t>las excepciones a la prohibición contenida en el inciso segundo de</w:t>
            </w:r>
            <w:r>
              <w:rPr>
                <w:rFonts w:ascii="Verdana" w:hAnsi="Verdana" w:cs="Arial"/>
                <w:bCs/>
                <w:lang w:val="es-ES_tradnl"/>
              </w:rPr>
              <w:t>l</w:t>
            </w:r>
            <w:r w:rsidRPr="0004207F">
              <w:rPr>
                <w:rFonts w:ascii="Verdana" w:hAnsi="Verdana" w:cs="Arial"/>
                <w:bCs/>
                <w:lang w:val="es-ES_tradnl"/>
              </w:rPr>
              <w:t xml:space="preserve"> artículo 33 de la </w:t>
            </w:r>
            <w:r>
              <w:rPr>
                <w:rFonts w:ascii="Verdana" w:hAnsi="Verdana" w:cs="Arial"/>
                <w:bCs/>
                <w:lang w:val="es-ES_tradnl"/>
              </w:rPr>
              <w:t>L</w:t>
            </w:r>
            <w:r w:rsidRPr="0004207F">
              <w:rPr>
                <w:rFonts w:ascii="Verdana" w:hAnsi="Verdana" w:cs="Arial"/>
                <w:bCs/>
                <w:lang w:val="es-ES_tradnl"/>
              </w:rPr>
              <w:t xml:space="preserve">ey de </w:t>
            </w:r>
            <w:r>
              <w:rPr>
                <w:rFonts w:ascii="Verdana" w:hAnsi="Verdana" w:cs="Arial"/>
                <w:bCs/>
                <w:lang w:val="es-ES_tradnl"/>
              </w:rPr>
              <w:t>G</w:t>
            </w:r>
            <w:r w:rsidRPr="0004207F">
              <w:rPr>
                <w:rFonts w:ascii="Verdana" w:hAnsi="Verdana" w:cs="Arial"/>
                <w:bCs/>
                <w:lang w:val="es-ES_tradnl"/>
              </w:rPr>
              <w:t xml:space="preserve">arantías </w:t>
            </w:r>
            <w:r>
              <w:rPr>
                <w:rFonts w:ascii="Verdana" w:hAnsi="Verdana" w:cs="Arial"/>
                <w:bCs/>
                <w:lang w:val="es-ES_tradnl"/>
              </w:rPr>
              <w:t>E</w:t>
            </w:r>
            <w:r w:rsidRPr="0004207F">
              <w:rPr>
                <w:rFonts w:ascii="Verdana" w:hAnsi="Verdana" w:cs="Arial"/>
                <w:bCs/>
                <w:lang w:val="es-ES_tradnl"/>
              </w:rPr>
              <w:t xml:space="preserv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w:t>
            </w:r>
            <w:r w:rsidRPr="0004207F">
              <w:rPr>
                <w:rFonts w:ascii="Verdana" w:hAnsi="Verdana" w:cs="Arial"/>
                <w:bCs/>
                <w:lang w:val="es-MX" w:eastAsia="x-none"/>
              </w:rPr>
              <w:t>Entre las excepciones del artículo en comento se encuentran “[…] l</w:t>
            </w:r>
            <w:r w:rsidRPr="0004207F">
              <w:rPr>
                <w:rFonts w:ascii="Verdana" w:hAnsi="Verdana" w:cs="Arial"/>
                <w:bCs/>
                <w:lang w:eastAsia="x-none"/>
              </w:rPr>
              <w:t xml:space="preserve">os requeridos para cubrir las </w:t>
            </w:r>
            <w:r w:rsidRPr="0004207F">
              <w:rPr>
                <w:rFonts w:ascii="Verdana" w:hAnsi="Verdana" w:cs="Arial"/>
                <w:bCs/>
                <w:lang w:eastAsia="x-none"/>
              </w:rPr>
              <w:lastRenderedPageBreak/>
              <w:t>emergencias educativas, sanitarias y desastres […]</w:t>
            </w:r>
            <w:r>
              <w:rPr>
                <w:rFonts w:ascii="Verdana" w:hAnsi="Verdana" w:cs="Arial"/>
                <w:bCs/>
                <w:lang w:eastAsia="x-none"/>
              </w:rPr>
              <w:t xml:space="preserve"> </w:t>
            </w:r>
            <w:r w:rsidRPr="008A0D3F">
              <w:rPr>
                <w:rFonts w:ascii="Verdana" w:hAnsi="Verdana" w:cs="Arial"/>
                <w:bCs/>
                <w:lang w:eastAsia="x-none"/>
              </w:rPr>
              <w:t>desastres na</w:t>
            </w:r>
            <w:r>
              <w:rPr>
                <w:rFonts w:ascii="Verdana" w:hAnsi="Verdana" w:cs="Arial"/>
                <w:bCs/>
                <w:lang w:eastAsia="x-none"/>
              </w:rPr>
              <w:t>turales o casos de fuerza mayor […]</w:t>
            </w:r>
            <w:r w:rsidRPr="0004207F">
              <w:rPr>
                <w:rFonts w:ascii="Verdana" w:hAnsi="Verdana" w:cs="Arial"/>
                <w:bCs/>
                <w:lang w:val="es-MX" w:eastAsia="x-none"/>
              </w:rPr>
              <w:t>”</w:t>
            </w:r>
            <w:r w:rsidRPr="0004207F">
              <w:rPr>
                <w:rFonts w:ascii="Verdana" w:eastAsia="Calibri" w:hAnsi="Verdana" w:cs="Arial"/>
              </w:rPr>
              <w:t xml:space="preserve">. </w:t>
            </w:r>
          </w:p>
          <w:p w14:paraId="7CF477F3" w14:textId="77777777" w:rsidR="00EF6139" w:rsidRPr="00AB6523" w:rsidRDefault="00EF6139" w:rsidP="00F33237">
            <w:pPr>
              <w:spacing w:after="120" w:line="276" w:lineRule="auto"/>
              <w:jc w:val="both"/>
              <w:rPr>
                <w:rFonts w:ascii="Verdana" w:eastAsia="Calibri" w:hAnsi="Verdana" w:cs="Arial"/>
                <w:bCs/>
                <w:color w:val="000000" w:themeColor="text1"/>
              </w:rPr>
            </w:pPr>
            <w:r w:rsidRPr="0004207F">
              <w:rPr>
                <w:rFonts w:ascii="Verdana" w:eastAsia="Calibri" w:hAnsi="Verdana" w:cs="Arial"/>
                <w:bCs/>
                <w:color w:val="000000" w:themeColor="text1"/>
              </w:rPr>
              <w:tab/>
              <w:t>Dentro de este marco</w:t>
            </w:r>
            <w:r>
              <w:rPr>
                <w:rFonts w:ascii="Verdana" w:eastAsia="Calibri" w:hAnsi="Verdana" w:cs="Arial"/>
                <w:bCs/>
                <w:color w:val="000000" w:themeColor="text1"/>
              </w:rPr>
              <w:t xml:space="preserve">, </w:t>
            </w:r>
            <w:r>
              <w:rPr>
                <w:rFonts w:ascii="Verdana" w:eastAsia="Calibri" w:hAnsi="Verdana" w:cs="Arial"/>
                <w:lang w:val="es-ES"/>
              </w:rPr>
              <w:t>e</w:t>
            </w:r>
            <w:r w:rsidRPr="3683B926">
              <w:rPr>
                <w:rFonts w:ascii="Verdana" w:eastAsia="Calibri" w:hAnsi="Verdana" w:cs="Arial"/>
                <w:lang w:val="es-ES"/>
              </w:rPr>
              <w:t>l artículo 42 de la Ley 80 de 1993 dispone que la urgencia manifiesta se declara, entre otras tres (3) circunstancias, con la finalidad de “[…] conjurar situaciones excepcionales relacionadas con hechos de calamidad o constitutivos de fuerza mayor o desastre que demanden actuaciones inmediatas […]”.</w:t>
            </w:r>
            <w:r>
              <w:rPr>
                <w:rFonts w:ascii="Verdana" w:eastAsia="Calibri" w:hAnsi="Verdana" w:cs="Arial"/>
                <w:lang w:val="es-ES"/>
              </w:rPr>
              <w:t xml:space="preserve"> E</w:t>
            </w:r>
            <w:r w:rsidRPr="3683B926">
              <w:rPr>
                <w:rFonts w:ascii="Verdana" w:eastAsia="Calibri" w:hAnsi="Verdana" w:cs="Arial"/>
                <w:lang w:val="es-ES"/>
              </w:rPr>
              <w:t xml:space="preserve">n la medida en que la norma utiliza la conjunción “o”, en principio asimilaría la </w:t>
            </w:r>
            <w:r w:rsidRPr="3683B926">
              <w:rPr>
                <w:rFonts w:ascii="Verdana" w:eastAsia="Calibri" w:hAnsi="Verdana" w:cs="Arial"/>
                <w:i/>
                <w:lang w:val="es-ES"/>
              </w:rPr>
              <w:t>calamidad</w:t>
            </w:r>
            <w:r w:rsidRPr="3683B926">
              <w:rPr>
                <w:rFonts w:ascii="Verdana" w:eastAsia="Calibri" w:hAnsi="Verdana" w:cs="Arial"/>
                <w:lang w:val="es-ES"/>
              </w:rPr>
              <w:t xml:space="preserve"> y el </w:t>
            </w:r>
            <w:r w:rsidRPr="3683B926">
              <w:rPr>
                <w:rFonts w:ascii="Verdana" w:eastAsia="Calibri" w:hAnsi="Verdana" w:cs="Arial"/>
                <w:i/>
                <w:lang w:val="es-ES"/>
              </w:rPr>
              <w:t xml:space="preserve">desastre </w:t>
            </w:r>
            <w:r w:rsidRPr="3683B926">
              <w:rPr>
                <w:rFonts w:ascii="Verdana" w:eastAsia="Calibri" w:hAnsi="Verdana" w:cs="Arial"/>
                <w:lang w:val="es-ES"/>
              </w:rPr>
              <w:t xml:space="preserve">con la </w:t>
            </w:r>
            <w:r w:rsidRPr="3683B926">
              <w:rPr>
                <w:rFonts w:ascii="Verdana" w:eastAsia="Calibri" w:hAnsi="Verdana" w:cs="Arial"/>
                <w:i/>
                <w:lang w:val="es-ES"/>
              </w:rPr>
              <w:t>fuerza mayor</w:t>
            </w:r>
            <w:r w:rsidRPr="3683B926">
              <w:rPr>
                <w:rFonts w:ascii="Verdana" w:eastAsia="Calibri" w:hAnsi="Verdana" w:cs="Arial"/>
                <w:lang w:val="es-ES"/>
              </w:rPr>
              <w:t xml:space="preserve"> o el </w:t>
            </w:r>
            <w:r w:rsidRPr="3683B926">
              <w:rPr>
                <w:rFonts w:ascii="Verdana" w:eastAsia="Calibri" w:hAnsi="Verdana" w:cs="Arial"/>
                <w:i/>
                <w:lang w:val="es-ES"/>
              </w:rPr>
              <w:t>caso fortuito</w:t>
            </w:r>
            <w:r w:rsidRPr="3683B926">
              <w:rPr>
                <w:rFonts w:ascii="Verdana" w:eastAsia="Calibri" w:hAnsi="Verdana" w:cs="Arial"/>
                <w:lang w:val="es-ES"/>
              </w:rPr>
              <w:t xml:space="preserve">. </w:t>
            </w:r>
          </w:p>
          <w:p w14:paraId="49AAA40E" w14:textId="77777777" w:rsidR="00EF6139" w:rsidRPr="0086491C" w:rsidRDefault="00EF6139" w:rsidP="00F33237">
            <w:pPr>
              <w:spacing w:after="120" w:line="276" w:lineRule="auto"/>
              <w:ind w:firstLine="709"/>
              <w:jc w:val="both"/>
              <w:rPr>
                <w:rFonts w:ascii="Verdana" w:eastAsia="Calibri" w:hAnsi="Verdana" w:cs="Arial"/>
                <w:lang w:val="es-ES"/>
              </w:rPr>
            </w:pPr>
            <w:r w:rsidRPr="0086491C">
              <w:rPr>
                <w:rFonts w:ascii="Verdana" w:eastAsia="Calibri" w:hAnsi="Verdana" w:cs="Arial"/>
                <w:lang w:val="es-ES"/>
              </w:rPr>
              <w:t>Esta norma debe armonizarse con los artículos 56 y 57 de la Ley 1523 de 2012,</w:t>
            </w:r>
            <w:r w:rsidRPr="3683B926">
              <w:rPr>
                <w:rFonts w:ascii="Verdana" w:eastAsia="Calibri" w:hAnsi="Verdana" w:cs="Arial"/>
                <w:lang w:val="es-ES"/>
              </w:rPr>
              <w:t xml:space="preserve"> que asignan la competencia para declarar la ocurrencia de una situación de </w:t>
            </w:r>
            <w:r w:rsidRPr="3683B926">
              <w:rPr>
                <w:rFonts w:ascii="Verdana" w:eastAsia="Calibri" w:hAnsi="Verdana" w:cs="Arial"/>
                <w:i/>
                <w:lang w:val="es-ES"/>
              </w:rPr>
              <w:t>desastre</w:t>
            </w:r>
            <w:r w:rsidRPr="3683B926">
              <w:rPr>
                <w:rFonts w:ascii="Verdana" w:eastAsia="Calibri" w:hAnsi="Verdana" w:cs="Arial"/>
                <w:lang w:val="es-ES"/>
              </w:rPr>
              <w:t xml:space="preserve"> o una situación de </w:t>
            </w:r>
            <w:r w:rsidRPr="3683B926">
              <w:rPr>
                <w:rFonts w:ascii="Verdana" w:eastAsia="Calibri" w:hAnsi="Verdana" w:cs="Arial"/>
                <w:i/>
                <w:lang w:val="es-ES"/>
              </w:rPr>
              <w:t>calamidad pública</w:t>
            </w:r>
            <w:r w:rsidRPr="3683B926">
              <w:rPr>
                <w:rFonts w:ascii="Verdana" w:eastAsia="Calibri" w:hAnsi="Verdana" w:cs="Arial"/>
                <w:lang w:val="es-ES"/>
              </w:rPr>
              <w:t xml:space="preserve">. Particularmente, disponen que al </w:t>
            </w:r>
            <w:proofErr w:type="gramStart"/>
            <w:r w:rsidRPr="3683B926">
              <w:rPr>
                <w:rFonts w:ascii="Verdana" w:eastAsia="Calibri" w:hAnsi="Verdana" w:cs="Arial"/>
                <w:lang w:val="es-ES"/>
              </w:rPr>
              <w:t>Presidente</w:t>
            </w:r>
            <w:proofErr w:type="gramEnd"/>
            <w:r w:rsidRPr="3683B926">
              <w:rPr>
                <w:rFonts w:ascii="Verdana" w:eastAsia="Calibri" w:hAnsi="Verdana" w:cs="Arial"/>
                <w:lang w:val="es-ES"/>
              </w:rPr>
              <w:t xml:space="preserve"> de la República le corresponde declarar la situación de </w:t>
            </w:r>
            <w:r w:rsidRPr="3683B926">
              <w:rPr>
                <w:rFonts w:ascii="Verdana" w:eastAsia="Calibri" w:hAnsi="Verdana" w:cs="Arial"/>
                <w:i/>
                <w:lang w:val="es-ES"/>
              </w:rPr>
              <w:t>desastre</w:t>
            </w:r>
            <w:r w:rsidRPr="3683B926">
              <w:rPr>
                <w:rFonts w:ascii="Verdana" w:eastAsia="Calibri" w:hAnsi="Verdana" w:cs="Arial"/>
                <w:lang w:val="es-ES"/>
              </w:rPr>
              <w:t xml:space="preserve">, tanto en el orden nacional, departamental, como en el municipal y distrital, facultad que no pueden ejercer los gobernadores y alcaldes, porque la norma no les asignó esta competencia. No obstante, a los gobernadores y alcaldes sí les corresponde declarar la </w:t>
            </w:r>
            <w:r w:rsidRPr="3683B926">
              <w:rPr>
                <w:rFonts w:ascii="Verdana" w:eastAsia="Calibri" w:hAnsi="Verdana" w:cs="Arial"/>
                <w:i/>
                <w:lang w:val="es-ES"/>
              </w:rPr>
              <w:t>situación de calamidad pública</w:t>
            </w:r>
            <w:r w:rsidRPr="3683B926">
              <w:rPr>
                <w:rFonts w:ascii="Verdana" w:eastAsia="Calibri" w:hAnsi="Verdana" w:cs="Arial"/>
                <w:lang w:val="es-ES"/>
              </w:rPr>
              <w:t xml:space="preserve">, en los respectivos ámbitos, facultad que, en cambio, no puede ejercer el presidente de la república. </w:t>
            </w:r>
            <w:r w:rsidRPr="00D93A6C">
              <w:rPr>
                <w:rFonts w:ascii="Verdana" w:eastAsia="Calibri" w:hAnsi="Verdana" w:cs="Arial"/>
                <w:lang w:val="es-ES_tradnl"/>
              </w:rPr>
              <w:t xml:space="preserve">De esta manera, una vez se declara la situación de calamidad o la situación de desastre bajo los criterios señalados en el artículo 59 de la Ley 1523 de 2012, por parte de la autoridad competente, las demás </w:t>
            </w:r>
            <w:r>
              <w:rPr>
                <w:rFonts w:ascii="Verdana" w:eastAsia="Calibri" w:hAnsi="Verdana" w:cs="Arial"/>
                <w:lang w:val="es-ES_tradnl"/>
              </w:rPr>
              <w:t>E</w:t>
            </w:r>
            <w:r w:rsidRPr="00D93A6C">
              <w:rPr>
                <w:rFonts w:ascii="Verdana" w:eastAsia="Calibri" w:hAnsi="Verdana" w:cs="Arial"/>
                <w:lang w:val="es-ES_tradnl"/>
              </w:rPr>
              <w:t xml:space="preserve">ntidades </w:t>
            </w:r>
            <w:r>
              <w:rPr>
                <w:rFonts w:ascii="Verdana" w:eastAsia="Calibri" w:hAnsi="Verdana" w:cs="Arial"/>
                <w:lang w:val="es-ES_tradnl"/>
              </w:rPr>
              <w:t>E</w:t>
            </w:r>
            <w:r w:rsidRPr="00D93A6C">
              <w:rPr>
                <w:rFonts w:ascii="Verdana" w:eastAsia="Calibri" w:hAnsi="Verdana" w:cs="Arial"/>
                <w:lang w:val="es-ES_tradnl"/>
              </w:rPr>
              <w:t xml:space="preserve">statales –de conformidad con el artículo 42 de la Ley 80 de 1993– quedan facultadas para declarar, a continuación, la causal de contratación directa denominada “urgencia manifiesta”, mediante un acto administrativo propio, autónomo, que tiene como fundamento fáctico y jurídico la declaración de situación de calamidad o la situación de desastre. </w:t>
            </w:r>
          </w:p>
          <w:p w14:paraId="326493D0" w14:textId="77777777" w:rsidR="00EF6139" w:rsidRDefault="00EF6139" w:rsidP="00F33237">
            <w:pPr>
              <w:spacing w:after="120" w:line="276" w:lineRule="auto"/>
              <w:ind w:firstLine="709"/>
              <w:jc w:val="both"/>
              <w:rPr>
                <w:rFonts w:ascii="Verdana" w:eastAsia="Calibri" w:hAnsi="Verdana" w:cs="Arial"/>
                <w:lang w:val="es-ES"/>
              </w:rPr>
            </w:pPr>
            <w:r w:rsidRPr="2F78DACE">
              <w:rPr>
                <w:rFonts w:ascii="Verdana" w:eastAsia="Calibri" w:hAnsi="Verdana" w:cs="Arial"/>
                <w:lang w:val="es-ES"/>
              </w:rPr>
              <w:t xml:space="preserve">Por lo tanto, con fundamento en la declaratoria de urgencia manifiesta es posible adelantar la contratación de forma directa, al encontrarse amparada en las excepciones que dispone el artículo 33 de la Ley 996 de 2005. Es decir, con la declaratoria de urgencia manifiesta se garantiza que, en situaciones de emergencia, las autoridades puedan actuar con celeridad y eficacia para atender necesidades inmediatas, sin que ello implique una vulneración de las excepciones dispuestas en el artículo 33 de la Ley 996 de 2005. En este sentido, la urgencia manifiesta permite que los contratos se celebren de manera directa, como puede ser la adquisición de bienes </w:t>
            </w:r>
            <w:r w:rsidRPr="2F78DACE">
              <w:rPr>
                <w:rFonts w:ascii="Verdana" w:eastAsia="Calibri" w:hAnsi="Verdana" w:cs="Arial"/>
                <w:lang w:val="es-ES"/>
              </w:rPr>
              <w:lastRenderedPageBreak/>
              <w:t>inmuebles, siempre que se justifique adecuadamente la situación que impide seguir el procedimiento regular. Esto, sin perjuicio de los requisitos y condiciones establecidas en el ordenamiento jurídico para su declaratoria.</w:t>
            </w:r>
          </w:p>
          <w:p w14:paraId="57876D86" w14:textId="77777777" w:rsidR="00EF6139" w:rsidRPr="001D3F22" w:rsidRDefault="00EF6139" w:rsidP="00F33237">
            <w:pPr>
              <w:spacing w:line="276" w:lineRule="auto"/>
              <w:ind w:firstLine="709"/>
              <w:jc w:val="both"/>
              <w:rPr>
                <w:rFonts w:ascii="Verdana" w:eastAsia="Calibri" w:hAnsi="Verdana" w:cs="Arial"/>
                <w:lang w:val="es-ES"/>
              </w:rPr>
            </w:pPr>
            <w:r>
              <w:rPr>
                <w:rFonts w:ascii="Verdana" w:eastAsia="Calibri" w:hAnsi="Verdana" w:cs="Arial"/>
                <w:lang w:val="es-ES_tradnl"/>
              </w:rPr>
              <w:t xml:space="preserve">Sin embargo, no podrá suscribirse en el marco de la declaratoria de urgencia manifiesta convenios interadministrativos para la ejecución de recursos públicos con </w:t>
            </w:r>
            <w:r w:rsidRPr="00791C33">
              <w:rPr>
                <w:rFonts w:ascii="Verdana" w:eastAsia="Calibri" w:hAnsi="Verdana" w:cs="Arial"/>
              </w:rPr>
              <w:t>alcaldes municipales y/o distritales, secretarios, gerentes y directores de entidades descentralizadas del orden munici</w:t>
            </w:r>
            <w:r>
              <w:rPr>
                <w:rFonts w:ascii="Verdana" w:eastAsia="Calibri" w:hAnsi="Verdana" w:cs="Arial"/>
              </w:rPr>
              <w:t xml:space="preserve">pal, departamental o distrital. Esto se debe a la prohibición contenida en el parágrafo único del artículo 38 de la Ley 996 de 2005, la cual </w:t>
            </w:r>
            <w:r w:rsidRPr="001D3F22">
              <w:rPr>
                <w:rFonts w:ascii="Verdana" w:eastAsia="Calibri" w:hAnsi="Verdana" w:cs="Arial"/>
                <w:lang w:val="es-ES"/>
              </w:rPr>
              <w:t>dispone que no</w:t>
            </w:r>
            <w:r>
              <w:rPr>
                <w:rFonts w:ascii="Verdana" w:eastAsia="Calibri" w:hAnsi="Verdana" w:cs="Arial"/>
                <w:lang w:val="es-ES"/>
              </w:rPr>
              <w:t xml:space="preserve"> podrán celebrarse convenios interadministrativos </w:t>
            </w:r>
            <w:r w:rsidRPr="001D3F22">
              <w:rPr>
                <w:rFonts w:ascii="Verdana" w:eastAsia="Calibri" w:hAnsi="Verdana" w:cs="Arial"/>
                <w:lang w:val="es-ES"/>
              </w:rPr>
              <w:t>con alcaldes municipales y/o distritales, así como con secretarios, gerentes y directores de entidades descentralizada</w:t>
            </w:r>
            <w:r>
              <w:rPr>
                <w:rFonts w:ascii="Verdana" w:eastAsia="Calibri" w:hAnsi="Verdana" w:cs="Arial"/>
                <w:lang w:val="es-ES"/>
              </w:rPr>
              <w:t xml:space="preserve">s del orden territorial. Esta restricción busca evitar que, bajo la institución </w:t>
            </w:r>
            <w:r w:rsidRPr="001D3F22">
              <w:rPr>
                <w:rFonts w:ascii="Verdana" w:eastAsia="Calibri" w:hAnsi="Verdana" w:cs="Arial"/>
                <w:lang w:val="es-ES"/>
              </w:rPr>
              <w:t>de la urgencia manifiesta, se canalicen recursos públicos hacia actores políticos locales en un contexto que podría prestarse para favorecer intere</w:t>
            </w:r>
            <w:r>
              <w:rPr>
                <w:rFonts w:ascii="Verdana" w:eastAsia="Calibri" w:hAnsi="Verdana" w:cs="Arial"/>
                <w:lang w:val="es-ES"/>
              </w:rPr>
              <w:t xml:space="preserve">ses particulares o electorales. Así mismo, dicho </w:t>
            </w:r>
            <w:r w:rsidRPr="001D3F22">
              <w:rPr>
                <w:rFonts w:ascii="Verdana" w:eastAsia="Calibri" w:hAnsi="Verdana" w:cs="Arial"/>
                <w:lang w:val="es-ES"/>
              </w:rPr>
              <w:t xml:space="preserve">artículo </w:t>
            </w:r>
            <w:r>
              <w:rPr>
                <w:rFonts w:ascii="Verdana" w:eastAsia="Calibri" w:hAnsi="Verdana" w:cs="Arial"/>
                <w:lang w:val="es-ES"/>
              </w:rPr>
              <w:t xml:space="preserve">no contempla </w:t>
            </w:r>
            <w:r w:rsidRPr="001D3F22">
              <w:rPr>
                <w:rFonts w:ascii="Verdana" w:eastAsia="Calibri" w:hAnsi="Verdana" w:cs="Arial"/>
                <w:lang w:val="es-ES"/>
              </w:rPr>
              <w:t>excepciones, lo que significa que la prohibición es absoluta y aplicable en cualquier circunstancia.</w:t>
            </w:r>
          </w:p>
        </w:tc>
      </w:tr>
    </w:tbl>
    <w:p w14:paraId="6429E91A" w14:textId="77777777" w:rsidR="00EF6139" w:rsidRPr="00380CA4" w:rsidRDefault="00EF6139" w:rsidP="00EF6139">
      <w:pPr>
        <w:spacing w:after="0" w:line="276" w:lineRule="auto"/>
        <w:jc w:val="both"/>
        <w:rPr>
          <w:rFonts w:ascii="Verdana" w:eastAsia="Calibri" w:hAnsi="Verdana" w:cs="Arial"/>
          <w:bCs/>
          <w:color w:val="000000" w:themeColor="text1"/>
        </w:rPr>
      </w:pPr>
    </w:p>
    <w:p w14:paraId="36E084A8" w14:textId="77777777" w:rsidR="00EF6139" w:rsidRPr="00380CA4" w:rsidRDefault="00EF6139" w:rsidP="00EF6139">
      <w:pPr>
        <w:numPr>
          <w:ilvl w:val="0"/>
          <w:numId w:val="21"/>
        </w:numPr>
        <w:tabs>
          <w:tab w:val="left" w:pos="2268"/>
        </w:tabs>
        <w:spacing w:after="0" w:line="276" w:lineRule="auto"/>
        <w:rPr>
          <w:rFonts w:ascii="Verdana" w:eastAsia="Calibri" w:hAnsi="Verdana" w:cs="Times New Roman"/>
          <w:b/>
          <w:bCs/>
        </w:rPr>
      </w:pPr>
      <w:r w:rsidRPr="00380CA4">
        <w:rPr>
          <w:rFonts w:ascii="Verdana" w:eastAsia="Calibri" w:hAnsi="Verdana" w:cs="Times New Roman"/>
          <w:b/>
          <w:bCs/>
        </w:rPr>
        <w:t>Razones de la respuesta:</w:t>
      </w:r>
    </w:p>
    <w:p w14:paraId="5E4DE9C9" w14:textId="77777777" w:rsidR="00EF6139" w:rsidRPr="00380CA4" w:rsidRDefault="00EF6139" w:rsidP="00EF6139">
      <w:pPr>
        <w:spacing w:after="0" w:line="276" w:lineRule="auto"/>
        <w:rPr>
          <w:rFonts w:ascii="Verdana" w:eastAsia="Calibri" w:hAnsi="Verdana" w:cs="Times New Roman"/>
          <w:b/>
          <w:bCs/>
        </w:rPr>
      </w:pPr>
    </w:p>
    <w:p w14:paraId="6E0EAC2B" w14:textId="77777777" w:rsidR="00EF6139" w:rsidRPr="00380CA4" w:rsidRDefault="00EF6139" w:rsidP="00EF6139">
      <w:pPr>
        <w:spacing w:after="0" w:line="276" w:lineRule="auto"/>
        <w:jc w:val="both"/>
        <w:rPr>
          <w:rFonts w:ascii="Verdana" w:eastAsia="Calibri" w:hAnsi="Verdana" w:cs="Arial"/>
        </w:rPr>
      </w:pPr>
      <w:r w:rsidRPr="00380CA4">
        <w:rPr>
          <w:rFonts w:ascii="Verdana" w:eastAsia="Calibri" w:hAnsi="Verdana" w:cs="Arial"/>
        </w:rPr>
        <w:t xml:space="preserve">Lo anterior se sustenta en las siguientes consideraciones: </w:t>
      </w:r>
    </w:p>
    <w:p w14:paraId="43EFD9E4" w14:textId="77777777" w:rsidR="00EF6139" w:rsidRPr="00380CA4" w:rsidRDefault="00EF6139" w:rsidP="00EF6139">
      <w:pPr>
        <w:spacing w:after="0" w:line="276" w:lineRule="auto"/>
        <w:jc w:val="both"/>
        <w:rPr>
          <w:rFonts w:ascii="Verdana" w:eastAsia="Calibri" w:hAnsi="Verdana" w:cs="Arial"/>
          <w:color w:val="000000" w:themeColor="text1"/>
        </w:rPr>
      </w:pPr>
    </w:p>
    <w:p w14:paraId="6386EBCC" w14:textId="77777777" w:rsidR="00EF6139" w:rsidRPr="00380CA4" w:rsidRDefault="00EF6139" w:rsidP="00EF6139">
      <w:pPr>
        <w:tabs>
          <w:tab w:val="left" w:pos="426"/>
        </w:tabs>
        <w:spacing w:after="120" w:line="276" w:lineRule="auto"/>
        <w:jc w:val="both"/>
        <w:rPr>
          <w:rFonts w:ascii="Verdana" w:eastAsia="Times New Roman" w:hAnsi="Verdana" w:cs="Arial"/>
          <w:lang w:eastAsia="es-CO"/>
        </w:rPr>
      </w:pPr>
      <w:r w:rsidRPr="00380CA4">
        <w:rPr>
          <w:rFonts w:ascii="Verdana" w:eastAsia="Calibri" w:hAnsi="Verdana" w:cs="Arial"/>
        </w:rPr>
        <w:t>i. El ordenamiento jurídico colombiano contempla previsiones claras para evitar la obtención de beneficios personales en asuntos propios de la administración pública</w:t>
      </w:r>
      <w:r w:rsidRPr="00380CA4">
        <w:rPr>
          <w:rFonts w:ascii="Verdana" w:eastAsia="Calibri" w:hAnsi="Verdana" w:cs="Arial"/>
          <w:i/>
        </w:rPr>
        <w:t xml:space="preserve">. </w:t>
      </w:r>
      <w:r w:rsidRPr="00380CA4">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380CA4">
        <w:rPr>
          <w:rFonts w:ascii="Verdana" w:hAnsi="Verdana"/>
          <w:vertAlign w:val="superscript"/>
        </w:rPr>
        <w:footnoteReference w:id="2"/>
      </w:r>
      <w:r w:rsidRPr="00380CA4">
        <w:rPr>
          <w:rFonts w:ascii="Verdana" w:eastAsia="Calibri" w:hAnsi="Verdana" w:cs="Arial"/>
        </w:rPr>
        <w:t xml:space="preserve">. </w:t>
      </w:r>
    </w:p>
    <w:p w14:paraId="4A10E77F" w14:textId="77777777" w:rsidR="00EF6139" w:rsidRPr="00380CA4" w:rsidRDefault="00EF6139" w:rsidP="00EF6139">
      <w:pPr>
        <w:tabs>
          <w:tab w:val="left" w:pos="426"/>
        </w:tabs>
        <w:spacing w:after="0" w:line="276" w:lineRule="auto"/>
        <w:ind w:firstLine="709"/>
        <w:jc w:val="both"/>
        <w:rPr>
          <w:rFonts w:ascii="Verdana" w:eastAsia="Calibri" w:hAnsi="Verdana" w:cs="Arial"/>
        </w:rPr>
      </w:pPr>
      <w:r w:rsidRPr="00380CA4">
        <w:rPr>
          <w:rFonts w:ascii="Verdana" w:eastAsia="Times New Roman" w:hAnsi="Verdana" w:cs="Arial"/>
          <w:lang w:eastAsia="es-CO"/>
        </w:rPr>
        <w:lastRenderedPageBreak/>
        <w:t xml:space="preserve">En el mismo sentido, </w:t>
      </w:r>
      <w:bookmarkStart w:id="1" w:name="_Hlk99576829"/>
      <w:r w:rsidRPr="00380CA4">
        <w:rPr>
          <w:rFonts w:ascii="Verdana" w:eastAsia="Times New Roman" w:hAnsi="Verdana" w:cs="Arial"/>
          <w:lang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380CA4">
        <w:rPr>
          <w:rFonts w:ascii="Verdana" w:eastAsia="Times New Roman" w:hAnsi="Verdana" w:cs="Arial"/>
          <w:vertAlign w:val="superscript"/>
          <w:lang w:eastAsia="es-CO"/>
        </w:rPr>
        <w:footnoteReference w:id="3"/>
      </w:r>
      <w:r w:rsidRPr="00380CA4">
        <w:rPr>
          <w:rFonts w:ascii="Verdana" w:eastAsia="Times New Roman" w:hAnsi="Verdana" w:cs="Arial"/>
          <w:lang w:eastAsia="es-CO"/>
        </w:rPr>
        <w:t>. En esta medida, introduce limitaciones para realizar nombramientos, postulaciones, contrataciones o cualquier otro tipo de actividad que implique destinación de recursos públicos bajo el devenir propio de las Entidades Estatales.</w:t>
      </w:r>
      <w:r w:rsidRPr="00380CA4">
        <w:rPr>
          <w:rFonts w:ascii="Verdana" w:eastAsia="Calibri" w:hAnsi="Verdana" w:cs="Arial"/>
        </w:rPr>
        <w:t xml:space="preserve"> </w:t>
      </w:r>
      <w:bookmarkEnd w:id="1"/>
      <w:r w:rsidRPr="00380CA4">
        <w:rPr>
          <w:rFonts w:ascii="Verdana" w:eastAsia="Times New Roman" w:hAnsi="Verdana" w:cs="Arial"/>
          <w:lang w:eastAsia="es-CO"/>
        </w:rPr>
        <w:t>En armonía con lo anterior, la Corte Constitucional ha abordado la definición de la Ley de Garantías Electorales. De esta manera, explica que tiene como propósito:</w:t>
      </w:r>
    </w:p>
    <w:p w14:paraId="058DCCAE" w14:textId="77777777" w:rsidR="00EF6139" w:rsidRPr="00380CA4" w:rsidRDefault="00EF6139" w:rsidP="00EF6139">
      <w:pPr>
        <w:spacing w:after="0" w:line="276" w:lineRule="auto"/>
        <w:ind w:right="709"/>
        <w:contextualSpacing/>
        <w:jc w:val="both"/>
        <w:rPr>
          <w:rFonts w:ascii="Verdana" w:eastAsia="Times New Roman" w:hAnsi="Verdana" w:cs="Arial"/>
          <w:lang w:eastAsia="es-CO"/>
        </w:rPr>
      </w:pPr>
    </w:p>
    <w:p w14:paraId="2BF1E503" w14:textId="77777777" w:rsidR="00EF6139" w:rsidRPr="00380CA4" w:rsidRDefault="00EF6139" w:rsidP="00EF6139">
      <w:pPr>
        <w:spacing w:after="0" w:line="240" w:lineRule="auto"/>
        <w:ind w:left="709" w:right="709"/>
        <w:contextualSpacing/>
        <w:jc w:val="both"/>
        <w:rPr>
          <w:rFonts w:ascii="Verdana" w:eastAsia="Times New Roman" w:hAnsi="Verdana" w:cs="Arial"/>
          <w:sz w:val="20"/>
          <w:szCs w:val="20"/>
          <w:lang w:eastAsia="es-CO"/>
        </w:rPr>
      </w:pPr>
      <w:r w:rsidRPr="00380CA4">
        <w:rPr>
          <w:rFonts w:ascii="Verdana" w:eastAsia="Times New Roman" w:hAnsi="Verdana" w:cs="Arial"/>
          <w:sz w:val="20"/>
          <w:szCs w:val="20"/>
          <w:lang w:eastAsia="es-CO"/>
        </w:rPr>
        <w:t>“[…] la definición de reglas claras que permitan acceder a los canales de expresión democrática de manera efectiva e igualitaria. El objetivo de una ley de garantías es definir esas reglas.</w:t>
      </w:r>
    </w:p>
    <w:p w14:paraId="79EB6799" w14:textId="77777777" w:rsidR="00EF6139" w:rsidRPr="00380CA4" w:rsidRDefault="00EF6139" w:rsidP="00EF6139">
      <w:pPr>
        <w:spacing w:after="0" w:line="240" w:lineRule="auto"/>
        <w:ind w:left="709" w:right="709"/>
        <w:contextualSpacing/>
        <w:jc w:val="both"/>
        <w:rPr>
          <w:rFonts w:ascii="Verdana" w:eastAsia="Times New Roman" w:hAnsi="Verdana" w:cs="Arial"/>
          <w:sz w:val="20"/>
          <w:szCs w:val="20"/>
          <w:lang w:eastAsia="es-CO"/>
        </w:rPr>
      </w:pPr>
      <w:r w:rsidRPr="00380CA4">
        <w:rPr>
          <w:rFonts w:ascii="Verdana" w:eastAsia="Times New Roman" w:hAnsi="Verdana" w:cs="Arial"/>
          <w:sz w:val="20"/>
          <w:szCs w:val="20"/>
          <w:lang w:eastAsia="es-CO"/>
        </w:rPr>
        <w:t xml:space="preserve">[…] </w:t>
      </w:r>
    </w:p>
    <w:p w14:paraId="56F24BAC" w14:textId="77777777" w:rsidR="00EF6139" w:rsidRPr="00380CA4" w:rsidRDefault="00EF6139" w:rsidP="00EF6139">
      <w:pPr>
        <w:spacing w:after="0" w:line="240" w:lineRule="auto"/>
        <w:ind w:left="709" w:right="709"/>
        <w:contextualSpacing/>
        <w:jc w:val="both"/>
        <w:rPr>
          <w:rFonts w:ascii="Verdana" w:eastAsia="Times New Roman" w:hAnsi="Verdana" w:cs="Arial"/>
          <w:sz w:val="20"/>
          <w:szCs w:val="20"/>
          <w:lang w:eastAsia="es-CO"/>
        </w:rPr>
      </w:pPr>
      <w:r w:rsidRPr="00380CA4">
        <w:rPr>
          <w:rFonts w:ascii="Verdana" w:eastAsia="Times New Roman" w:hAnsi="Verdana" w:cs="Arial"/>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380CA4">
        <w:rPr>
          <w:rFonts w:ascii="Verdana" w:eastAsia="Calibri" w:hAnsi="Verdana" w:cs="Arial"/>
          <w:sz w:val="20"/>
          <w:szCs w:val="20"/>
          <w:vertAlign w:val="superscript"/>
        </w:rPr>
        <w:footnoteReference w:id="4"/>
      </w:r>
    </w:p>
    <w:p w14:paraId="284DDF53" w14:textId="77777777" w:rsidR="00EF6139" w:rsidRPr="00380CA4" w:rsidRDefault="00EF6139" w:rsidP="00EF6139">
      <w:pPr>
        <w:spacing w:after="0" w:line="276" w:lineRule="auto"/>
        <w:ind w:firstLine="709"/>
        <w:jc w:val="both"/>
        <w:rPr>
          <w:rFonts w:ascii="Verdana" w:eastAsia="Times New Roman" w:hAnsi="Verdana" w:cs="Arial"/>
          <w:lang w:eastAsia="es-CO"/>
        </w:rPr>
      </w:pPr>
      <w:bookmarkStart w:id="2" w:name="_Hlk78818186"/>
    </w:p>
    <w:p w14:paraId="4E7D44D3" w14:textId="77777777" w:rsidR="00EF6139" w:rsidRPr="00380CA4" w:rsidRDefault="00EF6139" w:rsidP="00EF6139">
      <w:pPr>
        <w:spacing w:after="0" w:line="276" w:lineRule="auto"/>
        <w:ind w:firstLine="709"/>
        <w:jc w:val="both"/>
        <w:rPr>
          <w:rFonts w:ascii="Verdana" w:eastAsia="Times New Roman" w:hAnsi="Verdana" w:cs="Arial"/>
          <w:lang w:eastAsia="es-CO"/>
        </w:rPr>
      </w:pPr>
      <w:r w:rsidRPr="00380CA4">
        <w:rPr>
          <w:rFonts w:ascii="Verdana" w:eastAsia="Times New Roman" w:hAnsi="Verdana" w:cs="Arial"/>
          <w:lang w:eastAsia="es-CO"/>
        </w:rPr>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w:t>
      </w:r>
      <w:bookmarkEnd w:id="2"/>
      <w:r w:rsidRPr="00380CA4">
        <w:rPr>
          <w:rFonts w:ascii="Verdana" w:eastAsia="Times New Roman" w:hAnsi="Verdana" w:cs="Arial"/>
          <w:lang w:eastAsia="es-CO"/>
        </w:rPr>
        <w:t>Por ello, varias de las disposiciones de la Ley 996 de 2005, al contener normas prohibitivas, no admiten una interpretación amplia, sino que deben interpretarse restrictivamente. En efecto, la Sala de Consulta y Servicio Civil del Consejo de Estado, precisó:</w:t>
      </w:r>
    </w:p>
    <w:p w14:paraId="36C62C0B" w14:textId="77777777" w:rsidR="00EF6139" w:rsidRPr="00380CA4" w:rsidRDefault="00EF6139" w:rsidP="00EF6139">
      <w:pPr>
        <w:spacing w:after="0" w:line="276" w:lineRule="auto"/>
        <w:ind w:firstLine="709"/>
        <w:jc w:val="both"/>
        <w:rPr>
          <w:rFonts w:ascii="Verdana" w:eastAsia="Times New Roman" w:hAnsi="Verdana" w:cs="Arial"/>
          <w:lang w:eastAsia="es-CO"/>
        </w:rPr>
      </w:pPr>
    </w:p>
    <w:p w14:paraId="6B947038" w14:textId="77777777" w:rsidR="00EF6139" w:rsidRPr="00380CA4" w:rsidRDefault="00EF6139" w:rsidP="00EF6139">
      <w:pPr>
        <w:spacing w:after="0" w:line="240" w:lineRule="auto"/>
        <w:ind w:left="709" w:right="709"/>
        <w:contextualSpacing/>
        <w:jc w:val="both"/>
        <w:rPr>
          <w:rFonts w:ascii="Verdana" w:eastAsia="Times New Roman" w:hAnsi="Verdana" w:cs="Arial"/>
          <w:sz w:val="20"/>
          <w:szCs w:val="20"/>
          <w:lang w:eastAsia="es-CO"/>
        </w:rPr>
      </w:pPr>
      <w:r w:rsidRPr="00380CA4">
        <w:rPr>
          <w:rFonts w:ascii="Verdana" w:eastAsia="Times New Roman" w:hAnsi="Verdana" w:cs="Arial"/>
          <w:sz w:val="20"/>
          <w:szCs w:val="20"/>
          <w:lang w:eastAsia="es-CO"/>
        </w:rPr>
        <w:lastRenderedPageBreak/>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380CA4">
        <w:rPr>
          <w:rFonts w:ascii="Verdana" w:eastAsia="Times New Roman" w:hAnsi="Verdana" w:cs="Arial"/>
          <w:sz w:val="20"/>
          <w:szCs w:val="20"/>
          <w:lang w:eastAsia="es-CO"/>
        </w:rPr>
        <w:t>legis</w:t>
      </w:r>
      <w:proofErr w:type="spellEnd"/>
      <w:r w:rsidRPr="00380CA4">
        <w:rPr>
          <w:rFonts w:ascii="Verdana" w:eastAsia="Times New Roman" w:hAnsi="Verdana" w:cs="Arial"/>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8A20676" w14:textId="77777777" w:rsidR="00EF6139" w:rsidRPr="00380CA4" w:rsidRDefault="00EF6139" w:rsidP="00EF6139">
      <w:pPr>
        <w:spacing w:after="0" w:line="240" w:lineRule="auto"/>
        <w:ind w:right="709"/>
        <w:contextualSpacing/>
        <w:jc w:val="both"/>
        <w:rPr>
          <w:rFonts w:ascii="Verdana" w:eastAsia="Times New Roman" w:hAnsi="Verdana" w:cs="Arial"/>
          <w:lang w:eastAsia="es-CO"/>
        </w:rPr>
      </w:pPr>
    </w:p>
    <w:p w14:paraId="3ADEA8EC" w14:textId="77777777" w:rsidR="00EF6139" w:rsidRPr="00380CA4" w:rsidRDefault="00EF6139" w:rsidP="00EF6139">
      <w:pPr>
        <w:spacing w:after="0" w:line="240" w:lineRule="auto"/>
        <w:ind w:left="709" w:right="709"/>
        <w:contextualSpacing/>
        <w:jc w:val="both"/>
        <w:rPr>
          <w:rFonts w:ascii="Verdana" w:eastAsia="Times New Roman" w:hAnsi="Verdana" w:cs="Arial"/>
          <w:sz w:val="20"/>
          <w:szCs w:val="20"/>
          <w:lang w:eastAsia="es-CO"/>
        </w:rPr>
      </w:pPr>
      <w:r w:rsidRPr="00380CA4">
        <w:rPr>
          <w:rFonts w:ascii="Verdana" w:eastAsia="Times New Roman" w:hAnsi="Verdana" w:cs="Arial"/>
          <w:sz w:val="20"/>
          <w:szCs w:val="20"/>
          <w:lang w:eastAsia="es-CO"/>
        </w:rPr>
        <w:t>La jurisprudencia de la Corte Constitucional</w:t>
      </w:r>
      <w:r w:rsidRPr="00380CA4">
        <w:rPr>
          <w:rFonts w:ascii="Verdana" w:eastAsia="Times New Roman" w:hAnsi="Verdana" w:cs="Arial"/>
          <w:sz w:val="20"/>
          <w:szCs w:val="20"/>
          <w:vertAlign w:val="superscript"/>
          <w:lang w:eastAsia="es-CO"/>
        </w:rPr>
        <w:footnoteReference w:id="5"/>
      </w:r>
      <w:r w:rsidRPr="00380CA4">
        <w:rPr>
          <w:rFonts w:ascii="Verdana" w:eastAsia="Times New Roman" w:hAnsi="Verdana" w:cs="Arial"/>
          <w:sz w:val="20"/>
          <w:szCs w:val="20"/>
          <w:lang w:eastAsia="es-CO"/>
        </w:rPr>
        <w:t> y del Consejo de Estado</w:t>
      </w:r>
      <w:r w:rsidRPr="00380CA4">
        <w:rPr>
          <w:rFonts w:ascii="Verdana" w:eastAsia="Times New Roman" w:hAnsi="Verdana" w:cs="Arial"/>
          <w:sz w:val="20"/>
          <w:szCs w:val="20"/>
          <w:vertAlign w:val="superscript"/>
          <w:lang w:eastAsia="es-CO"/>
        </w:rPr>
        <w:footnoteReference w:id="6"/>
      </w:r>
      <w:r w:rsidRPr="00380CA4">
        <w:rPr>
          <w:rFonts w:ascii="Verdana" w:eastAsia="Times New Roman" w:hAnsi="Verdana" w:cs="Arial"/>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380CA4">
        <w:rPr>
          <w:rFonts w:ascii="Verdana" w:eastAsia="Times New Roman" w:hAnsi="Verdana" w:cs="Arial"/>
          <w:sz w:val="20"/>
          <w:szCs w:val="20"/>
          <w:vertAlign w:val="superscript"/>
          <w:lang w:eastAsia="es-CO"/>
        </w:rPr>
        <w:footnoteReference w:id="7"/>
      </w:r>
      <w:r w:rsidRPr="00380CA4">
        <w:rPr>
          <w:rFonts w:ascii="Verdana" w:eastAsia="Times New Roman" w:hAnsi="Verdana" w:cs="Arial"/>
          <w:sz w:val="20"/>
          <w:szCs w:val="20"/>
          <w:lang w:eastAsia="es-CO"/>
        </w:rPr>
        <w:t>.</w:t>
      </w:r>
    </w:p>
    <w:p w14:paraId="0B03273A" w14:textId="77777777" w:rsidR="00EF6139" w:rsidRPr="00380CA4" w:rsidRDefault="00EF6139" w:rsidP="00EF6139">
      <w:pPr>
        <w:spacing w:after="0" w:line="276" w:lineRule="auto"/>
        <w:jc w:val="both"/>
        <w:rPr>
          <w:rFonts w:ascii="Verdana" w:eastAsia="Calibri" w:hAnsi="Verdana" w:cs="Arial"/>
          <w:bCs/>
        </w:rPr>
      </w:pPr>
    </w:p>
    <w:p w14:paraId="1304861C" w14:textId="77777777" w:rsidR="00EF6139" w:rsidRPr="00380CA4" w:rsidRDefault="00EF6139" w:rsidP="00EF6139">
      <w:pPr>
        <w:spacing w:after="0" w:line="276" w:lineRule="auto"/>
        <w:ind w:firstLine="709"/>
        <w:jc w:val="both"/>
        <w:rPr>
          <w:rFonts w:ascii="Verdana" w:eastAsia="Arial" w:hAnsi="Verdana" w:cs="Arial"/>
          <w:lang w:eastAsia="es-ES" w:bidi="es-ES"/>
        </w:rPr>
      </w:pPr>
      <w:r w:rsidRPr="00380CA4">
        <w:rPr>
          <w:rFonts w:ascii="Verdana" w:eastAsia="Times New Roman" w:hAnsi="Verdana" w:cs="Arial"/>
          <w:lang w:eastAsia="es-CO"/>
        </w:rPr>
        <w:t>De</w:t>
      </w:r>
      <w:r w:rsidRPr="00380CA4">
        <w:rPr>
          <w:rFonts w:ascii="Verdana" w:eastAsia="Arial" w:hAnsi="Verdana" w:cs="Arial"/>
          <w:lang w:eastAsia="es-ES" w:bidi="es-ES"/>
        </w:rPr>
        <w:t xml:space="preserve"> conformidad con lo anterior, </w:t>
      </w:r>
      <w:bookmarkStart w:id="3" w:name="_Hlk77236098"/>
      <w:bookmarkStart w:id="4" w:name="_Hlk100679383"/>
      <w:r w:rsidRPr="00380CA4">
        <w:rPr>
          <w:rFonts w:ascii="Verdana" w:eastAsia="Arial" w:hAnsi="Verdana" w:cs="Arial"/>
          <w:lang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2F998FD4" w14:textId="77777777" w:rsidR="00EF6139" w:rsidRPr="00380CA4" w:rsidRDefault="00EF6139" w:rsidP="00EF6139">
      <w:pPr>
        <w:spacing w:after="0" w:line="276" w:lineRule="auto"/>
        <w:ind w:firstLine="709"/>
        <w:jc w:val="both"/>
        <w:rPr>
          <w:rFonts w:ascii="Verdana" w:eastAsia="Arial" w:hAnsi="Verdana" w:cs="Arial"/>
          <w:lang w:eastAsia="es-ES" w:bidi="es-ES"/>
        </w:rPr>
      </w:pPr>
    </w:p>
    <w:p w14:paraId="312F7F93" w14:textId="77777777" w:rsidR="00EF6139" w:rsidRPr="00380CA4" w:rsidRDefault="00EF6139" w:rsidP="00EF6139">
      <w:pPr>
        <w:spacing w:after="120" w:line="276" w:lineRule="auto"/>
        <w:jc w:val="both"/>
        <w:rPr>
          <w:rFonts w:ascii="Verdana" w:eastAsia="Arial" w:hAnsi="Verdana" w:cs="Arial"/>
          <w:lang w:eastAsia="es-ES" w:bidi="es-ES"/>
        </w:rPr>
      </w:pPr>
      <w:proofErr w:type="spellStart"/>
      <w:r w:rsidRPr="00380CA4">
        <w:rPr>
          <w:rFonts w:ascii="Verdana" w:eastAsia="Arial" w:hAnsi="Verdana" w:cs="Arial"/>
          <w:lang w:eastAsia="es-ES" w:bidi="es-ES"/>
        </w:rPr>
        <w:t>ii</w:t>
      </w:r>
      <w:proofErr w:type="spellEnd"/>
      <w:r w:rsidRPr="00380CA4">
        <w:rPr>
          <w:rFonts w:ascii="Verdana" w:eastAsia="Arial" w:hAnsi="Verdana" w:cs="Arial"/>
          <w:lang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063DEFCA" w14:textId="77777777" w:rsidR="00EF6139" w:rsidRPr="00380CA4" w:rsidRDefault="00EF6139" w:rsidP="00EF6139">
      <w:pPr>
        <w:spacing w:after="120" w:line="276" w:lineRule="auto"/>
        <w:ind w:firstLine="708"/>
        <w:jc w:val="both"/>
        <w:rPr>
          <w:rFonts w:ascii="Verdana" w:eastAsia="Calibri" w:hAnsi="Verdana" w:cs="Arial"/>
        </w:rPr>
      </w:pPr>
      <w:r w:rsidRPr="00380CA4">
        <w:rPr>
          <w:rFonts w:ascii="Verdana" w:eastAsia="Calibri" w:hAnsi="Verdana" w:cs="Arial"/>
        </w:rPr>
        <w:lastRenderedPageBreak/>
        <w:t xml:space="preserve">Por un lado, el </w:t>
      </w:r>
      <w:r w:rsidRPr="00380CA4">
        <w:rPr>
          <w:rFonts w:ascii="Verdana" w:eastAsia="Calibri" w:hAnsi="Verdana" w:cs="Arial"/>
          <w:i/>
          <w:iCs/>
        </w:rPr>
        <w:t>artículo 33 de la Ley 996 de 2005</w:t>
      </w:r>
      <w:r w:rsidRPr="00380CA4">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380CA4">
        <w:rPr>
          <w:rFonts w:ascii="Verdana" w:eastAsia="Calibri" w:hAnsi="Verdana" w:cs="Arial"/>
          <w:vertAlign w:val="superscript"/>
        </w:rPr>
        <w:footnoteReference w:id="8"/>
      </w:r>
      <w:r w:rsidRPr="00380CA4">
        <w:rPr>
          <w:rFonts w:ascii="Verdana" w:eastAsia="Calibri" w:hAnsi="Verdana" w:cs="Arial"/>
        </w:rPr>
        <w:t>.</w:t>
      </w:r>
    </w:p>
    <w:p w14:paraId="1124D381" w14:textId="77777777" w:rsidR="00EF6139" w:rsidRPr="00380CA4" w:rsidRDefault="00EF6139" w:rsidP="00EF6139">
      <w:pPr>
        <w:widowControl w:val="0"/>
        <w:autoSpaceDE w:val="0"/>
        <w:autoSpaceDN w:val="0"/>
        <w:spacing w:after="120" w:line="276" w:lineRule="auto"/>
        <w:ind w:right="113" w:firstLine="709"/>
        <w:jc w:val="both"/>
        <w:rPr>
          <w:rFonts w:ascii="Verdana" w:eastAsia="Arial" w:hAnsi="Verdana" w:cs="Arial"/>
          <w:lang w:eastAsia="es-ES" w:bidi="es-ES"/>
        </w:rPr>
      </w:pPr>
      <w:r w:rsidRPr="00380CA4">
        <w:rPr>
          <w:rFonts w:ascii="Verdana" w:eastAsia="Calibri" w:hAnsi="Verdana" w:cs="Arial"/>
        </w:rPr>
        <w:t xml:space="preserve">Por otro lado, </w:t>
      </w:r>
      <w:r w:rsidRPr="00380CA4">
        <w:rPr>
          <w:rFonts w:ascii="Verdana" w:eastAsia="Calibri" w:hAnsi="Verdana" w:cs="Arial"/>
          <w:i/>
          <w:iCs/>
        </w:rPr>
        <w:t>el parágrafo del artículo 38 de la Ley 996 de 2005</w:t>
      </w:r>
      <w:r w:rsidRPr="00380CA4">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bookmarkEnd w:id="4"/>
      <w:r w:rsidRPr="00380CA4">
        <w:rPr>
          <w:rFonts w:ascii="Verdana" w:eastAsia="Calibri" w:hAnsi="Verdana" w:cs="Arial"/>
          <w:vertAlign w:val="superscript"/>
        </w:rPr>
        <w:footnoteReference w:id="9"/>
      </w:r>
      <w:r w:rsidRPr="00380CA4">
        <w:rPr>
          <w:rFonts w:ascii="Verdana" w:eastAsia="Calibri" w:hAnsi="Verdana" w:cs="Arial"/>
        </w:rPr>
        <w:t>.</w:t>
      </w:r>
      <w:r w:rsidRPr="00380CA4">
        <w:rPr>
          <w:rFonts w:ascii="Verdana" w:eastAsia="Arial" w:hAnsi="Verdana" w:cs="Arial"/>
          <w:lang w:eastAsia="es-ES" w:bidi="es-ES"/>
        </w:rPr>
        <w:t xml:space="preserve"> </w:t>
      </w:r>
    </w:p>
    <w:p w14:paraId="4CD2BB67" w14:textId="77777777" w:rsidR="00EF6139" w:rsidRPr="00380CA4" w:rsidRDefault="00EF6139" w:rsidP="00EF6139">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es-CO"/>
        </w:rPr>
        <w:t>Para entender el momento de aplicación de estas restricciones, es preciso señalar que el vocablo “celebrar” es definido por el Diccionario Panhispánico del Español Jurídico como: “1. </w:t>
      </w:r>
      <w:r w:rsidRPr="00380CA4">
        <w:rPr>
          <w:rFonts w:ascii="Verdana" w:eastAsia="Times New Roman" w:hAnsi="Verdana" w:cs="Arial"/>
          <w:bCs/>
          <w:i/>
          <w:iCs/>
          <w:lang w:eastAsia="es-CO"/>
        </w:rPr>
        <w:t>Gral.</w:t>
      </w:r>
      <w:r w:rsidRPr="00380CA4">
        <w:rPr>
          <w:rFonts w:ascii="Verdana" w:eastAsia="Times New Roman" w:hAnsi="Verdana" w:cs="Arial"/>
          <w:bCs/>
          <w:lang w:eastAsia="es-CO"/>
        </w:rPr>
        <w:t xml:space="preserve"> Otorgar o firmar un contrato. 2. </w:t>
      </w:r>
      <w:proofErr w:type="spellStart"/>
      <w:r w:rsidRPr="00380CA4">
        <w:rPr>
          <w:rFonts w:ascii="Verdana" w:eastAsia="Times New Roman" w:hAnsi="Verdana" w:cs="Arial"/>
          <w:bCs/>
          <w:i/>
          <w:iCs/>
          <w:lang w:eastAsia="es-CO"/>
        </w:rPr>
        <w:t>Proc</w:t>
      </w:r>
      <w:proofErr w:type="spellEnd"/>
      <w:r w:rsidRPr="00380CA4">
        <w:rPr>
          <w:rFonts w:ascii="Verdana" w:eastAsia="Times New Roman" w:hAnsi="Verdana" w:cs="Arial"/>
          <w:bCs/>
          <w:i/>
          <w:iCs/>
          <w:lang w:eastAsia="es-CO"/>
        </w:rPr>
        <w:t>.</w:t>
      </w:r>
      <w:r w:rsidRPr="00380CA4">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4B6C3975" w14:textId="77777777" w:rsidR="00EF6139" w:rsidRPr="00380CA4" w:rsidRDefault="00EF6139" w:rsidP="00EF6139">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es-CO"/>
        </w:rPr>
        <w:t xml:space="preserve">En efecto, el concepto de celebración en el marco de la contratación estatal se relaciona con el perfeccionamiento, es decir, con los requisitos para </w:t>
      </w:r>
      <w:r w:rsidRPr="00380CA4">
        <w:rPr>
          <w:rFonts w:ascii="Verdana" w:eastAsia="Times New Roman" w:hAnsi="Verdana" w:cs="Arial"/>
          <w:bCs/>
          <w:lang w:eastAsia="es-CO"/>
        </w:rPr>
        <w:lastRenderedPageBreak/>
        <w:t xml:space="preserve">que exista un contrato estatal. Al respecto, se destaca que en entidades sometidas al Estatuto General de Contratación de la Administración Pública la existencia de los contratos estatales, es decir, la producción de efectos jurídicos en los términos del artículo 1501 </w:t>
      </w:r>
      <w:proofErr w:type="spellStart"/>
      <w:r w:rsidRPr="00380CA4">
        <w:rPr>
          <w:rFonts w:ascii="Verdana" w:eastAsia="Times New Roman" w:hAnsi="Verdana" w:cs="Arial"/>
          <w:bCs/>
          <w:i/>
          <w:lang w:eastAsia="es-CO"/>
        </w:rPr>
        <w:t>ibídem</w:t>
      </w:r>
      <w:proofErr w:type="spellEnd"/>
      <w:r w:rsidRPr="00380CA4">
        <w:rPr>
          <w:rFonts w:ascii="Verdana" w:eastAsia="Times New Roman" w:hAnsi="Verdana" w:cs="Arial"/>
          <w:bCs/>
          <w:lang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11E50B95" w14:textId="77777777" w:rsidR="00EF6139" w:rsidRPr="00380CA4" w:rsidRDefault="00EF6139" w:rsidP="00EF6139">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1AFA10F3" w14:textId="77777777" w:rsidR="00EF6139" w:rsidRPr="00380CA4" w:rsidRDefault="00EF6139" w:rsidP="00EF6139">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es-CO"/>
        </w:rPr>
        <w:t xml:space="preserve">Así mismo, como en otras oportunidades lo ha manifestado esta Agencia, las prórrogas, modificaciones o adiciones de los contratos suscritos antes de la </w:t>
      </w:r>
      <w:proofErr w:type="gramStart"/>
      <w:r w:rsidRPr="00380CA4">
        <w:rPr>
          <w:rFonts w:ascii="Verdana" w:eastAsia="Times New Roman" w:hAnsi="Verdana" w:cs="Arial"/>
          <w:bCs/>
          <w:lang w:eastAsia="es-CO"/>
        </w:rPr>
        <w:t>entrada en vigencia</w:t>
      </w:r>
      <w:proofErr w:type="gramEnd"/>
      <w:r w:rsidRPr="00380CA4">
        <w:rPr>
          <w:rFonts w:ascii="Verdana" w:eastAsia="Times New Roman" w:hAnsi="Verdana" w:cs="Arial"/>
          <w:bCs/>
          <w:lang w:eastAsia="es-CO"/>
        </w:rPr>
        <w:t xml:space="preserve"> de las prohibiciones anotadas, así como la cesión de </w:t>
      </w:r>
      <w:proofErr w:type="gramStart"/>
      <w:r w:rsidRPr="00380CA4">
        <w:rPr>
          <w:rFonts w:ascii="Verdana" w:eastAsia="Times New Roman" w:hAnsi="Verdana" w:cs="Arial"/>
          <w:bCs/>
          <w:lang w:eastAsia="es-CO"/>
        </w:rPr>
        <w:t>los mismos</w:t>
      </w:r>
      <w:proofErr w:type="gramEnd"/>
      <w:r w:rsidRPr="00380CA4">
        <w:rPr>
          <w:rFonts w:ascii="Verdana" w:eastAsia="Times New Roman" w:hAnsi="Verdana" w:cs="Arial"/>
          <w:bCs/>
          <w:lang w:eastAsia="es-CO"/>
        </w:rPr>
        <w:t>, pueden tener lugar en el período de aplicación de la Ley de Garantías, sin que ello haga nugatoria la restricción de la contratación directa y siempre que cumplan los principios de planeación, transparencia y responsabilidad</w:t>
      </w:r>
      <w:r w:rsidRPr="00380CA4">
        <w:rPr>
          <w:rFonts w:ascii="Verdana" w:eastAsia="Times New Roman" w:hAnsi="Verdana" w:cs="Arial"/>
          <w:bCs/>
          <w:vertAlign w:val="superscript"/>
          <w:lang w:eastAsia="es-CO"/>
        </w:rPr>
        <w:footnoteReference w:id="10"/>
      </w:r>
      <w:r w:rsidRPr="00380CA4">
        <w:rPr>
          <w:rFonts w:ascii="Verdana" w:eastAsia="Times New Roman" w:hAnsi="Verdana" w:cs="Arial"/>
          <w:bCs/>
          <w:lang w:eastAsia="es-CO"/>
        </w:rPr>
        <w:t xml:space="preserve">. </w:t>
      </w:r>
    </w:p>
    <w:p w14:paraId="0668E823" w14:textId="77777777" w:rsidR="00EF6139" w:rsidRPr="00380CA4" w:rsidRDefault="00EF6139" w:rsidP="00EF6139">
      <w:pPr>
        <w:widowControl w:val="0"/>
        <w:autoSpaceDE w:val="0"/>
        <w:autoSpaceDN w:val="0"/>
        <w:spacing w:after="0" w:line="276" w:lineRule="auto"/>
        <w:ind w:right="113" w:firstLine="708"/>
        <w:contextualSpacing/>
        <w:jc w:val="both"/>
        <w:rPr>
          <w:rFonts w:ascii="Verdana" w:eastAsia="Arial" w:hAnsi="Verdana" w:cs="Arial"/>
          <w:lang w:eastAsia="es-ES" w:bidi="es-ES"/>
        </w:rPr>
      </w:pPr>
      <w:r w:rsidRPr="00380CA4">
        <w:rPr>
          <w:rFonts w:ascii="Verdana" w:eastAsia="Arial" w:hAnsi="Verdana" w:cs="Arial"/>
          <w:lang w:eastAsia="es-ES" w:bidi="es-ES"/>
        </w:rPr>
        <w:t>La Sala de Consulta y Servicio Civil del Consejo de Estado ha aclarado la distinción en la aplicación de las prohibiciones de la Ley 996 de 2005, dependiendo del tipo de elección que se trate. Al respecto, considera:</w:t>
      </w:r>
    </w:p>
    <w:p w14:paraId="019E407D" w14:textId="77777777" w:rsidR="00EF6139" w:rsidRPr="00380CA4" w:rsidRDefault="00EF6139" w:rsidP="00EF6139">
      <w:pPr>
        <w:widowControl w:val="0"/>
        <w:autoSpaceDE w:val="0"/>
        <w:autoSpaceDN w:val="0"/>
        <w:spacing w:after="0" w:line="240" w:lineRule="auto"/>
        <w:ind w:left="805" w:right="812"/>
        <w:contextualSpacing/>
        <w:jc w:val="both"/>
        <w:rPr>
          <w:rFonts w:ascii="Verdana" w:eastAsia="Arial" w:hAnsi="Verdana" w:cs="Arial"/>
          <w:lang w:eastAsia="es-ES" w:bidi="es-ES"/>
        </w:rPr>
      </w:pPr>
    </w:p>
    <w:p w14:paraId="2F1CB09C" w14:textId="77777777" w:rsidR="00EF6139" w:rsidRPr="00380CA4" w:rsidRDefault="00EF6139" w:rsidP="00EF6139">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380CA4">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w:t>
      </w:r>
      <w:r w:rsidRPr="00380CA4">
        <w:rPr>
          <w:rFonts w:ascii="Verdana" w:eastAsia="Arial" w:hAnsi="Verdana" w:cs="Arial"/>
          <w:sz w:val="20"/>
          <w:szCs w:val="20"/>
          <w:lang w:eastAsia="es-ES" w:bidi="es-ES"/>
        </w:rPr>
        <w:lastRenderedPageBreak/>
        <w:t xml:space="preserve">para cualquier cargo de elección popular a que se refiere la ley –incluido el de Presidente de la República-; de manera que dichas restricciones no se excluyen sino que </w:t>
      </w:r>
      <w:bookmarkStart w:id="7" w:name="_Hlk76109421"/>
      <w:r w:rsidRPr="00380CA4">
        <w:rPr>
          <w:rFonts w:ascii="Verdana" w:eastAsia="Arial" w:hAnsi="Verdana" w:cs="Arial"/>
          <w:sz w:val="20"/>
          <w:szCs w:val="20"/>
          <w:lang w:eastAsia="es-ES" w:bidi="es-ES"/>
        </w:rPr>
        <w:t>se integran parcialmente</w:t>
      </w:r>
      <w:bookmarkEnd w:id="7"/>
      <w:r w:rsidRPr="00380CA4">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380CA4">
        <w:rPr>
          <w:rFonts w:ascii="Verdana" w:eastAsia="Arial" w:hAnsi="Verdana" w:cs="Arial"/>
          <w:sz w:val="20"/>
          <w:szCs w:val="20"/>
          <w:lang w:eastAsia="es-ES" w:bidi="es-ES"/>
        </w:rPr>
        <w:t>Presidente</w:t>
      </w:r>
      <w:proofErr w:type="gramEnd"/>
      <w:r w:rsidRPr="00380CA4">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380CA4">
        <w:rPr>
          <w:rFonts w:ascii="Verdana" w:eastAsia="Arial" w:hAnsi="Verdana" w:cs="Arial"/>
          <w:sz w:val="20"/>
          <w:szCs w:val="20"/>
          <w:vertAlign w:val="superscript"/>
          <w:lang w:eastAsia="es-ES" w:bidi="es-ES"/>
        </w:rPr>
        <w:footnoteReference w:id="11"/>
      </w:r>
    </w:p>
    <w:p w14:paraId="7AB02929" w14:textId="77777777" w:rsidR="00EF6139" w:rsidRPr="00380CA4" w:rsidRDefault="00EF6139" w:rsidP="00EF6139">
      <w:pPr>
        <w:widowControl w:val="0"/>
        <w:autoSpaceDE w:val="0"/>
        <w:autoSpaceDN w:val="0"/>
        <w:spacing w:after="0" w:line="276" w:lineRule="auto"/>
        <w:contextualSpacing/>
        <w:rPr>
          <w:rFonts w:ascii="Verdana" w:eastAsia="Arial" w:hAnsi="Verdana" w:cs="Arial"/>
          <w:lang w:eastAsia="es-ES" w:bidi="es-ES"/>
        </w:rPr>
      </w:pPr>
    </w:p>
    <w:p w14:paraId="53280317" w14:textId="77777777" w:rsidR="00EF6139" w:rsidRPr="00380CA4" w:rsidRDefault="00EF6139" w:rsidP="00EF6139">
      <w:pPr>
        <w:spacing w:after="120" w:line="276" w:lineRule="auto"/>
        <w:ind w:firstLine="709"/>
        <w:jc w:val="both"/>
        <w:rPr>
          <w:rFonts w:ascii="Verdana" w:eastAsia="Arial" w:hAnsi="Verdana" w:cs="Arial"/>
          <w:lang w:eastAsia="es-ES" w:bidi="es-ES"/>
        </w:rPr>
      </w:pPr>
      <w:r w:rsidRPr="00380CA4">
        <w:rPr>
          <w:rFonts w:ascii="Verdana" w:eastAsia="Arial" w:hAnsi="Verdana" w:cs="Arial"/>
          <w:lang w:eastAsia="es-ES" w:bidi="es-ES"/>
        </w:rPr>
        <w:t xml:space="preserve">De conformidad con lo anterior, </w:t>
      </w:r>
      <w:bookmarkStart w:id="8" w:name="_Hlk77236420"/>
      <w:bookmarkStart w:id="9" w:name="_Hlk78818435"/>
      <w:bookmarkStart w:id="10" w:name="_Hlk75780333"/>
      <w:r w:rsidRPr="00380CA4">
        <w:rPr>
          <w:rFonts w:ascii="Verdana" w:eastAsia="Arial" w:hAnsi="Verdana" w:cs="Arial"/>
          <w:lang w:eastAsia="es-ES" w:bidi="es-ES"/>
        </w:rPr>
        <w:t xml:space="preserve">la Ley 996 de 2005 establece dos (2) tipos de restricciones en materia de contratación, las cuales coinciden parcialmente. </w:t>
      </w:r>
      <w:r w:rsidRPr="00380CA4">
        <w:rPr>
          <w:rFonts w:ascii="Verdana" w:eastAsia="Arial" w:hAnsi="Verdana" w:cs="Arial"/>
          <w:i/>
          <w:lang w:eastAsia="es-ES" w:bidi="es-ES"/>
        </w:rPr>
        <w:t>En primer lugar</w:t>
      </w:r>
      <w:r w:rsidRPr="00380CA4">
        <w:rPr>
          <w:rFonts w:ascii="Verdana" w:eastAsia="Arial" w:hAnsi="Verdana" w:cs="Arial"/>
          <w:lang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380CA4">
        <w:rPr>
          <w:rFonts w:ascii="Verdana" w:eastAsia="Arial" w:hAnsi="Verdana" w:cs="Arial"/>
          <w:i/>
          <w:lang w:eastAsia="es-ES" w:bidi="es-ES"/>
        </w:rPr>
        <w:t>En segundo lugar</w:t>
      </w:r>
      <w:r w:rsidRPr="00380CA4">
        <w:rPr>
          <w:rFonts w:ascii="Verdana" w:eastAsia="Arial" w:hAnsi="Verdana" w:cs="Arial"/>
          <w:lang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9"/>
    <w:p w14:paraId="410B6EE2" w14:textId="77777777" w:rsidR="00EF6139" w:rsidRPr="00380CA4" w:rsidRDefault="00EF6139" w:rsidP="00EF6139">
      <w:pPr>
        <w:spacing w:after="120" w:line="276" w:lineRule="auto"/>
        <w:ind w:firstLine="709"/>
        <w:jc w:val="both"/>
        <w:rPr>
          <w:rFonts w:ascii="Verdana" w:eastAsia="Arial" w:hAnsi="Verdana" w:cs="Arial"/>
          <w:lang w:eastAsia="es-ES" w:bidi="es-ES"/>
        </w:rPr>
      </w:pPr>
      <w:r w:rsidRPr="00380CA4">
        <w:rPr>
          <w:rFonts w:ascii="Verdana" w:eastAsia="Arial" w:hAnsi="Verdana" w:cs="Arial"/>
          <w:lang w:eastAsia="es-ES" w:bidi="es-ES"/>
        </w:rPr>
        <w:t xml:space="preserve">Ambas restricciones no son excluyentes, lo que permite concluir que, en el período preelectoral para elección de </w:t>
      </w:r>
      <w:proofErr w:type="gramStart"/>
      <w:r w:rsidRPr="00380CA4">
        <w:rPr>
          <w:rFonts w:ascii="Verdana" w:eastAsia="Arial" w:hAnsi="Verdana" w:cs="Arial"/>
          <w:lang w:eastAsia="es-ES" w:bidi="es-ES"/>
        </w:rPr>
        <w:t>Presidente</w:t>
      </w:r>
      <w:proofErr w:type="gramEnd"/>
      <w:r w:rsidRPr="00380CA4">
        <w:rPr>
          <w:rFonts w:ascii="Verdana" w:eastAsia="Arial" w:hAnsi="Verdana" w:cs="Arial"/>
          <w:lang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380CA4">
        <w:rPr>
          <w:rFonts w:ascii="Verdana" w:eastAsia="Arial" w:hAnsi="Verdana" w:cs="Arial"/>
          <w:lang w:eastAsia="es-ES" w:bidi="es-ES"/>
        </w:rPr>
        <w:t>Presidente</w:t>
      </w:r>
      <w:proofErr w:type="gramEnd"/>
      <w:r w:rsidRPr="00380CA4">
        <w:rPr>
          <w:rFonts w:ascii="Verdana" w:eastAsia="Arial" w:hAnsi="Verdana" w:cs="Arial"/>
          <w:lang w:eastAsia="es-ES" w:bidi="es-ES"/>
        </w:rPr>
        <w:t xml:space="preserve"> de la República, las autoridades allí mencionadas sólo deben aplicar las restricciones contenidas en el parágrafo del artículo 38.</w:t>
      </w:r>
    </w:p>
    <w:bookmarkEnd w:id="10"/>
    <w:p w14:paraId="6EA9B2A9" w14:textId="77777777" w:rsidR="00EF6139" w:rsidRPr="00380CA4" w:rsidRDefault="00EF6139" w:rsidP="00EF6139">
      <w:pPr>
        <w:spacing w:after="0" w:line="276" w:lineRule="auto"/>
        <w:ind w:firstLine="709"/>
        <w:jc w:val="both"/>
        <w:rPr>
          <w:rFonts w:ascii="Verdana" w:eastAsia="Arial" w:hAnsi="Verdana" w:cs="Arial"/>
          <w:lang w:eastAsia="es-ES" w:bidi="es-ES"/>
        </w:rPr>
      </w:pPr>
      <w:r w:rsidRPr="00380CA4">
        <w:rPr>
          <w:rFonts w:ascii="Verdana" w:eastAsia="Arial" w:hAnsi="Verdana" w:cs="Arial"/>
          <w:lang w:eastAsia="es-ES" w:bidi="es-ES"/>
        </w:rPr>
        <w:lastRenderedPageBreak/>
        <w:t xml:space="preserve">La Corte Constitucional, en la Sentencia C-1153 del 11 de noviembre de 2005, señaló que, para que la garantía sea plena, era necesario que la prohibición se aplicara para el </w:t>
      </w:r>
      <w:proofErr w:type="gramStart"/>
      <w:r w:rsidRPr="00380CA4">
        <w:rPr>
          <w:rFonts w:ascii="Verdana" w:eastAsia="Arial" w:hAnsi="Verdana" w:cs="Arial"/>
          <w:lang w:eastAsia="es-ES" w:bidi="es-ES"/>
        </w:rPr>
        <w:t>Presidente</w:t>
      </w:r>
      <w:proofErr w:type="gramEnd"/>
      <w:r w:rsidRPr="00380CA4">
        <w:rPr>
          <w:rFonts w:ascii="Verdana" w:eastAsia="Arial" w:hAnsi="Verdana" w:cs="Arial"/>
          <w:lang w:eastAsia="es-ES" w:bidi="es-ES"/>
        </w:rPr>
        <w:t xml:space="preserve"> o el </w:t>
      </w:r>
      <w:proofErr w:type="gramStart"/>
      <w:r w:rsidRPr="00380CA4">
        <w:rPr>
          <w:rFonts w:ascii="Verdana" w:eastAsia="Arial" w:hAnsi="Verdana" w:cs="Arial"/>
          <w:lang w:eastAsia="es-ES" w:bidi="es-ES"/>
        </w:rPr>
        <w:t>Vicepresidente</w:t>
      </w:r>
      <w:proofErr w:type="gramEnd"/>
      <w:r w:rsidRPr="00380CA4">
        <w:rPr>
          <w:rFonts w:ascii="Verdana" w:eastAsia="Arial" w:hAnsi="Verdana" w:cs="Arial"/>
          <w:lang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380CA4">
        <w:rPr>
          <w:rFonts w:ascii="Verdana" w:eastAsia="Arial" w:hAnsi="Verdana" w:cs="Arial"/>
          <w:lang w:eastAsia="es-ES" w:bidi="es-ES"/>
        </w:rPr>
        <w:t>Presidente</w:t>
      </w:r>
      <w:proofErr w:type="gramEnd"/>
      <w:r w:rsidRPr="00380CA4">
        <w:rPr>
          <w:rFonts w:ascii="Verdana" w:eastAsia="Arial" w:hAnsi="Verdana" w:cs="Arial"/>
          <w:lang w:eastAsia="es-ES" w:bidi="es-ES"/>
        </w:rPr>
        <w:t xml:space="preserve"> y el </w:t>
      </w:r>
      <w:proofErr w:type="gramStart"/>
      <w:r w:rsidRPr="00380CA4">
        <w:rPr>
          <w:rFonts w:ascii="Verdana" w:eastAsia="Arial" w:hAnsi="Verdana" w:cs="Arial"/>
          <w:lang w:eastAsia="es-ES" w:bidi="es-ES"/>
        </w:rPr>
        <w:t>Vicepresidente</w:t>
      </w:r>
      <w:proofErr w:type="gramEnd"/>
      <w:r w:rsidRPr="00380CA4">
        <w:rPr>
          <w:rFonts w:ascii="Verdana" w:eastAsia="Arial" w:hAnsi="Verdana" w:cs="Arial"/>
          <w:lang w:eastAsia="es-ES" w:bidi="es-ES"/>
        </w:rPr>
        <w:t xml:space="preserve"> de la República, ha perdido vigencia ante la prohibición de la reelección presidencial, restablecida por el Acto Legislativo 2 de 2015. Esto excepto para el </w:t>
      </w:r>
      <w:proofErr w:type="gramStart"/>
      <w:r w:rsidRPr="00380CA4">
        <w:rPr>
          <w:rFonts w:ascii="Verdana" w:eastAsia="Arial" w:hAnsi="Verdana" w:cs="Arial"/>
          <w:lang w:eastAsia="es-ES" w:bidi="es-ES"/>
        </w:rPr>
        <w:t>Vicepresidente</w:t>
      </w:r>
      <w:proofErr w:type="gramEnd"/>
      <w:r w:rsidRPr="00380CA4">
        <w:rPr>
          <w:rFonts w:ascii="Verdana" w:eastAsia="Arial" w:hAnsi="Verdana" w:cs="Arial"/>
          <w:lang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7F37E012" w14:textId="77777777" w:rsidR="00EF6139" w:rsidRPr="00380CA4" w:rsidRDefault="00EF6139" w:rsidP="00EF6139">
      <w:pPr>
        <w:spacing w:after="120" w:line="276" w:lineRule="auto"/>
        <w:ind w:firstLine="708"/>
        <w:jc w:val="both"/>
        <w:rPr>
          <w:rFonts w:ascii="Verdana" w:eastAsia="Arial" w:hAnsi="Verdana" w:cs="Arial"/>
          <w:lang w:eastAsia="es-ES" w:bidi="es-ES"/>
        </w:rPr>
      </w:pPr>
      <w:r w:rsidRPr="00380CA4">
        <w:rPr>
          <w:rFonts w:ascii="Verdana" w:eastAsia="Arial" w:hAnsi="Verdana" w:cs="Arial"/>
          <w:lang w:eastAsia="es-ES" w:bidi="es-ES"/>
        </w:rPr>
        <w:t xml:space="preserve"> </w:t>
      </w:r>
      <w:bookmarkStart w:id="11" w:name="_Hlk78820161"/>
    </w:p>
    <w:p w14:paraId="1D9C1B49" w14:textId="77777777" w:rsidR="00EF6139" w:rsidRPr="00380CA4" w:rsidRDefault="00EF6139" w:rsidP="00EF6139">
      <w:pPr>
        <w:spacing w:line="276" w:lineRule="auto"/>
        <w:jc w:val="both"/>
        <w:rPr>
          <w:rFonts w:ascii="Verdana" w:eastAsia="Times New Roman" w:hAnsi="Verdana" w:cs="Arial"/>
          <w:bCs/>
          <w:lang w:eastAsia="es-CO"/>
        </w:rPr>
      </w:pPr>
      <w:proofErr w:type="spellStart"/>
      <w:r>
        <w:rPr>
          <w:rFonts w:ascii="Verdana" w:eastAsia="Arial" w:hAnsi="Verdana" w:cs="Arial"/>
          <w:lang w:eastAsia="es-ES" w:bidi="es-ES"/>
        </w:rPr>
        <w:t>iii</w:t>
      </w:r>
      <w:proofErr w:type="spellEnd"/>
      <w:r>
        <w:rPr>
          <w:rFonts w:ascii="Verdana" w:eastAsia="Arial" w:hAnsi="Verdana" w:cs="Arial"/>
          <w:lang w:eastAsia="es-ES" w:bidi="es-ES"/>
        </w:rPr>
        <w:t>.</w:t>
      </w:r>
      <w:r w:rsidRPr="00380CA4">
        <w:rPr>
          <w:rFonts w:ascii="Verdana" w:eastAsia="Arial" w:hAnsi="Verdana" w:cs="Arial"/>
          <w:lang w:eastAsia="es-ES" w:bidi="es-ES"/>
        </w:rPr>
        <w:t xml:space="preserve"> </w:t>
      </w:r>
      <w:r w:rsidRPr="00380CA4">
        <w:rPr>
          <w:rFonts w:ascii="Verdana" w:eastAsia="Times New Roman" w:hAnsi="Verdana" w:cs="Arial"/>
          <w:bCs/>
          <w:lang w:eastAsia="x-none"/>
        </w:rPr>
        <w:t xml:space="preserve">El ámbito material de la prohibición contenida en el artículo 33 de la ley 996 de 2005 está delimitado por la expresión </w:t>
      </w:r>
      <w:r w:rsidRPr="00380CA4">
        <w:rPr>
          <w:rFonts w:ascii="Verdana" w:eastAsia="Calibri" w:hAnsi="Verdana" w:cs="Arial"/>
          <w:bCs/>
          <w:sz w:val="20"/>
          <w:szCs w:val="20"/>
        </w:rPr>
        <w:t>“</w:t>
      </w:r>
      <w:r w:rsidRPr="00380CA4">
        <w:rPr>
          <w:rFonts w:ascii="Verdana" w:eastAsia="Times New Roman" w:hAnsi="Verdana" w:cs="Arial"/>
          <w:bCs/>
          <w:lang w:eastAsia="x-none"/>
        </w:rPr>
        <w:t>queda prohibida la contratación directa</w:t>
      </w:r>
      <w:r w:rsidRPr="00380CA4">
        <w:rPr>
          <w:rFonts w:ascii="Verdana" w:eastAsia="Calibri" w:hAnsi="Verdana" w:cs="Arial"/>
          <w:sz w:val="20"/>
          <w:szCs w:val="20"/>
        </w:rPr>
        <w:t>”</w:t>
      </w:r>
      <w:r w:rsidRPr="00380CA4">
        <w:rPr>
          <w:rFonts w:ascii="Verdana" w:eastAsia="Times New Roman" w:hAnsi="Verdana" w:cs="Arial"/>
          <w:bCs/>
          <w:lang w:eastAsia="x-none"/>
        </w:rPr>
        <w:t xml:space="preserve">. </w:t>
      </w:r>
      <w:r w:rsidRPr="00380CA4">
        <w:rPr>
          <w:rFonts w:ascii="Verdana" w:eastAsia="Times New Roman" w:hAnsi="Verdana" w:cs="Arial"/>
          <w:lang w:eastAsia="es-CO"/>
        </w:rPr>
        <w:t xml:space="preserve"> A propósito de esta restricción de la Ley de Garantías Electorales, la Sala de Consulta y Servicio Civil del Consejo de Estado ha considerado que:</w:t>
      </w:r>
    </w:p>
    <w:p w14:paraId="08CF8608" w14:textId="77777777" w:rsidR="00EF6139" w:rsidRPr="00380CA4" w:rsidRDefault="00EF6139" w:rsidP="00EF6139">
      <w:pPr>
        <w:spacing w:after="0" w:line="240" w:lineRule="auto"/>
        <w:ind w:left="708" w:right="709"/>
        <w:jc w:val="both"/>
        <w:rPr>
          <w:rFonts w:ascii="Verdana" w:eastAsia="Calibri" w:hAnsi="Verdana" w:cs="Arial"/>
          <w:sz w:val="21"/>
          <w:szCs w:val="21"/>
        </w:rPr>
      </w:pPr>
    </w:p>
    <w:p w14:paraId="1C559176" w14:textId="77777777" w:rsidR="00EF6139" w:rsidRPr="00380CA4" w:rsidRDefault="00EF6139" w:rsidP="00EF6139">
      <w:pPr>
        <w:spacing w:after="120" w:line="240" w:lineRule="auto"/>
        <w:ind w:left="709" w:right="709"/>
        <w:jc w:val="both"/>
        <w:rPr>
          <w:rFonts w:ascii="Verdana" w:eastAsia="Calibri" w:hAnsi="Verdana" w:cs="Arial"/>
          <w:sz w:val="20"/>
          <w:szCs w:val="20"/>
        </w:rPr>
      </w:pPr>
      <w:r w:rsidRPr="00380CA4">
        <w:rPr>
          <w:rFonts w:ascii="Verdana" w:eastAsia="Calibri"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380CA4">
        <w:rPr>
          <w:rFonts w:ascii="Verdana" w:eastAsia="Times New Roman" w:hAnsi="Verdana" w:cs="Arial"/>
          <w:sz w:val="20"/>
          <w:szCs w:val="20"/>
          <w:vertAlign w:val="superscript"/>
          <w:lang w:eastAsia="es-CO"/>
        </w:rPr>
        <w:footnoteReference w:id="12"/>
      </w:r>
      <w:r w:rsidRPr="00380CA4">
        <w:rPr>
          <w:rFonts w:ascii="Verdana" w:eastAsia="Calibri" w:hAnsi="Verdana" w:cs="Arial"/>
          <w:sz w:val="20"/>
          <w:szCs w:val="20"/>
        </w:rPr>
        <w:t>.</w:t>
      </w:r>
    </w:p>
    <w:p w14:paraId="19BA2A52" w14:textId="77777777" w:rsidR="00EF6139" w:rsidRPr="00380CA4" w:rsidRDefault="00EF6139" w:rsidP="00EF6139">
      <w:pPr>
        <w:spacing w:after="0" w:line="240" w:lineRule="auto"/>
        <w:ind w:left="708" w:right="709"/>
        <w:jc w:val="both"/>
        <w:rPr>
          <w:rFonts w:ascii="Verdana" w:eastAsia="Calibri" w:hAnsi="Verdana" w:cs="Arial"/>
          <w:sz w:val="20"/>
          <w:szCs w:val="20"/>
        </w:rPr>
      </w:pPr>
      <w:r w:rsidRPr="00380CA4">
        <w:rPr>
          <w:rFonts w:ascii="Verdana" w:eastAsia="Calibri" w:hAnsi="Verdana" w:cs="Arial"/>
          <w:sz w:val="20"/>
          <w:szCs w:val="20"/>
        </w:rPr>
        <w:t xml:space="preserve">Esta Sala ha entendido </w:t>
      </w:r>
      <w:proofErr w:type="gramStart"/>
      <w:r w:rsidRPr="00380CA4">
        <w:rPr>
          <w:rFonts w:ascii="Verdana" w:eastAsia="Calibri" w:hAnsi="Verdana" w:cs="Arial"/>
          <w:sz w:val="20"/>
          <w:szCs w:val="20"/>
        </w:rPr>
        <w:t>que</w:t>
      </w:r>
      <w:proofErr w:type="gramEnd"/>
      <w:r w:rsidRPr="00380CA4">
        <w:rPr>
          <w:rFonts w:ascii="Verdana" w:eastAsia="Calibri" w:hAnsi="Verdana" w:cs="Arial"/>
          <w:sz w:val="20"/>
          <w:szCs w:val="20"/>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380CA4">
        <w:rPr>
          <w:rFonts w:ascii="Verdana" w:eastAsia="Times New Roman" w:hAnsi="Verdana" w:cs="Arial"/>
          <w:sz w:val="20"/>
          <w:szCs w:val="20"/>
          <w:vertAlign w:val="superscript"/>
        </w:rPr>
        <w:footnoteReference w:id="13"/>
      </w:r>
      <w:r w:rsidRPr="00380CA4">
        <w:rPr>
          <w:rFonts w:ascii="Verdana" w:eastAsia="Times New Roman" w:hAnsi="Verdana" w:cs="Arial"/>
          <w:sz w:val="20"/>
          <w:szCs w:val="20"/>
          <w:vertAlign w:val="superscript"/>
        </w:rPr>
        <w:t>.</w:t>
      </w:r>
      <w:r w:rsidRPr="00380CA4">
        <w:rPr>
          <w:rFonts w:ascii="Verdana" w:eastAsia="Calibri" w:hAnsi="Verdana" w:cs="Arial"/>
          <w:sz w:val="20"/>
          <w:szCs w:val="20"/>
        </w:rPr>
        <w:t xml:space="preserve"> Por tanto, no son materia de la prohibición las demás modalidades de selección previstas en la ley 1150 de 2007, siendo estas, </w:t>
      </w:r>
      <w:r w:rsidRPr="00380CA4">
        <w:rPr>
          <w:rFonts w:ascii="Verdana" w:eastAsia="Calibri" w:hAnsi="Verdana" w:cs="Arial"/>
          <w:sz w:val="20"/>
          <w:szCs w:val="20"/>
        </w:rPr>
        <w:lastRenderedPageBreak/>
        <w:t>la licitación pública, el concurso de méritos y la selección abreviada, razón por la cual en ese periodo preelectoral de que trata la disposición pueden las entidades públicas seguir contratando bajo estos sistemas. [...]</w:t>
      </w:r>
      <w:r w:rsidRPr="00380CA4">
        <w:rPr>
          <w:rFonts w:ascii="Verdana" w:eastAsia="Times New Roman" w:hAnsi="Verdana" w:cs="Arial"/>
          <w:sz w:val="20"/>
          <w:szCs w:val="20"/>
          <w:vertAlign w:val="superscript"/>
          <w:lang w:eastAsia="es-CO"/>
        </w:rPr>
        <w:footnoteReference w:id="14"/>
      </w:r>
      <w:r w:rsidRPr="00380CA4">
        <w:rPr>
          <w:rFonts w:ascii="Verdana" w:eastAsia="Calibri" w:hAnsi="Verdana" w:cs="Arial"/>
          <w:sz w:val="20"/>
          <w:szCs w:val="20"/>
        </w:rPr>
        <w:t xml:space="preserve"> .</w:t>
      </w:r>
    </w:p>
    <w:p w14:paraId="15F64616" w14:textId="77777777" w:rsidR="00EF6139" w:rsidRPr="00380CA4" w:rsidRDefault="00EF6139" w:rsidP="00EF6139">
      <w:pPr>
        <w:shd w:val="clear" w:color="auto" w:fill="FFFFFF"/>
        <w:spacing w:after="0" w:line="276" w:lineRule="auto"/>
        <w:ind w:firstLine="709"/>
        <w:jc w:val="both"/>
        <w:rPr>
          <w:rFonts w:ascii="Verdana" w:eastAsia="Times New Roman" w:hAnsi="Verdana" w:cs="Arial"/>
          <w:lang w:eastAsia="x-none"/>
        </w:rPr>
      </w:pPr>
    </w:p>
    <w:p w14:paraId="23EB799C" w14:textId="77777777" w:rsidR="00EF6139" w:rsidRPr="00380CA4" w:rsidRDefault="00EF6139" w:rsidP="00EF6139">
      <w:pPr>
        <w:spacing w:after="120" w:line="276" w:lineRule="auto"/>
        <w:ind w:firstLine="708"/>
        <w:jc w:val="both"/>
        <w:rPr>
          <w:rFonts w:ascii="Verdana" w:eastAsia="Times New Roman" w:hAnsi="Verdana" w:cs="Arial"/>
          <w:bCs/>
          <w:lang w:eastAsia="x-none"/>
        </w:rPr>
      </w:pPr>
      <w:r w:rsidRPr="00380CA4">
        <w:rPr>
          <w:rFonts w:ascii="Verdana" w:eastAsia="Times New Roman" w:hAnsi="Verdana" w:cs="Arial"/>
          <w:lang w:eastAsia="x-none"/>
        </w:rPr>
        <w:t xml:space="preserve">De acuerdo con el citado concepto, la prohibición del artículo 33 de la Ley de Garantías Electorales se refiere a </w:t>
      </w:r>
      <w:r w:rsidRPr="00380CA4">
        <w:rPr>
          <w:rFonts w:ascii="Verdana" w:eastAsia="Times New Roman" w:hAnsi="Verdana" w:cs="Arial"/>
          <w:sz w:val="19"/>
          <w:szCs w:val="19"/>
          <w:lang w:eastAsia="en-GB"/>
        </w:rPr>
        <w:t>“</w:t>
      </w:r>
      <w:r w:rsidRPr="00380CA4">
        <w:rPr>
          <w:rFonts w:ascii="Verdana" w:eastAsia="Times New Roman" w:hAnsi="Verdana" w:cs="Arial"/>
          <w:lang w:eastAsia="x-none"/>
        </w:rPr>
        <w:t>cualquier sistema que no implique convocatoria pública y posibilidad de pluralidad de oferentes</w:t>
      </w:r>
      <w:r w:rsidRPr="00380CA4">
        <w:rPr>
          <w:rFonts w:ascii="Verdana" w:eastAsia="Times New Roman" w:hAnsi="Verdana" w:cs="Arial"/>
          <w:lang w:eastAsia="en-GB"/>
        </w:rPr>
        <w:t>”</w:t>
      </w:r>
      <w:r w:rsidRPr="00380CA4">
        <w:rPr>
          <w:rFonts w:ascii="Verdana" w:eastAsia="Times New Roman" w:hAnsi="Verdana" w:cs="Arial"/>
          <w:lang w:eastAsia="x-none"/>
        </w:rPr>
        <w:t>, por lo que excluye las demás modalidades de contratación previstas en la Ley 1150 de 2007, es decir, la licitación pública, la selección abreviada, el concurso de méritos y la mínima cuantía</w:t>
      </w:r>
      <w:r w:rsidRPr="00380CA4" w:rsidDel="00A85D9F">
        <w:rPr>
          <w:rFonts w:ascii="Verdana" w:eastAsia="Times New Roman" w:hAnsi="Verdana" w:cs="Arial"/>
          <w:lang w:eastAsia="x-none"/>
        </w:rPr>
        <w:t xml:space="preserve"> </w:t>
      </w:r>
      <w:r w:rsidRPr="00380CA4">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380CA4">
        <w:rPr>
          <w:rFonts w:ascii="Verdana" w:eastAsia="Times New Roman" w:hAnsi="Verdana" w:cs="Arial"/>
          <w:vertAlign w:val="superscript"/>
          <w:lang w:eastAsia="x-none"/>
        </w:rPr>
        <w:footnoteReference w:id="15"/>
      </w:r>
      <w:r w:rsidRPr="00380CA4">
        <w:rPr>
          <w:rFonts w:ascii="Verdana" w:eastAsia="Times New Roman" w:hAnsi="Verdana" w:cs="Arial"/>
          <w:lang w:eastAsia="x-none"/>
        </w:rPr>
        <w:t xml:space="preserve"> y sistematizó las causales de contratación directa</w:t>
      </w:r>
      <w:r w:rsidRPr="00380CA4">
        <w:rPr>
          <w:rFonts w:ascii="Verdana" w:eastAsia="Times New Roman" w:hAnsi="Verdana" w:cs="Arial"/>
          <w:vertAlign w:val="superscript"/>
          <w:lang w:eastAsia="x-none"/>
        </w:rPr>
        <w:footnoteReference w:id="16"/>
      </w:r>
      <w:r w:rsidRPr="00380CA4">
        <w:rPr>
          <w:rFonts w:ascii="Verdana" w:eastAsia="Times New Roman" w:hAnsi="Verdana" w:cs="Arial"/>
          <w:lang w:eastAsia="x-none"/>
        </w:rPr>
        <w:t xml:space="preserve">, </w:t>
      </w:r>
      <w:r w:rsidRPr="00380CA4">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1BA51151" w14:textId="77777777" w:rsidR="00EF6139" w:rsidRPr="00380CA4" w:rsidRDefault="00EF6139" w:rsidP="00EF6139">
      <w:pPr>
        <w:spacing w:after="120" w:line="276" w:lineRule="auto"/>
        <w:ind w:firstLine="708"/>
        <w:jc w:val="both"/>
        <w:rPr>
          <w:rFonts w:ascii="Verdana" w:eastAsia="Times New Roman" w:hAnsi="Verdana" w:cs="Arial"/>
          <w:lang w:eastAsia="x-none"/>
        </w:rPr>
      </w:pPr>
      <w:r w:rsidRPr="00380CA4">
        <w:rPr>
          <w:rFonts w:ascii="Verdana" w:eastAsia="Times New Roman" w:hAnsi="Verdana" w:cs="Arial"/>
          <w:lang w:eastAsia="x-none"/>
        </w:rPr>
        <w:t xml:space="preserve">De esta forma, con fundamento en la evolución de la normativa sobre la contratación pública, se ha depurado la noción de </w:t>
      </w:r>
      <w:r w:rsidRPr="00380CA4">
        <w:rPr>
          <w:rFonts w:ascii="Verdana" w:eastAsia="Times New Roman" w:hAnsi="Verdana" w:cs="Arial"/>
          <w:sz w:val="19"/>
          <w:szCs w:val="19"/>
          <w:lang w:eastAsia="en-GB"/>
        </w:rPr>
        <w:t>«</w:t>
      </w:r>
      <w:r w:rsidRPr="00380CA4">
        <w:rPr>
          <w:rFonts w:ascii="Verdana" w:eastAsia="Times New Roman" w:hAnsi="Verdana" w:cs="Arial"/>
          <w:lang w:eastAsia="x-none"/>
        </w:rPr>
        <w:t>contratación directa</w:t>
      </w:r>
      <w:r w:rsidRPr="00380CA4">
        <w:rPr>
          <w:rFonts w:ascii="Verdana" w:eastAsia="Times New Roman" w:hAnsi="Verdana" w:cs="Arial"/>
          <w:lang w:eastAsia="en-GB"/>
        </w:rPr>
        <w:t>»</w:t>
      </w:r>
      <w:r w:rsidRPr="00380CA4">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380CA4">
        <w:rPr>
          <w:rFonts w:ascii="Verdana" w:eastAsia="Times New Roman" w:hAnsi="Verdana" w:cs="Arial"/>
          <w:vertAlign w:val="superscript"/>
          <w:lang w:eastAsia="x-none"/>
        </w:rPr>
        <w:footnoteReference w:id="17"/>
      </w:r>
      <w:r w:rsidRPr="00380CA4">
        <w:rPr>
          <w:rFonts w:ascii="Verdana" w:eastAsia="Times New Roman" w:hAnsi="Verdana" w:cs="Arial"/>
          <w:lang w:eastAsia="x-none"/>
        </w:rPr>
        <w:t>, han establecido sistemas de contratación que implican convocatoria pública y participación de varios oferentes</w:t>
      </w:r>
      <w:r w:rsidRPr="00380CA4">
        <w:rPr>
          <w:rFonts w:ascii="Verdana" w:eastAsia="Times New Roman" w:hAnsi="Verdana" w:cs="Arial"/>
          <w:lang w:eastAsia="en-GB"/>
        </w:rPr>
        <w:t>»</w:t>
      </w:r>
      <w:r w:rsidRPr="00380CA4">
        <w:rPr>
          <w:rFonts w:ascii="Verdana" w:eastAsia="Times New Roman" w:hAnsi="Verdana" w:cs="Arial"/>
          <w:lang w:eastAsia="x-none"/>
        </w:rPr>
        <w:t xml:space="preserve">. </w:t>
      </w:r>
    </w:p>
    <w:p w14:paraId="26961A62" w14:textId="77777777" w:rsidR="00EF6139" w:rsidRPr="00380CA4" w:rsidRDefault="00EF6139" w:rsidP="00EF6139">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x-none"/>
        </w:rPr>
        <w:t>E</w:t>
      </w:r>
      <w:r w:rsidRPr="00380CA4">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w:t>
      </w:r>
      <w:r w:rsidRPr="00380CA4">
        <w:rPr>
          <w:rFonts w:ascii="Verdana" w:eastAsia="Times New Roman" w:hAnsi="Verdana" w:cs="Arial"/>
          <w:lang w:eastAsia="x-none"/>
        </w:rPr>
        <w:lastRenderedPageBreak/>
        <w:t>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380CA4">
        <w:rPr>
          <w:rFonts w:ascii="Verdana" w:eastAsia="Times New Roman" w:hAnsi="Verdana" w:cs="Arial"/>
          <w:vertAlign w:val="superscript"/>
          <w:lang w:eastAsia="x-none"/>
        </w:rPr>
        <w:footnoteReference w:id="18"/>
      </w:r>
      <w:r w:rsidRPr="00380CA4">
        <w:rPr>
          <w:rFonts w:ascii="Verdana" w:eastAsia="Times New Roman" w:hAnsi="Verdana" w:cs="Arial"/>
          <w:lang w:eastAsia="x-none"/>
        </w:rPr>
        <w:t xml:space="preserve">. </w:t>
      </w:r>
    </w:p>
    <w:p w14:paraId="677EDFCA" w14:textId="77777777" w:rsidR="00EF6139" w:rsidRPr="00380CA4" w:rsidRDefault="00EF6139" w:rsidP="00EF6139">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095C3F73" w14:textId="77777777" w:rsidR="00EF6139" w:rsidRPr="001052D1" w:rsidRDefault="00EF6139" w:rsidP="00EF6139">
      <w:pPr>
        <w:spacing w:after="120" w:line="276" w:lineRule="auto"/>
        <w:ind w:firstLine="708"/>
        <w:jc w:val="both"/>
        <w:rPr>
          <w:rFonts w:ascii="Verdana" w:eastAsia="Times New Roman" w:hAnsi="Verdana" w:cs="Arial"/>
          <w:bCs/>
          <w:lang w:eastAsia="x-none"/>
        </w:rPr>
      </w:pPr>
      <w:r w:rsidRPr="00380CA4">
        <w:rPr>
          <w:rFonts w:ascii="Verdana" w:eastAsia="Times New Roman"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380CA4">
        <w:rPr>
          <w:rFonts w:ascii="Verdana" w:eastAsia="Times New Roman" w:hAnsi="Verdana" w:cs="Arial"/>
          <w:vertAlign w:val="superscript"/>
          <w:lang w:eastAsia="x-none"/>
        </w:rPr>
        <w:footnoteReference w:id="19"/>
      </w:r>
      <w:r w:rsidRPr="00380CA4">
        <w:rPr>
          <w:rFonts w:ascii="Verdana" w:eastAsia="Times New Roman" w:hAnsi="Verdana" w:cs="Arial"/>
          <w:bCs/>
          <w:lang w:eastAsia="x-none"/>
        </w:rPr>
        <w:t>.</w:t>
      </w:r>
      <w:r w:rsidRPr="00380CA4">
        <w:rPr>
          <w:rFonts w:ascii="Verdana" w:eastAsia="Times New Roman" w:hAnsi="Verdana" w:cs="Arial"/>
          <w:vertAlign w:val="superscript"/>
          <w:lang w:eastAsia="x-none"/>
        </w:rPr>
        <w:t xml:space="preserve"> </w:t>
      </w:r>
      <w:r w:rsidRPr="00380CA4">
        <w:rPr>
          <w:rFonts w:ascii="Verdana" w:eastAsia="Times New Roman" w:hAnsi="Verdana" w:cs="Arial"/>
          <w:bCs/>
          <w:lang w:eastAsia="x-none"/>
        </w:rPr>
        <w:t>De lo anterior se desprende que la restricción aplica, sin perjuicio de las excepciones establecidas en la misma ley, para celebrar cualquier contrato de forma directa, esto es, sin que exista un proceso abierto y competitivo.</w:t>
      </w:r>
      <w:r w:rsidRPr="00380CA4">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2FAC3F1" w14:textId="77777777" w:rsidR="00EF6139" w:rsidRPr="00380CA4" w:rsidRDefault="00EF6139" w:rsidP="00EF6139">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380CA4">
        <w:rPr>
          <w:rFonts w:ascii="Verdana" w:eastAsia="Times New Roman" w:hAnsi="Verdana" w:cs="Arial"/>
          <w:bCs/>
          <w:lang w:eastAsia="x-none"/>
        </w:rPr>
        <w:t>ii</w:t>
      </w:r>
      <w:proofErr w:type="spellEnd"/>
      <w:r w:rsidRPr="00380CA4">
        <w:rPr>
          <w:rFonts w:ascii="Verdana" w:eastAsia="Times New Roman" w:hAnsi="Verdana" w:cs="Arial"/>
          <w:bCs/>
          <w:lang w:eastAsia="x-none"/>
        </w:rPr>
        <w:t xml:space="preserve">) los contratos de crédito público; </w:t>
      </w:r>
      <w:proofErr w:type="spellStart"/>
      <w:r w:rsidRPr="00380CA4">
        <w:rPr>
          <w:rFonts w:ascii="Verdana" w:eastAsia="Times New Roman" w:hAnsi="Verdana" w:cs="Arial"/>
          <w:bCs/>
          <w:lang w:eastAsia="x-none"/>
        </w:rPr>
        <w:t>iii</w:t>
      </w:r>
      <w:proofErr w:type="spellEnd"/>
      <w:r w:rsidRPr="00380CA4">
        <w:rPr>
          <w:rFonts w:ascii="Verdana" w:eastAsia="Times New Roman" w:hAnsi="Verdana" w:cs="Arial"/>
          <w:bCs/>
          <w:lang w:eastAsia="x-none"/>
        </w:rPr>
        <w:t xml:space="preserve">) los requeridos para </w:t>
      </w:r>
      <w:r w:rsidRPr="00380CA4">
        <w:rPr>
          <w:rFonts w:ascii="Verdana" w:eastAsia="Times New Roman" w:hAnsi="Verdana" w:cs="Arial"/>
          <w:bCs/>
          <w:lang w:eastAsia="x-none"/>
        </w:rPr>
        <w:lastRenderedPageBreak/>
        <w:t xml:space="preserve">cubrir las emergencias educativas, sanitarias y desastres; </w:t>
      </w:r>
      <w:proofErr w:type="spellStart"/>
      <w:r w:rsidRPr="00380CA4">
        <w:rPr>
          <w:rFonts w:ascii="Verdana" w:eastAsia="Times New Roman" w:hAnsi="Verdana" w:cs="Arial"/>
          <w:bCs/>
          <w:lang w:eastAsia="x-none"/>
        </w:rPr>
        <w:t>iv</w:t>
      </w:r>
      <w:proofErr w:type="spellEnd"/>
      <w:r w:rsidRPr="00380CA4">
        <w:rPr>
          <w:rFonts w:ascii="Verdana" w:eastAsia="Times New Roman" w:hAnsi="Verdana" w:cs="Arial"/>
          <w:bCs/>
          <w:lang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380CA4">
        <w:rPr>
          <w:rFonts w:ascii="Verdana" w:eastAsia="Times New Roman" w:hAnsi="Verdana" w:cs="Arial"/>
          <w:bCs/>
          <w:lang w:eastAsia="es-CO"/>
        </w:rPr>
        <w:t xml:space="preserve"> Es responsabilidad del respectivo ente del Estado, examinar en cada caso la naturaleza de las actividades que adelanta y determinar si las mismas se enmarcan en alguna de las mencionadas excepciones, de manera que se le permita realizar </w:t>
      </w:r>
      <w:r>
        <w:rPr>
          <w:rFonts w:ascii="Verdana" w:eastAsia="Times New Roman" w:hAnsi="Verdana" w:cs="Arial"/>
          <w:bCs/>
          <w:lang w:eastAsia="es-CO"/>
        </w:rPr>
        <w:t xml:space="preserve">la contratación que necesite de </w:t>
      </w:r>
      <w:r w:rsidRPr="00380CA4">
        <w:rPr>
          <w:rFonts w:ascii="Verdana" w:eastAsia="Times New Roman" w:hAnsi="Verdana" w:cs="Arial"/>
          <w:bCs/>
          <w:lang w:eastAsia="es-CO"/>
        </w:rPr>
        <w:t>forma directa.</w:t>
      </w:r>
    </w:p>
    <w:p w14:paraId="593BD1FC" w14:textId="77777777" w:rsidR="00EF6139" w:rsidRPr="00380CA4" w:rsidRDefault="00EF6139" w:rsidP="00EF6139">
      <w:pPr>
        <w:spacing w:after="120" w:line="276" w:lineRule="auto"/>
        <w:ind w:firstLine="709"/>
        <w:jc w:val="both"/>
        <w:rPr>
          <w:rFonts w:ascii="Verdana" w:eastAsia="Times New Roman" w:hAnsi="Verdana" w:cs="Arial"/>
          <w:bCs/>
          <w:lang w:eastAsia="x-none"/>
        </w:rPr>
      </w:pPr>
      <w:r w:rsidRPr="00380CA4">
        <w:rPr>
          <w:rFonts w:ascii="Verdana" w:eastAsia="Times New Roman" w:hAnsi="Verdana" w:cs="Arial"/>
          <w:bCs/>
          <w:lang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380CA4">
        <w:rPr>
          <w:rFonts w:ascii="Verdana" w:eastAsia="Calibri" w:hAnsi="Verdana" w:cs="Arial"/>
          <w:vertAlign w:val="superscript"/>
        </w:rPr>
        <w:footnoteReference w:id="20"/>
      </w:r>
      <w:r w:rsidRPr="00380CA4">
        <w:rPr>
          <w:rFonts w:ascii="Verdana" w:eastAsia="Times New Roman" w:hAnsi="Verdana" w:cs="Arial"/>
          <w:bCs/>
          <w:lang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66F39DCA" w14:textId="77777777" w:rsidR="00EF6139" w:rsidRPr="00380CA4" w:rsidRDefault="00EF6139" w:rsidP="00EF6139">
      <w:pPr>
        <w:spacing w:after="0" w:line="276" w:lineRule="auto"/>
        <w:ind w:firstLine="708"/>
        <w:jc w:val="both"/>
        <w:rPr>
          <w:rFonts w:ascii="Verdana" w:eastAsia="Times New Roman" w:hAnsi="Verdana" w:cs="Arial"/>
          <w:bCs/>
          <w:lang w:eastAsia="x-none"/>
        </w:rPr>
      </w:pPr>
      <w:r w:rsidRPr="00380CA4">
        <w:rPr>
          <w:rFonts w:ascii="Verdana" w:eastAsia="Times New Roman" w:hAnsi="Verdana" w:cs="Arial"/>
          <w:bCs/>
          <w:lang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380CA4">
        <w:rPr>
          <w:rFonts w:ascii="Verdana" w:eastAsia="Calibri" w:hAnsi="Verdana" w:cs="Arial"/>
          <w:sz w:val="24"/>
        </w:rPr>
        <w:t xml:space="preserve"> </w:t>
      </w:r>
      <w:r w:rsidRPr="00380CA4">
        <w:rPr>
          <w:rFonts w:ascii="Verdana" w:eastAsia="Times New Roman" w:hAnsi="Verdana" w:cs="Arial"/>
          <w:bCs/>
          <w:lang w:eastAsia="x-none"/>
        </w:rPr>
        <w:t>En efecto, tal como lo ha sostenido el Consejo de Estado, el vocablo “todos” utilizado por el legislador comprende</w:t>
      </w:r>
      <w:r w:rsidRPr="00380CA4">
        <w:rPr>
          <w:rFonts w:ascii="Verdana" w:eastAsia="Calibri" w:hAnsi="Verdana" w:cs="Arial"/>
          <w:sz w:val="24"/>
        </w:rPr>
        <w:t xml:space="preserve"> </w:t>
      </w:r>
      <w:r w:rsidRPr="00380CA4">
        <w:rPr>
          <w:rFonts w:ascii="Verdana" w:eastAsia="Times New Roman" w:hAnsi="Verdana" w:cs="Arial"/>
          <w:bCs/>
          <w:lang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La Sala de Consulta y Servicio Civil del Consejo de Estado, en Concepto 1727 de fecha 20 de febrero de 2006, consideró que: </w:t>
      </w:r>
    </w:p>
    <w:p w14:paraId="2AF94825" w14:textId="77777777" w:rsidR="00EF6139" w:rsidRPr="00380CA4" w:rsidRDefault="00EF6139" w:rsidP="00EF6139">
      <w:pPr>
        <w:spacing w:after="0" w:line="276" w:lineRule="auto"/>
        <w:jc w:val="both"/>
        <w:rPr>
          <w:rFonts w:ascii="Verdana" w:eastAsia="Times New Roman" w:hAnsi="Verdana" w:cs="Arial"/>
          <w:bCs/>
          <w:lang w:eastAsia="x-none"/>
        </w:rPr>
      </w:pPr>
    </w:p>
    <w:p w14:paraId="38516D49" w14:textId="77777777" w:rsidR="00EF6139" w:rsidRPr="00380CA4" w:rsidRDefault="00EF6139" w:rsidP="00EF6139">
      <w:pPr>
        <w:spacing w:after="0" w:line="240" w:lineRule="auto"/>
        <w:ind w:left="708" w:right="709"/>
        <w:jc w:val="both"/>
        <w:rPr>
          <w:rFonts w:ascii="Verdana" w:eastAsia="Times New Roman" w:hAnsi="Verdana" w:cs="Arial"/>
          <w:bCs/>
          <w:sz w:val="21"/>
          <w:szCs w:val="21"/>
          <w:lang w:eastAsia="es-CO"/>
        </w:rPr>
      </w:pPr>
      <w:r w:rsidRPr="00380CA4">
        <w:rPr>
          <w:rFonts w:ascii="Verdana" w:eastAsia="Times New Roman" w:hAnsi="Verdana" w:cs="Arial"/>
          <w:bCs/>
          <w:sz w:val="21"/>
          <w:szCs w:val="21"/>
          <w:lang w:eastAsia="x-none"/>
        </w:rPr>
        <w:lastRenderedPageBreak/>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380CA4">
        <w:rPr>
          <w:rFonts w:ascii="Verdana" w:eastAsia="Times New Roman" w:hAnsi="Verdana" w:cs="Arial"/>
          <w:bCs/>
          <w:sz w:val="21"/>
          <w:szCs w:val="21"/>
          <w:vertAlign w:val="superscript"/>
          <w:lang w:eastAsia="x-none"/>
        </w:rPr>
        <w:footnoteReference w:id="21"/>
      </w:r>
      <w:r w:rsidRPr="00380CA4">
        <w:rPr>
          <w:rFonts w:ascii="Verdana" w:eastAsia="Times New Roman" w:hAnsi="Verdana" w:cs="Arial"/>
          <w:bCs/>
          <w:sz w:val="21"/>
          <w:szCs w:val="21"/>
          <w:lang w:eastAsia="x-none"/>
        </w:rPr>
        <w:t>.</w:t>
      </w:r>
      <w:r w:rsidRPr="00380CA4">
        <w:rPr>
          <w:rFonts w:ascii="Verdana" w:eastAsia="Times New Roman" w:hAnsi="Verdana" w:cs="Arial"/>
          <w:bCs/>
          <w:sz w:val="21"/>
          <w:szCs w:val="21"/>
          <w:lang w:eastAsia="es-CO"/>
        </w:rPr>
        <w:t xml:space="preserve"> </w:t>
      </w:r>
    </w:p>
    <w:p w14:paraId="26DA6C0D" w14:textId="77777777" w:rsidR="00EF6139" w:rsidRPr="00380CA4" w:rsidRDefault="00EF6139" w:rsidP="00EF6139">
      <w:pPr>
        <w:spacing w:after="0" w:line="276" w:lineRule="auto"/>
        <w:ind w:firstLine="708"/>
        <w:jc w:val="both"/>
        <w:rPr>
          <w:rFonts w:ascii="Verdana" w:eastAsia="Times New Roman" w:hAnsi="Verdana" w:cs="Arial"/>
          <w:bCs/>
          <w:lang w:eastAsia="es-CO"/>
        </w:rPr>
      </w:pPr>
    </w:p>
    <w:p w14:paraId="24700318" w14:textId="77777777" w:rsidR="00EF6139" w:rsidRPr="00380CA4" w:rsidRDefault="00EF6139" w:rsidP="00EF6139">
      <w:pPr>
        <w:spacing w:after="0" w:line="276" w:lineRule="auto"/>
        <w:ind w:firstLine="708"/>
        <w:jc w:val="both"/>
        <w:rPr>
          <w:rFonts w:ascii="Verdana" w:eastAsia="Calibri" w:hAnsi="Verdana" w:cs="Arial"/>
        </w:rPr>
      </w:pPr>
      <w:r w:rsidRPr="00380CA4">
        <w:rPr>
          <w:rFonts w:ascii="Verdana" w:eastAsia="Times New Roman" w:hAnsi="Verdana" w:cs="Arial"/>
          <w:bCs/>
          <w:lang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380CA4">
        <w:rPr>
          <w:rFonts w:ascii="Verdana" w:eastAsia="Calibri" w:hAnsi="Verdana" w:cs="Arial"/>
          <w:sz w:val="24"/>
          <w:vertAlign w:val="superscript"/>
        </w:rPr>
        <w:footnoteReference w:id="22"/>
      </w:r>
      <w:r w:rsidRPr="00380CA4">
        <w:rPr>
          <w:rFonts w:ascii="Verdana" w:eastAsia="Times New Roman" w:hAnsi="Verdana" w:cs="Arial"/>
          <w:bCs/>
          <w:lang w:eastAsia="x-none"/>
        </w:rPr>
        <w:t>.</w:t>
      </w:r>
      <w:r w:rsidRPr="00380CA4">
        <w:rPr>
          <w:rFonts w:ascii="Verdana" w:eastAsia="Calibri" w:hAnsi="Verdana" w:cs="Arial"/>
        </w:rPr>
        <w:t xml:space="preserve"> Además, la Sala de Consulta y Servicio Civil del Consejo de Estado realizó la siguiente distinción, retomando el pronunciamiento de la misma sala del 20 de febrero de 2006, citado anteriormente:</w:t>
      </w:r>
    </w:p>
    <w:p w14:paraId="7833776C" w14:textId="77777777" w:rsidR="00EF6139" w:rsidRPr="00380CA4" w:rsidRDefault="00EF6139" w:rsidP="00EF6139">
      <w:pPr>
        <w:spacing w:after="0" w:line="276" w:lineRule="auto"/>
        <w:jc w:val="both"/>
        <w:rPr>
          <w:rFonts w:ascii="Verdana" w:eastAsia="Calibri" w:hAnsi="Verdana" w:cs="Arial"/>
        </w:rPr>
      </w:pPr>
    </w:p>
    <w:p w14:paraId="697963EA" w14:textId="77777777" w:rsidR="00EF6139" w:rsidRPr="00380CA4" w:rsidRDefault="00EF6139" w:rsidP="00EF6139">
      <w:pPr>
        <w:spacing w:after="0" w:line="240" w:lineRule="auto"/>
        <w:ind w:left="708" w:right="709"/>
        <w:jc w:val="both"/>
        <w:rPr>
          <w:rFonts w:ascii="Verdana" w:eastAsia="Calibri" w:hAnsi="Verdana" w:cs="Arial"/>
          <w:sz w:val="20"/>
          <w:szCs w:val="20"/>
        </w:rPr>
      </w:pPr>
      <w:r w:rsidRPr="00380CA4">
        <w:rPr>
          <w:rFonts w:ascii="Verdana" w:eastAsia="Calibri" w:hAnsi="Verdana" w:cs="Arial"/>
          <w:sz w:val="20"/>
          <w:szCs w:val="20"/>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w:t>
      </w:r>
      <w:r w:rsidRPr="00380CA4">
        <w:rPr>
          <w:rFonts w:ascii="Verdana" w:eastAsia="Calibri" w:hAnsi="Verdana" w:cs="Arial"/>
          <w:sz w:val="20"/>
          <w:szCs w:val="20"/>
        </w:rPr>
        <w:lastRenderedPageBreak/>
        <w:t>administración, que incluso podría desconocer los derechos fundamentales.</w:t>
      </w:r>
    </w:p>
    <w:p w14:paraId="70FB079C" w14:textId="77777777" w:rsidR="00EF6139" w:rsidRPr="00380CA4" w:rsidRDefault="00EF6139" w:rsidP="00EF6139">
      <w:pPr>
        <w:spacing w:after="0" w:line="240" w:lineRule="auto"/>
        <w:ind w:left="708" w:right="709"/>
        <w:jc w:val="both"/>
        <w:rPr>
          <w:rFonts w:ascii="Verdana" w:eastAsia="Calibri" w:hAnsi="Verdana" w:cs="Arial"/>
          <w:sz w:val="20"/>
          <w:szCs w:val="20"/>
        </w:rPr>
      </w:pPr>
    </w:p>
    <w:p w14:paraId="695FD252" w14:textId="77777777" w:rsidR="00EF6139" w:rsidRPr="00380CA4" w:rsidRDefault="00EF6139" w:rsidP="00EF6139">
      <w:pPr>
        <w:spacing w:after="0" w:line="240" w:lineRule="auto"/>
        <w:ind w:left="708" w:right="709"/>
        <w:jc w:val="both"/>
        <w:rPr>
          <w:rFonts w:ascii="Verdana" w:eastAsia="Calibri" w:hAnsi="Verdana" w:cs="Arial"/>
          <w:sz w:val="20"/>
          <w:szCs w:val="20"/>
        </w:rPr>
      </w:pPr>
      <w:r w:rsidRPr="00380CA4">
        <w:rPr>
          <w:rFonts w:ascii="Verdana" w:eastAsia="Times New Roman" w:hAnsi="Verdana" w:cs="Arial"/>
          <w:bCs/>
          <w:sz w:val="20"/>
          <w:szCs w:val="20"/>
          <w:lang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380CA4">
        <w:rPr>
          <w:rFonts w:ascii="Verdana" w:eastAsia="Calibri" w:hAnsi="Verdana" w:cs="Arial"/>
          <w:sz w:val="20"/>
          <w:szCs w:val="20"/>
          <w:vertAlign w:val="superscript"/>
        </w:rPr>
        <w:footnoteReference w:id="23"/>
      </w:r>
      <w:r w:rsidRPr="00380CA4">
        <w:rPr>
          <w:rFonts w:ascii="Verdana" w:eastAsia="Times New Roman" w:hAnsi="Verdana" w:cs="Arial"/>
          <w:bCs/>
          <w:sz w:val="20"/>
          <w:szCs w:val="20"/>
          <w:lang w:eastAsia="x-none"/>
        </w:rPr>
        <w:t>.</w:t>
      </w:r>
    </w:p>
    <w:p w14:paraId="1C148E4D" w14:textId="77777777" w:rsidR="00EF6139" w:rsidRPr="00380CA4" w:rsidRDefault="00EF6139" w:rsidP="00EF6139">
      <w:pPr>
        <w:spacing w:after="0" w:line="276" w:lineRule="auto"/>
        <w:jc w:val="both"/>
        <w:rPr>
          <w:rFonts w:ascii="Verdana" w:eastAsia="Calibri" w:hAnsi="Verdana" w:cs="Arial"/>
        </w:rPr>
      </w:pPr>
    </w:p>
    <w:p w14:paraId="5BA3D2C6" w14:textId="77777777" w:rsidR="00EF6139" w:rsidRPr="00380CA4" w:rsidRDefault="00EF6139" w:rsidP="00EF6139">
      <w:pPr>
        <w:spacing w:after="120" w:line="276" w:lineRule="auto"/>
        <w:ind w:firstLine="709"/>
        <w:jc w:val="both"/>
        <w:rPr>
          <w:rFonts w:ascii="Verdana" w:eastAsia="Times New Roman" w:hAnsi="Verdana" w:cs="Arial"/>
          <w:lang w:eastAsia="es-CO"/>
        </w:rPr>
      </w:pPr>
      <w:r w:rsidRPr="00380CA4">
        <w:rPr>
          <w:rFonts w:ascii="Verdana" w:eastAsia="Calibri" w:hAnsi="Verdana" w:cs="Arial"/>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380CA4">
        <w:rPr>
          <w:rFonts w:ascii="Verdana" w:eastAsia="Times New Roman" w:hAnsi="Verdana" w:cs="Arial"/>
          <w:bCs/>
          <w:lang w:eastAsia="x-none"/>
        </w:rPr>
        <w:t>establecimientos de crédito, las sociedades de servicios financieros y las entidades aseguradoras</w:t>
      </w:r>
      <w:r w:rsidRPr="00380CA4">
        <w:rPr>
          <w:rFonts w:ascii="Verdana" w:eastAsia="Calibri" w:hAnsi="Verdana" w:cs="Arial"/>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380CA4">
        <w:rPr>
          <w:rFonts w:ascii="Verdana" w:eastAsia="Calibri" w:hAnsi="Verdana" w:cs="Arial"/>
          <w:vertAlign w:val="superscript"/>
        </w:rPr>
        <w:footnoteReference w:id="24"/>
      </w:r>
      <w:r w:rsidRPr="00380CA4">
        <w:rPr>
          <w:rFonts w:ascii="Verdana" w:eastAsia="Calibri" w:hAnsi="Verdana" w:cs="Arial"/>
        </w:rPr>
        <w:t>.</w:t>
      </w:r>
      <w:r w:rsidRPr="00380CA4">
        <w:rPr>
          <w:rFonts w:ascii="Verdana" w:eastAsia="Times New Roman" w:hAnsi="Verdana" w:cs="Arial"/>
          <w:lang w:eastAsia="es-CO"/>
        </w:rPr>
        <w:t xml:space="preserve"> </w:t>
      </w:r>
    </w:p>
    <w:p w14:paraId="36D9D59D" w14:textId="77777777" w:rsidR="00EF6139" w:rsidRPr="00380CA4" w:rsidRDefault="00EF6139" w:rsidP="00EF6139">
      <w:pPr>
        <w:spacing w:after="120" w:line="276" w:lineRule="auto"/>
        <w:ind w:firstLine="709"/>
        <w:jc w:val="both"/>
        <w:rPr>
          <w:rFonts w:ascii="Verdana" w:eastAsia="Times New Roman" w:hAnsi="Verdana" w:cs="Arial"/>
          <w:bCs/>
          <w:lang w:eastAsia="x-none"/>
        </w:rPr>
      </w:pPr>
      <w:r w:rsidRPr="00380CA4">
        <w:rPr>
          <w:rFonts w:ascii="Verdana" w:eastAsia="Times New Roman" w:hAnsi="Verdana" w:cs="Arial"/>
          <w:lang w:eastAsia="es-CO"/>
        </w:rPr>
        <w:t>Sin perjuicio de estos pronunciamientos de la Sala de Consulta y Servicio Civil</w:t>
      </w:r>
      <w:r w:rsidRPr="00380CA4">
        <w:rPr>
          <w:rFonts w:ascii="Verdana" w:eastAsia="Calibri" w:hAnsi="Verdana" w:cs="Arial"/>
        </w:rPr>
        <w:t xml:space="preserve">, como la ha señalado esa misma Corporación, la restricción prevista en la Ley 996 de 2005 </w:t>
      </w:r>
      <w:r w:rsidRPr="00380CA4">
        <w:rPr>
          <w:rFonts w:ascii="Verdana" w:eastAsia="Times New Roman" w:hAnsi="Verdana" w:cs="Arial"/>
          <w:bCs/>
          <w:lang w:eastAsia="x-none"/>
        </w:rPr>
        <w:t xml:space="preserve">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w:t>
      </w:r>
      <w:r w:rsidRPr="00380CA4">
        <w:rPr>
          <w:rFonts w:ascii="Verdana" w:eastAsia="Times New Roman" w:hAnsi="Verdana" w:cs="Arial"/>
          <w:bCs/>
          <w:lang w:eastAsia="x-none"/>
        </w:rPr>
        <w:lastRenderedPageBreak/>
        <w:t>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5DE4C026" w14:textId="77777777" w:rsidR="00EF6139" w:rsidRPr="00380CA4" w:rsidRDefault="00EF6139" w:rsidP="00EF6139">
      <w:pPr>
        <w:spacing w:after="0" w:line="276" w:lineRule="auto"/>
        <w:ind w:firstLine="709"/>
        <w:jc w:val="both"/>
        <w:rPr>
          <w:rFonts w:ascii="Verdana" w:eastAsia="Times New Roman" w:hAnsi="Verdana" w:cs="Arial"/>
          <w:bCs/>
          <w:lang w:eastAsia="x-none"/>
        </w:rPr>
      </w:pPr>
      <w:r w:rsidRPr="00380CA4">
        <w:rPr>
          <w:rFonts w:ascii="Verdana" w:eastAsia="Times New Roman" w:hAnsi="Verdana" w:cs="Arial"/>
          <w:bCs/>
          <w:lang w:eastAsia="x-none"/>
        </w:rPr>
        <w:t>Finalmente, se reitera, c</w:t>
      </w:r>
      <w:r w:rsidRPr="00380CA4">
        <w:rPr>
          <w:rFonts w:ascii="Verdana" w:eastAsia="Times New Roman" w:hAnsi="Verdana" w:cs="Arial"/>
          <w:bCs/>
          <w:lang w:eastAsia="es-CO"/>
        </w:rPr>
        <w:t xml:space="preserve">omo en otras oportunidades lo ha manifestado esta Agencia, que las prórrogas, modificaciones o adiciones de los contratos suscritos antes de la </w:t>
      </w:r>
      <w:proofErr w:type="gramStart"/>
      <w:r w:rsidRPr="00380CA4">
        <w:rPr>
          <w:rFonts w:ascii="Verdana" w:eastAsia="Times New Roman" w:hAnsi="Verdana" w:cs="Arial"/>
          <w:bCs/>
          <w:lang w:eastAsia="es-CO"/>
        </w:rPr>
        <w:t>entrada en vigencia</w:t>
      </w:r>
      <w:proofErr w:type="gramEnd"/>
      <w:r w:rsidRPr="00380CA4">
        <w:rPr>
          <w:rFonts w:ascii="Verdana" w:eastAsia="Times New Roman" w:hAnsi="Verdana" w:cs="Arial"/>
          <w:bCs/>
          <w:lang w:eastAsia="es-CO"/>
        </w:rPr>
        <w:t xml:space="preserve"> de las prohibiciones anotadas, así como la cesión de </w:t>
      </w:r>
      <w:proofErr w:type="gramStart"/>
      <w:r w:rsidRPr="00380CA4">
        <w:rPr>
          <w:rFonts w:ascii="Verdana" w:eastAsia="Times New Roman" w:hAnsi="Verdana" w:cs="Arial"/>
          <w:bCs/>
          <w:lang w:eastAsia="es-CO"/>
        </w:rPr>
        <w:t>los mismos</w:t>
      </w:r>
      <w:proofErr w:type="gramEnd"/>
      <w:r w:rsidRPr="00380CA4">
        <w:rPr>
          <w:rFonts w:ascii="Verdana" w:eastAsia="Times New Roman" w:hAnsi="Verdana" w:cs="Arial"/>
          <w:bCs/>
          <w:lang w:eastAsia="es-CO"/>
        </w:rPr>
        <w:t>, pueden tener lugar en el período de aplicación de la Ley de Garantías, sin que ello haga nugatoria la restricción de la contratación directa y siempre que cumplan los principios de planeación, transparencia y responsabilidad</w:t>
      </w:r>
      <w:r w:rsidRPr="00380CA4">
        <w:rPr>
          <w:rFonts w:ascii="Verdana" w:eastAsia="Times New Roman" w:hAnsi="Verdana" w:cs="Arial"/>
          <w:bCs/>
          <w:vertAlign w:val="superscript"/>
          <w:lang w:eastAsia="es-CO"/>
        </w:rPr>
        <w:footnoteReference w:id="25"/>
      </w:r>
      <w:r w:rsidRPr="00380CA4">
        <w:rPr>
          <w:rFonts w:ascii="Verdana" w:eastAsia="Times New Roman" w:hAnsi="Verdana" w:cs="Arial"/>
          <w:bCs/>
          <w:lang w:eastAsia="es-CO"/>
        </w:rPr>
        <w:t>. Además, también es posible que contratos celebrados previamente se continúen ejecutando con normalidad.</w:t>
      </w:r>
    </w:p>
    <w:p w14:paraId="2BAC6306" w14:textId="77777777" w:rsidR="00EF6139" w:rsidRPr="00380CA4" w:rsidRDefault="00EF6139" w:rsidP="00EF6139">
      <w:pPr>
        <w:spacing w:after="0" w:line="276" w:lineRule="auto"/>
        <w:jc w:val="both"/>
        <w:rPr>
          <w:rFonts w:ascii="Verdana" w:eastAsia="Times New Roman" w:hAnsi="Verdana" w:cs="Arial"/>
          <w:bCs/>
          <w:lang w:eastAsia="x-none"/>
        </w:rPr>
      </w:pPr>
    </w:p>
    <w:p w14:paraId="0F5FA244" w14:textId="77777777" w:rsidR="00EF6139" w:rsidRPr="00380CA4" w:rsidRDefault="00EF6139" w:rsidP="00EF6139">
      <w:pPr>
        <w:spacing w:after="120" w:line="276" w:lineRule="auto"/>
        <w:jc w:val="both"/>
        <w:rPr>
          <w:rFonts w:ascii="Verdana" w:hAnsi="Verdana" w:cs="Arial"/>
        </w:rPr>
      </w:pPr>
      <w:proofErr w:type="spellStart"/>
      <w:r w:rsidRPr="00380CA4">
        <w:rPr>
          <w:rFonts w:ascii="Verdana" w:eastAsia="Arial" w:hAnsi="Verdana" w:cs="Arial"/>
          <w:lang w:eastAsia="es-ES" w:bidi="es-ES"/>
        </w:rPr>
        <w:t>iv</w:t>
      </w:r>
      <w:proofErr w:type="spellEnd"/>
      <w:r w:rsidRPr="00380CA4">
        <w:rPr>
          <w:rFonts w:ascii="Verdana" w:eastAsia="Arial" w:hAnsi="Verdana" w:cs="Arial"/>
          <w:lang w:eastAsia="es-ES" w:bidi="es-ES"/>
        </w:rPr>
        <w:t xml:space="preserve">. </w:t>
      </w:r>
      <w:r w:rsidRPr="00380CA4">
        <w:rPr>
          <w:rFonts w:ascii="Verdana" w:hAnsi="Verdana" w:cs="Arial"/>
        </w:rPr>
        <w:t xml:space="preserve">Ahora bien, respecto del alcance del parágrafo del artículo 38 de la Ley 996 de 2005, esta prohibición dispone en primera medida que: “[l]os Gobernadores, </w:t>
      </w:r>
      <w:proofErr w:type="gramStart"/>
      <w:r w:rsidRPr="00380CA4">
        <w:rPr>
          <w:rFonts w:ascii="Verdana" w:hAnsi="Verdana" w:cs="Arial"/>
        </w:rPr>
        <w:t>Alcaldes</w:t>
      </w:r>
      <w:proofErr w:type="gramEnd"/>
      <w:r w:rsidRPr="00380CA4">
        <w:rPr>
          <w:rFonts w:ascii="Verdana" w:hAnsi="Verdana" w:cs="Arial"/>
        </w:rPr>
        <w:t xml:space="preserve"> Municipales y/o Distritales, </w:t>
      </w:r>
      <w:proofErr w:type="gramStart"/>
      <w:r w:rsidRPr="00380CA4">
        <w:rPr>
          <w:rFonts w:ascii="Verdana" w:hAnsi="Verdana" w:cs="Arial"/>
        </w:rPr>
        <w:t>Secretarios</w:t>
      </w:r>
      <w:proofErr w:type="gramEnd"/>
      <w:r w:rsidRPr="00380CA4">
        <w:rPr>
          <w:rFonts w:ascii="Verdana" w:hAnsi="Verdana" w:cs="Arial"/>
        </w:rPr>
        <w:t xml:space="preserve">, Gerentes y directores de Entidades Descentralizadas del orden Municipal, Departamental o Distrital, dentro de los cuatro (4) meses anteriores a las elecciones, no podrán celebrar </w:t>
      </w:r>
      <w:r w:rsidRPr="00380CA4">
        <w:rPr>
          <w:rFonts w:ascii="Verdana" w:hAnsi="Verdana" w:cs="Arial"/>
          <w:i/>
          <w:iCs/>
        </w:rPr>
        <w:t>convenios interadministrativos</w:t>
      </w:r>
      <w:r w:rsidRPr="00380CA4">
        <w:rPr>
          <w:rFonts w:ascii="Verdana" w:hAnsi="Verdana" w:cs="Arial"/>
        </w:rPr>
        <w:t xml:space="preserve"> </w:t>
      </w:r>
      <w:r w:rsidRPr="00380CA4">
        <w:rPr>
          <w:rFonts w:ascii="Verdana" w:hAnsi="Verdana" w:cs="Arial"/>
          <w:i/>
          <w:iCs/>
        </w:rPr>
        <w:t>para la ejecución de recursos públicos</w:t>
      </w:r>
      <w:r w:rsidRPr="00380CA4">
        <w:rPr>
          <w:rFonts w:ascii="Verdana" w:hAnsi="Verdana" w:cs="Arial"/>
        </w:rPr>
        <w:t>”.</w:t>
      </w:r>
      <w:r w:rsidRPr="00380CA4">
        <w:rPr>
          <w:rFonts w:ascii="Verdana" w:eastAsia="Times New Roman" w:hAnsi="Verdana" w:cs="Arial"/>
          <w:lang w:eastAsia="x-none"/>
        </w:rPr>
        <w:t xml:space="preserve"> [Énfasis fuera del texto original]</w:t>
      </w:r>
    </w:p>
    <w:p w14:paraId="62E0D04F" w14:textId="77777777" w:rsidR="00EF6139" w:rsidRPr="0078567C" w:rsidRDefault="00EF6139" w:rsidP="00EF6139">
      <w:pPr>
        <w:spacing w:after="120" w:line="276" w:lineRule="auto"/>
        <w:ind w:firstLine="709"/>
        <w:jc w:val="both"/>
        <w:rPr>
          <w:rFonts w:ascii="Verdana" w:hAnsi="Verdana" w:cs="Arial"/>
          <w:lang w:eastAsia="es-ES"/>
        </w:rPr>
      </w:pPr>
      <w:r w:rsidRPr="00380CA4">
        <w:rPr>
          <w:rFonts w:ascii="Verdana" w:eastAsia="Times New Roman" w:hAnsi="Verdana" w:cs="Arial"/>
          <w:lang w:eastAsia="es-ES"/>
        </w:rPr>
        <w:t xml:space="preserve">Para tales efectos, debe precisarse que </w:t>
      </w:r>
      <w:r w:rsidRPr="00380CA4">
        <w:rPr>
          <w:rFonts w:ascii="Verdana" w:eastAsia="Times New Roman" w:hAnsi="Verdana" w:cs="Arial"/>
          <w:color w:val="000000" w:themeColor="text1"/>
          <w:lang w:eastAsia="es-CO"/>
        </w:rPr>
        <w:t xml:space="preserve">los contratos o convenios interadministrativos están determinados por un criterio orgánico, pues es necesario que los extremos de la relación contractual sean entidades públicas, </w:t>
      </w:r>
      <w:r w:rsidRPr="00380CA4">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380CA4">
        <w:rPr>
          <w:rFonts w:ascii="Verdana" w:hAnsi="Verdana" w:cs="Arial"/>
          <w:vertAlign w:val="superscript"/>
          <w:lang w:eastAsia="es-ES"/>
        </w:rPr>
        <w:footnoteReference w:id="26"/>
      </w:r>
      <w:r w:rsidRPr="00380CA4">
        <w:rPr>
          <w:rFonts w:ascii="Verdana" w:hAnsi="Verdana" w:cs="Arial"/>
          <w:lang w:eastAsia="es-ES"/>
        </w:rPr>
        <w:t>.</w:t>
      </w:r>
      <w:r>
        <w:rPr>
          <w:rFonts w:ascii="Verdana" w:hAnsi="Verdana" w:cs="Arial"/>
          <w:lang w:eastAsia="es-ES"/>
        </w:rPr>
        <w:t xml:space="preserve"> </w:t>
      </w:r>
      <w:r w:rsidRPr="00380CA4">
        <w:rPr>
          <w:rFonts w:ascii="Verdana" w:hAnsi="Verdana" w:cs="Arial"/>
          <w:color w:val="000000" w:themeColor="text1"/>
        </w:rPr>
        <w:t xml:space="preserve">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w:t>
      </w:r>
      <w:r w:rsidRPr="00380CA4">
        <w:rPr>
          <w:rFonts w:ascii="Verdana" w:hAnsi="Verdana" w:cs="Arial"/>
          <w:color w:val="000000" w:themeColor="text1"/>
        </w:rPr>
        <w:lastRenderedPageBreak/>
        <w:t>de régimen especial y no por ello dejará de ser un contrato o convenio interadministrativo.</w:t>
      </w:r>
    </w:p>
    <w:p w14:paraId="65A45D15" w14:textId="77777777" w:rsidR="00EF6139" w:rsidRPr="00380CA4" w:rsidRDefault="00EF6139" w:rsidP="00EF6139">
      <w:pPr>
        <w:spacing w:before="120" w:after="0" w:line="276" w:lineRule="auto"/>
        <w:ind w:firstLine="708"/>
        <w:jc w:val="both"/>
        <w:rPr>
          <w:rFonts w:ascii="Verdana" w:hAnsi="Verdana" w:cs="Arial"/>
        </w:rPr>
      </w:pPr>
      <w:r w:rsidRPr="00380CA4">
        <w:rPr>
          <w:rFonts w:ascii="Verdana" w:hAnsi="Verdana" w:cs="Arial"/>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380CA4">
        <w:rPr>
          <w:rFonts w:ascii="Verdana" w:hAnsi="Verdana" w:cs="Arial"/>
          <w:vertAlign w:val="superscript"/>
        </w:rPr>
        <w:footnoteReference w:id="27"/>
      </w:r>
      <w:r w:rsidRPr="00380CA4">
        <w:rPr>
          <w:rFonts w:ascii="Verdana" w:hAnsi="Verdana" w:cs="Arial"/>
        </w:rPr>
        <w:t>. Nótese que, en este caso, lo que cambia es la modalidad de selección y no la naturaleza de contrato interadministrativo.</w:t>
      </w:r>
    </w:p>
    <w:p w14:paraId="6D93EE87" w14:textId="77777777" w:rsidR="00EF6139" w:rsidRPr="00380CA4" w:rsidRDefault="00EF6139" w:rsidP="00EF6139">
      <w:pPr>
        <w:spacing w:before="120" w:after="0" w:line="276" w:lineRule="auto"/>
        <w:ind w:firstLine="708"/>
        <w:jc w:val="both"/>
        <w:rPr>
          <w:rFonts w:ascii="Verdana" w:hAnsi="Verdana" w:cs="Arial"/>
        </w:rPr>
      </w:pPr>
      <w:r w:rsidRPr="00380CA4">
        <w:rPr>
          <w:rFonts w:ascii="Verdana" w:hAnsi="Verdana" w:cs="Arial"/>
        </w:rPr>
        <w:t>Además, es necesario tener en cuenta que para que un contrato o convenio interadministrativo exista debe cumplir con los siguientes elementos: acuerdo sobre el objeto y la contraprestación y que conste por escrito</w:t>
      </w:r>
      <w:r w:rsidRPr="00380CA4">
        <w:rPr>
          <w:rFonts w:ascii="Verdana" w:hAnsi="Verdana" w:cs="Arial"/>
          <w:vertAlign w:val="superscript"/>
        </w:rPr>
        <w:footnoteReference w:id="28"/>
      </w:r>
      <w:r w:rsidRPr="00380CA4">
        <w:rPr>
          <w:rFonts w:ascii="Verdana" w:hAnsi="Verdana" w:cs="Arial"/>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5F32B391" w14:textId="77777777" w:rsidR="00EF6139" w:rsidRPr="00380CA4" w:rsidRDefault="00EF6139" w:rsidP="00EF6139">
      <w:pPr>
        <w:spacing w:before="120" w:after="0" w:line="276" w:lineRule="auto"/>
        <w:ind w:firstLine="708"/>
        <w:jc w:val="both"/>
        <w:rPr>
          <w:rFonts w:ascii="Verdana" w:hAnsi="Verdana"/>
          <w:sz w:val="24"/>
          <w:szCs w:val="24"/>
          <w:lang w:eastAsia="es-CO"/>
        </w:rPr>
      </w:pPr>
      <w:r w:rsidRPr="00380CA4">
        <w:rPr>
          <w:rFonts w:ascii="Verdana" w:hAnsi="Verdana" w:cs="Arial"/>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380CA4">
        <w:rPr>
          <w:rFonts w:ascii="Verdana" w:hAnsi="Verdana" w:cs="Arial"/>
          <w:vertAlign w:val="superscript"/>
        </w:rPr>
        <w:footnoteReference w:id="29"/>
      </w:r>
      <w:r w:rsidRPr="00380CA4">
        <w:rPr>
          <w:rFonts w:ascii="Verdana" w:hAnsi="Verdana" w:cs="Arial"/>
        </w:rPr>
        <w:t>, pues, de acuerdo con lo anotado, esta clase de acuerdos de voluntades se definen por un criterio orgánico, por lo que uno de sus elementos esenciales es que en los extremos de la relación jurídico negocial concurran personas de derecho público</w:t>
      </w:r>
      <w:r w:rsidRPr="00380CA4">
        <w:rPr>
          <w:rFonts w:ascii="Verdana" w:hAnsi="Verdana"/>
          <w:sz w:val="24"/>
          <w:szCs w:val="24"/>
          <w:lang w:eastAsia="es-CO"/>
        </w:rPr>
        <w:t>.</w:t>
      </w:r>
    </w:p>
    <w:p w14:paraId="371FABB3" w14:textId="77777777" w:rsidR="00EF6139" w:rsidRPr="00380CA4" w:rsidRDefault="00EF6139" w:rsidP="00EF6139">
      <w:pPr>
        <w:spacing w:before="120" w:after="0" w:line="276" w:lineRule="auto"/>
        <w:ind w:firstLine="708"/>
        <w:jc w:val="both"/>
        <w:rPr>
          <w:rFonts w:ascii="Verdana" w:eastAsia="Times New Roman" w:hAnsi="Verdana" w:cs="Arial"/>
          <w:lang w:eastAsia="es-CO"/>
        </w:rPr>
      </w:pPr>
      <w:r w:rsidRPr="00380CA4">
        <w:rPr>
          <w:rFonts w:ascii="Verdana" w:eastAsia="Arial" w:hAnsi="Verdana" w:cs="Arial"/>
          <w:lang w:eastAsia="es-ES" w:bidi="es-ES"/>
        </w:rPr>
        <w:lastRenderedPageBreak/>
        <w:t>De esta manera, se</w:t>
      </w:r>
      <w:r w:rsidRPr="00380CA4">
        <w:rPr>
          <w:rFonts w:ascii="Verdana" w:eastAsia="Times New Roman" w:hAnsi="Verdana" w:cs="Arial"/>
          <w:lang w:eastAsia="es-CO"/>
        </w:rPr>
        <w:t xml:space="preserve"> observa entonces que el parágrafo del artículo 38 de la Ley 996 de 2005 prohíbe a los </w:t>
      </w:r>
      <w:proofErr w:type="gramStart"/>
      <w:r w:rsidRPr="00380CA4">
        <w:rPr>
          <w:rFonts w:ascii="Verdana" w:eastAsia="Times New Roman" w:hAnsi="Verdana" w:cs="Arial"/>
          <w:lang w:eastAsia="es-CO"/>
        </w:rPr>
        <w:t>Alcaldes</w:t>
      </w:r>
      <w:proofErr w:type="gramEnd"/>
      <w:r w:rsidRPr="00380CA4">
        <w:rPr>
          <w:rFonts w:ascii="Verdana" w:eastAsia="Times New Roman" w:hAnsi="Verdana" w:cs="Arial"/>
          <w:lang w:eastAsia="es-CO"/>
        </w:rPr>
        <w:t xml:space="preserve">, Gobernadores, </w:t>
      </w:r>
      <w:proofErr w:type="gramStart"/>
      <w:r w:rsidRPr="00380CA4">
        <w:rPr>
          <w:rFonts w:ascii="Verdana" w:eastAsia="Times New Roman" w:hAnsi="Verdana" w:cs="Arial"/>
          <w:lang w:eastAsia="es-CO"/>
        </w:rPr>
        <w:t>Secretarios</w:t>
      </w:r>
      <w:proofErr w:type="gramEnd"/>
      <w:r w:rsidRPr="00380CA4">
        <w:rPr>
          <w:rFonts w:ascii="Verdana" w:eastAsia="Times New Roman" w:hAnsi="Verdana" w:cs="Arial"/>
          <w:lang w:eastAsia="es-CO"/>
        </w:rPr>
        <w:t xml:space="preserve">, Gerentes y </w:t>
      </w:r>
      <w:proofErr w:type="gramStart"/>
      <w:r w:rsidRPr="00380CA4">
        <w:rPr>
          <w:rFonts w:ascii="Verdana" w:eastAsia="Times New Roman" w:hAnsi="Verdana" w:cs="Arial"/>
          <w:lang w:eastAsia="es-CO"/>
        </w:rPr>
        <w:t>Directores</w:t>
      </w:r>
      <w:proofErr w:type="gramEnd"/>
      <w:r w:rsidRPr="00380CA4">
        <w:rPr>
          <w:rFonts w:ascii="Verdana" w:eastAsia="Times New Roman" w:hAnsi="Verdana" w:cs="Arial"/>
          <w:lang w:eastAsia="es-CO"/>
        </w:rPr>
        <w:t xml:space="preserve"> de las entidades del orden municipal, departamental o distrital celebrar </w:t>
      </w:r>
      <w:r w:rsidRPr="00380CA4">
        <w:rPr>
          <w:rFonts w:ascii="Verdana" w:eastAsia="Times New Roman" w:hAnsi="Verdana" w:cs="Arial"/>
          <w:i/>
          <w:iCs/>
          <w:lang w:eastAsia="es-CO"/>
        </w:rPr>
        <w:t>convenios interadministrativos</w:t>
      </w:r>
      <w:r w:rsidRPr="00380CA4">
        <w:rPr>
          <w:rFonts w:ascii="Verdana" w:eastAsia="Times New Roman" w:hAnsi="Verdana" w:cs="Arial"/>
          <w:lang w:eastAsia="es-CO"/>
        </w:rPr>
        <w:t xml:space="preserve"> para la ejecución de recursos públicos. En este sentido, si una o ambas partes de la relación contractual es una entidad de aquellas descritas en el parágrafo </w:t>
      </w:r>
      <w:r w:rsidRPr="00380CA4">
        <w:rPr>
          <w:rFonts w:ascii="Verdana" w:eastAsia="Times New Roman" w:hAnsi="Verdana" w:cs="Arial"/>
          <w:i/>
          <w:lang w:eastAsia="es-CO"/>
        </w:rPr>
        <w:t>ibidem</w:t>
      </w:r>
      <w:r w:rsidRPr="00380CA4">
        <w:rPr>
          <w:rFonts w:ascii="Verdana" w:eastAsia="Times New Roman" w:hAnsi="Verdana" w:cs="Arial"/>
          <w:lang w:eastAsia="es-CO"/>
        </w:rPr>
        <w:t xml:space="preserve">, es decir, alcaldías, gobernaciones, secretarías de despacho, así como entidades descentralizadas por servicios del orden municipal, departamental o distrital no podrá celebrar tales </w:t>
      </w:r>
      <w:r w:rsidRPr="00380CA4">
        <w:rPr>
          <w:rFonts w:ascii="Verdana" w:eastAsia="Times New Roman" w:hAnsi="Verdana" w:cs="Arial"/>
          <w:i/>
          <w:iCs/>
          <w:lang w:eastAsia="es-CO"/>
        </w:rPr>
        <w:t>convenios</w:t>
      </w:r>
      <w:r w:rsidRPr="00380CA4">
        <w:rPr>
          <w:rFonts w:ascii="Verdana" w:eastAsia="Times New Roman" w:hAnsi="Verdana" w:cs="Arial"/>
          <w:lang w:eastAsia="es-CO"/>
        </w:rPr>
        <w:t xml:space="preserve"> durante la aplicación de la Ley de Garantías Electorales, toda vez que la citada disposición se refiere a dicha tipología contractual sin que el legislador hubiere contemplado un efecto extensivo a otra tipología. </w:t>
      </w:r>
    </w:p>
    <w:p w14:paraId="550ACCB1" w14:textId="77777777" w:rsidR="00EF6139" w:rsidRPr="00380CA4" w:rsidRDefault="00EF6139" w:rsidP="00EF6139">
      <w:pPr>
        <w:spacing w:before="120" w:after="0" w:line="276" w:lineRule="auto"/>
        <w:ind w:firstLine="708"/>
        <w:jc w:val="both"/>
        <w:rPr>
          <w:rFonts w:ascii="Verdana" w:eastAsia="Calibri" w:hAnsi="Verdana" w:cs="Arial"/>
          <w:color w:val="000000"/>
        </w:rPr>
      </w:pPr>
      <w:r w:rsidRPr="00380CA4">
        <w:rPr>
          <w:rFonts w:ascii="Verdana" w:eastAsia="Times New Roman" w:hAnsi="Verdana" w:cs="Arial"/>
          <w:lang w:eastAsia="es-CO"/>
        </w:rPr>
        <w:t xml:space="preserve">En este aspecto, se destaca que uno de los sujetos de aplicación de dicha restricción son las entidades descentralizadas por servicios, las cuales </w:t>
      </w:r>
      <w:r w:rsidRPr="00380CA4">
        <w:rPr>
          <w:rFonts w:ascii="Verdana" w:eastAsia="Calibri" w:hAnsi="Verdana" w:cs="Arial"/>
          <w:color w:val="000000"/>
        </w:rPr>
        <w:t>–sin perjuicio del control de tutela– tienen personería jurídica, autonomía administrativa y patrimonio propio.</w:t>
      </w:r>
      <w:r w:rsidRPr="00380CA4">
        <w:rPr>
          <w:rFonts w:ascii="Verdana" w:eastAsia="Calibri" w:hAnsi="Verdana" w:cs="Arial"/>
          <w:b/>
          <w:bCs/>
          <w:color w:val="000000"/>
        </w:rPr>
        <w:t xml:space="preserve"> </w:t>
      </w:r>
      <w:r w:rsidRPr="00380CA4">
        <w:rPr>
          <w:rFonts w:ascii="Verdana" w:eastAsia="Calibri" w:hAnsi="Verdana" w:cs="Arial"/>
          <w:color w:val="000000"/>
        </w:rPr>
        <w:t xml:space="preserve">Dentro de la categoría amplia de entidades descentralizadas por servicios se encuentran las Empresas Industriales y Comerciales del Estado, los establecimientos públicos, las sociedades públicas, las sociedades de economía mixta, las empresas sociales del Estado, entre otras entidades. </w:t>
      </w:r>
    </w:p>
    <w:p w14:paraId="1A5B73E6" w14:textId="77777777" w:rsidR="00EF6139" w:rsidRPr="00380CA4" w:rsidRDefault="00EF6139" w:rsidP="00EF6139">
      <w:pPr>
        <w:spacing w:before="120" w:after="0" w:line="276" w:lineRule="auto"/>
        <w:ind w:firstLine="708"/>
        <w:jc w:val="both"/>
        <w:rPr>
          <w:rFonts w:ascii="Verdana" w:eastAsia="Times New Roman" w:hAnsi="Verdana" w:cs="Arial"/>
          <w:lang w:eastAsia="es-CO"/>
        </w:rPr>
      </w:pPr>
      <w:r w:rsidRPr="00380CA4">
        <w:rPr>
          <w:rFonts w:ascii="Verdana" w:eastAsia="Times New Roman" w:hAnsi="Verdana" w:cs="Arial"/>
          <w:lang w:eastAsia="es-CO"/>
        </w:rPr>
        <w:t xml:space="preserve">Respecto del alcance de esta prohibición la Circular Externa No. 006 de 2025 expedida por la ANCP -CCE, en los literales </w:t>
      </w:r>
      <w:proofErr w:type="spellStart"/>
      <w:r w:rsidRPr="00380CA4">
        <w:rPr>
          <w:rFonts w:ascii="Verdana" w:eastAsia="Times New Roman" w:hAnsi="Verdana" w:cs="Arial"/>
          <w:lang w:eastAsia="es-CO"/>
        </w:rPr>
        <w:t>ii</w:t>
      </w:r>
      <w:proofErr w:type="spellEnd"/>
      <w:r w:rsidRPr="00380CA4">
        <w:rPr>
          <w:rFonts w:ascii="Verdana" w:eastAsia="Times New Roman" w:hAnsi="Verdana" w:cs="Arial"/>
          <w:lang w:eastAsia="es-CO"/>
        </w:rPr>
        <w:t xml:space="preserve">) y </w:t>
      </w:r>
      <w:proofErr w:type="spellStart"/>
      <w:r w:rsidRPr="00380CA4">
        <w:rPr>
          <w:rFonts w:ascii="Verdana" w:eastAsia="Times New Roman" w:hAnsi="Verdana" w:cs="Arial"/>
          <w:lang w:eastAsia="es-CO"/>
        </w:rPr>
        <w:t>iv</w:t>
      </w:r>
      <w:proofErr w:type="spellEnd"/>
      <w:r w:rsidRPr="00380CA4">
        <w:rPr>
          <w:rFonts w:ascii="Verdana" w:eastAsia="Times New Roman" w:hAnsi="Verdana" w:cs="Arial"/>
          <w:lang w:eastAsia="es-CO"/>
        </w:rPr>
        <w:t xml:space="preserve">) del numeral 2, indica que el parágrafo del artículo 38 de la Ley 996 de 2005 cobija expresamente a los </w:t>
      </w:r>
      <w:r w:rsidRPr="00380CA4">
        <w:rPr>
          <w:rFonts w:ascii="Verdana" w:eastAsia="Times New Roman" w:hAnsi="Verdana" w:cs="Arial"/>
          <w:i/>
          <w:iCs/>
          <w:lang w:eastAsia="es-CO"/>
        </w:rPr>
        <w:t>convenios interadministrativos</w:t>
      </w:r>
      <w:r w:rsidRPr="00380CA4">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380CA4">
        <w:rPr>
          <w:rFonts w:ascii="Verdana" w:eastAsia="Times New Roman" w:hAnsi="Verdana" w:cs="Arial"/>
          <w:i/>
          <w:iCs/>
          <w:lang w:eastAsia="es-CO"/>
        </w:rPr>
        <w:t>“aunque se configure alguno de los supuestos de excepción que señaló el inciso final del artículo 33”.</w:t>
      </w:r>
      <w:r w:rsidRPr="00380CA4">
        <w:rPr>
          <w:rFonts w:ascii="Verdana" w:eastAsia="Times New Roman" w:hAnsi="Verdana" w:cs="Arial"/>
          <w:lang w:eastAsia="es-CO"/>
        </w:rPr>
        <w:t xml:space="preserve"> </w:t>
      </w:r>
    </w:p>
    <w:p w14:paraId="417A10FA" w14:textId="77777777" w:rsidR="00EF6139" w:rsidRPr="00380CA4" w:rsidRDefault="00EF6139" w:rsidP="00EF6139">
      <w:pPr>
        <w:spacing w:before="120" w:after="0" w:line="276" w:lineRule="auto"/>
        <w:ind w:firstLine="708"/>
        <w:jc w:val="both"/>
        <w:rPr>
          <w:rFonts w:ascii="Verdana" w:eastAsia="Times New Roman" w:hAnsi="Verdana" w:cs="Arial"/>
          <w:lang w:eastAsia="es-CO"/>
        </w:rPr>
      </w:pPr>
      <w:r w:rsidRPr="00380CA4">
        <w:rPr>
          <w:rFonts w:ascii="Verdana" w:eastAsia="Times New Roman" w:hAnsi="Verdana" w:cs="Arial"/>
          <w:lang w:eastAsia="es-CO"/>
        </w:rPr>
        <w:t xml:space="preserve">Sin embargo, el ámbito de aplicación de la restricción prevista en el parágrafo del artículo 38 de la Ley 996 de 2005 comprende a los </w:t>
      </w:r>
      <w:r w:rsidRPr="00380CA4">
        <w:rPr>
          <w:rFonts w:ascii="Verdana" w:eastAsia="Times New Roman" w:hAnsi="Verdana" w:cs="Arial"/>
          <w:i/>
          <w:iCs/>
          <w:lang w:eastAsia="es-CO"/>
        </w:rPr>
        <w:t>convenios interadministrativos</w:t>
      </w:r>
      <w:r w:rsidRPr="00380CA4">
        <w:rPr>
          <w:rFonts w:ascii="Verdana" w:eastAsia="Times New Roman" w:hAnsi="Verdana" w:cs="Arial"/>
          <w:lang w:eastAsia="es-CO"/>
        </w:rPr>
        <w:t xml:space="preserve"> en los que exista </w:t>
      </w:r>
      <w:r w:rsidRPr="00380CA4">
        <w:rPr>
          <w:rFonts w:ascii="Verdana" w:eastAsia="Times New Roman" w:hAnsi="Verdana" w:cs="Arial"/>
          <w:i/>
          <w:iCs/>
          <w:lang w:eastAsia="es-CO"/>
        </w:rPr>
        <w:t>ejecución de recursos públicos</w:t>
      </w:r>
      <w:r w:rsidRPr="00380CA4">
        <w:rPr>
          <w:rFonts w:ascii="Verdana" w:eastAsia="Times New Roman" w:hAnsi="Verdana" w:cs="Arial"/>
          <w:lang w:eastAsia="es-CO"/>
        </w:rPr>
        <w:t xml:space="preserve">, sin importar de que estos sean en dinero o en especie, ya que la norma no distingue. Lo anterior conforme a la directriz interpretativa del artículo 31 del Código Civil, según la cual “Lo favorable u odioso de una disposición no se tomará en cuenta para ampliar o restringir su interpretación. La extensión que deba darse a toda </w:t>
      </w:r>
      <w:r w:rsidRPr="00380CA4">
        <w:rPr>
          <w:rFonts w:ascii="Verdana" w:eastAsia="Times New Roman" w:hAnsi="Verdana" w:cs="Arial"/>
          <w:lang w:eastAsia="es-CO"/>
        </w:rPr>
        <w:lastRenderedPageBreak/>
        <w:t>ley se determinará por su genuino sentido, y según las reglas de interpretación precedentes”</w:t>
      </w:r>
      <w:r w:rsidRPr="00380CA4">
        <w:rPr>
          <w:rStyle w:val="Refdenotaalpie"/>
          <w:rFonts w:ascii="Verdana" w:hAnsi="Verdana" w:cs="Arial"/>
        </w:rPr>
        <w:footnoteReference w:id="30"/>
      </w:r>
      <w:r w:rsidRPr="00380CA4">
        <w:rPr>
          <w:rFonts w:ascii="Verdana" w:eastAsia="Times New Roman" w:hAnsi="Verdana" w:cs="Arial"/>
          <w:lang w:eastAsia="es-CO"/>
        </w:rPr>
        <w:t>. Por ello, en el Concepto 2201913000006634 del 6 de septiembre de 2019, la Agencia sostuvo que la ejecución de recursos no se agota en el “[…] el dinero que integra el ciclo presupuestal de la entidad […]”, pues “[…] también los bienes muebles, inmuebles y personal hacen parte del concepto de ‘recursos públicos’”.</w:t>
      </w:r>
    </w:p>
    <w:p w14:paraId="02EA192C" w14:textId="77777777" w:rsidR="00EF6139" w:rsidRPr="00380CA4" w:rsidRDefault="00EF6139" w:rsidP="00EF6139">
      <w:pPr>
        <w:spacing w:before="120" w:after="0" w:line="276" w:lineRule="auto"/>
        <w:ind w:firstLine="708"/>
        <w:jc w:val="both"/>
        <w:rPr>
          <w:rFonts w:ascii="Verdana" w:eastAsia="Times New Roman" w:hAnsi="Verdana" w:cs="Arial"/>
          <w:lang w:eastAsia="es-CO"/>
        </w:rPr>
      </w:pPr>
      <w:r w:rsidRPr="00380CA4">
        <w:rPr>
          <w:rFonts w:ascii="Verdana" w:eastAsia="Times New Roman" w:hAnsi="Verdana" w:cs="Arial"/>
          <w:lang w:eastAsia="es-CO"/>
        </w:rPr>
        <w:t xml:space="preserve">De esta manera, conforme a lo dispuesto en la Circular referida, si se suscriben </w:t>
      </w:r>
      <w:r w:rsidRPr="00380CA4">
        <w:rPr>
          <w:rFonts w:ascii="Verdana" w:eastAsia="Times New Roman" w:hAnsi="Verdana" w:cs="Arial"/>
          <w:i/>
          <w:iCs/>
          <w:lang w:eastAsia="es-CO"/>
        </w:rPr>
        <w:t>convenios interadministrativos para la ejecución de recursos públicos</w:t>
      </w:r>
      <w:r w:rsidRPr="00380CA4">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380CA4">
        <w:rPr>
          <w:rFonts w:ascii="Verdana" w:eastAsia="Times New Roman" w:hAnsi="Verdana" w:cs="Arial"/>
          <w:i/>
          <w:iCs/>
          <w:lang w:eastAsia="es-CO"/>
        </w:rPr>
        <w:t>ibidem</w:t>
      </w:r>
      <w:r w:rsidRPr="00380CA4">
        <w:rPr>
          <w:rFonts w:ascii="Verdana" w:eastAsia="Times New Roman" w:hAnsi="Verdana" w:cs="Arial"/>
          <w:lang w:eastAsia="es-CO"/>
        </w:rPr>
        <w:t>, independientemente de que se configure alguno de los supuestos de excepción que señaló el inciso final del artículo 33, es decir, que se trate de:</w:t>
      </w:r>
      <w:r w:rsidRPr="00380CA4">
        <w:rPr>
          <w:rFonts w:ascii="Verdana" w:hAnsi="Verdana" w:cs="Arial"/>
          <w:bCs/>
          <w:lang w:eastAsia="x-none"/>
        </w:rPr>
        <w:t xml:space="preserve"> i) la defensa y seguridad del Estado; </w:t>
      </w:r>
      <w:proofErr w:type="spellStart"/>
      <w:r w:rsidRPr="00380CA4">
        <w:rPr>
          <w:rFonts w:ascii="Verdana" w:hAnsi="Verdana" w:cs="Arial"/>
          <w:bCs/>
          <w:lang w:eastAsia="x-none"/>
        </w:rPr>
        <w:t>ii</w:t>
      </w:r>
      <w:proofErr w:type="spellEnd"/>
      <w:r w:rsidRPr="00380CA4">
        <w:rPr>
          <w:rFonts w:ascii="Verdana" w:hAnsi="Verdana" w:cs="Arial"/>
          <w:bCs/>
          <w:lang w:eastAsia="x-none"/>
        </w:rPr>
        <w:t xml:space="preserve">) los contratos de crédito público; </w:t>
      </w:r>
      <w:proofErr w:type="spellStart"/>
      <w:r w:rsidRPr="00380CA4">
        <w:rPr>
          <w:rFonts w:ascii="Verdana" w:hAnsi="Verdana" w:cs="Arial"/>
          <w:bCs/>
          <w:lang w:eastAsia="x-none"/>
        </w:rPr>
        <w:t>iii</w:t>
      </w:r>
      <w:proofErr w:type="spellEnd"/>
      <w:r w:rsidRPr="00380CA4">
        <w:rPr>
          <w:rFonts w:ascii="Verdana" w:hAnsi="Verdana" w:cs="Arial"/>
          <w:bCs/>
          <w:lang w:eastAsia="x-none"/>
        </w:rPr>
        <w:t xml:space="preserve">) los requeridos para cubrir las emergencias educativas, sanitarias y desastres; </w:t>
      </w:r>
      <w:proofErr w:type="spellStart"/>
      <w:r w:rsidRPr="00380CA4">
        <w:rPr>
          <w:rFonts w:ascii="Verdana" w:hAnsi="Verdana" w:cs="Arial"/>
          <w:bCs/>
          <w:lang w:eastAsia="x-none"/>
        </w:rPr>
        <w:t>iv</w:t>
      </w:r>
      <w:proofErr w:type="spellEnd"/>
      <w:r w:rsidRPr="00380CA4">
        <w:rPr>
          <w:rFonts w:ascii="Verdana" w:hAnsi="Verdana" w:cs="Arial"/>
          <w:bCs/>
          <w:lang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380CA4">
        <w:rPr>
          <w:rFonts w:ascii="Verdana" w:hAnsi="Verdana" w:cs="Arial"/>
          <w:bCs/>
          <w:lang w:eastAsia="es-CO"/>
        </w:rPr>
        <w:t xml:space="preserve"> </w:t>
      </w:r>
      <w:r w:rsidRPr="00380CA4">
        <w:rPr>
          <w:rFonts w:ascii="Verdana" w:eastAsia="Times New Roman" w:hAnsi="Verdana" w:cs="Arial"/>
          <w:lang w:eastAsia="es-CO"/>
        </w:rPr>
        <w:t xml:space="preserve">  </w:t>
      </w:r>
    </w:p>
    <w:p w14:paraId="69D451FF" w14:textId="77777777" w:rsidR="00EF6139" w:rsidRPr="00380CA4" w:rsidRDefault="00EF6139" w:rsidP="00EF6139">
      <w:pPr>
        <w:spacing w:before="120" w:after="0" w:line="276" w:lineRule="auto"/>
        <w:ind w:firstLine="708"/>
        <w:jc w:val="both"/>
        <w:rPr>
          <w:rFonts w:ascii="Verdana" w:eastAsia="Times New Roman" w:hAnsi="Verdana" w:cs="Arial"/>
          <w:lang w:eastAsia="es-CO"/>
        </w:rPr>
      </w:pPr>
      <w:r w:rsidRPr="00380CA4">
        <w:rPr>
          <w:rFonts w:ascii="Verdana" w:eastAsia="Times New Roman" w:hAnsi="Verdana" w:cs="Arial"/>
          <w:lang w:eastAsia="es-CO"/>
        </w:rPr>
        <w:t xml:space="preserve">En este punto, teniendo en cuenta lo señalado en el contenido de su petición, vale la pena destacar </w:t>
      </w:r>
      <w:proofErr w:type="gramStart"/>
      <w:r w:rsidRPr="00380CA4">
        <w:rPr>
          <w:rFonts w:ascii="Verdana" w:eastAsia="Times New Roman" w:hAnsi="Verdana" w:cs="Arial"/>
          <w:lang w:eastAsia="es-CO"/>
        </w:rPr>
        <w:t>que</w:t>
      </w:r>
      <w:proofErr w:type="gramEnd"/>
      <w:r w:rsidRPr="00380CA4">
        <w:rPr>
          <w:rFonts w:ascii="Verdana" w:eastAsia="Times New Roman" w:hAnsi="Verdana" w:cs="Arial"/>
          <w:lang w:eastAsia="es-CO"/>
        </w:rPr>
        <w:t xml:space="preserve"> </w:t>
      </w:r>
      <w:r w:rsidRPr="00380CA4">
        <w:rPr>
          <w:rFonts w:ascii="Verdana" w:eastAsia="Arial" w:hAnsi="Verdana" w:cs="Arial"/>
          <w:lang w:eastAsia="es-ES" w:bidi="es-ES"/>
        </w:rPr>
        <w:t xml:space="preserve">mediante auto de 4 de octubre del 2024, el Consejo de Estado, Subsección C de la Sección Tercera, decretó medida de suspensión provisional parcial del </w:t>
      </w:r>
      <w:r w:rsidRPr="00380CA4">
        <w:rPr>
          <w:rFonts w:ascii="Verdana" w:hAnsi="Verdana" w:cs="Arial"/>
        </w:rPr>
        <w:t>numeral 16.2 de la Circular Externa Única de 2022 expedida por la Agencia Nacional de Contratación Pública – Colombia Compra Eficiente, concretamente, respecto de los siguientes apartes normativos</w:t>
      </w:r>
      <w:r w:rsidRPr="00380CA4">
        <w:rPr>
          <w:rFonts w:ascii="Verdana" w:hAnsi="Verdana" w:cs="Arial"/>
          <w:vertAlign w:val="superscript"/>
        </w:rPr>
        <w:footnoteReference w:id="31"/>
      </w:r>
      <w:r w:rsidRPr="00380CA4">
        <w:rPr>
          <w:rFonts w:ascii="Verdana" w:hAnsi="Verdana" w:cs="Arial"/>
        </w:rPr>
        <w:t xml:space="preserve">: </w:t>
      </w:r>
    </w:p>
    <w:p w14:paraId="115A9981" w14:textId="77777777" w:rsidR="00EF6139" w:rsidRPr="00380CA4" w:rsidRDefault="00EF6139" w:rsidP="00EF6139">
      <w:pPr>
        <w:spacing w:after="0" w:line="276" w:lineRule="auto"/>
        <w:ind w:firstLine="709"/>
        <w:jc w:val="both"/>
        <w:rPr>
          <w:rFonts w:ascii="Verdana" w:hAnsi="Verdana" w:cs="Arial"/>
        </w:rPr>
      </w:pPr>
    </w:p>
    <w:p w14:paraId="5BBFA9A0" w14:textId="77777777" w:rsidR="00EF6139" w:rsidRPr="00380CA4" w:rsidRDefault="00EF6139" w:rsidP="00EF6139">
      <w:pPr>
        <w:spacing w:after="120" w:line="240" w:lineRule="auto"/>
        <w:ind w:left="709" w:right="709"/>
        <w:jc w:val="both"/>
        <w:rPr>
          <w:rFonts w:ascii="Verdana" w:hAnsi="Verdana" w:cs="Arial"/>
          <w:sz w:val="20"/>
          <w:szCs w:val="20"/>
        </w:rPr>
      </w:pPr>
      <w:r w:rsidRPr="00380CA4">
        <w:rPr>
          <w:rFonts w:ascii="Verdana" w:hAnsi="Verdana" w:cs="Arial"/>
          <w:sz w:val="20"/>
          <w:szCs w:val="20"/>
        </w:rPr>
        <w:t xml:space="preserve">“i)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62DB4F11" w14:textId="77777777" w:rsidR="00EF6139" w:rsidRPr="00380CA4" w:rsidRDefault="00EF6139" w:rsidP="00EF6139">
      <w:pPr>
        <w:spacing w:after="0" w:line="240" w:lineRule="auto"/>
        <w:ind w:left="709" w:right="709"/>
        <w:jc w:val="both"/>
        <w:rPr>
          <w:rFonts w:ascii="Verdana" w:hAnsi="Verdana" w:cs="Arial"/>
          <w:sz w:val="20"/>
          <w:szCs w:val="20"/>
        </w:rPr>
      </w:pPr>
      <w:proofErr w:type="spellStart"/>
      <w:r w:rsidRPr="00380CA4">
        <w:rPr>
          <w:rFonts w:ascii="Verdana" w:hAnsi="Verdana" w:cs="Arial"/>
          <w:sz w:val="20"/>
          <w:szCs w:val="20"/>
        </w:rPr>
        <w:t>ii</w:t>
      </w:r>
      <w:proofErr w:type="spellEnd"/>
      <w:r w:rsidRPr="00380CA4">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12752741" w14:textId="77777777" w:rsidR="00EF6139" w:rsidRPr="00380CA4" w:rsidRDefault="00EF6139" w:rsidP="00EF6139">
      <w:pPr>
        <w:spacing w:after="0" w:line="276" w:lineRule="auto"/>
        <w:ind w:left="709" w:right="709"/>
        <w:jc w:val="both"/>
        <w:rPr>
          <w:rFonts w:ascii="Verdana" w:hAnsi="Verdana" w:cs="Arial"/>
        </w:rPr>
      </w:pPr>
    </w:p>
    <w:p w14:paraId="336FA78E" w14:textId="77777777" w:rsidR="00EF6139" w:rsidRPr="00380CA4" w:rsidRDefault="00EF6139" w:rsidP="00EF6139">
      <w:pPr>
        <w:spacing w:after="120" w:line="276" w:lineRule="auto"/>
        <w:ind w:firstLine="709"/>
        <w:jc w:val="both"/>
        <w:rPr>
          <w:rFonts w:ascii="Verdana" w:eastAsia="Arial" w:hAnsi="Verdana" w:cs="Arial"/>
          <w:i/>
          <w:iCs/>
          <w:lang w:eastAsia="es-ES" w:bidi="es-ES"/>
        </w:rPr>
      </w:pPr>
      <w:r w:rsidRPr="00380CA4">
        <w:rPr>
          <w:rFonts w:ascii="Verdana" w:eastAsia="Arial" w:hAnsi="Verdana" w:cs="Arial"/>
          <w:lang w:eastAsia="es-ES" w:bidi="es-ES"/>
        </w:rPr>
        <w:t>De conformidad con los argumentos de dicha providencia, se parte de la distinción entre los conceptos 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380CA4">
        <w:rPr>
          <w:rFonts w:ascii="Verdana" w:hAnsi="Verdana"/>
          <w:sz w:val="24"/>
          <w:szCs w:val="24"/>
          <w:lang w:eastAsia="es-CO"/>
        </w:rPr>
        <w:t xml:space="preserve"> </w:t>
      </w:r>
      <w:r w:rsidRPr="00380CA4">
        <w:rPr>
          <w:rFonts w:ascii="Verdana" w:eastAsia="Arial" w:hAnsi="Verdana" w:cs="Arial"/>
          <w:lang w:eastAsia="es-ES" w:bidi="es-ES"/>
        </w:rPr>
        <w:t xml:space="preserve">En este sentido, en relación con el parágrafo del artículo 38 de la Ley 996 de 2005 concluyó que </w:t>
      </w:r>
      <w:r w:rsidRPr="00380CA4">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380CA4">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380CA4">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sidRPr="00380CA4">
        <w:rPr>
          <w:rFonts w:ascii="Verdana" w:eastAsia="Arial" w:hAnsi="Verdana" w:cs="Arial"/>
          <w:lang w:eastAsia="es-ES" w:bidi="es-ES"/>
        </w:rPr>
        <w:t>”</w:t>
      </w:r>
      <w:r w:rsidRPr="00380CA4">
        <w:rPr>
          <w:rFonts w:ascii="Verdana" w:eastAsia="Arial" w:hAnsi="Verdana" w:cs="Arial"/>
          <w:i/>
          <w:iCs/>
          <w:lang w:eastAsia="es-ES" w:bidi="es-ES"/>
        </w:rPr>
        <w:t xml:space="preserve">. </w:t>
      </w:r>
    </w:p>
    <w:p w14:paraId="5D7BBC3D" w14:textId="77777777" w:rsidR="00EF6139" w:rsidRPr="00380CA4" w:rsidRDefault="00EF6139" w:rsidP="00EF6139">
      <w:pPr>
        <w:spacing w:after="120" w:line="276" w:lineRule="auto"/>
        <w:ind w:firstLine="709"/>
        <w:jc w:val="both"/>
        <w:rPr>
          <w:rFonts w:ascii="Verdana" w:eastAsia="Arial" w:hAnsi="Verdana" w:cs="Arial"/>
          <w:lang w:eastAsia="es-ES" w:bidi="es-ES"/>
        </w:rPr>
      </w:pPr>
      <w:r w:rsidRPr="00380CA4">
        <w:rPr>
          <w:rFonts w:ascii="Verdana" w:eastAsia="Arial" w:hAnsi="Verdana" w:cs="Arial"/>
          <w:lang w:eastAsia="es-ES" w:bidi="es-ES"/>
        </w:rPr>
        <w:t>De igual manera, mediante auto del 6 de noviembre de 2025, el Consejo de Estado, Subsección A de la Sección Tercera, decretó</w:t>
      </w:r>
      <w:r w:rsidRPr="00380CA4">
        <w:rPr>
          <w:rFonts w:ascii="Verdana" w:eastAsia="Arial" w:hAnsi="Verdana" w:cs="Arial"/>
          <w:b/>
          <w:bCs/>
          <w:lang w:eastAsia="es-ES" w:bidi="es-ES"/>
        </w:rPr>
        <w:t xml:space="preserve"> </w:t>
      </w:r>
      <w:r w:rsidRPr="00380CA4">
        <w:rPr>
          <w:rFonts w:ascii="Verdana" w:eastAsia="Arial" w:hAnsi="Verdana" w:cs="Arial"/>
          <w:lang w:eastAsia="es-ES" w:bidi="es-ES"/>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w:t>
      </w:r>
      <w:r w:rsidRPr="00380CA4">
        <w:rPr>
          <w:rFonts w:ascii="Verdana" w:eastAsia="Arial" w:hAnsi="Verdana" w:cs="Arial"/>
          <w:lang w:eastAsia="es-ES" w:bidi="es-ES"/>
        </w:rPr>
        <w:lastRenderedPageBreak/>
        <w:t>Eficiente relacionados con los contratos interadministrativos</w:t>
      </w:r>
      <w:r w:rsidRPr="00380CA4">
        <w:rPr>
          <w:rFonts w:ascii="Verdana" w:eastAsia="Arial" w:hAnsi="Verdana" w:cs="Arial"/>
          <w:vertAlign w:val="superscript"/>
          <w:lang w:eastAsia="es-ES" w:bidi="es-ES"/>
        </w:rPr>
        <w:footnoteReference w:id="32"/>
      </w:r>
      <w:r w:rsidRPr="00380CA4">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380CA4">
        <w:rPr>
          <w:rFonts w:ascii="Verdana" w:eastAsia="Arial" w:hAnsi="Verdana" w:cs="Arial"/>
          <w:lang w:eastAsia="es-ES" w:bidi="es-ES"/>
        </w:rPr>
        <w:t>legis</w:t>
      </w:r>
      <w:proofErr w:type="spellEnd"/>
      <w:r w:rsidRPr="00380CA4">
        <w:rPr>
          <w:rFonts w:ascii="Verdana" w:eastAsia="Arial" w:hAnsi="Verdana" w:cs="Arial"/>
          <w:lang w:eastAsia="es-ES" w:bidi="es-ES"/>
        </w:rPr>
        <w:t xml:space="preserve"> o iuris y la interpretación extensiva y reiteró los argumentos sobre la diferencia entre contratos y convenios interadministrativos. </w:t>
      </w:r>
    </w:p>
    <w:p w14:paraId="6EF15F34" w14:textId="77777777" w:rsidR="00EF6139" w:rsidRPr="00380CA4" w:rsidRDefault="00EF6139" w:rsidP="00EF6139">
      <w:pPr>
        <w:spacing w:after="120" w:line="276" w:lineRule="auto"/>
        <w:ind w:firstLine="709"/>
        <w:jc w:val="both"/>
        <w:rPr>
          <w:rFonts w:ascii="Verdana" w:eastAsia="Times New Roman" w:hAnsi="Verdana" w:cs="Times New Roman"/>
          <w:lang w:eastAsia="es-ES"/>
        </w:rPr>
      </w:pPr>
      <w:r w:rsidRPr="00380CA4">
        <w:rPr>
          <w:rFonts w:ascii="Verdana" w:eastAsia="Arial" w:hAnsi="Verdana" w:cs="Arial"/>
          <w:lang w:eastAsia="es-ES" w:bidi="es-ES"/>
        </w:rPr>
        <w:t xml:space="preserve">Finalmente, mediante sentencia del 17 de octubre de 2025, emitida por la Sección Tercera del Consejo de Estado, dentro del expediente </w:t>
      </w:r>
      <w:r w:rsidRPr="00380CA4">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380CA4">
        <w:rPr>
          <w:rStyle w:val="Refdenotaalpie"/>
          <w:rFonts w:ascii="Verdana" w:eastAsia="Times New Roman" w:hAnsi="Verdana" w:cs="Times New Roman"/>
          <w:lang w:eastAsia="es-ES"/>
        </w:rPr>
        <w:footnoteReference w:id="33"/>
      </w:r>
      <w:r w:rsidRPr="00380CA4">
        <w:rPr>
          <w:rFonts w:ascii="Verdana" w:eastAsia="Times New Roman" w:hAnsi="Verdana" w:cs="Times New Roman"/>
          <w:lang w:eastAsia="es-ES"/>
        </w:rPr>
        <w:t xml:space="preserve">. Sobre el particular, la Sala concluyó que contratos y convenios interadministrativos son figuras distintas en naturaleza, </w:t>
      </w:r>
      <w:r w:rsidRPr="00380CA4">
        <w:rPr>
          <w:rFonts w:ascii="Verdana" w:eastAsia="Times New Roman" w:hAnsi="Verdana" w:cs="Times New Roman"/>
          <w:lang w:eastAsia="es-ES"/>
        </w:rPr>
        <w:lastRenderedPageBreak/>
        <w:t xml:space="preserve">objeto y efectos, pues mientras los contratos implican obligaciones patrimoniales y contraprestación, los convenios se basan en cooperación sin ánimo económico. Por ello, la restricción legal no podía aplicarse extensivamente a los contratos. </w:t>
      </w:r>
    </w:p>
    <w:p w14:paraId="3CDE2F13" w14:textId="77777777" w:rsidR="00EF6139" w:rsidRPr="00380CA4" w:rsidRDefault="00EF6139" w:rsidP="00EF6139">
      <w:pPr>
        <w:spacing w:after="120" w:line="276" w:lineRule="auto"/>
        <w:ind w:firstLine="709"/>
        <w:jc w:val="both"/>
        <w:rPr>
          <w:rFonts w:ascii="Verdana" w:eastAsia="Times New Roman" w:hAnsi="Verdana" w:cs="Arial"/>
          <w:lang w:eastAsia="es-CO"/>
        </w:rPr>
      </w:pPr>
      <w:r w:rsidRPr="00380CA4">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sidRPr="00380CA4">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380CA4">
        <w:rPr>
          <w:rFonts w:ascii="Verdana" w:eastAsia="Times New Roman" w:hAnsi="Verdana" w:cs="Arial"/>
          <w:i/>
          <w:iCs/>
          <w:lang w:eastAsia="es-CO"/>
        </w:rPr>
        <w:t>contratos interadministrativos</w:t>
      </w:r>
      <w:r w:rsidRPr="00380CA4">
        <w:rPr>
          <w:rFonts w:ascii="Verdana" w:eastAsia="Times New Roman" w:hAnsi="Verdana" w:cs="Arial"/>
          <w:lang w:eastAsia="es-CO"/>
        </w:rPr>
        <w:t>, esta prohibición solo aplicaría a los convenios interadministrativos que impliquen la ejecución de recursos públicos</w:t>
      </w:r>
      <w:r w:rsidRPr="00380CA4">
        <w:rPr>
          <w:rStyle w:val="Refdenotaalpie"/>
          <w:rFonts w:ascii="Verdana" w:eastAsia="Times New Roman" w:hAnsi="Verdana" w:cs="Arial"/>
          <w:lang w:eastAsia="es-CO"/>
        </w:rPr>
        <w:footnoteReference w:id="34"/>
      </w:r>
      <w:r w:rsidRPr="00380CA4">
        <w:rPr>
          <w:rFonts w:ascii="Verdana" w:eastAsia="Times New Roman" w:hAnsi="Verdana" w:cs="Arial"/>
          <w:lang w:eastAsia="es-CO"/>
        </w:rPr>
        <w:t xml:space="preserve">. Conforme a lo señalado por el Consejo de Estado, cuando dos entidades públicas celebren un </w:t>
      </w:r>
      <w:r w:rsidRPr="00380CA4">
        <w:rPr>
          <w:rFonts w:ascii="Verdana" w:eastAsia="Times New Roman" w:hAnsi="Verdana" w:cs="Arial"/>
          <w:i/>
          <w:iCs/>
          <w:lang w:eastAsia="es-CO"/>
        </w:rPr>
        <w:t>contrato interadministrativo,</w:t>
      </w:r>
      <w:r w:rsidRPr="00380CA4">
        <w:rPr>
          <w:rFonts w:ascii="Verdana" w:eastAsia="Times New Roman" w:hAnsi="Verdana" w:cs="Arial"/>
          <w:lang w:eastAsia="es-CO"/>
        </w:rPr>
        <w:t xml:space="preserve"> independientemente del objeto, dicho contrato puede suscribirse durante el periodo preelectoral.</w:t>
      </w:r>
    </w:p>
    <w:p w14:paraId="32C0B602" w14:textId="77777777" w:rsidR="00EF6139" w:rsidRPr="00380CA4" w:rsidRDefault="00EF6139" w:rsidP="00EF6139">
      <w:pPr>
        <w:spacing w:after="120" w:line="276" w:lineRule="auto"/>
        <w:ind w:firstLine="708"/>
        <w:jc w:val="both"/>
        <w:rPr>
          <w:rFonts w:ascii="Verdana" w:eastAsia="Times New Roman" w:hAnsi="Verdana" w:cs="Arial"/>
          <w:lang w:eastAsia="es-CO"/>
        </w:rPr>
      </w:pPr>
      <w:r w:rsidRPr="00380CA4">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sidRPr="00380CA4">
        <w:rPr>
          <w:rFonts w:ascii="Verdana" w:eastAsia="Times New Roman" w:hAnsi="Verdana" w:cs="Arial"/>
          <w:bCs/>
          <w:lang w:eastAsia="x-none"/>
        </w:rPr>
        <w:t xml:space="preserve"> aplica desde el 8 de noviembre de 2025, teniendo en cuenta que la Resolución 02580 del 5 de marzo de 2025 de la Registraduría Nacional del Estado Civil dispuso que las elecciones de senado y cámara se celebrarán el 8 de marzo de 2026. Esta restricción se extiende a las elecciones presidenciales que se celebrarán el 31 de mayo de 2026, así como una posible segunda vuelta tres semanas después, es decir, el 21 de junio de 2026. </w:t>
      </w:r>
    </w:p>
    <w:p w14:paraId="261336DB" w14:textId="77777777" w:rsidR="00EF6139" w:rsidRPr="00380CA4" w:rsidRDefault="00EF6139" w:rsidP="00EF6139">
      <w:pPr>
        <w:spacing w:after="0" w:line="276" w:lineRule="auto"/>
        <w:ind w:firstLine="708"/>
        <w:jc w:val="both"/>
        <w:rPr>
          <w:rFonts w:ascii="Verdana" w:eastAsia="Times New Roman" w:hAnsi="Verdana" w:cs="Arial"/>
          <w:lang w:eastAsia="es-CO"/>
        </w:rPr>
      </w:pPr>
      <w:r w:rsidRPr="00380CA4">
        <w:rPr>
          <w:rFonts w:ascii="Verdana" w:eastAsia="Times New Roman" w:hAnsi="Verdana" w:cs="Arial"/>
          <w:lang w:eastAsia="es-CO"/>
        </w:rPr>
        <w:t xml:space="preserve"> No obstante, es importante mencionar que aún se encuentra por definir la demanda </w:t>
      </w:r>
      <w:r w:rsidRPr="00380CA4">
        <w:rPr>
          <w:rFonts w:ascii="Verdana" w:eastAsia="Calibri" w:hAnsi="Verdana" w:cs="Arial"/>
          <w:lang w:eastAsia="es-ES"/>
        </w:rPr>
        <w:t xml:space="preserve">de nulidad simple, identificada con el Radicado número 11001-03-26-000-2025-00016-00, en la cual se cuestiona parcialmente el numeral 16.2 de la Circular Externa Única CCE-EICP-MA-06, Versión 03 del 27 de diciembre </w:t>
      </w:r>
      <w:r w:rsidRPr="00380CA4">
        <w:rPr>
          <w:rFonts w:ascii="Verdana" w:eastAsia="Calibri" w:hAnsi="Verdana" w:cs="Arial"/>
          <w:lang w:eastAsia="es-ES"/>
        </w:rPr>
        <w:lastRenderedPageBreak/>
        <w:t xml:space="preserve">de 2023. </w:t>
      </w:r>
      <w:r w:rsidRPr="00380CA4">
        <w:rPr>
          <w:rFonts w:ascii="Verdana" w:eastAsia="Arial" w:hAnsi="Verdana" w:cs="Arial"/>
          <w:bCs/>
          <w:color w:val="000000" w:themeColor="text1"/>
        </w:rPr>
        <w:t xml:space="preserve">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380CA4">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4A2C3804" w14:textId="77777777" w:rsidR="00EF6139" w:rsidRPr="00380CA4" w:rsidRDefault="00EF6139" w:rsidP="00EF6139">
      <w:pPr>
        <w:spacing w:after="0" w:line="276" w:lineRule="auto"/>
        <w:jc w:val="both"/>
        <w:rPr>
          <w:rFonts w:ascii="Verdana" w:eastAsia="Times New Roman" w:hAnsi="Verdana" w:cs="Arial"/>
          <w:bCs/>
          <w:lang w:eastAsia="x-none"/>
        </w:rPr>
      </w:pPr>
    </w:p>
    <w:p w14:paraId="1D6DBDBC" w14:textId="77777777" w:rsidR="00EF6139" w:rsidRPr="00380CA4" w:rsidRDefault="00EF6139" w:rsidP="00EF6139">
      <w:pPr>
        <w:pStyle w:val="paragraph"/>
        <w:shd w:val="clear" w:color="auto" w:fill="FFFFFF"/>
        <w:spacing w:before="0" w:beforeAutospacing="0" w:after="120" w:afterAutospacing="0" w:line="276" w:lineRule="auto"/>
        <w:jc w:val="both"/>
        <w:textAlignment w:val="baseline"/>
        <w:rPr>
          <w:rFonts w:ascii="Verdana" w:eastAsia="Verdana" w:hAnsi="Verdana" w:cs="Verdana"/>
          <w:sz w:val="22"/>
          <w:szCs w:val="22"/>
        </w:rPr>
      </w:pPr>
      <w:r w:rsidRPr="00380CA4">
        <w:rPr>
          <w:rFonts w:ascii="Verdana" w:eastAsia="Calibri" w:hAnsi="Verdana" w:cs="Arial"/>
          <w:sz w:val="22"/>
          <w:szCs w:val="22"/>
        </w:rPr>
        <w:t xml:space="preserve">v. </w:t>
      </w:r>
      <w:bookmarkStart w:id="12" w:name="_Hlk79760203"/>
      <w:r w:rsidRPr="00380CA4">
        <w:rPr>
          <w:rFonts w:ascii="Verdana" w:hAnsi="Verdana"/>
          <w:sz w:val="22"/>
          <w:szCs w:val="22"/>
        </w:rPr>
        <w:t>La expropiación es un procedimiento administrativo por medio del cual el Estado, por razones de utilidad pública o interés social, priva coactivamente de la titularidad de un bien a un particular, de acuerdo con un procedimiento específico, con intervención de la autoridad judicial –expropiación por vía judicial– o mediante la utilización de los poderes públicos propios del régimen administrativo –expropiación por vía administrativa–, y previo pago de una indemnización</w:t>
      </w:r>
      <w:r w:rsidRPr="00380CA4">
        <w:rPr>
          <w:rStyle w:val="Refdenotaalpie"/>
          <w:rFonts w:ascii="Verdana" w:hAnsi="Verdana"/>
          <w:sz w:val="22"/>
          <w:szCs w:val="22"/>
        </w:rPr>
        <w:footnoteReference w:id="35"/>
      </w:r>
      <w:r w:rsidRPr="00380CA4">
        <w:rPr>
          <w:rFonts w:ascii="Verdana" w:hAnsi="Verdana"/>
          <w:sz w:val="22"/>
          <w:szCs w:val="22"/>
        </w:rPr>
        <w:t>.</w:t>
      </w:r>
    </w:p>
    <w:p w14:paraId="16148554" w14:textId="77777777" w:rsidR="00EF6139" w:rsidRPr="00380CA4" w:rsidRDefault="00EF6139" w:rsidP="00EF6139">
      <w:pPr>
        <w:spacing w:after="120" w:line="276" w:lineRule="auto"/>
        <w:ind w:firstLine="708"/>
        <w:jc w:val="both"/>
        <w:rPr>
          <w:rFonts w:ascii="Verdana" w:eastAsia="Times New Roman" w:hAnsi="Verdana" w:cs="Arial"/>
          <w:lang w:eastAsia="es-ES_tradnl"/>
        </w:rPr>
      </w:pPr>
      <w:r w:rsidRPr="00380CA4">
        <w:rPr>
          <w:rFonts w:ascii="Verdana" w:eastAsia="Times New Roman" w:hAnsi="Verdana" w:cs="Arial"/>
          <w:lang w:eastAsia="es-ES_tradnl"/>
        </w:rPr>
        <w:t>El Legislador, por medio de la Ley 9 de 1989 reguló, entre otros aspectos, lo concerniente al procedimiento para la enajenación voluntaria y expropiación de bienes inmuebles con el fin de desarrollar las actividades que la misma ley –artículo 10– declaró como de utilidad pública</w:t>
      </w:r>
      <w:r w:rsidRPr="00380CA4">
        <w:rPr>
          <w:rStyle w:val="Refdenotaalpie"/>
          <w:rFonts w:ascii="Verdana" w:eastAsia="Times New Roman" w:hAnsi="Verdana" w:cs="Arial"/>
          <w:lang w:eastAsia="es-ES_tradnl"/>
        </w:rPr>
        <w:footnoteReference w:id="36"/>
      </w:r>
      <w:r w:rsidRPr="00380CA4">
        <w:rPr>
          <w:rFonts w:ascii="Verdana" w:eastAsia="Times New Roman" w:hAnsi="Verdana" w:cs="Arial"/>
          <w:lang w:eastAsia="es-ES_tradnl"/>
        </w:rPr>
        <w:t>. Dicha ley fue modificada por la Ley 388 de 1997</w:t>
      </w:r>
      <w:r w:rsidRPr="00380CA4">
        <w:rPr>
          <w:rStyle w:val="Refdenotaalpie"/>
          <w:rFonts w:ascii="Verdana" w:eastAsia="Times New Roman" w:hAnsi="Verdana" w:cs="Arial"/>
          <w:lang w:eastAsia="es-ES_tradnl"/>
        </w:rPr>
        <w:footnoteReference w:id="37"/>
      </w:r>
      <w:r w:rsidRPr="00380CA4">
        <w:rPr>
          <w:rFonts w:ascii="Verdana" w:eastAsia="Times New Roman" w:hAnsi="Verdana" w:cs="Arial"/>
          <w:lang w:eastAsia="es-ES_tradnl"/>
        </w:rPr>
        <w:t xml:space="preserve"> que tuvo entre sus objetivos armonizar la legislación con las nuevas normas de la Constitución Política de 1991</w:t>
      </w:r>
      <w:r w:rsidRPr="00380CA4">
        <w:rPr>
          <w:rStyle w:val="Refdenotaalpie"/>
          <w:rFonts w:ascii="Verdana" w:eastAsia="Times New Roman" w:hAnsi="Verdana" w:cs="Arial"/>
          <w:lang w:eastAsia="es-ES_tradnl"/>
        </w:rPr>
        <w:footnoteReference w:id="38"/>
      </w:r>
      <w:r w:rsidRPr="00380CA4">
        <w:rPr>
          <w:rFonts w:ascii="Verdana" w:eastAsia="Times New Roman" w:hAnsi="Verdana" w:cs="Arial"/>
          <w:lang w:eastAsia="es-ES_tradnl"/>
        </w:rPr>
        <w:t xml:space="preserve">, y en sus artículos 58 y siguientes desarrolló lo relativo a la “adquisición de inmuebles por enajenación </w:t>
      </w:r>
      <w:r w:rsidRPr="00380CA4">
        <w:rPr>
          <w:rFonts w:ascii="Verdana" w:eastAsia="Times New Roman" w:hAnsi="Verdana" w:cs="Arial"/>
          <w:lang w:eastAsia="es-ES_tradnl"/>
        </w:rPr>
        <w:lastRenderedPageBreak/>
        <w:t>voluntaria y expropiación judicial”. Estas normas constituyen, principalmente, el régimen general de la expropiación por vía judicial y por vía administrativa, y regulan también aspectos de la enajenación voluntaria y de la negociación directa, de manera que “contienen las directrices que deben seguir las administraciones locales y los ciudadanos para cumplir con los fines sociales y de utilidad pública del ordenamiento urbano”</w:t>
      </w:r>
      <w:r w:rsidRPr="00380CA4">
        <w:rPr>
          <w:rStyle w:val="Refdenotaalpie"/>
          <w:rFonts w:ascii="Verdana" w:eastAsia="Times New Roman" w:hAnsi="Verdana" w:cs="Arial"/>
          <w:lang w:eastAsia="es-ES_tradnl"/>
        </w:rPr>
        <w:footnoteReference w:id="39"/>
      </w:r>
      <w:r w:rsidRPr="00380CA4">
        <w:rPr>
          <w:rFonts w:ascii="Verdana" w:eastAsia="Times New Roman" w:hAnsi="Verdana" w:cs="Arial"/>
          <w:lang w:eastAsia="es-ES_tradnl"/>
        </w:rPr>
        <w:t>.</w:t>
      </w:r>
    </w:p>
    <w:bookmarkEnd w:id="12"/>
    <w:p w14:paraId="2C4BAB8D" w14:textId="77777777" w:rsidR="00EF6139" w:rsidRPr="00380CA4" w:rsidRDefault="00EF6139" w:rsidP="00EF6139">
      <w:pPr>
        <w:spacing w:after="120" w:line="276" w:lineRule="auto"/>
        <w:ind w:firstLine="708"/>
        <w:jc w:val="both"/>
        <w:rPr>
          <w:rFonts w:ascii="Verdana" w:hAnsi="Verdana" w:cs="Arial"/>
        </w:rPr>
      </w:pPr>
      <w:r w:rsidRPr="00380CA4">
        <w:rPr>
          <w:rFonts w:ascii="Verdana" w:hAnsi="Verdana" w:cs="Arial"/>
        </w:rPr>
        <w:t>El trámite de expropiación, como se dijo, puede realizarse por vía</w:t>
      </w:r>
      <w:bookmarkStart w:id="13" w:name="_Hlk78998965"/>
      <w:r w:rsidRPr="00380CA4">
        <w:rPr>
          <w:rFonts w:ascii="Verdana" w:hAnsi="Verdana" w:cs="Arial"/>
        </w:rPr>
        <w:t xml:space="preserve"> judicial o por vía administrativa. La jurisprudencia constitucional ha hecho énfasis</w:t>
      </w:r>
      <w:r w:rsidRPr="00380CA4">
        <w:rPr>
          <w:rFonts w:ascii="Verdana" w:hAnsi="Verdana" w:cs="Arial"/>
          <w:spacing w:val="19"/>
        </w:rPr>
        <w:t xml:space="preserve"> </w:t>
      </w:r>
      <w:r w:rsidRPr="00380CA4">
        <w:rPr>
          <w:rFonts w:ascii="Verdana" w:hAnsi="Verdana" w:cs="Arial"/>
        </w:rPr>
        <w:t>en que, sin importar la vía por la que se adelante la expropiación, este proceso debe ser garantista y respetar el debido proceso</w:t>
      </w:r>
      <w:r w:rsidRPr="00380CA4">
        <w:rPr>
          <w:rStyle w:val="Refdenotaalpie"/>
          <w:rFonts w:ascii="Verdana" w:hAnsi="Verdana" w:cs="Arial"/>
        </w:rPr>
        <w:footnoteReference w:id="40"/>
      </w:r>
      <w:r w:rsidRPr="00380CA4">
        <w:rPr>
          <w:rFonts w:ascii="Verdana" w:hAnsi="Verdana" w:cs="Arial"/>
        </w:rPr>
        <w:t xml:space="preserve">. De esta manera, la garantía del debido proceso en el marco de un proceso de expropiación implica el cumplimiento de una serie de etapas previas definidas por las leyes antes mencionadas, tales como: i) la oferta de compra, </w:t>
      </w:r>
      <w:proofErr w:type="spellStart"/>
      <w:r w:rsidRPr="00380CA4">
        <w:rPr>
          <w:rFonts w:ascii="Verdana" w:hAnsi="Verdana" w:cs="Arial"/>
        </w:rPr>
        <w:t>ii</w:t>
      </w:r>
      <w:proofErr w:type="spellEnd"/>
      <w:r w:rsidRPr="00380CA4">
        <w:rPr>
          <w:rFonts w:ascii="Verdana" w:hAnsi="Verdana" w:cs="Arial"/>
        </w:rPr>
        <w:t xml:space="preserve">) la negociación directa y </w:t>
      </w:r>
      <w:proofErr w:type="spellStart"/>
      <w:r w:rsidRPr="00380CA4">
        <w:rPr>
          <w:rFonts w:ascii="Verdana" w:hAnsi="Verdana" w:cs="Arial"/>
        </w:rPr>
        <w:t>iii</w:t>
      </w:r>
      <w:proofErr w:type="spellEnd"/>
      <w:r w:rsidRPr="00380CA4">
        <w:rPr>
          <w:rFonts w:ascii="Verdana" w:hAnsi="Verdana" w:cs="Arial"/>
        </w:rPr>
        <w:t>) el proceso expropiatorio.</w:t>
      </w:r>
    </w:p>
    <w:p w14:paraId="6E01175D" w14:textId="77777777" w:rsidR="00EF6139" w:rsidRPr="00380CA4" w:rsidRDefault="00EF6139" w:rsidP="00EF6139">
      <w:pPr>
        <w:spacing w:after="120" w:line="276" w:lineRule="auto"/>
        <w:ind w:firstLine="708"/>
        <w:jc w:val="both"/>
        <w:rPr>
          <w:rFonts w:ascii="Verdana" w:hAnsi="Verdana" w:cs="Arial"/>
        </w:rPr>
      </w:pPr>
      <w:r w:rsidRPr="00380CA4">
        <w:rPr>
          <w:rFonts w:ascii="Verdana" w:hAnsi="Verdana" w:cs="Arial"/>
        </w:rPr>
        <w:t>La primera etapa, relativa a la oferta de compra, que aplica tanto en los procesos de expropiación judicial como administrativa, hace referencia a la oferta de compra que hace la autoridad al propietario del bien. La segunda etapa de negociación o de enajenación voluntaria es aquella en virtud de la cual el particular y la entidad llegan a un acuerdo a través de la celebración de un contrato de compraventa o de promesa de compraventa, pero si en esta etapa no se logra un acuerdo entre el propietario del bien y la Administración debe adelantarse el procedimiento expropiatorio. La tercera y última etapa es la expropiación, ya sea administrativa o judicial.</w:t>
      </w:r>
    </w:p>
    <w:bookmarkEnd w:id="13"/>
    <w:p w14:paraId="3AEA2E24" w14:textId="77777777" w:rsidR="00EF6139" w:rsidRPr="00380CA4" w:rsidRDefault="00EF6139" w:rsidP="00EF6139">
      <w:pPr>
        <w:spacing w:after="120" w:line="276" w:lineRule="auto"/>
        <w:ind w:firstLine="708"/>
        <w:jc w:val="both"/>
        <w:rPr>
          <w:rFonts w:ascii="Verdana" w:eastAsia="Times New Roman" w:hAnsi="Verdana" w:cs="Arial"/>
          <w:lang w:eastAsia="es-ES_tradnl"/>
        </w:rPr>
      </w:pPr>
      <w:r w:rsidRPr="00380CA4">
        <w:rPr>
          <w:rFonts w:ascii="Verdana" w:eastAsia="Times New Roman" w:hAnsi="Verdana" w:cs="Arial"/>
          <w:lang w:eastAsia="es-ES_tradnl"/>
        </w:rPr>
        <w:t>Por consiguiente, el procedimiento para la adquisición de bienes inmuebles destinados a actividades de utilidad pública e interés social contempla que la entidad pública adquirente efectúe previamente el trámite de adquisición a través de la enajenación voluntaria y negociada con el propietario del inmueble, antes de acudir a los procedimientos especiales para la expropiación judicial o administrativa.</w:t>
      </w:r>
      <w:r w:rsidRPr="00380CA4">
        <w:rPr>
          <w:rFonts w:ascii="Verdana" w:hAnsi="Verdana"/>
        </w:rPr>
        <w:t xml:space="preserve"> </w:t>
      </w:r>
      <w:r w:rsidRPr="00380CA4">
        <w:rPr>
          <w:rFonts w:ascii="Verdana" w:eastAsia="Times New Roman" w:hAnsi="Verdana" w:cs="Arial"/>
          <w:lang w:eastAsia="es-ES_tradnl"/>
        </w:rPr>
        <w:t xml:space="preserve">Así, en los casos de enajenación voluntaria y negociación directa, la adquisición se realiza como resultado de un negocio jurídico autónomo, en el que la obligación de pago se determinará de común </w:t>
      </w:r>
      <w:r w:rsidRPr="00380CA4">
        <w:rPr>
          <w:rFonts w:ascii="Verdana" w:eastAsia="Times New Roman" w:hAnsi="Verdana" w:cs="Arial"/>
          <w:lang w:eastAsia="es-ES_tradnl"/>
        </w:rPr>
        <w:lastRenderedPageBreak/>
        <w:t>acuerdo entre el Estado y el vendedor, pues, en tales eventos no se trata de una expropiación</w:t>
      </w:r>
      <w:r w:rsidRPr="00380CA4">
        <w:rPr>
          <w:rStyle w:val="Refdenotaalpie"/>
          <w:rFonts w:ascii="Verdana" w:eastAsia="Times New Roman" w:hAnsi="Verdana" w:cs="Arial"/>
          <w:lang w:eastAsia="es-ES_tradnl"/>
        </w:rPr>
        <w:footnoteReference w:id="41"/>
      </w:r>
      <w:r w:rsidRPr="00380CA4">
        <w:rPr>
          <w:rFonts w:ascii="Verdana" w:eastAsia="Times New Roman" w:hAnsi="Verdana" w:cs="Arial"/>
          <w:lang w:eastAsia="es-ES_tradnl"/>
        </w:rPr>
        <w:t>.</w:t>
      </w:r>
    </w:p>
    <w:p w14:paraId="44F8EF86" w14:textId="77777777" w:rsidR="00EF6139" w:rsidRPr="00380CA4" w:rsidRDefault="00EF6139" w:rsidP="00EF6139">
      <w:pPr>
        <w:spacing w:after="0" w:line="276" w:lineRule="auto"/>
        <w:ind w:firstLine="708"/>
        <w:jc w:val="both"/>
        <w:rPr>
          <w:rFonts w:ascii="Verdana" w:eastAsia="Times New Roman" w:hAnsi="Verdana" w:cs="Arial"/>
          <w:lang w:eastAsia="es-ES_tradnl"/>
        </w:rPr>
      </w:pPr>
      <w:r w:rsidRPr="00380CA4">
        <w:rPr>
          <w:rFonts w:ascii="Verdana" w:eastAsia="Times New Roman" w:hAnsi="Verdana" w:cs="Arial"/>
          <w:lang w:eastAsia="es-ES_tradnl"/>
        </w:rPr>
        <w:t xml:space="preserve">Una vez se ha efectuado la notificación del acto de oferta empieza a correr el término durante el cual se llevará a cabo la negociación con el propietario del inmueble. Si en este plazo se logra el acuerdo se celebrará un </w:t>
      </w:r>
      <w:r w:rsidRPr="00380CA4">
        <w:rPr>
          <w:rFonts w:ascii="Verdana" w:eastAsia="Times New Roman" w:hAnsi="Verdana" w:cs="Arial"/>
          <w:i/>
          <w:iCs/>
          <w:lang w:eastAsia="es-ES_tradnl"/>
        </w:rPr>
        <w:t>contrato de compraventa</w:t>
      </w:r>
      <w:r w:rsidRPr="00380CA4">
        <w:rPr>
          <w:rFonts w:ascii="Verdana" w:eastAsia="Times New Roman" w:hAnsi="Verdana" w:cs="Arial"/>
          <w:lang w:eastAsia="es-ES_tradnl"/>
        </w:rPr>
        <w:t xml:space="preserve"> o de promesa de compraventa</w:t>
      </w:r>
      <w:r w:rsidRPr="00380CA4">
        <w:rPr>
          <w:rStyle w:val="Refdenotaalpie"/>
          <w:rFonts w:ascii="Verdana" w:eastAsia="Times New Roman" w:hAnsi="Verdana" w:cs="Arial"/>
          <w:lang w:eastAsia="es-ES_tradnl"/>
        </w:rPr>
        <w:footnoteReference w:id="42"/>
      </w:r>
      <w:r w:rsidRPr="00380CA4">
        <w:rPr>
          <w:rFonts w:ascii="Verdana" w:eastAsia="Times New Roman" w:hAnsi="Verdana" w:cs="Arial"/>
          <w:lang w:eastAsia="es-ES_tradnl"/>
        </w:rPr>
        <w:t xml:space="preserve">. En caso contrario se deberá dar inicio al proceso de expropiación. Finalmente, en caso de acuerdo, realizada la entrega material del inmueble a favor de la entidad adquirente, el pago del precio se efectuará de conformidad con lo convenido dentro del respectivo contrato de compraventa. </w:t>
      </w:r>
    </w:p>
    <w:p w14:paraId="1D09B65B" w14:textId="77777777" w:rsidR="00EF6139" w:rsidRPr="00380CA4" w:rsidRDefault="00EF6139" w:rsidP="00EF6139">
      <w:pPr>
        <w:spacing w:before="120" w:after="0" w:line="276" w:lineRule="auto"/>
        <w:ind w:firstLine="708"/>
        <w:jc w:val="both"/>
        <w:rPr>
          <w:rFonts w:ascii="Verdana" w:eastAsia="Times New Roman" w:hAnsi="Verdana" w:cs="Arial"/>
          <w:lang w:eastAsia="es-ES_tradnl"/>
        </w:rPr>
      </w:pPr>
      <w:r w:rsidRPr="00380CA4">
        <w:rPr>
          <w:rFonts w:ascii="Verdana" w:eastAsia="Times New Roman" w:hAnsi="Verdana" w:cs="Arial"/>
          <w:lang w:eastAsia="es-ES_tradnl"/>
        </w:rPr>
        <w:t>En efecto, en los procesos de expropiación judicial o expropiación administrativa existe una etapa previa de negociación, en la cual la administración intenta adquirir voluntariamente el bien, de suerte que se evite iniciar el proceso forzoso expropiatorio. Esta etapa comienza con una oferta de la entidad al particular para adquirir el bien por el precio base fijado con fundamento en un avalúo. Posteriormente, pasa a una etapa de negociación directa con el particular. En caso de que el proceso de negociación directa se concrete, culmina con la etapa de transferencia del bien y de pago del precio acordado. Pero, si el proceso de negociación se frustra, inicia la etapa expropiatoria, mediante los procesos judicial o administrativo, según el caso, hasta obtener el título traslaticio de dominio al Estado, la tradición del bien y realizar el pago de la indemnización al particular expropiado.</w:t>
      </w:r>
    </w:p>
    <w:p w14:paraId="18A59043" w14:textId="77777777" w:rsidR="00EF6139" w:rsidRPr="00380CA4" w:rsidRDefault="00EF6139" w:rsidP="00EF6139">
      <w:pPr>
        <w:tabs>
          <w:tab w:val="left" w:pos="709"/>
        </w:tabs>
        <w:spacing w:before="120" w:after="120" w:line="276" w:lineRule="auto"/>
        <w:ind w:firstLine="708"/>
        <w:jc w:val="both"/>
        <w:rPr>
          <w:rFonts w:ascii="Verdana" w:eastAsia="Times New Roman" w:hAnsi="Verdana" w:cs="Arial"/>
          <w:lang w:eastAsia="es-ES_tradnl"/>
        </w:rPr>
      </w:pPr>
      <w:bookmarkStart w:id="14" w:name="_Hlk79760762"/>
      <w:r w:rsidRPr="00380CA4">
        <w:rPr>
          <w:rFonts w:ascii="Verdana" w:eastAsia="Times New Roman" w:hAnsi="Verdana" w:cs="Arial"/>
          <w:lang w:eastAsia="es-ES_tradnl"/>
        </w:rPr>
        <w:t xml:space="preserve">Dado que el procedimiento establecido podría culminar con la celebración de </w:t>
      </w:r>
      <w:bookmarkStart w:id="15" w:name="_Hlk79003065"/>
      <w:r w:rsidRPr="00380CA4">
        <w:rPr>
          <w:rFonts w:ascii="Verdana" w:eastAsia="Times New Roman" w:hAnsi="Verdana" w:cs="Arial"/>
          <w:lang w:eastAsia="es-ES_tradnl"/>
        </w:rPr>
        <w:t xml:space="preserve">una promesa de compraventa o en un contrato de compraventa, </w:t>
      </w:r>
      <w:bookmarkEnd w:id="15"/>
      <w:r w:rsidRPr="00380CA4">
        <w:rPr>
          <w:rFonts w:ascii="Verdana" w:eastAsia="Times New Roman" w:hAnsi="Verdana" w:cs="Arial"/>
          <w:lang w:eastAsia="es-ES_tradnl"/>
        </w:rPr>
        <w:t xml:space="preserve">en el que participan entidades estatales y se invierten recursos de naturaleza pública, bien puede afirmarse que estos actos jurídicos negociales son auténticos contratos estatales, según el criterio orgánico establecido en el artículo 32 de la Ley 80 de </w:t>
      </w:r>
      <w:r w:rsidRPr="00380CA4">
        <w:rPr>
          <w:rFonts w:ascii="Verdana" w:eastAsia="Times New Roman" w:hAnsi="Verdana" w:cs="Arial"/>
          <w:lang w:eastAsia="es-ES_tradnl"/>
        </w:rPr>
        <w:lastRenderedPageBreak/>
        <w:t xml:space="preserve">1993, en concordancia el artículo 2 </w:t>
      </w:r>
      <w:r w:rsidRPr="00380CA4">
        <w:rPr>
          <w:rFonts w:ascii="Verdana" w:eastAsia="Times New Roman" w:hAnsi="Verdana" w:cs="Arial"/>
          <w:i/>
          <w:iCs/>
          <w:lang w:eastAsia="es-ES_tradnl"/>
        </w:rPr>
        <w:t>ibidem</w:t>
      </w:r>
      <w:r w:rsidRPr="00380CA4">
        <w:rPr>
          <w:rFonts w:ascii="Verdana" w:eastAsia="Times New Roman" w:hAnsi="Verdana" w:cs="Arial"/>
          <w:lang w:eastAsia="es-ES_tradnl"/>
        </w:rPr>
        <w:t xml:space="preserve"> y en armonía con lo dispuesto por el artículo 1 de la Ley 1150 de 2007.</w:t>
      </w:r>
    </w:p>
    <w:p w14:paraId="229C0D98" w14:textId="77777777" w:rsidR="00EF6139" w:rsidRPr="00380CA4" w:rsidRDefault="00EF6139" w:rsidP="00EF6139">
      <w:pPr>
        <w:pStyle w:val="paragraph"/>
        <w:shd w:val="clear" w:color="auto" w:fill="FFFFFF"/>
        <w:spacing w:before="0" w:beforeAutospacing="0" w:after="0" w:afterAutospacing="0" w:line="276" w:lineRule="auto"/>
        <w:ind w:firstLine="703"/>
        <w:jc w:val="both"/>
        <w:textAlignment w:val="baseline"/>
        <w:rPr>
          <w:rFonts w:ascii="Verdana" w:hAnsi="Verdana" w:cs="Arial"/>
          <w:sz w:val="22"/>
          <w:szCs w:val="22"/>
          <w:lang w:eastAsia="es-ES_tradnl"/>
        </w:rPr>
      </w:pPr>
      <w:r w:rsidRPr="00380CA4">
        <w:rPr>
          <w:rFonts w:ascii="Verdana" w:hAnsi="Verdana" w:cs="Arial"/>
          <w:sz w:val="22"/>
          <w:szCs w:val="22"/>
          <w:lang w:eastAsia="es-ES_tradnl"/>
        </w:rPr>
        <w:t>Sin embargo, el procedimiento de adquisición de bienes inmuebles establecido en el Estatuto General de Contratación de la Administración Pública no resulta aplicable. Tal y como ha sido aclarado por esta Agencia, el procedimiento para la adquisición de bienes inmuebles con fines de utilidad pública e interés social se encuentra excluido de la aplicación de tal estatuto, por cuanto es un procedimiento regulado en un régimen especial y exceptuado.</w:t>
      </w:r>
      <w:bookmarkEnd w:id="14"/>
      <w:r w:rsidRPr="00380CA4">
        <w:rPr>
          <w:rFonts w:ascii="Verdana" w:hAnsi="Verdana" w:cs="Arial"/>
          <w:sz w:val="22"/>
          <w:szCs w:val="22"/>
          <w:lang w:eastAsia="es-ES_tradnl"/>
        </w:rPr>
        <w:t xml:space="preserve"> Al respecto, se reitera lo señalado por esta Agencia mediante Concepto C-159 de 2020, en los siguientes términos:</w:t>
      </w:r>
    </w:p>
    <w:p w14:paraId="57C23CFC" w14:textId="77777777" w:rsidR="00EF6139" w:rsidRPr="00380CA4" w:rsidRDefault="00EF6139" w:rsidP="00EF6139">
      <w:pPr>
        <w:pStyle w:val="paragraph"/>
        <w:shd w:val="clear" w:color="auto" w:fill="FFFFFF"/>
        <w:spacing w:before="0" w:beforeAutospacing="0" w:after="0" w:afterAutospacing="0" w:line="276" w:lineRule="auto"/>
        <w:ind w:firstLine="703"/>
        <w:jc w:val="both"/>
        <w:textAlignment w:val="baseline"/>
        <w:rPr>
          <w:rFonts w:ascii="Verdana" w:hAnsi="Verdana" w:cs="Arial"/>
          <w:sz w:val="22"/>
          <w:szCs w:val="22"/>
          <w:lang w:eastAsia="es-ES_tradnl"/>
        </w:rPr>
      </w:pPr>
    </w:p>
    <w:p w14:paraId="51AA754C" w14:textId="77777777" w:rsidR="00EF6139" w:rsidRPr="00380CA4" w:rsidRDefault="00EF6139" w:rsidP="00EF6139">
      <w:pPr>
        <w:spacing w:after="0" w:line="240" w:lineRule="auto"/>
        <w:ind w:left="708" w:right="709"/>
        <w:jc w:val="both"/>
        <w:rPr>
          <w:rFonts w:ascii="Verdana" w:eastAsia="Times New Roman" w:hAnsi="Verdana" w:cs="Arial"/>
          <w:sz w:val="20"/>
          <w:szCs w:val="20"/>
          <w:lang w:eastAsia="es-ES_tradnl"/>
        </w:rPr>
      </w:pPr>
      <w:r w:rsidRPr="00380CA4">
        <w:rPr>
          <w:rFonts w:ascii="Verdana" w:eastAsia="Calibri" w:hAnsi="Verdana" w:cs="Arial"/>
          <w:color w:val="000000" w:themeColor="text1"/>
          <w:sz w:val="20"/>
          <w:szCs w:val="20"/>
        </w:rPr>
        <w:t>“Al observar lo anterior y contrastarlo con la normativa de contratación pública, esta entidad concluyó que, a pesar de que la Ley 80 de 1993 regula los contratos de las entidades, la excepción a esta regla debe tener origen constitucional o legal, y por ello, en virtud de la especialidad del procedimiento, el trámite de enajenación voluntaria directa, al que se refiere la Ley 9 de 1989, modificada por la Ley 388 de 1997, no hace parte de la normativa de contratación pública, toda vez que si bien dicho trámite implica la celebración de un contrato de compraventa, ese contrato tiene origen o razón de ser en la declaración previa de los bienes de «utilidad pública o interés social» en los términos del artículo 58 de la Ley 388 de 1997”</w:t>
      </w:r>
      <w:r w:rsidRPr="00380CA4">
        <w:rPr>
          <w:rStyle w:val="Refdenotaalpie"/>
          <w:rFonts w:ascii="Verdana" w:eastAsia="Calibri" w:hAnsi="Verdana" w:cs="Arial"/>
          <w:color w:val="000000" w:themeColor="text1"/>
          <w:sz w:val="20"/>
          <w:szCs w:val="20"/>
        </w:rPr>
        <w:footnoteReference w:id="43"/>
      </w:r>
      <w:r w:rsidRPr="00380CA4">
        <w:rPr>
          <w:rFonts w:ascii="Verdana" w:eastAsia="Calibri" w:hAnsi="Verdana" w:cs="Arial"/>
          <w:color w:val="000000" w:themeColor="text1"/>
          <w:sz w:val="20"/>
          <w:szCs w:val="20"/>
        </w:rPr>
        <w:t>.</w:t>
      </w:r>
    </w:p>
    <w:p w14:paraId="1362D814" w14:textId="77777777" w:rsidR="00EF6139" w:rsidRPr="00380CA4" w:rsidRDefault="00EF6139" w:rsidP="00EF6139">
      <w:pPr>
        <w:spacing w:after="0" w:line="240" w:lineRule="auto"/>
        <w:jc w:val="both"/>
        <w:rPr>
          <w:rFonts w:ascii="Verdana" w:eastAsia="Times New Roman" w:hAnsi="Verdana" w:cs="Arial"/>
          <w:sz w:val="20"/>
          <w:szCs w:val="20"/>
          <w:lang w:eastAsia="es-ES_tradnl"/>
        </w:rPr>
      </w:pPr>
    </w:p>
    <w:p w14:paraId="52082738" w14:textId="77777777" w:rsidR="00EF6139" w:rsidRPr="00380CA4" w:rsidRDefault="00EF6139" w:rsidP="00EF6139">
      <w:pPr>
        <w:spacing w:after="120" w:line="276" w:lineRule="auto"/>
        <w:ind w:firstLine="708"/>
        <w:jc w:val="both"/>
        <w:rPr>
          <w:rFonts w:ascii="Verdana" w:eastAsia="Times New Roman" w:hAnsi="Verdana" w:cs="Arial"/>
          <w:lang w:eastAsia="es-ES_tradnl"/>
        </w:rPr>
      </w:pPr>
      <w:r w:rsidRPr="00380CA4">
        <w:rPr>
          <w:rFonts w:ascii="Verdana" w:eastAsia="Times New Roman" w:hAnsi="Verdana" w:cs="Arial"/>
          <w:lang w:eastAsia="es-ES_tradnl"/>
        </w:rPr>
        <w:t xml:space="preserve">En efecto, pese a que existe un régimen normativo aplicable de manera general a la contratación del Estado, el legislador ha establecido regímenes especiales para algunas entidades estatales en consideración a su actividad o para algunos contratos estatales </w:t>
      </w:r>
      <w:proofErr w:type="gramStart"/>
      <w:r w:rsidRPr="00380CA4">
        <w:rPr>
          <w:rFonts w:ascii="Verdana" w:eastAsia="Times New Roman" w:hAnsi="Verdana" w:cs="Arial"/>
          <w:lang w:eastAsia="es-ES_tradnl"/>
        </w:rPr>
        <w:t>en razón de</w:t>
      </w:r>
      <w:proofErr w:type="gramEnd"/>
      <w:r w:rsidRPr="00380CA4">
        <w:rPr>
          <w:rFonts w:ascii="Verdana" w:eastAsia="Times New Roman" w:hAnsi="Verdana" w:cs="Arial"/>
          <w:lang w:eastAsia="es-ES_tradnl"/>
        </w:rPr>
        <w:t xml:space="preserve"> su objeto, que contienen una serie de normas distintas o específicas que se aplican a la actividad contractual de tales entidades o en la celebración de dichos contratos, o simplemente remiten al Derecho privado. Por ende, no resultan aplicables aquellas materias reguladas por el citado Estatuto y las normas que lo modifiquen o adicionen, como, por ejemplo, los mecanismos de selección, las cláusulas excepcionales, la liquidación del contrato, entre otros, salvo que el régimen especial así lo autorice. </w:t>
      </w:r>
    </w:p>
    <w:p w14:paraId="1DD572C7" w14:textId="77777777" w:rsidR="00EF6139" w:rsidRPr="00380CA4" w:rsidRDefault="00EF6139" w:rsidP="00EF6139">
      <w:pPr>
        <w:spacing w:after="120" w:line="276" w:lineRule="auto"/>
        <w:ind w:firstLine="708"/>
        <w:jc w:val="both"/>
        <w:rPr>
          <w:rFonts w:ascii="Verdana" w:eastAsia="Times New Roman" w:hAnsi="Verdana" w:cs="Arial"/>
          <w:lang w:eastAsia="es-ES_tradnl"/>
        </w:rPr>
      </w:pPr>
      <w:r w:rsidRPr="00380CA4">
        <w:rPr>
          <w:rFonts w:ascii="Verdana" w:eastAsia="Times New Roman" w:hAnsi="Verdana" w:cs="Arial"/>
          <w:lang w:eastAsia="es-ES_tradnl"/>
        </w:rPr>
        <w:t xml:space="preserve">Sin embargo, no debe pasarse por alto que, al margen de su especialidad, el procedimiento administrativo </w:t>
      </w:r>
      <w:bookmarkStart w:id="16" w:name="_Hlk79133236"/>
      <w:r w:rsidRPr="00380CA4">
        <w:rPr>
          <w:rFonts w:ascii="Verdana" w:eastAsia="Times New Roman" w:hAnsi="Verdana" w:cs="Arial"/>
          <w:lang w:eastAsia="es-ES_tradnl"/>
        </w:rPr>
        <w:t xml:space="preserve">para la adquisición de inmuebles por utilidad </w:t>
      </w:r>
      <w:r w:rsidRPr="00380CA4">
        <w:rPr>
          <w:rFonts w:ascii="Verdana" w:eastAsia="Times New Roman" w:hAnsi="Verdana" w:cs="Arial"/>
          <w:lang w:eastAsia="es-ES_tradnl"/>
        </w:rPr>
        <w:lastRenderedPageBreak/>
        <w:t xml:space="preserve">pública e interés social mediante enajenación voluntaria, </w:t>
      </w:r>
      <w:bookmarkEnd w:id="16"/>
      <w:r w:rsidRPr="00380CA4">
        <w:rPr>
          <w:rFonts w:ascii="Verdana" w:eastAsia="Times New Roman" w:hAnsi="Verdana" w:cs="Arial"/>
          <w:lang w:eastAsia="es-ES_tradnl"/>
        </w:rPr>
        <w:t>implica el ejercicio de funciones administrativas, lo que, por ende, implica la aplicación de los principios de igualdad, moralidad, eficacia, economía, celeridad, imparcialidad y publicidad contenidos en el artículo 209 de la Constitución, varios de los cuales encuentran manifestaciones prácticas y concretas dentro de la regulación de las leyes 9 de 1989, 388 de 1997 y 1682 de 2013.</w:t>
      </w:r>
      <w:bookmarkStart w:id="17" w:name="_Hlk79760844"/>
      <w:r w:rsidRPr="00380CA4">
        <w:rPr>
          <w:rFonts w:ascii="Verdana" w:eastAsia="Times New Roman" w:hAnsi="Verdana" w:cs="Arial"/>
          <w:lang w:eastAsia="es-ES_tradnl"/>
        </w:rPr>
        <w:t xml:space="preserve"> Toda vez que a través de la adquisición de bienes inmuebles mediante enajenación directa se comprometen dineros provenientes del erario, resultan también aplicables los principios propios del Estado Social de Derecho y de la Administración pública como los principios de transparencia, publicidad entre otros.</w:t>
      </w:r>
    </w:p>
    <w:p w14:paraId="20A0F132" w14:textId="77777777" w:rsidR="00EF6139" w:rsidRPr="00C35A4D" w:rsidRDefault="00EF6139" w:rsidP="00EF6139">
      <w:pPr>
        <w:tabs>
          <w:tab w:val="left" w:pos="426"/>
        </w:tabs>
        <w:spacing w:after="120" w:line="276" w:lineRule="auto"/>
        <w:jc w:val="both"/>
        <w:rPr>
          <w:rFonts w:ascii="Verdana" w:eastAsia="Times New Roman" w:hAnsi="Verdana" w:cs="Arial"/>
          <w:lang w:eastAsia="es-ES_tradnl"/>
        </w:rPr>
      </w:pPr>
      <w:r w:rsidRPr="00380CA4">
        <w:rPr>
          <w:rFonts w:ascii="Verdana" w:eastAsia="Times New Roman" w:hAnsi="Verdana" w:cs="Arial"/>
          <w:lang w:eastAsia="es-ES_tradnl"/>
        </w:rPr>
        <w:tab/>
      </w:r>
      <w:r w:rsidRPr="00380CA4">
        <w:rPr>
          <w:rFonts w:ascii="Verdana" w:eastAsia="Times New Roman" w:hAnsi="Verdana" w:cs="Arial"/>
          <w:lang w:eastAsia="es-ES_tradnl"/>
        </w:rPr>
        <w:tab/>
        <w:t>En virtud de lo expuesto, la adquisición de los predios que se realice por enajenación voluntaria está sometida a un régimen especial de contratación. Sin embargo, como se explicó antes, esta culmina con la suscripción de un contrato de promesa de compraventa o de compraventa entre la entidad y la persona, con lo cual se trata de un procedimiento de contratación estatal no competitivo que está restringido por la prohibición establecida en el artículo 33 de la Ley 996 de 2005</w:t>
      </w:r>
      <w:bookmarkEnd w:id="17"/>
      <w:r w:rsidRPr="00380CA4">
        <w:rPr>
          <w:rFonts w:ascii="Verdana" w:eastAsia="Times New Roman" w:hAnsi="Verdana" w:cs="Arial"/>
          <w:lang w:eastAsia="es-ES_tradnl"/>
        </w:rPr>
        <w:t xml:space="preserve">. </w:t>
      </w:r>
      <w:r w:rsidRPr="00380CA4">
        <w:rPr>
          <w:rFonts w:ascii="Verdana" w:eastAsia="Times New Roman" w:hAnsi="Verdana" w:cs="Arial"/>
          <w:bCs/>
          <w:lang w:eastAsia="es-ES_tradnl"/>
        </w:rPr>
        <w:t xml:space="preserve">En tal sentido, se reitera que la restricción del artículo 33 de la Ley 996 de 2005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 Esto, sin perjuicio de las excepciones a la prohibición establecidas en el inciso segundo del mismo artículo 33, como son: i) la defensa y seguridad del Estado; </w:t>
      </w:r>
      <w:proofErr w:type="spellStart"/>
      <w:r w:rsidRPr="00380CA4">
        <w:rPr>
          <w:rFonts w:ascii="Verdana" w:eastAsia="Times New Roman" w:hAnsi="Verdana" w:cs="Arial"/>
          <w:bCs/>
          <w:lang w:eastAsia="es-ES_tradnl"/>
        </w:rPr>
        <w:t>ii</w:t>
      </w:r>
      <w:proofErr w:type="spellEnd"/>
      <w:r w:rsidRPr="00380CA4">
        <w:rPr>
          <w:rFonts w:ascii="Verdana" w:eastAsia="Times New Roman" w:hAnsi="Verdana" w:cs="Arial"/>
          <w:bCs/>
          <w:lang w:eastAsia="es-ES_tradnl"/>
        </w:rPr>
        <w:t xml:space="preserve">) los contratos de crédito público; </w:t>
      </w:r>
      <w:proofErr w:type="spellStart"/>
      <w:r w:rsidRPr="00380CA4">
        <w:rPr>
          <w:rFonts w:ascii="Verdana" w:eastAsia="Times New Roman" w:hAnsi="Verdana" w:cs="Arial"/>
          <w:bCs/>
          <w:lang w:eastAsia="es-ES_tradnl"/>
        </w:rPr>
        <w:t>iii</w:t>
      </w:r>
      <w:proofErr w:type="spellEnd"/>
      <w:r w:rsidRPr="00380CA4">
        <w:rPr>
          <w:rFonts w:ascii="Verdana" w:eastAsia="Times New Roman" w:hAnsi="Verdana" w:cs="Arial"/>
          <w:bCs/>
          <w:lang w:eastAsia="es-ES_tradnl"/>
        </w:rPr>
        <w:t xml:space="preserve">) los requeridos para cubrir las emergencias educativas, sanitarias y desastres; </w:t>
      </w:r>
      <w:proofErr w:type="spellStart"/>
      <w:r w:rsidRPr="00380CA4">
        <w:rPr>
          <w:rFonts w:ascii="Verdana" w:eastAsia="Times New Roman" w:hAnsi="Verdana" w:cs="Arial"/>
          <w:bCs/>
          <w:lang w:eastAsia="es-ES_tradnl"/>
        </w:rPr>
        <w:t>iv</w:t>
      </w:r>
      <w:proofErr w:type="spellEnd"/>
      <w:r w:rsidRPr="00380CA4">
        <w:rPr>
          <w:rFonts w:ascii="Verdana" w:eastAsia="Times New Roman" w:hAnsi="Verdana" w:cs="Arial"/>
          <w:bCs/>
          <w:lang w:eastAsia="es-ES_tradnl"/>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951C7C8" w14:textId="77777777" w:rsidR="00EF6139" w:rsidRPr="00380CA4" w:rsidRDefault="00EF6139" w:rsidP="00EF6139">
      <w:pPr>
        <w:tabs>
          <w:tab w:val="left" w:pos="426"/>
        </w:tabs>
        <w:spacing w:after="120" w:line="276" w:lineRule="auto"/>
        <w:jc w:val="both"/>
        <w:rPr>
          <w:rFonts w:ascii="Verdana" w:eastAsia="Times New Roman" w:hAnsi="Verdana" w:cs="Arial"/>
          <w:lang w:eastAsia="es-ES_tradnl"/>
        </w:rPr>
      </w:pPr>
      <w:r w:rsidRPr="00380CA4">
        <w:rPr>
          <w:rFonts w:ascii="Verdana" w:eastAsia="Times New Roman" w:hAnsi="Verdana" w:cs="Arial"/>
          <w:lang w:eastAsia="es-ES_tradnl"/>
        </w:rPr>
        <w:lastRenderedPageBreak/>
        <w:tab/>
      </w:r>
      <w:r w:rsidRPr="00380CA4">
        <w:rPr>
          <w:rFonts w:ascii="Verdana" w:eastAsia="Times New Roman" w:hAnsi="Verdana" w:cs="Arial"/>
          <w:lang w:eastAsia="es-ES_tradnl"/>
        </w:rPr>
        <w:tab/>
        <w:t xml:space="preserve">De igual forma, debe precisarse que la compraventa de inmuebles no corresponde a un convenio interadministrativo ni a una forma de asociación entre entidades públicas, por lo que no se enmarca en la prohibición del parágrafo del artículo 38, salvo que el proceso de adquisición predial sea instrumentado mediante la celebración de convenios interadministrativos que impliquen la ejecución de recursos públicos, caso en el cual sí aplica la citada prohibición. </w:t>
      </w:r>
    </w:p>
    <w:p w14:paraId="316A1B79" w14:textId="77777777" w:rsidR="00EF6139" w:rsidRPr="00380CA4" w:rsidRDefault="00EF6139" w:rsidP="00EF6139">
      <w:pPr>
        <w:tabs>
          <w:tab w:val="left" w:pos="426"/>
        </w:tabs>
        <w:spacing w:after="120" w:line="276" w:lineRule="auto"/>
        <w:jc w:val="both"/>
        <w:rPr>
          <w:rFonts w:ascii="Verdana" w:eastAsia="Times New Roman" w:hAnsi="Verdana" w:cs="Arial"/>
          <w:lang w:eastAsia="es-ES_tradnl"/>
        </w:rPr>
      </w:pPr>
      <w:r w:rsidRPr="00380CA4">
        <w:rPr>
          <w:rFonts w:ascii="Verdana" w:eastAsia="Times New Roman" w:hAnsi="Verdana" w:cs="Arial"/>
          <w:lang w:eastAsia="es-ES_tradnl"/>
        </w:rPr>
        <w:tab/>
      </w:r>
      <w:r w:rsidRPr="00380CA4">
        <w:rPr>
          <w:rFonts w:ascii="Verdana" w:eastAsia="Times New Roman" w:hAnsi="Verdana" w:cs="Arial"/>
          <w:lang w:eastAsia="es-ES_tradnl"/>
        </w:rPr>
        <w:tab/>
        <w:t xml:space="preserve">En contraste, cuando la adquisición de un bien se realiza mediante el procedimiento de expropiación administrativa, no se configura la celebración de un contrato, pues se trata de un acto </w:t>
      </w:r>
      <w:r>
        <w:rPr>
          <w:rFonts w:ascii="Verdana" w:eastAsia="Times New Roman" w:hAnsi="Verdana" w:cs="Arial"/>
          <w:lang w:eastAsia="es-ES_tradnl"/>
        </w:rPr>
        <w:t xml:space="preserve">administrativo </w:t>
      </w:r>
      <w:r w:rsidRPr="00380CA4">
        <w:rPr>
          <w:rFonts w:ascii="Verdana" w:eastAsia="Times New Roman" w:hAnsi="Verdana" w:cs="Arial"/>
          <w:lang w:eastAsia="es-ES_tradnl"/>
        </w:rPr>
        <w:t xml:space="preserve">sustentado en motivos de utilidad pública o interés social y en condiciones de urgencia previamente definidas por la ley. En este escenario, la transferencia de la propiedad se produce por decisión administrativa y no por acuerdo de voluntades, lo que implica que no se materializan las prohibiciones de contratación previstas en los artículos 33 y 38 de la Ley de Garantías Electorales. En consecuencia, la expropiación administrativa se mantiene como un mecanismo válido y procedente incluso durante el período de restricciones electorales, dado que su naturaleza jurídica la excluye de las limitaciones aplicables a los contratos estatales. </w:t>
      </w:r>
    </w:p>
    <w:bookmarkEnd w:id="11"/>
    <w:p w14:paraId="4EACC64D" w14:textId="77777777" w:rsidR="00EF6139" w:rsidRPr="00380CA4" w:rsidRDefault="00EF6139" w:rsidP="00EF6139">
      <w:pPr>
        <w:spacing w:after="120" w:line="276" w:lineRule="auto"/>
        <w:ind w:firstLine="709"/>
        <w:jc w:val="both"/>
        <w:rPr>
          <w:rFonts w:ascii="Verdana" w:eastAsia="Times New Roman" w:hAnsi="Verdana" w:cs="Arial"/>
          <w:bCs/>
          <w:lang w:eastAsia="x-none"/>
        </w:rPr>
      </w:pPr>
      <w:r w:rsidRPr="00380CA4">
        <w:rPr>
          <w:rFonts w:ascii="Verdana" w:eastAsia="Times New Roman" w:hAnsi="Verdana" w:cs="Arial"/>
          <w:bCs/>
          <w:lang w:eastAsia="x-none"/>
        </w:rPr>
        <w:t>En torno a la expropiación administrativa, es importante señalar que el artículo 63 de la Ley 388 de 1997</w:t>
      </w:r>
      <w:r w:rsidRPr="00380CA4">
        <w:rPr>
          <w:rFonts w:ascii="Verdana" w:eastAsia="Times New Roman" w:hAnsi="Verdana" w:cs="Arial"/>
          <w:bCs/>
          <w:vertAlign w:val="superscript"/>
          <w:lang w:eastAsia="x-none"/>
        </w:rPr>
        <w:footnoteReference w:id="44"/>
      </w:r>
      <w:r w:rsidRPr="00380CA4">
        <w:rPr>
          <w:rFonts w:ascii="Verdana" w:eastAsia="Times New Roman" w:hAnsi="Verdana" w:cs="Arial"/>
          <w:bCs/>
          <w:lang w:eastAsia="x-none"/>
        </w:rPr>
        <w:t xml:space="preserve"> establece que existen motivos de utilidad pública o de interés social para expropiar por vía administrativa terrenos e inmuebles cuando la autoridad competente determine condiciones especiales de urgencia, siempre que la finalidad corresponda a las señaladas en las literales a), b), c), d), e), h), j), k), l) y m) del artículo 58 de la misma ley. Asimismo, se considera motivo de utilidad pública la expropiación administrativa cuando el adquirente en pública subasta incumpla la función social de la propiedad respecto de los bienes objeto del procedimiento previsto en el capítulo VI de la ley.</w:t>
      </w:r>
    </w:p>
    <w:p w14:paraId="55404D8A" w14:textId="77777777" w:rsidR="00EF6139" w:rsidRPr="00380CA4" w:rsidRDefault="00EF6139" w:rsidP="00EF6139">
      <w:pPr>
        <w:spacing w:after="120" w:line="276" w:lineRule="auto"/>
        <w:ind w:firstLine="709"/>
        <w:jc w:val="both"/>
        <w:rPr>
          <w:rFonts w:ascii="Verdana" w:eastAsia="Times New Roman" w:hAnsi="Verdana" w:cs="Arial"/>
          <w:bCs/>
          <w:lang w:eastAsia="x-none"/>
        </w:rPr>
      </w:pPr>
      <w:r w:rsidRPr="00380CA4">
        <w:rPr>
          <w:rFonts w:ascii="Verdana" w:eastAsia="Times New Roman" w:hAnsi="Verdana" w:cs="Arial"/>
          <w:bCs/>
          <w:lang w:eastAsia="x-none"/>
        </w:rPr>
        <w:lastRenderedPageBreak/>
        <w:t xml:space="preserve">De acuerdo con el artículo 58 de la Ley 388 de 1997, las finalidades que justifican la expropiación administrativa son: i) la ejecución de proyectos de infraestructura social en sectores como salud, educación, recreación, centrales de abasto y seguridad ciudadana (literal a); </w:t>
      </w:r>
      <w:proofErr w:type="spellStart"/>
      <w:r w:rsidRPr="00380CA4">
        <w:rPr>
          <w:rFonts w:ascii="Verdana" w:eastAsia="Times New Roman" w:hAnsi="Verdana" w:cs="Arial"/>
          <w:bCs/>
          <w:lang w:eastAsia="x-none"/>
        </w:rPr>
        <w:t>ii</w:t>
      </w:r>
      <w:proofErr w:type="spellEnd"/>
      <w:r w:rsidRPr="00380CA4">
        <w:rPr>
          <w:rFonts w:ascii="Verdana" w:eastAsia="Times New Roman" w:hAnsi="Verdana" w:cs="Arial"/>
          <w:bCs/>
          <w:lang w:eastAsia="x-none"/>
        </w:rPr>
        <w:t xml:space="preserve">) el desarrollo de proyectos de vivienda de interés social, incluyendo la legalización de títulos en urbanizaciones de hecho o ilegales distintas a las previstas en el artículo 53 de la Ley 9ª de 1989, la rehabilitación de inquilinatos y la reubicación de asentamientos humanos en zonas de alto riesgo (literal b); </w:t>
      </w:r>
      <w:proofErr w:type="spellStart"/>
      <w:r w:rsidRPr="00380CA4">
        <w:rPr>
          <w:rFonts w:ascii="Verdana" w:eastAsia="Times New Roman" w:hAnsi="Verdana" w:cs="Arial"/>
          <w:bCs/>
          <w:lang w:eastAsia="x-none"/>
        </w:rPr>
        <w:t>iii</w:t>
      </w:r>
      <w:proofErr w:type="spellEnd"/>
      <w:r w:rsidRPr="00380CA4">
        <w:rPr>
          <w:rFonts w:ascii="Verdana" w:eastAsia="Times New Roman" w:hAnsi="Verdana" w:cs="Arial"/>
          <w:bCs/>
          <w:lang w:eastAsia="x-none"/>
        </w:rPr>
        <w:t xml:space="preserve">) la ejecución de programas y proyectos de renovación urbana y provisión de espacios públicos urbanos (literal c); </w:t>
      </w:r>
      <w:proofErr w:type="spellStart"/>
      <w:r w:rsidRPr="00380CA4">
        <w:rPr>
          <w:rFonts w:ascii="Verdana" w:eastAsia="Times New Roman" w:hAnsi="Verdana" w:cs="Arial"/>
          <w:bCs/>
          <w:lang w:eastAsia="x-none"/>
        </w:rPr>
        <w:t>iv</w:t>
      </w:r>
      <w:proofErr w:type="spellEnd"/>
      <w:r w:rsidRPr="00380CA4">
        <w:rPr>
          <w:rFonts w:ascii="Verdana" w:eastAsia="Times New Roman" w:hAnsi="Verdana" w:cs="Arial"/>
          <w:bCs/>
          <w:lang w:eastAsia="x-none"/>
        </w:rPr>
        <w:t xml:space="preserve">) la producción, ampliación, abastecimiento y distribución de servicios públicos domiciliarios (literal d); v) la construcción de infraestructura vial y sistemas de transporte masivo (literal e); vi) la preservación del patrimonio cultural y natural de interés nacional, regional y local, incluyendo el paisajístico, ambiental, histórico y arquitectónico (literal h); </w:t>
      </w:r>
      <w:proofErr w:type="spellStart"/>
      <w:r w:rsidRPr="00380CA4">
        <w:rPr>
          <w:rFonts w:ascii="Verdana" w:eastAsia="Times New Roman" w:hAnsi="Verdana" w:cs="Arial"/>
          <w:bCs/>
          <w:lang w:eastAsia="x-none"/>
        </w:rPr>
        <w:t>vii</w:t>
      </w:r>
      <w:proofErr w:type="spellEnd"/>
      <w:r w:rsidRPr="00380CA4">
        <w:rPr>
          <w:rFonts w:ascii="Verdana" w:eastAsia="Times New Roman" w:hAnsi="Verdana" w:cs="Arial"/>
          <w:bCs/>
          <w:lang w:eastAsia="x-none"/>
        </w:rPr>
        <w:t xml:space="preserve">) la constitución de zonas de reserva para la protección del medio ambiente y los recursos hídricos (literal j); </w:t>
      </w:r>
      <w:proofErr w:type="spellStart"/>
      <w:r w:rsidRPr="00380CA4">
        <w:rPr>
          <w:rFonts w:ascii="Verdana" w:eastAsia="Times New Roman" w:hAnsi="Verdana" w:cs="Arial"/>
          <w:bCs/>
          <w:lang w:eastAsia="x-none"/>
        </w:rPr>
        <w:t>viii</w:t>
      </w:r>
      <w:proofErr w:type="spellEnd"/>
      <w:r w:rsidRPr="00380CA4">
        <w:rPr>
          <w:rFonts w:ascii="Verdana" w:eastAsia="Times New Roman" w:hAnsi="Verdana" w:cs="Arial"/>
          <w:bCs/>
          <w:lang w:eastAsia="x-none"/>
        </w:rPr>
        <w:t xml:space="preserve">) la ejecución de proyectos de urbanización y construcción prioritarios previstos en los planes de ordenamiento territorial (literal k); y </w:t>
      </w:r>
      <w:proofErr w:type="spellStart"/>
      <w:r w:rsidRPr="00380CA4">
        <w:rPr>
          <w:rFonts w:ascii="Verdana" w:eastAsia="Times New Roman" w:hAnsi="Verdana" w:cs="Arial"/>
          <w:bCs/>
          <w:lang w:eastAsia="x-none"/>
        </w:rPr>
        <w:t>ix</w:t>
      </w:r>
      <w:proofErr w:type="spellEnd"/>
      <w:r w:rsidRPr="00380CA4">
        <w:rPr>
          <w:rFonts w:ascii="Verdana" w:eastAsia="Times New Roman" w:hAnsi="Verdana" w:cs="Arial"/>
          <w:bCs/>
          <w:lang w:eastAsia="x-none"/>
        </w:rPr>
        <w:t>) la realización de proyectos de urbanización, redesarrollo y renovación urbana mediante unidades de actuación, utilizando instrumentos como reajuste de tierras, integración inmobiliaria, cooperación u otros sistemas contemplados en la ley (literal l).</w:t>
      </w:r>
    </w:p>
    <w:p w14:paraId="1EEB919C" w14:textId="77777777" w:rsidR="00EF6139" w:rsidRPr="00380CA4" w:rsidRDefault="00EF6139" w:rsidP="00EF6139">
      <w:pPr>
        <w:spacing w:after="120" w:line="276" w:lineRule="auto"/>
        <w:ind w:firstLine="709"/>
        <w:jc w:val="both"/>
        <w:rPr>
          <w:rFonts w:ascii="Verdana" w:eastAsia="Times New Roman" w:hAnsi="Verdana" w:cs="Arial"/>
          <w:bCs/>
          <w:lang w:eastAsia="x-none"/>
        </w:rPr>
      </w:pPr>
      <w:r w:rsidRPr="00380CA4">
        <w:rPr>
          <w:rFonts w:ascii="Verdana" w:eastAsia="Times New Roman" w:hAnsi="Verdana" w:cs="Arial"/>
          <w:bCs/>
          <w:lang w:eastAsia="x-none"/>
        </w:rPr>
        <w:t>En todo caso, el artículo 64 de la Ley 388 de 1997 dispone que para la justificación de estas finalidades es necesario tener en cuenta las condiciones de urgencia que autorizan la expropiación administrativa, las cuales serán declaradas por la autoridad competente, según lo defina el concejo municipal o distrital, o la junta metropolitana, según el caso, mediante acuerdo. En este sentido, El artículo 65 de la Ley 388 de 1997 señala que las condiciones de urgencia para la declaratoria de utilidad pública o interés social se refieren exclusivamente a cuatro criterios: prevenir la elevación excesiva de los precios de los inmuebles conforme a los parámetros fijados por el Gobierno Nacional; atender el carácter inaplazable de las soluciones que requieren el uso del instrumento expropiatorio; evitar las consecuencias negativas para la comunidad derivadas de una dilación excesiva en la ejecución de planes, programas, proyectos u obras; y dar prioridad a las actividades que, según los planes y programas de la entidad territorial o metropolitana correspondiente, demandan la utilización del sistema de expropiación.</w:t>
      </w:r>
    </w:p>
    <w:p w14:paraId="4E3DC56B" w14:textId="77777777" w:rsidR="00EF6139" w:rsidRPr="00380CA4" w:rsidRDefault="00EF6139" w:rsidP="00EF6139">
      <w:pPr>
        <w:spacing w:after="0" w:line="276" w:lineRule="auto"/>
        <w:ind w:firstLine="709"/>
        <w:jc w:val="both"/>
        <w:rPr>
          <w:rFonts w:ascii="Verdana" w:eastAsia="Times New Roman" w:hAnsi="Verdana" w:cs="Arial"/>
          <w:bCs/>
          <w:lang w:eastAsia="x-none"/>
        </w:rPr>
      </w:pPr>
      <w:r w:rsidRPr="00380CA4">
        <w:rPr>
          <w:rFonts w:ascii="Verdana" w:eastAsia="Times New Roman" w:hAnsi="Verdana" w:cs="Arial"/>
          <w:bCs/>
          <w:lang w:eastAsia="x-none"/>
        </w:rPr>
        <w:lastRenderedPageBreak/>
        <w:t>De esta manera, es procedente en el período de Ley de Garantías Electorales el uso de la expropiación administrativa por utilidad pública o por interés social, sujetándose a las condiciones y los criterios para la declaratoria de urgencia prescritas en los artículos 63 y 64 de la Ley 388 de 1997, así como las finalidades enunciadas en los literales a), b), c), d), e), h), j), k), l) y m) del artículo 58 de la misma ley.</w:t>
      </w:r>
      <w:r w:rsidRPr="00380CA4">
        <w:rPr>
          <w:rFonts w:ascii="Verdana" w:hAnsi="Verdana"/>
        </w:rPr>
        <w:t xml:space="preserve"> En esta línea</w:t>
      </w:r>
      <w:r w:rsidRPr="00380CA4">
        <w:rPr>
          <w:rFonts w:ascii="Verdana" w:eastAsia="Times New Roman" w:hAnsi="Verdana" w:cs="Arial"/>
          <w:bCs/>
          <w:lang w:eastAsia="x-none"/>
        </w:rPr>
        <w:t>, se garantiza que el uso del instrumento expropiatorio se ajuste a los objetivos de ordenamiento territorial y desarrollo urbano previstos por la normativa, incluso dentro del período de restricciones electorales.</w:t>
      </w:r>
    </w:p>
    <w:p w14:paraId="32CB791B" w14:textId="77777777" w:rsidR="00EF6139" w:rsidRDefault="00EF6139" w:rsidP="00EF6139">
      <w:pPr>
        <w:spacing w:after="120" w:line="276" w:lineRule="auto"/>
        <w:jc w:val="both"/>
        <w:rPr>
          <w:rFonts w:ascii="Verdana" w:eastAsia="Times New Roman" w:hAnsi="Verdana" w:cs="Arial"/>
          <w:color w:val="000000"/>
          <w:lang w:eastAsia="es-ES"/>
        </w:rPr>
      </w:pPr>
    </w:p>
    <w:p w14:paraId="42F1D57A" w14:textId="77777777" w:rsidR="00EF6139" w:rsidRPr="0004207F" w:rsidRDefault="00EF6139" w:rsidP="00EF6139">
      <w:pPr>
        <w:spacing w:line="276" w:lineRule="auto"/>
        <w:jc w:val="both"/>
        <w:rPr>
          <w:rFonts w:ascii="Verdana" w:hAnsi="Verdana" w:cs="Arial"/>
          <w:bCs/>
          <w:lang w:val="es-MX" w:eastAsia="x-none"/>
        </w:rPr>
      </w:pPr>
      <w:r>
        <w:rPr>
          <w:rFonts w:ascii="Verdana" w:eastAsia="Times New Roman" w:hAnsi="Verdana" w:cs="Arial"/>
          <w:color w:val="000000"/>
          <w:lang w:eastAsia="es-ES"/>
        </w:rPr>
        <w:t xml:space="preserve">vi. </w:t>
      </w:r>
      <w:r w:rsidRPr="0004207F">
        <w:rPr>
          <w:rFonts w:ascii="Verdana" w:hAnsi="Verdana" w:cs="Arial"/>
          <w:bCs/>
          <w:lang w:val="es-MX" w:eastAsia="x-none"/>
        </w:rPr>
        <w:t>Es importante reiterar</w:t>
      </w:r>
      <w:r>
        <w:rPr>
          <w:rFonts w:ascii="Verdana" w:hAnsi="Verdana" w:cs="Arial"/>
          <w:bCs/>
          <w:lang w:val="es-MX" w:eastAsia="x-none"/>
        </w:rPr>
        <w:t xml:space="preserve"> de lo expuesto en las consideraciones anteriores,</w:t>
      </w:r>
      <w:r w:rsidRPr="0004207F">
        <w:rPr>
          <w:rFonts w:ascii="Verdana" w:hAnsi="Verdana" w:cs="Arial"/>
          <w:bCs/>
          <w:lang w:val="es-MX" w:eastAsia="x-none"/>
        </w:rPr>
        <w:t xml:space="preserve">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 Las excepciones establecidas en los artículos 32 y 33 en comento, guardan relación, exclusivamente, con algunos servicios públicos que por su naturaleza no admiten postergaciones en la atención de sus necesidades de personal, bienes y servicios [...]”</w:t>
      </w:r>
      <w:r w:rsidRPr="0004207F">
        <w:rPr>
          <w:rStyle w:val="Refdenotaalpie"/>
          <w:rFonts w:ascii="Verdana" w:hAnsi="Verdana" w:cs="Arial"/>
          <w:lang w:val="es-ES_tradnl" w:eastAsia="es-CO"/>
        </w:rPr>
        <w:footnoteReference w:id="45"/>
      </w:r>
      <w:r w:rsidRPr="0004207F">
        <w:rPr>
          <w:rFonts w:ascii="Verdana" w:hAnsi="Verdana" w:cs="Arial"/>
          <w:bCs/>
          <w:lang w:val="es-MX" w:eastAsia="x-none"/>
        </w:rPr>
        <w:t>.</w:t>
      </w:r>
    </w:p>
    <w:p w14:paraId="52978CE6" w14:textId="77777777" w:rsidR="00EF6139" w:rsidRPr="0004207F" w:rsidRDefault="00EF6139" w:rsidP="00EF6139">
      <w:pPr>
        <w:shd w:val="clear" w:color="auto" w:fill="FFFFFF" w:themeFill="background1"/>
        <w:spacing w:line="276" w:lineRule="auto"/>
        <w:ind w:firstLine="709"/>
        <w:jc w:val="both"/>
        <w:rPr>
          <w:rFonts w:ascii="Verdana" w:hAnsi="Verdana" w:cs="Arial"/>
          <w:lang w:val="es-ES" w:eastAsia="es-CO"/>
        </w:rPr>
      </w:pPr>
      <w:r w:rsidRPr="2F78DACE">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2F78DACE">
        <w:rPr>
          <w:rFonts w:ascii="Verdana" w:hAnsi="Verdana" w:cs="Arial"/>
          <w:lang w:val="es-ES" w:eastAsia="es-CO"/>
        </w:rPr>
        <w:t>exequibilidad</w:t>
      </w:r>
      <w:proofErr w:type="spellEnd"/>
      <w:r w:rsidRPr="2F78DACE">
        <w:rPr>
          <w:rFonts w:ascii="Verdana" w:hAnsi="Verdana" w:cs="Arial"/>
          <w:lang w:val="es-ES" w:eastAsia="es-CO"/>
        </w:rPr>
        <w:t>.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2F78DACE">
        <w:rPr>
          <w:rStyle w:val="Refdenotaalpie"/>
          <w:rFonts w:ascii="Verdana" w:hAnsi="Verdana" w:cs="Arial"/>
          <w:lang w:val="es-ES" w:eastAsia="es-CO"/>
        </w:rPr>
        <w:footnoteReference w:id="46"/>
      </w:r>
      <w:r w:rsidRPr="2F78DACE">
        <w:rPr>
          <w:rFonts w:ascii="Verdana" w:hAnsi="Verdana" w:cs="Arial"/>
          <w:lang w:val="es-ES" w:eastAsia="es-CO"/>
        </w:rPr>
        <w:t xml:space="preserve">. </w:t>
      </w:r>
    </w:p>
    <w:p w14:paraId="1B053CC2" w14:textId="77777777" w:rsidR="00EF6139" w:rsidRPr="0004207F" w:rsidRDefault="00EF6139" w:rsidP="00EF6139">
      <w:pPr>
        <w:shd w:val="clear" w:color="auto" w:fill="FFFFFF"/>
        <w:spacing w:line="276" w:lineRule="auto"/>
        <w:ind w:firstLine="709"/>
        <w:jc w:val="both"/>
        <w:rPr>
          <w:rFonts w:ascii="Verdana" w:hAnsi="Verdana" w:cs="Arial"/>
          <w:lang w:val="es-ES_tradnl" w:eastAsia="es-CO"/>
        </w:rPr>
      </w:pPr>
      <w:r w:rsidRPr="0004207F">
        <w:rPr>
          <w:rFonts w:ascii="Verdana" w:hAnsi="Verdana" w:cs="Arial"/>
          <w:bCs/>
          <w:lang w:val="es-ES_tradnl"/>
        </w:rPr>
        <w:t xml:space="preserve">Por tanto, las excepciones a la prohibición contenida en el inciso segundo de artículo 33 de la ley de garantías electorales tienen por finalidad garantizar la prestación ininterrumpida de algunos servicios públicos que, dada su </w:t>
      </w:r>
      <w:r w:rsidRPr="0004207F">
        <w:rPr>
          <w:rFonts w:ascii="Verdana" w:hAnsi="Verdana" w:cs="Arial"/>
          <w:bCs/>
          <w:lang w:val="es-ES_tradnl"/>
        </w:rPr>
        <w:lastRenderedPageBreak/>
        <w:t>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32F892DA" w14:textId="77777777" w:rsidR="00EF6139" w:rsidRPr="0004207F" w:rsidRDefault="00EF6139" w:rsidP="00EF6139">
      <w:pPr>
        <w:spacing w:line="276" w:lineRule="auto"/>
        <w:ind w:firstLine="708"/>
        <w:jc w:val="both"/>
        <w:rPr>
          <w:rFonts w:ascii="Verdana" w:eastAsia="Calibri" w:hAnsi="Verdana" w:cs="Arial"/>
        </w:rPr>
      </w:pPr>
      <w:r w:rsidRPr="0004207F">
        <w:rPr>
          <w:rFonts w:ascii="Verdana" w:hAnsi="Verdana" w:cs="Arial"/>
          <w:bCs/>
          <w:lang w:val="es-MX" w:eastAsia="x-none"/>
        </w:rPr>
        <w:t>Entre las excepciones del artículo en comento se encuentran “[…] l</w:t>
      </w:r>
      <w:r w:rsidRPr="0004207F">
        <w:rPr>
          <w:rFonts w:ascii="Verdana" w:hAnsi="Verdana" w:cs="Arial"/>
          <w:bCs/>
          <w:lang w:eastAsia="x-none"/>
        </w:rPr>
        <w:t>os requeridos para cubrir las emergencias educativas, sanitarias y desastres […]</w:t>
      </w:r>
      <w:r>
        <w:rPr>
          <w:rFonts w:ascii="Verdana" w:hAnsi="Verdana" w:cs="Arial"/>
          <w:bCs/>
          <w:lang w:eastAsia="x-none"/>
        </w:rPr>
        <w:t xml:space="preserve"> </w:t>
      </w:r>
      <w:r w:rsidRPr="008A0D3F">
        <w:rPr>
          <w:rFonts w:ascii="Verdana" w:hAnsi="Verdana" w:cs="Arial"/>
          <w:bCs/>
          <w:lang w:eastAsia="x-none"/>
        </w:rPr>
        <w:t>desastres na</w:t>
      </w:r>
      <w:r>
        <w:rPr>
          <w:rFonts w:ascii="Verdana" w:hAnsi="Verdana" w:cs="Arial"/>
          <w:bCs/>
          <w:lang w:eastAsia="x-none"/>
        </w:rPr>
        <w:t>turales o casos de fuerza mayor […]</w:t>
      </w:r>
      <w:r w:rsidRPr="0004207F">
        <w:rPr>
          <w:rFonts w:ascii="Verdana" w:hAnsi="Verdana" w:cs="Arial"/>
          <w:bCs/>
          <w:lang w:val="es-MX" w:eastAsia="x-none"/>
        </w:rPr>
        <w:t>”</w:t>
      </w:r>
      <w:r w:rsidRPr="0004207F">
        <w:rPr>
          <w:rFonts w:ascii="Verdana" w:eastAsia="Calibri" w:hAnsi="Verdana" w:cs="Arial"/>
        </w:rPr>
        <w:t xml:space="preserve">. Sobre el alcance de estas excepciones, es necesario tener en cuenta que el </w:t>
      </w:r>
      <w:r w:rsidRPr="0004207F">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04207F">
        <w:rPr>
          <w:rFonts w:ascii="Verdana" w:eastAsia="Calibri" w:hAnsi="Verdana" w:cs="Arial"/>
          <w:bCs/>
          <w:i/>
          <w:iCs/>
          <w:color w:val="000000" w:themeColor="text1"/>
        </w:rPr>
        <w:t>ibidem</w:t>
      </w:r>
      <w:r w:rsidRPr="0004207F">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04207F">
        <w:rPr>
          <w:rStyle w:val="Refdenotaalpie"/>
          <w:rFonts w:ascii="Verdana" w:eastAsia="Calibri" w:hAnsi="Verdana" w:cs="Arial"/>
          <w:bCs/>
          <w:color w:val="000000" w:themeColor="text1"/>
        </w:rPr>
        <w:footnoteReference w:id="47"/>
      </w:r>
      <w:r w:rsidRPr="0004207F">
        <w:rPr>
          <w:rFonts w:ascii="Verdana" w:eastAsia="Calibri" w:hAnsi="Verdana" w:cs="Arial"/>
          <w:bCs/>
          <w:color w:val="000000" w:themeColor="text1"/>
        </w:rPr>
        <w:t>.</w:t>
      </w:r>
    </w:p>
    <w:p w14:paraId="05268DC4" w14:textId="77777777" w:rsidR="00EF6139" w:rsidRPr="00AB6523" w:rsidRDefault="00EF6139" w:rsidP="00EF6139">
      <w:pPr>
        <w:spacing w:line="276" w:lineRule="auto"/>
        <w:jc w:val="both"/>
        <w:rPr>
          <w:rFonts w:ascii="Verdana" w:eastAsia="Calibri" w:hAnsi="Verdana" w:cs="Arial"/>
          <w:bCs/>
          <w:color w:val="000000" w:themeColor="text1"/>
        </w:rPr>
      </w:pPr>
      <w:r w:rsidRPr="0004207F">
        <w:rPr>
          <w:rFonts w:ascii="Verdana" w:eastAsia="Calibri" w:hAnsi="Verdana" w:cs="Arial"/>
          <w:bCs/>
          <w:color w:val="000000" w:themeColor="text1"/>
        </w:rPr>
        <w:tab/>
        <w:t>Dentro de este marco</w:t>
      </w:r>
      <w:r>
        <w:rPr>
          <w:rFonts w:ascii="Verdana" w:eastAsia="Calibri" w:hAnsi="Verdana" w:cs="Arial"/>
          <w:bCs/>
          <w:color w:val="000000" w:themeColor="text1"/>
        </w:rPr>
        <w:t xml:space="preserve">, </w:t>
      </w:r>
      <w:r>
        <w:rPr>
          <w:rFonts w:ascii="Verdana" w:eastAsia="Calibri" w:hAnsi="Verdana" w:cs="Arial"/>
          <w:lang w:val="es-ES"/>
        </w:rPr>
        <w:t>e</w:t>
      </w:r>
      <w:r w:rsidRPr="3683B926">
        <w:rPr>
          <w:rFonts w:ascii="Verdana" w:eastAsia="Calibri" w:hAnsi="Verdana" w:cs="Arial"/>
          <w:lang w:val="es-ES"/>
        </w:rPr>
        <w:t>l artículo 42 de la Ley 80 de 1993 dispone que la urgencia manifiesta se declara, entre otras tres (3) circunstancias, con la finalidad de “[…] conjurar situaciones excepcionales relacionadas con hechos de calamidad o constitutivos de fuerza mayor o desastre que demanden actuaciones inmediatas […]”.</w:t>
      </w:r>
      <w:r>
        <w:rPr>
          <w:rFonts w:ascii="Verdana" w:eastAsia="Calibri" w:hAnsi="Verdana" w:cs="Arial"/>
          <w:lang w:val="es-ES"/>
        </w:rPr>
        <w:t xml:space="preserve"> E</w:t>
      </w:r>
      <w:r w:rsidRPr="3683B926">
        <w:rPr>
          <w:rFonts w:ascii="Verdana" w:eastAsia="Calibri" w:hAnsi="Verdana" w:cs="Arial"/>
          <w:lang w:val="es-ES"/>
        </w:rPr>
        <w:t xml:space="preserve">n la medida en que la norma utiliza la conjunción “o”, en principio asimilaría la </w:t>
      </w:r>
      <w:r w:rsidRPr="3683B926">
        <w:rPr>
          <w:rFonts w:ascii="Verdana" w:eastAsia="Calibri" w:hAnsi="Verdana" w:cs="Arial"/>
          <w:i/>
          <w:lang w:val="es-ES"/>
        </w:rPr>
        <w:t>calamidad</w:t>
      </w:r>
      <w:r w:rsidRPr="3683B926">
        <w:rPr>
          <w:rFonts w:ascii="Verdana" w:eastAsia="Calibri" w:hAnsi="Verdana" w:cs="Arial"/>
          <w:lang w:val="es-ES"/>
        </w:rPr>
        <w:t xml:space="preserve"> y el </w:t>
      </w:r>
      <w:r w:rsidRPr="3683B926">
        <w:rPr>
          <w:rFonts w:ascii="Verdana" w:eastAsia="Calibri" w:hAnsi="Verdana" w:cs="Arial"/>
          <w:i/>
          <w:lang w:val="es-ES"/>
        </w:rPr>
        <w:t xml:space="preserve">desastre </w:t>
      </w:r>
      <w:r w:rsidRPr="3683B926">
        <w:rPr>
          <w:rFonts w:ascii="Verdana" w:eastAsia="Calibri" w:hAnsi="Verdana" w:cs="Arial"/>
          <w:lang w:val="es-ES"/>
        </w:rPr>
        <w:t xml:space="preserve">con la </w:t>
      </w:r>
      <w:r w:rsidRPr="3683B926">
        <w:rPr>
          <w:rFonts w:ascii="Verdana" w:eastAsia="Calibri" w:hAnsi="Verdana" w:cs="Arial"/>
          <w:i/>
          <w:lang w:val="es-ES"/>
        </w:rPr>
        <w:t>fuerza mayor</w:t>
      </w:r>
      <w:r w:rsidRPr="3683B926">
        <w:rPr>
          <w:rFonts w:ascii="Verdana" w:eastAsia="Calibri" w:hAnsi="Verdana" w:cs="Arial"/>
          <w:lang w:val="es-ES"/>
        </w:rPr>
        <w:t xml:space="preserve"> o el </w:t>
      </w:r>
      <w:r w:rsidRPr="3683B926">
        <w:rPr>
          <w:rFonts w:ascii="Verdana" w:eastAsia="Calibri" w:hAnsi="Verdana" w:cs="Arial"/>
          <w:i/>
          <w:lang w:val="es-ES"/>
        </w:rPr>
        <w:t>caso fortuito</w:t>
      </w:r>
      <w:r w:rsidRPr="3683B926">
        <w:rPr>
          <w:rFonts w:ascii="Verdana" w:eastAsia="Calibri" w:hAnsi="Verdana" w:cs="Arial"/>
          <w:lang w:val="es-ES"/>
        </w:rPr>
        <w:t xml:space="preserve">. </w:t>
      </w:r>
    </w:p>
    <w:p w14:paraId="33194024" w14:textId="77777777" w:rsidR="00EF6139" w:rsidRPr="00D93A6C" w:rsidRDefault="00EF6139" w:rsidP="00EF6139">
      <w:pPr>
        <w:spacing w:after="0" w:line="276" w:lineRule="auto"/>
        <w:ind w:firstLine="708"/>
        <w:jc w:val="both"/>
        <w:rPr>
          <w:rFonts w:ascii="Verdana" w:eastAsia="Calibri" w:hAnsi="Verdana" w:cs="Arial"/>
          <w:lang w:val="es-ES_tradnl"/>
        </w:rPr>
      </w:pPr>
      <w:r w:rsidRPr="00D93A6C">
        <w:rPr>
          <w:rFonts w:ascii="Verdana" w:eastAsia="Calibri" w:hAnsi="Verdana" w:cs="Arial"/>
          <w:lang w:val="es-ES_tradnl"/>
        </w:rPr>
        <w:lastRenderedPageBreak/>
        <w:t xml:space="preserve">Al respecto, el artículo 64 del Código Civil define como tal “[…] el imprevisto o que no es posible resistir, como un naufragio, un terremoto, </w:t>
      </w:r>
      <w:bookmarkStart w:id="19" w:name="_Hlk35871146"/>
      <w:r w:rsidRPr="00D93A6C">
        <w:rPr>
          <w:rFonts w:ascii="Verdana" w:eastAsia="Calibri" w:hAnsi="Verdana" w:cs="Arial"/>
          <w:lang w:val="es-ES_tradnl"/>
        </w:rPr>
        <w:t>el apresamiento de enemigos, los actos de autoridad ejercidos por un funcionario público</w:t>
      </w:r>
      <w:bookmarkEnd w:id="19"/>
      <w:r w:rsidRPr="00D93A6C">
        <w:rPr>
          <w:rFonts w:ascii="Verdana" w:eastAsia="Calibri" w:hAnsi="Verdana" w:cs="Arial"/>
          <w:lang w:val="es-ES_tradnl"/>
        </w:rPr>
        <w:t>, etc.”</w:t>
      </w:r>
      <w:r w:rsidRPr="00D93A6C">
        <w:rPr>
          <w:rFonts w:ascii="Verdana" w:eastAsia="Calibri" w:hAnsi="Verdana" w:cs="Arial"/>
          <w:sz w:val="21"/>
          <w:szCs w:val="21"/>
          <w:vertAlign w:val="superscript"/>
          <w:lang w:val="es-ES_tradnl"/>
        </w:rPr>
        <w:footnoteReference w:id="48"/>
      </w:r>
      <w:r w:rsidRPr="00D93A6C">
        <w:rPr>
          <w:rFonts w:ascii="Verdana" w:eastAsia="Calibri" w:hAnsi="Verdana" w:cs="Arial"/>
          <w:sz w:val="21"/>
          <w:szCs w:val="21"/>
          <w:lang w:val="es-ES_tradnl"/>
        </w:rPr>
        <w:t>.</w:t>
      </w:r>
      <w:r w:rsidRPr="00D93A6C">
        <w:rPr>
          <w:rFonts w:ascii="Verdana" w:eastAsia="Calibri" w:hAnsi="Verdana" w:cs="Arial"/>
          <w:lang w:val="es-ES_tradnl"/>
        </w:rPr>
        <w:t xml:space="preserve"> Cuando provienen de fenómenos de la naturaleza estas características confluyen con los conceptos de desastre y calamidad, los cuales –conforme al Diccionario de la Real Academia Española– constituyen una “Desgracia grande, suceso infeliz y lamentable” o “Desgracia o infortunio que alcanza a muchas personas”, respectivamente. Conforme al significado natural de las palabras, parece que la diferencia es el mayor alcance de la segunda respecto al primero. No obstante, además de la ocurrencia de desastres y calamidades que –aunque irresistibles– se presentan con cierto grado de previsibilidad o que, incluso, se originan en la actuación humana intencional, estos dos conceptos también los definió </w:t>
      </w:r>
      <w:bookmarkStart w:id="20" w:name="_Hlk35879271"/>
      <w:r w:rsidRPr="00D93A6C">
        <w:rPr>
          <w:rFonts w:ascii="Verdana" w:eastAsia="Calibri" w:hAnsi="Verdana" w:cs="Arial"/>
          <w:lang w:val="es-ES_tradnl"/>
        </w:rPr>
        <w:t>el artículo 4, numerales 5 y 8, de la Ley 1523 de 2012</w:t>
      </w:r>
      <w:bookmarkEnd w:id="20"/>
      <w:r w:rsidRPr="00D93A6C">
        <w:rPr>
          <w:rFonts w:ascii="Verdana" w:eastAsia="Calibri" w:hAnsi="Verdana" w:cs="Arial"/>
          <w:lang w:val="es-ES_tradnl"/>
        </w:rPr>
        <w:t>:</w:t>
      </w:r>
    </w:p>
    <w:p w14:paraId="6ABE77CC" w14:textId="77777777" w:rsidR="00EF6139" w:rsidRPr="00D93A6C" w:rsidRDefault="00EF6139" w:rsidP="00EF6139">
      <w:pPr>
        <w:spacing w:after="0" w:line="276" w:lineRule="auto"/>
        <w:ind w:firstLine="708"/>
        <w:jc w:val="both"/>
        <w:rPr>
          <w:rFonts w:ascii="Verdana" w:eastAsia="Calibri" w:hAnsi="Verdana" w:cs="Arial"/>
          <w:lang w:val="es-ES_tradnl"/>
        </w:rPr>
      </w:pPr>
    </w:p>
    <w:p w14:paraId="2806BB55" w14:textId="77777777" w:rsidR="00EF6139" w:rsidRPr="00DB5641" w:rsidRDefault="00EF6139" w:rsidP="00EF6139">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“Art. 4. Para efectos de la presente ley se entenderá por:</w:t>
      </w:r>
    </w:p>
    <w:p w14:paraId="254D66C6" w14:textId="77777777" w:rsidR="00EF6139" w:rsidRPr="00DB5641" w:rsidRDefault="00EF6139" w:rsidP="00EF6139">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w:t>
      </w:r>
    </w:p>
    <w:p w14:paraId="256C8AEE" w14:textId="77777777" w:rsidR="00EF6139" w:rsidRPr="00DB5641" w:rsidRDefault="00EF6139" w:rsidP="00EF6139">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5. Calamidad pública: Es </w:t>
      </w:r>
      <w:bookmarkStart w:id="21" w:name="_Hlk35879333"/>
      <w:r w:rsidRPr="00DB5641">
        <w:rPr>
          <w:rFonts w:ascii="Verdana" w:eastAsia="Calibri" w:hAnsi="Verdana" w:cs="Arial"/>
          <w:sz w:val="20"/>
          <w:szCs w:val="20"/>
          <w:lang w:val="es-ES_tradnl"/>
        </w:rPr>
        <w:t xml:space="preserve">el resultado que se desencadena de la manifestación de uno o varios eventos naturales </w:t>
      </w:r>
      <w:bookmarkStart w:id="22" w:name="_Hlk35870820"/>
      <w:r w:rsidRPr="00DB5641">
        <w:rPr>
          <w:rFonts w:ascii="Verdana" w:eastAsia="Calibri" w:hAnsi="Verdana" w:cs="Arial"/>
          <w:sz w:val="20"/>
          <w:szCs w:val="20"/>
          <w:lang w:val="es-ES_tradnl"/>
        </w:rPr>
        <w:t xml:space="preserve">o antropogénicos no intencionales </w:t>
      </w:r>
      <w:bookmarkEnd w:id="22"/>
      <w:r w:rsidRPr="00DB5641">
        <w:rPr>
          <w:rFonts w:ascii="Verdana" w:eastAsia="Calibri" w:hAnsi="Verdana" w:cs="Arial"/>
          <w:sz w:val="20"/>
          <w:szCs w:val="20"/>
          <w:lang w:val="es-ES_tradnl"/>
        </w:rPr>
        <w:t xml:space="preserve">que al encontrar condiciones propicias de vulnerabilidad en las personas, los bienes, la infraestructura, los medios de subsistencia, la prestación de servicios o los recursos ambientales, causa daños o pérdidas </w:t>
      </w:r>
      <w:r w:rsidRPr="00DB5641">
        <w:rPr>
          <w:rFonts w:ascii="Verdana" w:eastAsia="Calibri" w:hAnsi="Verdana" w:cs="Arial"/>
          <w:sz w:val="20"/>
          <w:szCs w:val="20"/>
          <w:lang w:val="es-ES_tradnl"/>
        </w:rPr>
        <w:lastRenderedPageBreak/>
        <w:t xml:space="preserve">humanas, materiales, económicas o ambientales, generando una alteración intensa, grave y extendida en las condiciones normales de funcionamiento </w:t>
      </w:r>
      <w:bookmarkEnd w:id="21"/>
      <w:r w:rsidRPr="00DB5641">
        <w:rPr>
          <w:rFonts w:ascii="Verdana" w:eastAsia="Calibri" w:hAnsi="Verdana" w:cs="Arial"/>
          <w:sz w:val="20"/>
          <w:szCs w:val="20"/>
          <w:lang w:val="es-ES_tradnl"/>
        </w:rPr>
        <w:t>de la población, en el respectivo territorio, que exige al municipio, distrito o departamento ejecutar acciones de respuesta a la emergencia, rehabilitación y reconstrucción.</w:t>
      </w:r>
    </w:p>
    <w:p w14:paraId="501A8D7F" w14:textId="77777777" w:rsidR="00EF6139" w:rsidRPr="00DB5641" w:rsidRDefault="00EF6139" w:rsidP="00EF6139">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 </w:t>
      </w:r>
    </w:p>
    <w:p w14:paraId="25B33474" w14:textId="77777777" w:rsidR="00EF6139" w:rsidRPr="00D93A6C" w:rsidRDefault="00EF6139" w:rsidP="00EF6139">
      <w:pPr>
        <w:spacing w:after="0" w:line="240" w:lineRule="auto"/>
        <w:ind w:left="709" w:right="709"/>
        <w:jc w:val="both"/>
        <w:rPr>
          <w:rFonts w:ascii="Verdana" w:eastAsia="Calibri" w:hAnsi="Verdana" w:cs="Arial"/>
          <w:lang w:val="es-ES_tradnl"/>
        </w:rPr>
      </w:pPr>
      <w:r w:rsidRPr="00DB5641">
        <w:rPr>
          <w:rFonts w:ascii="Verdana" w:eastAsia="Calibri" w:hAnsi="Verdana" w:cs="Arial"/>
          <w:sz w:val="20"/>
          <w:szCs w:val="20"/>
          <w:lang w:val="es-ES_tradnl"/>
        </w:rPr>
        <w:t>8. Desastre: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14:paraId="66F00E85" w14:textId="77777777" w:rsidR="00EF6139" w:rsidRPr="00D93A6C" w:rsidRDefault="00EF6139" w:rsidP="00EF6139">
      <w:pPr>
        <w:spacing w:after="0" w:line="276" w:lineRule="auto"/>
        <w:ind w:left="709" w:right="709"/>
        <w:jc w:val="both"/>
        <w:rPr>
          <w:rFonts w:ascii="Verdana" w:eastAsia="Calibri" w:hAnsi="Verdana" w:cs="Arial"/>
          <w:lang w:val="es-ES_tradnl"/>
        </w:rPr>
      </w:pPr>
    </w:p>
    <w:p w14:paraId="2269EFFE" w14:textId="77777777" w:rsidR="00EF6139" w:rsidRDefault="00EF6139" w:rsidP="00EF6139">
      <w:pPr>
        <w:spacing w:after="120" w:line="276" w:lineRule="auto"/>
        <w:ind w:firstLine="709"/>
        <w:jc w:val="both"/>
        <w:rPr>
          <w:rFonts w:ascii="Verdana" w:eastAsia="Calibri" w:hAnsi="Verdana" w:cs="Arial"/>
          <w:lang w:val="es-ES"/>
        </w:rPr>
      </w:pPr>
      <w:r w:rsidRPr="3683B926">
        <w:rPr>
          <w:rFonts w:ascii="Verdana" w:eastAsia="Calibri" w:hAnsi="Verdana" w:cs="Arial"/>
          <w:lang w:val="es-ES"/>
        </w:rPr>
        <w:t xml:space="preserve">Esta norma debe armonizarse con los artículos 56 y 57 </w:t>
      </w:r>
      <w:r w:rsidRPr="3683B926">
        <w:rPr>
          <w:rFonts w:ascii="Verdana" w:eastAsia="Calibri" w:hAnsi="Verdana" w:cs="Arial"/>
          <w:i/>
          <w:lang w:val="es-ES"/>
        </w:rPr>
        <w:t>ibidem</w:t>
      </w:r>
      <w:r w:rsidRPr="3683B926">
        <w:rPr>
          <w:rFonts w:ascii="Verdana" w:eastAsia="Calibri" w:hAnsi="Verdana" w:cs="Arial"/>
          <w:lang w:val="es-ES"/>
        </w:rPr>
        <w:t xml:space="preserve">, que asignan la competencia para declarar la ocurrencia de una situación de </w:t>
      </w:r>
      <w:r w:rsidRPr="3683B926">
        <w:rPr>
          <w:rFonts w:ascii="Verdana" w:eastAsia="Calibri" w:hAnsi="Verdana" w:cs="Arial"/>
          <w:i/>
          <w:lang w:val="es-ES"/>
        </w:rPr>
        <w:t>desastre</w:t>
      </w:r>
      <w:r w:rsidRPr="3683B926">
        <w:rPr>
          <w:rFonts w:ascii="Verdana" w:eastAsia="Calibri" w:hAnsi="Verdana" w:cs="Arial"/>
          <w:lang w:val="es-ES"/>
        </w:rPr>
        <w:t xml:space="preserve"> o una situación de </w:t>
      </w:r>
      <w:r w:rsidRPr="3683B926">
        <w:rPr>
          <w:rFonts w:ascii="Verdana" w:eastAsia="Calibri" w:hAnsi="Verdana" w:cs="Arial"/>
          <w:i/>
          <w:lang w:val="es-ES"/>
        </w:rPr>
        <w:t>calamidad pública</w:t>
      </w:r>
      <w:r w:rsidRPr="3683B926">
        <w:rPr>
          <w:rFonts w:ascii="Verdana" w:eastAsia="Calibri" w:hAnsi="Verdana" w:cs="Arial"/>
          <w:lang w:val="es-ES"/>
        </w:rPr>
        <w:t xml:space="preserve">. Particularmente, disponen que al </w:t>
      </w:r>
      <w:proofErr w:type="gramStart"/>
      <w:r w:rsidRPr="3683B926">
        <w:rPr>
          <w:rFonts w:ascii="Verdana" w:eastAsia="Calibri" w:hAnsi="Verdana" w:cs="Arial"/>
          <w:lang w:val="es-ES"/>
        </w:rPr>
        <w:t>Presidente</w:t>
      </w:r>
      <w:proofErr w:type="gramEnd"/>
      <w:r w:rsidRPr="3683B926">
        <w:rPr>
          <w:rFonts w:ascii="Verdana" w:eastAsia="Calibri" w:hAnsi="Verdana" w:cs="Arial"/>
          <w:lang w:val="es-ES"/>
        </w:rPr>
        <w:t xml:space="preserve"> de la República le corresponde declarar la situación de </w:t>
      </w:r>
      <w:r w:rsidRPr="3683B926">
        <w:rPr>
          <w:rFonts w:ascii="Verdana" w:eastAsia="Calibri" w:hAnsi="Verdana" w:cs="Arial"/>
          <w:i/>
          <w:lang w:val="es-ES"/>
        </w:rPr>
        <w:t>desastre</w:t>
      </w:r>
      <w:r w:rsidRPr="3683B926">
        <w:rPr>
          <w:rFonts w:ascii="Verdana" w:eastAsia="Calibri" w:hAnsi="Verdana" w:cs="Arial"/>
          <w:lang w:val="es-ES"/>
        </w:rPr>
        <w:t>, tanto en el orden nacional, departamental, como en el municipal y distrital</w:t>
      </w:r>
      <w:r w:rsidRPr="3683B926">
        <w:rPr>
          <w:rStyle w:val="Refdenotaalpie"/>
          <w:rFonts w:ascii="Verdana" w:eastAsia="Calibri" w:hAnsi="Verdana" w:cs="Arial"/>
          <w:lang w:val="es-ES"/>
        </w:rPr>
        <w:footnoteReference w:id="49"/>
      </w:r>
      <w:r w:rsidRPr="3683B926">
        <w:rPr>
          <w:rFonts w:ascii="Verdana" w:eastAsia="Calibri" w:hAnsi="Verdana" w:cs="Arial"/>
          <w:lang w:val="es-ES"/>
        </w:rPr>
        <w:t xml:space="preserve">, facultad que no pueden ejercer los gobernadores y alcaldes, porque la norma no les asignó esta competencia. No obstante, a los gobernadores y alcaldes sí les corresponde declarar la </w:t>
      </w:r>
      <w:r w:rsidRPr="3683B926">
        <w:rPr>
          <w:rFonts w:ascii="Verdana" w:eastAsia="Calibri" w:hAnsi="Verdana" w:cs="Arial"/>
          <w:i/>
          <w:lang w:val="es-ES"/>
        </w:rPr>
        <w:t>situación de calamidad pública</w:t>
      </w:r>
      <w:r w:rsidRPr="3683B926">
        <w:rPr>
          <w:rFonts w:ascii="Verdana" w:eastAsia="Calibri" w:hAnsi="Verdana" w:cs="Arial"/>
          <w:lang w:val="es-ES"/>
        </w:rPr>
        <w:t xml:space="preserve">, en los respectivos </w:t>
      </w:r>
      <w:r w:rsidRPr="3683B926">
        <w:rPr>
          <w:rFonts w:ascii="Verdana" w:eastAsia="Calibri" w:hAnsi="Verdana" w:cs="Arial"/>
          <w:lang w:val="es-ES"/>
        </w:rPr>
        <w:lastRenderedPageBreak/>
        <w:t>ámbitos, facultad que, en cambio, no puede ejercer el presidente de la república</w:t>
      </w:r>
      <w:r w:rsidRPr="3683B926">
        <w:rPr>
          <w:rStyle w:val="Refdenotaalpie"/>
          <w:rFonts w:ascii="Verdana" w:eastAsia="Calibri" w:hAnsi="Verdana" w:cs="Arial"/>
          <w:lang w:val="es-ES"/>
        </w:rPr>
        <w:footnoteReference w:id="50"/>
      </w:r>
      <w:r w:rsidRPr="3683B926">
        <w:rPr>
          <w:rFonts w:ascii="Verdana" w:eastAsia="Calibri" w:hAnsi="Verdana" w:cs="Arial"/>
          <w:lang w:val="es-ES"/>
        </w:rPr>
        <w:t xml:space="preserve">. </w:t>
      </w:r>
    </w:p>
    <w:p w14:paraId="5528976C" w14:textId="77777777" w:rsidR="00EF6139" w:rsidRPr="00D93A6C" w:rsidRDefault="00EF6139" w:rsidP="00EF6139">
      <w:pPr>
        <w:spacing w:after="120" w:line="276" w:lineRule="auto"/>
        <w:ind w:firstLine="709"/>
        <w:jc w:val="both"/>
        <w:rPr>
          <w:rFonts w:ascii="Verdana" w:eastAsia="Calibri" w:hAnsi="Verdana" w:cs="Arial"/>
          <w:lang w:val="es-ES_tradnl"/>
        </w:rPr>
      </w:pPr>
      <w:r w:rsidRPr="00D93A6C">
        <w:rPr>
          <w:rFonts w:ascii="Verdana" w:eastAsia="Calibri" w:hAnsi="Verdana" w:cs="Arial"/>
          <w:lang w:val="es-ES_tradnl"/>
        </w:rPr>
        <w:t xml:space="preserve">De esta manera, una vez se declara la situación de calamidad o la situación de desastre bajo los criterios señalados en el artículo 59 de la Ley 1523 de 2012, por parte de la autoridad competente, las demás </w:t>
      </w:r>
      <w:r>
        <w:rPr>
          <w:rFonts w:ascii="Verdana" w:eastAsia="Calibri" w:hAnsi="Verdana" w:cs="Arial"/>
          <w:lang w:val="es-ES_tradnl"/>
        </w:rPr>
        <w:t>E</w:t>
      </w:r>
      <w:r w:rsidRPr="00D93A6C">
        <w:rPr>
          <w:rFonts w:ascii="Verdana" w:eastAsia="Calibri" w:hAnsi="Verdana" w:cs="Arial"/>
          <w:lang w:val="es-ES_tradnl"/>
        </w:rPr>
        <w:t xml:space="preserve">ntidades </w:t>
      </w:r>
      <w:r>
        <w:rPr>
          <w:rFonts w:ascii="Verdana" w:eastAsia="Calibri" w:hAnsi="Verdana" w:cs="Arial"/>
          <w:lang w:val="es-ES_tradnl"/>
        </w:rPr>
        <w:t>E</w:t>
      </w:r>
      <w:r w:rsidRPr="00D93A6C">
        <w:rPr>
          <w:rFonts w:ascii="Verdana" w:eastAsia="Calibri" w:hAnsi="Verdana" w:cs="Arial"/>
          <w:lang w:val="es-ES_tradnl"/>
        </w:rPr>
        <w:t xml:space="preserve">statales –de conformidad con el artículo 42 de la Ley 80 de 1993– quedan facultadas para declarar, a continuación, la causal de contratación directa denominada “urgencia manifiesta”, mediante un acto administrativo propio, autónomo, que tiene como fundamento fáctico y jurídico la declaración de situación de calamidad o la situación de desastre. </w:t>
      </w:r>
    </w:p>
    <w:p w14:paraId="1145F443" w14:textId="77777777" w:rsidR="00EF6139" w:rsidRPr="00D93A6C" w:rsidRDefault="00EF6139" w:rsidP="00EF6139">
      <w:pPr>
        <w:spacing w:after="120" w:line="276" w:lineRule="auto"/>
        <w:ind w:firstLine="709"/>
        <w:jc w:val="both"/>
        <w:rPr>
          <w:rFonts w:ascii="Verdana" w:eastAsia="Calibri" w:hAnsi="Verdana" w:cs="Arial"/>
          <w:lang w:val="es-ES"/>
        </w:rPr>
      </w:pPr>
      <w:bookmarkStart w:id="24" w:name="_Hlk35959844"/>
      <w:r w:rsidRPr="66443382">
        <w:rPr>
          <w:rFonts w:ascii="Verdana" w:eastAsia="Calibri" w:hAnsi="Verdana" w:cs="Arial"/>
          <w:lang w:val="es-ES"/>
        </w:rPr>
        <w:t xml:space="preserve">Lo anterior significa que </w:t>
      </w:r>
      <w:bookmarkStart w:id="25" w:name="_Hlk35959859"/>
      <w:r w:rsidRPr="66443382">
        <w:rPr>
          <w:rFonts w:ascii="Verdana" w:eastAsia="Calibri" w:hAnsi="Verdana" w:cs="Arial"/>
          <w:lang w:val="es-ES"/>
        </w:rPr>
        <w:t xml:space="preserve">para contratar </w:t>
      </w:r>
      <w:bookmarkEnd w:id="24"/>
      <w:r w:rsidRPr="66443382">
        <w:rPr>
          <w:rFonts w:ascii="Verdana" w:eastAsia="Calibri" w:hAnsi="Verdana" w:cs="Arial"/>
          <w:lang w:val="es-ES"/>
        </w:rPr>
        <w:t xml:space="preserve">directamente no basta con la declaración de desastre o de calamidad. Es decir, se necesitan dos (2) actos administrativos concurrentes para que pueda contratarse directamente por urgencia manifiesta: i) el primero en el tiempo, la declaración de la situación de calamidad pública o la declaración de la situación de desastre, de conformidad con lo establecido en el Capítulo VI de la Ley 1523 de 2012; y </w:t>
      </w:r>
      <w:proofErr w:type="spellStart"/>
      <w:r w:rsidRPr="66443382">
        <w:rPr>
          <w:rFonts w:ascii="Verdana" w:eastAsia="Calibri" w:hAnsi="Verdana" w:cs="Arial"/>
          <w:lang w:val="es-ES"/>
        </w:rPr>
        <w:t>ii</w:t>
      </w:r>
      <w:proofErr w:type="spellEnd"/>
      <w:r w:rsidRPr="66443382">
        <w:rPr>
          <w:rFonts w:ascii="Verdana" w:eastAsia="Calibri" w:hAnsi="Verdana" w:cs="Arial"/>
          <w:lang w:val="es-ES"/>
        </w:rPr>
        <w:t>) el segundo, la declaración de “urgencia manifiesta” de que trata el artículo 42 del Estatuto General de Contratación</w:t>
      </w:r>
      <w:r>
        <w:rPr>
          <w:rFonts w:ascii="Verdana" w:eastAsia="Calibri" w:hAnsi="Verdana" w:cs="Arial"/>
          <w:lang w:val="es-ES"/>
        </w:rPr>
        <w:t xml:space="preserve"> de la Administración Pública</w:t>
      </w:r>
      <w:r w:rsidRPr="66443382">
        <w:rPr>
          <w:rFonts w:ascii="Verdana" w:eastAsia="Calibri" w:hAnsi="Verdana" w:cs="Arial"/>
          <w:lang w:val="es-ES"/>
        </w:rPr>
        <w:t>, amparado o fundamentado en la declaración previa del desastre o calamidad.</w:t>
      </w:r>
    </w:p>
    <w:p w14:paraId="43B862A4" w14:textId="77777777" w:rsidR="00EF6139" w:rsidRPr="00D93A6C" w:rsidRDefault="00EF6139" w:rsidP="00EF6139">
      <w:pPr>
        <w:spacing w:after="120" w:line="276" w:lineRule="auto"/>
        <w:ind w:firstLine="709"/>
        <w:jc w:val="both"/>
        <w:rPr>
          <w:rFonts w:ascii="Verdana" w:eastAsia="Calibri" w:hAnsi="Verdana" w:cs="Arial"/>
          <w:lang w:val="es-ES"/>
        </w:rPr>
      </w:pPr>
      <w:r w:rsidRPr="66443382">
        <w:rPr>
          <w:rFonts w:ascii="Verdana" w:eastAsia="Calibri" w:hAnsi="Verdana" w:cs="Arial"/>
          <w:lang w:val="es-ES"/>
        </w:rPr>
        <w:t xml:space="preserve"> Sin el primer acto administrativo no es posible expedir el segundo, es decir, para declarar la urgencia manifiesta es imprescindible que el </w:t>
      </w:r>
      <w:r>
        <w:rPr>
          <w:rFonts w:ascii="Verdana" w:eastAsia="Calibri" w:hAnsi="Verdana" w:cs="Arial"/>
          <w:lang w:val="es-ES"/>
        </w:rPr>
        <w:t>p</w:t>
      </w:r>
      <w:r w:rsidRPr="66443382">
        <w:rPr>
          <w:rFonts w:ascii="Verdana" w:eastAsia="Calibri" w:hAnsi="Verdana" w:cs="Arial"/>
          <w:lang w:val="es-ES"/>
        </w:rPr>
        <w:t>residente de la república</w:t>
      </w:r>
      <w:r>
        <w:rPr>
          <w:rFonts w:ascii="Verdana" w:eastAsia="Calibri" w:hAnsi="Verdana" w:cs="Arial"/>
          <w:lang w:val="es-ES"/>
        </w:rPr>
        <w:t xml:space="preserve">, </w:t>
      </w:r>
      <w:r w:rsidRPr="66443382">
        <w:rPr>
          <w:rFonts w:ascii="Verdana" w:eastAsia="Calibri" w:hAnsi="Verdana" w:cs="Arial"/>
          <w:lang w:val="es-ES"/>
        </w:rPr>
        <w:t>el gobernador o el alcalde, según el caso, hayan declarado la situación de desastre o la declaración de calamidad. Lo anterior, porque la situación de calamidad pública o la situación de desastre depende</w:t>
      </w:r>
      <w:r>
        <w:rPr>
          <w:rFonts w:ascii="Verdana" w:eastAsia="Calibri" w:hAnsi="Verdana" w:cs="Arial"/>
          <w:lang w:val="es-ES"/>
        </w:rPr>
        <w:t>n</w:t>
      </w:r>
      <w:r w:rsidRPr="66443382">
        <w:rPr>
          <w:rFonts w:ascii="Verdana" w:eastAsia="Calibri" w:hAnsi="Verdana" w:cs="Arial"/>
          <w:lang w:val="es-ES"/>
        </w:rPr>
        <w:t xml:space="preserve"> tanto de la ocurrencia de los hechos que dan lugar a las mismas como de la declaración del órgano competente, de manera que ninguna se configura a falta de alguna de estas condiciones. </w:t>
      </w:r>
    </w:p>
    <w:p w14:paraId="13ACFF2E" w14:textId="77777777" w:rsidR="00EF6139" w:rsidRDefault="00EF6139" w:rsidP="00EF6139">
      <w:pPr>
        <w:spacing w:after="120" w:line="276" w:lineRule="auto"/>
        <w:ind w:firstLine="709"/>
        <w:jc w:val="both"/>
        <w:rPr>
          <w:rFonts w:ascii="Verdana" w:eastAsia="Calibri" w:hAnsi="Verdana" w:cs="Arial"/>
          <w:lang w:val="es-ES"/>
        </w:rPr>
      </w:pPr>
      <w:r w:rsidRPr="2F78DACE">
        <w:rPr>
          <w:rFonts w:ascii="Verdana" w:eastAsia="Calibri" w:hAnsi="Verdana" w:cs="Arial"/>
          <w:lang w:val="es-ES"/>
        </w:rPr>
        <w:t xml:space="preserve">Por lo tanto, con fundamento en la declaratoria de urgencia manifiesta es posible adelantar la contratación de forma directa, al encontrarse amparada en las excepciones que dispone el artículo 33 de la Ley 996 de 2005. Es decir, con la declaratoria de urgencia manifiesta se garantiza que, en situaciones de </w:t>
      </w:r>
      <w:r w:rsidRPr="2F78DACE">
        <w:rPr>
          <w:rFonts w:ascii="Verdana" w:eastAsia="Calibri" w:hAnsi="Verdana" w:cs="Arial"/>
          <w:lang w:val="es-ES"/>
        </w:rPr>
        <w:lastRenderedPageBreak/>
        <w:t>emergencia, las autoridades puedan actuar con celeridad y eficacia para atender necesidades inmediatas, sin que ello implique una vulneración de las excepciones dispuestas en el artículo 33 de la Ley 996 de 2005. En este sentido, la urgencia manifiesta permite que los contratos se celebren de manera directa, como puede ser la adquisición de bienes inmuebles, siempre que se justifique adecuadamente la situación que impide seguir el procedimiento regular. Esto, sin perjuicio de los requisitos y condiciones establecidas en el ordenamiento jurídico para su declaratoria.</w:t>
      </w:r>
    </w:p>
    <w:bookmarkEnd w:id="25"/>
    <w:p w14:paraId="6EC633C4" w14:textId="77777777" w:rsidR="00EF6139" w:rsidRDefault="00EF6139" w:rsidP="00EF6139">
      <w:pPr>
        <w:spacing w:after="120" w:line="276" w:lineRule="auto"/>
        <w:ind w:firstLine="709"/>
        <w:jc w:val="both"/>
        <w:rPr>
          <w:rFonts w:ascii="Verdana" w:eastAsia="Calibri" w:hAnsi="Verdana" w:cs="Arial"/>
          <w:lang w:val="es-ES"/>
        </w:rPr>
      </w:pPr>
      <w:r>
        <w:rPr>
          <w:rFonts w:ascii="Verdana" w:eastAsia="Calibri" w:hAnsi="Verdana" w:cs="Arial"/>
          <w:lang w:val="es-ES_tradnl"/>
        </w:rPr>
        <w:t xml:space="preserve">Sin embargo, no podrá suscribirse en el marco de la declaratoria de urgencia manifiesta convenios interadministrativos para la ejecución de recursos públicos con </w:t>
      </w:r>
      <w:r w:rsidRPr="00791C33">
        <w:rPr>
          <w:rFonts w:ascii="Verdana" w:eastAsia="Calibri" w:hAnsi="Verdana" w:cs="Arial"/>
        </w:rPr>
        <w:t>alcaldes municipales y/o distritales, secretarios, gerentes y directores de entidades descentralizadas del orden munici</w:t>
      </w:r>
      <w:r>
        <w:rPr>
          <w:rFonts w:ascii="Verdana" w:eastAsia="Calibri" w:hAnsi="Verdana" w:cs="Arial"/>
        </w:rPr>
        <w:t xml:space="preserve">pal, departamental o distrital. Esto se debe a la prohibición contenida en el parágrafo único del artículo 38 de la Ley 996 de 2005, la cual </w:t>
      </w:r>
      <w:r w:rsidRPr="001D3F22">
        <w:rPr>
          <w:rFonts w:ascii="Verdana" w:eastAsia="Calibri" w:hAnsi="Verdana" w:cs="Arial"/>
          <w:lang w:val="es-ES"/>
        </w:rPr>
        <w:t>dispone que no</w:t>
      </w:r>
      <w:r>
        <w:rPr>
          <w:rFonts w:ascii="Verdana" w:eastAsia="Calibri" w:hAnsi="Verdana" w:cs="Arial"/>
          <w:lang w:val="es-ES"/>
        </w:rPr>
        <w:t xml:space="preserve"> podrán celebrarse convenios interadministrativos </w:t>
      </w:r>
      <w:r w:rsidRPr="001D3F22">
        <w:rPr>
          <w:rFonts w:ascii="Verdana" w:eastAsia="Calibri" w:hAnsi="Verdana" w:cs="Arial"/>
          <w:lang w:val="es-ES"/>
        </w:rPr>
        <w:t>con alcaldes municipales y/o distritales, así como con secretarios, gerentes y directores de entidades descentralizadas del orden territorial. Esta prohibici</w:t>
      </w:r>
      <w:r>
        <w:rPr>
          <w:rFonts w:ascii="Verdana" w:eastAsia="Calibri" w:hAnsi="Verdana" w:cs="Arial"/>
          <w:lang w:val="es-ES"/>
        </w:rPr>
        <w:t xml:space="preserve">ón busca evitar que, bajo la institución </w:t>
      </w:r>
      <w:r w:rsidRPr="001D3F22">
        <w:rPr>
          <w:rFonts w:ascii="Verdana" w:eastAsia="Calibri" w:hAnsi="Verdana" w:cs="Arial"/>
          <w:lang w:val="es-ES"/>
        </w:rPr>
        <w:t>de la urgencia manifiesta, se canalicen recursos públicos hacia actores políticos locales en un contexto que podría prestarse para favorecer intereses particulares o electorales.</w:t>
      </w:r>
      <w:r>
        <w:rPr>
          <w:rFonts w:ascii="Verdana" w:eastAsia="Calibri" w:hAnsi="Verdana" w:cs="Arial"/>
          <w:lang w:val="es-ES"/>
        </w:rPr>
        <w:t xml:space="preserve"> Así mismo, dicho </w:t>
      </w:r>
      <w:r w:rsidRPr="001D3F22">
        <w:rPr>
          <w:rFonts w:ascii="Verdana" w:eastAsia="Calibri" w:hAnsi="Verdana" w:cs="Arial"/>
          <w:lang w:val="es-ES"/>
        </w:rPr>
        <w:t xml:space="preserve">artículo </w:t>
      </w:r>
      <w:r>
        <w:rPr>
          <w:rFonts w:ascii="Verdana" w:eastAsia="Calibri" w:hAnsi="Verdana" w:cs="Arial"/>
          <w:lang w:val="es-ES"/>
        </w:rPr>
        <w:t xml:space="preserve">no contempla </w:t>
      </w:r>
      <w:r w:rsidRPr="001D3F22">
        <w:rPr>
          <w:rFonts w:ascii="Verdana" w:eastAsia="Calibri" w:hAnsi="Verdana" w:cs="Arial"/>
          <w:lang w:val="es-ES"/>
        </w:rPr>
        <w:t xml:space="preserve">excepciones, lo que significa que la prohibición es absoluta y aplicable en cualquier circunstancia. De esta manera, se garantiza que la contratación directa derivada de la urgencia manifiesta se limite a atender necesidades inmediatas y legítimas, sin abrir </w:t>
      </w:r>
      <w:r>
        <w:rPr>
          <w:rFonts w:ascii="Verdana" w:eastAsia="Calibri" w:hAnsi="Verdana" w:cs="Arial"/>
          <w:lang w:val="es-ES"/>
        </w:rPr>
        <w:t xml:space="preserve">la posibilidad de suscribir </w:t>
      </w:r>
      <w:r w:rsidRPr="001D3F22">
        <w:rPr>
          <w:rFonts w:ascii="Verdana" w:eastAsia="Calibri" w:hAnsi="Verdana" w:cs="Arial"/>
          <w:lang w:val="es-ES"/>
        </w:rPr>
        <w:t>convenios interadministrativos</w:t>
      </w:r>
      <w:r>
        <w:rPr>
          <w:rFonts w:ascii="Verdana" w:eastAsia="Calibri" w:hAnsi="Verdana" w:cs="Arial"/>
          <w:lang w:val="es-ES"/>
        </w:rPr>
        <w:t xml:space="preserve"> para la ejecución de recursos públicos</w:t>
      </w:r>
      <w:r w:rsidRPr="001D3F22">
        <w:rPr>
          <w:rFonts w:ascii="Verdana" w:eastAsia="Calibri" w:hAnsi="Verdana" w:cs="Arial"/>
          <w:lang w:val="es-ES"/>
        </w:rPr>
        <w:t xml:space="preserve">. </w:t>
      </w:r>
    </w:p>
    <w:p w14:paraId="44BCDEEA" w14:textId="77777777" w:rsidR="00EF6139" w:rsidRDefault="00EF6139" w:rsidP="00EF6139">
      <w:pPr>
        <w:spacing w:after="0" w:line="276" w:lineRule="auto"/>
        <w:ind w:firstLine="709"/>
        <w:jc w:val="both"/>
        <w:rPr>
          <w:rFonts w:ascii="Verdana" w:eastAsia="Calibri" w:hAnsi="Verdana" w:cs="Arial"/>
          <w:lang w:val="es-ES"/>
        </w:rPr>
      </w:pPr>
    </w:p>
    <w:p w14:paraId="1CC08277" w14:textId="77777777" w:rsidR="00EF6139" w:rsidRPr="00380CA4" w:rsidRDefault="00EF6139" w:rsidP="00EF6139">
      <w:pPr>
        <w:spacing w:after="120" w:line="276" w:lineRule="auto"/>
        <w:jc w:val="both"/>
        <w:rPr>
          <w:rFonts w:ascii="Verdana" w:eastAsia="Times New Roman" w:hAnsi="Verdana" w:cs="Arial"/>
          <w:iCs/>
          <w:color w:val="000000"/>
          <w:szCs w:val="24"/>
          <w:lang w:eastAsia="es-ES_tradnl"/>
        </w:rPr>
      </w:pPr>
      <w:proofErr w:type="spellStart"/>
      <w:r w:rsidRPr="00380CA4">
        <w:rPr>
          <w:rFonts w:ascii="Verdana" w:eastAsia="Calibri" w:hAnsi="Verdana" w:cs="Arial"/>
          <w:lang w:eastAsia="es-MX"/>
        </w:rPr>
        <w:t>vi</w:t>
      </w:r>
      <w:r>
        <w:rPr>
          <w:rFonts w:ascii="Verdana" w:eastAsia="Calibri" w:hAnsi="Verdana" w:cs="Arial"/>
          <w:lang w:eastAsia="es-MX"/>
        </w:rPr>
        <w:t>i</w:t>
      </w:r>
      <w:proofErr w:type="spellEnd"/>
      <w:r w:rsidRPr="00380CA4">
        <w:rPr>
          <w:rFonts w:ascii="Verdana" w:eastAsia="Calibri" w:hAnsi="Verdana" w:cs="Arial"/>
          <w:lang w:eastAsia="es-MX"/>
        </w:rPr>
        <w:t xml:space="preserve">. </w:t>
      </w:r>
      <w:r w:rsidRPr="00380CA4">
        <w:rPr>
          <w:rFonts w:ascii="Verdana" w:hAnsi="Verdana" w:cs="Arial"/>
          <w:lang w:eastAsia="es-ES"/>
        </w:rPr>
        <w:t>Al margen de la explicación precedente debe advertirse que el análisis requerido para resolver problemas específicos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059BF56" w14:textId="77777777" w:rsidR="00EF6139" w:rsidRPr="00380CA4" w:rsidRDefault="00EF6139" w:rsidP="00EF6139">
      <w:pPr>
        <w:spacing w:after="120" w:line="276" w:lineRule="auto"/>
        <w:ind w:firstLine="708"/>
        <w:jc w:val="both"/>
        <w:rPr>
          <w:rFonts w:ascii="Verdana" w:eastAsia="Calibri" w:hAnsi="Verdana" w:cs="Arial"/>
        </w:rPr>
      </w:pPr>
      <w:r w:rsidRPr="00380CA4">
        <w:rPr>
          <w:rFonts w:ascii="Verdana" w:eastAsia="Times New Roman" w:hAnsi="Verdana" w:cs="Arial"/>
          <w:color w:val="000000"/>
          <w:lang w:eastAsia="es-ES"/>
        </w:rPr>
        <w:lastRenderedPageBreak/>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2E0E113F" w14:textId="77777777" w:rsidR="00EF6139" w:rsidRPr="00380CA4" w:rsidRDefault="00EF6139" w:rsidP="00EF6139">
      <w:pPr>
        <w:spacing w:after="0" w:line="276" w:lineRule="auto"/>
        <w:jc w:val="both"/>
        <w:rPr>
          <w:rFonts w:ascii="Verdana" w:eastAsia="Calibri" w:hAnsi="Verdana" w:cs="Arial"/>
          <w:lang w:eastAsia="es-MX"/>
        </w:rPr>
      </w:pPr>
    </w:p>
    <w:p w14:paraId="6CB870E8" w14:textId="77777777" w:rsidR="00EF6139" w:rsidRPr="00380CA4" w:rsidRDefault="00EF6139" w:rsidP="00EF6139">
      <w:pPr>
        <w:pStyle w:val="Prrafodelista"/>
        <w:numPr>
          <w:ilvl w:val="0"/>
          <w:numId w:val="21"/>
        </w:numPr>
        <w:tabs>
          <w:tab w:val="left" w:pos="142"/>
          <w:tab w:val="left" w:pos="284"/>
        </w:tabs>
        <w:spacing w:after="0" w:line="276" w:lineRule="auto"/>
        <w:contextualSpacing w:val="0"/>
        <w:jc w:val="both"/>
        <w:rPr>
          <w:rFonts w:ascii="Verdana" w:eastAsia="Century Gothic" w:hAnsi="Verdana" w:cs="Century Gothic"/>
          <w:b/>
          <w:bCs/>
          <w:lang w:val="es-CO"/>
        </w:rPr>
      </w:pPr>
      <w:r>
        <w:rPr>
          <w:rFonts w:ascii="Verdana" w:eastAsia="Century Gothic" w:hAnsi="Verdana" w:cs="Century Gothic"/>
          <w:b/>
          <w:bCs/>
          <w:lang w:val="es-CO"/>
        </w:rPr>
        <w:t>Referencias normativas:</w:t>
      </w:r>
      <w:r w:rsidRPr="00380CA4">
        <w:rPr>
          <w:rFonts w:ascii="Verdana" w:eastAsia="Century Gothic" w:hAnsi="Verdana" w:cs="Century Gothic"/>
          <w:b/>
          <w:bCs/>
          <w:lang w:val="es-CO"/>
        </w:rPr>
        <w:t xml:space="preserve"> </w:t>
      </w:r>
    </w:p>
    <w:p w14:paraId="7AD05802" w14:textId="77777777" w:rsidR="00EF6139" w:rsidRPr="00380CA4" w:rsidRDefault="00EF6139" w:rsidP="00EF613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F6139" w:rsidRPr="00380CA4" w14:paraId="2B02066F" w14:textId="77777777" w:rsidTr="00F33237">
        <w:trPr>
          <w:trHeight w:val="487"/>
          <w:jc w:val="center"/>
        </w:trPr>
        <w:tc>
          <w:tcPr>
            <w:tcW w:w="8647" w:type="dxa"/>
          </w:tcPr>
          <w:p w14:paraId="25CD3BF0" w14:textId="77777777" w:rsidR="00EF6139" w:rsidRDefault="00EF6139" w:rsidP="00EF6139">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sidRPr="00380CA4">
              <w:rPr>
                <w:rFonts w:ascii="Verdana" w:eastAsia="Arial MT" w:hAnsi="Verdana" w:cs="Arial"/>
                <w:lang w:eastAsia="es-ES" w:bidi="es-ES"/>
              </w:rPr>
              <w:t xml:space="preserve">Constitución Política de 1991, </w:t>
            </w:r>
            <w:r>
              <w:rPr>
                <w:rFonts w:ascii="Verdana" w:eastAsia="Arial MT" w:hAnsi="Verdana" w:cs="Arial"/>
                <w:lang w:eastAsia="es-ES" w:bidi="es-ES"/>
              </w:rPr>
              <w:t>artículo 127.</w:t>
            </w:r>
          </w:p>
          <w:p w14:paraId="4D813FBA" w14:textId="77777777" w:rsidR="00EF6139" w:rsidRPr="00380CA4" w:rsidRDefault="00EF6139" w:rsidP="00EF6139">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Pr>
                <w:rFonts w:ascii="Verdana" w:eastAsia="Arial MT" w:hAnsi="Verdana" w:cs="Arial"/>
                <w:lang w:eastAsia="es-ES" w:bidi="es-ES"/>
              </w:rPr>
              <w:t xml:space="preserve">Código Civil, artículos 27 y 1501. </w:t>
            </w:r>
          </w:p>
          <w:p w14:paraId="72769EBB" w14:textId="77777777" w:rsidR="00EF6139" w:rsidRPr="00C04BE5" w:rsidRDefault="00EF6139" w:rsidP="00EF6139">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sidRPr="00C04BE5">
              <w:rPr>
                <w:rFonts w:ascii="Verdana" w:eastAsia="Arial MT" w:hAnsi="Verdana" w:cs="Arial"/>
                <w:bCs/>
                <w:lang w:eastAsia="es-ES" w:bidi="es-ES"/>
              </w:rPr>
              <w:t xml:space="preserve">Ley 9 de 1989. </w:t>
            </w:r>
          </w:p>
          <w:p w14:paraId="4BB455CF" w14:textId="77777777" w:rsidR="00EF6139" w:rsidRPr="00380CA4" w:rsidRDefault="00EF6139" w:rsidP="00EF6139">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sidRPr="00380CA4">
              <w:rPr>
                <w:rFonts w:ascii="Verdana" w:eastAsia="Arial MT" w:hAnsi="Verdana" w:cs="Arial"/>
                <w:lang w:eastAsia="es-ES" w:bidi="es-ES"/>
              </w:rPr>
              <w:t>Le</w:t>
            </w:r>
            <w:r>
              <w:rPr>
                <w:rFonts w:ascii="Verdana" w:eastAsia="Arial MT" w:hAnsi="Verdana" w:cs="Arial"/>
                <w:lang w:eastAsia="es-ES" w:bidi="es-ES"/>
              </w:rPr>
              <w:t xml:space="preserve">y 80 de 1993, artículos 2, 39, </w:t>
            </w:r>
            <w:r w:rsidRPr="00380CA4">
              <w:rPr>
                <w:rFonts w:ascii="Verdana" w:eastAsia="Arial MT" w:hAnsi="Verdana" w:cs="Arial"/>
                <w:lang w:eastAsia="es-ES" w:bidi="es-ES"/>
              </w:rPr>
              <w:t>41</w:t>
            </w:r>
            <w:r>
              <w:rPr>
                <w:rFonts w:ascii="Verdana" w:eastAsia="Arial MT" w:hAnsi="Verdana" w:cs="Arial"/>
                <w:lang w:eastAsia="es-ES" w:bidi="es-ES"/>
              </w:rPr>
              <w:t xml:space="preserve"> y 42</w:t>
            </w:r>
            <w:r w:rsidRPr="00380CA4">
              <w:rPr>
                <w:rFonts w:ascii="Verdana" w:eastAsia="Arial MT" w:hAnsi="Verdana" w:cs="Arial"/>
                <w:lang w:eastAsia="es-ES" w:bidi="es-ES"/>
              </w:rPr>
              <w:t>.</w:t>
            </w:r>
          </w:p>
          <w:p w14:paraId="604CB300" w14:textId="77777777" w:rsidR="00EF6139" w:rsidRPr="00C04BE5" w:rsidRDefault="00EF6139" w:rsidP="00EF6139">
            <w:pPr>
              <w:widowControl w:val="0"/>
              <w:numPr>
                <w:ilvl w:val="0"/>
                <w:numId w:val="17"/>
              </w:numPr>
              <w:autoSpaceDE w:val="0"/>
              <w:autoSpaceDN w:val="0"/>
              <w:spacing w:after="120" w:line="276" w:lineRule="auto"/>
              <w:ind w:left="714" w:hanging="357"/>
              <w:jc w:val="both"/>
              <w:rPr>
                <w:rFonts w:ascii="Verdana" w:eastAsia="Arial MT" w:hAnsi="Verdana" w:cs="Arial"/>
                <w:bCs/>
                <w:lang w:eastAsia="es-ES" w:bidi="es-ES"/>
              </w:rPr>
            </w:pPr>
            <w:r w:rsidRPr="00C04BE5">
              <w:rPr>
                <w:rFonts w:ascii="Verdana" w:eastAsia="Arial MT" w:hAnsi="Verdana" w:cs="Arial"/>
                <w:bCs/>
                <w:lang w:eastAsia="es-ES" w:bidi="es-ES"/>
              </w:rPr>
              <w:t xml:space="preserve">Ley 388 de 1997, artículos 58, 63 y 64. </w:t>
            </w:r>
          </w:p>
          <w:p w14:paraId="797BE7CE" w14:textId="77777777" w:rsidR="00EF6139" w:rsidRPr="00C04BE5" w:rsidRDefault="00EF6139" w:rsidP="00EF6139">
            <w:pPr>
              <w:widowControl w:val="0"/>
              <w:numPr>
                <w:ilvl w:val="0"/>
                <w:numId w:val="17"/>
              </w:numPr>
              <w:autoSpaceDE w:val="0"/>
              <w:autoSpaceDN w:val="0"/>
              <w:spacing w:after="120" w:line="276" w:lineRule="auto"/>
              <w:ind w:left="714" w:hanging="357"/>
              <w:jc w:val="both"/>
              <w:rPr>
                <w:rFonts w:ascii="Verdana" w:eastAsia="Arial MT" w:hAnsi="Verdana" w:cs="Arial"/>
                <w:lang w:eastAsia="es-ES" w:bidi="es-ES"/>
              </w:rPr>
            </w:pPr>
            <w:r w:rsidRPr="00380CA4">
              <w:rPr>
                <w:rFonts w:ascii="Verdana" w:eastAsia="Arial MT" w:hAnsi="Verdana" w:cs="Arial"/>
                <w:bCs/>
                <w:lang w:eastAsia="es-ES" w:bidi="es-ES"/>
              </w:rPr>
              <w:t>Ley 996 de 2005: artículos 33 y 38 parágrafo.</w:t>
            </w:r>
          </w:p>
          <w:p w14:paraId="2178BDC1" w14:textId="77777777" w:rsidR="00EF6139" w:rsidRPr="00F92C2A" w:rsidRDefault="00EF6139" w:rsidP="00EF6139">
            <w:pPr>
              <w:widowControl w:val="0"/>
              <w:numPr>
                <w:ilvl w:val="0"/>
                <w:numId w:val="17"/>
              </w:numPr>
              <w:autoSpaceDE w:val="0"/>
              <w:autoSpaceDN w:val="0"/>
              <w:spacing w:after="120" w:line="276" w:lineRule="auto"/>
              <w:ind w:left="714" w:hanging="357"/>
              <w:jc w:val="both"/>
              <w:rPr>
                <w:rFonts w:ascii="Verdana" w:eastAsia="Arial MT" w:hAnsi="Verdana" w:cs="Arial"/>
                <w:lang w:eastAsia="es-ES" w:bidi="es-ES"/>
              </w:rPr>
            </w:pPr>
            <w:r>
              <w:rPr>
                <w:rFonts w:ascii="Verdana" w:eastAsia="Arial MT" w:hAnsi="Verdana" w:cs="Arial"/>
                <w:bCs/>
                <w:lang w:eastAsia="es-ES" w:bidi="es-ES"/>
              </w:rPr>
              <w:t xml:space="preserve">Ley 1150 de 2007, artículo 2. </w:t>
            </w:r>
          </w:p>
          <w:p w14:paraId="30144897" w14:textId="77777777" w:rsidR="00EF6139" w:rsidRPr="00F92C2A" w:rsidRDefault="00EF6139" w:rsidP="00EF6139">
            <w:pPr>
              <w:pStyle w:val="Prrafodelista"/>
              <w:numPr>
                <w:ilvl w:val="0"/>
                <w:numId w:val="17"/>
              </w:numPr>
              <w:spacing w:after="120"/>
              <w:contextualSpacing w:val="0"/>
              <w:rPr>
                <w:rFonts w:ascii="Verdana" w:eastAsia="Arial MT" w:hAnsi="Verdana" w:cs="Arial"/>
                <w:lang w:val="es-CO" w:eastAsia="es-ES" w:bidi="es-ES"/>
              </w:rPr>
            </w:pPr>
            <w:r w:rsidRPr="00F92C2A">
              <w:rPr>
                <w:rFonts w:ascii="Verdana" w:eastAsia="Arial MT" w:hAnsi="Verdana" w:cs="Arial"/>
                <w:lang w:val="es-CO" w:eastAsia="es-ES" w:bidi="es-ES"/>
              </w:rPr>
              <w:t>Ley 1523 de 2012, artículos 4, 56 y 57.</w:t>
            </w:r>
          </w:p>
          <w:p w14:paraId="15319A88" w14:textId="77777777" w:rsidR="00EF6139" w:rsidRPr="00C04BE5" w:rsidRDefault="00EF6139" w:rsidP="00EF6139">
            <w:pPr>
              <w:widowControl w:val="0"/>
              <w:numPr>
                <w:ilvl w:val="0"/>
                <w:numId w:val="17"/>
              </w:numPr>
              <w:autoSpaceDE w:val="0"/>
              <w:autoSpaceDN w:val="0"/>
              <w:spacing w:after="120" w:line="276" w:lineRule="auto"/>
              <w:ind w:left="714" w:hanging="357"/>
              <w:jc w:val="both"/>
              <w:rPr>
                <w:rFonts w:ascii="Verdana" w:eastAsia="Arial MT" w:hAnsi="Verdana" w:cs="Arial"/>
                <w:lang w:eastAsia="es-ES" w:bidi="es-ES"/>
              </w:rPr>
            </w:pPr>
            <w:r w:rsidRPr="00380CA4">
              <w:rPr>
                <w:rFonts w:ascii="Verdana" w:eastAsia="Arial MT" w:hAnsi="Verdana" w:cs="Arial"/>
                <w:bCs/>
                <w:lang w:eastAsia="es-ES" w:bidi="es-ES"/>
              </w:rPr>
              <w:t xml:space="preserve">Ley 1682 de 2013. </w:t>
            </w:r>
            <w:r w:rsidRPr="00C04BE5">
              <w:rPr>
                <w:rFonts w:ascii="Verdana" w:eastAsia="Calibri" w:hAnsi="Verdana" w:cs="Arial"/>
              </w:rPr>
              <w:t xml:space="preserve"> </w:t>
            </w:r>
          </w:p>
        </w:tc>
      </w:tr>
    </w:tbl>
    <w:p w14:paraId="07BD9E8E" w14:textId="77777777" w:rsidR="00EF6139" w:rsidRPr="00380CA4" w:rsidRDefault="00EF6139" w:rsidP="00EF6139">
      <w:pPr>
        <w:widowControl w:val="0"/>
        <w:autoSpaceDE w:val="0"/>
        <w:autoSpaceDN w:val="0"/>
        <w:spacing w:after="0" w:line="276" w:lineRule="auto"/>
        <w:jc w:val="both"/>
        <w:rPr>
          <w:rFonts w:ascii="Verdana" w:hAnsi="Verdana" w:cs="Arial"/>
        </w:rPr>
      </w:pPr>
    </w:p>
    <w:p w14:paraId="107852FA" w14:textId="77777777" w:rsidR="00EF6139" w:rsidRPr="00380CA4" w:rsidRDefault="00EF6139" w:rsidP="00EF6139">
      <w:pPr>
        <w:pStyle w:val="Prrafodelista"/>
        <w:numPr>
          <w:ilvl w:val="0"/>
          <w:numId w:val="21"/>
        </w:numPr>
        <w:tabs>
          <w:tab w:val="left" w:pos="142"/>
          <w:tab w:val="left" w:pos="284"/>
        </w:tabs>
        <w:spacing w:after="0" w:line="276" w:lineRule="auto"/>
        <w:contextualSpacing w:val="0"/>
        <w:jc w:val="both"/>
        <w:rPr>
          <w:rFonts w:ascii="Verdana" w:eastAsia="Century Gothic" w:hAnsi="Verdana" w:cs="Century Gothic"/>
          <w:b/>
          <w:bCs/>
          <w:lang w:val="es-CO"/>
        </w:rPr>
      </w:pPr>
      <w:r w:rsidRPr="00380CA4">
        <w:rPr>
          <w:rFonts w:ascii="Verdana" w:eastAsia="Century Gothic" w:hAnsi="Verdana" w:cs="Century Gothic"/>
          <w:b/>
          <w:bCs/>
          <w:lang w:val="es-CO"/>
        </w:rPr>
        <w:t>Doctrina de la Agencia Nacional de Contratación Pública:</w:t>
      </w:r>
    </w:p>
    <w:p w14:paraId="73140CCB" w14:textId="77777777" w:rsidR="00EF6139" w:rsidRPr="00380CA4" w:rsidRDefault="00EF6139" w:rsidP="00EF6139">
      <w:pPr>
        <w:widowControl w:val="0"/>
        <w:autoSpaceDE w:val="0"/>
        <w:autoSpaceDN w:val="0"/>
        <w:spacing w:after="0" w:line="276" w:lineRule="auto"/>
        <w:jc w:val="both"/>
        <w:rPr>
          <w:rFonts w:ascii="Verdana" w:hAnsi="Verdana" w:cs="Arial"/>
        </w:rPr>
      </w:pPr>
    </w:p>
    <w:p w14:paraId="633BCEFD" w14:textId="77777777" w:rsidR="00EF6139" w:rsidRPr="00C04BE5" w:rsidRDefault="00EF6139" w:rsidP="00EF6139">
      <w:pPr>
        <w:widowControl w:val="0"/>
        <w:autoSpaceDE w:val="0"/>
        <w:autoSpaceDN w:val="0"/>
        <w:spacing w:after="0" w:line="276" w:lineRule="auto"/>
        <w:jc w:val="both"/>
        <w:rPr>
          <w:rFonts w:ascii="Verdana" w:eastAsia="Calibri" w:hAnsi="Verdana" w:cs="Times New Roman"/>
        </w:rPr>
      </w:pPr>
      <w:r w:rsidRPr="00380CA4">
        <w:rPr>
          <w:rFonts w:ascii="Verdana" w:eastAsia="Calibri" w:hAnsi="Verdana" w:cs="Times New Roman"/>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w:t>
      </w:r>
      <w:r w:rsidRPr="00380CA4">
        <w:rPr>
          <w:rFonts w:ascii="Verdana" w:eastAsia="Calibri" w:hAnsi="Verdana" w:cs="Times New Roman"/>
        </w:rPr>
        <w:lastRenderedPageBreak/>
        <w:t>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C-1401 del 22 de octubre de 2025, C-1512 del 27 de octubre de 2025, C-1488 del 30 de octubre de 2025, C-1596 del 6 de noviembre de 2025, C-1509 del 19 de noviembre de 2025, C-1548 del 2 de diciembre de 2025, C-1773 del 5 de diciembre de 2025, C-1646 del 17 de diciembre de 2025, C-1703 del 29 de diciembre de 2025, C-068 del 27 de enero de 2026</w:t>
      </w:r>
      <w:r>
        <w:rPr>
          <w:rFonts w:ascii="Verdana" w:eastAsia="Calibri" w:hAnsi="Verdana" w:cs="Times New Roman"/>
        </w:rPr>
        <w:t xml:space="preserve">, C-111 del 6 de febrero de 2026, C-127 del 6 de febrero de 2026, entre otros. </w:t>
      </w:r>
      <w:r w:rsidRPr="00380CA4">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880BADF" w14:textId="77777777" w:rsidR="00EF6139" w:rsidRPr="00380CA4" w:rsidRDefault="00EF6139" w:rsidP="00EF6139">
      <w:pPr>
        <w:spacing w:after="0" w:line="256" w:lineRule="auto"/>
        <w:jc w:val="both"/>
        <w:rPr>
          <w:rFonts w:ascii="Verdana" w:eastAsia="Calibri" w:hAnsi="Verdana" w:cs="Times New Roman"/>
        </w:rPr>
      </w:pPr>
      <w:hyperlink r:id="rId13" w:history="1">
        <w:r w:rsidRPr="00380CA4">
          <w:rPr>
            <w:rStyle w:val="Hipervnculo"/>
            <w:rFonts w:ascii="Verdana" w:eastAsia="Calibri" w:hAnsi="Verdana" w:cs="Times New Roman"/>
          </w:rPr>
          <w:t>https://relatoria.colombiacompra.gov.co/busqueda/conceptos</w:t>
        </w:r>
      </w:hyperlink>
      <w:r w:rsidRPr="00380CA4">
        <w:rPr>
          <w:rFonts w:ascii="Verdana" w:eastAsia="Calibri" w:hAnsi="Verdana" w:cs="Times New Roman"/>
        </w:rPr>
        <w:t xml:space="preserve">. </w:t>
      </w:r>
    </w:p>
    <w:p w14:paraId="4D8DB342" w14:textId="77777777" w:rsidR="00EF6139" w:rsidRPr="00380CA4" w:rsidRDefault="00EF6139" w:rsidP="00EF6139">
      <w:pPr>
        <w:widowControl w:val="0"/>
        <w:autoSpaceDE w:val="0"/>
        <w:autoSpaceDN w:val="0"/>
        <w:spacing w:after="0" w:line="276" w:lineRule="auto"/>
        <w:jc w:val="both"/>
        <w:rPr>
          <w:rFonts w:ascii="Verdana" w:hAnsi="Verdana" w:cs="Arial"/>
          <w:color w:val="000000" w:themeColor="text1"/>
          <w:shd w:val="clear" w:color="auto" w:fill="FFFFFF"/>
        </w:rPr>
      </w:pPr>
    </w:p>
    <w:p w14:paraId="5022D84C" w14:textId="77777777" w:rsidR="00EF6139" w:rsidRPr="00231A97" w:rsidRDefault="00EF6139" w:rsidP="00EF6139">
      <w:pPr>
        <w:spacing w:after="0" w:line="256" w:lineRule="auto"/>
        <w:jc w:val="both"/>
        <w:rPr>
          <w:rFonts w:ascii="Verdana" w:eastAsia="Calibri" w:hAnsi="Verdana" w:cs="Times New Roman"/>
        </w:rPr>
      </w:pP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14" w:tgtFrame="_new" w:history="1">
        <w:r w:rsidRPr="00231A97">
          <w:rPr>
            <w:rStyle w:val="Hipervnculo"/>
            <w:rFonts w:ascii="Verdana" w:eastAsia="Calibri" w:hAnsi="Verdana" w:cs="Times New Roman"/>
          </w:rPr>
          <w:t>https://formacionvirtual.colombiacompra.gov.co/mod/page/view.php?id=3718</w:t>
        </w:r>
      </w:hyperlink>
    </w:p>
    <w:p w14:paraId="63D0B5F9" w14:textId="77777777" w:rsidR="00EF6139" w:rsidRPr="00231A97" w:rsidRDefault="00EF6139" w:rsidP="00EF6139">
      <w:pPr>
        <w:spacing w:after="0" w:line="256"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w:t>
      </w:r>
      <w:r w:rsidRPr="00231A97">
        <w:rPr>
          <w:rFonts w:ascii="Verdana" w:eastAsia="Calibri" w:hAnsi="Verdana" w:cs="Times New Roman"/>
        </w:rPr>
        <w:lastRenderedPageBreak/>
        <w:t xml:space="preserve">como educación, salud, cultura, recreación, deporte, institucional y vivienda. Consulta y descarga los documentos aquí: </w:t>
      </w:r>
      <w:hyperlink r:id="rId15" w:tgtFrame="_new" w:history="1">
        <w:r w:rsidRPr="00231A97">
          <w:rPr>
            <w:rStyle w:val="Hipervnculo"/>
            <w:rFonts w:ascii="Verdana" w:eastAsia="Calibri" w:hAnsi="Verdana" w:cs="Times New Roman"/>
          </w:rPr>
          <w:t>https://www.colombiacompra.gov.co/normativa-y-relatoria/documentos-tipo</w:t>
        </w:r>
      </w:hyperlink>
    </w:p>
    <w:p w14:paraId="58E1ED8B" w14:textId="77777777" w:rsidR="00EF6139" w:rsidRPr="00231A97" w:rsidRDefault="00EF6139" w:rsidP="00EF6139">
      <w:pPr>
        <w:spacing w:after="0" w:line="256"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16" w:tgtFrame="_new" w:history="1">
        <w:r w:rsidRPr="00231A97">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6E62D066" w14:textId="77777777" w:rsidR="00EF6139" w:rsidRPr="00380CA4" w:rsidRDefault="00EF6139" w:rsidP="00EF6139">
      <w:pPr>
        <w:shd w:val="clear" w:color="auto" w:fill="FFFFFF"/>
        <w:spacing w:after="0" w:line="276" w:lineRule="auto"/>
        <w:jc w:val="both"/>
        <w:rPr>
          <w:rFonts w:ascii="Verdana" w:hAnsi="Verdana"/>
          <w:color w:val="000000"/>
          <w:u w:val="single"/>
        </w:rPr>
      </w:pPr>
    </w:p>
    <w:p w14:paraId="5FE1D044" w14:textId="77777777" w:rsidR="00EF6139" w:rsidRPr="00380CA4" w:rsidRDefault="00EF6139" w:rsidP="00EF6139">
      <w:pPr>
        <w:spacing w:after="0"/>
        <w:jc w:val="both"/>
        <w:rPr>
          <w:rFonts w:ascii="Verdana" w:hAnsi="Verdana"/>
        </w:rPr>
      </w:pPr>
      <w:r w:rsidRPr="00380CA4">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4FF9A3D" w14:textId="77777777" w:rsidR="00EF6139" w:rsidRPr="00380CA4" w:rsidRDefault="00EF6139" w:rsidP="00EF6139">
      <w:pPr>
        <w:spacing w:after="0"/>
        <w:jc w:val="both"/>
        <w:rPr>
          <w:rFonts w:ascii="Verdana" w:hAnsi="Verdana"/>
        </w:rPr>
      </w:pPr>
    </w:p>
    <w:p w14:paraId="0CCD18B0" w14:textId="77777777" w:rsidR="00EF6139" w:rsidRPr="00380CA4" w:rsidRDefault="00EF6139" w:rsidP="00EF6139">
      <w:pPr>
        <w:pStyle w:val="Prrafodelista"/>
        <w:numPr>
          <w:ilvl w:val="0"/>
          <w:numId w:val="15"/>
        </w:numPr>
        <w:spacing w:after="0" w:line="240" w:lineRule="auto"/>
        <w:jc w:val="both"/>
        <w:rPr>
          <w:rFonts w:ascii="Verdana" w:eastAsia="Verdana" w:hAnsi="Verdana" w:cs="Verdana"/>
          <w:color w:val="4472C4" w:themeColor="accent1"/>
          <w:u w:val="single"/>
          <w:lang w:val="es-CO"/>
        </w:rPr>
      </w:pPr>
      <w:r w:rsidRPr="00380CA4">
        <w:rPr>
          <w:rFonts w:ascii="Verdana" w:eastAsia="Verdana" w:hAnsi="Verdana" w:cs="Verdana"/>
          <w:lang w:val="es-CO"/>
        </w:rPr>
        <w:t xml:space="preserve">Línea nacional gratuita o servicio a la ciudadanía (Mesa de servicio): </w:t>
      </w:r>
      <w:r w:rsidRPr="00380CA4">
        <w:rPr>
          <w:rStyle w:val="Hipervnculo"/>
          <w:rFonts w:ascii="Verdana" w:hAnsi="Verdana"/>
          <w:lang w:val="es-CO"/>
        </w:rPr>
        <w:t>01800 0520808</w:t>
      </w:r>
    </w:p>
    <w:p w14:paraId="3338DB99" w14:textId="77777777" w:rsidR="00EF6139" w:rsidRPr="00380CA4" w:rsidRDefault="00EF6139" w:rsidP="00EF6139">
      <w:pPr>
        <w:pStyle w:val="Prrafodelista"/>
        <w:numPr>
          <w:ilvl w:val="0"/>
          <w:numId w:val="15"/>
        </w:numPr>
        <w:spacing w:after="0"/>
        <w:rPr>
          <w:rFonts w:ascii="Verdana" w:eastAsia="Verdana" w:hAnsi="Verdana" w:cs="Verdana"/>
          <w:color w:val="4472C4" w:themeColor="accent1"/>
          <w:u w:val="single"/>
          <w:lang w:val="es-CO"/>
        </w:rPr>
      </w:pPr>
      <w:r w:rsidRPr="00380CA4">
        <w:rPr>
          <w:rFonts w:ascii="Verdana" w:eastAsia="Verdana" w:hAnsi="Verdana" w:cs="Verdana"/>
          <w:lang w:val="es-CO"/>
        </w:rPr>
        <w:t>Línea en Bogotá (Mesa de servicio</w:t>
      </w:r>
      <w:proofErr w:type="gramStart"/>
      <w:r w:rsidRPr="00380CA4">
        <w:rPr>
          <w:rFonts w:ascii="Verdana" w:eastAsia="Verdana" w:hAnsi="Verdana" w:cs="Verdana"/>
          <w:lang w:val="es-CO"/>
        </w:rPr>
        <w:t>):</w:t>
      </w:r>
      <w:r w:rsidRPr="00380CA4">
        <w:rPr>
          <w:rStyle w:val="Hipervnculo"/>
          <w:rFonts w:ascii="Verdana" w:hAnsi="Verdana"/>
          <w:lang w:val="es-CO"/>
        </w:rPr>
        <w:t>+</w:t>
      </w:r>
      <w:proofErr w:type="gramEnd"/>
      <w:r w:rsidRPr="00380CA4">
        <w:rPr>
          <w:rStyle w:val="Hipervnculo"/>
          <w:rFonts w:ascii="Verdana" w:hAnsi="Verdana"/>
          <w:lang w:val="es-CO"/>
        </w:rPr>
        <w:t>57 601 7456788</w:t>
      </w:r>
    </w:p>
    <w:p w14:paraId="274D573F" w14:textId="77777777" w:rsidR="00EF6139" w:rsidRPr="00380CA4" w:rsidRDefault="00EF6139" w:rsidP="00EF6139">
      <w:pPr>
        <w:pStyle w:val="Prrafodelista"/>
        <w:numPr>
          <w:ilvl w:val="0"/>
          <w:numId w:val="15"/>
        </w:numPr>
        <w:spacing w:after="0"/>
        <w:rPr>
          <w:rFonts w:ascii="Verdana" w:eastAsia="Verdana" w:hAnsi="Verdana" w:cs="Verdana"/>
          <w:color w:val="0000FF"/>
          <w:u w:val="single"/>
          <w:lang w:val="es-CO"/>
        </w:rPr>
      </w:pPr>
      <w:r w:rsidRPr="00380CA4">
        <w:rPr>
          <w:rFonts w:ascii="Verdana" w:eastAsia="Verdana" w:hAnsi="Verdana" w:cs="Verdana"/>
          <w:lang w:val="es-CO"/>
        </w:rPr>
        <w:t xml:space="preserve">Correo de radicación de correspondencia: </w:t>
      </w:r>
      <w:hyperlink r:id="rId17">
        <w:r w:rsidRPr="00380CA4">
          <w:rPr>
            <w:rStyle w:val="Hipervnculo"/>
            <w:rFonts w:ascii="Verdana" w:eastAsia="Verdana" w:hAnsi="Verdana" w:cs="Verdana"/>
            <w:lang w:val="es-CO"/>
          </w:rPr>
          <w:t>ventanilladeradicacion@colombiacompra.gov.co</w:t>
        </w:r>
      </w:hyperlink>
    </w:p>
    <w:p w14:paraId="5D18DD7B" w14:textId="77777777" w:rsidR="00EF6139" w:rsidRPr="00380CA4" w:rsidRDefault="00EF6139" w:rsidP="00EF6139">
      <w:pPr>
        <w:pStyle w:val="Prrafodelista"/>
        <w:numPr>
          <w:ilvl w:val="0"/>
          <w:numId w:val="15"/>
        </w:numPr>
        <w:spacing w:after="0"/>
        <w:rPr>
          <w:rFonts w:ascii="Verdana" w:eastAsia="Verdana" w:hAnsi="Verdana" w:cs="Verdana"/>
          <w:color w:val="0000FF"/>
          <w:u w:val="single"/>
          <w:lang w:val="es-CO"/>
        </w:rPr>
      </w:pPr>
      <w:r w:rsidRPr="00380CA4">
        <w:rPr>
          <w:rFonts w:ascii="Verdana" w:eastAsia="Verdana" w:hAnsi="Verdana" w:cs="Verdana"/>
          <w:lang w:val="es-CO"/>
        </w:rPr>
        <w:t xml:space="preserve">Formulario web para PQRSD: </w:t>
      </w:r>
      <w:hyperlink r:id="rId18">
        <w:r w:rsidRPr="00380CA4">
          <w:rPr>
            <w:rStyle w:val="Hipervnculo"/>
            <w:rFonts w:ascii="Verdana" w:eastAsia="Verdana" w:hAnsi="Verdana" w:cs="Verdana"/>
            <w:lang w:val="es-CO"/>
          </w:rPr>
          <w:t>https://www.colombiacompra.gov.co/pqrsd/informacion-importante-antes-de-formular-una-pqrsd</w:t>
        </w:r>
      </w:hyperlink>
    </w:p>
    <w:p w14:paraId="1DF5B078" w14:textId="77777777" w:rsidR="00EF6139" w:rsidRPr="00380CA4" w:rsidRDefault="00EF6139" w:rsidP="00EF6139">
      <w:pPr>
        <w:spacing w:after="0" w:line="240" w:lineRule="auto"/>
        <w:ind w:left="720"/>
        <w:jc w:val="both"/>
        <w:rPr>
          <w:rFonts w:ascii="Verdana" w:hAnsi="Verdana"/>
        </w:rPr>
      </w:pPr>
    </w:p>
    <w:p w14:paraId="757FBDF0" w14:textId="77777777" w:rsidR="00EF6139" w:rsidRPr="00380CA4" w:rsidRDefault="00EF6139" w:rsidP="00EF6139">
      <w:pPr>
        <w:spacing w:after="0" w:line="240" w:lineRule="auto"/>
        <w:rPr>
          <w:rFonts w:ascii="Verdana" w:hAnsi="Verdana"/>
        </w:rPr>
      </w:pPr>
      <w:r w:rsidRPr="00380CA4">
        <w:rPr>
          <w:rFonts w:ascii="Verdana" w:hAnsi="Verdana"/>
        </w:rPr>
        <w:t xml:space="preserve">Evalúa el servicio que ofrece la Agencia por el canal de atención de PQRSD en el siguiente </w:t>
      </w:r>
      <w:proofErr w:type="gramStart"/>
      <w:r w:rsidRPr="00380CA4">
        <w:rPr>
          <w:rFonts w:ascii="Verdana" w:hAnsi="Verdana"/>
        </w:rPr>
        <w:t>enlace :</w:t>
      </w:r>
      <w:proofErr w:type="gramEnd"/>
      <w:hyperlink r:id="rId19" w:tgtFrame="_blank" w:tooltip="https://forms.office.com/r/pphywvs2sz" w:history="1">
        <w:r w:rsidRPr="00380CA4">
          <w:rPr>
            <w:rStyle w:val="Hipervnculo"/>
            <w:rFonts w:ascii="Verdana" w:hAnsi="Verdana"/>
          </w:rPr>
          <w:t>https://forms.office.com/r/pPHyWVs2SZ</w:t>
        </w:r>
      </w:hyperlink>
      <w:r w:rsidRPr="00380CA4">
        <w:rPr>
          <w:rFonts w:ascii="Verdana" w:hAnsi="Verdana"/>
        </w:rPr>
        <w:t xml:space="preserve"> .¡Ayúdanos a mejorar porque el compromiso es de todos!</w:t>
      </w:r>
    </w:p>
    <w:p w14:paraId="40A691EE" w14:textId="77777777" w:rsidR="00EF6139" w:rsidRPr="00380CA4" w:rsidRDefault="00EF6139" w:rsidP="00EF6139">
      <w:pPr>
        <w:spacing w:after="0" w:line="240" w:lineRule="auto"/>
        <w:rPr>
          <w:rFonts w:ascii="Verdana" w:hAnsi="Verdana"/>
        </w:rPr>
      </w:pPr>
    </w:p>
    <w:p w14:paraId="5139271C" w14:textId="77777777" w:rsidR="00EF6139" w:rsidRPr="00380CA4" w:rsidRDefault="00EF6139" w:rsidP="00EF6139">
      <w:pPr>
        <w:spacing w:after="0" w:line="240" w:lineRule="auto"/>
        <w:jc w:val="both"/>
        <w:rPr>
          <w:rFonts w:ascii="Verdana" w:hAnsi="Verdana"/>
        </w:rPr>
      </w:pPr>
      <w:r w:rsidRPr="00380CA4">
        <w:rPr>
          <w:rFonts w:ascii="Verdana" w:hAnsi="Verdana"/>
        </w:rPr>
        <w:t xml:space="preserve">Por último, lo invitamos a seguirnos en las redes sociales en las cuales se difunde información institucional: </w:t>
      </w:r>
    </w:p>
    <w:p w14:paraId="189E3A3C" w14:textId="77777777" w:rsidR="00EF6139" w:rsidRPr="00380CA4" w:rsidRDefault="00EF6139" w:rsidP="00EF6139">
      <w:pPr>
        <w:spacing w:after="0" w:line="240" w:lineRule="auto"/>
        <w:jc w:val="both"/>
        <w:rPr>
          <w:rFonts w:ascii="Verdana" w:hAnsi="Verdana"/>
        </w:rPr>
      </w:pPr>
    </w:p>
    <w:p w14:paraId="092CDA34" w14:textId="77777777" w:rsidR="00EF6139" w:rsidRPr="00380CA4" w:rsidRDefault="00EF6139" w:rsidP="00EF6139">
      <w:pPr>
        <w:spacing w:after="0" w:line="240" w:lineRule="auto"/>
        <w:jc w:val="both"/>
        <w:rPr>
          <w:rFonts w:ascii="Verdana" w:hAnsi="Verdana"/>
        </w:rPr>
      </w:pPr>
      <w:r w:rsidRPr="00380CA4">
        <w:rPr>
          <w:rFonts w:ascii="Verdana" w:hAnsi="Verdana"/>
        </w:rPr>
        <w:lastRenderedPageBreak/>
        <w:t xml:space="preserve">Twitter: </w:t>
      </w:r>
      <w:r w:rsidRPr="00380CA4">
        <w:rPr>
          <w:rStyle w:val="Hipervnculo"/>
          <w:rFonts w:ascii="Verdana" w:hAnsi="Verdana"/>
        </w:rPr>
        <w:t>@colombiacompra</w:t>
      </w:r>
      <w:r w:rsidRPr="00380CA4">
        <w:rPr>
          <w:rFonts w:ascii="Verdana" w:hAnsi="Verdana"/>
        </w:rPr>
        <w:t xml:space="preserve"> </w:t>
      </w:r>
    </w:p>
    <w:p w14:paraId="18BBBE88" w14:textId="77777777" w:rsidR="00EF6139" w:rsidRPr="00380CA4" w:rsidRDefault="00EF6139" w:rsidP="00EF6139">
      <w:pPr>
        <w:spacing w:after="0" w:line="240" w:lineRule="auto"/>
        <w:jc w:val="both"/>
        <w:rPr>
          <w:rFonts w:ascii="Verdana" w:hAnsi="Verdana"/>
        </w:rPr>
      </w:pPr>
      <w:r w:rsidRPr="00380CA4">
        <w:rPr>
          <w:rFonts w:ascii="Verdana" w:hAnsi="Verdana"/>
        </w:rPr>
        <w:t xml:space="preserve">Facebook: </w:t>
      </w:r>
      <w:proofErr w:type="spellStart"/>
      <w:r w:rsidRPr="00380CA4">
        <w:rPr>
          <w:rStyle w:val="Hipervnculo"/>
          <w:rFonts w:ascii="Verdana" w:hAnsi="Verdana"/>
        </w:rPr>
        <w:t>ColombiaCompraEficiente</w:t>
      </w:r>
      <w:proofErr w:type="spellEnd"/>
    </w:p>
    <w:p w14:paraId="75891F60" w14:textId="77777777" w:rsidR="00EF6139" w:rsidRPr="00380CA4" w:rsidRDefault="00EF6139" w:rsidP="00EF6139">
      <w:pPr>
        <w:spacing w:after="0" w:line="240" w:lineRule="auto"/>
        <w:jc w:val="both"/>
        <w:rPr>
          <w:rFonts w:ascii="Verdana" w:hAnsi="Verdana"/>
        </w:rPr>
      </w:pPr>
      <w:r w:rsidRPr="00380CA4">
        <w:rPr>
          <w:rFonts w:ascii="Verdana" w:hAnsi="Verdana"/>
        </w:rPr>
        <w:t xml:space="preserve">LinkedIn: </w:t>
      </w:r>
      <w:r w:rsidRPr="00380CA4">
        <w:rPr>
          <w:rStyle w:val="Hipervnculo"/>
          <w:rFonts w:ascii="Verdana" w:hAnsi="Verdana"/>
        </w:rPr>
        <w:t>Agencia Nacional de Contratación Pública - Colombia Compra Eficiente</w:t>
      </w:r>
      <w:r w:rsidRPr="00380CA4">
        <w:rPr>
          <w:rFonts w:ascii="Verdana" w:hAnsi="Verdana"/>
        </w:rPr>
        <w:t xml:space="preserve"> Instagram: </w:t>
      </w:r>
      <w:r w:rsidRPr="00380CA4">
        <w:rPr>
          <w:rStyle w:val="Hipervnculo"/>
          <w:rFonts w:ascii="Verdana" w:hAnsi="Verdana"/>
        </w:rPr>
        <w:t>@colombiacompraeficiente_cce</w:t>
      </w:r>
    </w:p>
    <w:p w14:paraId="28859A04" w14:textId="77777777" w:rsidR="00EF6139" w:rsidRPr="00380CA4" w:rsidRDefault="00EF6139" w:rsidP="00EF6139">
      <w:pPr>
        <w:spacing w:after="0" w:line="240" w:lineRule="auto"/>
        <w:jc w:val="both"/>
        <w:rPr>
          <w:rFonts w:ascii="Verdana" w:hAnsi="Verdana"/>
        </w:rPr>
      </w:pPr>
    </w:p>
    <w:p w14:paraId="287253E9" w14:textId="77777777" w:rsidR="00EF6139" w:rsidRPr="00380CA4" w:rsidRDefault="00EF6139" w:rsidP="00EF6139">
      <w:pPr>
        <w:spacing w:after="0" w:line="256" w:lineRule="auto"/>
        <w:jc w:val="both"/>
        <w:rPr>
          <w:rFonts w:ascii="Verdana" w:eastAsia="Calibri" w:hAnsi="Verdana" w:cs="Times New Roman"/>
          <w:bCs/>
        </w:rPr>
      </w:pPr>
      <w:r w:rsidRPr="00380CA4">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509DDEC" w14:textId="77777777" w:rsidR="00EF6139" w:rsidRPr="00380CA4" w:rsidRDefault="00EF6139" w:rsidP="00EF6139">
      <w:pPr>
        <w:spacing w:after="0" w:line="256" w:lineRule="auto"/>
        <w:jc w:val="both"/>
        <w:rPr>
          <w:rFonts w:ascii="Verdana" w:eastAsia="Calibri" w:hAnsi="Verdana" w:cs="Times New Roman"/>
        </w:rPr>
      </w:pPr>
    </w:p>
    <w:p w14:paraId="26937D21" w14:textId="77777777" w:rsidR="00EF6139" w:rsidRPr="00380CA4" w:rsidRDefault="00EF6139" w:rsidP="00EF6139">
      <w:pPr>
        <w:spacing w:after="0" w:line="256" w:lineRule="auto"/>
        <w:jc w:val="both"/>
        <w:rPr>
          <w:rFonts w:ascii="Verdana" w:eastAsia="Calibri" w:hAnsi="Verdana" w:cs="Times New Roman"/>
        </w:rPr>
      </w:pPr>
      <w:r w:rsidRPr="00380CA4">
        <w:rPr>
          <w:rFonts w:ascii="Verdana" w:eastAsia="Calibri" w:hAnsi="Verdana" w:cs="Times New Roman"/>
        </w:rPr>
        <w:t>Atentamente,</w:t>
      </w:r>
    </w:p>
    <w:p w14:paraId="03341F07" w14:textId="77777777" w:rsidR="00EF6139" w:rsidRPr="00380CA4" w:rsidRDefault="00EF6139" w:rsidP="00EF6139">
      <w:pPr>
        <w:spacing w:after="0" w:line="256" w:lineRule="auto"/>
        <w:jc w:val="center"/>
        <w:rPr>
          <w:rFonts w:ascii="Century Gothic" w:hAnsi="Century Gothic"/>
          <w:noProof/>
        </w:rPr>
      </w:pPr>
    </w:p>
    <w:p w14:paraId="01970053" w14:textId="761BF439" w:rsidR="00EF6139" w:rsidRPr="00380CA4" w:rsidRDefault="0037512C" w:rsidP="00EF6139">
      <w:pPr>
        <w:spacing w:after="0" w:line="256" w:lineRule="auto"/>
        <w:jc w:val="center"/>
        <w:rPr>
          <w:rFonts w:ascii="Century Gothic" w:hAnsi="Century Gothic"/>
          <w:noProof/>
        </w:rPr>
      </w:pPr>
      <w:r w:rsidRPr="002C3AD6">
        <w:rPr>
          <w:rFonts w:ascii="Century Gothic" w:hAnsi="Century Gothic"/>
          <w:noProof/>
          <w:lang w:val="en-US"/>
        </w:rPr>
        <w:drawing>
          <wp:inline distT="0" distB="0" distL="0" distR="0" wp14:anchorId="297520D3" wp14:editId="0D790AB5">
            <wp:extent cx="3638940" cy="1350818"/>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686903" cy="1368622"/>
                    </a:xfrm>
                    <a:prstGeom prst="rect">
                      <a:avLst/>
                    </a:prstGeom>
                  </pic:spPr>
                </pic:pic>
              </a:graphicData>
            </a:graphic>
          </wp:inline>
        </w:drawing>
      </w:r>
      <w:r w:rsidR="00EF6139" w:rsidRPr="00380CA4">
        <w:rPr>
          <w:rFonts w:ascii="Verdana" w:hAnsi="Verdana"/>
          <w:sz w:val="16"/>
          <w:szCs w:val="16"/>
        </w:rPr>
        <w:t xml:space="preserve"> </w:t>
      </w:r>
    </w:p>
    <w:p w14:paraId="18F42D26" w14:textId="77777777" w:rsidR="00EF6139" w:rsidRPr="00380CA4" w:rsidRDefault="00EF6139" w:rsidP="00EF6139">
      <w:pPr>
        <w:spacing w:after="0" w:line="256" w:lineRule="auto"/>
        <w:jc w:val="center"/>
        <w:rPr>
          <w:rFonts w:ascii="Century Gothic" w:hAnsi="Century Gothic"/>
          <w:noProof/>
          <w:sz w:val="16"/>
          <w:szCs w:val="16"/>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EF6139" w:rsidRPr="00380CA4" w14:paraId="54620D9B" w14:textId="77777777" w:rsidTr="00F33237">
        <w:trPr>
          <w:trHeight w:val="409"/>
        </w:trPr>
        <w:tc>
          <w:tcPr>
            <w:tcW w:w="817" w:type="dxa"/>
            <w:tcBorders>
              <w:top w:val="nil"/>
              <w:left w:val="nil"/>
              <w:bottom w:val="nil"/>
              <w:right w:val="nil"/>
            </w:tcBorders>
            <w:vAlign w:val="center"/>
            <w:hideMark/>
          </w:tcPr>
          <w:p w14:paraId="6A74CFBB" w14:textId="77777777" w:rsidR="00EF6139" w:rsidRPr="00380CA4" w:rsidRDefault="00EF6139" w:rsidP="00F33237">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1E522A35" w14:textId="77777777" w:rsidR="00EF6139" w:rsidRPr="00380CA4" w:rsidRDefault="00EF6139" w:rsidP="00F33237">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José Luis Sánchez Cardona</w:t>
            </w:r>
          </w:p>
          <w:p w14:paraId="512A072C" w14:textId="77777777" w:rsidR="00EF6139" w:rsidRPr="00380CA4" w:rsidRDefault="00EF6139" w:rsidP="00F33237">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Contratista de la Subdirección de Gestión Contractual</w:t>
            </w:r>
          </w:p>
        </w:tc>
      </w:tr>
      <w:tr w:rsidR="00EF6139" w:rsidRPr="00380CA4" w14:paraId="09A90E9E" w14:textId="77777777" w:rsidTr="00F33237">
        <w:trPr>
          <w:trHeight w:val="409"/>
        </w:trPr>
        <w:tc>
          <w:tcPr>
            <w:tcW w:w="817" w:type="dxa"/>
            <w:tcBorders>
              <w:top w:val="nil"/>
              <w:left w:val="nil"/>
              <w:bottom w:val="nil"/>
              <w:right w:val="nil"/>
            </w:tcBorders>
            <w:vAlign w:val="center"/>
            <w:hideMark/>
          </w:tcPr>
          <w:p w14:paraId="50B0DF5B" w14:textId="77777777" w:rsidR="00EF6139" w:rsidRPr="00380CA4" w:rsidRDefault="00EF6139" w:rsidP="00F33237">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C757D0D" w14:textId="77777777" w:rsidR="00EF6139" w:rsidRPr="00380CA4" w:rsidRDefault="00EF6139" w:rsidP="00F33237">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Alejandro R. Sarmiento Cantillo</w:t>
            </w:r>
          </w:p>
          <w:p w14:paraId="324B3124" w14:textId="77777777" w:rsidR="00EF6139" w:rsidRPr="00380CA4" w:rsidRDefault="00EF6139" w:rsidP="00F33237">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Gestor T1-15 de la Subdirección de Gestión Contractual </w:t>
            </w:r>
          </w:p>
        </w:tc>
      </w:tr>
      <w:tr w:rsidR="00EF6139" w:rsidRPr="00380CA4" w14:paraId="70A0DFD6" w14:textId="77777777" w:rsidTr="00F33237">
        <w:trPr>
          <w:trHeight w:val="389"/>
        </w:trPr>
        <w:tc>
          <w:tcPr>
            <w:tcW w:w="817" w:type="dxa"/>
            <w:tcBorders>
              <w:top w:val="nil"/>
              <w:left w:val="nil"/>
              <w:bottom w:val="nil"/>
              <w:right w:val="nil"/>
            </w:tcBorders>
            <w:vAlign w:val="center"/>
            <w:hideMark/>
          </w:tcPr>
          <w:p w14:paraId="35A28363" w14:textId="77777777" w:rsidR="00EF6139" w:rsidRPr="00380CA4" w:rsidRDefault="00EF6139" w:rsidP="00F33237">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6974B73" w14:textId="77777777" w:rsidR="00EF6139" w:rsidRPr="00380CA4" w:rsidRDefault="00EF6139" w:rsidP="00F33237">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Carolina Quintero Gacharná</w:t>
            </w:r>
          </w:p>
          <w:p w14:paraId="6536567D" w14:textId="77777777" w:rsidR="00EF6139" w:rsidRPr="00380CA4" w:rsidRDefault="00EF6139" w:rsidP="00F33237">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Subdirectora de Gestión Contractual ANCP – CCE</w:t>
            </w:r>
          </w:p>
        </w:tc>
      </w:tr>
      <w:bookmarkEnd w:id="0"/>
    </w:tbl>
    <w:p w14:paraId="41FD1E17" w14:textId="04CD15B3" w:rsidR="004674CF" w:rsidRPr="00EF6139" w:rsidRDefault="004674CF" w:rsidP="00EF6139"/>
    <w:sectPr w:rsidR="004674CF" w:rsidRPr="00EF6139"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21A3B6" w14:textId="77777777" w:rsidR="006C1235" w:rsidRDefault="006C1235" w:rsidP="004A1847">
      <w:pPr>
        <w:spacing w:after="0" w:line="240" w:lineRule="auto"/>
      </w:pPr>
      <w:r>
        <w:separator/>
      </w:r>
    </w:p>
  </w:endnote>
  <w:endnote w:type="continuationSeparator" w:id="0">
    <w:p w14:paraId="067559D2" w14:textId="77777777" w:rsidR="006C1235" w:rsidRDefault="006C1235" w:rsidP="004A1847">
      <w:pPr>
        <w:spacing w:after="0" w:line="240" w:lineRule="auto"/>
      </w:pPr>
      <w:r>
        <w:continuationSeparator/>
      </w:r>
    </w:p>
  </w:endnote>
  <w:endnote w:type="continuationNotice" w:id="1">
    <w:p w14:paraId="23C8F861" w14:textId="77777777" w:rsidR="006C1235" w:rsidRDefault="006C12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014B2141"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37512C" w:rsidRPr="0037512C">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1FF66F" w14:textId="77777777" w:rsidR="006C1235" w:rsidRDefault="006C1235" w:rsidP="004A1847">
      <w:pPr>
        <w:spacing w:after="0" w:line="240" w:lineRule="auto"/>
      </w:pPr>
      <w:r>
        <w:separator/>
      </w:r>
    </w:p>
  </w:footnote>
  <w:footnote w:type="continuationSeparator" w:id="0">
    <w:p w14:paraId="63CDF29F" w14:textId="77777777" w:rsidR="006C1235" w:rsidRDefault="006C1235" w:rsidP="004A1847">
      <w:pPr>
        <w:spacing w:after="0" w:line="240" w:lineRule="auto"/>
      </w:pPr>
      <w:r>
        <w:continuationSeparator/>
      </w:r>
    </w:p>
  </w:footnote>
  <w:footnote w:type="continuationNotice" w:id="1">
    <w:p w14:paraId="632AD675" w14:textId="77777777" w:rsidR="006C1235" w:rsidRDefault="006C1235">
      <w:pPr>
        <w:spacing w:after="0" w:line="240" w:lineRule="auto"/>
      </w:pPr>
    </w:p>
  </w:footnote>
  <w:footnote w:id="2">
    <w:p w14:paraId="12D1DC03" w14:textId="77777777" w:rsidR="00EF6139" w:rsidRPr="00C6095C" w:rsidRDefault="00EF6139" w:rsidP="00EF6139">
      <w:pPr>
        <w:pStyle w:val="Textonotapie"/>
        <w:ind w:firstLine="709"/>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7F227A0" w14:textId="77777777" w:rsidR="00EF6139" w:rsidRPr="00C6095C" w:rsidRDefault="00EF6139" w:rsidP="00EF6139">
      <w:pPr>
        <w:pStyle w:val="Textonotapie"/>
        <w:ind w:firstLine="709"/>
        <w:jc w:val="both"/>
        <w:rPr>
          <w:rFonts w:ascii="Verdana" w:hAnsi="Verdana" w:cs="Arial"/>
          <w:sz w:val="15"/>
          <w:szCs w:val="15"/>
        </w:rPr>
      </w:pPr>
      <w:r w:rsidRPr="00C6095C">
        <w:rPr>
          <w:rFonts w:ascii="Verdana" w:hAnsi="Verdana" w:cs="Arial"/>
          <w:sz w:val="15"/>
          <w:szCs w:val="15"/>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3FE6D202" w14:textId="77777777" w:rsidR="00EF6139" w:rsidRPr="00C6095C" w:rsidRDefault="00EF6139" w:rsidP="00EF6139">
      <w:pPr>
        <w:pStyle w:val="Textonotapie"/>
        <w:ind w:firstLine="709"/>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Gaceta del Congreso de la República No. 71 del 2005.</w:t>
      </w:r>
    </w:p>
  </w:footnote>
  <w:footnote w:id="4">
    <w:p w14:paraId="15136900" w14:textId="77777777" w:rsidR="00EF6139" w:rsidRPr="00C6095C" w:rsidRDefault="00EF6139" w:rsidP="00EF6139">
      <w:pPr>
        <w:pStyle w:val="Textonotapie"/>
        <w:ind w:firstLine="709"/>
        <w:jc w:val="both"/>
        <w:rPr>
          <w:rFonts w:ascii="Verdana" w:hAnsi="Verdana" w:cs="Arial"/>
          <w:sz w:val="15"/>
          <w:szCs w:val="15"/>
          <w:lang w:val="pt-BR"/>
        </w:rPr>
      </w:pPr>
      <w:r w:rsidRPr="00C6095C">
        <w:rPr>
          <w:rStyle w:val="Refdenotaalpie"/>
          <w:rFonts w:ascii="Verdana" w:hAnsi="Verdana" w:cs="Arial"/>
          <w:sz w:val="15"/>
          <w:szCs w:val="15"/>
        </w:rPr>
        <w:footnoteRef/>
      </w:r>
      <w:r w:rsidRPr="00C6095C">
        <w:rPr>
          <w:rFonts w:ascii="Verdana" w:hAnsi="Verdana" w:cs="Arial"/>
          <w:sz w:val="15"/>
          <w:szCs w:val="15"/>
          <w:lang w:val="pt-BR"/>
        </w:rPr>
        <w:t xml:space="preserve"> Corte Constitucional, Sentencia C- 1153 de 2005, M.P. Marco Gerardo Monroy Cabra.</w:t>
      </w:r>
    </w:p>
  </w:footnote>
  <w:footnote w:id="5">
    <w:p w14:paraId="24AFE969" w14:textId="77777777" w:rsidR="00EF6139" w:rsidRPr="00C6095C" w:rsidRDefault="00EF6139" w:rsidP="00EF6139">
      <w:pPr>
        <w:pStyle w:val="Textonotapie"/>
        <w:ind w:firstLine="709"/>
        <w:jc w:val="both"/>
        <w:rPr>
          <w:rFonts w:ascii="Verdana" w:hAnsi="Verdana" w:cs="Arial"/>
          <w:sz w:val="15"/>
          <w:szCs w:val="15"/>
          <w:lang w:val="pt-BR"/>
        </w:rPr>
      </w:pPr>
      <w:r w:rsidRPr="00C6095C">
        <w:rPr>
          <w:rStyle w:val="Refdenotaalpie"/>
          <w:rFonts w:ascii="Verdana" w:hAnsi="Verdana" w:cs="Arial"/>
          <w:sz w:val="15"/>
          <w:szCs w:val="15"/>
        </w:rPr>
        <w:footnoteRef/>
      </w:r>
      <w:r w:rsidRPr="00C6095C">
        <w:rPr>
          <w:rFonts w:ascii="Verdana" w:hAnsi="Verdana" w:cs="Arial"/>
          <w:sz w:val="15"/>
          <w:szCs w:val="15"/>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0B9A34C5" w14:textId="77777777" w:rsidR="00EF6139" w:rsidRPr="00C6095C" w:rsidRDefault="00EF6139" w:rsidP="00EF6139">
      <w:pPr>
        <w:pStyle w:val="Textonotapie"/>
        <w:ind w:firstLine="709"/>
        <w:jc w:val="both"/>
        <w:rPr>
          <w:rFonts w:ascii="Verdana" w:hAnsi="Verdana" w:cs="Arial"/>
          <w:sz w:val="15"/>
          <w:szCs w:val="15"/>
          <w:lang w:val="es-CO"/>
        </w:rPr>
      </w:pPr>
      <w:r w:rsidRPr="00C6095C">
        <w:rPr>
          <w:rStyle w:val="Refdenotaalpie"/>
          <w:rFonts w:ascii="Verdana" w:hAnsi="Verdana" w:cs="Arial"/>
          <w:sz w:val="15"/>
          <w:szCs w:val="15"/>
        </w:rPr>
        <w:footnoteRef/>
      </w:r>
      <w:r w:rsidRPr="00C6095C">
        <w:rPr>
          <w:rFonts w:ascii="Verdana" w:hAnsi="Verdana" w:cs="Arial"/>
          <w:sz w:val="15"/>
          <w:szCs w:val="15"/>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35E711F4" w14:textId="77777777" w:rsidR="00EF6139" w:rsidRPr="00C6095C" w:rsidRDefault="00EF6139" w:rsidP="00EF6139">
      <w:pPr>
        <w:pStyle w:val="Textonotapie"/>
        <w:ind w:firstLine="709"/>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Consejo de Estado, Sala de Consulta y Servicio Civil de fecha 24 de julio de 2013, radicado 2166, C. P. Álvaro Namén Vargas.  </w:t>
      </w:r>
    </w:p>
  </w:footnote>
  <w:footnote w:id="8">
    <w:p w14:paraId="7CA893CE" w14:textId="77777777" w:rsidR="00EF6139" w:rsidRPr="00C6095C" w:rsidRDefault="00EF6139" w:rsidP="00EF6139">
      <w:pPr>
        <w:spacing w:after="0" w:line="240" w:lineRule="auto"/>
        <w:ind w:firstLine="709"/>
        <w:jc w:val="both"/>
        <w:rPr>
          <w:rFonts w:ascii="Verdana" w:eastAsia="Times New Roman"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w:t>
      </w:r>
      <w:bookmarkStart w:id="5" w:name="33"/>
      <w:r w:rsidRPr="00C6095C">
        <w:rPr>
          <w:rFonts w:ascii="Verdana" w:eastAsia="Calibri" w:hAnsi="Verdana" w:cs="Arial"/>
          <w:color w:val="000000"/>
          <w:sz w:val="15"/>
          <w:szCs w:val="15"/>
        </w:rPr>
        <w:t>“</w:t>
      </w:r>
      <w:r w:rsidRPr="00C6095C">
        <w:rPr>
          <w:rFonts w:ascii="Verdana" w:eastAsia="Times New Roman" w:hAnsi="Verdana" w:cs="Arial"/>
          <w:sz w:val="15"/>
          <w:szCs w:val="15"/>
        </w:rPr>
        <w:t>Artículo 33. Restricciones a la contratación pública.</w:t>
      </w:r>
      <w:bookmarkEnd w:id="5"/>
      <w:r w:rsidRPr="00C6095C">
        <w:rPr>
          <w:rFonts w:ascii="Verdana" w:eastAsia="Times New Roman" w:hAnsi="Verdana" w:cs="Arial"/>
          <w:sz w:val="15"/>
          <w:szCs w:val="15"/>
        </w:rPr>
        <w:t> Durante los cuatro (4) meses anteriores a la elección presidencial y hasta la realización de la elección en la segunda vuelta, si fuere el caso, queda prohibida la contratación directa por parte de todos los entes del Estado.</w:t>
      </w:r>
    </w:p>
    <w:p w14:paraId="6A3B41B1" w14:textId="77777777" w:rsidR="00EF6139" w:rsidRPr="00C6095C" w:rsidRDefault="00EF6139" w:rsidP="00EF6139">
      <w:pPr>
        <w:spacing w:after="0" w:line="240" w:lineRule="auto"/>
        <w:ind w:firstLine="709"/>
        <w:jc w:val="both"/>
        <w:rPr>
          <w:rFonts w:ascii="Verdana" w:eastAsia="Times New Roman" w:hAnsi="Verdana" w:cs="Arial"/>
          <w:sz w:val="15"/>
          <w:szCs w:val="15"/>
        </w:rPr>
      </w:pPr>
      <w:r w:rsidRPr="00C6095C">
        <w:rPr>
          <w:rFonts w:ascii="Verdana" w:eastAsia="Times New Roman" w:hAnsi="Verdana" w:cs="Arial"/>
          <w:sz w:val="15"/>
          <w:szCs w:val="15"/>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6095C">
        <w:rPr>
          <w:rFonts w:ascii="Verdana" w:eastAsia="Calibri" w:hAnsi="Verdana" w:cs="Arial"/>
          <w:color w:val="000000"/>
          <w:sz w:val="15"/>
          <w:szCs w:val="15"/>
        </w:rPr>
        <w:t>”</w:t>
      </w:r>
      <w:r w:rsidRPr="00C6095C">
        <w:rPr>
          <w:rFonts w:ascii="Verdana" w:eastAsia="Times New Roman" w:hAnsi="Verdana" w:cs="Arial"/>
          <w:sz w:val="15"/>
          <w:szCs w:val="15"/>
        </w:rPr>
        <w:t>.</w:t>
      </w:r>
    </w:p>
  </w:footnote>
  <w:footnote w:id="9">
    <w:p w14:paraId="7E5406E1" w14:textId="77777777" w:rsidR="00EF6139" w:rsidRPr="00C6095C" w:rsidRDefault="00EF6139" w:rsidP="00EF6139">
      <w:pPr>
        <w:pStyle w:val="NormalWeb"/>
        <w:spacing w:before="0" w:beforeAutospacing="0" w:after="0" w:afterAutospacing="0"/>
        <w:ind w:firstLine="709"/>
        <w:jc w:val="both"/>
        <w:rPr>
          <w:rFonts w:ascii="Verdana" w:hAnsi="Verdana" w:cs="Arial"/>
          <w:sz w:val="15"/>
          <w:szCs w:val="15"/>
          <w:lang w:val="es-MX"/>
        </w:rPr>
      </w:pPr>
      <w:r w:rsidRPr="00C6095C">
        <w:rPr>
          <w:rStyle w:val="Refdenotaalpie"/>
          <w:rFonts w:ascii="Verdana" w:hAnsi="Verdana" w:cs="Arial"/>
          <w:sz w:val="15"/>
          <w:szCs w:val="15"/>
        </w:rPr>
        <w:footnoteRef/>
      </w:r>
      <w:r w:rsidRPr="00C6095C">
        <w:rPr>
          <w:rFonts w:ascii="Verdana" w:hAnsi="Verdana" w:cs="Arial"/>
          <w:sz w:val="15"/>
          <w:szCs w:val="15"/>
        </w:rPr>
        <w:t xml:space="preserve"> </w:t>
      </w:r>
      <w:bookmarkStart w:id="6" w:name="38"/>
      <w:r w:rsidRPr="00C6095C">
        <w:rPr>
          <w:rFonts w:ascii="Verdana" w:eastAsia="Calibri" w:hAnsi="Verdana" w:cs="Arial"/>
          <w:color w:val="000000"/>
          <w:sz w:val="15"/>
          <w:szCs w:val="15"/>
        </w:rPr>
        <w:t>“</w:t>
      </w:r>
      <w:r w:rsidRPr="00C6095C">
        <w:rPr>
          <w:rFonts w:ascii="Verdana" w:hAnsi="Verdana" w:cs="Arial"/>
          <w:sz w:val="15"/>
          <w:szCs w:val="15"/>
          <w:lang w:val="es-MX"/>
        </w:rPr>
        <w:t>Artículo 38. Prohibiciones para los servidores públicos. A los empleados del Estado les está prohibido:</w:t>
      </w:r>
      <w:bookmarkEnd w:id="6"/>
      <w:r w:rsidRPr="00C6095C">
        <w:rPr>
          <w:rFonts w:ascii="Verdana" w:hAnsi="Verdana" w:cs="Arial"/>
          <w:sz w:val="15"/>
          <w:szCs w:val="15"/>
          <w:lang w:val="es-MX"/>
        </w:rPr>
        <w:t xml:space="preserve"> […]</w:t>
      </w:r>
    </w:p>
    <w:p w14:paraId="7898CEEF" w14:textId="77777777" w:rsidR="00EF6139" w:rsidRPr="00C6095C" w:rsidRDefault="00EF6139" w:rsidP="00EF6139">
      <w:pPr>
        <w:pStyle w:val="NormalWeb"/>
        <w:spacing w:before="0" w:beforeAutospacing="0" w:after="0" w:afterAutospacing="0"/>
        <w:ind w:firstLine="709"/>
        <w:jc w:val="both"/>
        <w:rPr>
          <w:rFonts w:ascii="Verdana" w:hAnsi="Verdana" w:cs="Arial"/>
          <w:sz w:val="15"/>
          <w:szCs w:val="15"/>
          <w:lang w:val="es-MX"/>
        </w:rPr>
      </w:pPr>
      <w:r w:rsidRPr="00C6095C">
        <w:rPr>
          <w:rStyle w:val="baj"/>
          <w:rFonts w:ascii="Verdana" w:hAnsi="Verdana" w:cs="Arial"/>
          <w:sz w:val="15"/>
          <w:szCs w:val="15"/>
          <w:lang w:val="es-MX"/>
        </w:rPr>
        <w:t>Parágrafo.</w:t>
      </w:r>
      <w:r w:rsidRPr="00C6095C">
        <w:rPr>
          <w:rFonts w:ascii="Verdana" w:hAnsi="Verdana" w:cs="Arial"/>
          <w:sz w:val="15"/>
          <w:szCs w:val="15"/>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6095C">
        <w:rPr>
          <w:rFonts w:ascii="Verdana" w:eastAsia="Calibri" w:hAnsi="Verdana" w:cs="Arial"/>
          <w:color w:val="000000"/>
          <w:sz w:val="15"/>
          <w:szCs w:val="15"/>
        </w:rPr>
        <w:t>”</w:t>
      </w:r>
      <w:r w:rsidRPr="00C6095C">
        <w:rPr>
          <w:rFonts w:ascii="Verdana" w:hAnsi="Verdana" w:cs="Arial"/>
          <w:sz w:val="15"/>
          <w:szCs w:val="15"/>
          <w:lang w:val="es-MX"/>
        </w:rPr>
        <w:t>.</w:t>
      </w:r>
    </w:p>
  </w:footnote>
  <w:footnote w:id="10">
    <w:p w14:paraId="1947A7EE" w14:textId="77777777" w:rsidR="00EF6139" w:rsidRPr="00C6095C" w:rsidRDefault="00EF6139" w:rsidP="00EF6139">
      <w:pPr>
        <w:pStyle w:val="Textonotapie"/>
        <w:ind w:firstLine="708"/>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Colombia Compra Eficiente. Circular Externa Única. Numeral 16.5. </w:t>
      </w:r>
    </w:p>
  </w:footnote>
  <w:footnote w:id="11">
    <w:p w14:paraId="6D0207BC" w14:textId="77777777" w:rsidR="00EF6139" w:rsidRPr="00C6095C" w:rsidRDefault="00EF6139" w:rsidP="00EF6139">
      <w:pPr>
        <w:spacing w:after="0" w:line="240" w:lineRule="auto"/>
        <w:ind w:left="100" w:right="244" w:firstLine="709"/>
        <w:jc w:val="both"/>
        <w:rPr>
          <w:rFonts w:ascii="Verdana" w:hAnsi="Verdana" w:cs="Arial"/>
          <w:sz w:val="15"/>
          <w:szCs w:val="15"/>
          <w:lang w:val="es-ES"/>
        </w:rPr>
      </w:pPr>
      <w:r w:rsidRPr="00C6095C">
        <w:rPr>
          <w:rStyle w:val="Refdenotaalpie"/>
          <w:rFonts w:ascii="Verdana" w:hAnsi="Verdana" w:cs="Arial"/>
          <w:sz w:val="15"/>
          <w:szCs w:val="15"/>
        </w:rPr>
        <w:footnoteRef/>
      </w:r>
      <w:r w:rsidRPr="00C6095C">
        <w:rPr>
          <w:rFonts w:ascii="Verdana" w:hAnsi="Verdana" w:cs="Arial"/>
          <w:sz w:val="15"/>
          <w:szCs w:val="15"/>
        </w:rPr>
        <w:t xml:space="preserve"> Consejo de Estado. Sala de Consulta y Servicio Civil. Concepto del 17 de febrero de 2015. C.P. William Zambrano Cetina. Radicación No. 11001-03-06-000-2015-00164-00(2269).</w:t>
      </w:r>
    </w:p>
  </w:footnote>
  <w:footnote w:id="12">
    <w:p w14:paraId="01EFB2EF" w14:textId="77777777" w:rsidR="00EF6139" w:rsidRPr="00C6095C" w:rsidRDefault="00EF6139" w:rsidP="00EF6139">
      <w:pPr>
        <w:pStyle w:val="Textonotapie"/>
        <w:ind w:right="51" w:firstLine="709"/>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w:t>
      </w:r>
      <w:r w:rsidRPr="00C6095C">
        <w:rPr>
          <w:rFonts w:ascii="Verdana" w:hAnsi="Verdana" w:cs="Arial"/>
          <w:sz w:val="15"/>
          <w:szCs w:val="15"/>
          <w:lang w:val="es-ES"/>
        </w:rPr>
        <w:t xml:space="preserve">[25] </w:t>
      </w:r>
      <w:r w:rsidRPr="00C6095C">
        <w:rPr>
          <w:rFonts w:ascii="Verdana" w:hAnsi="Verdana" w:cs="Arial"/>
          <w:sz w:val="15"/>
          <w:szCs w:val="15"/>
        </w:rPr>
        <w:t>Cfr. Consejo de Estado. Sección Tercera. Sentencia de 3 de diciembre de 2007. Radicados: 24.715, 25.206, 25.409, 24.524, 27.834, 25.410, 26.105, 28.244, 31.447 -acumulados-“.</w:t>
      </w:r>
    </w:p>
  </w:footnote>
  <w:footnote w:id="13">
    <w:p w14:paraId="63B02335" w14:textId="77777777" w:rsidR="00EF6139" w:rsidRPr="00C6095C" w:rsidRDefault="00EF6139" w:rsidP="00EF6139">
      <w:pPr>
        <w:pStyle w:val="Textonotapie"/>
        <w:ind w:right="51" w:firstLine="709"/>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w:t>
      </w:r>
      <w:r w:rsidRPr="00C6095C">
        <w:rPr>
          <w:rFonts w:ascii="Verdana" w:hAnsi="Verdana" w:cs="Arial"/>
          <w:sz w:val="15"/>
          <w:szCs w:val="15"/>
          <w:lang w:val="es-ES"/>
        </w:rPr>
        <w:t xml:space="preserve">[26] </w:t>
      </w:r>
      <w:r w:rsidRPr="00C6095C">
        <w:rPr>
          <w:rFonts w:ascii="Verdana" w:hAnsi="Verdana" w:cs="Arial"/>
          <w:sz w:val="15"/>
          <w:szCs w:val="15"/>
        </w:rPr>
        <w:t>Al respecto ver el concepto 1712 de 2 de febrero de 2006. Consejo de Estado Sala de Consulta y Servicio Civil”.</w:t>
      </w:r>
    </w:p>
  </w:footnote>
  <w:footnote w:id="14">
    <w:p w14:paraId="7743A4C9" w14:textId="77777777" w:rsidR="00EF6139" w:rsidRPr="00C6095C" w:rsidRDefault="00EF6139" w:rsidP="00EF6139">
      <w:pPr>
        <w:pStyle w:val="Textonotapie"/>
        <w:ind w:firstLine="709"/>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Consejo de Estado. Sala de Consulta y Servicio Civil. Concepto del 2 de septiembre de 2013. Radicación número: 11001-03-06-000-2013-00412-00 (2168). Consejero Ponente: Álvaro Namén Vargas.</w:t>
      </w:r>
    </w:p>
  </w:footnote>
  <w:footnote w:id="15">
    <w:p w14:paraId="79159F83" w14:textId="77777777" w:rsidR="00EF6139" w:rsidRPr="00C6095C" w:rsidRDefault="00EF6139" w:rsidP="00EF6139">
      <w:pPr>
        <w:pStyle w:val="Textonotapie"/>
        <w:ind w:firstLine="709"/>
        <w:jc w:val="both"/>
        <w:rPr>
          <w:rFonts w:ascii="Verdana" w:hAnsi="Verdana" w:cs="Arial"/>
          <w:sz w:val="15"/>
          <w:szCs w:val="15"/>
          <w:lang w:val="es-ES"/>
        </w:rPr>
      </w:pPr>
      <w:r w:rsidRPr="00C6095C">
        <w:rPr>
          <w:rStyle w:val="Refdenotaalpie"/>
          <w:rFonts w:ascii="Verdana" w:hAnsi="Verdana" w:cs="Arial"/>
          <w:sz w:val="15"/>
          <w:szCs w:val="15"/>
        </w:rPr>
        <w:footnoteRef/>
      </w:r>
      <w:r w:rsidRPr="00C6095C">
        <w:rPr>
          <w:rFonts w:ascii="Verdana" w:hAnsi="Verdana" w:cs="Arial"/>
          <w:sz w:val="15"/>
          <w:szCs w:val="15"/>
        </w:rPr>
        <w:t xml:space="preserve"> </w:t>
      </w:r>
      <w:r w:rsidRPr="00C6095C">
        <w:rPr>
          <w:rFonts w:ascii="Verdana" w:hAnsi="Verdana" w:cs="Arial"/>
          <w:sz w:val="15"/>
          <w:szCs w:val="15"/>
          <w:lang w:val="es-ES"/>
        </w:rPr>
        <w:t xml:space="preserve">Artículo 2. </w:t>
      </w:r>
    </w:p>
  </w:footnote>
  <w:footnote w:id="16">
    <w:p w14:paraId="4D956564" w14:textId="77777777" w:rsidR="00EF6139" w:rsidRPr="00C6095C" w:rsidRDefault="00EF6139" w:rsidP="00EF6139">
      <w:pPr>
        <w:pStyle w:val="Textonotapie"/>
        <w:ind w:firstLine="709"/>
        <w:jc w:val="both"/>
        <w:rPr>
          <w:rFonts w:ascii="Verdana" w:hAnsi="Verdana" w:cs="Arial"/>
          <w:sz w:val="15"/>
          <w:szCs w:val="15"/>
          <w:lang w:val="es-ES"/>
        </w:rPr>
      </w:pPr>
      <w:r w:rsidRPr="00C6095C">
        <w:rPr>
          <w:rStyle w:val="Refdenotaalpie"/>
          <w:rFonts w:ascii="Verdana" w:hAnsi="Verdana" w:cs="Arial"/>
          <w:sz w:val="15"/>
          <w:szCs w:val="15"/>
        </w:rPr>
        <w:footnoteRef/>
      </w:r>
      <w:r w:rsidRPr="00C6095C">
        <w:rPr>
          <w:rFonts w:ascii="Verdana" w:hAnsi="Verdana" w:cs="Arial"/>
          <w:sz w:val="15"/>
          <w:szCs w:val="15"/>
        </w:rPr>
        <w:t xml:space="preserve"> </w:t>
      </w:r>
      <w:r w:rsidRPr="00C6095C">
        <w:rPr>
          <w:rFonts w:ascii="Verdana" w:hAnsi="Verdana" w:cs="Arial"/>
          <w:i/>
          <w:sz w:val="15"/>
          <w:szCs w:val="15"/>
          <w:lang w:val="es-ES"/>
        </w:rPr>
        <w:t>Ídem</w:t>
      </w:r>
      <w:r w:rsidRPr="00C6095C">
        <w:rPr>
          <w:rFonts w:ascii="Verdana" w:hAnsi="Verdana" w:cs="Arial"/>
          <w:sz w:val="15"/>
          <w:szCs w:val="15"/>
          <w:lang w:val="es-ES"/>
        </w:rPr>
        <w:t>.</w:t>
      </w:r>
    </w:p>
  </w:footnote>
  <w:footnote w:id="17">
    <w:p w14:paraId="775F9075" w14:textId="77777777" w:rsidR="00EF6139" w:rsidRPr="00C6095C" w:rsidRDefault="00EF6139" w:rsidP="00EF6139">
      <w:pPr>
        <w:pStyle w:val="Textonotapie"/>
        <w:ind w:firstLine="709"/>
        <w:jc w:val="both"/>
        <w:rPr>
          <w:rFonts w:ascii="Verdana" w:hAnsi="Verdana" w:cs="Arial"/>
          <w:sz w:val="15"/>
          <w:szCs w:val="15"/>
          <w:lang w:val="es-ES"/>
        </w:rPr>
      </w:pPr>
      <w:r w:rsidRPr="00C6095C">
        <w:rPr>
          <w:rStyle w:val="Refdenotaalpie"/>
          <w:rFonts w:ascii="Verdana" w:hAnsi="Verdana" w:cs="Arial"/>
          <w:sz w:val="15"/>
          <w:szCs w:val="15"/>
        </w:rPr>
        <w:footnoteRef/>
      </w:r>
      <w:r w:rsidRPr="00C6095C">
        <w:rPr>
          <w:rStyle w:val="Refdenotaalpie"/>
          <w:rFonts w:ascii="Verdana" w:hAnsi="Verdana" w:cs="Arial"/>
          <w:sz w:val="15"/>
          <w:szCs w:val="15"/>
        </w:rPr>
        <w:t xml:space="preserve"> </w:t>
      </w:r>
      <w:r w:rsidRPr="00C6095C">
        <w:rPr>
          <w:rFonts w:ascii="Verdana" w:hAnsi="Verdana" w:cs="Arial"/>
          <w:sz w:val="15"/>
          <w:szCs w:val="15"/>
          <w:lang w:val="es-ES"/>
        </w:rPr>
        <w:t xml:space="preserve">“[…] A este respecto, cabe recordar que el artículo 860 del Código de Comercio regula la licitación en el derecho privado”. </w:t>
      </w:r>
    </w:p>
  </w:footnote>
  <w:footnote w:id="18">
    <w:p w14:paraId="2835BE42" w14:textId="77777777" w:rsidR="00EF6139" w:rsidRPr="00C6095C" w:rsidRDefault="00EF6139" w:rsidP="00EF6139">
      <w:pPr>
        <w:shd w:val="clear" w:color="auto" w:fill="FFFFFF"/>
        <w:spacing w:after="0" w:line="240" w:lineRule="auto"/>
        <w:ind w:firstLine="709"/>
        <w:jc w:val="both"/>
        <w:rPr>
          <w:rFonts w:ascii="Verdana" w:hAnsi="Verdana" w:cs="Arial"/>
          <w:sz w:val="15"/>
          <w:szCs w:val="15"/>
          <w:lang w:val="es-ES"/>
        </w:rPr>
      </w:pPr>
      <w:r w:rsidRPr="00C6095C">
        <w:rPr>
          <w:rStyle w:val="Refdenotaalpie"/>
          <w:rFonts w:ascii="Verdana" w:hAnsi="Verdana" w:cs="Arial"/>
          <w:sz w:val="15"/>
          <w:szCs w:val="15"/>
        </w:rPr>
        <w:footnoteRef/>
      </w:r>
      <w:r w:rsidRPr="00C6095C">
        <w:rPr>
          <w:rStyle w:val="Refdenotaalpie"/>
          <w:rFonts w:ascii="Verdana" w:hAnsi="Verdana" w:cs="Arial"/>
          <w:sz w:val="15"/>
          <w:szCs w:val="15"/>
        </w:rPr>
        <w:t xml:space="preserve"> </w:t>
      </w:r>
      <w:r w:rsidRPr="00C6095C">
        <w:rPr>
          <w:rFonts w:ascii="Verdana" w:hAnsi="Verdana" w:cs="Arial"/>
          <w:sz w:val="15"/>
          <w:szCs w:val="15"/>
          <w:lang w:val="es-ES"/>
        </w:rPr>
        <w:t>Consejo de Estado. Sala de Consulta y Servicio Civil, Concepto de 8 de mayo de 2018. Radicación Número: 11001-03-06-000-2018-00095-00(2382). C.P. Álvaro Namén Vargas.</w:t>
      </w:r>
    </w:p>
  </w:footnote>
  <w:footnote w:id="19">
    <w:p w14:paraId="30D0B73B" w14:textId="77777777" w:rsidR="00EF6139" w:rsidRPr="00C6095C" w:rsidRDefault="00EF6139" w:rsidP="00EF6139">
      <w:pPr>
        <w:pStyle w:val="Textonotapie"/>
        <w:ind w:firstLine="709"/>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Consejo de Estado. Sala de Consulta y Servicio Civil. Concepto del 08 de mayo de 2018. Exp. 2.382. C.P. Álvaro Namén Vargas.</w:t>
      </w:r>
    </w:p>
  </w:footnote>
  <w:footnote w:id="20">
    <w:p w14:paraId="52121053" w14:textId="77777777" w:rsidR="00EF6139" w:rsidRPr="00C6095C" w:rsidRDefault="00EF6139" w:rsidP="00EF6139">
      <w:pPr>
        <w:pStyle w:val="Textonotapie"/>
        <w:ind w:firstLine="709"/>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1A091B58" w14:textId="77777777" w:rsidR="00EF6139" w:rsidRPr="00C6095C" w:rsidRDefault="00EF6139" w:rsidP="00EF6139">
      <w:pPr>
        <w:spacing w:after="0" w:line="240" w:lineRule="auto"/>
        <w:ind w:firstLine="709"/>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6A6AB49D" w14:textId="77777777" w:rsidR="00EF6139" w:rsidRPr="00C6095C" w:rsidRDefault="00EF6139" w:rsidP="00EF6139">
      <w:pPr>
        <w:pStyle w:val="Textonotapie"/>
        <w:ind w:right="51" w:firstLine="709"/>
        <w:jc w:val="both"/>
        <w:rPr>
          <w:rFonts w:ascii="Verdana" w:eastAsia="Times New Roman" w:hAnsi="Verdana" w:cs="Arial"/>
          <w:bCs/>
          <w:sz w:val="15"/>
          <w:szCs w:val="15"/>
          <w:lang w:eastAsia="x-none"/>
        </w:rPr>
      </w:pPr>
      <w:r w:rsidRPr="00C6095C">
        <w:rPr>
          <w:rStyle w:val="Refdenotaalpie"/>
          <w:rFonts w:ascii="Verdana" w:hAnsi="Verdana" w:cs="Arial"/>
          <w:sz w:val="15"/>
          <w:szCs w:val="15"/>
        </w:rPr>
        <w:footnoteRef/>
      </w:r>
      <w:r w:rsidRPr="00C6095C">
        <w:rPr>
          <w:rFonts w:ascii="Verdana" w:hAnsi="Verdana" w:cs="Arial"/>
          <w:sz w:val="15"/>
          <w:szCs w:val="15"/>
        </w:rPr>
        <w:t xml:space="preserve"> Consejo de Estado. Sala de Consulta y Servicio Civil. Concepto de 6 de abril de 2006. Radicación Número: 11001-03-06-000-2006-00038-00 (1738). C.P. Enrique José Arboleda Perdomo:</w:t>
      </w:r>
      <w:r w:rsidRPr="00C6095C">
        <w:rPr>
          <w:rFonts w:ascii="Verdana" w:eastAsia="Times New Roman" w:hAnsi="Verdana" w:cs="Arial"/>
          <w:bCs/>
          <w:sz w:val="15"/>
          <w:szCs w:val="15"/>
          <w:lang w:eastAsia="x-none"/>
        </w:rPr>
        <w:t xml:space="preserve"> “</w:t>
      </w:r>
      <w:r w:rsidRPr="00C6095C">
        <w:rPr>
          <w:rFonts w:ascii="Verdana" w:hAnsi="Verdana" w:cs="Arial"/>
          <w:sz w:val="15"/>
          <w:szCs w:val="15"/>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C6095C">
        <w:rPr>
          <w:rFonts w:ascii="Verdana" w:eastAsia="Times New Roman" w:hAnsi="Verdana" w:cs="Arial"/>
          <w:bCs/>
          <w:sz w:val="15"/>
          <w:szCs w:val="15"/>
          <w:lang w:eastAsia="x-none"/>
        </w:rPr>
        <w:t>”.</w:t>
      </w:r>
    </w:p>
  </w:footnote>
  <w:footnote w:id="23">
    <w:p w14:paraId="1A9FED57" w14:textId="77777777" w:rsidR="00EF6139" w:rsidRPr="00C6095C" w:rsidRDefault="00EF6139" w:rsidP="00EF6139">
      <w:pPr>
        <w:spacing w:after="0" w:line="240" w:lineRule="auto"/>
        <w:ind w:firstLine="708"/>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Consejo de Estado. Sala de Consulta y Servicio Civil. Concepto de 6 de abril de 2006. Radicación Número: 11001-03-06-000-2006-00038-00(1738). Consejero Ponente: Enrique José Arboleda Perdomo. </w:t>
      </w:r>
    </w:p>
  </w:footnote>
  <w:footnote w:id="24">
    <w:p w14:paraId="0460D137" w14:textId="77777777" w:rsidR="00EF6139" w:rsidRPr="00C6095C" w:rsidRDefault="00EF6139" w:rsidP="00EF6139">
      <w:pPr>
        <w:pStyle w:val="Textonotapie"/>
        <w:ind w:right="51" w:firstLine="709"/>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Consejo de Estado. Sala de Consulta y Servicio Civil, ídem.</w:t>
      </w:r>
    </w:p>
  </w:footnote>
  <w:footnote w:id="25">
    <w:p w14:paraId="1146DDB6" w14:textId="77777777" w:rsidR="00EF6139" w:rsidRPr="00C6095C" w:rsidRDefault="00EF6139" w:rsidP="00EF6139">
      <w:pPr>
        <w:pStyle w:val="Textonotapie"/>
        <w:ind w:firstLine="708"/>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Colombia Compra Eficiente. Circular Externa Única. Numeral 15.5.</w:t>
      </w:r>
    </w:p>
  </w:footnote>
  <w:footnote w:id="26">
    <w:p w14:paraId="66B44178" w14:textId="77777777" w:rsidR="00EF6139" w:rsidRPr="00C6095C" w:rsidRDefault="00EF6139" w:rsidP="00EF6139">
      <w:pPr>
        <w:pStyle w:val="Textonotapie"/>
        <w:ind w:firstLine="709"/>
        <w:contextualSpacing/>
        <w:jc w:val="both"/>
        <w:rPr>
          <w:rFonts w:ascii="Verdana" w:hAnsi="Verdana" w:cs="Arial"/>
          <w:sz w:val="15"/>
          <w:szCs w:val="15"/>
        </w:rPr>
      </w:pPr>
      <w:r w:rsidRPr="00C6095C">
        <w:rPr>
          <w:rStyle w:val="Refdenotaalpie"/>
          <w:rFonts w:ascii="Verdana" w:hAnsi="Verdana"/>
          <w:sz w:val="15"/>
          <w:szCs w:val="15"/>
        </w:rPr>
        <w:footnoteRef/>
      </w:r>
      <w:r w:rsidRPr="00C6095C">
        <w:rPr>
          <w:rFonts w:ascii="Verdana" w:hAnsi="Verdana"/>
          <w:sz w:val="15"/>
          <w:szCs w:val="15"/>
        </w:rPr>
        <w:t xml:space="preserve"> </w:t>
      </w:r>
      <w:r w:rsidRPr="00C6095C">
        <w:rPr>
          <w:rFonts w:ascii="Verdana" w:hAnsi="Verdana" w:cs="Arial"/>
          <w:sz w:val="15"/>
          <w:szCs w:val="15"/>
        </w:rPr>
        <w:t xml:space="preserve">Consejo de Estado, Sección Tercera, Subsección A. Sentencia del 21 de febrero de 2025. CP: José Roberto Sáchica Méndez. Exp. 68.280. </w:t>
      </w:r>
    </w:p>
  </w:footnote>
  <w:footnote w:id="27">
    <w:p w14:paraId="2C4074D5" w14:textId="77777777" w:rsidR="00EF6139" w:rsidRPr="00C6095C" w:rsidRDefault="00EF6139" w:rsidP="00EF6139">
      <w:pPr>
        <w:pStyle w:val="Textonotapie"/>
        <w:ind w:firstLine="709"/>
        <w:contextualSpacing/>
        <w:jc w:val="both"/>
        <w:rPr>
          <w:rFonts w:ascii="Verdana" w:hAnsi="Verdana" w:cs="Arial"/>
          <w:sz w:val="15"/>
          <w:szCs w:val="15"/>
        </w:rPr>
      </w:pPr>
      <w:r w:rsidRPr="00C6095C">
        <w:rPr>
          <w:rFonts w:ascii="Verdana" w:hAnsi="Verdana"/>
          <w:sz w:val="15"/>
          <w:szCs w:val="15"/>
          <w:vertAlign w:val="superscript"/>
        </w:rPr>
        <w:footnoteRef/>
      </w:r>
      <w:r w:rsidRPr="00C6095C">
        <w:rPr>
          <w:rFonts w:ascii="Verdana" w:hAnsi="Verdana"/>
          <w:sz w:val="15"/>
          <w:szCs w:val="15"/>
          <w:vertAlign w:val="superscript"/>
        </w:rPr>
        <w:t xml:space="preserve"> </w:t>
      </w:r>
      <w:r w:rsidRPr="00C6095C">
        <w:rPr>
          <w:rFonts w:ascii="Verdana" w:hAnsi="Verdana" w:cs="Arial"/>
          <w:sz w:val="15"/>
          <w:szCs w:val="15"/>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8">
    <w:p w14:paraId="3FCED9DC" w14:textId="77777777" w:rsidR="00EF6139" w:rsidRPr="00C6095C" w:rsidRDefault="00EF6139" w:rsidP="00EF6139">
      <w:pPr>
        <w:pStyle w:val="Textonotapie"/>
        <w:ind w:firstLine="709"/>
        <w:contextualSpacing/>
        <w:jc w:val="both"/>
        <w:rPr>
          <w:rFonts w:ascii="Verdana" w:hAnsi="Verdana" w:cs="Arial"/>
          <w:sz w:val="15"/>
          <w:szCs w:val="15"/>
        </w:rPr>
      </w:pPr>
      <w:r w:rsidRPr="00C6095C">
        <w:rPr>
          <w:rFonts w:ascii="Verdana" w:hAnsi="Verdana"/>
          <w:sz w:val="15"/>
          <w:szCs w:val="15"/>
          <w:vertAlign w:val="superscript"/>
        </w:rPr>
        <w:footnoteRef/>
      </w:r>
      <w:r w:rsidRPr="00C6095C">
        <w:rPr>
          <w:rFonts w:ascii="Verdana" w:hAnsi="Verdana" w:cs="Arial"/>
          <w:sz w:val="15"/>
          <w:szCs w:val="15"/>
          <w:vertAlign w:val="superscript"/>
        </w:rPr>
        <w:t xml:space="preserve"> </w:t>
      </w:r>
      <w:r w:rsidRPr="00C6095C">
        <w:rPr>
          <w:rFonts w:ascii="Verdana" w:hAnsi="Verdana" w:cs="Arial"/>
          <w:sz w:val="15"/>
          <w:szCs w:val="15"/>
        </w:rPr>
        <w:t>Ley 80 de 1993: “Artículo 41. Del perfeccionamiento del contrato. Los contratos del Estado se perfeccionan cuando se logre acuerdo sobre el objeto y la contraprestación y éste se eleve a escrito.</w:t>
      </w:r>
    </w:p>
    <w:p w14:paraId="7D889586" w14:textId="77777777" w:rsidR="00EF6139" w:rsidRPr="00C6095C" w:rsidRDefault="00EF6139" w:rsidP="00EF6139">
      <w:pPr>
        <w:pStyle w:val="Textonotapie"/>
        <w:ind w:firstLine="709"/>
        <w:contextualSpacing/>
        <w:jc w:val="both"/>
        <w:rPr>
          <w:rFonts w:ascii="Verdana" w:hAnsi="Verdana" w:cs="Arial"/>
          <w:sz w:val="15"/>
          <w:szCs w:val="15"/>
        </w:rPr>
      </w:pPr>
      <w:r w:rsidRPr="00C6095C">
        <w:rPr>
          <w:rFonts w:ascii="Verdana" w:hAnsi="Verdana" w:cs="Arial"/>
          <w:sz w:val="15"/>
          <w:szCs w:val="15"/>
        </w:rPr>
        <w:t>[…]”.</w:t>
      </w:r>
    </w:p>
  </w:footnote>
  <w:footnote w:id="29">
    <w:p w14:paraId="7BDD3641" w14:textId="77777777" w:rsidR="00EF6139" w:rsidRPr="00C6095C" w:rsidRDefault="00EF6139" w:rsidP="00EF6139">
      <w:pPr>
        <w:pStyle w:val="Textonotapie"/>
        <w:ind w:firstLine="709"/>
        <w:contextualSpacing/>
        <w:jc w:val="both"/>
        <w:rPr>
          <w:rFonts w:ascii="Verdana" w:hAnsi="Verdana" w:cs="Arial"/>
          <w:sz w:val="15"/>
          <w:szCs w:val="15"/>
        </w:rPr>
      </w:pPr>
      <w:r w:rsidRPr="00C6095C">
        <w:rPr>
          <w:rFonts w:ascii="Verdana" w:hAnsi="Verdana"/>
          <w:sz w:val="15"/>
          <w:szCs w:val="15"/>
          <w:vertAlign w:val="superscript"/>
        </w:rPr>
        <w:footnoteRef/>
      </w:r>
      <w:r w:rsidRPr="00C6095C">
        <w:rPr>
          <w:rFonts w:ascii="Verdana" w:hAnsi="Verdana" w:cs="Arial"/>
          <w:sz w:val="15"/>
          <w:szCs w:val="15"/>
          <w:vertAlign w:val="superscript"/>
        </w:rPr>
        <w:t xml:space="preserve"> </w:t>
      </w:r>
      <w:r w:rsidRPr="00C6095C">
        <w:rPr>
          <w:rFonts w:ascii="Verdana" w:hAnsi="Verdana" w:cs="Arial"/>
          <w:sz w:val="15"/>
          <w:szCs w:val="15"/>
        </w:rPr>
        <w:t>Código Civil: “Artículo 27. Cuando el sentido de la ley sea claro, no se desatenderá su tenor a pretexto de consultar su espíritu”.</w:t>
      </w:r>
    </w:p>
  </w:footnote>
  <w:footnote w:id="30">
    <w:p w14:paraId="70775020" w14:textId="77777777" w:rsidR="00EF6139" w:rsidRPr="00C6095C" w:rsidRDefault="00EF6139" w:rsidP="00EF6139">
      <w:pPr>
        <w:pStyle w:val="Textonotapie"/>
        <w:ind w:firstLine="708"/>
        <w:jc w:val="both"/>
        <w:rPr>
          <w:rFonts w:ascii="Verdana" w:hAnsi="Verdana"/>
          <w:sz w:val="15"/>
          <w:szCs w:val="15"/>
          <w:lang w:val="es-ES"/>
        </w:rPr>
      </w:pPr>
      <w:r w:rsidRPr="00C6095C">
        <w:rPr>
          <w:rStyle w:val="Refdenotaalpie"/>
          <w:rFonts w:ascii="Verdana" w:hAnsi="Verdana"/>
          <w:sz w:val="15"/>
          <w:szCs w:val="15"/>
        </w:rPr>
        <w:footnoteRef/>
      </w:r>
      <w:r w:rsidRPr="00C6095C">
        <w:rPr>
          <w:rFonts w:ascii="Verdana" w:hAnsi="Verdana"/>
          <w:sz w:val="15"/>
          <w:szCs w:val="15"/>
        </w:rPr>
        <w:t xml:space="preserve"> </w:t>
      </w:r>
      <w:r w:rsidRPr="00C6095C">
        <w:rPr>
          <w:rFonts w:ascii="Verdana" w:hAnsi="Verdana"/>
          <w:sz w:val="15"/>
          <w:szCs w:val="15"/>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C6095C">
        <w:rPr>
          <w:rFonts w:ascii="Verdana" w:hAnsi="Verdana"/>
          <w:i/>
          <w:iCs/>
          <w:sz w:val="15"/>
          <w:szCs w:val="15"/>
          <w:lang w:val="es-ES"/>
        </w:rPr>
        <w:t>Ubi lex non distinguit nec nos distinguere debemus</w:t>
      </w:r>
      <w:r w:rsidRPr="00C6095C">
        <w:rPr>
          <w:rFonts w:ascii="Verdana" w:hAnsi="Verdana"/>
          <w:sz w:val="15"/>
          <w:szCs w:val="15"/>
          <w:lang w:val="es-ES"/>
        </w:rPr>
        <w:t>, ‘donde la ley no distingue no puede el hombre distinguir’. ‘La extensión que deba dársele a la ley se determinará por su genuino sentido y según las reglas de interpretación precedentes’, dice el artículo 23.</w:t>
      </w:r>
    </w:p>
    <w:p w14:paraId="2C49C6D9" w14:textId="77777777" w:rsidR="00EF6139" w:rsidRPr="00C6095C" w:rsidRDefault="00EF6139" w:rsidP="00EF6139">
      <w:pPr>
        <w:pStyle w:val="Textonotapie"/>
        <w:ind w:firstLine="708"/>
        <w:jc w:val="both"/>
        <w:rPr>
          <w:rFonts w:ascii="Verdana" w:hAnsi="Verdana"/>
          <w:sz w:val="15"/>
          <w:szCs w:val="15"/>
          <w:lang w:val="es-CO"/>
        </w:rPr>
      </w:pPr>
      <w:r w:rsidRPr="00C6095C">
        <w:rPr>
          <w:rFonts w:ascii="Verdana" w:hAnsi="Verdana"/>
          <w:sz w:val="15"/>
          <w:szCs w:val="15"/>
          <w:lang w:val="es-ES"/>
        </w:rPr>
        <w:t xml:space="preserve">En el derecho antiguo y en el derecho canónico se distinguían las leyes en favorables y odiosas, para ampliar o restringir su interpretación. </w:t>
      </w:r>
      <w:r w:rsidRPr="00C6095C">
        <w:rPr>
          <w:rFonts w:ascii="Verdana" w:hAnsi="Verdana"/>
          <w:i/>
          <w:iCs/>
          <w:sz w:val="15"/>
          <w:szCs w:val="15"/>
          <w:lang w:val="es-ES"/>
        </w:rPr>
        <w:t>Odia restringí et favores convenit ampliari</w:t>
      </w:r>
      <w:r w:rsidRPr="00C6095C">
        <w:rPr>
          <w:rFonts w:ascii="Verdana" w:hAnsi="Verdana"/>
          <w:sz w:val="15"/>
          <w:szCs w:val="15"/>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C6095C">
        <w:rPr>
          <w:rFonts w:ascii="Verdana" w:hAnsi="Verdana"/>
          <w:sz w:val="15"/>
          <w:szCs w:val="15"/>
        </w:rPr>
        <w:t>CLARO SOLAR, Luis. Explicaciones de derecho civil chileno y comparado. Volumen I. Tomo I. Santiago: Editorial Jurídica de Chile, 2013. p. 119. Énfasis dentro del texto).</w:t>
      </w:r>
    </w:p>
  </w:footnote>
  <w:footnote w:id="31">
    <w:p w14:paraId="255E49FA" w14:textId="77777777" w:rsidR="00EF6139" w:rsidRPr="00C6095C" w:rsidRDefault="00EF6139" w:rsidP="00EF6139">
      <w:pPr>
        <w:pStyle w:val="Textonotapie"/>
        <w:ind w:firstLine="709"/>
        <w:contextualSpacing/>
        <w:jc w:val="both"/>
        <w:rPr>
          <w:rFonts w:ascii="Verdana" w:hAnsi="Verdana"/>
          <w:sz w:val="15"/>
          <w:szCs w:val="15"/>
          <w:lang w:val="es-CO"/>
        </w:rPr>
      </w:pPr>
      <w:r w:rsidRPr="00C6095C">
        <w:rPr>
          <w:rStyle w:val="Refdenotaalpie"/>
          <w:rFonts w:ascii="Verdana" w:hAnsi="Verdana"/>
          <w:sz w:val="15"/>
          <w:szCs w:val="15"/>
        </w:rPr>
        <w:footnoteRef/>
      </w:r>
      <w:r w:rsidRPr="00C6095C">
        <w:rPr>
          <w:rFonts w:ascii="Verdana" w:hAnsi="Verdana"/>
          <w:sz w:val="15"/>
          <w:szCs w:val="15"/>
          <w:lang w:val="es-CO"/>
        </w:rPr>
        <w:t xml:space="preserve"> Consejo de Estado, Sección Tercera, Subsección B. Auto del 4 de octubre de 2024. C.P: Fredy Ibarra Martínez. Exp. 70.313.</w:t>
      </w:r>
    </w:p>
  </w:footnote>
  <w:footnote w:id="32">
    <w:p w14:paraId="2D48B8D0" w14:textId="77777777" w:rsidR="00EF6139" w:rsidRPr="00C6095C" w:rsidRDefault="00EF6139" w:rsidP="00EF6139">
      <w:pPr>
        <w:pStyle w:val="Textonotapie"/>
        <w:ind w:firstLine="709"/>
        <w:contextualSpacing/>
        <w:jc w:val="both"/>
        <w:rPr>
          <w:rFonts w:ascii="Verdana" w:hAnsi="Verdana"/>
          <w:sz w:val="15"/>
          <w:szCs w:val="15"/>
          <w:lang w:val="es-CO"/>
        </w:rPr>
      </w:pPr>
      <w:r w:rsidRPr="00C6095C">
        <w:rPr>
          <w:rStyle w:val="Refdenotaalpie"/>
          <w:rFonts w:ascii="Verdana" w:hAnsi="Verdana"/>
          <w:sz w:val="15"/>
          <w:szCs w:val="15"/>
        </w:rPr>
        <w:footnoteRef/>
      </w:r>
      <w:r w:rsidRPr="00C6095C">
        <w:rPr>
          <w:rFonts w:ascii="Verdana" w:hAnsi="Verdana"/>
          <w:sz w:val="15"/>
          <w:szCs w:val="15"/>
        </w:rPr>
        <w:t xml:space="preserve"> La parte resolutiva del auto dispone lo siguiente; “</w:t>
      </w:r>
      <w:r w:rsidRPr="00C6095C">
        <w:rPr>
          <w:rFonts w:ascii="Verdana" w:hAnsi="Verdana"/>
          <w:b/>
          <w:sz w:val="15"/>
          <w:szCs w:val="15"/>
          <w:lang w:val="es-CO"/>
        </w:rPr>
        <w:t xml:space="preserve">PRIMERO: DECRETAR </w:t>
      </w:r>
      <w:r w:rsidRPr="00C6095C">
        <w:rPr>
          <w:rFonts w:ascii="Verdana" w:hAnsi="Verdana"/>
          <w:sz w:val="15"/>
          <w:szCs w:val="15"/>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C6095C">
        <w:rPr>
          <w:rFonts w:ascii="Verdana" w:hAnsi="Verdana"/>
          <w:i/>
          <w:sz w:val="15"/>
          <w:szCs w:val="15"/>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C6095C">
        <w:rPr>
          <w:rFonts w:ascii="Verdana" w:hAnsi="Verdana"/>
          <w:sz w:val="15"/>
          <w:szCs w:val="15"/>
          <w:lang w:val="es-CO"/>
        </w:rPr>
        <w:t xml:space="preserve">, por las razones expuestas en precedencia. </w:t>
      </w:r>
    </w:p>
    <w:p w14:paraId="59E6D7DB" w14:textId="77777777" w:rsidR="00EF6139" w:rsidRPr="00C6095C" w:rsidRDefault="00EF6139" w:rsidP="00EF6139">
      <w:pPr>
        <w:pStyle w:val="Textonotapie"/>
        <w:ind w:firstLine="709"/>
        <w:contextualSpacing/>
        <w:jc w:val="both"/>
        <w:rPr>
          <w:rFonts w:ascii="Verdana" w:hAnsi="Verdana"/>
          <w:sz w:val="15"/>
          <w:szCs w:val="15"/>
          <w:lang w:val="es-CO"/>
        </w:rPr>
      </w:pPr>
      <w:r w:rsidRPr="00C6095C">
        <w:rPr>
          <w:rFonts w:ascii="Verdana" w:hAnsi="Verdana"/>
          <w:b/>
          <w:sz w:val="15"/>
          <w:szCs w:val="15"/>
          <w:lang w:val="es-CO"/>
        </w:rPr>
        <w:t xml:space="preserve">SEGUNDO: DECRETAR </w:t>
      </w:r>
      <w:r w:rsidRPr="00C6095C">
        <w:rPr>
          <w:rFonts w:ascii="Verdana" w:hAnsi="Verdana"/>
          <w:sz w:val="15"/>
          <w:szCs w:val="15"/>
          <w:lang w:val="es-CO"/>
        </w:rPr>
        <w:t>la suspensión provisional de la expresión “</w:t>
      </w:r>
      <w:r w:rsidRPr="00C6095C">
        <w:rPr>
          <w:rFonts w:ascii="Verdana" w:hAnsi="Verdana"/>
          <w:i/>
          <w:sz w:val="15"/>
          <w:szCs w:val="15"/>
          <w:lang w:val="es-CO"/>
        </w:rPr>
        <w:t>contratos</w:t>
      </w:r>
      <w:r w:rsidRPr="00C6095C">
        <w:rPr>
          <w:rFonts w:ascii="Verdana" w:hAnsi="Verdana"/>
          <w:sz w:val="15"/>
          <w:szCs w:val="15"/>
          <w:lang w:val="es-CO"/>
        </w:rPr>
        <w:t xml:space="preserve">” y del párrafo </w:t>
      </w:r>
      <w:r w:rsidRPr="00C6095C">
        <w:rPr>
          <w:rFonts w:ascii="Verdana" w:hAnsi="Verdana"/>
          <w:i/>
          <w:sz w:val="15"/>
          <w:szCs w:val="15"/>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C6095C">
        <w:rPr>
          <w:rFonts w:ascii="Verdana" w:hAnsi="Verdana"/>
          <w:sz w:val="15"/>
          <w:szCs w:val="15"/>
          <w:lang w:val="es-CO"/>
        </w:rPr>
        <w:t>”,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Subsección. Auto del 6 de noviembre de 2025. C.P: Fernando Alexei Pardo Flórez. Exp. 72.424.</w:t>
      </w:r>
    </w:p>
  </w:footnote>
  <w:footnote w:id="33">
    <w:p w14:paraId="07F3D3AA" w14:textId="77777777" w:rsidR="00EF6139" w:rsidRPr="00C6095C" w:rsidRDefault="00EF6139" w:rsidP="00EF6139">
      <w:pPr>
        <w:spacing w:after="0" w:line="240" w:lineRule="auto"/>
        <w:ind w:firstLine="709"/>
        <w:contextualSpacing/>
        <w:jc w:val="both"/>
        <w:rPr>
          <w:rFonts w:ascii="Verdana" w:eastAsia="Times New Roman" w:hAnsi="Verdana" w:cs="Times New Roman"/>
          <w:sz w:val="15"/>
          <w:szCs w:val="15"/>
          <w:lang w:eastAsia="es-ES"/>
        </w:rPr>
      </w:pPr>
      <w:r w:rsidRPr="00C6095C">
        <w:rPr>
          <w:rStyle w:val="Refdenotaalpie"/>
          <w:rFonts w:ascii="Verdana" w:hAnsi="Verdana"/>
          <w:sz w:val="15"/>
          <w:szCs w:val="15"/>
        </w:rPr>
        <w:footnoteRef/>
      </w:r>
      <w:r w:rsidRPr="00C6095C">
        <w:rPr>
          <w:rFonts w:ascii="Verdana" w:hAnsi="Verdana"/>
          <w:sz w:val="15"/>
          <w:szCs w:val="15"/>
        </w:rPr>
        <w:t xml:space="preserve"> </w:t>
      </w:r>
      <w:r w:rsidRPr="00C6095C">
        <w:rPr>
          <w:rFonts w:ascii="Verdana" w:eastAsia="Times New Roman" w:hAnsi="Verdana" w:cs="Times New Roman"/>
          <w:sz w:val="15"/>
          <w:szCs w:val="15"/>
          <w:lang w:eastAsia="es-ES"/>
        </w:rPr>
        <w:t xml:space="preserve">Consejo de Estado. Sección Tercera. Subsección B. Sentencia 17 de octubre de 2025. C.P. Fredy Ibarra Martínez. Exp. 70.313. </w:t>
      </w:r>
      <w:r w:rsidRPr="00C6095C">
        <w:rPr>
          <w:rFonts w:ascii="Verdana" w:hAnsi="Verdana"/>
          <w:sz w:val="15"/>
          <w:szCs w:val="15"/>
        </w:rPr>
        <w:t xml:space="preserve">La parte de la providencia señala: </w:t>
      </w:r>
      <w:r w:rsidRPr="00C6095C">
        <w:rPr>
          <w:rFonts w:ascii="Verdana" w:eastAsia="Times New Roman" w:hAnsi="Verdana" w:cs="Times New Roman"/>
          <w:sz w:val="15"/>
          <w:szCs w:val="15"/>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4">
    <w:p w14:paraId="300BD1D6" w14:textId="77777777" w:rsidR="00EF6139" w:rsidRPr="00C6095C" w:rsidRDefault="00EF6139" w:rsidP="00EF6139">
      <w:pPr>
        <w:pStyle w:val="Textonotapie"/>
        <w:ind w:firstLine="709"/>
        <w:jc w:val="both"/>
        <w:rPr>
          <w:rFonts w:ascii="Verdana" w:hAnsi="Verdana"/>
          <w:sz w:val="15"/>
          <w:szCs w:val="15"/>
          <w:lang w:val="es-CO"/>
        </w:rPr>
      </w:pPr>
      <w:r w:rsidRPr="00C6095C">
        <w:rPr>
          <w:rStyle w:val="Refdenotaalpie"/>
          <w:rFonts w:ascii="Verdana" w:hAnsi="Verdana"/>
          <w:sz w:val="15"/>
          <w:szCs w:val="15"/>
        </w:rPr>
        <w:footnoteRef/>
      </w:r>
      <w:r w:rsidRPr="00C6095C">
        <w:rPr>
          <w:rFonts w:ascii="Verdana" w:hAnsi="Verdana"/>
          <w:sz w:val="15"/>
          <w:szCs w:val="15"/>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35">
    <w:p w14:paraId="507DD79B" w14:textId="77777777" w:rsidR="00EF6139" w:rsidRPr="00C6095C" w:rsidRDefault="00EF6139" w:rsidP="00EF6139">
      <w:pPr>
        <w:snapToGrid w:val="0"/>
        <w:spacing w:after="0" w:line="240" w:lineRule="auto"/>
        <w:ind w:firstLine="709"/>
        <w:contextualSpacing/>
        <w:jc w:val="both"/>
        <w:rPr>
          <w:rFonts w:ascii="Verdana" w:hAnsi="Verdana" w:cs="Arial"/>
          <w:color w:val="000000" w:themeColor="text1"/>
          <w:sz w:val="15"/>
          <w:szCs w:val="15"/>
        </w:rPr>
      </w:pPr>
      <w:r w:rsidRPr="00C6095C">
        <w:rPr>
          <w:rStyle w:val="Refdenotaalpie"/>
          <w:rFonts w:ascii="Verdana" w:hAnsi="Verdana" w:cs="Arial"/>
          <w:color w:val="000000" w:themeColor="text1"/>
          <w:sz w:val="15"/>
          <w:szCs w:val="15"/>
        </w:rPr>
        <w:footnoteRef/>
      </w:r>
      <w:r w:rsidRPr="00C6095C">
        <w:rPr>
          <w:rFonts w:ascii="Verdana" w:hAnsi="Verdana" w:cs="Arial"/>
          <w:color w:val="000000" w:themeColor="text1"/>
          <w:sz w:val="15"/>
          <w:szCs w:val="15"/>
        </w:rPr>
        <w:t xml:space="preserve"> Corte Constitucional. Sentencia C- 474 de 2005, M.P. Humberto Antonio Sierra Porto. Sentencia C - 428 de 1994. M.P. Antonio Barrera Carbonell.</w:t>
      </w:r>
    </w:p>
  </w:footnote>
  <w:footnote w:id="36">
    <w:p w14:paraId="06C53F7C" w14:textId="77777777" w:rsidR="00EF6139" w:rsidRPr="00C6095C" w:rsidRDefault="00EF6139" w:rsidP="00EF6139">
      <w:pPr>
        <w:snapToGrid w:val="0"/>
        <w:spacing w:after="0" w:line="240" w:lineRule="auto"/>
        <w:ind w:firstLine="709"/>
        <w:contextualSpacing/>
        <w:jc w:val="both"/>
        <w:rPr>
          <w:rFonts w:ascii="Verdana" w:eastAsia="Times New Roman" w:hAnsi="Verdana" w:cs="Arial"/>
          <w:color w:val="000000" w:themeColor="text1"/>
          <w:sz w:val="15"/>
          <w:szCs w:val="15"/>
          <w:shd w:val="clear" w:color="auto" w:fill="FFFFFF"/>
          <w:lang w:eastAsia="es-ES_tradnl"/>
        </w:rPr>
      </w:pPr>
      <w:r w:rsidRPr="00C6095C">
        <w:rPr>
          <w:rStyle w:val="Refdenotaalpie"/>
          <w:rFonts w:ascii="Verdana" w:hAnsi="Verdana" w:cs="Arial"/>
          <w:color w:val="000000" w:themeColor="text1"/>
          <w:sz w:val="15"/>
          <w:szCs w:val="15"/>
        </w:rPr>
        <w:footnoteRef/>
      </w:r>
      <w:r w:rsidRPr="00C6095C">
        <w:rPr>
          <w:rFonts w:ascii="Verdana" w:hAnsi="Verdana" w:cs="Arial"/>
          <w:color w:val="000000" w:themeColor="text1"/>
          <w:sz w:val="15"/>
          <w:szCs w:val="15"/>
        </w:rPr>
        <w:t xml:space="preserve"> “</w:t>
      </w:r>
      <w:r w:rsidRPr="00C6095C">
        <w:rPr>
          <w:rFonts w:ascii="Verdana" w:eastAsia="Times New Roman" w:hAnsi="Verdana" w:cs="Arial"/>
          <w:color w:val="000000" w:themeColor="text1"/>
          <w:sz w:val="15"/>
          <w:szCs w:val="15"/>
          <w:shd w:val="clear" w:color="auto" w:fill="FFFFFF"/>
          <w:lang w:eastAsia="es-ES_tradnl"/>
        </w:rPr>
        <w:t>Por la cual se dictan normas sobre planes de desarrollo municipal, compraventa y expropiación de bienes y se dictan otras disposiciones”. En el Capítulo III se reguló específicamente la adquisición de bienes por enajenación voluntaria y por expropiación.</w:t>
      </w:r>
    </w:p>
    <w:p w14:paraId="58213A48" w14:textId="77777777" w:rsidR="00EF6139" w:rsidRPr="00C6095C" w:rsidRDefault="00EF6139" w:rsidP="00EF6139">
      <w:pPr>
        <w:snapToGrid w:val="0"/>
        <w:spacing w:after="0" w:line="240" w:lineRule="auto"/>
        <w:ind w:firstLine="709"/>
        <w:contextualSpacing/>
        <w:jc w:val="both"/>
        <w:rPr>
          <w:rFonts w:ascii="Verdana" w:eastAsia="Times New Roman" w:hAnsi="Verdana" w:cs="Arial"/>
          <w:color w:val="000000" w:themeColor="text1"/>
          <w:sz w:val="15"/>
          <w:szCs w:val="15"/>
          <w:lang w:eastAsia="es-ES_tradnl"/>
        </w:rPr>
      </w:pPr>
      <w:r w:rsidRPr="00C6095C">
        <w:rPr>
          <w:rFonts w:ascii="Verdana" w:eastAsia="Times New Roman" w:hAnsi="Verdana" w:cs="Arial"/>
          <w:color w:val="000000" w:themeColor="text1"/>
          <w:sz w:val="15"/>
          <w:szCs w:val="15"/>
          <w:lang w:eastAsia="es-ES_tradnl"/>
        </w:rPr>
        <w:t>Esta normativa se expidió con fundamento el acto legislativo 1 de 1936, que había modificado el artículo 30 de la Constitución Política de 1886, a cuyo tenor: “Artículo 30. Se garantizan la propiedad privada y los demás derechos adquiridos con justo título, con arreglo a las leyes civiles, por personas naturales o jurídicas, los cuales no pueden ser desconocidos ni vulnerados por leyes posteriores. Cuando de la aplicación de una ley expedida por motivos de utilidad pública o interés social, resultaren en conflicto los derechos de particulares con la necesidad reconocida por la misma ley, el interés privado deberá ceder ante el interés público o social. // La propiedad es una función social que implica obligaciones. // Por motivos de utilidad pública o de interés social definidos por el legislador, podrá haber expropiación, mediante sentencia judicial e indemnización previa. // Con todo, el legislador, por razones de equidad, podrá determinar los casos en que no haya lugar a indemnización, mediante el voto favorable de la mayoría absoluta de los miembros de una y otra Cámara”.</w:t>
      </w:r>
    </w:p>
  </w:footnote>
  <w:footnote w:id="37">
    <w:p w14:paraId="0DC5CBE1" w14:textId="77777777" w:rsidR="00EF6139" w:rsidRPr="00C6095C" w:rsidRDefault="00EF6139" w:rsidP="00EF6139">
      <w:pPr>
        <w:snapToGrid w:val="0"/>
        <w:spacing w:after="0" w:line="240" w:lineRule="auto"/>
        <w:ind w:firstLine="709"/>
        <w:contextualSpacing/>
        <w:jc w:val="both"/>
        <w:rPr>
          <w:rFonts w:ascii="Verdana" w:eastAsia="Times New Roman" w:hAnsi="Verdana" w:cs="Arial"/>
          <w:color w:val="000000" w:themeColor="text1"/>
          <w:sz w:val="15"/>
          <w:szCs w:val="15"/>
          <w:lang w:eastAsia="es-ES_tradnl"/>
        </w:rPr>
      </w:pPr>
      <w:r w:rsidRPr="00C6095C">
        <w:rPr>
          <w:rStyle w:val="Refdenotaalpie"/>
          <w:rFonts w:ascii="Verdana" w:hAnsi="Verdana" w:cs="Arial"/>
          <w:color w:val="000000" w:themeColor="text1"/>
          <w:sz w:val="15"/>
          <w:szCs w:val="15"/>
        </w:rPr>
        <w:footnoteRef/>
      </w:r>
      <w:r w:rsidRPr="00C6095C">
        <w:rPr>
          <w:rFonts w:ascii="Verdana" w:hAnsi="Verdana" w:cs="Arial"/>
          <w:color w:val="000000" w:themeColor="text1"/>
          <w:sz w:val="15"/>
          <w:szCs w:val="15"/>
        </w:rPr>
        <w:t xml:space="preserve"> </w:t>
      </w:r>
      <w:r w:rsidRPr="00C6095C">
        <w:rPr>
          <w:rFonts w:ascii="Verdana" w:eastAsia="Times New Roman" w:hAnsi="Verdana" w:cs="Arial"/>
          <w:color w:val="000000" w:themeColor="text1"/>
          <w:sz w:val="15"/>
          <w:szCs w:val="15"/>
          <w:lang w:eastAsia="es-ES_tradnl"/>
        </w:rPr>
        <w:t>Por la cual se modifica la Ley 9 de 1989, y la Ley 2 de 1991 y se dictan otras disposiciones.</w:t>
      </w:r>
    </w:p>
  </w:footnote>
  <w:footnote w:id="38">
    <w:p w14:paraId="782B238B" w14:textId="77777777" w:rsidR="00EF6139" w:rsidRPr="00C6095C" w:rsidRDefault="00EF6139" w:rsidP="00EF6139">
      <w:pPr>
        <w:snapToGrid w:val="0"/>
        <w:spacing w:after="0" w:line="240" w:lineRule="auto"/>
        <w:ind w:firstLine="709"/>
        <w:contextualSpacing/>
        <w:jc w:val="both"/>
        <w:rPr>
          <w:rFonts w:ascii="Verdana" w:eastAsia="Times New Roman" w:hAnsi="Verdana" w:cs="Arial"/>
          <w:b/>
          <w:bCs/>
          <w:color w:val="000000" w:themeColor="text1"/>
          <w:sz w:val="15"/>
          <w:szCs w:val="15"/>
          <w:shd w:val="clear" w:color="auto" w:fill="FFFFFF"/>
          <w:lang w:eastAsia="es-ES_tradnl"/>
        </w:rPr>
      </w:pPr>
      <w:r w:rsidRPr="00C6095C">
        <w:rPr>
          <w:rStyle w:val="Refdenotaalpie"/>
          <w:rFonts w:ascii="Verdana" w:hAnsi="Verdana" w:cs="Arial"/>
          <w:color w:val="000000" w:themeColor="text1"/>
          <w:sz w:val="15"/>
          <w:szCs w:val="15"/>
        </w:rPr>
        <w:footnoteRef/>
      </w:r>
      <w:r w:rsidRPr="00C6095C">
        <w:rPr>
          <w:rFonts w:ascii="Verdana" w:hAnsi="Verdana" w:cs="Arial"/>
          <w:color w:val="000000" w:themeColor="text1"/>
          <w:sz w:val="15"/>
          <w:szCs w:val="15"/>
        </w:rPr>
        <w:t xml:space="preserve"> </w:t>
      </w:r>
      <w:r w:rsidRPr="00C6095C">
        <w:rPr>
          <w:rFonts w:ascii="Verdana" w:hAnsi="Verdana" w:cs="Arial"/>
          <w:color w:val="000000" w:themeColor="text1"/>
          <w:sz w:val="15"/>
          <w:szCs w:val="15"/>
          <w:lang w:val="es-ES"/>
        </w:rPr>
        <w:t xml:space="preserve">Consejo de Estado. Sala de Consulta y Servicio Civil. Concepto del 10 de abril de 2008. Rad. </w:t>
      </w:r>
      <w:r w:rsidRPr="00C6095C">
        <w:rPr>
          <w:rFonts w:ascii="Verdana" w:eastAsia="Times New Roman" w:hAnsi="Verdana" w:cs="Arial"/>
          <w:color w:val="000000" w:themeColor="text1"/>
          <w:sz w:val="15"/>
          <w:szCs w:val="15"/>
          <w:shd w:val="clear" w:color="auto" w:fill="FFFFFF"/>
          <w:lang w:eastAsia="es-ES_tradnl"/>
        </w:rPr>
        <w:t>11001-03-06-000-2008-00017-00. C.P. Gustavo Aponte Santos.</w:t>
      </w:r>
      <w:r w:rsidRPr="00C6095C">
        <w:rPr>
          <w:rFonts w:ascii="Verdana" w:eastAsia="Times New Roman" w:hAnsi="Verdana" w:cs="Arial"/>
          <w:b/>
          <w:bCs/>
          <w:color w:val="000000" w:themeColor="text1"/>
          <w:sz w:val="15"/>
          <w:szCs w:val="15"/>
          <w:shd w:val="clear" w:color="auto" w:fill="FFFFFF"/>
          <w:lang w:eastAsia="es-ES_tradnl"/>
        </w:rPr>
        <w:t xml:space="preserve"> </w:t>
      </w:r>
    </w:p>
  </w:footnote>
  <w:footnote w:id="39">
    <w:p w14:paraId="29FF7D2A" w14:textId="77777777" w:rsidR="00EF6139" w:rsidRPr="00C6095C" w:rsidRDefault="00EF6139" w:rsidP="00EF6139">
      <w:pPr>
        <w:pStyle w:val="Textonotapie"/>
        <w:snapToGrid w:val="0"/>
        <w:ind w:firstLine="709"/>
        <w:contextualSpacing/>
        <w:jc w:val="both"/>
        <w:rPr>
          <w:rFonts w:ascii="Verdana" w:hAnsi="Verdana" w:cs="Arial"/>
          <w:color w:val="000000" w:themeColor="text1"/>
          <w:sz w:val="15"/>
          <w:szCs w:val="15"/>
          <w:lang w:val="es-CO"/>
        </w:rPr>
      </w:pPr>
      <w:r w:rsidRPr="00C6095C">
        <w:rPr>
          <w:rStyle w:val="Refdenotaalpie"/>
          <w:rFonts w:ascii="Verdana" w:hAnsi="Verdana" w:cs="Arial"/>
          <w:color w:val="000000" w:themeColor="text1"/>
          <w:sz w:val="15"/>
          <w:szCs w:val="15"/>
        </w:rPr>
        <w:footnoteRef/>
      </w:r>
      <w:r w:rsidRPr="00C6095C">
        <w:rPr>
          <w:rFonts w:ascii="Verdana" w:hAnsi="Verdana" w:cs="Arial"/>
          <w:color w:val="000000" w:themeColor="text1"/>
          <w:sz w:val="15"/>
          <w:szCs w:val="15"/>
        </w:rPr>
        <w:t xml:space="preserve"> </w:t>
      </w:r>
      <w:r w:rsidRPr="00C6095C">
        <w:rPr>
          <w:rFonts w:ascii="Verdana" w:hAnsi="Verdana" w:cs="Arial"/>
          <w:color w:val="000000" w:themeColor="text1"/>
          <w:sz w:val="15"/>
          <w:szCs w:val="15"/>
          <w:lang w:val="es-CO"/>
        </w:rPr>
        <w:t>Corte Constitucional. Sentencia C - 1074 de 4 de diciembre de 2002. M.P. Manuel José Cepeda Espinoza.</w:t>
      </w:r>
    </w:p>
  </w:footnote>
  <w:footnote w:id="40">
    <w:p w14:paraId="49717CDD" w14:textId="77777777" w:rsidR="00EF6139" w:rsidRPr="00C6095C" w:rsidRDefault="00EF6139" w:rsidP="00EF6139">
      <w:pPr>
        <w:snapToGrid w:val="0"/>
        <w:spacing w:after="0" w:line="240" w:lineRule="auto"/>
        <w:ind w:firstLine="708"/>
        <w:contextualSpacing/>
        <w:jc w:val="both"/>
        <w:rPr>
          <w:rFonts w:ascii="Verdana" w:hAnsi="Verdana" w:cs="Arial"/>
          <w:color w:val="000000" w:themeColor="text1"/>
          <w:sz w:val="15"/>
          <w:szCs w:val="15"/>
        </w:rPr>
      </w:pPr>
      <w:r w:rsidRPr="00C6095C">
        <w:rPr>
          <w:rStyle w:val="Refdenotaalpie"/>
          <w:rFonts w:ascii="Verdana" w:hAnsi="Verdana" w:cs="Arial"/>
          <w:color w:val="000000" w:themeColor="text1"/>
          <w:sz w:val="15"/>
          <w:szCs w:val="15"/>
        </w:rPr>
        <w:footnoteRef/>
      </w:r>
      <w:r w:rsidRPr="00C6095C">
        <w:rPr>
          <w:rFonts w:ascii="Verdana" w:hAnsi="Verdana" w:cs="Arial"/>
          <w:color w:val="000000" w:themeColor="text1"/>
          <w:sz w:val="15"/>
          <w:szCs w:val="15"/>
        </w:rPr>
        <w:t xml:space="preserve"> Corte Constitucional. Sentencia C - 669 de 28 de octubre de 2015. M.P. Luis Ernesto Vargas Silva.</w:t>
      </w:r>
    </w:p>
  </w:footnote>
  <w:footnote w:id="41">
    <w:p w14:paraId="21D00480" w14:textId="77777777" w:rsidR="00EF6139" w:rsidRPr="00C6095C" w:rsidRDefault="00EF6139" w:rsidP="00EF6139">
      <w:pPr>
        <w:pStyle w:val="Textonotapie"/>
        <w:snapToGrid w:val="0"/>
        <w:ind w:firstLine="709"/>
        <w:contextualSpacing/>
        <w:jc w:val="both"/>
        <w:rPr>
          <w:rFonts w:ascii="Verdana" w:hAnsi="Verdana" w:cs="Arial"/>
          <w:color w:val="000000" w:themeColor="text1"/>
          <w:sz w:val="15"/>
          <w:szCs w:val="15"/>
        </w:rPr>
      </w:pPr>
      <w:r w:rsidRPr="00C6095C">
        <w:rPr>
          <w:rStyle w:val="Refdenotaalpie"/>
          <w:rFonts w:ascii="Verdana" w:hAnsi="Verdana" w:cs="Arial"/>
          <w:color w:val="000000" w:themeColor="text1"/>
          <w:sz w:val="15"/>
          <w:szCs w:val="15"/>
        </w:rPr>
        <w:footnoteRef/>
      </w:r>
      <w:r w:rsidRPr="00C6095C">
        <w:rPr>
          <w:rFonts w:ascii="Verdana" w:hAnsi="Verdana" w:cs="Arial"/>
          <w:color w:val="000000" w:themeColor="text1"/>
          <w:sz w:val="15"/>
          <w:szCs w:val="15"/>
        </w:rPr>
        <w:t xml:space="preserve"> “La expropiación no es un contrato, no es una venta, ni siquiera forzada, como la que se verifica en subasta pública en determinados casos; es una figura esencialmente distinta, de derecho público, enderezada al bien de la comunidad y en virtud de la cual, por motivos superiores, la Administración toma la propiedad particular, y como esta medida genera un daño, y no un precio, se satisface mediante una indemnización. Se indemniza el perjuicio en diferentes órdenes de la responsabilidad contractual y extracontractual, y se indemniza al expropiado el daño que para él implica esta forma de expropiación –que opera contra su voluntad- pero en provecho público”. (Corte Constitucional. Sentencia C - 153 de 1994. M.P. Alejandro Martínez Caballero).</w:t>
      </w:r>
    </w:p>
    <w:p w14:paraId="444970A6" w14:textId="77777777" w:rsidR="00EF6139" w:rsidRPr="00C6095C" w:rsidRDefault="00EF6139" w:rsidP="00EF6139">
      <w:pPr>
        <w:pStyle w:val="Textonotapie"/>
        <w:snapToGrid w:val="0"/>
        <w:ind w:firstLine="709"/>
        <w:contextualSpacing/>
        <w:jc w:val="both"/>
        <w:rPr>
          <w:rFonts w:ascii="Verdana" w:hAnsi="Verdana" w:cs="Arial"/>
          <w:color w:val="000000" w:themeColor="text1"/>
          <w:sz w:val="15"/>
          <w:szCs w:val="15"/>
        </w:rPr>
      </w:pPr>
    </w:p>
  </w:footnote>
  <w:footnote w:id="42">
    <w:p w14:paraId="50737B74" w14:textId="77777777" w:rsidR="00EF6139" w:rsidRPr="00C6095C" w:rsidRDefault="00EF6139" w:rsidP="00EF6139">
      <w:pPr>
        <w:snapToGrid w:val="0"/>
        <w:spacing w:after="0" w:line="240" w:lineRule="auto"/>
        <w:ind w:firstLine="709"/>
        <w:contextualSpacing/>
        <w:jc w:val="both"/>
        <w:rPr>
          <w:rFonts w:ascii="Verdana" w:eastAsia="Times New Roman" w:hAnsi="Verdana" w:cs="Arial"/>
          <w:color w:val="000000" w:themeColor="text1"/>
          <w:sz w:val="15"/>
          <w:szCs w:val="15"/>
          <w:lang w:eastAsia="es-ES_tradnl"/>
        </w:rPr>
      </w:pPr>
      <w:r w:rsidRPr="00C6095C">
        <w:rPr>
          <w:rStyle w:val="Refdenotaalpie"/>
          <w:rFonts w:ascii="Verdana" w:hAnsi="Verdana" w:cs="Arial"/>
          <w:color w:val="000000" w:themeColor="text1"/>
          <w:sz w:val="15"/>
          <w:szCs w:val="15"/>
        </w:rPr>
        <w:footnoteRef/>
      </w:r>
      <w:r w:rsidRPr="00C6095C">
        <w:rPr>
          <w:rFonts w:ascii="Verdana" w:hAnsi="Verdana" w:cs="Arial"/>
          <w:color w:val="000000" w:themeColor="text1"/>
          <w:sz w:val="15"/>
          <w:szCs w:val="15"/>
        </w:rPr>
        <w:t xml:space="preserve"> Una vez otorgada la correspondiente escritura pública de compraventa, esta deberá ser inscrita en la Oficina de Instrumentos Públicos respectiva, conforme a lo previsto en el artículo 14 de la Ley 9 de 1989, modificado por el artículo 34 de la Ley 3 de 1991</w:t>
      </w:r>
      <w:r w:rsidRPr="00C6095C">
        <w:rPr>
          <w:rFonts w:ascii="Verdana" w:eastAsia="Times New Roman" w:hAnsi="Verdana" w:cs="Arial"/>
          <w:color w:val="000000" w:themeColor="text1"/>
          <w:sz w:val="15"/>
          <w:szCs w:val="15"/>
          <w:lang w:eastAsia="es-ES_tradnl"/>
        </w:rPr>
        <w:t>.</w:t>
      </w:r>
    </w:p>
  </w:footnote>
  <w:footnote w:id="43">
    <w:p w14:paraId="7953E13C" w14:textId="77777777" w:rsidR="00EF6139" w:rsidRPr="00C6095C" w:rsidRDefault="00EF6139" w:rsidP="00EF6139">
      <w:pPr>
        <w:pStyle w:val="Textonotapie"/>
        <w:snapToGrid w:val="0"/>
        <w:ind w:firstLine="708"/>
        <w:contextualSpacing/>
        <w:jc w:val="both"/>
        <w:rPr>
          <w:rFonts w:ascii="Verdana" w:hAnsi="Verdana" w:cs="Arial"/>
          <w:color w:val="000000" w:themeColor="text1"/>
          <w:sz w:val="15"/>
          <w:szCs w:val="15"/>
          <w:lang w:val="es-CO"/>
        </w:rPr>
      </w:pPr>
      <w:r w:rsidRPr="00C6095C">
        <w:rPr>
          <w:rStyle w:val="Refdenotaalpie"/>
          <w:rFonts w:ascii="Verdana" w:hAnsi="Verdana" w:cs="Arial"/>
          <w:color w:val="000000" w:themeColor="text1"/>
          <w:sz w:val="15"/>
          <w:szCs w:val="15"/>
        </w:rPr>
        <w:footnoteRef/>
      </w:r>
      <w:r w:rsidRPr="00C6095C">
        <w:rPr>
          <w:rFonts w:ascii="Verdana" w:hAnsi="Verdana" w:cs="Arial"/>
          <w:color w:val="000000" w:themeColor="text1"/>
          <w:sz w:val="15"/>
          <w:szCs w:val="15"/>
        </w:rPr>
        <w:t xml:space="preserve"> Postura que también fue desarrollada con mayor detalle en el concepto con radicado de salida No. 2201913000008597 del 19 de noviembre de 2019 –rad. De entrada 2201913000008597–, proferido por esta Agencia. (Disponible en: </w:t>
      </w:r>
      <w:hyperlink r:id="rId1" w:history="1">
        <w:r w:rsidRPr="00C6095C">
          <w:rPr>
            <w:rStyle w:val="Hipervnculo"/>
            <w:rFonts w:ascii="Verdana" w:hAnsi="Verdana" w:cs="Arial"/>
            <w:color w:val="000000" w:themeColor="text1"/>
            <w:sz w:val="15"/>
            <w:szCs w:val="15"/>
          </w:rPr>
          <w:t>https://relatoria.colombiacompra.gov.co/ficha/4201912000005718</w:t>
        </w:r>
      </w:hyperlink>
      <w:r w:rsidRPr="00C6095C">
        <w:rPr>
          <w:rFonts w:ascii="Verdana" w:hAnsi="Verdana" w:cs="Arial"/>
          <w:color w:val="000000" w:themeColor="text1"/>
          <w:sz w:val="15"/>
          <w:szCs w:val="15"/>
        </w:rPr>
        <w:t>).</w:t>
      </w:r>
    </w:p>
  </w:footnote>
  <w:footnote w:id="44">
    <w:p w14:paraId="21F4C1AC" w14:textId="77777777" w:rsidR="00EF6139" w:rsidRPr="00C6095C" w:rsidRDefault="00EF6139" w:rsidP="00EF6139">
      <w:pPr>
        <w:pStyle w:val="Textonotapie"/>
        <w:ind w:firstLine="708"/>
        <w:jc w:val="both"/>
        <w:rPr>
          <w:rFonts w:ascii="Verdana" w:hAnsi="Verdana"/>
          <w:sz w:val="15"/>
          <w:szCs w:val="15"/>
          <w:lang w:val="es-CO"/>
        </w:rPr>
      </w:pPr>
      <w:r w:rsidRPr="00C6095C">
        <w:rPr>
          <w:rStyle w:val="Refdenotaalpie"/>
          <w:rFonts w:ascii="Verdana" w:hAnsi="Verdana"/>
          <w:sz w:val="15"/>
          <w:szCs w:val="15"/>
        </w:rPr>
        <w:footnoteRef/>
      </w:r>
      <w:r w:rsidRPr="00C6095C">
        <w:rPr>
          <w:rFonts w:ascii="Verdana" w:hAnsi="Verdana"/>
          <w:sz w:val="15"/>
          <w:szCs w:val="15"/>
        </w:rPr>
        <w:t xml:space="preserve"> </w:t>
      </w:r>
      <w:bookmarkStart w:id="18" w:name="63"/>
      <w:r w:rsidRPr="00C6095C">
        <w:rPr>
          <w:rFonts w:ascii="Verdana" w:hAnsi="Verdana"/>
          <w:bCs/>
          <w:sz w:val="15"/>
          <w:szCs w:val="15"/>
          <w:lang w:val="es-CO"/>
        </w:rPr>
        <w:t>Artículo 63. Motivos de Utilidad Pública.</w:t>
      </w:r>
      <w:bookmarkEnd w:id="18"/>
      <w:r w:rsidRPr="00C6095C">
        <w:rPr>
          <w:rFonts w:ascii="Verdana" w:hAnsi="Verdana"/>
          <w:sz w:val="15"/>
          <w:szCs w:val="15"/>
          <w:lang w:val="es-CO"/>
        </w:rPr>
        <w:t> Se considera que existen motivos de utilidad pública o de interés social para expropiar por vía administrativa el derecho de propiedad y los demás derechos reales sobre terrenos e inmuebles, cuando, conforme a las reglas señaladas por la presente ley, la respectiva autoridad administrativa competente considere que existen especiales condiciones de urgencia, siempre y cuando la finalidad corresponda a las señaladas en las letras a), b), c), d), e), h), j), k), l) y m) del artículo </w:t>
      </w:r>
      <w:hyperlink r:id="rId2" w:anchor="58" w:history="1">
        <w:r w:rsidRPr="00C6095C">
          <w:rPr>
            <w:rStyle w:val="Hipervnculo"/>
            <w:rFonts w:ascii="Verdana" w:hAnsi="Verdana"/>
            <w:sz w:val="15"/>
            <w:szCs w:val="15"/>
            <w:lang w:val="es-CO"/>
          </w:rPr>
          <w:t>58</w:t>
        </w:r>
      </w:hyperlink>
      <w:r w:rsidRPr="00C6095C">
        <w:rPr>
          <w:rFonts w:ascii="Verdana" w:hAnsi="Verdana"/>
          <w:sz w:val="15"/>
          <w:szCs w:val="15"/>
          <w:lang w:val="es-CO"/>
        </w:rPr>
        <w:t> de la presente ley.</w:t>
      </w:r>
    </w:p>
    <w:p w14:paraId="45B69529" w14:textId="77777777" w:rsidR="00EF6139" w:rsidRPr="00C6095C" w:rsidRDefault="00EF6139" w:rsidP="00EF6139">
      <w:pPr>
        <w:pStyle w:val="Textonotapie"/>
        <w:ind w:firstLine="708"/>
        <w:jc w:val="both"/>
        <w:rPr>
          <w:rFonts w:ascii="Verdana" w:hAnsi="Verdana"/>
          <w:sz w:val="15"/>
          <w:szCs w:val="15"/>
          <w:lang w:val="es-CO"/>
        </w:rPr>
      </w:pPr>
      <w:r w:rsidRPr="00C6095C">
        <w:rPr>
          <w:rFonts w:ascii="Verdana" w:hAnsi="Verdana"/>
          <w:sz w:val="15"/>
          <w:szCs w:val="15"/>
          <w:lang w:val="es-CO"/>
        </w:rPr>
        <w:t>Igualmente se considera que existen motivos de utilidad pública para expropiar por vía administrativa cuando se presente el incumplimiento de la función social de la propiedad por parte del adquirente en pública subasta, de los terrenos e inmuebles objeto del procedimiento previsto en el capítulo VI de la presente ley.</w:t>
      </w:r>
    </w:p>
    <w:p w14:paraId="08853026" w14:textId="77777777" w:rsidR="00EF6139" w:rsidRPr="00C6095C" w:rsidRDefault="00EF6139" w:rsidP="00EF6139">
      <w:pPr>
        <w:pStyle w:val="Textonotapie"/>
        <w:jc w:val="both"/>
        <w:rPr>
          <w:rFonts w:ascii="Verdana" w:hAnsi="Verdana"/>
          <w:sz w:val="15"/>
          <w:szCs w:val="15"/>
          <w:lang w:val="es-CO"/>
        </w:rPr>
      </w:pPr>
    </w:p>
  </w:footnote>
  <w:footnote w:id="45">
    <w:p w14:paraId="7894C4A5" w14:textId="77777777" w:rsidR="00EF6139" w:rsidRPr="00C6095C" w:rsidRDefault="00EF6139" w:rsidP="00EF6139">
      <w:pPr>
        <w:pStyle w:val="Textonotapie"/>
        <w:ind w:firstLine="708"/>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Consejo de Estado. Sala de Consulta y Servicio Civil. Concepto del 18 de febrero 2010. Rad. 1985. C.P. Enrique José Arboleda Perdomo.</w:t>
      </w:r>
    </w:p>
  </w:footnote>
  <w:footnote w:id="46">
    <w:p w14:paraId="7E48D989" w14:textId="77777777" w:rsidR="00EF6139" w:rsidRPr="00C6095C" w:rsidRDefault="00EF6139" w:rsidP="00EF6139">
      <w:pPr>
        <w:pStyle w:val="Textonotapie"/>
        <w:ind w:firstLine="708"/>
        <w:jc w:val="both"/>
        <w:rPr>
          <w:rFonts w:ascii="Verdana" w:hAnsi="Verdana" w:cs="Arial"/>
          <w:sz w:val="15"/>
          <w:szCs w:val="15"/>
        </w:rPr>
      </w:pPr>
      <w:r w:rsidRPr="00C6095C">
        <w:rPr>
          <w:rStyle w:val="Refdenotaalpie"/>
          <w:rFonts w:ascii="Verdana" w:hAnsi="Verdana" w:cs="Arial"/>
          <w:sz w:val="15"/>
          <w:szCs w:val="15"/>
        </w:rPr>
        <w:footnoteRef/>
      </w:r>
      <w:r w:rsidRPr="00C6095C">
        <w:rPr>
          <w:rFonts w:ascii="Verdana" w:hAnsi="Verdana" w:cs="Arial"/>
          <w:sz w:val="15"/>
          <w:szCs w:val="15"/>
        </w:rPr>
        <w:t xml:space="preserve"> Corte Constitucional. Sentencia C-1153 de 2005 M.P. Marco Gerardo Monroy Cabra. </w:t>
      </w:r>
    </w:p>
  </w:footnote>
  <w:footnote w:id="47">
    <w:p w14:paraId="4BCE56AD" w14:textId="77777777" w:rsidR="00EF6139" w:rsidRPr="00C6095C" w:rsidRDefault="00EF6139" w:rsidP="00EF6139">
      <w:pPr>
        <w:pStyle w:val="Textonotapie"/>
        <w:ind w:firstLine="708"/>
        <w:jc w:val="both"/>
        <w:rPr>
          <w:rFonts w:ascii="Verdana" w:hAnsi="Verdana"/>
          <w:sz w:val="15"/>
          <w:szCs w:val="15"/>
          <w:lang w:val="es-CO"/>
        </w:rPr>
      </w:pPr>
      <w:r w:rsidRPr="00C6095C">
        <w:rPr>
          <w:rStyle w:val="Refdenotaalpie"/>
          <w:rFonts w:ascii="Verdana" w:hAnsi="Verdana"/>
          <w:sz w:val="15"/>
          <w:szCs w:val="15"/>
        </w:rPr>
        <w:footnoteRef/>
      </w:r>
      <w:r w:rsidRPr="00C6095C">
        <w:rPr>
          <w:rFonts w:ascii="Verdana" w:hAnsi="Verdana"/>
          <w:sz w:val="15"/>
          <w:szCs w:val="15"/>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C6095C">
        <w:rPr>
          <w:rFonts w:ascii="Verdana" w:hAnsi="Verdana"/>
          <w:i/>
          <w:iCs/>
          <w:sz w:val="15"/>
          <w:szCs w:val="15"/>
        </w:rPr>
        <w:t>las palabras de la ley se entenderán en su sentido natural y obvio, según el uso general de las mismas palabras</w:t>
      </w:r>
      <w:r w:rsidRPr="00C6095C">
        <w:rPr>
          <w:rFonts w:ascii="Verdana" w:hAnsi="Verdana"/>
          <w:sz w:val="15"/>
          <w:szCs w:val="15"/>
        </w:rPr>
        <w:t>’, es decir, el uso de la gente educada. El Diccionario de la Lengua publicado por la Real Academia Española goza a este respecto de gran autoridad. ‘</w:t>
      </w:r>
      <w:r w:rsidRPr="00C6095C">
        <w:rPr>
          <w:rFonts w:ascii="Verdana" w:hAnsi="Verdana"/>
          <w:i/>
          <w:iCs/>
          <w:sz w:val="15"/>
          <w:szCs w:val="15"/>
        </w:rPr>
        <w:t>Pero cuando el legislador</w:t>
      </w:r>
      <w:r w:rsidRPr="00C6095C">
        <w:rPr>
          <w:rFonts w:ascii="Verdana" w:hAnsi="Verdana"/>
          <w:sz w:val="15"/>
          <w:szCs w:val="15"/>
        </w:rPr>
        <w:t xml:space="preserve">, agrega el artículo 20, </w:t>
      </w:r>
      <w:r w:rsidRPr="00C6095C">
        <w:rPr>
          <w:rFonts w:ascii="Verdana" w:hAnsi="Verdana"/>
          <w:i/>
          <w:iCs/>
          <w:sz w:val="15"/>
          <w:szCs w:val="15"/>
        </w:rPr>
        <w:t>las haya definido expresamente para ciertas materias se les dará en éstas su significado legal</w:t>
      </w:r>
      <w:r w:rsidRPr="00C6095C">
        <w:rPr>
          <w:rFonts w:ascii="Verdana" w:hAnsi="Verdana"/>
          <w:sz w:val="15"/>
          <w:szCs w:val="15"/>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48">
    <w:p w14:paraId="45E01911" w14:textId="77777777" w:rsidR="00EF6139" w:rsidRPr="00C6095C" w:rsidRDefault="00EF6139" w:rsidP="00EF6139">
      <w:pPr>
        <w:spacing w:after="0" w:line="240" w:lineRule="auto"/>
        <w:ind w:firstLine="708"/>
        <w:jc w:val="both"/>
        <w:rPr>
          <w:rFonts w:ascii="Verdana" w:eastAsia="Calibri" w:hAnsi="Verdana" w:cs="Arial"/>
          <w:sz w:val="15"/>
          <w:szCs w:val="15"/>
          <w:lang w:val="es-ES_tradnl"/>
        </w:rPr>
      </w:pPr>
      <w:r w:rsidRPr="00C6095C">
        <w:rPr>
          <w:rStyle w:val="Refdenotaalpie"/>
          <w:rFonts w:ascii="Verdana" w:hAnsi="Verdana" w:cs="Arial"/>
          <w:sz w:val="15"/>
          <w:szCs w:val="15"/>
        </w:rPr>
        <w:footnoteRef/>
      </w:r>
      <w:r w:rsidRPr="00C6095C">
        <w:rPr>
          <w:rFonts w:ascii="Verdana" w:hAnsi="Verdana" w:cs="Arial"/>
          <w:sz w:val="15"/>
          <w:szCs w:val="15"/>
        </w:rPr>
        <w:t xml:space="preserve"> </w:t>
      </w:r>
      <w:r w:rsidRPr="00C6095C">
        <w:rPr>
          <w:rFonts w:ascii="Verdana" w:hAnsi="Verdana" w:cs="Arial"/>
          <w:sz w:val="15"/>
          <w:szCs w:val="15"/>
          <w:lang w:val="es-ES_tradnl"/>
        </w:rPr>
        <w:t>La jurisprudencia delimita su sentido y alcance de la siguiente manera –</w:t>
      </w:r>
      <w:r w:rsidRPr="00C6095C">
        <w:rPr>
          <w:rFonts w:ascii="Verdana" w:hAnsi="Verdana" w:cs="Arial"/>
          <w:sz w:val="15"/>
          <w:szCs w:val="15"/>
          <w:lang w:val="es-ES"/>
        </w:rPr>
        <w:t>CORTE SUPREMA DE JUSTICIA. Sala de Casación Civil. Sentencia 20 de noviembre de 1989. MP. Alberto Ospina Botero. Publicada en la Gaceta Judicial. Tomo CXCVI. N° 2435. p. 93</w:t>
      </w:r>
      <w:r w:rsidRPr="00C6095C">
        <w:rPr>
          <w:rFonts w:ascii="Verdana" w:hAnsi="Verdana" w:cs="Arial"/>
          <w:sz w:val="15"/>
          <w:szCs w:val="15"/>
          <w:lang w:val="es-ES_tradnl"/>
        </w:rPr>
        <w:t>–:</w:t>
      </w:r>
    </w:p>
    <w:p w14:paraId="412E826F" w14:textId="77777777" w:rsidR="00EF6139" w:rsidRPr="00C6095C" w:rsidRDefault="00EF6139" w:rsidP="00EF6139">
      <w:pPr>
        <w:spacing w:after="0" w:line="240" w:lineRule="auto"/>
        <w:ind w:right="49" w:firstLine="708"/>
        <w:jc w:val="both"/>
        <w:rPr>
          <w:rFonts w:ascii="Verdana" w:eastAsia="Calibri" w:hAnsi="Verdana" w:cs="Arial"/>
          <w:sz w:val="15"/>
          <w:szCs w:val="15"/>
          <w:lang w:val="es-ES_tradnl"/>
        </w:rPr>
      </w:pPr>
      <w:r w:rsidRPr="00C6095C">
        <w:rPr>
          <w:rFonts w:ascii="Verdana" w:eastAsia="Calibri" w:hAnsi="Verdana" w:cs="Arial"/>
          <w:sz w:val="15"/>
          <w:szCs w:val="15"/>
          <w:lang w:val="es-ES_tradnl"/>
        </w:rPr>
        <w:t>“6. […] la fuerza mayor o caso fortuito se configura por la concurrencia de dos factores:</w:t>
      </w:r>
    </w:p>
    <w:p w14:paraId="304EAD53" w14:textId="77777777" w:rsidR="00EF6139" w:rsidRPr="00C6095C" w:rsidRDefault="00EF6139" w:rsidP="00EF6139">
      <w:pPr>
        <w:spacing w:after="0" w:line="240" w:lineRule="auto"/>
        <w:ind w:right="49" w:firstLine="708"/>
        <w:jc w:val="both"/>
        <w:rPr>
          <w:rFonts w:ascii="Verdana" w:eastAsia="Calibri" w:hAnsi="Verdana" w:cs="Arial"/>
          <w:sz w:val="15"/>
          <w:szCs w:val="15"/>
          <w:lang w:val="es-ES_tradnl"/>
        </w:rPr>
      </w:pPr>
      <w:r w:rsidRPr="00C6095C">
        <w:rPr>
          <w:rFonts w:ascii="Verdana" w:eastAsia="Calibri" w:hAnsi="Verdana" w:cs="Arial"/>
          <w:sz w:val="15"/>
          <w:szCs w:val="15"/>
          <w:lang w:val="es-ES_tradnl"/>
        </w:rPr>
        <w:t>a) Que el hecho sea imprevisible, esto es, que dentro de las circunstancias normales de la vida, no sea posible contemplar por anticipado su ocurrencia. Por el contrario, si el hecho razonablemente hubiera podido preverse, por ser un acontecimiento normal o de ocurrencia frecuente, tal hecho no estructura el elemento imprevisible, y</w:t>
      </w:r>
    </w:p>
    <w:p w14:paraId="555C0A30" w14:textId="77777777" w:rsidR="00EF6139" w:rsidRPr="00C6095C" w:rsidRDefault="00EF6139" w:rsidP="00EF6139">
      <w:pPr>
        <w:spacing w:after="0" w:line="240" w:lineRule="auto"/>
        <w:ind w:right="49" w:firstLine="708"/>
        <w:jc w:val="both"/>
        <w:rPr>
          <w:rFonts w:ascii="Verdana" w:eastAsia="Calibri" w:hAnsi="Verdana" w:cs="Arial"/>
          <w:sz w:val="15"/>
          <w:szCs w:val="15"/>
          <w:lang w:val="es-ES_tradnl"/>
        </w:rPr>
      </w:pPr>
      <w:r w:rsidRPr="00C6095C">
        <w:rPr>
          <w:rFonts w:ascii="Verdana" w:eastAsia="Calibri" w:hAnsi="Verdana" w:cs="Arial"/>
          <w:sz w:val="15"/>
          <w:szCs w:val="15"/>
          <w:lang w:val="es-ES_tradnl"/>
        </w:rPr>
        <w:t>b) Que el hecho sea irresistible, o sea, que el agente no pueda evitar su acaecimiento ni superar sus consecuencias.</w:t>
      </w:r>
    </w:p>
    <w:p w14:paraId="46FFC6C1" w14:textId="77777777" w:rsidR="00EF6139" w:rsidRPr="00C6095C" w:rsidRDefault="00EF6139" w:rsidP="00EF6139">
      <w:pPr>
        <w:spacing w:after="0" w:line="240" w:lineRule="auto"/>
        <w:ind w:right="49" w:firstLine="708"/>
        <w:jc w:val="both"/>
        <w:rPr>
          <w:rFonts w:ascii="Verdana" w:eastAsia="Calibri" w:hAnsi="Verdana" w:cs="Arial"/>
          <w:sz w:val="15"/>
          <w:szCs w:val="15"/>
          <w:lang w:val="es-ES_tradnl"/>
        </w:rPr>
      </w:pPr>
      <w:r w:rsidRPr="00C6095C">
        <w:rPr>
          <w:rFonts w:ascii="Verdana" w:eastAsia="Calibri" w:hAnsi="Verdana" w:cs="Arial"/>
          <w:sz w:val="15"/>
          <w:szCs w:val="15"/>
          <w:lang w:val="es-ES_tradnl"/>
        </w:rPr>
        <w:t>En este preciso punto es indispensable anotar la diferencia existente entre la imposibilidad para resistir o superar el hecho y la dificultad para enfrentarlo. Porque un hecho no constituye caso fortuito o fuerza mayor, por la sola circunstancia de que se haga más difícil o más onerosa de lo previsto inicialmente.</w:t>
      </w:r>
    </w:p>
    <w:p w14:paraId="5D78A27E" w14:textId="77777777" w:rsidR="00EF6139" w:rsidRPr="00C6095C" w:rsidRDefault="00EF6139" w:rsidP="00EF6139">
      <w:pPr>
        <w:spacing w:after="0" w:line="240" w:lineRule="auto"/>
        <w:ind w:right="49" w:firstLine="708"/>
        <w:jc w:val="both"/>
        <w:rPr>
          <w:rFonts w:ascii="Verdana" w:eastAsia="Calibri" w:hAnsi="Verdana" w:cs="Arial"/>
          <w:sz w:val="15"/>
          <w:szCs w:val="15"/>
          <w:lang w:val="es-ES_tradnl"/>
        </w:rPr>
      </w:pPr>
      <w:r w:rsidRPr="00C6095C">
        <w:rPr>
          <w:rFonts w:ascii="Verdana" w:eastAsia="Calibri" w:hAnsi="Verdana" w:cs="Arial"/>
          <w:sz w:val="15"/>
          <w:szCs w:val="15"/>
          <w:lang w:val="es-ES_tradnl"/>
        </w:rPr>
        <w:t>7. Según el verdadero sentido o inteligencia […] los elementos integrantes del caso fortuito o fuerza mayor, antes reseñados, deben ser concurrentes, lo cual se traduce en que si el hecho o suceso ciertamente es imprevisible pero se le puede resistir, no se da tal fenómeno, como tampoco se configura cuando a pesar de ser irresistible pudo preverse</w:t>
      </w:r>
    </w:p>
    <w:p w14:paraId="77FEA771" w14:textId="77777777" w:rsidR="00EF6139" w:rsidRPr="00C6095C" w:rsidRDefault="00EF6139" w:rsidP="00EF6139">
      <w:pPr>
        <w:spacing w:after="0" w:line="240" w:lineRule="auto"/>
        <w:ind w:right="49"/>
        <w:jc w:val="both"/>
        <w:rPr>
          <w:rFonts w:ascii="Verdana" w:eastAsia="Calibri" w:hAnsi="Verdana" w:cs="Arial"/>
          <w:sz w:val="15"/>
          <w:szCs w:val="15"/>
          <w:lang w:val="es-ES_tradnl"/>
        </w:rPr>
      </w:pPr>
      <w:r w:rsidRPr="00C6095C">
        <w:rPr>
          <w:rFonts w:ascii="Verdana" w:eastAsia="Calibri" w:hAnsi="Verdana" w:cs="Arial"/>
          <w:sz w:val="15"/>
          <w:szCs w:val="15"/>
          <w:lang w:val="es-ES_tradnl"/>
        </w:rPr>
        <w:t>[…]</w:t>
      </w:r>
    </w:p>
    <w:p w14:paraId="7F6A9AED" w14:textId="77777777" w:rsidR="00EF6139" w:rsidRPr="00C6095C" w:rsidRDefault="00EF6139" w:rsidP="00EF6139">
      <w:pPr>
        <w:pStyle w:val="Textonotapie"/>
        <w:ind w:right="49" w:firstLine="708"/>
        <w:jc w:val="both"/>
        <w:rPr>
          <w:rFonts w:ascii="Verdana" w:hAnsi="Verdana" w:cs="Arial"/>
          <w:sz w:val="15"/>
          <w:szCs w:val="15"/>
          <w:lang w:val="es-CO"/>
        </w:rPr>
      </w:pPr>
      <w:r w:rsidRPr="00C6095C">
        <w:rPr>
          <w:rFonts w:ascii="Verdana" w:eastAsia="Calibri" w:hAnsi="Verdana" w:cs="Arial"/>
          <w:sz w:val="15"/>
          <w:szCs w:val="15"/>
          <w:lang w:val="es-ES_tradnl"/>
        </w:rPr>
        <w:t>8. Si, sólo puede calificarse como caso fortuito o fuerza mayor el hecho que concurrentemente contemple los caracteres de imprevisible e irresistible, no resulta propio elaborar un listado de los acontecimientos que constituyen tal fenómeno, ni de los que no lo constituyen. Por tal virtud, ha sostenido la doctrina nacional y foránea que un acontecimiento determinado no puede calificarse fatalmente, por sí mismo y por fuerza de su naturaleza específica como constitutivo de fuerza mayor o caso fortuito, puesto que es indispensable, en cada caso o acontecimiento, analizar y ponderar todas las circunstancias que rodearon el hecho”.</w:t>
      </w:r>
    </w:p>
  </w:footnote>
  <w:footnote w:id="49">
    <w:p w14:paraId="37C6601F" w14:textId="77777777" w:rsidR="00EF6139" w:rsidRPr="00C6095C" w:rsidRDefault="00EF6139" w:rsidP="00EF6139">
      <w:pPr>
        <w:pStyle w:val="Textonotapie"/>
        <w:ind w:firstLine="708"/>
        <w:jc w:val="both"/>
        <w:rPr>
          <w:rFonts w:ascii="Verdana" w:hAnsi="Verdana" w:cs="Arial"/>
          <w:sz w:val="15"/>
          <w:szCs w:val="15"/>
          <w:lang w:val="es-ES"/>
        </w:rPr>
      </w:pPr>
      <w:r w:rsidRPr="00C6095C">
        <w:rPr>
          <w:rStyle w:val="Refdenotaalpie"/>
          <w:rFonts w:ascii="Verdana" w:hAnsi="Verdana" w:cs="Arial"/>
          <w:sz w:val="15"/>
          <w:szCs w:val="15"/>
        </w:rPr>
        <w:footnoteRef/>
      </w:r>
      <w:r w:rsidRPr="00C6095C">
        <w:rPr>
          <w:rFonts w:ascii="Verdana" w:hAnsi="Verdana" w:cs="Arial"/>
          <w:sz w:val="15"/>
          <w:szCs w:val="15"/>
        </w:rPr>
        <w:t xml:space="preserve"> “</w:t>
      </w:r>
      <w:r w:rsidRPr="00C6095C">
        <w:rPr>
          <w:rFonts w:ascii="Verdana" w:hAnsi="Verdana" w:cs="Arial"/>
          <w:sz w:val="15"/>
          <w:szCs w:val="15"/>
          <w:lang w:val="es-ES"/>
        </w:rPr>
        <w:t>Artículo 56. Declaratoria de situación de desastre. Previa recomendación del Consejo Nacional, el 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14:paraId="50626000" w14:textId="77777777" w:rsidR="00EF6139" w:rsidRPr="00C6095C" w:rsidRDefault="00EF6139" w:rsidP="00EF6139">
      <w:pPr>
        <w:pStyle w:val="Textonotapie"/>
        <w:ind w:firstLine="708"/>
        <w:jc w:val="both"/>
        <w:rPr>
          <w:rFonts w:ascii="Verdana" w:hAnsi="Verdana" w:cs="Arial"/>
          <w:sz w:val="15"/>
          <w:szCs w:val="15"/>
          <w:lang w:val="es-ES"/>
        </w:rPr>
      </w:pPr>
      <w:r w:rsidRPr="00C6095C">
        <w:rPr>
          <w:rFonts w:ascii="Verdana" w:hAnsi="Verdana" w:cs="Arial"/>
          <w:sz w:val="15"/>
          <w:szCs w:val="15"/>
          <w:lang w:val="es-ES"/>
        </w:rPr>
        <w:t>1. Nacional. Existirá una situación de desastre nacional:</w:t>
      </w:r>
    </w:p>
    <w:p w14:paraId="6909B890" w14:textId="77777777" w:rsidR="00EF6139" w:rsidRPr="00C6095C" w:rsidRDefault="00EF6139" w:rsidP="00EF6139">
      <w:pPr>
        <w:pStyle w:val="Textonotapie"/>
        <w:ind w:firstLine="708"/>
        <w:jc w:val="both"/>
        <w:rPr>
          <w:rFonts w:ascii="Verdana" w:hAnsi="Verdana" w:cs="Arial"/>
          <w:sz w:val="15"/>
          <w:szCs w:val="15"/>
          <w:lang w:val="es-ES"/>
        </w:rPr>
      </w:pPr>
      <w:r w:rsidRPr="00C6095C">
        <w:rPr>
          <w:rFonts w:ascii="Verdana" w:hAnsi="Verdana" w:cs="Arial"/>
          <w:sz w:val="15"/>
          <w:szCs w:val="15"/>
          <w:lang w:val="es-ES"/>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14:paraId="34FA60FA" w14:textId="77777777" w:rsidR="00EF6139" w:rsidRPr="00C6095C" w:rsidRDefault="00EF6139" w:rsidP="00EF6139">
      <w:pPr>
        <w:pStyle w:val="Textonotapie"/>
        <w:ind w:firstLine="708"/>
        <w:jc w:val="both"/>
        <w:rPr>
          <w:rFonts w:ascii="Verdana" w:hAnsi="Verdana" w:cs="Arial"/>
          <w:sz w:val="15"/>
          <w:szCs w:val="15"/>
          <w:lang w:val="es-ES"/>
        </w:rPr>
      </w:pPr>
      <w:r w:rsidRPr="00C6095C">
        <w:rPr>
          <w:rFonts w:ascii="Verdana" w:hAnsi="Verdana" w:cs="Arial"/>
          <w:sz w:val="15"/>
          <w:szCs w:val="15"/>
          <w:lang w:val="es-ES"/>
        </w:rPr>
        <w:t>b). Cuando se hayan producido efectos adversos en uno (1) o más departamentos y su impacto rebase la capacidad técnica y los recursos de las administraciones departamentales y municipales involucradas.</w:t>
      </w:r>
    </w:p>
    <w:p w14:paraId="0467298C" w14:textId="77777777" w:rsidR="00EF6139" w:rsidRPr="00C6095C" w:rsidRDefault="00EF6139" w:rsidP="00EF6139">
      <w:pPr>
        <w:pStyle w:val="Textonotapie"/>
        <w:ind w:firstLine="708"/>
        <w:jc w:val="both"/>
        <w:rPr>
          <w:rFonts w:ascii="Verdana" w:hAnsi="Verdana" w:cs="Arial"/>
          <w:sz w:val="15"/>
          <w:szCs w:val="15"/>
          <w:lang w:val="es-ES"/>
        </w:rPr>
      </w:pPr>
      <w:r w:rsidRPr="00C6095C">
        <w:rPr>
          <w:rFonts w:ascii="Verdana" w:hAnsi="Verdana" w:cs="Arial"/>
          <w:sz w:val="15"/>
          <w:szCs w:val="15"/>
          <w:lang w:val="es-ES"/>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14:paraId="04B1815B" w14:textId="77777777" w:rsidR="00EF6139" w:rsidRPr="00C6095C" w:rsidRDefault="00EF6139" w:rsidP="00EF6139">
      <w:pPr>
        <w:pStyle w:val="Textonotapie"/>
        <w:ind w:firstLine="708"/>
        <w:jc w:val="both"/>
        <w:rPr>
          <w:rFonts w:ascii="Verdana" w:hAnsi="Verdana" w:cs="Arial"/>
          <w:sz w:val="15"/>
          <w:szCs w:val="15"/>
          <w:lang w:val="es-ES"/>
        </w:rPr>
      </w:pPr>
      <w:r w:rsidRPr="00C6095C">
        <w:rPr>
          <w:rFonts w:ascii="Verdana" w:hAnsi="Verdana" w:cs="Arial"/>
          <w:sz w:val="15"/>
          <w:szCs w:val="15"/>
          <w:lang w:val="es-ES"/>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14:paraId="28BC3AF4" w14:textId="77777777" w:rsidR="00EF6139" w:rsidRPr="00C6095C" w:rsidRDefault="00EF6139" w:rsidP="00EF6139">
      <w:pPr>
        <w:pStyle w:val="Textonotapie"/>
        <w:ind w:firstLine="708"/>
        <w:jc w:val="both"/>
        <w:rPr>
          <w:rFonts w:ascii="Verdana" w:hAnsi="Verdana" w:cs="Arial"/>
          <w:sz w:val="15"/>
          <w:szCs w:val="15"/>
          <w:lang w:val="es-ES"/>
        </w:rPr>
      </w:pPr>
      <w:r w:rsidRPr="00C6095C">
        <w:rPr>
          <w:rFonts w:ascii="Verdana" w:hAnsi="Verdana" w:cs="Arial"/>
          <w:sz w:val="15"/>
          <w:szCs w:val="15"/>
          <w:lang w:val="es-ES"/>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 […]”.</w:t>
      </w:r>
    </w:p>
  </w:footnote>
  <w:footnote w:id="50">
    <w:p w14:paraId="582E73A3" w14:textId="77777777" w:rsidR="00EF6139" w:rsidRPr="00817BE8" w:rsidRDefault="00EF6139" w:rsidP="00EF6139">
      <w:pPr>
        <w:pStyle w:val="Textonotapie"/>
        <w:ind w:firstLine="708"/>
        <w:jc w:val="both"/>
        <w:rPr>
          <w:rFonts w:ascii="Verdana" w:hAnsi="Verdana" w:cs="Arial"/>
          <w:sz w:val="16"/>
          <w:szCs w:val="16"/>
          <w:lang w:val="es-CO"/>
        </w:rPr>
      </w:pPr>
      <w:r w:rsidRPr="00C6095C">
        <w:rPr>
          <w:rStyle w:val="Refdenotaalpie"/>
          <w:rFonts w:ascii="Verdana" w:hAnsi="Verdana" w:cs="Arial"/>
          <w:sz w:val="15"/>
          <w:szCs w:val="15"/>
        </w:rPr>
        <w:footnoteRef/>
      </w:r>
      <w:r w:rsidRPr="00C6095C">
        <w:rPr>
          <w:rFonts w:ascii="Verdana" w:hAnsi="Verdana" w:cs="Arial"/>
          <w:sz w:val="15"/>
          <w:szCs w:val="15"/>
        </w:rPr>
        <w:t xml:space="preserve"> “</w:t>
      </w:r>
      <w:r w:rsidRPr="00C6095C">
        <w:rPr>
          <w:rFonts w:ascii="Verdana" w:hAnsi="Verdana" w:cs="Arial"/>
          <w:sz w:val="15"/>
          <w:szCs w:val="15"/>
          <w:lang w:val="es-ES"/>
        </w:rPr>
        <w:t xml:space="preserve">Artículo 57. Declaratoria de situación de calamidad pública. </w:t>
      </w:r>
      <w:bookmarkStart w:id="23" w:name="_Hlk132729568"/>
      <w:r w:rsidRPr="00C6095C">
        <w:rPr>
          <w:rFonts w:ascii="Verdana" w:hAnsi="Verdana" w:cs="Arial"/>
          <w:sz w:val="15"/>
          <w:szCs w:val="15"/>
          <w:lang w:val="es-ES"/>
        </w:rPr>
        <w:t>Los gobernadores y alcaldes, previo concepto favorable del Consejo Departamental, Distrital o Municipal de Gestión del Riesgo, podrán declararla situación de calamidad pública en su respectiva jurisdicción. Las declaratorias de situación de calamidad pública se producirán y aplicarán, en lo pertinente, de conformidad con las reglas de la declaratoria de la situación de desastre</w:t>
      </w:r>
      <w:bookmarkEnd w:id="23"/>
      <w:r w:rsidRPr="00C6095C">
        <w:rPr>
          <w:rFonts w:ascii="Verdana" w:hAnsi="Verdana" w:cs="Arial"/>
          <w:sz w:val="15"/>
          <w:szCs w:val="15"/>
          <w:lang w:val="es-E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56254348">
    <w:abstractNumId w:val="8"/>
  </w:num>
  <w:num w:numId="2" w16cid:durableId="2124956237">
    <w:abstractNumId w:val="2"/>
  </w:num>
  <w:num w:numId="3" w16cid:durableId="284773878">
    <w:abstractNumId w:val="6"/>
  </w:num>
  <w:num w:numId="4" w16cid:durableId="117495986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64981273">
    <w:abstractNumId w:val="2"/>
  </w:num>
  <w:num w:numId="6" w16cid:durableId="105858580">
    <w:abstractNumId w:val="16"/>
  </w:num>
  <w:num w:numId="7" w16cid:durableId="1851599130">
    <w:abstractNumId w:val="7"/>
  </w:num>
  <w:num w:numId="8" w16cid:durableId="2090350799">
    <w:abstractNumId w:val="15"/>
  </w:num>
  <w:num w:numId="9" w16cid:durableId="1349209551">
    <w:abstractNumId w:val="9"/>
  </w:num>
  <w:num w:numId="10" w16cid:durableId="990402287">
    <w:abstractNumId w:val="14"/>
  </w:num>
  <w:num w:numId="11" w16cid:durableId="757553654">
    <w:abstractNumId w:val="10"/>
  </w:num>
  <w:num w:numId="12" w16cid:durableId="2028604482">
    <w:abstractNumId w:val="1"/>
  </w:num>
  <w:num w:numId="13" w16cid:durableId="2109765993">
    <w:abstractNumId w:val="4"/>
  </w:num>
  <w:num w:numId="14" w16cid:durableId="1982035696">
    <w:abstractNumId w:val="17"/>
  </w:num>
  <w:num w:numId="15" w16cid:durableId="457796261">
    <w:abstractNumId w:val="13"/>
  </w:num>
  <w:num w:numId="16" w16cid:durableId="257759425">
    <w:abstractNumId w:val="0"/>
  </w:num>
  <w:num w:numId="17" w16cid:durableId="1507132882">
    <w:abstractNumId w:val="11"/>
  </w:num>
  <w:num w:numId="18" w16cid:durableId="135293850">
    <w:abstractNumId w:val="12"/>
  </w:num>
  <w:num w:numId="19" w16cid:durableId="797528968">
    <w:abstractNumId w:val="3"/>
  </w:num>
  <w:num w:numId="20" w16cid:durableId="72707333">
    <w:abstractNumId w:val="18"/>
  </w:num>
  <w:num w:numId="21" w16cid:durableId="77622156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452B"/>
    <w:rsid w:val="0001041D"/>
    <w:rsid w:val="00016F78"/>
    <w:rsid w:val="00027FE4"/>
    <w:rsid w:val="000345D6"/>
    <w:rsid w:val="00046945"/>
    <w:rsid w:val="00053C4A"/>
    <w:rsid w:val="00054551"/>
    <w:rsid w:val="00061B2A"/>
    <w:rsid w:val="00081367"/>
    <w:rsid w:val="00082362"/>
    <w:rsid w:val="000825A6"/>
    <w:rsid w:val="00095DAE"/>
    <w:rsid w:val="000A683E"/>
    <w:rsid w:val="000B19B9"/>
    <w:rsid w:val="000C3727"/>
    <w:rsid w:val="000D0334"/>
    <w:rsid w:val="000D5040"/>
    <w:rsid w:val="000D5DA7"/>
    <w:rsid w:val="000F4BC5"/>
    <w:rsid w:val="000F4EFB"/>
    <w:rsid w:val="000F6486"/>
    <w:rsid w:val="00102203"/>
    <w:rsid w:val="001052D1"/>
    <w:rsid w:val="00116940"/>
    <w:rsid w:val="00125105"/>
    <w:rsid w:val="00127233"/>
    <w:rsid w:val="0012746B"/>
    <w:rsid w:val="00127474"/>
    <w:rsid w:val="0015699B"/>
    <w:rsid w:val="00164FB3"/>
    <w:rsid w:val="00186DE9"/>
    <w:rsid w:val="001967FD"/>
    <w:rsid w:val="001A33BF"/>
    <w:rsid w:val="001A65C5"/>
    <w:rsid w:val="001D3F22"/>
    <w:rsid w:val="001E194B"/>
    <w:rsid w:val="001E4177"/>
    <w:rsid w:val="001E5EA0"/>
    <w:rsid w:val="001F0B24"/>
    <w:rsid w:val="001F7DC6"/>
    <w:rsid w:val="0020079E"/>
    <w:rsid w:val="0022400B"/>
    <w:rsid w:val="002421BB"/>
    <w:rsid w:val="0024692A"/>
    <w:rsid w:val="0025796E"/>
    <w:rsid w:val="00261121"/>
    <w:rsid w:val="002707A2"/>
    <w:rsid w:val="00272A28"/>
    <w:rsid w:val="002826F0"/>
    <w:rsid w:val="002845F4"/>
    <w:rsid w:val="002857D9"/>
    <w:rsid w:val="00293441"/>
    <w:rsid w:val="002951A0"/>
    <w:rsid w:val="002962BC"/>
    <w:rsid w:val="002A093D"/>
    <w:rsid w:val="002A0DD0"/>
    <w:rsid w:val="002A49AC"/>
    <w:rsid w:val="002A5E3E"/>
    <w:rsid w:val="002A64FD"/>
    <w:rsid w:val="002A760C"/>
    <w:rsid w:val="002C5725"/>
    <w:rsid w:val="002C7A84"/>
    <w:rsid w:val="002E2BF8"/>
    <w:rsid w:val="002E4FD9"/>
    <w:rsid w:val="002E60E4"/>
    <w:rsid w:val="002F3CDF"/>
    <w:rsid w:val="0030657A"/>
    <w:rsid w:val="00322A85"/>
    <w:rsid w:val="00324168"/>
    <w:rsid w:val="00330834"/>
    <w:rsid w:val="003318AB"/>
    <w:rsid w:val="0033349E"/>
    <w:rsid w:val="00341304"/>
    <w:rsid w:val="003448F4"/>
    <w:rsid w:val="00355EA0"/>
    <w:rsid w:val="00357C72"/>
    <w:rsid w:val="003604F5"/>
    <w:rsid w:val="00374F5E"/>
    <w:rsid w:val="0037512C"/>
    <w:rsid w:val="00377E3E"/>
    <w:rsid w:val="00380CA4"/>
    <w:rsid w:val="00397D73"/>
    <w:rsid w:val="003A779E"/>
    <w:rsid w:val="003B2F20"/>
    <w:rsid w:val="003C5B9E"/>
    <w:rsid w:val="003C64B8"/>
    <w:rsid w:val="003D0F4D"/>
    <w:rsid w:val="003D1CF9"/>
    <w:rsid w:val="003D5B0D"/>
    <w:rsid w:val="003E0499"/>
    <w:rsid w:val="003E4F80"/>
    <w:rsid w:val="003E6439"/>
    <w:rsid w:val="003E6646"/>
    <w:rsid w:val="003F0A7D"/>
    <w:rsid w:val="003F3941"/>
    <w:rsid w:val="00401590"/>
    <w:rsid w:val="00406575"/>
    <w:rsid w:val="00414C74"/>
    <w:rsid w:val="00417B5B"/>
    <w:rsid w:val="0042722E"/>
    <w:rsid w:val="00437377"/>
    <w:rsid w:val="0044158F"/>
    <w:rsid w:val="0044528D"/>
    <w:rsid w:val="00447D22"/>
    <w:rsid w:val="00461D39"/>
    <w:rsid w:val="00466302"/>
    <w:rsid w:val="00466E39"/>
    <w:rsid w:val="004674CF"/>
    <w:rsid w:val="00473BEB"/>
    <w:rsid w:val="00483816"/>
    <w:rsid w:val="0048398A"/>
    <w:rsid w:val="00494C69"/>
    <w:rsid w:val="0049570F"/>
    <w:rsid w:val="004A1847"/>
    <w:rsid w:val="004A305D"/>
    <w:rsid w:val="004A6099"/>
    <w:rsid w:val="004B7D74"/>
    <w:rsid w:val="004C1120"/>
    <w:rsid w:val="004C446E"/>
    <w:rsid w:val="004D3BDD"/>
    <w:rsid w:val="004D420F"/>
    <w:rsid w:val="004E6F8B"/>
    <w:rsid w:val="004F1C0A"/>
    <w:rsid w:val="004F21C4"/>
    <w:rsid w:val="004F685F"/>
    <w:rsid w:val="005154AE"/>
    <w:rsid w:val="0053199F"/>
    <w:rsid w:val="005461C4"/>
    <w:rsid w:val="005566E8"/>
    <w:rsid w:val="005616BF"/>
    <w:rsid w:val="00574867"/>
    <w:rsid w:val="00580BC6"/>
    <w:rsid w:val="00585673"/>
    <w:rsid w:val="00591460"/>
    <w:rsid w:val="00597A19"/>
    <w:rsid w:val="005A65E0"/>
    <w:rsid w:val="005B0452"/>
    <w:rsid w:val="005B189F"/>
    <w:rsid w:val="005B4B74"/>
    <w:rsid w:val="005C3777"/>
    <w:rsid w:val="005C5CDC"/>
    <w:rsid w:val="005C6BC8"/>
    <w:rsid w:val="005D476C"/>
    <w:rsid w:val="005E6B20"/>
    <w:rsid w:val="005F181C"/>
    <w:rsid w:val="00614323"/>
    <w:rsid w:val="006200BF"/>
    <w:rsid w:val="006219F8"/>
    <w:rsid w:val="006229C7"/>
    <w:rsid w:val="00624340"/>
    <w:rsid w:val="006302F7"/>
    <w:rsid w:val="00646B9F"/>
    <w:rsid w:val="006527D7"/>
    <w:rsid w:val="00656F96"/>
    <w:rsid w:val="00662D62"/>
    <w:rsid w:val="00665485"/>
    <w:rsid w:val="00665D70"/>
    <w:rsid w:val="00686C01"/>
    <w:rsid w:val="006900D9"/>
    <w:rsid w:val="006C04F1"/>
    <w:rsid w:val="006C1235"/>
    <w:rsid w:val="006D747C"/>
    <w:rsid w:val="006D76F7"/>
    <w:rsid w:val="006E2BF4"/>
    <w:rsid w:val="00706C16"/>
    <w:rsid w:val="00721364"/>
    <w:rsid w:val="0073108D"/>
    <w:rsid w:val="007317FA"/>
    <w:rsid w:val="007340C3"/>
    <w:rsid w:val="00737DF0"/>
    <w:rsid w:val="0075235A"/>
    <w:rsid w:val="00752490"/>
    <w:rsid w:val="00756841"/>
    <w:rsid w:val="007649AB"/>
    <w:rsid w:val="00771D0C"/>
    <w:rsid w:val="00771E47"/>
    <w:rsid w:val="007744FB"/>
    <w:rsid w:val="007829E1"/>
    <w:rsid w:val="007833AC"/>
    <w:rsid w:val="0078433B"/>
    <w:rsid w:val="0078567C"/>
    <w:rsid w:val="00791C33"/>
    <w:rsid w:val="007A153F"/>
    <w:rsid w:val="007B268C"/>
    <w:rsid w:val="007B7171"/>
    <w:rsid w:val="007C0C0F"/>
    <w:rsid w:val="007C3DC2"/>
    <w:rsid w:val="007D3968"/>
    <w:rsid w:val="007E0EF2"/>
    <w:rsid w:val="007E5497"/>
    <w:rsid w:val="007F019B"/>
    <w:rsid w:val="007F0FED"/>
    <w:rsid w:val="00806F5F"/>
    <w:rsid w:val="00815B83"/>
    <w:rsid w:val="00817856"/>
    <w:rsid w:val="00820169"/>
    <w:rsid w:val="00820278"/>
    <w:rsid w:val="00824114"/>
    <w:rsid w:val="008258C9"/>
    <w:rsid w:val="00826EE8"/>
    <w:rsid w:val="00844AE9"/>
    <w:rsid w:val="00861467"/>
    <w:rsid w:val="0086491C"/>
    <w:rsid w:val="00867F95"/>
    <w:rsid w:val="008835B4"/>
    <w:rsid w:val="008843B6"/>
    <w:rsid w:val="00891928"/>
    <w:rsid w:val="008934CB"/>
    <w:rsid w:val="00895356"/>
    <w:rsid w:val="008A0D3F"/>
    <w:rsid w:val="008A1896"/>
    <w:rsid w:val="008A446D"/>
    <w:rsid w:val="008A65F7"/>
    <w:rsid w:val="008B104D"/>
    <w:rsid w:val="008B25F1"/>
    <w:rsid w:val="008C571F"/>
    <w:rsid w:val="008C5A84"/>
    <w:rsid w:val="008D180B"/>
    <w:rsid w:val="008E72AF"/>
    <w:rsid w:val="008F0EA7"/>
    <w:rsid w:val="008F327E"/>
    <w:rsid w:val="00923EEF"/>
    <w:rsid w:val="009305DC"/>
    <w:rsid w:val="009419F9"/>
    <w:rsid w:val="0095685E"/>
    <w:rsid w:val="00961B09"/>
    <w:rsid w:val="00965334"/>
    <w:rsid w:val="0097093E"/>
    <w:rsid w:val="00973E63"/>
    <w:rsid w:val="00990BF1"/>
    <w:rsid w:val="009A027F"/>
    <w:rsid w:val="009A0DFA"/>
    <w:rsid w:val="009A1C6F"/>
    <w:rsid w:val="009B2D26"/>
    <w:rsid w:val="009B651B"/>
    <w:rsid w:val="009B7652"/>
    <w:rsid w:val="009C3B44"/>
    <w:rsid w:val="009C71FA"/>
    <w:rsid w:val="009C72E7"/>
    <w:rsid w:val="009C7F7E"/>
    <w:rsid w:val="009D3058"/>
    <w:rsid w:val="009E6333"/>
    <w:rsid w:val="009F27AB"/>
    <w:rsid w:val="009F3A13"/>
    <w:rsid w:val="00A07EBF"/>
    <w:rsid w:val="00A1025E"/>
    <w:rsid w:val="00A122D3"/>
    <w:rsid w:val="00A14468"/>
    <w:rsid w:val="00A17F13"/>
    <w:rsid w:val="00A20739"/>
    <w:rsid w:val="00A218FA"/>
    <w:rsid w:val="00A23AF9"/>
    <w:rsid w:val="00A33C78"/>
    <w:rsid w:val="00A63F17"/>
    <w:rsid w:val="00A83161"/>
    <w:rsid w:val="00A86E5C"/>
    <w:rsid w:val="00AB0ADB"/>
    <w:rsid w:val="00AD67E7"/>
    <w:rsid w:val="00B00C0E"/>
    <w:rsid w:val="00B01B1A"/>
    <w:rsid w:val="00B0381D"/>
    <w:rsid w:val="00B13882"/>
    <w:rsid w:val="00B14F11"/>
    <w:rsid w:val="00B14F36"/>
    <w:rsid w:val="00B44A47"/>
    <w:rsid w:val="00B45051"/>
    <w:rsid w:val="00B72CD3"/>
    <w:rsid w:val="00B72FFF"/>
    <w:rsid w:val="00B7443D"/>
    <w:rsid w:val="00B75440"/>
    <w:rsid w:val="00B944AA"/>
    <w:rsid w:val="00B95ED8"/>
    <w:rsid w:val="00BA15D8"/>
    <w:rsid w:val="00BA7A2E"/>
    <w:rsid w:val="00BC3D36"/>
    <w:rsid w:val="00BD54A6"/>
    <w:rsid w:val="00BD7F72"/>
    <w:rsid w:val="00BE0FC4"/>
    <w:rsid w:val="00BF58CD"/>
    <w:rsid w:val="00BF6651"/>
    <w:rsid w:val="00BF7425"/>
    <w:rsid w:val="00BF78B9"/>
    <w:rsid w:val="00C04BE5"/>
    <w:rsid w:val="00C04FB3"/>
    <w:rsid w:val="00C11D8B"/>
    <w:rsid w:val="00C15139"/>
    <w:rsid w:val="00C330EB"/>
    <w:rsid w:val="00C35A4D"/>
    <w:rsid w:val="00C50D69"/>
    <w:rsid w:val="00C5365C"/>
    <w:rsid w:val="00C63036"/>
    <w:rsid w:val="00C67C8B"/>
    <w:rsid w:val="00C729D3"/>
    <w:rsid w:val="00C754BE"/>
    <w:rsid w:val="00C76B1C"/>
    <w:rsid w:val="00C925AC"/>
    <w:rsid w:val="00C9323E"/>
    <w:rsid w:val="00C946BF"/>
    <w:rsid w:val="00C958D1"/>
    <w:rsid w:val="00CA0E68"/>
    <w:rsid w:val="00CB6357"/>
    <w:rsid w:val="00CC1B26"/>
    <w:rsid w:val="00CC4C79"/>
    <w:rsid w:val="00CD6067"/>
    <w:rsid w:val="00CE4589"/>
    <w:rsid w:val="00CE72C3"/>
    <w:rsid w:val="00CF4861"/>
    <w:rsid w:val="00D13C5D"/>
    <w:rsid w:val="00D14E75"/>
    <w:rsid w:val="00D16C15"/>
    <w:rsid w:val="00D31EC6"/>
    <w:rsid w:val="00D350D3"/>
    <w:rsid w:val="00D361FD"/>
    <w:rsid w:val="00D417C8"/>
    <w:rsid w:val="00D423A2"/>
    <w:rsid w:val="00D439FC"/>
    <w:rsid w:val="00D44E26"/>
    <w:rsid w:val="00D520D8"/>
    <w:rsid w:val="00D53F94"/>
    <w:rsid w:val="00D63AC2"/>
    <w:rsid w:val="00D7383B"/>
    <w:rsid w:val="00D7788A"/>
    <w:rsid w:val="00D91BCC"/>
    <w:rsid w:val="00DA231B"/>
    <w:rsid w:val="00DC39FC"/>
    <w:rsid w:val="00DC6C70"/>
    <w:rsid w:val="00DD0992"/>
    <w:rsid w:val="00DD4F85"/>
    <w:rsid w:val="00DF3F1B"/>
    <w:rsid w:val="00DF5254"/>
    <w:rsid w:val="00E02524"/>
    <w:rsid w:val="00E16408"/>
    <w:rsid w:val="00E20894"/>
    <w:rsid w:val="00E22A1A"/>
    <w:rsid w:val="00E245AB"/>
    <w:rsid w:val="00E2764C"/>
    <w:rsid w:val="00E27F2E"/>
    <w:rsid w:val="00E35083"/>
    <w:rsid w:val="00E5016B"/>
    <w:rsid w:val="00E50AFE"/>
    <w:rsid w:val="00E54809"/>
    <w:rsid w:val="00E56EE8"/>
    <w:rsid w:val="00E60AD8"/>
    <w:rsid w:val="00E75C92"/>
    <w:rsid w:val="00E760D9"/>
    <w:rsid w:val="00E771DC"/>
    <w:rsid w:val="00E8252C"/>
    <w:rsid w:val="00E83EFE"/>
    <w:rsid w:val="00E8772A"/>
    <w:rsid w:val="00E90AC3"/>
    <w:rsid w:val="00E90F6B"/>
    <w:rsid w:val="00E92C27"/>
    <w:rsid w:val="00EA0E3D"/>
    <w:rsid w:val="00EA4B5D"/>
    <w:rsid w:val="00EC38A7"/>
    <w:rsid w:val="00EE1AA8"/>
    <w:rsid w:val="00EF6139"/>
    <w:rsid w:val="00F04FFA"/>
    <w:rsid w:val="00F163B0"/>
    <w:rsid w:val="00F16BC8"/>
    <w:rsid w:val="00F23FEA"/>
    <w:rsid w:val="00F31A4A"/>
    <w:rsid w:val="00F31EDC"/>
    <w:rsid w:val="00F462B3"/>
    <w:rsid w:val="00F5664F"/>
    <w:rsid w:val="00F624DD"/>
    <w:rsid w:val="00F666C4"/>
    <w:rsid w:val="00F7339B"/>
    <w:rsid w:val="00F76AFC"/>
    <w:rsid w:val="00F92C2A"/>
    <w:rsid w:val="00FA3E17"/>
    <w:rsid w:val="00FA47C0"/>
    <w:rsid w:val="00FA7E09"/>
    <w:rsid w:val="00FB2271"/>
    <w:rsid w:val="00FB5DD1"/>
    <w:rsid w:val="00FC2B5D"/>
    <w:rsid w:val="00FD63E7"/>
    <w:rsid w:val="00FF1449"/>
    <w:rsid w:val="00FF1C5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6139"/>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CE72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juanvar17@gmail.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www.secretariasenado.gov.co/senado/basedoc/ley_0388_1997_pr001.html" TargetMode="External"/><Relationship Id="rId1" Type="http://schemas.openxmlformats.org/officeDocument/2006/relationships/hyperlink" Target="https://relatoria.colombiacompra.gov.co/ficha/4201912000005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45C23B57-BD63-453D-9056-529D4A504064}">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D66047F6-6AA7-46CD-AA90-FDE794DED4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22</TotalTime>
  <Pages>47</Pages>
  <Words>16116</Words>
  <Characters>88483</Characters>
  <Application>Microsoft Office Word</Application>
  <DocSecurity>0</DocSecurity>
  <Lines>1580</Lines>
  <Paragraphs>227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2026-03-03T21:30:00Z</dcterms:created>
  <dcterms:modified xsi:type="dcterms:W3CDTF">2026-03-04T21:43:00Z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