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A32A8" w14:textId="77777777" w:rsidR="00DB1299" w:rsidRPr="00542A81" w:rsidRDefault="00DB1299" w:rsidP="00DB1299">
      <w:pPr>
        <w:spacing w:after="0" w:line="240" w:lineRule="auto"/>
        <w:contextualSpacing/>
        <w:jc w:val="both"/>
        <w:rPr>
          <w:rFonts w:ascii="Verdana" w:eastAsia="Calibri" w:hAnsi="Verdana" w:cs="Arial"/>
          <w:b/>
          <w:noProof/>
          <w:lang w:val="es-ES_tradnl" w:eastAsia="es-ES_tradnl"/>
        </w:rPr>
      </w:pPr>
      <w:bookmarkStart w:id="0" w:name="_Hlk143780582"/>
      <w:r w:rsidRPr="00542A81">
        <w:rPr>
          <w:rFonts w:ascii="Verdana" w:eastAsia="Calibri" w:hAnsi="Verdana" w:cs="Arial"/>
          <w:b/>
          <w:noProof/>
          <w:lang w:val="es-ES_tradnl" w:eastAsia="es-ES_tradnl"/>
        </w:rPr>
        <w:t xml:space="preserve">EXPERIENCIA – Requisito habilitante </w:t>
      </w:r>
      <w:r w:rsidRPr="00542A81">
        <w:rPr>
          <w:rFonts w:ascii="Verdana" w:eastAsia="Times New Roman" w:hAnsi="Verdana" w:cs="Arial"/>
          <w:b/>
          <w:bCs/>
          <w:lang w:eastAsia="es-ES_tradnl"/>
        </w:rPr>
        <w:t>– RUP – Plena prueba</w:t>
      </w:r>
    </w:p>
    <w:p w14:paraId="72F614B2" w14:textId="77777777" w:rsidR="00DB1299" w:rsidRPr="00542A81" w:rsidRDefault="00DB1299" w:rsidP="00DB1299">
      <w:pPr>
        <w:spacing w:after="0" w:line="240" w:lineRule="auto"/>
        <w:contextualSpacing/>
        <w:jc w:val="both"/>
        <w:rPr>
          <w:rFonts w:ascii="Verdana" w:eastAsia="Calibri" w:hAnsi="Verdana" w:cs="Arial"/>
          <w:b/>
          <w:noProof/>
          <w:lang w:val="es-ES_tradnl" w:eastAsia="es-ES_tradnl"/>
        </w:rPr>
      </w:pPr>
    </w:p>
    <w:p w14:paraId="6584DD4F" w14:textId="77777777" w:rsidR="00DB1299" w:rsidRPr="00542A81" w:rsidRDefault="00DB1299" w:rsidP="00DB1299">
      <w:pPr>
        <w:spacing w:after="0" w:line="240" w:lineRule="auto"/>
        <w:contextualSpacing/>
        <w:jc w:val="both"/>
        <w:rPr>
          <w:rFonts w:ascii="Verdana" w:eastAsia="Calibri" w:hAnsi="Verdana" w:cs="Arial"/>
          <w:bCs/>
          <w:lang w:val="es-ES_tradnl" w:eastAsia="es-MX"/>
        </w:rPr>
      </w:pPr>
      <w:r w:rsidRPr="00542A81">
        <w:rPr>
          <w:rFonts w:ascii="Verdana" w:eastAsia="Calibri" w:hAnsi="Verdana" w:cs="Arial"/>
          <w:lang w:val="es-ES" w:eastAsia="es-MX"/>
        </w:rPr>
        <w:t>[…] la experiencia, constituye uno de los requisitos habilitantes y se deriva de los contratos que el proponente ha celebrado y ejecutado con distintos contratantes, sin que la naturaleza pública o privada de estos sea determinante. Su verificación se realiza a través del Registro Único de Proponentes – RUP, cuando este sea exigible conforme a la ley. El artículo 6 de la Ley 1150 de 2007 dispone que los requisitos habilitantes antes mencionados, entre ellos la experiencia, se acreditan mediante el RUP</w:t>
      </w:r>
      <w:r w:rsidRPr="00542A81">
        <w:rPr>
          <w:rFonts w:ascii="Verdana" w:eastAsia="Calibri" w:hAnsi="Verdana" w:cs="Arial"/>
          <w:bCs/>
          <w:lang w:val="es-ES_tradnl" w:eastAsia="es-MX"/>
        </w:rPr>
        <w:t>.</w:t>
      </w:r>
    </w:p>
    <w:p w14:paraId="352B083A" w14:textId="77777777" w:rsidR="00DB1299" w:rsidRPr="00542A81" w:rsidRDefault="00DB1299" w:rsidP="00DB1299">
      <w:pPr>
        <w:spacing w:after="0" w:line="240" w:lineRule="auto"/>
        <w:contextualSpacing/>
        <w:jc w:val="both"/>
        <w:rPr>
          <w:rFonts w:ascii="Verdana" w:eastAsia="Calibri" w:hAnsi="Verdana" w:cs="Arial"/>
          <w:bCs/>
          <w:lang w:val="es-ES_tradnl" w:eastAsia="es-MX"/>
        </w:rPr>
      </w:pPr>
    </w:p>
    <w:p w14:paraId="4EE75B75" w14:textId="77777777" w:rsidR="00DB1299" w:rsidRPr="00542A81" w:rsidRDefault="00DB1299" w:rsidP="00DB1299">
      <w:pPr>
        <w:spacing w:after="0" w:line="240" w:lineRule="auto"/>
        <w:contextualSpacing/>
        <w:jc w:val="both"/>
        <w:rPr>
          <w:rFonts w:ascii="Verdana" w:eastAsia="Calibri" w:hAnsi="Verdana" w:cs="Arial"/>
          <w:bCs/>
          <w:lang w:val="es-ES_tradnl" w:eastAsia="es-MX"/>
        </w:rPr>
      </w:pPr>
      <w:r w:rsidRPr="00542A81">
        <w:rPr>
          <w:rFonts w:ascii="Verdana" w:eastAsia="Calibri" w:hAnsi="Verdana" w:cs="Arial"/>
          <w:bCs/>
          <w:lang w:val="es-ES_tradnl" w:eastAsia="es-MX"/>
        </w:rPr>
        <w:t>[…]</w:t>
      </w:r>
    </w:p>
    <w:p w14:paraId="1CAC6ECC" w14:textId="77777777" w:rsidR="00DB1299" w:rsidRPr="00542A81" w:rsidRDefault="00DB1299" w:rsidP="00DB1299">
      <w:pPr>
        <w:spacing w:after="0" w:line="240" w:lineRule="auto"/>
        <w:contextualSpacing/>
        <w:jc w:val="both"/>
        <w:rPr>
          <w:rFonts w:ascii="Verdana" w:eastAsia="Calibri" w:hAnsi="Verdana" w:cs="Arial"/>
          <w:bCs/>
          <w:lang w:val="es-ES_tradnl" w:eastAsia="es-MX"/>
        </w:rPr>
      </w:pPr>
    </w:p>
    <w:p w14:paraId="1E23530A" w14:textId="77777777" w:rsidR="00DB1299" w:rsidRPr="00542A81" w:rsidRDefault="00DB1299" w:rsidP="00DB1299">
      <w:pPr>
        <w:spacing w:after="0" w:line="240" w:lineRule="auto"/>
        <w:contextualSpacing/>
        <w:jc w:val="both"/>
        <w:rPr>
          <w:rFonts w:ascii="Verdana" w:eastAsia="Calibri" w:hAnsi="Verdana" w:cs="Arial"/>
          <w:bCs/>
          <w:lang w:val="es-ES" w:eastAsia="es-ES_tradnl"/>
        </w:rPr>
      </w:pPr>
      <w:r w:rsidRPr="00542A81">
        <w:rPr>
          <w:rFonts w:ascii="Verdana" w:eastAsia="Calibri" w:hAnsi="Verdana" w:cs="Arial"/>
          <w:bCs/>
          <w:lang w:val="es-ES" w:eastAsia="es-ES_tradnl"/>
        </w:rPr>
        <w:t>[…] el Registro Único de Proponentes constituye plena prueba de las condiciones que en él consten y que hayan sido verificadas por las Cámaras de Comercio. En consecuencia, la acreditación de los requisitos habilitantes previstos en el numeral 1 del artículo 5 de la ley —entre ellos, la experiencia, la capacidad jurídica, financiera y de organización— debe efectuarse exclusivamente mediante el certificado del RUP, en el cual deben figurar dichas condiciones.</w:t>
      </w:r>
    </w:p>
    <w:p w14:paraId="4C3572AF" w14:textId="77777777" w:rsidR="00DB1299" w:rsidRPr="00542A81" w:rsidRDefault="00DB1299" w:rsidP="00DB1299">
      <w:pPr>
        <w:spacing w:after="0" w:line="240" w:lineRule="auto"/>
        <w:contextualSpacing/>
        <w:jc w:val="both"/>
        <w:rPr>
          <w:rFonts w:ascii="Verdana" w:eastAsia="Calibri" w:hAnsi="Verdana" w:cs="Arial"/>
          <w:bCs/>
          <w:lang w:val="es-ES" w:eastAsia="es-ES_tradnl"/>
        </w:rPr>
      </w:pPr>
    </w:p>
    <w:p w14:paraId="397D8B6D" w14:textId="77777777" w:rsidR="00DB1299" w:rsidRPr="00542A81" w:rsidRDefault="00DB1299" w:rsidP="00DB1299">
      <w:pPr>
        <w:spacing w:after="0" w:line="240" w:lineRule="auto"/>
        <w:contextualSpacing/>
        <w:jc w:val="both"/>
        <w:rPr>
          <w:rFonts w:ascii="Verdana" w:eastAsia="Calibri" w:hAnsi="Verdana" w:cs="Arial"/>
          <w:bCs/>
          <w:lang w:val="es-ES" w:eastAsia="es-ES_tradnl"/>
        </w:rPr>
      </w:pPr>
      <w:r w:rsidRPr="00542A81">
        <w:rPr>
          <w:rFonts w:ascii="Verdana" w:eastAsia="Calibri" w:hAnsi="Verdana" w:cs="Arial"/>
          <w:bCs/>
          <w:lang w:val="es-ES" w:eastAsia="es-ES_tradnl"/>
        </w:rPr>
        <w:t>Por lo mismo, las entidades estatales no pueden exigir ni los proponentes aportar documentos adicionales destinados a soportar la información que ya fue verificada e inscrita en el Registro. No obstante, la norma admite una excepción: cuando las particularidades del objeto contractual hagan necesaria la comprobación de requisitos adicionales a los contenidos en el RUP, la entidad contratante podrá realizar dicha verificación directamente, con el fin de garantizar la selección objetiva y la adecuada ejecución del contrato.</w:t>
      </w:r>
    </w:p>
    <w:p w14:paraId="205AA4FF" w14:textId="77777777" w:rsidR="00DB1299" w:rsidRPr="00542A81" w:rsidRDefault="00DB1299" w:rsidP="00DB1299">
      <w:pPr>
        <w:spacing w:after="0" w:line="240" w:lineRule="auto"/>
        <w:contextualSpacing/>
        <w:jc w:val="both"/>
        <w:rPr>
          <w:rFonts w:ascii="Verdana" w:eastAsia="Times New Roman" w:hAnsi="Verdana" w:cs="Arial"/>
          <w:lang w:val="es-ES_tradnl" w:eastAsia="es-MX"/>
        </w:rPr>
      </w:pPr>
    </w:p>
    <w:p w14:paraId="5078A0A7" w14:textId="77777777" w:rsidR="00DB1299" w:rsidRPr="00542A81" w:rsidRDefault="00DB1299" w:rsidP="00DB1299">
      <w:pPr>
        <w:spacing w:after="0" w:line="240" w:lineRule="auto"/>
        <w:contextualSpacing/>
        <w:jc w:val="both"/>
        <w:rPr>
          <w:rFonts w:ascii="Verdana" w:eastAsia="Times New Roman" w:hAnsi="Verdana" w:cs="Arial"/>
          <w:b/>
          <w:bCs/>
          <w:lang w:eastAsia="es-ES_tradnl"/>
        </w:rPr>
      </w:pPr>
      <w:r w:rsidRPr="00542A81">
        <w:rPr>
          <w:rFonts w:ascii="Verdana" w:eastAsia="Times New Roman" w:hAnsi="Verdana" w:cs="Arial"/>
          <w:b/>
          <w:bCs/>
          <w:lang w:eastAsia="es-ES_tradnl"/>
        </w:rPr>
        <w:t xml:space="preserve">RUP </w:t>
      </w:r>
      <w:r w:rsidRPr="00542A81">
        <w:rPr>
          <w:rFonts w:ascii="Verdana" w:eastAsia="Calibri" w:hAnsi="Verdana" w:cs="Arial"/>
          <w:b/>
          <w:noProof/>
          <w:lang w:val="es-ES_tradnl" w:eastAsia="es-ES_tradnl"/>
        </w:rPr>
        <w:t>– Excepciones – Deber de verificación de entidades estatales</w:t>
      </w:r>
    </w:p>
    <w:p w14:paraId="3EB81497" w14:textId="77777777" w:rsidR="00DB1299" w:rsidRPr="00542A81" w:rsidRDefault="00DB1299" w:rsidP="00DB1299">
      <w:pPr>
        <w:spacing w:after="0" w:line="240" w:lineRule="auto"/>
        <w:contextualSpacing/>
        <w:jc w:val="both"/>
        <w:rPr>
          <w:rFonts w:ascii="Verdana" w:eastAsia="Times New Roman" w:hAnsi="Verdana" w:cs="Arial"/>
          <w:lang w:val="es-ES_tradnl" w:eastAsia="es-MX"/>
        </w:rPr>
      </w:pPr>
    </w:p>
    <w:p w14:paraId="36FAAA3D" w14:textId="77777777" w:rsidR="00DB1299" w:rsidRPr="00542A81" w:rsidRDefault="00DB1299" w:rsidP="00DB1299">
      <w:pPr>
        <w:spacing w:after="0" w:line="240" w:lineRule="auto"/>
        <w:contextualSpacing/>
        <w:jc w:val="both"/>
        <w:rPr>
          <w:rFonts w:ascii="Verdana" w:eastAsia="Times New Roman" w:hAnsi="Verdana" w:cs="Arial"/>
          <w:lang w:val="es-ES_tradnl" w:eastAsia="es-MX"/>
        </w:rPr>
      </w:pPr>
      <w:r w:rsidRPr="00542A81">
        <w:rPr>
          <w:rFonts w:ascii="Verdana" w:eastAsia="Times New Roman" w:hAnsi="Verdana" w:cs="Arial"/>
          <w:lang w:val="es-ES_tradnl" w:eastAsia="es-MX"/>
        </w:rPr>
        <w:t>No obstante, el Registro Único de Proponentes – RUP no resulta exigible en todos los procesos de selección. El inciso segundo del artículo 6 de la Ley 1150 de 2007 establece expresamente los casos en los cuales no se requiere dicho registro, entre ellos: los procesos de contratación directa, los contratos para la prestación de servicios de salud, los contratos de mínima cuantía, la enajenación de bienes del Estado, los contratos que tengan por objeto la adquisición de productos de origen o destinación agropecuaria ofrecidos en bolsas de productos legalmente constituidas, así como los actos y contratos que tengan por objeto directo las actividades comerciales e industriales propias de las empresas industriales y comerciales del Estado y de las sociedades de economía mixta, y los contratos de concesión de cualquier índole.</w:t>
      </w:r>
    </w:p>
    <w:p w14:paraId="4961C7A4" w14:textId="77777777" w:rsidR="00DB1299" w:rsidRPr="00542A81" w:rsidRDefault="00DB1299" w:rsidP="00DB1299">
      <w:pPr>
        <w:spacing w:after="0" w:line="240" w:lineRule="auto"/>
        <w:contextualSpacing/>
        <w:jc w:val="both"/>
        <w:rPr>
          <w:rFonts w:ascii="Verdana" w:eastAsia="Times New Roman" w:hAnsi="Verdana" w:cs="Arial"/>
          <w:lang w:val="es-ES_tradnl" w:eastAsia="es-MX"/>
        </w:rPr>
      </w:pPr>
    </w:p>
    <w:p w14:paraId="4734C47B" w14:textId="77777777" w:rsidR="00DB1299" w:rsidRPr="00542A81" w:rsidRDefault="00DB1299" w:rsidP="00DB1299">
      <w:pPr>
        <w:spacing w:after="0" w:line="240" w:lineRule="auto"/>
        <w:contextualSpacing/>
        <w:jc w:val="both"/>
        <w:rPr>
          <w:rFonts w:ascii="Verdana" w:eastAsia="Times New Roman" w:hAnsi="Verdana" w:cs="Arial"/>
          <w:lang w:val="es-ES_tradnl" w:eastAsia="es-MX"/>
        </w:rPr>
      </w:pPr>
      <w:r w:rsidRPr="00542A81">
        <w:rPr>
          <w:rFonts w:ascii="Verdana" w:eastAsia="Times New Roman" w:hAnsi="Verdana" w:cs="Arial"/>
          <w:lang w:val="es-ES_tradnl" w:eastAsia="es-MX"/>
        </w:rPr>
        <w:lastRenderedPageBreak/>
        <w:t>La norma dispone que, en estos eventos, las entidades contratantes tienen del deber de verificar directamente el cumplimiento de los requisitos habilitantes o la Clasificación de Bienes y Servicios. Asimismo, el numeral 6.1. del artículo 6 de la Ley 1150 de 2007 establece que, cuando sea necesario constatar requisitos o información que no repose en el RUP, la entidad podrá solicitar información adicional exclusivamente con el propósito de complementar la contenida en dicho registro y verificar condiciones adicionales de experiencia del proponente. En consecuencia, solo cuando las particularidades del objeto contractual lo exijan, la entidad podrá efectuar la verificación directa de tales requisitos y requerir documentos distintos al RUP</w:t>
      </w:r>
      <w:r>
        <w:rPr>
          <w:rFonts w:ascii="Verdana" w:eastAsia="Times New Roman" w:hAnsi="Verdana" w:cs="Arial"/>
          <w:lang w:val="es-ES_tradnl" w:eastAsia="es-MX"/>
        </w:rPr>
        <w:t>.</w:t>
      </w:r>
    </w:p>
    <w:p w14:paraId="4E627DB9" w14:textId="77777777" w:rsidR="00DB1299" w:rsidRPr="00542A81" w:rsidRDefault="00DB1299" w:rsidP="00DB1299">
      <w:pPr>
        <w:spacing w:after="0" w:line="240" w:lineRule="auto"/>
        <w:contextualSpacing/>
        <w:jc w:val="both"/>
        <w:rPr>
          <w:rFonts w:ascii="Verdana" w:eastAsia="Times New Roman" w:hAnsi="Verdana" w:cs="Arial"/>
          <w:lang w:val="es-ES_tradnl" w:eastAsia="es-MX"/>
        </w:rPr>
      </w:pPr>
    </w:p>
    <w:p w14:paraId="337DF049" w14:textId="77777777" w:rsidR="00DB1299" w:rsidRPr="00DA67B3" w:rsidRDefault="00DB1299" w:rsidP="00DB1299">
      <w:pPr>
        <w:spacing w:after="0" w:line="240" w:lineRule="auto"/>
        <w:contextualSpacing/>
        <w:jc w:val="both"/>
        <w:rPr>
          <w:rFonts w:ascii="Verdana" w:eastAsia="Times New Roman" w:hAnsi="Verdana" w:cs="Arial"/>
          <w:sz w:val="20"/>
          <w:szCs w:val="20"/>
          <w:lang w:val="es-ES_tradnl" w:eastAsia="es-MX"/>
        </w:rPr>
      </w:pPr>
    </w:p>
    <w:p w14:paraId="0177DE57" w14:textId="77777777" w:rsidR="00DB1299" w:rsidRPr="00DA67B3" w:rsidRDefault="00DB1299" w:rsidP="00DB1299">
      <w:pPr>
        <w:spacing w:after="0" w:line="240" w:lineRule="auto"/>
        <w:contextualSpacing/>
        <w:jc w:val="both"/>
        <w:rPr>
          <w:rFonts w:ascii="Verdana" w:eastAsia="Calibri" w:hAnsi="Verdana" w:cs="Arial"/>
          <w:b/>
          <w:noProof/>
          <w:sz w:val="20"/>
          <w:szCs w:val="20"/>
          <w:lang w:val="es-ES_tradnl" w:eastAsia="es-ES_tradnl"/>
        </w:rPr>
      </w:pPr>
    </w:p>
    <w:p w14:paraId="6E995D76" w14:textId="77777777" w:rsidR="00DB1299" w:rsidRPr="00AF1555" w:rsidRDefault="00DB1299" w:rsidP="00DB1299">
      <w:pPr>
        <w:spacing w:after="0" w:line="240" w:lineRule="auto"/>
        <w:rPr>
          <w:rFonts w:ascii="Verdana" w:eastAsia="Geomanist Light" w:hAnsi="Verdana" w:cs="Arial"/>
          <w:color w:val="000000" w:themeColor="text1"/>
          <w:sz w:val="20"/>
          <w:szCs w:val="20"/>
          <w:lang w:val="es-ES_tradnl"/>
        </w:rPr>
      </w:pPr>
    </w:p>
    <w:p w14:paraId="0CA35801" w14:textId="77777777" w:rsidR="00DB1299" w:rsidRDefault="00DB1299" w:rsidP="00DB1299">
      <w:pPr>
        <w:spacing w:after="0"/>
        <w:rPr>
          <w:rFonts w:ascii="Verdana" w:hAnsi="Verdana"/>
        </w:rPr>
      </w:pPr>
    </w:p>
    <w:p w14:paraId="7173DF2C" w14:textId="77777777" w:rsidR="00DB1299" w:rsidRDefault="00DB1299" w:rsidP="00DB1299">
      <w:pPr>
        <w:spacing w:after="0"/>
        <w:rPr>
          <w:rFonts w:ascii="Verdana" w:hAnsi="Verdana"/>
        </w:rPr>
      </w:pPr>
    </w:p>
    <w:p w14:paraId="05459FC3" w14:textId="77777777" w:rsidR="00DB1299" w:rsidRDefault="00DB1299" w:rsidP="00DB1299">
      <w:pPr>
        <w:spacing w:after="0"/>
        <w:rPr>
          <w:rFonts w:ascii="Verdana" w:hAnsi="Verdana"/>
        </w:rPr>
      </w:pPr>
    </w:p>
    <w:p w14:paraId="5B0EAA38" w14:textId="77777777" w:rsidR="00DB1299" w:rsidRDefault="00DB1299" w:rsidP="00DB1299">
      <w:pPr>
        <w:spacing w:after="0"/>
        <w:rPr>
          <w:rFonts w:ascii="Verdana" w:hAnsi="Verdana"/>
        </w:rPr>
      </w:pPr>
    </w:p>
    <w:p w14:paraId="5CA510E4" w14:textId="77777777" w:rsidR="00DB1299" w:rsidRDefault="00DB1299" w:rsidP="00DB1299">
      <w:pPr>
        <w:spacing w:after="0"/>
        <w:rPr>
          <w:rFonts w:ascii="Verdana" w:hAnsi="Verdana"/>
        </w:rPr>
      </w:pPr>
    </w:p>
    <w:p w14:paraId="4385DFE8" w14:textId="77777777" w:rsidR="00DB1299" w:rsidRDefault="00DB1299" w:rsidP="00DB1299">
      <w:pPr>
        <w:spacing w:after="0"/>
        <w:rPr>
          <w:rFonts w:ascii="Verdana" w:hAnsi="Verdana"/>
        </w:rPr>
      </w:pPr>
    </w:p>
    <w:p w14:paraId="01EBA266" w14:textId="77777777" w:rsidR="00DB1299" w:rsidRDefault="00DB1299" w:rsidP="00DB1299">
      <w:pPr>
        <w:spacing w:after="0"/>
        <w:rPr>
          <w:rFonts w:ascii="Verdana" w:hAnsi="Verdana"/>
        </w:rPr>
      </w:pPr>
    </w:p>
    <w:p w14:paraId="47C1D1BC" w14:textId="77777777" w:rsidR="00DB1299" w:rsidRDefault="00DB1299" w:rsidP="00DB1299">
      <w:pPr>
        <w:spacing w:after="0"/>
        <w:rPr>
          <w:rFonts w:ascii="Verdana" w:hAnsi="Verdana"/>
        </w:rPr>
      </w:pPr>
    </w:p>
    <w:p w14:paraId="7197F95B" w14:textId="77777777" w:rsidR="00DB1299" w:rsidRDefault="00DB1299" w:rsidP="00DB1299">
      <w:pPr>
        <w:spacing w:after="0"/>
        <w:rPr>
          <w:rFonts w:ascii="Verdana" w:hAnsi="Verdana"/>
        </w:rPr>
      </w:pPr>
    </w:p>
    <w:p w14:paraId="6E4603A7" w14:textId="77777777" w:rsidR="00DB1299" w:rsidRDefault="00DB1299" w:rsidP="00DB1299">
      <w:pPr>
        <w:spacing w:after="0"/>
        <w:rPr>
          <w:rFonts w:ascii="Verdana" w:hAnsi="Verdana"/>
        </w:rPr>
      </w:pPr>
    </w:p>
    <w:p w14:paraId="0F071794" w14:textId="77777777" w:rsidR="00DB1299" w:rsidRDefault="00DB1299" w:rsidP="00DB1299">
      <w:pPr>
        <w:spacing w:after="0"/>
        <w:rPr>
          <w:rFonts w:ascii="Verdana" w:hAnsi="Verdana"/>
        </w:rPr>
      </w:pPr>
    </w:p>
    <w:p w14:paraId="1E2050A0" w14:textId="77777777" w:rsidR="00DB1299" w:rsidRDefault="00DB1299" w:rsidP="00DB1299">
      <w:pPr>
        <w:spacing w:after="0"/>
        <w:rPr>
          <w:rFonts w:ascii="Verdana" w:hAnsi="Verdana"/>
        </w:rPr>
      </w:pPr>
    </w:p>
    <w:p w14:paraId="58C1C504" w14:textId="77777777" w:rsidR="00DB1299" w:rsidRDefault="00DB1299" w:rsidP="00DB1299">
      <w:pPr>
        <w:spacing w:after="0"/>
        <w:rPr>
          <w:rFonts w:ascii="Verdana" w:hAnsi="Verdana"/>
        </w:rPr>
      </w:pPr>
    </w:p>
    <w:p w14:paraId="1CB021D1" w14:textId="77777777" w:rsidR="00DB1299" w:rsidRDefault="00DB1299" w:rsidP="00DB1299">
      <w:pPr>
        <w:spacing w:after="0"/>
        <w:rPr>
          <w:rFonts w:ascii="Verdana" w:hAnsi="Verdana"/>
        </w:rPr>
      </w:pPr>
    </w:p>
    <w:p w14:paraId="2C0E0FF7" w14:textId="77777777" w:rsidR="00DB1299" w:rsidRDefault="00DB1299" w:rsidP="00DB1299">
      <w:pPr>
        <w:spacing w:after="0"/>
        <w:rPr>
          <w:rFonts w:ascii="Verdana" w:hAnsi="Verdana"/>
        </w:rPr>
      </w:pPr>
    </w:p>
    <w:p w14:paraId="328743AF" w14:textId="77777777" w:rsidR="00DB1299" w:rsidRDefault="00DB1299" w:rsidP="00DB1299">
      <w:pPr>
        <w:spacing w:after="0"/>
        <w:rPr>
          <w:rFonts w:ascii="Verdana" w:hAnsi="Verdana"/>
        </w:rPr>
      </w:pPr>
    </w:p>
    <w:p w14:paraId="0A3C58F5" w14:textId="77777777" w:rsidR="00DB1299" w:rsidRDefault="00DB1299" w:rsidP="00DB1299">
      <w:pPr>
        <w:spacing w:after="0"/>
        <w:rPr>
          <w:rFonts w:ascii="Verdana" w:hAnsi="Verdana"/>
        </w:rPr>
      </w:pPr>
    </w:p>
    <w:p w14:paraId="482D7450" w14:textId="77777777" w:rsidR="00DB1299" w:rsidRDefault="00DB1299" w:rsidP="00DB1299">
      <w:pPr>
        <w:spacing w:after="0"/>
        <w:rPr>
          <w:rFonts w:ascii="Verdana" w:hAnsi="Verdana"/>
        </w:rPr>
      </w:pPr>
    </w:p>
    <w:p w14:paraId="12D3FB94" w14:textId="77777777" w:rsidR="00DB1299" w:rsidRDefault="00DB1299" w:rsidP="00DB1299">
      <w:pPr>
        <w:spacing w:after="0"/>
        <w:rPr>
          <w:rFonts w:ascii="Verdana" w:hAnsi="Verdana"/>
        </w:rPr>
      </w:pPr>
    </w:p>
    <w:p w14:paraId="6967206C" w14:textId="77777777" w:rsidR="00DB1299" w:rsidRDefault="00DB1299" w:rsidP="00DB1299">
      <w:pPr>
        <w:spacing w:after="0"/>
        <w:rPr>
          <w:rFonts w:ascii="Verdana" w:hAnsi="Verdana"/>
        </w:rPr>
      </w:pPr>
    </w:p>
    <w:p w14:paraId="3453D043" w14:textId="77777777" w:rsidR="00DB1299" w:rsidRDefault="00DB1299" w:rsidP="00DB1299">
      <w:pPr>
        <w:spacing w:after="0"/>
        <w:rPr>
          <w:rFonts w:ascii="Verdana" w:hAnsi="Verdana"/>
        </w:rPr>
      </w:pPr>
    </w:p>
    <w:p w14:paraId="0E696BF1" w14:textId="77777777" w:rsidR="00DB1299" w:rsidRDefault="00DB1299" w:rsidP="00DB1299">
      <w:pPr>
        <w:spacing w:after="0"/>
        <w:rPr>
          <w:rFonts w:ascii="Verdana" w:hAnsi="Verdana"/>
        </w:rPr>
      </w:pPr>
    </w:p>
    <w:p w14:paraId="7D5EA89B" w14:textId="77777777" w:rsidR="00DB1299" w:rsidRDefault="00DB1299" w:rsidP="00DB1299">
      <w:pPr>
        <w:spacing w:after="0"/>
        <w:rPr>
          <w:rFonts w:ascii="Verdana" w:hAnsi="Verdana"/>
        </w:rPr>
      </w:pPr>
    </w:p>
    <w:p w14:paraId="33773B05" w14:textId="77777777" w:rsidR="00DB1299" w:rsidRDefault="00DB1299" w:rsidP="00DB1299">
      <w:pPr>
        <w:spacing w:after="0"/>
        <w:rPr>
          <w:rFonts w:ascii="Verdana" w:hAnsi="Verdana"/>
        </w:rPr>
      </w:pPr>
    </w:p>
    <w:p w14:paraId="001FFA46" w14:textId="77777777" w:rsidR="00DB1299" w:rsidRDefault="00DB1299" w:rsidP="00DB1299">
      <w:pPr>
        <w:spacing w:after="0" w:line="240" w:lineRule="auto"/>
        <w:rPr>
          <w:lang w:val="es-ES"/>
        </w:rPr>
      </w:pPr>
    </w:p>
    <w:p w14:paraId="65D0FF88" w14:textId="77777777" w:rsidR="00DB1299" w:rsidRDefault="00DB1299" w:rsidP="00DB1299">
      <w:pPr>
        <w:spacing w:after="0" w:line="240" w:lineRule="auto"/>
        <w:rPr>
          <w:lang w:val="es-ES"/>
        </w:rPr>
      </w:pPr>
    </w:p>
    <w:p w14:paraId="3EF069ED" w14:textId="33B38C26" w:rsidR="00DB1299" w:rsidRPr="00A24BE3" w:rsidRDefault="00DB1299" w:rsidP="005B3A0D">
      <w:pPr>
        <w:spacing w:after="0" w:line="240" w:lineRule="auto"/>
        <w:rPr>
          <w:rFonts w:ascii="Verdana" w:hAnsi="Verdana"/>
        </w:rPr>
      </w:pPr>
      <w:r w:rsidRPr="005B3A0D">
        <w:rPr>
          <w:rFonts w:ascii="Verdana" w:eastAsia="Calibri" w:hAnsi="Verdana" w:cs="Arial"/>
          <w:color w:val="000000" w:themeColor="text1"/>
        </w:rPr>
        <w:lastRenderedPageBreak/>
        <w:t xml:space="preserve">Bogotá D.C., </w:t>
      </w:r>
      <w:r w:rsidR="00A24BE3">
        <w:rPr>
          <w:rFonts w:ascii="Verdana" w:eastAsia="Calibri" w:hAnsi="Verdana" w:cs="Arial"/>
          <w:color w:val="000000" w:themeColor="text1"/>
        </w:rPr>
        <w:t>04</w:t>
      </w:r>
      <w:r w:rsidRPr="005B3A0D">
        <w:rPr>
          <w:rFonts w:ascii="Verdana" w:eastAsia="Calibri" w:hAnsi="Verdana" w:cs="Arial"/>
          <w:color w:val="000000" w:themeColor="text1"/>
        </w:rPr>
        <w:t xml:space="preserve"> de </w:t>
      </w:r>
      <w:r w:rsidR="00A24BE3">
        <w:rPr>
          <w:rFonts w:ascii="Verdana" w:eastAsia="Calibri" w:hAnsi="Verdana" w:cs="Arial"/>
          <w:color w:val="000000" w:themeColor="text1"/>
        </w:rPr>
        <w:t>marzo</w:t>
      </w:r>
      <w:r w:rsidRPr="005B3A0D">
        <w:rPr>
          <w:rFonts w:ascii="Verdana" w:eastAsia="Calibri" w:hAnsi="Verdana" w:cs="Arial"/>
          <w:color w:val="000000" w:themeColor="text1"/>
        </w:rPr>
        <w:t xml:space="preserve"> de 2026</w:t>
      </w:r>
    </w:p>
    <w:p w14:paraId="281C90E0" w14:textId="77777777" w:rsidR="00DB1299" w:rsidRPr="005B3A0D" w:rsidRDefault="00DB1299" w:rsidP="005B3A0D">
      <w:pPr>
        <w:spacing w:after="0" w:line="240" w:lineRule="auto"/>
        <w:jc w:val="both"/>
        <w:rPr>
          <w:rFonts w:ascii="Verdana" w:eastAsia="Calibri" w:hAnsi="Verdana" w:cs="Arial"/>
          <w:color w:val="000000" w:themeColor="text1"/>
          <w:lang w:val="es-ES"/>
        </w:rPr>
      </w:pPr>
    </w:p>
    <w:p w14:paraId="6AEEAACD" w14:textId="56862505" w:rsidR="00DB1299" w:rsidRDefault="00FF5103" w:rsidP="00FF5103">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2B55CE06" wp14:editId="3E978996">
            <wp:extent cx="2257425" cy="723900"/>
            <wp:effectExtent l="0" t="0" r="9525" b="0"/>
            <wp:docPr id="5721722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57425" cy="723900"/>
                    </a:xfrm>
                    <a:prstGeom prst="rect">
                      <a:avLst/>
                    </a:prstGeom>
                    <a:noFill/>
                    <a:ln>
                      <a:noFill/>
                    </a:ln>
                  </pic:spPr>
                </pic:pic>
              </a:graphicData>
            </a:graphic>
          </wp:inline>
        </w:drawing>
      </w:r>
    </w:p>
    <w:p w14:paraId="4C93231F" w14:textId="77777777" w:rsidR="00FF5103" w:rsidRDefault="00FF5103" w:rsidP="005B3A0D">
      <w:pPr>
        <w:spacing w:after="0" w:line="240" w:lineRule="auto"/>
        <w:jc w:val="both"/>
        <w:rPr>
          <w:rFonts w:ascii="Verdana" w:eastAsia="Calibri" w:hAnsi="Verdana" w:cs="Arial"/>
          <w:color w:val="000000" w:themeColor="text1"/>
          <w:lang w:val="es-ES"/>
        </w:rPr>
      </w:pPr>
    </w:p>
    <w:p w14:paraId="665B7859" w14:textId="77777777" w:rsidR="00FF5103" w:rsidRPr="005B3A0D" w:rsidRDefault="00FF5103" w:rsidP="005B3A0D">
      <w:pPr>
        <w:spacing w:after="0" w:line="240" w:lineRule="auto"/>
        <w:jc w:val="both"/>
        <w:rPr>
          <w:rFonts w:ascii="Verdana" w:eastAsia="Calibri" w:hAnsi="Verdana" w:cs="Arial"/>
          <w:color w:val="000000" w:themeColor="text1"/>
          <w:lang w:val="es-ES"/>
        </w:rPr>
      </w:pPr>
    </w:p>
    <w:p w14:paraId="611B7AF9" w14:textId="77777777" w:rsidR="00DB1299" w:rsidRPr="005B3A0D" w:rsidRDefault="00DB1299" w:rsidP="005B3A0D">
      <w:pPr>
        <w:spacing w:after="0" w:line="240" w:lineRule="auto"/>
        <w:jc w:val="both"/>
        <w:rPr>
          <w:rFonts w:ascii="Verdana" w:eastAsia="Calibri" w:hAnsi="Verdana" w:cs="Arial"/>
          <w:color w:val="000000" w:themeColor="text1"/>
          <w:lang w:val="es-ES" w:eastAsia="es-ES"/>
        </w:rPr>
      </w:pPr>
      <w:r w:rsidRPr="005B3A0D">
        <w:rPr>
          <w:rFonts w:ascii="Verdana" w:eastAsia="Calibri" w:hAnsi="Verdana" w:cs="Arial"/>
          <w:color w:val="000000" w:themeColor="text1"/>
          <w:lang w:val="es-ES" w:eastAsia="es-ES"/>
        </w:rPr>
        <w:t>Señor</w:t>
      </w:r>
    </w:p>
    <w:p w14:paraId="76499013" w14:textId="77777777" w:rsidR="00DB1299" w:rsidRPr="005B3A0D" w:rsidRDefault="00DB1299" w:rsidP="005B3A0D">
      <w:pPr>
        <w:spacing w:after="0" w:line="240" w:lineRule="auto"/>
        <w:rPr>
          <w:rFonts w:ascii="Verdana" w:eastAsia="Calibri" w:hAnsi="Verdana" w:cs="Arial"/>
          <w:b/>
          <w:bCs/>
          <w:color w:val="000000" w:themeColor="text1"/>
          <w:lang w:eastAsia="es-ES"/>
        </w:rPr>
      </w:pPr>
      <w:r w:rsidRPr="005B3A0D">
        <w:rPr>
          <w:rFonts w:ascii="Verdana" w:eastAsia="Calibri" w:hAnsi="Verdana" w:cs="Arial"/>
          <w:b/>
          <w:bCs/>
          <w:color w:val="000000" w:themeColor="text1"/>
          <w:lang w:eastAsia="es-ES"/>
        </w:rPr>
        <w:t>HERNAN FELIPE PINEDA MEDINA</w:t>
      </w:r>
    </w:p>
    <w:p w14:paraId="7F291F23" w14:textId="77777777" w:rsidR="00DB1299" w:rsidRPr="005B3A0D" w:rsidRDefault="00DB1299" w:rsidP="005B3A0D">
      <w:pPr>
        <w:spacing w:after="0" w:line="240" w:lineRule="auto"/>
        <w:rPr>
          <w:rFonts w:ascii="Verdana" w:eastAsia="Calibri" w:hAnsi="Verdana" w:cs="Arial"/>
          <w:b/>
          <w:bCs/>
          <w:color w:val="000000" w:themeColor="text1"/>
          <w:lang w:eastAsia="es-ES"/>
        </w:rPr>
      </w:pPr>
      <w:hyperlink r:id="rId11" w:history="1">
        <w:r w:rsidRPr="005B3A0D">
          <w:rPr>
            <w:rStyle w:val="Hipervnculo"/>
            <w:rFonts w:ascii="Verdana" w:eastAsia="Calibri" w:hAnsi="Verdana" w:cs="Arial"/>
            <w:lang w:eastAsia="es-ES"/>
          </w:rPr>
          <w:t>hernan.pineda@segurosaurora.com</w:t>
        </w:r>
      </w:hyperlink>
      <w:r w:rsidRPr="005B3A0D">
        <w:rPr>
          <w:rFonts w:ascii="Verdana" w:eastAsia="Calibri" w:hAnsi="Verdana" w:cs="Arial"/>
          <w:color w:val="000000" w:themeColor="text1"/>
          <w:lang w:eastAsia="es-ES"/>
        </w:rPr>
        <w:t xml:space="preserve"> </w:t>
      </w:r>
    </w:p>
    <w:p w14:paraId="679C73D4" w14:textId="77777777" w:rsidR="00DB1299" w:rsidRPr="005B3A0D" w:rsidRDefault="00DB1299" w:rsidP="005B3A0D">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DB1299" w:rsidRPr="005B3A0D" w14:paraId="3CA7E11C" w14:textId="77777777" w:rsidTr="009670B4">
        <w:trPr>
          <w:trHeight w:val="615"/>
        </w:trPr>
        <w:tc>
          <w:tcPr>
            <w:tcW w:w="2270" w:type="dxa"/>
          </w:tcPr>
          <w:p w14:paraId="78147E6E" w14:textId="77777777" w:rsidR="00DB1299" w:rsidRPr="005B3A0D" w:rsidRDefault="00DB1299" w:rsidP="005B3A0D">
            <w:pPr>
              <w:jc w:val="both"/>
              <w:rPr>
                <w:rFonts w:ascii="Verdana" w:eastAsia="Calibri" w:hAnsi="Verdana" w:cs="Arial"/>
                <w:b/>
                <w:bCs/>
                <w:color w:val="000000" w:themeColor="text1"/>
                <w:lang w:eastAsia="es-ES_tradnl"/>
              </w:rPr>
            </w:pPr>
          </w:p>
        </w:tc>
        <w:tc>
          <w:tcPr>
            <w:tcW w:w="6547" w:type="dxa"/>
          </w:tcPr>
          <w:p w14:paraId="454329D0" w14:textId="77777777" w:rsidR="00DB1299" w:rsidRPr="005B3A0D" w:rsidRDefault="00DB1299" w:rsidP="005B3A0D">
            <w:pPr>
              <w:jc w:val="both"/>
              <w:rPr>
                <w:rFonts w:ascii="Verdana" w:eastAsia="Calibri" w:hAnsi="Verdana" w:cs="Arial"/>
                <w:b/>
                <w:bCs/>
                <w:color w:val="000000" w:themeColor="text1"/>
                <w:lang w:val="es-ES" w:eastAsia="es-ES"/>
              </w:rPr>
            </w:pPr>
            <w:r w:rsidRPr="005B3A0D">
              <w:rPr>
                <w:rFonts w:ascii="Verdana" w:eastAsia="Calibri" w:hAnsi="Verdana" w:cs="Arial"/>
                <w:b/>
                <w:bCs/>
                <w:color w:val="000000" w:themeColor="text1"/>
                <w:lang w:val="es-ES" w:eastAsia="es-ES"/>
              </w:rPr>
              <w:t>Concepto C- 121 de 2026</w:t>
            </w:r>
          </w:p>
        </w:tc>
      </w:tr>
      <w:tr w:rsidR="00DB1299" w:rsidRPr="005B3A0D" w14:paraId="22836E79" w14:textId="77777777" w:rsidTr="009670B4">
        <w:trPr>
          <w:trHeight w:val="1071"/>
        </w:trPr>
        <w:tc>
          <w:tcPr>
            <w:tcW w:w="2270" w:type="dxa"/>
          </w:tcPr>
          <w:p w14:paraId="0F73D321" w14:textId="77777777" w:rsidR="00DB1299" w:rsidRPr="005B3A0D" w:rsidRDefault="00DB1299" w:rsidP="005B3A0D">
            <w:pPr>
              <w:jc w:val="both"/>
              <w:rPr>
                <w:rFonts w:ascii="Verdana" w:eastAsia="Calibri" w:hAnsi="Verdana" w:cs="Arial"/>
                <w:color w:val="000000" w:themeColor="text1"/>
                <w:lang w:val="es-ES_tradnl" w:eastAsia="es-ES_tradnl"/>
              </w:rPr>
            </w:pPr>
            <w:r w:rsidRPr="005B3A0D">
              <w:rPr>
                <w:rFonts w:ascii="Verdana" w:eastAsia="Calibri" w:hAnsi="Verdana" w:cs="Arial"/>
                <w:b/>
                <w:color w:val="000000" w:themeColor="text1"/>
                <w:lang w:val="es-ES_tradnl" w:eastAsia="es-ES_tradnl"/>
              </w:rPr>
              <w:t>Temas:</w:t>
            </w:r>
            <w:r w:rsidRPr="005B3A0D">
              <w:rPr>
                <w:rFonts w:ascii="Verdana" w:eastAsia="Calibri" w:hAnsi="Verdana" w:cs="Arial"/>
                <w:color w:val="000000" w:themeColor="text1"/>
                <w:lang w:val="es-ES_tradnl" w:eastAsia="es-ES_tradnl"/>
              </w:rPr>
              <w:t xml:space="preserve">                   </w:t>
            </w:r>
          </w:p>
        </w:tc>
        <w:tc>
          <w:tcPr>
            <w:tcW w:w="6547" w:type="dxa"/>
          </w:tcPr>
          <w:p w14:paraId="6977584D" w14:textId="77777777" w:rsidR="00DB1299" w:rsidRPr="005B3A0D" w:rsidRDefault="00DB1299" w:rsidP="00A24BE3">
            <w:pPr>
              <w:jc w:val="both"/>
              <w:rPr>
                <w:rFonts w:ascii="Verdana" w:eastAsia="Calibri" w:hAnsi="Verdana" w:cs="Arial"/>
                <w:color w:val="000000" w:themeColor="text1"/>
                <w:highlight w:val="yellow"/>
                <w:lang w:val="es-ES" w:eastAsia="es-ES"/>
              </w:rPr>
            </w:pPr>
            <w:r w:rsidRPr="005B3A0D">
              <w:rPr>
                <w:rFonts w:ascii="Verdana" w:eastAsia="Calibri" w:hAnsi="Verdana" w:cs="Arial"/>
                <w:lang w:val="es-ES" w:eastAsia="es-ES"/>
              </w:rPr>
              <w:t xml:space="preserve">EXPERIENCIA – Requisito habilitante – RUP – Plena prueba </w:t>
            </w:r>
            <w:r w:rsidRPr="00A24BE3">
              <w:rPr>
                <w:rFonts w:ascii="Verdana" w:eastAsia="Calibri" w:hAnsi="Verdana" w:cs="Arial"/>
                <w:lang w:val="es-ES" w:eastAsia="es-ES"/>
              </w:rPr>
              <w:t xml:space="preserve">/ </w:t>
            </w:r>
            <w:r w:rsidRPr="005B3A0D">
              <w:rPr>
                <w:rFonts w:ascii="Verdana" w:eastAsia="Calibri" w:hAnsi="Verdana" w:cs="Arial"/>
                <w:lang w:val="es-ES" w:eastAsia="es-ES"/>
              </w:rPr>
              <w:t>RUP – Excepciones – Deber de verificación de entidades estatales.</w:t>
            </w:r>
            <w:r w:rsidRPr="00A24BE3">
              <w:rPr>
                <w:rFonts w:ascii="Verdana" w:eastAsia="Calibri" w:hAnsi="Verdana" w:cs="Arial"/>
                <w:lang w:val="es-ES" w:eastAsia="es-ES"/>
              </w:rPr>
              <w:t xml:space="preserve"> </w:t>
            </w:r>
          </w:p>
        </w:tc>
      </w:tr>
      <w:tr w:rsidR="00DB1299" w:rsidRPr="005B3A0D" w14:paraId="44228927" w14:textId="77777777" w:rsidTr="009670B4">
        <w:trPr>
          <w:trHeight w:val="653"/>
        </w:trPr>
        <w:tc>
          <w:tcPr>
            <w:tcW w:w="2270" w:type="dxa"/>
          </w:tcPr>
          <w:p w14:paraId="2731CC09" w14:textId="77777777" w:rsidR="00DB1299" w:rsidRPr="005B3A0D" w:rsidRDefault="00DB1299" w:rsidP="005B3A0D">
            <w:pPr>
              <w:jc w:val="both"/>
              <w:rPr>
                <w:rFonts w:ascii="Verdana" w:eastAsia="Calibri" w:hAnsi="Verdana" w:cs="Arial"/>
                <w:b/>
                <w:color w:val="000000" w:themeColor="text1"/>
                <w:lang w:val="es-ES_tradnl" w:eastAsia="es-ES_tradnl"/>
              </w:rPr>
            </w:pPr>
            <w:r w:rsidRPr="005B3A0D">
              <w:rPr>
                <w:rFonts w:ascii="Verdana" w:eastAsia="Calibri" w:hAnsi="Verdana" w:cs="Arial"/>
                <w:b/>
                <w:color w:val="000000" w:themeColor="text1"/>
                <w:lang w:val="es-ES_tradnl" w:eastAsia="es-ES_tradnl"/>
              </w:rPr>
              <w:t>Radicación:</w:t>
            </w:r>
            <w:r w:rsidRPr="005B3A0D">
              <w:rPr>
                <w:rFonts w:ascii="Verdana" w:eastAsia="Calibri" w:hAnsi="Verdana" w:cs="Arial"/>
                <w:color w:val="000000" w:themeColor="text1"/>
                <w:lang w:val="es-ES_tradnl" w:eastAsia="es-ES_tradnl"/>
              </w:rPr>
              <w:t xml:space="preserve">           </w:t>
            </w:r>
          </w:p>
        </w:tc>
        <w:tc>
          <w:tcPr>
            <w:tcW w:w="6547" w:type="dxa"/>
          </w:tcPr>
          <w:p w14:paraId="3C6D31F6" w14:textId="77777777" w:rsidR="00DB1299" w:rsidRPr="005B3A0D" w:rsidRDefault="00DB1299" w:rsidP="005B3A0D">
            <w:pPr>
              <w:ind w:right="1"/>
              <w:jc w:val="both"/>
              <w:rPr>
                <w:rFonts w:ascii="Verdana" w:hAnsi="Verdana"/>
                <w:color w:val="000000"/>
              </w:rPr>
            </w:pPr>
            <w:r w:rsidRPr="005B3A0D">
              <w:rPr>
                <w:rFonts w:ascii="Verdana" w:eastAsia="Calibri" w:hAnsi="Verdana" w:cs="Arial"/>
                <w:color w:val="000000" w:themeColor="text1"/>
                <w:lang w:val="es-ES_tradnl" w:eastAsia="es-ES_tradnl"/>
              </w:rPr>
              <w:t>Respuesta a consulta con radicado N.º 1_2026_01_26_000810</w:t>
            </w:r>
          </w:p>
        </w:tc>
      </w:tr>
    </w:tbl>
    <w:p w14:paraId="7BF46E63" w14:textId="77777777" w:rsidR="00DB1299" w:rsidRPr="005B3A0D" w:rsidRDefault="00DB1299" w:rsidP="00A24BE3">
      <w:pPr>
        <w:spacing w:after="0" w:line="276" w:lineRule="auto"/>
        <w:jc w:val="both"/>
        <w:rPr>
          <w:rFonts w:ascii="Verdana" w:eastAsia="Calibri" w:hAnsi="Verdana" w:cs="Arial"/>
          <w:color w:val="000000" w:themeColor="text1"/>
          <w:lang w:val="es-ES_tradnl" w:eastAsia="es-ES_tradnl"/>
        </w:rPr>
      </w:pPr>
    </w:p>
    <w:p w14:paraId="6B3BC845" w14:textId="77777777" w:rsidR="00DB1299" w:rsidRPr="00115E3D" w:rsidRDefault="00DB1299" w:rsidP="005B3A0D">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 Pineda;</w:t>
      </w:r>
    </w:p>
    <w:p w14:paraId="6F7EE617" w14:textId="77777777" w:rsidR="00DB1299" w:rsidRPr="00115E3D" w:rsidRDefault="00DB1299" w:rsidP="005B3A0D">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724DF744" w14:textId="77777777" w:rsidR="00DB1299" w:rsidRPr="00115E3D" w:rsidRDefault="00DB1299" w:rsidP="005B3A0D">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en esta entidad el 29 de enero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26</w:t>
      </w:r>
      <w:r w:rsidRPr="00115E3D">
        <w:rPr>
          <w:rFonts w:ascii="Verdana" w:eastAsia="Calibri" w:hAnsi="Verdana" w:cs="Arial"/>
          <w:color w:val="000000" w:themeColor="text1"/>
          <w:lang w:val="es-ES" w:eastAsia="es-ES"/>
        </w:rPr>
        <w:t xml:space="preserve">, en la cual manifiesta lo siguiente: </w:t>
      </w:r>
    </w:p>
    <w:p w14:paraId="3413CFBC" w14:textId="77777777" w:rsidR="00DB1299" w:rsidRDefault="00DB1299" w:rsidP="00DB1299">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771525A7" w14:textId="77777777" w:rsidR="00DB1299" w:rsidRPr="00EC7930" w:rsidRDefault="00DB1299" w:rsidP="00DB1299">
      <w:pPr>
        <w:spacing w:after="0" w:line="240" w:lineRule="auto"/>
        <w:ind w:left="709" w:right="709"/>
        <w:jc w:val="both"/>
        <w:rPr>
          <w:rFonts w:ascii="Verdana" w:eastAsia="Century Gothic" w:hAnsi="Verdana" w:cs="Century Gothic"/>
          <w:i/>
          <w:iCs/>
          <w:color w:val="000000" w:themeColor="text1"/>
          <w:sz w:val="20"/>
          <w:szCs w:val="20"/>
          <w:lang w:val="es-ES"/>
        </w:rPr>
      </w:pPr>
      <w:r>
        <w:rPr>
          <w:rFonts w:ascii="Verdana" w:eastAsia="Century Gothic" w:hAnsi="Verdana" w:cs="Century Gothic"/>
          <w:i/>
          <w:iCs/>
          <w:color w:val="000000" w:themeColor="text1"/>
          <w:sz w:val="20"/>
          <w:szCs w:val="20"/>
          <w:lang w:val="es-ES"/>
        </w:rPr>
        <w:t>“</w:t>
      </w:r>
      <w:r w:rsidRPr="00EC7930">
        <w:rPr>
          <w:rFonts w:ascii="Verdana" w:eastAsia="Century Gothic" w:hAnsi="Verdana" w:cs="Century Gothic"/>
          <w:i/>
          <w:iCs/>
          <w:color w:val="000000" w:themeColor="text1"/>
          <w:sz w:val="20"/>
          <w:szCs w:val="20"/>
        </w:rPr>
        <w:t>Solicitud de concepto aclarando que la acreditación de experiencia</w:t>
      </w:r>
      <w:r>
        <w:rPr>
          <w:rFonts w:ascii="Verdana" w:eastAsia="Century Gothic" w:hAnsi="Verdana" w:cs="Century Gothic"/>
          <w:i/>
          <w:iCs/>
          <w:color w:val="000000" w:themeColor="text1"/>
          <w:sz w:val="20"/>
          <w:szCs w:val="20"/>
        </w:rPr>
        <w:t xml:space="preserve"> </w:t>
      </w:r>
      <w:r w:rsidRPr="00EC7930">
        <w:rPr>
          <w:rFonts w:ascii="Verdana" w:eastAsia="Century Gothic" w:hAnsi="Verdana" w:cs="Century Gothic"/>
          <w:i/>
          <w:iCs/>
          <w:color w:val="000000" w:themeColor="text1"/>
          <w:sz w:val="20"/>
          <w:szCs w:val="20"/>
        </w:rPr>
        <w:t>mediante el RUP es suficiente para habilitar proponentes, así mismo que exigir</w:t>
      </w:r>
      <w:r>
        <w:rPr>
          <w:rFonts w:ascii="Verdana" w:eastAsia="Century Gothic" w:hAnsi="Verdana" w:cs="Century Gothic"/>
          <w:i/>
          <w:iCs/>
          <w:color w:val="000000" w:themeColor="text1"/>
          <w:sz w:val="20"/>
          <w:szCs w:val="20"/>
        </w:rPr>
        <w:t xml:space="preserve"> </w:t>
      </w:r>
      <w:r w:rsidRPr="00EC7930">
        <w:rPr>
          <w:rFonts w:ascii="Verdana" w:eastAsia="Century Gothic" w:hAnsi="Verdana" w:cs="Century Gothic"/>
          <w:i/>
          <w:iCs/>
          <w:color w:val="000000" w:themeColor="text1"/>
          <w:sz w:val="20"/>
          <w:szCs w:val="20"/>
        </w:rPr>
        <w:t>cierto</w:t>
      </w:r>
      <w:r>
        <w:rPr>
          <w:rFonts w:ascii="Verdana" w:eastAsia="Century Gothic" w:hAnsi="Verdana" w:cs="Century Gothic"/>
          <w:i/>
          <w:iCs/>
          <w:color w:val="000000" w:themeColor="text1"/>
          <w:sz w:val="20"/>
          <w:szCs w:val="20"/>
        </w:rPr>
        <w:t xml:space="preserve"> </w:t>
      </w:r>
      <w:r w:rsidRPr="00EC7930">
        <w:rPr>
          <w:rFonts w:ascii="Verdana" w:eastAsia="Century Gothic" w:hAnsi="Verdana" w:cs="Century Gothic"/>
          <w:i/>
          <w:iCs/>
          <w:color w:val="000000" w:themeColor="text1"/>
          <w:sz w:val="20"/>
          <w:szCs w:val="20"/>
        </w:rPr>
        <w:t>número máximo de experiencias atenta contra la pluralidad de oferentes —</w:t>
      </w:r>
      <w:r>
        <w:rPr>
          <w:rFonts w:ascii="Verdana" w:eastAsia="Century Gothic" w:hAnsi="Verdana" w:cs="Century Gothic"/>
          <w:i/>
          <w:iCs/>
          <w:color w:val="000000" w:themeColor="text1"/>
          <w:sz w:val="20"/>
          <w:szCs w:val="20"/>
        </w:rPr>
        <w:t xml:space="preserve"> </w:t>
      </w:r>
      <w:r w:rsidRPr="00EC7930">
        <w:rPr>
          <w:rFonts w:ascii="Verdana" w:eastAsia="Century Gothic" w:hAnsi="Verdana" w:cs="Century Gothic"/>
          <w:i/>
          <w:iCs/>
          <w:color w:val="000000" w:themeColor="text1"/>
          <w:sz w:val="20"/>
          <w:szCs w:val="20"/>
        </w:rPr>
        <w:t>procesos</w:t>
      </w:r>
      <w:r>
        <w:rPr>
          <w:rFonts w:ascii="Verdana" w:eastAsia="Century Gothic" w:hAnsi="Verdana" w:cs="Century Gothic"/>
          <w:i/>
          <w:iCs/>
          <w:color w:val="000000" w:themeColor="text1"/>
          <w:sz w:val="20"/>
          <w:szCs w:val="20"/>
        </w:rPr>
        <w:t xml:space="preserve"> </w:t>
      </w:r>
      <w:r w:rsidRPr="00EC7930">
        <w:rPr>
          <w:rFonts w:ascii="Verdana" w:eastAsia="Century Gothic" w:hAnsi="Verdana" w:cs="Century Gothic"/>
          <w:i/>
          <w:iCs/>
          <w:color w:val="000000" w:themeColor="text1"/>
          <w:sz w:val="20"/>
          <w:szCs w:val="20"/>
        </w:rPr>
        <w:t>de seguros</w:t>
      </w:r>
      <w:r>
        <w:rPr>
          <w:rFonts w:ascii="Verdana" w:eastAsia="Century Gothic" w:hAnsi="Verdana" w:cs="Century Gothic"/>
          <w:i/>
          <w:iCs/>
          <w:color w:val="000000" w:themeColor="text1"/>
          <w:sz w:val="20"/>
          <w:szCs w:val="20"/>
          <w:lang w:val="es-MX"/>
        </w:rPr>
        <w:t>”.</w:t>
      </w:r>
    </w:p>
    <w:p w14:paraId="01526704" w14:textId="77777777" w:rsidR="00DB1299" w:rsidRDefault="00DB1299" w:rsidP="00DB1299">
      <w:pPr>
        <w:spacing w:after="0" w:line="240" w:lineRule="auto"/>
        <w:ind w:left="709" w:right="709"/>
        <w:jc w:val="both"/>
        <w:rPr>
          <w:rFonts w:ascii="Verdana" w:eastAsia="Century Gothic" w:hAnsi="Verdana" w:cs="Century Gothic"/>
          <w:i/>
          <w:iCs/>
          <w:color w:val="000000" w:themeColor="text1"/>
          <w:sz w:val="20"/>
          <w:szCs w:val="20"/>
        </w:rPr>
      </w:pPr>
    </w:p>
    <w:p w14:paraId="01B72C95" w14:textId="1E899FC5" w:rsidR="00DB1299" w:rsidRPr="00115E3D" w:rsidRDefault="00DB1299" w:rsidP="00A24BE3">
      <w:pPr>
        <w:spacing w:after="12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w:t>
      </w:r>
      <w:r w:rsidRPr="00115E3D">
        <w:rPr>
          <w:rFonts w:ascii="Verdana" w:eastAsia="Calibri" w:hAnsi="Verdana" w:cs="Arial"/>
          <w:color w:val="000000" w:themeColor="text1"/>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B360759" w14:textId="77777777" w:rsidR="00DB1299" w:rsidRPr="00115E3D" w:rsidRDefault="00DB1299" w:rsidP="00DB1299">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w:t>
      </w:r>
      <w:r>
        <w:rPr>
          <w:rFonts w:ascii="Verdana" w:eastAsia="Calibri" w:hAnsi="Verdana" w:cs="Arial"/>
          <w:color w:val="000000" w:themeColor="text1"/>
          <w:lang w:val="es-ES" w:eastAsia="es-ES"/>
        </w:rPr>
        <w:t xml:space="preserve"> a</w:t>
      </w:r>
      <w:r w:rsidRPr="00115E3D">
        <w:rPr>
          <w:rFonts w:ascii="Verdana" w:eastAsia="Calibri" w:hAnsi="Verdana" w:cs="Arial"/>
          <w:color w:val="000000" w:themeColor="text1"/>
          <w:lang w:val="es-ES" w:eastAsia="es-ES"/>
        </w:rPr>
        <w:t xml:space="preserv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12C4DC85" w14:textId="77777777" w:rsidR="00DB1299" w:rsidRPr="00115E3D" w:rsidRDefault="00DB1299" w:rsidP="00DB1299">
      <w:pPr>
        <w:spacing w:after="0" w:line="276" w:lineRule="auto"/>
        <w:ind w:firstLine="709"/>
        <w:jc w:val="both"/>
        <w:rPr>
          <w:rFonts w:ascii="Verdana" w:eastAsia="Calibri" w:hAnsi="Verdana" w:cs="Arial"/>
          <w:color w:val="000000" w:themeColor="text1"/>
          <w:lang w:val="es-ES" w:eastAsia="es-ES"/>
        </w:rPr>
      </w:pPr>
    </w:p>
    <w:p w14:paraId="254C9630" w14:textId="77777777" w:rsidR="00DB1299" w:rsidRPr="00115E3D" w:rsidRDefault="00DB1299" w:rsidP="00DB129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062A67F0" w14:textId="77777777" w:rsidR="00DB1299" w:rsidRPr="00115E3D" w:rsidRDefault="00DB1299" w:rsidP="00DB1299">
      <w:pPr>
        <w:tabs>
          <w:tab w:val="left" w:pos="426"/>
        </w:tabs>
        <w:spacing w:after="0" w:line="276" w:lineRule="auto"/>
        <w:jc w:val="both"/>
        <w:rPr>
          <w:rFonts w:ascii="Verdana" w:eastAsia="Century Gothic" w:hAnsi="Verdana" w:cs="Century Gothic"/>
          <w:color w:val="000000" w:themeColor="text1"/>
          <w:lang w:val="es-ES"/>
        </w:rPr>
      </w:pPr>
    </w:p>
    <w:p w14:paraId="23E21404" w14:textId="77777777" w:rsidR="00DB1299" w:rsidRDefault="00DB1299" w:rsidP="00DB1299">
      <w:pPr>
        <w:spacing w:after="0" w:line="276" w:lineRule="auto"/>
        <w:jc w:val="both"/>
        <w:rPr>
          <w:rFonts w:ascii="Verdana" w:hAnsi="Verdana"/>
        </w:rPr>
      </w:pPr>
      <w:r w:rsidRPr="00115E3D">
        <w:rPr>
          <w:rFonts w:ascii="Verdana" w:eastAsia="Century Gothic" w:hAnsi="Verdana" w:cs="Century Gothic"/>
          <w:color w:val="000000" w:themeColor="text1"/>
        </w:rPr>
        <w:t>De acuerdo con el contenido de su solicitud, esta Agencia resolverá el siguiente problema jurídico:</w:t>
      </w:r>
      <w:r w:rsidRPr="00946693">
        <w:t xml:space="preserve"> </w:t>
      </w:r>
      <w:r w:rsidRPr="00BC7BEC">
        <w:rPr>
          <w:rFonts w:ascii="Verdana" w:hAnsi="Verdana"/>
        </w:rPr>
        <w:t>¿Cómo debe acreditarse la experiencia en los procesos de contratación estatal y, en particular, es suficiente la información registrada en el Registro Único de Proponentes (RUP) para habilitar a los proponentes?</w:t>
      </w:r>
    </w:p>
    <w:p w14:paraId="3326AF47" w14:textId="77777777" w:rsidR="00DB1299" w:rsidRDefault="00DB1299" w:rsidP="00DB1299">
      <w:pPr>
        <w:spacing w:after="0" w:line="276" w:lineRule="auto"/>
        <w:jc w:val="both"/>
        <w:rPr>
          <w:rFonts w:ascii="Verdana" w:hAnsi="Verdana"/>
        </w:rPr>
      </w:pPr>
    </w:p>
    <w:p w14:paraId="6E1EF7C1" w14:textId="77777777" w:rsidR="00DB1299" w:rsidRPr="00115E3D" w:rsidRDefault="00DB1299" w:rsidP="00DB129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35139376" w14:textId="77777777" w:rsidR="00DB1299" w:rsidRPr="00115E3D" w:rsidRDefault="00DB1299" w:rsidP="00DB1299">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B1299" w:rsidRPr="00115E3D" w14:paraId="1ABCE8E7" w14:textId="77777777" w:rsidTr="009670B4">
        <w:trPr>
          <w:trHeight w:val="774"/>
        </w:trPr>
        <w:tc>
          <w:tcPr>
            <w:tcW w:w="8828" w:type="dxa"/>
          </w:tcPr>
          <w:p w14:paraId="4B0CE285" w14:textId="20C30B08" w:rsidR="00DB1299" w:rsidRDefault="00DB1299" w:rsidP="00A24BE3">
            <w:pPr>
              <w:spacing w:after="120" w:line="276" w:lineRule="auto"/>
              <w:jc w:val="both"/>
              <w:rPr>
                <w:rFonts w:ascii="Verdana" w:eastAsia="Calibri" w:hAnsi="Verdana" w:cs="Arial"/>
              </w:rPr>
            </w:pPr>
            <w:r w:rsidRPr="008F1280">
              <w:rPr>
                <w:rFonts w:ascii="Verdana" w:eastAsia="Calibri" w:hAnsi="Verdana" w:cs="Arial"/>
              </w:rPr>
              <w:t>De manera preliminar es pertinente indicar que</w:t>
            </w:r>
            <w:r w:rsidR="00844D1A">
              <w:rPr>
                <w:rFonts w:ascii="Verdana" w:eastAsia="Calibri" w:hAnsi="Verdana" w:cs="Arial"/>
              </w:rPr>
              <w:t>,</w:t>
            </w:r>
            <w:r w:rsidRPr="008F1280">
              <w:rPr>
                <w:rFonts w:ascii="Verdana" w:eastAsia="Calibri" w:hAnsi="Verdana" w:cs="Arial"/>
              </w:rPr>
              <w:t xml:space="preserve"> </w:t>
            </w:r>
            <w:r>
              <w:rPr>
                <w:rFonts w:ascii="Verdana" w:eastAsia="Calibri" w:hAnsi="Verdana" w:cs="Arial"/>
              </w:rPr>
              <w:t>d</w:t>
            </w:r>
            <w:r w:rsidRPr="004F345C">
              <w:rPr>
                <w:rFonts w:ascii="Verdana" w:eastAsia="Calibri" w:hAnsi="Verdana" w:cs="Arial"/>
              </w:rPr>
              <w:t>e conformidad con lo dispuesto en el numeral 1 del artículo 5 y en el artículo 6 de la Ley 1150 de 2007, la experiencia constituye uno de los requisitos habilitantes que permiten acreditar la idoneidad técnica del proponente para participar en los procesos de contratación estatal. El legislador estableció que dicha experiencia debe acreditarse, como regla general, a través del Registro Único de Proponentes –</w:t>
            </w:r>
            <w:r w:rsidR="00844D1A">
              <w:rPr>
                <w:rFonts w:ascii="Verdana" w:eastAsia="Calibri" w:hAnsi="Verdana" w:cs="Arial"/>
              </w:rPr>
              <w:t xml:space="preserve"> en adelante </w:t>
            </w:r>
            <w:r w:rsidRPr="004F345C">
              <w:rPr>
                <w:rFonts w:ascii="Verdana" w:eastAsia="Calibri" w:hAnsi="Verdana" w:cs="Arial"/>
              </w:rPr>
              <w:t>RUP</w:t>
            </w:r>
            <w:r w:rsidR="00844D1A">
              <w:rPr>
                <w:rFonts w:ascii="Verdana" w:eastAsia="Calibri" w:hAnsi="Verdana" w:cs="Arial"/>
              </w:rPr>
              <w:t xml:space="preserve"> </w:t>
            </w:r>
            <w:r w:rsidRPr="004F345C">
              <w:rPr>
                <w:rFonts w:ascii="Verdana" w:eastAsia="Calibri" w:hAnsi="Verdana" w:cs="Arial"/>
              </w:rPr>
              <w:t>–, el cual concentra información verificada por las Cámaras de Comercio sobre la capacidad jurídica, financiera, organizacional y experiencial de los interesados en contratar con el Estado, y constituye plena prueba de las circunstancias que en él se consignan.</w:t>
            </w:r>
          </w:p>
          <w:p w14:paraId="326B2E73" w14:textId="7B9EEE3C" w:rsidR="00DB1299" w:rsidRPr="004F345C" w:rsidRDefault="00DB1299" w:rsidP="00A24BE3">
            <w:pPr>
              <w:spacing w:after="120" w:line="276" w:lineRule="auto"/>
              <w:jc w:val="both"/>
              <w:rPr>
                <w:rFonts w:ascii="Verdana" w:eastAsia="Calibri" w:hAnsi="Verdana" w:cs="Arial"/>
              </w:rPr>
            </w:pPr>
            <w:r>
              <w:rPr>
                <w:rFonts w:ascii="Verdana" w:eastAsia="Calibri" w:hAnsi="Verdana" w:cs="Arial"/>
              </w:rPr>
              <w:lastRenderedPageBreak/>
              <w:t xml:space="preserve">          </w:t>
            </w:r>
            <w:r w:rsidRPr="004F345C">
              <w:rPr>
                <w:rFonts w:ascii="Verdana" w:eastAsia="Calibri" w:hAnsi="Verdana" w:cs="Arial"/>
              </w:rPr>
              <w:t>En ese sentido, cuando el RUP es exigible, las entidades estatales deben acudir exclusivamente a la información allí contenida para verificar el cumplimiento de los requisitos habilitantes, incluida la experiencia, sin que resulte procedente exigir documentos adicionales destinados a soportar, complementar o reemplazar la información que ya fue objeto de verificación por parte de la Cámara de Comercio. Esta regla busca garantizar uniformidad en la acreditación de condiciones de participación, así como materializar los principios de transparencia, economía, eficiencia y selección objetiva que rigen la contratación estatal.</w:t>
            </w:r>
          </w:p>
          <w:p w14:paraId="7416CC09" w14:textId="59C5110E" w:rsidR="00DB1299" w:rsidRPr="004F345C" w:rsidRDefault="00DB1299" w:rsidP="00A24BE3">
            <w:pPr>
              <w:spacing w:after="120" w:line="276" w:lineRule="auto"/>
              <w:jc w:val="both"/>
              <w:rPr>
                <w:rFonts w:ascii="Verdana" w:eastAsia="Calibri" w:hAnsi="Verdana" w:cs="Arial"/>
              </w:rPr>
            </w:pPr>
            <w:r>
              <w:rPr>
                <w:rFonts w:ascii="Verdana" w:eastAsia="Calibri" w:hAnsi="Verdana" w:cs="Arial"/>
              </w:rPr>
              <w:t xml:space="preserve">          </w:t>
            </w:r>
            <w:r w:rsidRPr="004F345C">
              <w:rPr>
                <w:rFonts w:ascii="Verdana" w:eastAsia="Calibri" w:hAnsi="Verdana" w:cs="Arial"/>
              </w:rPr>
              <w:t>Adicionalmente, las entidades no pueden imponer exigencias adicionales que restrinjan injustificadamente el acceso de los proponentes al proceso de selección, como lo sería la fijación de un número máximo de experiencias específicas o condiciones más gravosas que las previstas en el RUP, pues tales exigencias pueden afectar la pluralidad de oferentes, la libre concurrencia y la igualdad entre los participantes, sin que ello implique una mejora real en la selección del contratista más idóneo.</w:t>
            </w:r>
          </w:p>
          <w:p w14:paraId="3CB1CFDD" w14:textId="1D6A537D" w:rsidR="00DB1299" w:rsidRPr="004F345C" w:rsidRDefault="00DB1299" w:rsidP="00A24BE3">
            <w:pPr>
              <w:spacing w:after="120" w:line="276" w:lineRule="auto"/>
              <w:jc w:val="both"/>
              <w:rPr>
                <w:rFonts w:ascii="Verdana" w:eastAsia="Calibri" w:hAnsi="Verdana" w:cs="Arial"/>
              </w:rPr>
            </w:pPr>
            <w:r>
              <w:rPr>
                <w:rFonts w:ascii="Verdana" w:eastAsia="Calibri" w:hAnsi="Verdana" w:cs="Arial"/>
              </w:rPr>
              <w:t xml:space="preserve">           </w:t>
            </w:r>
            <w:r w:rsidRPr="004F345C">
              <w:rPr>
                <w:rFonts w:ascii="Verdana" w:eastAsia="Calibri" w:hAnsi="Verdana" w:cs="Arial"/>
              </w:rPr>
              <w:t>No obstante, el inciso final del artículo 6 de la Ley 1150 de 2007 permite que, de manera excepcional, cuando las particularidades del objeto contractual así lo exijan, la entidad estatal pueda verificar directamente requisitos o condiciones adicionales a las contenidas en el RUP, siempre que estas se encuentren debidamente justificadas, sean proporcionales al objeto del contrato y no constituyan barreras de acceso injustificadas para los interesados. Esta excepción no puede convertirse en regla general ni utilizarse para desconocer la función habilitante del Registro.</w:t>
            </w:r>
          </w:p>
          <w:p w14:paraId="2A73AE46" w14:textId="56952CB6" w:rsidR="00DB1299" w:rsidRDefault="00DB1299" w:rsidP="00A24BE3">
            <w:pPr>
              <w:spacing w:after="120" w:line="276" w:lineRule="auto"/>
              <w:jc w:val="both"/>
              <w:rPr>
                <w:rFonts w:ascii="Verdana" w:eastAsia="Calibri" w:hAnsi="Verdana" w:cs="Arial"/>
              </w:rPr>
            </w:pPr>
            <w:r>
              <w:rPr>
                <w:rFonts w:ascii="Verdana" w:eastAsia="Calibri" w:hAnsi="Verdana" w:cs="Arial"/>
              </w:rPr>
              <w:t xml:space="preserve">            </w:t>
            </w:r>
            <w:r w:rsidRPr="004F345C">
              <w:rPr>
                <w:rFonts w:ascii="Verdana" w:eastAsia="Calibri" w:hAnsi="Verdana" w:cs="Arial"/>
              </w:rPr>
              <w:t>Por lo tanto, como principio general, la información registrada en el RUP es suficiente para acreditar la experiencia y habilitar a los proponentes en los procesos de contratación estatal en los que dicho registro es exigible, y cualquier exigencia adicional debe responder a una necesidad objetiva, razonable y proporcional, orientada exclusivamente a garantizar la adecuada ejecución del objeto contractual y no a restringir la competencia</w:t>
            </w:r>
          </w:p>
          <w:p w14:paraId="774F870A" w14:textId="1CD1CC3F" w:rsidR="00DB1299" w:rsidRDefault="00DB1299" w:rsidP="00A24BE3">
            <w:pPr>
              <w:spacing w:after="120"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w:t>
            </w:r>
            <w:r w:rsidRPr="00DB4737">
              <w:rPr>
                <w:rFonts w:ascii="Verdana" w:eastAsia="Calibri" w:hAnsi="Verdana" w:cs="Times New Roman"/>
                <w:lang w:val="es-ES"/>
              </w:rPr>
              <w:lastRenderedPageBreak/>
              <w:t>asesores, la solución de situaciones particulares corresponderá a los interesados de adoptar la decisión y, en caso de conflicto, a las autoridades judiciales, fiscales y disciplinarias.</w:t>
            </w:r>
            <w:r>
              <w:t xml:space="preserve"> </w:t>
            </w:r>
          </w:p>
          <w:p w14:paraId="2FE90DA3" w14:textId="3782F0DC" w:rsidR="00DB1299" w:rsidRPr="0029110A" w:rsidRDefault="00DB1299" w:rsidP="00A24BE3">
            <w:pPr>
              <w:spacing w:after="120" w:line="276" w:lineRule="auto"/>
              <w:contextualSpacing/>
              <w:jc w:val="both"/>
              <w:rPr>
                <w:rFonts w:ascii="Verdana" w:eastAsia="Calibri" w:hAnsi="Verdana" w:cs="Times New Roman"/>
                <w:lang w:val="es-ES"/>
              </w:rPr>
            </w:pPr>
            <w:r>
              <w:rPr>
                <w:rFonts w:ascii="Verdana" w:eastAsia="Calibri" w:hAnsi="Verdana" w:cs="Times New Roman"/>
                <w:lang w:val="es-ES"/>
              </w:rPr>
              <w:t xml:space="preserve">            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eastAsia="Calibri" w:hAnsi="Verdana" w:cs="Times New Roman"/>
                <w:lang w:val="es-ES"/>
              </w:rPr>
              <w:t>s</w:t>
            </w:r>
            <w:r w:rsidRPr="00DB4737">
              <w:rPr>
                <w:rFonts w:ascii="Verdana" w:eastAsia="Calibri" w:hAnsi="Verdana" w:cs="Times New Roman"/>
                <w:lang w:val="es-ES"/>
              </w:rPr>
              <w:t>.</w:t>
            </w:r>
          </w:p>
        </w:tc>
      </w:tr>
    </w:tbl>
    <w:p w14:paraId="3C565D38" w14:textId="77777777" w:rsidR="00DB1299" w:rsidRPr="00115E3D" w:rsidRDefault="00DB1299" w:rsidP="00DB1299">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843071B" w14:textId="77777777" w:rsidR="00DB1299" w:rsidRPr="00115E3D" w:rsidRDefault="00DB1299" w:rsidP="00DB129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1E7487E1" w14:textId="77777777" w:rsidR="00DB1299" w:rsidRPr="00593A5F" w:rsidRDefault="00DB1299" w:rsidP="00DB1299">
      <w:pPr>
        <w:spacing w:after="0" w:line="276" w:lineRule="auto"/>
        <w:jc w:val="both"/>
        <w:rPr>
          <w:rFonts w:ascii="Verdana" w:eastAsia="Calibri" w:hAnsi="Verdana" w:cs="Arial"/>
          <w:color w:val="7030A0"/>
          <w:lang w:val="es-ES"/>
        </w:rPr>
      </w:pPr>
      <w:r>
        <w:rPr>
          <w:rFonts w:ascii="Verdana" w:hAnsi="Verdana" w:cs="Arial"/>
          <w:bCs/>
          <w:lang w:eastAsia="es-CO"/>
        </w:rPr>
        <w:tab/>
      </w:r>
    </w:p>
    <w:p w14:paraId="778D79E2" w14:textId="77777777" w:rsidR="00DB1299" w:rsidRDefault="00DB1299" w:rsidP="00DB1299">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0989C752" w14:textId="77777777" w:rsidR="00DB1299" w:rsidRDefault="00DB1299" w:rsidP="00DB1299">
      <w:pPr>
        <w:spacing w:after="0" w:line="276" w:lineRule="auto"/>
        <w:jc w:val="both"/>
        <w:rPr>
          <w:rFonts w:ascii="Verdana" w:eastAsia="Calibri" w:hAnsi="Verdana" w:cs="Arial"/>
          <w:lang w:val="es-ES"/>
        </w:rPr>
      </w:pPr>
    </w:p>
    <w:p w14:paraId="05B03DC7" w14:textId="77777777" w:rsidR="00DB1299" w:rsidRDefault="00DB1299" w:rsidP="00A24BE3">
      <w:pPr>
        <w:spacing w:after="120" w:line="276" w:lineRule="auto"/>
        <w:jc w:val="both"/>
        <w:rPr>
          <w:rFonts w:ascii="Verdana" w:eastAsia="Calibri" w:hAnsi="Verdana" w:cs="Arial"/>
          <w:bCs/>
          <w:lang w:val="es-ES" w:eastAsia="es-ES_tradnl"/>
        </w:rPr>
      </w:pPr>
      <w:bookmarkStart w:id="2" w:name="_Hlk75296202"/>
      <w:r w:rsidRPr="00DA67B3">
        <w:rPr>
          <w:rFonts w:ascii="Verdana" w:eastAsia="Calibri" w:hAnsi="Verdana" w:cs="Arial"/>
          <w:bCs/>
          <w:lang w:val="es-ES" w:eastAsia="es-ES_tradnl"/>
        </w:rPr>
        <w:t>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–por expresa disposición legal– no otorgan puntaje, salvo que excepcionalmente se permita lo contrario. Esto comoquiera dichos requisitos no se refieren a la oferta misma sino a la idoneidad del oferente para asumir adecuadamente la ejecución del contrato</w:t>
      </w:r>
      <w:r w:rsidRPr="00DA67B3">
        <w:rPr>
          <w:rFonts w:ascii="Verdana" w:hAnsi="Verdana"/>
          <w:vertAlign w:val="superscript"/>
          <w:lang w:val="es-ES" w:eastAsia="es-ES_tradnl"/>
        </w:rPr>
        <w:footnoteReference w:id="2"/>
      </w:r>
      <w:r w:rsidRPr="00DA67B3">
        <w:rPr>
          <w:rFonts w:ascii="Verdana" w:eastAsia="Calibri" w:hAnsi="Verdana" w:cs="Arial"/>
          <w:bCs/>
          <w:lang w:val="es-ES" w:eastAsia="es-ES_tradnl"/>
        </w:rPr>
        <w:t xml:space="preserve">. </w:t>
      </w:r>
    </w:p>
    <w:p w14:paraId="553EBC7B" w14:textId="77777777" w:rsidR="00DB1299" w:rsidRDefault="00DB1299" w:rsidP="00DB1299">
      <w:pPr>
        <w:spacing w:after="120" w:line="276" w:lineRule="auto"/>
        <w:ind w:firstLine="708"/>
        <w:jc w:val="both"/>
        <w:rPr>
          <w:rFonts w:ascii="Verdana" w:eastAsia="Calibri" w:hAnsi="Verdana" w:cs="Arial"/>
          <w:bCs/>
          <w:lang w:val="es-ES" w:eastAsia="es-ES_tradnl"/>
        </w:rPr>
      </w:pPr>
      <w:r>
        <w:rPr>
          <w:rFonts w:ascii="Verdana" w:eastAsia="Calibri" w:hAnsi="Verdana" w:cs="Arial"/>
          <w:bCs/>
          <w:lang w:val="es-ES" w:eastAsia="es-ES_tradnl"/>
        </w:rPr>
        <w:t>En ese marco, l</w:t>
      </w:r>
      <w:r w:rsidRPr="00DA67B3">
        <w:rPr>
          <w:rFonts w:ascii="Verdana" w:eastAsia="Calibri" w:hAnsi="Verdana" w:cs="Arial"/>
          <w:bCs/>
          <w:lang w:val="es-ES" w:eastAsia="es-ES_tradnl"/>
        </w:rPr>
        <w:t xml:space="preserve">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w:t>
      </w:r>
      <w:r w:rsidRPr="00FB4027">
        <w:rPr>
          <w:rFonts w:ascii="Verdana" w:eastAsia="Calibri" w:hAnsi="Verdana" w:cs="Arial"/>
          <w:bCs/>
          <w:i/>
          <w:iCs/>
          <w:lang w:val="es-ES" w:eastAsia="es-ES_tradnl"/>
        </w:rPr>
        <w:t>requisitos</w:t>
      </w:r>
      <w:r w:rsidRPr="00DA67B3">
        <w:rPr>
          <w:rFonts w:ascii="Verdana" w:eastAsia="Calibri" w:hAnsi="Verdana" w:cs="Arial"/>
          <w:bCs/>
          <w:lang w:val="es-ES" w:eastAsia="es-ES_tradnl"/>
        </w:rPr>
        <w:t xml:space="preserve"> </w:t>
      </w:r>
      <w:r w:rsidRPr="00DA67B3">
        <w:rPr>
          <w:rFonts w:ascii="Verdana" w:eastAsia="Calibri" w:hAnsi="Verdana" w:cs="Arial"/>
          <w:bCs/>
          <w:i/>
          <w:iCs/>
          <w:lang w:val="es-ES" w:eastAsia="es-ES_tradnl"/>
        </w:rPr>
        <w:t xml:space="preserve">habilitantes </w:t>
      </w:r>
      <w:r w:rsidRPr="00DA67B3">
        <w:rPr>
          <w:rFonts w:ascii="Verdana" w:eastAsia="Calibri" w:hAnsi="Verdana" w:cs="Arial"/>
          <w:bCs/>
          <w:lang w:val="es-ES" w:eastAsia="es-ES_tradnl"/>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bookmarkEnd w:id="2"/>
    </w:p>
    <w:p w14:paraId="62D19592" w14:textId="77777777" w:rsidR="00DB1299" w:rsidRDefault="00DB1299" w:rsidP="00DB1299">
      <w:pPr>
        <w:spacing w:after="0" w:line="276" w:lineRule="auto"/>
        <w:ind w:firstLine="708"/>
        <w:jc w:val="both"/>
        <w:rPr>
          <w:rFonts w:ascii="Verdana" w:eastAsia="Calibri" w:hAnsi="Verdana" w:cs="Arial"/>
          <w:bCs/>
          <w:lang w:val="es-ES" w:eastAsia="es-ES_tradnl"/>
        </w:rPr>
      </w:pPr>
      <w:r>
        <w:rPr>
          <w:rFonts w:ascii="Verdana" w:eastAsia="Calibri" w:hAnsi="Verdana" w:cs="Arial"/>
          <w:bCs/>
          <w:lang w:val="es-ES" w:eastAsia="es-ES_tradnl"/>
        </w:rPr>
        <w:lastRenderedPageBreak/>
        <w:t>Justamente, l</w:t>
      </w:r>
      <w:r w:rsidRPr="00F16FF6">
        <w:rPr>
          <w:rFonts w:ascii="Verdana" w:eastAsia="Calibri" w:hAnsi="Verdana" w:cs="Arial"/>
          <w:bCs/>
          <w:lang w:val="es-ES" w:eastAsia="es-ES_tradnl"/>
        </w:rPr>
        <w:t xml:space="preserve">a experiencia, </w:t>
      </w:r>
      <w:r w:rsidRPr="005419C6">
        <w:rPr>
          <w:rFonts w:ascii="Verdana" w:eastAsia="Calibri" w:hAnsi="Verdana" w:cs="Arial"/>
          <w:bCs/>
          <w:lang w:eastAsia="es-ES_tradnl"/>
        </w:rPr>
        <w:t xml:space="preserve">constituye uno de los requisitos habilitantes y se deriva de los contratos que el proponente ha celebrado y ejecutado con distintos contratantes, sin que la naturaleza pública o privada de estos sea determinante. Su verificación se realiza a través del </w:t>
      </w:r>
      <w:r w:rsidRPr="005419C6">
        <w:rPr>
          <w:rFonts w:ascii="Verdana" w:eastAsia="Calibri" w:hAnsi="Verdana" w:cs="Arial"/>
          <w:lang w:eastAsia="es-ES_tradnl"/>
        </w:rPr>
        <w:t xml:space="preserve">Registro Único de Proponentes </w:t>
      </w:r>
      <w:r w:rsidRPr="00C5378D">
        <w:rPr>
          <w:rFonts w:ascii="Verdana" w:eastAsia="Calibri" w:hAnsi="Verdana" w:cs="Arial"/>
          <w:lang w:val="es-ES" w:eastAsia="es-ES"/>
        </w:rPr>
        <w:t xml:space="preserve">– </w:t>
      </w:r>
      <w:r w:rsidRPr="005419C6">
        <w:rPr>
          <w:rFonts w:ascii="Verdana" w:eastAsia="Calibri" w:hAnsi="Verdana" w:cs="Arial"/>
          <w:lang w:eastAsia="es-ES_tradnl"/>
        </w:rPr>
        <w:t>RUP</w:t>
      </w:r>
      <w:r w:rsidRPr="005419C6">
        <w:rPr>
          <w:rFonts w:ascii="Verdana" w:eastAsia="Calibri" w:hAnsi="Verdana" w:cs="Arial"/>
          <w:bCs/>
          <w:lang w:eastAsia="es-ES_tradnl"/>
        </w:rPr>
        <w:t>, cuando este sea exigible conforme a la ley.</w:t>
      </w:r>
      <w:r w:rsidRPr="00F16FF6">
        <w:rPr>
          <w:rFonts w:ascii="Verdana" w:eastAsia="Calibri" w:hAnsi="Verdana" w:cs="Arial"/>
          <w:bCs/>
          <w:lang w:val="es-ES" w:eastAsia="es-ES_tradnl"/>
        </w:rPr>
        <w:t xml:space="preserve"> </w:t>
      </w:r>
      <w:r w:rsidRPr="004A272A">
        <w:rPr>
          <w:rFonts w:ascii="Verdana" w:eastAsia="Calibri" w:hAnsi="Verdana" w:cs="Arial"/>
          <w:bCs/>
          <w:lang w:val="es-ES" w:eastAsia="es-ES_tradnl"/>
        </w:rPr>
        <w:t>El artículo 6 de la Ley 1150 de 2007 dispone que los requisitos habilitantes antes mencionados, entre ellos la experiencia, se acreditan mediante el RUP, el cual:</w:t>
      </w:r>
    </w:p>
    <w:p w14:paraId="1D63E88B" w14:textId="77777777" w:rsidR="00DB1299" w:rsidRDefault="00DB1299" w:rsidP="00DB1299">
      <w:pPr>
        <w:spacing w:after="0" w:line="276" w:lineRule="auto"/>
        <w:ind w:firstLine="708"/>
        <w:jc w:val="both"/>
        <w:rPr>
          <w:rFonts w:ascii="Verdana" w:eastAsia="Calibri" w:hAnsi="Verdana" w:cs="Arial"/>
          <w:bCs/>
          <w:lang w:val="es-ES" w:eastAsia="es-ES_tradnl"/>
        </w:rPr>
      </w:pPr>
    </w:p>
    <w:p w14:paraId="1CDCE28E" w14:textId="77777777" w:rsidR="00DB1299" w:rsidRDefault="00DB1299" w:rsidP="00DB1299">
      <w:pPr>
        <w:spacing w:after="120" w:line="276" w:lineRule="auto"/>
        <w:ind w:left="720" w:right="709"/>
        <w:contextualSpacing/>
        <w:jc w:val="both"/>
        <w:rPr>
          <w:rFonts w:ascii="Verdana" w:eastAsia="Arial" w:hAnsi="Verdana" w:cs="Arial"/>
          <w:sz w:val="21"/>
          <w:szCs w:val="21"/>
          <w:lang w:val="es-ES"/>
        </w:rPr>
      </w:pPr>
      <w:r w:rsidRPr="00DA67B3">
        <w:rPr>
          <w:rFonts w:ascii="Verdana" w:eastAsia="Arial" w:hAnsi="Verdana" w:cs="Arial"/>
          <w:sz w:val="21"/>
          <w:szCs w:val="21"/>
          <w:lang w:val="es-ES"/>
        </w:rPr>
        <w:t xml:space="preserve">“[...]será plena prueba de las circunstancias que en ella se hagan constar y que hayan sido </w:t>
      </w:r>
      <w:r w:rsidRPr="00DA67B3">
        <w:rPr>
          <w:rFonts w:ascii="Verdana" w:eastAsia="Arial" w:hAnsi="Verdana" w:cs="Arial"/>
          <w:i/>
          <w:iCs/>
          <w:sz w:val="21"/>
          <w:szCs w:val="21"/>
          <w:lang w:val="es-ES"/>
        </w:rPr>
        <w:t>verificadas por las Cámaras de Comercio</w:t>
      </w:r>
      <w:r w:rsidRPr="00DA67B3">
        <w:rPr>
          <w:rFonts w:ascii="Verdana" w:eastAsia="Arial" w:hAnsi="Verdana" w:cs="Arial"/>
          <w:sz w:val="21"/>
          <w:szCs w:val="21"/>
          <w:lang w:val="es-ES"/>
        </w:rPr>
        <w:t>. En tal sentido, la verificación de las condiciones establecidas en el numeral 1 del artículo 5 de la presente ley, se demostrará exclusivamente con el respectivo certificado del RUP en donde deberán constar dichas condiciones.</w:t>
      </w:r>
      <w:r w:rsidRPr="00DA67B3">
        <w:rPr>
          <w:rFonts w:ascii="Verdana" w:hAnsi="Verdana"/>
          <w:sz w:val="21"/>
          <w:szCs w:val="21"/>
          <w:lang w:val="es-ES"/>
        </w:rPr>
        <w:t xml:space="preserve"> </w:t>
      </w:r>
      <w:r w:rsidRPr="00DA67B3">
        <w:rPr>
          <w:rFonts w:ascii="Verdana" w:eastAsia="Arial" w:hAnsi="Verdana" w:cs="Arial"/>
          <w:sz w:val="21"/>
          <w:szCs w:val="21"/>
          <w:lang w:val="es-ES"/>
        </w:rPr>
        <w:t xml:space="preserve">En consecuencia, las entidades estatales en los procesos de contratación no podrán exigir, ni los proponentes aportar documentación que deba utilizarse para efectuar la inscripción en el registro. </w:t>
      </w:r>
      <w:r w:rsidRPr="00DA67B3">
        <w:rPr>
          <w:rFonts w:ascii="Verdana" w:eastAsia="Arial" w:hAnsi="Verdana" w:cs="Arial"/>
          <w:i/>
          <w:iCs/>
          <w:sz w:val="21"/>
          <w:szCs w:val="21"/>
          <w:lang w:val="es-ES"/>
        </w:rPr>
        <w:t>No obstante, lo anterior, sólo en aquellos casos en que por las características del objeto a contratar se requiera la verificación de requisitos del proponente adicionales a los contenidos en el Registro, la entidad podrá hacer tal verificación en forma directa</w:t>
      </w:r>
      <w:r w:rsidRPr="00DA67B3">
        <w:rPr>
          <w:rFonts w:ascii="Verdana" w:eastAsia="Arial" w:hAnsi="Verdana" w:cs="Arial"/>
          <w:sz w:val="21"/>
          <w:szCs w:val="21"/>
          <w:lang w:val="es-ES"/>
        </w:rPr>
        <w:t xml:space="preserve">”. </w:t>
      </w:r>
      <w:r>
        <w:rPr>
          <w:rFonts w:ascii="Verdana" w:eastAsia="Arial" w:hAnsi="Verdana" w:cs="Arial"/>
          <w:sz w:val="21"/>
          <w:szCs w:val="21"/>
          <w:lang w:val="es-ES"/>
        </w:rPr>
        <w:t>[Énfasis</w:t>
      </w:r>
      <w:r w:rsidRPr="00DA67B3">
        <w:rPr>
          <w:rFonts w:ascii="Verdana" w:eastAsia="Arial" w:hAnsi="Verdana" w:cs="Arial"/>
          <w:sz w:val="21"/>
          <w:szCs w:val="21"/>
          <w:lang w:val="es-ES"/>
        </w:rPr>
        <w:t xml:space="preserve"> fuera de texto</w:t>
      </w:r>
      <w:r>
        <w:rPr>
          <w:rFonts w:ascii="Verdana" w:eastAsia="Arial" w:hAnsi="Verdana" w:cs="Arial"/>
          <w:sz w:val="21"/>
          <w:szCs w:val="21"/>
          <w:lang w:val="es-ES"/>
        </w:rPr>
        <w:t>]</w:t>
      </w:r>
    </w:p>
    <w:p w14:paraId="60EC350E" w14:textId="77777777" w:rsidR="00DB1299" w:rsidRDefault="00DB1299" w:rsidP="00DB1299">
      <w:pPr>
        <w:spacing w:after="120" w:line="276" w:lineRule="auto"/>
        <w:ind w:left="720" w:right="709"/>
        <w:contextualSpacing/>
        <w:jc w:val="both"/>
        <w:rPr>
          <w:rFonts w:ascii="Verdana" w:eastAsia="Arial" w:hAnsi="Verdana" w:cs="Arial"/>
          <w:sz w:val="21"/>
          <w:szCs w:val="21"/>
          <w:lang w:val="es-ES"/>
        </w:rPr>
      </w:pPr>
    </w:p>
    <w:p w14:paraId="60BC4143" w14:textId="77777777" w:rsidR="00DB1299" w:rsidRPr="00E84290" w:rsidRDefault="00DB1299" w:rsidP="00DB1299">
      <w:pPr>
        <w:spacing w:after="120" w:line="276" w:lineRule="auto"/>
        <w:ind w:firstLine="708"/>
        <w:jc w:val="both"/>
        <w:rPr>
          <w:rFonts w:ascii="Verdana" w:eastAsia="Calibri" w:hAnsi="Verdana" w:cs="Arial"/>
          <w:bCs/>
          <w:lang w:val="es-ES" w:eastAsia="es-ES_tradnl"/>
        </w:rPr>
      </w:pPr>
      <w:r w:rsidRPr="00E84290">
        <w:rPr>
          <w:rFonts w:ascii="Verdana" w:eastAsia="Calibri" w:hAnsi="Verdana" w:cs="Arial"/>
          <w:bCs/>
          <w:lang w:val="es-ES" w:eastAsia="es-ES_tradnl"/>
        </w:rPr>
        <w:t xml:space="preserve">De acuerdo con la </w:t>
      </w:r>
      <w:r>
        <w:rPr>
          <w:rFonts w:ascii="Verdana" w:eastAsia="Calibri" w:hAnsi="Verdana" w:cs="Arial"/>
          <w:bCs/>
          <w:lang w:val="es-ES" w:eastAsia="es-ES_tradnl"/>
        </w:rPr>
        <w:t>norma en cita</w:t>
      </w:r>
      <w:r w:rsidRPr="00E84290">
        <w:rPr>
          <w:rFonts w:ascii="Verdana" w:eastAsia="Calibri" w:hAnsi="Verdana" w:cs="Arial"/>
          <w:bCs/>
          <w:lang w:val="es-ES" w:eastAsia="es-ES_tradnl"/>
        </w:rPr>
        <w:t xml:space="preserve">, </w:t>
      </w:r>
      <w:bookmarkStart w:id="3" w:name="_Hlk212650532"/>
      <w:r w:rsidRPr="00E84290">
        <w:rPr>
          <w:rFonts w:ascii="Verdana" w:eastAsia="Calibri" w:hAnsi="Verdana" w:cs="Arial"/>
          <w:bCs/>
          <w:lang w:val="es-ES" w:eastAsia="es-ES_tradnl"/>
        </w:rPr>
        <w:t xml:space="preserve">el Registro Único de Proponentes constituye plena prueba de las condiciones que en él consten y que hayan sido verificadas por las Cámaras de Comercio. En consecuencia, la acreditación de los requisitos habilitantes previstos en el numeral 1 del artículo 5 de la ley —entre ellos, </w:t>
      </w:r>
      <w:r w:rsidRPr="00E84290">
        <w:rPr>
          <w:rFonts w:ascii="Verdana" w:eastAsia="Calibri" w:hAnsi="Verdana" w:cs="Arial"/>
          <w:bCs/>
          <w:i/>
          <w:iCs/>
          <w:lang w:val="es-ES" w:eastAsia="es-ES_tradnl"/>
        </w:rPr>
        <w:t>la experiencia</w:t>
      </w:r>
      <w:r w:rsidRPr="00E84290">
        <w:rPr>
          <w:rFonts w:ascii="Verdana" w:eastAsia="Calibri" w:hAnsi="Verdana" w:cs="Arial"/>
          <w:bCs/>
          <w:lang w:val="es-ES" w:eastAsia="es-ES_tradnl"/>
        </w:rPr>
        <w:t>, la capacidad jurídica, financiera y de organización— debe efectuarse exclusivamente mediante el certificado del RUP, en el cual deben figurar dichas condiciones.</w:t>
      </w:r>
    </w:p>
    <w:p w14:paraId="312085C0" w14:textId="77777777" w:rsidR="00DB1299" w:rsidRDefault="00DB1299" w:rsidP="00DB1299">
      <w:pPr>
        <w:spacing w:after="120" w:line="276" w:lineRule="auto"/>
        <w:ind w:firstLine="708"/>
        <w:jc w:val="both"/>
        <w:rPr>
          <w:rFonts w:ascii="Verdana" w:eastAsia="Calibri" w:hAnsi="Verdana" w:cs="Arial"/>
          <w:bCs/>
          <w:lang w:val="es-ES" w:eastAsia="es-ES_tradnl"/>
        </w:rPr>
      </w:pPr>
      <w:r w:rsidRPr="00E84290">
        <w:rPr>
          <w:rFonts w:ascii="Verdana" w:eastAsia="Calibri" w:hAnsi="Verdana" w:cs="Arial"/>
          <w:bCs/>
          <w:lang w:val="es-ES" w:eastAsia="es-ES_tradnl"/>
        </w:rPr>
        <w:t>Por lo mismo, las entidades estatales no pueden exigir ni los proponentes aportar documentos adicionales destinados a soportar la información que ya fue verificada e inscrita en el Registro. No obstante, la norma admite una excepción: cuando las particularidades del objeto contractual hagan necesaria la comprobación de requisitos adicionales a los contenidos en el RUP, la entidad contratante podrá realizar dicha verificación directamente, con el fin de garantizar la selección objetiva y la adecuada ejecución del contrato.</w:t>
      </w:r>
    </w:p>
    <w:bookmarkEnd w:id="3"/>
    <w:p w14:paraId="47B7EB7E" w14:textId="77777777" w:rsidR="00DB1299" w:rsidRPr="002D172F" w:rsidRDefault="00DB1299" w:rsidP="00DB1299">
      <w:pPr>
        <w:spacing w:after="120" w:line="276" w:lineRule="auto"/>
        <w:ind w:firstLine="708"/>
        <w:jc w:val="both"/>
        <w:rPr>
          <w:rFonts w:ascii="Verdana" w:eastAsia="Calibri" w:hAnsi="Verdana" w:cs="Arial"/>
          <w:lang w:eastAsia="es-ES_tradnl"/>
        </w:rPr>
      </w:pPr>
      <w:r>
        <w:rPr>
          <w:rFonts w:ascii="Verdana" w:eastAsia="Calibri" w:hAnsi="Verdana" w:cs="Arial"/>
          <w:bCs/>
          <w:lang w:val="es-ES" w:eastAsia="es-ES_tradnl"/>
        </w:rPr>
        <w:lastRenderedPageBreak/>
        <w:t xml:space="preserve">En ese sentido, </w:t>
      </w:r>
      <w:r w:rsidRPr="002D172F">
        <w:rPr>
          <w:rFonts w:ascii="Verdana" w:eastAsia="Calibri" w:hAnsi="Verdana" w:cs="Arial"/>
          <w:bCs/>
          <w:lang w:eastAsia="es-ES_tradnl"/>
        </w:rPr>
        <w:t xml:space="preserve">el </w:t>
      </w:r>
      <w:r w:rsidRPr="002D172F">
        <w:rPr>
          <w:rFonts w:ascii="Verdana" w:eastAsia="Calibri" w:hAnsi="Verdana" w:cs="Arial"/>
          <w:lang w:eastAsia="es-ES_tradnl"/>
        </w:rPr>
        <w:t xml:space="preserve">Registro Único de Proponentes </w:t>
      </w:r>
      <w:r w:rsidRPr="00C5378D">
        <w:rPr>
          <w:rFonts w:ascii="Verdana" w:eastAsia="Calibri" w:hAnsi="Verdana" w:cs="Arial"/>
          <w:lang w:val="es-ES" w:eastAsia="es-ES"/>
        </w:rPr>
        <w:t xml:space="preserve">– </w:t>
      </w:r>
      <w:r w:rsidRPr="002D172F">
        <w:rPr>
          <w:rFonts w:ascii="Verdana" w:eastAsia="Calibri" w:hAnsi="Verdana" w:cs="Arial"/>
          <w:lang w:eastAsia="es-ES_tradnl"/>
        </w:rPr>
        <w:t>RUP es el instrumento en el cual reposa la información relativa a las personas naturales y jurídicas interesadas en participar en los procedimientos de contratación que adelantan las entidades estatales. Su finalidad es consolidar en un único documento los aspectos relacionados con la</w:t>
      </w:r>
      <w:r>
        <w:rPr>
          <w:rFonts w:ascii="Verdana" w:eastAsia="Calibri" w:hAnsi="Verdana" w:cs="Arial"/>
          <w:lang w:eastAsia="es-ES_tradnl"/>
        </w:rPr>
        <w:t xml:space="preserve"> </w:t>
      </w:r>
      <w:r w:rsidRPr="002D172F">
        <w:rPr>
          <w:rFonts w:ascii="Verdana" w:eastAsia="Calibri" w:hAnsi="Verdana" w:cs="Arial"/>
          <w:i/>
          <w:iCs/>
          <w:lang w:eastAsia="es-ES_tradnl"/>
        </w:rPr>
        <w:t>experiencia</w:t>
      </w:r>
      <w:r>
        <w:rPr>
          <w:rFonts w:ascii="Verdana" w:eastAsia="Calibri" w:hAnsi="Verdana" w:cs="Arial"/>
          <w:lang w:eastAsia="es-ES_tradnl"/>
        </w:rPr>
        <w:t xml:space="preserve">, </w:t>
      </w:r>
      <w:r w:rsidRPr="002D172F">
        <w:rPr>
          <w:rFonts w:ascii="Verdana" w:eastAsia="Calibri" w:hAnsi="Verdana" w:cs="Arial"/>
          <w:lang w:eastAsia="es-ES_tradnl"/>
        </w:rPr>
        <w:t>capacidad jurídica, técnica, financiera y organizacional de los posibles oferentes, con el propósito de facilitar la verificación de sus condiciones de idoneidad.</w:t>
      </w:r>
    </w:p>
    <w:p w14:paraId="75D22B52" w14:textId="77777777" w:rsidR="00DB1299" w:rsidRDefault="00DB1299" w:rsidP="00DB1299">
      <w:pPr>
        <w:spacing w:after="0" w:line="276" w:lineRule="auto"/>
        <w:ind w:firstLine="708"/>
        <w:jc w:val="both"/>
        <w:rPr>
          <w:rFonts w:ascii="Verdana" w:eastAsia="Calibri" w:hAnsi="Verdana" w:cs="Arial"/>
          <w:lang w:eastAsia="es-ES_tradnl"/>
        </w:rPr>
      </w:pPr>
      <w:r>
        <w:rPr>
          <w:rFonts w:ascii="Verdana" w:eastAsia="Calibri" w:hAnsi="Verdana" w:cs="Arial"/>
          <w:lang w:eastAsia="es-ES_tradnl"/>
        </w:rPr>
        <w:t>En línea con lo anterior, e</w:t>
      </w:r>
      <w:r w:rsidRPr="002D172F">
        <w:rPr>
          <w:rFonts w:ascii="Verdana" w:eastAsia="Calibri" w:hAnsi="Verdana" w:cs="Arial"/>
          <w:lang w:eastAsia="es-ES_tradnl"/>
        </w:rPr>
        <w:t>l Consejo de Estado ha precisado la naturaleza y finalidad del RUP en los siguientes términos:</w:t>
      </w:r>
    </w:p>
    <w:p w14:paraId="1AD4CDDF" w14:textId="77777777" w:rsidR="00DB1299" w:rsidRPr="002D172F" w:rsidRDefault="00DB1299" w:rsidP="00DB1299">
      <w:pPr>
        <w:spacing w:after="0" w:line="276" w:lineRule="auto"/>
        <w:ind w:firstLine="708"/>
        <w:jc w:val="both"/>
        <w:rPr>
          <w:rFonts w:ascii="Verdana" w:eastAsia="Calibri" w:hAnsi="Verdana" w:cs="Arial"/>
          <w:lang w:eastAsia="es-ES_tradnl"/>
        </w:rPr>
      </w:pPr>
    </w:p>
    <w:p w14:paraId="70EA98D5" w14:textId="77777777" w:rsidR="00DB1299" w:rsidRDefault="00DB1299" w:rsidP="00DB1299">
      <w:pPr>
        <w:tabs>
          <w:tab w:val="left" w:pos="8505"/>
        </w:tabs>
        <w:ind w:left="709" w:right="709"/>
        <w:contextualSpacing/>
        <w:jc w:val="both"/>
        <w:rPr>
          <w:rFonts w:ascii="Verdana" w:hAnsi="Verdana" w:cs="Arial"/>
          <w:color w:val="000000" w:themeColor="text1"/>
          <w:sz w:val="21"/>
          <w:szCs w:val="21"/>
        </w:rPr>
      </w:pPr>
      <w:r w:rsidRPr="00DA67B3">
        <w:rPr>
          <w:rFonts w:ascii="Verdana" w:eastAsia="Calibri" w:hAnsi="Verdana" w:cs="Arial"/>
          <w:sz w:val="21"/>
          <w:szCs w:val="21"/>
        </w:rPr>
        <w:t>“</w:t>
      </w:r>
      <w:r w:rsidRPr="00DA67B3">
        <w:rPr>
          <w:rFonts w:ascii="Verdana" w:hAnsi="Verdana" w:cs="Arial"/>
          <w:color w:val="000000" w:themeColor="text1"/>
          <w:sz w:val="21"/>
          <w:szCs w:val="21"/>
        </w:rPr>
        <w:t xml:space="preserve">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w:t>
      </w:r>
      <w:r w:rsidRPr="00764BC1">
        <w:rPr>
          <w:rFonts w:ascii="Verdana" w:hAnsi="Verdana" w:cs="Arial"/>
          <w:i/>
          <w:iCs/>
          <w:color w:val="000000" w:themeColor="text1"/>
          <w:sz w:val="21"/>
          <w:szCs w:val="21"/>
        </w:rPr>
        <w:t>experiencia</w:t>
      </w:r>
      <w:r w:rsidRPr="00DA67B3">
        <w:rPr>
          <w:rFonts w:ascii="Verdana" w:hAnsi="Verdana" w:cs="Arial"/>
          <w:color w:val="000000" w:themeColor="text1"/>
          <w:sz w:val="21"/>
          <w:szCs w:val="21"/>
        </w:rPr>
        <w:t xml:space="preserve">, capacidad jurídica, capacidad técnica, capacidad de organización y capacidad financiera. En los términos del artículo 22 de la Ley 80 de 1993, todas las </w:t>
      </w:r>
      <w:r w:rsidRPr="00764BC1">
        <w:rPr>
          <w:rFonts w:ascii="Verdana" w:hAnsi="Verdana" w:cs="Arial"/>
          <w:i/>
          <w:iCs/>
          <w:color w:val="000000" w:themeColor="text1"/>
          <w:sz w:val="21"/>
          <w:szCs w:val="21"/>
        </w:rPr>
        <w:t>personas naturales</w:t>
      </w:r>
      <w:r w:rsidRPr="00DA67B3">
        <w:rPr>
          <w:rFonts w:ascii="Verdana" w:hAnsi="Verdana" w:cs="Arial"/>
          <w:color w:val="000000" w:themeColor="text1"/>
          <w:sz w:val="21"/>
          <w:szCs w:val="21"/>
        </w:rPr>
        <w:t xml:space="preserve"> o jurídicas </w:t>
      </w:r>
      <w:r w:rsidRPr="00764BC1">
        <w:rPr>
          <w:rFonts w:ascii="Verdana" w:hAnsi="Verdana" w:cs="Arial"/>
          <w:i/>
          <w:iCs/>
          <w:color w:val="000000" w:themeColor="text1"/>
          <w:sz w:val="21"/>
          <w:szCs w:val="21"/>
        </w:rPr>
        <w:t>que aspiren a celebrar dichos contratos con las entidades estatales deberán inscribirse en el Registro de Proponentes de la Cámara de Comercio de su jurisdicción y deberán estar clasificadas y calificadas según lo dispuesto en esta norma</w:t>
      </w:r>
      <w:r w:rsidRPr="00DA67B3">
        <w:rPr>
          <w:rFonts w:ascii="Verdana" w:hAnsi="Verdana" w:cs="Arial"/>
          <w:color w:val="000000" w:themeColor="text1"/>
          <w:sz w:val="21"/>
          <w:szCs w:val="21"/>
        </w:rPr>
        <w:t>”</w:t>
      </w:r>
      <w:r w:rsidRPr="00DA67B3">
        <w:rPr>
          <w:rFonts w:ascii="Verdana" w:hAnsi="Verdana" w:cs="Arial"/>
          <w:color w:val="000000" w:themeColor="text1"/>
          <w:sz w:val="21"/>
          <w:szCs w:val="21"/>
          <w:vertAlign w:val="superscript"/>
        </w:rPr>
        <w:footnoteReference w:id="3"/>
      </w:r>
      <w:r w:rsidRPr="00DA67B3">
        <w:rPr>
          <w:rFonts w:ascii="Verdana" w:hAnsi="Verdana" w:cs="Arial"/>
          <w:color w:val="000000" w:themeColor="text1"/>
          <w:sz w:val="21"/>
          <w:szCs w:val="21"/>
        </w:rPr>
        <w:t>.</w:t>
      </w:r>
      <w:r w:rsidRPr="00764BC1">
        <w:rPr>
          <w:rFonts w:ascii="Verdana" w:eastAsia="Arial" w:hAnsi="Verdana" w:cs="Arial"/>
          <w:sz w:val="21"/>
          <w:szCs w:val="21"/>
          <w:lang w:val="es-ES"/>
        </w:rPr>
        <w:t xml:space="preserve"> </w:t>
      </w:r>
      <w:r>
        <w:rPr>
          <w:rFonts w:ascii="Verdana" w:eastAsia="Arial" w:hAnsi="Verdana" w:cs="Arial"/>
          <w:sz w:val="21"/>
          <w:szCs w:val="21"/>
          <w:lang w:val="es-ES"/>
        </w:rPr>
        <w:t>[Énfasis</w:t>
      </w:r>
      <w:r w:rsidRPr="00DA67B3">
        <w:rPr>
          <w:rFonts w:ascii="Verdana" w:eastAsia="Arial" w:hAnsi="Verdana" w:cs="Arial"/>
          <w:sz w:val="21"/>
          <w:szCs w:val="21"/>
          <w:lang w:val="es-ES"/>
        </w:rPr>
        <w:t xml:space="preserve"> fuera de texto</w:t>
      </w:r>
      <w:r>
        <w:rPr>
          <w:rFonts w:ascii="Verdana" w:eastAsia="Arial" w:hAnsi="Verdana" w:cs="Arial"/>
          <w:sz w:val="21"/>
          <w:szCs w:val="21"/>
          <w:lang w:val="es-ES"/>
        </w:rPr>
        <w:t>]</w:t>
      </w:r>
    </w:p>
    <w:p w14:paraId="72F625C0" w14:textId="77777777" w:rsidR="00DB1299" w:rsidRDefault="00DB1299" w:rsidP="00DB1299">
      <w:pPr>
        <w:tabs>
          <w:tab w:val="left" w:pos="8505"/>
        </w:tabs>
        <w:ind w:left="709" w:right="709"/>
        <w:contextualSpacing/>
        <w:jc w:val="both"/>
        <w:rPr>
          <w:rFonts w:ascii="Verdana" w:hAnsi="Verdana" w:cs="Arial"/>
          <w:color w:val="000000" w:themeColor="text1"/>
          <w:sz w:val="21"/>
          <w:szCs w:val="21"/>
        </w:rPr>
      </w:pPr>
    </w:p>
    <w:p w14:paraId="6813390C" w14:textId="77777777" w:rsidR="00DB1299" w:rsidRDefault="00DB1299" w:rsidP="00DB1299">
      <w:pPr>
        <w:spacing w:after="120" w:line="276" w:lineRule="auto"/>
        <w:ind w:firstLine="708"/>
        <w:jc w:val="both"/>
        <w:rPr>
          <w:rFonts w:ascii="Verdana" w:eastAsia="Calibri" w:hAnsi="Verdana" w:cs="Arial"/>
          <w:bCs/>
          <w:lang w:val="es-ES" w:eastAsia="es-ES_tradnl"/>
        </w:rPr>
      </w:pPr>
      <w:r>
        <w:rPr>
          <w:rFonts w:ascii="Verdana" w:eastAsia="Calibri" w:hAnsi="Verdana" w:cs="Arial"/>
          <w:bCs/>
          <w:lang w:val="es-ES" w:eastAsia="es-ES_tradnl"/>
        </w:rPr>
        <w:t xml:space="preserve">Al marco normativo expuesto se le suma lo contemplado en </w:t>
      </w:r>
      <w:r w:rsidRPr="00ED0DB3">
        <w:rPr>
          <w:rFonts w:ascii="Verdana" w:eastAsia="Calibri" w:hAnsi="Verdana" w:cs="Arial"/>
          <w:bCs/>
          <w:lang w:val="es-ES" w:eastAsia="es-ES_tradnl"/>
        </w:rPr>
        <w:t xml:space="preserve">el artículo 5.1 de la Ley 1150 de 2007, </w:t>
      </w:r>
      <w:r>
        <w:rPr>
          <w:rFonts w:ascii="Verdana" w:eastAsia="Calibri" w:hAnsi="Verdana" w:cs="Arial"/>
          <w:bCs/>
          <w:lang w:val="es-ES" w:eastAsia="es-ES_tradnl"/>
        </w:rPr>
        <w:t>a</w:t>
      </w:r>
      <w:r w:rsidRPr="00ED0DB3">
        <w:rPr>
          <w:rFonts w:ascii="Verdana" w:eastAsia="Calibri" w:hAnsi="Verdana" w:cs="Arial"/>
          <w:bCs/>
          <w:lang w:val="es-ES" w:eastAsia="es-ES_tradnl"/>
        </w:rPr>
        <w:t>l fijar los criterios que deben tener en cuenta las entidades estatales para garantizar la selección objetiva</w:t>
      </w:r>
      <w:r>
        <w:rPr>
          <w:rFonts w:ascii="Verdana" w:eastAsia="Calibri" w:hAnsi="Verdana" w:cs="Arial"/>
          <w:bCs/>
          <w:lang w:val="es-ES" w:eastAsia="es-ES_tradnl"/>
        </w:rPr>
        <w:t xml:space="preserve">. La disposición </w:t>
      </w:r>
      <w:r w:rsidRPr="00ED0DB3">
        <w:rPr>
          <w:rFonts w:ascii="Verdana" w:eastAsia="Calibri" w:hAnsi="Verdana" w:cs="Arial"/>
          <w:bCs/>
          <w:lang w:val="es-ES" w:eastAsia="es-ES_tradnl"/>
        </w:rPr>
        <w:t>dispone que las Cámaras de Comercio verificarán la información suministrada por las personas naturales o jurídicas para la inscripción en el Registro. Esta información debe tenerse en cuenta por las entidades en los procedimientos de contratación en los que es exigible el RUP</w:t>
      </w:r>
      <w:r w:rsidRPr="00B17ED1">
        <w:rPr>
          <w:rFonts w:ascii="Verdana" w:eastAsia="Calibri" w:hAnsi="Verdana" w:cs="Arial"/>
          <w:bCs/>
          <w:vertAlign w:val="superscript"/>
          <w:lang w:val="es-ES" w:eastAsia="es-ES_tradnl"/>
        </w:rPr>
        <w:footnoteReference w:id="4"/>
      </w:r>
      <w:r w:rsidRPr="00ED0DB3">
        <w:rPr>
          <w:rFonts w:ascii="Verdana" w:eastAsia="Calibri" w:hAnsi="Verdana" w:cs="Arial"/>
          <w:bCs/>
          <w:lang w:val="es-ES" w:eastAsia="es-ES_tradnl"/>
        </w:rPr>
        <w:t xml:space="preserve">. De esta forma, la capacidad jurídica y las </w:t>
      </w:r>
      <w:r w:rsidRPr="00ED0DB3">
        <w:rPr>
          <w:rFonts w:ascii="Verdana" w:eastAsia="Calibri" w:hAnsi="Verdana" w:cs="Arial"/>
          <w:bCs/>
          <w:lang w:val="es-ES" w:eastAsia="es-ES_tradnl"/>
        </w:rPr>
        <w:lastRenderedPageBreak/>
        <w:t>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ED0DB3">
        <w:rPr>
          <w:rFonts w:ascii="Verdana" w:eastAsia="Calibri" w:hAnsi="Verdana" w:cs="Arial"/>
          <w:bCs/>
          <w:vertAlign w:val="superscript"/>
          <w:lang w:val="es-ES" w:eastAsia="es-ES_tradnl"/>
        </w:rPr>
        <w:footnoteReference w:id="5"/>
      </w:r>
      <w:r w:rsidRPr="00ED0DB3">
        <w:rPr>
          <w:rFonts w:ascii="Verdana" w:eastAsia="Calibri" w:hAnsi="Verdana" w:cs="Arial"/>
          <w:bCs/>
          <w:lang w:val="es-ES" w:eastAsia="es-ES_tradnl"/>
        </w:rPr>
        <w:t>.</w:t>
      </w:r>
    </w:p>
    <w:p w14:paraId="44807CC4" w14:textId="77777777" w:rsidR="00DB1299" w:rsidRDefault="00DB1299" w:rsidP="00DB1299">
      <w:pPr>
        <w:spacing w:after="120" w:line="276" w:lineRule="auto"/>
        <w:ind w:firstLine="708"/>
        <w:jc w:val="both"/>
        <w:rPr>
          <w:rFonts w:ascii="Verdana" w:hAnsi="Verdana"/>
        </w:rPr>
      </w:pPr>
      <w:r w:rsidRPr="00DA67B3">
        <w:rPr>
          <w:rFonts w:ascii="Verdana" w:hAnsi="Verdana"/>
        </w:rPr>
        <w:t xml:space="preserve">No obstante, </w:t>
      </w:r>
      <w:r w:rsidRPr="00651F93">
        <w:rPr>
          <w:rFonts w:ascii="Verdana" w:hAnsi="Verdana"/>
        </w:rPr>
        <w:t xml:space="preserve">el Registro Único de Proponentes </w:t>
      </w:r>
      <w:r w:rsidRPr="00C5378D">
        <w:rPr>
          <w:rFonts w:ascii="Verdana" w:eastAsia="Calibri" w:hAnsi="Verdana" w:cs="Arial"/>
          <w:lang w:val="es-ES" w:eastAsia="es-ES"/>
        </w:rPr>
        <w:t xml:space="preserve">– </w:t>
      </w:r>
      <w:r w:rsidRPr="002D172F">
        <w:rPr>
          <w:rFonts w:ascii="Verdana" w:eastAsia="Calibri" w:hAnsi="Verdana" w:cs="Arial"/>
          <w:lang w:eastAsia="es-ES_tradnl"/>
        </w:rPr>
        <w:t xml:space="preserve">RUP </w:t>
      </w:r>
      <w:r w:rsidRPr="00651F93">
        <w:rPr>
          <w:rFonts w:ascii="Verdana" w:hAnsi="Verdana"/>
        </w:rPr>
        <w:t>no resulta exigible en todos los procesos de selección. El inciso segundo del artículo 6 de la Ley 1150 de 2007 establece expresamente los casos en los cuales no se requiere dicho registro, entre ellos: los procesos de contratación directa, los contratos para la prestación de servicios de salud, los contratos de mínima cuantía, la enajenación de bienes del Estado, los contratos que tengan por objeto la adquisición de productos de origen o destinación agropecuaria ofrecidos en bolsas de productos legalmente constituidas, así como los actos y contratos que tengan por objeto directo las actividades comerciales e industriales propias de las empresas industriales y comerciales del Estado y de las sociedades de economía mixta, y los contratos de concesión de cualquier índole.</w:t>
      </w:r>
    </w:p>
    <w:p w14:paraId="103F4B44" w14:textId="77777777" w:rsidR="00DB1299" w:rsidRDefault="00DB1299" w:rsidP="00DB1299">
      <w:pPr>
        <w:spacing w:after="120" w:line="276" w:lineRule="auto"/>
        <w:ind w:firstLine="708"/>
        <w:jc w:val="both"/>
        <w:rPr>
          <w:rFonts w:ascii="Verdana" w:hAnsi="Verdana"/>
        </w:rPr>
      </w:pPr>
      <w:r w:rsidRPr="00DA67B3">
        <w:rPr>
          <w:rFonts w:ascii="Verdana" w:hAnsi="Verdana"/>
        </w:rPr>
        <w:t>La norma dispone que, en estos eventos, las entidades contratantes tienen del deber</w:t>
      </w:r>
      <w:r w:rsidRPr="00DA67B3">
        <w:rPr>
          <w:rFonts w:ascii="Verdana" w:hAnsi="Verdana"/>
          <w:spacing w:val="-6"/>
        </w:rPr>
        <w:t xml:space="preserve"> </w:t>
      </w:r>
      <w:r w:rsidRPr="00DA67B3">
        <w:rPr>
          <w:rFonts w:ascii="Verdana" w:hAnsi="Verdana"/>
        </w:rPr>
        <w:t>de</w:t>
      </w:r>
      <w:r w:rsidRPr="00DA67B3">
        <w:rPr>
          <w:rFonts w:ascii="Verdana" w:hAnsi="Verdana"/>
          <w:spacing w:val="-6"/>
        </w:rPr>
        <w:t xml:space="preserve"> </w:t>
      </w:r>
      <w:r w:rsidRPr="00DA67B3">
        <w:rPr>
          <w:rFonts w:ascii="Verdana" w:hAnsi="Verdana"/>
        </w:rPr>
        <w:t>verificar</w:t>
      </w:r>
      <w:r w:rsidRPr="00DA67B3">
        <w:rPr>
          <w:rFonts w:ascii="Verdana" w:hAnsi="Verdana"/>
          <w:spacing w:val="-6"/>
        </w:rPr>
        <w:t xml:space="preserve"> </w:t>
      </w:r>
      <w:r>
        <w:rPr>
          <w:rFonts w:ascii="Verdana" w:hAnsi="Verdana"/>
          <w:spacing w:val="-6"/>
        </w:rPr>
        <w:t xml:space="preserve">directamente </w:t>
      </w:r>
      <w:r w:rsidRPr="00DA67B3">
        <w:rPr>
          <w:rFonts w:ascii="Verdana" w:hAnsi="Verdana"/>
        </w:rPr>
        <w:t>el cumplimiento de los requisitos habilitantes o la Clasificación de Bienes y Servicios</w:t>
      </w:r>
      <w:r w:rsidRPr="00DA67B3">
        <w:rPr>
          <w:rFonts w:ascii="Verdana" w:hAnsi="Verdana"/>
          <w:vertAlign w:val="superscript"/>
        </w:rPr>
        <w:footnoteReference w:id="6"/>
      </w:r>
      <w:r w:rsidRPr="00DA67B3">
        <w:rPr>
          <w:rFonts w:ascii="Verdana" w:hAnsi="Verdana"/>
        </w:rPr>
        <w:t xml:space="preserve">. </w:t>
      </w:r>
      <w:r>
        <w:rPr>
          <w:rFonts w:ascii="Verdana" w:hAnsi="Verdana"/>
        </w:rPr>
        <w:t>Asimismo</w:t>
      </w:r>
      <w:r w:rsidRPr="00DA67B3">
        <w:rPr>
          <w:rFonts w:ascii="Verdana" w:hAnsi="Verdana"/>
        </w:rPr>
        <w:t xml:space="preserve">, el numeral 6.1. </w:t>
      </w:r>
      <w:r w:rsidRPr="00DA67B3">
        <w:rPr>
          <w:rFonts w:ascii="Verdana" w:hAnsi="Verdana"/>
        </w:rPr>
        <w:lastRenderedPageBreak/>
        <w:t>del artículo 6 de la Ley 1150 de 2007 establece que</w:t>
      </w:r>
      <w:r>
        <w:rPr>
          <w:rFonts w:ascii="Verdana" w:hAnsi="Verdana"/>
        </w:rPr>
        <w:t>,</w:t>
      </w:r>
      <w:r w:rsidRPr="00DA67B3">
        <w:rPr>
          <w:rFonts w:ascii="Verdana" w:hAnsi="Verdana"/>
        </w:rPr>
        <w:t xml:space="preserve"> </w:t>
      </w:r>
      <w:r w:rsidRPr="00E53DF9">
        <w:rPr>
          <w:rFonts w:ascii="Verdana" w:hAnsi="Verdana"/>
        </w:rPr>
        <w:t>cuando sea necesario constatar requisitos o información que no repose en el RUP, la entidad podrá solicitar información adicional exclusivamente con el propósito de complementar la contenida en dicho registro y verificar condiciones adicionales de experiencia del proponente. En consecuencia, solo cuando las particularidades del objeto contractual lo exijan, la entidad podrá efectuar la verificación directa de tales requisitos y requerir documentos distintos al RUP</w:t>
      </w:r>
      <w:r w:rsidRPr="00DA67B3">
        <w:rPr>
          <w:rFonts w:ascii="Verdana" w:hAnsi="Verdana"/>
          <w:vertAlign w:val="superscript"/>
        </w:rPr>
        <w:footnoteReference w:id="7"/>
      </w:r>
      <w:r w:rsidRPr="00DA67B3">
        <w:rPr>
          <w:rFonts w:ascii="Verdana" w:hAnsi="Verdana"/>
        </w:rPr>
        <w:t>.</w:t>
      </w:r>
    </w:p>
    <w:p w14:paraId="67371DEF" w14:textId="77777777" w:rsidR="00DB1299" w:rsidRDefault="00DB1299" w:rsidP="00DB1299">
      <w:pPr>
        <w:spacing w:after="120" w:line="276" w:lineRule="auto"/>
        <w:ind w:firstLine="708"/>
        <w:jc w:val="both"/>
        <w:rPr>
          <w:rFonts w:ascii="Verdana" w:hAnsi="Verdana" w:cs="Arial"/>
          <w:color w:val="000000" w:themeColor="text1"/>
          <w:lang w:val="es-ES"/>
        </w:rPr>
      </w:pPr>
      <w:r w:rsidRPr="00DA67B3">
        <w:rPr>
          <w:rFonts w:ascii="Verdana" w:hAnsi="Verdana" w:cs="Arial"/>
          <w:color w:val="000000" w:themeColor="text1"/>
          <w:lang w:val="es-ES"/>
        </w:rPr>
        <w:t xml:space="preserve">Así las cosas, </w:t>
      </w:r>
      <w:r w:rsidRPr="00193E20">
        <w:rPr>
          <w:rFonts w:ascii="Verdana" w:hAnsi="Verdana" w:cs="Arial"/>
          <w:color w:val="000000" w:themeColor="text1"/>
          <w:lang w:val="es-ES"/>
        </w:rPr>
        <w:t>cuando se trata de procesos de selección exceptuados de la obligación de inscripción en el RUP, las entidades estatales no pueden exigir dicho registro y, en consecuencia, deben verificar directamente las condiciones de experiencia, capacidad financiera y organizacional de los proponentes. Para ello, pueden acudir a otros medios de prueba idóneos, siempre que sean adecuados, proporcionales y garanticen los principios de selección objetiva y libre concurrencia.</w:t>
      </w:r>
      <w:r>
        <w:rPr>
          <w:rFonts w:ascii="Verdana" w:hAnsi="Verdana" w:cs="Arial"/>
          <w:color w:val="000000" w:themeColor="text1"/>
          <w:lang w:val="es-ES"/>
        </w:rPr>
        <w:t xml:space="preserve"> </w:t>
      </w:r>
      <w:r w:rsidRPr="00193E20">
        <w:rPr>
          <w:rFonts w:ascii="Verdana" w:hAnsi="Verdana" w:cs="Arial"/>
          <w:color w:val="000000" w:themeColor="text1"/>
          <w:lang w:val="es-ES"/>
        </w:rPr>
        <w:t>Esta interpretación ha sido ratificada por el Consejo de Estado, al precisar que en los eventos exceptuados del RUP las entidades conservan el deber de verificar los requisitos habilitantes del proponente por medios distintos al mencionado registro</w:t>
      </w:r>
      <w:r w:rsidRPr="00DA67B3">
        <w:rPr>
          <w:rFonts w:ascii="Verdana" w:hAnsi="Verdana" w:cs="Arial"/>
          <w:color w:val="000000" w:themeColor="text1"/>
          <w:vertAlign w:val="superscript"/>
          <w:lang w:val="es-ES"/>
        </w:rPr>
        <w:footnoteReference w:id="8"/>
      </w:r>
      <w:r w:rsidRPr="00DA67B3">
        <w:rPr>
          <w:rFonts w:ascii="Verdana" w:hAnsi="Verdana" w:cs="Arial"/>
          <w:color w:val="000000" w:themeColor="text1"/>
          <w:lang w:val="es-ES"/>
        </w:rPr>
        <w:t>.</w:t>
      </w:r>
    </w:p>
    <w:p w14:paraId="4884366F" w14:textId="77777777" w:rsidR="00DB1299" w:rsidRDefault="00DB1299" w:rsidP="00DB1299">
      <w:pPr>
        <w:spacing w:after="120" w:line="276" w:lineRule="auto"/>
        <w:ind w:firstLine="708"/>
        <w:jc w:val="both"/>
        <w:rPr>
          <w:rFonts w:ascii="Verdana" w:hAnsi="Verdana" w:cs="Arial"/>
          <w:color w:val="000000" w:themeColor="text1"/>
          <w:lang w:val="es-ES"/>
        </w:rPr>
      </w:pPr>
      <w:r w:rsidRPr="00E16D4F">
        <w:rPr>
          <w:rFonts w:ascii="Verdana" w:hAnsi="Verdana" w:cs="Arial"/>
          <w:color w:val="000000" w:themeColor="text1"/>
          <w:lang w:val="es-ES"/>
        </w:rPr>
        <w:t>Ahora bien, el inciso primero del artículo 6 de la Ley 1150 de 2007</w:t>
      </w:r>
      <w:r w:rsidRPr="00DA67B3">
        <w:rPr>
          <w:rFonts w:ascii="Verdana" w:hAnsi="Verdana" w:cs="Arial"/>
          <w:color w:val="000000" w:themeColor="text1"/>
          <w:vertAlign w:val="superscript"/>
          <w:lang w:val="es-ES"/>
        </w:rPr>
        <w:footnoteReference w:id="9"/>
      </w:r>
      <w:r w:rsidRPr="00E16D4F">
        <w:rPr>
          <w:rFonts w:ascii="Verdana" w:hAnsi="Verdana" w:cs="Arial"/>
          <w:color w:val="000000" w:themeColor="text1"/>
          <w:lang w:val="es-ES"/>
        </w:rPr>
        <w:t>, que regula los sujetos obligados a inscribirse en el Registro Único de Proponentes –RUP–, dispone que deben hacerlo las personas naturales o jurídicas, nacionales o extranjeras con domicilio o sucursal en el país.</w:t>
      </w:r>
      <w:r>
        <w:rPr>
          <w:rFonts w:ascii="Verdana" w:hAnsi="Verdana" w:cs="Arial"/>
          <w:color w:val="000000" w:themeColor="text1"/>
          <w:lang w:val="es-ES"/>
        </w:rPr>
        <w:t xml:space="preserve"> </w:t>
      </w:r>
      <w:r w:rsidRPr="00E16D4F">
        <w:rPr>
          <w:rFonts w:ascii="Verdana" w:hAnsi="Verdana" w:cs="Arial"/>
          <w:color w:val="000000" w:themeColor="text1"/>
          <w:lang w:val="es-ES"/>
        </w:rPr>
        <w:t xml:space="preserve">Estas personas están obligadas a registrarse en el RUP cuando concurran las siguientes condiciones: (i) pretendan celebrar contratos con entidades estatales y (ii) el procedimiento de </w:t>
      </w:r>
      <w:r w:rsidRPr="00E16D4F">
        <w:rPr>
          <w:rFonts w:ascii="Verdana" w:hAnsi="Verdana" w:cs="Arial"/>
          <w:color w:val="000000" w:themeColor="text1"/>
          <w:lang w:val="es-ES"/>
        </w:rPr>
        <w:lastRenderedPageBreak/>
        <w:t>selección no se encuentre dentro de los casos exceptuados de dicha obligación, conforme a lo previsto en el inciso segundo del mismo artículo</w:t>
      </w:r>
      <w:r w:rsidRPr="00DA67B3">
        <w:rPr>
          <w:rFonts w:ascii="Verdana" w:hAnsi="Verdana" w:cs="Arial"/>
          <w:color w:val="000000" w:themeColor="text1"/>
          <w:vertAlign w:val="superscript"/>
          <w:lang w:val="es-ES"/>
        </w:rPr>
        <w:footnoteReference w:id="10"/>
      </w:r>
      <w:r w:rsidRPr="00E16D4F">
        <w:rPr>
          <w:rFonts w:ascii="Verdana" w:hAnsi="Verdana" w:cs="Arial"/>
          <w:color w:val="000000" w:themeColor="text1"/>
          <w:lang w:val="es-ES"/>
        </w:rPr>
        <w:t>.</w:t>
      </w:r>
      <w:r>
        <w:rPr>
          <w:rFonts w:ascii="Verdana" w:hAnsi="Verdana" w:cs="Arial"/>
          <w:color w:val="000000" w:themeColor="text1"/>
          <w:lang w:val="es-ES"/>
        </w:rPr>
        <w:t xml:space="preserve"> </w:t>
      </w:r>
    </w:p>
    <w:p w14:paraId="13292DA6" w14:textId="77777777" w:rsidR="00DB1299" w:rsidRDefault="00DB1299" w:rsidP="00DB1299">
      <w:pPr>
        <w:spacing w:after="120" w:line="276" w:lineRule="auto"/>
        <w:ind w:firstLine="708"/>
        <w:jc w:val="both"/>
        <w:rPr>
          <w:rFonts w:ascii="Verdana" w:hAnsi="Verdana" w:cs="Arial"/>
          <w:color w:val="000000" w:themeColor="text1"/>
          <w:lang w:val="es-ES"/>
        </w:rPr>
      </w:pPr>
      <w:r w:rsidRPr="00DA67B3">
        <w:rPr>
          <w:rFonts w:ascii="Verdana" w:hAnsi="Verdana" w:cs="Arial"/>
          <w:color w:val="000000" w:themeColor="text1"/>
          <w:lang w:val="es-ES"/>
        </w:rPr>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p>
    <w:p w14:paraId="2DC8ED4E" w14:textId="77777777" w:rsidR="00DB1299" w:rsidRDefault="00DB1299" w:rsidP="00DB1299">
      <w:pPr>
        <w:spacing w:after="120" w:line="276" w:lineRule="auto"/>
        <w:ind w:firstLine="708"/>
        <w:jc w:val="both"/>
        <w:rPr>
          <w:rFonts w:ascii="Verdana" w:hAnsi="Verdana"/>
          <w:lang w:val="es-ES"/>
        </w:rPr>
      </w:pPr>
      <w:r w:rsidRPr="00820371">
        <w:rPr>
          <w:rFonts w:ascii="Verdana" w:hAnsi="Verdana"/>
          <w:lang w:val="es-ES"/>
        </w:rPr>
        <w:t>En el mismo sentido, las disposiciones reglamentarias contenidas en el Decreto 1082 de 2015 precisan los aspectos operativos relacionados con el RUP, al establecer quiénes deben inscribirse, el momento y condiciones para su renovación, la información susceptible de actualización, así como la posibilidad de solicitar la cancelación de la inscripción en cualquier momento ante la Cámara de Comercio competente</w:t>
      </w:r>
      <w:r w:rsidRPr="00DA67B3">
        <w:rPr>
          <w:rFonts w:ascii="Verdana" w:hAnsi="Verdana" w:cs="Arial"/>
          <w:color w:val="000000" w:themeColor="text1"/>
          <w:vertAlign w:val="superscript"/>
          <w:lang w:val="es-ES"/>
        </w:rPr>
        <w:footnoteReference w:id="11"/>
      </w:r>
      <w:r w:rsidRPr="00820371">
        <w:rPr>
          <w:rFonts w:ascii="Verdana" w:hAnsi="Verdana"/>
          <w:lang w:val="es-ES"/>
        </w:rPr>
        <w:t>.</w:t>
      </w:r>
    </w:p>
    <w:p w14:paraId="1044A56D" w14:textId="77777777" w:rsidR="00DB1299" w:rsidRDefault="00DB1299" w:rsidP="00DB1299">
      <w:pPr>
        <w:spacing w:after="120" w:line="276" w:lineRule="auto"/>
        <w:ind w:firstLine="708"/>
        <w:jc w:val="both"/>
        <w:rPr>
          <w:rFonts w:ascii="Verdana" w:hAnsi="Verdana"/>
          <w:lang w:val="es-ES"/>
        </w:rPr>
      </w:pPr>
      <w:r w:rsidRPr="00557E38">
        <w:rPr>
          <w:rFonts w:ascii="Verdana" w:hAnsi="Verdana"/>
          <w:lang w:val="es-ES"/>
        </w:rPr>
        <w:t>Conforme a lo anterior, el Registro Único de Proponentes –RUP– constituye plena prueba de las circunstancias que en él consten y que hayan sido verificadas por las Cámaras de Comercio. En consecuencia, cuando su exigencia resulte aplicable, es a través de este documento que las entidades estatales deben verificar las condiciones previstas en el numeral 1 del artículo 5 de la Ley 1150 de 2007.</w:t>
      </w:r>
    </w:p>
    <w:p w14:paraId="348B0324" w14:textId="77777777" w:rsidR="00DB1299" w:rsidRDefault="00DB1299" w:rsidP="00DB1299">
      <w:pPr>
        <w:spacing w:after="120" w:line="276" w:lineRule="auto"/>
        <w:ind w:firstLine="708"/>
        <w:jc w:val="both"/>
        <w:rPr>
          <w:rFonts w:ascii="Verdana" w:hAnsi="Verdana"/>
          <w:lang w:val="es-ES"/>
        </w:rPr>
      </w:pPr>
      <w:r w:rsidRPr="00AB60C8">
        <w:rPr>
          <w:rFonts w:ascii="Verdana" w:hAnsi="Verdana"/>
          <w:lang w:val="es-ES"/>
        </w:rPr>
        <w:t xml:space="preserve">En contraste, cuando por las características del objeto a contratar y con la finalidad de acreditar los aspectos necesarios para la escogencia del proponente, se requieran verificar requisitos o información adicional a los </w:t>
      </w:r>
      <w:r w:rsidRPr="00AB60C8">
        <w:rPr>
          <w:rFonts w:ascii="Verdana" w:hAnsi="Verdana"/>
          <w:lang w:val="es-ES"/>
        </w:rPr>
        <w:lastRenderedPageBreak/>
        <w:t>contenidos en el RUP, las entidades deben hacer la verificación de forma directa. Esto también sucede en los procedimientos de selección en los cuales no es exigible el RUP, de acuerdo con lo establecido en el inciso segundo del artículo 6 de la Ley 1150 de 2007</w:t>
      </w:r>
      <w:r w:rsidRPr="00DA67B3">
        <w:rPr>
          <w:rFonts w:ascii="Verdana" w:eastAsia="Calibri" w:hAnsi="Verdana" w:cs="Arial"/>
          <w:vertAlign w:val="superscript"/>
          <w:lang w:val="es-ES"/>
        </w:rPr>
        <w:footnoteReference w:id="12"/>
      </w:r>
      <w:r w:rsidRPr="00AB60C8">
        <w:rPr>
          <w:rFonts w:ascii="Verdana" w:hAnsi="Verdana"/>
          <w:lang w:val="es-ES"/>
        </w:rPr>
        <w:t xml:space="preserve">. </w:t>
      </w:r>
    </w:p>
    <w:p w14:paraId="54044CED" w14:textId="77777777" w:rsidR="00DB1299" w:rsidRPr="00AB60C8" w:rsidRDefault="00DB1299" w:rsidP="00DB1299">
      <w:pPr>
        <w:spacing w:after="120" w:line="276" w:lineRule="auto"/>
        <w:ind w:firstLine="708"/>
        <w:jc w:val="both"/>
        <w:rPr>
          <w:rFonts w:ascii="Verdana" w:hAnsi="Verdana"/>
          <w:lang w:val="es-ES"/>
        </w:rPr>
      </w:pPr>
      <w:r w:rsidRPr="004C543B">
        <w:rPr>
          <w:rFonts w:ascii="Verdana" w:hAnsi="Verdana"/>
          <w:lang w:val="es-ES"/>
        </w:rPr>
        <w:t>En ambos supuestos, la entidad estatal, en ejercicio de su autonomía y potestad de dirección en materia contractual, deberá precisar en los Documentos del Proceso —particularmente en el pliego de condiciones o la invitación— los documentos o medios de prueba que exigirá a los proponentes para acreditar las circunstancias necesarias.</w:t>
      </w:r>
    </w:p>
    <w:p w14:paraId="4407F990" w14:textId="77777777" w:rsidR="00DB1299" w:rsidRDefault="00DB1299" w:rsidP="00DB1299">
      <w:pPr>
        <w:spacing w:after="0" w:line="276" w:lineRule="auto"/>
        <w:ind w:firstLine="708"/>
        <w:jc w:val="both"/>
        <w:rPr>
          <w:rFonts w:ascii="Verdana" w:hAnsi="Verdana"/>
          <w:lang w:val="es-ES"/>
        </w:rPr>
      </w:pPr>
      <w:r>
        <w:rPr>
          <w:rFonts w:ascii="Verdana" w:hAnsi="Verdana"/>
          <w:lang w:val="es-ES"/>
        </w:rPr>
        <w:t>De otro lado</w:t>
      </w:r>
      <w:r w:rsidRPr="00A91777">
        <w:rPr>
          <w:rFonts w:ascii="Verdana" w:hAnsi="Verdana"/>
          <w:lang w:val="es-ES"/>
        </w:rPr>
        <w:t xml:space="preserve">, el numeral 1.2 del artículo 2.2.1.1.1.5.2 del Decreto 1082 de 2015 establece los documentos necesarios para acreditar la experiencia en el Registro Único de Proponentes –RUP–, en los siguientes términos: </w:t>
      </w:r>
    </w:p>
    <w:p w14:paraId="00FDDE83" w14:textId="77777777" w:rsidR="00DB1299" w:rsidRDefault="00DB1299" w:rsidP="00DB1299">
      <w:pPr>
        <w:spacing w:after="0" w:line="276" w:lineRule="auto"/>
        <w:ind w:firstLine="708"/>
        <w:jc w:val="both"/>
        <w:rPr>
          <w:rFonts w:ascii="Verdana" w:hAnsi="Verdana"/>
          <w:lang w:val="es-ES"/>
        </w:rPr>
      </w:pPr>
    </w:p>
    <w:p w14:paraId="264DE8DC" w14:textId="77777777" w:rsidR="00DB1299" w:rsidRDefault="00DB1299" w:rsidP="00DB1299">
      <w:pPr>
        <w:tabs>
          <w:tab w:val="left" w:pos="8505"/>
        </w:tabs>
        <w:ind w:left="709" w:right="709"/>
        <w:contextualSpacing/>
        <w:jc w:val="both"/>
        <w:rPr>
          <w:rFonts w:ascii="Verdana" w:hAnsi="Verdana" w:cs="Arial"/>
          <w:color w:val="000000" w:themeColor="text1"/>
          <w:sz w:val="21"/>
          <w:szCs w:val="21"/>
        </w:rPr>
      </w:pPr>
      <w:r w:rsidRPr="00A91777">
        <w:rPr>
          <w:rFonts w:ascii="Verdana" w:hAnsi="Verdana" w:cs="Arial"/>
          <w:color w:val="000000" w:themeColor="text1"/>
          <w:sz w:val="21"/>
          <w:szCs w:val="21"/>
        </w:rPr>
        <w:t>“Certificados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pueda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15EB0C47" w14:textId="77777777" w:rsidR="00DB1299" w:rsidRDefault="00DB1299" w:rsidP="00DB1299">
      <w:pPr>
        <w:spacing w:after="0" w:line="276" w:lineRule="auto"/>
        <w:ind w:firstLine="708"/>
        <w:jc w:val="both"/>
        <w:rPr>
          <w:rFonts w:ascii="Verdana" w:eastAsia="Calibri" w:hAnsi="Verdana" w:cs="Arial"/>
          <w:bCs/>
          <w:lang w:val="es-ES" w:eastAsia="es-ES_tradnl"/>
        </w:rPr>
      </w:pPr>
    </w:p>
    <w:p w14:paraId="7542C24A" w14:textId="77777777" w:rsidR="00DB1299" w:rsidRDefault="00DB1299" w:rsidP="00DB1299">
      <w:pPr>
        <w:spacing w:after="120" w:line="276" w:lineRule="auto"/>
        <w:ind w:firstLine="708"/>
        <w:jc w:val="both"/>
        <w:rPr>
          <w:rFonts w:ascii="Verdana" w:eastAsia="Calibri" w:hAnsi="Verdana" w:cs="Arial"/>
          <w:bCs/>
          <w:lang w:val="es-ES" w:eastAsia="es-ES_tradnl"/>
        </w:rPr>
      </w:pPr>
      <w:r w:rsidRPr="00487AC1">
        <w:rPr>
          <w:rFonts w:ascii="Verdana" w:eastAsia="Calibri" w:hAnsi="Verdana" w:cs="Arial"/>
          <w:bCs/>
          <w:lang w:val="es-ES" w:eastAsia="es-ES_tradnl"/>
        </w:rPr>
        <w:t>Esta disposición delimita los medios idóneos para acreditar la experiencia ante las Cámaras de Comercio, permitiendo tanto los certificados expedidos por el contratante como, en su defecto, las copias de los contratos ejecutados, siempre que se identifique claramente el objeto del servicio conforme al Clasificador de Bienes y Servicios.</w:t>
      </w:r>
    </w:p>
    <w:p w14:paraId="1D2485D0" w14:textId="77777777" w:rsidR="00DB1299" w:rsidRDefault="00DB1299" w:rsidP="00DB1299">
      <w:pPr>
        <w:spacing w:after="0" w:line="276" w:lineRule="auto"/>
        <w:jc w:val="both"/>
        <w:rPr>
          <w:rFonts w:ascii="Verdana" w:eastAsia="Calibri" w:hAnsi="Verdana" w:cs="Arial"/>
          <w:bCs/>
          <w:color w:val="000000" w:themeColor="text1"/>
        </w:rPr>
      </w:pPr>
      <w:r>
        <w:rPr>
          <w:rFonts w:ascii="Verdana" w:eastAsia="Calibri" w:hAnsi="Verdana" w:cs="Arial"/>
        </w:rPr>
        <w:t xml:space="preserve">            </w:t>
      </w:r>
      <w:r w:rsidRPr="004F345C">
        <w:rPr>
          <w:rFonts w:ascii="Verdana" w:eastAsia="Calibri" w:hAnsi="Verdana" w:cs="Arial"/>
        </w:rPr>
        <w:t xml:space="preserve">Por lo tanto, como principio general, la información registrada en el RUP es suficiente para acreditar la experiencia y habilitar a los proponentes en los procesos de contratación estatal en los que dicho registro es exigible, y cualquier </w:t>
      </w:r>
      <w:r w:rsidRPr="004F345C">
        <w:rPr>
          <w:rFonts w:ascii="Verdana" w:eastAsia="Calibri" w:hAnsi="Verdana" w:cs="Arial"/>
        </w:rPr>
        <w:lastRenderedPageBreak/>
        <w:t>exigencia adicional debe responder a una necesidad objetiva, razonable y proporcional, orientada exclusivamente a garantizar la adecuada ejecución del objeto contractual y no a restringir la competencia</w:t>
      </w:r>
      <w:r>
        <w:rPr>
          <w:rFonts w:ascii="Verdana" w:eastAsia="Calibri" w:hAnsi="Verdana" w:cs="Arial"/>
        </w:rPr>
        <w:t>.</w:t>
      </w:r>
    </w:p>
    <w:p w14:paraId="1D2E2E3E" w14:textId="77777777" w:rsidR="00DB1299" w:rsidRDefault="00DB1299" w:rsidP="00DB1299">
      <w:pPr>
        <w:spacing w:line="276" w:lineRule="auto"/>
        <w:contextualSpacing/>
        <w:jc w:val="both"/>
        <w:rPr>
          <w:rFonts w:ascii="Verdana" w:eastAsia="Calibri" w:hAnsi="Verdana" w:cs="Arial"/>
          <w:bCs/>
          <w:color w:val="000000" w:themeColor="text1"/>
        </w:rPr>
      </w:pPr>
    </w:p>
    <w:p w14:paraId="0FB0C469" w14:textId="77777777" w:rsidR="00DB1299" w:rsidRDefault="00DB1299" w:rsidP="00DB1299">
      <w:pPr>
        <w:spacing w:line="276" w:lineRule="auto"/>
        <w:contextualSpacing/>
        <w:jc w:val="both"/>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0B6BB95A" w14:textId="77777777" w:rsidR="00DB1299" w:rsidRDefault="00DB1299" w:rsidP="00DB1299">
      <w:pPr>
        <w:spacing w:line="276" w:lineRule="auto"/>
        <w:contextualSpacing/>
        <w:jc w:val="both"/>
        <w:rPr>
          <w:rFonts w:ascii="Verdana" w:eastAsia="Calibri" w:hAnsi="Verdana" w:cs="Times New Roman"/>
          <w:lang w:val="es-ES"/>
        </w:rPr>
      </w:pPr>
    </w:p>
    <w:p w14:paraId="3EB276EE" w14:textId="77777777" w:rsidR="00DB1299" w:rsidRDefault="00DB1299" w:rsidP="00DB1299">
      <w:pPr>
        <w:spacing w:after="0" w:line="276" w:lineRule="auto"/>
        <w:jc w:val="both"/>
        <w:rPr>
          <w:rFonts w:ascii="Verdana" w:eastAsia="Calibri" w:hAnsi="Verdana" w:cs="Arial"/>
          <w:shd w:val="clear" w:color="auto" w:fill="FFFFFF"/>
        </w:rPr>
      </w:pPr>
      <w:r>
        <w:rPr>
          <w:rFonts w:ascii="Verdana" w:eastAsia="Calibri" w:hAnsi="Verdana" w:cs="Times New Roman"/>
          <w:lang w:val="es-ES"/>
        </w:rPr>
        <w:t xml:space="preserve">            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eastAsia="Calibri" w:hAnsi="Verdana" w:cs="Times New Roman"/>
          <w:lang w:val="es-ES"/>
        </w:rPr>
        <w:t>s</w:t>
      </w:r>
      <w:r w:rsidRPr="00DB4737">
        <w:rPr>
          <w:rFonts w:ascii="Verdana" w:eastAsia="Calibri" w:hAnsi="Verdana" w:cs="Times New Roman"/>
          <w:lang w:val="es-ES"/>
        </w:rPr>
        <w:t>.</w:t>
      </w:r>
    </w:p>
    <w:p w14:paraId="5F895C01" w14:textId="77777777" w:rsidR="00DB1299" w:rsidRDefault="00DB1299" w:rsidP="00DB1299">
      <w:pPr>
        <w:spacing w:after="0" w:line="276" w:lineRule="auto"/>
        <w:jc w:val="both"/>
        <w:rPr>
          <w:rFonts w:ascii="Verdana" w:eastAsia="Calibri" w:hAnsi="Verdana" w:cs="Arial"/>
          <w:shd w:val="clear" w:color="auto" w:fill="FFFFFF"/>
        </w:rPr>
      </w:pPr>
    </w:p>
    <w:p w14:paraId="339B8082" w14:textId="77777777" w:rsidR="00DB1299" w:rsidRPr="00115E3D" w:rsidRDefault="00DB1299" w:rsidP="00DB129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6F9DD583" w14:textId="77777777" w:rsidR="00DB1299" w:rsidRPr="00115E3D" w:rsidRDefault="00DB1299" w:rsidP="00DB1299">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1299" w:rsidRPr="00115E3D" w14:paraId="3A80F46A" w14:textId="77777777" w:rsidTr="009670B4">
        <w:trPr>
          <w:trHeight w:val="335"/>
        </w:trPr>
        <w:tc>
          <w:tcPr>
            <w:tcW w:w="8647" w:type="dxa"/>
          </w:tcPr>
          <w:p w14:paraId="1514FE13" w14:textId="77777777" w:rsidR="00DB1299" w:rsidRPr="00DA67B3" w:rsidRDefault="00DB1299" w:rsidP="00DB1299">
            <w:pPr>
              <w:widowControl w:val="0"/>
              <w:numPr>
                <w:ilvl w:val="0"/>
                <w:numId w:val="17"/>
              </w:numPr>
              <w:autoSpaceDE w:val="0"/>
              <w:autoSpaceDN w:val="0"/>
              <w:spacing w:line="276" w:lineRule="auto"/>
              <w:contextualSpacing/>
              <w:jc w:val="both"/>
              <w:rPr>
                <w:rFonts w:ascii="Verdana" w:hAnsi="Verdana" w:cs="Arial"/>
                <w:lang w:val="es-ES"/>
              </w:rPr>
            </w:pPr>
            <w:r w:rsidRPr="00DA67B3">
              <w:rPr>
                <w:rFonts w:ascii="Verdana" w:hAnsi="Verdana" w:cs="Arial"/>
                <w:lang w:val="es-ES"/>
              </w:rPr>
              <w:t>Ley 1150 de 2007, artículos 5 y 6.</w:t>
            </w:r>
          </w:p>
          <w:p w14:paraId="6163DF90" w14:textId="77777777" w:rsidR="00DB1299" w:rsidRPr="00DA67B3" w:rsidRDefault="00DB1299" w:rsidP="00DB1299">
            <w:pPr>
              <w:widowControl w:val="0"/>
              <w:numPr>
                <w:ilvl w:val="0"/>
                <w:numId w:val="17"/>
              </w:numPr>
              <w:autoSpaceDE w:val="0"/>
              <w:autoSpaceDN w:val="0"/>
              <w:spacing w:line="276" w:lineRule="auto"/>
              <w:contextualSpacing/>
              <w:jc w:val="both"/>
              <w:rPr>
                <w:rFonts w:ascii="Verdana" w:hAnsi="Verdana" w:cs="Arial"/>
                <w:lang w:val="es-ES"/>
              </w:rPr>
            </w:pPr>
            <w:r w:rsidRPr="00DA67B3">
              <w:rPr>
                <w:rFonts w:ascii="Verdana" w:hAnsi="Verdana" w:cs="Arial"/>
                <w:lang w:val="es-ES"/>
              </w:rPr>
              <w:t>Decreto 1082 de 2015, artículos 2.2.1.1.1.5.1. y 2.2.1.1.1.5.2.</w:t>
            </w:r>
          </w:p>
          <w:p w14:paraId="4F848E26" w14:textId="77777777" w:rsidR="00DB1299" w:rsidRPr="00DA67B3" w:rsidRDefault="00DB1299" w:rsidP="00DB1299">
            <w:pPr>
              <w:widowControl w:val="0"/>
              <w:numPr>
                <w:ilvl w:val="0"/>
                <w:numId w:val="17"/>
              </w:numPr>
              <w:autoSpaceDE w:val="0"/>
              <w:autoSpaceDN w:val="0"/>
              <w:spacing w:line="276" w:lineRule="auto"/>
              <w:contextualSpacing/>
              <w:jc w:val="both"/>
              <w:rPr>
                <w:rFonts w:ascii="Verdana" w:hAnsi="Verdana" w:cs="Arial"/>
                <w:lang w:val="es-ES"/>
              </w:rPr>
            </w:pPr>
            <w:r w:rsidRPr="00DA67B3">
              <w:rPr>
                <w:rFonts w:ascii="Verdana" w:hAnsi="Verdana" w:cs="Arial"/>
              </w:rPr>
              <w:t>Consejo de Estado. Sección Tercera. Subsección B. Sentencia del 6 de junio de 2013. Exp. 25151. C.P. Stella Conto Díaz del Castillo.</w:t>
            </w:r>
          </w:p>
          <w:p w14:paraId="2B4E24CB" w14:textId="77777777" w:rsidR="00DB1299" w:rsidRPr="00DA67B3" w:rsidRDefault="00DB1299" w:rsidP="00DB1299">
            <w:pPr>
              <w:widowControl w:val="0"/>
              <w:numPr>
                <w:ilvl w:val="0"/>
                <w:numId w:val="17"/>
              </w:numPr>
              <w:autoSpaceDE w:val="0"/>
              <w:autoSpaceDN w:val="0"/>
              <w:spacing w:line="276" w:lineRule="auto"/>
              <w:contextualSpacing/>
              <w:jc w:val="both"/>
              <w:rPr>
                <w:rFonts w:ascii="Verdana" w:hAnsi="Verdana" w:cs="Arial"/>
                <w:lang w:val="es-ES"/>
              </w:rPr>
            </w:pPr>
            <w:r w:rsidRPr="00DA67B3">
              <w:rPr>
                <w:rFonts w:ascii="Verdana" w:hAnsi="Verdana" w:cs="Arial"/>
                <w:lang w:val="es-ES"/>
              </w:rPr>
              <w:t>Consejo de Estado. Sección Tercera. Subsección A. Sentencia del 12 de febrero de 2014. Exp. 31.753. C.P. Mauricio Fajardo Gómez.</w:t>
            </w:r>
          </w:p>
          <w:p w14:paraId="6FE6432E" w14:textId="77777777" w:rsidR="00DB1299" w:rsidRPr="00DA67B3" w:rsidRDefault="00DB1299" w:rsidP="00DB1299">
            <w:pPr>
              <w:widowControl w:val="0"/>
              <w:numPr>
                <w:ilvl w:val="0"/>
                <w:numId w:val="17"/>
              </w:numPr>
              <w:autoSpaceDE w:val="0"/>
              <w:autoSpaceDN w:val="0"/>
              <w:spacing w:line="276" w:lineRule="auto"/>
              <w:contextualSpacing/>
              <w:jc w:val="both"/>
              <w:rPr>
                <w:rFonts w:ascii="Verdana" w:hAnsi="Verdana" w:cs="Arial"/>
                <w:lang w:val="es-ES"/>
              </w:rPr>
            </w:pPr>
            <w:r w:rsidRPr="00DA67B3">
              <w:rPr>
                <w:rFonts w:ascii="Verdana" w:hAnsi="Verdana" w:cs="Arial"/>
                <w:lang w:val="es-ES"/>
              </w:rPr>
              <w:t>Consejo de Estado. Sala de Consulta y Servicio Civil. Consulta del 20 de mayo de 2010. Exp.1992. C. P. Enrique José Arboleda Perdomo</w:t>
            </w:r>
          </w:p>
          <w:p w14:paraId="6FAC27D4" w14:textId="77777777" w:rsidR="00DB1299" w:rsidRPr="00D81159" w:rsidRDefault="00DB1299" w:rsidP="009670B4">
            <w:pPr>
              <w:pStyle w:val="Prrafodelista"/>
              <w:widowControl w:val="0"/>
              <w:autoSpaceDE w:val="0"/>
              <w:autoSpaceDN w:val="0"/>
              <w:contextualSpacing w:val="0"/>
              <w:jc w:val="both"/>
              <w:rPr>
                <w:rFonts w:ascii="Verdana" w:hAnsi="Verdana" w:cs="Arial"/>
              </w:rPr>
            </w:pPr>
            <w:r w:rsidRPr="00DA67B3">
              <w:rPr>
                <w:rFonts w:ascii="Verdana" w:hAnsi="Verdana" w:cs="Arial"/>
              </w:rPr>
              <w:t>DÁVILA VINUEZA, Luis Guillermo. Régimen jurídico de la contratación estatal. Tercera edición, Bogotá: Legis, 2016.</w:t>
            </w:r>
          </w:p>
        </w:tc>
      </w:tr>
    </w:tbl>
    <w:p w14:paraId="002D5EDA" w14:textId="77777777" w:rsidR="00DB1299" w:rsidRPr="00115E3D" w:rsidRDefault="00DB1299" w:rsidP="00DB1299">
      <w:pPr>
        <w:widowControl w:val="0"/>
        <w:autoSpaceDE w:val="0"/>
        <w:autoSpaceDN w:val="0"/>
        <w:spacing w:after="0" w:line="276" w:lineRule="auto"/>
        <w:jc w:val="both"/>
        <w:rPr>
          <w:rFonts w:ascii="Verdana" w:hAnsi="Verdana" w:cs="Arial"/>
          <w:color w:val="000000" w:themeColor="text1"/>
        </w:rPr>
      </w:pPr>
    </w:p>
    <w:p w14:paraId="679C8A97" w14:textId="77777777" w:rsidR="00DB1299" w:rsidRPr="00115E3D" w:rsidRDefault="00DB1299" w:rsidP="00DB129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7B7DA1F0" w14:textId="77777777" w:rsidR="00DB1299" w:rsidRPr="00115E3D" w:rsidRDefault="00DB1299" w:rsidP="00DB1299">
      <w:pPr>
        <w:widowControl w:val="0"/>
        <w:autoSpaceDE w:val="0"/>
        <w:autoSpaceDN w:val="0"/>
        <w:spacing w:after="0" w:line="276" w:lineRule="auto"/>
        <w:jc w:val="both"/>
        <w:rPr>
          <w:rFonts w:ascii="Verdana" w:hAnsi="Verdana" w:cs="Arial"/>
          <w:color w:val="000000" w:themeColor="text1"/>
        </w:rPr>
      </w:pPr>
    </w:p>
    <w:p w14:paraId="1DBA6FAC" w14:textId="77777777" w:rsidR="00DB1299" w:rsidRPr="00AB5151" w:rsidRDefault="00DB1299" w:rsidP="00DB1299">
      <w:pPr>
        <w:widowControl w:val="0"/>
        <w:autoSpaceDE w:val="0"/>
        <w:autoSpaceDN w:val="0"/>
        <w:spacing w:after="0" w:line="276" w:lineRule="auto"/>
        <w:jc w:val="both"/>
        <w:rPr>
          <w:rStyle w:val="normaltextrun"/>
          <w:rFonts w:ascii="Verdana" w:hAnsi="Verdana" w:cs="Arial"/>
          <w:shd w:val="clear" w:color="auto" w:fill="FFFFFF"/>
          <w:lang w:val="es-ES"/>
        </w:rPr>
      </w:pPr>
      <w:r w:rsidRPr="00DA67B3">
        <w:rPr>
          <w:rFonts w:ascii="Verdana" w:eastAsia="Calibri" w:hAnsi="Verdana" w:cs="Arial"/>
          <w:lang w:val="es-ES_tradnl" w:eastAsia="es-ES_tradnl"/>
        </w:rPr>
        <w:t xml:space="preserve">Sobre la experiencia </w:t>
      </w:r>
      <w:r>
        <w:rPr>
          <w:rFonts w:ascii="Verdana" w:eastAsia="Calibri" w:hAnsi="Verdana" w:cs="Arial"/>
          <w:lang w:val="es-ES_tradnl" w:eastAsia="es-ES_tradnl"/>
        </w:rPr>
        <w:t xml:space="preserve">y requisitos habilitantes, esta Subdirección se ha pronunciado en los conceptos </w:t>
      </w:r>
      <w:r w:rsidRPr="00D870F2">
        <w:rPr>
          <w:rFonts w:ascii="Verdana" w:hAnsi="Verdana" w:cs="Arial"/>
          <w:bCs/>
          <w:shd w:val="clear" w:color="auto" w:fill="FFFFFF"/>
          <w:lang w:val="es-ES"/>
        </w:rPr>
        <w:t xml:space="preserve">C-868 del 19 de diciembre de 2022, C-877 del 26 de diciembre de 2022, C-417 del 27 de septiembre de 2023, C-432 del 23 de octubre de 2023, C-174 del 23 de julio de 2024, C- 530 del 4 de octubre de 2024, C-595 del 24 de octubre 2024, C-648 del 6 de noviembre 2024, C-116 del 11 de marzo de 2025, </w:t>
      </w:r>
      <w:r>
        <w:rPr>
          <w:rFonts w:ascii="Verdana" w:hAnsi="Verdana" w:cs="Arial"/>
          <w:bCs/>
          <w:shd w:val="clear" w:color="auto" w:fill="FFFFFF"/>
          <w:lang w:val="es-ES"/>
        </w:rPr>
        <w:t xml:space="preserve">C-275 del 10 de abril de 2025, </w:t>
      </w:r>
      <w:r w:rsidRPr="00D870F2">
        <w:rPr>
          <w:rFonts w:ascii="Verdana" w:hAnsi="Verdana" w:cs="Arial"/>
          <w:bCs/>
          <w:shd w:val="clear" w:color="auto" w:fill="FFFFFF"/>
          <w:lang w:val="es-ES"/>
        </w:rPr>
        <w:t xml:space="preserve">C- 397 del 7 de mayo de 2025, </w:t>
      </w:r>
      <w:r>
        <w:rPr>
          <w:rFonts w:ascii="Verdana" w:hAnsi="Verdana" w:cs="Arial"/>
          <w:bCs/>
          <w:shd w:val="clear" w:color="auto" w:fill="FFFFFF"/>
          <w:lang w:val="es-ES"/>
        </w:rPr>
        <w:t>C-659 del 7 de julio de 2025, C-1355 del 29 de octubre de 2025, entre otros</w:t>
      </w:r>
      <w:r w:rsidRPr="000F3B46">
        <w:rPr>
          <w:rFonts w:ascii="Verdana" w:eastAsia="Calibri" w:hAnsi="Verdana" w:cs="Arial"/>
          <w:shd w:val="clear" w:color="auto" w:fill="FFFFFF"/>
          <w:lang w:val="es-ES"/>
        </w:rPr>
        <w:t xml:space="preserve">. </w:t>
      </w:r>
      <w:r w:rsidRPr="000F3B46">
        <w:rPr>
          <w:rStyle w:val="normaltextrun"/>
          <w:rFonts w:ascii="Verdana" w:hAnsi="Verdana" w:cs="Arial"/>
          <w:shd w:val="clear" w:color="auto" w:fill="FFFFFF"/>
          <w:lang w:val="es-ES"/>
        </w:rPr>
        <w:t>Es</w:t>
      </w:r>
      <w:r w:rsidRPr="000F3B46">
        <w:rPr>
          <w:rFonts w:ascii="Verdana" w:hAnsi="Verdana"/>
        </w:rPr>
        <w:t>tos y otros conceptos se encuentran disponibles para consulta en el Sistema</w:t>
      </w:r>
      <w:r w:rsidRPr="00AB5151">
        <w:rPr>
          <w:rFonts w:ascii="Verdana" w:hAnsi="Verdana"/>
        </w:rPr>
        <w:t xml:space="preserve"> de relatoría de la Agencia, al cual se puede acceder a través del siguiente enlace:</w:t>
      </w:r>
      <w:r w:rsidRPr="00AB5151">
        <w:rPr>
          <w:rStyle w:val="normaltextrun"/>
          <w:rFonts w:ascii="Verdana" w:hAnsi="Verdana" w:cs="Arial"/>
          <w:shd w:val="clear" w:color="auto" w:fill="FFFFFF"/>
          <w:lang w:val="es-ES"/>
        </w:rPr>
        <w:t xml:space="preserve"> </w:t>
      </w:r>
      <w:hyperlink r:id="rId12" w:history="1">
        <w:r w:rsidRPr="00AB5151">
          <w:rPr>
            <w:rStyle w:val="Hipervnculo"/>
            <w:rFonts w:ascii="Verdana" w:hAnsi="Verdana" w:cs="Arial"/>
            <w:shd w:val="clear" w:color="auto" w:fill="FFFFFF"/>
            <w:lang w:val="es-ES"/>
          </w:rPr>
          <w:t>https://relatoria.colombiacompra.gov.co/busqueda/conceptos</w:t>
        </w:r>
      </w:hyperlink>
      <w:r w:rsidRPr="00AB5151">
        <w:rPr>
          <w:rStyle w:val="normaltextrun"/>
          <w:rFonts w:ascii="Verdana" w:hAnsi="Verdana" w:cs="Arial"/>
          <w:shd w:val="clear" w:color="auto" w:fill="FFFFFF"/>
          <w:lang w:val="es-ES"/>
        </w:rPr>
        <w:t xml:space="preserve">. </w:t>
      </w:r>
    </w:p>
    <w:p w14:paraId="145ADA27" w14:textId="77777777" w:rsidR="00DB1299" w:rsidRPr="00115E3D" w:rsidRDefault="00DB1299" w:rsidP="00DB1299">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7C6FB446" w14:textId="77777777" w:rsidR="00DB1299" w:rsidRPr="00115E3D" w:rsidRDefault="00DB1299" w:rsidP="00DB1299">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6463E4C7" w14:textId="77777777" w:rsidR="00DB1299" w:rsidRPr="00115E3D" w:rsidRDefault="00DB1299" w:rsidP="00DB1299">
      <w:pPr>
        <w:spacing w:after="0" w:line="240" w:lineRule="auto"/>
        <w:jc w:val="both"/>
        <w:rPr>
          <w:rFonts w:ascii="Verdana" w:hAnsi="Verdana"/>
          <w:color w:val="000000" w:themeColor="text1"/>
        </w:rPr>
      </w:pPr>
    </w:p>
    <w:p w14:paraId="674C902A" w14:textId="77777777" w:rsidR="00DB1299" w:rsidRPr="00115E3D" w:rsidRDefault="00DB1299" w:rsidP="00DB1299">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7F438E58" w14:textId="77777777" w:rsidR="00DB1299" w:rsidRPr="00115E3D" w:rsidRDefault="00DB1299" w:rsidP="00DB1299">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5DB8C62B" w14:textId="77777777" w:rsidR="00DB1299" w:rsidRPr="00115E3D" w:rsidRDefault="00DB1299" w:rsidP="00DB1299">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149757BC" w14:textId="77777777" w:rsidR="00DB1299" w:rsidRPr="00115E3D" w:rsidRDefault="00DB1299" w:rsidP="00DB1299">
      <w:pPr>
        <w:widowControl w:val="0"/>
        <w:autoSpaceDE w:val="0"/>
        <w:autoSpaceDN w:val="0"/>
        <w:spacing w:after="0" w:line="276" w:lineRule="auto"/>
        <w:jc w:val="both"/>
        <w:rPr>
          <w:rFonts w:ascii="Verdana" w:hAnsi="Verdana" w:cs="Arial"/>
          <w:color w:val="000000" w:themeColor="text1"/>
        </w:rPr>
      </w:pPr>
    </w:p>
    <w:p w14:paraId="0D0D814B" w14:textId="77777777" w:rsidR="00DB1299" w:rsidRPr="00115E3D" w:rsidRDefault="00DB1299" w:rsidP="00DB1299">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5A25E459" w14:textId="77777777" w:rsidR="00DB1299" w:rsidRPr="00115E3D" w:rsidRDefault="00DB1299" w:rsidP="00DB1299">
      <w:pPr>
        <w:widowControl w:val="0"/>
        <w:autoSpaceDE w:val="0"/>
        <w:autoSpaceDN w:val="0"/>
        <w:spacing w:after="0" w:line="276" w:lineRule="auto"/>
        <w:jc w:val="both"/>
        <w:rPr>
          <w:rFonts w:ascii="Verdana" w:hAnsi="Verdana" w:cs="Arial"/>
          <w:color w:val="000000" w:themeColor="text1"/>
        </w:rPr>
      </w:pPr>
    </w:p>
    <w:p w14:paraId="7AB61CD2" w14:textId="77777777" w:rsidR="00DB1299" w:rsidRPr="00115E3D" w:rsidRDefault="00DB1299" w:rsidP="00DB1299">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13B49ED7" w:rsidR="00C15139" w:rsidRPr="000E2B93" w:rsidRDefault="00FF5103" w:rsidP="00FF5103">
      <w:pPr>
        <w:spacing w:after="0" w:line="240" w:lineRule="auto"/>
        <w:jc w:val="center"/>
        <w:textAlignment w:val="baseline"/>
        <w:rPr>
          <w:rFonts w:ascii="Verdana" w:eastAsia="Verdana" w:hAnsi="Verdana" w:cs="Verdana"/>
          <w:lang w:eastAsia="es-CO"/>
        </w:rPr>
      </w:pPr>
      <w:r>
        <w:rPr>
          <w:noProof/>
        </w:rPr>
        <w:drawing>
          <wp:inline distT="0" distB="0" distL="0" distR="0" wp14:anchorId="3985E741" wp14:editId="708AEDD1">
            <wp:extent cx="3421380" cy="1468739"/>
            <wp:effectExtent l="0" t="0" r="7620" b="0"/>
            <wp:docPr id="14512892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26912" cy="1471114"/>
                    </a:xfrm>
                    <a:prstGeom prst="rect">
                      <a:avLst/>
                    </a:prstGeom>
                    <a:noFill/>
                    <a:ln>
                      <a:noFill/>
                    </a:ln>
                  </pic:spPr>
                </pic:pic>
              </a:graphicData>
            </a:graphic>
          </wp:inline>
        </w:drawing>
      </w:r>
    </w:p>
    <w:p w14:paraId="4AB69992" w14:textId="341388D7" w:rsidR="00C15139" w:rsidRDefault="00C15139" w:rsidP="00FF5103">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2859EA4B" w14:textId="77777777" w:rsidR="002A0DD0" w:rsidRPr="00E02524" w:rsidRDefault="002A0DD0" w:rsidP="30821638">
      <w:pPr>
        <w:spacing w:after="0"/>
        <w:jc w:val="both"/>
        <w:rPr>
          <w:rFonts w:ascii="Verdana" w:eastAsia="Verdana" w:hAnsi="Verdana" w:cs="Verdana"/>
          <w:b/>
          <w:bCs/>
          <w:lang w:val="es-MX"/>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878A0" w:rsidRPr="00115E3D" w14:paraId="64A491DE" w14:textId="77777777" w:rsidTr="009670B4">
        <w:trPr>
          <w:trHeight w:val="315"/>
        </w:trPr>
        <w:tc>
          <w:tcPr>
            <w:tcW w:w="893" w:type="dxa"/>
            <w:vAlign w:val="center"/>
            <w:hideMark/>
          </w:tcPr>
          <w:p w14:paraId="435A626E" w14:textId="77777777" w:rsidR="00C878A0" w:rsidRPr="00115E3D" w:rsidRDefault="00C878A0" w:rsidP="009670B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D7EFABC" w14:textId="77777777" w:rsidR="00C878A0" w:rsidRPr="00115E3D" w:rsidRDefault="00C878A0" w:rsidP="009670B4">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0B660A44" w14:textId="77777777" w:rsidR="00C878A0" w:rsidRPr="00115E3D" w:rsidRDefault="00C878A0" w:rsidP="009670B4">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C878A0" w:rsidRPr="00115E3D" w14:paraId="336599D1" w14:textId="77777777" w:rsidTr="009670B4">
        <w:trPr>
          <w:trHeight w:val="330"/>
        </w:trPr>
        <w:tc>
          <w:tcPr>
            <w:tcW w:w="893" w:type="dxa"/>
            <w:vAlign w:val="center"/>
            <w:hideMark/>
          </w:tcPr>
          <w:p w14:paraId="187CD036" w14:textId="77777777" w:rsidR="00C878A0" w:rsidRPr="00115E3D" w:rsidRDefault="00C878A0" w:rsidP="009670B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74C63F0" w14:textId="77777777" w:rsidR="00C878A0" w:rsidRPr="00B37171" w:rsidRDefault="00C878A0" w:rsidP="009670B4">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18A2AA22" w14:textId="77777777" w:rsidR="00C878A0" w:rsidRPr="00115E3D" w:rsidRDefault="00C878A0" w:rsidP="009670B4">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C878A0" w:rsidRPr="00115E3D" w14:paraId="1B53FFD1" w14:textId="77777777" w:rsidTr="009670B4">
        <w:trPr>
          <w:trHeight w:val="300"/>
        </w:trPr>
        <w:tc>
          <w:tcPr>
            <w:tcW w:w="893" w:type="dxa"/>
            <w:vAlign w:val="center"/>
          </w:tcPr>
          <w:p w14:paraId="5BCABAFE" w14:textId="77777777" w:rsidR="00C878A0" w:rsidRPr="00115E3D" w:rsidRDefault="00C878A0" w:rsidP="009670B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B749AD6" w14:textId="77777777" w:rsidR="00C878A0" w:rsidRPr="00115E3D" w:rsidRDefault="00C878A0" w:rsidP="009670B4">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1364C130" w14:textId="77777777" w:rsidR="00C878A0" w:rsidRPr="00115E3D" w:rsidRDefault="00C878A0" w:rsidP="009670B4">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bookmarkEnd w:id="0"/>
    </w:tbl>
    <w:p w14:paraId="0F293BF4" w14:textId="68E719B5" w:rsidR="00127233" w:rsidRPr="0015699B" w:rsidRDefault="00127233" w:rsidP="00C878A0">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07E9D4" w14:textId="77777777" w:rsidR="00353538" w:rsidRDefault="00353538" w:rsidP="004A1847">
      <w:pPr>
        <w:spacing w:after="0" w:line="240" w:lineRule="auto"/>
      </w:pPr>
      <w:r>
        <w:separator/>
      </w:r>
    </w:p>
  </w:endnote>
  <w:endnote w:type="continuationSeparator" w:id="0">
    <w:p w14:paraId="6AC22BE4" w14:textId="77777777" w:rsidR="00353538" w:rsidRDefault="00353538" w:rsidP="004A1847">
      <w:pPr>
        <w:spacing w:after="0" w:line="240" w:lineRule="auto"/>
      </w:pPr>
      <w:r>
        <w:continuationSeparator/>
      </w:r>
    </w:p>
  </w:endnote>
  <w:endnote w:type="continuationNotice" w:id="1">
    <w:p w14:paraId="38645904" w14:textId="77777777" w:rsidR="00353538" w:rsidRDefault="003535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1AD205" w14:textId="77777777" w:rsidR="00353538" w:rsidRDefault="00353538" w:rsidP="004A1847">
      <w:pPr>
        <w:spacing w:after="0" w:line="240" w:lineRule="auto"/>
      </w:pPr>
      <w:r>
        <w:separator/>
      </w:r>
    </w:p>
  </w:footnote>
  <w:footnote w:type="continuationSeparator" w:id="0">
    <w:p w14:paraId="7949E5AA" w14:textId="77777777" w:rsidR="00353538" w:rsidRDefault="00353538" w:rsidP="004A1847">
      <w:pPr>
        <w:spacing w:after="0" w:line="240" w:lineRule="auto"/>
      </w:pPr>
      <w:r>
        <w:continuationSeparator/>
      </w:r>
    </w:p>
  </w:footnote>
  <w:footnote w:type="continuationNotice" w:id="1">
    <w:p w14:paraId="504EC719" w14:textId="77777777" w:rsidR="00353538" w:rsidRDefault="00353538">
      <w:pPr>
        <w:spacing w:after="0" w:line="240" w:lineRule="auto"/>
      </w:pPr>
    </w:p>
  </w:footnote>
  <w:footnote w:id="2">
    <w:p w14:paraId="377C931C" w14:textId="77777777" w:rsidR="00DB1299" w:rsidRPr="00D6724E" w:rsidRDefault="00DB1299" w:rsidP="00DB1299">
      <w:pPr>
        <w:pStyle w:val="Textonotapie"/>
        <w:ind w:firstLine="708"/>
        <w:jc w:val="both"/>
        <w:rPr>
          <w:rFonts w:ascii="Verdana" w:hAnsi="Verdana" w:cs="Arial"/>
          <w:sz w:val="16"/>
          <w:szCs w:val="16"/>
          <w:lang w:val="es-CO"/>
        </w:rPr>
      </w:pPr>
      <w:r w:rsidRPr="00D6724E">
        <w:rPr>
          <w:rStyle w:val="Refdenotaalpie"/>
          <w:rFonts w:ascii="Verdana" w:hAnsi="Verdana" w:cs="Arial"/>
          <w:sz w:val="16"/>
          <w:szCs w:val="16"/>
        </w:rPr>
        <w:footnoteRef/>
      </w:r>
      <w:r w:rsidRPr="00D6724E">
        <w:rPr>
          <w:rFonts w:ascii="Verdana" w:hAnsi="Verdana" w:cs="Arial"/>
          <w:sz w:val="16"/>
          <w:szCs w:val="16"/>
        </w:rPr>
        <w:t xml:space="preserve"> </w:t>
      </w:r>
      <w:r w:rsidRPr="00D6724E">
        <w:rPr>
          <w:rFonts w:ascii="Verdana" w:hAnsi="Verdana" w:cs="Arial"/>
          <w:sz w:val="16"/>
          <w:szCs w:val="16"/>
          <w:lang w:val="es-CO"/>
        </w:rPr>
        <w:t>DÁVILA VINUEZA, Luis Guillermo. Régimen jurídico de la contratación estatal. Tercera edición, Bogotá: Legis, 2016. p. 355.</w:t>
      </w:r>
    </w:p>
  </w:footnote>
  <w:footnote w:id="3">
    <w:p w14:paraId="41246586" w14:textId="77777777" w:rsidR="00DB1299" w:rsidRPr="00D6724E" w:rsidRDefault="00DB1299" w:rsidP="00DB1299">
      <w:pPr>
        <w:pStyle w:val="Textonotapie"/>
        <w:ind w:firstLine="709"/>
        <w:contextualSpacing/>
        <w:jc w:val="both"/>
        <w:rPr>
          <w:rFonts w:ascii="Verdana" w:hAnsi="Verdana" w:cs="Arial"/>
          <w:sz w:val="16"/>
          <w:szCs w:val="16"/>
        </w:rPr>
      </w:pPr>
      <w:r w:rsidRPr="00D6724E">
        <w:rPr>
          <w:rStyle w:val="Refdenotaalpie"/>
          <w:rFonts w:ascii="Verdana" w:hAnsi="Verdana" w:cs="Arial"/>
          <w:sz w:val="16"/>
          <w:szCs w:val="16"/>
        </w:rPr>
        <w:footnoteRef/>
      </w:r>
      <w:r w:rsidRPr="00D6724E">
        <w:rPr>
          <w:rStyle w:val="Refdenotaalpie"/>
          <w:rFonts w:ascii="Verdana" w:hAnsi="Verdana" w:cs="Arial"/>
          <w:sz w:val="16"/>
          <w:szCs w:val="16"/>
        </w:rPr>
        <w:t xml:space="preserve"> </w:t>
      </w:r>
      <w:r w:rsidRPr="00D6724E">
        <w:rPr>
          <w:rFonts w:ascii="Verdana" w:hAnsi="Verdana" w:cs="Arial"/>
          <w:sz w:val="16"/>
          <w:szCs w:val="16"/>
        </w:rPr>
        <w:t>CONSEJO DE ESTADO. Sección Tercera. Subsección B. Sentencia del 6 de junio de 2013. Exp. 25151. C.P. Stella Conto Díaz del Castillo.</w:t>
      </w:r>
    </w:p>
    <w:p w14:paraId="2C57A30B" w14:textId="77777777" w:rsidR="00DB1299" w:rsidRPr="00D6724E" w:rsidRDefault="00DB1299" w:rsidP="00DB1299">
      <w:pPr>
        <w:pStyle w:val="Textonotapie"/>
        <w:ind w:firstLine="709"/>
        <w:contextualSpacing/>
        <w:jc w:val="both"/>
        <w:rPr>
          <w:rFonts w:ascii="Verdana" w:hAnsi="Verdana" w:cs="Arial"/>
          <w:sz w:val="16"/>
          <w:szCs w:val="16"/>
        </w:rPr>
      </w:pPr>
    </w:p>
  </w:footnote>
  <w:footnote w:id="4">
    <w:p w14:paraId="39169CE9" w14:textId="77777777" w:rsidR="00DB1299" w:rsidRPr="00D6724E" w:rsidRDefault="00DB1299" w:rsidP="00DB1299">
      <w:pPr>
        <w:pStyle w:val="Textonotapie"/>
        <w:ind w:firstLine="709"/>
        <w:contextualSpacing/>
        <w:jc w:val="both"/>
        <w:rPr>
          <w:rFonts w:ascii="Verdana" w:hAnsi="Verdana" w:cs="Arial"/>
          <w:color w:val="000000" w:themeColor="text1"/>
          <w:sz w:val="16"/>
          <w:szCs w:val="16"/>
        </w:rPr>
      </w:pPr>
    </w:p>
    <w:p w14:paraId="338E6E29" w14:textId="77777777" w:rsidR="00DB1299" w:rsidRPr="00D6724E" w:rsidRDefault="00DB1299" w:rsidP="00DB1299">
      <w:pPr>
        <w:pStyle w:val="Textonotapie"/>
        <w:ind w:firstLine="709"/>
        <w:contextualSpacing/>
        <w:jc w:val="both"/>
        <w:rPr>
          <w:rFonts w:ascii="Verdana" w:hAnsi="Verdana" w:cs="Arial"/>
          <w:color w:val="000000" w:themeColor="text1"/>
          <w:sz w:val="16"/>
          <w:szCs w:val="16"/>
          <w:lang w:eastAsia="es-CO"/>
        </w:rPr>
      </w:pPr>
      <w:r w:rsidRPr="00D6724E">
        <w:rPr>
          <w:rStyle w:val="Refdenotaalpie"/>
          <w:rFonts w:ascii="Verdana" w:hAnsi="Verdana" w:cs="Arial"/>
          <w:color w:val="000000" w:themeColor="text1"/>
          <w:sz w:val="16"/>
          <w:szCs w:val="16"/>
        </w:rPr>
        <w:footnoteRef/>
      </w:r>
      <w:r w:rsidRPr="00D6724E">
        <w:rPr>
          <w:rFonts w:ascii="Verdana" w:hAnsi="Verdana" w:cs="Arial"/>
          <w:color w:val="000000" w:themeColor="text1"/>
          <w:sz w:val="16"/>
          <w:szCs w:val="16"/>
        </w:rPr>
        <w:t xml:space="preserve"> Ley 1150 de 2007: «Artículo 5. De la selección objetiva.</w:t>
      </w:r>
      <w:r w:rsidRPr="00D6724E">
        <w:rPr>
          <w:rFonts w:ascii="Verdana" w:hAnsi="Verdana" w:cs="Arial"/>
          <w:color w:val="000000" w:themeColor="text1"/>
          <w:sz w:val="16"/>
          <w:szCs w:val="16"/>
          <w:lang w:eastAsia="es-CO"/>
        </w:rPr>
        <w:t xml:space="preserve"> </w:t>
      </w:r>
    </w:p>
    <w:p w14:paraId="7A24FAB9" w14:textId="77777777" w:rsidR="00DB1299" w:rsidRPr="00D6724E" w:rsidRDefault="00DB1299" w:rsidP="00DB1299">
      <w:pPr>
        <w:pStyle w:val="Textonotapie"/>
        <w:ind w:firstLine="709"/>
        <w:contextualSpacing/>
        <w:jc w:val="both"/>
        <w:rPr>
          <w:rFonts w:ascii="Verdana" w:hAnsi="Verdana" w:cs="Arial"/>
          <w:color w:val="000000" w:themeColor="text1"/>
          <w:sz w:val="16"/>
          <w:szCs w:val="16"/>
          <w:lang w:eastAsia="es-CO"/>
        </w:rPr>
      </w:pPr>
      <w:r w:rsidRPr="00D6724E">
        <w:rPr>
          <w:rFonts w:ascii="Verdana" w:hAnsi="Verdana" w:cs="Arial"/>
          <w:color w:val="000000" w:themeColor="text1"/>
          <w:sz w:val="16"/>
          <w:szCs w:val="16"/>
          <w:lang w:eastAsia="es-CO"/>
        </w:rPr>
        <w:t>[…]</w:t>
      </w:r>
    </w:p>
    <w:p w14:paraId="77B3979F" w14:textId="77777777" w:rsidR="00DB1299" w:rsidRPr="00D6724E" w:rsidRDefault="00DB1299" w:rsidP="00DB1299">
      <w:pPr>
        <w:pStyle w:val="Textonotapie"/>
        <w:ind w:firstLine="709"/>
        <w:contextualSpacing/>
        <w:jc w:val="both"/>
        <w:rPr>
          <w:rFonts w:ascii="Verdana" w:hAnsi="Verdana" w:cs="Arial"/>
          <w:color w:val="000000" w:themeColor="text1"/>
          <w:sz w:val="16"/>
          <w:szCs w:val="16"/>
          <w:lang w:eastAsia="es-CO"/>
        </w:rPr>
      </w:pPr>
      <w:r w:rsidRPr="00D6724E">
        <w:rPr>
          <w:rFonts w:ascii="Verdana" w:hAnsi="Verdana" w:cs="Arial"/>
          <w:color w:val="000000" w:themeColor="text1"/>
          <w:sz w:val="16"/>
          <w:szCs w:val="16"/>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3FCC97E3" w14:textId="77777777" w:rsidR="00DB1299" w:rsidRPr="00D6724E" w:rsidRDefault="00DB1299" w:rsidP="00DB1299">
      <w:pPr>
        <w:pStyle w:val="Textonotapie"/>
        <w:ind w:firstLine="709"/>
        <w:contextualSpacing/>
        <w:jc w:val="both"/>
        <w:rPr>
          <w:rFonts w:ascii="Verdana" w:hAnsi="Verdana" w:cs="Arial"/>
          <w:color w:val="000000" w:themeColor="text1"/>
          <w:sz w:val="16"/>
          <w:szCs w:val="16"/>
          <w:lang w:eastAsia="es-CO"/>
        </w:rPr>
      </w:pPr>
      <w:r w:rsidRPr="00D6724E">
        <w:rPr>
          <w:rFonts w:ascii="Verdana" w:hAnsi="Verdana" w:cs="Arial"/>
          <w:color w:val="000000" w:themeColor="text1"/>
          <w:sz w:val="16"/>
          <w:szCs w:val="16"/>
          <w:lang w:eastAsia="es-CO"/>
        </w:rPr>
        <w:t>[…]”.</w:t>
      </w:r>
    </w:p>
    <w:p w14:paraId="26EBB350" w14:textId="77777777" w:rsidR="00DB1299" w:rsidRPr="00D6724E" w:rsidRDefault="00DB1299" w:rsidP="00DB1299">
      <w:pPr>
        <w:pStyle w:val="Textonotapie"/>
        <w:ind w:firstLine="709"/>
        <w:contextualSpacing/>
        <w:jc w:val="both"/>
        <w:rPr>
          <w:rFonts w:ascii="Verdana" w:hAnsi="Verdana" w:cs="Arial"/>
          <w:color w:val="000000" w:themeColor="text1"/>
          <w:sz w:val="16"/>
          <w:szCs w:val="16"/>
          <w:lang w:eastAsia="es-CO"/>
        </w:rPr>
      </w:pPr>
    </w:p>
  </w:footnote>
  <w:footnote w:id="5">
    <w:p w14:paraId="3B4AC15B" w14:textId="77777777" w:rsidR="00DB1299" w:rsidRPr="00D6724E" w:rsidRDefault="00DB1299" w:rsidP="00DB1299">
      <w:pPr>
        <w:pStyle w:val="Textonotapie"/>
        <w:ind w:firstLine="709"/>
        <w:contextualSpacing/>
        <w:jc w:val="both"/>
        <w:rPr>
          <w:rFonts w:ascii="Verdana" w:hAnsi="Verdana" w:cs="Arial"/>
          <w:color w:val="000000" w:themeColor="text1"/>
          <w:sz w:val="16"/>
          <w:szCs w:val="16"/>
        </w:rPr>
      </w:pPr>
      <w:r w:rsidRPr="00D6724E">
        <w:rPr>
          <w:rStyle w:val="Refdenotaalpie"/>
          <w:rFonts w:ascii="Verdana" w:hAnsi="Verdana" w:cs="Arial"/>
          <w:color w:val="000000" w:themeColor="text1"/>
          <w:sz w:val="16"/>
          <w:szCs w:val="16"/>
        </w:rPr>
        <w:footnoteRef/>
      </w:r>
      <w:r w:rsidRPr="00D6724E">
        <w:rPr>
          <w:rFonts w:ascii="Verdana" w:hAnsi="Verdana" w:cs="Arial"/>
          <w:color w:val="000000" w:themeColor="text1"/>
          <w:sz w:val="16"/>
          <w:szCs w:val="16"/>
        </w:rPr>
        <w:t xml:space="preserve"> </w:t>
      </w:r>
      <w:r w:rsidRPr="00D6724E">
        <w:rPr>
          <w:rFonts w:ascii="Verdana" w:hAnsi="Verdana" w:cs="Arial"/>
          <w:color w:val="000000" w:themeColor="text1"/>
          <w:sz w:val="16"/>
          <w:szCs w:val="16"/>
          <w:lang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footnote>
  <w:footnote w:id="6">
    <w:p w14:paraId="3DE889DD" w14:textId="77777777" w:rsidR="00DB1299" w:rsidRPr="00D6724E" w:rsidRDefault="00DB1299" w:rsidP="00DB1299">
      <w:pPr>
        <w:pStyle w:val="Textonotapie"/>
        <w:ind w:firstLine="709"/>
        <w:contextualSpacing/>
        <w:jc w:val="both"/>
        <w:rPr>
          <w:rFonts w:ascii="Verdana" w:hAnsi="Verdana" w:cs="Arial"/>
          <w:sz w:val="16"/>
          <w:szCs w:val="16"/>
        </w:rPr>
      </w:pPr>
    </w:p>
    <w:p w14:paraId="1CFDB9E8" w14:textId="77777777" w:rsidR="00DB1299" w:rsidRPr="00D6724E" w:rsidRDefault="00DB1299" w:rsidP="00DB1299">
      <w:pPr>
        <w:pStyle w:val="Textonotapie"/>
        <w:ind w:firstLine="709"/>
        <w:contextualSpacing/>
        <w:jc w:val="both"/>
        <w:rPr>
          <w:rFonts w:ascii="Verdana" w:hAnsi="Verdana" w:cs="Arial"/>
          <w:sz w:val="16"/>
          <w:szCs w:val="16"/>
          <w:lang w:eastAsia="es-CO"/>
        </w:rPr>
      </w:pPr>
      <w:r w:rsidRPr="00D6724E">
        <w:rPr>
          <w:rStyle w:val="Refdenotaalpie"/>
          <w:rFonts w:ascii="Verdana" w:hAnsi="Verdana" w:cs="Arial"/>
          <w:sz w:val="16"/>
          <w:szCs w:val="16"/>
        </w:rPr>
        <w:footnoteRef/>
      </w:r>
      <w:r w:rsidRPr="00D6724E">
        <w:rPr>
          <w:rFonts w:ascii="Verdana" w:hAnsi="Verdana" w:cs="Arial"/>
          <w:sz w:val="16"/>
          <w:szCs w:val="16"/>
        </w:rPr>
        <w:t xml:space="preserve"> </w:t>
      </w:r>
      <w:r w:rsidRPr="00D6724E">
        <w:rPr>
          <w:rFonts w:ascii="Verdana" w:hAnsi="Verdana" w:cs="Arial"/>
          <w:sz w:val="16"/>
          <w:szCs w:val="16"/>
          <w:lang w:eastAsia="es-CO"/>
        </w:rPr>
        <w:t xml:space="preserve">Ley 1150 de 2007: “Artículo 6.  De la verificación de las condiciones de los proponentes. </w:t>
      </w:r>
    </w:p>
    <w:p w14:paraId="4CD1ABDB" w14:textId="77777777" w:rsidR="00DB1299" w:rsidRPr="00D6724E" w:rsidRDefault="00DB1299" w:rsidP="00DB1299">
      <w:pPr>
        <w:pStyle w:val="Textonotapie"/>
        <w:ind w:firstLine="709"/>
        <w:contextualSpacing/>
        <w:jc w:val="both"/>
        <w:rPr>
          <w:rFonts w:ascii="Verdana" w:hAnsi="Verdana" w:cs="Arial"/>
          <w:sz w:val="16"/>
          <w:szCs w:val="16"/>
          <w:lang w:eastAsia="es-CO"/>
        </w:rPr>
      </w:pPr>
      <w:r w:rsidRPr="00D6724E">
        <w:rPr>
          <w:rFonts w:ascii="Verdana" w:hAnsi="Verdana" w:cs="Arial"/>
          <w:sz w:val="16"/>
          <w:szCs w:val="16"/>
          <w:lang w:eastAsia="es-CO"/>
        </w:rPr>
        <w:t xml:space="preserve">[...] </w:t>
      </w:r>
    </w:p>
    <w:p w14:paraId="22BAE1B4" w14:textId="77777777" w:rsidR="00DB1299" w:rsidRPr="00D6724E" w:rsidRDefault="00DB1299" w:rsidP="00DB1299">
      <w:pPr>
        <w:pStyle w:val="Textonotapie"/>
        <w:ind w:firstLine="709"/>
        <w:contextualSpacing/>
        <w:jc w:val="both"/>
        <w:rPr>
          <w:rFonts w:ascii="Verdana" w:hAnsi="Verdana" w:cs="Arial"/>
          <w:sz w:val="16"/>
          <w:szCs w:val="16"/>
          <w:lang w:eastAsia="es-CO"/>
        </w:rPr>
      </w:pPr>
      <w:r w:rsidRPr="00D6724E">
        <w:rPr>
          <w:rFonts w:ascii="Verdana" w:hAnsi="Verdana" w:cs="Arial"/>
          <w:sz w:val="16"/>
          <w:szCs w:val="16"/>
          <w:lang w:eastAsia="es-CO"/>
        </w:rPr>
        <w:t>“No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6717481" w14:textId="77777777" w:rsidR="00DB1299" w:rsidRPr="00D6724E" w:rsidRDefault="00DB1299" w:rsidP="00DB1299">
      <w:pPr>
        <w:pStyle w:val="Textonotapie"/>
        <w:ind w:firstLine="709"/>
        <w:contextualSpacing/>
        <w:jc w:val="both"/>
        <w:rPr>
          <w:rFonts w:ascii="Verdana" w:hAnsi="Verdana" w:cs="Arial"/>
          <w:sz w:val="16"/>
          <w:szCs w:val="16"/>
          <w:lang w:eastAsia="es-CO"/>
        </w:rPr>
      </w:pPr>
      <w:r w:rsidRPr="00D6724E">
        <w:rPr>
          <w:rFonts w:ascii="Verdana" w:hAnsi="Verdana" w:cs="Arial"/>
          <w:sz w:val="16"/>
          <w:szCs w:val="16"/>
          <w:lang w:eastAsia="es-CO"/>
        </w:rPr>
        <w:t xml:space="preserve">[...]”. </w:t>
      </w:r>
    </w:p>
  </w:footnote>
  <w:footnote w:id="7">
    <w:p w14:paraId="798F68F4" w14:textId="77777777" w:rsidR="00DB1299" w:rsidRPr="00D6724E" w:rsidRDefault="00DB1299" w:rsidP="00DB1299">
      <w:pPr>
        <w:pStyle w:val="Textonotapie"/>
        <w:ind w:firstLine="709"/>
        <w:contextualSpacing/>
        <w:jc w:val="both"/>
        <w:rPr>
          <w:rFonts w:ascii="Verdana" w:hAnsi="Verdana" w:cs="Arial"/>
          <w:sz w:val="16"/>
          <w:szCs w:val="16"/>
        </w:rPr>
      </w:pPr>
    </w:p>
    <w:p w14:paraId="0DBA4EA8" w14:textId="77777777" w:rsidR="00DB1299" w:rsidRPr="00D6724E" w:rsidRDefault="00DB1299" w:rsidP="00DB1299">
      <w:pPr>
        <w:pStyle w:val="Textonotapie"/>
        <w:ind w:firstLine="709"/>
        <w:contextualSpacing/>
        <w:jc w:val="both"/>
        <w:rPr>
          <w:rFonts w:ascii="Verdana" w:hAnsi="Verdana" w:cs="Arial"/>
          <w:sz w:val="16"/>
          <w:szCs w:val="16"/>
          <w:lang w:eastAsia="es-CO"/>
        </w:rPr>
      </w:pPr>
      <w:r w:rsidRPr="00D6724E">
        <w:rPr>
          <w:rStyle w:val="Refdenotaalpie"/>
          <w:rFonts w:ascii="Verdana" w:hAnsi="Verdana" w:cs="Arial"/>
          <w:sz w:val="16"/>
          <w:szCs w:val="16"/>
        </w:rPr>
        <w:footnoteRef/>
      </w:r>
      <w:r w:rsidRPr="00D6724E">
        <w:rPr>
          <w:rFonts w:ascii="Verdana" w:hAnsi="Verdana" w:cs="Arial"/>
          <w:sz w:val="16"/>
          <w:szCs w:val="16"/>
        </w:rPr>
        <w:t xml:space="preserve"> Ley 1150 de 2007:</w:t>
      </w:r>
      <w:r w:rsidRPr="00D6724E">
        <w:rPr>
          <w:rFonts w:ascii="Verdana" w:hAnsi="Verdana" w:cs="Arial"/>
          <w:sz w:val="16"/>
          <w:szCs w:val="16"/>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3F6839CE" w14:textId="77777777" w:rsidR="00DB1299" w:rsidRPr="00D6724E" w:rsidRDefault="00DB1299" w:rsidP="00DB1299">
      <w:pPr>
        <w:pStyle w:val="Textonotapie"/>
        <w:ind w:firstLine="709"/>
        <w:contextualSpacing/>
        <w:jc w:val="both"/>
        <w:rPr>
          <w:rFonts w:ascii="Verdana" w:hAnsi="Verdana" w:cs="Arial"/>
          <w:sz w:val="16"/>
          <w:szCs w:val="16"/>
          <w:lang w:eastAsia="es-CO"/>
        </w:rPr>
      </w:pPr>
    </w:p>
  </w:footnote>
  <w:footnote w:id="8">
    <w:p w14:paraId="1C7E6536" w14:textId="77777777" w:rsidR="00DB1299" w:rsidRPr="00D6724E" w:rsidRDefault="00DB1299" w:rsidP="00DB1299">
      <w:pPr>
        <w:pStyle w:val="Textonotapie"/>
        <w:ind w:firstLine="709"/>
        <w:contextualSpacing/>
        <w:jc w:val="both"/>
        <w:rPr>
          <w:rFonts w:ascii="Verdana" w:hAnsi="Verdana" w:cs="Arial"/>
          <w:color w:val="000000" w:themeColor="text1"/>
          <w:sz w:val="16"/>
          <w:szCs w:val="16"/>
        </w:rPr>
      </w:pPr>
      <w:r w:rsidRPr="00D6724E">
        <w:rPr>
          <w:rStyle w:val="Refdenotaalpie"/>
          <w:rFonts w:ascii="Verdana" w:hAnsi="Verdana" w:cs="Arial"/>
          <w:color w:val="000000" w:themeColor="text1"/>
          <w:sz w:val="16"/>
          <w:szCs w:val="16"/>
        </w:rPr>
        <w:footnoteRef/>
      </w:r>
      <w:r w:rsidRPr="00D6724E">
        <w:rPr>
          <w:rFonts w:ascii="Verdana" w:hAnsi="Verdana" w:cs="Arial"/>
          <w:color w:val="000000" w:themeColor="text1"/>
          <w:sz w:val="16"/>
          <w:szCs w:val="16"/>
        </w:rPr>
        <w:t xml:space="preserve"> </w:t>
      </w:r>
      <w:r w:rsidRPr="00D6724E">
        <w:rPr>
          <w:rFonts w:ascii="Verdana" w:hAnsi="Verdana" w:cs="Arial"/>
          <w:color w:val="000000" w:themeColor="text1"/>
          <w:sz w:val="16"/>
          <w:szCs w:val="16"/>
          <w:lang w:eastAsia="es-CO"/>
        </w:rPr>
        <w:t>Consejo de Estado. Sala de Consulta y Servicio Civil. Consulta del 20 de mayo de 2010. Exp.1992. C. P. Enrique José Arboleda Perdomo.</w:t>
      </w:r>
    </w:p>
  </w:footnote>
  <w:footnote w:id="9">
    <w:p w14:paraId="37FD8622" w14:textId="77777777" w:rsidR="00DB1299" w:rsidRPr="00D6724E" w:rsidRDefault="00DB1299" w:rsidP="00DB1299">
      <w:pPr>
        <w:pStyle w:val="Textonotapie"/>
        <w:ind w:firstLine="709"/>
        <w:contextualSpacing/>
        <w:jc w:val="both"/>
        <w:rPr>
          <w:rFonts w:ascii="Verdana" w:hAnsi="Verdana" w:cs="Arial"/>
          <w:color w:val="000000" w:themeColor="text1"/>
          <w:sz w:val="16"/>
          <w:szCs w:val="16"/>
          <w:lang w:eastAsia="es-CO"/>
        </w:rPr>
      </w:pPr>
    </w:p>
    <w:p w14:paraId="140FA510" w14:textId="77777777" w:rsidR="00DB1299" w:rsidRPr="00D6724E" w:rsidRDefault="00DB1299" w:rsidP="00DB1299">
      <w:pPr>
        <w:pStyle w:val="Textonotapie"/>
        <w:ind w:firstLine="709"/>
        <w:contextualSpacing/>
        <w:jc w:val="both"/>
        <w:rPr>
          <w:rFonts w:ascii="Verdana" w:hAnsi="Verdana" w:cs="Arial"/>
          <w:color w:val="000000" w:themeColor="text1"/>
          <w:sz w:val="16"/>
          <w:szCs w:val="16"/>
          <w:lang w:eastAsia="es-CO"/>
        </w:rPr>
      </w:pPr>
      <w:r w:rsidRPr="00D6724E">
        <w:rPr>
          <w:rStyle w:val="Refdenotaalpie"/>
          <w:rFonts w:ascii="Verdana" w:hAnsi="Verdana" w:cs="Arial"/>
          <w:color w:val="000000" w:themeColor="text1"/>
          <w:sz w:val="16"/>
          <w:szCs w:val="16"/>
        </w:rPr>
        <w:footnoteRef/>
      </w:r>
      <w:r w:rsidRPr="00D6724E">
        <w:rPr>
          <w:rFonts w:ascii="Verdana" w:hAnsi="Verdana" w:cs="Arial"/>
          <w:color w:val="000000" w:themeColor="text1"/>
          <w:sz w:val="16"/>
          <w:szCs w:val="16"/>
          <w:lang w:eastAsia="es-CO"/>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73C2111" w14:textId="77777777" w:rsidR="00DB1299" w:rsidRPr="00D6724E" w:rsidRDefault="00DB1299" w:rsidP="00DB1299">
      <w:pPr>
        <w:pStyle w:val="Textonotapie"/>
        <w:ind w:firstLine="708"/>
        <w:contextualSpacing/>
        <w:jc w:val="both"/>
        <w:rPr>
          <w:rFonts w:ascii="Verdana" w:hAnsi="Verdana" w:cs="Arial"/>
          <w:color w:val="000000" w:themeColor="text1"/>
          <w:sz w:val="16"/>
          <w:szCs w:val="16"/>
        </w:rPr>
      </w:pPr>
      <w:r w:rsidRPr="00D6724E">
        <w:rPr>
          <w:rFonts w:ascii="Verdana" w:hAnsi="Verdana" w:cs="Arial"/>
          <w:color w:val="000000" w:themeColor="text1"/>
          <w:sz w:val="16"/>
          <w:szCs w:val="16"/>
          <w:lang w:eastAsia="es-CO"/>
        </w:rPr>
        <w:t xml:space="preserve">[...]”. </w:t>
      </w:r>
      <w:r w:rsidRPr="00D6724E">
        <w:rPr>
          <w:rFonts w:ascii="Verdana" w:hAnsi="Verdana" w:cs="Arial"/>
          <w:color w:val="000000" w:themeColor="text1"/>
          <w:sz w:val="16"/>
          <w:szCs w:val="16"/>
        </w:rPr>
        <w:t xml:space="preserve"> </w:t>
      </w:r>
    </w:p>
    <w:p w14:paraId="18CD633E" w14:textId="77777777" w:rsidR="00DB1299" w:rsidRPr="00D6724E" w:rsidRDefault="00DB1299" w:rsidP="00DB1299">
      <w:pPr>
        <w:pStyle w:val="Textonotapie"/>
        <w:ind w:firstLine="708"/>
        <w:contextualSpacing/>
        <w:jc w:val="both"/>
        <w:rPr>
          <w:rFonts w:ascii="Verdana" w:hAnsi="Verdana" w:cs="Arial"/>
          <w:color w:val="000000" w:themeColor="text1"/>
          <w:sz w:val="16"/>
          <w:szCs w:val="16"/>
        </w:rPr>
      </w:pPr>
    </w:p>
  </w:footnote>
  <w:footnote w:id="10">
    <w:p w14:paraId="1A6501BD" w14:textId="77777777" w:rsidR="00DB1299" w:rsidRPr="00D6724E" w:rsidRDefault="00DB1299" w:rsidP="00DB1299">
      <w:pPr>
        <w:pStyle w:val="Textonotapie"/>
        <w:ind w:firstLine="708"/>
        <w:contextualSpacing/>
        <w:jc w:val="both"/>
        <w:rPr>
          <w:rFonts w:ascii="Verdana" w:hAnsi="Verdana" w:cs="Arial"/>
          <w:color w:val="000000" w:themeColor="text1"/>
          <w:sz w:val="16"/>
          <w:szCs w:val="16"/>
        </w:rPr>
      </w:pPr>
      <w:r w:rsidRPr="00D6724E">
        <w:rPr>
          <w:rStyle w:val="Refdenotaalpie"/>
          <w:rFonts w:ascii="Verdana" w:hAnsi="Verdana" w:cs="Arial"/>
          <w:color w:val="000000" w:themeColor="text1"/>
          <w:sz w:val="16"/>
          <w:szCs w:val="16"/>
        </w:rPr>
        <w:footnoteRef/>
      </w:r>
      <w:r w:rsidRPr="00D6724E">
        <w:rPr>
          <w:rFonts w:ascii="Verdana" w:hAnsi="Verdana" w:cs="Arial"/>
          <w:color w:val="000000" w:themeColor="text1"/>
          <w:sz w:val="16"/>
          <w:szCs w:val="16"/>
          <w:lang w:eastAsia="es-CO"/>
        </w:rPr>
        <w:t xml:space="preserve"> “¨[...]</w:t>
      </w:r>
      <w:r w:rsidRPr="00D6724E">
        <w:rPr>
          <w:rFonts w:ascii="Verdana" w:hAnsi="Verdana" w:cs="Arial"/>
          <w:color w:val="000000" w:themeColor="text1"/>
          <w:sz w:val="16"/>
          <w:szCs w:val="16"/>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D6724E">
        <w:rPr>
          <w:rFonts w:ascii="Verdana" w:hAnsi="Verdana" w:cs="Arial"/>
          <w:color w:val="000000" w:themeColor="text1"/>
          <w:sz w:val="16"/>
          <w:szCs w:val="16"/>
          <w:lang w:eastAsia="es-CO"/>
        </w:rPr>
        <w:t xml:space="preserve">[...]”. </w:t>
      </w:r>
      <w:r w:rsidRPr="00D6724E">
        <w:rPr>
          <w:rFonts w:ascii="Verdana" w:hAnsi="Verdana" w:cs="Arial"/>
          <w:color w:val="000000" w:themeColor="text1"/>
          <w:sz w:val="16"/>
          <w:szCs w:val="16"/>
        </w:rPr>
        <w:t xml:space="preserve"> </w:t>
      </w:r>
    </w:p>
    <w:p w14:paraId="30007CB0" w14:textId="77777777" w:rsidR="00DB1299" w:rsidRPr="00D6724E" w:rsidRDefault="00DB1299" w:rsidP="00DB1299">
      <w:pPr>
        <w:pStyle w:val="Textonotapie"/>
        <w:ind w:firstLine="708"/>
        <w:contextualSpacing/>
        <w:jc w:val="both"/>
        <w:rPr>
          <w:rFonts w:ascii="Verdana" w:hAnsi="Verdana" w:cs="Arial"/>
          <w:color w:val="000000" w:themeColor="text1"/>
          <w:sz w:val="16"/>
          <w:szCs w:val="16"/>
          <w:lang w:val="es-CO"/>
        </w:rPr>
      </w:pPr>
    </w:p>
  </w:footnote>
  <w:footnote w:id="11">
    <w:p w14:paraId="1DBC3B4A" w14:textId="77777777" w:rsidR="00DB1299" w:rsidRPr="00D6724E" w:rsidRDefault="00DB1299" w:rsidP="00DB1299">
      <w:pPr>
        <w:pStyle w:val="Textonotapie"/>
        <w:ind w:firstLine="709"/>
        <w:contextualSpacing/>
        <w:jc w:val="both"/>
        <w:rPr>
          <w:rFonts w:ascii="Verdana" w:hAnsi="Verdana" w:cs="Arial"/>
          <w:color w:val="000000" w:themeColor="text1"/>
          <w:sz w:val="16"/>
          <w:szCs w:val="16"/>
          <w:lang w:eastAsia="es-CO"/>
        </w:rPr>
      </w:pPr>
      <w:r w:rsidRPr="00D6724E">
        <w:rPr>
          <w:rStyle w:val="Refdenotaalpie"/>
          <w:rFonts w:ascii="Verdana" w:hAnsi="Verdana" w:cs="Arial"/>
          <w:color w:val="000000" w:themeColor="text1"/>
          <w:sz w:val="16"/>
          <w:szCs w:val="16"/>
        </w:rPr>
        <w:footnoteRef/>
      </w:r>
      <w:r w:rsidRPr="00D6724E">
        <w:rPr>
          <w:rFonts w:ascii="Verdana" w:hAnsi="Verdana" w:cs="Arial"/>
          <w:color w:val="000000" w:themeColor="text1"/>
          <w:sz w:val="16"/>
          <w:szCs w:val="16"/>
        </w:rPr>
        <w:t xml:space="preserve"> </w:t>
      </w:r>
      <w:r w:rsidRPr="00D6724E">
        <w:rPr>
          <w:rFonts w:ascii="Verdana" w:hAnsi="Verdana" w:cs="Arial"/>
          <w:color w:val="000000" w:themeColor="text1"/>
          <w:sz w:val="16"/>
          <w:szCs w:val="16"/>
          <w:lang w:eastAsia="es-CO"/>
        </w:rPr>
        <w:t>Decreto 1082 de 2015:</w:t>
      </w:r>
      <w:r w:rsidRPr="00D6724E">
        <w:rPr>
          <w:rFonts w:ascii="Verdana" w:hAnsi="Verdana" w:cs="Arial"/>
          <w:color w:val="000000" w:themeColor="text1"/>
          <w:sz w:val="16"/>
          <w:szCs w:val="16"/>
        </w:rPr>
        <w:t xml:space="preserve"> </w:t>
      </w:r>
      <w:r w:rsidRPr="00D6724E">
        <w:rPr>
          <w:rFonts w:ascii="Verdana" w:hAnsi="Verdana" w:cs="Arial"/>
          <w:color w:val="000000" w:themeColor="text1"/>
          <w:sz w:val="16"/>
          <w:szCs w:val="16"/>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593B4712" w14:textId="77777777" w:rsidR="00DB1299" w:rsidRPr="00D6724E" w:rsidRDefault="00DB1299" w:rsidP="00DB1299">
      <w:pPr>
        <w:pStyle w:val="Textonotapie"/>
        <w:ind w:firstLine="709"/>
        <w:contextualSpacing/>
        <w:jc w:val="both"/>
        <w:rPr>
          <w:rFonts w:ascii="Verdana" w:hAnsi="Verdana" w:cs="Arial"/>
          <w:color w:val="000000" w:themeColor="text1"/>
          <w:sz w:val="16"/>
          <w:szCs w:val="16"/>
          <w:lang w:eastAsia="es-CO"/>
        </w:rPr>
      </w:pPr>
      <w:r w:rsidRPr="00D6724E">
        <w:rPr>
          <w:rFonts w:ascii="Verdana" w:hAnsi="Verdana" w:cs="Arial"/>
          <w:color w:val="000000" w:themeColor="text1"/>
          <w:sz w:val="16"/>
          <w:szCs w:val="16"/>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5222586D" w14:textId="77777777" w:rsidR="00DB1299" w:rsidRPr="00D6724E" w:rsidRDefault="00DB1299" w:rsidP="00DB1299">
      <w:pPr>
        <w:pStyle w:val="Textonotapie"/>
        <w:ind w:firstLine="709"/>
        <w:contextualSpacing/>
        <w:jc w:val="both"/>
        <w:rPr>
          <w:rFonts w:ascii="Verdana" w:hAnsi="Verdana" w:cs="Arial"/>
          <w:color w:val="000000" w:themeColor="text1"/>
          <w:sz w:val="16"/>
          <w:szCs w:val="16"/>
          <w:lang w:eastAsia="es-CO"/>
        </w:rPr>
      </w:pPr>
      <w:r w:rsidRPr="00D6724E">
        <w:rPr>
          <w:rFonts w:ascii="Verdana" w:hAnsi="Verdana" w:cs="Arial"/>
          <w:color w:val="000000" w:themeColor="text1"/>
          <w:sz w:val="16"/>
          <w:szCs w:val="16"/>
          <w:lang w:eastAsia="es-CO"/>
        </w:rPr>
        <w:t>“Los inscritos en el RUP pueden en cualquier momento solicitar a la cámara de comercio cancelar su inscripción”.</w:t>
      </w:r>
    </w:p>
    <w:p w14:paraId="0AA7341A" w14:textId="77777777" w:rsidR="00DB1299" w:rsidRPr="00D6724E" w:rsidRDefault="00DB1299" w:rsidP="00DB1299">
      <w:pPr>
        <w:pStyle w:val="Textonotapie"/>
        <w:ind w:firstLine="709"/>
        <w:contextualSpacing/>
        <w:jc w:val="both"/>
        <w:rPr>
          <w:rFonts w:ascii="Verdana" w:hAnsi="Verdana" w:cs="Arial"/>
          <w:color w:val="000000" w:themeColor="text1"/>
          <w:sz w:val="16"/>
          <w:szCs w:val="16"/>
          <w:lang w:eastAsia="es-CO"/>
        </w:rPr>
      </w:pPr>
    </w:p>
  </w:footnote>
  <w:footnote w:id="12">
    <w:p w14:paraId="4B868F81" w14:textId="77777777" w:rsidR="00DB1299" w:rsidRPr="00D6724E" w:rsidRDefault="00DB1299" w:rsidP="00DB1299">
      <w:pPr>
        <w:pStyle w:val="Textonotapie"/>
        <w:ind w:firstLine="708"/>
        <w:contextualSpacing/>
        <w:jc w:val="both"/>
        <w:rPr>
          <w:rFonts w:ascii="Verdana" w:hAnsi="Verdana" w:cs="Arial"/>
          <w:sz w:val="16"/>
          <w:szCs w:val="16"/>
        </w:rPr>
      </w:pPr>
      <w:r w:rsidRPr="00D6724E">
        <w:rPr>
          <w:rStyle w:val="Refdenotaalpie"/>
          <w:rFonts w:ascii="Verdana" w:hAnsi="Verdana" w:cs="Arial"/>
          <w:sz w:val="16"/>
          <w:szCs w:val="16"/>
        </w:rPr>
        <w:footnoteRef/>
      </w:r>
      <w:r w:rsidRPr="00D6724E">
        <w:rPr>
          <w:rFonts w:ascii="Verdana" w:hAnsi="Verdana" w:cs="Arial"/>
          <w:sz w:val="16"/>
          <w:szCs w:val="16"/>
        </w:rPr>
        <w:t xml:space="preserve"> Como se señaló, el artículo 6 de la Ley 1150 de 2007 impuso la obligación a todos los proponentes de inscribirse en el Registro Único de Proponente, salvo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739090982">
    <w:abstractNumId w:val="0"/>
  </w:num>
  <w:num w:numId="17" w16cid:durableId="93377843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266"/>
    <w:rsid w:val="00046945"/>
    <w:rsid w:val="00061B2A"/>
    <w:rsid w:val="00082362"/>
    <w:rsid w:val="000A683E"/>
    <w:rsid w:val="000B19B9"/>
    <w:rsid w:val="000D0334"/>
    <w:rsid w:val="000D5DA7"/>
    <w:rsid w:val="000F6486"/>
    <w:rsid w:val="00116940"/>
    <w:rsid w:val="00125105"/>
    <w:rsid w:val="00127233"/>
    <w:rsid w:val="0015699B"/>
    <w:rsid w:val="0018089F"/>
    <w:rsid w:val="001A33BF"/>
    <w:rsid w:val="001B7D97"/>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3538"/>
    <w:rsid w:val="00374F5E"/>
    <w:rsid w:val="00377E3E"/>
    <w:rsid w:val="003A779E"/>
    <w:rsid w:val="003D0F4D"/>
    <w:rsid w:val="003D16AA"/>
    <w:rsid w:val="003D5B0D"/>
    <w:rsid w:val="003E0499"/>
    <w:rsid w:val="003E4F80"/>
    <w:rsid w:val="003E6439"/>
    <w:rsid w:val="003F3941"/>
    <w:rsid w:val="00406575"/>
    <w:rsid w:val="00414C74"/>
    <w:rsid w:val="0042722E"/>
    <w:rsid w:val="0044528D"/>
    <w:rsid w:val="00466E39"/>
    <w:rsid w:val="004A1847"/>
    <w:rsid w:val="004A305D"/>
    <w:rsid w:val="004F21C4"/>
    <w:rsid w:val="004F31EE"/>
    <w:rsid w:val="004F685F"/>
    <w:rsid w:val="005566E8"/>
    <w:rsid w:val="00574867"/>
    <w:rsid w:val="00591460"/>
    <w:rsid w:val="005A65E0"/>
    <w:rsid w:val="005B3A0D"/>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02CA"/>
    <w:rsid w:val="008258C9"/>
    <w:rsid w:val="00844AE9"/>
    <w:rsid w:val="00844D1A"/>
    <w:rsid w:val="00867F95"/>
    <w:rsid w:val="00876080"/>
    <w:rsid w:val="008843B6"/>
    <w:rsid w:val="00891928"/>
    <w:rsid w:val="008A446D"/>
    <w:rsid w:val="008B25F1"/>
    <w:rsid w:val="008B3EA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24BE3"/>
    <w:rsid w:val="00A33C78"/>
    <w:rsid w:val="00A9517D"/>
    <w:rsid w:val="00AB0ADB"/>
    <w:rsid w:val="00B00C0E"/>
    <w:rsid w:val="00B01B1A"/>
    <w:rsid w:val="00B0381D"/>
    <w:rsid w:val="00B44A47"/>
    <w:rsid w:val="00B700F3"/>
    <w:rsid w:val="00B72CD3"/>
    <w:rsid w:val="00B72FFF"/>
    <w:rsid w:val="00BA2531"/>
    <w:rsid w:val="00BC3D36"/>
    <w:rsid w:val="00BD54A6"/>
    <w:rsid w:val="00BD7F72"/>
    <w:rsid w:val="00BF7425"/>
    <w:rsid w:val="00C04FB3"/>
    <w:rsid w:val="00C11D8B"/>
    <w:rsid w:val="00C15139"/>
    <w:rsid w:val="00C330EB"/>
    <w:rsid w:val="00C50D69"/>
    <w:rsid w:val="00C5365C"/>
    <w:rsid w:val="00C754BE"/>
    <w:rsid w:val="00C76B1C"/>
    <w:rsid w:val="00C878A0"/>
    <w:rsid w:val="00C925AC"/>
    <w:rsid w:val="00CA1293"/>
    <w:rsid w:val="00CB6357"/>
    <w:rsid w:val="00CC1B26"/>
    <w:rsid w:val="00D361FD"/>
    <w:rsid w:val="00D423A2"/>
    <w:rsid w:val="00D44E26"/>
    <w:rsid w:val="00D520D8"/>
    <w:rsid w:val="00D63AC2"/>
    <w:rsid w:val="00D72528"/>
    <w:rsid w:val="00D7383B"/>
    <w:rsid w:val="00D7788A"/>
    <w:rsid w:val="00DA231B"/>
    <w:rsid w:val="00DB1299"/>
    <w:rsid w:val="00DC39FC"/>
    <w:rsid w:val="00DF5254"/>
    <w:rsid w:val="00E02524"/>
    <w:rsid w:val="00E16408"/>
    <w:rsid w:val="00E20894"/>
    <w:rsid w:val="00E21110"/>
    <w:rsid w:val="00E245AB"/>
    <w:rsid w:val="00E2764C"/>
    <w:rsid w:val="00E27F2E"/>
    <w:rsid w:val="00E50AFE"/>
    <w:rsid w:val="00E75C92"/>
    <w:rsid w:val="00E771DC"/>
    <w:rsid w:val="00E8772A"/>
    <w:rsid w:val="00E90376"/>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5103"/>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B129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B129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rnan.pineda@segurosaurora.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D9A2699-85FE-4CE4-B551-92262C89E75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15</Pages>
  <Words>3962</Words>
  <Characters>22228</Characters>
  <Application>Microsoft Office Word</Application>
  <DocSecurity>0</DocSecurity>
  <Lines>463</Lines>
  <Paragraphs>101</Paragraphs>
  <ScaleCrop>false</ScaleCrop>
  <Company/>
  <LinksUpToDate>false</LinksUpToDate>
  <CharactersWithSpaces>26089</CharactersWithSpaces>
  <SharedDoc>false</SharedDoc>
  <HLinks>
    <vt:vector size="12" baseType="variant">
      <vt:variant>
        <vt:i4>7471218</vt:i4>
      </vt:variant>
      <vt:variant>
        <vt:i4>3</vt:i4>
      </vt:variant>
      <vt:variant>
        <vt:i4>0</vt:i4>
      </vt:variant>
      <vt:variant>
        <vt:i4>5</vt:i4>
      </vt:variant>
      <vt:variant>
        <vt:lpwstr>https://relatoria.colombiacompra.gov.co/busqueda/conceptos</vt:lpwstr>
      </vt:variant>
      <vt:variant>
        <vt:lpwstr/>
      </vt:variant>
      <vt:variant>
        <vt:i4>3801162</vt:i4>
      </vt:variant>
      <vt:variant>
        <vt:i4>0</vt:i4>
      </vt:variant>
      <vt:variant>
        <vt:i4>0</vt:i4>
      </vt:variant>
      <vt:variant>
        <vt:i4>5</vt:i4>
      </vt:variant>
      <vt:variant>
        <vt:lpwstr>mailto:hernan.pineda@segurosaurora.com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3</cp:revision>
  <cp:lastPrinted>2023-01-10T21:18:00Z</cp:lastPrinted>
  <dcterms:created xsi:type="dcterms:W3CDTF">2026-03-09T15:54:00Z</dcterms:created>
  <dcterms:modified xsi:type="dcterms:W3CDTF">2026-03-09T15:58:00Z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